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73E8B" w14:textId="58A271EA" w:rsidR="00D60186" w:rsidRPr="00225D4D" w:rsidRDefault="00330F87" w:rsidP="00616920">
      <w:pPr>
        <w:pStyle w:val="is-dep"/>
      </w:pPr>
      <w:r w:rsidRPr="00225D4D">
        <w:t>Statsministerens kontor</w:t>
      </w:r>
    </w:p>
    <w:p w14:paraId="4C073875" w14:textId="77777777" w:rsidR="00D60186" w:rsidRPr="00225D4D" w:rsidRDefault="00D60186" w:rsidP="00225D4D">
      <w:pPr>
        <w:pStyle w:val="i-hode"/>
      </w:pPr>
      <w:r w:rsidRPr="00225D4D">
        <w:t>Meld. St. 4</w:t>
      </w:r>
    </w:p>
    <w:p w14:paraId="4C0DB1CD" w14:textId="77777777" w:rsidR="00D60186" w:rsidRPr="00225D4D" w:rsidRDefault="00D60186" w:rsidP="00225D4D">
      <w:pPr>
        <w:pStyle w:val="i-sesjon"/>
      </w:pPr>
      <w:r w:rsidRPr="00225D4D">
        <w:t>(2025–2026)</w:t>
      </w:r>
    </w:p>
    <w:p w14:paraId="446AE262" w14:textId="77777777" w:rsidR="00D60186" w:rsidRPr="00225D4D" w:rsidRDefault="00D60186" w:rsidP="00225D4D">
      <w:pPr>
        <w:pStyle w:val="i-hode-tit"/>
      </w:pPr>
      <w:r w:rsidRPr="00225D4D">
        <w:t>Melding til Stortinget</w:t>
      </w:r>
    </w:p>
    <w:p w14:paraId="537BAC6E" w14:textId="77777777" w:rsidR="00D60186" w:rsidRPr="00225D4D" w:rsidRDefault="00D60186" w:rsidP="00225D4D">
      <w:pPr>
        <w:pStyle w:val="i-tit"/>
      </w:pPr>
      <w:r w:rsidRPr="00225D4D">
        <w:t xml:space="preserve">Anmodnings- og utredningsvedtak </w:t>
      </w:r>
      <w:r w:rsidRPr="00225D4D">
        <w:br/>
        <w:t>i stortingssesjonen 2024–2025</w:t>
      </w:r>
    </w:p>
    <w:p w14:paraId="4A92E834" w14:textId="1265A3DF" w:rsidR="00D60186" w:rsidRPr="00225D4D" w:rsidRDefault="00330F87" w:rsidP="00225D4D">
      <w:pPr>
        <w:pStyle w:val="i-dep"/>
      </w:pPr>
      <w:r w:rsidRPr="00225D4D">
        <w:t>Statsministerens kontor</w:t>
      </w:r>
    </w:p>
    <w:p w14:paraId="00E2F07B" w14:textId="77777777" w:rsidR="00D60186" w:rsidRPr="00225D4D" w:rsidRDefault="00D60186" w:rsidP="00225D4D">
      <w:pPr>
        <w:pStyle w:val="i-hode"/>
      </w:pPr>
      <w:r w:rsidRPr="00225D4D">
        <w:t>Meld. St. 4</w:t>
      </w:r>
    </w:p>
    <w:p w14:paraId="1D304D24" w14:textId="77777777" w:rsidR="00D60186" w:rsidRPr="00225D4D" w:rsidRDefault="00D60186" w:rsidP="00225D4D">
      <w:pPr>
        <w:pStyle w:val="i-sesjon"/>
      </w:pPr>
      <w:r w:rsidRPr="00225D4D">
        <w:t>(2025–2026)</w:t>
      </w:r>
    </w:p>
    <w:p w14:paraId="610C293B" w14:textId="77777777" w:rsidR="00D60186" w:rsidRPr="00225D4D" w:rsidRDefault="00D60186" w:rsidP="00225D4D">
      <w:pPr>
        <w:pStyle w:val="i-hode-tit"/>
      </w:pPr>
      <w:r w:rsidRPr="00225D4D">
        <w:t>Melding til Stortinget</w:t>
      </w:r>
    </w:p>
    <w:p w14:paraId="2A96A8E5" w14:textId="77777777" w:rsidR="00D60186" w:rsidRPr="00225D4D" w:rsidRDefault="00D60186" w:rsidP="00225D4D">
      <w:pPr>
        <w:pStyle w:val="i-tit"/>
      </w:pPr>
      <w:r w:rsidRPr="00225D4D">
        <w:t xml:space="preserve">Anmodnings- og utredningsvedtak </w:t>
      </w:r>
      <w:r w:rsidRPr="00225D4D">
        <w:br/>
        <w:t>i stortingssesjonen 2024–2025</w:t>
      </w:r>
    </w:p>
    <w:p w14:paraId="70DA1CED" w14:textId="77777777" w:rsidR="00D60186" w:rsidRPr="00225D4D" w:rsidRDefault="00D60186" w:rsidP="00225D4D">
      <w:pPr>
        <w:pStyle w:val="i-statsrdato"/>
      </w:pPr>
      <w:r w:rsidRPr="00225D4D">
        <w:t xml:space="preserve">Tilråding fra </w:t>
      </w:r>
      <w:bookmarkStart w:id="0" w:name="_Hlk210893381"/>
      <w:r w:rsidRPr="00225D4D">
        <w:t xml:space="preserve">Statsministerens kontor </w:t>
      </w:r>
      <w:bookmarkEnd w:id="0"/>
      <w:r w:rsidRPr="00225D4D">
        <w:t xml:space="preserve">7. oktober 2025, </w:t>
      </w:r>
      <w:r w:rsidRPr="00225D4D">
        <w:br/>
        <w:t>godkjent i statsråd samme dag.</w:t>
      </w:r>
      <w:r w:rsidRPr="00225D4D">
        <w:br/>
        <w:t>(Regjeringen Støre)</w:t>
      </w:r>
    </w:p>
    <w:p w14:paraId="7A9491BA" w14:textId="77777777" w:rsidR="00D60186" w:rsidRPr="00225D4D" w:rsidRDefault="00D60186" w:rsidP="00225D4D">
      <w:pPr>
        <w:pStyle w:val="Overskrift1"/>
      </w:pPr>
      <w:r w:rsidRPr="00225D4D">
        <w:t>Innledning</w:t>
      </w:r>
    </w:p>
    <w:p w14:paraId="30A7807C" w14:textId="77777777" w:rsidR="00D60186" w:rsidRPr="00225D4D" w:rsidRDefault="00D60186" w:rsidP="00225D4D">
      <w:pPr>
        <w:pStyle w:val="Overskrift2"/>
      </w:pPr>
      <w:r w:rsidRPr="00225D4D">
        <w:t>Bakgrunn</w:t>
      </w:r>
    </w:p>
    <w:p w14:paraId="24F8EEE3" w14:textId="77777777" w:rsidR="00D60186" w:rsidRPr="00225D4D" w:rsidRDefault="00D60186" w:rsidP="00225D4D">
      <w:r w:rsidRPr="00225D4D">
        <w:t xml:space="preserve">Stortingets forretningsorden § 14 nr. 8 bokstav b forutsetter at regjeringen legger frem en årlig melding om oppfølging av stortingsvedtak som inneholder en anmodning til regjeringen (anmodningsvedtak), og om behandling av representantforslag som er vedtatt oversendt regjeringen til utredning og </w:t>
      </w:r>
      <w:proofErr w:type="spellStart"/>
      <w:r w:rsidRPr="00225D4D">
        <w:t>uttalelse</w:t>
      </w:r>
      <w:proofErr w:type="spellEnd"/>
      <w:r w:rsidRPr="00225D4D">
        <w:t xml:space="preserve"> (utredningsvedtak).</w:t>
      </w:r>
    </w:p>
    <w:p w14:paraId="7CF14C22" w14:textId="77777777" w:rsidR="00D60186" w:rsidRPr="00225D4D" w:rsidRDefault="00D60186" w:rsidP="00225D4D">
      <w:r w:rsidRPr="00225D4D">
        <w:t xml:space="preserve">Regjeringen legger vekt på at Stortinget skal få en tydelig tilbakemelding om regjeringens oppfølging av de enkelte anmodnings- og utredningsvedtakene. Tilbakemelding gis i proposisjoner eller </w:t>
      </w:r>
      <w:r w:rsidRPr="00225D4D">
        <w:lastRenderedPageBreak/>
        <w:t>meldinger fra fagdepartementene. På den måten får fagkomiteene anledning til en ordinær behandling av regjeringens oppfølging av det enkelte vedtak.</w:t>
      </w:r>
    </w:p>
    <w:p w14:paraId="5002B41B" w14:textId="77777777" w:rsidR="00D60186" w:rsidRPr="00225D4D" w:rsidRDefault="00D60186" w:rsidP="00225D4D">
      <w:r w:rsidRPr="00225D4D">
        <w:t xml:space="preserve">Departementenes årlige budsjettproposisjoner gir en oversikt over hvordan anmodnings- og utredningsvedtakene under det aktuelle departement er fulgt opp. Fremstillingen omfatter alle anmodningsvedtak fra sesjon 2024–2025 og alle anmodningsvedtak hvor rapporteringen ikke er avsluttet i forbindelse med den årlige behandlingen av stortingsmeldingen om anmodningsvedtak i kontroll- og konstitusjonskomiteen, jf. </w:t>
      </w:r>
      <w:proofErr w:type="spellStart"/>
      <w:r w:rsidRPr="00225D4D">
        <w:t>Innst</w:t>
      </w:r>
      <w:proofErr w:type="spellEnd"/>
      <w:r w:rsidRPr="00225D4D">
        <w:t>. 216 S (2024–2025). I budsjettproposisjonene angis det om departementet anser at rapporteringen knyttet til det enkelte anmodningsvedtak kan avsluttes, eller om departementet planlegger å rapportere på vedtaket også i neste års budsjettproposisjon.</w:t>
      </w:r>
    </w:p>
    <w:p w14:paraId="12C43E1D" w14:textId="77777777" w:rsidR="00D60186" w:rsidRPr="00225D4D" w:rsidRDefault="00D60186" w:rsidP="00225D4D">
      <w:r w:rsidRPr="00225D4D">
        <w:t xml:space="preserve">Melding om anmodningsvedtak legges frem samtidig med </w:t>
      </w:r>
      <w:proofErr w:type="spellStart"/>
      <w:r w:rsidRPr="00225D4D">
        <w:t>Prop</w:t>
      </w:r>
      <w:proofErr w:type="spellEnd"/>
      <w:r w:rsidRPr="00225D4D">
        <w:t>. 1 S (2025–2026). Stortingsmeldingen gjengir omtalen som gis i departementenes budsjettproposisjoner.</w:t>
      </w:r>
    </w:p>
    <w:p w14:paraId="43930959" w14:textId="7ADA705F" w:rsidR="00330F87" w:rsidRPr="00225D4D" w:rsidRDefault="00330F87" w:rsidP="00225D4D">
      <w:pPr>
        <w:pStyle w:val="tabell-tittel"/>
      </w:pPr>
      <w:r w:rsidRPr="00225D4D">
        <w:t>Antall anmodningsvedtak de elleve siste stortingssesjonene</w:t>
      </w:r>
    </w:p>
    <w:p w14:paraId="0D8F8AE5" w14:textId="77777777" w:rsidR="00D60186" w:rsidRPr="00225D4D" w:rsidRDefault="00D60186" w:rsidP="00225D4D">
      <w:pPr>
        <w:pStyle w:val="Tabellnavn"/>
      </w:pPr>
      <w:r w:rsidRPr="00225D4D">
        <w:t>04J1xt1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843"/>
        <w:gridCol w:w="1134"/>
        <w:gridCol w:w="1276"/>
        <w:gridCol w:w="2126"/>
      </w:tblGrid>
      <w:tr w:rsidR="00E76DC8" w:rsidRPr="00225D4D" w14:paraId="6674E91B" w14:textId="77777777" w:rsidTr="00274E77">
        <w:trPr>
          <w:trHeight w:val="1380"/>
        </w:trPr>
        <w:tc>
          <w:tcPr>
            <w:tcW w:w="184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34AA66" w14:textId="77777777" w:rsidR="00D60186" w:rsidRPr="00815696" w:rsidRDefault="00D60186" w:rsidP="00225D4D">
            <w:pPr>
              <w:rPr>
                <w:sz w:val="21"/>
                <w:szCs w:val="21"/>
              </w:rPr>
            </w:pPr>
            <w:r w:rsidRPr="00815696">
              <w:rPr>
                <w:sz w:val="21"/>
                <w:szCs w:val="21"/>
              </w:rPr>
              <w:t>Stortingssesjon</w:t>
            </w:r>
          </w:p>
        </w:tc>
        <w:tc>
          <w:tcPr>
            <w:tcW w:w="113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79CC19" w14:textId="664B0844" w:rsidR="00D60186" w:rsidRPr="00815696" w:rsidRDefault="00D60186" w:rsidP="00815696">
            <w:pPr>
              <w:jc w:val="right"/>
              <w:rPr>
                <w:sz w:val="21"/>
                <w:szCs w:val="21"/>
              </w:rPr>
            </w:pPr>
            <w:r w:rsidRPr="00815696">
              <w:rPr>
                <w:sz w:val="21"/>
                <w:szCs w:val="21"/>
              </w:rPr>
              <w:t>Antall</w:t>
            </w:r>
            <w:r w:rsidR="00274E77" w:rsidRPr="00815696">
              <w:rPr>
                <w:sz w:val="21"/>
                <w:szCs w:val="21"/>
              </w:rPr>
              <w:br/>
            </w:r>
            <w:r w:rsidRPr="00815696">
              <w:rPr>
                <w:sz w:val="21"/>
                <w:szCs w:val="21"/>
              </w:rPr>
              <w:t xml:space="preserve"> vedtak</w:t>
            </w:r>
          </w:p>
        </w:tc>
        <w:tc>
          <w:tcPr>
            <w:tcW w:w="127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9781AB" w14:textId="77777777" w:rsidR="00D60186" w:rsidRPr="00815696" w:rsidRDefault="00D60186" w:rsidP="00815696">
            <w:pPr>
              <w:jc w:val="right"/>
              <w:rPr>
                <w:sz w:val="21"/>
                <w:szCs w:val="21"/>
              </w:rPr>
            </w:pPr>
            <w:r w:rsidRPr="00815696">
              <w:rPr>
                <w:sz w:val="21"/>
                <w:szCs w:val="21"/>
              </w:rPr>
              <w:t>Vedtakspunkter</w:t>
            </w:r>
            <w:r w:rsidRPr="00815696">
              <w:rPr>
                <w:rStyle w:val="skrift-hevet"/>
                <w:sz w:val="21"/>
                <w:szCs w:val="21"/>
              </w:rPr>
              <w:t>1</w:t>
            </w:r>
          </w:p>
        </w:tc>
        <w:tc>
          <w:tcPr>
            <w:tcW w:w="212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566BDE" w14:textId="77777777" w:rsidR="00D60186" w:rsidRPr="00815696" w:rsidRDefault="00D60186" w:rsidP="00815696">
            <w:pPr>
              <w:jc w:val="right"/>
              <w:rPr>
                <w:sz w:val="21"/>
                <w:szCs w:val="21"/>
              </w:rPr>
            </w:pPr>
            <w:r w:rsidRPr="00815696">
              <w:rPr>
                <w:sz w:val="21"/>
                <w:szCs w:val="21"/>
              </w:rPr>
              <w:t xml:space="preserve">Vedtak der departementene i </w:t>
            </w:r>
            <w:proofErr w:type="spellStart"/>
            <w:r w:rsidRPr="00815696">
              <w:rPr>
                <w:sz w:val="21"/>
                <w:szCs w:val="21"/>
              </w:rPr>
              <w:t>Prop</w:t>
            </w:r>
            <w:proofErr w:type="spellEnd"/>
            <w:r w:rsidRPr="00815696">
              <w:rPr>
                <w:sz w:val="21"/>
                <w:szCs w:val="21"/>
              </w:rPr>
              <w:t>. 1 S (2025–2026) har lagt til grunn at rapporteringen ikke kan avsluttes</w:t>
            </w:r>
          </w:p>
        </w:tc>
      </w:tr>
      <w:tr w:rsidR="00E76DC8" w:rsidRPr="00225D4D" w14:paraId="3D21572D" w14:textId="77777777" w:rsidTr="00274E77">
        <w:trPr>
          <w:trHeight w:val="380"/>
        </w:trPr>
        <w:tc>
          <w:tcPr>
            <w:tcW w:w="1843" w:type="dxa"/>
            <w:tcBorders>
              <w:top w:val="single" w:sz="4" w:space="0" w:color="000000"/>
              <w:left w:val="nil"/>
              <w:bottom w:val="nil"/>
              <w:right w:val="nil"/>
            </w:tcBorders>
            <w:tcMar>
              <w:top w:w="128" w:type="dxa"/>
              <w:left w:w="43" w:type="dxa"/>
              <w:bottom w:w="43" w:type="dxa"/>
              <w:right w:w="43" w:type="dxa"/>
            </w:tcMar>
          </w:tcPr>
          <w:p w14:paraId="2E1F9943" w14:textId="77777777" w:rsidR="00D60186" w:rsidRPr="00815696" w:rsidRDefault="00D60186" w:rsidP="00225D4D">
            <w:pPr>
              <w:rPr>
                <w:sz w:val="21"/>
                <w:szCs w:val="21"/>
              </w:rPr>
            </w:pPr>
            <w:r w:rsidRPr="00815696">
              <w:rPr>
                <w:sz w:val="21"/>
                <w:szCs w:val="21"/>
              </w:rPr>
              <w:t>2024–2025</w:t>
            </w:r>
          </w:p>
        </w:tc>
        <w:tc>
          <w:tcPr>
            <w:tcW w:w="1134" w:type="dxa"/>
            <w:tcBorders>
              <w:top w:val="single" w:sz="4" w:space="0" w:color="000000"/>
              <w:left w:val="nil"/>
              <w:bottom w:val="nil"/>
              <w:right w:val="nil"/>
            </w:tcBorders>
            <w:tcMar>
              <w:top w:w="128" w:type="dxa"/>
              <w:left w:w="43" w:type="dxa"/>
              <w:bottom w:w="43" w:type="dxa"/>
              <w:right w:w="43" w:type="dxa"/>
            </w:tcMar>
            <w:vAlign w:val="bottom"/>
          </w:tcPr>
          <w:p w14:paraId="0D475AC3" w14:textId="77777777" w:rsidR="00D60186" w:rsidRPr="00815696" w:rsidRDefault="00D60186" w:rsidP="00815696">
            <w:pPr>
              <w:jc w:val="right"/>
              <w:rPr>
                <w:sz w:val="21"/>
                <w:szCs w:val="21"/>
              </w:rPr>
            </w:pPr>
            <w:r w:rsidRPr="00815696">
              <w:rPr>
                <w:sz w:val="21"/>
                <w:szCs w:val="21"/>
              </w:rPr>
              <w:t>484</w:t>
            </w:r>
          </w:p>
        </w:tc>
        <w:tc>
          <w:tcPr>
            <w:tcW w:w="1276" w:type="dxa"/>
            <w:tcBorders>
              <w:top w:val="single" w:sz="4" w:space="0" w:color="000000"/>
              <w:left w:val="nil"/>
              <w:bottom w:val="nil"/>
              <w:right w:val="nil"/>
            </w:tcBorders>
            <w:tcMar>
              <w:top w:w="128" w:type="dxa"/>
              <w:left w:w="43" w:type="dxa"/>
              <w:bottom w:w="43" w:type="dxa"/>
              <w:right w:w="43" w:type="dxa"/>
            </w:tcMar>
            <w:vAlign w:val="bottom"/>
          </w:tcPr>
          <w:p w14:paraId="05719FE5" w14:textId="77777777" w:rsidR="00D60186" w:rsidRPr="00815696" w:rsidRDefault="00D60186" w:rsidP="00815696">
            <w:pPr>
              <w:jc w:val="right"/>
              <w:rPr>
                <w:sz w:val="21"/>
                <w:szCs w:val="21"/>
              </w:rPr>
            </w:pPr>
            <w:r w:rsidRPr="00815696">
              <w:rPr>
                <w:sz w:val="21"/>
                <w:szCs w:val="21"/>
              </w:rPr>
              <w:t>484</w:t>
            </w:r>
          </w:p>
        </w:tc>
        <w:tc>
          <w:tcPr>
            <w:tcW w:w="2126" w:type="dxa"/>
            <w:tcBorders>
              <w:top w:val="single" w:sz="4" w:space="0" w:color="000000"/>
              <w:left w:val="nil"/>
              <w:bottom w:val="nil"/>
              <w:right w:val="nil"/>
            </w:tcBorders>
            <w:tcMar>
              <w:top w:w="128" w:type="dxa"/>
              <w:left w:w="43" w:type="dxa"/>
              <w:bottom w:w="43" w:type="dxa"/>
              <w:right w:w="43" w:type="dxa"/>
            </w:tcMar>
            <w:vAlign w:val="bottom"/>
          </w:tcPr>
          <w:p w14:paraId="730FB861" w14:textId="77777777" w:rsidR="00D60186" w:rsidRPr="00815696" w:rsidRDefault="00D60186" w:rsidP="00815696">
            <w:pPr>
              <w:jc w:val="right"/>
              <w:rPr>
                <w:sz w:val="21"/>
                <w:szCs w:val="21"/>
              </w:rPr>
            </w:pPr>
            <w:r w:rsidRPr="00815696">
              <w:rPr>
                <w:sz w:val="21"/>
                <w:szCs w:val="21"/>
              </w:rPr>
              <w:t>263</w:t>
            </w:r>
          </w:p>
        </w:tc>
      </w:tr>
      <w:tr w:rsidR="00E76DC8" w:rsidRPr="00225D4D" w14:paraId="3328072D"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431A2F97" w14:textId="77777777" w:rsidR="00D60186" w:rsidRPr="00815696" w:rsidRDefault="00D60186" w:rsidP="00225D4D">
            <w:pPr>
              <w:rPr>
                <w:sz w:val="21"/>
                <w:szCs w:val="21"/>
              </w:rPr>
            </w:pPr>
            <w:r w:rsidRPr="00815696">
              <w:rPr>
                <w:sz w:val="21"/>
                <w:szCs w:val="21"/>
              </w:rPr>
              <w:t>2023–2024</w:t>
            </w:r>
          </w:p>
        </w:tc>
        <w:tc>
          <w:tcPr>
            <w:tcW w:w="1134" w:type="dxa"/>
            <w:tcBorders>
              <w:top w:val="nil"/>
              <w:left w:val="nil"/>
              <w:bottom w:val="nil"/>
              <w:right w:val="nil"/>
            </w:tcBorders>
            <w:tcMar>
              <w:top w:w="128" w:type="dxa"/>
              <w:left w:w="43" w:type="dxa"/>
              <w:bottom w:w="43" w:type="dxa"/>
              <w:right w:w="43" w:type="dxa"/>
            </w:tcMar>
            <w:vAlign w:val="bottom"/>
          </w:tcPr>
          <w:p w14:paraId="5EA09051" w14:textId="77777777" w:rsidR="00D60186" w:rsidRPr="00815696" w:rsidRDefault="00D60186" w:rsidP="00815696">
            <w:pPr>
              <w:jc w:val="right"/>
              <w:rPr>
                <w:sz w:val="21"/>
                <w:szCs w:val="21"/>
              </w:rPr>
            </w:pPr>
            <w:r w:rsidRPr="00815696">
              <w:rPr>
                <w:sz w:val="21"/>
                <w:szCs w:val="21"/>
              </w:rPr>
              <w:t>268</w:t>
            </w:r>
          </w:p>
        </w:tc>
        <w:tc>
          <w:tcPr>
            <w:tcW w:w="1276" w:type="dxa"/>
            <w:tcBorders>
              <w:top w:val="nil"/>
              <w:left w:val="nil"/>
              <w:bottom w:val="nil"/>
              <w:right w:val="nil"/>
            </w:tcBorders>
            <w:tcMar>
              <w:top w:w="128" w:type="dxa"/>
              <w:left w:w="43" w:type="dxa"/>
              <w:bottom w:w="43" w:type="dxa"/>
              <w:right w:w="43" w:type="dxa"/>
            </w:tcMar>
            <w:vAlign w:val="bottom"/>
          </w:tcPr>
          <w:p w14:paraId="50CD52CF" w14:textId="77777777" w:rsidR="00D60186" w:rsidRPr="00815696" w:rsidRDefault="00D60186" w:rsidP="00815696">
            <w:pPr>
              <w:jc w:val="right"/>
              <w:rPr>
                <w:sz w:val="21"/>
                <w:szCs w:val="21"/>
              </w:rPr>
            </w:pPr>
            <w:r w:rsidRPr="00815696">
              <w:rPr>
                <w:sz w:val="21"/>
                <w:szCs w:val="21"/>
              </w:rPr>
              <w:t>268</w:t>
            </w:r>
          </w:p>
        </w:tc>
        <w:tc>
          <w:tcPr>
            <w:tcW w:w="2126" w:type="dxa"/>
            <w:tcBorders>
              <w:top w:val="nil"/>
              <w:left w:val="nil"/>
              <w:bottom w:val="nil"/>
              <w:right w:val="nil"/>
            </w:tcBorders>
            <w:tcMar>
              <w:top w:w="128" w:type="dxa"/>
              <w:left w:w="43" w:type="dxa"/>
              <w:bottom w:w="43" w:type="dxa"/>
              <w:right w:w="43" w:type="dxa"/>
            </w:tcMar>
            <w:vAlign w:val="bottom"/>
          </w:tcPr>
          <w:p w14:paraId="6FEEB1CD" w14:textId="77777777" w:rsidR="00D60186" w:rsidRPr="00815696" w:rsidRDefault="00D60186" w:rsidP="00815696">
            <w:pPr>
              <w:jc w:val="right"/>
              <w:rPr>
                <w:sz w:val="21"/>
                <w:szCs w:val="21"/>
              </w:rPr>
            </w:pPr>
            <w:r w:rsidRPr="00815696">
              <w:rPr>
                <w:sz w:val="21"/>
                <w:szCs w:val="21"/>
              </w:rPr>
              <w:t>71</w:t>
            </w:r>
          </w:p>
        </w:tc>
      </w:tr>
      <w:tr w:rsidR="00E76DC8" w:rsidRPr="00225D4D" w14:paraId="14C853AA"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21A80D03" w14:textId="77777777" w:rsidR="00D60186" w:rsidRPr="00815696" w:rsidRDefault="00D60186" w:rsidP="00225D4D">
            <w:pPr>
              <w:rPr>
                <w:sz w:val="21"/>
                <w:szCs w:val="21"/>
              </w:rPr>
            </w:pPr>
            <w:r w:rsidRPr="00815696">
              <w:rPr>
                <w:sz w:val="21"/>
                <w:szCs w:val="21"/>
              </w:rPr>
              <w:t>2022–2023</w:t>
            </w:r>
          </w:p>
        </w:tc>
        <w:tc>
          <w:tcPr>
            <w:tcW w:w="1134" w:type="dxa"/>
            <w:tcBorders>
              <w:top w:val="nil"/>
              <w:left w:val="nil"/>
              <w:bottom w:val="nil"/>
              <w:right w:val="nil"/>
            </w:tcBorders>
            <w:tcMar>
              <w:top w:w="128" w:type="dxa"/>
              <w:left w:w="43" w:type="dxa"/>
              <w:bottom w:w="43" w:type="dxa"/>
              <w:right w:w="43" w:type="dxa"/>
            </w:tcMar>
            <w:vAlign w:val="bottom"/>
          </w:tcPr>
          <w:p w14:paraId="4707E064" w14:textId="77777777" w:rsidR="00D60186" w:rsidRPr="00815696" w:rsidRDefault="00D60186" w:rsidP="00815696">
            <w:pPr>
              <w:jc w:val="right"/>
              <w:rPr>
                <w:sz w:val="21"/>
                <w:szCs w:val="21"/>
              </w:rPr>
            </w:pPr>
            <w:r w:rsidRPr="00815696">
              <w:rPr>
                <w:sz w:val="21"/>
                <w:szCs w:val="21"/>
              </w:rPr>
              <w:t>253</w:t>
            </w:r>
          </w:p>
        </w:tc>
        <w:tc>
          <w:tcPr>
            <w:tcW w:w="1276" w:type="dxa"/>
            <w:tcBorders>
              <w:top w:val="nil"/>
              <w:left w:val="nil"/>
              <w:bottom w:val="nil"/>
              <w:right w:val="nil"/>
            </w:tcBorders>
            <w:tcMar>
              <w:top w:w="128" w:type="dxa"/>
              <w:left w:w="43" w:type="dxa"/>
              <w:bottom w:w="43" w:type="dxa"/>
              <w:right w:w="43" w:type="dxa"/>
            </w:tcMar>
            <w:vAlign w:val="bottom"/>
          </w:tcPr>
          <w:p w14:paraId="14382DEE" w14:textId="77777777" w:rsidR="00D60186" w:rsidRPr="00815696" w:rsidRDefault="00D60186" w:rsidP="00815696">
            <w:pPr>
              <w:jc w:val="right"/>
              <w:rPr>
                <w:sz w:val="21"/>
                <w:szCs w:val="21"/>
              </w:rPr>
            </w:pPr>
            <w:r w:rsidRPr="00815696">
              <w:rPr>
                <w:sz w:val="21"/>
                <w:szCs w:val="21"/>
              </w:rPr>
              <w:t>259</w:t>
            </w:r>
          </w:p>
        </w:tc>
        <w:tc>
          <w:tcPr>
            <w:tcW w:w="2126" w:type="dxa"/>
            <w:tcBorders>
              <w:top w:val="nil"/>
              <w:left w:val="nil"/>
              <w:bottom w:val="nil"/>
              <w:right w:val="nil"/>
            </w:tcBorders>
            <w:tcMar>
              <w:top w:w="128" w:type="dxa"/>
              <w:left w:w="43" w:type="dxa"/>
              <w:bottom w:w="43" w:type="dxa"/>
              <w:right w:w="43" w:type="dxa"/>
            </w:tcMar>
            <w:vAlign w:val="bottom"/>
          </w:tcPr>
          <w:p w14:paraId="4A46AF85" w14:textId="77777777" w:rsidR="00D60186" w:rsidRPr="00815696" w:rsidRDefault="00D60186" w:rsidP="00815696">
            <w:pPr>
              <w:jc w:val="right"/>
              <w:rPr>
                <w:sz w:val="21"/>
                <w:szCs w:val="21"/>
              </w:rPr>
            </w:pPr>
            <w:r w:rsidRPr="00815696">
              <w:rPr>
                <w:sz w:val="21"/>
                <w:szCs w:val="21"/>
              </w:rPr>
              <w:t>33</w:t>
            </w:r>
          </w:p>
        </w:tc>
      </w:tr>
      <w:tr w:rsidR="00E76DC8" w:rsidRPr="00225D4D" w14:paraId="13079678"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643E6C22" w14:textId="77777777" w:rsidR="00D60186" w:rsidRPr="00815696" w:rsidRDefault="00D60186" w:rsidP="00225D4D">
            <w:pPr>
              <w:rPr>
                <w:sz w:val="21"/>
                <w:szCs w:val="21"/>
              </w:rPr>
            </w:pPr>
            <w:r w:rsidRPr="00815696">
              <w:rPr>
                <w:sz w:val="21"/>
                <w:szCs w:val="21"/>
              </w:rPr>
              <w:t>2021–2022</w:t>
            </w:r>
          </w:p>
        </w:tc>
        <w:tc>
          <w:tcPr>
            <w:tcW w:w="1134" w:type="dxa"/>
            <w:tcBorders>
              <w:top w:val="nil"/>
              <w:left w:val="nil"/>
              <w:bottom w:val="nil"/>
              <w:right w:val="nil"/>
            </w:tcBorders>
            <w:tcMar>
              <w:top w:w="128" w:type="dxa"/>
              <w:left w:w="43" w:type="dxa"/>
              <w:bottom w:w="43" w:type="dxa"/>
              <w:right w:w="43" w:type="dxa"/>
            </w:tcMar>
            <w:vAlign w:val="bottom"/>
          </w:tcPr>
          <w:p w14:paraId="49C74A37" w14:textId="77777777" w:rsidR="00D60186" w:rsidRPr="00815696" w:rsidRDefault="00D60186" w:rsidP="00815696">
            <w:pPr>
              <w:jc w:val="right"/>
              <w:rPr>
                <w:sz w:val="21"/>
                <w:szCs w:val="21"/>
              </w:rPr>
            </w:pPr>
            <w:r w:rsidRPr="00815696">
              <w:rPr>
                <w:sz w:val="21"/>
                <w:szCs w:val="21"/>
              </w:rPr>
              <w:t>203</w:t>
            </w:r>
          </w:p>
        </w:tc>
        <w:tc>
          <w:tcPr>
            <w:tcW w:w="1276" w:type="dxa"/>
            <w:tcBorders>
              <w:top w:val="nil"/>
              <w:left w:val="nil"/>
              <w:bottom w:val="nil"/>
              <w:right w:val="nil"/>
            </w:tcBorders>
            <w:tcMar>
              <w:top w:w="128" w:type="dxa"/>
              <w:left w:w="43" w:type="dxa"/>
              <w:bottom w:w="43" w:type="dxa"/>
              <w:right w:w="43" w:type="dxa"/>
            </w:tcMar>
            <w:vAlign w:val="bottom"/>
          </w:tcPr>
          <w:p w14:paraId="7D76EF1A" w14:textId="77777777" w:rsidR="00D60186" w:rsidRPr="00815696" w:rsidRDefault="00D60186" w:rsidP="00815696">
            <w:pPr>
              <w:jc w:val="right"/>
              <w:rPr>
                <w:sz w:val="21"/>
                <w:szCs w:val="21"/>
              </w:rPr>
            </w:pPr>
            <w:r w:rsidRPr="00815696">
              <w:rPr>
                <w:sz w:val="21"/>
                <w:szCs w:val="21"/>
              </w:rPr>
              <w:t>261</w:t>
            </w:r>
          </w:p>
        </w:tc>
        <w:tc>
          <w:tcPr>
            <w:tcW w:w="2126" w:type="dxa"/>
            <w:tcBorders>
              <w:top w:val="nil"/>
              <w:left w:val="nil"/>
              <w:bottom w:val="nil"/>
              <w:right w:val="nil"/>
            </w:tcBorders>
            <w:tcMar>
              <w:top w:w="128" w:type="dxa"/>
              <w:left w:w="43" w:type="dxa"/>
              <w:bottom w:w="43" w:type="dxa"/>
              <w:right w:w="43" w:type="dxa"/>
            </w:tcMar>
            <w:vAlign w:val="bottom"/>
          </w:tcPr>
          <w:p w14:paraId="56BFB174" w14:textId="77777777" w:rsidR="00D60186" w:rsidRPr="00815696" w:rsidRDefault="00D60186" w:rsidP="00815696">
            <w:pPr>
              <w:jc w:val="right"/>
              <w:rPr>
                <w:sz w:val="21"/>
                <w:szCs w:val="21"/>
              </w:rPr>
            </w:pPr>
            <w:r w:rsidRPr="00815696">
              <w:rPr>
                <w:sz w:val="21"/>
                <w:szCs w:val="21"/>
              </w:rPr>
              <w:t>18</w:t>
            </w:r>
          </w:p>
        </w:tc>
      </w:tr>
      <w:tr w:rsidR="00E76DC8" w:rsidRPr="00225D4D" w14:paraId="416F2489"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25243F94" w14:textId="77777777" w:rsidR="00D60186" w:rsidRPr="00815696" w:rsidRDefault="00D60186" w:rsidP="00225D4D">
            <w:pPr>
              <w:rPr>
                <w:sz w:val="21"/>
                <w:szCs w:val="21"/>
              </w:rPr>
            </w:pPr>
            <w:r w:rsidRPr="00815696">
              <w:rPr>
                <w:sz w:val="21"/>
                <w:szCs w:val="21"/>
              </w:rPr>
              <w:t>2020–2021</w:t>
            </w:r>
          </w:p>
        </w:tc>
        <w:tc>
          <w:tcPr>
            <w:tcW w:w="1134" w:type="dxa"/>
            <w:tcBorders>
              <w:top w:val="nil"/>
              <w:left w:val="nil"/>
              <w:bottom w:val="nil"/>
              <w:right w:val="nil"/>
            </w:tcBorders>
            <w:tcMar>
              <w:top w:w="128" w:type="dxa"/>
              <w:left w:w="43" w:type="dxa"/>
              <w:bottom w:w="43" w:type="dxa"/>
              <w:right w:w="43" w:type="dxa"/>
            </w:tcMar>
            <w:vAlign w:val="bottom"/>
          </w:tcPr>
          <w:p w14:paraId="7AA7DD44" w14:textId="77777777" w:rsidR="00D60186" w:rsidRPr="00815696" w:rsidRDefault="00D60186" w:rsidP="00815696">
            <w:pPr>
              <w:jc w:val="right"/>
              <w:rPr>
                <w:sz w:val="21"/>
                <w:szCs w:val="21"/>
              </w:rPr>
            </w:pPr>
            <w:r w:rsidRPr="00815696">
              <w:rPr>
                <w:sz w:val="21"/>
                <w:szCs w:val="21"/>
              </w:rPr>
              <w:t>568</w:t>
            </w:r>
          </w:p>
        </w:tc>
        <w:tc>
          <w:tcPr>
            <w:tcW w:w="1276" w:type="dxa"/>
            <w:tcBorders>
              <w:top w:val="nil"/>
              <w:left w:val="nil"/>
              <w:bottom w:val="nil"/>
              <w:right w:val="nil"/>
            </w:tcBorders>
            <w:tcMar>
              <w:top w:w="128" w:type="dxa"/>
              <w:left w:w="43" w:type="dxa"/>
              <w:bottom w:w="43" w:type="dxa"/>
              <w:right w:w="43" w:type="dxa"/>
            </w:tcMar>
            <w:vAlign w:val="bottom"/>
          </w:tcPr>
          <w:p w14:paraId="14E06501" w14:textId="77777777" w:rsidR="00D60186" w:rsidRPr="00815696" w:rsidRDefault="00D60186" w:rsidP="00815696">
            <w:pPr>
              <w:jc w:val="right"/>
              <w:rPr>
                <w:sz w:val="21"/>
                <w:szCs w:val="21"/>
              </w:rPr>
            </w:pPr>
            <w:r w:rsidRPr="00815696">
              <w:rPr>
                <w:sz w:val="21"/>
                <w:szCs w:val="21"/>
              </w:rPr>
              <w:t>568</w:t>
            </w:r>
          </w:p>
        </w:tc>
        <w:tc>
          <w:tcPr>
            <w:tcW w:w="2126" w:type="dxa"/>
            <w:tcBorders>
              <w:top w:val="nil"/>
              <w:left w:val="nil"/>
              <w:bottom w:val="nil"/>
              <w:right w:val="nil"/>
            </w:tcBorders>
            <w:tcMar>
              <w:top w:w="128" w:type="dxa"/>
              <w:left w:w="43" w:type="dxa"/>
              <w:bottom w:w="43" w:type="dxa"/>
              <w:right w:w="43" w:type="dxa"/>
            </w:tcMar>
            <w:vAlign w:val="bottom"/>
          </w:tcPr>
          <w:p w14:paraId="7F8F8F08" w14:textId="77777777" w:rsidR="00D60186" w:rsidRPr="00815696" w:rsidRDefault="00D60186" w:rsidP="00815696">
            <w:pPr>
              <w:jc w:val="right"/>
              <w:rPr>
                <w:sz w:val="21"/>
                <w:szCs w:val="21"/>
              </w:rPr>
            </w:pPr>
            <w:r w:rsidRPr="00815696">
              <w:rPr>
                <w:sz w:val="21"/>
                <w:szCs w:val="21"/>
              </w:rPr>
              <w:t>22</w:t>
            </w:r>
          </w:p>
        </w:tc>
      </w:tr>
      <w:tr w:rsidR="00E76DC8" w:rsidRPr="00225D4D" w14:paraId="3124FEA1"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5FD974B5" w14:textId="77777777" w:rsidR="00D60186" w:rsidRPr="00815696" w:rsidRDefault="00D60186" w:rsidP="00225D4D">
            <w:pPr>
              <w:rPr>
                <w:sz w:val="21"/>
                <w:szCs w:val="21"/>
              </w:rPr>
            </w:pPr>
            <w:r w:rsidRPr="00815696">
              <w:rPr>
                <w:sz w:val="21"/>
                <w:szCs w:val="21"/>
              </w:rPr>
              <w:t>2019–2020</w:t>
            </w:r>
          </w:p>
        </w:tc>
        <w:tc>
          <w:tcPr>
            <w:tcW w:w="1134" w:type="dxa"/>
            <w:tcBorders>
              <w:top w:val="nil"/>
              <w:left w:val="nil"/>
              <w:bottom w:val="nil"/>
              <w:right w:val="nil"/>
            </w:tcBorders>
            <w:tcMar>
              <w:top w:w="128" w:type="dxa"/>
              <w:left w:w="43" w:type="dxa"/>
              <w:bottom w:w="43" w:type="dxa"/>
              <w:right w:w="43" w:type="dxa"/>
            </w:tcMar>
            <w:vAlign w:val="bottom"/>
          </w:tcPr>
          <w:p w14:paraId="345F34E6" w14:textId="77777777" w:rsidR="00D60186" w:rsidRPr="00815696" w:rsidRDefault="00D60186" w:rsidP="00815696">
            <w:pPr>
              <w:jc w:val="right"/>
              <w:rPr>
                <w:sz w:val="21"/>
                <w:szCs w:val="21"/>
              </w:rPr>
            </w:pPr>
            <w:r w:rsidRPr="00815696">
              <w:rPr>
                <w:sz w:val="21"/>
                <w:szCs w:val="21"/>
              </w:rPr>
              <w:t>231</w:t>
            </w:r>
          </w:p>
        </w:tc>
        <w:tc>
          <w:tcPr>
            <w:tcW w:w="1276" w:type="dxa"/>
            <w:tcBorders>
              <w:top w:val="nil"/>
              <w:left w:val="nil"/>
              <w:bottom w:val="nil"/>
              <w:right w:val="nil"/>
            </w:tcBorders>
            <w:tcMar>
              <w:top w:w="128" w:type="dxa"/>
              <w:left w:w="43" w:type="dxa"/>
              <w:bottom w:w="43" w:type="dxa"/>
              <w:right w:w="43" w:type="dxa"/>
            </w:tcMar>
            <w:vAlign w:val="bottom"/>
          </w:tcPr>
          <w:p w14:paraId="437D19AC" w14:textId="77777777" w:rsidR="00D60186" w:rsidRPr="00815696" w:rsidRDefault="00D60186" w:rsidP="00815696">
            <w:pPr>
              <w:jc w:val="right"/>
              <w:rPr>
                <w:sz w:val="21"/>
                <w:szCs w:val="21"/>
              </w:rPr>
            </w:pPr>
            <w:r w:rsidRPr="00815696">
              <w:rPr>
                <w:sz w:val="21"/>
                <w:szCs w:val="21"/>
              </w:rPr>
              <w:t>231</w:t>
            </w:r>
          </w:p>
        </w:tc>
        <w:tc>
          <w:tcPr>
            <w:tcW w:w="2126" w:type="dxa"/>
            <w:tcBorders>
              <w:top w:val="nil"/>
              <w:left w:val="nil"/>
              <w:bottom w:val="nil"/>
              <w:right w:val="nil"/>
            </w:tcBorders>
            <w:tcMar>
              <w:top w:w="128" w:type="dxa"/>
              <w:left w:w="43" w:type="dxa"/>
              <w:bottom w:w="43" w:type="dxa"/>
              <w:right w:w="43" w:type="dxa"/>
            </w:tcMar>
            <w:vAlign w:val="bottom"/>
          </w:tcPr>
          <w:p w14:paraId="314EA537" w14:textId="77777777" w:rsidR="00D60186" w:rsidRPr="00815696" w:rsidRDefault="00D60186" w:rsidP="00815696">
            <w:pPr>
              <w:jc w:val="right"/>
              <w:rPr>
                <w:sz w:val="21"/>
                <w:szCs w:val="21"/>
              </w:rPr>
            </w:pPr>
            <w:r w:rsidRPr="00815696">
              <w:rPr>
                <w:sz w:val="21"/>
                <w:szCs w:val="21"/>
              </w:rPr>
              <w:t>3</w:t>
            </w:r>
          </w:p>
        </w:tc>
      </w:tr>
      <w:tr w:rsidR="00E76DC8" w:rsidRPr="00225D4D" w14:paraId="57CE3608"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7349438C" w14:textId="77777777" w:rsidR="00D60186" w:rsidRPr="00815696" w:rsidRDefault="00D60186" w:rsidP="00225D4D">
            <w:pPr>
              <w:rPr>
                <w:sz w:val="21"/>
                <w:szCs w:val="21"/>
              </w:rPr>
            </w:pPr>
            <w:r w:rsidRPr="00815696">
              <w:rPr>
                <w:sz w:val="21"/>
                <w:szCs w:val="21"/>
              </w:rPr>
              <w:t>2018–2019</w:t>
            </w:r>
          </w:p>
        </w:tc>
        <w:tc>
          <w:tcPr>
            <w:tcW w:w="1134" w:type="dxa"/>
            <w:tcBorders>
              <w:top w:val="nil"/>
              <w:left w:val="nil"/>
              <w:bottom w:val="nil"/>
              <w:right w:val="nil"/>
            </w:tcBorders>
            <w:tcMar>
              <w:top w:w="128" w:type="dxa"/>
              <w:left w:w="43" w:type="dxa"/>
              <w:bottom w:w="43" w:type="dxa"/>
              <w:right w:w="43" w:type="dxa"/>
            </w:tcMar>
            <w:vAlign w:val="bottom"/>
          </w:tcPr>
          <w:p w14:paraId="5CB142A0" w14:textId="77777777" w:rsidR="00D60186" w:rsidRPr="00815696" w:rsidRDefault="00D60186" w:rsidP="00815696">
            <w:pPr>
              <w:jc w:val="right"/>
              <w:rPr>
                <w:sz w:val="21"/>
                <w:szCs w:val="21"/>
              </w:rPr>
            </w:pPr>
            <w:r w:rsidRPr="00815696">
              <w:rPr>
                <w:sz w:val="21"/>
                <w:szCs w:val="21"/>
              </w:rPr>
              <w:t>91</w:t>
            </w:r>
          </w:p>
        </w:tc>
        <w:tc>
          <w:tcPr>
            <w:tcW w:w="1276" w:type="dxa"/>
            <w:tcBorders>
              <w:top w:val="nil"/>
              <w:left w:val="nil"/>
              <w:bottom w:val="nil"/>
              <w:right w:val="nil"/>
            </w:tcBorders>
            <w:tcMar>
              <w:top w:w="128" w:type="dxa"/>
              <w:left w:w="43" w:type="dxa"/>
              <w:bottom w:w="43" w:type="dxa"/>
              <w:right w:w="43" w:type="dxa"/>
            </w:tcMar>
            <w:vAlign w:val="bottom"/>
          </w:tcPr>
          <w:p w14:paraId="1755DC34" w14:textId="77777777" w:rsidR="00D60186" w:rsidRPr="00815696" w:rsidRDefault="00D60186" w:rsidP="00815696">
            <w:pPr>
              <w:jc w:val="right"/>
              <w:rPr>
                <w:sz w:val="21"/>
                <w:szCs w:val="21"/>
              </w:rPr>
            </w:pPr>
            <w:r w:rsidRPr="00815696">
              <w:rPr>
                <w:sz w:val="21"/>
                <w:szCs w:val="21"/>
              </w:rPr>
              <w:t>91</w:t>
            </w:r>
          </w:p>
        </w:tc>
        <w:tc>
          <w:tcPr>
            <w:tcW w:w="2126" w:type="dxa"/>
            <w:tcBorders>
              <w:top w:val="nil"/>
              <w:left w:val="nil"/>
              <w:bottom w:val="nil"/>
              <w:right w:val="nil"/>
            </w:tcBorders>
            <w:tcMar>
              <w:top w:w="128" w:type="dxa"/>
              <w:left w:w="43" w:type="dxa"/>
              <w:bottom w:w="43" w:type="dxa"/>
              <w:right w:w="43" w:type="dxa"/>
            </w:tcMar>
            <w:vAlign w:val="bottom"/>
          </w:tcPr>
          <w:p w14:paraId="53ED75D4" w14:textId="77777777" w:rsidR="00D60186" w:rsidRPr="00815696" w:rsidRDefault="00D60186" w:rsidP="00815696">
            <w:pPr>
              <w:jc w:val="right"/>
              <w:rPr>
                <w:sz w:val="21"/>
                <w:szCs w:val="21"/>
              </w:rPr>
            </w:pPr>
            <w:r w:rsidRPr="00815696">
              <w:rPr>
                <w:sz w:val="21"/>
                <w:szCs w:val="21"/>
              </w:rPr>
              <w:t>5</w:t>
            </w:r>
          </w:p>
        </w:tc>
      </w:tr>
      <w:tr w:rsidR="00E76DC8" w:rsidRPr="00225D4D" w14:paraId="7EABAEAB"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1CFBBFF4" w14:textId="77777777" w:rsidR="00D60186" w:rsidRPr="00815696" w:rsidRDefault="00D60186" w:rsidP="00225D4D">
            <w:pPr>
              <w:rPr>
                <w:sz w:val="21"/>
                <w:szCs w:val="21"/>
              </w:rPr>
            </w:pPr>
            <w:r w:rsidRPr="00815696">
              <w:rPr>
                <w:sz w:val="21"/>
                <w:szCs w:val="21"/>
              </w:rPr>
              <w:t>2017–2018</w:t>
            </w:r>
          </w:p>
        </w:tc>
        <w:tc>
          <w:tcPr>
            <w:tcW w:w="1134" w:type="dxa"/>
            <w:tcBorders>
              <w:top w:val="nil"/>
              <w:left w:val="nil"/>
              <w:bottom w:val="nil"/>
              <w:right w:val="nil"/>
            </w:tcBorders>
            <w:tcMar>
              <w:top w:w="128" w:type="dxa"/>
              <w:left w:w="43" w:type="dxa"/>
              <w:bottom w:w="43" w:type="dxa"/>
              <w:right w:w="43" w:type="dxa"/>
            </w:tcMar>
            <w:vAlign w:val="bottom"/>
          </w:tcPr>
          <w:p w14:paraId="00FFAE77" w14:textId="77777777" w:rsidR="00D60186" w:rsidRPr="00815696" w:rsidRDefault="00D60186" w:rsidP="00815696">
            <w:pPr>
              <w:jc w:val="right"/>
              <w:rPr>
                <w:sz w:val="21"/>
                <w:szCs w:val="21"/>
              </w:rPr>
            </w:pPr>
            <w:r w:rsidRPr="00815696">
              <w:rPr>
                <w:sz w:val="21"/>
                <w:szCs w:val="21"/>
              </w:rPr>
              <w:t>429</w:t>
            </w:r>
          </w:p>
        </w:tc>
        <w:tc>
          <w:tcPr>
            <w:tcW w:w="1276" w:type="dxa"/>
            <w:tcBorders>
              <w:top w:val="nil"/>
              <w:left w:val="nil"/>
              <w:bottom w:val="nil"/>
              <w:right w:val="nil"/>
            </w:tcBorders>
            <w:tcMar>
              <w:top w:w="128" w:type="dxa"/>
              <w:left w:w="43" w:type="dxa"/>
              <w:bottom w:w="43" w:type="dxa"/>
              <w:right w:w="43" w:type="dxa"/>
            </w:tcMar>
            <w:vAlign w:val="bottom"/>
          </w:tcPr>
          <w:p w14:paraId="6BD4AEE5" w14:textId="77777777" w:rsidR="00D60186" w:rsidRPr="00815696" w:rsidRDefault="00D60186" w:rsidP="00815696">
            <w:pPr>
              <w:jc w:val="right"/>
              <w:rPr>
                <w:sz w:val="21"/>
                <w:szCs w:val="21"/>
              </w:rPr>
            </w:pPr>
            <w:r w:rsidRPr="00815696">
              <w:rPr>
                <w:sz w:val="21"/>
                <w:szCs w:val="21"/>
              </w:rPr>
              <w:t>429</w:t>
            </w:r>
          </w:p>
        </w:tc>
        <w:tc>
          <w:tcPr>
            <w:tcW w:w="2126" w:type="dxa"/>
            <w:tcBorders>
              <w:top w:val="nil"/>
              <w:left w:val="nil"/>
              <w:bottom w:val="nil"/>
              <w:right w:val="nil"/>
            </w:tcBorders>
            <w:tcMar>
              <w:top w:w="128" w:type="dxa"/>
              <w:left w:w="43" w:type="dxa"/>
              <w:bottom w:w="43" w:type="dxa"/>
              <w:right w:w="43" w:type="dxa"/>
            </w:tcMar>
            <w:vAlign w:val="bottom"/>
          </w:tcPr>
          <w:p w14:paraId="594672B7" w14:textId="77777777" w:rsidR="00D60186" w:rsidRPr="00815696" w:rsidRDefault="00D60186" w:rsidP="00815696">
            <w:pPr>
              <w:jc w:val="right"/>
              <w:rPr>
                <w:sz w:val="21"/>
                <w:szCs w:val="21"/>
              </w:rPr>
            </w:pPr>
            <w:r w:rsidRPr="00815696">
              <w:rPr>
                <w:sz w:val="21"/>
                <w:szCs w:val="21"/>
              </w:rPr>
              <w:t>5</w:t>
            </w:r>
          </w:p>
        </w:tc>
      </w:tr>
      <w:tr w:rsidR="00E76DC8" w:rsidRPr="00225D4D" w14:paraId="28BCA8FB"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1B58CE4F" w14:textId="77777777" w:rsidR="00D60186" w:rsidRPr="00815696" w:rsidRDefault="00D60186" w:rsidP="00225D4D">
            <w:pPr>
              <w:rPr>
                <w:sz w:val="21"/>
                <w:szCs w:val="21"/>
              </w:rPr>
            </w:pPr>
            <w:r w:rsidRPr="00815696">
              <w:rPr>
                <w:sz w:val="21"/>
                <w:szCs w:val="21"/>
              </w:rPr>
              <w:t xml:space="preserve">2016–2017 </w:t>
            </w:r>
          </w:p>
        </w:tc>
        <w:tc>
          <w:tcPr>
            <w:tcW w:w="1134" w:type="dxa"/>
            <w:tcBorders>
              <w:top w:val="nil"/>
              <w:left w:val="nil"/>
              <w:bottom w:val="nil"/>
              <w:right w:val="nil"/>
            </w:tcBorders>
            <w:tcMar>
              <w:top w:w="128" w:type="dxa"/>
              <w:left w:w="43" w:type="dxa"/>
              <w:bottom w:w="43" w:type="dxa"/>
              <w:right w:w="43" w:type="dxa"/>
            </w:tcMar>
            <w:vAlign w:val="bottom"/>
          </w:tcPr>
          <w:p w14:paraId="38EF6DAA" w14:textId="77777777" w:rsidR="00D60186" w:rsidRPr="00815696" w:rsidRDefault="00D60186" w:rsidP="00815696">
            <w:pPr>
              <w:jc w:val="right"/>
              <w:rPr>
                <w:sz w:val="21"/>
                <w:szCs w:val="21"/>
              </w:rPr>
            </w:pPr>
            <w:r w:rsidRPr="00815696">
              <w:rPr>
                <w:sz w:val="21"/>
                <w:szCs w:val="21"/>
              </w:rPr>
              <w:t>386</w:t>
            </w:r>
          </w:p>
        </w:tc>
        <w:tc>
          <w:tcPr>
            <w:tcW w:w="1276" w:type="dxa"/>
            <w:tcBorders>
              <w:top w:val="nil"/>
              <w:left w:val="nil"/>
              <w:bottom w:val="nil"/>
              <w:right w:val="nil"/>
            </w:tcBorders>
            <w:tcMar>
              <w:top w:w="128" w:type="dxa"/>
              <w:left w:w="43" w:type="dxa"/>
              <w:bottom w:w="43" w:type="dxa"/>
              <w:right w:w="43" w:type="dxa"/>
            </w:tcMar>
            <w:vAlign w:val="bottom"/>
          </w:tcPr>
          <w:p w14:paraId="544ED8BD" w14:textId="77777777" w:rsidR="00D60186" w:rsidRPr="00815696" w:rsidRDefault="00D60186" w:rsidP="00815696">
            <w:pPr>
              <w:jc w:val="right"/>
              <w:rPr>
                <w:sz w:val="21"/>
                <w:szCs w:val="21"/>
              </w:rPr>
            </w:pPr>
            <w:r w:rsidRPr="00815696">
              <w:rPr>
                <w:sz w:val="21"/>
                <w:szCs w:val="21"/>
              </w:rPr>
              <w:t>459</w:t>
            </w:r>
          </w:p>
        </w:tc>
        <w:tc>
          <w:tcPr>
            <w:tcW w:w="2126" w:type="dxa"/>
            <w:tcBorders>
              <w:top w:val="nil"/>
              <w:left w:val="nil"/>
              <w:bottom w:val="nil"/>
              <w:right w:val="nil"/>
            </w:tcBorders>
            <w:tcMar>
              <w:top w:w="128" w:type="dxa"/>
              <w:left w:w="43" w:type="dxa"/>
              <w:bottom w:w="43" w:type="dxa"/>
              <w:right w:w="43" w:type="dxa"/>
            </w:tcMar>
            <w:vAlign w:val="bottom"/>
          </w:tcPr>
          <w:p w14:paraId="6FDDBD86" w14:textId="77777777" w:rsidR="00D60186" w:rsidRPr="00815696" w:rsidRDefault="00D60186" w:rsidP="00815696">
            <w:pPr>
              <w:jc w:val="right"/>
              <w:rPr>
                <w:sz w:val="21"/>
                <w:szCs w:val="21"/>
              </w:rPr>
            </w:pPr>
            <w:r w:rsidRPr="00815696">
              <w:rPr>
                <w:sz w:val="21"/>
                <w:szCs w:val="21"/>
              </w:rPr>
              <w:t>4</w:t>
            </w:r>
          </w:p>
        </w:tc>
      </w:tr>
      <w:tr w:rsidR="00E76DC8" w:rsidRPr="00225D4D" w14:paraId="39B2CC56" w14:textId="77777777" w:rsidTr="00274E77">
        <w:trPr>
          <w:trHeight w:val="380"/>
        </w:trPr>
        <w:tc>
          <w:tcPr>
            <w:tcW w:w="1843" w:type="dxa"/>
            <w:tcBorders>
              <w:top w:val="nil"/>
              <w:left w:val="nil"/>
              <w:bottom w:val="nil"/>
              <w:right w:val="nil"/>
            </w:tcBorders>
            <w:tcMar>
              <w:top w:w="128" w:type="dxa"/>
              <w:left w:w="43" w:type="dxa"/>
              <w:bottom w:w="43" w:type="dxa"/>
              <w:right w:w="43" w:type="dxa"/>
            </w:tcMar>
          </w:tcPr>
          <w:p w14:paraId="68AB5CDA" w14:textId="77777777" w:rsidR="00D60186" w:rsidRPr="00815696" w:rsidRDefault="00D60186" w:rsidP="00225D4D">
            <w:pPr>
              <w:rPr>
                <w:sz w:val="21"/>
                <w:szCs w:val="21"/>
              </w:rPr>
            </w:pPr>
            <w:r w:rsidRPr="00815696">
              <w:rPr>
                <w:sz w:val="21"/>
                <w:szCs w:val="21"/>
              </w:rPr>
              <w:t>2015–2016</w:t>
            </w:r>
          </w:p>
        </w:tc>
        <w:tc>
          <w:tcPr>
            <w:tcW w:w="1134" w:type="dxa"/>
            <w:tcBorders>
              <w:top w:val="nil"/>
              <w:left w:val="nil"/>
              <w:bottom w:val="nil"/>
              <w:right w:val="nil"/>
            </w:tcBorders>
            <w:tcMar>
              <w:top w:w="128" w:type="dxa"/>
              <w:left w:w="43" w:type="dxa"/>
              <w:bottom w:w="43" w:type="dxa"/>
              <w:right w:w="43" w:type="dxa"/>
            </w:tcMar>
            <w:vAlign w:val="bottom"/>
          </w:tcPr>
          <w:p w14:paraId="111615D4" w14:textId="77777777" w:rsidR="00D60186" w:rsidRPr="00815696" w:rsidRDefault="00D60186" w:rsidP="00815696">
            <w:pPr>
              <w:jc w:val="right"/>
              <w:rPr>
                <w:sz w:val="21"/>
                <w:szCs w:val="21"/>
              </w:rPr>
            </w:pPr>
            <w:r w:rsidRPr="00815696">
              <w:rPr>
                <w:sz w:val="21"/>
                <w:szCs w:val="21"/>
              </w:rPr>
              <w:t>393</w:t>
            </w:r>
          </w:p>
        </w:tc>
        <w:tc>
          <w:tcPr>
            <w:tcW w:w="1276" w:type="dxa"/>
            <w:tcBorders>
              <w:top w:val="nil"/>
              <w:left w:val="nil"/>
              <w:bottom w:val="nil"/>
              <w:right w:val="nil"/>
            </w:tcBorders>
            <w:tcMar>
              <w:top w:w="128" w:type="dxa"/>
              <w:left w:w="43" w:type="dxa"/>
              <w:bottom w:w="43" w:type="dxa"/>
              <w:right w:w="43" w:type="dxa"/>
            </w:tcMar>
            <w:vAlign w:val="bottom"/>
          </w:tcPr>
          <w:p w14:paraId="17501872" w14:textId="77777777" w:rsidR="00D60186" w:rsidRPr="00815696" w:rsidRDefault="00D60186" w:rsidP="00815696">
            <w:pPr>
              <w:jc w:val="right"/>
              <w:rPr>
                <w:sz w:val="21"/>
                <w:szCs w:val="21"/>
              </w:rPr>
            </w:pPr>
            <w:r w:rsidRPr="00815696">
              <w:rPr>
                <w:sz w:val="21"/>
                <w:szCs w:val="21"/>
              </w:rPr>
              <w:t>477</w:t>
            </w:r>
          </w:p>
        </w:tc>
        <w:tc>
          <w:tcPr>
            <w:tcW w:w="2126" w:type="dxa"/>
            <w:tcBorders>
              <w:top w:val="nil"/>
              <w:left w:val="nil"/>
              <w:bottom w:val="nil"/>
              <w:right w:val="nil"/>
            </w:tcBorders>
            <w:tcMar>
              <w:top w:w="128" w:type="dxa"/>
              <w:left w:w="43" w:type="dxa"/>
              <w:bottom w:w="43" w:type="dxa"/>
              <w:right w:w="43" w:type="dxa"/>
            </w:tcMar>
            <w:vAlign w:val="bottom"/>
          </w:tcPr>
          <w:p w14:paraId="76C68A41" w14:textId="77777777" w:rsidR="00D60186" w:rsidRPr="00815696" w:rsidRDefault="00D60186" w:rsidP="00815696">
            <w:pPr>
              <w:jc w:val="right"/>
              <w:rPr>
                <w:sz w:val="21"/>
                <w:szCs w:val="21"/>
              </w:rPr>
            </w:pPr>
            <w:r w:rsidRPr="00815696">
              <w:rPr>
                <w:sz w:val="21"/>
                <w:szCs w:val="21"/>
              </w:rPr>
              <w:t>0</w:t>
            </w:r>
          </w:p>
        </w:tc>
      </w:tr>
      <w:tr w:rsidR="00E76DC8" w:rsidRPr="00225D4D" w14:paraId="54258930" w14:textId="77777777" w:rsidTr="00274E77">
        <w:trPr>
          <w:trHeight w:val="380"/>
        </w:trPr>
        <w:tc>
          <w:tcPr>
            <w:tcW w:w="1843" w:type="dxa"/>
            <w:tcBorders>
              <w:top w:val="nil"/>
              <w:left w:val="nil"/>
              <w:bottom w:val="single" w:sz="4" w:space="0" w:color="000000"/>
              <w:right w:val="nil"/>
            </w:tcBorders>
            <w:tcMar>
              <w:top w:w="128" w:type="dxa"/>
              <w:left w:w="43" w:type="dxa"/>
              <w:bottom w:w="43" w:type="dxa"/>
              <w:right w:w="43" w:type="dxa"/>
            </w:tcMar>
          </w:tcPr>
          <w:p w14:paraId="1B55C84D" w14:textId="77777777" w:rsidR="00D60186" w:rsidRPr="00815696" w:rsidRDefault="00D60186" w:rsidP="00225D4D">
            <w:pPr>
              <w:rPr>
                <w:sz w:val="21"/>
                <w:szCs w:val="21"/>
              </w:rPr>
            </w:pPr>
            <w:r w:rsidRPr="00815696">
              <w:rPr>
                <w:sz w:val="21"/>
                <w:szCs w:val="21"/>
              </w:rPr>
              <w:t>2014–2015</w:t>
            </w:r>
          </w:p>
        </w:tc>
        <w:tc>
          <w:tcPr>
            <w:tcW w:w="1134" w:type="dxa"/>
            <w:tcBorders>
              <w:top w:val="nil"/>
              <w:left w:val="nil"/>
              <w:bottom w:val="single" w:sz="4" w:space="0" w:color="000000"/>
              <w:right w:val="nil"/>
            </w:tcBorders>
            <w:tcMar>
              <w:top w:w="128" w:type="dxa"/>
              <w:left w:w="43" w:type="dxa"/>
              <w:bottom w:w="43" w:type="dxa"/>
              <w:right w:w="43" w:type="dxa"/>
            </w:tcMar>
            <w:vAlign w:val="bottom"/>
          </w:tcPr>
          <w:p w14:paraId="44F1E945" w14:textId="77777777" w:rsidR="00D60186" w:rsidRPr="00815696" w:rsidRDefault="00D60186" w:rsidP="00815696">
            <w:pPr>
              <w:jc w:val="right"/>
              <w:rPr>
                <w:sz w:val="21"/>
                <w:szCs w:val="21"/>
              </w:rPr>
            </w:pPr>
            <w:r w:rsidRPr="00815696">
              <w:rPr>
                <w:sz w:val="21"/>
                <w:szCs w:val="21"/>
              </w:rPr>
              <w:t>192</w:t>
            </w:r>
          </w:p>
        </w:tc>
        <w:tc>
          <w:tcPr>
            <w:tcW w:w="1276" w:type="dxa"/>
            <w:tcBorders>
              <w:top w:val="nil"/>
              <w:left w:val="nil"/>
              <w:bottom w:val="single" w:sz="4" w:space="0" w:color="000000"/>
              <w:right w:val="nil"/>
            </w:tcBorders>
            <w:tcMar>
              <w:top w:w="128" w:type="dxa"/>
              <w:left w:w="43" w:type="dxa"/>
              <w:bottom w:w="43" w:type="dxa"/>
              <w:right w:w="43" w:type="dxa"/>
            </w:tcMar>
            <w:vAlign w:val="bottom"/>
          </w:tcPr>
          <w:p w14:paraId="0F8ED7DB" w14:textId="77777777" w:rsidR="00D60186" w:rsidRPr="00815696" w:rsidRDefault="00D60186" w:rsidP="00815696">
            <w:pPr>
              <w:jc w:val="right"/>
              <w:rPr>
                <w:sz w:val="21"/>
                <w:szCs w:val="21"/>
              </w:rPr>
            </w:pPr>
            <w:r w:rsidRPr="00815696">
              <w:rPr>
                <w:sz w:val="21"/>
                <w:szCs w:val="21"/>
              </w:rPr>
              <w:t>195</w:t>
            </w:r>
          </w:p>
        </w:tc>
        <w:tc>
          <w:tcPr>
            <w:tcW w:w="2126" w:type="dxa"/>
            <w:tcBorders>
              <w:top w:val="nil"/>
              <w:left w:val="nil"/>
              <w:bottom w:val="single" w:sz="4" w:space="0" w:color="000000"/>
              <w:right w:val="nil"/>
            </w:tcBorders>
            <w:tcMar>
              <w:top w:w="128" w:type="dxa"/>
              <w:left w:w="43" w:type="dxa"/>
              <w:bottom w:w="43" w:type="dxa"/>
              <w:right w:w="43" w:type="dxa"/>
            </w:tcMar>
            <w:vAlign w:val="bottom"/>
          </w:tcPr>
          <w:p w14:paraId="75FBB396" w14:textId="77777777" w:rsidR="00D60186" w:rsidRPr="00815696" w:rsidRDefault="00D60186" w:rsidP="00815696">
            <w:pPr>
              <w:jc w:val="right"/>
              <w:rPr>
                <w:sz w:val="21"/>
                <w:szCs w:val="21"/>
              </w:rPr>
            </w:pPr>
            <w:r w:rsidRPr="00815696">
              <w:rPr>
                <w:sz w:val="21"/>
                <w:szCs w:val="21"/>
              </w:rPr>
              <w:t>0</w:t>
            </w:r>
          </w:p>
        </w:tc>
      </w:tr>
    </w:tbl>
    <w:p w14:paraId="695A0891" w14:textId="77777777" w:rsidR="00D60186" w:rsidRPr="00225D4D" w:rsidRDefault="00D60186" w:rsidP="00225D4D">
      <w:pPr>
        <w:pStyle w:val="tabell-noter"/>
      </w:pPr>
      <w:r w:rsidRPr="00225D4D">
        <w:rPr>
          <w:rStyle w:val="skrift-hevet"/>
        </w:rPr>
        <w:t>1</w:t>
      </w:r>
      <w:r w:rsidRPr="00225D4D">
        <w:rPr>
          <w:rStyle w:val="skrift-hevet"/>
        </w:rPr>
        <w:tab/>
      </w:r>
      <w:r w:rsidRPr="00225D4D">
        <w:t>Stortingets anmodningsvedtak består på noen områder av flere underpunkter.</w:t>
      </w:r>
    </w:p>
    <w:p w14:paraId="3E07923F" w14:textId="77777777" w:rsidR="00D60186" w:rsidRPr="00225D4D" w:rsidRDefault="00D60186" w:rsidP="00225D4D">
      <w:r w:rsidRPr="00225D4D">
        <w:lastRenderedPageBreak/>
        <w:t>Antallet anmodningsvedtak har variert noe mellom stortingssesjonene, og har jevnt over vært på et forholdsvis høyt nivå. Antall nye anmodningsvedtak i forrige stortingssesjon var vesentlig høyere enn de tre foregående sesjonene.</w:t>
      </w:r>
    </w:p>
    <w:p w14:paraId="4382401F" w14:textId="77777777" w:rsidR="00D60186" w:rsidRPr="00225D4D" w:rsidRDefault="00D60186" w:rsidP="00225D4D">
      <w:r w:rsidRPr="00225D4D">
        <w:t xml:space="preserve">I tilbakemeldingene i </w:t>
      </w:r>
      <w:proofErr w:type="spellStart"/>
      <w:r w:rsidRPr="00225D4D">
        <w:t>Prop</w:t>
      </w:r>
      <w:proofErr w:type="spellEnd"/>
      <w:r w:rsidRPr="00225D4D">
        <w:t>. 1 S (2025–2026) anser departementene at det samlet sett er utestående 424 vedtak der rapporteringen ikke kan avsluttes, se siste kolonne i tabell 1.1. Det utgjør 12 pst. av alle anmodningsvedtakene fra og med sesjonen 2014–2015.</w:t>
      </w:r>
    </w:p>
    <w:p w14:paraId="76E2B8CE" w14:textId="77777777" w:rsidR="00D60186" w:rsidRPr="00225D4D" w:rsidRDefault="00D60186" w:rsidP="00225D4D">
      <w:r w:rsidRPr="00225D4D">
        <w:t>Flere departementer legger opp til å avslutte rapporteringen på enkelte vedtak der vedtaket gir føringer for politikkutforming på et konkret område, og der departementet har beskrevet hvordan dette skal følges opp fremover. Orientering til Stortinget om det videre arbeidet i disse sakene vil skje i den ordinære omtalen i de årlige budsjettfremleggene og i andre dokumenter til Stortinget.</w:t>
      </w:r>
    </w:p>
    <w:p w14:paraId="72D8A4FA" w14:textId="77777777" w:rsidR="00D60186" w:rsidRPr="00225D4D" w:rsidRDefault="00D60186" w:rsidP="00225D4D">
      <w:pPr>
        <w:pStyle w:val="Overskrift2"/>
      </w:pPr>
      <w:r w:rsidRPr="00225D4D">
        <w:t>Årets melding til Stortinget</w:t>
      </w:r>
    </w:p>
    <w:p w14:paraId="7C3E0B9E" w14:textId="77777777" w:rsidR="00D60186" w:rsidRPr="00225D4D" w:rsidRDefault="00D60186" w:rsidP="00225D4D">
      <w:r w:rsidRPr="00225D4D">
        <w:t xml:space="preserve">I kapittel 2 til 17, sortert per departement, følger omtale av regjeringens oppfølging av alle vedtak fra stortingssesjon 2024–2025, i tillegg til alle anmodninger fra tidligere sesjoner hvor rapporteringen ikke er avsluttet i forbindelse med behandlingen av </w:t>
      </w:r>
      <w:proofErr w:type="spellStart"/>
      <w:r w:rsidRPr="00225D4D">
        <w:t>Innst</w:t>
      </w:r>
      <w:proofErr w:type="spellEnd"/>
      <w:r w:rsidRPr="00225D4D">
        <w:t>. 216 S (2024–2025).</w:t>
      </w:r>
    </w:p>
    <w:p w14:paraId="7350B5E4" w14:textId="77777777" w:rsidR="00D60186" w:rsidRPr="00225D4D" w:rsidRDefault="00D60186" w:rsidP="00225D4D">
      <w:r w:rsidRPr="00225D4D">
        <w:t xml:space="preserve">Hvert enkelt kapittel er en direkte gjengivelse av det aktuelle departementets omtale i </w:t>
      </w:r>
      <w:proofErr w:type="spellStart"/>
      <w:r w:rsidRPr="00225D4D">
        <w:t>Prop</w:t>
      </w:r>
      <w:proofErr w:type="spellEnd"/>
      <w:r w:rsidRPr="00225D4D">
        <w:t xml:space="preserve">. 1 S (2025–2026), som legges frem på samme tidspunkt. Ved henvisninger i omtalen i kapittel 2 til 17, vises det til </w:t>
      </w:r>
      <w:proofErr w:type="spellStart"/>
      <w:r w:rsidRPr="00225D4D">
        <w:t>Prop</w:t>
      </w:r>
      <w:proofErr w:type="spellEnd"/>
      <w:r w:rsidRPr="00225D4D">
        <w:t>. 1 S (2025–2026) fra det respektive departement. Statsministerens kontor har ikke hentet inn ny informasjon eller gjort egne separate vurderinger i forbindelse med fremleggelsen av stortingsmeldingen.</w:t>
      </w:r>
    </w:p>
    <w:p w14:paraId="7A5ED1A7" w14:textId="77777777" w:rsidR="00D60186" w:rsidRPr="00225D4D" w:rsidRDefault="00D60186" w:rsidP="00225D4D">
      <w:r w:rsidRPr="00225D4D">
        <w:t>Det er ikke fattet noen utredningsvedtak i stortingssesjonen 2024–2025.</w:t>
      </w:r>
    </w:p>
    <w:p w14:paraId="229DEE2E" w14:textId="77777777" w:rsidR="00D60186" w:rsidRPr="00225D4D" w:rsidRDefault="00D60186" w:rsidP="00225D4D">
      <w:pPr>
        <w:pStyle w:val="Overskrift1"/>
      </w:pPr>
      <w:r w:rsidRPr="00225D4D">
        <w:t>Arbeids- og inkluderingsdepartementet</w:t>
      </w:r>
    </w:p>
    <w:p w14:paraId="1FC70D97" w14:textId="77777777" w:rsidR="00D60186" w:rsidRPr="00225D4D" w:rsidRDefault="00D60186" w:rsidP="00225D4D">
      <w:pPr>
        <w:pStyle w:val="Undertittel"/>
      </w:pPr>
      <w:r w:rsidRPr="00225D4D">
        <w:t>Oppfølging av oppmodings- og utgreiingsvedtak</w:t>
      </w:r>
    </w:p>
    <w:p w14:paraId="32611A25" w14:textId="77777777" w:rsidR="00D60186" w:rsidRPr="00225D4D" w:rsidRDefault="00D60186" w:rsidP="00225D4D">
      <w:proofErr w:type="spellStart"/>
      <w:r w:rsidRPr="00225D4D">
        <w:t>Nedanfor</w:t>
      </w:r>
      <w:proofErr w:type="spellEnd"/>
      <w:r w:rsidRPr="00225D4D">
        <w:t xml:space="preserve"> følger </w:t>
      </w:r>
      <w:proofErr w:type="gramStart"/>
      <w:r w:rsidRPr="00225D4D">
        <w:t>ei oversikt</w:t>
      </w:r>
      <w:proofErr w:type="gramEnd"/>
      <w:r w:rsidRPr="00225D4D">
        <w:t xml:space="preserve"> over oppfølginga av oppmodings- og utgreiingsvedtak under Arbeids- og inkluderingsdepartementet. </w:t>
      </w:r>
      <w:proofErr w:type="spellStart"/>
      <w:r w:rsidRPr="00225D4D">
        <w:t>Oversikta</w:t>
      </w:r>
      <w:proofErr w:type="spellEnd"/>
      <w:r w:rsidRPr="00225D4D">
        <w:t xml:space="preserve"> </w:t>
      </w:r>
      <w:proofErr w:type="spellStart"/>
      <w:r w:rsidRPr="00225D4D">
        <w:t>omfattar</w:t>
      </w:r>
      <w:proofErr w:type="spellEnd"/>
      <w:r w:rsidRPr="00225D4D">
        <w:t xml:space="preserve"> alle vedtak </w:t>
      </w:r>
      <w:proofErr w:type="spellStart"/>
      <w:r w:rsidRPr="00225D4D">
        <w:t>frå</w:t>
      </w:r>
      <w:proofErr w:type="spellEnd"/>
      <w:r w:rsidRPr="00225D4D">
        <w:t xml:space="preserve"> stortingssesjonen 2024–2025, og </w:t>
      </w:r>
      <w:proofErr w:type="spellStart"/>
      <w:r w:rsidRPr="00225D4D">
        <w:t>dei</w:t>
      </w:r>
      <w:proofErr w:type="spellEnd"/>
      <w:r w:rsidRPr="00225D4D">
        <w:t xml:space="preserve"> vedtaka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stortingssesjonar</w:t>
      </w:r>
      <w:proofErr w:type="spellEnd"/>
      <w:r w:rsidRPr="00225D4D">
        <w:t xml:space="preserve"> som kontroll- og konstitusjonskomiteen i </w:t>
      </w:r>
      <w:proofErr w:type="spellStart"/>
      <w:r w:rsidRPr="00225D4D">
        <w:t>Innst</w:t>
      </w:r>
      <w:proofErr w:type="spellEnd"/>
      <w:r w:rsidRPr="00225D4D">
        <w:t xml:space="preserve">. 216 S (2024–2025) meinte </w:t>
      </w:r>
      <w:proofErr w:type="spellStart"/>
      <w:r w:rsidRPr="00225D4D">
        <w:t>ikkje</w:t>
      </w:r>
      <w:proofErr w:type="spellEnd"/>
      <w:r w:rsidRPr="00225D4D">
        <w:t xml:space="preserve"> var kvitterte ut. Tabellen </w:t>
      </w:r>
      <w:proofErr w:type="spellStart"/>
      <w:r w:rsidRPr="00225D4D">
        <w:t>nedanfor</w:t>
      </w:r>
      <w:proofErr w:type="spellEnd"/>
      <w:r w:rsidRPr="00225D4D">
        <w:t xml:space="preserve"> viser òg om departementet </w:t>
      </w:r>
      <w:proofErr w:type="spellStart"/>
      <w:r w:rsidRPr="00225D4D">
        <w:t>reknar</w:t>
      </w:r>
      <w:proofErr w:type="spellEnd"/>
      <w:r w:rsidRPr="00225D4D">
        <w:t xml:space="preserve"> med at rapporteringa om oppmodingsvedtaket </w:t>
      </w:r>
      <w:proofErr w:type="spellStart"/>
      <w:r w:rsidRPr="00225D4D">
        <w:t>no</w:t>
      </w:r>
      <w:proofErr w:type="spellEnd"/>
      <w:r w:rsidRPr="00225D4D">
        <w:t xml:space="preserve"> er avslutta, eller om departementet vil rapportere konkret om vedtaket i budsjettproposisjonen neste år òg.</w:t>
      </w:r>
    </w:p>
    <w:p w14:paraId="5234D16F" w14:textId="77777777" w:rsidR="00D60186" w:rsidRPr="00225D4D" w:rsidRDefault="00D60186" w:rsidP="00225D4D">
      <w:pPr>
        <w:pStyle w:val="avsnitt-undertittel"/>
      </w:pPr>
      <w:r w:rsidRPr="00225D4D">
        <w:t>Oversikt over oppmodings- og utgreiingsvedtak, ordna etter sesjon og nummer</w:t>
      </w:r>
    </w:p>
    <w:p w14:paraId="4F5380EA" w14:textId="77777777" w:rsidR="00D60186" w:rsidRPr="00225D4D" w:rsidRDefault="00D60186" w:rsidP="00225D4D">
      <w:pPr>
        <w:pStyle w:val="Tabellnavn"/>
      </w:pPr>
      <w:r w:rsidRPr="00225D4D">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20"/>
        <w:gridCol w:w="1340"/>
        <w:gridCol w:w="5640"/>
        <w:gridCol w:w="1280"/>
      </w:tblGrid>
      <w:tr w:rsidR="00E76DC8" w:rsidRPr="00225D4D" w14:paraId="59FC023A" w14:textId="77777777">
        <w:trPr>
          <w:trHeight w:val="860"/>
        </w:trPr>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8578EF" w14:textId="77777777" w:rsidR="00D60186" w:rsidRPr="00815696" w:rsidRDefault="00D60186" w:rsidP="00225D4D">
            <w:pPr>
              <w:rPr>
                <w:sz w:val="21"/>
                <w:szCs w:val="21"/>
              </w:rPr>
            </w:pPr>
            <w:r w:rsidRPr="00815696">
              <w:rPr>
                <w:sz w:val="21"/>
                <w:szCs w:val="21"/>
              </w:rPr>
              <w:t>Sesjon</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7D4032" w14:textId="77777777" w:rsidR="00D60186" w:rsidRPr="00815696" w:rsidRDefault="00D60186" w:rsidP="00815696">
            <w:pPr>
              <w:ind w:right="113"/>
              <w:jc w:val="right"/>
              <w:rPr>
                <w:sz w:val="21"/>
                <w:szCs w:val="21"/>
              </w:rPr>
            </w:pPr>
            <w:r w:rsidRPr="00815696">
              <w:rPr>
                <w:sz w:val="21"/>
                <w:szCs w:val="21"/>
              </w:rPr>
              <w:t xml:space="preserve">Vedtak nr. </w:t>
            </w:r>
          </w:p>
        </w:tc>
        <w:tc>
          <w:tcPr>
            <w:tcW w:w="5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1469B2" w14:textId="77777777" w:rsidR="00D60186" w:rsidRPr="00815696" w:rsidRDefault="00D60186" w:rsidP="00225D4D">
            <w:pPr>
              <w:rPr>
                <w:sz w:val="21"/>
                <w:szCs w:val="21"/>
              </w:rPr>
            </w:pPr>
            <w:r w:rsidRPr="00815696">
              <w:rPr>
                <w:sz w:val="21"/>
                <w:szCs w:val="21"/>
              </w:rPr>
              <w:t>Stikkord</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27BFF5" w14:textId="77777777" w:rsidR="00D60186" w:rsidRPr="00815696" w:rsidRDefault="00D60186" w:rsidP="00815696">
            <w:pPr>
              <w:jc w:val="right"/>
              <w:rPr>
                <w:sz w:val="21"/>
                <w:szCs w:val="21"/>
              </w:rPr>
            </w:pPr>
            <w:r w:rsidRPr="00815696">
              <w:rPr>
                <w:sz w:val="21"/>
                <w:szCs w:val="21"/>
              </w:rPr>
              <w:t xml:space="preserve">Rapportering avslutta </w:t>
            </w:r>
            <w:r w:rsidRPr="00815696">
              <w:rPr>
                <w:sz w:val="21"/>
                <w:szCs w:val="21"/>
              </w:rPr>
              <w:br/>
              <w:t xml:space="preserve">(Ja/Nei) </w:t>
            </w:r>
          </w:p>
        </w:tc>
      </w:tr>
      <w:tr w:rsidR="00E76DC8" w:rsidRPr="00225D4D" w14:paraId="14318204" w14:textId="77777777">
        <w:trPr>
          <w:trHeight w:val="640"/>
        </w:trPr>
        <w:tc>
          <w:tcPr>
            <w:tcW w:w="1320" w:type="dxa"/>
            <w:tcBorders>
              <w:top w:val="single" w:sz="4" w:space="0" w:color="000000"/>
              <w:left w:val="nil"/>
              <w:bottom w:val="nil"/>
              <w:right w:val="nil"/>
            </w:tcBorders>
            <w:tcMar>
              <w:top w:w="128" w:type="dxa"/>
              <w:left w:w="43" w:type="dxa"/>
              <w:bottom w:w="43" w:type="dxa"/>
              <w:right w:w="43" w:type="dxa"/>
            </w:tcMar>
          </w:tcPr>
          <w:p w14:paraId="33EE5E50" w14:textId="77777777" w:rsidR="00D60186" w:rsidRPr="00815696" w:rsidRDefault="00D60186" w:rsidP="00225D4D">
            <w:pPr>
              <w:rPr>
                <w:sz w:val="21"/>
                <w:szCs w:val="21"/>
              </w:rPr>
            </w:pPr>
            <w:r w:rsidRPr="00815696">
              <w:rPr>
                <w:sz w:val="21"/>
                <w:szCs w:val="21"/>
              </w:rPr>
              <w:lastRenderedPageBreak/>
              <w:t>2024-2025</w:t>
            </w:r>
          </w:p>
        </w:tc>
        <w:tc>
          <w:tcPr>
            <w:tcW w:w="1340" w:type="dxa"/>
            <w:tcBorders>
              <w:top w:val="single" w:sz="4" w:space="0" w:color="000000"/>
              <w:left w:val="nil"/>
              <w:bottom w:val="nil"/>
              <w:right w:val="nil"/>
            </w:tcBorders>
            <w:tcMar>
              <w:top w:w="128" w:type="dxa"/>
              <w:left w:w="43" w:type="dxa"/>
              <w:bottom w:w="43" w:type="dxa"/>
              <w:right w:w="43" w:type="dxa"/>
            </w:tcMar>
          </w:tcPr>
          <w:p w14:paraId="5AA4E479" w14:textId="77777777" w:rsidR="00D60186" w:rsidRPr="00815696" w:rsidRDefault="00D60186" w:rsidP="00815696">
            <w:pPr>
              <w:ind w:right="113"/>
              <w:jc w:val="right"/>
              <w:rPr>
                <w:sz w:val="21"/>
                <w:szCs w:val="21"/>
              </w:rPr>
            </w:pPr>
            <w:r w:rsidRPr="00815696">
              <w:rPr>
                <w:sz w:val="21"/>
                <w:szCs w:val="21"/>
              </w:rPr>
              <w:t>59</w:t>
            </w:r>
          </w:p>
        </w:tc>
        <w:tc>
          <w:tcPr>
            <w:tcW w:w="5640" w:type="dxa"/>
            <w:tcBorders>
              <w:top w:val="single" w:sz="4" w:space="0" w:color="000000"/>
              <w:left w:val="nil"/>
              <w:bottom w:val="nil"/>
              <w:right w:val="nil"/>
            </w:tcBorders>
            <w:tcMar>
              <w:top w:w="128" w:type="dxa"/>
              <w:left w:w="43" w:type="dxa"/>
              <w:bottom w:w="43" w:type="dxa"/>
              <w:right w:w="43" w:type="dxa"/>
            </w:tcMar>
            <w:vAlign w:val="bottom"/>
          </w:tcPr>
          <w:p w14:paraId="02DDE5C1" w14:textId="77777777" w:rsidR="00D60186" w:rsidRPr="00815696" w:rsidRDefault="00D60186" w:rsidP="00225D4D">
            <w:pPr>
              <w:rPr>
                <w:sz w:val="21"/>
                <w:szCs w:val="21"/>
              </w:rPr>
            </w:pPr>
            <w:r w:rsidRPr="00815696">
              <w:rPr>
                <w:sz w:val="21"/>
                <w:szCs w:val="21"/>
              </w:rPr>
              <w:t xml:space="preserve">Representantforslag om tiltak som kan </w:t>
            </w:r>
            <w:proofErr w:type="spellStart"/>
            <w:r w:rsidRPr="00815696">
              <w:rPr>
                <w:sz w:val="21"/>
                <w:szCs w:val="21"/>
              </w:rPr>
              <w:t>auke</w:t>
            </w:r>
            <w:proofErr w:type="spellEnd"/>
            <w:r w:rsidRPr="00815696">
              <w:rPr>
                <w:sz w:val="21"/>
                <w:szCs w:val="21"/>
              </w:rPr>
              <w:t xml:space="preserve"> organisasjonsgraden blant unge</w:t>
            </w:r>
          </w:p>
        </w:tc>
        <w:tc>
          <w:tcPr>
            <w:tcW w:w="1280" w:type="dxa"/>
            <w:tcBorders>
              <w:top w:val="single" w:sz="4" w:space="0" w:color="000000"/>
              <w:left w:val="nil"/>
              <w:bottom w:val="nil"/>
              <w:right w:val="nil"/>
            </w:tcBorders>
            <w:tcMar>
              <w:top w:w="128" w:type="dxa"/>
              <w:left w:w="43" w:type="dxa"/>
              <w:bottom w:w="43" w:type="dxa"/>
              <w:right w:w="43" w:type="dxa"/>
            </w:tcMar>
          </w:tcPr>
          <w:p w14:paraId="15C3D0E4" w14:textId="77777777" w:rsidR="00D60186" w:rsidRPr="00815696" w:rsidRDefault="00D60186" w:rsidP="00815696">
            <w:pPr>
              <w:jc w:val="right"/>
              <w:rPr>
                <w:sz w:val="21"/>
                <w:szCs w:val="21"/>
              </w:rPr>
            </w:pPr>
            <w:r w:rsidRPr="00815696">
              <w:rPr>
                <w:sz w:val="21"/>
                <w:szCs w:val="21"/>
              </w:rPr>
              <w:t>Ja</w:t>
            </w:r>
          </w:p>
        </w:tc>
      </w:tr>
      <w:tr w:rsidR="00E76DC8" w:rsidRPr="00225D4D" w14:paraId="77155DE3" w14:textId="77777777">
        <w:trPr>
          <w:trHeight w:val="380"/>
        </w:trPr>
        <w:tc>
          <w:tcPr>
            <w:tcW w:w="1320" w:type="dxa"/>
            <w:tcBorders>
              <w:top w:val="nil"/>
              <w:left w:val="nil"/>
              <w:bottom w:val="nil"/>
              <w:right w:val="nil"/>
            </w:tcBorders>
            <w:tcMar>
              <w:top w:w="128" w:type="dxa"/>
              <w:left w:w="43" w:type="dxa"/>
              <w:bottom w:w="43" w:type="dxa"/>
              <w:right w:w="43" w:type="dxa"/>
            </w:tcMar>
          </w:tcPr>
          <w:p w14:paraId="4A558CFF"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4F0EFFA8" w14:textId="77777777" w:rsidR="00D60186" w:rsidRPr="00815696" w:rsidRDefault="00D60186" w:rsidP="00815696">
            <w:pPr>
              <w:ind w:right="113"/>
              <w:jc w:val="right"/>
              <w:rPr>
                <w:sz w:val="21"/>
                <w:szCs w:val="21"/>
              </w:rPr>
            </w:pPr>
            <w:r w:rsidRPr="00815696">
              <w:rPr>
                <w:sz w:val="21"/>
                <w:szCs w:val="21"/>
              </w:rPr>
              <w:t>220</w:t>
            </w:r>
          </w:p>
        </w:tc>
        <w:tc>
          <w:tcPr>
            <w:tcW w:w="5640" w:type="dxa"/>
            <w:tcBorders>
              <w:top w:val="nil"/>
              <w:left w:val="nil"/>
              <w:bottom w:val="nil"/>
              <w:right w:val="nil"/>
            </w:tcBorders>
            <w:tcMar>
              <w:top w:w="128" w:type="dxa"/>
              <w:left w:w="43" w:type="dxa"/>
              <w:bottom w:w="43" w:type="dxa"/>
              <w:right w:w="43" w:type="dxa"/>
            </w:tcMar>
            <w:vAlign w:val="bottom"/>
          </w:tcPr>
          <w:p w14:paraId="0D72B4E3" w14:textId="77777777" w:rsidR="00D60186" w:rsidRPr="00815696" w:rsidRDefault="00D60186" w:rsidP="00225D4D">
            <w:pPr>
              <w:rPr>
                <w:sz w:val="21"/>
                <w:szCs w:val="21"/>
              </w:rPr>
            </w:pPr>
            <w:proofErr w:type="spellStart"/>
            <w:r w:rsidRPr="00815696">
              <w:rPr>
                <w:sz w:val="21"/>
                <w:szCs w:val="21"/>
              </w:rPr>
              <w:t>Særskild</w:t>
            </w:r>
            <w:proofErr w:type="spellEnd"/>
            <w:r w:rsidRPr="00815696">
              <w:rPr>
                <w:sz w:val="21"/>
                <w:szCs w:val="21"/>
              </w:rPr>
              <w:t xml:space="preserve"> kompensasjonsordning for </w:t>
            </w:r>
            <w:proofErr w:type="spellStart"/>
            <w:r w:rsidRPr="00815696">
              <w:rPr>
                <w:sz w:val="21"/>
                <w:szCs w:val="21"/>
              </w:rPr>
              <w:t>oljepionerane</w:t>
            </w:r>
            <w:proofErr w:type="spellEnd"/>
          </w:p>
        </w:tc>
        <w:tc>
          <w:tcPr>
            <w:tcW w:w="1280" w:type="dxa"/>
            <w:tcBorders>
              <w:top w:val="nil"/>
              <w:left w:val="nil"/>
              <w:bottom w:val="nil"/>
              <w:right w:val="nil"/>
            </w:tcBorders>
            <w:tcMar>
              <w:top w:w="128" w:type="dxa"/>
              <w:left w:w="43" w:type="dxa"/>
              <w:bottom w:w="43" w:type="dxa"/>
              <w:right w:w="43" w:type="dxa"/>
            </w:tcMar>
          </w:tcPr>
          <w:p w14:paraId="04922EAD" w14:textId="77777777" w:rsidR="00D60186" w:rsidRPr="00815696" w:rsidRDefault="00D60186" w:rsidP="00815696">
            <w:pPr>
              <w:jc w:val="right"/>
              <w:rPr>
                <w:sz w:val="21"/>
                <w:szCs w:val="21"/>
              </w:rPr>
            </w:pPr>
            <w:r w:rsidRPr="00815696">
              <w:rPr>
                <w:sz w:val="21"/>
                <w:szCs w:val="21"/>
              </w:rPr>
              <w:t>Ja</w:t>
            </w:r>
          </w:p>
        </w:tc>
      </w:tr>
      <w:tr w:rsidR="00E76DC8" w:rsidRPr="00225D4D" w14:paraId="1A90899A" w14:textId="77777777">
        <w:trPr>
          <w:trHeight w:val="640"/>
        </w:trPr>
        <w:tc>
          <w:tcPr>
            <w:tcW w:w="1320" w:type="dxa"/>
            <w:tcBorders>
              <w:top w:val="nil"/>
              <w:left w:val="nil"/>
              <w:bottom w:val="nil"/>
              <w:right w:val="nil"/>
            </w:tcBorders>
            <w:tcMar>
              <w:top w:w="128" w:type="dxa"/>
              <w:left w:w="43" w:type="dxa"/>
              <w:bottom w:w="43" w:type="dxa"/>
              <w:right w:w="43" w:type="dxa"/>
            </w:tcMar>
          </w:tcPr>
          <w:p w14:paraId="09BFD2C4"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1F056213" w14:textId="77777777" w:rsidR="00D60186" w:rsidRPr="00815696" w:rsidRDefault="00D60186" w:rsidP="00815696">
            <w:pPr>
              <w:ind w:right="113"/>
              <w:jc w:val="right"/>
              <w:rPr>
                <w:sz w:val="21"/>
                <w:szCs w:val="21"/>
              </w:rPr>
            </w:pPr>
            <w:r w:rsidRPr="00815696">
              <w:rPr>
                <w:sz w:val="21"/>
                <w:szCs w:val="21"/>
              </w:rPr>
              <w:t>460</w:t>
            </w:r>
          </w:p>
        </w:tc>
        <w:tc>
          <w:tcPr>
            <w:tcW w:w="5640" w:type="dxa"/>
            <w:tcBorders>
              <w:top w:val="nil"/>
              <w:left w:val="nil"/>
              <w:bottom w:val="nil"/>
              <w:right w:val="nil"/>
            </w:tcBorders>
            <w:tcMar>
              <w:top w:w="128" w:type="dxa"/>
              <w:left w:w="43" w:type="dxa"/>
              <w:bottom w:w="43" w:type="dxa"/>
              <w:right w:w="43" w:type="dxa"/>
            </w:tcMar>
            <w:vAlign w:val="bottom"/>
          </w:tcPr>
          <w:p w14:paraId="2C904793" w14:textId="77777777" w:rsidR="00D60186" w:rsidRPr="00815696" w:rsidRDefault="00D60186" w:rsidP="00225D4D">
            <w:pPr>
              <w:rPr>
                <w:sz w:val="21"/>
                <w:szCs w:val="21"/>
              </w:rPr>
            </w:pPr>
            <w:r w:rsidRPr="00815696">
              <w:rPr>
                <w:sz w:val="21"/>
                <w:szCs w:val="21"/>
              </w:rPr>
              <w:t xml:space="preserve">Forslag som får ned saksbehandlingstida for arbeidsløyve for høgt kvalifisert arbeidskraft </w:t>
            </w:r>
            <w:proofErr w:type="spellStart"/>
            <w:r w:rsidRPr="00815696">
              <w:rPr>
                <w:sz w:val="21"/>
                <w:szCs w:val="21"/>
              </w:rPr>
              <w:t>frå</w:t>
            </w:r>
            <w:proofErr w:type="spellEnd"/>
            <w:r w:rsidRPr="00815696">
              <w:rPr>
                <w:sz w:val="21"/>
                <w:szCs w:val="21"/>
              </w:rPr>
              <w:t xml:space="preserve"> tredjeland </w:t>
            </w:r>
            <w:proofErr w:type="spellStart"/>
            <w:r w:rsidRPr="00815696">
              <w:rPr>
                <w:sz w:val="21"/>
                <w:szCs w:val="21"/>
              </w:rPr>
              <w:t>betydeleg</w:t>
            </w:r>
            <w:proofErr w:type="spellEnd"/>
          </w:p>
        </w:tc>
        <w:tc>
          <w:tcPr>
            <w:tcW w:w="1280" w:type="dxa"/>
            <w:tcBorders>
              <w:top w:val="nil"/>
              <w:left w:val="nil"/>
              <w:bottom w:val="nil"/>
              <w:right w:val="nil"/>
            </w:tcBorders>
            <w:tcMar>
              <w:top w:w="128" w:type="dxa"/>
              <w:left w:w="43" w:type="dxa"/>
              <w:bottom w:w="43" w:type="dxa"/>
              <w:right w:w="43" w:type="dxa"/>
            </w:tcMar>
          </w:tcPr>
          <w:p w14:paraId="36168F9F" w14:textId="77777777" w:rsidR="00D60186" w:rsidRPr="00815696" w:rsidRDefault="00D60186" w:rsidP="00815696">
            <w:pPr>
              <w:jc w:val="right"/>
              <w:rPr>
                <w:sz w:val="21"/>
                <w:szCs w:val="21"/>
              </w:rPr>
            </w:pPr>
            <w:r w:rsidRPr="00815696">
              <w:rPr>
                <w:sz w:val="21"/>
                <w:szCs w:val="21"/>
              </w:rPr>
              <w:t>Ja</w:t>
            </w:r>
          </w:p>
        </w:tc>
      </w:tr>
      <w:tr w:rsidR="00E76DC8" w:rsidRPr="00225D4D" w14:paraId="1B3B7F4D" w14:textId="77777777">
        <w:trPr>
          <w:trHeight w:val="640"/>
        </w:trPr>
        <w:tc>
          <w:tcPr>
            <w:tcW w:w="1320" w:type="dxa"/>
            <w:tcBorders>
              <w:top w:val="nil"/>
              <w:left w:val="nil"/>
              <w:bottom w:val="nil"/>
              <w:right w:val="nil"/>
            </w:tcBorders>
            <w:tcMar>
              <w:top w:w="128" w:type="dxa"/>
              <w:left w:w="43" w:type="dxa"/>
              <w:bottom w:w="43" w:type="dxa"/>
              <w:right w:w="43" w:type="dxa"/>
            </w:tcMar>
          </w:tcPr>
          <w:p w14:paraId="35FB8D52"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0E695B5C" w14:textId="77777777" w:rsidR="00D60186" w:rsidRPr="00815696" w:rsidRDefault="00D60186" w:rsidP="00815696">
            <w:pPr>
              <w:ind w:right="113"/>
              <w:jc w:val="right"/>
              <w:rPr>
                <w:sz w:val="21"/>
                <w:szCs w:val="21"/>
              </w:rPr>
            </w:pPr>
            <w:r w:rsidRPr="00815696">
              <w:rPr>
                <w:sz w:val="21"/>
                <w:szCs w:val="21"/>
              </w:rPr>
              <w:t>495</w:t>
            </w:r>
          </w:p>
        </w:tc>
        <w:tc>
          <w:tcPr>
            <w:tcW w:w="5640" w:type="dxa"/>
            <w:tcBorders>
              <w:top w:val="nil"/>
              <w:left w:val="nil"/>
              <w:bottom w:val="nil"/>
              <w:right w:val="nil"/>
            </w:tcBorders>
            <w:tcMar>
              <w:top w:w="128" w:type="dxa"/>
              <w:left w:w="43" w:type="dxa"/>
              <w:bottom w:w="43" w:type="dxa"/>
              <w:right w:w="43" w:type="dxa"/>
            </w:tcMar>
            <w:vAlign w:val="bottom"/>
          </w:tcPr>
          <w:p w14:paraId="7AE2805B" w14:textId="77777777" w:rsidR="00D60186" w:rsidRPr="00815696" w:rsidRDefault="00D60186" w:rsidP="00225D4D">
            <w:pPr>
              <w:rPr>
                <w:sz w:val="21"/>
                <w:szCs w:val="21"/>
              </w:rPr>
            </w:pPr>
            <w:r w:rsidRPr="00815696">
              <w:rPr>
                <w:sz w:val="21"/>
                <w:szCs w:val="21"/>
              </w:rPr>
              <w:t xml:space="preserve">Frivillig medlemskap i folketrygda for norske </w:t>
            </w:r>
            <w:proofErr w:type="spellStart"/>
            <w:r w:rsidRPr="00815696">
              <w:rPr>
                <w:sz w:val="21"/>
                <w:szCs w:val="21"/>
              </w:rPr>
              <w:t>arbeidstakarar</w:t>
            </w:r>
            <w:proofErr w:type="spellEnd"/>
            <w:r w:rsidRPr="00815696">
              <w:rPr>
                <w:sz w:val="21"/>
                <w:szCs w:val="21"/>
              </w:rPr>
              <w:t xml:space="preserve"> i hotell- og </w:t>
            </w:r>
            <w:proofErr w:type="spellStart"/>
            <w:r w:rsidRPr="00815696">
              <w:rPr>
                <w:sz w:val="21"/>
                <w:szCs w:val="21"/>
              </w:rPr>
              <w:t>restaurantverksemd</w:t>
            </w:r>
            <w:proofErr w:type="spellEnd"/>
            <w:r w:rsidRPr="00815696">
              <w:rPr>
                <w:sz w:val="21"/>
                <w:szCs w:val="21"/>
              </w:rPr>
              <w:t xml:space="preserve"> på NIS-registrerte skip</w:t>
            </w:r>
          </w:p>
        </w:tc>
        <w:tc>
          <w:tcPr>
            <w:tcW w:w="1280" w:type="dxa"/>
            <w:tcBorders>
              <w:top w:val="nil"/>
              <w:left w:val="nil"/>
              <w:bottom w:val="nil"/>
              <w:right w:val="nil"/>
            </w:tcBorders>
            <w:tcMar>
              <w:top w:w="128" w:type="dxa"/>
              <w:left w:w="43" w:type="dxa"/>
              <w:bottom w:w="43" w:type="dxa"/>
              <w:right w:w="43" w:type="dxa"/>
            </w:tcMar>
          </w:tcPr>
          <w:p w14:paraId="5E631C24" w14:textId="77777777" w:rsidR="00D60186" w:rsidRPr="00815696" w:rsidRDefault="00D60186" w:rsidP="00815696">
            <w:pPr>
              <w:jc w:val="right"/>
              <w:rPr>
                <w:sz w:val="21"/>
                <w:szCs w:val="21"/>
              </w:rPr>
            </w:pPr>
            <w:r w:rsidRPr="00815696">
              <w:rPr>
                <w:sz w:val="21"/>
                <w:szCs w:val="21"/>
              </w:rPr>
              <w:t>Ja</w:t>
            </w:r>
          </w:p>
        </w:tc>
      </w:tr>
      <w:tr w:rsidR="00E76DC8" w:rsidRPr="00225D4D" w14:paraId="79439B30" w14:textId="77777777">
        <w:trPr>
          <w:trHeight w:val="640"/>
        </w:trPr>
        <w:tc>
          <w:tcPr>
            <w:tcW w:w="1320" w:type="dxa"/>
            <w:tcBorders>
              <w:top w:val="nil"/>
              <w:left w:val="nil"/>
              <w:bottom w:val="nil"/>
              <w:right w:val="nil"/>
            </w:tcBorders>
            <w:tcMar>
              <w:top w:w="128" w:type="dxa"/>
              <w:left w:w="43" w:type="dxa"/>
              <w:bottom w:w="43" w:type="dxa"/>
              <w:right w:w="43" w:type="dxa"/>
            </w:tcMar>
          </w:tcPr>
          <w:p w14:paraId="548F67DE"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1C9080A6" w14:textId="77777777" w:rsidR="00D60186" w:rsidRPr="00815696" w:rsidRDefault="00D60186" w:rsidP="00815696">
            <w:pPr>
              <w:ind w:right="113"/>
              <w:jc w:val="right"/>
              <w:rPr>
                <w:sz w:val="21"/>
                <w:szCs w:val="21"/>
              </w:rPr>
            </w:pPr>
            <w:r w:rsidRPr="00815696">
              <w:rPr>
                <w:sz w:val="21"/>
                <w:szCs w:val="21"/>
              </w:rPr>
              <w:t>539</w:t>
            </w:r>
          </w:p>
        </w:tc>
        <w:tc>
          <w:tcPr>
            <w:tcW w:w="5640" w:type="dxa"/>
            <w:tcBorders>
              <w:top w:val="nil"/>
              <w:left w:val="nil"/>
              <w:bottom w:val="nil"/>
              <w:right w:val="nil"/>
            </w:tcBorders>
            <w:tcMar>
              <w:top w:w="128" w:type="dxa"/>
              <w:left w:w="43" w:type="dxa"/>
              <w:bottom w:w="43" w:type="dxa"/>
              <w:right w:w="43" w:type="dxa"/>
            </w:tcMar>
            <w:vAlign w:val="bottom"/>
          </w:tcPr>
          <w:p w14:paraId="6EA42157" w14:textId="77777777" w:rsidR="00D60186" w:rsidRPr="00815696" w:rsidRDefault="00D60186" w:rsidP="00225D4D">
            <w:pPr>
              <w:rPr>
                <w:sz w:val="21"/>
                <w:szCs w:val="21"/>
              </w:rPr>
            </w:pPr>
            <w:r w:rsidRPr="00815696">
              <w:rPr>
                <w:sz w:val="21"/>
                <w:szCs w:val="21"/>
              </w:rPr>
              <w:t xml:space="preserve">Initiativ til </w:t>
            </w:r>
            <w:proofErr w:type="spellStart"/>
            <w:r w:rsidRPr="00815696">
              <w:rPr>
                <w:sz w:val="21"/>
                <w:szCs w:val="21"/>
              </w:rPr>
              <w:t>fleire</w:t>
            </w:r>
            <w:proofErr w:type="spellEnd"/>
            <w:r w:rsidRPr="00815696">
              <w:rPr>
                <w:sz w:val="21"/>
                <w:szCs w:val="21"/>
              </w:rPr>
              <w:t xml:space="preserve"> bilaterale </w:t>
            </w:r>
            <w:proofErr w:type="spellStart"/>
            <w:r w:rsidRPr="00815696">
              <w:rPr>
                <w:sz w:val="21"/>
                <w:szCs w:val="21"/>
              </w:rPr>
              <w:t>samarbeidsavtalar</w:t>
            </w:r>
            <w:proofErr w:type="spellEnd"/>
            <w:r w:rsidRPr="00815696">
              <w:rPr>
                <w:sz w:val="21"/>
                <w:szCs w:val="21"/>
              </w:rPr>
              <w:t xml:space="preserve"> mot arbeidslivskriminalitet med aktuelle tredjeland</w:t>
            </w:r>
          </w:p>
        </w:tc>
        <w:tc>
          <w:tcPr>
            <w:tcW w:w="1280" w:type="dxa"/>
            <w:tcBorders>
              <w:top w:val="nil"/>
              <w:left w:val="nil"/>
              <w:bottom w:val="nil"/>
              <w:right w:val="nil"/>
            </w:tcBorders>
            <w:tcMar>
              <w:top w:w="128" w:type="dxa"/>
              <w:left w:w="43" w:type="dxa"/>
              <w:bottom w:w="43" w:type="dxa"/>
              <w:right w:w="43" w:type="dxa"/>
            </w:tcMar>
          </w:tcPr>
          <w:p w14:paraId="299FF9EC" w14:textId="77777777" w:rsidR="00D60186" w:rsidRPr="00815696" w:rsidRDefault="00D60186" w:rsidP="00815696">
            <w:pPr>
              <w:jc w:val="right"/>
              <w:rPr>
                <w:sz w:val="21"/>
                <w:szCs w:val="21"/>
              </w:rPr>
            </w:pPr>
            <w:r w:rsidRPr="00815696">
              <w:rPr>
                <w:sz w:val="21"/>
                <w:szCs w:val="21"/>
              </w:rPr>
              <w:t>Nei</w:t>
            </w:r>
          </w:p>
        </w:tc>
      </w:tr>
      <w:tr w:rsidR="00E76DC8" w:rsidRPr="00225D4D" w14:paraId="5C94AB34" w14:textId="77777777">
        <w:trPr>
          <w:trHeight w:val="880"/>
        </w:trPr>
        <w:tc>
          <w:tcPr>
            <w:tcW w:w="1320" w:type="dxa"/>
            <w:tcBorders>
              <w:top w:val="nil"/>
              <w:left w:val="nil"/>
              <w:bottom w:val="nil"/>
              <w:right w:val="nil"/>
            </w:tcBorders>
            <w:tcMar>
              <w:top w:w="128" w:type="dxa"/>
              <w:left w:w="43" w:type="dxa"/>
              <w:bottom w:w="43" w:type="dxa"/>
              <w:right w:w="43" w:type="dxa"/>
            </w:tcMar>
          </w:tcPr>
          <w:p w14:paraId="31A57314"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333C9CCF" w14:textId="77777777" w:rsidR="00D60186" w:rsidRPr="00815696" w:rsidRDefault="00D60186" w:rsidP="00815696">
            <w:pPr>
              <w:ind w:right="113"/>
              <w:jc w:val="right"/>
              <w:rPr>
                <w:sz w:val="21"/>
                <w:szCs w:val="21"/>
              </w:rPr>
            </w:pPr>
            <w:r w:rsidRPr="00815696">
              <w:rPr>
                <w:sz w:val="21"/>
                <w:szCs w:val="21"/>
              </w:rPr>
              <w:t>609</w:t>
            </w:r>
          </w:p>
        </w:tc>
        <w:tc>
          <w:tcPr>
            <w:tcW w:w="5640" w:type="dxa"/>
            <w:tcBorders>
              <w:top w:val="nil"/>
              <w:left w:val="nil"/>
              <w:bottom w:val="nil"/>
              <w:right w:val="nil"/>
            </w:tcBorders>
            <w:tcMar>
              <w:top w:w="128" w:type="dxa"/>
              <w:left w:w="43" w:type="dxa"/>
              <w:bottom w:w="43" w:type="dxa"/>
              <w:right w:w="43" w:type="dxa"/>
            </w:tcMar>
            <w:vAlign w:val="bottom"/>
          </w:tcPr>
          <w:p w14:paraId="3758832C" w14:textId="77777777" w:rsidR="00D60186" w:rsidRPr="00815696" w:rsidRDefault="00D60186" w:rsidP="00225D4D">
            <w:pPr>
              <w:rPr>
                <w:sz w:val="21"/>
                <w:szCs w:val="21"/>
              </w:rPr>
            </w:pPr>
            <w:proofErr w:type="spellStart"/>
            <w:r w:rsidRPr="00815696">
              <w:rPr>
                <w:sz w:val="21"/>
                <w:szCs w:val="21"/>
              </w:rPr>
              <w:t>Tydeleggjere</w:t>
            </w:r>
            <w:proofErr w:type="spellEnd"/>
            <w:r w:rsidRPr="00815696">
              <w:rPr>
                <w:sz w:val="21"/>
                <w:szCs w:val="21"/>
              </w:rPr>
              <w:t xml:space="preserve"> at også menneske med utviklingshemming </w:t>
            </w:r>
            <w:r w:rsidRPr="00815696">
              <w:rPr>
                <w:sz w:val="21"/>
                <w:szCs w:val="21"/>
              </w:rPr>
              <w:br/>
              <w:t xml:space="preserve">har krav på ei individuell arbeidsevnevurdering og bistand </w:t>
            </w:r>
            <w:r w:rsidRPr="00815696">
              <w:rPr>
                <w:sz w:val="21"/>
                <w:szCs w:val="21"/>
              </w:rPr>
              <w:br/>
              <w:t>til å delta i arbeidslivet</w:t>
            </w:r>
          </w:p>
        </w:tc>
        <w:tc>
          <w:tcPr>
            <w:tcW w:w="1280" w:type="dxa"/>
            <w:tcBorders>
              <w:top w:val="nil"/>
              <w:left w:val="nil"/>
              <w:bottom w:val="nil"/>
              <w:right w:val="nil"/>
            </w:tcBorders>
            <w:tcMar>
              <w:top w:w="128" w:type="dxa"/>
              <w:left w:w="43" w:type="dxa"/>
              <w:bottom w:w="43" w:type="dxa"/>
              <w:right w:w="43" w:type="dxa"/>
            </w:tcMar>
          </w:tcPr>
          <w:p w14:paraId="59ACFDE2" w14:textId="77777777" w:rsidR="00D60186" w:rsidRPr="00815696" w:rsidRDefault="00D60186" w:rsidP="00815696">
            <w:pPr>
              <w:jc w:val="right"/>
              <w:rPr>
                <w:sz w:val="21"/>
                <w:szCs w:val="21"/>
              </w:rPr>
            </w:pPr>
            <w:r w:rsidRPr="00815696">
              <w:rPr>
                <w:sz w:val="21"/>
                <w:szCs w:val="21"/>
              </w:rPr>
              <w:t>Ja</w:t>
            </w:r>
          </w:p>
        </w:tc>
      </w:tr>
      <w:tr w:rsidR="00E76DC8" w:rsidRPr="00225D4D" w14:paraId="0CADBE4E" w14:textId="77777777">
        <w:trPr>
          <w:trHeight w:val="640"/>
        </w:trPr>
        <w:tc>
          <w:tcPr>
            <w:tcW w:w="1320" w:type="dxa"/>
            <w:tcBorders>
              <w:top w:val="nil"/>
              <w:left w:val="nil"/>
              <w:bottom w:val="nil"/>
              <w:right w:val="nil"/>
            </w:tcBorders>
            <w:tcMar>
              <w:top w:w="128" w:type="dxa"/>
              <w:left w:w="43" w:type="dxa"/>
              <w:bottom w:w="43" w:type="dxa"/>
              <w:right w:w="43" w:type="dxa"/>
            </w:tcMar>
          </w:tcPr>
          <w:p w14:paraId="4E78DD81"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0DD6821F" w14:textId="77777777" w:rsidR="00D60186" w:rsidRPr="00815696" w:rsidRDefault="00D60186" w:rsidP="00815696">
            <w:pPr>
              <w:ind w:right="113"/>
              <w:jc w:val="right"/>
              <w:rPr>
                <w:sz w:val="21"/>
                <w:szCs w:val="21"/>
              </w:rPr>
            </w:pPr>
            <w:r w:rsidRPr="00815696">
              <w:rPr>
                <w:sz w:val="21"/>
                <w:szCs w:val="21"/>
              </w:rPr>
              <w:t>610</w:t>
            </w:r>
          </w:p>
        </w:tc>
        <w:tc>
          <w:tcPr>
            <w:tcW w:w="5640" w:type="dxa"/>
            <w:tcBorders>
              <w:top w:val="nil"/>
              <w:left w:val="nil"/>
              <w:bottom w:val="nil"/>
              <w:right w:val="nil"/>
            </w:tcBorders>
            <w:tcMar>
              <w:top w:w="128" w:type="dxa"/>
              <w:left w:w="43" w:type="dxa"/>
              <w:bottom w:w="43" w:type="dxa"/>
              <w:right w:w="43" w:type="dxa"/>
            </w:tcMar>
            <w:vAlign w:val="bottom"/>
          </w:tcPr>
          <w:p w14:paraId="794A9415" w14:textId="77777777" w:rsidR="00D60186" w:rsidRPr="00815696" w:rsidRDefault="00D60186" w:rsidP="00225D4D">
            <w:pPr>
              <w:rPr>
                <w:sz w:val="21"/>
                <w:szCs w:val="21"/>
              </w:rPr>
            </w:pPr>
            <w:proofErr w:type="spellStart"/>
            <w:r w:rsidRPr="00815696">
              <w:rPr>
                <w:sz w:val="21"/>
                <w:szCs w:val="21"/>
              </w:rPr>
              <w:t>Endringar</w:t>
            </w:r>
            <w:proofErr w:type="spellEnd"/>
            <w:r w:rsidRPr="00815696">
              <w:rPr>
                <w:sz w:val="21"/>
                <w:szCs w:val="21"/>
              </w:rPr>
              <w:t xml:space="preserve"> i tiltaksforskrifta for </w:t>
            </w:r>
            <w:proofErr w:type="gramStart"/>
            <w:r w:rsidRPr="00815696">
              <w:rPr>
                <w:sz w:val="21"/>
                <w:szCs w:val="21"/>
              </w:rPr>
              <w:t>utsette</w:t>
            </w:r>
            <w:proofErr w:type="gramEnd"/>
            <w:r w:rsidRPr="00815696">
              <w:rPr>
                <w:sz w:val="21"/>
                <w:szCs w:val="21"/>
              </w:rPr>
              <w:t xml:space="preserve"> unge i alderen 16 </w:t>
            </w:r>
            <w:r w:rsidRPr="00815696">
              <w:rPr>
                <w:sz w:val="21"/>
                <w:szCs w:val="21"/>
              </w:rPr>
              <w:br/>
              <w:t xml:space="preserve">til 19 år </w:t>
            </w:r>
          </w:p>
        </w:tc>
        <w:tc>
          <w:tcPr>
            <w:tcW w:w="1280" w:type="dxa"/>
            <w:tcBorders>
              <w:top w:val="nil"/>
              <w:left w:val="nil"/>
              <w:bottom w:val="nil"/>
              <w:right w:val="nil"/>
            </w:tcBorders>
            <w:tcMar>
              <w:top w:w="128" w:type="dxa"/>
              <w:left w:w="43" w:type="dxa"/>
              <w:bottom w:w="43" w:type="dxa"/>
              <w:right w:w="43" w:type="dxa"/>
            </w:tcMar>
          </w:tcPr>
          <w:p w14:paraId="3D1FEC01" w14:textId="77777777" w:rsidR="00D60186" w:rsidRPr="00815696" w:rsidRDefault="00D60186" w:rsidP="00815696">
            <w:pPr>
              <w:jc w:val="right"/>
              <w:rPr>
                <w:sz w:val="21"/>
                <w:szCs w:val="21"/>
              </w:rPr>
            </w:pPr>
            <w:r w:rsidRPr="00815696">
              <w:rPr>
                <w:sz w:val="21"/>
                <w:szCs w:val="21"/>
              </w:rPr>
              <w:t>Ja</w:t>
            </w:r>
          </w:p>
        </w:tc>
      </w:tr>
      <w:tr w:rsidR="00E76DC8" w:rsidRPr="00225D4D" w14:paraId="3CA9EEB6" w14:textId="77777777">
        <w:trPr>
          <w:trHeight w:val="380"/>
        </w:trPr>
        <w:tc>
          <w:tcPr>
            <w:tcW w:w="1320" w:type="dxa"/>
            <w:tcBorders>
              <w:top w:val="nil"/>
              <w:left w:val="nil"/>
              <w:bottom w:val="nil"/>
              <w:right w:val="nil"/>
            </w:tcBorders>
            <w:tcMar>
              <w:top w:w="128" w:type="dxa"/>
              <w:left w:w="43" w:type="dxa"/>
              <w:bottom w:w="43" w:type="dxa"/>
              <w:right w:w="43" w:type="dxa"/>
            </w:tcMar>
          </w:tcPr>
          <w:p w14:paraId="006A64F2"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0CAF4AA5" w14:textId="77777777" w:rsidR="00D60186" w:rsidRPr="00815696" w:rsidRDefault="00D60186" w:rsidP="00815696">
            <w:pPr>
              <w:ind w:right="113"/>
              <w:jc w:val="right"/>
              <w:rPr>
                <w:sz w:val="21"/>
                <w:szCs w:val="21"/>
              </w:rPr>
            </w:pPr>
            <w:r w:rsidRPr="00815696">
              <w:rPr>
                <w:sz w:val="21"/>
                <w:szCs w:val="21"/>
              </w:rPr>
              <w:t>611</w:t>
            </w:r>
          </w:p>
        </w:tc>
        <w:tc>
          <w:tcPr>
            <w:tcW w:w="5640" w:type="dxa"/>
            <w:tcBorders>
              <w:top w:val="nil"/>
              <w:left w:val="nil"/>
              <w:bottom w:val="nil"/>
              <w:right w:val="nil"/>
            </w:tcBorders>
            <w:tcMar>
              <w:top w:w="128" w:type="dxa"/>
              <w:left w:w="43" w:type="dxa"/>
              <w:bottom w:w="43" w:type="dxa"/>
              <w:right w:w="43" w:type="dxa"/>
            </w:tcMar>
            <w:vAlign w:val="bottom"/>
          </w:tcPr>
          <w:p w14:paraId="3BCF4E4C" w14:textId="77777777" w:rsidR="00D60186" w:rsidRPr="00815696" w:rsidRDefault="00D60186" w:rsidP="00225D4D">
            <w:pPr>
              <w:rPr>
                <w:sz w:val="21"/>
                <w:szCs w:val="21"/>
              </w:rPr>
            </w:pPr>
            <w:r w:rsidRPr="00815696">
              <w:rPr>
                <w:sz w:val="21"/>
                <w:szCs w:val="21"/>
              </w:rPr>
              <w:t>Fremme forslag om å heve fribeløpet for uføre</w:t>
            </w:r>
          </w:p>
        </w:tc>
        <w:tc>
          <w:tcPr>
            <w:tcW w:w="1280" w:type="dxa"/>
            <w:tcBorders>
              <w:top w:val="nil"/>
              <w:left w:val="nil"/>
              <w:bottom w:val="nil"/>
              <w:right w:val="nil"/>
            </w:tcBorders>
            <w:tcMar>
              <w:top w:w="128" w:type="dxa"/>
              <w:left w:w="43" w:type="dxa"/>
              <w:bottom w:w="43" w:type="dxa"/>
              <w:right w:w="43" w:type="dxa"/>
            </w:tcMar>
          </w:tcPr>
          <w:p w14:paraId="1AFB7AFD" w14:textId="77777777" w:rsidR="00D60186" w:rsidRPr="00815696" w:rsidRDefault="00D60186" w:rsidP="00815696">
            <w:pPr>
              <w:jc w:val="right"/>
              <w:rPr>
                <w:sz w:val="21"/>
                <w:szCs w:val="21"/>
              </w:rPr>
            </w:pPr>
            <w:r w:rsidRPr="00815696">
              <w:rPr>
                <w:sz w:val="21"/>
                <w:szCs w:val="21"/>
              </w:rPr>
              <w:t>Nei</w:t>
            </w:r>
          </w:p>
        </w:tc>
      </w:tr>
      <w:tr w:rsidR="00E76DC8" w:rsidRPr="00225D4D" w14:paraId="1F2CED80" w14:textId="77777777">
        <w:trPr>
          <w:trHeight w:val="880"/>
        </w:trPr>
        <w:tc>
          <w:tcPr>
            <w:tcW w:w="1320" w:type="dxa"/>
            <w:tcBorders>
              <w:top w:val="nil"/>
              <w:left w:val="nil"/>
              <w:bottom w:val="nil"/>
              <w:right w:val="nil"/>
            </w:tcBorders>
            <w:tcMar>
              <w:top w:w="128" w:type="dxa"/>
              <w:left w:w="43" w:type="dxa"/>
              <w:bottom w:w="43" w:type="dxa"/>
              <w:right w:w="43" w:type="dxa"/>
            </w:tcMar>
          </w:tcPr>
          <w:p w14:paraId="5E379BCD"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1660DF97" w14:textId="77777777" w:rsidR="00D60186" w:rsidRPr="00815696" w:rsidRDefault="00D60186" w:rsidP="00815696">
            <w:pPr>
              <w:ind w:right="113"/>
              <w:jc w:val="right"/>
              <w:rPr>
                <w:sz w:val="21"/>
                <w:szCs w:val="21"/>
              </w:rPr>
            </w:pPr>
            <w:r w:rsidRPr="00815696">
              <w:rPr>
                <w:sz w:val="21"/>
                <w:szCs w:val="21"/>
              </w:rPr>
              <w:t>612</w:t>
            </w:r>
          </w:p>
        </w:tc>
        <w:tc>
          <w:tcPr>
            <w:tcW w:w="5640" w:type="dxa"/>
            <w:tcBorders>
              <w:top w:val="nil"/>
              <w:left w:val="nil"/>
              <w:bottom w:val="nil"/>
              <w:right w:val="nil"/>
            </w:tcBorders>
            <w:tcMar>
              <w:top w:w="128" w:type="dxa"/>
              <w:left w:w="43" w:type="dxa"/>
              <w:bottom w:w="43" w:type="dxa"/>
              <w:right w:w="43" w:type="dxa"/>
            </w:tcMar>
            <w:vAlign w:val="bottom"/>
          </w:tcPr>
          <w:p w14:paraId="1D6E6EB6" w14:textId="77777777" w:rsidR="00D60186" w:rsidRPr="00815696" w:rsidRDefault="00D60186" w:rsidP="00225D4D">
            <w:pPr>
              <w:rPr>
                <w:sz w:val="21"/>
                <w:szCs w:val="21"/>
              </w:rPr>
            </w:pPr>
            <w:r w:rsidRPr="00815696">
              <w:rPr>
                <w:sz w:val="21"/>
                <w:szCs w:val="21"/>
              </w:rPr>
              <w:t xml:space="preserve">Arbeide for at gradert sjukmelding blir brukt i større grad, og for at Nav-kontoret </w:t>
            </w:r>
            <w:proofErr w:type="spellStart"/>
            <w:r w:rsidRPr="00815696">
              <w:rPr>
                <w:sz w:val="21"/>
                <w:szCs w:val="21"/>
              </w:rPr>
              <w:t>startar</w:t>
            </w:r>
            <w:proofErr w:type="spellEnd"/>
            <w:r w:rsidRPr="00815696">
              <w:rPr>
                <w:sz w:val="21"/>
                <w:szCs w:val="21"/>
              </w:rPr>
              <w:t xml:space="preserve"> oppfølginga av </w:t>
            </w:r>
            <w:proofErr w:type="gramStart"/>
            <w:r w:rsidRPr="00815696">
              <w:rPr>
                <w:sz w:val="21"/>
                <w:szCs w:val="21"/>
              </w:rPr>
              <w:t>sjukmelde</w:t>
            </w:r>
            <w:proofErr w:type="gramEnd"/>
            <w:r w:rsidRPr="00815696">
              <w:rPr>
                <w:sz w:val="21"/>
                <w:szCs w:val="21"/>
              </w:rPr>
              <w:t xml:space="preserve"> </w:t>
            </w:r>
            <w:r w:rsidRPr="00815696">
              <w:rPr>
                <w:sz w:val="21"/>
                <w:szCs w:val="21"/>
              </w:rPr>
              <w:br/>
            </w:r>
            <w:proofErr w:type="spellStart"/>
            <w:r w:rsidRPr="00815696">
              <w:rPr>
                <w:sz w:val="21"/>
                <w:szCs w:val="21"/>
              </w:rPr>
              <w:t>tidleg</w:t>
            </w:r>
            <w:proofErr w:type="spellEnd"/>
          </w:p>
        </w:tc>
        <w:tc>
          <w:tcPr>
            <w:tcW w:w="1280" w:type="dxa"/>
            <w:tcBorders>
              <w:top w:val="nil"/>
              <w:left w:val="nil"/>
              <w:bottom w:val="nil"/>
              <w:right w:val="nil"/>
            </w:tcBorders>
            <w:tcMar>
              <w:top w:w="128" w:type="dxa"/>
              <w:left w:w="43" w:type="dxa"/>
              <w:bottom w:w="43" w:type="dxa"/>
              <w:right w:w="43" w:type="dxa"/>
            </w:tcMar>
          </w:tcPr>
          <w:p w14:paraId="309A0134" w14:textId="77777777" w:rsidR="00D60186" w:rsidRPr="00815696" w:rsidRDefault="00D60186" w:rsidP="00815696">
            <w:pPr>
              <w:jc w:val="right"/>
              <w:rPr>
                <w:sz w:val="21"/>
                <w:szCs w:val="21"/>
              </w:rPr>
            </w:pPr>
            <w:r w:rsidRPr="00815696">
              <w:rPr>
                <w:sz w:val="21"/>
                <w:szCs w:val="21"/>
              </w:rPr>
              <w:t>Ja</w:t>
            </w:r>
          </w:p>
        </w:tc>
      </w:tr>
      <w:tr w:rsidR="00E76DC8" w:rsidRPr="00225D4D" w14:paraId="138B5264" w14:textId="77777777">
        <w:trPr>
          <w:trHeight w:val="640"/>
        </w:trPr>
        <w:tc>
          <w:tcPr>
            <w:tcW w:w="1320" w:type="dxa"/>
            <w:tcBorders>
              <w:top w:val="nil"/>
              <w:left w:val="nil"/>
              <w:bottom w:val="nil"/>
              <w:right w:val="nil"/>
            </w:tcBorders>
            <w:tcMar>
              <w:top w:w="128" w:type="dxa"/>
              <w:left w:w="43" w:type="dxa"/>
              <w:bottom w:w="43" w:type="dxa"/>
              <w:right w:w="43" w:type="dxa"/>
            </w:tcMar>
          </w:tcPr>
          <w:p w14:paraId="19A01787"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2DB34938" w14:textId="77777777" w:rsidR="00D60186" w:rsidRPr="00815696" w:rsidRDefault="00D60186" w:rsidP="00815696">
            <w:pPr>
              <w:ind w:right="113"/>
              <w:jc w:val="right"/>
              <w:rPr>
                <w:sz w:val="21"/>
                <w:szCs w:val="21"/>
              </w:rPr>
            </w:pPr>
            <w:r w:rsidRPr="00815696">
              <w:rPr>
                <w:sz w:val="21"/>
                <w:szCs w:val="21"/>
              </w:rPr>
              <w:t>613</w:t>
            </w:r>
          </w:p>
        </w:tc>
        <w:tc>
          <w:tcPr>
            <w:tcW w:w="5640" w:type="dxa"/>
            <w:tcBorders>
              <w:top w:val="nil"/>
              <w:left w:val="nil"/>
              <w:bottom w:val="nil"/>
              <w:right w:val="nil"/>
            </w:tcBorders>
            <w:tcMar>
              <w:top w:w="128" w:type="dxa"/>
              <w:left w:w="43" w:type="dxa"/>
              <w:bottom w:w="43" w:type="dxa"/>
              <w:right w:w="43" w:type="dxa"/>
            </w:tcMar>
            <w:vAlign w:val="bottom"/>
          </w:tcPr>
          <w:p w14:paraId="520CC581" w14:textId="77777777" w:rsidR="00D60186" w:rsidRPr="00815696" w:rsidRDefault="00D60186" w:rsidP="00225D4D">
            <w:pPr>
              <w:rPr>
                <w:sz w:val="21"/>
                <w:szCs w:val="21"/>
              </w:rPr>
            </w:pPr>
            <w:proofErr w:type="spellStart"/>
            <w:r w:rsidRPr="00815696">
              <w:rPr>
                <w:sz w:val="21"/>
                <w:szCs w:val="21"/>
              </w:rPr>
              <w:t>Skilje</w:t>
            </w:r>
            <w:proofErr w:type="spellEnd"/>
            <w:r w:rsidRPr="00815696">
              <w:rPr>
                <w:sz w:val="21"/>
                <w:szCs w:val="21"/>
              </w:rPr>
              <w:t xml:space="preserve"> ut «Varig </w:t>
            </w:r>
            <w:proofErr w:type="spellStart"/>
            <w:r w:rsidRPr="00815696">
              <w:rPr>
                <w:sz w:val="21"/>
                <w:szCs w:val="21"/>
              </w:rPr>
              <w:t>lønnstilskot</w:t>
            </w:r>
            <w:proofErr w:type="spellEnd"/>
            <w:r w:rsidRPr="00815696">
              <w:rPr>
                <w:sz w:val="21"/>
                <w:szCs w:val="21"/>
              </w:rPr>
              <w:t xml:space="preserve">» som </w:t>
            </w:r>
            <w:proofErr w:type="spellStart"/>
            <w:r w:rsidRPr="00815696">
              <w:rPr>
                <w:sz w:val="21"/>
                <w:szCs w:val="21"/>
              </w:rPr>
              <w:t>ein</w:t>
            </w:r>
            <w:proofErr w:type="spellEnd"/>
            <w:r w:rsidRPr="00815696">
              <w:rPr>
                <w:sz w:val="21"/>
                <w:szCs w:val="21"/>
              </w:rPr>
              <w:t xml:space="preserve"> eigen budsjettpost </w:t>
            </w:r>
            <w:r w:rsidRPr="00815696">
              <w:rPr>
                <w:sz w:val="21"/>
                <w:szCs w:val="21"/>
              </w:rPr>
              <w:br/>
              <w:t>i statsbudsjettet</w:t>
            </w:r>
          </w:p>
        </w:tc>
        <w:tc>
          <w:tcPr>
            <w:tcW w:w="1280" w:type="dxa"/>
            <w:tcBorders>
              <w:top w:val="nil"/>
              <w:left w:val="nil"/>
              <w:bottom w:val="nil"/>
              <w:right w:val="nil"/>
            </w:tcBorders>
            <w:tcMar>
              <w:top w:w="128" w:type="dxa"/>
              <w:left w:w="43" w:type="dxa"/>
              <w:bottom w:w="43" w:type="dxa"/>
              <w:right w:w="43" w:type="dxa"/>
            </w:tcMar>
          </w:tcPr>
          <w:p w14:paraId="4F01CFBD" w14:textId="77777777" w:rsidR="00D60186" w:rsidRPr="00815696" w:rsidRDefault="00D60186" w:rsidP="00815696">
            <w:pPr>
              <w:jc w:val="right"/>
              <w:rPr>
                <w:sz w:val="21"/>
                <w:szCs w:val="21"/>
              </w:rPr>
            </w:pPr>
            <w:r w:rsidRPr="00815696">
              <w:rPr>
                <w:sz w:val="21"/>
                <w:szCs w:val="21"/>
              </w:rPr>
              <w:t>Ja</w:t>
            </w:r>
          </w:p>
        </w:tc>
      </w:tr>
      <w:tr w:rsidR="00E76DC8" w:rsidRPr="00225D4D" w14:paraId="3AA081C0" w14:textId="77777777">
        <w:trPr>
          <w:trHeight w:val="640"/>
        </w:trPr>
        <w:tc>
          <w:tcPr>
            <w:tcW w:w="1320" w:type="dxa"/>
            <w:tcBorders>
              <w:top w:val="nil"/>
              <w:left w:val="nil"/>
              <w:bottom w:val="nil"/>
              <w:right w:val="nil"/>
            </w:tcBorders>
            <w:tcMar>
              <w:top w:w="128" w:type="dxa"/>
              <w:left w:w="43" w:type="dxa"/>
              <w:bottom w:w="43" w:type="dxa"/>
              <w:right w:w="43" w:type="dxa"/>
            </w:tcMar>
          </w:tcPr>
          <w:p w14:paraId="62E479CD"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7221A581" w14:textId="77777777" w:rsidR="00D60186" w:rsidRPr="00815696" w:rsidRDefault="00D60186" w:rsidP="00815696">
            <w:pPr>
              <w:ind w:right="113"/>
              <w:jc w:val="right"/>
              <w:rPr>
                <w:sz w:val="21"/>
                <w:szCs w:val="21"/>
              </w:rPr>
            </w:pPr>
            <w:r w:rsidRPr="00815696">
              <w:rPr>
                <w:sz w:val="21"/>
                <w:szCs w:val="21"/>
              </w:rPr>
              <w:t>614</w:t>
            </w:r>
          </w:p>
        </w:tc>
        <w:tc>
          <w:tcPr>
            <w:tcW w:w="5640" w:type="dxa"/>
            <w:tcBorders>
              <w:top w:val="nil"/>
              <w:left w:val="nil"/>
              <w:bottom w:val="nil"/>
              <w:right w:val="nil"/>
            </w:tcBorders>
            <w:tcMar>
              <w:top w:w="128" w:type="dxa"/>
              <w:left w:w="43" w:type="dxa"/>
              <w:bottom w:w="43" w:type="dxa"/>
              <w:right w:w="43" w:type="dxa"/>
            </w:tcMar>
            <w:vAlign w:val="bottom"/>
          </w:tcPr>
          <w:p w14:paraId="0FD7459F" w14:textId="77777777" w:rsidR="00D60186" w:rsidRPr="00815696" w:rsidRDefault="00D60186" w:rsidP="00225D4D">
            <w:pPr>
              <w:rPr>
                <w:sz w:val="21"/>
                <w:szCs w:val="21"/>
              </w:rPr>
            </w:pPr>
            <w:r w:rsidRPr="00815696">
              <w:rPr>
                <w:sz w:val="21"/>
                <w:szCs w:val="21"/>
              </w:rPr>
              <w:t xml:space="preserve">Legge til rette for </w:t>
            </w:r>
            <w:proofErr w:type="spellStart"/>
            <w:r w:rsidRPr="00815696">
              <w:rPr>
                <w:sz w:val="21"/>
                <w:szCs w:val="21"/>
              </w:rPr>
              <w:t>ein</w:t>
            </w:r>
            <w:proofErr w:type="spellEnd"/>
            <w:r w:rsidRPr="00815696">
              <w:rPr>
                <w:sz w:val="21"/>
                <w:szCs w:val="21"/>
              </w:rPr>
              <w:t xml:space="preserve"> </w:t>
            </w:r>
            <w:proofErr w:type="spellStart"/>
            <w:r w:rsidRPr="00815696">
              <w:rPr>
                <w:sz w:val="21"/>
                <w:szCs w:val="21"/>
              </w:rPr>
              <w:t>saumlaus</w:t>
            </w:r>
            <w:proofErr w:type="spellEnd"/>
            <w:r w:rsidRPr="00815696">
              <w:rPr>
                <w:sz w:val="21"/>
                <w:szCs w:val="21"/>
              </w:rPr>
              <w:t xml:space="preserve"> overgang </w:t>
            </w:r>
            <w:proofErr w:type="spellStart"/>
            <w:r w:rsidRPr="00815696">
              <w:rPr>
                <w:sz w:val="21"/>
                <w:szCs w:val="21"/>
              </w:rPr>
              <w:t>frå</w:t>
            </w:r>
            <w:proofErr w:type="spellEnd"/>
            <w:r w:rsidRPr="00815696">
              <w:rPr>
                <w:sz w:val="21"/>
                <w:szCs w:val="21"/>
              </w:rPr>
              <w:t xml:space="preserve"> </w:t>
            </w:r>
            <w:proofErr w:type="spellStart"/>
            <w:r w:rsidRPr="00815696">
              <w:rPr>
                <w:sz w:val="21"/>
                <w:szCs w:val="21"/>
              </w:rPr>
              <w:t>vidaregåande</w:t>
            </w:r>
            <w:proofErr w:type="spellEnd"/>
            <w:r w:rsidRPr="00815696">
              <w:rPr>
                <w:sz w:val="21"/>
                <w:szCs w:val="21"/>
              </w:rPr>
              <w:t xml:space="preserve"> skole til varig tilrettelagt arbeid (VTA) </w:t>
            </w:r>
          </w:p>
        </w:tc>
        <w:tc>
          <w:tcPr>
            <w:tcW w:w="1280" w:type="dxa"/>
            <w:tcBorders>
              <w:top w:val="nil"/>
              <w:left w:val="nil"/>
              <w:bottom w:val="nil"/>
              <w:right w:val="nil"/>
            </w:tcBorders>
            <w:tcMar>
              <w:top w:w="128" w:type="dxa"/>
              <w:left w:w="43" w:type="dxa"/>
              <w:bottom w:w="43" w:type="dxa"/>
              <w:right w:w="43" w:type="dxa"/>
            </w:tcMar>
          </w:tcPr>
          <w:p w14:paraId="50968CB3" w14:textId="77777777" w:rsidR="00D60186" w:rsidRPr="00815696" w:rsidRDefault="00D60186" w:rsidP="00815696">
            <w:pPr>
              <w:jc w:val="right"/>
              <w:rPr>
                <w:sz w:val="21"/>
                <w:szCs w:val="21"/>
              </w:rPr>
            </w:pPr>
            <w:r w:rsidRPr="00815696">
              <w:rPr>
                <w:sz w:val="21"/>
                <w:szCs w:val="21"/>
              </w:rPr>
              <w:t>Nei</w:t>
            </w:r>
          </w:p>
        </w:tc>
      </w:tr>
      <w:tr w:rsidR="00E76DC8" w:rsidRPr="00225D4D" w14:paraId="0F6EDE6B" w14:textId="77777777">
        <w:trPr>
          <w:trHeight w:val="1400"/>
        </w:trPr>
        <w:tc>
          <w:tcPr>
            <w:tcW w:w="1320" w:type="dxa"/>
            <w:tcBorders>
              <w:top w:val="nil"/>
              <w:left w:val="nil"/>
              <w:bottom w:val="nil"/>
              <w:right w:val="nil"/>
            </w:tcBorders>
            <w:tcMar>
              <w:top w:w="128" w:type="dxa"/>
              <w:left w:w="43" w:type="dxa"/>
              <w:bottom w:w="43" w:type="dxa"/>
              <w:right w:w="43" w:type="dxa"/>
            </w:tcMar>
          </w:tcPr>
          <w:p w14:paraId="3A9E6A9B"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6A6C9D90" w14:textId="77777777" w:rsidR="00D60186" w:rsidRPr="00815696" w:rsidRDefault="00D60186" w:rsidP="00815696">
            <w:pPr>
              <w:ind w:right="113"/>
              <w:jc w:val="right"/>
              <w:rPr>
                <w:sz w:val="21"/>
                <w:szCs w:val="21"/>
              </w:rPr>
            </w:pPr>
            <w:r w:rsidRPr="00815696">
              <w:rPr>
                <w:sz w:val="21"/>
                <w:szCs w:val="21"/>
              </w:rPr>
              <w:t>616</w:t>
            </w:r>
          </w:p>
        </w:tc>
        <w:tc>
          <w:tcPr>
            <w:tcW w:w="5640" w:type="dxa"/>
            <w:tcBorders>
              <w:top w:val="nil"/>
              <w:left w:val="nil"/>
              <w:bottom w:val="nil"/>
              <w:right w:val="nil"/>
            </w:tcBorders>
            <w:tcMar>
              <w:top w:w="128" w:type="dxa"/>
              <w:left w:w="43" w:type="dxa"/>
              <w:bottom w:w="43" w:type="dxa"/>
              <w:right w:w="43" w:type="dxa"/>
            </w:tcMar>
            <w:vAlign w:val="bottom"/>
          </w:tcPr>
          <w:p w14:paraId="63E594AC" w14:textId="77777777" w:rsidR="00D60186" w:rsidRPr="00815696" w:rsidRDefault="00D60186" w:rsidP="00225D4D">
            <w:pPr>
              <w:rPr>
                <w:sz w:val="21"/>
                <w:szCs w:val="21"/>
              </w:rPr>
            </w:pPr>
            <w:proofErr w:type="spellStart"/>
            <w:r w:rsidRPr="00815696">
              <w:rPr>
                <w:sz w:val="21"/>
                <w:szCs w:val="21"/>
              </w:rPr>
              <w:t>Gjere</w:t>
            </w:r>
            <w:proofErr w:type="spellEnd"/>
            <w:r w:rsidRPr="00815696">
              <w:rPr>
                <w:sz w:val="21"/>
                <w:szCs w:val="21"/>
              </w:rPr>
              <w:t xml:space="preserve"> nødvendige </w:t>
            </w:r>
            <w:proofErr w:type="spellStart"/>
            <w:r w:rsidRPr="00815696">
              <w:rPr>
                <w:sz w:val="21"/>
                <w:szCs w:val="21"/>
              </w:rPr>
              <w:t>regelendringar</w:t>
            </w:r>
            <w:proofErr w:type="spellEnd"/>
            <w:r w:rsidRPr="00815696">
              <w:rPr>
                <w:sz w:val="21"/>
                <w:szCs w:val="21"/>
              </w:rPr>
              <w:t xml:space="preserve"> for å sikre at </w:t>
            </w:r>
            <w:proofErr w:type="spellStart"/>
            <w:r w:rsidRPr="00815696">
              <w:rPr>
                <w:sz w:val="21"/>
                <w:szCs w:val="21"/>
              </w:rPr>
              <w:t>deltakarar</w:t>
            </w:r>
            <w:proofErr w:type="spellEnd"/>
            <w:r w:rsidRPr="00815696">
              <w:rPr>
                <w:sz w:val="21"/>
                <w:szCs w:val="21"/>
              </w:rPr>
              <w:t xml:space="preserve"> </w:t>
            </w:r>
            <w:r w:rsidRPr="00815696">
              <w:rPr>
                <w:sz w:val="21"/>
                <w:szCs w:val="21"/>
              </w:rPr>
              <w:br/>
              <w:t xml:space="preserve">i </w:t>
            </w:r>
            <w:proofErr w:type="spellStart"/>
            <w:r w:rsidRPr="00815696">
              <w:rPr>
                <w:sz w:val="21"/>
                <w:szCs w:val="21"/>
              </w:rPr>
              <w:t>arbeidsførebuande</w:t>
            </w:r>
            <w:proofErr w:type="spellEnd"/>
            <w:r w:rsidRPr="00815696">
              <w:rPr>
                <w:sz w:val="21"/>
                <w:szCs w:val="21"/>
              </w:rPr>
              <w:t xml:space="preserve"> trening (AFT)òg kan </w:t>
            </w:r>
            <w:proofErr w:type="spellStart"/>
            <w:r w:rsidRPr="00815696">
              <w:rPr>
                <w:sz w:val="21"/>
                <w:szCs w:val="21"/>
              </w:rPr>
              <w:t>følgast</w:t>
            </w:r>
            <w:proofErr w:type="spellEnd"/>
            <w:r w:rsidRPr="00815696">
              <w:rPr>
                <w:sz w:val="21"/>
                <w:szCs w:val="21"/>
              </w:rPr>
              <w:t xml:space="preserve"> opp på </w:t>
            </w:r>
            <w:r w:rsidRPr="00815696">
              <w:rPr>
                <w:sz w:val="21"/>
                <w:szCs w:val="21"/>
              </w:rPr>
              <w:br/>
              <w:t xml:space="preserve">hensiktsmessig måte etter tilsetting, og </w:t>
            </w:r>
            <w:proofErr w:type="spellStart"/>
            <w:r w:rsidRPr="00815696">
              <w:rPr>
                <w:sz w:val="21"/>
                <w:szCs w:val="21"/>
              </w:rPr>
              <w:t>opne</w:t>
            </w:r>
            <w:proofErr w:type="spellEnd"/>
            <w:r w:rsidRPr="00815696">
              <w:rPr>
                <w:sz w:val="21"/>
                <w:szCs w:val="21"/>
              </w:rPr>
              <w:t xml:space="preserve"> for at </w:t>
            </w:r>
            <w:r w:rsidRPr="00815696">
              <w:rPr>
                <w:sz w:val="21"/>
                <w:szCs w:val="21"/>
              </w:rPr>
              <w:br/>
            </w:r>
            <w:proofErr w:type="spellStart"/>
            <w:r w:rsidRPr="00815696">
              <w:rPr>
                <w:sz w:val="21"/>
                <w:szCs w:val="21"/>
              </w:rPr>
              <w:t>deltakarar</w:t>
            </w:r>
            <w:proofErr w:type="spellEnd"/>
            <w:r w:rsidRPr="00815696">
              <w:rPr>
                <w:sz w:val="21"/>
                <w:szCs w:val="21"/>
              </w:rPr>
              <w:t xml:space="preserve"> kan ta del i fag- og yrkesopplæring som fører </w:t>
            </w:r>
            <w:r w:rsidRPr="00815696">
              <w:rPr>
                <w:sz w:val="21"/>
                <w:szCs w:val="21"/>
              </w:rPr>
              <w:br/>
              <w:t>fram mot fagbrev</w:t>
            </w:r>
          </w:p>
        </w:tc>
        <w:tc>
          <w:tcPr>
            <w:tcW w:w="1280" w:type="dxa"/>
            <w:tcBorders>
              <w:top w:val="nil"/>
              <w:left w:val="nil"/>
              <w:bottom w:val="nil"/>
              <w:right w:val="nil"/>
            </w:tcBorders>
            <w:tcMar>
              <w:top w:w="128" w:type="dxa"/>
              <w:left w:w="43" w:type="dxa"/>
              <w:bottom w:w="43" w:type="dxa"/>
              <w:right w:w="43" w:type="dxa"/>
            </w:tcMar>
          </w:tcPr>
          <w:p w14:paraId="798571E2" w14:textId="77777777" w:rsidR="00D60186" w:rsidRPr="00815696" w:rsidRDefault="00D60186" w:rsidP="00815696">
            <w:pPr>
              <w:jc w:val="right"/>
              <w:rPr>
                <w:sz w:val="21"/>
                <w:szCs w:val="21"/>
              </w:rPr>
            </w:pPr>
            <w:r w:rsidRPr="00815696">
              <w:rPr>
                <w:sz w:val="21"/>
                <w:szCs w:val="21"/>
              </w:rPr>
              <w:t>Ja</w:t>
            </w:r>
          </w:p>
        </w:tc>
      </w:tr>
      <w:tr w:rsidR="00E76DC8" w:rsidRPr="00225D4D" w14:paraId="3AC8F7AD" w14:textId="77777777">
        <w:trPr>
          <w:trHeight w:val="380"/>
        </w:trPr>
        <w:tc>
          <w:tcPr>
            <w:tcW w:w="1320" w:type="dxa"/>
            <w:tcBorders>
              <w:top w:val="nil"/>
              <w:left w:val="nil"/>
              <w:bottom w:val="nil"/>
              <w:right w:val="nil"/>
            </w:tcBorders>
            <w:tcMar>
              <w:top w:w="128" w:type="dxa"/>
              <w:left w:w="43" w:type="dxa"/>
              <w:bottom w:w="43" w:type="dxa"/>
              <w:right w:w="43" w:type="dxa"/>
            </w:tcMar>
          </w:tcPr>
          <w:p w14:paraId="2B577754"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55899DCB" w14:textId="77777777" w:rsidR="00D60186" w:rsidRPr="00815696" w:rsidRDefault="00D60186" w:rsidP="00815696">
            <w:pPr>
              <w:ind w:right="113"/>
              <w:jc w:val="right"/>
              <w:rPr>
                <w:sz w:val="21"/>
                <w:szCs w:val="21"/>
              </w:rPr>
            </w:pPr>
            <w:r w:rsidRPr="00815696">
              <w:rPr>
                <w:sz w:val="21"/>
                <w:szCs w:val="21"/>
              </w:rPr>
              <w:t>617</w:t>
            </w:r>
          </w:p>
        </w:tc>
        <w:tc>
          <w:tcPr>
            <w:tcW w:w="5640" w:type="dxa"/>
            <w:tcBorders>
              <w:top w:val="nil"/>
              <w:left w:val="nil"/>
              <w:bottom w:val="nil"/>
              <w:right w:val="nil"/>
            </w:tcBorders>
            <w:tcMar>
              <w:top w:w="128" w:type="dxa"/>
              <w:left w:w="43" w:type="dxa"/>
              <w:bottom w:w="43" w:type="dxa"/>
              <w:right w:w="43" w:type="dxa"/>
            </w:tcMar>
            <w:vAlign w:val="bottom"/>
          </w:tcPr>
          <w:p w14:paraId="1B774B24" w14:textId="77777777" w:rsidR="00D60186" w:rsidRPr="00815696" w:rsidRDefault="00D60186" w:rsidP="00225D4D">
            <w:pPr>
              <w:rPr>
                <w:sz w:val="21"/>
                <w:szCs w:val="21"/>
              </w:rPr>
            </w:pPr>
            <w:r w:rsidRPr="00815696">
              <w:rPr>
                <w:sz w:val="21"/>
                <w:szCs w:val="21"/>
              </w:rPr>
              <w:t xml:space="preserve">Trappe opp VTA med 1 000 </w:t>
            </w:r>
            <w:proofErr w:type="spellStart"/>
            <w:r w:rsidRPr="00815696">
              <w:rPr>
                <w:sz w:val="21"/>
                <w:szCs w:val="21"/>
              </w:rPr>
              <w:t>plassar</w:t>
            </w:r>
            <w:proofErr w:type="spellEnd"/>
            <w:r w:rsidRPr="00815696">
              <w:rPr>
                <w:sz w:val="21"/>
                <w:szCs w:val="21"/>
              </w:rPr>
              <w:t xml:space="preserve"> i året</w:t>
            </w:r>
          </w:p>
        </w:tc>
        <w:tc>
          <w:tcPr>
            <w:tcW w:w="1280" w:type="dxa"/>
            <w:tcBorders>
              <w:top w:val="nil"/>
              <w:left w:val="nil"/>
              <w:bottom w:val="nil"/>
              <w:right w:val="nil"/>
            </w:tcBorders>
            <w:tcMar>
              <w:top w:w="128" w:type="dxa"/>
              <w:left w:w="43" w:type="dxa"/>
              <w:bottom w:w="43" w:type="dxa"/>
              <w:right w:w="43" w:type="dxa"/>
            </w:tcMar>
          </w:tcPr>
          <w:p w14:paraId="4A8A681D" w14:textId="77777777" w:rsidR="00D60186" w:rsidRPr="00815696" w:rsidRDefault="00D60186" w:rsidP="00815696">
            <w:pPr>
              <w:jc w:val="right"/>
              <w:rPr>
                <w:sz w:val="21"/>
                <w:szCs w:val="21"/>
              </w:rPr>
            </w:pPr>
            <w:r w:rsidRPr="00815696">
              <w:rPr>
                <w:sz w:val="21"/>
                <w:szCs w:val="21"/>
              </w:rPr>
              <w:t>Nei</w:t>
            </w:r>
          </w:p>
        </w:tc>
      </w:tr>
      <w:tr w:rsidR="00E76DC8" w:rsidRPr="00225D4D" w14:paraId="4028D740" w14:textId="77777777">
        <w:trPr>
          <w:trHeight w:val="880"/>
        </w:trPr>
        <w:tc>
          <w:tcPr>
            <w:tcW w:w="1320" w:type="dxa"/>
            <w:tcBorders>
              <w:top w:val="nil"/>
              <w:left w:val="nil"/>
              <w:bottom w:val="nil"/>
              <w:right w:val="nil"/>
            </w:tcBorders>
            <w:tcMar>
              <w:top w:w="128" w:type="dxa"/>
              <w:left w:w="43" w:type="dxa"/>
              <w:bottom w:w="43" w:type="dxa"/>
              <w:right w:w="43" w:type="dxa"/>
            </w:tcMar>
          </w:tcPr>
          <w:p w14:paraId="4AD28B34"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0A331E30" w14:textId="77777777" w:rsidR="00D60186" w:rsidRPr="00815696" w:rsidRDefault="00D60186" w:rsidP="00815696">
            <w:pPr>
              <w:ind w:right="113"/>
              <w:jc w:val="right"/>
              <w:rPr>
                <w:sz w:val="21"/>
                <w:szCs w:val="21"/>
              </w:rPr>
            </w:pPr>
            <w:r w:rsidRPr="00815696">
              <w:rPr>
                <w:sz w:val="21"/>
                <w:szCs w:val="21"/>
              </w:rPr>
              <w:t>618</w:t>
            </w:r>
          </w:p>
        </w:tc>
        <w:tc>
          <w:tcPr>
            <w:tcW w:w="5640" w:type="dxa"/>
            <w:tcBorders>
              <w:top w:val="nil"/>
              <w:left w:val="nil"/>
              <w:bottom w:val="nil"/>
              <w:right w:val="nil"/>
            </w:tcBorders>
            <w:tcMar>
              <w:top w:w="128" w:type="dxa"/>
              <w:left w:w="43" w:type="dxa"/>
              <w:bottom w:w="43" w:type="dxa"/>
              <w:right w:w="43" w:type="dxa"/>
            </w:tcMar>
            <w:vAlign w:val="bottom"/>
          </w:tcPr>
          <w:p w14:paraId="6619D82C" w14:textId="77777777" w:rsidR="00D60186" w:rsidRPr="00815696" w:rsidRDefault="00D60186" w:rsidP="00225D4D">
            <w:pPr>
              <w:rPr>
                <w:sz w:val="21"/>
                <w:szCs w:val="21"/>
              </w:rPr>
            </w:pPr>
            <w:r w:rsidRPr="00815696">
              <w:rPr>
                <w:sz w:val="21"/>
                <w:szCs w:val="21"/>
              </w:rPr>
              <w:t xml:space="preserve">Gå gjennom korleis </w:t>
            </w:r>
            <w:proofErr w:type="spellStart"/>
            <w:r w:rsidRPr="00815696">
              <w:rPr>
                <w:sz w:val="21"/>
                <w:szCs w:val="21"/>
              </w:rPr>
              <w:t>ytingar</w:t>
            </w:r>
            <w:proofErr w:type="spellEnd"/>
            <w:r w:rsidRPr="00815696">
              <w:rPr>
                <w:sz w:val="21"/>
                <w:szCs w:val="21"/>
              </w:rPr>
              <w:t xml:space="preserve"> og </w:t>
            </w:r>
            <w:proofErr w:type="spellStart"/>
            <w:r w:rsidRPr="00815696">
              <w:rPr>
                <w:sz w:val="21"/>
                <w:szCs w:val="21"/>
              </w:rPr>
              <w:t>lovreglar</w:t>
            </w:r>
            <w:proofErr w:type="spellEnd"/>
            <w:r w:rsidRPr="00815696">
              <w:rPr>
                <w:sz w:val="21"/>
                <w:szCs w:val="21"/>
              </w:rPr>
              <w:t xml:space="preserve"> for arbeidstid og ferie kan </w:t>
            </w:r>
            <w:proofErr w:type="spellStart"/>
            <w:r w:rsidRPr="00815696">
              <w:rPr>
                <w:sz w:val="21"/>
                <w:szCs w:val="21"/>
              </w:rPr>
              <w:t>innrettast</w:t>
            </w:r>
            <w:proofErr w:type="spellEnd"/>
            <w:r w:rsidRPr="00815696">
              <w:rPr>
                <w:sz w:val="21"/>
                <w:szCs w:val="21"/>
              </w:rPr>
              <w:t xml:space="preserve"> slik at </w:t>
            </w:r>
            <w:proofErr w:type="spellStart"/>
            <w:r w:rsidRPr="00815696">
              <w:rPr>
                <w:sz w:val="21"/>
                <w:szCs w:val="21"/>
              </w:rPr>
              <w:t>dei</w:t>
            </w:r>
            <w:proofErr w:type="spellEnd"/>
            <w:r w:rsidRPr="00815696">
              <w:rPr>
                <w:sz w:val="21"/>
                <w:szCs w:val="21"/>
              </w:rPr>
              <w:t xml:space="preserve"> </w:t>
            </w:r>
            <w:proofErr w:type="spellStart"/>
            <w:r w:rsidRPr="00815696">
              <w:rPr>
                <w:sz w:val="21"/>
                <w:szCs w:val="21"/>
              </w:rPr>
              <w:t>fremmar</w:t>
            </w:r>
            <w:proofErr w:type="spellEnd"/>
            <w:r w:rsidRPr="00815696">
              <w:rPr>
                <w:sz w:val="21"/>
                <w:szCs w:val="21"/>
              </w:rPr>
              <w:t xml:space="preserve"> </w:t>
            </w:r>
            <w:proofErr w:type="spellStart"/>
            <w:r w:rsidRPr="00815696">
              <w:rPr>
                <w:sz w:val="21"/>
                <w:szCs w:val="21"/>
              </w:rPr>
              <w:t>moglegheitene</w:t>
            </w:r>
            <w:proofErr w:type="spellEnd"/>
            <w:r w:rsidRPr="00815696">
              <w:rPr>
                <w:sz w:val="21"/>
                <w:szCs w:val="21"/>
              </w:rPr>
              <w:t xml:space="preserve"> til </w:t>
            </w:r>
            <w:r w:rsidRPr="00815696">
              <w:rPr>
                <w:sz w:val="21"/>
                <w:szCs w:val="21"/>
              </w:rPr>
              <w:br/>
              <w:t>å stå lenger i arbeid</w:t>
            </w:r>
          </w:p>
        </w:tc>
        <w:tc>
          <w:tcPr>
            <w:tcW w:w="1280" w:type="dxa"/>
            <w:tcBorders>
              <w:top w:val="nil"/>
              <w:left w:val="nil"/>
              <w:bottom w:val="nil"/>
              <w:right w:val="nil"/>
            </w:tcBorders>
            <w:tcMar>
              <w:top w:w="128" w:type="dxa"/>
              <w:left w:w="43" w:type="dxa"/>
              <w:bottom w:w="43" w:type="dxa"/>
              <w:right w:w="43" w:type="dxa"/>
            </w:tcMar>
          </w:tcPr>
          <w:p w14:paraId="08870DCB" w14:textId="77777777" w:rsidR="00D60186" w:rsidRPr="00815696" w:rsidRDefault="00D60186" w:rsidP="00815696">
            <w:pPr>
              <w:jc w:val="right"/>
              <w:rPr>
                <w:sz w:val="21"/>
                <w:szCs w:val="21"/>
              </w:rPr>
            </w:pPr>
            <w:r w:rsidRPr="00815696">
              <w:rPr>
                <w:sz w:val="21"/>
                <w:szCs w:val="21"/>
              </w:rPr>
              <w:t>Ja</w:t>
            </w:r>
          </w:p>
        </w:tc>
      </w:tr>
      <w:tr w:rsidR="00E76DC8" w:rsidRPr="00225D4D" w14:paraId="048297FF" w14:textId="77777777">
        <w:trPr>
          <w:trHeight w:val="640"/>
        </w:trPr>
        <w:tc>
          <w:tcPr>
            <w:tcW w:w="1320" w:type="dxa"/>
            <w:tcBorders>
              <w:top w:val="nil"/>
              <w:left w:val="nil"/>
              <w:bottom w:val="nil"/>
              <w:right w:val="nil"/>
            </w:tcBorders>
            <w:tcMar>
              <w:top w:w="128" w:type="dxa"/>
              <w:left w:w="43" w:type="dxa"/>
              <w:bottom w:w="43" w:type="dxa"/>
              <w:right w:w="43" w:type="dxa"/>
            </w:tcMar>
          </w:tcPr>
          <w:p w14:paraId="79D6760F"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337C060D" w14:textId="77777777" w:rsidR="00D60186" w:rsidRPr="00815696" w:rsidRDefault="00D60186" w:rsidP="00815696">
            <w:pPr>
              <w:ind w:right="113"/>
              <w:jc w:val="right"/>
              <w:rPr>
                <w:sz w:val="21"/>
                <w:szCs w:val="21"/>
              </w:rPr>
            </w:pPr>
            <w:r w:rsidRPr="00815696">
              <w:rPr>
                <w:sz w:val="21"/>
                <w:szCs w:val="21"/>
              </w:rPr>
              <w:t>619</w:t>
            </w:r>
          </w:p>
        </w:tc>
        <w:tc>
          <w:tcPr>
            <w:tcW w:w="5640" w:type="dxa"/>
            <w:tcBorders>
              <w:top w:val="nil"/>
              <w:left w:val="nil"/>
              <w:bottom w:val="nil"/>
              <w:right w:val="nil"/>
            </w:tcBorders>
            <w:tcMar>
              <w:top w:w="128" w:type="dxa"/>
              <w:left w:w="43" w:type="dxa"/>
              <w:bottom w:w="43" w:type="dxa"/>
              <w:right w:w="43" w:type="dxa"/>
            </w:tcMar>
            <w:vAlign w:val="bottom"/>
          </w:tcPr>
          <w:p w14:paraId="3800EA14" w14:textId="77777777" w:rsidR="00D60186" w:rsidRPr="00815696" w:rsidRDefault="00D60186" w:rsidP="00225D4D">
            <w:pPr>
              <w:rPr>
                <w:sz w:val="21"/>
                <w:szCs w:val="21"/>
              </w:rPr>
            </w:pPr>
            <w:r w:rsidRPr="00815696">
              <w:rPr>
                <w:sz w:val="21"/>
                <w:szCs w:val="21"/>
              </w:rPr>
              <w:t xml:space="preserve">Komme med forslag som styrker opptrappingsplanen for VTA </w:t>
            </w:r>
            <w:proofErr w:type="spellStart"/>
            <w:r w:rsidRPr="00815696">
              <w:rPr>
                <w:sz w:val="21"/>
                <w:szCs w:val="21"/>
              </w:rPr>
              <w:t>ytterlegare</w:t>
            </w:r>
            <w:proofErr w:type="spellEnd"/>
          </w:p>
        </w:tc>
        <w:tc>
          <w:tcPr>
            <w:tcW w:w="1280" w:type="dxa"/>
            <w:tcBorders>
              <w:top w:val="nil"/>
              <w:left w:val="nil"/>
              <w:bottom w:val="nil"/>
              <w:right w:val="nil"/>
            </w:tcBorders>
            <w:tcMar>
              <w:top w:w="128" w:type="dxa"/>
              <w:left w:w="43" w:type="dxa"/>
              <w:bottom w:w="43" w:type="dxa"/>
              <w:right w:w="43" w:type="dxa"/>
            </w:tcMar>
          </w:tcPr>
          <w:p w14:paraId="1620D470" w14:textId="77777777" w:rsidR="00D60186" w:rsidRPr="00815696" w:rsidRDefault="00D60186" w:rsidP="00815696">
            <w:pPr>
              <w:jc w:val="right"/>
              <w:rPr>
                <w:sz w:val="21"/>
                <w:szCs w:val="21"/>
              </w:rPr>
            </w:pPr>
            <w:r w:rsidRPr="00815696">
              <w:rPr>
                <w:sz w:val="21"/>
                <w:szCs w:val="21"/>
              </w:rPr>
              <w:t>Ja</w:t>
            </w:r>
          </w:p>
        </w:tc>
      </w:tr>
      <w:tr w:rsidR="00E76DC8" w:rsidRPr="00225D4D" w14:paraId="15DE9023" w14:textId="77777777">
        <w:trPr>
          <w:trHeight w:val="640"/>
        </w:trPr>
        <w:tc>
          <w:tcPr>
            <w:tcW w:w="1320" w:type="dxa"/>
            <w:tcBorders>
              <w:top w:val="nil"/>
              <w:left w:val="nil"/>
              <w:bottom w:val="nil"/>
              <w:right w:val="nil"/>
            </w:tcBorders>
            <w:tcMar>
              <w:top w:w="128" w:type="dxa"/>
              <w:left w:w="43" w:type="dxa"/>
              <w:bottom w:w="43" w:type="dxa"/>
              <w:right w:w="43" w:type="dxa"/>
            </w:tcMar>
          </w:tcPr>
          <w:p w14:paraId="210DB3CE"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25B7B915" w14:textId="77777777" w:rsidR="00D60186" w:rsidRPr="00815696" w:rsidRDefault="00D60186" w:rsidP="00815696">
            <w:pPr>
              <w:ind w:right="113"/>
              <w:jc w:val="right"/>
              <w:rPr>
                <w:sz w:val="21"/>
                <w:szCs w:val="21"/>
              </w:rPr>
            </w:pPr>
            <w:r w:rsidRPr="00815696">
              <w:rPr>
                <w:sz w:val="21"/>
                <w:szCs w:val="21"/>
              </w:rPr>
              <w:t>620</w:t>
            </w:r>
          </w:p>
        </w:tc>
        <w:tc>
          <w:tcPr>
            <w:tcW w:w="5640" w:type="dxa"/>
            <w:tcBorders>
              <w:top w:val="nil"/>
              <w:left w:val="nil"/>
              <w:bottom w:val="nil"/>
              <w:right w:val="nil"/>
            </w:tcBorders>
            <w:tcMar>
              <w:top w:w="128" w:type="dxa"/>
              <w:left w:w="43" w:type="dxa"/>
              <w:bottom w:w="43" w:type="dxa"/>
              <w:right w:w="43" w:type="dxa"/>
            </w:tcMar>
            <w:vAlign w:val="bottom"/>
          </w:tcPr>
          <w:p w14:paraId="14442CE7" w14:textId="77777777" w:rsidR="00D60186" w:rsidRPr="00815696" w:rsidRDefault="00D60186" w:rsidP="00225D4D">
            <w:pPr>
              <w:rPr>
                <w:sz w:val="21"/>
                <w:szCs w:val="21"/>
              </w:rPr>
            </w:pPr>
            <w:r w:rsidRPr="00815696">
              <w:rPr>
                <w:sz w:val="21"/>
                <w:szCs w:val="21"/>
              </w:rPr>
              <w:t xml:space="preserve">Sørge for at varig tilrettelagt arbeid (VTA) og </w:t>
            </w:r>
            <w:proofErr w:type="spellStart"/>
            <w:r w:rsidRPr="00815696">
              <w:rPr>
                <w:sz w:val="21"/>
                <w:szCs w:val="21"/>
              </w:rPr>
              <w:t>arbeidsførebuande</w:t>
            </w:r>
            <w:proofErr w:type="spellEnd"/>
            <w:r w:rsidRPr="00815696">
              <w:rPr>
                <w:sz w:val="21"/>
                <w:szCs w:val="21"/>
              </w:rPr>
              <w:t xml:space="preserve"> trening (AFT) </w:t>
            </w:r>
            <w:proofErr w:type="spellStart"/>
            <w:r w:rsidRPr="00815696">
              <w:rPr>
                <w:sz w:val="21"/>
                <w:szCs w:val="21"/>
              </w:rPr>
              <w:t>ikkje</w:t>
            </w:r>
            <w:proofErr w:type="spellEnd"/>
            <w:r w:rsidRPr="00815696">
              <w:rPr>
                <w:sz w:val="21"/>
                <w:szCs w:val="21"/>
              </w:rPr>
              <w:t xml:space="preserve"> kan </w:t>
            </w:r>
            <w:proofErr w:type="spellStart"/>
            <w:r w:rsidRPr="00815696">
              <w:rPr>
                <w:sz w:val="21"/>
                <w:szCs w:val="21"/>
              </w:rPr>
              <w:t>settast</w:t>
            </w:r>
            <w:proofErr w:type="spellEnd"/>
            <w:r w:rsidRPr="00815696">
              <w:rPr>
                <w:sz w:val="21"/>
                <w:szCs w:val="21"/>
              </w:rPr>
              <w:t xml:space="preserve"> ut på </w:t>
            </w:r>
            <w:proofErr w:type="spellStart"/>
            <w:r w:rsidRPr="00815696">
              <w:rPr>
                <w:sz w:val="21"/>
                <w:szCs w:val="21"/>
              </w:rPr>
              <w:t>anbod</w:t>
            </w:r>
            <w:proofErr w:type="spellEnd"/>
            <w:r w:rsidRPr="00815696">
              <w:rPr>
                <w:sz w:val="21"/>
                <w:szCs w:val="21"/>
              </w:rPr>
              <w:t xml:space="preserve"> </w:t>
            </w:r>
          </w:p>
        </w:tc>
        <w:tc>
          <w:tcPr>
            <w:tcW w:w="1280" w:type="dxa"/>
            <w:tcBorders>
              <w:top w:val="nil"/>
              <w:left w:val="nil"/>
              <w:bottom w:val="nil"/>
              <w:right w:val="nil"/>
            </w:tcBorders>
            <w:tcMar>
              <w:top w:w="128" w:type="dxa"/>
              <w:left w:w="43" w:type="dxa"/>
              <w:bottom w:w="43" w:type="dxa"/>
              <w:right w:w="43" w:type="dxa"/>
            </w:tcMar>
          </w:tcPr>
          <w:p w14:paraId="167B5E55" w14:textId="77777777" w:rsidR="00D60186" w:rsidRPr="00815696" w:rsidRDefault="00D60186" w:rsidP="00815696">
            <w:pPr>
              <w:jc w:val="right"/>
              <w:rPr>
                <w:sz w:val="21"/>
                <w:szCs w:val="21"/>
              </w:rPr>
            </w:pPr>
            <w:r w:rsidRPr="00815696">
              <w:rPr>
                <w:sz w:val="21"/>
                <w:szCs w:val="21"/>
              </w:rPr>
              <w:t>Ja</w:t>
            </w:r>
          </w:p>
        </w:tc>
      </w:tr>
      <w:tr w:rsidR="00E76DC8" w:rsidRPr="00225D4D" w14:paraId="668A4A04" w14:textId="77777777">
        <w:trPr>
          <w:trHeight w:val="640"/>
        </w:trPr>
        <w:tc>
          <w:tcPr>
            <w:tcW w:w="1320" w:type="dxa"/>
            <w:tcBorders>
              <w:top w:val="nil"/>
              <w:left w:val="nil"/>
              <w:bottom w:val="nil"/>
              <w:right w:val="nil"/>
            </w:tcBorders>
            <w:tcMar>
              <w:top w:w="128" w:type="dxa"/>
              <w:left w:w="43" w:type="dxa"/>
              <w:bottom w:w="43" w:type="dxa"/>
              <w:right w:w="43" w:type="dxa"/>
            </w:tcMar>
          </w:tcPr>
          <w:p w14:paraId="164C5D78"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0AAA7467" w14:textId="77777777" w:rsidR="00D60186" w:rsidRPr="00815696" w:rsidRDefault="00D60186" w:rsidP="00815696">
            <w:pPr>
              <w:ind w:right="113"/>
              <w:jc w:val="right"/>
              <w:rPr>
                <w:sz w:val="21"/>
                <w:szCs w:val="21"/>
              </w:rPr>
            </w:pPr>
            <w:r w:rsidRPr="00815696">
              <w:rPr>
                <w:sz w:val="21"/>
                <w:szCs w:val="21"/>
              </w:rPr>
              <w:t>621</w:t>
            </w:r>
          </w:p>
        </w:tc>
        <w:tc>
          <w:tcPr>
            <w:tcW w:w="5640" w:type="dxa"/>
            <w:tcBorders>
              <w:top w:val="nil"/>
              <w:left w:val="nil"/>
              <w:bottom w:val="nil"/>
              <w:right w:val="nil"/>
            </w:tcBorders>
            <w:tcMar>
              <w:top w:w="128" w:type="dxa"/>
              <w:left w:w="43" w:type="dxa"/>
              <w:bottom w:w="43" w:type="dxa"/>
              <w:right w:w="43" w:type="dxa"/>
            </w:tcMar>
            <w:vAlign w:val="bottom"/>
          </w:tcPr>
          <w:p w14:paraId="4840428C" w14:textId="77777777" w:rsidR="00D60186" w:rsidRPr="00815696" w:rsidRDefault="00D60186" w:rsidP="00225D4D">
            <w:pPr>
              <w:rPr>
                <w:sz w:val="21"/>
                <w:szCs w:val="21"/>
              </w:rPr>
            </w:pPr>
            <w:r w:rsidRPr="00815696">
              <w:rPr>
                <w:sz w:val="21"/>
                <w:szCs w:val="21"/>
              </w:rPr>
              <w:t xml:space="preserve">Prioritere ideelle og </w:t>
            </w:r>
            <w:proofErr w:type="spellStart"/>
            <w:r w:rsidRPr="00815696">
              <w:rPr>
                <w:sz w:val="21"/>
                <w:szCs w:val="21"/>
              </w:rPr>
              <w:t>offentlege</w:t>
            </w:r>
            <w:proofErr w:type="spellEnd"/>
            <w:r w:rsidRPr="00815696">
              <w:rPr>
                <w:sz w:val="21"/>
                <w:szCs w:val="21"/>
              </w:rPr>
              <w:t xml:space="preserve"> </w:t>
            </w:r>
            <w:proofErr w:type="spellStart"/>
            <w:r w:rsidRPr="00815696">
              <w:rPr>
                <w:sz w:val="21"/>
                <w:szCs w:val="21"/>
              </w:rPr>
              <w:t>aktørar</w:t>
            </w:r>
            <w:proofErr w:type="spellEnd"/>
            <w:r w:rsidRPr="00815696">
              <w:rPr>
                <w:sz w:val="21"/>
                <w:szCs w:val="21"/>
              </w:rPr>
              <w:t xml:space="preserve"> i </w:t>
            </w:r>
            <w:proofErr w:type="spellStart"/>
            <w:r w:rsidRPr="00815696">
              <w:rPr>
                <w:sz w:val="21"/>
                <w:szCs w:val="21"/>
              </w:rPr>
              <w:t>arbeidsmarknadstiltak</w:t>
            </w:r>
            <w:proofErr w:type="spellEnd"/>
            <w:r w:rsidRPr="00815696">
              <w:rPr>
                <w:sz w:val="21"/>
                <w:szCs w:val="21"/>
              </w:rPr>
              <w:t xml:space="preserve"> for å sikre best </w:t>
            </w:r>
            <w:proofErr w:type="spellStart"/>
            <w:r w:rsidRPr="00815696">
              <w:rPr>
                <w:sz w:val="21"/>
                <w:szCs w:val="21"/>
              </w:rPr>
              <w:t>mogleg</w:t>
            </w:r>
            <w:proofErr w:type="spellEnd"/>
            <w:r w:rsidRPr="00815696">
              <w:rPr>
                <w:sz w:val="21"/>
                <w:szCs w:val="21"/>
              </w:rPr>
              <w:t xml:space="preserve"> kvalitet i tiltaka for </w:t>
            </w:r>
            <w:proofErr w:type="spellStart"/>
            <w:r w:rsidRPr="00815696">
              <w:rPr>
                <w:sz w:val="21"/>
                <w:szCs w:val="21"/>
              </w:rPr>
              <w:t>brukarane</w:t>
            </w:r>
            <w:proofErr w:type="spellEnd"/>
          </w:p>
        </w:tc>
        <w:tc>
          <w:tcPr>
            <w:tcW w:w="1280" w:type="dxa"/>
            <w:tcBorders>
              <w:top w:val="nil"/>
              <w:left w:val="nil"/>
              <w:bottom w:val="nil"/>
              <w:right w:val="nil"/>
            </w:tcBorders>
            <w:tcMar>
              <w:top w:w="128" w:type="dxa"/>
              <w:left w:w="43" w:type="dxa"/>
              <w:bottom w:w="43" w:type="dxa"/>
              <w:right w:w="43" w:type="dxa"/>
            </w:tcMar>
          </w:tcPr>
          <w:p w14:paraId="6445D85D" w14:textId="77777777" w:rsidR="00D60186" w:rsidRPr="00815696" w:rsidRDefault="00D60186" w:rsidP="00815696">
            <w:pPr>
              <w:jc w:val="right"/>
              <w:rPr>
                <w:sz w:val="21"/>
                <w:szCs w:val="21"/>
              </w:rPr>
            </w:pPr>
            <w:r w:rsidRPr="00815696">
              <w:rPr>
                <w:sz w:val="21"/>
                <w:szCs w:val="21"/>
              </w:rPr>
              <w:t>Nei</w:t>
            </w:r>
          </w:p>
        </w:tc>
      </w:tr>
      <w:tr w:rsidR="00E76DC8" w:rsidRPr="00225D4D" w14:paraId="3B097BA7" w14:textId="77777777">
        <w:trPr>
          <w:trHeight w:val="640"/>
        </w:trPr>
        <w:tc>
          <w:tcPr>
            <w:tcW w:w="1320" w:type="dxa"/>
            <w:tcBorders>
              <w:top w:val="nil"/>
              <w:left w:val="nil"/>
              <w:bottom w:val="nil"/>
              <w:right w:val="nil"/>
            </w:tcBorders>
            <w:tcMar>
              <w:top w:w="128" w:type="dxa"/>
              <w:left w:w="43" w:type="dxa"/>
              <w:bottom w:w="43" w:type="dxa"/>
              <w:right w:w="43" w:type="dxa"/>
            </w:tcMar>
          </w:tcPr>
          <w:p w14:paraId="62465A50"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40038741" w14:textId="77777777" w:rsidR="00D60186" w:rsidRPr="00815696" w:rsidRDefault="00D60186" w:rsidP="00815696">
            <w:pPr>
              <w:ind w:right="113"/>
              <w:jc w:val="right"/>
              <w:rPr>
                <w:sz w:val="21"/>
                <w:szCs w:val="21"/>
              </w:rPr>
            </w:pPr>
            <w:r w:rsidRPr="00815696">
              <w:rPr>
                <w:sz w:val="21"/>
                <w:szCs w:val="21"/>
              </w:rPr>
              <w:t>790</w:t>
            </w:r>
          </w:p>
        </w:tc>
        <w:tc>
          <w:tcPr>
            <w:tcW w:w="5640" w:type="dxa"/>
            <w:tcBorders>
              <w:top w:val="nil"/>
              <w:left w:val="nil"/>
              <w:bottom w:val="nil"/>
              <w:right w:val="nil"/>
            </w:tcBorders>
            <w:tcMar>
              <w:top w:w="128" w:type="dxa"/>
              <w:left w:w="43" w:type="dxa"/>
              <w:bottom w:w="43" w:type="dxa"/>
              <w:right w:w="43" w:type="dxa"/>
            </w:tcMar>
            <w:vAlign w:val="bottom"/>
          </w:tcPr>
          <w:p w14:paraId="62689A6F" w14:textId="77777777" w:rsidR="00D60186" w:rsidRPr="00815696" w:rsidRDefault="00D60186" w:rsidP="00225D4D">
            <w:pPr>
              <w:rPr>
                <w:sz w:val="21"/>
                <w:szCs w:val="21"/>
              </w:rPr>
            </w:pPr>
            <w:r w:rsidRPr="00815696">
              <w:rPr>
                <w:sz w:val="21"/>
                <w:szCs w:val="21"/>
              </w:rPr>
              <w:t xml:space="preserve">Sikre Arbeidstilsynet </w:t>
            </w:r>
            <w:proofErr w:type="spellStart"/>
            <w:r w:rsidRPr="00815696">
              <w:rPr>
                <w:sz w:val="21"/>
                <w:szCs w:val="21"/>
              </w:rPr>
              <w:t>lovheimlar</w:t>
            </w:r>
            <w:proofErr w:type="spellEnd"/>
            <w:r w:rsidRPr="00815696">
              <w:rPr>
                <w:sz w:val="21"/>
                <w:szCs w:val="21"/>
              </w:rPr>
              <w:t xml:space="preserve"> for å kunne </w:t>
            </w:r>
            <w:proofErr w:type="spellStart"/>
            <w:r w:rsidRPr="00815696">
              <w:rPr>
                <w:sz w:val="21"/>
                <w:szCs w:val="21"/>
              </w:rPr>
              <w:t>offentleggjere</w:t>
            </w:r>
            <w:proofErr w:type="spellEnd"/>
            <w:r w:rsidRPr="00815696">
              <w:rPr>
                <w:sz w:val="21"/>
                <w:szCs w:val="21"/>
              </w:rPr>
              <w:t xml:space="preserve"> grove og gjentatte </w:t>
            </w:r>
            <w:proofErr w:type="spellStart"/>
            <w:r w:rsidRPr="00815696">
              <w:rPr>
                <w:sz w:val="21"/>
                <w:szCs w:val="21"/>
              </w:rPr>
              <w:t>brot</w:t>
            </w:r>
            <w:proofErr w:type="spellEnd"/>
          </w:p>
        </w:tc>
        <w:tc>
          <w:tcPr>
            <w:tcW w:w="1280" w:type="dxa"/>
            <w:tcBorders>
              <w:top w:val="nil"/>
              <w:left w:val="nil"/>
              <w:bottom w:val="nil"/>
              <w:right w:val="nil"/>
            </w:tcBorders>
            <w:tcMar>
              <w:top w:w="128" w:type="dxa"/>
              <w:left w:w="43" w:type="dxa"/>
              <w:bottom w:w="43" w:type="dxa"/>
              <w:right w:w="43" w:type="dxa"/>
            </w:tcMar>
          </w:tcPr>
          <w:p w14:paraId="61F97BA6" w14:textId="77777777" w:rsidR="00D60186" w:rsidRPr="00815696" w:rsidRDefault="00D60186" w:rsidP="00815696">
            <w:pPr>
              <w:jc w:val="right"/>
              <w:rPr>
                <w:sz w:val="21"/>
                <w:szCs w:val="21"/>
              </w:rPr>
            </w:pPr>
            <w:r w:rsidRPr="00815696">
              <w:rPr>
                <w:sz w:val="21"/>
                <w:szCs w:val="21"/>
              </w:rPr>
              <w:t>Ja</w:t>
            </w:r>
          </w:p>
        </w:tc>
      </w:tr>
      <w:tr w:rsidR="00E76DC8" w:rsidRPr="00225D4D" w14:paraId="251A064D" w14:textId="77777777">
        <w:trPr>
          <w:trHeight w:val="640"/>
        </w:trPr>
        <w:tc>
          <w:tcPr>
            <w:tcW w:w="1320" w:type="dxa"/>
            <w:tcBorders>
              <w:top w:val="nil"/>
              <w:left w:val="nil"/>
              <w:bottom w:val="nil"/>
              <w:right w:val="nil"/>
            </w:tcBorders>
            <w:tcMar>
              <w:top w:w="128" w:type="dxa"/>
              <w:left w:w="43" w:type="dxa"/>
              <w:bottom w:w="43" w:type="dxa"/>
              <w:right w:w="43" w:type="dxa"/>
            </w:tcMar>
          </w:tcPr>
          <w:p w14:paraId="75D9822B"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346396EB" w14:textId="77777777" w:rsidR="00D60186" w:rsidRPr="00815696" w:rsidRDefault="00D60186" w:rsidP="00815696">
            <w:pPr>
              <w:ind w:right="113"/>
              <w:jc w:val="right"/>
              <w:rPr>
                <w:sz w:val="21"/>
                <w:szCs w:val="21"/>
              </w:rPr>
            </w:pPr>
            <w:r w:rsidRPr="00815696">
              <w:rPr>
                <w:sz w:val="21"/>
                <w:szCs w:val="21"/>
              </w:rPr>
              <w:t>791</w:t>
            </w:r>
          </w:p>
        </w:tc>
        <w:tc>
          <w:tcPr>
            <w:tcW w:w="5640" w:type="dxa"/>
            <w:tcBorders>
              <w:top w:val="nil"/>
              <w:left w:val="nil"/>
              <w:bottom w:val="nil"/>
              <w:right w:val="nil"/>
            </w:tcBorders>
            <w:tcMar>
              <w:top w:w="128" w:type="dxa"/>
              <w:left w:w="43" w:type="dxa"/>
              <w:bottom w:w="43" w:type="dxa"/>
              <w:right w:w="43" w:type="dxa"/>
            </w:tcMar>
            <w:vAlign w:val="bottom"/>
          </w:tcPr>
          <w:p w14:paraId="6BA19367" w14:textId="77777777" w:rsidR="00D60186" w:rsidRPr="00815696" w:rsidRDefault="00D60186" w:rsidP="00225D4D">
            <w:pPr>
              <w:rPr>
                <w:sz w:val="21"/>
                <w:szCs w:val="21"/>
              </w:rPr>
            </w:pPr>
            <w:r w:rsidRPr="00815696">
              <w:rPr>
                <w:sz w:val="21"/>
                <w:szCs w:val="21"/>
              </w:rPr>
              <w:t xml:space="preserve">Greie ut </w:t>
            </w:r>
            <w:proofErr w:type="spellStart"/>
            <w:r w:rsidRPr="00815696">
              <w:rPr>
                <w:sz w:val="21"/>
                <w:szCs w:val="21"/>
              </w:rPr>
              <w:t>eit</w:t>
            </w:r>
            <w:proofErr w:type="spellEnd"/>
            <w:r w:rsidRPr="00815696">
              <w:rPr>
                <w:sz w:val="21"/>
                <w:szCs w:val="21"/>
              </w:rPr>
              <w:t xml:space="preserve"> prikksystem hos Arbeidstilsynet, der </w:t>
            </w:r>
            <w:r w:rsidRPr="00815696">
              <w:rPr>
                <w:sz w:val="21"/>
                <w:szCs w:val="21"/>
              </w:rPr>
              <w:br/>
            </w:r>
            <w:proofErr w:type="spellStart"/>
            <w:r w:rsidRPr="00815696">
              <w:rPr>
                <w:sz w:val="21"/>
                <w:szCs w:val="21"/>
              </w:rPr>
              <w:t>sanksjonane</w:t>
            </w:r>
            <w:proofErr w:type="spellEnd"/>
            <w:r w:rsidRPr="00815696">
              <w:rPr>
                <w:sz w:val="21"/>
                <w:szCs w:val="21"/>
              </w:rPr>
              <w:t xml:space="preserve"> blir </w:t>
            </w:r>
            <w:proofErr w:type="spellStart"/>
            <w:r w:rsidRPr="00815696">
              <w:rPr>
                <w:sz w:val="21"/>
                <w:szCs w:val="21"/>
              </w:rPr>
              <w:t>hardare</w:t>
            </w:r>
            <w:proofErr w:type="spellEnd"/>
            <w:r w:rsidRPr="00815696">
              <w:rPr>
                <w:sz w:val="21"/>
                <w:szCs w:val="21"/>
              </w:rPr>
              <w:t xml:space="preserve"> etter gjentatte </w:t>
            </w:r>
            <w:proofErr w:type="spellStart"/>
            <w:r w:rsidRPr="00815696">
              <w:rPr>
                <w:sz w:val="21"/>
                <w:szCs w:val="21"/>
              </w:rPr>
              <w:t>brot</w:t>
            </w:r>
            <w:proofErr w:type="spellEnd"/>
          </w:p>
        </w:tc>
        <w:tc>
          <w:tcPr>
            <w:tcW w:w="1280" w:type="dxa"/>
            <w:tcBorders>
              <w:top w:val="nil"/>
              <w:left w:val="nil"/>
              <w:bottom w:val="nil"/>
              <w:right w:val="nil"/>
            </w:tcBorders>
            <w:tcMar>
              <w:top w:w="128" w:type="dxa"/>
              <w:left w:w="43" w:type="dxa"/>
              <w:bottom w:w="43" w:type="dxa"/>
              <w:right w:w="43" w:type="dxa"/>
            </w:tcMar>
          </w:tcPr>
          <w:p w14:paraId="30A0D50C" w14:textId="77777777" w:rsidR="00D60186" w:rsidRPr="00815696" w:rsidRDefault="00D60186" w:rsidP="00815696">
            <w:pPr>
              <w:jc w:val="right"/>
              <w:rPr>
                <w:sz w:val="21"/>
                <w:szCs w:val="21"/>
              </w:rPr>
            </w:pPr>
            <w:r w:rsidRPr="00815696">
              <w:rPr>
                <w:sz w:val="21"/>
                <w:szCs w:val="21"/>
              </w:rPr>
              <w:t>Nei</w:t>
            </w:r>
          </w:p>
        </w:tc>
      </w:tr>
      <w:tr w:rsidR="00E76DC8" w:rsidRPr="00225D4D" w14:paraId="34E35A3C" w14:textId="77777777">
        <w:trPr>
          <w:trHeight w:val="640"/>
        </w:trPr>
        <w:tc>
          <w:tcPr>
            <w:tcW w:w="1320" w:type="dxa"/>
            <w:tcBorders>
              <w:top w:val="nil"/>
              <w:left w:val="nil"/>
              <w:bottom w:val="nil"/>
              <w:right w:val="nil"/>
            </w:tcBorders>
            <w:tcMar>
              <w:top w:w="128" w:type="dxa"/>
              <w:left w:w="43" w:type="dxa"/>
              <w:bottom w:w="43" w:type="dxa"/>
              <w:right w:w="43" w:type="dxa"/>
            </w:tcMar>
          </w:tcPr>
          <w:p w14:paraId="727082C0"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6154E43A" w14:textId="77777777" w:rsidR="00D60186" w:rsidRPr="00815696" w:rsidRDefault="00D60186" w:rsidP="00815696">
            <w:pPr>
              <w:ind w:right="113"/>
              <w:jc w:val="right"/>
              <w:rPr>
                <w:sz w:val="21"/>
                <w:szCs w:val="21"/>
              </w:rPr>
            </w:pPr>
            <w:r w:rsidRPr="00815696">
              <w:rPr>
                <w:sz w:val="21"/>
                <w:szCs w:val="21"/>
              </w:rPr>
              <w:t>792</w:t>
            </w:r>
          </w:p>
        </w:tc>
        <w:tc>
          <w:tcPr>
            <w:tcW w:w="5640" w:type="dxa"/>
            <w:tcBorders>
              <w:top w:val="nil"/>
              <w:left w:val="nil"/>
              <w:bottom w:val="nil"/>
              <w:right w:val="nil"/>
            </w:tcBorders>
            <w:tcMar>
              <w:top w:w="128" w:type="dxa"/>
              <w:left w:w="43" w:type="dxa"/>
              <w:bottom w:w="43" w:type="dxa"/>
              <w:right w:w="43" w:type="dxa"/>
            </w:tcMar>
            <w:vAlign w:val="bottom"/>
          </w:tcPr>
          <w:p w14:paraId="10C4753E" w14:textId="77777777" w:rsidR="00D60186" w:rsidRPr="00815696" w:rsidRDefault="00D60186" w:rsidP="00225D4D">
            <w:pPr>
              <w:rPr>
                <w:sz w:val="21"/>
                <w:szCs w:val="21"/>
              </w:rPr>
            </w:pPr>
            <w:r w:rsidRPr="00815696">
              <w:rPr>
                <w:sz w:val="21"/>
                <w:szCs w:val="21"/>
              </w:rPr>
              <w:t xml:space="preserve">Betre kunnskapsgrunnlaget og </w:t>
            </w:r>
            <w:proofErr w:type="spellStart"/>
            <w:r w:rsidRPr="00815696">
              <w:rPr>
                <w:sz w:val="21"/>
                <w:szCs w:val="21"/>
              </w:rPr>
              <w:t>auke</w:t>
            </w:r>
            <w:proofErr w:type="spellEnd"/>
            <w:r w:rsidRPr="00815696">
              <w:rPr>
                <w:sz w:val="21"/>
                <w:szCs w:val="21"/>
              </w:rPr>
              <w:t xml:space="preserve"> forskinga om sosial dumping og arbeidslivskriminalitet</w:t>
            </w:r>
          </w:p>
        </w:tc>
        <w:tc>
          <w:tcPr>
            <w:tcW w:w="1280" w:type="dxa"/>
            <w:tcBorders>
              <w:top w:val="nil"/>
              <w:left w:val="nil"/>
              <w:bottom w:val="nil"/>
              <w:right w:val="nil"/>
            </w:tcBorders>
            <w:tcMar>
              <w:top w:w="128" w:type="dxa"/>
              <w:left w:w="43" w:type="dxa"/>
              <w:bottom w:w="43" w:type="dxa"/>
              <w:right w:w="43" w:type="dxa"/>
            </w:tcMar>
          </w:tcPr>
          <w:p w14:paraId="5BD27BC7" w14:textId="77777777" w:rsidR="00D60186" w:rsidRPr="00815696" w:rsidRDefault="00D60186" w:rsidP="00815696">
            <w:pPr>
              <w:jc w:val="right"/>
              <w:rPr>
                <w:sz w:val="21"/>
                <w:szCs w:val="21"/>
              </w:rPr>
            </w:pPr>
            <w:r w:rsidRPr="00815696">
              <w:rPr>
                <w:sz w:val="21"/>
                <w:szCs w:val="21"/>
              </w:rPr>
              <w:t>Ja</w:t>
            </w:r>
          </w:p>
        </w:tc>
      </w:tr>
      <w:tr w:rsidR="00E76DC8" w:rsidRPr="00225D4D" w14:paraId="7915289A" w14:textId="77777777">
        <w:trPr>
          <w:trHeight w:val="640"/>
        </w:trPr>
        <w:tc>
          <w:tcPr>
            <w:tcW w:w="1320" w:type="dxa"/>
            <w:tcBorders>
              <w:top w:val="nil"/>
              <w:left w:val="nil"/>
              <w:bottom w:val="nil"/>
              <w:right w:val="nil"/>
            </w:tcBorders>
            <w:tcMar>
              <w:top w:w="128" w:type="dxa"/>
              <w:left w:w="43" w:type="dxa"/>
              <w:bottom w:w="43" w:type="dxa"/>
              <w:right w:w="43" w:type="dxa"/>
            </w:tcMar>
          </w:tcPr>
          <w:p w14:paraId="11097A94"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33B03DE2" w14:textId="77777777" w:rsidR="00D60186" w:rsidRPr="00815696" w:rsidRDefault="00D60186" w:rsidP="00815696">
            <w:pPr>
              <w:ind w:right="113"/>
              <w:jc w:val="right"/>
              <w:rPr>
                <w:sz w:val="21"/>
                <w:szCs w:val="21"/>
              </w:rPr>
            </w:pPr>
            <w:r w:rsidRPr="00815696">
              <w:rPr>
                <w:sz w:val="21"/>
                <w:szCs w:val="21"/>
              </w:rPr>
              <w:t>793</w:t>
            </w:r>
          </w:p>
        </w:tc>
        <w:tc>
          <w:tcPr>
            <w:tcW w:w="5640" w:type="dxa"/>
            <w:tcBorders>
              <w:top w:val="nil"/>
              <w:left w:val="nil"/>
              <w:bottom w:val="nil"/>
              <w:right w:val="nil"/>
            </w:tcBorders>
            <w:tcMar>
              <w:top w:w="128" w:type="dxa"/>
              <w:left w:w="43" w:type="dxa"/>
              <w:bottom w:w="43" w:type="dxa"/>
              <w:right w:w="43" w:type="dxa"/>
            </w:tcMar>
            <w:vAlign w:val="bottom"/>
          </w:tcPr>
          <w:p w14:paraId="0B42D0D6" w14:textId="77777777" w:rsidR="00D60186" w:rsidRPr="00815696" w:rsidRDefault="00D60186" w:rsidP="00225D4D">
            <w:pPr>
              <w:rPr>
                <w:sz w:val="21"/>
                <w:szCs w:val="21"/>
              </w:rPr>
            </w:pPr>
            <w:r w:rsidRPr="00815696">
              <w:rPr>
                <w:sz w:val="21"/>
                <w:szCs w:val="21"/>
              </w:rPr>
              <w:t xml:space="preserve">Styrke samarbeidet med sjølvstendige </w:t>
            </w:r>
            <w:proofErr w:type="spellStart"/>
            <w:r w:rsidRPr="00815696">
              <w:rPr>
                <w:sz w:val="21"/>
                <w:szCs w:val="21"/>
              </w:rPr>
              <w:t>organisasjonar</w:t>
            </w:r>
            <w:proofErr w:type="spellEnd"/>
            <w:r w:rsidRPr="00815696">
              <w:rPr>
                <w:sz w:val="21"/>
                <w:szCs w:val="21"/>
              </w:rPr>
              <w:t>, som for eksempel Fair Play Bygg Norge</w:t>
            </w:r>
          </w:p>
        </w:tc>
        <w:tc>
          <w:tcPr>
            <w:tcW w:w="1280" w:type="dxa"/>
            <w:tcBorders>
              <w:top w:val="nil"/>
              <w:left w:val="nil"/>
              <w:bottom w:val="nil"/>
              <w:right w:val="nil"/>
            </w:tcBorders>
            <w:tcMar>
              <w:top w:w="128" w:type="dxa"/>
              <w:left w:w="43" w:type="dxa"/>
              <w:bottom w:w="43" w:type="dxa"/>
              <w:right w:w="43" w:type="dxa"/>
            </w:tcMar>
          </w:tcPr>
          <w:p w14:paraId="1D524B08" w14:textId="77777777" w:rsidR="00D60186" w:rsidRPr="00815696" w:rsidRDefault="00D60186" w:rsidP="00815696">
            <w:pPr>
              <w:jc w:val="right"/>
              <w:rPr>
                <w:sz w:val="21"/>
                <w:szCs w:val="21"/>
              </w:rPr>
            </w:pPr>
            <w:r w:rsidRPr="00815696">
              <w:rPr>
                <w:sz w:val="21"/>
                <w:szCs w:val="21"/>
              </w:rPr>
              <w:t>Ja</w:t>
            </w:r>
          </w:p>
        </w:tc>
      </w:tr>
      <w:tr w:rsidR="00E76DC8" w:rsidRPr="00225D4D" w14:paraId="747915E8" w14:textId="77777777">
        <w:trPr>
          <w:trHeight w:val="640"/>
        </w:trPr>
        <w:tc>
          <w:tcPr>
            <w:tcW w:w="1320" w:type="dxa"/>
            <w:tcBorders>
              <w:top w:val="nil"/>
              <w:left w:val="nil"/>
              <w:bottom w:val="nil"/>
              <w:right w:val="nil"/>
            </w:tcBorders>
            <w:tcMar>
              <w:top w:w="128" w:type="dxa"/>
              <w:left w:w="43" w:type="dxa"/>
              <w:bottom w:w="43" w:type="dxa"/>
              <w:right w:w="43" w:type="dxa"/>
            </w:tcMar>
          </w:tcPr>
          <w:p w14:paraId="3BC38CB7"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57FA0A31" w14:textId="77777777" w:rsidR="00D60186" w:rsidRPr="00815696" w:rsidRDefault="00D60186" w:rsidP="00815696">
            <w:pPr>
              <w:ind w:right="113"/>
              <w:jc w:val="right"/>
              <w:rPr>
                <w:sz w:val="21"/>
                <w:szCs w:val="21"/>
              </w:rPr>
            </w:pPr>
            <w:r w:rsidRPr="00815696">
              <w:rPr>
                <w:sz w:val="21"/>
                <w:szCs w:val="21"/>
              </w:rPr>
              <w:t>795</w:t>
            </w:r>
          </w:p>
        </w:tc>
        <w:tc>
          <w:tcPr>
            <w:tcW w:w="5640" w:type="dxa"/>
            <w:tcBorders>
              <w:top w:val="nil"/>
              <w:left w:val="nil"/>
              <w:bottom w:val="nil"/>
              <w:right w:val="nil"/>
            </w:tcBorders>
            <w:tcMar>
              <w:top w:w="128" w:type="dxa"/>
              <w:left w:w="43" w:type="dxa"/>
              <w:bottom w:w="43" w:type="dxa"/>
              <w:right w:w="43" w:type="dxa"/>
            </w:tcMar>
            <w:vAlign w:val="bottom"/>
          </w:tcPr>
          <w:p w14:paraId="2E65DF1B" w14:textId="77777777" w:rsidR="00D60186" w:rsidRPr="00815696" w:rsidRDefault="00D60186" w:rsidP="00225D4D">
            <w:pPr>
              <w:rPr>
                <w:sz w:val="21"/>
                <w:szCs w:val="21"/>
              </w:rPr>
            </w:pPr>
            <w:r w:rsidRPr="00815696">
              <w:rPr>
                <w:sz w:val="21"/>
                <w:szCs w:val="21"/>
              </w:rPr>
              <w:t xml:space="preserve">Greie ut krav om </w:t>
            </w:r>
            <w:proofErr w:type="spellStart"/>
            <w:r w:rsidRPr="00815696">
              <w:rPr>
                <w:sz w:val="21"/>
                <w:szCs w:val="21"/>
              </w:rPr>
              <w:t>skriftleg</w:t>
            </w:r>
            <w:proofErr w:type="spellEnd"/>
            <w:r w:rsidRPr="00815696">
              <w:rPr>
                <w:sz w:val="21"/>
                <w:szCs w:val="21"/>
              </w:rPr>
              <w:t xml:space="preserve"> arbeidskontrakt </w:t>
            </w:r>
            <w:proofErr w:type="spellStart"/>
            <w:r w:rsidRPr="00815696">
              <w:rPr>
                <w:sz w:val="21"/>
                <w:szCs w:val="21"/>
              </w:rPr>
              <w:t>frå</w:t>
            </w:r>
            <w:proofErr w:type="spellEnd"/>
            <w:r w:rsidRPr="00815696">
              <w:rPr>
                <w:sz w:val="21"/>
                <w:szCs w:val="21"/>
              </w:rPr>
              <w:t xml:space="preserve"> første arbeidsdag</w:t>
            </w:r>
          </w:p>
        </w:tc>
        <w:tc>
          <w:tcPr>
            <w:tcW w:w="1280" w:type="dxa"/>
            <w:tcBorders>
              <w:top w:val="nil"/>
              <w:left w:val="nil"/>
              <w:bottom w:val="nil"/>
              <w:right w:val="nil"/>
            </w:tcBorders>
            <w:tcMar>
              <w:top w:w="128" w:type="dxa"/>
              <w:left w:w="43" w:type="dxa"/>
              <w:bottom w:w="43" w:type="dxa"/>
              <w:right w:w="43" w:type="dxa"/>
            </w:tcMar>
          </w:tcPr>
          <w:p w14:paraId="152CD877" w14:textId="77777777" w:rsidR="00D60186" w:rsidRPr="00815696" w:rsidRDefault="00D60186" w:rsidP="00815696">
            <w:pPr>
              <w:jc w:val="right"/>
              <w:rPr>
                <w:sz w:val="21"/>
                <w:szCs w:val="21"/>
              </w:rPr>
            </w:pPr>
            <w:r w:rsidRPr="00815696">
              <w:rPr>
                <w:sz w:val="21"/>
                <w:szCs w:val="21"/>
              </w:rPr>
              <w:t>Nei</w:t>
            </w:r>
          </w:p>
        </w:tc>
      </w:tr>
      <w:tr w:rsidR="00E76DC8" w:rsidRPr="00225D4D" w14:paraId="0A44CF4D" w14:textId="77777777">
        <w:trPr>
          <w:trHeight w:val="880"/>
        </w:trPr>
        <w:tc>
          <w:tcPr>
            <w:tcW w:w="1320" w:type="dxa"/>
            <w:tcBorders>
              <w:top w:val="nil"/>
              <w:left w:val="nil"/>
              <w:bottom w:val="nil"/>
              <w:right w:val="nil"/>
            </w:tcBorders>
            <w:tcMar>
              <w:top w:w="128" w:type="dxa"/>
              <w:left w:w="43" w:type="dxa"/>
              <w:bottom w:w="43" w:type="dxa"/>
              <w:right w:w="43" w:type="dxa"/>
            </w:tcMar>
          </w:tcPr>
          <w:p w14:paraId="644A6CD3"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163DCB1F" w14:textId="77777777" w:rsidR="00D60186" w:rsidRPr="00815696" w:rsidRDefault="00D60186" w:rsidP="00815696">
            <w:pPr>
              <w:ind w:right="113"/>
              <w:jc w:val="right"/>
              <w:rPr>
                <w:sz w:val="21"/>
                <w:szCs w:val="21"/>
              </w:rPr>
            </w:pPr>
            <w:r w:rsidRPr="00815696">
              <w:rPr>
                <w:sz w:val="21"/>
                <w:szCs w:val="21"/>
              </w:rPr>
              <w:t>796</w:t>
            </w:r>
          </w:p>
        </w:tc>
        <w:tc>
          <w:tcPr>
            <w:tcW w:w="5640" w:type="dxa"/>
            <w:tcBorders>
              <w:top w:val="nil"/>
              <w:left w:val="nil"/>
              <w:bottom w:val="nil"/>
              <w:right w:val="nil"/>
            </w:tcBorders>
            <w:tcMar>
              <w:top w:w="128" w:type="dxa"/>
              <w:left w:w="43" w:type="dxa"/>
              <w:bottom w:w="43" w:type="dxa"/>
              <w:right w:w="43" w:type="dxa"/>
            </w:tcMar>
            <w:vAlign w:val="bottom"/>
          </w:tcPr>
          <w:p w14:paraId="5BA63063" w14:textId="77777777" w:rsidR="00D60186" w:rsidRPr="00815696" w:rsidRDefault="00D60186" w:rsidP="00225D4D">
            <w:pPr>
              <w:rPr>
                <w:sz w:val="21"/>
                <w:szCs w:val="21"/>
              </w:rPr>
            </w:pPr>
            <w:r w:rsidRPr="00815696">
              <w:rPr>
                <w:sz w:val="21"/>
                <w:szCs w:val="21"/>
              </w:rPr>
              <w:t xml:space="preserve">Greie ut ei digital løysing for </w:t>
            </w:r>
            <w:proofErr w:type="spellStart"/>
            <w:r w:rsidRPr="00815696">
              <w:rPr>
                <w:sz w:val="21"/>
                <w:szCs w:val="21"/>
              </w:rPr>
              <w:t>arbeidskontraktar</w:t>
            </w:r>
            <w:proofErr w:type="spellEnd"/>
            <w:r w:rsidRPr="00815696">
              <w:rPr>
                <w:sz w:val="21"/>
                <w:szCs w:val="21"/>
              </w:rPr>
              <w:t xml:space="preserve"> for å sikre </w:t>
            </w:r>
            <w:proofErr w:type="spellStart"/>
            <w:r w:rsidRPr="00815696">
              <w:rPr>
                <w:sz w:val="21"/>
                <w:szCs w:val="21"/>
              </w:rPr>
              <w:t>enklare</w:t>
            </w:r>
            <w:proofErr w:type="spellEnd"/>
            <w:r w:rsidRPr="00815696">
              <w:rPr>
                <w:sz w:val="21"/>
                <w:szCs w:val="21"/>
              </w:rPr>
              <w:t xml:space="preserve"> kontroll av </w:t>
            </w:r>
            <w:proofErr w:type="spellStart"/>
            <w:r w:rsidRPr="00815696">
              <w:rPr>
                <w:sz w:val="21"/>
                <w:szCs w:val="21"/>
              </w:rPr>
              <w:t>rettane</w:t>
            </w:r>
            <w:proofErr w:type="spellEnd"/>
            <w:r w:rsidRPr="00815696">
              <w:rPr>
                <w:sz w:val="21"/>
                <w:szCs w:val="21"/>
              </w:rPr>
              <w:t xml:space="preserve"> til </w:t>
            </w:r>
            <w:proofErr w:type="spellStart"/>
            <w:r w:rsidRPr="00815696">
              <w:rPr>
                <w:sz w:val="21"/>
                <w:szCs w:val="21"/>
              </w:rPr>
              <w:t>arbeidstakarane</w:t>
            </w:r>
            <w:proofErr w:type="spellEnd"/>
            <w:r w:rsidRPr="00815696">
              <w:rPr>
                <w:sz w:val="21"/>
                <w:szCs w:val="21"/>
              </w:rPr>
              <w:t xml:space="preserve"> og at </w:t>
            </w:r>
            <w:r w:rsidRPr="00815696">
              <w:rPr>
                <w:sz w:val="21"/>
                <w:szCs w:val="21"/>
              </w:rPr>
              <w:br/>
              <w:t>lønnskrav blir ivaretatt</w:t>
            </w:r>
          </w:p>
        </w:tc>
        <w:tc>
          <w:tcPr>
            <w:tcW w:w="1280" w:type="dxa"/>
            <w:tcBorders>
              <w:top w:val="nil"/>
              <w:left w:val="nil"/>
              <w:bottom w:val="nil"/>
              <w:right w:val="nil"/>
            </w:tcBorders>
            <w:tcMar>
              <w:top w:w="128" w:type="dxa"/>
              <w:left w:w="43" w:type="dxa"/>
              <w:bottom w:w="43" w:type="dxa"/>
              <w:right w:w="43" w:type="dxa"/>
            </w:tcMar>
          </w:tcPr>
          <w:p w14:paraId="119B34C9" w14:textId="77777777" w:rsidR="00D60186" w:rsidRPr="00815696" w:rsidRDefault="00D60186" w:rsidP="00815696">
            <w:pPr>
              <w:jc w:val="right"/>
              <w:rPr>
                <w:sz w:val="21"/>
                <w:szCs w:val="21"/>
              </w:rPr>
            </w:pPr>
            <w:r w:rsidRPr="00815696">
              <w:rPr>
                <w:sz w:val="21"/>
                <w:szCs w:val="21"/>
              </w:rPr>
              <w:t>Nei</w:t>
            </w:r>
          </w:p>
        </w:tc>
      </w:tr>
      <w:tr w:rsidR="00E76DC8" w:rsidRPr="00225D4D" w14:paraId="3A88AE9D" w14:textId="77777777">
        <w:trPr>
          <w:trHeight w:val="640"/>
        </w:trPr>
        <w:tc>
          <w:tcPr>
            <w:tcW w:w="1320" w:type="dxa"/>
            <w:tcBorders>
              <w:top w:val="nil"/>
              <w:left w:val="nil"/>
              <w:bottom w:val="nil"/>
              <w:right w:val="nil"/>
            </w:tcBorders>
            <w:tcMar>
              <w:top w:w="128" w:type="dxa"/>
              <w:left w:w="43" w:type="dxa"/>
              <w:bottom w:w="43" w:type="dxa"/>
              <w:right w:w="43" w:type="dxa"/>
            </w:tcMar>
          </w:tcPr>
          <w:p w14:paraId="0CD16D01"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594F8366" w14:textId="77777777" w:rsidR="00D60186" w:rsidRPr="00815696" w:rsidRDefault="00D60186" w:rsidP="00815696">
            <w:pPr>
              <w:ind w:right="113"/>
              <w:jc w:val="right"/>
              <w:rPr>
                <w:sz w:val="21"/>
                <w:szCs w:val="21"/>
              </w:rPr>
            </w:pPr>
            <w:r w:rsidRPr="00815696">
              <w:rPr>
                <w:sz w:val="21"/>
                <w:szCs w:val="21"/>
              </w:rPr>
              <w:t>797</w:t>
            </w:r>
          </w:p>
        </w:tc>
        <w:tc>
          <w:tcPr>
            <w:tcW w:w="5640" w:type="dxa"/>
            <w:tcBorders>
              <w:top w:val="nil"/>
              <w:left w:val="nil"/>
              <w:bottom w:val="nil"/>
              <w:right w:val="nil"/>
            </w:tcBorders>
            <w:tcMar>
              <w:top w:w="128" w:type="dxa"/>
              <w:left w:w="43" w:type="dxa"/>
              <w:bottom w:w="43" w:type="dxa"/>
              <w:right w:w="43" w:type="dxa"/>
            </w:tcMar>
            <w:vAlign w:val="bottom"/>
          </w:tcPr>
          <w:p w14:paraId="5A70B732" w14:textId="77777777" w:rsidR="00D60186" w:rsidRPr="00815696" w:rsidRDefault="00D60186" w:rsidP="00225D4D">
            <w:pPr>
              <w:rPr>
                <w:sz w:val="21"/>
                <w:szCs w:val="21"/>
              </w:rPr>
            </w:pPr>
            <w:r w:rsidRPr="00815696">
              <w:rPr>
                <w:sz w:val="21"/>
                <w:szCs w:val="21"/>
              </w:rPr>
              <w:t xml:space="preserve">Gi Arbeidstilsynet </w:t>
            </w:r>
            <w:proofErr w:type="spellStart"/>
            <w:r w:rsidRPr="00815696">
              <w:rPr>
                <w:sz w:val="21"/>
                <w:szCs w:val="21"/>
              </w:rPr>
              <w:t>moglegheit</w:t>
            </w:r>
            <w:proofErr w:type="spellEnd"/>
            <w:r w:rsidRPr="00815696">
              <w:rPr>
                <w:sz w:val="21"/>
                <w:szCs w:val="21"/>
              </w:rPr>
              <w:t xml:space="preserve"> til å vise bort </w:t>
            </w:r>
            <w:proofErr w:type="spellStart"/>
            <w:r w:rsidRPr="00815696">
              <w:rPr>
                <w:sz w:val="21"/>
                <w:szCs w:val="21"/>
              </w:rPr>
              <w:t>arbeidstakarar</w:t>
            </w:r>
            <w:proofErr w:type="spellEnd"/>
            <w:r w:rsidRPr="00815696">
              <w:rPr>
                <w:sz w:val="21"/>
                <w:szCs w:val="21"/>
              </w:rPr>
              <w:t xml:space="preserve"> som </w:t>
            </w:r>
            <w:proofErr w:type="spellStart"/>
            <w:r w:rsidRPr="00815696">
              <w:rPr>
                <w:sz w:val="21"/>
                <w:szCs w:val="21"/>
              </w:rPr>
              <w:t>ikkje</w:t>
            </w:r>
            <w:proofErr w:type="spellEnd"/>
            <w:r w:rsidRPr="00815696">
              <w:rPr>
                <w:sz w:val="21"/>
                <w:szCs w:val="21"/>
              </w:rPr>
              <w:t xml:space="preserve"> har HMS-kort, </w:t>
            </w:r>
            <w:proofErr w:type="spellStart"/>
            <w:r w:rsidRPr="00815696">
              <w:rPr>
                <w:sz w:val="21"/>
                <w:szCs w:val="21"/>
              </w:rPr>
              <w:t>frå</w:t>
            </w:r>
            <w:proofErr w:type="spellEnd"/>
            <w:r w:rsidRPr="00815696">
              <w:rPr>
                <w:sz w:val="21"/>
                <w:szCs w:val="21"/>
              </w:rPr>
              <w:t xml:space="preserve"> byggeplass</w:t>
            </w:r>
          </w:p>
        </w:tc>
        <w:tc>
          <w:tcPr>
            <w:tcW w:w="1280" w:type="dxa"/>
            <w:tcBorders>
              <w:top w:val="nil"/>
              <w:left w:val="nil"/>
              <w:bottom w:val="nil"/>
              <w:right w:val="nil"/>
            </w:tcBorders>
            <w:tcMar>
              <w:top w:w="128" w:type="dxa"/>
              <w:left w:w="43" w:type="dxa"/>
              <w:bottom w:w="43" w:type="dxa"/>
              <w:right w:w="43" w:type="dxa"/>
            </w:tcMar>
          </w:tcPr>
          <w:p w14:paraId="3130DC85" w14:textId="77777777" w:rsidR="00D60186" w:rsidRPr="00815696" w:rsidRDefault="00D60186" w:rsidP="00815696">
            <w:pPr>
              <w:jc w:val="right"/>
              <w:rPr>
                <w:sz w:val="21"/>
                <w:szCs w:val="21"/>
              </w:rPr>
            </w:pPr>
            <w:r w:rsidRPr="00815696">
              <w:rPr>
                <w:sz w:val="21"/>
                <w:szCs w:val="21"/>
              </w:rPr>
              <w:t>Ja</w:t>
            </w:r>
          </w:p>
        </w:tc>
      </w:tr>
      <w:tr w:rsidR="00E76DC8" w:rsidRPr="00225D4D" w14:paraId="1FD8C6F6" w14:textId="77777777">
        <w:trPr>
          <w:trHeight w:val="880"/>
        </w:trPr>
        <w:tc>
          <w:tcPr>
            <w:tcW w:w="1320" w:type="dxa"/>
            <w:tcBorders>
              <w:top w:val="nil"/>
              <w:left w:val="nil"/>
              <w:bottom w:val="nil"/>
              <w:right w:val="nil"/>
            </w:tcBorders>
            <w:tcMar>
              <w:top w:w="128" w:type="dxa"/>
              <w:left w:w="43" w:type="dxa"/>
              <w:bottom w:w="43" w:type="dxa"/>
              <w:right w:w="43" w:type="dxa"/>
            </w:tcMar>
          </w:tcPr>
          <w:p w14:paraId="289F7DC6"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09A8EC60" w14:textId="77777777" w:rsidR="00D60186" w:rsidRPr="00815696" w:rsidRDefault="00D60186" w:rsidP="00815696">
            <w:pPr>
              <w:ind w:right="113"/>
              <w:jc w:val="right"/>
              <w:rPr>
                <w:sz w:val="21"/>
                <w:szCs w:val="21"/>
              </w:rPr>
            </w:pPr>
            <w:r w:rsidRPr="00815696">
              <w:rPr>
                <w:sz w:val="21"/>
                <w:szCs w:val="21"/>
              </w:rPr>
              <w:t>798</w:t>
            </w:r>
          </w:p>
        </w:tc>
        <w:tc>
          <w:tcPr>
            <w:tcW w:w="5640" w:type="dxa"/>
            <w:tcBorders>
              <w:top w:val="nil"/>
              <w:left w:val="nil"/>
              <w:bottom w:val="nil"/>
              <w:right w:val="nil"/>
            </w:tcBorders>
            <w:tcMar>
              <w:top w:w="128" w:type="dxa"/>
              <w:left w:w="43" w:type="dxa"/>
              <w:bottom w:w="43" w:type="dxa"/>
              <w:right w:w="43" w:type="dxa"/>
            </w:tcMar>
            <w:vAlign w:val="bottom"/>
          </w:tcPr>
          <w:p w14:paraId="3080D161" w14:textId="77777777" w:rsidR="00D60186" w:rsidRPr="00815696" w:rsidRDefault="00D60186" w:rsidP="00225D4D">
            <w:pPr>
              <w:rPr>
                <w:sz w:val="21"/>
                <w:szCs w:val="21"/>
              </w:rPr>
            </w:pPr>
            <w:r w:rsidRPr="00815696">
              <w:rPr>
                <w:sz w:val="21"/>
                <w:szCs w:val="21"/>
              </w:rPr>
              <w:t xml:space="preserve">Greie ut </w:t>
            </w:r>
            <w:proofErr w:type="spellStart"/>
            <w:r w:rsidRPr="00815696">
              <w:rPr>
                <w:sz w:val="21"/>
                <w:szCs w:val="21"/>
              </w:rPr>
              <w:t>eit</w:t>
            </w:r>
            <w:proofErr w:type="spellEnd"/>
            <w:r w:rsidRPr="00815696">
              <w:rPr>
                <w:sz w:val="21"/>
                <w:szCs w:val="21"/>
              </w:rPr>
              <w:t xml:space="preserve"> prikksystem hos Arbeidstilsynet, der </w:t>
            </w:r>
            <w:r w:rsidRPr="00815696">
              <w:rPr>
                <w:sz w:val="21"/>
                <w:szCs w:val="21"/>
              </w:rPr>
              <w:br/>
            </w:r>
            <w:proofErr w:type="spellStart"/>
            <w:r w:rsidRPr="00815696">
              <w:rPr>
                <w:sz w:val="21"/>
                <w:szCs w:val="21"/>
              </w:rPr>
              <w:t>sanksjonane</w:t>
            </w:r>
            <w:proofErr w:type="spellEnd"/>
            <w:r w:rsidRPr="00815696">
              <w:rPr>
                <w:sz w:val="21"/>
                <w:szCs w:val="21"/>
              </w:rPr>
              <w:t xml:space="preserve"> blir </w:t>
            </w:r>
            <w:proofErr w:type="spellStart"/>
            <w:r w:rsidRPr="00815696">
              <w:rPr>
                <w:sz w:val="21"/>
                <w:szCs w:val="21"/>
              </w:rPr>
              <w:t>hardare</w:t>
            </w:r>
            <w:proofErr w:type="spellEnd"/>
            <w:r w:rsidRPr="00815696">
              <w:rPr>
                <w:sz w:val="21"/>
                <w:szCs w:val="21"/>
              </w:rPr>
              <w:t xml:space="preserve"> etter gjentatte </w:t>
            </w:r>
            <w:proofErr w:type="spellStart"/>
            <w:r w:rsidRPr="00815696">
              <w:rPr>
                <w:sz w:val="21"/>
                <w:szCs w:val="21"/>
              </w:rPr>
              <w:t>brot</w:t>
            </w:r>
            <w:proofErr w:type="spellEnd"/>
            <w:r w:rsidRPr="00815696">
              <w:rPr>
                <w:sz w:val="21"/>
                <w:szCs w:val="21"/>
              </w:rPr>
              <w:t xml:space="preserve">, slik at </w:t>
            </w:r>
            <w:r w:rsidRPr="00815696">
              <w:rPr>
                <w:sz w:val="21"/>
                <w:szCs w:val="21"/>
              </w:rPr>
              <w:br/>
            </w:r>
            <w:proofErr w:type="spellStart"/>
            <w:r w:rsidRPr="00815696">
              <w:rPr>
                <w:sz w:val="21"/>
                <w:szCs w:val="21"/>
              </w:rPr>
              <w:t>gjengangarane</w:t>
            </w:r>
            <w:proofErr w:type="spellEnd"/>
            <w:r w:rsidRPr="00815696">
              <w:rPr>
                <w:sz w:val="21"/>
                <w:szCs w:val="21"/>
              </w:rPr>
              <w:t xml:space="preserve"> blir sanksjonerte </w:t>
            </w:r>
            <w:proofErr w:type="spellStart"/>
            <w:r w:rsidRPr="00815696">
              <w:rPr>
                <w:sz w:val="21"/>
                <w:szCs w:val="21"/>
              </w:rPr>
              <w:t>strengare</w:t>
            </w:r>
            <w:proofErr w:type="spellEnd"/>
          </w:p>
        </w:tc>
        <w:tc>
          <w:tcPr>
            <w:tcW w:w="1280" w:type="dxa"/>
            <w:tcBorders>
              <w:top w:val="nil"/>
              <w:left w:val="nil"/>
              <w:bottom w:val="nil"/>
              <w:right w:val="nil"/>
            </w:tcBorders>
            <w:tcMar>
              <w:top w:w="128" w:type="dxa"/>
              <w:left w:w="43" w:type="dxa"/>
              <w:bottom w:w="43" w:type="dxa"/>
              <w:right w:w="43" w:type="dxa"/>
            </w:tcMar>
          </w:tcPr>
          <w:p w14:paraId="58ED3A0C" w14:textId="77777777" w:rsidR="00D60186" w:rsidRPr="00815696" w:rsidRDefault="00D60186" w:rsidP="00815696">
            <w:pPr>
              <w:jc w:val="right"/>
              <w:rPr>
                <w:sz w:val="21"/>
                <w:szCs w:val="21"/>
              </w:rPr>
            </w:pPr>
            <w:r w:rsidRPr="00815696">
              <w:rPr>
                <w:sz w:val="21"/>
                <w:szCs w:val="21"/>
              </w:rPr>
              <w:t>Nei</w:t>
            </w:r>
          </w:p>
        </w:tc>
      </w:tr>
      <w:tr w:rsidR="00E76DC8" w:rsidRPr="00225D4D" w14:paraId="5C9F6CC9" w14:textId="77777777">
        <w:trPr>
          <w:trHeight w:val="640"/>
        </w:trPr>
        <w:tc>
          <w:tcPr>
            <w:tcW w:w="1320" w:type="dxa"/>
            <w:tcBorders>
              <w:top w:val="nil"/>
              <w:left w:val="nil"/>
              <w:bottom w:val="nil"/>
              <w:right w:val="nil"/>
            </w:tcBorders>
            <w:tcMar>
              <w:top w:w="128" w:type="dxa"/>
              <w:left w:w="43" w:type="dxa"/>
              <w:bottom w:w="43" w:type="dxa"/>
              <w:right w:w="43" w:type="dxa"/>
            </w:tcMar>
          </w:tcPr>
          <w:p w14:paraId="5A5594B9"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20375061" w14:textId="77777777" w:rsidR="00D60186" w:rsidRPr="00815696" w:rsidRDefault="00D60186" w:rsidP="00815696">
            <w:pPr>
              <w:ind w:right="113"/>
              <w:jc w:val="right"/>
              <w:rPr>
                <w:sz w:val="21"/>
                <w:szCs w:val="21"/>
              </w:rPr>
            </w:pPr>
            <w:r w:rsidRPr="00815696">
              <w:rPr>
                <w:sz w:val="21"/>
                <w:szCs w:val="21"/>
              </w:rPr>
              <w:t>799</w:t>
            </w:r>
          </w:p>
        </w:tc>
        <w:tc>
          <w:tcPr>
            <w:tcW w:w="5640" w:type="dxa"/>
            <w:tcBorders>
              <w:top w:val="nil"/>
              <w:left w:val="nil"/>
              <w:bottom w:val="nil"/>
              <w:right w:val="nil"/>
            </w:tcBorders>
            <w:tcMar>
              <w:top w:w="128" w:type="dxa"/>
              <w:left w:w="43" w:type="dxa"/>
              <w:bottom w:w="43" w:type="dxa"/>
              <w:right w:w="43" w:type="dxa"/>
            </w:tcMar>
            <w:vAlign w:val="bottom"/>
          </w:tcPr>
          <w:p w14:paraId="0513648C" w14:textId="77777777" w:rsidR="00D60186" w:rsidRPr="00815696" w:rsidRDefault="00D60186" w:rsidP="00225D4D">
            <w:pPr>
              <w:rPr>
                <w:sz w:val="21"/>
                <w:szCs w:val="21"/>
              </w:rPr>
            </w:pPr>
            <w:r w:rsidRPr="00815696">
              <w:rPr>
                <w:sz w:val="21"/>
                <w:szCs w:val="21"/>
              </w:rPr>
              <w:t xml:space="preserve">Sikre Arbeidstilsynet </w:t>
            </w:r>
            <w:proofErr w:type="spellStart"/>
            <w:r w:rsidRPr="00815696">
              <w:rPr>
                <w:sz w:val="21"/>
                <w:szCs w:val="21"/>
              </w:rPr>
              <w:t>lovheimlar</w:t>
            </w:r>
            <w:proofErr w:type="spellEnd"/>
            <w:r w:rsidRPr="00815696">
              <w:rPr>
                <w:sz w:val="21"/>
                <w:szCs w:val="21"/>
              </w:rPr>
              <w:t xml:space="preserve"> for å kunne </w:t>
            </w:r>
            <w:proofErr w:type="spellStart"/>
            <w:r w:rsidRPr="00815696">
              <w:rPr>
                <w:sz w:val="21"/>
                <w:szCs w:val="21"/>
              </w:rPr>
              <w:t>offentleggjere</w:t>
            </w:r>
            <w:proofErr w:type="spellEnd"/>
            <w:r w:rsidRPr="00815696">
              <w:rPr>
                <w:sz w:val="21"/>
                <w:szCs w:val="21"/>
              </w:rPr>
              <w:t xml:space="preserve"> grove og gjentatte </w:t>
            </w:r>
            <w:proofErr w:type="spellStart"/>
            <w:r w:rsidRPr="00815696">
              <w:rPr>
                <w:sz w:val="21"/>
                <w:szCs w:val="21"/>
              </w:rPr>
              <w:t>brot</w:t>
            </w:r>
            <w:proofErr w:type="spellEnd"/>
          </w:p>
        </w:tc>
        <w:tc>
          <w:tcPr>
            <w:tcW w:w="1280" w:type="dxa"/>
            <w:tcBorders>
              <w:top w:val="nil"/>
              <w:left w:val="nil"/>
              <w:bottom w:val="nil"/>
              <w:right w:val="nil"/>
            </w:tcBorders>
            <w:tcMar>
              <w:top w:w="128" w:type="dxa"/>
              <w:left w:w="43" w:type="dxa"/>
              <w:bottom w:w="43" w:type="dxa"/>
              <w:right w:w="43" w:type="dxa"/>
            </w:tcMar>
          </w:tcPr>
          <w:p w14:paraId="5404F107" w14:textId="77777777" w:rsidR="00D60186" w:rsidRPr="00815696" w:rsidRDefault="00D60186" w:rsidP="00815696">
            <w:pPr>
              <w:jc w:val="right"/>
              <w:rPr>
                <w:sz w:val="21"/>
                <w:szCs w:val="21"/>
              </w:rPr>
            </w:pPr>
            <w:r w:rsidRPr="00815696">
              <w:rPr>
                <w:sz w:val="21"/>
                <w:szCs w:val="21"/>
              </w:rPr>
              <w:t>Ja</w:t>
            </w:r>
          </w:p>
        </w:tc>
      </w:tr>
      <w:tr w:rsidR="00E76DC8" w:rsidRPr="00225D4D" w14:paraId="0F7128DC" w14:textId="77777777">
        <w:trPr>
          <w:trHeight w:val="880"/>
        </w:trPr>
        <w:tc>
          <w:tcPr>
            <w:tcW w:w="1320" w:type="dxa"/>
            <w:tcBorders>
              <w:top w:val="nil"/>
              <w:left w:val="nil"/>
              <w:bottom w:val="nil"/>
              <w:right w:val="nil"/>
            </w:tcBorders>
            <w:tcMar>
              <w:top w:w="128" w:type="dxa"/>
              <w:left w:w="43" w:type="dxa"/>
              <w:bottom w:w="43" w:type="dxa"/>
              <w:right w:w="43" w:type="dxa"/>
            </w:tcMar>
          </w:tcPr>
          <w:p w14:paraId="6B1D53A7"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5F1F1870" w14:textId="77777777" w:rsidR="00D60186" w:rsidRPr="00815696" w:rsidRDefault="00D60186" w:rsidP="00815696">
            <w:pPr>
              <w:ind w:right="113"/>
              <w:jc w:val="right"/>
              <w:rPr>
                <w:sz w:val="21"/>
                <w:szCs w:val="21"/>
              </w:rPr>
            </w:pPr>
            <w:r w:rsidRPr="00815696">
              <w:rPr>
                <w:sz w:val="21"/>
                <w:szCs w:val="21"/>
              </w:rPr>
              <w:t>801</w:t>
            </w:r>
          </w:p>
        </w:tc>
        <w:tc>
          <w:tcPr>
            <w:tcW w:w="5640" w:type="dxa"/>
            <w:tcBorders>
              <w:top w:val="nil"/>
              <w:left w:val="nil"/>
              <w:bottom w:val="nil"/>
              <w:right w:val="nil"/>
            </w:tcBorders>
            <w:tcMar>
              <w:top w:w="128" w:type="dxa"/>
              <w:left w:w="43" w:type="dxa"/>
              <w:bottom w:w="43" w:type="dxa"/>
              <w:right w:w="43" w:type="dxa"/>
            </w:tcMar>
            <w:vAlign w:val="bottom"/>
          </w:tcPr>
          <w:p w14:paraId="46F97ABF" w14:textId="77777777" w:rsidR="00D60186" w:rsidRPr="00815696" w:rsidRDefault="00D60186" w:rsidP="00225D4D">
            <w:pPr>
              <w:rPr>
                <w:sz w:val="21"/>
                <w:szCs w:val="21"/>
              </w:rPr>
            </w:pPr>
            <w:r w:rsidRPr="00815696">
              <w:rPr>
                <w:sz w:val="21"/>
                <w:szCs w:val="21"/>
              </w:rPr>
              <w:t xml:space="preserve">Gå gjennom og </w:t>
            </w:r>
            <w:proofErr w:type="spellStart"/>
            <w:r w:rsidRPr="00815696">
              <w:rPr>
                <w:sz w:val="21"/>
                <w:szCs w:val="21"/>
              </w:rPr>
              <w:t>forbetre</w:t>
            </w:r>
            <w:proofErr w:type="spellEnd"/>
            <w:r w:rsidRPr="00815696">
              <w:rPr>
                <w:sz w:val="21"/>
                <w:szCs w:val="21"/>
              </w:rPr>
              <w:t xml:space="preserve"> informasjonen som blir gitt til </w:t>
            </w:r>
            <w:r w:rsidRPr="00815696">
              <w:rPr>
                <w:sz w:val="21"/>
                <w:szCs w:val="21"/>
              </w:rPr>
              <w:br/>
            </w:r>
            <w:proofErr w:type="spellStart"/>
            <w:r w:rsidRPr="00815696">
              <w:rPr>
                <w:sz w:val="21"/>
                <w:szCs w:val="21"/>
              </w:rPr>
              <w:t>utanlandske</w:t>
            </w:r>
            <w:proofErr w:type="spellEnd"/>
            <w:r w:rsidRPr="00815696">
              <w:rPr>
                <w:sz w:val="21"/>
                <w:szCs w:val="21"/>
              </w:rPr>
              <w:t xml:space="preserve"> </w:t>
            </w:r>
            <w:proofErr w:type="spellStart"/>
            <w:r w:rsidRPr="00815696">
              <w:rPr>
                <w:sz w:val="21"/>
                <w:szCs w:val="21"/>
              </w:rPr>
              <w:t>arbeidstakarar</w:t>
            </w:r>
            <w:proofErr w:type="spellEnd"/>
            <w:r w:rsidRPr="00815696">
              <w:rPr>
                <w:sz w:val="21"/>
                <w:szCs w:val="21"/>
              </w:rPr>
              <w:t xml:space="preserve"> i forbindelse med registrering for arbeid i </w:t>
            </w:r>
            <w:proofErr w:type="spellStart"/>
            <w:r w:rsidRPr="00815696">
              <w:rPr>
                <w:sz w:val="21"/>
                <w:szCs w:val="21"/>
              </w:rPr>
              <w:t>Noreg</w:t>
            </w:r>
            <w:proofErr w:type="spellEnd"/>
          </w:p>
        </w:tc>
        <w:tc>
          <w:tcPr>
            <w:tcW w:w="1280" w:type="dxa"/>
            <w:tcBorders>
              <w:top w:val="nil"/>
              <w:left w:val="nil"/>
              <w:bottom w:val="nil"/>
              <w:right w:val="nil"/>
            </w:tcBorders>
            <w:tcMar>
              <w:top w:w="128" w:type="dxa"/>
              <w:left w:w="43" w:type="dxa"/>
              <w:bottom w:w="43" w:type="dxa"/>
              <w:right w:w="43" w:type="dxa"/>
            </w:tcMar>
          </w:tcPr>
          <w:p w14:paraId="6BE6C71A" w14:textId="77777777" w:rsidR="00D60186" w:rsidRPr="00815696" w:rsidRDefault="00D60186" w:rsidP="00815696">
            <w:pPr>
              <w:jc w:val="right"/>
              <w:rPr>
                <w:sz w:val="21"/>
                <w:szCs w:val="21"/>
              </w:rPr>
            </w:pPr>
            <w:r w:rsidRPr="00815696">
              <w:rPr>
                <w:sz w:val="21"/>
                <w:szCs w:val="21"/>
              </w:rPr>
              <w:t>Ja</w:t>
            </w:r>
          </w:p>
        </w:tc>
      </w:tr>
      <w:tr w:rsidR="00E76DC8" w:rsidRPr="00225D4D" w14:paraId="203C0815" w14:textId="77777777">
        <w:trPr>
          <w:trHeight w:val="880"/>
        </w:trPr>
        <w:tc>
          <w:tcPr>
            <w:tcW w:w="1320" w:type="dxa"/>
            <w:tcBorders>
              <w:top w:val="nil"/>
              <w:left w:val="nil"/>
              <w:bottom w:val="nil"/>
              <w:right w:val="nil"/>
            </w:tcBorders>
            <w:tcMar>
              <w:top w:w="128" w:type="dxa"/>
              <w:left w:w="43" w:type="dxa"/>
              <w:bottom w:w="43" w:type="dxa"/>
              <w:right w:w="43" w:type="dxa"/>
            </w:tcMar>
          </w:tcPr>
          <w:p w14:paraId="03392F81"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43E02874" w14:textId="77777777" w:rsidR="00D60186" w:rsidRPr="00815696" w:rsidRDefault="00D60186" w:rsidP="00815696">
            <w:pPr>
              <w:ind w:right="113"/>
              <w:jc w:val="right"/>
              <w:rPr>
                <w:sz w:val="21"/>
                <w:szCs w:val="21"/>
              </w:rPr>
            </w:pPr>
            <w:r w:rsidRPr="00815696">
              <w:rPr>
                <w:sz w:val="21"/>
                <w:szCs w:val="21"/>
              </w:rPr>
              <w:t>802</w:t>
            </w:r>
          </w:p>
        </w:tc>
        <w:tc>
          <w:tcPr>
            <w:tcW w:w="5640" w:type="dxa"/>
            <w:tcBorders>
              <w:top w:val="nil"/>
              <w:left w:val="nil"/>
              <w:bottom w:val="nil"/>
              <w:right w:val="nil"/>
            </w:tcBorders>
            <w:tcMar>
              <w:top w:w="128" w:type="dxa"/>
              <w:left w:w="43" w:type="dxa"/>
              <w:bottom w:w="43" w:type="dxa"/>
              <w:right w:w="43" w:type="dxa"/>
            </w:tcMar>
            <w:vAlign w:val="bottom"/>
          </w:tcPr>
          <w:p w14:paraId="097CB3A7" w14:textId="77777777" w:rsidR="00D60186" w:rsidRPr="00815696" w:rsidRDefault="00D60186" w:rsidP="00225D4D">
            <w:pPr>
              <w:rPr>
                <w:sz w:val="21"/>
                <w:szCs w:val="21"/>
              </w:rPr>
            </w:pPr>
            <w:r w:rsidRPr="00815696">
              <w:rPr>
                <w:sz w:val="21"/>
                <w:szCs w:val="21"/>
              </w:rPr>
              <w:t xml:space="preserve">Innføre </w:t>
            </w:r>
            <w:proofErr w:type="spellStart"/>
            <w:r w:rsidRPr="00815696">
              <w:rPr>
                <w:sz w:val="21"/>
                <w:szCs w:val="21"/>
              </w:rPr>
              <w:t>eit</w:t>
            </w:r>
            <w:proofErr w:type="spellEnd"/>
            <w:r w:rsidRPr="00815696">
              <w:rPr>
                <w:sz w:val="21"/>
                <w:szCs w:val="21"/>
              </w:rPr>
              <w:t xml:space="preserve"> prikksystem, </w:t>
            </w:r>
            <w:proofErr w:type="spellStart"/>
            <w:r w:rsidRPr="00815696">
              <w:rPr>
                <w:sz w:val="21"/>
                <w:szCs w:val="21"/>
              </w:rPr>
              <w:t>eit</w:t>
            </w:r>
            <w:proofErr w:type="spellEnd"/>
            <w:r w:rsidRPr="00815696">
              <w:rPr>
                <w:sz w:val="21"/>
                <w:szCs w:val="21"/>
              </w:rPr>
              <w:t xml:space="preserve"> rullebladregister eller ei </w:t>
            </w:r>
            <w:r w:rsidRPr="00815696">
              <w:rPr>
                <w:sz w:val="21"/>
                <w:szCs w:val="21"/>
              </w:rPr>
              <w:br/>
            </w:r>
            <w:proofErr w:type="spellStart"/>
            <w:r w:rsidRPr="00815696">
              <w:rPr>
                <w:sz w:val="21"/>
                <w:szCs w:val="21"/>
              </w:rPr>
              <w:t>tilsvarande</w:t>
            </w:r>
            <w:proofErr w:type="spellEnd"/>
            <w:r w:rsidRPr="00815696">
              <w:rPr>
                <w:sz w:val="21"/>
                <w:szCs w:val="21"/>
              </w:rPr>
              <w:t xml:space="preserve"> ordning for juridiske og fysiske </w:t>
            </w:r>
            <w:proofErr w:type="spellStart"/>
            <w:r w:rsidRPr="00815696">
              <w:rPr>
                <w:sz w:val="21"/>
                <w:szCs w:val="21"/>
              </w:rPr>
              <w:t>personar</w:t>
            </w:r>
            <w:proofErr w:type="spellEnd"/>
            <w:r w:rsidRPr="00815696">
              <w:rPr>
                <w:sz w:val="21"/>
                <w:szCs w:val="21"/>
              </w:rPr>
              <w:t xml:space="preserve"> </w:t>
            </w:r>
            <w:r w:rsidRPr="00815696">
              <w:rPr>
                <w:sz w:val="21"/>
                <w:szCs w:val="21"/>
              </w:rPr>
              <w:br/>
              <w:t xml:space="preserve">som er </w:t>
            </w:r>
            <w:proofErr w:type="spellStart"/>
            <w:r w:rsidRPr="00815696">
              <w:rPr>
                <w:sz w:val="21"/>
                <w:szCs w:val="21"/>
              </w:rPr>
              <w:t>dømde</w:t>
            </w:r>
            <w:proofErr w:type="spellEnd"/>
            <w:r w:rsidRPr="00815696">
              <w:rPr>
                <w:sz w:val="21"/>
                <w:szCs w:val="21"/>
              </w:rPr>
              <w:t xml:space="preserve"> for arbeidslivskriminalitet</w:t>
            </w:r>
          </w:p>
        </w:tc>
        <w:tc>
          <w:tcPr>
            <w:tcW w:w="1280" w:type="dxa"/>
            <w:tcBorders>
              <w:top w:val="nil"/>
              <w:left w:val="nil"/>
              <w:bottom w:val="nil"/>
              <w:right w:val="nil"/>
            </w:tcBorders>
            <w:tcMar>
              <w:top w:w="128" w:type="dxa"/>
              <w:left w:w="43" w:type="dxa"/>
              <w:bottom w:w="43" w:type="dxa"/>
              <w:right w:w="43" w:type="dxa"/>
            </w:tcMar>
          </w:tcPr>
          <w:p w14:paraId="1004B90E" w14:textId="77777777" w:rsidR="00D60186" w:rsidRPr="00815696" w:rsidRDefault="00D60186" w:rsidP="00815696">
            <w:pPr>
              <w:jc w:val="right"/>
              <w:rPr>
                <w:sz w:val="21"/>
                <w:szCs w:val="21"/>
              </w:rPr>
            </w:pPr>
            <w:r w:rsidRPr="00815696">
              <w:rPr>
                <w:sz w:val="21"/>
                <w:szCs w:val="21"/>
              </w:rPr>
              <w:t>Nei</w:t>
            </w:r>
          </w:p>
        </w:tc>
      </w:tr>
      <w:tr w:rsidR="00E76DC8" w:rsidRPr="00225D4D" w14:paraId="00AFE42F" w14:textId="77777777">
        <w:trPr>
          <w:trHeight w:val="640"/>
        </w:trPr>
        <w:tc>
          <w:tcPr>
            <w:tcW w:w="1320" w:type="dxa"/>
            <w:tcBorders>
              <w:top w:val="nil"/>
              <w:left w:val="nil"/>
              <w:bottom w:val="nil"/>
              <w:right w:val="nil"/>
            </w:tcBorders>
            <w:tcMar>
              <w:top w:w="128" w:type="dxa"/>
              <w:left w:w="43" w:type="dxa"/>
              <w:bottom w:w="43" w:type="dxa"/>
              <w:right w:w="43" w:type="dxa"/>
            </w:tcMar>
          </w:tcPr>
          <w:p w14:paraId="3A0ED7BC"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6677136C" w14:textId="77777777" w:rsidR="00D60186" w:rsidRPr="00815696" w:rsidRDefault="00D60186" w:rsidP="00815696">
            <w:pPr>
              <w:ind w:right="113"/>
              <w:jc w:val="right"/>
              <w:rPr>
                <w:sz w:val="21"/>
                <w:szCs w:val="21"/>
              </w:rPr>
            </w:pPr>
            <w:r w:rsidRPr="00815696">
              <w:rPr>
                <w:sz w:val="21"/>
                <w:szCs w:val="21"/>
              </w:rPr>
              <w:t>803</w:t>
            </w:r>
          </w:p>
        </w:tc>
        <w:tc>
          <w:tcPr>
            <w:tcW w:w="5640" w:type="dxa"/>
            <w:tcBorders>
              <w:top w:val="nil"/>
              <w:left w:val="nil"/>
              <w:bottom w:val="nil"/>
              <w:right w:val="nil"/>
            </w:tcBorders>
            <w:tcMar>
              <w:top w:w="128" w:type="dxa"/>
              <w:left w:w="43" w:type="dxa"/>
              <w:bottom w:w="43" w:type="dxa"/>
              <w:right w:w="43" w:type="dxa"/>
            </w:tcMar>
            <w:vAlign w:val="bottom"/>
          </w:tcPr>
          <w:p w14:paraId="0131050F" w14:textId="77777777" w:rsidR="00D60186" w:rsidRPr="00815696" w:rsidRDefault="00D60186" w:rsidP="00225D4D">
            <w:pPr>
              <w:rPr>
                <w:sz w:val="21"/>
                <w:szCs w:val="21"/>
              </w:rPr>
            </w:pPr>
            <w:r w:rsidRPr="00815696">
              <w:rPr>
                <w:sz w:val="21"/>
                <w:szCs w:val="21"/>
              </w:rPr>
              <w:t xml:space="preserve">Etablere </w:t>
            </w:r>
            <w:proofErr w:type="spellStart"/>
            <w:r w:rsidRPr="00815696">
              <w:rPr>
                <w:sz w:val="21"/>
                <w:szCs w:val="21"/>
              </w:rPr>
              <w:t>ein</w:t>
            </w:r>
            <w:proofErr w:type="spellEnd"/>
            <w:r w:rsidRPr="00815696">
              <w:rPr>
                <w:sz w:val="21"/>
                <w:szCs w:val="21"/>
              </w:rPr>
              <w:t xml:space="preserve"> innsynsportal for seriøsitet som </w:t>
            </w:r>
            <w:proofErr w:type="spellStart"/>
            <w:r w:rsidRPr="00815696">
              <w:rPr>
                <w:sz w:val="21"/>
                <w:szCs w:val="21"/>
              </w:rPr>
              <w:t>samlar</w:t>
            </w:r>
            <w:proofErr w:type="spellEnd"/>
            <w:r w:rsidRPr="00815696">
              <w:rPr>
                <w:sz w:val="21"/>
                <w:szCs w:val="21"/>
              </w:rPr>
              <w:t xml:space="preserve"> informasjon </w:t>
            </w:r>
            <w:proofErr w:type="spellStart"/>
            <w:r w:rsidRPr="00815696">
              <w:rPr>
                <w:sz w:val="21"/>
                <w:szCs w:val="21"/>
              </w:rPr>
              <w:t>frå</w:t>
            </w:r>
            <w:proofErr w:type="spellEnd"/>
            <w:r w:rsidRPr="00815696">
              <w:rPr>
                <w:sz w:val="21"/>
                <w:szCs w:val="21"/>
              </w:rPr>
              <w:t xml:space="preserve"> etablerte register</w:t>
            </w:r>
          </w:p>
        </w:tc>
        <w:tc>
          <w:tcPr>
            <w:tcW w:w="1280" w:type="dxa"/>
            <w:tcBorders>
              <w:top w:val="nil"/>
              <w:left w:val="nil"/>
              <w:bottom w:val="nil"/>
              <w:right w:val="nil"/>
            </w:tcBorders>
            <w:tcMar>
              <w:top w:w="128" w:type="dxa"/>
              <w:left w:w="43" w:type="dxa"/>
              <w:bottom w:w="43" w:type="dxa"/>
              <w:right w:w="43" w:type="dxa"/>
            </w:tcMar>
          </w:tcPr>
          <w:p w14:paraId="509BB65D" w14:textId="77777777" w:rsidR="00D60186" w:rsidRPr="00815696" w:rsidRDefault="00D60186" w:rsidP="00815696">
            <w:pPr>
              <w:jc w:val="right"/>
              <w:rPr>
                <w:sz w:val="21"/>
                <w:szCs w:val="21"/>
              </w:rPr>
            </w:pPr>
            <w:r w:rsidRPr="00815696">
              <w:rPr>
                <w:sz w:val="21"/>
                <w:szCs w:val="21"/>
              </w:rPr>
              <w:t>Nei</w:t>
            </w:r>
          </w:p>
        </w:tc>
      </w:tr>
      <w:tr w:rsidR="00E76DC8" w:rsidRPr="00225D4D" w14:paraId="072B490E" w14:textId="77777777">
        <w:trPr>
          <w:trHeight w:val="640"/>
        </w:trPr>
        <w:tc>
          <w:tcPr>
            <w:tcW w:w="1320" w:type="dxa"/>
            <w:tcBorders>
              <w:top w:val="nil"/>
              <w:left w:val="nil"/>
              <w:bottom w:val="nil"/>
              <w:right w:val="nil"/>
            </w:tcBorders>
            <w:tcMar>
              <w:top w:w="128" w:type="dxa"/>
              <w:left w:w="43" w:type="dxa"/>
              <w:bottom w:w="43" w:type="dxa"/>
              <w:right w:w="43" w:type="dxa"/>
            </w:tcMar>
          </w:tcPr>
          <w:p w14:paraId="76D18835"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5F634EBE" w14:textId="77777777" w:rsidR="00D60186" w:rsidRPr="00815696" w:rsidRDefault="00D60186" w:rsidP="00815696">
            <w:pPr>
              <w:ind w:right="113"/>
              <w:jc w:val="right"/>
              <w:rPr>
                <w:sz w:val="21"/>
                <w:szCs w:val="21"/>
              </w:rPr>
            </w:pPr>
            <w:r w:rsidRPr="00815696">
              <w:rPr>
                <w:sz w:val="21"/>
                <w:szCs w:val="21"/>
              </w:rPr>
              <w:t>804</w:t>
            </w:r>
          </w:p>
        </w:tc>
        <w:tc>
          <w:tcPr>
            <w:tcW w:w="5640" w:type="dxa"/>
            <w:tcBorders>
              <w:top w:val="nil"/>
              <w:left w:val="nil"/>
              <w:bottom w:val="nil"/>
              <w:right w:val="nil"/>
            </w:tcBorders>
            <w:tcMar>
              <w:top w:w="128" w:type="dxa"/>
              <w:left w:w="43" w:type="dxa"/>
              <w:bottom w:w="43" w:type="dxa"/>
              <w:right w:w="43" w:type="dxa"/>
            </w:tcMar>
            <w:vAlign w:val="bottom"/>
          </w:tcPr>
          <w:p w14:paraId="7FD0AD34" w14:textId="77777777" w:rsidR="00D60186" w:rsidRPr="00815696" w:rsidRDefault="00D60186" w:rsidP="00225D4D">
            <w:pPr>
              <w:rPr>
                <w:sz w:val="21"/>
                <w:szCs w:val="21"/>
              </w:rPr>
            </w:pPr>
            <w:r w:rsidRPr="00815696">
              <w:rPr>
                <w:sz w:val="21"/>
                <w:szCs w:val="21"/>
              </w:rPr>
              <w:t xml:space="preserve">Utvide ordninga med HMS-kort til </w:t>
            </w:r>
            <w:proofErr w:type="spellStart"/>
            <w:r w:rsidRPr="00815696">
              <w:rPr>
                <w:sz w:val="21"/>
                <w:szCs w:val="21"/>
              </w:rPr>
              <w:t>fleire</w:t>
            </w:r>
            <w:proofErr w:type="spellEnd"/>
            <w:r w:rsidRPr="00815696">
              <w:rPr>
                <w:sz w:val="21"/>
                <w:szCs w:val="21"/>
              </w:rPr>
              <w:t xml:space="preserve"> utsette </w:t>
            </w:r>
            <w:proofErr w:type="spellStart"/>
            <w:r w:rsidRPr="00815696">
              <w:rPr>
                <w:sz w:val="21"/>
                <w:szCs w:val="21"/>
              </w:rPr>
              <w:t>bransjar</w:t>
            </w:r>
            <w:proofErr w:type="spellEnd"/>
            <w:r w:rsidRPr="00815696">
              <w:rPr>
                <w:sz w:val="21"/>
                <w:szCs w:val="21"/>
              </w:rPr>
              <w:t xml:space="preserve"> </w:t>
            </w:r>
            <w:r w:rsidRPr="00815696">
              <w:rPr>
                <w:sz w:val="21"/>
                <w:szCs w:val="21"/>
              </w:rPr>
              <w:br/>
              <w:t>og forsterke korta</w:t>
            </w:r>
          </w:p>
        </w:tc>
        <w:tc>
          <w:tcPr>
            <w:tcW w:w="1280" w:type="dxa"/>
            <w:tcBorders>
              <w:top w:val="nil"/>
              <w:left w:val="nil"/>
              <w:bottom w:val="nil"/>
              <w:right w:val="nil"/>
            </w:tcBorders>
            <w:tcMar>
              <w:top w:w="128" w:type="dxa"/>
              <w:left w:w="43" w:type="dxa"/>
              <w:bottom w:w="43" w:type="dxa"/>
              <w:right w:w="43" w:type="dxa"/>
            </w:tcMar>
          </w:tcPr>
          <w:p w14:paraId="0391B076" w14:textId="77777777" w:rsidR="00D60186" w:rsidRPr="00815696" w:rsidRDefault="00D60186" w:rsidP="00815696">
            <w:pPr>
              <w:jc w:val="right"/>
              <w:rPr>
                <w:sz w:val="21"/>
                <w:szCs w:val="21"/>
              </w:rPr>
            </w:pPr>
            <w:r w:rsidRPr="00815696">
              <w:rPr>
                <w:sz w:val="21"/>
                <w:szCs w:val="21"/>
              </w:rPr>
              <w:t>Nei</w:t>
            </w:r>
          </w:p>
        </w:tc>
      </w:tr>
      <w:tr w:rsidR="00E76DC8" w:rsidRPr="00225D4D" w14:paraId="0F376814" w14:textId="77777777">
        <w:trPr>
          <w:trHeight w:val="880"/>
        </w:trPr>
        <w:tc>
          <w:tcPr>
            <w:tcW w:w="1320" w:type="dxa"/>
            <w:tcBorders>
              <w:top w:val="nil"/>
              <w:left w:val="nil"/>
              <w:bottom w:val="nil"/>
              <w:right w:val="nil"/>
            </w:tcBorders>
            <w:tcMar>
              <w:top w:w="128" w:type="dxa"/>
              <w:left w:w="43" w:type="dxa"/>
              <w:bottom w:w="43" w:type="dxa"/>
              <w:right w:w="43" w:type="dxa"/>
            </w:tcMar>
          </w:tcPr>
          <w:p w14:paraId="229E5BAE"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302FE187" w14:textId="77777777" w:rsidR="00D60186" w:rsidRPr="00815696" w:rsidRDefault="00D60186" w:rsidP="00815696">
            <w:pPr>
              <w:ind w:right="113"/>
              <w:jc w:val="right"/>
              <w:rPr>
                <w:sz w:val="21"/>
                <w:szCs w:val="21"/>
              </w:rPr>
            </w:pPr>
            <w:r w:rsidRPr="00815696">
              <w:rPr>
                <w:sz w:val="21"/>
                <w:szCs w:val="21"/>
              </w:rPr>
              <w:t>805</w:t>
            </w:r>
          </w:p>
        </w:tc>
        <w:tc>
          <w:tcPr>
            <w:tcW w:w="5640" w:type="dxa"/>
            <w:tcBorders>
              <w:top w:val="nil"/>
              <w:left w:val="nil"/>
              <w:bottom w:val="nil"/>
              <w:right w:val="nil"/>
            </w:tcBorders>
            <w:tcMar>
              <w:top w:w="128" w:type="dxa"/>
              <w:left w:w="43" w:type="dxa"/>
              <w:bottom w:w="43" w:type="dxa"/>
              <w:right w:w="43" w:type="dxa"/>
            </w:tcMar>
            <w:vAlign w:val="bottom"/>
          </w:tcPr>
          <w:p w14:paraId="37EBBE2D" w14:textId="77777777" w:rsidR="00D60186" w:rsidRPr="00815696" w:rsidRDefault="00D60186" w:rsidP="00225D4D">
            <w:pPr>
              <w:rPr>
                <w:sz w:val="21"/>
                <w:szCs w:val="21"/>
              </w:rPr>
            </w:pPr>
            <w:r w:rsidRPr="00815696">
              <w:rPr>
                <w:sz w:val="21"/>
                <w:szCs w:val="21"/>
              </w:rPr>
              <w:t xml:space="preserve">Inkludere </w:t>
            </w:r>
            <w:proofErr w:type="spellStart"/>
            <w:r w:rsidRPr="00815696">
              <w:rPr>
                <w:sz w:val="21"/>
                <w:szCs w:val="21"/>
              </w:rPr>
              <w:t>fleire</w:t>
            </w:r>
            <w:proofErr w:type="spellEnd"/>
            <w:r w:rsidRPr="00815696">
              <w:rPr>
                <w:sz w:val="21"/>
                <w:szCs w:val="21"/>
              </w:rPr>
              <w:t xml:space="preserve"> </w:t>
            </w:r>
            <w:proofErr w:type="spellStart"/>
            <w:r w:rsidRPr="00815696">
              <w:rPr>
                <w:sz w:val="21"/>
                <w:szCs w:val="21"/>
              </w:rPr>
              <w:t>sanntidsopplysningar</w:t>
            </w:r>
            <w:proofErr w:type="spellEnd"/>
            <w:r w:rsidRPr="00815696">
              <w:rPr>
                <w:sz w:val="21"/>
                <w:szCs w:val="21"/>
              </w:rPr>
              <w:t xml:space="preserve"> i HMS-kortet og </w:t>
            </w:r>
            <w:r w:rsidRPr="00815696">
              <w:rPr>
                <w:sz w:val="21"/>
                <w:szCs w:val="21"/>
              </w:rPr>
              <w:br/>
              <w:t xml:space="preserve">sørge for at </w:t>
            </w:r>
            <w:proofErr w:type="spellStart"/>
            <w:r w:rsidRPr="00815696">
              <w:rPr>
                <w:sz w:val="21"/>
                <w:szCs w:val="21"/>
              </w:rPr>
              <w:t>sannsynlege</w:t>
            </w:r>
            <w:proofErr w:type="spellEnd"/>
            <w:r w:rsidRPr="00815696">
              <w:rPr>
                <w:sz w:val="21"/>
                <w:szCs w:val="21"/>
              </w:rPr>
              <w:t xml:space="preserve"> </w:t>
            </w:r>
            <w:proofErr w:type="spellStart"/>
            <w:r w:rsidRPr="00815696">
              <w:rPr>
                <w:sz w:val="21"/>
                <w:szCs w:val="21"/>
              </w:rPr>
              <w:t>brot</w:t>
            </w:r>
            <w:proofErr w:type="spellEnd"/>
            <w:r w:rsidRPr="00815696">
              <w:rPr>
                <w:sz w:val="21"/>
                <w:szCs w:val="21"/>
              </w:rPr>
              <w:t xml:space="preserve"> på </w:t>
            </w:r>
            <w:proofErr w:type="spellStart"/>
            <w:r w:rsidRPr="00815696">
              <w:rPr>
                <w:sz w:val="21"/>
                <w:szCs w:val="21"/>
              </w:rPr>
              <w:t>reglane</w:t>
            </w:r>
            <w:proofErr w:type="spellEnd"/>
            <w:r w:rsidRPr="00815696">
              <w:rPr>
                <w:sz w:val="21"/>
                <w:szCs w:val="21"/>
              </w:rPr>
              <w:t xml:space="preserve"> automatisk blir </w:t>
            </w:r>
            <w:r w:rsidRPr="00815696">
              <w:rPr>
                <w:sz w:val="21"/>
                <w:szCs w:val="21"/>
              </w:rPr>
              <w:br/>
              <w:t xml:space="preserve">rapporterte til den aktuelle </w:t>
            </w:r>
            <w:proofErr w:type="spellStart"/>
            <w:r w:rsidRPr="00815696">
              <w:rPr>
                <w:sz w:val="21"/>
                <w:szCs w:val="21"/>
              </w:rPr>
              <w:t>tilsynsmyndigheita</w:t>
            </w:r>
            <w:proofErr w:type="spellEnd"/>
          </w:p>
        </w:tc>
        <w:tc>
          <w:tcPr>
            <w:tcW w:w="1280" w:type="dxa"/>
            <w:tcBorders>
              <w:top w:val="nil"/>
              <w:left w:val="nil"/>
              <w:bottom w:val="nil"/>
              <w:right w:val="nil"/>
            </w:tcBorders>
            <w:tcMar>
              <w:top w:w="128" w:type="dxa"/>
              <w:left w:w="43" w:type="dxa"/>
              <w:bottom w:w="43" w:type="dxa"/>
              <w:right w:w="43" w:type="dxa"/>
            </w:tcMar>
          </w:tcPr>
          <w:p w14:paraId="69EB9EC9" w14:textId="77777777" w:rsidR="00D60186" w:rsidRPr="00815696" w:rsidRDefault="00D60186" w:rsidP="00815696">
            <w:pPr>
              <w:jc w:val="right"/>
              <w:rPr>
                <w:sz w:val="21"/>
                <w:szCs w:val="21"/>
              </w:rPr>
            </w:pPr>
            <w:r w:rsidRPr="00815696">
              <w:rPr>
                <w:sz w:val="21"/>
                <w:szCs w:val="21"/>
              </w:rPr>
              <w:t>Nei</w:t>
            </w:r>
          </w:p>
        </w:tc>
      </w:tr>
      <w:tr w:rsidR="00E76DC8" w:rsidRPr="00225D4D" w14:paraId="3BF27C52" w14:textId="77777777">
        <w:trPr>
          <w:trHeight w:val="640"/>
        </w:trPr>
        <w:tc>
          <w:tcPr>
            <w:tcW w:w="1320" w:type="dxa"/>
            <w:tcBorders>
              <w:top w:val="nil"/>
              <w:left w:val="nil"/>
              <w:bottom w:val="nil"/>
              <w:right w:val="nil"/>
            </w:tcBorders>
            <w:tcMar>
              <w:top w:w="128" w:type="dxa"/>
              <w:left w:w="43" w:type="dxa"/>
              <w:bottom w:w="43" w:type="dxa"/>
              <w:right w:w="43" w:type="dxa"/>
            </w:tcMar>
          </w:tcPr>
          <w:p w14:paraId="5BA07FAF"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374F5429" w14:textId="77777777" w:rsidR="00D60186" w:rsidRPr="00815696" w:rsidRDefault="00D60186" w:rsidP="00815696">
            <w:pPr>
              <w:ind w:right="113"/>
              <w:jc w:val="right"/>
              <w:rPr>
                <w:sz w:val="21"/>
                <w:szCs w:val="21"/>
              </w:rPr>
            </w:pPr>
            <w:r w:rsidRPr="00815696">
              <w:rPr>
                <w:sz w:val="21"/>
                <w:szCs w:val="21"/>
              </w:rPr>
              <w:t>806</w:t>
            </w:r>
          </w:p>
        </w:tc>
        <w:tc>
          <w:tcPr>
            <w:tcW w:w="5640" w:type="dxa"/>
            <w:tcBorders>
              <w:top w:val="nil"/>
              <w:left w:val="nil"/>
              <w:bottom w:val="nil"/>
              <w:right w:val="nil"/>
            </w:tcBorders>
            <w:tcMar>
              <w:top w:w="128" w:type="dxa"/>
              <w:left w:w="43" w:type="dxa"/>
              <w:bottom w:w="43" w:type="dxa"/>
              <w:right w:w="43" w:type="dxa"/>
            </w:tcMar>
            <w:vAlign w:val="bottom"/>
          </w:tcPr>
          <w:p w14:paraId="795C7ED6" w14:textId="77777777" w:rsidR="00D60186" w:rsidRPr="00815696" w:rsidRDefault="00D60186" w:rsidP="00225D4D">
            <w:pPr>
              <w:rPr>
                <w:sz w:val="21"/>
                <w:szCs w:val="21"/>
              </w:rPr>
            </w:pPr>
            <w:r w:rsidRPr="00815696">
              <w:rPr>
                <w:sz w:val="21"/>
                <w:szCs w:val="21"/>
              </w:rPr>
              <w:t xml:space="preserve">Krav om fysisk ID-sjekk eller bruk av </w:t>
            </w:r>
            <w:proofErr w:type="spellStart"/>
            <w:r w:rsidRPr="00815696">
              <w:rPr>
                <w:sz w:val="21"/>
                <w:szCs w:val="21"/>
              </w:rPr>
              <w:t>BankID</w:t>
            </w:r>
            <w:proofErr w:type="spellEnd"/>
            <w:r w:rsidRPr="00815696">
              <w:rPr>
                <w:sz w:val="21"/>
                <w:szCs w:val="21"/>
              </w:rPr>
              <w:t xml:space="preserve"> ved </w:t>
            </w:r>
            <w:proofErr w:type="spellStart"/>
            <w:r w:rsidRPr="00815696">
              <w:rPr>
                <w:sz w:val="21"/>
                <w:szCs w:val="21"/>
              </w:rPr>
              <w:t>utferding</w:t>
            </w:r>
            <w:proofErr w:type="spellEnd"/>
            <w:r w:rsidRPr="00815696">
              <w:rPr>
                <w:sz w:val="21"/>
                <w:szCs w:val="21"/>
              </w:rPr>
              <w:t xml:space="preserve"> av HMS-kort</w:t>
            </w:r>
          </w:p>
        </w:tc>
        <w:tc>
          <w:tcPr>
            <w:tcW w:w="1280" w:type="dxa"/>
            <w:tcBorders>
              <w:top w:val="nil"/>
              <w:left w:val="nil"/>
              <w:bottom w:val="nil"/>
              <w:right w:val="nil"/>
            </w:tcBorders>
            <w:tcMar>
              <w:top w:w="128" w:type="dxa"/>
              <w:left w:w="43" w:type="dxa"/>
              <w:bottom w:w="43" w:type="dxa"/>
              <w:right w:w="43" w:type="dxa"/>
            </w:tcMar>
          </w:tcPr>
          <w:p w14:paraId="6C7ABEB1" w14:textId="77777777" w:rsidR="00D60186" w:rsidRPr="00815696" w:rsidRDefault="00D60186" w:rsidP="00815696">
            <w:pPr>
              <w:jc w:val="right"/>
              <w:rPr>
                <w:sz w:val="21"/>
                <w:szCs w:val="21"/>
              </w:rPr>
            </w:pPr>
            <w:r w:rsidRPr="00815696">
              <w:rPr>
                <w:sz w:val="21"/>
                <w:szCs w:val="21"/>
              </w:rPr>
              <w:t>Nei</w:t>
            </w:r>
          </w:p>
        </w:tc>
      </w:tr>
      <w:tr w:rsidR="00E76DC8" w:rsidRPr="00225D4D" w14:paraId="2D1D2802" w14:textId="77777777">
        <w:trPr>
          <w:trHeight w:val="380"/>
        </w:trPr>
        <w:tc>
          <w:tcPr>
            <w:tcW w:w="1320" w:type="dxa"/>
            <w:tcBorders>
              <w:top w:val="nil"/>
              <w:left w:val="nil"/>
              <w:bottom w:val="nil"/>
              <w:right w:val="nil"/>
            </w:tcBorders>
            <w:tcMar>
              <w:top w:w="128" w:type="dxa"/>
              <w:left w:w="43" w:type="dxa"/>
              <w:bottom w:w="43" w:type="dxa"/>
              <w:right w:w="43" w:type="dxa"/>
            </w:tcMar>
          </w:tcPr>
          <w:p w14:paraId="60981E8B"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46D8A2A5" w14:textId="77777777" w:rsidR="00D60186" w:rsidRPr="00815696" w:rsidRDefault="00D60186" w:rsidP="00815696">
            <w:pPr>
              <w:ind w:right="113"/>
              <w:jc w:val="right"/>
              <w:rPr>
                <w:sz w:val="21"/>
                <w:szCs w:val="21"/>
              </w:rPr>
            </w:pPr>
            <w:r w:rsidRPr="00815696">
              <w:rPr>
                <w:sz w:val="21"/>
                <w:szCs w:val="21"/>
              </w:rPr>
              <w:t>807</w:t>
            </w:r>
          </w:p>
        </w:tc>
        <w:tc>
          <w:tcPr>
            <w:tcW w:w="5640" w:type="dxa"/>
            <w:tcBorders>
              <w:top w:val="nil"/>
              <w:left w:val="nil"/>
              <w:bottom w:val="nil"/>
              <w:right w:val="nil"/>
            </w:tcBorders>
            <w:tcMar>
              <w:top w:w="128" w:type="dxa"/>
              <w:left w:w="43" w:type="dxa"/>
              <w:bottom w:w="43" w:type="dxa"/>
              <w:right w:w="43" w:type="dxa"/>
            </w:tcMar>
            <w:vAlign w:val="bottom"/>
          </w:tcPr>
          <w:p w14:paraId="7FE48036" w14:textId="77777777" w:rsidR="00D60186" w:rsidRPr="00815696" w:rsidRDefault="00D60186" w:rsidP="00225D4D">
            <w:pPr>
              <w:rPr>
                <w:sz w:val="21"/>
                <w:szCs w:val="21"/>
              </w:rPr>
            </w:pPr>
            <w:r w:rsidRPr="00815696">
              <w:rPr>
                <w:sz w:val="21"/>
                <w:szCs w:val="21"/>
              </w:rPr>
              <w:t>Heimel for Arbeidstilsynet til å handheve lønnstjuveri</w:t>
            </w:r>
          </w:p>
        </w:tc>
        <w:tc>
          <w:tcPr>
            <w:tcW w:w="1280" w:type="dxa"/>
            <w:tcBorders>
              <w:top w:val="nil"/>
              <w:left w:val="nil"/>
              <w:bottom w:val="nil"/>
              <w:right w:val="nil"/>
            </w:tcBorders>
            <w:tcMar>
              <w:top w:w="128" w:type="dxa"/>
              <w:left w:w="43" w:type="dxa"/>
              <w:bottom w:w="43" w:type="dxa"/>
              <w:right w:w="43" w:type="dxa"/>
            </w:tcMar>
          </w:tcPr>
          <w:p w14:paraId="7C178383" w14:textId="77777777" w:rsidR="00D60186" w:rsidRPr="00815696" w:rsidRDefault="00D60186" w:rsidP="00815696">
            <w:pPr>
              <w:jc w:val="right"/>
              <w:rPr>
                <w:sz w:val="21"/>
                <w:szCs w:val="21"/>
              </w:rPr>
            </w:pPr>
            <w:r w:rsidRPr="00815696">
              <w:rPr>
                <w:sz w:val="21"/>
                <w:szCs w:val="21"/>
              </w:rPr>
              <w:t>Ja</w:t>
            </w:r>
          </w:p>
        </w:tc>
      </w:tr>
      <w:tr w:rsidR="00E76DC8" w:rsidRPr="00225D4D" w14:paraId="693EE943" w14:textId="77777777">
        <w:trPr>
          <w:trHeight w:val="380"/>
        </w:trPr>
        <w:tc>
          <w:tcPr>
            <w:tcW w:w="1320" w:type="dxa"/>
            <w:tcBorders>
              <w:top w:val="nil"/>
              <w:left w:val="nil"/>
              <w:bottom w:val="nil"/>
              <w:right w:val="nil"/>
            </w:tcBorders>
            <w:tcMar>
              <w:top w:w="128" w:type="dxa"/>
              <w:left w:w="43" w:type="dxa"/>
              <w:bottom w:w="43" w:type="dxa"/>
              <w:right w:w="43" w:type="dxa"/>
            </w:tcMar>
          </w:tcPr>
          <w:p w14:paraId="5294B276"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2D8F3BA0" w14:textId="77777777" w:rsidR="00D60186" w:rsidRPr="00815696" w:rsidRDefault="00D60186" w:rsidP="00815696">
            <w:pPr>
              <w:ind w:right="113"/>
              <w:jc w:val="right"/>
              <w:rPr>
                <w:sz w:val="21"/>
                <w:szCs w:val="21"/>
              </w:rPr>
            </w:pPr>
            <w:r w:rsidRPr="00815696">
              <w:rPr>
                <w:sz w:val="21"/>
                <w:szCs w:val="21"/>
              </w:rPr>
              <w:t>808</w:t>
            </w:r>
          </w:p>
        </w:tc>
        <w:tc>
          <w:tcPr>
            <w:tcW w:w="5640" w:type="dxa"/>
            <w:tcBorders>
              <w:top w:val="nil"/>
              <w:left w:val="nil"/>
              <w:bottom w:val="nil"/>
              <w:right w:val="nil"/>
            </w:tcBorders>
            <w:tcMar>
              <w:top w:w="128" w:type="dxa"/>
              <w:left w:w="43" w:type="dxa"/>
              <w:bottom w:w="43" w:type="dxa"/>
              <w:right w:w="43" w:type="dxa"/>
            </w:tcMar>
            <w:vAlign w:val="bottom"/>
          </w:tcPr>
          <w:p w14:paraId="6AEF2C09" w14:textId="77777777" w:rsidR="00D60186" w:rsidRPr="00815696" w:rsidRDefault="00D60186" w:rsidP="00225D4D">
            <w:pPr>
              <w:rPr>
                <w:sz w:val="21"/>
                <w:szCs w:val="21"/>
              </w:rPr>
            </w:pPr>
            <w:proofErr w:type="spellStart"/>
            <w:r w:rsidRPr="00815696">
              <w:rPr>
                <w:sz w:val="21"/>
                <w:szCs w:val="21"/>
              </w:rPr>
              <w:t>Auka</w:t>
            </w:r>
            <w:proofErr w:type="spellEnd"/>
            <w:r w:rsidRPr="00815696">
              <w:rPr>
                <w:sz w:val="21"/>
                <w:szCs w:val="21"/>
              </w:rPr>
              <w:t xml:space="preserve"> løyving til Fair Play Bygg Norge</w:t>
            </w:r>
          </w:p>
        </w:tc>
        <w:tc>
          <w:tcPr>
            <w:tcW w:w="1280" w:type="dxa"/>
            <w:tcBorders>
              <w:top w:val="nil"/>
              <w:left w:val="nil"/>
              <w:bottom w:val="nil"/>
              <w:right w:val="nil"/>
            </w:tcBorders>
            <w:tcMar>
              <w:top w:w="128" w:type="dxa"/>
              <w:left w:w="43" w:type="dxa"/>
              <w:bottom w:w="43" w:type="dxa"/>
              <w:right w:w="43" w:type="dxa"/>
            </w:tcMar>
          </w:tcPr>
          <w:p w14:paraId="747936F9" w14:textId="77777777" w:rsidR="00D60186" w:rsidRPr="00815696" w:rsidRDefault="00D60186" w:rsidP="00815696">
            <w:pPr>
              <w:jc w:val="right"/>
              <w:rPr>
                <w:sz w:val="21"/>
                <w:szCs w:val="21"/>
              </w:rPr>
            </w:pPr>
            <w:r w:rsidRPr="00815696">
              <w:rPr>
                <w:sz w:val="21"/>
                <w:szCs w:val="21"/>
              </w:rPr>
              <w:t>Ja</w:t>
            </w:r>
          </w:p>
        </w:tc>
      </w:tr>
      <w:tr w:rsidR="00E76DC8" w:rsidRPr="00225D4D" w14:paraId="4D9F0991" w14:textId="77777777">
        <w:trPr>
          <w:trHeight w:val="640"/>
        </w:trPr>
        <w:tc>
          <w:tcPr>
            <w:tcW w:w="1320" w:type="dxa"/>
            <w:tcBorders>
              <w:top w:val="nil"/>
              <w:left w:val="nil"/>
              <w:bottom w:val="nil"/>
              <w:right w:val="nil"/>
            </w:tcBorders>
            <w:tcMar>
              <w:top w:w="128" w:type="dxa"/>
              <w:left w:w="43" w:type="dxa"/>
              <w:bottom w:w="43" w:type="dxa"/>
              <w:right w:w="43" w:type="dxa"/>
            </w:tcMar>
          </w:tcPr>
          <w:p w14:paraId="2D87A474"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47BCCC4F" w14:textId="77777777" w:rsidR="00D60186" w:rsidRPr="00815696" w:rsidRDefault="00D60186" w:rsidP="00815696">
            <w:pPr>
              <w:ind w:right="113"/>
              <w:jc w:val="right"/>
              <w:rPr>
                <w:sz w:val="21"/>
                <w:szCs w:val="21"/>
              </w:rPr>
            </w:pPr>
            <w:r w:rsidRPr="00815696">
              <w:rPr>
                <w:sz w:val="21"/>
                <w:szCs w:val="21"/>
              </w:rPr>
              <w:t>809</w:t>
            </w:r>
          </w:p>
        </w:tc>
        <w:tc>
          <w:tcPr>
            <w:tcW w:w="5640" w:type="dxa"/>
            <w:tcBorders>
              <w:top w:val="nil"/>
              <w:left w:val="nil"/>
              <w:bottom w:val="nil"/>
              <w:right w:val="nil"/>
            </w:tcBorders>
            <w:tcMar>
              <w:top w:w="128" w:type="dxa"/>
              <w:left w:w="43" w:type="dxa"/>
              <w:bottom w:w="43" w:type="dxa"/>
              <w:right w:w="43" w:type="dxa"/>
            </w:tcMar>
            <w:vAlign w:val="bottom"/>
          </w:tcPr>
          <w:p w14:paraId="30F6C832" w14:textId="77777777" w:rsidR="00D60186" w:rsidRPr="00815696" w:rsidRDefault="00D60186" w:rsidP="00225D4D">
            <w:pPr>
              <w:rPr>
                <w:sz w:val="21"/>
                <w:szCs w:val="21"/>
              </w:rPr>
            </w:pPr>
            <w:r w:rsidRPr="00815696">
              <w:rPr>
                <w:sz w:val="21"/>
                <w:szCs w:val="21"/>
              </w:rPr>
              <w:t xml:space="preserve">Forslag til målretta tiltak for </w:t>
            </w:r>
            <w:proofErr w:type="spellStart"/>
            <w:r w:rsidRPr="00815696">
              <w:rPr>
                <w:sz w:val="21"/>
                <w:szCs w:val="21"/>
              </w:rPr>
              <w:t>arbeidstakarar</w:t>
            </w:r>
            <w:proofErr w:type="spellEnd"/>
            <w:r w:rsidRPr="00815696">
              <w:rPr>
                <w:sz w:val="21"/>
                <w:szCs w:val="21"/>
              </w:rPr>
              <w:t xml:space="preserve"> som blir grovt utnytta i arbeidslivet</w:t>
            </w:r>
          </w:p>
        </w:tc>
        <w:tc>
          <w:tcPr>
            <w:tcW w:w="1280" w:type="dxa"/>
            <w:tcBorders>
              <w:top w:val="nil"/>
              <w:left w:val="nil"/>
              <w:bottom w:val="nil"/>
              <w:right w:val="nil"/>
            </w:tcBorders>
            <w:tcMar>
              <w:top w:w="128" w:type="dxa"/>
              <w:left w:w="43" w:type="dxa"/>
              <w:bottom w:w="43" w:type="dxa"/>
              <w:right w:w="43" w:type="dxa"/>
            </w:tcMar>
          </w:tcPr>
          <w:p w14:paraId="066AE34F" w14:textId="77777777" w:rsidR="00D60186" w:rsidRPr="00815696" w:rsidRDefault="00D60186" w:rsidP="00815696">
            <w:pPr>
              <w:jc w:val="right"/>
              <w:rPr>
                <w:sz w:val="21"/>
                <w:szCs w:val="21"/>
              </w:rPr>
            </w:pPr>
            <w:r w:rsidRPr="00815696">
              <w:rPr>
                <w:sz w:val="21"/>
                <w:szCs w:val="21"/>
              </w:rPr>
              <w:t>Ja</w:t>
            </w:r>
          </w:p>
        </w:tc>
      </w:tr>
      <w:tr w:rsidR="00E76DC8" w:rsidRPr="00225D4D" w14:paraId="64C05D2F" w14:textId="77777777">
        <w:trPr>
          <w:trHeight w:val="640"/>
        </w:trPr>
        <w:tc>
          <w:tcPr>
            <w:tcW w:w="1320" w:type="dxa"/>
            <w:tcBorders>
              <w:top w:val="nil"/>
              <w:left w:val="nil"/>
              <w:bottom w:val="nil"/>
              <w:right w:val="nil"/>
            </w:tcBorders>
            <w:tcMar>
              <w:top w:w="128" w:type="dxa"/>
              <w:left w:w="43" w:type="dxa"/>
              <w:bottom w:w="43" w:type="dxa"/>
              <w:right w:w="43" w:type="dxa"/>
            </w:tcMar>
          </w:tcPr>
          <w:p w14:paraId="693EDE88"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2BEC05F6" w14:textId="77777777" w:rsidR="00D60186" w:rsidRPr="00815696" w:rsidRDefault="00D60186" w:rsidP="00815696">
            <w:pPr>
              <w:ind w:right="113"/>
              <w:jc w:val="right"/>
              <w:rPr>
                <w:sz w:val="21"/>
                <w:szCs w:val="21"/>
              </w:rPr>
            </w:pPr>
            <w:r w:rsidRPr="00815696">
              <w:rPr>
                <w:sz w:val="21"/>
                <w:szCs w:val="21"/>
              </w:rPr>
              <w:t>811</w:t>
            </w:r>
          </w:p>
        </w:tc>
        <w:tc>
          <w:tcPr>
            <w:tcW w:w="5640" w:type="dxa"/>
            <w:tcBorders>
              <w:top w:val="nil"/>
              <w:left w:val="nil"/>
              <w:bottom w:val="nil"/>
              <w:right w:val="nil"/>
            </w:tcBorders>
            <w:tcMar>
              <w:top w:w="128" w:type="dxa"/>
              <w:left w:w="43" w:type="dxa"/>
              <w:bottom w:w="43" w:type="dxa"/>
              <w:right w:w="43" w:type="dxa"/>
            </w:tcMar>
            <w:vAlign w:val="bottom"/>
          </w:tcPr>
          <w:p w14:paraId="18AD8031" w14:textId="77777777" w:rsidR="00D60186" w:rsidRPr="00815696" w:rsidRDefault="00D60186" w:rsidP="00225D4D">
            <w:pPr>
              <w:rPr>
                <w:sz w:val="21"/>
                <w:szCs w:val="21"/>
              </w:rPr>
            </w:pPr>
            <w:r w:rsidRPr="00815696">
              <w:rPr>
                <w:sz w:val="21"/>
                <w:szCs w:val="21"/>
              </w:rPr>
              <w:t xml:space="preserve">Fjerne unntaket for psykiske og fysiske </w:t>
            </w:r>
            <w:proofErr w:type="spellStart"/>
            <w:r w:rsidRPr="00815696">
              <w:rPr>
                <w:sz w:val="21"/>
                <w:szCs w:val="21"/>
              </w:rPr>
              <w:t>belastningslidingar</w:t>
            </w:r>
            <w:proofErr w:type="spellEnd"/>
            <w:r w:rsidRPr="00815696">
              <w:rPr>
                <w:sz w:val="21"/>
                <w:szCs w:val="21"/>
              </w:rPr>
              <w:t xml:space="preserve"> </w:t>
            </w:r>
            <w:r w:rsidRPr="00815696">
              <w:rPr>
                <w:sz w:val="21"/>
                <w:szCs w:val="21"/>
              </w:rPr>
              <w:br/>
              <w:t>i folketrygdlova § 13-3 tredje leddet</w:t>
            </w:r>
          </w:p>
        </w:tc>
        <w:tc>
          <w:tcPr>
            <w:tcW w:w="1280" w:type="dxa"/>
            <w:tcBorders>
              <w:top w:val="nil"/>
              <w:left w:val="nil"/>
              <w:bottom w:val="nil"/>
              <w:right w:val="nil"/>
            </w:tcBorders>
            <w:tcMar>
              <w:top w:w="128" w:type="dxa"/>
              <w:left w:w="43" w:type="dxa"/>
              <w:bottom w:w="43" w:type="dxa"/>
              <w:right w:w="43" w:type="dxa"/>
            </w:tcMar>
          </w:tcPr>
          <w:p w14:paraId="531B98C3" w14:textId="77777777" w:rsidR="00D60186" w:rsidRPr="00815696" w:rsidRDefault="00D60186" w:rsidP="00815696">
            <w:pPr>
              <w:jc w:val="right"/>
              <w:rPr>
                <w:sz w:val="21"/>
                <w:szCs w:val="21"/>
              </w:rPr>
            </w:pPr>
            <w:r w:rsidRPr="00815696">
              <w:rPr>
                <w:sz w:val="21"/>
                <w:szCs w:val="21"/>
              </w:rPr>
              <w:t>Nei</w:t>
            </w:r>
          </w:p>
        </w:tc>
      </w:tr>
      <w:tr w:rsidR="00E76DC8" w:rsidRPr="00225D4D" w14:paraId="252A4DEE" w14:textId="77777777">
        <w:trPr>
          <w:trHeight w:val="640"/>
        </w:trPr>
        <w:tc>
          <w:tcPr>
            <w:tcW w:w="1320" w:type="dxa"/>
            <w:tcBorders>
              <w:top w:val="nil"/>
              <w:left w:val="nil"/>
              <w:bottom w:val="nil"/>
              <w:right w:val="nil"/>
            </w:tcBorders>
            <w:tcMar>
              <w:top w:w="128" w:type="dxa"/>
              <w:left w:w="43" w:type="dxa"/>
              <w:bottom w:w="43" w:type="dxa"/>
              <w:right w:w="43" w:type="dxa"/>
            </w:tcMar>
          </w:tcPr>
          <w:p w14:paraId="42C3C6F0"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6BB3D07C" w14:textId="77777777" w:rsidR="00D60186" w:rsidRPr="00815696" w:rsidRDefault="00D60186" w:rsidP="00815696">
            <w:pPr>
              <w:ind w:right="113"/>
              <w:jc w:val="right"/>
              <w:rPr>
                <w:sz w:val="21"/>
                <w:szCs w:val="21"/>
              </w:rPr>
            </w:pPr>
            <w:r w:rsidRPr="00815696">
              <w:rPr>
                <w:sz w:val="21"/>
                <w:szCs w:val="21"/>
              </w:rPr>
              <w:t>812</w:t>
            </w:r>
          </w:p>
        </w:tc>
        <w:tc>
          <w:tcPr>
            <w:tcW w:w="5640" w:type="dxa"/>
            <w:tcBorders>
              <w:top w:val="nil"/>
              <w:left w:val="nil"/>
              <w:bottom w:val="nil"/>
              <w:right w:val="nil"/>
            </w:tcBorders>
            <w:tcMar>
              <w:top w:w="128" w:type="dxa"/>
              <w:left w:w="43" w:type="dxa"/>
              <w:bottom w:w="43" w:type="dxa"/>
              <w:right w:w="43" w:type="dxa"/>
            </w:tcMar>
            <w:vAlign w:val="bottom"/>
          </w:tcPr>
          <w:p w14:paraId="6C520314" w14:textId="77777777" w:rsidR="00D60186" w:rsidRPr="00815696" w:rsidRDefault="00D60186" w:rsidP="00225D4D">
            <w:pPr>
              <w:rPr>
                <w:sz w:val="21"/>
                <w:szCs w:val="21"/>
              </w:rPr>
            </w:pPr>
            <w:r w:rsidRPr="00815696">
              <w:rPr>
                <w:sz w:val="21"/>
                <w:szCs w:val="21"/>
              </w:rPr>
              <w:t xml:space="preserve">Endre det avdempa ulykkesomgrepet i folketrygdlova </w:t>
            </w:r>
            <w:r w:rsidRPr="00815696">
              <w:rPr>
                <w:sz w:val="21"/>
                <w:szCs w:val="21"/>
              </w:rPr>
              <w:br/>
              <w:t>§ 13-3 andre leddet</w:t>
            </w:r>
          </w:p>
        </w:tc>
        <w:tc>
          <w:tcPr>
            <w:tcW w:w="1280" w:type="dxa"/>
            <w:tcBorders>
              <w:top w:val="nil"/>
              <w:left w:val="nil"/>
              <w:bottom w:val="nil"/>
              <w:right w:val="nil"/>
            </w:tcBorders>
            <w:tcMar>
              <w:top w:w="128" w:type="dxa"/>
              <w:left w:w="43" w:type="dxa"/>
              <w:bottom w:w="43" w:type="dxa"/>
              <w:right w:w="43" w:type="dxa"/>
            </w:tcMar>
          </w:tcPr>
          <w:p w14:paraId="214D14F9" w14:textId="77777777" w:rsidR="00D60186" w:rsidRPr="00815696" w:rsidRDefault="00D60186" w:rsidP="00815696">
            <w:pPr>
              <w:jc w:val="right"/>
              <w:rPr>
                <w:sz w:val="21"/>
                <w:szCs w:val="21"/>
              </w:rPr>
            </w:pPr>
            <w:r w:rsidRPr="00815696">
              <w:rPr>
                <w:sz w:val="21"/>
                <w:szCs w:val="21"/>
              </w:rPr>
              <w:t>Nei</w:t>
            </w:r>
          </w:p>
        </w:tc>
      </w:tr>
      <w:tr w:rsidR="00E76DC8" w:rsidRPr="00225D4D" w14:paraId="05BAF9C9" w14:textId="77777777">
        <w:trPr>
          <w:trHeight w:val="1140"/>
        </w:trPr>
        <w:tc>
          <w:tcPr>
            <w:tcW w:w="1320" w:type="dxa"/>
            <w:tcBorders>
              <w:top w:val="nil"/>
              <w:left w:val="nil"/>
              <w:bottom w:val="nil"/>
              <w:right w:val="nil"/>
            </w:tcBorders>
            <w:tcMar>
              <w:top w:w="128" w:type="dxa"/>
              <w:left w:w="43" w:type="dxa"/>
              <w:bottom w:w="43" w:type="dxa"/>
              <w:right w:w="43" w:type="dxa"/>
            </w:tcMar>
          </w:tcPr>
          <w:p w14:paraId="62FC6326"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077491C8" w14:textId="77777777" w:rsidR="00D60186" w:rsidRPr="00815696" w:rsidRDefault="00D60186" w:rsidP="00815696">
            <w:pPr>
              <w:ind w:right="113"/>
              <w:jc w:val="right"/>
              <w:rPr>
                <w:sz w:val="21"/>
                <w:szCs w:val="21"/>
              </w:rPr>
            </w:pPr>
            <w:r w:rsidRPr="00815696">
              <w:rPr>
                <w:sz w:val="21"/>
                <w:szCs w:val="21"/>
              </w:rPr>
              <w:t>813</w:t>
            </w:r>
          </w:p>
        </w:tc>
        <w:tc>
          <w:tcPr>
            <w:tcW w:w="5640" w:type="dxa"/>
            <w:tcBorders>
              <w:top w:val="nil"/>
              <w:left w:val="nil"/>
              <w:bottom w:val="nil"/>
              <w:right w:val="nil"/>
            </w:tcBorders>
            <w:tcMar>
              <w:top w:w="128" w:type="dxa"/>
              <w:left w:w="43" w:type="dxa"/>
              <w:bottom w:w="43" w:type="dxa"/>
              <w:right w:w="43" w:type="dxa"/>
            </w:tcMar>
            <w:vAlign w:val="bottom"/>
          </w:tcPr>
          <w:p w14:paraId="1E096B7E" w14:textId="77777777" w:rsidR="00D60186" w:rsidRPr="00815696" w:rsidRDefault="00D60186" w:rsidP="00225D4D">
            <w:pPr>
              <w:rPr>
                <w:sz w:val="21"/>
                <w:szCs w:val="21"/>
              </w:rPr>
            </w:pPr>
            <w:r w:rsidRPr="00815696">
              <w:rPr>
                <w:sz w:val="21"/>
                <w:szCs w:val="21"/>
              </w:rPr>
              <w:t xml:space="preserve">Oppdatere yrkessjukdomslista, slik at kreftformene som </w:t>
            </w:r>
            <w:proofErr w:type="spellStart"/>
            <w:r w:rsidRPr="00815696">
              <w:rPr>
                <w:sz w:val="21"/>
                <w:szCs w:val="21"/>
              </w:rPr>
              <w:t>rammar</w:t>
            </w:r>
            <w:proofErr w:type="spellEnd"/>
            <w:r w:rsidRPr="00815696">
              <w:rPr>
                <w:sz w:val="21"/>
                <w:szCs w:val="21"/>
              </w:rPr>
              <w:t xml:space="preserve"> kvinnelege </w:t>
            </w:r>
            <w:proofErr w:type="spellStart"/>
            <w:r w:rsidRPr="00815696">
              <w:rPr>
                <w:sz w:val="21"/>
                <w:szCs w:val="21"/>
              </w:rPr>
              <w:t>brannkonstablar</w:t>
            </w:r>
            <w:proofErr w:type="spellEnd"/>
            <w:r w:rsidRPr="00815696">
              <w:rPr>
                <w:sz w:val="21"/>
                <w:szCs w:val="21"/>
              </w:rPr>
              <w:t xml:space="preserve"> (brystkreft, livmorhalskreft, kreft i </w:t>
            </w:r>
            <w:proofErr w:type="spellStart"/>
            <w:r w:rsidRPr="00815696">
              <w:rPr>
                <w:sz w:val="21"/>
                <w:szCs w:val="21"/>
              </w:rPr>
              <w:t>eggstokkane</w:t>
            </w:r>
            <w:proofErr w:type="spellEnd"/>
            <w:r w:rsidRPr="00815696">
              <w:rPr>
                <w:sz w:val="21"/>
                <w:szCs w:val="21"/>
              </w:rPr>
              <w:t xml:space="preserve">), blir </w:t>
            </w:r>
            <w:proofErr w:type="spellStart"/>
            <w:r w:rsidRPr="00815696">
              <w:rPr>
                <w:sz w:val="21"/>
                <w:szCs w:val="21"/>
              </w:rPr>
              <w:t>godkjende</w:t>
            </w:r>
            <w:proofErr w:type="spellEnd"/>
            <w:r w:rsidRPr="00815696">
              <w:rPr>
                <w:sz w:val="21"/>
                <w:szCs w:val="21"/>
              </w:rPr>
              <w:t xml:space="preserve"> som yrkessjukdom</w:t>
            </w:r>
          </w:p>
        </w:tc>
        <w:tc>
          <w:tcPr>
            <w:tcW w:w="1280" w:type="dxa"/>
            <w:tcBorders>
              <w:top w:val="nil"/>
              <w:left w:val="nil"/>
              <w:bottom w:val="nil"/>
              <w:right w:val="nil"/>
            </w:tcBorders>
            <w:tcMar>
              <w:top w:w="128" w:type="dxa"/>
              <w:left w:w="43" w:type="dxa"/>
              <w:bottom w:w="43" w:type="dxa"/>
              <w:right w:w="43" w:type="dxa"/>
            </w:tcMar>
          </w:tcPr>
          <w:p w14:paraId="6A6D7F56" w14:textId="77777777" w:rsidR="00D60186" w:rsidRPr="00815696" w:rsidRDefault="00D60186" w:rsidP="00815696">
            <w:pPr>
              <w:jc w:val="right"/>
              <w:rPr>
                <w:sz w:val="21"/>
                <w:szCs w:val="21"/>
              </w:rPr>
            </w:pPr>
            <w:r w:rsidRPr="00815696">
              <w:rPr>
                <w:sz w:val="21"/>
                <w:szCs w:val="21"/>
              </w:rPr>
              <w:t>Nei</w:t>
            </w:r>
          </w:p>
        </w:tc>
      </w:tr>
      <w:tr w:rsidR="00E76DC8" w:rsidRPr="00225D4D" w14:paraId="0C36795C" w14:textId="77777777">
        <w:trPr>
          <w:trHeight w:val="880"/>
        </w:trPr>
        <w:tc>
          <w:tcPr>
            <w:tcW w:w="1320" w:type="dxa"/>
            <w:tcBorders>
              <w:top w:val="nil"/>
              <w:left w:val="nil"/>
              <w:bottom w:val="nil"/>
              <w:right w:val="nil"/>
            </w:tcBorders>
            <w:tcMar>
              <w:top w:w="128" w:type="dxa"/>
              <w:left w:w="43" w:type="dxa"/>
              <w:bottom w:w="43" w:type="dxa"/>
              <w:right w:w="43" w:type="dxa"/>
            </w:tcMar>
          </w:tcPr>
          <w:p w14:paraId="710D4AF0"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2600DEDD" w14:textId="77777777" w:rsidR="00D60186" w:rsidRPr="00815696" w:rsidRDefault="00D60186" w:rsidP="00815696">
            <w:pPr>
              <w:ind w:right="113"/>
              <w:jc w:val="right"/>
              <w:rPr>
                <w:sz w:val="21"/>
                <w:szCs w:val="21"/>
              </w:rPr>
            </w:pPr>
            <w:r w:rsidRPr="00815696">
              <w:rPr>
                <w:sz w:val="21"/>
                <w:szCs w:val="21"/>
              </w:rPr>
              <w:t>814</w:t>
            </w:r>
          </w:p>
        </w:tc>
        <w:tc>
          <w:tcPr>
            <w:tcW w:w="5640" w:type="dxa"/>
            <w:tcBorders>
              <w:top w:val="nil"/>
              <w:left w:val="nil"/>
              <w:bottom w:val="nil"/>
              <w:right w:val="nil"/>
            </w:tcBorders>
            <w:tcMar>
              <w:top w:w="128" w:type="dxa"/>
              <w:left w:w="43" w:type="dxa"/>
              <w:bottom w:w="43" w:type="dxa"/>
              <w:right w:w="43" w:type="dxa"/>
            </w:tcMar>
            <w:vAlign w:val="bottom"/>
          </w:tcPr>
          <w:p w14:paraId="0A727990" w14:textId="77777777" w:rsidR="00D60186" w:rsidRPr="00815696" w:rsidRDefault="00D60186" w:rsidP="00225D4D">
            <w:pPr>
              <w:rPr>
                <w:sz w:val="21"/>
                <w:szCs w:val="21"/>
              </w:rPr>
            </w:pPr>
            <w:r w:rsidRPr="00815696">
              <w:rPr>
                <w:sz w:val="21"/>
                <w:szCs w:val="21"/>
              </w:rPr>
              <w:t xml:space="preserve">Oppdatere yrkessjukdomslista, slik at brystkreft som </w:t>
            </w:r>
            <w:proofErr w:type="spellStart"/>
            <w:r w:rsidRPr="00815696">
              <w:rPr>
                <w:sz w:val="21"/>
                <w:szCs w:val="21"/>
              </w:rPr>
              <w:t>rammar</w:t>
            </w:r>
            <w:proofErr w:type="spellEnd"/>
            <w:r w:rsidRPr="00815696">
              <w:rPr>
                <w:sz w:val="21"/>
                <w:szCs w:val="21"/>
              </w:rPr>
              <w:t xml:space="preserve"> </w:t>
            </w:r>
            <w:proofErr w:type="spellStart"/>
            <w:r w:rsidRPr="00815696">
              <w:rPr>
                <w:sz w:val="21"/>
                <w:szCs w:val="21"/>
              </w:rPr>
              <w:t>arbeidstakarar</w:t>
            </w:r>
            <w:proofErr w:type="spellEnd"/>
            <w:r w:rsidRPr="00815696">
              <w:rPr>
                <w:sz w:val="21"/>
                <w:szCs w:val="21"/>
              </w:rPr>
              <w:t xml:space="preserve"> i turnus/nattarbeid, blir </w:t>
            </w:r>
            <w:proofErr w:type="spellStart"/>
            <w:r w:rsidRPr="00815696">
              <w:rPr>
                <w:sz w:val="21"/>
                <w:szCs w:val="21"/>
              </w:rPr>
              <w:t>godkjende</w:t>
            </w:r>
            <w:proofErr w:type="spellEnd"/>
            <w:r w:rsidRPr="00815696">
              <w:rPr>
                <w:sz w:val="21"/>
                <w:szCs w:val="21"/>
              </w:rPr>
              <w:t xml:space="preserve"> som yrkessjukdom</w:t>
            </w:r>
          </w:p>
        </w:tc>
        <w:tc>
          <w:tcPr>
            <w:tcW w:w="1280" w:type="dxa"/>
            <w:tcBorders>
              <w:top w:val="nil"/>
              <w:left w:val="nil"/>
              <w:bottom w:val="nil"/>
              <w:right w:val="nil"/>
            </w:tcBorders>
            <w:tcMar>
              <w:top w:w="128" w:type="dxa"/>
              <w:left w:w="43" w:type="dxa"/>
              <w:bottom w:w="43" w:type="dxa"/>
              <w:right w:w="43" w:type="dxa"/>
            </w:tcMar>
          </w:tcPr>
          <w:p w14:paraId="64AE4268" w14:textId="77777777" w:rsidR="00D60186" w:rsidRPr="00815696" w:rsidRDefault="00D60186" w:rsidP="00815696">
            <w:pPr>
              <w:jc w:val="right"/>
              <w:rPr>
                <w:sz w:val="21"/>
                <w:szCs w:val="21"/>
              </w:rPr>
            </w:pPr>
            <w:r w:rsidRPr="00815696">
              <w:rPr>
                <w:sz w:val="21"/>
                <w:szCs w:val="21"/>
              </w:rPr>
              <w:t>Nei</w:t>
            </w:r>
          </w:p>
        </w:tc>
      </w:tr>
      <w:tr w:rsidR="00E76DC8" w:rsidRPr="00225D4D" w14:paraId="2E47234D" w14:textId="77777777">
        <w:trPr>
          <w:trHeight w:val="640"/>
        </w:trPr>
        <w:tc>
          <w:tcPr>
            <w:tcW w:w="1320" w:type="dxa"/>
            <w:tcBorders>
              <w:top w:val="nil"/>
              <w:left w:val="nil"/>
              <w:bottom w:val="nil"/>
              <w:right w:val="nil"/>
            </w:tcBorders>
            <w:tcMar>
              <w:top w:w="128" w:type="dxa"/>
              <w:left w:w="43" w:type="dxa"/>
              <w:bottom w:w="43" w:type="dxa"/>
              <w:right w:w="43" w:type="dxa"/>
            </w:tcMar>
          </w:tcPr>
          <w:p w14:paraId="20DA6F47"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76EBBAC0" w14:textId="77777777" w:rsidR="00D60186" w:rsidRPr="00815696" w:rsidRDefault="00D60186" w:rsidP="00815696">
            <w:pPr>
              <w:ind w:right="113"/>
              <w:jc w:val="right"/>
              <w:rPr>
                <w:sz w:val="21"/>
                <w:szCs w:val="21"/>
              </w:rPr>
            </w:pPr>
            <w:r w:rsidRPr="00815696">
              <w:rPr>
                <w:sz w:val="21"/>
                <w:szCs w:val="21"/>
              </w:rPr>
              <w:t>815</w:t>
            </w:r>
          </w:p>
        </w:tc>
        <w:tc>
          <w:tcPr>
            <w:tcW w:w="5640" w:type="dxa"/>
            <w:tcBorders>
              <w:top w:val="nil"/>
              <w:left w:val="nil"/>
              <w:bottom w:val="nil"/>
              <w:right w:val="nil"/>
            </w:tcBorders>
            <w:tcMar>
              <w:top w:w="128" w:type="dxa"/>
              <w:left w:w="43" w:type="dxa"/>
              <w:bottom w:w="43" w:type="dxa"/>
              <w:right w:w="43" w:type="dxa"/>
            </w:tcMar>
            <w:vAlign w:val="bottom"/>
          </w:tcPr>
          <w:p w14:paraId="4C684E49" w14:textId="77777777" w:rsidR="00D60186" w:rsidRPr="00815696" w:rsidRDefault="00D60186" w:rsidP="00225D4D">
            <w:pPr>
              <w:rPr>
                <w:sz w:val="21"/>
                <w:szCs w:val="21"/>
              </w:rPr>
            </w:pPr>
            <w:proofErr w:type="spellStart"/>
            <w:r w:rsidRPr="00815696">
              <w:rPr>
                <w:sz w:val="21"/>
                <w:szCs w:val="21"/>
              </w:rPr>
              <w:t>Tydeleggjere</w:t>
            </w:r>
            <w:proofErr w:type="spellEnd"/>
            <w:r w:rsidRPr="00815696">
              <w:rPr>
                <w:sz w:val="21"/>
                <w:szCs w:val="21"/>
              </w:rPr>
              <w:t xml:space="preserve"> presumsjonsregelen, slik at </w:t>
            </w:r>
            <w:proofErr w:type="spellStart"/>
            <w:r w:rsidRPr="00815696">
              <w:rPr>
                <w:sz w:val="21"/>
                <w:szCs w:val="21"/>
              </w:rPr>
              <w:t>bevisbyrda</w:t>
            </w:r>
            <w:proofErr w:type="spellEnd"/>
            <w:r w:rsidRPr="00815696">
              <w:rPr>
                <w:sz w:val="21"/>
                <w:szCs w:val="21"/>
              </w:rPr>
              <w:t xml:space="preserve"> blir snudd i favør av den sjuke</w:t>
            </w:r>
          </w:p>
        </w:tc>
        <w:tc>
          <w:tcPr>
            <w:tcW w:w="1280" w:type="dxa"/>
            <w:tcBorders>
              <w:top w:val="nil"/>
              <w:left w:val="nil"/>
              <w:bottom w:val="nil"/>
              <w:right w:val="nil"/>
            </w:tcBorders>
            <w:tcMar>
              <w:top w:w="128" w:type="dxa"/>
              <w:left w:w="43" w:type="dxa"/>
              <w:bottom w:w="43" w:type="dxa"/>
              <w:right w:w="43" w:type="dxa"/>
            </w:tcMar>
          </w:tcPr>
          <w:p w14:paraId="58902E25" w14:textId="77777777" w:rsidR="00D60186" w:rsidRPr="00815696" w:rsidRDefault="00D60186" w:rsidP="00815696">
            <w:pPr>
              <w:jc w:val="right"/>
              <w:rPr>
                <w:sz w:val="21"/>
                <w:szCs w:val="21"/>
              </w:rPr>
            </w:pPr>
            <w:r w:rsidRPr="00815696">
              <w:rPr>
                <w:sz w:val="21"/>
                <w:szCs w:val="21"/>
              </w:rPr>
              <w:t>Nei</w:t>
            </w:r>
          </w:p>
        </w:tc>
      </w:tr>
      <w:tr w:rsidR="00E76DC8" w:rsidRPr="00225D4D" w14:paraId="02E70DA7" w14:textId="77777777">
        <w:trPr>
          <w:trHeight w:val="640"/>
        </w:trPr>
        <w:tc>
          <w:tcPr>
            <w:tcW w:w="1320" w:type="dxa"/>
            <w:tcBorders>
              <w:top w:val="nil"/>
              <w:left w:val="nil"/>
              <w:bottom w:val="nil"/>
              <w:right w:val="nil"/>
            </w:tcBorders>
            <w:tcMar>
              <w:top w:w="128" w:type="dxa"/>
              <w:left w:w="43" w:type="dxa"/>
              <w:bottom w:w="43" w:type="dxa"/>
              <w:right w:w="43" w:type="dxa"/>
            </w:tcMar>
          </w:tcPr>
          <w:p w14:paraId="7A21FCFD"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04F362B6" w14:textId="77777777" w:rsidR="00D60186" w:rsidRPr="00815696" w:rsidRDefault="00D60186" w:rsidP="00815696">
            <w:pPr>
              <w:ind w:right="113"/>
              <w:jc w:val="right"/>
              <w:rPr>
                <w:sz w:val="21"/>
                <w:szCs w:val="21"/>
              </w:rPr>
            </w:pPr>
            <w:r w:rsidRPr="00815696">
              <w:rPr>
                <w:sz w:val="21"/>
                <w:szCs w:val="21"/>
              </w:rPr>
              <w:t>816</w:t>
            </w:r>
          </w:p>
        </w:tc>
        <w:tc>
          <w:tcPr>
            <w:tcW w:w="5640" w:type="dxa"/>
            <w:tcBorders>
              <w:top w:val="nil"/>
              <w:left w:val="nil"/>
              <w:bottom w:val="nil"/>
              <w:right w:val="nil"/>
            </w:tcBorders>
            <w:tcMar>
              <w:top w:w="128" w:type="dxa"/>
              <w:left w:w="43" w:type="dxa"/>
              <w:bottom w:w="43" w:type="dxa"/>
              <w:right w:w="43" w:type="dxa"/>
            </w:tcMar>
            <w:vAlign w:val="bottom"/>
          </w:tcPr>
          <w:p w14:paraId="081E89B5" w14:textId="77777777" w:rsidR="00D60186" w:rsidRPr="00815696" w:rsidRDefault="00D60186" w:rsidP="00225D4D">
            <w:pPr>
              <w:rPr>
                <w:sz w:val="21"/>
                <w:szCs w:val="21"/>
              </w:rPr>
            </w:pPr>
            <w:r w:rsidRPr="00815696">
              <w:rPr>
                <w:sz w:val="21"/>
                <w:szCs w:val="21"/>
              </w:rPr>
              <w:t xml:space="preserve">Endre arbeidsulykkeomgrepet for å forhindre at tilsette </w:t>
            </w:r>
            <w:r w:rsidRPr="00815696">
              <w:rPr>
                <w:sz w:val="21"/>
                <w:szCs w:val="21"/>
              </w:rPr>
              <w:br/>
              <w:t xml:space="preserve">i risikofylte yrke har </w:t>
            </w:r>
            <w:proofErr w:type="spellStart"/>
            <w:r w:rsidRPr="00815696">
              <w:rPr>
                <w:sz w:val="21"/>
                <w:szCs w:val="21"/>
              </w:rPr>
              <w:t>dårlegare</w:t>
            </w:r>
            <w:proofErr w:type="spellEnd"/>
            <w:r w:rsidRPr="00815696">
              <w:rPr>
                <w:sz w:val="21"/>
                <w:szCs w:val="21"/>
              </w:rPr>
              <w:t xml:space="preserve"> yrkesskadedekning</w:t>
            </w:r>
          </w:p>
        </w:tc>
        <w:tc>
          <w:tcPr>
            <w:tcW w:w="1280" w:type="dxa"/>
            <w:tcBorders>
              <w:top w:val="nil"/>
              <w:left w:val="nil"/>
              <w:bottom w:val="nil"/>
              <w:right w:val="nil"/>
            </w:tcBorders>
            <w:tcMar>
              <w:top w:w="128" w:type="dxa"/>
              <w:left w:w="43" w:type="dxa"/>
              <w:bottom w:w="43" w:type="dxa"/>
              <w:right w:w="43" w:type="dxa"/>
            </w:tcMar>
          </w:tcPr>
          <w:p w14:paraId="169590F7" w14:textId="77777777" w:rsidR="00D60186" w:rsidRPr="00815696" w:rsidRDefault="00D60186" w:rsidP="00815696">
            <w:pPr>
              <w:jc w:val="right"/>
              <w:rPr>
                <w:sz w:val="21"/>
                <w:szCs w:val="21"/>
              </w:rPr>
            </w:pPr>
            <w:r w:rsidRPr="00815696">
              <w:rPr>
                <w:sz w:val="21"/>
                <w:szCs w:val="21"/>
              </w:rPr>
              <w:t>Nei</w:t>
            </w:r>
          </w:p>
        </w:tc>
      </w:tr>
      <w:tr w:rsidR="00E76DC8" w:rsidRPr="00225D4D" w14:paraId="225A0376" w14:textId="77777777">
        <w:trPr>
          <w:trHeight w:val="880"/>
        </w:trPr>
        <w:tc>
          <w:tcPr>
            <w:tcW w:w="1320" w:type="dxa"/>
            <w:tcBorders>
              <w:top w:val="nil"/>
              <w:left w:val="nil"/>
              <w:bottom w:val="nil"/>
              <w:right w:val="nil"/>
            </w:tcBorders>
            <w:tcMar>
              <w:top w:w="128" w:type="dxa"/>
              <w:left w:w="43" w:type="dxa"/>
              <w:bottom w:w="43" w:type="dxa"/>
              <w:right w:w="43" w:type="dxa"/>
            </w:tcMar>
          </w:tcPr>
          <w:p w14:paraId="750382CD"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22BDE917" w14:textId="77777777" w:rsidR="00D60186" w:rsidRPr="00815696" w:rsidRDefault="00D60186" w:rsidP="00815696">
            <w:pPr>
              <w:ind w:right="113"/>
              <w:jc w:val="right"/>
              <w:rPr>
                <w:sz w:val="21"/>
                <w:szCs w:val="21"/>
              </w:rPr>
            </w:pPr>
            <w:r w:rsidRPr="00815696">
              <w:rPr>
                <w:sz w:val="21"/>
                <w:szCs w:val="21"/>
              </w:rPr>
              <w:t>817</w:t>
            </w:r>
          </w:p>
        </w:tc>
        <w:tc>
          <w:tcPr>
            <w:tcW w:w="5640" w:type="dxa"/>
            <w:tcBorders>
              <w:top w:val="nil"/>
              <w:left w:val="nil"/>
              <w:bottom w:val="nil"/>
              <w:right w:val="nil"/>
            </w:tcBorders>
            <w:tcMar>
              <w:top w:w="128" w:type="dxa"/>
              <w:left w:w="43" w:type="dxa"/>
              <w:bottom w:w="43" w:type="dxa"/>
              <w:right w:w="43" w:type="dxa"/>
            </w:tcMar>
            <w:vAlign w:val="bottom"/>
          </w:tcPr>
          <w:p w14:paraId="6AA3D013" w14:textId="77777777" w:rsidR="00D60186" w:rsidRPr="00815696" w:rsidRDefault="00D60186" w:rsidP="00225D4D">
            <w:pPr>
              <w:rPr>
                <w:sz w:val="21"/>
                <w:szCs w:val="21"/>
              </w:rPr>
            </w:pPr>
            <w:r w:rsidRPr="00815696">
              <w:rPr>
                <w:sz w:val="21"/>
                <w:szCs w:val="21"/>
              </w:rPr>
              <w:t xml:space="preserve">Endre yrkesskaderegelverket slik at </w:t>
            </w:r>
            <w:proofErr w:type="spellStart"/>
            <w:r w:rsidRPr="00815696">
              <w:rPr>
                <w:sz w:val="21"/>
                <w:szCs w:val="21"/>
              </w:rPr>
              <w:t>yrkesskadedeknking</w:t>
            </w:r>
            <w:proofErr w:type="spellEnd"/>
            <w:r w:rsidRPr="00815696">
              <w:rPr>
                <w:sz w:val="21"/>
                <w:szCs w:val="21"/>
              </w:rPr>
              <w:t xml:space="preserve"> skal gjelde under </w:t>
            </w:r>
            <w:proofErr w:type="spellStart"/>
            <w:r w:rsidRPr="00815696">
              <w:rPr>
                <w:sz w:val="21"/>
                <w:szCs w:val="21"/>
              </w:rPr>
              <w:t>øvingar</w:t>
            </w:r>
            <w:proofErr w:type="spellEnd"/>
            <w:r w:rsidRPr="00815696">
              <w:rPr>
                <w:sz w:val="21"/>
                <w:szCs w:val="21"/>
              </w:rPr>
              <w:t xml:space="preserve"> og trening pålagt av </w:t>
            </w:r>
            <w:proofErr w:type="spellStart"/>
            <w:r w:rsidRPr="00815696">
              <w:rPr>
                <w:sz w:val="21"/>
                <w:szCs w:val="21"/>
              </w:rPr>
              <w:t>arbeidsgivaren</w:t>
            </w:r>
            <w:proofErr w:type="spellEnd"/>
            <w:r w:rsidRPr="00815696">
              <w:rPr>
                <w:sz w:val="21"/>
                <w:szCs w:val="21"/>
              </w:rPr>
              <w:t xml:space="preserve"> har pålagt</w:t>
            </w:r>
          </w:p>
        </w:tc>
        <w:tc>
          <w:tcPr>
            <w:tcW w:w="1280" w:type="dxa"/>
            <w:tcBorders>
              <w:top w:val="nil"/>
              <w:left w:val="nil"/>
              <w:bottom w:val="nil"/>
              <w:right w:val="nil"/>
            </w:tcBorders>
            <w:tcMar>
              <w:top w:w="128" w:type="dxa"/>
              <w:left w:w="43" w:type="dxa"/>
              <w:bottom w:w="43" w:type="dxa"/>
              <w:right w:w="43" w:type="dxa"/>
            </w:tcMar>
          </w:tcPr>
          <w:p w14:paraId="29725600" w14:textId="77777777" w:rsidR="00D60186" w:rsidRPr="00815696" w:rsidRDefault="00D60186" w:rsidP="00815696">
            <w:pPr>
              <w:jc w:val="right"/>
              <w:rPr>
                <w:sz w:val="21"/>
                <w:szCs w:val="21"/>
              </w:rPr>
            </w:pPr>
            <w:r w:rsidRPr="00815696">
              <w:rPr>
                <w:sz w:val="21"/>
                <w:szCs w:val="21"/>
              </w:rPr>
              <w:t>Nei</w:t>
            </w:r>
          </w:p>
        </w:tc>
      </w:tr>
      <w:tr w:rsidR="00E76DC8" w:rsidRPr="00225D4D" w14:paraId="21073E63" w14:textId="77777777">
        <w:trPr>
          <w:trHeight w:val="640"/>
        </w:trPr>
        <w:tc>
          <w:tcPr>
            <w:tcW w:w="1320" w:type="dxa"/>
            <w:tcBorders>
              <w:top w:val="nil"/>
              <w:left w:val="nil"/>
              <w:bottom w:val="nil"/>
              <w:right w:val="nil"/>
            </w:tcBorders>
            <w:tcMar>
              <w:top w:w="128" w:type="dxa"/>
              <w:left w:w="43" w:type="dxa"/>
              <w:bottom w:w="43" w:type="dxa"/>
              <w:right w:w="43" w:type="dxa"/>
            </w:tcMar>
          </w:tcPr>
          <w:p w14:paraId="724387F4"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23C37D6D" w14:textId="77777777" w:rsidR="00D60186" w:rsidRPr="00815696" w:rsidRDefault="00D60186" w:rsidP="00815696">
            <w:pPr>
              <w:ind w:right="113"/>
              <w:jc w:val="right"/>
              <w:rPr>
                <w:sz w:val="21"/>
                <w:szCs w:val="21"/>
              </w:rPr>
            </w:pPr>
            <w:r w:rsidRPr="00815696">
              <w:rPr>
                <w:sz w:val="21"/>
                <w:szCs w:val="21"/>
              </w:rPr>
              <w:t>818</w:t>
            </w:r>
          </w:p>
        </w:tc>
        <w:tc>
          <w:tcPr>
            <w:tcW w:w="5640" w:type="dxa"/>
            <w:tcBorders>
              <w:top w:val="nil"/>
              <w:left w:val="nil"/>
              <w:bottom w:val="nil"/>
              <w:right w:val="nil"/>
            </w:tcBorders>
            <w:tcMar>
              <w:top w:w="128" w:type="dxa"/>
              <w:left w:w="43" w:type="dxa"/>
              <w:bottom w:w="43" w:type="dxa"/>
              <w:right w:w="43" w:type="dxa"/>
            </w:tcMar>
            <w:vAlign w:val="bottom"/>
          </w:tcPr>
          <w:p w14:paraId="1DAF73B9" w14:textId="77777777" w:rsidR="00D60186" w:rsidRPr="00815696" w:rsidRDefault="00D60186" w:rsidP="00225D4D">
            <w:pPr>
              <w:rPr>
                <w:sz w:val="21"/>
                <w:szCs w:val="21"/>
              </w:rPr>
            </w:pPr>
            <w:r w:rsidRPr="00815696">
              <w:rPr>
                <w:sz w:val="21"/>
                <w:szCs w:val="21"/>
              </w:rPr>
              <w:t xml:space="preserve">Endre arbeidsulykkeomgrepet slik at tilsette i risikable yrke </w:t>
            </w:r>
            <w:proofErr w:type="spellStart"/>
            <w:r w:rsidRPr="00815696">
              <w:rPr>
                <w:sz w:val="21"/>
                <w:szCs w:val="21"/>
              </w:rPr>
              <w:t>ikkje</w:t>
            </w:r>
            <w:proofErr w:type="spellEnd"/>
            <w:r w:rsidRPr="00815696">
              <w:rPr>
                <w:sz w:val="21"/>
                <w:szCs w:val="21"/>
              </w:rPr>
              <w:t xml:space="preserve"> står </w:t>
            </w:r>
            <w:proofErr w:type="spellStart"/>
            <w:r w:rsidRPr="00815696">
              <w:rPr>
                <w:sz w:val="21"/>
                <w:szCs w:val="21"/>
              </w:rPr>
              <w:t>utan</w:t>
            </w:r>
            <w:proofErr w:type="spellEnd"/>
            <w:r w:rsidRPr="00815696">
              <w:rPr>
                <w:sz w:val="21"/>
                <w:szCs w:val="21"/>
              </w:rPr>
              <w:t xml:space="preserve"> dekning under øving</w:t>
            </w:r>
          </w:p>
        </w:tc>
        <w:tc>
          <w:tcPr>
            <w:tcW w:w="1280" w:type="dxa"/>
            <w:tcBorders>
              <w:top w:val="nil"/>
              <w:left w:val="nil"/>
              <w:bottom w:val="nil"/>
              <w:right w:val="nil"/>
            </w:tcBorders>
            <w:tcMar>
              <w:top w:w="128" w:type="dxa"/>
              <w:left w:w="43" w:type="dxa"/>
              <w:bottom w:w="43" w:type="dxa"/>
              <w:right w:w="43" w:type="dxa"/>
            </w:tcMar>
          </w:tcPr>
          <w:p w14:paraId="6EF751BA" w14:textId="77777777" w:rsidR="00D60186" w:rsidRPr="00815696" w:rsidRDefault="00D60186" w:rsidP="00815696">
            <w:pPr>
              <w:jc w:val="right"/>
              <w:rPr>
                <w:sz w:val="21"/>
                <w:szCs w:val="21"/>
              </w:rPr>
            </w:pPr>
            <w:r w:rsidRPr="00815696">
              <w:rPr>
                <w:sz w:val="21"/>
                <w:szCs w:val="21"/>
              </w:rPr>
              <w:t>Nei</w:t>
            </w:r>
          </w:p>
        </w:tc>
      </w:tr>
      <w:tr w:rsidR="00E76DC8" w:rsidRPr="00225D4D" w14:paraId="7C0219A3" w14:textId="77777777">
        <w:trPr>
          <w:trHeight w:val="880"/>
        </w:trPr>
        <w:tc>
          <w:tcPr>
            <w:tcW w:w="1320" w:type="dxa"/>
            <w:tcBorders>
              <w:top w:val="nil"/>
              <w:left w:val="nil"/>
              <w:bottom w:val="nil"/>
              <w:right w:val="nil"/>
            </w:tcBorders>
            <w:tcMar>
              <w:top w:w="128" w:type="dxa"/>
              <w:left w:w="43" w:type="dxa"/>
              <w:bottom w:w="43" w:type="dxa"/>
              <w:right w:w="43" w:type="dxa"/>
            </w:tcMar>
          </w:tcPr>
          <w:p w14:paraId="2DF13282"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192B7733" w14:textId="77777777" w:rsidR="00D60186" w:rsidRPr="00815696" w:rsidRDefault="00D60186" w:rsidP="00815696">
            <w:pPr>
              <w:ind w:right="113"/>
              <w:jc w:val="right"/>
              <w:rPr>
                <w:sz w:val="21"/>
                <w:szCs w:val="21"/>
              </w:rPr>
            </w:pPr>
            <w:r w:rsidRPr="00815696">
              <w:rPr>
                <w:sz w:val="21"/>
                <w:szCs w:val="21"/>
              </w:rPr>
              <w:t>819</w:t>
            </w:r>
          </w:p>
        </w:tc>
        <w:tc>
          <w:tcPr>
            <w:tcW w:w="5640" w:type="dxa"/>
            <w:tcBorders>
              <w:top w:val="nil"/>
              <w:left w:val="nil"/>
              <w:bottom w:val="nil"/>
              <w:right w:val="nil"/>
            </w:tcBorders>
            <w:tcMar>
              <w:top w:w="128" w:type="dxa"/>
              <w:left w:w="43" w:type="dxa"/>
              <w:bottom w:w="43" w:type="dxa"/>
              <w:right w:w="43" w:type="dxa"/>
            </w:tcMar>
            <w:vAlign w:val="bottom"/>
          </w:tcPr>
          <w:p w14:paraId="3388AE6E" w14:textId="77777777" w:rsidR="00D60186" w:rsidRPr="00815696" w:rsidRDefault="00D60186" w:rsidP="00225D4D">
            <w:pPr>
              <w:rPr>
                <w:sz w:val="21"/>
                <w:szCs w:val="21"/>
              </w:rPr>
            </w:pPr>
            <w:r w:rsidRPr="00815696">
              <w:rPr>
                <w:sz w:val="21"/>
                <w:szCs w:val="21"/>
              </w:rPr>
              <w:t xml:space="preserve">Oppdatere yrkessjukdomslista slik at </w:t>
            </w:r>
            <w:proofErr w:type="spellStart"/>
            <w:r w:rsidRPr="00815696">
              <w:rPr>
                <w:sz w:val="21"/>
                <w:szCs w:val="21"/>
              </w:rPr>
              <w:t>krefttypane</w:t>
            </w:r>
            <w:proofErr w:type="spellEnd"/>
            <w:r w:rsidRPr="00815696">
              <w:rPr>
                <w:sz w:val="21"/>
                <w:szCs w:val="21"/>
              </w:rPr>
              <w:t xml:space="preserve"> der IARC har funne </w:t>
            </w:r>
            <w:proofErr w:type="spellStart"/>
            <w:r w:rsidRPr="00815696">
              <w:rPr>
                <w:sz w:val="21"/>
                <w:szCs w:val="21"/>
              </w:rPr>
              <w:t>ein</w:t>
            </w:r>
            <w:proofErr w:type="spellEnd"/>
            <w:r w:rsidRPr="00815696">
              <w:rPr>
                <w:sz w:val="21"/>
                <w:szCs w:val="21"/>
              </w:rPr>
              <w:t xml:space="preserve"> </w:t>
            </w:r>
            <w:proofErr w:type="spellStart"/>
            <w:r w:rsidRPr="00815696">
              <w:rPr>
                <w:sz w:val="21"/>
                <w:szCs w:val="21"/>
              </w:rPr>
              <w:t>samanheng</w:t>
            </w:r>
            <w:proofErr w:type="spellEnd"/>
            <w:r w:rsidRPr="00815696">
              <w:rPr>
                <w:sz w:val="21"/>
                <w:szCs w:val="21"/>
              </w:rPr>
              <w:t xml:space="preserve"> mellom brannyrket og kreft </w:t>
            </w:r>
            <w:r w:rsidRPr="00815696">
              <w:rPr>
                <w:sz w:val="21"/>
                <w:szCs w:val="21"/>
              </w:rPr>
              <w:br/>
              <w:t xml:space="preserve">(sju </w:t>
            </w:r>
            <w:proofErr w:type="spellStart"/>
            <w:r w:rsidRPr="00815696">
              <w:rPr>
                <w:sz w:val="21"/>
                <w:szCs w:val="21"/>
              </w:rPr>
              <w:t>diagnosar</w:t>
            </w:r>
            <w:proofErr w:type="spellEnd"/>
            <w:r w:rsidRPr="00815696">
              <w:rPr>
                <w:sz w:val="21"/>
                <w:szCs w:val="21"/>
              </w:rPr>
              <w:t xml:space="preserve">) blir </w:t>
            </w:r>
            <w:proofErr w:type="spellStart"/>
            <w:r w:rsidRPr="00815696">
              <w:rPr>
                <w:sz w:val="21"/>
                <w:szCs w:val="21"/>
              </w:rPr>
              <w:t>godkjende</w:t>
            </w:r>
            <w:proofErr w:type="spellEnd"/>
            <w:r w:rsidRPr="00815696">
              <w:rPr>
                <w:sz w:val="21"/>
                <w:szCs w:val="21"/>
              </w:rPr>
              <w:t xml:space="preserve"> for brannfolk og </w:t>
            </w:r>
            <w:proofErr w:type="spellStart"/>
            <w:r w:rsidRPr="00815696">
              <w:rPr>
                <w:sz w:val="21"/>
                <w:szCs w:val="21"/>
              </w:rPr>
              <w:t>feiarar</w:t>
            </w:r>
            <w:proofErr w:type="spellEnd"/>
          </w:p>
        </w:tc>
        <w:tc>
          <w:tcPr>
            <w:tcW w:w="1280" w:type="dxa"/>
            <w:tcBorders>
              <w:top w:val="nil"/>
              <w:left w:val="nil"/>
              <w:bottom w:val="nil"/>
              <w:right w:val="nil"/>
            </w:tcBorders>
            <w:tcMar>
              <w:top w:w="128" w:type="dxa"/>
              <w:left w:w="43" w:type="dxa"/>
              <w:bottom w:w="43" w:type="dxa"/>
              <w:right w:w="43" w:type="dxa"/>
            </w:tcMar>
          </w:tcPr>
          <w:p w14:paraId="1D986FB4" w14:textId="77777777" w:rsidR="00D60186" w:rsidRPr="00815696" w:rsidRDefault="00D60186" w:rsidP="00815696">
            <w:pPr>
              <w:jc w:val="right"/>
              <w:rPr>
                <w:sz w:val="21"/>
                <w:szCs w:val="21"/>
              </w:rPr>
            </w:pPr>
            <w:r w:rsidRPr="00815696">
              <w:rPr>
                <w:sz w:val="21"/>
                <w:szCs w:val="21"/>
              </w:rPr>
              <w:t>Nei</w:t>
            </w:r>
          </w:p>
        </w:tc>
      </w:tr>
      <w:tr w:rsidR="00E76DC8" w:rsidRPr="00225D4D" w14:paraId="2849CFA4" w14:textId="77777777">
        <w:trPr>
          <w:trHeight w:val="1140"/>
        </w:trPr>
        <w:tc>
          <w:tcPr>
            <w:tcW w:w="1320" w:type="dxa"/>
            <w:tcBorders>
              <w:top w:val="nil"/>
              <w:left w:val="nil"/>
              <w:bottom w:val="nil"/>
              <w:right w:val="nil"/>
            </w:tcBorders>
            <w:tcMar>
              <w:top w:w="128" w:type="dxa"/>
              <w:left w:w="43" w:type="dxa"/>
              <w:bottom w:w="43" w:type="dxa"/>
              <w:right w:w="43" w:type="dxa"/>
            </w:tcMar>
          </w:tcPr>
          <w:p w14:paraId="779E8CD4"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188DA2B8" w14:textId="77777777" w:rsidR="00D60186" w:rsidRPr="00815696" w:rsidRDefault="00D60186" w:rsidP="00815696">
            <w:pPr>
              <w:ind w:right="113"/>
              <w:jc w:val="right"/>
              <w:rPr>
                <w:sz w:val="21"/>
                <w:szCs w:val="21"/>
              </w:rPr>
            </w:pPr>
            <w:r w:rsidRPr="00815696">
              <w:rPr>
                <w:sz w:val="21"/>
                <w:szCs w:val="21"/>
              </w:rPr>
              <w:t>820</w:t>
            </w:r>
          </w:p>
        </w:tc>
        <w:tc>
          <w:tcPr>
            <w:tcW w:w="5640" w:type="dxa"/>
            <w:tcBorders>
              <w:top w:val="nil"/>
              <w:left w:val="nil"/>
              <w:bottom w:val="nil"/>
              <w:right w:val="nil"/>
            </w:tcBorders>
            <w:tcMar>
              <w:top w:w="128" w:type="dxa"/>
              <w:left w:w="43" w:type="dxa"/>
              <w:bottom w:w="43" w:type="dxa"/>
              <w:right w:w="43" w:type="dxa"/>
            </w:tcMar>
            <w:vAlign w:val="bottom"/>
          </w:tcPr>
          <w:p w14:paraId="0CA83082" w14:textId="77777777" w:rsidR="00D60186" w:rsidRPr="00815696" w:rsidRDefault="00D60186" w:rsidP="00225D4D">
            <w:pPr>
              <w:rPr>
                <w:sz w:val="21"/>
                <w:szCs w:val="21"/>
              </w:rPr>
            </w:pPr>
            <w:r w:rsidRPr="00815696">
              <w:rPr>
                <w:sz w:val="21"/>
                <w:szCs w:val="21"/>
              </w:rPr>
              <w:t xml:space="preserve">Etablere </w:t>
            </w:r>
            <w:proofErr w:type="spellStart"/>
            <w:r w:rsidRPr="00815696">
              <w:rPr>
                <w:sz w:val="21"/>
                <w:szCs w:val="21"/>
              </w:rPr>
              <w:t>eit</w:t>
            </w:r>
            <w:proofErr w:type="spellEnd"/>
            <w:r w:rsidRPr="00815696">
              <w:rPr>
                <w:sz w:val="21"/>
                <w:szCs w:val="21"/>
              </w:rPr>
              <w:t xml:space="preserve"> hurtigspor for å sikre at </w:t>
            </w:r>
            <w:proofErr w:type="spellStart"/>
            <w:r w:rsidRPr="00815696">
              <w:rPr>
                <w:sz w:val="21"/>
                <w:szCs w:val="21"/>
              </w:rPr>
              <w:t>dei</w:t>
            </w:r>
            <w:proofErr w:type="spellEnd"/>
            <w:r w:rsidRPr="00815696">
              <w:rPr>
                <w:sz w:val="21"/>
                <w:szCs w:val="21"/>
              </w:rPr>
              <w:t xml:space="preserve"> sju kreftformene der IARC har funne </w:t>
            </w:r>
            <w:proofErr w:type="spellStart"/>
            <w:r w:rsidRPr="00815696">
              <w:rPr>
                <w:sz w:val="21"/>
                <w:szCs w:val="21"/>
              </w:rPr>
              <w:t>ein</w:t>
            </w:r>
            <w:proofErr w:type="spellEnd"/>
            <w:r w:rsidRPr="00815696">
              <w:rPr>
                <w:sz w:val="21"/>
                <w:szCs w:val="21"/>
              </w:rPr>
              <w:t xml:space="preserve"> </w:t>
            </w:r>
            <w:proofErr w:type="spellStart"/>
            <w:r w:rsidRPr="00815696">
              <w:rPr>
                <w:sz w:val="21"/>
                <w:szCs w:val="21"/>
              </w:rPr>
              <w:t>samanheng</w:t>
            </w:r>
            <w:proofErr w:type="spellEnd"/>
            <w:r w:rsidRPr="00815696">
              <w:rPr>
                <w:sz w:val="21"/>
                <w:szCs w:val="21"/>
              </w:rPr>
              <w:t xml:space="preserve"> med brann- og </w:t>
            </w:r>
            <w:proofErr w:type="spellStart"/>
            <w:r w:rsidRPr="00815696">
              <w:rPr>
                <w:sz w:val="21"/>
                <w:szCs w:val="21"/>
              </w:rPr>
              <w:t>feiaryrket</w:t>
            </w:r>
            <w:proofErr w:type="spellEnd"/>
            <w:r w:rsidRPr="00815696">
              <w:rPr>
                <w:sz w:val="21"/>
                <w:szCs w:val="21"/>
              </w:rPr>
              <w:t xml:space="preserve">, blir </w:t>
            </w:r>
            <w:proofErr w:type="spellStart"/>
            <w:r w:rsidRPr="00815696">
              <w:rPr>
                <w:sz w:val="21"/>
                <w:szCs w:val="21"/>
              </w:rPr>
              <w:t>godkjende</w:t>
            </w:r>
            <w:proofErr w:type="spellEnd"/>
            <w:r w:rsidRPr="00815696">
              <w:rPr>
                <w:sz w:val="21"/>
                <w:szCs w:val="21"/>
              </w:rPr>
              <w:t xml:space="preserve"> som yrkessjukdom i tråd med klassifiseringa til IARC</w:t>
            </w:r>
          </w:p>
        </w:tc>
        <w:tc>
          <w:tcPr>
            <w:tcW w:w="1280" w:type="dxa"/>
            <w:tcBorders>
              <w:top w:val="nil"/>
              <w:left w:val="nil"/>
              <w:bottom w:val="nil"/>
              <w:right w:val="nil"/>
            </w:tcBorders>
            <w:tcMar>
              <w:top w:w="128" w:type="dxa"/>
              <w:left w:w="43" w:type="dxa"/>
              <w:bottom w:w="43" w:type="dxa"/>
              <w:right w:w="43" w:type="dxa"/>
            </w:tcMar>
          </w:tcPr>
          <w:p w14:paraId="2B599F87" w14:textId="77777777" w:rsidR="00D60186" w:rsidRPr="00815696" w:rsidRDefault="00D60186" w:rsidP="00815696">
            <w:pPr>
              <w:jc w:val="right"/>
              <w:rPr>
                <w:sz w:val="21"/>
                <w:szCs w:val="21"/>
              </w:rPr>
            </w:pPr>
            <w:r w:rsidRPr="00815696">
              <w:rPr>
                <w:sz w:val="21"/>
                <w:szCs w:val="21"/>
              </w:rPr>
              <w:t>Nei</w:t>
            </w:r>
          </w:p>
        </w:tc>
      </w:tr>
      <w:tr w:rsidR="00E76DC8" w:rsidRPr="00225D4D" w14:paraId="65EE0998" w14:textId="77777777">
        <w:trPr>
          <w:trHeight w:val="1140"/>
        </w:trPr>
        <w:tc>
          <w:tcPr>
            <w:tcW w:w="1320" w:type="dxa"/>
            <w:tcBorders>
              <w:top w:val="nil"/>
              <w:left w:val="nil"/>
              <w:bottom w:val="nil"/>
              <w:right w:val="nil"/>
            </w:tcBorders>
            <w:tcMar>
              <w:top w:w="128" w:type="dxa"/>
              <w:left w:w="43" w:type="dxa"/>
              <w:bottom w:w="43" w:type="dxa"/>
              <w:right w:w="43" w:type="dxa"/>
            </w:tcMar>
          </w:tcPr>
          <w:p w14:paraId="32AF9900"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158D6759" w14:textId="77777777" w:rsidR="00D60186" w:rsidRPr="00815696" w:rsidRDefault="00D60186" w:rsidP="00815696">
            <w:pPr>
              <w:ind w:right="113"/>
              <w:jc w:val="right"/>
              <w:rPr>
                <w:sz w:val="21"/>
                <w:szCs w:val="21"/>
              </w:rPr>
            </w:pPr>
            <w:r w:rsidRPr="00815696">
              <w:rPr>
                <w:sz w:val="21"/>
                <w:szCs w:val="21"/>
              </w:rPr>
              <w:t>923</w:t>
            </w:r>
          </w:p>
        </w:tc>
        <w:tc>
          <w:tcPr>
            <w:tcW w:w="5640" w:type="dxa"/>
            <w:tcBorders>
              <w:top w:val="nil"/>
              <w:left w:val="nil"/>
              <w:bottom w:val="nil"/>
              <w:right w:val="nil"/>
            </w:tcBorders>
            <w:tcMar>
              <w:top w:w="128" w:type="dxa"/>
              <w:left w:w="43" w:type="dxa"/>
              <w:bottom w:w="43" w:type="dxa"/>
              <w:right w:w="43" w:type="dxa"/>
            </w:tcMar>
            <w:vAlign w:val="bottom"/>
          </w:tcPr>
          <w:p w14:paraId="6CC28CB5" w14:textId="77777777" w:rsidR="00D60186" w:rsidRPr="00815696" w:rsidRDefault="00D60186" w:rsidP="00225D4D">
            <w:pPr>
              <w:rPr>
                <w:sz w:val="21"/>
                <w:szCs w:val="21"/>
              </w:rPr>
            </w:pPr>
            <w:r w:rsidRPr="00815696">
              <w:rPr>
                <w:sz w:val="21"/>
                <w:szCs w:val="21"/>
              </w:rPr>
              <w:t xml:space="preserve">Vurdere behovet for å </w:t>
            </w:r>
            <w:proofErr w:type="spellStart"/>
            <w:r w:rsidRPr="00815696">
              <w:rPr>
                <w:sz w:val="21"/>
                <w:szCs w:val="21"/>
              </w:rPr>
              <w:t>gjere</w:t>
            </w:r>
            <w:proofErr w:type="spellEnd"/>
            <w:r w:rsidRPr="00815696">
              <w:rPr>
                <w:sz w:val="21"/>
                <w:szCs w:val="21"/>
              </w:rPr>
              <w:t xml:space="preserve"> </w:t>
            </w:r>
            <w:proofErr w:type="spellStart"/>
            <w:r w:rsidRPr="00815696">
              <w:rPr>
                <w:sz w:val="21"/>
                <w:szCs w:val="21"/>
              </w:rPr>
              <w:t>endringar</w:t>
            </w:r>
            <w:proofErr w:type="spellEnd"/>
            <w:r w:rsidRPr="00815696">
              <w:rPr>
                <w:sz w:val="21"/>
                <w:szCs w:val="21"/>
              </w:rPr>
              <w:t xml:space="preserve"> i arbeidsmiljølova for å sikre at styrkeforholdet og interessene til </w:t>
            </w:r>
            <w:proofErr w:type="spellStart"/>
            <w:r w:rsidRPr="00815696">
              <w:rPr>
                <w:sz w:val="21"/>
                <w:szCs w:val="21"/>
              </w:rPr>
              <w:t>arbeidstakarane</w:t>
            </w:r>
            <w:proofErr w:type="spellEnd"/>
            <w:r w:rsidRPr="00815696">
              <w:rPr>
                <w:sz w:val="21"/>
                <w:szCs w:val="21"/>
              </w:rPr>
              <w:t xml:space="preserve"> </w:t>
            </w:r>
            <w:r w:rsidRPr="00815696">
              <w:rPr>
                <w:sz w:val="21"/>
                <w:szCs w:val="21"/>
              </w:rPr>
              <w:br/>
              <w:t xml:space="preserve">i forbindelse med avtale om </w:t>
            </w:r>
            <w:proofErr w:type="spellStart"/>
            <w:r w:rsidRPr="00815696">
              <w:rPr>
                <w:sz w:val="21"/>
                <w:szCs w:val="21"/>
              </w:rPr>
              <w:t>gjennomsnittsberekning</w:t>
            </w:r>
            <w:proofErr w:type="spellEnd"/>
            <w:r w:rsidRPr="00815696">
              <w:rPr>
                <w:sz w:val="21"/>
                <w:szCs w:val="21"/>
              </w:rPr>
              <w:t xml:space="preserve"> av arbeidstid blir ivaretatt på </w:t>
            </w:r>
            <w:proofErr w:type="spellStart"/>
            <w:r w:rsidRPr="00815696">
              <w:rPr>
                <w:sz w:val="21"/>
                <w:szCs w:val="21"/>
              </w:rPr>
              <w:t>ein</w:t>
            </w:r>
            <w:proofErr w:type="spellEnd"/>
            <w:r w:rsidRPr="00815696">
              <w:rPr>
                <w:sz w:val="21"/>
                <w:szCs w:val="21"/>
              </w:rPr>
              <w:t xml:space="preserve"> god måte</w:t>
            </w:r>
          </w:p>
        </w:tc>
        <w:tc>
          <w:tcPr>
            <w:tcW w:w="1280" w:type="dxa"/>
            <w:tcBorders>
              <w:top w:val="nil"/>
              <w:left w:val="nil"/>
              <w:bottom w:val="nil"/>
              <w:right w:val="nil"/>
            </w:tcBorders>
            <w:tcMar>
              <w:top w:w="128" w:type="dxa"/>
              <w:left w:w="43" w:type="dxa"/>
              <w:bottom w:w="43" w:type="dxa"/>
              <w:right w:w="43" w:type="dxa"/>
            </w:tcMar>
          </w:tcPr>
          <w:p w14:paraId="7E9CF19D" w14:textId="77777777" w:rsidR="00D60186" w:rsidRPr="00815696" w:rsidRDefault="00D60186" w:rsidP="00815696">
            <w:pPr>
              <w:jc w:val="right"/>
              <w:rPr>
                <w:sz w:val="21"/>
                <w:szCs w:val="21"/>
              </w:rPr>
            </w:pPr>
            <w:r w:rsidRPr="00815696">
              <w:rPr>
                <w:sz w:val="21"/>
                <w:szCs w:val="21"/>
              </w:rPr>
              <w:t>Nei</w:t>
            </w:r>
          </w:p>
        </w:tc>
      </w:tr>
      <w:tr w:rsidR="00E76DC8" w:rsidRPr="00225D4D" w14:paraId="2DFF3848" w14:textId="77777777">
        <w:trPr>
          <w:trHeight w:val="640"/>
        </w:trPr>
        <w:tc>
          <w:tcPr>
            <w:tcW w:w="1320" w:type="dxa"/>
            <w:tcBorders>
              <w:top w:val="nil"/>
              <w:left w:val="nil"/>
              <w:bottom w:val="nil"/>
              <w:right w:val="nil"/>
            </w:tcBorders>
            <w:tcMar>
              <w:top w:w="128" w:type="dxa"/>
              <w:left w:w="43" w:type="dxa"/>
              <w:bottom w:w="43" w:type="dxa"/>
              <w:right w:w="43" w:type="dxa"/>
            </w:tcMar>
          </w:tcPr>
          <w:p w14:paraId="77F30C45" w14:textId="77777777" w:rsidR="00D60186" w:rsidRPr="00815696" w:rsidRDefault="00D60186" w:rsidP="00225D4D">
            <w:pPr>
              <w:rPr>
                <w:sz w:val="21"/>
                <w:szCs w:val="21"/>
              </w:rPr>
            </w:pPr>
            <w:r w:rsidRPr="00815696">
              <w:rPr>
                <w:sz w:val="21"/>
                <w:szCs w:val="21"/>
              </w:rPr>
              <w:t>2024-2025</w:t>
            </w:r>
          </w:p>
        </w:tc>
        <w:tc>
          <w:tcPr>
            <w:tcW w:w="1340" w:type="dxa"/>
            <w:tcBorders>
              <w:top w:val="nil"/>
              <w:left w:val="nil"/>
              <w:bottom w:val="nil"/>
              <w:right w:val="nil"/>
            </w:tcBorders>
            <w:tcMar>
              <w:top w:w="128" w:type="dxa"/>
              <w:left w:w="43" w:type="dxa"/>
              <w:bottom w:w="43" w:type="dxa"/>
              <w:right w:w="43" w:type="dxa"/>
            </w:tcMar>
          </w:tcPr>
          <w:p w14:paraId="422A9D2A" w14:textId="77777777" w:rsidR="00D60186" w:rsidRPr="00815696" w:rsidRDefault="00D60186" w:rsidP="00815696">
            <w:pPr>
              <w:ind w:right="113"/>
              <w:jc w:val="right"/>
              <w:rPr>
                <w:sz w:val="21"/>
                <w:szCs w:val="21"/>
              </w:rPr>
            </w:pPr>
            <w:r w:rsidRPr="00815696">
              <w:rPr>
                <w:sz w:val="21"/>
                <w:szCs w:val="21"/>
              </w:rPr>
              <w:t>951</w:t>
            </w:r>
          </w:p>
        </w:tc>
        <w:tc>
          <w:tcPr>
            <w:tcW w:w="5640" w:type="dxa"/>
            <w:tcBorders>
              <w:top w:val="nil"/>
              <w:left w:val="nil"/>
              <w:bottom w:val="nil"/>
              <w:right w:val="nil"/>
            </w:tcBorders>
            <w:tcMar>
              <w:top w:w="128" w:type="dxa"/>
              <w:left w:w="43" w:type="dxa"/>
              <w:bottom w:w="43" w:type="dxa"/>
              <w:right w:w="43" w:type="dxa"/>
            </w:tcMar>
            <w:vAlign w:val="bottom"/>
          </w:tcPr>
          <w:p w14:paraId="77DC35E3" w14:textId="77777777" w:rsidR="00D60186" w:rsidRPr="00815696" w:rsidRDefault="00D60186" w:rsidP="00225D4D">
            <w:pPr>
              <w:rPr>
                <w:sz w:val="21"/>
                <w:szCs w:val="21"/>
              </w:rPr>
            </w:pPr>
            <w:r w:rsidRPr="00815696">
              <w:rPr>
                <w:sz w:val="21"/>
                <w:szCs w:val="21"/>
              </w:rPr>
              <w:t xml:space="preserve">Tiltak for å </w:t>
            </w:r>
            <w:proofErr w:type="spellStart"/>
            <w:r w:rsidRPr="00815696">
              <w:rPr>
                <w:sz w:val="21"/>
                <w:szCs w:val="21"/>
              </w:rPr>
              <w:t>motverke</w:t>
            </w:r>
            <w:proofErr w:type="spellEnd"/>
            <w:r w:rsidRPr="00815696">
              <w:rPr>
                <w:sz w:val="21"/>
                <w:szCs w:val="21"/>
              </w:rPr>
              <w:t xml:space="preserve"> at busette </w:t>
            </w:r>
            <w:proofErr w:type="spellStart"/>
            <w:r w:rsidRPr="00815696">
              <w:rPr>
                <w:sz w:val="21"/>
                <w:szCs w:val="21"/>
              </w:rPr>
              <w:t>flyktningar</w:t>
            </w:r>
            <w:proofErr w:type="spellEnd"/>
            <w:r w:rsidRPr="00815696">
              <w:rPr>
                <w:sz w:val="21"/>
                <w:szCs w:val="21"/>
              </w:rPr>
              <w:t xml:space="preserve"> </w:t>
            </w:r>
            <w:proofErr w:type="spellStart"/>
            <w:r w:rsidRPr="00815696">
              <w:rPr>
                <w:sz w:val="21"/>
                <w:szCs w:val="21"/>
              </w:rPr>
              <w:t>flyttar</w:t>
            </w:r>
            <w:proofErr w:type="spellEnd"/>
            <w:r w:rsidRPr="00815696">
              <w:rPr>
                <w:sz w:val="21"/>
                <w:szCs w:val="21"/>
              </w:rPr>
              <w:t xml:space="preserve"> </w:t>
            </w:r>
            <w:proofErr w:type="spellStart"/>
            <w:r w:rsidRPr="00815696">
              <w:rPr>
                <w:sz w:val="21"/>
                <w:szCs w:val="21"/>
              </w:rPr>
              <w:t>frå</w:t>
            </w:r>
            <w:proofErr w:type="spellEnd"/>
            <w:r w:rsidRPr="00815696">
              <w:rPr>
                <w:sz w:val="21"/>
                <w:szCs w:val="21"/>
              </w:rPr>
              <w:t xml:space="preserve"> </w:t>
            </w:r>
            <w:r w:rsidRPr="00815696">
              <w:rPr>
                <w:sz w:val="21"/>
                <w:szCs w:val="21"/>
              </w:rPr>
              <w:br/>
              <w:t>busettingskommunen etter avslutta introduksjonsprogram</w:t>
            </w:r>
          </w:p>
        </w:tc>
        <w:tc>
          <w:tcPr>
            <w:tcW w:w="1280" w:type="dxa"/>
            <w:tcBorders>
              <w:top w:val="nil"/>
              <w:left w:val="nil"/>
              <w:bottom w:val="nil"/>
              <w:right w:val="nil"/>
            </w:tcBorders>
            <w:tcMar>
              <w:top w:w="128" w:type="dxa"/>
              <w:left w:w="43" w:type="dxa"/>
              <w:bottom w:w="43" w:type="dxa"/>
              <w:right w:w="43" w:type="dxa"/>
            </w:tcMar>
          </w:tcPr>
          <w:p w14:paraId="560C394E" w14:textId="77777777" w:rsidR="00D60186" w:rsidRPr="00815696" w:rsidRDefault="00D60186" w:rsidP="00815696">
            <w:pPr>
              <w:jc w:val="right"/>
              <w:rPr>
                <w:sz w:val="21"/>
                <w:szCs w:val="21"/>
              </w:rPr>
            </w:pPr>
            <w:r w:rsidRPr="00815696">
              <w:rPr>
                <w:sz w:val="21"/>
                <w:szCs w:val="21"/>
              </w:rPr>
              <w:t>Nei</w:t>
            </w:r>
          </w:p>
        </w:tc>
      </w:tr>
      <w:tr w:rsidR="00E76DC8" w:rsidRPr="00225D4D" w14:paraId="3DE47246" w14:textId="77777777">
        <w:trPr>
          <w:trHeight w:val="880"/>
        </w:trPr>
        <w:tc>
          <w:tcPr>
            <w:tcW w:w="1320" w:type="dxa"/>
            <w:tcBorders>
              <w:top w:val="nil"/>
              <w:left w:val="nil"/>
              <w:bottom w:val="nil"/>
              <w:right w:val="nil"/>
            </w:tcBorders>
            <w:tcMar>
              <w:top w:w="128" w:type="dxa"/>
              <w:left w:w="43" w:type="dxa"/>
              <w:bottom w:w="43" w:type="dxa"/>
              <w:right w:w="43" w:type="dxa"/>
            </w:tcMar>
          </w:tcPr>
          <w:p w14:paraId="331EFEEB" w14:textId="77777777" w:rsidR="00D60186" w:rsidRPr="00815696" w:rsidRDefault="00D60186" w:rsidP="00225D4D">
            <w:pPr>
              <w:rPr>
                <w:sz w:val="21"/>
                <w:szCs w:val="21"/>
              </w:rPr>
            </w:pPr>
            <w:r w:rsidRPr="00815696">
              <w:rPr>
                <w:sz w:val="21"/>
                <w:szCs w:val="21"/>
              </w:rPr>
              <w:t>2023–2024</w:t>
            </w:r>
          </w:p>
        </w:tc>
        <w:tc>
          <w:tcPr>
            <w:tcW w:w="1340" w:type="dxa"/>
            <w:tcBorders>
              <w:top w:val="nil"/>
              <w:left w:val="nil"/>
              <w:bottom w:val="nil"/>
              <w:right w:val="nil"/>
            </w:tcBorders>
            <w:tcMar>
              <w:top w:w="128" w:type="dxa"/>
              <w:left w:w="43" w:type="dxa"/>
              <w:bottom w:w="43" w:type="dxa"/>
              <w:right w:w="43" w:type="dxa"/>
            </w:tcMar>
          </w:tcPr>
          <w:p w14:paraId="47265244" w14:textId="77777777" w:rsidR="00D60186" w:rsidRPr="00815696" w:rsidRDefault="00D60186" w:rsidP="00815696">
            <w:pPr>
              <w:ind w:right="113"/>
              <w:jc w:val="right"/>
              <w:rPr>
                <w:sz w:val="21"/>
                <w:szCs w:val="21"/>
              </w:rPr>
            </w:pPr>
            <w:r w:rsidRPr="00815696">
              <w:rPr>
                <w:sz w:val="21"/>
                <w:szCs w:val="21"/>
              </w:rPr>
              <w:t>16</w:t>
            </w:r>
          </w:p>
        </w:tc>
        <w:tc>
          <w:tcPr>
            <w:tcW w:w="5640" w:type="dxa"/>
            <w:tcBorders>
              <w:top w:val="nil"/>
              <w:left w:val="nil"/>
              <w:bottom w:val="nil"/>
              <w:right w:val="nil"/>
            </w:tcBorders>
            <w:tcMar>
              <w:top w:w="128" w:type="dxa"/>
              <w:left w:w="43" w:type="dxa"/>
              <w:bottom w:w="43" w:type="dxa"/>
              <w:right w:w="43" w:type="dxa"/>
            </w:tcMar>
            <w:vAlign w:val="bottom"/>
          </w:tcPr>
          <w:p w14:paraId="242ECCD4" w14:textId="77777777" w:rsidR="00D60186" w:rsidRPr="00815696" w:rsidRDefault="00D60186" w:rsidP="00225D4D">
            <w:pPr>
              <w:rPr>
                <w:sz w:val="21"/>
                <w:szCs w:val="21"/>
              </w:rPr>
            </w:pPr>
            <w:r w:rsidRPr="00815696">
              <w:rPr>
                <w:sz w:val="21"/>
                <w:szCs w:val="21"/>
              </w:rPr>
              <w:t xml:space="preserve">Greie ut medlemskap i pensjonsordning for </w:t>
            </w:r>
            <w:proofErr w:type="spellStart"/>
            <w:r w:rsidRPr="00815696">
              <w:rPr>
                <w:sz w:val="21"/>
                <w:szCs w:val="21"/>
              </w:rPr>
              <w:t>sjukepleiarar</w:t>
            </w:r>
            <w:proofErr w:type="spellEnd"/>
            <w:r w:rsidRPr="00815696">
              <w:rPr>
                <w:sz w:val="21"/>
                <w:szCs w:val="21"/>
              </w:rPr>
              <w:t xml:space="preserve"> </w:t>
            </w:r>
            <w:r w:rsidRPr="00815696">
              <w:rPr>
                <w:sz w:val="21"/>
                <w:szCs w:val="21"/>
              </w:rPr>
              <w:br/>
              <w:t xml:space="preserve">for </w:t>
            </w:r>
            <w:proofErr w:type="spellStart"/>
            <w:r w:rsidRPr="00815696">
              <w:rPr>
                <w:sz w:val="21"/>
                <w:szCs w:val="21"/>
              </w:rPr>
              <w:t>offentleg</w:t>
            </w:r>
            <w:proofErr w:type="spellEnd"/>
            <w:r w:rsidRPr="00815696">
              <w:rPr>
                <w:sz w:val="21"/>
                <w:szCs w:val="21"/>
              </w:rPr>
              <w:t xml:space="preserve"> </w:t>
            </w:r>
            <w:proofErr w:type="spellStart"/>
            <w:r w:rsidRPr="00815696">
              <w:rPr>
                <w:sz w:val="21"/>
                <w:szCs w:val="21"/>
              </w:rPr>
              <w:t>godkjende</w:t>
            </w:r>
            <w:proofErr w:type="spellEnd"/>
            <w:r w:rsidRPr="00815696">
              <w:rPr>
                <w:sz w:val="21"/>
                <w:szCs w:val="21"/>
              </w:rPr>
              <w:t xml:space="preserve"> </w:t>
            </w:r>
            <w:proofErr w:type="spellStart"/>
            <w:r w:rsidRPr="00815696">
              <w:rPr>
                <w:sz w:val="21"/>
                <w:szCs w:val="21"/>
              </w:rPr>
              <w:t>sjukepleiarar</w:t>
            </w:r>
            <w:proofErr w:type="spellEnd"/>
            <w:r w:rsidRPr="00815696">
              <w:rPr>
                <w:sz w:val="21"/>
                <w:szCs w:val="21"/>
              </w:rPr>
              <w:t xml:space="preserve"> tilsett i </w:t>
            </w:r>
            <w:proofErr w:type="spellStart"/>
            <w:r w:rsidRPr="00815696">
              <w:rPr>
                <w:sz w:val="21"/>
                <w:szCs w:val="21"/>
              </w:rPr>
              <w:t>bemanningsføretak</w:t>
            </w:r>
            <w:proofErr w:type="spellEnd"/>
          </w:p>
        </w:tc>
        <w:tc>
          <w:tcPr>
            <w:tcW w:w="1280" w:type="dxa"/>
            <w:tcBorders>
              <w:top w:val="nil"/>
              <w:left w:val="nil"/>
              <w:bottom w:val="nil"/>
              <w:right w:val="nil"/>
            </w:tcBorders>
            <w:tcMar>
              <w:top w:w="128" w:type="dxa"/>
              <w:left w:w="43" w:type="dxa"/>
              <w:bottom w:w="43" w:type="dxa"/>
              <w:right w:w="43" w:type="dxa"/>
            </w:tcMar>
          </w:tcPr>
          <w:p w14:paraId="3274977D" w14:textId="77777777" w:rsidR="00D60186" w:rsidRPr="00815696" w:rsidRDefault="00D60186" w:rsidP="00815696">
            <w:pPr>
              <w:jc w:val="right"/>
              <w:rPr>
                <w:sz w:val="21"/>
                <w:szCs w:val="21"/>
              </w:rPr>
            </w:pPr>
            <w:r w:rsidRPr="00815696">
              <w:rPr>
                <w:sz w:val="21"/>
                <w:szCs w:val="21"/>
              </w:rPr>
              <w:t>Nei</w:t>
            </w:r>
          </w:p>
        </w:tc>
      </w:tr>
      <w:tr w:rsidR="00E76DC8" w:rsidRPr="00225D4D" w14:paraId="1CA0D6EF" w14:textId="77777777">
        <w:trPr>
          <w:trHeight w:val="640"/>
        </w:trPr>
        <w:tc>
          <w:tcPr>
            <w:tcW w:w="1320" w:type="dxa"/>
            <w:tcBorders>
              <w:top w:val="nil"/>
              <w:left w:val="nil"/>
              <w:bottom w:val="nil"/>
              <w:right w:val="nil"/>
            </w:tcBorders>
            <w:tcMar>
              <w:top w:w="128" w:type="dxa"/>
              <w:left w:w="43" w:type="dxa"/>
              <w:bottom w:w="43" w:type="dxa"/>
              <w:right w:w="43" w:type="dxa"/>
            </w:tcMar>
          </w:tcPr>
          <w:p w14:paraId="0000B56F" w14:textId="77777777" w:rsidR="00D60186" w:rsidRPr="00815696" w:rsidRDefault="00D60186" w:rsidP="00225D4D">
            <w:pPr>
              <w:rPr>
                <w:sz w:val="21"/>
                <w:szCs w:val="21"/>
              </w:rPr>
            </w:pPr>
            <w:r w:rsidRPr="00815696">
              <w:rPr>
                <w:sz w:val="21"/>
                <w:szCs w:val="21"/>
              </w:rPr>
              <w:t>2023–2024</w:t>
            </w:r>
          </w:p>
        </w:tc>
        <w:tc>
          <w:tcPr>
            <w:tcW w:w="1340" w:type="dxa"/>
            <w:tcBorders>
              <w:top w:val="nil"/>
              <w:left w:val="nil"/>
              <w:bottom w:val="nil"/>
              <w:right w:val="nil"/>
            </w:tcBorders>
            <w:tcMar>
              <w:top w:w="128" w:type="dxa"/>
              <w:left w:w="43" w:type="dxa"/>
              <w:bottom w:w="43" w:type="dxa"/>
              <w:right w:w="43" w:type="dxa"/>
            </w:tcMar>
          </w:tcPr>
          <w:p w14:paraId="363D1A2C" w14:textId="77777777" w:rsidR="00D60186" w:rsidRPr="00815696" w:rsidRDefault="00D60186" w:rsidP="00815696">
            <w:pPr>
              <w:ind w:right="113"/>
              <w:jc w:val="right"/>
              <w:rPr>
                <w:sz w:val="21"/>
                <w:szCs w:val="21"/>
              </w:rPr>
            </w:pPr>
            <w:r w:rsidRPr="00815696">
              <w:rPr>
                <w:sz w:val="21"/>
                <w:szCs w:val="21"/>
              </w:rPr>
              <w:t>52</w:t>
            </w:r>
          </w:p>
        </w:tc>
        <w:tc>
          <w:tcPr>
            <w:tcW w:w="5640" w:type="dxa"/>
            <w:tcBorders>
              <w:top w:val="nil"/>
              <w:left w:val="nil"/>
              <w:bottom w:val="nil"/>
              <w:right w:val="nil"/>
            </w:tcBorders>
            <w:tcMar>
              <w:top w:w="128" w:type="dxa"/>
              <w:left w:w="43" w:type="dxa"/>
              <w:bottom w:w="43" w:type="dxa"/>
              <w:right w:w="43" w:type="dxa"/>
            </w:tcMar>
            <w:vAlign w:val="bottom"/>
          </w:tcPr>
          <w:p w14:paraId="6121E253" w14:textId="77777777" w:rsidR="00D60186" w:rsidRPr="00815696" w:rsidRDefault="00D60186" w:rsidP="00225D4D">
            <w:pPr>
              <w:rPr>
                <w:sz w:val="21"/>
                <w:szCs w:val="21"/>
              </w:rPr>
            </w:pPr>
            <w:r w:rsidRPr="00815696">
              <w:rPr>
                <w:sz w:val="21"/>
                <w:szCs w:val="21"/>
              </w:rPr>
              <w:t xml:space="preserve">Strategi for å styrke rolla og </w:t>
            </w:r>
            <w:proofErr w:type="spellStart"/>
            <w:r w:rsidRPr="00815696">
              <w:rPr>
                <w:sz w:val="21"/>
                <w:szCs w:val="21"/>
              </w:rPr>
              <w:t>tilbodet</w:t>
            </w:r>
            <w:proofErr w:type="spellEnd"/>
            <w:r w:rsidRPr="00815696">
              <w:rPr>
                <w:sz w:val="21"/>
                <w:szCs w:val="21"/>
              </w:rPr>
              <w:t xml:space="preserve"> til ideell sektor på arbeids- og velferdsfeltet</w:t>
            </w:r>
          </w:p>
        </w:tc>
        <w:tc>
          <w:tcPr>
            <w:tcW w:w="1280" w:type="dxa"/>
            <w:tcBorders>
              <w:top w:val="nil"/>
              <w:left w:val="nil"/>
              <w:bottom w:val="nil"/>
              <w:right w:val="nil"/>
            </w:tcBorders>
            <w:tcMar>
              <w:top w:w="128" w:type="dxa"/>
              <w:left w:w="43" w:type="dxa"/>
              <w:bottom w:w="43" w:type="dxa"/>
              <w:right w:w="43" w:type="dxa"/>
            </w:tcMar>
          </w:tcPr>
          <w:p w14:paraId="6BF477B2" w14:textId="77777777" w:rsidR="00D60186" w:rsidRPr="00815696" w:rsidRDefault="00D60186" w:rsidP="00815696">
            <w:pPr>
              <w:jc w:val="right"/>
              <w:rPr>
                <w:sz w:val="21"/>
                <w:szCs w:val="21"/>
              </w:rPr>
            </w:pPr>
            <w:r w:rsidRPr="00815696">
              <w:rPr>
                <w:sz w:val="21"/>
                <w:szCs w:val="21"/>
              </w:rPr>
              <w:t>Nei</w:t>
            </w:r>
          </w:p>
        </w:tc>
      </w:tr>
      <w:tr w:rsidR="00E76DC8" w:rsidRPr="00225D4D" w14:paraId="1BD76C0B" w14:textId="77777777">
        <w:trPr>
          <w:trHeight w:val="640"/>
        </w:trPr>
        <w:tc>
          <w:tcPr>
            <w:tcW w:w="1320" w:type="dxa"/>
            <w:tcBorders>
              <w:top w:val="nil"/>
              <w:left w:val="nil"/>
              <w:bottom w:val="nil"/>
              <w:right w:val="nil"/>
            </w:tcBorders>
            <w:tcMar>
              <w:top w:w="128" w:type="dxa"/>
              <w:left w:w="43" w:type="dxa"/>
              <w:bottom w:w="43" w:type="dxa"/>
              <w:right w:w="43" w:type="dxa"/>
            </w:tcMar>
          </w:tcPr>
          <w:p w14:paraId="61625E9F" w14:textId="77777777" w:rsidR="00D60186" w:rsidRPr="00815696" w:rsidRDefault="00D60186" w:rsidP="00225D4D">
            <w:pPr>
              <w:rPr>
                <w:sz w:val="21"/>
                <w:szCs w:val="21"/>
              </w:rPr>
            </w:pPr>
            <w:r w:rsidRPr="00815696">
              <w:rPr>
                <w:sz w:val="21"/>
                <w:szCs w:val="21"/>
              </w:rPr>
              <w:t>2023–2024</w:t>
            </w:r>
          </w:p>
        </w:tc>
        <w:tc>
          <w:tcPr>
            <w:tcW w:w="1340" w:type="dxa"/>
            <w:tcBorders>
              <w:top w:val="nil"/>
              <w:left w:val="nil"/>
              <w:bottom w:val="nil"/>
              <w:right w:val="nil"/>
            </w:tcBorders>
            <w:tcMar>
              <w:top w:w="128" w:type="dxa"/>
              <w:left w:w="43" w:type="dxa"/>
              <w:bottom w:w="43" w:type="dxa"/>
              <w:right w:w="43" w:type="dxa"/>
            </w:tcMar>
          </w:tcPr>
          <w:p w14:paraId="15D4E4C3" w14:textId="77777777" w:rsidR="00D60186" w:rsidRPr="00815696" w:rsidRDefault="00D60186" w:rsidP="00815696">
            <w:pPr>
              <w:ind w:right="113"/>
              <w:jc w:val="right"/>
              <w:rPr>
                <w:sz w:val="21"/>
                <w:szCs w:val="21"/>
              </w:rPr>
            </w:pPr>
            <w:r w:rsidRPr="00815696">
              <w:rPr>
                <w:sz w:val="21"/>
                <w:szCs w:val="21"/>
              </w:rPr>
              <w:t>56</w:t>
            </w:r>
          </w:p>
        </w:tc>
        <w:tc>
          <w:tcPr>
            <w:tcW w:w="5640" w:type="dxa"/>
            <w:tcBorders>
              <w:top w:val="nil"/>
              <w:left w:val="nil"/>
              <w:bottom w:val="nil"/>
              <w:right w:val="nil"/>
            </w:tcBorders>
            <w:tcMar>
              <w:top w:w="128" w:type="dxa"/>
              <w:left w:w="43" w:type="dxa"/>
              <w:bottom w:w="43" w:type="dxa"/>
              <w:right w:w="43" w:type="dxa"/>
            </w:tcMar>
            <w:vAlign w:val="bottom"/>
          </w:tcPr>
          <w:p w14:paraId="2358CF01" w14:textId="77777777" w:rsidR="00D60186" w:rsidRPr="00815696" w:rsidRDefault="00D60186" w:rsidP="00225D4D">
            <w:pPr>
              <w:rPr>
                <w:sz w:val="21"/>
                <w:szCs w:val="21"/>
              </w:rPr>
            </w:pPr>
            <w:r w:rsidRPr="00815696">
              <w:rPr>
                <w:sz w:val="21"/>
                <w:szCs w:val="21"/>
              </w:rPr>
              <w:t xml:space="preserve">Representantforslag om betre </w:t>
            </w:r>
            <w:proofErr w:type="spellStart"/>
            <w:r w:rsidRPr="00815696">
              <w:rPr>
                <w:sz w:val="21"/>
                <w:szCs w:val="21"/>
              </w:rPr>
              <w:t>ordningar</w:t>
            </w:r>
            <w:proofErr w:type="spellEnd"/>
            <w:r w:rsidRPr="00815696">
              <w:rPr>
                <w:sz w:val="21"/>
                <w:szCs w:val="21"/>
              </w:rPr>
              <w:t xml:space="preserve"> for sjølvstendige </w:t>
            </w:r>
            <w:r w:rsidRPr="00815696">
              <w:rPr>
                <w:sz w:val="21"/>
                <w:szCs w:val="21"/>
              </w:rPr>
              <w:br/>
              <w:t xml:space="preserve">og </w:t>
            </w:r>
            <w:proofErr w:type="spellStart"/>
            <w:r w:rsidRPr="00815696">
              <w:rPr>
                <w:sz w:val="21"/>
                <w:szCs w:val="21"/>
              </w:rPr>
              <w:t>frilansarar</w:t>
            </w:r>
            <w:proofErr w:type="spellEnd"/>
            <w:r w:rsidRPr="00815696">
              <w:rPr>
                <w:sz w:val="21"/>
                <w:szCs w:val="21"/>
              </w:rPr>
              <w:t xml:space="preserve"> ved svangerskap og sjukdom</w:t>
            </w:r>
          </w:p>
        </w:tc>
        <w:tc>
          <w:tcPr>
            <w:tcW w:w="1280" w:type="dxa"/>
            <w:tcBorders>
              <w:top w:val="nil"/>
              <w:left w:val="nil"/>
              <w:bottom w:val="nil"/>
              <w:right w:val="nil"/>
            </w:tcBorders>
            <w:tcMar>
              <w:top w:w="128" w:type="dxa"/>
              <w:left w:w="43" w:type="dxa"/>
              <w:bottom w:w="43" w:type="dxa"/>
              <w:right w:w="43" w:type="dxa"/>
            </w:tcMar>
          </w:tcPr>
          <w:p w14:paraId="210A1BC1" w14:textId="77777777" w:rsidR="00D60186" w:rsidRPr="00815696" w:rsidRDefault="00D60186" w:rsidP="00815696">
            <w:pPr>
              <w:jc w:val="right"/>
              <w:rPr>
                <w:sz w:val="21"/>
                <w:szCs w:val="21"/>
              </w:rPr>
            </w:pPr>
            <w:r w:rsidRPr="00815696">
              <w:rPr>
                <w:sz w:val="21"/>
                <w:szCs w:val="21"/>
              </w:rPr>
              <w:t>Ja</w:t>
            </w:r>
          </w:p>
        </w:tc>
      </w:tr>
      <w:tr w:rsidR="00E76DC8" w:rsidRPr="00225D4D" w14:paraId="3D11580E" w14:textId="77777777">
        <w:trPr>
          <w:trHeight w:val="880"/>
        </w:trPr>
        <w:tc>
          <w:tcPr>
            <w:tcW w:w="1320" w:type="dxa"/>
            <w:tcBorders>
              <w:top w:val="nil"/>
              <w:left w:val="nil"/>
              <w:bottom w:val="nil"/>
              <w:right w:val="nil"/>
            </w:tcBorders>
            <w:tcMar>
              <w:top w:w="128" w:type="dxa"/>
              <w:left w:w="43" w:type="dxa"/>
              <w:bottom w:w="43" w:type="dxa"/>
              <w:right w:w="43" w:type="dxa"/>
            </w:tcMar>
          </w:tcPr>
          <w:p w14:paraId="3258ACED"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0EEECC27" w14:textId="77777777" w:rsidR="00D60186" w:rsidRPr="00815696" w:rsidRDefault="00D60186" w:rsidP="00815696">
            <w:pPr>
              <w:ind w:right="113"/>
              <w:jc w:val="right"/>
              <w:rPr>
                <w:sz w:val="21"/>
                <w:szCs w:val="21"/>
              </w:rPr>
            </w:pPr>
            <w:r w:rsidRPr="00815696">
              <w:rPr>
                <w:sz w:val="21"/>
                <w:szCs w:val="21"/>
              </w:rPr>
              <w:t>69</w:t>
            </w:r>
          </w:p>
        </w:tc>
        <w:tc>
          <w:tcPr>
            <w:tcW w:w="5640" w:type="dxa"/>
            <w:tcBorders>
              <w:top w:val="nil"/>
              <w:left w:val="nil"/>
              <w:bottom w:val="nil"/>
              <w:right w:val="nil"/>
            </w:tcBorders>
            <w:tcMar>
              <w:top w:w="128" w:type="dxa"/>
              <w:left w:w="43" w:type="dxa"/>
              <w:bottom w:w="43" w:type="dxa"/>
              <w:right w:w="43" w:type="dxa"/>
            </w:tcMar>
            <w:vAlign w:val="bottom"/>
          </w:tcPr>
          <w:p w14:paraId="7A1AB5A7" w14:textId="77777777" w:rsidR="00D60186" w:rsidRPr="00815696" w:rsidRDefault="00D60186" w:rsidP="00225D4D">
            <w:pPr>
              <w:rPr>
                <w:sz w:val="21"/>
                <w:szCs w:val="21"/>
              </w:rPr>
            </w:pPr>
            <w:r w:rsidRPr="00815696">
              <w:rPr>
                <w:sz w:val="21"/>
                <w:szCs w:val="21"/>
              </w:rPr>
              <w:t xml:space="preserve">Oppdatering av </w:t>
            </w:r>
            <w:proofErr w:type="spellStart"/>
            <w:r w:rsidRPr="00815696">
              <w:rPr>
                <w:sz w:val="21"/>
                <w:szCs w:val="21"/>
              </w:rPr>
              <w:t>rettleiaren</w:t>
            </w:r>
            <w:proofErr w:type="spellEnd"/>
            <w:r w:rsidRPr="00815696">
              <w:rPr>
                <w:sz w:val="21"/>
                <w:szCs w:val="21"/>
              </w:rPr>
              <w:t xml:space="preserve"> om økonomisk sosialhjelp i lys </w:t>
            </w:r>
            <w:r w:rsidRPr="00815696">
              <w:rPr>
                <w:sz w:val="21"/>
                <w:szCs w:val="21"/>
              </w:rPr>
              <w:br/>
              <w:t xml:space="preserve">av SIFO-rapport om grunnlaget for </w:t>
            </w:r>
            <w:proofErr w:type="spellStart"/>
            <w:r w:rsidRPr="00815696">
              <w:rPr>
                <w:sz w:val="21"/>
                <w:szCs w:val="21"/>
              </w:rPr>
              <w:t>dei</w:t>
            </w:r>
            <w:proofErr w:type="spellEnd"/>
            <w:r w:rsidRPr="00815696">
              <w:rPr>
                <w:sz w:val="21"/>
                <w:szCs w:val="21"/>
              </w:rPr>
              <w:t xml:space="preserve"> </w:t>
            </w:r>
            <w:proofErr w:type="spellStart"/>
            <w:r w:rsidRPr="00815696">
              <w:rPr>
                <w:sz w:val="21"/>
                <w:szCs w:val="21"/>
              </w:rPr>
              <w:t>statlege</w:t>
            </w:r>
            <w:proofErr w:type="spellEnd"/>
            <w:r w:rsidRPr="00815696">
              <w:rPr>
                <w:sz w:val="21"/>
                <w:szCs w:val="21"/>
              </w:rPr>
              <w:t xml:space="preserve"> </w:t>
            </w:r>
            <w:proofErr w:type="spellStart"/>
            <w:r w:rsidRPr="00815696">
              <w:rPr>
                <w:sz w:val="21"/>
                <w:szCs w:val="21"/>
              </w:rPr>
              <w:t>rettleiande</w:t>
            </w:r>
            <w:proofErr w:type="spellEnd"/>
            <w:r w:rsidRPr="00815696">
              <w:rPr>
                <w:sz w:val="21"/>
                <w:szCs w:val="21"/>
              </w:rPr>
              <w:t xml:space="preserve"> </w:t>
            </w:r>
            <w:proofErr w:type="spellStart"/>
            <w:r w:rsidRPr="00815696">
              <w:rPr>
                <w:sz w:val="21"/>
                <w:szCs w:val="21"/>
              </w:rPr>
              <w:t>satsane</w:t>
            </w:r>
            <w:proofErr w:type="spellEnd"/>
            <w:r w:rsidRPr="00815696">
              <w:rPr>
                <w:sz w:val="21"/>
                <w:szCs w:val="21"/>
              </w:rPr>
              <w:t xml:space="preserve"> for økonomisk sosialhjelp</w:t>
            </w:r>
          </w:p>
        </w:tc>
        <w:tc>
          <w:tcPr>
            <w:tcW w:w="1280" w:type="dxa"/>
            <w:tcBorders>
              <w:top w:val="nil"/>
              <w:left w:val="nil"/>
              <w:bottom w:val="nil"/>
              <w:right w:val="nil"/>
            </w:tcBorders>
            <w:tcMar>
              <w:top w:w="128" w:type="dxa"/>
              <w:left w:w="43" w:type="dxa"/>
              <w:bottom w:w="43" w:type="dxa"/>
              <w:right w:w="43" w:type="dxa"/>
            </w:tcMar>
          </w:tcPr>
          <w:p w14:paraId="6DB7BE6D" w14:textId="77777777" w:rsidR="00D60186" w:rsidRPr="00815696" w:rsidRDefault="00D60186" w:rsidP="00815696">
            <w:pPr>
              <w:jc w:val="right"/>
              <w:rPr>
                <w:sz w:val="21"/>
                <w:szCs w:val="21"/>
              </w:rPr>
            </w:pPr>
            <w:r w:rsidRPr="00815696">
              <w:rPr>
                <w:sz w:val="21"/>
                <w:szCs w:val="21"/>
              </w:rPr>
              <w:t>Ja</w:t>
            </w:r>
          </w:p>
        </w:tc>
      </w:tr>
      <w:tr w:rsidR="00E76DC8" w:rsidRPr="00225D4D" w14:paraId="7AD643D5" w14:textId="77777777">
        <w:trPr>
          <w:trHeight w:val="640"/>
        </w:trPr>
        <w:tc>
          <w:tcPr>
            <w:tcW w:w="1320" w:type="dxa"/>
            <w:tcBorders>
              <w:top w:val="nil"/>
              <w:left w:val="nil"/>
              <w:bottom w:val="nil"/>
              <w:right w:val="nil"/>
            </w:tcBorders>
            <w:tcMar>
              <w:top w:w="128" w:type="dxa"/>
              <w:left w:w="43" w:type="dxa"/>
              <w:bottom w:w="43" w:type="dxa"/>
              <w:right w:w="43" w:type="dxa"/>
            </w:tcMar>
          </w:tcPr>
          <w:p w14:paraId="5D6BDFAF"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0E712B2C" w14:textId="77777777" w:rsidR="00D60186" w:rsidRPr="00815696" w:rsidRDefault="00D60186" w:rsidP="00815696">
            <w:pPr>
              <w:ind w:right="113"/>
              <w:jc w:val="right"/>
              <w:rPr>
                <w:sz w:val="21"/>
                <w:szCs w:val="21"/>
              </w:rPr>
            </w:pPr>
            <w:r w:rsidRPr="00815696">
              <w:rPr>
                <w:sz w:val="21"/>
                <w:szCs w:val="21"/>
              </w:rPr>
              <w:t>147</w:t>
            </w:r>
          </w:p>
        </w:tc>
        <w:tc>
          <w:tcPr>
            <w:tcW w:w="5640" w:type="dxa"/>
            <w:tcBorders>
              <w:top w:val="nil"/>
              <w:left w:val="nil"/>
              <w:bottom w:val="nil"/>
              <w:right w:val="nil"/>
            </w:tcBorders>
            <w:tcMar>
              <w:top w:w="128" w:type="dxa"/>
              <w:left w:w="43" w:type="dxa"/>
              <w:bottom w:w="43" w:type="dxa"/>
              <w:right w:w="43" w:type="dxa"/>
            </w:tcMar>
            <w:vAlign w:val="bottom"/>
          </w:tcPr>
          <w:p w14:paraId="2691EE5C" w14:textId="77777777" w:rsidR="00D60186" w:rsidRPr="00815696" w:rsidRDefault="00D60186" w:rsidP="00225D4D">
            <w:pPr>
              <w:rPr>
                <w:sz w:val="21"/>
                <w:szCs w:val="21"/>
              </w:rPr>
            </w:pPr>
            <w:r w:rsidRPr="00815696">
              <w:rPr>
                <w:sz w:val="21"/>
                <w:szCs w:val="21"/>
              </w:rPr>
              <w:t xml:space="preserve">Regelverket for </w:t>
            </w:r>
            <w:proofErr w:type="spellStart"/>
            <w:r w:rsidRPr="00815696">
              <w:rPr>
                <w:sz w:val="21"/>
                <w:szCs w:val="21"/>
              </w:rPr>
              <w:t>pårørande</w:t>
            </w:r>
            <w:proofErr w:type="spellEnd"/>
            <w:r w:rsidRPr="00815696">
              <w:rPr>
                <w:sz w:val="21"/>
                <w:szCs w:val="21"/>
              </w:rPr>
              <w:t xml:space="preserve"> sine </w:t>
            </w:r>
            <w:proofErr w:type="spellStart"/>
            <w:r w:rsidRPr="00815696">
              <w:rPr>
                <w:sz w:val="21"/>
                <w:szCs w:val="21"/>
              </w:rPr>
              <w:t>permisjonsmoglegheiter</w:t>
            </w:r>
            <w:proofErr w:type="spellEnd"/>
            <w:r w:rsidRPr="00815696">
              <w:rPr>
                <w:sz w:val="21"/>
                <w:szCs w:val="21"/>
              </w:rPr>
              <w:t xml:space="preserve"> </w:t>
            </w:r>
            <w:r w:rsidRPr="00815696">
              <w:rPr>
                <w:sz w:val="21"/>
                <w:szCs w:val="21"/>
              </w:rPr>
              <w:br/>
              <w:t>i arbeidslivet</w:t>
            </w:r>
          </w:p>
        </w:tc>
        <w:tc>
          <w:tcPr>
            <w:tcW w:w="1280" w:type="dxa"/>
            <w:tcBorders>
              <w:top w:val="nil"/>
              <w:left w:val="nil"/>
              <w:bottom w:val="nil"/>
              <w:right w:val="nil"/>
            </w:tcBorders>
            <w:tcMar>
              <w:top w:w="128" w:type="dxa"/>
              <w:left w:w="43" w:type="dxa"/>
              <w:bottom w:w="43" w:type="dxa"/>
              <w:right w:w="43" w:type="dxa"/>
            </w:tcMar>
          </w:tcPr>
          <w:p w14:paraId="4771FBD0" w14:textId="77777777" w:rsidR="00D60186" w:rsidRPr="00815696" w:rsidRDefault="00D60186" w:rsidP="00815696">
            <w:pPr>
              <w:jc w:val="right"/>
              <w:rPr>
                <w:sz w:val="21"/>
                <w:szCs w:val="21"/>
              </w:rPr>
            </w:pPr>
            <w:r w:rsidRPr="00815696">
              <w:rPr>
                <w:sz w:val="21"/>
                <w:szCs w:val="21"/>
              </w:rPr>
              <w:t>Ja</w:t>
            </w:r>
          </w:p>
        </w:tc>
      </w:tr>
      <w:tr w:rsidR="00E76DC8" w:rsidRPr="00225D4D" w14:paraId="6B71F316" w14:textId="77777777">
        <w:trPr>
          <w:trHeight w:val="640"/>
        </w:trPr>
        <w:tc>
          <w:tcPr>
            <w:tcW w:w="1320" w:type="dxa"/>
            <w:tcBorders>
              <w:top w:val="nil"/>
              <w:left w:val="nil"/>
              <w:bottom w:val="nil"/>
              <w:right w:val="nil"/>
            </w:tcBorders>
            <w:tcMar>
              <w:top w:w="128" w:type="dxa"/>
              <w:left w:w="43" w:type="dxa"/>
              <w:bottom w:w="43" w:type="dxa"/>
              <w:right w:w="43" w:type="dxa"/>
            </w:tcMar>
          </w:tcPr>
          <w:p w14:paraId="08F54A74"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4535F239" w14:textId="77777777" w:rsidR="00D60186" w:rsidRPr="00815696" w:rsidRDefault="00D60186" w:rsidP="00815696">
            <w:pPr>
              <w:ind w:right="113"/>
              <w:jc w:val="right"/>
              <w:rPr>
                <w:sz w:val="21"/>
                <w:szCs w:val="21"/>
              </w:rPr>
            </w:pPr>
            <w:r w:rsidRPr="00815696">
              <w:rPr>
                <w:sz w:val="21"/>
                <w:szCs w:val="21"/>
              </w:rPr>
              <w:t>643</w:t>
            </w:r>
          </w:p>
        </w:tc>
        <w:tc>
          <w:tcPr>
            <w:tcW w:w="5640" w:type="dxa"/>
            <w:tcBorders>
              <w:top w:val="nil"/>
              <w:left w:val="nil"/>
              <w:bottom w:val="nil"/>
              <w:right w:val="nil"/>
            </w:tcBorders>
            <w:tcMar>
              <w:top w:w="128" w:type="dxa"/>
              <w:left w:w="43" w:type="dxa"/>
              <w:bottom w:w="43" w:type="dxa"/>
              <w:right w:w="43" w:type="dxa"/>
            </w:tcMar>
            <w:vAlign w:val="bottom"/>
          </w:tcPr>
          <w:p w14:paraId="419A4362" w14:textId="77777777" w:rsidR="00D60186" w:rsidRPr="00815696" w:rsidRDefault="00D60186" w:rsidP="00225D4D">
            <w:pPr>
              <w:rPr>
                <w:sz w:val="21"/>
                <w:szCs w:val="21"/>
              </w:rPr>
            </w:pPr>
            <w:r w:rsidRPr="00815696">
              <w:rPr>
                <w:sz w:val="21"/>
                <w:szCs w:val="21"/>
              </w:rPr>
              <w:t xml:space="preserve">Utgreiing om å fjerne unntaket for helsesektoren i regelverket for </w:t>
            </w:r>
            <w:proofErr w:type="spellStart"/>
            <w:r w:rsidRPr="00815696">
              <w:rPr>
                <w:sz w:val="21"/>
                <w:szCs w:val="21"/>
              </w:rPr>
              <w:t>innleige</w:t>
            </w:r>
            <w:proofErr w:type="spellEnd"/>
          </w:p>
        </w:tc>
        <w:tc>
          <w:tcPr>
            <w:tcW w:w="1280" w:type="dxa"/>
            <w:tcBorders>
              <w:top w:val="nil"/>
              <w:left w:val="nil"/>
              <w:bottom w:val="nil"/>
              <w:right w:val="nil"/>
            </w:tcBorders>
            <w:tcMar>
              <w:top w:w="128" w:type="dxa"/>
              <w:left w:w="43" w:type="dxa"/>
              <w:bottom w:w="43" w:type="dxa"/>
              <w:right w:w="43" w:type="dxa"/>
            </w:tcMar>
          </w:tcPr>
          <w:p w14:paraId="5617D5CD" w14:textId="77777777" w:rsidR="00D60186" w:rsidRPr="00815696" w:rsidRDefault="00D60186" w:rsidP="00815696">
            <w:pPr>
              <w:jc w:val="right"/>
              <w:rPr>
                <w:sz w:val="21"/>
                <w:szCs w:val="21"/>
              </w:rPr>
            </w:pPr>
            <w:r w:rsidRPr="00815696">
              <w:rPr>
                <w:sz w:val="21"/>
                <w:szCs w:val="21"/>
              </w:rPr>
              <w:t>Ja</w:t>
            </w:r>
          </w:p>
        </w:tc>
      </w:tr>
      <w:tr w:rsidR="00E76DC8" w:rsidRPr="00225D4D" w14:paraId="5F027D8D" w14:textId="77777777">
        <w:trPr>
          <w:trHeight w:val="640"/>
        </w:trPr>
        <w:tc>
          <w:tcPr>
            <w:tcW w:w="1320" w:type="dxa"/>
            <w:tcBorders>
              <w:top w:val="nil"/>
              <w:left w:val="nil"/>
              <w:bottom w:val="nil"/>
              <w:right w:val="nil"/>
            </w:tcBorders>
            <w:tcMar>
              <w:top w:w="128" w:type="dxa"/>
              <w:left w:w="43" w:type="dxa"/>
              <w:bottom w:w="43" w:type="dxa"/>
              <w:right w:w="43" w:type="dxa"/>
            </w:tcMar>
          </w:tcPr>
          <w:p w14:paraId="0D877620"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20CB6917" w14:textId="77777777" w:rsidR="00D60186" w:rsidRPr="00815696" w:rsidRDefault="00D60186" w:rsidP="00815696">
            <w:pPr>
              <w:ind w:right="113"/>
              <w:jc w:val="right"/>
              <w:rPr>
                <w:sz w:val="21"/>
                <w:szCs w:val="21"/>
              </w:rPr>
            </w:pPr>
            <w:r w:rsidRPr="00815696">
              <w:rPr>
                <w:sz w:val="21"/>
                <w:szCs w:val="21"/>
              </w:rPr>
              <w:t>660</w:t>
            </w:r>
          </w:p>
        </w:tc>
        <w:tc>
          <w:tcPr>
            <w:tcW w:w="5640" w:type="dxa"/>
            <w:tcBorders>
              <w:top w:val="nil"/>
              <w:left w:val="nil"/>
              <w:bottom w:val="nil"/>
              <w:right w:val="nil"/>
            </w:tcBorders>
            <w:tcMar>
              <w:top w:w="128" w:type="dxa"/>
              <w:left w:w="43" w:type="dxa"/>
              <w:bottom w:w="43" w:type="dxa"/>
              <w:right w:w="43" w:type="dxa"/>
            </w:tcMar>
            <w:vAlign w:val="bottom"/>
          </w:tcPr>
          <w:p w14:paraId="368B6B6D" w14:textId="77777777" w:rsidR="00D60186" w:rsidRPr="00815696" w:rsidRDefault="00D60186" w:rsidP="00225D4D">
            <w:pPr>
              <w:rPr>
                <w:sz w:val="21"/>
                <w:szCs w:val="21"/>
              </w:rPr>
            </w:pPr>
            <w:r w:rsidRPr="00815696">
              <w:rPr>
                <w:sz w:val="21"/>
                <w:szCs w:val="21"/>
              </w:rPr>
              <w:t xml:space="preserve">Representantforslag om konkrete tiltak mot </w:t>
            </w:r>
            <w:proofErr w:type="spellStart"/>
            <w:r w:rsidRPr="00815696">
              <w:rPr>
                <w:sz w:val="21"/>
                <w:szCs w:val="21"/>
              </w:rPr>
              <w:t>æreskriminalitet</w:t>
            </w:r>
            <w:proofErr w:type="spellEnd"/>
            <w:r w:rsidRPr="00815696">
              <w:rPr>
                <w:sz w:val="21"/>
                <w:szCs w:val="21"/>
              </w:rPr>
              <w:t xml:space="preserve"> – </w:t>
            </w:r>
            <w:proofErr w:type="spellStart"/>
            <w:r w:rsidRPr="00815696">
              <w:rPr>
                <w:sz w:val="21"/>
                <w:szCs w:val="21"/>
              </w:rPr>
              <w:t>auka</w:t>
            </w:r>
            <w:proofErr w:type="spellEnd"/>
            <w:r w:rsidRPr="00815696">
              <w:rPr>
                <w:sz w:val="21"/>
                <w:szCs w:val="21"/>
              </w:rPr>
              <w:t xml:space="preserve"> kunnskap og kompetanse</w:t>
            </w:r>
          </w:p>
        </w:tc>
        <w:tc>
          <w:tcPr>
            <w:tcW w:w="1280" w:type="dxa"/>
            <w:tcBorders>
              <w:top w:val="nil"/>
              <w:left w:val="nil"/>
              <w:bottom w:val="nil"/>
              <w:right w:val="nil"/>
            </w:tcBorders>
            <w:tcMar>
              <w:top w:w="128" w:type="dxa"/>
              <w:left w:w="43" w:type="dxa"/>
              <w:bottom w:w="43" w:type="dxa"/>
              <w:right w:w="43" w:type="dxa"/>
            </w:tcMar>
          </w:tcPr>
          <w:p w14:paraId="1DA506CC" w14:textId="77777777" w:rsidR="00D60186" w:rsidRPr="00815696" w:rsidRDefault="00D60186" w:rsidP="00815696">
            <w:pPr>
              <w:jc w:val="right"/>
              <w:rPr>
                <w:sz w:val="21"/>
                <w:szCs w:val="21"/>
              </w:rPr>
            </w:pPr>
            <w:r w:rsidRPr="00815696">
              <w:rPr>
                <w:sz w:val="21"/>
                <w:szCs w:val="21"/>
              </w:rPr>
              <w:t>Ja</w:t>
            </w:r>
          </w:p>
        </w:tc>
      </w:tr>
      <w:tr w:rsidR="00E76DC8" w:rsidRPr="00225D4D" w14:paraId="3F24B536" w14:textId="77777777">
        <w:trPr>
          <w:trHeight w:val="640"/>
        </w:trPr>
        <w:tc>
          <w:tcPr>
            <w:tcW w:w="1320" w:type="dxa"/>
            <w:tcBorders>
              <w:top w:val="nil"/>
              <w:left w:val="nil"/>
              <w:bottom w:val="nil"/>
              <w:right w:val="nil"/>
            </w:tcBorders>
            <w:tcMar>
              <w:top w:w="128" w:type="dxa"/>
              <w:left w:w="43" w:type="dxa"/>
              <w:bottom w:w="43" w:type="dxa"/>
              <w:right w:w="43" w:type="dxa"/>
            </w:tcMar>
          </w:tcPr>
          <w:p w14:paraId="7D9761F6" w14:textId="77777777" w:rsidR="00D60186" w:rsidRPr="00815696" w:rsidRDefault="00D60186" w:rsidP="00225D4D">
            <w:pPr>
              <w:rPr>
                <w:sz w:val="21"/>
                <w:szCs w:val="21"/>
              </w:rPr>
            </w:pPr>
            <w:r w:rsidRPr="00815696">
              <w:rPr>
                <w:sz w:val="21"/>
                <w:szCs w:val="21"/>
              </w:rPr>
              <w:t>2023–2024</w:t>
            </w:r>
          </w:p>
        </w:tc>
        <w:tc>
          <w:tcPr>
            <w:tcW w:w="1340" w:type="dxa"/>
            <w:tcBorders>
              <w:top w:val="nil"/>
              <w:left w:val="nil"/>
              <w:bottom w:val="nil"/>
              <w:right w:val="nil"/>
            </w:tcBorders>
            <w:tcMar>
              <w:top w:w="128" w:type="dxa"/>
              <w:left w:w="43" w:type="dxa"/>
              <w:bottom w:w="43" w:type="dxa"/>
              <w:right w:w="43" w:type="dxa"/>
            </w:tcMar>
          </w:tcPr>
          <w:p w14:paraId="33960F1B" w14:textId="77777777" w:rsidR="00D60186" w:rsidRPr="00815696" w:rsidRDefault="00D60186" w:rsidP="00815696">
            <w:pPr>
              <w:ind w:right="113"/>
              <w:jc w:val="right"/>
              <w:rPr>
                <w:sz w:val="21"/>
                <w:szCs w:val="21"/>
              </w:rPr>
            </w:pPr>
            <w:r w:rsidRPr="00815696">
              <w:rPr>
                <w:sz w:val="21"/>
                <w:szCs w:val="21"/>
              </w:rPr>
              <w:t>661</w:t>
            </w:r>
          </w:p>
        </w:tc>
        <w:tc>
          <w:tcPr>
            <w:tcW w:w="5640" w:type="dxa"/>
            <w:tcBorders>
              <w:top w:val="nil"/>
              <w:left w:val="nil"/>
              <w:bottom w:val="nil"/>
              <w:right w:val="nil"/>
            </w:tcBorders>
            <w:tcMar>
              <w:top w:w="128" w:type="dxa"/>
              <w:left w:w="43" w:type="dxa"/>
              <w:bottom w:w="43" w:type="dxa"/>
              <w:right w:w="43" w:type="dxa"/>
            </w:tcMar>
            <w:vAlign w:val="bottom"/>
          </w:tcPr>
          <w:p w14:paraId="1ECE58A6" w14:textId="77777777" w:rsidR="00D60186" w:rsidRPr="00815696" w:rsidRDefault="00D60186" w:rsidP="00225D4D">
            <w:pPr>
              <w:rPr>
                <w:sz w:val="21"/>
                <w:szCs w:val="21"/>
              </w:rPr>
            </w:pPr>
            <w:r w:rsidRPr="00815696">
              <w:rPr>
                <w:sz w:val="21"/>
                <w:szCs w:val="21"/>
              </w:rPr>
              <w:t xml:space="preserve">Representantforslag om konkrete tiltak mot </w:t>
            </w:r>
            <w:proofErr w:type="spellStart"/>
            <w:r w:rsidRPr="00815696">
              <w:rPr>
                <w:sz w:val="21"/>
                <w:szCs w:val="21"/>
              </w:rPr>
              <w:t>æreskriminalitet</w:t>
            </w:r>
            <w:proofErr w:type="spellEnd"/>
            <w:r w:rsidRPr="00815696">
              <w:rPr>
                <w:sz w:val="21"/>
                <w:szCs w:val="21"/>
              </w:rPr>
              <w:t xml:space="preserve"> – barn og unge som er i utlandet mot </w:t>
            </w:r>
            <w:proofErr w:type="gramStart"/>
            <w:r w:rsidRPr="00815696">
              <w:rPr>
                <w:sz w:val="21"/>
                <w:szCs w:val="21"/>
              </w:rPr>
              <w:t>si eiga vilje</w:t>
            </w:r>
            <w:proofErr w:type="gramEnd"/>
          </w:p>
        </w:tc>
        <w:tc>
          <w:tcPr>
            <w:tcW w:w="1280" w:type="dxa"/>
            <w:tcBorders>
              <w:top w:val="nil"/>
              <w:left w:val="nil"/>
              <w:bottom w:val="nil"/>
              <w:right w:val="nil"/>
            </w:tcBorders>
            <w:tcMar>
              <w:top w:w="128" w:type="dxa"/>
              <w:left w:w="43" w:type="dxa"/>
              <w:bottom w:w="43" w:type="dxa"/>
              <w:right w:w="43" w:type="dxa"/>
            </w:tcMar>
          </w:tcPr>
          <w:p w14:paraId="6D2BA9F9" w14:textId="77777777" w:rsidR="00D60186" w:rsidRPr="00815696" w:rsidRDefault="00D60186" w:rsidP="00815696">
            <w:pPr>
              <w:jc w:val="right"/>
              <w:rPr>
                <w:sz w:val="21"/>
                <w:szCs w:val="21"/>
              </w:rPr>
            </w:pPr>
            <w:r w:rsidRPr="00815696">
              <w:rPr>
                <w:sz w:val="21"/>
                <w:szCs w:val="21"/>
              </w:rPr>
              <w:t>Ja</w:t>
            </w:r>
          </w:p>
        </w:tc>
      </w:tr>
      <w:tr w:rsidR="00E76DC8" w:rsidRPr="00225D4D" w14:paraId="7DD98463" w14:textId="77777777">
        <w:trPr>
          <w:trHeight w:val="640"/>
        </w:trPr>
        <w:tc>
          <w:tcPr>
            <w:tcW w:w="1320" w:type="dxa"/>
            <w:tcBorders>
              <w:top w:val="nil"/>
              <w:left w:val="nil"/>
              <w:bottom w:val="nil"/>
              <w:right w:val="nil"/>
            </w:tcBorders>
            <w:tcMar>
              <w:top w:w="128" w:type="dxa"/>
              <w:left w:w="43" w:type="dxa"/>
              <w:bottom w:w="43" w:type="dxa"/>
              <w:right w:w="43" w:type="dxa"/>
            </w:tcMar>
          </w:tcPr>
          <w:p w14:paraId="7E48A6EA"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44385818" w14:textId="77777777" w:rsidR="00D60186" w:rsidRPr="00815696" w:rsidRDefault="00D60186" w:rsidP="00815696">
            <w:pPr>
              <w:ind w:right="113"/>
              <w:jc w:val="right"/>
              <w:rPr>
                <w:sz w:val="21"/>
                <w:szCs w:val="21"/>
              </w:rPr>
            </w:pPr>
            <w:r w:rsidRPr="00815696">
              <w:rPr>
                <w:sz w:val="21"/>
                <w:szCs w:val="21"/>
              </w:rPr>
              <w:t>728</w:t>
            </w:r>
          </w:p>
        </w:tc>
        <w:tc>
          <w:tcPr>
            <w:tcW w:w="5640" w:type="dxa"/>
            <w:tcBorders>
              <w:top w:val="nil"/>
              <w:left w:val="nil"/>
              <w:bottom w:val="nil"/>
              <w:right w:val="nil"/>
            </w:tcBorders>
            <w:tcMar>
              <w:top w:w="128" w:type="dxa"/>
              <w:left w:w="43" w:type="dxa"/>
              <w:bottom w:w="43" w:type="dxa"/>
              <w:right w:w="43" w:type="dxa"/>
            </w:tcMar>
            <w:vAlign w:val="bottom"/>
          </w:tcPr>
          <w:p w14:paraId="40985893" w14:textId="77777777" w:rsidR="00D60186" w:rsidRPr="00815696" w:rsidRDefault="00D60186" w:rsidP="00225D4D">
            <w:pPr>
              <w:rPr>
                <w:sz w:val="21"/>
                <w:szCs w:val="21"/>
              </w:rPr>
            </w:pPr>
            <w:r w:rsidRPr="00815696">
              <w:rPr>
                <w:sz w:val="21"/>
                <w:szCs w:val="21"/>
              </w:rPr>
              <w:t xml:space="preserve">Representantforslag om å greie ut korleis staten kan overta inndrivinga ved </w:t>
            </w:r>
            <w:proofErr w:type="spellStart"/>
            <w:r w:rsidRPr="00815696">
              <w:rPr>
                <w:sz w:val="21"/>
                <w:szCs w:val="21"/>
              </w:rPr>
              <w:t>dei</w:t>
            </w:r>
            <w:proofErr w:type="spellEnd"/>
            <w:r w:rsidRPr="00815696">
              <w:rPr>
                <w:sz w:val="21"/>
                <w:szCs w:val="21"/>
              </w:rPr>
              <w:t xml:space="preserve"> </w:t>
            </w:r>
            <w:proofErr w:type="spellStart"/>
            <w:r w:rsidRPr="00815696">
              <w:rPr>
                <w:sz w:val="21"/>
                <w:szCs w:val="21"/>
              </w:rPr>
              <w:t>meir</w:t>
            </w:r>
            <w:proofErr w:type="spellEnd"/>
            <w:r w:rsidRPr="00815696">
              <w:rPr>
                <w:sz w:val="21"/>
                <w:szCs w:val="21"/>
              </w:rPr>
              <w:t xml:space="preserve"> </w:t>
            </w:r>
            <w:proofErr w:type="spellStart"/>
            <w:r w:rsidRPr="00815696">
              <w:rPr>
                <w:sz w:val="21"/>
                <w:szCs w:val="21"/>
              </w:rPr>
              <w:t>openberre</w:t>
            </w:r>
            <w:proofErr w:type="spellEnd"/>
            <w:r w:rsidRPr="00815696">
              <w:rPr>
                <w:sz w:val="21"/>
                <w:szCs w:val="21"/>
              </w:rPr>
              <w:t xml:space="preserve"> tilfella av lønnstjuveri</w:t>
            </w:r>
          </w:p>
        </w:tc>
        <w:tc>
          <w:tcPr>
            <w:tcW w:w="1280" w:type="dxa"/>
            <w:tcBorders>
              <w:top w:val="nil"/>
              <w:left w:val="nil"/>
              <w:bottom w:val="nil"/>
              <w:right w:val="nil"/>
            </w:tcBorders>
            <w:tcMar>
              <w:top w:w="128" w:type="dxa"/>
              <w:left w:w="43" w:type="dxa"/>
              <w:bottom w:w="43" w:type="dxa"/>
              <w:right w:w="43" w:type="dxa"/>
            </w:tcMar>
          </w:tcPr>
          <w:p w14:paraId="2F8AE0A9" w14:textId="77777777" w:rsidR="00D60186" w:rsidRPr="00815696" w:rsidRDefault="00D60186" w:rsidP="00815696">
            <w:pPr>
              <w:jc w:val="right"/>
              <w:rPr>
                <w:sz w:val="21"/>
                <w:szCs w:val="21"/>
              </w:rPr>
            </w:pPr>
            <w:r w:rsidRPr="00815696">
              <w:rPr>
                <w:sz w:val="21"/>
                <w:szCs w:val="21"/>
              </w:rPr>
              <w:t>Ja</w:t>
            </w:r>
          </w:p>
        </w:tc>
      </w:tr>
      <w:tr w:rsidR="00E76DC8" w:rsidRPr="00225D4D" w14:paraId="7F26AE67" w14:textId="77777777">
        <w:trPr>
          <w:trHeight w:val="380"/>
        </w:trPr>
        <w:tc>
          <w:tcPr>
            <w:tcW w:w="1320" w:type="dxa"/>
            <w:tcBorders>
              <w:top w:val="nil"/>
              <w:left w:val="nil"/>
              <w:bottom w:val="nil"/>
              <w:right w:val="nil"/>
            </w:tcBorders>
            <w:tcMar>
              <w:top w:w="128" w:type="dxa"/>
              <w:left w:w="43" w:type="dxa"/>
              <w:bottom w:w="43" w:type="dxa"/>
              <w:right w:w="43" w:type="dxa"/>
            </w:tcMar>
          </w:tcPr>
          <w:p w14:paraId="1CB8D7BB"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7A38EDE2" w14:textId="77777777" w:rsidR="00D60186" w:rsidRPr="00815696" w:rsidRDefault="00D60186" w:rsidP="00815696">
            <w:pPr>
              <w:ind w:right="113"/>
              <w:jc w:val="right"/>
              <w:rPr>
                <w:sz w:val="21"/>
                <w:szCs w:val="21"/>
              </w:rPr>
            </w:pPr>
            <w:r w:rsidRPr="00815696">
              <w:rPr>
                <w:sz w:val="21"/>
                <w:szCs w:val="21"/>
              </w:rPr>
              <w:t>770</w:t>
            </w:r>
          </w:p>
        </w:tc>
        <w:tc>
          <w:tcPr>
            <w:tcW w:w="5640" w:type="dxa"/>
            <w:tcBorders>
              <w:top w:val="nil"/>
              <w:left w:val="nil"/>
              <w:bottom w:val="nil"/>
              <w:right w:val="nil"/>
            </w:tcBorders>
            <w:tcMar>
              <w:top w:w="128" w:type="dxa"/>
              <w:left w:w="43" w:type="dxa"/>
              <w:bottom w:w="43" w:type="dxa"/>
              <w:right w:w="43" w:type="dxa"/>
            </w:tcMar>
            <w:vAlign w:val="bottom"/>
          </w:tcPr>
          <w:p w14:paraId="750AE5D8" w14:textId="77777777" w:rsidR="00D60186" w:rsidRPr="00815696" w:rsidRDefault="00D60186" w:rsidP="00225D4D">
            <w:pPr>
              <w:rPr>
                <w:sz w:val="21"/>
                <w:szCs w:val="21"/>
              </w:rPr>
            </w:pPr>
            <w:r w:rsidRPr="00815696">
              <w:rPr>
                <w:sz w:val="21"/>
                <w:szCs w:val="21"/>
              </w:rPr>
              <w:t xml:space="preserve">Legge fram </w:t>
            </w:r>
            <w:proofErr w:type="spellStart"/>
            <w:r w:rsidRPr="00815696">
              <w:rPr>
                <w:sz w:val="21"/>
                <w:szCs w:val="21"/>
              </w:rPr>
              <w:t>ein</w:t>
            </w:r>
            <w:proofErr w:type="spellEnd"/>
            <w:r w:rsidRPr="00815696">
              <w:rPr>
                <w:sz w:val="21"/>
                <w:szCs w:val="21"/>
              </w:rPr>
              <w:t xml:space="preserve"> styrkt handlingsplan mot tvangsekteskap</w:t>
            </w:r>
          </w:p>
        </w:tc>
        <w:tc>
          <w:tcPr>
            <w:tcW w:w="1280" w:type="dxa"/>
            <w:tcBorders>
              <w:top w:val="nil"/>
              <w:left w:val="nil"/>
              <w:bottom w:val="nil"/>
              <w:right w:val="nil"/>
            </w:tcBorders>
            <w:tcMar>
              <w:top w:w="128" w:type="dxa"/>
              <w:left w:w="43" w:type="dxa"/>
              <w:bottom w:w="43" w:type="dxa"/>
              <w:right w:w="43" w:type="dxa"/>
            </w:tcMar>
          </w:tcPr>
          <w:p w14:paraId="3E207B4A" w14:textId="77777777" w:rsidR="00D60186" w:rsidRPr="00815696" w:rsidRDefault="00D60186" w:rsidP="00815696">
            <w:pPr>
              <w:jc w:val="right"/>
              <w:rPr>
                <w:sz w:val="21"/>
                <w:szCs w:val="21"/>
              </w:rPr>
            </w:pPr>
            <w:r w:rsidRPr="00815696">
              <w:rPr>
                <w:sz w:val="21"/>
                <w:szCs w:val="21"/>
              </w:rPr>
              <w:t>Ja</w:t>
            </w:r>
          </w:p>
        </w:tc>
      </w:tr>
      <w:tr w:rsidR="00E76DC8" w:rsidRPr="00225D4D" w14:paraId="6F0B8957" w14:textId="77777777">
        <w:trPr>
          <w:trHeight w:val="640"/>
        </w:trPr>
        <w:tc>
          <w:tcPr>
            <w:tcW w:w="1320" w:type="dxa"/>
            <w:tcBorders>
              <w:top w:val="nil"/>
              <w:left w:val="nil"/>
              <w:bottom w:val="nil"/>
              <w:right w:val="nil"/>
            </w:tcBorders>
            <w:tcMar>
              <w:top w:w="128" w:type="dxa"/>
              <w:left w:w="43" w:type="dxa"/>
              <w:bottom w:w="43" w:type="dxa"/>
              <w:right w:w="43" w:type="dxa"/>
            </w:tcMar>
          </w:tcPr>
          <w:p w14:paraId="09FDB489"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65039CD8" w14:textId="77777777" w:rsidR="00D60186" w:rsidRPr="00815696" w:rsidRDefault="00D60186" w:rsidP="00815696">
            <w:pPr>
              <w:ind w:right="113"/>
              <w:jc w:val="right"/>
              <w:rPr>
                <w:sz w:val="21"/>
                <w:szCs w:val="21"/>
              </w:rPr>
            </w:pPr>
            <w:r w:rsidRPr="00815696">
              <w:rPr>
                <w:sz w:val="21"/>
                <w:szCs w:val="21"/>
              </w:rPr>
              <w:t>801</w:t>
            </w:r>
          </w:p>
        </w:tc>
        <w:tc>
          <w:tcPr>
            <w:tcW w:w="5640" w:type="dxa"/>
            <w:tcBorders>
              <w:top w:val="nil"/>
              <w:left w:val="nil"/>
              <w:bottom w:val="nil"/>
              <w:right w:val="nil"/>
            </w:tcBorders>
            <w:tcMar>
              <w:top w:w="128" w:type="dxa"/>
              <w:left w:w="43" w:type="dxa"/>
              <w:bottom w:w="43" w:type="dxa"/>
              <w:right w:w="43" w:type="dxa"/>
            </w:tcMar>
            <w:vAlign w:val="bottom"/>
          </w:tcPr>
          <w:p w14:paraId="56A509B2" w14:textId="77777777" w:rsidR="00D60186" w:rsidRPr="00815696" w:rsidRDefault="00D60186" w:rsidP="00225D4D">
            <w:pPr>
              <w:rPr>
                <w:sz w:val="21"/>
                <w:szCs w:val="21"/>
              </w:rPr>
            </w:pPr>
            <w:r w:rsidRPr="00815696">
              <w:rPr>
                <w:sz w:val="21"/>
                <w:szCs w:val="21"/>
              </w:rPr>
              <w:t xml:space="preserve">Greie ut </w:t>
            </w:r>
            <w:proofErr w:type="spellStart"/>
            <w:r w:rsidRPr="00815696">
              <w:rPr>
                <w:sz w:val="21"/>
                <w:szCs w:val="21"/>
              </w:rPr>
              <w:t>forenklingar</w:t>
            </w:r>
            <w:proofErr w:type="spellEnd"/>
            <w:r w:rsidRPr="00815696">
              <w:rPr>
                <w:sz w:val="21"/>
                <w:szCs w:val="21"/>
              </w:rPr>
              <w:t xml:space="preserve"> i regelverket for norske bedrifter som vil rekruttere høgkvalifiserte </w:t>
            </w:r>
            <w:proofErr w:type="spellStart"/>
            <w:r w:rsidRPr="00815696">
              <w:rPr>
                <w:sz w:val="21"/>
                <w:szCs w:val="21"/>
              </w:rPr>
              <w:t>arbeidstakarar</w:t>
            </w:r>
            <w:proofErr w:type="spellEnd"/>
            <w:r w:rsidRPr="00815696">
              <w:rPr>
                <w:sz w:val="21"/>
                <w:szCs w:val="21"/>
              </w:rPr>
              <w:t xml:space="preserve"> </w:t>
            </w:r>
            <w:proofErr w:type="spellStart"/>
            <w:r w:rsidRPr="00815696">
              <w:rPr>
                <w:sz w:val="21"/>
                <w:szCs w:val="21"/>
              </w:rPr>
              <w:t>frå</w:t>
            </w:r>
            <w:proofErr w:type="spellEnd"/>
            <w:r w:rsidRPr="00815696">
              <w:rPr>
                <w:sz w:val="21"/>
                <w:szCs w:val="21"/>
              </w:rPr>
              <w:t xml:space="preserve"> tredjeland</w:t>
            </w:r>
          </w:p>
        </w:tc>
        <w:tc>
          <w:tcPr>
            <w:tcW w:w="1280" w:type="dxa"/>
            <w:tcBorders>
              <w:top w:val="nil"/>
              <w:left w:val="nil"/>
              <w:bottom w:val="nil"/>
              <w:right w:val="nil"/>
            </w:tcBorders>
            <w:tcMar>
              <w:top w:w="128" w:type="dxa"/>
              <w:left w:w="43" w:type="dxa"/>
              <w:bottom w:w="43" w:type="dxa"/>
              <w:right w:w="43" w:type="dxa"/>
            </w:tcMar>
          </w:tcPr>
          <w:p w14:paraId="1471DBD7" w14:textId="77777777" w:rsidR="00D60186" w:rsidRPr="00815696" w:rsidRDefault="00D60186" w:rsidP="00815696">
            <w:pPr>
              <w:jc w:val="right"/>
              <w:rPr>
                <w:sz w:val="21"/>
                <w:szCs w:val="21"/>
              </w:rPr>
            </w:pPr>
            <w:r w:rsidRPr="00815696">
              <w:rPr>
                <w:sz w:val="21"/>
                <w:szCs w:val="21"/>
              </w:rPr>
              <w:t>Nei</w:t>
            </w:r>
          </w:p>
        </w:tc>
      </w:tr>
      <w:tr w:rsidR="00E76DC8" w:rsidRPr="00225D4D" w14:paraId="7945A9B7" w14:textId="77777777">
        <w:trPr>
          <w:trHeight w:val="640"/>
        </w:trPr>
        <w:tc>
          <w:tcPr>
            <w:tcW w:w="1320" w:type="dxa"/>
            <w:tcBorders>
              <w:top w:val="nil"/>
              <w:left w:val="nil"/>
              <w:bottom w:val="nil"/>
              <w:right w:val="nil"/>
            </w:tcBorders>
            <w:tcMar>
              <w:top w:w="128" w:type="dxa"/>
              <w:left w:w="43" w:type="dxa"/>
              <w:bottom w:w="43" w:type="dxa"/>
              <w:right w:w="43" w:type="dxa"/>
            </w:tcMar>
          </w:tcPr>
          <w:p w14:paraId="28A0BE53"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39B24966" w14:textId="77777777" w:rsidR="00D60186" w:rsidRPr="00815696" w:rsidRDefault="00D60186" w:rsidP="00815696">
            <w:pPr>
              <w:ind w:right="113"/>
              <w:jc w:val="right"/>
              <w:rPr>
                <w:sz w:val="21"/>
                <w:szCs w:val="21"/>
              </w:rPr>
            </w:pPr>
            <w:r w:rsidRPr="00815696">
              <w:rPr>
                <w:sz w:val="21"/>
                <w:szCs w:val="21"/>
              </w:rPr>
              <w:t>842</w:t>
            </w:r>
          </w:p>
        </w:tc>
        <w:tc>
          <w:tcPr>
            <w:tcW w:w="5640" w:type="dxa"/>
            <w:tcBorders>
              <w:top w:val="nil"/>
              <w:left w:val="nil"/>
              <w:bottom w:val="nil"/>
              <w:right w:val="nil"/>
            </w:tcBorders>
            <w:tcMar>
              <w:top w:w="128" w:type="dxa"/>
              <w:left w:w="43" w:type="dxa"/>
              <w:bottom w:w="43" w:type="dxa"/>
              <w:right w:w="43" w:type="dxa"/>
            </w:tcMar>
            <w:vAlign w:val="bottom"/>
          </w:tcPr>
          <w:p w14:paraId="07B6A054" w14:textId="77777777" w:rsidR="00D60186" w:rsidRPr="00815696" w:rsidRDefault="00D60186" w:rsidP="00225D4D">
            <w:pPr>
              <w:rPr>
                <w:sz w:val="21"/>
                <w:szCs w:val="21"/>
              </w:rPr>
            </w:pPr>
            <w:r w:rsidRPr="00815696">
              <w:rPr>
                <w:sz w:val="21"/>
                <w:szCs w:val="21"/>
              </w:rPr>
              <w:t xml:space="preserve">Vurdering av </w:t>
            </w:r>
            <w:proofErr w:type="spellStart"/>
            <w:r w:rsidRPr="00815696">
              <w:rPr>
                <w:sz w:val="21"/>
                <w:szCs w:val="21"/>
              </w:rPr>
              <w:t>eit</w:t>
            </w:r>
            <w:proofErr w:type="spellEnd"/>
            <w:r w:rsidRPr="00815696">
              <w:rPr>
                <w:sz w:val="21"/>
                <w:szCs w:val="21"/>
              </w:rPr>
              <w:t xml:space="preserve"> avgrensa unntak </w:t>
            </w:r>
            <w:proofErr w:type="spellStart"/>
            <w:r w:rsidRPr="00815696">
              <w:rPr>
                <w:sz w:val="21"/>
                <w:szCs w:val="21"/>
              </w:rPr>
              <w:t>frå</w:t>
            </w:r>
            <w:proofErr w:type="spellEnd"/>
            <w:r w:rsidRPr="00815696">
              <w:rPr>
                <w:sz w:val="21"/>
                <w:szCs w:val="21"/>
              </w:rPr>
              <w:t xml:space="preserve"> arbeidsmiljølova for sjølvstendige </w:t>
            </w:r>
            <w:proofErr w:type="spellStart"/>
            <w:r w:rsidRPr="00815696">
              <w:rPr>
                <w:sz w:val="21"/>
                <w:szCs w:val="21"/>
              </w:rPr>
              <w:t>konsulentar</w:t>
            </w:r>
            <w:proofErr w:type="spellEnd"/>
            <w:r w:rsidRPr="00815696">
              <w:rPr>
                <w:sz w:val="21"/>
                <w:szCs w:val="21"/>
              </w:rPr>
              <w:t xml:space="preserve"> med spesialkompetanse</w:t>
            </w:r>
          </w:p>
        </w:tc>
        <w:tc>
          <w:tcPr>
            <w:tcW w:w="1280" w:type="dxa"/>
            <w:tcBorders>
              <w:top w:val="nil"/>
              <w:left w:val="nil"/>
              <w:bottom w:val="nil"/>
              <w:right w:val="nil"/>
            </w:tcBorders>
            <w:tcMar>
              <w:top w:w="128" w:type="dxa"/>
              <w:left w:w="43" w:type="dxa"/>
              <w:bottom w:w="43" w:type="dxa"/>
              <w:right w:w="43" w:type="dxa"/>
            </w:tcMar>
          </w:tcPr>
          <w:p w14:paraId="04317AEE" w14:textId="77777777" w:rsidR="00D60186" w:rsidRPr="00815696" w:rsidRDefault="00D60186" w:rsidP="00815696">
            <w:pPr>
              <w:jc w:val="right"/>
              <w:rPr>
                <w:sz w:val="21"/>
                <w:szCs w:val="21"/>
              </w:rPr>
            </w:pPr>
            <w:r w:rsidRPr="00815696">
              <w:rPr>
                <w:sz w:val="21"/>
                <w:szCs w:val="21"/>
              </w:rPr>
              <w:t>Nei</w:t>
            </w:r>
          </w:p>
        </w:tc>
      </w:tr>
      <w:tr w:rsidR="00E76DC8" w:rsidRPr="00225D4D" w14:paraId="6111F158" w14:textId="77777777">
        <w:trPr>
          <w:trHeight w:val="880"/>
        </w:trPr>
        <w:tc>
          <w:tcPr>
            <w:tcW w:w="1320" w:type="dxa"/>
            <w:tcBorders>
              <w:top w:val="nil"/>
              <w:left w:val="nil"/>
              <w:bottom w:val="nil"/>
              <w:right w:val="nil"/>
            </w:tcBorders>
            <w:tcMar>
              <w:top w:w="128" w:type="dxa"/>
              <w:left w:w="43" w:type="dxa"/>
              <w:bottom w:w="43" w:type="dxa"/>
              <w:right w:w="43" w:type="dxa"/>
            </w:tcMar>
          </w:tcPr>
          <w:p w14:paraId="008CC699" w14:textId="77777777" w:rsidR="00D60186" w:rsidRPr="00815696" w:rsidRDefault="00D60186" w:rsidP="00225D4D">
            <w:pPr>
              <w:rPr>
                <w:sz w:val="21"/>
                <w:szCs w:val="21"/>
              </w:rPr>
            </w:pPr>
            <w:r w:rsidRPr="00815696">
              <w:rPr>
                <w:sz w:val="21"/>
                <w:szCs w:val="21"/>
              </w:rPr>
              <w:t xml:space="preserve">2023–2024 </w:t>
            </w:r>
          </w:p>
        </w:tc>
        <w:tc>
          <w:tcPr>
            <w:tcW w:w="1340" w:type="dxa"/>
            <w:tcBorders>
              <w:top w:val="nil"/>
              <w:left w:val="nil"/>
              <w:bottom w:val="nil"/>
              <w:right w:val="nil"/>
            </w:tcBorders>
            <w:tcMar>
              <w:top w:w="128" w:type="dxa"/>
              <w:left w:w="43" w:type="dxa"/>
              <w:bottom w:w="43" w:type="dxa"/>
              <w:right w:w="43" w:type="dxa"/>
            </w:tcMar>
          </w:tcPr>
          <w:p w14:paraId="33AB8B76" w14:textId="77777777" w:rsidR="00D60186" w:rsidRPr="00815696" w:rsidRDefault="00D60186" w:rsidP="00815696">
            <w:pPr>
              <w:ind w:right="113"/>
              <w:jc w:val="right"/>
              <w:rPr>
                <w:sz w:val="21"/>
                <w:szCs w:val="21"/>
              </w:rPr>
            </w:pPr>
            <w:r w:rsidRPr="00815696">
              <w:rPr>
                <w:sz w:val="21"/>
                <w:szCs w:val="21"/>
              </w:rPr>
              <w:t>843</w:t>
            </w:r>
          </w:p>
        </w:tc>
        <w:tc>
          <w:tcPr>
            <w:tcW w:w="5640" w:type="dxa"/>
            <w:tcBorders>
              <w:top w:val="nil"/>
              <w:left w:val="nil"/>
              <w:bottom w:val="nil"/>
              <w:right w:val="nil"/>
            </w:tcBorders>
            <w:tcMar>
              <w:top w:w="128" w:type="dxa"/>
              <w:left w:w="43" w:type="dxa"/>
              <w:bottom w:w="43" w:type="dxa"/>
              <w:right w:w="43" w:type="dxa"/>
            </w:tcMar>
            <w:vAlign w:val="bottom"/>
          </w:tcPr>
          <w:p w14:paraId="57120A54" w14:textId="77777777" w:rsidR="00D60186" w:rsidRPr="00815696" w:rsidRDefault="00D60186" w:rsidP="00225D4D">
            <w:pPr>
              <w:rPr>
                <w:sz w:val="21"/>
                <w:szCs w:val="21"/>
              </w:rPr>
            </w:pPr>
            <w:r w:rsidRPr="00815696">
              <w:rPr>
                <w:sz w:val="21"/>
                <w:szCs w:val="21"/>
              </w:rPr>
              <w:t xml:space="preserve">Oppfølging av arbeidet med </w:t>
            </w:r>
            <w:proofErr w:type="spellStart"/>
            <w:r w:rsidRPr="00815696">
              <w:rPr>
                <w:sz w:val="21"/>
                <w:szCs w:val="21"/>
              </w:rPr>
              <w:t>oljepionerane</w:t>
            </w:r>
            <w:proofErr w:type="spellEnd"/>
            <w:r w:rsidRPr="00815696">
              <w:rPr>
                <w:sz w:val="21"/>
                <w:szCs w:val="21"/>
              </w:rPr>
              <w:t xml:space="preserve"> i lys av kunnskapen </w:t>
            </w:r>
            <w:proofErr w:type="spellStart"/>
            <w:r w:rsidRPr="00815696">
              <w:rPr>
                <w:sz w:val="21"/>
                <w:szCs w:val="21"/>
              </w:rPr>
              <w:t>frå</w:t>
            </w:r>
            <w:proofErr w:type="spellEnd"/>
            <w:r w:rsidRPr="00815696">
              <w:rPr>
                <w:sz w:val="21"/>
                <w:szCs w:val="21"/>
              </w:rPr>
              <w:t xml:space="preserve"> NOU 2022: 19 </w:t>
            </w:r>
            <w:proofErr w:type="spellStart"/>
            <w:r w:rsidRPr="00815696">
              <w:rPr>
                <w:sz w:val="21"/>
                <w:szCs w:val="21"/>
              </w:rPr>
              <w:t>Oljepionerene</w:t>
            </w:r>
            <w:proofErr w:type="spellEnd"/>
            <w:r w:rsidRPr="00815696">
              <w:rPr>
                <w:sz w:val="21"/>
                <w:szCs w:val="21"/>
              </w:rPr>
              <w:t xml:space="preserve"> – en kompensasjonsordning</w:t>
            </w:r>
          </w:p>
        </w:tc>
        <w:tc>
          <w:tcPr>
            <w:tcW w:w="1280" w:type="dxa"/>
            <w:tcBorders>
              <w:top w:val="nil"/>
              <w:left w:val="nil"/>
              <w:bottom w:val="nil"/>
              <w:right w:val="nil"/>
            </w:tcBorders>
            <w:tcMar>
              <w:top w:w="128" w:type="dxa"/>
              <w:left w:w="43" w:type="dxa"/>
              <w:bottom w:w="43" w:type="dxa"/>
              <w:right w:w="43" w:type="dxa"/>
            </w:tcMar>
          </w:tcPr>
          <w:p w14:paraId="6A232366" w14:textId="77777777" w:rsidR="00D60186" w:rsidRPr="00815696" w:rsidRDefault="00D60186" w:rsidP="00815696">
            <w:pPr>
              <w:jc w:val="right"/>
              <w:rPr>
                <w:sz w:val="21"/>
                <w:szCs w:val="21"/>
              </w:rPr>
            </w:pPr>
            <w:r w:rsidRPr="00815696">
              <w:rPr>
                <w:sz w:val="21"/>
                <w:szCs w:val="21"/>
              </w:rPr>
              <w:t>Ja</w:t>
            </w:r>
          </w:p>
        </w:tc>
      </w:tr>
      <w:tr w:rsidR="00E76DC8" w:rsidRPr="00225D4D" w14:paraId="1A94A7BA" w14:textId="77777777">
        <w:trPr>
          <w:trHeight w:val="640"/>
        </w:trPr>
        <w:tc>
          <w:tcPr>
            <w:tcW w:w="1320" w:type="dxa"/>
            <w:tcBorders>
              <w:top w:val="nil"/>
              <w:left w:val="nil"/>
              <w:bottom w:val="nil"/>
              <w:right w:val="nil"/>
            </w:tcBorders>
            <w:tcMar>
              <w:top w:w="128" w:type="dxa"/>
              <w:left w:w="43" w:type="dxa"/>
              <w:bottom w:w="43" w:type="dxa"/>
              <w:right w:w="43" w:type="dxa"/>
            </w:tcMar>
          </w:tcPr>
          <w:p w14:paraId="0864AF63"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19A92A74" w14:textId="77777777" w:rsidR="00D60186" w:rsidRPr="00815696" w:rsidRDefault="00D60186" w:rsidP="00815696">
            <w:pPr>
              <w:ind w:right="113"/>
              <w:jc w:val="right"/>
              <w:rPr>
                <w:sz w:val="21"/>
                <w:szCs w:val="21"/>
              </w:rPr>
            </w:pPr>
            <w:r w:rsidRPr="00815696">
              <w:rPr>
                <w:sz w:val="21"/>
                <w:szCs w:val="21"/>
              </w:rPr>
              <w:t>37</w:t>
            </w:r>
          </w:p>
        </w:tc>
        <w:tc>
          <w:tcPr>
            <w:tcW w:w="5640" w:type="dxa"/>
            <w:tcBorders>
              <w:top w:val="nil"/>
              <w:left w:val="nil"/>
              <w:bottom w:val="nil"/>
              <w:right w:val="nil"/>
            </w:tcBorders>
            <w:tcMar>
              <w:top w:w="128" w:type="dxa"/>
              <w:left w:w="43" w:type="dxa"/>
              <w:bottom w:w="43" w:type="dxa"/>
              <w:right w:w="43" w:type="dxa"/>
            </w:tcMar>
            <w:vAlign w:val="bottom"/>
          </w:tcPr>
          <w:p w14:paraId="09CE748B" w14:textId="77777777" w:rsidR="00D60186" w:rsidRPr="00815696" w:rsidRDefault="00D60186" w:rsidP="00225D4D">
            <w:pPr>
              <w:rPr>
                <w:sz w:val="21"/>
                <w:szCs w:val="21"/>
              </w:rPr>
            </w:pPr>
            <w:proofErr w:type="spellStart"/>
            <w:r w:rsidRPr="00815696">
              <w:rPr>
                <w:sz w:val="21"/>
                <w:szCs w:val="21"/>
              </w:rPr>
              <w:t>Endringar</w:t>
            </w:r>
            <w:proofErr w:type="spellEnd"/>
            <w:r w:rsidRPr="00815696">
              <w:rPr>
                <w:sz w:val="21"/>
                <w:szCs w:val="21"/>
              </w:rPr>
              <w:t xml:space="preserve"> i folketrygdlova m.m. (</w:t>
            </w:r>
            <w:proofErr w:type="spellStart"/>
            <w:r w:rsidRPr="00815696">
              <w:rPr>
                <w:sz w:val="21"/>
                <w:szCs w:val="21"/>
              </w:rPr>
              <w:t>synleggjering</w:t>
            </w:r>
            <w:proofErr w:type="spellEnd"/>
            <w:r w:rsidRPr="00815696">
              <w:rPr>
                <w:sz w:val="21"/>
                <w:szCs w:val="21"/>
              </w:rPr>
              <w:t xml:space="preserve"> av </w:t>
            </w:r>
            <w:proofErr w:type="spellStart"/>
            <w:r w:rsidRPr="00815696">
              <w:rPr>
                <w:sz w:val="21"/>
                <w:szCs w:val="21"/>
              </w:rPr>
              <w:t>folkerettslege</w:t>
            </w:r>
            <w:proofErr w:type="spellEnd"/>
            <w:r w:rsidRPr="00815696">
              <w:rPr>
                <w:sz w:val="21"/>
                <w:szCs w:val="21"/>
              </w:rPr>
              <w:t xml:space="preserve"> </w:t>
            </w:r>
            <w:proofErr w:type="spellStart"/>
            <w:r w:rsidRPr="00815696">
              <w:rPr>
                <w:sz w:val="21"/>
                <w:szCs w:val="21"/>
              </w:rPr>
              <w:t>forpliktingar</w:t>
            </w:r>
            <w:proofErr w:type="spellEnd"/>
            <w:r w:rsidRPr="00815696">
              <w:rPr>
                <w:sz w:val="21"/>
                <w:szCs w:val="21"/>
              </w:rPr>
              <w:t xml:space="preserve"> til trygdekoordinering)</w:t>
            </w:r>
          </w:p>
        </w:tc>
        <w:tc>
          <w:tcPr>
            <w:tcW w:w="1280" w:type="dxa"/>
            <w:tcBorders>
              <w:top w:val="nil"/>
              <w:left w:val="nil"/>
              <w:bottom w:val="nil"/>
              <w:right w:val="nil"/>
            </w:tcBorders>
            <w:tcMar>
              <w:top w:w="128" w:type="dxa"/>
              <w:left w:w="43" w:type="dxa"/>
              <w:bottom w:w="43" w:type="dxa"/>
              <w:right w:w="43" w:type="dxa"/>
            </w:tcMar>
          </w:tcPr>
          <w:p w14:paraId="5059A826" w14:textId="77777777" w:rsidR="00D60186" w:rsidRPr="00815696" w:rsidRDefault="00D60186" w:rsidP="00815696">
            <w:pPr>
              <w:jc w:val="right"/>
              <w:rPr>
                <w:sz w:val="21"/>
                <w:szCs w:val="21"/>
              </w:rPr>
            </w:pPr>
            <w:r w:rsidRPr="00815696">
              <w:rPr>
                <w:sz w:val="21"/>
                <w:szCs w:val="21"/>
              </w:rPr>
              <w:t>Nei</w:t>
            </w:r>
          </w:p>
        </w:tc>
      </w:tr>
      <w:tr w:rsidR="00E76DC8" w:rsidRPr="00225D4D" w14:paraId="1F89DBB0" w14:textId="77777777">
        <w:trPr>
          <w:trHeight w:val="640"/>
        </w:trPr>
        <w:tc>
          <w:tcPr>
            <w:tcW w:w="1320" w:type="dxa"/>
            <w:tcBorders>
              <w:top w:val="nil"/>
              <w:left w:val="nil"/>
              <w:bottom w:val="nil"/>
              <w:right w:val="nil"/>
            </w:tcBorders>
            <w:tcMar>
              <w:top w:w="128" w:type="dxa"/>
              <w:left w:w="43" w:type="dxa"/>
              <w:bottom w:w="43" w:type="dxa"/>
              <w:right w:w="43" w:type="dxa"/>
            </w:tcMar>
          </w:tcPr>
          <w:p w14:paraId="53F34FF4"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384F2520" w14:textId="77777777" w:rsidR="00D60186" w:rsidRPr="00815696" w:rsidRDefault="00D60186" w:rsidP="00815696">
            <w:pPr>
              <w:ind w:right="113"/>
              <w:jc w:val="right"/>
              <w:rPr>
                <w:sz w:val="21"/>
                <w:szCs w:val="21"/>
              </w:rPr>
            </w:pPr>
            <w:r w:rsidRPr="00815696">
              <w:rPr>
                <w:sz w:val="21"/>
                <w:szCs w:val="21"/>
              </w:rPr>
              <w:t>491</w:t>
            </w:r>
          </w:p>
        </w:tc>
        <w:tc>
          <w:tcPr>
            <w:tcW w:w="5640" w:type="dxa"/>
            <w:tcBorders>
              <w:top w:val="nil"/>
              <w:left w:val="nil"/>
              <w:bottom w:val="nil"/>
              <w:right w:val="nil"/>
            </w:tcBorders>
            <w:tcMar>
              <w:top w:w="128" w:type="dxa"/>
              <w:left w:w="43" w:type="dxa"/>
              <w:bottom w:w="43" w:type="dxa"/>
              <w:right w:w="43" w:type="dxa"/>
            </w:tcMar>
            <w:vAlign w:val="bottom"/>
          </w:tcPr>
          <w:p w14:paraId="4F4FFC2A" w14:textId="77777777" w:rsidR="00D60186" w:rsidRPr="00815696" w:rsidRDefault="00D60186" w:rsidP="00225D4D">
            <w:pPr>
              <w:rPr>
                <w:sz w:val="21"/>
                <w:szCs w:val="21"/>
              </w:rPr>
            </w:pPr>
            <w:r w:rsidRPr="00815696">
              <w:rPr>
                <w:sz w:val="21"/>
                <w:szCs w:val="21"/>
              </w:rPr>
              <w:t xml:space="preserve">Utviklingstrekk og tiltak for heimekontor og staduavhengige </w:t>
            </w:r>
            <w:proofErr w:type="spellStart"/>
            <w:r w:rsidRPr="00815696">
              <w:rPr>
                <w:sz w:val="21"/>
                <w:szCs w:val="21"/>
              </w:rPr>
              <w:t>arbeidsplassar</w:t>
            </w:r>
            <w:proofErr w:type="spellEnd"/>
          </w:p>
        </w:tc>
        <w:tc>
          <w:tcPr>
            <w:tcW w:w="1280" w:type="dxa"/>
            <w:tcBorders>
              <w:top w:val="nil"/>
              <w:left w:val="nil"/>
              <w:bottom w:val="nil"/>
              <w:right w:val="nil"/>
            </w:tcBorders>
            <w:tcMar>
              <w:top w:w="128" w:type="dxa"/>
              <w:left w:w="43" w:type="dxa"/>
              <w:bottom w:w="43" w:type="dxa"/>
              <w:right w:w="43" w:type="dxa"/>
            </w:tcMar>
          </w:tcPr>
          <w:p w14:paraId="4A89B24C" w14:textId="77777777" w:rsidR="00D60186" w:rsidRPr="00815696" w:rsidRDefault="00D60186" w:rsidP="00815696">
            <w:pPr>
              <w:jc w:val="right"/>
              <w:rPr>
                <w:sz w:val="21"/>
                <w:szCs w:val="21"/>
              </w:rPr>
            </w:pPr>
            <w:r w:rsidRPr="00815696">
              <w:rPr>
                <w:sz w:val="21"/>
                <w:szCs w:val="21"/>
              </w:rPr>
              <w:t>Nei</w:t>
            </w:r>
          </w:p>
        </w:tc>
      </w:tr>
      <w:tr w:rsidR="00E76DC8" w:rsidRPr="00225D4D" w14:paraId="7272A628" w14:textId="77777777">
        <w:trPr>
          <w:trHeight w:val="640"/>
        </w:trPr>
        <w:tc>
          <w:tcPr>
            <w:tcW w:w="1320" w:type="dxa"/>
            <w:tcBorders>
              <w:top w:val="nil"/>
              <w:left w:val="nil"/>
              <w:bottom w:val="nil"/>
              <w:right w:val="nil"/>
            </w:tcBorders>
            <w:tcMar>
              <w:top w:w="128" w:type="dxa"/>
              <w:left w:w="43" w:type="dxa"/>
              <w:bottom w:w="43" w:type="dxa"/>
              <w:right w:w="43" w:type="dxa"/>
            </w:tcMar>
          </w:tcPr>
          <w:p w14:paraId="06BDACC2"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35993C55" w14:textId="77777777" w:rsidR="00D60186" w:rsidRPr="00815696" w:rsidRDefault="00D60186" w:rsidP="00815696">
            <w:pPr>
              <w:ind w:right="113"/>
              <w:jc w:val="right"/>
              <w:rPr>
                <w:sz w:val="21"/>
                <w:szCs w:val="21"/>
              </w:rPr>
            </w:pPr>
            <w:r w:rsidRPr="00815696">
              <w:rPr>
                <w:sz w:val="21"/>
                <w:szCs w:val="21"/>
              </w:rPr>
              <w:t>493</w:t>
            </w:r>
          </w:p>
        </w:tc>
        <w:tc>
          <w:tcPr>
            <w:tcW w:w="5640" w:type="dxa"/>
            <w:tcBorders>
              <w:top w:val="nil"/>
              <w:left w:val="nil"/>
              <w:bottom w:val="nil"/>
              <w:right w:val="nil"/>
            </w:tcBorders>
            <w:tcMar>
              <w:top w:w="128" w:type="dxa"/>
              <w:left w:w="43" w:type="dxa"/>
              <w:bottom w:w="43" w:type="dxa"/>
              <w:right w:w="43" w:type="dxa"/>
            </w:tcMar>
            <w:vAlign w:val="bottom"/>
          </w:tcPr>
          <w:p w14:paraId="52AC6903" w14:textId="77777777" w:rsidR="00D60186" w:rsidRPr="00815696" w:rsidRDefault="00D60186" w:rsidP="00225D4D">
            <w:pPr>
              <w:rPr>
                <w:sz w:val="21"/>
                <w:szCs w:val="21"/>
              </w:rPr>
            </w:pPr>
            <w:proofErr w:type="spellStart"/>
            <w:r w:rsidRPr="00815696">
              <w:rPr>
                <w:sz w:val="21"/>
                <w:szCs w:val="21"/>
              </w:rPr>
              <w:t>Endringar</w:t>
            </w:r>
            <w:proofErr w:type="spellEnd"/>
            <w:r w:rsidRPr="00815696">
              <w:rPr>
                <w:sz w:val="21"/>
                <w:szCs w:val="21"/>
              </w:rPr>
              <w:t xml:space="preserve"> i arbeidsmiljølova m.m. (</w:t>
            </w:r>
            <w:proofErr w:type="spellStart"/>
            <w:r w:rsidRPr="00815696">
              <w:rPr>
                <w:sz w:val="21"/>
                <w:szCs w:val="21"/>
              </w:rPr>
              <w:t>arbeidstakaromgrepet</w:t>
            </w:r>
            <w:proofErr w:type="spellEnd"/>
            <w:r w:rsidRPr="00815696">
              <w:rPr>
                <w:sz w:val="21"/>
                <w:szCs w:val="21"/>
              </w:rPr>
              <w:t xml:space="preserve"> </w:t>
            </w:r>
            <w:r w:rsidRPr="00815696">
              <w:rPr>
                <w:sz w:val="21"/>
                <w:szCs w:val="21"/>
              </w:rPr>
              <w:br/>
              <w:t xml:space="preserve">og </w:t>
            </w:r>
            <w:proofErr w:type="spellStart"/>
            <w:r w:rsidRPr="00815696">
              <w:rPr>
                <w:sz w:val="21"/>
                <w:szCs w:val="21"/>
              </w:rPr>
              <w:t>arbeidsgivaransvar</w:t>
            </w:r>
            <w:proofErr w:type="spellEnd"/>
            <w:r w:rsidRPr="00815696">
              <w:rPr>
                <w:sz w:val="21"/>
                <w:szCs w:val="21"/>
              </w:rPr>
              <w:t xml:space="preserve"> i konsern)</w:t>
            </w:r>
          </w:p>
        </w:tc>
        <w:tc>
          <w:tcPr>
            <w:tcW w:w="1280" w:type="dxa"/>
            <w:tcBorders>
              <w:top w:val="nil"/>
              <w:left w:val="nil"/>
              <w:bottom w:val="nil"/>
              <w:right w:val="nil"/>
            </w:tcBorders>
            <w:tcMar>
              <w:top w:w="128" w:type="dxa"/>
              <w:left w:w="43" w:type="dxa"/>
              <w:bottom w:w="43" w:type="dxa"/>
              <w:right w:w="43" w:type="dxa"/>
            </w:tcMar>
          </w:tcPr>
          <w:p w14:paraId="3B4573A7" w14:textId="77777777" w:rsidR="00D60186" w:rsidRPr="00815696" w:rsidRDefault="00D60186" w:rsidP="00815696">
            <w:pPr>
              <w:jc w:val="right"/>
              <w:rPr>
                <w:sz w:val="21"/>
                <w:szCs w:val="21"/>
              </w:rPr>
            </w:pPr>
            <w:r w:rsidRPr="00815696">
              <w:rPr>
                <w:sz w:val="21"/>
                <w:szCs w:val="21"/>
              </w:rPr>
              <w:t>Ja</w:t>
            </w:r>
          </w:p>
        </w:tc>
      </w:tr>
      <w:tr w:rsidR="00E76DC8" w:rsidRPr="00225D4D" w14:paraId="49AFCC0A" w14:textId="77777777">
        <w:trPr>
          <w:trHeight w:val="640"/>
        </w:trPr>
        <w:tc>
          <w:tcPr>
            <w:tcW w:w="1320" w:type="dxa"/>
            <w:tcBorders>
              <w:top w:val="nil"/>
              <w:left w:val="nil"/>
              <w:bottom w:val="nil"/>
              <w:right w:val="nil"/>
            </w:tcBorders>
            <w:tcMar>
              <w:top w:w="128" w:type="dxa"/>
              <w:left w:w="43" w:type="dxa"/>
              <w:bottom w:w="43" w:type="dxa"/>
              <w:right w:w="43" w:type="dxa"/>
            </w:tcMar>
          </w:tcPr>
          <w:p w14:paraId="335D3A3A"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1A8F99EA" w14:textId="77777777" w:rsidR="00D60186" w:rsidRPr="00815696" w:rsidRDefault="00D60186" w:rsidP="00815696">
            <w:pPr>
              <w:ind w:right="113"/>
              <w:jc w:val="right"/>
              <w:rPr>
                <w:sz w:val="21"/>
                <w:szCs w:val="21"/>
              </w:rPr>
            </w:pPr>
            <w:r w:rsidRPr="00815696">
              <w:rPr>
                <w:sz w:val="21"/>
                <w:szCs w:val="21"/>
              </w:rPr>
              <w:t>530</w:t>
            </w:r>
          </w:p>
        </w:tc>
        <w:tc>
          <w:tcPr>
            <w:tcW w:w="5640" w:type="dxa"/>
            <w:tcBorders>
              <w:top w:val="nil"/>
              <w:left w:val="nil"/>
              <w:bottom w:val="nil"/>
              <w:right w:val="nil"/>
            </w:tcBorders>
            <w:tcMar>
              <w:top w:w="128" w:type="dxa"/>
              <w:left w:w="43" w:type="dxa"/>
              <w:bottom w:w="43" w:type="dxa"/>
              <w:right w:w="43" w:type="dxa"/>
            </w:tcMar>
            <w:vAlign w:val="bottom"/>
          </w:tcPr>
          <w:p w14:paraId="12106D7E" w14:textId="77777777" w:rsidR="00D60186" w:rsidRPr="00815696" w:rsidRDefault="00D60186" w:rsidP="00225D4D">
            <w:pPr>
              <w:rPr>
                <w:sz w:val="21"/>
                <w:szCs w:val="21"/>
              </w:rPr>
            </w:pPr>
            <w:r w:rsidRPr="00815696">
              <w:rPr>
                <w:sz w:val="21"/>
                <w:szCs w:val="21"/>
              </w:rPr>
              <w:t xml:space="preserve">Utgreiing av heimel for Arbeidstilsynet til å ta beslag </w:t>
            </w:r>
            <w:r w:rsidRPr="00815696">
              <w:rPr>
                <w:sz w:val="21"/>
                <w:szCs w:val="21"/>
              </w:rPr>
              <w:br/>
              <w:t>i dokument under tilsyn</w:t>
            </w:r>
          </w:p>
        </w:tc>
        <w:tc>
          <w:tcPr>
            <w:tcW w:w="1280" w:type="dxa"/>
            <w:tcBorders>
              <w:top w:val="nil"/>
              <w:left w:val="nil"/>
              <w:bottom w:val="nil"/>
              <w:right w:val="nil"/>
            </w:tcBorders>
            <w:tcMar>
              <w:top w:w="128" w:type="dxa"/>
              <w:left w:w="43" w:type="dxa"/>
              <w:bottom w:w="43" w:type="dxa"/>
              <w:right w:w="43" w:type="dxa"/>
            </w:tcMar>
          </w:tcPr>
          <w:p w14:paraId="1B453931" w14:textId="77777777" w:rsidR="00D60186" w:rsidRPr="00815696" w:rsidRDefault="00D60186" w:rsidP="00815696">
            <w:pPr>
              <w:jc w:val="right"/>
              <w:rPr>
                <w:sz w:val="21"/>
                <w:szCs w:val="21"/>
              </w:rPr>
            </w:pPr>
            <w:r w:rsidRPr="00815696">
              <w:rPr>
                <w:sz w:val="21"/>
                <w:szCs w:val="21"/>
              </w:rPr>
              <w:t>Ja</w:t>
            </w:r>
          </w:p>
        </w:tc>
      </w:tr>
      <w:tr w:rsidR="00E76DC8" w:rsidRPr="00225D4D" w14:paraId="20CDD6B3" w14:textId="77777777">
        <w:trPr>
          <w:trHeight w:val="640"/>
        </w:trPr>
        <w:tc>
          <w:tcPr>
            <w:tcW w:w="1320" w:type="dxa"/>
            <w:tcBorders>
              <w:top w:val="nil"/>
              <w:left w:val="nil"/>
              <w:bottom w:val="nil"/>
              <w:right w:val="nil"/>
            </w:tcBorders>
            <w:tcMar>
              <w:top w:w="128" w:type="dxa"/>
              <w:left w:w="43" w:type="dxa"/>
              <w:bottom w:w="43" w:type="dxa"/>
              <w:right w:w="43" w:type="dxa"/>
            </w:tcMar>
          </w:tcPr>
          <w:p w14:paraId="78338128"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6AEEE074" w14:textId="77777777" w:rsidR="00D60186" w:rsidRPr="00815696" w:rsidRDefault="00D60186" w:rsidP="00815696">
            <w:pPr>
              <w:ind w:right="113"/>
              <w:jc w:val="right"/>
              <w:rPr>
                <w:sz w:val="21"/>
                <w:szCs w:val="21"/>
              </w:rPr>
            </w:pPr>
            <w:r w:rsidRPr="00815696">
              <w:rPr>
                <w:sz w:val="21"/>
                <w:szCs w:val="21"/>
              </w:rPr>
              <w:t>531</w:t>
            </w:r>
          </w:p>
        </w:tc>
        <w:tc>
          <w:tcPr>
            <w:tcW w:w="5640" w:type="dxa"/>
            <w:tcBorders>
              <w:top w:val="nil"/>
              <w:left w:val="nil"/>
              <w:bottom w:val="nil"/>
              <w:right w:val="nil"/>
            </w:tcBorders>
            <w:tcMar>
              <w:top w:w="128" w:type="dxa"/>
              <w:left w:w="43" w:type="dxa"/>
              <w:bottom w:w="43" w:type="dxa"/>
              <w:right w:w="43" w:type="dxa"/>
            </w:tcMar>
            <w:vAlign w:val="bottom"/>
          </w:tcPr>
          <w:p w14:paraId="6925A4F8" w14:textId="77777777" w:rsidR="00D60186" w:rsidRPr="00815696" w:rsidRDefault="00D60186" w:rsidP="00225D4D">
            <w:pPr>
              <w:rPr>
                <w:sz w:val="21"/>
                <w:szCs w:val="21"/>
              </w:rPr>
            </w:pPr>
            <w:r w:rsidRPr="00815696">
              <w:rPr>
                <w:sz w:val="21"/>
                <w:szCs w:val="21"/>
              </w:rPr>
              <w:t xml:space="preserve">Greie ut heimel for Arbeidstilsynet til å hente inn </w:t>
            </w:r>
            <w:r w:rsidRPr="00815696">
              <w:rPr>
                <w:sz w:val="21"/>
                <w:szCs w:val="21"/>
              </w:rPr>
              <w:br/>
              <w:t xml:space="preserve">informasjon </w:t>
            </w:r>
            <w:proofErr w:type="spellStart"/>
            <w:r w:rsidRPr="00815696">
              <w:rPr>
                <w:sz w:val="21"/>
                <w:szCs w:val="21"/>
              </w:rPr>
              <w:t>frå</w:t>
            </w:r>
            <w:proofErr w:type="spellEnd"/>
            <w:r w:rsidRPr="00815696">
              <w:rPr>
                <w:sz w:val="21"/>
                <w:szCs w:val="21"/>
              </w:rPr>
              <w:t xml:space="preserve"> «</w:t>
            </w:r>
            <w:proofErr w:type="spellStart"/>
            <w:r w:rsidRPr="00815696">
              <w:rPr>
                <w:sz w:val="21"/>
                <w:szCs w:val="21"/>
              </w:rPr>
              <w:t>tredjepartar</w:t>
            </w:r>
            <w:proofErr w:type="spellEnd"/>
            <w:r w:rsidRPr="00815696">
              <w:rPr>
                <w:sz w:val="21"/>
                <w:szCs w:val="21"/>
              </w:rPr>
              <w:t>»</w:t>
            </w:r>
          </w:p>
        </w:tc>
        <w:tc>
          <w:tcPr>
            <w:tcW w:w="1280" w:type="dxa"/>
            <w:tcBorders>
              <w:top w:val="nil"/>
              <w:left w:val="nil"/>
              <w:bottom w:val="nil"/>
              <w:right w:val="nil"/>
            </w:tcBorders>
            <w:tcMar>
              <w:top w:w="128" w:type="dxa"/>
              <w:left w:w="43" w:type="dxa"/>
              <w:bottom w:w="43" w:type="dxa"/>
              <w:right w:w="43" w:type="dxa"/>
            </w:tcMar>
          </w:tcPr>
          <w:p w14:paraId="6436AE69" w14:textId="77777777" w:rsidR="00D60186" w:rsidRPr="00815696" w:rsidRDefault="00D60186" w:rsidP="00815696">
            <w:pPr>
              <w:jc w:val="right"/>
              <w:rPr>
                <w:sz w:val="21"/>
                <w:szCs w:val="21"/>
              </w:rPr>
            </w:pPr>
            <w:r w:rsidRPr="00815696">
              <w:rPr>
                <w:sz w:val="21"/>
                <w:szCs w:val="21"/>
              </w:rPr>
              <w:t>Ja</w:t>
            </w:r>
          </w:p>
        </w:tc>
      </w:tr>
      <w:tr w:rsidR="00E76DC8" w:rsidRPr="00225D4D" w14:paraId="70163CEC" w14:textId="77777777">
        <w:trPr>
          <w:trHeight w:val="880"/>
        </w:trPr>
        <w:tc>
          <w:tcPr>
            <w:tcW w:w="1320" w:type="dxa"/>
            <w:tcBorders>
              <w:top w:val="nil"/>
              <w:left w:val="nil"/>
              <w:bottom w:val="nil"/>
              <w:right w:val="nil"/>
            </w:tcBorders>
            <w:tcMar>
              <w:top w:w="128" w:type="dxa"/>
              <w:left w:w="43" w:type="dxa"/>
              <w:bottom w:w="43" w:type="dxa"/>
              <w:right w:w="43" w:type="dxa"/>
            </w:tcMar>
          </w:tcPr>
          <w:p w14:paraId="13B261BA"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3D5BE819" w14:textId="77777777" w:rsidR="00D60186" w:rsidRPr="00815696" w:rsidRDefault="00D60186" w:rsidP="00815696">
            <w:pPr>
              <w:ind w:right="113"/>
              <w:jc w:val="right"/>
              <w:rPr>
                <w:sz w:val="21"/>
                <w:szCs w:val="21"/>
              </w:rPr>
            </w:pPr>
            <w:r w:rsidRPr="00815696">
              <w:rPr>
                <w:sz w:val="21"/>
                <w:szCs w:val="21"/>
              </w:rPr>
              <w:t>532</w:t>
            </w:r>
          </w:p>
        </w:tc>
        <w:tc>
          <w:tcPr>
            <w:tcW w:w="5640" w:type="dxa"/>
            <w:tcBorders>
              <w:top w:val="nil"/>
              <w:left w:val="nil"/>
              <w:bottom w:val="nil"/>
              <w:right w:val="nil"/>
            </w:tcBorders>
            <w:tcMar>
              <w:top w:w="128" w:type="dxa"/>
              <w:left w:w="43" w:type="dxa"/>
              <w:bottom w:w="43" w:type="dxa"/>
              <w:right w:w="43" w:type="dxa"/>
            </w:tcMar>
            <w:vAlign w:val="bottom"/>
          </w:tcPr>
          <w:p w14:paraId="09E3E485" w14:textId="77777777" w:rsidR="00D60186" w:rsidRPr="00815696" w:rsidRDefault="00D60186" w:rsidP="00225D4D">
            <w:pPr>
              <w:rPr>
                <w:sz w:val="21"/>
                <w:szCs w:val="21"/>
              </w:rPr>
            </w:pPr>
            <w:r w:rsidRPr="00815696">
              <w:rPr>
                <w:sz w:val="21"/>
                <w:szCs w:val="21"/>
              </w:rPr>
              <w:t xml:space="preserve">Representantforslag om å gå gjennom og vurdere Arbeidstilsynet sine </w:t>
            </w:r>
            <w:proofErr w:type="spellStart"/>
            <w:r w:rsidRPr="00815696">
              <w:rPr>
                <w:sz w:val="21"/>
                <w:szCs w:val="21"/>
              </w:rPr>
              <w:t>heimlar</w:t>
            </w:r>
            <w:proofErr w:type="spellEnd"/>
            <w:r w:rsidRPr="00815696">
              <w:rPr>
                <w:sz w:val="21"/>
                <w:szCs w:val="21"/>
              </w:rPr>
              <w:t xml:space="preserve"> for tilsyn, informasjonstilgang og </w:t>
            </w:r>
            <w:r w:rsidRPr="00815696">
              <w:rPr>
                <w:sz w:val="21"/>
                <w:szCs w:val="21"/>
              </w:rPr>
              <w:br/>
            </w:r>
            <w:proofErr w:type="spellStart"/>
            <w:r w:rsidRPr="00815696">
              <w:rPr>
                <w:sz w:val="21"/>
                <w:szCs w:val="21"/>
              </w:rPr>
              <w:t>sanksjonsmoglegheiter</w:t>
            </w:r>
            <w:proofErr w:type="spellEnd"/>
            <w:r w:rsidRPr="00815696">
              <w:rPr>
                <w:sz w:val="21"/>
                <w:szCs w:val="21"/>
              </w:rPr>
              <w:t xml:space="preserve"> etter arbeidsmiljølova</w:t>
            </w:r>
          </w:p>
        </w:tc>
        <w:tc>
          <w:tcPr>
            <w:tcW w:w="1280" w:type="dxa"/>
            <w:tcBorders>
              <w:top w:val="nil"/>
              <w:left w:val="nil"/>
              <w:bottom w:val="nil"/>
              <w:right w:val="nil"/>
            </w:tcBorders>
            <w:tcMar>
              <w:top w:w="128" w:type="dxa"/>
              <w:left w:w="43" w:type="dxa"/>
              <w:bottom w:w="43" w:type="dxa"/>
              <w:right w:w="43" w:type="dxa"/>
            </w:tcMar>
          </w:tcPr>
          <w:p w14:paraId="06C28934" w14:textId="77777777" w:rsidR="00D60186" w:rsidRPr="00815696" w:rsidRDefault="00D60186" w:rsidP="00815696">
            <w:pPr>
              <w:jc w:val="right"/>
              <w:rPr>
                <w:sz w:val="21"/>
                <w:szCs w:val="21"/>
              </w:rPr>
            </w:pPr>
            <w:r w:rsidRPr="00815696">
              <w:rPr>
                <w:sz w:val="21"/>
                <w:szCs w:val="21"/>
              </w:rPr>
              <w:t>Ja</w:t>
            </w:r>
          </w:p>
        </w:tc>
      </w:tr>
      <w:tr w:rsidR="00E76DC8" w:rsidRPr="00225D4D" w14:paraId="50FAE113" w14:textId="77777777">
        <w:trPr>
          <w:trHeight w:val="880"/>
        </w:trPr>
        <w:tc>
          <w:tcPr>
            <w:tcW w:w="1320" w:type="dxa"/>
            <w:tcBorders>
              <w:top w:val="nil"/>
              <w:left w:val="nil"/>
              <w:bottom w:val="nil"/>
              <w:right w:val="nil"/>
            </w:tcBorders>
            <w:tcMar>
              <w:top w:w="128" w:type="dxa"/>
              <w:left w:w="43" w:type="dxa"/>
              <w:bottom w:w="43" w:type="dxa"/>
              <w:right w:w="43" w:type="dxa"/>
            </w:tcMar>
          </w:tcPr>
          <w:p w14:paraId="202C09F2" w14:textId="77777777" w:rsidR="00D60186" w:rsidRPr="00815696" w:rsidRDefault="00D60186" w:rsidP="00225D4D">
            <w:pPr>
              <w:rPr>
                <w:sz w:val="21"/>
                <w:szCs w:val="21"/>
              </w:rPr>
            </w:pPr>
            <w:r w:rsidRPr="00815696">
              <w:rPr>
                <w:sz w:val="21"/>
                <w:szCs w:val="21"/>
              </w:rPr>
              <w:t xml:space="preserve">2022–2023 </w:t>
            </w:r>
          </w:p>
        </w:tc>
        <w:tc>
          <w:tcPr>
            <w:tcW w:w="1340" w:type="dxa"/>
            <w:tcBorders>
              <w:top w:val="nil"/>
              <w:left w:val="nil"/>
              <w:bottom w:val="nil"/>
              <w:right w:val="nil"/>
            </w:tcBorders>
            <w:tcMar>
              <w:top w:w="128" w:type="dxa"/>
              <w:left w:w="43" w:type="dxa"/>
              <w:bottom w:w="43" w:type="dxa"/>
              <w:right w:w="43" w:type="dxa"/>
            </w:tcMar>
          </w:tcPr>
          <w:p w14:paraId="54864515" w14:textId="77777777" w:rsidR="00D60186" w:rsidRPr="00815696" w:rsidRDefault="00D60186" w:rsidP="00815696">
            <w:pPr>
              <w:ind w:right="113"/>
              <w:jc w:val="right"/>
              <w:rPr>
                <w:sz w:val="21"/>
                <w:szCs w:val="21"/>
              </w:rPr>
            </w:pPr>
            <w:r w:rsidRPr="00815696">
              <w:rPr>
                <w:sz w:val="21"/>
                <w:szCs w:val="21"/>
              </w:rPr>
              <w:t>604</w:t>
            </w:r>
          </w:p>
        </w:tc>
        <w:tc>
          <w:tcPr>
            <w:tcW w:w="5640" w:type="dxa"/>
            <w:tcBorders>
              <w:top w:val="nil"/>
              <w:left w:val="nil"/>
              <w:bottom w:val="nil"/>
              <w:right w:val="nil"/>
            </w:tcBorders>
            <w:tcMar>
              <w:top w:w="128" w:type="dxa"/>
              <w:left w:w="43" w:type="dxa"/>
              <w:bottom w:w="43" w:type="dxa"/>
              <w:right w:w="43" w:type="dxa"/>
            </w:tcMar>
            <w:vAlign w:val="bottom"/>
          </w:tcPr>
          <w:p w14:paraId="3E150B00" w14:textId="77777777" w:rsidR="00D60186" w:rsidRPr="00815696" w:rsidRDefault="00D60186" w:rsidP="00225D4D">
            <w:pPr>
              <w:rPr>
                <w:sz w:val="21"/>
                <w:szCs w:val="21"/>
              </w:rPr>
            </w:pPr>
            <w:proofErr w:type="spellStart"/>
            <w:r w:rsidRPr="00815696">
              <w:rPr>
                <w:sz w:val="21"/>
                <w:szCs w:val="21"/>
              </w:rPr>
              <w:t>Menneskerettar</w:t>
            </w:r>
            <w:proofErr w:type="spellEnd"/>
            <w:r w:rsidRPr="00815696">
              <w:rPr>
                <w:sz w:val="21"/>
                <w:szCs w:val="21"/>
              </w:rPr>
              <w:t xml:space="preserve"> for </w:t>
            </w:r>
            <w:proofErr w:type="spellStart"/>
            <w:r w:rsidRPr="00815696">
              <w:rPr>
                <w:sz w:val="21"/>
                <w:szCs w:val="21"/>
              </w:rPr>
              <w:t>personar</w:t>
            </w:r>
            <w:proofErr w:type="spellEnd"/>
            <w:r w:rsidRPr="00815696">
              <w:rPr>
                <w:sz w:val="21"/>
                <w:szCs w:val="21"/>
              </w:rPr>
              <w:t xml:space="preserve"> med utviklingshemming – </w:t>
            </w:r>
            <w:proofErr w:type="spellStart"/>
            <w:r w:rsidRPr="00815696">
              <w:rPr>
                <w:sz w:val="21"/>
                <w:szCs w:val="21"/>
              </w:rPr>
              <w:t>regelendringar</w:t>
            </w:r>
            <w:proofErr w:type="spellEnd"/>
            <w:r w:rsidRPr="00815696">
              <w:rPr>
                <w:sz w:val="21"/>
                <w:szCs w:val="21"/>
              </w:rPr>
              <w:t xml:space="preserve"> for å gi </w:t>
            </w:r>
            <w:proofErr w:type="spellStart"/>
            <w:r w:rsidRPr="00815696">
              <w:rPr>
                <w:sz w:val="21"/>
                <w:szCs w:val="21"/>
              </w:rPr>
              <w:t>personar</w:t>
            </w:r>
            <w:proofErr w:type="spellEnd"/>
            <w:r w:rsidRPr="00815696">
              <w:rPr>
                <w:sz w:val="21"/>
                <w:szCs w:val="21"/>
              </w:rPr>
              <w:t xml:space="preserve"> med utviklingshemming </w:t>
            </w:r>
            <w:r w:rsidRPr="00815696">
              <w:rPr>
                <w:sz w:val="21"/>
                <w:szCs w:val="21"/>
              </w:rPr>
              <w:br/>
              <w:t>i VTA-O varig oppfølging</w:t>
            </w:r>
          </w:p>
        </w:tc>
        <w:tc>
          <w:tcPr>
            <w:tcW w:w="1280" w:type="dxa"/>
            <w:tcBorders>
              <w:top w:val="nil"/>
              <w:left w:val="nil"/>
              <w:bottom w:val="nil"/>
              <w:right w:val="nil"/>
            </w:tcBorders>
            <w:tcMar>
              <w:top w:w="128" w:type="dxa"/>
              <w:left w:w="43" w:type="dxa"/>
              <w:bottom w:w="43" w:type="dxa"/>
              <w:right w:w="43" w:type="dxa"/>
            </w:tcMar>
          </w:tcPr>
          <w:p w14:paraId="4853C6B5" w14:textId="77777777" w:rsidR="00D60186" w:rsidRPr="00815696" w:rsidRDefault="00D60186" w:rsidP="00815696">
            <w:pPr>
              <w:jc w:val="right"/>
              <w:rPr>
                <w:sz w:val="21"/>
                <w:szCs w:val="21"/>
              </w:rPr>
            </w:pPr>
            <w:r w:rsidRPr="00815696">
              <w:rPr>
                <w:sz w:val="21"/>
                <w:szCs w:val="21"/>
              </w:rPr>
              <w:t>Nei</w:t>
            </w:r>
          </w:p>
        </w:tc>
      </w:tr>
      <w:tr w:rsidR="00E76DC8" w:rsidRPr="00225D4D" w14:paraId="7E4A1FBB" w14:textId="77777777">
        <w:trPr>
          <w:trHeight w:val="640"/>
        </w:trPr>
        <w:tc>
          <w:tcPr>
            <w:tcW w:w="1320" w:type="dxa"/>
            <w:tcBorders>
              <w:top w:val="nil"/>
              <w:left w:val="nil"/>
              <w:bottom w:val="nil"/>
              <w:right w:val="nil"/>
            </w:tcBorders>
            <w:tcMar>
              <w:top w:w="128" w:type="dxa"/>
              <w:left w:w="43" w:type="dxa"/>
              <w:bottom w:w="43" w:type="dxa"/>
              <w:right w:w="43" w:type="dxa"/>
            </w:tcMar>
          </w:tcPr>
          <w:p w14:paraId="43996F24"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70499EBA" w14:textId="77777777" w:rsidR="00D60186" w:rsidRPr="00815696" w:rsidRDefault="00D60186" w:rsidP="00815696">
            <w:pPr>
              <w:ind w:right="113"/>
              <w:jc w:val="right"/>
              <w:rPr>
                <w:sz w:val="21"/>
                <w:szCs w:val="21"/>
              </w:rPr>
            </w:pPr>
            <w:r w:rsidRPr="00815696">
              <w:rPr>
                <w:sz w:val="21"/>
                <w:szCs w:val="21"/>
              </w:rPr>
              <w:t xml:space="preserve">727 </w:t>
            </w:r>
          </w:p>
        </w:tc>
        <w:tc>
          <w:tcPr>
            <w:tcW w:w="5640" w:type="dxa"/>
            <w:tcBorders>
              <w:top w:val="nil"/>
              <w:left w:val="nil"/>
              <w:bottom w:val="nil"/>
              <w:right w:val="nil"/>
            </w:tcBorders>
            <w:tcMar>
              <w:top w:w="128" w:type="dxa"/>
              <w:left w:w="43" w:type="dxa"/>
              <w:bottom w:w="43" w:type="dxa"/>
              <w:right w:w="43" w:type="dxa"/>
            </w:tcMar>
            <w:vAlign w:val="bottom"/>
          </w:tcPr>
          <w:p w14:paraId="535B3FED" w14:textId="77777777" w:rsidR="00D60186" w:rsidRPr="00815696" w:rsidRDefault="00D60186" w:rsidP="00225D4D">
            <w:pPr>
              <w:rPr>
                <w:sz w:val="21"/>
                <w:szCs w:val="21"/>
              </w:rPr>
            </w:pPr>
            <w:r w:rsidRPr="00815696">
              <w:rPr>
                <w:sz w:val="21"/>
                <w:szCs w:val="21"/>
              </w:rPr>
              <w:t xml:space="preserve">Prioritering av operative </w:t>
            </w:r>
            <w:proofErr w:type="spellStart"/>
            <w:r w:rsidRPr="00815696">
              <w:rPr>
                <w:sz w:val="21"/>
                <w:szCs w:val="21"/>
              </w:rPr>
              <w:t>kontrollar</w:t>
            </w:r>
            <w:proofErr w:type="spellEnd"/>
            <w:r w:rsidRPr="00815696">
              <w:rPr>
                <w:sz w:val="21"/>
                <w:szCs w:val="21"/>
              </w:rPr>
              <w:t xml:space="preserve">, sanksjonering og </w:t>
            </w:r>
            <w:r w:rsidRPr="00815696">
              <w:rPr>
                <w:sz w:val="21"/>
                <w:szCs w:val="21"/>
              </w:rPr>
              <w:br/>
              <w:t xml:space="preserve">etterforsking </w:t>
            </w:r>
            <w:proofErr w:type="spellStart"/>
            <w:r w:rsidRPr="00815696">
              <w:rPr>
                <w:sz w:val="21"/>
                <w:szCs w:val="21"/>
              </w:rPr>
              <w:t>frå</w:t>
            </w:r>
            <w:proofErr w:type="spellEnd"/>
            <w:r w:rsidRPr="00815696">
              <w:rPr>
                <w:sz w:val="21"/>
                <w:szCs w:val="21"/>
              </w:rPr>
              <w:t xml:space="preserve"> a-</w:t>
            </w:r>
            <w:proofErr w:type="spellStart"/>
            <w:r w:rsidRPr="00815696">
              <w:rPr>
                <w:sz w:val="21"/>
                <w:szCs w:val="21"/>
              </w:rPr>
              <w:t>krimsentera</w:t>
            </w:r>
            <w:proofErr w:type="spellEnd"/>
          </w:p>
        </w:tc>
        <w:tc>
          <w:tcPr>
            <w:tcW w:w="1280" w:type="dxa"/>
            <w:tcBorders>
              <w:top w:val="nil"/>
              <w:left w:val="nil"/>
              <w:bottom w:val="nil"/>
              <w:right w:val="nil"/>
            </w:tcBorders>
            <w:tcMar>
              <w:top w:w="128" w:type="dxa"/>
              <w:left w:w="43" w:type="dxa"/>
              <w:bottom w:w="43" w:type="dxa"/>
              <w:right w:w="43" w:type="dxa"/>
            </w:tcMar>
          </w:tcPr>
          <w:p w14:paraId="6EB058C3" w14:textId="77777777" w:rsidR="00D60186" w:rsidRPr="00815696" w:rsidRDefault="00D60186" w:rsidP="00815696">
            <w:pPr>
              <w:jc w:val="right"/>
              <w:rPr>
                <w:sz w:val="21"/>
                <w:szCs w:val="21"/>
              </w:rPr>
            </w:pPr>
            <w:r w:rsidRPr="00815696">
              <w:rPr>
                <w:sz w:val="21"/>
                <w:szCs w:val="21"/>
              </w:rPr>
              <w:t>Ja</w:t>
            </w:r>
          </w:p>
        </w:tc>
      </w:tr>
      <w:tr w:rsidR="00E76DC8" w:rsidRPr="00225D4D" w14:paraId="01D5CAE6" w14:textId="77777777">
        <w:trPr>
          <w:trHeight w:val="640"/>
        </w:trPr>
        <w:tc>
          <w:tcPr>
            <w:tcW w:w="1320" w:type="dxa"/>
            <w:tcBorders>
              <w:top w:val="nil"/>
              <w:left w:val="nil"/>
              <w:bottom w:val="nil"/>
              <w:right w:val="nil"/>
            </w:tcBorders>
            <w:tcMar>
              <w:top w:w="128" w:type="dxa"/>
              <w:left w:w="43" w:type="dxa"/>
              <w:bottom w:w="43" w:type="dxa"/>
              <w:right w:w="43" w:type="dxa"/>
            </w:tcMar>
          </w:tcPr>
          <w:p w14:paraId="7CB0428A"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10F5A0D8" w14:textId="77777777" w:rsidR="00D60186" w:rsidRPr="00815696" w:rsidRDefault="00D60186" w:rsidP="00815696">
            <w:pPr>
              <w:ind w:right="113"/>
              <w:jc w:val="right"/>
              <w:rPr>
                <w:sz w:val="21"/>
                <w:szCs w:val="21"/>
              </w:rPr>
            </w:pPr>
            <w:r w:rsidRPr="00815696">
              <w:rPr>
                <w:sz w:val="21"/>
                <w:szCs w:val="21"/>
              </w:rPr>
              <w:t>728</w:t>
            </w:r>
          </w:p>
        </w:tc>
        <w:tc>
          <w:tcPr>
            <w:tcW w:w="5640" w:type="dxa"/>
            <w:tcBorders>
              <w:top w:val="nil"/>
              <w:left w:val="nil"/>
              <w:bottom w:val="nil"/>
              <w:right w:val="nil"/>
            </w:tcBorders>
            <w:tcMar>
              <w:top w:w="128" w:type="dxa"/>
              <w:left w:w="43" w:type="dxa"/>
              <w:bottom w:w="43" w:type="dxa"/>
              <w:right w:w="43" w:type="dxa"/>
            </w:tcMar>
            <w:vAlign w:val="bottom"/>
          </w:tcPr>
          <w:p w14:paraId="3A2849EC" w14:textId="77777777" w:rsidR="00D60186" w:rsidRPr="00815696" w:rsidRDefault="00D60186" w:rsidP="00225D4D">
            <w:pPr>
              <w:rPr>
                <w:sz w:val="21"/>
                <w:szCs w:val="21"/>
              </w:rPr>
            </w:pPr>
            <w:r w:rsidRPr="00815696">
              <w:rPr>
                <w:sz w:val="21"/>
                <w:szCs w:val="21"/>
              </w:rPr>
              <w:t xml:space="preserve">Vurdere bruk av arrest og utlegg </w:t>
            </w:r>
            <w:proofErr w:type="spellStart"/>
            <w:r w:rsidRPr="00815696">
              <w:rPr>
                <w:sz w:val="21"/>
                <w:szCs w:val="21"/>
              </w:rPr>
              <w:t>frå</w:t>
            </w:r>
            <w:proofErr w:type="spellEnd"/>
            <w:r w:rsidRPr="00815696">
              <w:rPr>
                <w:sz w:val="21"/>
                <w:szCs w:val="21"/>
              </w:rPr>
              <w:t xml:space="preserve"> kriminelle </w:t>
            </w:r>
            <w:proofErr w:type="spellStart"/>
            <w:r w:rsidRPr="00815696">
              <w:rPr>
                <w:sz w:val="21"/>
                <w:szCs w:val="21"/>
              </w:rPr>
              <w:t>aktørar</w:t>
            </w:r>
            <w:proofErr w:type="spellEnd"/>
            <w:r w:rsidRPr="00815696">
              <w:rPr>
                <w:sz w:val="21"/>
                <w:szCs w:val="21"/>
              </w:rPr>
              <w:t xml:space="preserve"> </w:t>
            </w:r>
            <w:r w:rsidRPr="00815696">
              <w:rPr>
                <w:sz w:val="21"/>
                <w:szCs w:val="21"/>
              </w:rPr>
              <w:br/>
              <w:t>i a-krimsamarbeidet</w:t>
            </w:r>
          </w:p>
        </w:tc>
        <w:tc>
          <w:tcPr>
            <w:tcW w:w="1280" w:type="dxa"/>
            <w:tcBorders>
              <w:top w:val="nil"/>
              <w:left w:val="nil"/>
              <w:bottom w:val="nil"/>
              <w:right w:val="nil"/>
            </w:tcBorders>
            <w:tcMar>
              <w:top w:w="128" w:type="dxa"/>
              <w:left w:w="43" w:type="dxa"/>
              <w:bottom w:w="43" w:type="dxa"/>
              <w:right w:w="43" w:type="dxa"/>
            </w:tcMar>
          </w:tcPr>
          <w:p w14:paraId="36A8B934" w14:textId="77777777" w:rsidR="00D60186" w:rsidRPr="00815696" w:rsidRDefault="00D60186" w:rsidP="00815696">
            <w:pPr>
              <w:jc w:val="right"/>
              <w:rPr>
                <w:sz w:val="21"/>
                <w:szCs w:val="21"/>
              </w:rPr>
            </w:pPr>
            <w:r w:rsidRPr="00815696">
              <w:rPr>
                <w:sz w:val="21"/>
                <w:szCs w:val="21"/>
              </w:rPr>
              <w:t>Ja</w:t>
            </w:r>
          </w:p>
        </w:tc>
      </w:tr>
      <w:tr w:rsidR="00E76DC8" w:rsidRPr="00225D4D" w14:paraId="4CCD075C" w14:textId="77777777">
        <w:trPr>
          <w:trHeight w:val="640"/>
        </w:trPr>
        <w:tc>
          <w:tcPr>
            <w:tcW w:w="1320" w:type="dxa"/>
            <w:tcBorders>
              <w:top w:val="nil"/>
              <w:left w:val="nil"/>
              <w:bottom w:val="nil"/>
              <w:right w:val="nil"/>
            </w:tcBorders>
            <w:tcMar>
              <w:top w:w="128" w:type="dxa"/>
              <w:left w:w="43" w:type="dxa"/>
              <w:bottom w:w="43" w:type="dxa"/>
              <w:right w:w="43" w:type="dxa"/>
            </w:tcMar>
          </w:tcPr>
          <w:p w14:paraId="01D58637"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778AA959" w14:textId="77777777" w:rsidR="00D60186" w:rsidRPr="00815696" w:rsidRDefault="00D60186" w:rsidP="00815696">
            <w:pPr>
              <w:ind w:right="113"/>
              <w:jc w:val="right"/>
              <w:rPr>
                <w:sz w:val="21"/>
                <w:szCs w:val="21"/>
              </w:rPr>
            </w:pPr>
            <w:r w:rsidRPr="00815696">
              <w:rPr>
                <w:sz w:val="21"/>
                <w:szCs w:val="21"/>
              </w:rPr>
              <w:t>730</w:t>
            </w:r>
          </w:p>
        </w:tc>
        <w:tc>
          <w:tcPr>
            <w:tcW w:w="5640" w:type="dxa"/>
            <w:tcBorders>
              <w:top w:val="nil"/>
              <w:left w:val="nil"/>
              <w:bottom w:val="nil"/>
              <w:right w:val="nil"/>
            </w:tcBorders>
            <w:tcMar>
              <w:top w:w="128" w:type="dxa"/>
              <w:left w:w="43" w:type="dxa"/>
              <w:bottom w:w="43" w:type="dxa"/>
              <w:right w:w="43" w:type="dxa"/>
            </w:tcMar>
            <w:vAlign w:val="bottom"/>
          </w:tcPr>
          <w:p w14:paraId="1D8FA31B" w14:textId="77777777" w:rsidR="00D60186" w:rsidRPr="00815696" w:rsidRDefault="00D60186" w:rsidP="00225D4D">
            <w:pPr>
              <w:rPr>
                <w:sz w:val="21"/>
                <w:szCs w:val="21"/>
              </w:rPr>
            </w:pPr>
            <w:r w:rsidRPr="00815696">
              <w:rPr>
                <w:sz w:val="21"/>
                <w:szCs w:val="21"/>
              </w:rPr>
              <w:t>Plan for samarbeidet mellom a-</w:t>
            </w:r>
            <w:proofErr w:type="spellStart"/>
            <w:r w:rsidRPr="00815696">
              <w:rPr>
                <w:sz w:val="21"/>
                <w:szCs w:val="21"/>
              </w:rPr>
              <w:t>krimsentera</w:t>
            </w:r>
            <w:proofErr w:type="spellEnd"/>
            <w:r w:rsidRPr="00815696">
              <w:rPr>
                <w:sz w:val="21"/>
                <w:szCs w:val="21"/>
              </w:rPr>
              <w:t xml:space="preserve"> og </w:t>
            </w:r>
            <w:r w:rsidRPr="00815696">
              <w:rPr>
                <w:sz w:val="21"/>
                <w:szCs w:val="21"/>
              </w:rPr>
              <w:br/>
            </w:r>
            <w:proofErr w:type="spellStart"/>
            <w:r w:rsidRPr="00815696">
              <w:rPr>
                <w:sz w:val="21"/>
                <w:szCs w:val="21"/>
              </w:rPr>
              <w:t>ikkje-statlege</w:t>
            </w:r>
            <w:proofErr w:type="spellEnd"/>
            <w:r w:rsidRPr="00815696">
              <w:rPr>
                <w:sz w:val="21"/>
                <w:szCs w:val="21"/>
              </w:rPr>
              <w:t xml:space="preserve"> </w:t>
            </w:r>
            <w:proofErr w:type="spellStart"/>
            <w:r w:rsidRPr="00815696">
              <w:rPr>
                <w:sz w:val="21"/>
                <w:szCs w:val="21"/>
              </w:rPr>
              <w:t>aktørar</w:t>
            </w:r>
            <w:proofErr w:type="spellEnd"/>
          </w:p>
        </w:tc>
        <w:tc>
          <w:tcPr>
            <w:tcW w:w="1280" w:type="dxa"/>
            <w:tcBorders>
              <w:top w:val="nil"/>
              <w:left w:val="nil"/>
              <w:bottom w:val="nil"/>
              <w:right w:val="nil"/>
            </w:tcBorders>
            <w:tcMar>
              <w:top w:w="128" w:type="dxa"/>
              <w:left w:w="43" w:type="dxa"/>
              <w:bottom w:w="43" w:type="dxa"/>
              <w:right w:w="43" w:type="dxa"/>
            </w:tcMar>
          </w:tcPr>
          <w:p w14:paraId="2A7104AC" w14:textId="77777777" w:rsidR="00D60186" w:rsidRPr="00815696" w:rsidRDefault="00D60186" w:rsidP="00815696">
            <w:pPr>
              <w:jc w:val="right"/>
              <w:rPr>
                <w:sz w:val="21"/>
                <w:szCs w:val="21"/>
              </w:rPr>
            </w:pPr>
            <w:r w:rsidRPr="00815696">
              <w:rPr>
                <w:sz w:val="21"/>
                <w:szCs w:val="21"/>
              </w:rPr>
              <w:t>Ja</w:t>
            </w:r>
          </w:p>
        </w:tc>
      </w:tr>
      <w:tr w:rsidR="00E76DC8" w:rsidRPr="00225D4D" w14:paraId="0873832F" w14:textId="77777777">
        <w:trPr>
          <w:trHeight w:val="640"/>
        </w:trPr>
        <w:tc>
          <w:tcPr>
            <w:tcW w:w="1320" w:type="dxa"/>
            <w:tcBorders>
              <w:top w:val="nil"/>
              <w:left w:val="nil"/>
              <w:bottom w:val="nil"/>
              <w:right w:val="nil"/>
            </w:tcBorders>
            <w:tcMar>
              <w:top w:w="128" w:type="dxa"/>
              <w:left w:w="43" w:type="dxa"/>
              <w:bottom w:w="43" w:type="dxa"/>
              <w:right w:w="43" w:type="dxa"/>
            </w:tcMar>
          </w:tcPr>
          <w:p w14:paraId="70A03C32" w14:textId="77777777" w:rsidR="00D60186" w:rsidRPr="00815696" w:rsidRDefault="00D60186" w:rsidP="00225D4D">
            <w:pPr>
              <w:rPr>
                <w:sz w:val="21"/>
                <w:szCs w:val="21"/>
              </w:rPr>
            </w:pPr>
            <w:r w:rsidRPr="00815696">
              <w:rPr>
                <w:sz w:val="21"/>
                <w:szCs w:val="21"/>
              </w:rPr>
              <w:t>2022–2023</w:t>
            </w:r>
          </w:p>
        </w:tc>
        <w:tc>
          <w:tcPr>
            <w:tcW w:w="1340" w:type="dxa"/>
            <w:tcBorders>
              <w:top w:val="nil"/>
              <w:left w:val="nil"/>
              <w:bottom w:val="nil"/>
              <w:right w:val="nil"/>
            </w:tcBorders>
            <w:tcMar>
              <w:top w:w="128" w:type="dxa"/>
              <w:left w:w="43" w:type="dxa"/>
              <w:bottom w:w="43" w:type="dxa"/>
              <w:right w:w="43" w:type="dxa"/>
            </w:tcMar>
          </w:tcPr>
          <w:p w14:paraId="4E3239F5" w14:textId="77777777" w:rsidR="00D60186" w:rsidRPr="00815696" w:rsidRDefault="00D60186" w:rsidP="00815696">
            <w:pPr>
              <w:ind w:right="113"/>
              <w:jc w:val="right"/>
              <w:rPr>
                <w:sz w:val="21"/>
                <w:szCs w:val="21"/>
              </w:rPr>
            </w:pPr>
            <w:r w:rsidRPr="00815696">
              <w:rPr>
                <w:sz w:val="21"/>
                <w:szCs w:val="21"/>
              </w:rPr>
              <w:t>937</w:t>
            </w:r>
          </w:p>
        </w:tc>
        <w:tc>
          <w:tcPr>
            <w:tcW w:w="5640" w:type="dxa"/>
            <w:tcBorders>
              <w:top w:val="nil"/>
              <w:left w:val="nil"/>
              <w:bottom w:val="nil"/>
              <w:right w:val="nil"/>
            </w:tcBorders>
            <w:tcMar>
              <w:top w:w="128" w:type="dxa"/>
              <w:left w:w="43" w:type="dxa"/>
              <w:bottom w:w="43" w:type="dxa"/>
              <w:right w:w="43" w:type="dxa"/>
            </w:tcMar>
            <w:vAlign w:val="bottom"/>
          </w:tcPr>
          <w:p w14:paraId="77E64624" w14:textId="77777777" w:rsidR="00D60186" w:rsidRPr="00815696" w:rsidRDefault="00D60186" w:rsidP="00225D4D">
            <w:pPr>
              <w:rPr>
                <w:sz w:val="21"/>
                <w:szCs w:val="21"/>
              </w:rPr>
            </w:pPr>
            <w:r w:rsidRPr="00815696">
              <w:rPr>
                <w:sz w:val="21"/>
                <w:szCs w:val="21"/>
              </w:rPr>
              <w:t xml:space="preserve">Vurdere omlegging av fribeløpet i uføretrygda og andre </w:t>
            </w:r>
            <w:proofErr w:type="spellStart"/>
            <w:r w:rsidRPr="00815696">
              <w:rPr>
                <w:sz w:val="21"/>
                <w:szCs w:val="21"/>
              </w:rPr>
              <w:t>endringar</w:t>
            </w:r>
            <w:proofErr w:type="spellEnd"/>
          </w:p>
        </w:tc>
        <w:tc>
          <w:tcPr>
            <w:tcW w:w="1280" w:type="dxa"/>
            <w:tcBorders>
              <w:top w:val="nil"/>
              <w:left w:val="nil"/>
              <w:bottom w:val="nil"/>
              <w:right w:val="nil"/>
            </w:tcBorders>
            <w:tcMar>
              <w:top w:w="128" w:type="dxa"/>
              <w:left w:w="43" w:type="dxa"/>
              <w:bottom w:w="43" w:type="dxa"/>
              <w:right w:w="43" w:type="dxa"/>
            </w:tcMar>
          </w:tcPr>
          <w:p w14:paraId="581DC09F" w14:textId="77777777" w:rsidR="00D60186" w:rsidRPr="00815696" w:rsidRDefault="00D60186" w:rsidP="00815696">
            <w:pPr>
              <w:jc w:val="right"/>
              <w:rPr>
                <w:sz w:val="21"/>
                <w:szCs w:val="21"/>
              </w:rPr>
            </w:pPr>
            <w:r w:rsidRPr="00815696">
              <w:rPr>
                <w:sz w:val="21"/>
                <w:szCs w:val="21"/>
              </w:rPr>
              <w:t>Ja</w:t>
            </w:r>
          </w:p>
        </w:tc>
      </w:tr>
      <w:tr w:rsidR="00E76DC8" w:rsidRPr="00225D4D" w14:paraId="006CC9B6" w14:textId="77777777">
        <w:trPr>
          <w:trHeight w:val="640"/>
        </w:trPr>
        <w:tc>
          <w:tcPr>
            <w:tcW w:w="1320" w:type="dxa"/>
            <w:tcBorders>
              <w:top w:val="nil"/>
              <w:left w:val="nil"/>
              <w:bottom w:val="nil"/>
              <w:right w:val="nil"/>
            </w:tcBorders>
            <w:tcMar>
              <w:top w:w="128" w:type="dxa"/>
              <w:left w:w="43" w:type="dxa"/>
              <w:bottom w:w="43" w:type="dxa"/>
              <w:right w:w="43" w:type="dxa"/>
            </w:tcMar>
          </w:tcPr>
          <w:p w14:paraId="527C595F" w14:textId="77777777" w:rsidR="00D60186" w:rsidRPr="00815696" w:rsidRDefault="00D60186" w:rsidP="00225D4D">
            <w:pPr>
              <w:rPr>
                <w:sz w:val="21"/>
                <w:szCs w:val="21"/>
              </w:rPr>
            </w:pPr>
            <w:r w:rsidRPr="00815696">
              <w:rPr>
                <w:sz w:val="21"/>
                <w:szCs w:val="21"/>
              </w:rPr>
              <w:t>2021–2022</w:t>
            </w:r>
          </w:p>
        </w:tc>
        <w:tc>
          <w:tcPr>
            <w:tcW w:w="1340" w:type="dxa"/>
            <w:tcBorders>
              <w:top w:val="nil"/>
              <w:left w:val="nil"/>
              <w:bottom w:val="nil"/>
              <w:right w:val="nil"/>
            </w:tcBorders>
            <w:tcMar>
              <w:top w:w="128" w:type="dxa"/>
              <w:left w:w="43" w:type="dxa"/>
              <w:bottom w:w="43" w:type="dxa"/>
              <w:right w:w="43" w:type="dxa"/>
            </w:tcMar>
          </w:tcPr>
          <w:p w14:paraId="077D6D4D" w14:textId="77777777" w:rsidR="00D60186" w:rsidRPr="00815696" w:rsidRDefault="00D60186" w:rsidP="00815696">
            <w:pPr>
              <w:ind w:right="113"/>
              <w:jc w:val="right"/>
              <w:rPr>
                <w:sz w:val="21"/>
                <w:szCs w:val="21"/>
              </w:rPr>
            </w:pPr>
            <w:r w:rsidRPr="00815696">
              <w:rPr>
                <w:sz w:val="21"/>
                <w:szCs w:val="21"/>
              </w:rPr>
              <w:t>456</w:t>
            </w:r>
          </w:p>
        </w:tc>
        <w:tc>
          <w:tcPr>
            <w:tcW w:w="5640" w:type="dxa"/>
            <w:tcBorders>
              <w:top w:val="nil"/>
              <w:left w:val="nil"/>
              <w:bottom w:val="nil"/>
              <w:right w:val="nil"/>
            </w:tcBorders>
            <w:tcMar>
              <w:top w:w="128" w:type="dxa"/>
              <w:left w:w="43" w:type="dxa"/>
              <w:bottom w:w="43" w:type="dxa"/>
              <w:right w:w="43" w:type="dxa"/>
            </w:tcMar>
            <w:vAlign w:val="bottom"/>
          </w:tcPr>
          <w:p w14:paraId="71D6EA01" w14:textId="77777777" w:rsidR="00D60186" w:rsidRPr="00815696" w:rsidRDefault="00D60186" w:rsidP="00225D4D">
            <w:pPr>
              <w:rPr>
                <w:sz w:val="21"/>
                <w:szCs w:val="21"/>
              </w:rPr>
            </w:pPr>
            <w:r w:rsidRPr="00815696">
              <w:rPr>
                <w:sz w:val="21"/>
                <w:szCs w:val="21"/>
              </w:rPr>
              <w:t xml:space="preserve">Greie ut om sjølvstendige </w:t>
            </w:r>
            <w:proofErr w:type="spellStart"/>
            <w:r w:rsidRPr="00815696">
              <w:rPr>
                <w:sz w:val="21"/>
                <w:szCs w:val="21"/>
              </w:rPr>
              <w:t>næringsdrivande</w:t>
            </w:r>
            <w:proofErr w:type="spellEnd"/>
            <w:r w:rsidRPr="00815696">
              <w:rPr>
                <w:sz w:val="21"/>
                <w:szCs w:val="21"/>
              </w:rPr>
              <w:t xml:space="preserve"> og </w:t>
            </w:r>
            <w:proofErr w:type="spellStart"/>
            <w:r w:rsidRPr="00815696">
              <w:rPr>
                <w:sz w:val="21"/>
                <w:szCs w:val="21"/>
              </w:rPr>
              <w:t>frilansarar</w:t>
            </w:r>
            <w:proofErr w:type="spellEnd"/>
            <w:r w:rsidRPr="00815696">
              <w:rPr>
                <w:sz w:val="21"/>
                <w:szCs w:val="21"/>
              </w:rPr>
              <w:t xml:space="preserve"> skal opparbeide seg </w:t>
            </w:r>
            <w:proofErr w:type="spellStart"/>
            <w:r w:rsidRPr="00815696">
              <w:rPr>
                <w:sz w:val="21"/>
                <w:szCs w:val="21"/>
              </w:rPr>
              <w:t>sterkare</w:t>
            </w:r>
            <w:proofErr w:type="spellEnd"/>
            <w:r w:rsidRPr="00815696">
              <w:rPr>
                <w:sz w:val="21"/>
                <w:szCs w:val="21"/>
              </w:rPr>
              <w:t xml:space="preserve"> </w:t>
            </w:r>
            <w:proofErr w:type="spellStart"/>
            <w:r w:rsidRPr="00815696">
              <w:rPr>
                <w:sz w:val="21"/>
                <w:szCs w:val="21"/>
              </w:rPr>
              <w:t>rettar</w:t>
            </w:r>
            <w:proofErr w:type="spellEnd"/>
            <w:r w:rsidRPr="00815696">
              <w:rPr>
                <w:sz w:val="21"/>
                <w:szCs w:val="21"/>
              </w:rPr>
              <w:t xml:space="preserve"> til inntektssikring</w:t>
            </w:r>
          </w:p>
        </w:tc>
        <w:tc>
          <w:tcPr>
            <w:tcW w:w="1280" w:type="dxa"/>
            <w:tcBorders>
              <w:top w:val="nil"/>
              <w:left w:val="nil"/>
              <w:bottom w:val="nil"/>
              <w:right w:val="nil"/>
            </w:tcBorders>
            <w:tcMar>
              <w:top w:w="128" w:type="dxa"/>
              <w:left w:w="43" w:type="dxa"/>
              <w:bottom w:w="43" w:type="dxa"/>
              <w:right w:w="43" w:type="dxa"/>
            </w:tcMar>
          </w:tcPr>
          <w:p w14:paraId="5CDC09B2" w14:textId="77777777" w:rsidR="00D60186" w:rsidRPr="00815696" w:rsidRDefault="00D60186" w:rsidP="00815696">
            <w:pPr>
              <w:jc w:val="right"/>
              <w:rPr>
                <w:sz w:val="21"/>
                <w:szCs w:val="21"/>
              </w:rPr>
            </w:pPr>
            <w:r w:rsidRPr="00815696">
              <w:rPr>
                <w:sz w:val="21"/>
                <w:szCs w:val="21"/>
              </w:rPr>
              <w:t>Ja</w:t>
            </w:r>
          </w:p>
        </w:tc>
      </w:tr>
      <w:tr w:rsidR="00E76DC8" w:rsidRPr="00225D4D" w14:paraId="58B42669" w14:textId="77777777">
        <w:trPr>
          <w:trHeight w:val="640"/>
        </w:trPr>
        <w:tc>
          <w:tcPr>
            <w:tcW w:w="1320" w:type="dxa"/>
            <w:tcBorders>
              <w:top w:val="nil"/>
              <w:left w:val="nil"/>
              <w:bottom w:val="nil"/>
              <w:right w:val="nil"/>
            </w:tcBorders>
            <w:tcMar>
              <w:top w:w="128" w:type="dxa"/>
              <w:left w:w="43" w:type="dxa"/>
              <w:bottom w:w="43" w:type="dxa"/>
              <w:right w:w="43" w:type="dxa"/>
            </w:tcMar>
          </w:tcPr>
          <w:p w14:paraId="6882E8A3" w14:textId="77777777" w:rsidR="00D60186" w:rsidRPr="00815696" w:rsidRDefault="00D60186" w:rsidP="00225D4D">
            <w:pPr>
              <w:rPr>
                <w:sz w:val="21"/>
                <w:szCs w:val="21"/>
              </w:rPr>
            </w:pPr>
            <w:r w:rsidRPr="00815696">
              <w:rPr>
                <w:sz w:val="21"/>
                <w:szCs w:val="21"/>
              </w:rPr>
              <w:t>2021–2022</w:t>
            </w:r>
          </w:p>
        </w:tc>
        <w:tc>
          <w:tcPr>
            <w:tcW w:w="1340" w:type="dxa"/>
            <w:tcBorders>
              <w:top w:val="nil"/>
              <w:left w:val="nil"/>
              <w:bottom w:val="nil"/>
              <w:right w:val="nil"/>
            </w:tcBorders>
            <w:tcMar>
              <w:top w:w="128" w:type="dxa"/>
              <w:left w:w="43" w:type="dxa"/>
              <w:bottom w:w="43" w:type="dxa"/>
              <w:right w:w="43" w:type="dxa"/>
            </w:tcMar>
          </w:tcPr>
          <w:p w14:paraId="0123A4CA" w14:textId="77777777" w:rsidR="00D60186" w:rsidRPr="00815696" w:rsidRDefault="00D60186" w:rsidP="00815696">
            <w:pPr>
              <w:ind w:right="113"/>
              <w:jc w:val="right"/>
              <w:rPr>
                <w:sz w:val="21"/>
                <w:szCs w:val="21"/>
              </w:rPr>
            </w:pPr>
            <w:r w:rsidRPr="00815696">
              <w:rPr>
                <w:sz w:val="21"/>
                <w:szCs w:val="21"/>
              </w:rPr>
              <w:t>794</w:t>
            </w:r>
          </w:p>
        </w:tc>
        <w:tc>
          <w:tcPr>
            <w:tcW w:w="5640" w:type="dxa"/>
            <w:tcBorders>
              <w:top w:val="nil"/>
              <w:left w:val="nil"/>
              <w:bottom w:val="nil"/>
              <w:right w:val="nil"/>
            </w:tcBorders>
            <w:tcMar>
              <w:top w:w="128" w:type="dxa"/>
              <w:left w:w="43" w:type="dxa"/>
              <w:bottom w:w="43" w:type="dxa"/>
              <w:right w:w="43" w:type="dxa"/>
            </w:tcMar>
            <w:vAlign w:val="bottom"/>
          </w:tcPr>
          <w:p w14:paraId="4F7583B7" w14:textId="77777777" w:rsidR="00D60186" w:rsidRPr="00815696" w:rsidRDefault="00D60186" w:rsidP="00225D4D">
            <w:pPr>
              <w:rPr>
                <w:sz w:val="21"/>
                <w:szCs w:val="21"/>
              </w:rPr>
            </w:pPr>
            <w:proofErr w:type="spellStart"/>
            <w:r w:rsidRPr="00815696">
              <w:rPr>
                <w:sz w:val="21"/>
                <w:szCs w:val="21"/>
              </w:rPr>
              <w:t>Tilgjenge</w:t>
            </w:r>
            <w:proofErr w:type="spellEnd"/>
            <w:r w:rsidRPr="00815696">
              <w:rPr>
                <w:sz w:val="21"/>
                <w:szCs w:val="21"/>
              </w:rPr>
              <w:t xml:space="preserve"> til og kvalitet i økonomisk rådgiving og gjeldsrådgiving</w:t>
            </w:r>
          </w:p>
        </w:tc>
        <w:tc>
          <w:tcPr>
            <w:tcW w:w="1280" w:type="dxa"/>
            <w:tcBorders>
              <w:top w:val="nil"/>
              <w:left w:val="nil"/>
              <w:bottom w:val="nil"/>
              <w:right w:val="nil"/>
            </w:tcBorders>
            <w:tcMar>
              <w:top w:w="128" w:type="dxa"/>
              <w:left w:w="43" w:type="dxa"/>
              <w:bottom w:w="43" w:type="dxa"/>
              <w:right w:w="43" w:type="dxa"/>
            </w:tcMar>
          </w:tcPr>
          <w:p w14:paraId="6A4AF55F" w14:textId="77777777" w:rsidR="00D60186" w:rsidRPr="00815696" w:rsidRDefault="00D60186" w:rsidP="00815696">
            <w:pPr>
              <w:jc w:val="right"/>
              <w:rPr>
                <w:sz w:val="21"/>
                <w:szCs w:val="21"/>
              </w:rPr>
            </w:pPr>
            <w:r w:rsidRPr="00815696">
              <w:rPr>
                <w:sz w:val="21"/>
                <w:szCs w:val="21"/>
              </w:rPr>
              <w:t>Ja</w:t>
            </w:r>
          </w:p>
        </w:tc>
      </w:tr>
      <w:tr w:rsidR="00E76DC8" w:rsidRPr="00225D4D" w14:paraId="4EB23385" w14:textId="77777777">
        <w:trPr>
          <w:trHeight w:val="880"/>
        </w:trPr>
        <w:tc>
          <w:tcPr>
            <w:tcW w:w="1320" w:type="dxa"/>
            <w:tcBorders>
              <w:top w:val="nil"/>
              <w:left w:val="nil"/>
              <w:bottom w:val="nil"/>
              <w:right w:val="nil"/>
            </w:tcBorders>
            <w:tcMar>
              <w:top w:w="128" w:type="dxa"/>
              <w:left w:w="43" w:type="dxa"/>
              <w:bottom w:w="43" w:type="dxa"/>
              <w:right w:w="43" w:type="dxa"/>
            </w:tcMar>
          </w:tcPr>
          <w:p w14:paraId="12326F60" w14:textId="77777777" w:rsidR="00D60186" w:rsidRPr="00815696" w:rsidRDefault="00D60186" w:rsidP="00225D4D">
            <w:pPr>
              <w:rPr>
                <w:sz w:val="21"/>
                <w:szCs w:val="21"/>
              </w:rPr>
            </w:pPr>
            <w:r w:rsidRPr="00815696">
              <w:rPr>
                <w:sz w:val="21"/>
                <w:szCs w:val="21"/>
              </w:rPr>
              <w:t>2021–2022</w:t>
            </w:r>
          </w:p>
        </w:tc>
        <w:tc>
          <w:tcPr>
            <w:tcW w:w="1340" w:type="dxa"/>
            <w:tcBorders>
              <w:top w:val="nil"/>
              <w:left w:val="nil"/>
              <w:bottom w:val="nil"/>
              <w:right w:val="nil"/>
            </w:tcBorders>
            <w:tcMar>
              <w:top w:w="128" w:type="dxa"/>
              <w:left w:w="43" w:type="dxa"/>
              <w:bottom w:w="43" w:type="dxa"/>
              <w:right w:w="43" w:type="dxa"/>
            </w:tcMar>
          </w:tcPr>
          <w:p w14:paraId="33E77890" w14:textId="77777777" w:rsidR="00D60186" w:rsidRPr="00815696" w:rsidRDefault="00D60186" w:rsidP="00815696">
            <w:pPr>
              <w:ind w:right="113"/>
              <w:jc w:val="right"/>
              <w:rPr>
                <w:sz w:val="21"/>
                <w:szCs w:val="21"/>
              </w:rPr>
            </w:pPr>
            <w:r w:rsidRPr="00815696">
              <w:rPr>
                <w:sz w:val="21"/>
                <w:szCs w:val="21"/>
              </w:rPr>
              <w:t>813</w:t>
            </w:r>
          </w:p>
        </w:tc>
        <w:tc>
          <w:tcPr>
            <w:tcW w:w="5640" w:type="dxa"/>
            <w:tcBorders>
              <w:top w:val="nil"/>
              <w:left w:val="nil"/>
              <w:bottom w:val="nil"/>
              <w:right w:val="nil"/>
            </w:tcBorders>
            <w:tcMar>
              <w:top w:w="128" w:type="dxa"/>
              <w:left w:w="43" w:type="dxa"/>
              <w:bottom w:w="43" w:type="dxa"/>
              <w:right w:w="43" w:type="dxa"/>
            </w:tcMar>
            <w:vAlign w:val="bottom"/>
          </w:tcPr>
          <w:p w14:paraId="5208F91D" w14:textId="77777777" w:rsidR="00D60186" w:rsidRPr="00815696" w:rsidRDefault="00D60186" w:rsidP="00225D4D">
            <w:pPr>
              <w:rPr>
                <w:sz w:val="21"/>
                <w:szCs w:val="21"/>
              </w:rPr>
            </w:pPr>
            <w:proofErr w:type="spellStart"/>
            <w:r w:rsidRPr="00815696">
              <w:rPr>
                <w:sz w:val="21"/>
                <w:szCs w:val="21"/>
              </w:rPr>
              <w:t>Berekning</w:t>
            </w:r>
            <w:proofErr w:type="spellEnd"/>
            <w:r w:rsidRPr="00815696">
              <w:rPr>
                <w:sz w:val="21"/>
                <w:szCs w:val="21"/>
              </w:rPr>
              <w:t xml:space="preserve"> av uføretrygd når inntektsevna </w:t>
            </w:r>
            <w:proofErr w:type="spellStart"/>
            <w:r w:rsidRPr="00815696">
              <w:rPr>
                <w:sz w:val="21"/>
                <w:szCs w:val="21"/>
              </w:rPr>
              <w:t>tidlegare</w:t>
            </w:r>
            <w:proofErr w:type="spellEnd"/>
            <w:r w:rsidRPr="00815696">
              <w:rPr>
                <w:sz w:val="21"/>
                <w:szCs w:val="21"/>
              </w:rPr>
              <w:t xml:space="preserve"> har </w:t>
            </w:r>
            <w:r w:rsidRPr="00815696">
              <w:rPr>
                <w:sz w:val="21"/>
                <w:szCs w:val="21"/>
              </w:rPr>
              <w:br/>
            </w:r>
            <w:proofErr w:type="spellStart"/>
            <w:r w:rsidRPr="00815696">
              <w:rPr>
                <w:sz w:val="21"/>
                <w:szCs w:val="21"/>
              </w:rPr>
              <w:t>vore</w:t>
            </w:r>
            <w:proofErr w:type="spellEnd"/>
            <w:r w:rsidRPr="00815696">
              <w:rPr>
                <w:sz w:val="21"/>
                <w:szCs w:val="21"/>
              </w:rPr>
              <w:t xml:space="preserve"> nedsett pga. delvis uførleik </w:t>
            </w:r>
            <w:proofErr w:type="spellStart"/>
            <w:r w:rsidRPr="00815696">
              <w:rPr>
                <w:sz w:val="21"/>
                <w:szCs w:val="21"/>
              </w:rPr>
              <w:t>utan</w:t>
            </w:r>
            <w:proofErr w:type="spellEnd"/>
            <w:r w:rsidRPr="00815696">
              <w:rPr>
                <w:sz w:val="21"/>
                <w:szCs w:val="21"/>
              </w:rPr>
              <w:t xml:space="preserve"> at inngangsvilkåret </w:t>
            </w:r>
            <w:r w:rsidRPr="00815696">
              <w:rPr>
                <w:sz w:val="21"/>
                <w:szCs w:val="21"/>
              </w:rPr>
              <w:br/>
              <w:t xml:space="preserve">for </w:t>
            </w:r>
            <w:proofErr w:type="spellStart"/>
            <w:r w:rsidRPr="00815696">
              <w:rPr>
                <w:sz w:val="21"/>
                <w:szCs w:val="21"/>
              </w:rPr>
              <w:t>uføreytingar</w:t>
            </w:r>
            <w:proofErr w:type="spellEnd"/>
            <w:r w:rsidRPr="00815696">
              <w:rPr>
                <w:sz w:val="21"/>
                <w:szCs w:val="21"/>
              </w:rPr>
              <w:t xml:space="preserve"> i folketrygda har </w:t>
            </w:r>
            <w:proofErr w:type="spellStart"/>
            <w:r w:rsidRPr="00815696">
              <w:rPr>
                <w:sz w:val="21"/>
                <w:szCs w:val="21"/>
              </w:rPr>
              <w:t>vore</w:t>
            </w:r>
            <w:proofErr w:type="spellEnd"/>
            <w:r w:rsidRPr="00815696">
              <w:rPr>
                <w:sz w:val="21"/>
                <w:szCs w:val="21"/>
              </w:rPr>
              <w:t xml:space="preserve"> oppfylt.</w:t>
            </w:r>
          </w:p>
        </w:tc>
        <w:tc>
          <w:tcPr>
            <w:tcW w:w="1280" w:type="dxa"/>
            <w:tcBorders>
              <w:top w:val="nil"/>
              <w:left w:val="nil"/>
              <w:bottom w:val="nil"/>
              <w:right w:val="nil"/>
            </w:tcBorders>
            <w:tcMar>
              <w:top w:w="128" w:type="dxa"/>
              <w:left w:w="43" w:type="dxa"/>
              <w:bottom w:w="43" w:type="dxa"/>
              <w:right w:w="43" w:type="dxa"/>
            </w:tcMar>
          </w:tcPr>
          <w:p w14:paraId="3D49AE58" w14:textId="77777777" w:rsidR="00D60186" w:rsidRPr="00815696" w:rsidRDefault="00D60186" w:rsidP="00815696">
            <w:pPr>
              <w:jc w:val="right"/>
              <w:rPr>
                <w:sz w:val="21"/>
                <w:szCs w:val="21"/>
              </w:rPr>
            </w:pPr>
            <w:r w:rsidRPr="00815696">
              <w:rPr>
                <w:sz w:val="21"/>
                <w:szCs w:val="21"/>
              </w:rPr>
              <w:t>Nei</w:t>
            </w:r>
          </w:p>
        </w:tc>
      </w:tr>
      <w:tr w:rsidR="00E76DC8" w:rsidRPr="00225D4D" w14:paraId="2B6C2EFD" w14:textId="77777777">
        <w:trPr>
          <w:trHeight w:val="380"/>
        </w:trPr>
        <w:tc>
          <w:tcPr>
            <w:tcW w:w="1320" w:type="dxa"/>
            <w:tcBorders>
              <w:top w:val="nil"/>
              <w:left w:val="nil"/>
              <w:bottom w:val="nil"/>
              <w:right w:val="nil"/>
            </w:tcBorders>
            <w:tcMar>
              <w:top w:w="128" w:type="dxa"/>
              <w:left w:w="43" w:type="dxa"/>
              <w:bottom w:w="43" w:type="dxa"/>
              <w:right w:w="43" w:type="dxa"/>
            </w:tcMar>
          </w:tcPr>
          <w:p w14:paraId="256F4F15" w14:textId="77777777" w:rsidR="00D60186" w:rsidRPr="00815696" w:rsidRDefault="00D60186" w:rsidP="00225D4D">
            <w:pPr>
              <w:rPr>
                <w:sz w:val="21"/>
                <w:szCs w:val="21"/>
              </w:rPr>
            </w:pPr>
            <w:r w:rsidRPr="00815696">
              <w:rPr>
                <w:sz w:val="21"/>
                <w:szCs w:val="21"/>
              </w:rPr>
              <w:t>2020–2021</w:t>
            </w:r>
          </w:p>
        </w:tc>
        <w:tc>
          <w:tcPr>
            <w:tcW w:w="1340" w:type="dxa"/>
            <w:tcBorders>
              <w:top w:val="nil"/>
              <w:left w:val="nil"/>
              <w:bottom w:val="nil"/>
              <w:right w:val="nil"/>
            </w:tcBorders>
            <w:tcMar>
              <w:top w:w="128" w:type="dxa"/>
              <w:left w:w="43" w:type="dxa"/>
              <w:bottom w:w="43" w:type="dxa"/>
              <w:right w:w="43" w:type="dxa"/>
            </w:tcMar>
          </w:tcPr>
          <w:p w14:paraId="3A39A355" w14:textId="77777777" w:rsidR="00D60186" w:rsidRPr="00815696" w:rsidRDefault="00D60186" w:rsidP="00815696">
            <w:pPr>
              <w:ind w:right="113"/>
              <w:jc w:val="right"/>
              <w:rPr>
                <w:sz w:val="21"/>
                <w:szCs w:val="21"/>
              </w:rPr>
            </w:pPr>
            <w:r w:rsidRPr="00815696">
              <w:rPr>
                <w:sz w:val="21"/>
                <w:szCs w:val="21"/>
              </w:rPr>
              <w:t>911</w:t>
            </w:r>
          </w:p>
        </w:tc>
        <w:tc>
          <w:tcPr>
            <w:tcW w:w="5640" w:type="dxa"/>
            <w:tcBorders>
              <w:top w:val="nil"/>
              <w:left w:val="nil"/>
              <w:bottom w:val="nil"/>
              <w:right w:val="nil"/>
            </w:tcBorders>
            <w:tcMar>
              <w:top w:w="128" w:type="dxa"/>
              <w:left w:w="43" w:type="dxa"/>
              <w:bottom w:w="43" w:type="dxa"/>
              <w:right w:w="43" w:type="dxa"/>
            </w:tcMar>
            <w:vAlign w:val="bottom"/>
          </w:tcPr>
          <w:p w14:paraId="503BD164" w14:textId="77777777" w:rsidR="00D60186" w:rsidRPr="00815696" w:rsidRDefault="00D60186" w:rsidP="00225D4D">
            <w:pPr>
              <w:rPr>
                <w:sz w:val="21"/>
                <w:szCs w:val="21"/>
              </w:rPr>
            </w:pPr>
            <w:r w:rsidRPr="00815696">
              <w:rPr>
                <w:sz w:val="21"/>
                <w:szCs w:val="21"/>
              </w:rPr>
              <w:t xml:space="preserve">Forenkling av </w:t>
            </w:r>
            <w:proofErr w:type="spellStart"/>
            <w:r w:rsidRPr="00815696">
              <w:rPr>
                <w:sz w:val="21"/>
                <w:szCs w:val="21"/>
              </w:rPr>
              <w:t>yrkesskadereglane</w:t>
            </w:r>
            <w:proofErr w:type="spellEnd"/>
          </w:p>
        </w:tc>
        <w:tc>
          <w:tcPr>
            <w:tcW w:w="1280" w:type="dxa"/>
            <w:tcBorders>
              <w:top w:val="nil"/>
              <w:left w:val="nil"/>
              <w:bottom w:val="nil"/>
              <w:right w:val="nil"/>
            </w:tcBorders>
            <w:tcMar>
              <w:top w:w="128" w:type="dxa"/>
              <w:left w:w="43" w:type="dxa"/>
              <w:bottom w:w="43" w:type="dxa"/>
              <w:right w:w="43" w:type="dxa"/>
            </w:tcMar>
          </w:tcPr>
          <w:p w14:paraId="21DCB72E" w14:textId="77777777" w:rsidR="00D60186" w:rsidRPr="00815696" w:rsidRDefault="00D60186" w:rsidP="00815696">
            <w:pPr>
              <w:jc w:val="right"/>
              <w:rPr>
                <w:sz w:val="21"/>
                <w:szCs w:val="21"/>
              </w:rPr>
            </w:pPr>
            <w:r w:rsidRPr="00815696">
              <w:rPr>
                <w:sz w:val="21"/>
                <w:szCs w:val="21"/>
              </w:rPr>
              <w:t>Ja</w:t>
            </w:r>
          </w:p>
        </w:tc>
      </w:tr>
      <w:tr w:rsidR="00E76DC8" w:rsidRPr="00225D4D" w14:paraId="1553EEE2" w14:textId="77777777">
        <w:trPr>
          <w:trHeight w:val="380"/>
        </w:trPr>
        <w:tc>
          <w:tcPr>
            <w:tcW w:w="1320" w:type="dxa"/>
            <w:tcBorders>
              <w:top w:val="nil"/>
              <w:left w:val="nil"/>
              <w:bottom w:val="nil"/>
              <w:right w:val="nil"/>
            </w:tcBorders>
            <w:tcMar>
              <w:top w:w="128" w:type="dxa"/>
              <w:left w:w="43" w:type="dxa"/>
              <w:bottom w:w="43" w:type="dxa"/>
              <w:right w:w="43" w:type="dxa"/>
            </w:tcMar>
          </w:tcPr>
          <w:p w14:paraId="70535A20" w14:textId="77777777" w:rsidR="00D60186" w:rsidRPr="00815696" w:rsidRDefault="00D60186" w:rsidP="00225D4D">
            <w:pPr>
              <w:rPr>
                <w:sz w:val="21"/>
                <w:szCs w:val="21"/>
              </w:rPr>
            </w:pPr>
            <w:r w:rsidRPr="00815696">
              <w:rPr>
                <w:sz w:val="21"/>
                <w:szCs w:val="21"/>
              </w:rPr>
              <w:t>2020–2021</w:t>
            </w:r>
          </w:p>
        </w:tc>
        <w:tc>
          <w:tcPr>
            <w:tcW w:w="1340" w:type="dxa"/>
            <w:tcBorders>
              <w:top w:val="nil"/>
              <w:left w:val="nil"/>
              <w:bottom w:val="nil"/>
              <w:right w:val="nil"/>
            </w:tcBorders>
            <w:tcMar>
              <w:top w:w="128" w:type="dxa"/>
              <w:left w:w="43" w:type="dxa"/>
              <w:bottom w:w="43" w:type="dxa"/>
              <w:right w:w="43" w:type="dxa"/>
            </w:tcMar>
          </w:tcPr>
          <w:p w14:paraId="48B582FF" w14:textId="77777777" w:rsidR="00D60186" w:rsidRPr="00815696" w:rsidRDefault="00D60186" w:rsidP="00815696">
            <w:pPr>
              <w:ind w:right="113"/>
              <w:jc w:val="right"/>
              <w:rPr>
                <w:sz w:val="21"/>
                <w:szCs w:val="21"/>
              </w:rPr>
            </w:pPr>
            <w:r w:rsidRPr="00815696">
              <w:rPr>
                <w:sz w:val="21"/>
                <w:szCs w:val="21"/>
              </w:rPr>
              <w:t>1200</w:t>
            </w:r>
          </w:p>
        </w:tc>
        <w:tc>
          <w:tcPr>
            <w:tcW w:w="5640" w:type="dxa"/>
            <w:tcBorders>
              <w:top w:val="nil"/>
              <w:left w:val="nil"/>
              <w:bottom w:val="nil"/>
              <w:right w:val="nil"/>
            </w:tcBorders>
            <w:tcMar>
              <w:top w:w="128" w:type="dxa"/>
              <w:left w:w="43" w:type="dxa"/>
              <w:bottom w:w="43" w:type="dxa"/>
              <w:right w:w="43" w:type="dxa"/>
            </w:tcMar>
            <w:vAlign w:val="bottom"/>
          </w:tcPr>
          <w:p w14:paraId="766F56C3" w14:textId="77777777" w:rsidR="00D60186" w:rsidRPr="00815696" w:rsidRDefault="00D60186" w:rsidP="00225D4D">
            <w:pPr>
              <w:rPr>
                <w:sz w:val="21"/>
                <w:szCs w:val="21"/>
              </w:rPr>
            </w:pPr>
            <w:proofErr w:type="spellStart"/>
            <w:r w:rsidRPr="00815696">
              <w:rPr>
                <w:sz w:val="21"/>
                <w:szCs w:val="21"/>
              </w:rPr>
              <w:t>Avkorting</w:t>
            </w:r>
            <w:proofErr w:type="spellEnd"/>
            <w:r w:rsidRPr="00815696">
              <w:rPr>
                <w:sz w:val="21"/>
                <w:szCs w:val="21"/>
              </w:rPr>
              <w:t xml:space="preserve"> i uføretrygd for fosterforeldre</w:t>
            </w:r>
          </w:p>
        </w:tc>
        <w:tc>
          <w:tcPr>
            <w:tcW w:w="1280" w:type="dxa"/>
            <w:tcBorders>
              <w:top w:val="nil"/>
              <w:left w:val="nil"/>
              <w:bottom w:val="nil"/>
              <w:right w:val="nil"/>
            </w:tcBorders>
            <w:tcMar>
              <w:top w:w="128" w:type="dxa"/>
              <w:left w:w="43" w:type="dxa"/>
              <w:bottom w:w="43" w:type="dxa"/>
              <w:right w:w="43" w:type="dxa"/>
            </w:tcMar>
          </w:tcPr>
          <w:p w14:paraId="286066C9" w14:textId="77777777" w:rsidR="00D60186" w:rsidRPr="00815696" w:rsidRDefault="00D60186" w:rsidP="00815696">
            <w:pPr>
              <w:jc w:val="right"/>
              <w:rPr>
                <w:sz w:val="21"/>
                <w:szCs w:val="21"/>
              </w:rPr>
            </w:pPr>
            <w:r w:rsidRPr="00815696">
              <w:rPr>
                <w:sz w:val="21"/>
                <w:szCs w:val="21"/>
              </w:rPr>
              <w:t>Ja</w:t>
            </w:r>
          </w:p>
        </w:tc>
      </w:tr>
      <w:tr w:rsidR="00E76DC8" w:rsidRPr="00225D4D" w14:paraId="56E43C9D" w14:textId="77777777">
        <w:trPr>
          <w:trHeight w:val="640"/>
        </w:trPr>
        <w:tc>
          <w:tcPr>
            <w:tcW w:w="1320" w:type="dxa"/>
            <w:tcBorders>
              <w:top w:val="nil"/>
              <w:left w:val="nil"/>
              <w:bottom w:val="nil"/>
              <w:right w:val="nil"/>
            </w:tcBorders>
            <w:tcMar>
              <w:top w:w="128" w:type="dxa"/>
              <w:left w:w="43" w:type="dxa"/>
              <w:bottom w:w="43" w:type="dxa"/>
              <w:right w:w="43" w:type="dxa"/>
            </w:tcMar>
          </w:tcPr>
          <w:p w14:paraId="500020FA" w14:textId="77777777" w:rsidR="00D60186" w:rsidRPr="00815696" w:rsidRDefault="00D60186" w:rsidP="00225D4D">
            <w:pPr>
              <w:rPr>
                <w:sz w:val="21"/>
                <w:szCs w:val="21"/>
              </w:rPr>
            </w:pPr>
            <w:r w:rsidRPr="00815696">
              <w:rPr>
                <w:sz w:val="21"/>
                <w:szCs w:val="21"/>
              </w:rPr>
              <w:t>2019–2020</w:t>
            </w:r>
          </w:p>
        </w:tc>
        <w:tc>
          <w:tcPr>
            <w:tcW w:w="1340" w:type="dxa"/>
            <w:tcBorders>
              <w:top w:val="nil"/>
              <w:left w:val="nil"/>
              <w:bottom w:val="nil"/>
              <w:right w:val="nil"/>
            </w:tcBorders>
            <w:tcMar>
              <w:top w:w="128" w:type="dxa"/>
              <w:left w:w="43" w:type="dxa"/>
              <w:bottom w:w="43" w:type="dxa"/>
              <w:right w:w="43" w:type="dxa"/>
            </w:tcMar>
          </w:tcPr>
          <w:p w14:paraId="2FFDFE99" w14:textId="77777777" w:rsidR="00D60186" w:rsidRPr="00815696" w:rsidRDefault="00D60186" w:rsidP="00815696">
            <w:pPr>
              <w:ind w:right="113"/>
              <w:jc w:val="right"/>
              <w:rPr>
                <w:sz w:val="21"/>
                <w:szCs w:val="21"/>
              </w:rPr>
            </w:pPr>
            <w:r w:rsidRPr="00815696">
              <w:rPr>
                <w:sz w:val="21"/>
                <w:szCs w:val="21"/>
              </w:rPr>
              <w:t>626</w:t>
            </w:r>
          </w:p>
        </w:tc>
        <w:tc>
          <w:tcPr>
            <w:tcW w:w="5640" w:type="dxa"/>
            <w:tcBorders>
              <w:top w:val="nil"/>
              <w:left w:val="nil"/>
              <w:bottom w:val="nil"/>
              <w:right w:val="nil"/>
            </w:tcBorders>
            <w:tcMar>
              <w:top w:w="128" w:type="dxa"/>
              <w:left w:w="43" w:type="dxa"/>
              <w:bottom w:w="43" w:type="dxa"/>
              <w:right w:w="43" w:type="dxa"/>
            </w:tcMar>
            <w:vAlign w:val="bottom"/>
          </w:tcPr>
          <w:p w14:paraId="3E1CFD03" w14:textId="77777777" w:rsidR="00D60186" w:rsidRPr="00815696" w:rsidRDefault="00D60186" w:rsidP="00225D4D">
            <w:pPr>
              <w:rPr>
                <w:sz w:val="21"/>
                <w:szCs w:val="21"/>
              </w:rPr>
            </w:pPr>
            <w:r w:rsidRPr="00815696">
              <w:rPr>
                <w:sz w:val="21"/>
                <w:szCs w:val="21"/>
              </w:rPr>
              <w:t xml:space="preserve">Juridisk og økonomisk medansvar for </w:t>
            </w:r>
            <w:proofErr w:type="spellStart"/>
            <w:r w:rsidRPr="00815696">
              <w:rPr>
                <w:sz w:val="21"/>
                <w:szCs w:val="21"/>
              </w:rPr>
              <w:t>transportkjøparar</w:t>
            </w:r>
            <w:proofErr w:type="spellEnd"/>
            <w:r w:rsidRPr="00815696">
              <w:rPr>
                <w:sz w:val="21"/>
                <w:szCs w:val="21"/>
              </w:rPr>
              <w:t>/</w:t>
            </w:r>
            <w:proofErr w:type="spellStart"/>
            <w:r w:rsidRPr="00815696">
              <w:rPr>
                <w:sz w:val="21"/>
                <w:szCs w:val="21"/>
              </w:rPr>
              <w:t>transporttingarar</w:t>
            </w:r>
            <w:proofErr w:type="spellEnd"/>
          </w:p>
        </w:tc>
        <w:tc>
          <w:tcPr>
            <w:tcW w:w="1280" w:type="dxa"/>
            <w:tcBorders>
              <w:top w:val="nil"/>
              <w:left w:val="nil"/>
              <w:bottom w:val="nil"/>
              <w:right w:val="nil"/>
            </w:tcBorders>
            <w:tcMar>
              <w:top w:w="128" w:type="dxa"/>
              <w:left w:w="43" w:type="dxa"/>
              <w:bottom w:w="43" w:type="dxa"/>
              <w:right w:w="43" w:type="dxa"/>
            </w:tcMar>
          </w:tcPr>
          <w:p w14:paraId="7923363A" w14:textId="77777777" w:rsidR="00D60186" w:rsidRPr="00815696" w:rsidRDefault="00D60186" w:rsidP="00815696">
            <w:pPr>
              <w:jc w:val="right"/>
              <w:rPr>
                <w:sz w:val="21"/>
                <w:szCs w:val="21"/>
              </w:rPr>
            </w:pPr>
            <w:r w:rsidRPr="00815696">
              <w:rPr>
                <w:sz w:val="21"/>
                <w:szCs w:val="21"/>
              </w:rPr>
              <w:t>Ja</w:t>
            </w:r>
          </w:p>
        </w:tc>
      </w:tr>
      <w:tr w:rsidR="00E76DC8" w:rsidRPr="00225D4D" w14:paraId="424F5BD8" w14:textId="77777777">
        <w:trPr>
          <w:trHeight w:val="380"/>
        </w:trPr>
        <w:tc>
          <w:tcPr>
            <w:tcW w:w="1320" w:type="dxa"/>
            <w:tcBorders>
              <w:top w:val="nil"/>
              <w:left w:val="nil"/>
              <w:bottom w:val="nil"/>
              <w:right w:val="nil"/>
            </w:tcBorders>
            <w:tcMar>
              <w:top w:w="128" w:type="dxa"/>
              <w:left w:w="43" w:type="dxa"/>
              <w:bottom w:w="43" w:type="dxa"/>
              <w:right w:w="43" w:type="dxa"/>
            </w:tcMar>
          </w:tcPr>
          <w:p w14:paraId="0CF64275" w14:textId="77777777" w:rsidR="00D60186" w:rsidRPr="00815696" w:rsidRDefault="00D60186" w:rsidP="00225D4D">
            <w:pPr>
              <w:rPr>
                <w:sz w:val="21"/>
                <w:szCs w:val="21"/>
              </w:rPr>
            </w:pPr>
            <w:r w:rsidRPr="00815696">
              <w:rPr>
                <w:sz w:val="21"/>
                <w:szCs w:val="21"/>
              </w:rPr>
              <w:t>2019–2020</w:t>
            </w:r>
          </w:p>
        </w:tc>
        <w:tc>
          <w:tcPr>
            <w:tcW w:w="1340" w:type="dxa"/>
            <w:tcBorders>
              <w:top w:val="nil"/>
              <w:left w:val="nil"/>
              <w:bottom w:val="nil"/>
              <w:right w:val="nil"/>
            </w:tcBorders>
            <w:tcMar>
              <w:top w:w="128" w:type="dxa"/>
              <w:left w:w="43" w:type="dxa"/>
              <w:bottom w:w="43" w:type="dxa"/>
              <w:right w:w="43" w:type="dxa"/>
            </w:tcMar>
          </w:tcPr>
          <w:p w14:paraId="5E6039CD" w14:textId="77777777" w:rsidR="00D60186" w:rsidRPr="00815696" w:rsidRDefault="00D60186" w:rsidP="00815696">
            <w:pPr>
              <w:ind w:right="113"/>
              <w:jc w:val="right"/>
              <w:rPr>
                <w:sz w:val="21"/>
                <w:szCs w:val="21"/>
              </w:rPr>
            </w:pPr>
            <w:r w:rsidRPr="00815696">
              <w:rPr>
                <w:sz w:val="21"/>
                <w:szCs w:val="21"/>
              </w:rPr>
              <w:t>627</w:t>
            </w:r>
          </w:p>
        </w:tc>
        <w:tc>
          <w:tcPr>
            <w:tcW w:w="5640" w:type="dxa"/>
            <w:tcBorders>
              <w:top w:val="nil"/>
              <w:left w:val="nil"/>
              <w:bottom w:val="nil"/>
              <w:right w:val="nil"/>
            </w:tcBorders>
            <w:tcMar>
              <w:top w:w="128" w:type="dxa"/>
              <w:left w:w="43" w:type="dxa"/>
              <w:bottom w:w="43" w:type="dxa"/>
              <w:right w:w="43" w:type="dxa"/>
            </w:tcMar>
            <w:vAlign w:val="bottom"/>
          </w:tcPr>
          <w:p w14:paraId="2C964943" w14:textId="77777777" w:rsidR="00D60186" w:rsidRPr="00815696" w:rsidRDefault="00D60186" w:rsidP="00225D4D">
            <w:pPr>
              <w:rPr>
                <w:sz w:val="21"/>
                <w:szCs w:val="21"/>
              </w:rPr>
            </w:pPr>
            <w:proofErr w:type="spellStart"/>
            <w:r w:rsidRPr="00815696">
              <w:rPr>
                <w:sz w:val="21"/>
                <w:szCs w:val="21"/>
              </w:rPr>
              <w:t>Rettshevdinga</w:t>
            </w:r>
            <w:proofErr w:type="spellEnd"/>
            <w:r w:rsidRPr="00815696">
              <w:rPr>
                <w:sz w:val="21"/>
                <w:szCs w:val="21"/>
              </w:rPr>
              <w:t xml:space="preserve"> til å stanse </w:t>
            </w:r>
            <w:proofErr w:type="spellStart"/>
            <w:r w:rsidRPr="00815696">
              <w:rPr>
                <w:sz w:val="21"/>
                <w:szCs w:val="21"/>
              </w:rPr>
              <w:t>køyretøy</w:t>
            </w:r>
            <w:proofErr w:type="spellEnd"/>
          </w:p>
        </w:tc>
        <w:tc>
          <w:tcPr>
            <w:tcW w:w="1280" w:type="dxa"/>
            <w:tcBorders>
              <w:top w:val="nil"/>
              <w:left w:val="nil"/>
              <w:bottom w:val="nil"/>
              <w:right w:val="nil"/>
            </w:tcBorders>
            <w:tcMar>
              <w:top w:w="128" w:type="dxa"/>
              <w:left w:w="43" w:type="dxa"/>
              <w:bottom w:w="43" w:type="dxa"/>
              <w:right w:w="43" w:type="dxa"/>
            </w:tcMar>
          </w:tcPr>
          <w:p w14:paraId="1C855660" w14:textId="77777777" w:rsidR="00D60186" w:rsidRPr="00815696" w:rsidRDefault="00D60186" w:rsidP="00815696">
            <w:pPr>
              <w:jc w:val="right"/>
              <w:rPr>
                <w:sz w:val="21"/>
                <w:szCs w:val="21"/>
              </w:rPr>
            </w:pPr>
            <w:r w:rsidRPr="00815696">
              <w:rPr>
                <w:sz w:val="21"/>
                <w:szCs w:val="21"/>
              </w:rPr>
              <w:t>Nei</w:t>
            </w:r>
          </w:p>
        </w:tc>
      </w:tr>
      <w:tr w:rsidR="00E76DC8" w:rsidRPr="00225D4D" w14:paraId="6823B0DC" w14:textId="77777777">
        <w:trPr>
          <w:trHeight w:val="380"/>
        </w:trPr>
        <w:tc>
          <w:tcPr>
            <w:tcW w:w="1320" w:type="dxa"/>
            <w:tcBorders>
              <w:top w:val="nil"/>
              <w:left w:val="nil"/>
              <w:bottom w:val="nil"/>
              <w:right w:val="nil"/>
            </w:tcBorders>
            <w:tcMar>
              <w:top w:w="128" w:type="dxa"/>
              <w:left w:w="43" w:type="dxa"/>
              <w:bottom w:w="43" w:type="dxa"/>
              <w:right w:w="43" w:type="dxa"/>
            </w:tcMar>
          </w:tcPr>
          <w:p w14:paraId="7983456E" w14:textId="77777777" w:rsidR="00D60186" w:rsidRPr="00815696" w:rsidRDefault="00D60186" w:rsidP="00225D4D">
            <w:pPr>
              <w:rPr>
                <w:sz w:val="21"/>
                <w:szCs w:val="21"/>
              </w:rPr>
            </w:pPr>
            <w:r w:rsidRPr="00815696">
              <w:rPr>
                <w:sz w:val="21"/>
                <w:szCs w:val="21"/>
              </w:rPr>
              <w:t>2017–2018</w:t>
            </w:r>
          </w:p>
        </w:tc>
        <w:tc>
          <w:tcPr>
            <w:tcW w:w="1340" w:type="dxa"/>
            <w:tcBorders>
              <w:top w:val="nil"/>
              <w:left w:val="nil"/>
              <w:bottom w:val="nil"/>
              <w:right w:val="nil"/>
            </w:tcBorders>
            <w:tcMar>
              <w:top w:w="128" w:type="dxa"/>
              <w:left w:w="43" w:type="dxa"/>
              <w:bottom w:w="43" w:type="dxa"/>
              <w:right w:w="43" w:type="dxa"/>
            </w:tcMar>
          </w:tcPr>
          <w:p w14:paraId="3C0B969B" w14:textId="77777777" w:rsidR="00D60186" w:rsidRPr="00815696" w:rsidRDefault="00D60186" w:rsidP="00815696">
            <w:pPr>
              <w:ind w:right="113"/>
              <w:jc w:val="right"/>
              <w:rPr>
                <w:sz w:val="21"/>
                <w:szCs w:val="21"/>
              </w:rPr>
            </w:pPr>
            <w:r w:rsidRPr="00815696">
              <w:rPr>
                <w:sz w:val="21"/>
                <w:szCs w:val="21"/>
              </w:rPr>
              <w:t>42</w:t>
            </w:r>
          </w:p>
        </w:tc>
        <w:tc>
          <w:tcPr>
            <w:tcW w:w="5640" w:type="dxa"/>
            <w:tcBorders>
              <w:top w:val="nil"/>
              <w:left w:val="nil"/>
              <w:bottom w:val="nil"/>
              <w:right w:val="nil"/>
            </w:tcBorders>
            <w:tcMar>
              <w:top w:w="128" w:type="dxa"/>
              <w:left w:w="43" w:type="dxa"/>
              <w:bottom w:w="43" w:type="dxa"/>
              <w:right w:w="43" w:type="dxa"/>
            </w:tcMar>
            <w:vAlign w:val="bottom"/>
          </w:tcPr>
          <w:p w14:paraId="239D85B6" w14:textId="77777777" w:rsidR="00D60186" w:rsidRPr="00815696" w:rsidRDefault="00D60186" w:rsidP="00225D4D">
            <w:pPr>
              <w:rPr>
                <w:sz w:val="21"/>
                <w:szCs w:val="21"/>
              </w:rPr>
            </w:pPr>
            <w:r w:rsidRPr="00815696">
              <w:rPr>
                <w:sz w:val="21"/>
                <w:szCs w:val="21"/>
              </w:rPr>
              <w:t xml:space="preserve">Særaldergrenser for </w:t>
            </w:r>
            <w:proofErr w:type="gramStart"/>
            <w:r w:rsidRPr="00815696">
              <w:rPr>
                <w:sz w:val="21"/>
                <w:szCs w:val="21"/>
              </w:rPr>
              <w:t>tilsette</w:t>
            </w:r>
            <w:proofErr w:type="gramEnd"/>
            <w:r w:rsidRPr="00815696">
              <w:rPr>
                <w:sz w:val="21"/>
                <w:szCs w:val="21"/>
              </w:rPr>
              <w:t xml:space="preserve"> i staten</w:t>
            </w:r>
          </w:p>
        </w:tc>
        <w:tc>
          <w:tcPr>
            <w:tcW w:w="1280" w:type="dxa"/>
            <w:tcBorders>
              <w:top w:val="nil"/>
              <w:left w:val="nil"/>
              <w:bottom w:val="nil"/>
              <w:right w:val="nil"/>
            </w:tcBorders>
            <w:tcMar>
              <w:top w:w="128" w:type="dxa"/>
              <w:left w:w="43" w:type="dxa"/>
              <w:bottom w:w="43" w:type="dxa"/>
              <w:right w:w="43" w:type="dxa"/>
            </w:tcMar>
          </w:tcPr>
          <w:p w14:paraId="6D1F62F1" w14:textId="77777777" w:rsidR="00D60186" w:rsidRPr="00815696" w:rsidRDefault="00D60186" w:rsidP="00815696">
            <w:pPr>
              <w:jc w:val="right"/>
              <w:rPr>
                <w:sz w:val="21"/>
                <w:szCs w:val="21"/>
              </w:rPr>
            </w:pPr>
            <w:r w:rsidRPr="00815696">
              <w:rPr>
                <w:sz w:val="21"/>
                <w:szCs w:val="21"/>
              </w:rPr>
              <w:t>Nei</w:t>
            </w:r>
          </w:p>
        </w:tc>
      </w:tr>
      <w:tr w:rsidR="00E76DC8" w:rsidRPr="00225D4D" w14:paraId="696D9AA8" w14:textId="77777777">
        <w:trPr>
          <w:trHeight w:val="380"/>
        </w:trPr>
        <w:tc>
          <w:tcPr>
            <w:tcW w:w="1320" w:type="dxa"/>
            <w:tcBorders>
              <w:top w:val="nil"/>
              <w:left w:val="nil"/>
              <w:bottom w:val="single" w:sz="4" w:space="0" w:color="000000"/>
              <w:right w:val="nil"/>
            </w:tcBorders>
            <w:tcMar>
              <w:top w:w="128" w:type="dxa"/>
              <w:left w:w="43" w:type="dxa"/>
              <w:bottom w:w="43" w:type="dxa"/>
              <w:right w:w="43" w:type="dxa"/>
            </w:tcMar>
          </w:tcPr>
          <w:p w14:paraId="3C44C4C2" w14:textId="77777777" w:rsidR="00D60186" w:rsidRPr="00815696" w:rsidRDefault="00D60186" w:rsidP="00225D4D">
            <w:pPr>
              <w:rPr>
                <w:sz w:val="21"/>
                <w:szCs w:val="21"/>
              </w:rPr>
            </w:pPr>
            <w:r w:rsidRPr="00815696">
              <w:rPr>
                <w:sz w:val="21"/>
                <w:szCs w:val="21"/>
              </w:rPr>
              <w:t>2017–2018</w:t>
            </w:r>
          </w:p>
        </w:tc>
        <w:tc>
          <w:tcPr>
            <w:tcW w:w="1340" w:type="dxa"/>
            <w:tcBorders>
              <w:top w:val="nil"/>
              <w:left w:val="nil"/>
              <w:bottom w:val="single" w:sz="4" w:space="0" w:color="000000"/>
              <w:right w:val="nil"/>
            </w:tcBorders>
            <w:tcMar>
              <w:top w:w="128" w:type="dxa"/>
              <w:left w:w="43" w:type="dxa"/>
              <w:bottom w:w="43" w:type="dxa"/>
              <w:right w:w="43" w:type="dxa"/>
            </w:tcMar>
          </w:tcPr>
          <w:p w14:paraId="353D2257" w14:textId="77777777" w:rsidR="00D60186" w:rsidRPr="00815696" w:rsidRDefault="00D60186" w:rsidP="00815696">
            <w:pPr>
              <w:ind w:right="113"/>
              <w:jc w:val="right"/>
              <w:rPr>
                <w:sz w:val="21"/>
                <w:szCs w:val="21"/>
              </w:rPr>
            </w:pPr>
            <w:r w:rsidRPr="00815696">
              <w:rPr>
                <w:sz w:val="21"/>
                <w:szCs w:val="21"/>
              </w:rPr>
              <w:t>321</w:t>
            </w:r>
          </w:p>
        </w:tc>
        <w:tc>
          <w:tcPr>
            <w:tcW w:w="5640" w:type="dxa"/>
            <w:tcBorders>
              <w:top w:val="nil"/>
              <w:left w:val="nil"/>
              <w:bottom w:val="single" w:sz="4" w:space="0" w:color="000000"/>
              <w:right w:val="nil"/>
            </w:tcBorders>
            <w:tcMar>
              <w:top w:w="128" w:type="dxa"/>
              <w:left w:w="43" w:type="dxa"/>
              <w:bottom w:w="43" w:type="dxa"/>
              <w:right w:w="43" w:type="dxa"/>
            </w:tcMar>
            <w:vAlign w:val="bottom"/>
          </w:tcPr>
          <w:p w14:paraId="055B319C" w14:textId="77777777" w:rsidR="00D60186" w:rsidRPr="00815696" w:rsidRDefault="00D60186" w:rsidP="00225D4D">
            <w:pPr>
              <w:rPr>
                <w:sz w:val="21"/>
                <w:szCs w:val="21"/>
              </w:rPr>
            </w:pPr>
            <w:r w:rsidRPr="00815696">
              <w:rPr>
                <w:sz w:val="21"/>
                <w:szCs w:val="21"/>
              </w:rPr>
              <w:t xml:space="preserve">Overgangsordning for fosterforeldre </w:t>
            </w:r>
          </w:p>
        </w:tc>
        <w:tc>
          <w:tcPr>
            <w:tcW w:w="1280" w:type="dxa"/>
            <w:tcBorders>
              <w:top w:val="nil"/>
              <w:left w:val="nil"/>
              <w:bottom w:val="single" w:sz="4" w:space="0" w:color="000000"/>
              <w:right w:val="nil"/>
            </w:tcBorders>
            <w:tcMar>
              <w:top w:w="128" w:type="dxa"/>
              <w:left w:w="43" w:type="dxa"/>
              <w:bottom w:w="43" w:type="dxa"/>
              <w:right w:w="43" w:type="dxa"/>
            </w:tcMar>
          </w:tcPr>
          <w:p w14:paraId="168AE486" w14:textId="77777777" w:rsidR="00D60186" w:rsidRPr="00815696" w:rsidRDefault="00D60186" w:rsidP="00815696">
            <w:pPr>
              <w:jc w:val="right"/>
              <w:rPr>
                <w:sz w:val="21"/>
                <w:szCs w:val="21"/>
              </w:rPr>
            </w:pPr>
            <w:r w:rsidRPr="00815696">
              <w:rPr>
                <w:sz w:val="21"/>
                <w:szCs w:val="21"/>
              </w:rPr>
              <w:t>Ja</w:t>
            </w:r>
          </w:p>
        </w:tc>
      </w:tr>
    </w:tbl>
    <w:p w14:paraId="35856A78" w14:textId="77777777" w:rsidR="00D60186" w:rsidRPr="00225D4D" w:rsidRDefault="00D60186" w:rsidP="00225D4D">
      <w:pPr>
        <w:pStyle w:val="Overskrift2"/>
      </w:pPr>
      <w:r w:rsidRPr="00225D4D">
        <w:t>Stortingssesjon (2024–2025)</w:t>
      </w:r>
    </w:p>
    <w:p w14:paraId="5A524453" w14:textId="77777777" w:rsidR="00D60186" w:rsidRPr="00225D4D" w:rsidRDefault="00D60186" w:rsidP="00225D4D">
      <w:pPr>
        <w:pStyle w:val="avsnitt-tittel"/>
      </w:pPr>
      <w:r w:rsidRPr="00225D4D">
        <w:t xml:space="preserve">Representantforslag om tiltak som kan </w:t>
      </w:r>
      <w:proofErr w:type="spellStart"/>
      <w:r w:rsidRPr="00225D4D">
        <w:t>auke</w:t>
      </w:r>
      <w:proofErr w:type="spellEnd"/>
      <w:r w:rsidRPr="00225D4D">
        <w:t xml:space="preserve"> organisasjonsgraden blant unge</w:t>
      </w:r>
    </w:p>
    <w:p w14:paraId="21140FFA" w14:textId="77777777" w:rsidR="00D60186" w:rsidRPr="00225D4D" w:rsidRDefault="00D60186" w:rsidP="00225D4D">
      <w:pPr>
        <w:pStyle w:val="avsnitt-undertittel"/>
      </w:pPr>
      <w:r w:rsidRPr="00225D4D">
        <w:t>Vedtak 59, 28. november 2024</w:t>
      </w:r>
    </w:p>
    <w:p w14:paraId="19B5ABE9" w14:textId="77777777" w:rsidR="00D60186" w:rsidRPr="00225D4D" w:rsidRDefault="00D60186" w:rsidP="00225D4D">
      <w:pPr>
        <w:pStyle w:val="blokksit"/>
        <w:rPr>
          <w:rStyle w:val="kursiv"/>
        </w:rPr>
      </w:pPr>
      <w:r w:rsidRPr="00225D4D">
        <w:rPr>
          <w:rStyle w:val="kursiv"/>
        </w:rPr>
        <w:t>«Stortinget ber regjeringen foreslå tiltak som kan øke organisasjonsgraden blant unge, og komme tilbake til Stortinget på egnet måte.»</w:t>
      </w:r>
    </w:p>
    <w:p w14:paraId="6990C50F" w14:textId="77777777" w:rsidR="00D60186" w:rsidRPr="00225D4D" w:rsidRDefault="00D60186" w:rsidP="00225D4D">
      <w:r w:rsidRPr="00225D4D">
        <w:t xml:space="preserve">Vedtaket blei gjort ved behandling av Dokument 8:178 S (2023–2024), </w:t>
      </w:r>
      <w:proofErr w:type="spellStart"/>
      <w:r w:rsidRPr="00225D4D">
        <w:t>Innst</w:t>
      </w:r>
      <w:proofErr w:type="spellEnd"/>
      <w:r w:rsidRPr="00225D4D">
        <w:t>. 52 S (2024–2025).</w:t>
      </w:r>
    </w:p>
    <w:p w14:paraId="71E4D239" w14:textId="77777777" w:rsidR="00D60186" w:rsidRPr="00225D4D" w:rsidRDefault="00D60186" w:rsidP="00225D4D">
      <w:r w:rsidRPr="00225D4D">
        <w:t xml:space="preserve">Det er først og fremst </w:t>
      </w:r>
      <w:proofErr w:type="spellStart"/>
      <w:r w:rsidRPr="00225D4D">
        <w:t>organisasjonane</w:t>
      </w:r>
      <w:proofErr w:type="spellEnd"/>
      <w:r w:rsidRPr="00225D4D">
        <w:t xml:space="preserve"> sjølve som har ansvaret for å rekruttere nye medlemmer. </w:t>
      </w:r>
      <w:proofErr w:type="spellStart"/>
      <w:r w:rsidRPr="00225D4D">
        <w:t>Myndigheitene</w:t>
      </w:r>
      <w:proofErr w:type="spellEnd"/>
      <w:r w:rsidRPr="00225D4D">
        <w:t xml:space="preserve"> kan legge til rette for at det skal </w:t>
      </w:r>
      <w:proofErr w:type="spellStart"/>
      <w:r w:rsidRPr="00225D4D">
        <w:t>vere</w:t>
      </w:r>
      <w:proofErr w:type="spellEnd"/>
      <w:r w:rsidRPr="00225D4D">
        <w:t xml:space="preserve"> enkelt å organisere seg, bl.a. gjennom å informere om den norske arbeidslivsmodellen og ved å </w:t>
      </w:r>
      <w:proofErr w:type="spellStart"/>
      <w:r w:rsidRPr="00225D4D">
        <w:t>auke</w:t>
      </w:r>
      <w:proofErr w:type="spellEnd"/>
      <w:r w:rsidRPr="00225D4D">
        <w:t xml:space="preserve"> </w:t>
      </w:r>
      <w:proofErr w:type="spellStart"/>
      <w:r w:rsidRPr="00225D4D">
        <w:t>skattefrådraget</w:t>
      </w:r>
      <w:proofErr w:type="spellEnd"/>
      <w:r w:rsidRPr="00225D4D">
        <w:t xml:space="preserve"> for </w:t>
      </w:r>
      <w:proofErr w:type="spellStart"/>
      <w:r w:rsidRPr="00225D4D">
        <w:t>fagforeiningskontingenten</w:t>
      </w:r>
      <w:proofErr w:type="spellEnd"/>
      <w:r w:rsidRPr="00225D4D">
        <w:t xml:space="preserve">. Det siste tiltaket treffer </w:t>
      </w:r>
      <w:proofErr w:type="spellStart"/>
      <w:r w:rsidRPr="00225D4D">
        <w:t>særleg</w:t>
      </w:r>
      <w:proofErr w:type="spellEnd"/>
      <w:r w:rsidRPr="00225D4D">
        <w:t xml:space="preserve"> unge </w:t>
      </w:r>
      <w:proofErr w:type="spellStart"/>
      <w:r w:rsidRPr="00225D4D">
        <w:t>arbeidstakarar</w:t>
      </w:r>
      <w:proofErr w:type="spellEnd"/>
      <w:r w:rsidRPr="00225D4D">
        <w:t xml:space="preserve">, som ofte har </w:t>
      </w:r>
      <w:proofErr w:type="spellStart"/>
      <w:r w:rsidRPr="00225D4D">
        <w:t>lågare</w:t>
      </w:r>
      <w:proofErr w:type="spellEnd"/>
      <w:r w:rsidRPr="00225D4D">
        <w:t xml:space="preserve"> lønn enn resten av befolkninga.</w:t>
      </w:r>
    </w:p>
    <w:p w14:paraId="7261C59F"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2BE75AC6" w14:textId="77777777" w:rsidR="00D60186" w:rsidRPr="00225D4D" w:rsidRDefault="00D60186" w:rsidP="00225D4D">
      <w:pPr>
        <w:pStyle w:val="avsnitt-tittel"/>
      </w:pPr>
      <w:proofErr w:type="spellStart"/>
      <w:r w:rsidRPr="00225D4D">
        <w:t>Særskild</w:t>
      </w:r>
      <w:proofErr w:type="spellEnd"/>
      <w:r w:rsidRPr="00225D4D">
        <w:t xml:space="preserve"> kompensasjonsordning for </w:t>
      </w:r>
      <w:proofErr w:type="spellStart"/>
      <w:r w:rsidRPr="00225D4D">
        <w:t>oljepionerane</w:t>
      </w:r>
      <w:proofErr w:type="spellEnd"/>
    </w:p>
    <w:p w14:paraId="65923B10" w14:textId="77777777" w:rsidR="00D60186" w:rsidRPr="00225D4D" w:rsidRDefault="00D60186" w:rsidP="00225D4D">
      <w:pPr>
        <w:pStyle w:val="avsnitt-undertittel"/>
      </w:pPr>
      <w:r w:rsidRPr="00225D4D">
        <w:t>Vedtak 220, 17. desember 2024</w:t>
      </w:r>
    </w:p>
    <w:p w14:paraId="35F0CC8D" w14:textId="77777777" w:rsidR="00D60186" w:rsidRPr="00225D4D" w:rsidRDefault="00D60186" w:rsidP="00225D4D">
      <w:pPr>
        <w:pStyle w:val="blokksit"/>
        <w:rPr>
          <w:rStyle w:val="kursiv"/>
        </w:rPr>
      </w:pPr>
      <w:r w:rsidRPr="00225D4D">
        <w:rPr>
          <w:rStyle w:val="kursiv"/>
        </w:rPr>
        <w:t xml:space="preserve">«Stortinget ber regjeringen, i arbeidet med kompensasjon for </w:t>
      </w:r>
      <w:proofErr w:type="spellStart"/>
      <w:r w:rsidRPr="00225D4D">
        <w:rPr>
          <w:rStyle w:val="kursiv"/>
        </w:rPr>
        <w:t>oljepionerene</w:t>
      </w:r>
      <w:proofErr w:type="spellEnd"/>
      <w:r w:rsidRPr="00225D4D">
        <w:rPr>
          <w:rStyle w:val="kursiv"/>
        </w:rPr>
        <w:t xml:space="preserve">, legge en særskilt kompensasjonsordning til grunn, i tråd med anbefalingene fra NOU 2022: 19 </w:t>
      </w:r>
      <w:proofErr w:type="spellStart"/>
      <w:r w:rsidRPr="00225D4D">
        <w:rPr>
          <w:rStyle w:val="kursiv"/>
        </w:rPr>
        <w:t>Oljepionerene</w:t>
      </w:r>
      <w:proofErr w:type="spellEnd"/>
      <w:r w:rsidRPr="00225D4D">
        <w:rPr>
          <w:rStyle w:val="kursiv"/>
        </w:rPr>
        <w:t xml:space="preserve"> – en kompensasjonsordning.»</w:t>
      </w:r>
    </w:p>
    <w:p w14:paraId="71E3FABC" w14:textId="77777777" w:rsidR="00D60186" w:rsidRPr="00225D4D" w:rsidRDefault="00D60186" w:rsidP="00225D4D">
      <w:r w:rsidRPr="00225D4D">
        <w:t xml:space="preserve">Vedtaket blei gjort ved behandling av Dokument 8:16 S (2024–2025), </w:t>
      </w:r>
      <w:proofErr w:type="spellStart"/>
      <w:r w:rsidRPr="00225D4D">
        <w:t>Innst</w:t>
      </w:r>
      <w:proofErr w:type="spellEnd"/>
      <w:r w:rsidRPr="00225D4D">
        <w:t>. 101 S (2024–2025).</w:t>
      </w:r>
    </w:p>
    <w:p w14:paraId="5217035E" w14:textId="77777777" w:rsidR="00D60186" w:rsidRPr="00225D4D" w:rsidRDefault="00D60186" w:rsidP="00225D4D">
      <w:r w:rsidRPr="00225D4D">
        <w:t xml:space="preserve">I </w:t>
      </w:r>
      <w:proofErr w:type="spellStart"/>
      <w:r w:rsidRPr="00225D4D">
        <w:t>samanheng</w:t>
      </w:r>
      <w:proofErr w:type="spellEnd"/>
      <w:r w:rsidRPr="00225D4D">
        <w:t xml:space="preserve"> med framlegginga av </w:t>
      </w:r>
      <w:proofErr w:type="spellStart"/>
      <w:r w:rsidRPr="00225D4D">
        <w:t>Prop</w:t>
      </w:r>
      <w:proofErr w:type="spellEnd"/>
      <w:r w:rsidRPr="00225D4D">
        <w:t xml:space="preserve">. 1 S (2025–2026) foreslår regjeringa å etablere ei kompensasjonsordning for </w:t>
      </w:r>
      <w:proofErr w:type="spellStart"/>
      <w:r w:rsidRPr="00225D4D">
        <w:t>oljepionerane</w:t>
      </w:r>
      <w:proofErr w:type="spellEnd"/>
      <w:r w:rsidRPr="00225D4D">
        <w:t xml:space="preserve"> som i </w:t>
      </w:r>
      <w:proofErr w:type="spellStart"/>
      <w:r w:rsidRPr="00225D4D">
        <w:t>hovudsak</w:t>
      </w:r>
      <w:proofErr w:type="spellEnd"/>
      <w:r w:rsidRPr="00225D4D">
        <w:t xml:space="preserve"> baserer seg på </w:t>
      </w:r>
      <w:proofErr w:type="spellStart"/>
      <w:r w:rsidRPr="00225D4D">
        <w:t>tilrådingane</w:t>
      </w:r>
      <w:proofErr w:type="spellEnd"/>
      <w:r w:rsidRPr="00225D4D">
        <w:t xml:space="preserve"> og </w:t>
      </w:r>
      <w:proofErr w:type="spellStart"/>
      <w:r w:rsidRPr="00225D4D">
        <w:t>berekningane</w:t>
      </w:r>
      <w:proofErr w:type="spellEnd"/>
      <w:r w:rsidRPr="00225D4D">
        <w:t xml:space="preserve"> </w:t>
      </w:r>
      <w:proofErr w:type="spellStart"/>
      <w:r w:rsidRPr="00225D4D">
        <w:t>frå</w:t>
      </w:r>
      <w:proofErr w:type="spellEnd"/>
      <w:r w:rsidRPr="00225D4D">
        <w:t xml:space="preserve"> rapporten til oljepionerkommisjonen, NOU 2022: 19 </w:t>
      </w:r>
      <w:proofErr w:type="spellStart"/>
      <w:r w:rsidRPr="00225D4D">
        <w:rPr>
          <w:rStyle w:val="kursiv"/>
        </w:rPr>
        <w:t>Oljepionerene</w:t>
      </w:r>
      <w:proofErr w:type="spellEnd"/>
      <w:r w:rsidRPr="00225D4D">
        <w:rPr>
          <w:rStyle w:val="kursiv"/>
        </w:rPr>
        <w:t xml:space="preserve"> – en kompensasjonsordning</w:t>
      </w:r>
      <w:r w:rsidRPr="00225D4D">
        <w:t xml:space="preserve">. Stortinget løyvde 14 mill. kroner til arbeidet med å konkretisere </w:t>
      </w:r>
      <w:proofErr w:type="spellStart"/>
      <w:r w:rsidRPr="00225D4D">
        <w:t>dei</w:t>
      </w:r>
      <w:proofErr w:type="spellEnd"/>
      <w:r w:rsidRPr="00225D4D">
        <w:t xml:space="preserve"> praktiske og administrative </w:t>
      </w:r>
      <w:proofErr w:type="spellStart"/>
      <w:r w:rsidRPr="00225D4D">
        <w:t>førebuingane</w:t>
      </w:r>
      <w:proofErr w:type="spellEnd"/>
      <w:r w:rsidRPr="00225D4D">
        <w:t xml:space="preserve"> til arbeidet i revidert nasjonalbudsjett 2025. Regjeringa tar sikte på å ha ordninga oppe og gå så </w:t>
      </w:r>
      <w:proofErr w:type="spellStart"/>
      <w:r w:rsidRPr="00225D4D">
        <w:t>tidleg</w:t>
      </w:r>
      <w:proofErr w:type="spellEnd"/>
      <w:r w:rsidRPr="00225D4D">
        <w:t xml:space="preserve"> som </w:t>
      </w:r>
      <w:proofErr w:type="spellStart"/>
      <w:r w:rsidRPr="00225D4D">
        <w:t>mogleg</w:t>
      </w:r>
      <w:proofErr w:type="spellEnd"/>
      <w:r w:rsidRPr="00225D4D">
        <w:t xml:space="preserve"> i 2026.</w:t>
      </w:r>
    </w:p>
    <w:p w14:paraId="57E91DC4" w14:textId="77777777" w:rsidR="00D60186" w:rsidRPr="00225D4D" w:rsidRDefault="00D60186" w:rsidP="00225D4D">
      <w:r w:rsidRPr="00225D4D">
        <w:t xml:space="preserve">For </w:t>
      </w:r>
      <w:proofErr w:type="spellStart"/>
      <w:r w:rsidRPr="00225D4D">
        <w:t>nærmare</w:t>
      </w:r>
      <w:proofErr w:type="spellEnd"/>
      <w:r w:rsidRPr="00225D4D">
        <w:t xml:space="preserve"> omtale sjå kap. 6.2.4 Kompensasjonsordning for kjemikalieskadde </w:t>
      </w:r>
      <w:proofErr w:type="spellStart"/>
      <w:r w:rsidRPr="00225D4D">
        <w:t>oljepionerar</w:t>
      </w:r>
      <w:proofErr w:type="spellEnd"/>
      <w:r w:rsidRPr="00225D4D">
        <w:t xml:space="preserve"> og under Programkategori 09.40, kapittelomtalen under kap. 647 Kompensasjonsordning for </w:t>
      </w:r>
      <w:proofErr w:type="spellStart"/>
      <w:r w:rsidRPr="00225D4D">
        <w:t>oljepionerane</w:t>
      </w:r>
      <w:proofErr w:type="spellEnd"/>
      <w:r w:rsidRPr="00225D4D">
        <w:t>.</w:t>
      </w:r>
    </w:p>
    <w:p w14:paraId="2527C245"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01549149" w14:textId="77777777" w:rsidR="00D60186" w:rsidRPr="00225D4D" w:rsidRDefault="00D60186" w:rsidP="00225D4D">
      <w:pPr>
        <w:pStyle w:val="avsnitt-tittel"/>
      </w:pPr>
      <w:r w:rsidRPr="00225D4D">
        <w:t xml:space="preserve">Forslag som får ned saksbehandlingstida for arbeidsløyve for høgt kvalifisert arbeidskraft </w:t>
      </w:r>
      <w:proofErr w:type="spellStart"/>
      <w:r w:rsidRPr="00225D4D">
        <w:t>frå</w:t>
      </w:r>
      <w:proofErr w:type="spellEnd"/>
      <w:r w:rsidRPr="00225D4D">
        <w:t xml:space="preserve"> tredjeland </w:t>
      </w:r>
      <w:proofErr w:type="spellStart"/>
      <w:r w:rsidRPr="00225D4D">
        <w:t>betydeleg</w:t>
      </w:r>
      <w:proofErr w:type="spellEnd"/>
    </w:p>
    <w:p w14:paraId="2456442F" w14:textId="77777777" w:rsidR="00D60186" w:rsidRPr="00225D4D" w:rsidRDefault="00D60186" w:rsidP="00225D4D">
      <w:pPr>
        <w:pStyle w:val="avsnitt-undertittel"/>
      </w:pPr>
      <w:r w:rsidRPr="00225D4D">
        <w:t>Vedtak 460, 13. februar 2025</w:t>
      </w:r>
    </w:p>
    <w:p w14:paraId="1C828E6D" w14:textId="77777777" w:rsidR="00D60186" w:rsidRPr="00225D4D" w:rsidRDefault="00D60186" w:rsidP="00225D4D">
      <w:pPr>
        <w:pStyle w:val="blokksit"/>
        <w:rPr>
          <w:rStyle w:val="kursiv"/>
        </w:rPr>
      </w:pPr>
      <w:r w:rsidRPr="00225D4D">
        <w:rPr>
          <w:rStyle w:val="kursiv"/>
        </w:rPr>
        <w:t>«Stortinget ber regjeringen snarest mulig og senest i forbindelse med statsbudsjettet for 2026 komme med forslag som får ned saksbehandlingstiden for arbeidstillatelser for høykompetent arbeidskraft fra tredjeland betydelig. Det vises til Oslo kommunes pilotprosjekt Kompetansespor som en mulig modell for en slik løsning.»</w:t>
      </w:r>
    </w:p>
    <w:p w14:paraId="579EB849" w14:textId="77777777" w:rsidR="00D60186" w:rsidRPr="00225D4D" w:rsidRDefault="00D60186" w:rsidP="00225D4D">
      <w:r w:rsidRPr="00225D4D">
        <w:t xml:space="preserve">Vedtaket blei gjort ved behandling av Meld. St. 6 (2024–2025), </w:t>
      </w:r>
      <w:proofErr w:type="spellStart"/>
      <w:r w:rsidRPr="00225D4D">
        <w:t>Innst</w:t>
      </w:r>
      <w:proofErr w:type="spellEnd"/>
      <w:r w:rsidRPr="00225D4D">
        <w:t>. 128 S (2024–2025).</w:t>
      </w:r>
    </w:p>
    <w:p w14:paraId="7F10B20D" w14:textId="77777777" w:rsidR="00D60186" w:rsidRPr="00225D4D" w:rsidRDefault="00D60186" w:rsidP="00225D4D">
      <w:r w:rsidRPr="00225D4D">
        <w:t xml:space="preserve">I </w:t>
      </w:r>
      <w:proofErr w:type="spellStart"/>
      <w:r w:rsidRPr="00225D4D">
        <w:t>samanheng</w:t>
      </w:r>
      <w:proofErr w:type="spellEnd"/>
      <w:r w:rsidRPr="00225D4D">
        <w:t xml:space="preserve"> med oppfølginga av vedtak nr. 801, 17. juni 2024, arbeider departementet alt med å greie ut </w:t>
      </w:r>
      <w:proofErr w:type="spellStart"/>
      <w:r w:rsidRPr="00225D4D">
        <w:t>forenklingar</w:t>
      </w:r>
      <w:proofErr w:type="spellEnd"/>
      <w:r w:rsidRPr="00225D4D">
        <w:t xml:space="preserve"> i regelverket om </w:t>
      </w:r>
      <w:proofErr w:type="spellStart"/>
      <w:r w:rsidRPr="00225D4D">
        <w:t>opphaldsløyve</w:t>
      </w:r>
      <w:proofErr w:type="spellEnd"/>
      <w:r w:rsidRPr="00225D4D">
        <w:t xml:space="preserve"> for høgt kvalifiserte </w:t>
      </w:r>
      <w:proofErr w:type="spellStart"/>
      <w:r w:rsidRPr="00225D4D">
        <w:t>arbeidstakarar</w:t>
      </w:r>
      <w:proofErr w:type="spellEnd"/>
      <w:r w:rsidRPr="00225D4D">
        <w:t xml:space="preserve"> </w:t>
      </w:r>
      <w:proofErr w:type="spellStart"/>
      <w:r w:rsidRPr="00225D4D">
        <w:t>frå</w:t>
      </w:r>
      <w:proofErr w:type="spellEnd"/>
      <w:r w:rsidRPr="00225D4D">
        <w:t xml:space="preserve"> tredjeland. I dette arbeidet inngår òg </w:t>
      </w:r>
      <w:proofErr w:type="spellStart"/>
      <w:r w:rsidRPr="00225D4D">
        <w:t>forenklingar</w:t>
      </w:r>
      <w:proofErr w:type="spellEnd"/>
      <w:r w:rsidRPr="00225D4D">
        <w:t xml:space="preserve"> som skal redusere saksbehandlingstida, slik Stortinget ber om i vedtak nr. 460, 13. februar 2025.</w:t>
      </w:r>
    </w:p>
    <w:p w14:paraId="3E8BAA0A" w14:textId="77777777" w:rsidR="00D60186" w:rsidRPr="00225D4D" w:rsidRDefault="00D60186" w:rsidP="00225D4D">
      <w:proofErr w:type="spellStart"/>
      <w:r w:rsidRPr="00225D4D">
        <w:t>Erfaringane</w:t>
      </w:r>
      <w:proofErr w:type="spellEnd"/>
      <w:r w:rsidRPr="00225D4D">
        <w:t xml:space="preserve"> Oslo kommune har gjort med pilotprosjektet Kompetansespor, </w:t>
      </w:r>
      <w:proofErr w:type="spellStart"/>
      <w:r w:rsidRPr="00225D4D">
        <w:t>tilseier</w:t>
      </w:r>
      <w:proofErr w:type="spellEnd"/>
      <w:r w:rsidRPr="00225D4D">
        <w:t xml:space="preserve"> at å bruke ny teknologi i den ordinære saksbehandlinga vil </w:t>
      </w:r>
      <w:proofErr w:type="spellStart"/>
      <w:r w:rsidRPr="00225D4D">
        <w:t>krevje</w:t>
      </w:r>
      <w:proofErr w:type="spellEnd"/>
      <w:r w:rsidRPr="00225D4D">
        <w:t xml:space="preserve"> </w:t>
      </w:r>
      <w:proofErr w:type="spellStart"/>
      <w:r w:rsidRPr="00225D4D">
        <w:t>betydelege</w:t>
      </w:r>
      <w:proofErr w:type="spellEnd"/>
      <w:r w:rsidRPr="00225D4D">
        <w:t xml:space="preserve"> </w:t>
      </w:r>
      <w:proofErr w:type="spellStart"/>
      <w:r w:rsidRPr="00225D4D">
        <w:t>omleggingar</w:t>
      </w:r>
      <w:proofErr w:type="spellEnd"/>
      <w:r w:rsidRPr="00225D4D">
        <w:t xml:space="preserve"> av </w:t>
      </w:r>
      <w:proofErr w:type="spellStart"/>
      <w:r w:rsidRPr="00225D4D">
        <w:t>arbeidsprosessane</w:t>
      </w:r>
      <w:proofErr w:type="spellEnd"/>
      <w:r w:rsidRPr="00225D4D">
        <w:t xml:space="preserve"> og utvikling av nye saksbehandlingssystem i utlendingsforvaltninga. I åra framover skal det </w:t>
      </w:r>
      <w:proofErr w:type="spellStart"/>
      <w:r w:rsidRPr="00225D4D">
        <w:t>realiserast</w:t>
      </w:r>
      <w:proofErr w:type="spellEnd"/>
      <w:r w:rsidRPr="00225D4D">
        <w:t xml:space="preserve"> nye digitale </w:t>
      </w:r>
      <w:proofErr w:type="spellStart"/>
      <w:r w:rsidRPr="00225D4D">
        <w:t>fellesløysingar</w:t>
      </w:r>
      <w:proofErr w:type="spellEnd"/>
      <w:r w:rsidRPr="00225D4D">
        <w:t xml:space="preserve"> for utlendingsforvaltninga, og </w:t>
      </w:r>
      <w:proofErr w:type="spellStart"/>
      <w:r w:rsidRPr="00225D4D">
        <w:t>erfaringane</w:t>
      </w:r>
      <w:proofErr w:type="spellEnd"/>
      <w:r w:rsidRPr="00225D4D">
        <w:t xml:space="preserve"> </w:t>
      </w:r>
      <w:proofErr w:type="spellStart"/>
      <w:r w:rsidRPr="00225D4D">
        <w:t>frå</w:t>
      </w:r>
      <w:proofErr w:type="spellEnd"/>
      <w:r w:rsidRPr="00225D4D">
        <w:t xml:space="preserve"> pilotprosjektet vil </w:t>
      </w:r>
      <w:proofErr w:type="spellStart"/>
      <w:r w:rsidRPr="00225D4D">
        <w:t>vere</w:t>
      </w:r>
      <w:proofErr w:type="spellEnd"/>
      <w:r w:rsidRPr="00225D4D">
        <w:t xml:space="preserve"> nyttige for det </w:t>
      </w:r>
      <w:proofErr w:type="spellStart"/>
      <w:r w:rsidRPr="00225D4D">
        <w:t>vidare</w:t>
      </w:r>
      <w:proofErr w:type="spellEnd"/>
      <w:r w:rsidRPr="00225D4D">
        <w:t xml:space="preserve"> arbeidet i moderniseringsprogrammet. Det er likevel </w:t>
      </w:r>
      <w:proofErr w:type="spellStart"/>
      <w:r w:rsidRPr="00225D4D">
        <w:t>ikkje</w:t>
      </w:r>
      <w:proofErr w:type="spellEnd"/>
      <w:r w:rsidRPr="00225D4D">
        <w:t xml:space="preserve"> </w:t>
      </w:r>
      <w:proofErr w:type="spellStart"/>
      <w:r w:rsidRPr="00225D4D">
        <w:t>mogleg</w:t>
      </w:r>
      <w:proofErr w:type="spellEnd"/>
      <w:r w:rsidRPr="00225D4D">
        <w:t xml:space="preserve"> å endre </w:t>
      </w:r>
      <w:proofErr w:type="spellStart"/>
      <w:r w:rsidRPr="00225D4D">
        <w:t>saksbehandlingsprosessane</w:t>
      </w:r>
      <w:proofErr w:type="spellEnd"/>
      <w:r w:rsidRPr="00225D4D">
        <w:t xml:space="preserve"> og -systema for faglærtsaker </w:t>
      </w:r>
      <w:proofErr w:type="spellStart"/>
      <w:r w:rsidRPr="00225D4D">
        <w:t>frå</w:t>
      </w:r>
      <w:proofErr w:type="spellEnd"/>
      <w:r w:rsidRPr="00225D4D">
        <w:t xml:space="preserve"> 2026.</w:t>
      </w:r>
    </w:p>
    <w:p w14:paraId="0F070B4A" w14:textId="77777777" w:rsidR="00D60186" w:rsidRPr="00225D4D" w:rsidRDefault="00D60186" w:rsidP="00225D4D">
      <w:r w:rsidRPr="00225D4D">
        <w:t xml:space="preserve">På bakgrunn av departementet si oppfølging av vedtak nr. 801, 17. juni 2024, og </w:t>
      </w:r>
      <w:proofErr w:type="spellStart"/>
      <w:r w:rsidRPr="00225D4D">
        <w:t>erfaringane</w:t>
      </w:r>
      <w:proofErr w:type="spellEnd"/>
      <w:r w:rsidRPr="00225D4D">
        <w:t xml:space="preserve"> med pilotprosjektet, bl.a. at bruk av denne teknologien vil </w:t>
      </w:r>
      <w:proofErr w:type="spellStart"/>
      <w:r w:rsidRPr="00225D4D">
        <w:t>krevje</w:t>
      </w:r>
      <w:proofErr w:type="spellEnd"/>
      <w:r w:rsidRPr="00225D4D">
        <w:t xml:space="preserve"> </w:t>
      </w:r>
      <w:proofErr w:type="spellStart"/>
      <w:r w:rsidRPr="00225D4D">
        <w:t>betydelege</w:t>
      </w:r>
      <w:proofErr w:type="spellEnd"/>
      <w:r w:rsidRPr="00225D4D">
        <w:t xml:space="preserve"> </w:t>
      </w:r>
      <w:proofErr w:type="spellStart"/>
      <w:r w:rsidRPr="00225D4D">
        <w:t>omleggingar</w:t>
      </w:r>
      <w:proofErr w:type="spellEnd"/>
      <w:r w:rsidRPr="00225D4D">
        <w:t xml:space="preserve"> og utvikling i utlendingsforvaltninga, foreslår departementet at vedtak nr. 460 blir oppheva, jf. forslag til </w:t>
      </w:r>
      <w:proofErr w:type="spellStart"/>
      <w:r w:rsidRPr="00225D4D">
        <w:t>romartalsvedtak</w:t>
      </w:r>
      <w:proofErr w:type="spellEnd"/>
      <w:r w:rsidRPr="00225D4D">
        <w:t>.</w:t>
      </w:r>
    </w:p>
    <w:p w14:paraId="1C48DE91" w14:textId="77777777" w:rsidR="00D60186" w:rsidRPr="00225D4D" w:rsidRDefault="00D60186" w:rsidP="00225D4D">
      <w:pPr>
        <w:pStyle w:val="avsnitt-tittel"/>
      </w:pPr>
      <w:r w:rsidRPr="00225D4D">
        <w:t xml:space="preserve">Frivillig medlemskap i folketrygda for norske </w:t>
      </w:r>
      <w:proofErr w:type="spellStart"/>
      <w:r w:rsidRPr="00225D4D">
        <w:t>arbeidstakarar</w:t>
      </w:r>
      <w:proofErr w:type="spellEnd"/>
      <w:r w:rsidRPr="00225D4D">
        <w:t xml:space="preserve"> i hotell- og </w:t>
      </w:r>
      <w:proofErr w:type="spellStart"/>
      <w:r w:rsidRPr="00225D4D">
        <w:t>restaurantverksemd</w:t>
      </w:r>
      <w:proofErr w:type="spellEnd"/>
      <w:r w:rsidRPr="00225D4D">
        <w:t xml:space="preserve"> på NIS-registrerte skip</w:t>
      </w:r>
    </w:p>
    <w:p w14:paraId="328F1B7F" w14:textId="77777777" w:rsidR="00D60186" w:rsidRPr="00225D4D" w:rsidRDefault="00D60186" w:rsidP="00225D4D">
      <w:pPr>
        <w:pStyle w:val="avsnitt-undertittel"/>
      </w:pPr>
      <w:r w:rsidRPr="00225D4D">
        <w:t>Vedtak 495, 6. mars 2025</w:t>
      </w:r>
    </w:p>
    <w:p w14:paraId="371EA12B" w14:textId="77777777" w:rsidR="00D60186" w:rsidRPr="00225D4D" w:rsidRDefault="00D60186" w:rsidP="00225D4D">
      <w:pPr>
        <w:pStyle w:val="blokksit"/>
        <w:rPr>
          <w:rStyle w:val="kursiv"/>
        </w:rPr>
      </w:pPr>
      <w:r w:rsidRPr="00225D4D">
        <w:rPr>
          <w:rStyle w:val="kursiv"/>
        </w:rPr>
        <w:t>«Stortinget ber regjeringen utrede og legge frem en sak for Stortinget om å muliggjøre frivillig medlemskap i folketrygden for norske arbeidstakere i hotell- og restaurantvirksomhet på NIS-registrerte skip. Frivillig skal forstås slik at arbeidstaker er den som avgjør hva han eller hun ønsker, og at vedkommende da innvilges samme rettigheter ved inntreden i folketrygden som alle andre arbeidstakere.»</w:t>
      </w:r>
    </w:p>
    <w:p w14:paraId="2D19B3C8"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40 L (2024–2025), </w:t>
      </w:r>
      <w:proofErr w:type="spellStart"/>
      <w:r w:rsidRPr="00225D4D">
        <w:t>Innst</w:t>
      </w:r>
      <w:proofErr w:type="spellEnd"/>
      <w:r w:rsidRPr="00225D4D">
        <w:t>. 146 L (2024–2025).</w:t>
      </w:r>
    </w:p>
    <w:p w14:paraId="4E12CC3C" w14:textId="77777777" w:rsidR="00D60186" w:rsidRPr="00225D4D" w:rsidRDefault="00D60186" w:rsidP="00225D4D">
      <w:proofErr w:type="spellStart"/>
      <w:r w:rsidRPr="00225D4D">
        <w:t>Personar</w:t>
      </w:r>
      <w:proofErr w:type="spellEnd"/>
      <w:r w:rsidRPr="00225D4D">
        <w:t xml:space="preserve"> som er tilsette i hotell- og </w:t>
      </w:r>
      <w:proofErr w:type="spellStart"/>
      <w:r w:rsidRPr="00225D4D">
        <w:t>restaurantverksemd</w:t>
      </w:r>
      <w:proofErr w:type="spellEnd"/>
      <w:r w:rsidRPr="00225D4D">
        <w:t xml:space="preserve"> på turistskip registrerte i Norsk internasjonalt skipsregister (NIS), er i dag eksplisitt unntatt </w:t>
      </w:r>
      <w:proofErr w:type="spellStart"/>
      <w:r w:rsidRPr="00225D4D">
        <w:t>frå</w:t>
      </w:r>
      <w:proofErr w:type="spellEnd"/>
      <w:r w:rsidRPr="00225D4D">
        <w:t xml:space="preserve"> både pliktig og frivillig medlemskap i folketrygda, gjennom folketrygdlova § 2-12. Føresegna </w:t>
      </w:r>
      <w:proofErr w:type="spellStart"/>
      <w:r w:rsidRPr="00225D4D">
        <w:t>gjeld</w:t>
      </w:r>
      <w:proofErr w:type="spellEnd"/>
      <w:r w:rsidRPr="00225D4D">
        <w:t xml:space="preserve"> både norske og </w:t>
      </w:r>
      <w:proofErr w:type="spellStart"/>
      <w:r w:rsidRPr="00225D4D">
        <w:t>utanlandske</w:t>
      </w:r>
      <w:proofErr w:type="spellEnd"/>
      <w:r w:rsidRPr="00225D4D">
        <w:t xml:space="preserve"> </w:t>
      </w:r>
      <w:proofErr w:type="spellStart"/>
      <w:r w:rsidRPr="00225D4D">
        <w:t>statsborgarar</w:t>
      </w:r>
      <w:proofErr w:type="spellEnd"/>
      <w:r w:rsidRPr="00225D4D">
        <w:t>.</w:t>
      </w:r>
    </w:p>
    <w:p w14:paraId="4231E5B3" w14:textId="77777777" w:rsidR="00D60186" w:rsidRPr="00225D4D" w:rsidRDefault="00D60186" w:rsidP="00225D4D">
      <w:r w:rsidRPr="00225D4D">
        <w:t xml:space="preserve">Føresegna kom inn i folketrygdlova i 1994, som </w:t>
      </w:r>
      <w:proofErr w:type="spellStart"/>
      <w:r w:rsidRPr="00225D4D">
        <w:t>følgje</w:t>
      </w:r>
      <w:proofErr w:type="spellEnd"/>
      <w:r w:rsidRPr="00225D4D">
        <w:t xml:space="preserve"> av EØS-avtalen. </w:t>
      </w:r>
      <w:proofErr w:type="spellStart"/>
      <w:r w:rsidRPr="00225D4D">
        <w:t>Tidlegare</w:t>
      </w:r>
      <w:proofErr w:type="spellEnd"/>
      <w:r w:rsidRPr="00225D4D">
        <w:t xml:space="preserve"> hadde slike </w:t>
      </w:r>
      <w:proofErr w:type="spellStart"/>
      <w:r w:rsidRPr="00225D4D">
        <w:t>arbeidstakarar</w:t>
      </w:r>
      <w:proofErr w:type="spellEnd"/>
      <w:r w:rsidRPr="00225D4D">
        <w:t xml:space="preserve"> på norskregistrerte skip </w:t>
      </w:r>
      <w:proofErr w:type="spellStart"/>
      <w:r w:rsidRPr="00225D4D">
        <w:t>vore</w:t>
      </w:r>
      <w:proofErr w:type="spellEnd"/>
      <w:r w:rsidRPr="00225D4D">
        <w:t xml:space="preserve"> medlemmer av folketrygda, men </w:t>
      </w:r>
      <w:proofErr w:type="spellStart"/>
      <w:r w:rsidRPr="00225D4D">
        <w:t>berre</w:t>
      </w:r>
      <w:proofErr w:type="spellEnd"/>
      <w:r w:rsidRPr="00225D4D">
        <w:t xml:space="preserve"> dersom </w:t>
      </w:r>
      <w:proofErr w:type="spellStart"/>
      <w:r w:rsidRPr="00225D4D">
        <w:t>dei</w:t>
      </w:r>
      <w:proofErr w:type="spellEnd"/>
      <w:r w:rsidRPr="00225D4D">
        <w:t xml:space="preserve"> var norske </w:t>
      </w:r>
      <w:proofErr w:type="spellStart"/>
      <w:r w:rsidRPr="00225D4D">
        <w:t>statsborgarar</w:t>
      </w:r>
      <w:proofErr w:type="spellEnd"/>
      <w:r w:rsidRPr="00225D4D">
        <w:t xml:space="preserve"> eller busette i </w:t>
      </w:r>
      <w:proofErr w:type="spellStart"/>
      <w:r w:rsidRPr="00225D4D">
        <w:t>Noreg</w:t>
      </w:r>
      <w:proofErr w:type="spellEnd"/>
      <w:r w:rsidRPr="00225D4D">
        <w:t xml:space="preserve">. I samsvar med føresegnene i trygdeforordninga, som er </w:t>
      </w:r>
      <w:proofErr w:type="spellStart"/>
      <w:r w:rsidRPr="00225D4D">
        <w:t>ein</w:t>
      </w:r>
      <w:proofErr w:type="spellEnd"/>
      <w:r w:rsidRPr="00225D4D">
        <w:t xml:space="preserve"> del av EØS-avtalen, ville det med verknad </w:t>
      </w:r>
      <w:proofErr w:type="spellStart"/>
      <w:r w:rsidRPr="00225D4D">
        <w:t>frå</w:t>
      </w:r>
      <w:proofErr w:type="spellEnd"/>
      <w:r w:rsidRPr="00225D4D">
        <w:t xml:space="preserve"> 1. januar 1994 </w:t>
      </w:r>
      <w:proofErr w:type="spellStart"/>
      <w:r w:rsidRPr="00225D4D">
        <w:t>innanfor</w:t>
      </w:r>
      <w:proofErr w:type="spellEnd"/>
      <w:r w:rsidRPr="00225D4D">
        <w:t xml:space="preserve"> EØS </w:t>
      </w:r>
      <w:proofErr w:type="spellStart"/>
      <w:r w:rsidRPr="00225D4D">
        <w:t>ikkje</w:t>
      </w:r>
      <w:proofErr w:type="spellEnd"/>
      <w:r w:rsidRPr="00225D4D">
        <w:t xml:space="preserve"> lenger </w:t>
      </w:r>
      <w:proofErr w:type="spellStart"/>
      <w:r w:rsidRPr="00225D4D">
        <w:t>vere</w:t>
      </w:r>
      <w:proofErr w:type="spellEnd"/>
      <w:r w:rsidRPr="00225D4D">
        <w:t xml:space="preserve"> høve til slik forskjellsbehandling på bakgrunn av </w:t>
      </w:r>
      <w:proofErr w:type="spellStart"/>
      <w:r w:rsidRPr="00225D4D">
        <w:t>statsborgarskap</w:t>
      </w:r>
      <w:proofErr w:type="spellEnd"/>
      <w:r w:rsidRPr="00225D4D">
        <w:t xml:space="preserve"> eller bustad. </w:t>
      </w:r>
      <w:proofErr w:type="spellStart"/>
      <w:r w:rsidRPr="00225D4D">
        <w:t>Følgeleg</w:t>
      </w:r>
      <w:proofErr w:type="spellEnd"/>
      <w:r w:rsidRPr="00225D4D">
        <w:t xml:space="preserve"> måtte </w:t>
      </w:r>
      <w:proofErr w:type="spellStart"/>
      <w:r w:rsidRPr="00225D4D">
        <w:t>ein</w:t>
      </w:r>
      <w:proofErr w:type="spellEnd"/>
      <w:r w:rsidRPr="00225D4D">
        <w:t xml:space="preserve"> enten utvide verkeområdet til folketrygda til å omfatte alle EØS-</w:t>
      </w:r>
      <w:proofErr w:type="spellStart"/>
      <w:r w:rsidRPr="00225D4D">
        <w:t>borgarar</w:t>
      </w:r>
      <w:proofErr w:type="spellEnd"/>
      <w:r w:rsidRPr="00225D4D">
        <w:t xml:space="preserve"> på norskregistrerte skip, eller </w:t>
      </w:r>
      <w:proofErr w:type="spellStart"/>
      <w:r w:rsidRPr="00225D4D">
        <w:t>gjere</w:t>
      </w:r>
      <w:proofErr w:type="spellEnd"/>
      <w:r w:rsidRPr="00225D4D">
        <w:t xml:space="preserve"> unntak </w:t>
      </w:r>
      <w:proofErr w:type="spellStart"/>
      <w:r w:rsidRPr="00225D4D">
        <w:t>frå</w:t>
      </w:r>
      <w:proofErr w:type="spellEnd"/>
      <w:r w:rsidRPr="00225D4D">
        <w:t xml:space="preserve"> folketrygda også for norske </w:t>
      </w:r>
      <w:proofErr w:type="spellStart"/>
      <w:r w:rsidRPr="00225D4D">
        <w:t>borgarar</w:t>
      </w:r>
      <w:proofErr w:type="spellEnd"/>
      <w:r w:rsidRPr="00225D4D">
        <w:t xml:space="preserve"> og andre </w:t>
      </w:r>
      <w:proofErr w:type="spellStart"/>
      <w:r w:rsidRPr="00225D4D">
        <w:t>personar</w:t>
      </w:r>
      <w:proofErr w:type="spellEnd"/>
      <w:r w:rsidRPr="00225D4D">
        <w:t xml:space="preserve"> med bustad i </w:t>
      </w:r>
      <w:proofErr w:type="spellStart"/>
      <w:r w:rsidRPr="00225D4D">
        <w:t>Noreg</w:t>
      </w:r>
      <w:proofErr w:type="spellEnd"/>
      <w:r w:rsidRPr="00225D4D">
        <w:t xml:space="preserve">. Den </w:t>
      </w:r>
      <w:proofErr w:type="spellStart"/>
      <w:r w:rsidRPr="00225D4D">
        <w:t>sistnemnde</w:t>
      </w:r>
      <w:proofErr w:type="spellEnd"/>
      <w:r w:rsidRPr="00225D4D">
        <w:t xml:space="preserve"> løysinga blei vald.</w:t>
      </w:r>
    </w:p>
    <w:p w14:paraId="0F45DDF2" w14:textId="77777777" w:rsidR="00D60186" w:rsidRPr="00225D4D" w:rsidRDefault="00D60186" w:rsidP="00225D4D">
      <w:r w:rsidRPr="00225D4D">
        <w:t xml:space="preserve">I </w:t>
      </w:r>
      <w:proofErr w:type="spellStart"/>
      <w:r w:rsidRPr="00225D4D">
        <w:t>Prop</w:t>
      </w:r>
      <w:proofErr w:type="spellEnd"/>
      <w:r w:rsidRPr="00225D4D">
        <w:t xml:space="preserve">. 40 L (2024–2025) blei det foreslått å oppheve folketrygdlova § 2-12, for å likestille </w:t>
      </w:r>
      <w:proofErr w:type="spellStart"/>
      <w:r w:rsidRPr="00225D4D">
        <w:t>personar</w:t>
      </w:r>
      <w:proofErr w:type="spellEnd"/>
      <w:r w:rsidRPr="00225D4D">
        <w:t xml:space="preserve"> tilsette i hotell- og </w:t>
      </w:r>
      <w:proofErr w:type="spellStart"/>
      <w:r w:rsidRPr="00225D4D">
        <w:t>restaurantverksemd</w:t>
      </w:r>
      <w:proofErr w:type="spellEnd"/>
      <w:r w:rsidRPr="00225D4D">
        <w:t xml:space="preserve"> på turistskip registrerte i NIS med andre </w:t>
      </w:r>
      <w:proofErr w:type="spellStart"/>
      <w:r w:rsidRPr="00225D4D">
        <w:t>kategoriar</w:t>
      </w:r>
      <w:proofErr w:type="spellEnd"/>
      <w:r w:rsidRPr="00225D4D">
        <w:t xml:space="preserve"> av </w:t>
      </w:r>
      <w:proofErr w:type="spellStart"/>
      <w:r w:rsidRPr="00225D4D">
        <w:t>arbeidstakarar</w:t>
      </w:r>
      <w:proofErr w:type="spellEnd"/>
      <w:r w:rsidRPr="00225D4D">
        <w:t xml:space="preserve"> på slike skip. Det blei òg foreslått </w:t>
      </w:r>
      <w:proofErr w:type="spellStart"/>
      <w:r w:rsidRPr="00225D4D">
        <w:t>korresponderande</w:t>
      </w:r>
      <w:proofErr w:type="spellEnd"/>
      <w:r w:rsidRPr="00225D4D">
        <w:t xml:space="preserve"> </w:t>
      </w:r>
      <w:proofErr w:type="spellStart"/>
      <w:r w:rsidRPr="00225D4D">
        <w:t>endringar</w:t>
      </w:r>
      <w:proofErr w:type="spellEnd"/>
      <w:r w:rsidRPr="00225D4D">
        <w:t xml:space="preserve"> i andre lover.</w:t>
      </w:r>
    </w:p>
    <w:p w14:paraId="06603F32" w14:textId="77777777" w:rsidR="00D60186" w:rsidRPr="00225D4D" w:rsidRDefault="00D60186" w:rsidP="00225D4D">
      <w:r w:rsidRPr="00225D4D">
        <w:t xml:space="preserve">Da Stortinget behandla proposisjonen 6. mars 2025, blei han lagt ved protokollen, og det blei gjort </w:t>
      </w:r>
      <w:proofErr w:type="spellStart"/>
      <w:r w:rsidRPr="00225D4D">
        <w:t>eit</w:t>
      </w:r>
      <w:proofErr w:type="spellEnd"/>
      <w:r w:rsidRPr="00225D4D">
        <w:t xml:space="preserve"> oppmodingsvedtak. Slik departementet forstår oppmodingsvedtaket, ber Stortinget om ei utgreiing av </w:t>
      </w:r>
      <w:proofErr w:type="spellStart"/>
      <w:r w:rsidRPr="00225D4D">
        <w:t>moglegheita</w:t>
      </w:r>
      <w:proofErr w:type="spellEnd"/>
      <w:r w:rsidRPr="00225D4D">
        <w:t xml:space="preserve"> for å </w:t>
      </w:r>
      <w:proofErr w:type="spellStart"/>
      <w:r w:rsidRPr="00225D4D">
        <w:t>opne</w:t>
      </w:r>
      <w:proofErr w:type="spellEnd"/>
      <w:r w:rsidRPr="00225D4D">
        <w:t xml:space="preserve"> opp for frivillig medlemskap i folketrygda for den aktuelle yrkesgruppa, men da slik at denne </w:t>
      </w:r>
      <w:proofErr w:type="spellStart"/>
      <w:r w:rsidRPr="00225D4D">
        <w:t>moglegheita</w:t>
      </w:r>
      <w:proofErr w:type="spellEnd"/>
      <w:r w:rsidRPr="00225D4D">
        <w:t xml:space="preserve"> </w:t>
      </w:r>
      <w:proofErr w:type="spellStart"/>
      <w:r w:rsidRPr="00225D4D">
        <w:t>berre</w:t>
      </w:r>
      <w:proofErr w:type="spellEnd"/>
      <w:r w:rsidRPr="00225D4D">
        <w:t xml:space="preserve"> skal gjelde for norske </w:t>
      </w:r>
      <w:proofErr w:type="spellStart"/>
      <w:r w:rsidRPr="00225D4D">
        <w:t>arbeidstakarar</w:t>
      </w:r>
      <w:proofErr w:type="spellEnd"/>
      <w:r w:rsidRPr="00225D4D">
        <w:t xml:space="preserve">. Vi viser i denne </w:t>
      </w:r>
      <w:proofErr w:type="spellStart"/>
      <w:r w:rsidRPr="00225D4D">
        <w:t>samanhengen</w:t>
      </w:r>
      <w:proofErr w:type="spellEnd"/>
      <w:r w:rsidRPr="00225D4D">
        <w:t xml:space="preserve"> til at </w:t>
      </w:r>
      <w:proofErr w:type="spellStart"/>
      <w:r w:rsidRPr="00225D4D">
        <w:t>eit</w:t>
      </w:r>
      <w:proofErr w:type="spellEnd"/>
      <w:r w:rsidRPr="00225D4D">
        <w:t xml:space="preserve"> </w:t>
      </w:r>
      <w:proofErr w:type="spellStart"/>
      <w:r w:rsidRPr="00225D4D">
        <w:t>fleirtal</w:t>
      </w:r>
      <w:proofErr w:type="spellEnd"/>
      <w:r w:rsidRPr="00225D4D">
        <w:t xml:space="preserve"> i komiteen i innstillinga framheva som grunngiving for ei slik løysing at det «[…] kan bidra til å redusere bruken av utenlandsk arbeidskraft i denne delen av næringen».</w:t>
      </w:r>
    </w:p>
    <w:p w14:paraId="35651012" w14:textId="77777777" w:rsidR="00D60186" w:rsidRPr="00225D4D" w:rsidRDefault="00D60186" w:rsidP="00225D4D">
      <w:r w:rsidRPr="00225D4D">
        <w:t xml:space="preserve">Løysinga vil, som </w:t>
      </w:r>
      <w:proofErr w:type="spellStart"/>
      <w:r w:rsidRPr="00225D4D">
        <w:t>nemnt</w:t>
      </w:r>
      <w:proofErr w:type="spellEnd"/>
      <w:r w:rsidRPr="00225D4D">
        <w:t xml:space="preserve"> </w:t>
      </w:r>
      <w:proofErr w:type="spellStart"/>
      <w:r w:rsidRPr="00225D4D">
        <w:t>ovanfor</w:t>
      </w:r>
      <w:proofErr w:type="spellEnd"/>
      <w:r w:rsidRPr="00225D4D">
        <w:t xml:space="preserve">, </w:t>
      </w:r>
      <w:proofErr w:type="spellStart"/>
      <w:r w:rsidRPr="00225D4D">
        <w:t>innebere</w:t>
      </w:r>
      <w:proofErr w:type="spellEnd"/>
      <w:r w:rsidRPr="00225D4D">
        <w:t xml:space="preserve"> ei </w:t>
      </w:r>
      <w:proofErr w:type="spellStart"/>
      <w:r w:rsidRPr="00225D4D">
        <w:t>ulovleg</w:t>
      </w:r>
      <w:proofErr w:type="spellEnd"/>
      <w:r w:rsidRPr="00225D4D">
        <w:t xml:space="preserve"> forskjellsbehandling i EØS-</w:t>
      </w:r>
      <w:proofErr w:type="spellStart"/>
      <w:r w:rsidRPr="00225D4D">
        <w:t>rettsleg</w:t>
      </w:r>
      <w:proofErr w:type="spellEnd"/>
      <w:r w:rsidRPr="00225D4D">
        <w:t xml:space="preserve"> meining. Vi viser i denne </w:t>
      </w:r>
      <w:proofErr w:type="spellStart"/>
      <w:r w:rsidRPr="00225D4D">
        <w:t>samanhengen</w:t>
      </w:r>
      <w:proofErr w:type="spellEnd"/>
      <w:r w:rsidRPr="00225D4D">
        <w:t xml:space="preserve"> til </w:t>
      </w:r>
      <w:proofErr w:type="spellStart"/>
      <w:r w:rsidRPr="00225D4D">
        <w:t>diskrimineringsforbodet</w:t>
      </w:r>
      <w:proofErr w:type="spellEnd"/>
      <w:r w:rsidRPr="00225D4D">
        <w:t xml:space="preserve"> i artikkel 4 i EØS-avtalen og likebehandlingsprinsippet i artikkel 4 i trygdeforordninga, som var årsaka til at folketrygdlova § 2-12 i </w:t>
      </w:r>
      <w:proofErr w:type="spellStart"/>
      <w:r w:rsidRPr="00225D4D">
        <w:t>si</w:t>
      </w:r>
      <w:proofErr w:type="spellEnd"/>
      <w:r w:rsidRPr="00225D4D">
        <w:t xml:space="preserve"> tid blei gitt. Departementet </w:t>
      </w:r>
      <w:proofErr w:type="spellStart"/>
      <w:r w:rsidRPr="00225D4D">
        <w:t>legg</w:t>
      </w:r>
      <w:proofErr w:type="spellEnd"/>
      <w:r w:rsidRPr="00225D4D">
        <w:t xml:space="preserve"> derfor til grunn at løysinga </w:t>
      </w:r>
      <w:proofErr w:type="spellStart"/>
      <w:r w:rsidRPr="00225D4D">
        <w:t>ikkje</w:t>
      </w:r>
      <w:proofErr w:type="spellEnd"/>
      <w:r w:rsidRPr="00225D4D">
        <w:t xml:space="preserve"> kan </w:t>
      </w:r>
      <w:proofErr w:type="spellStart"/>
      <w:r w:rsidRPr="00225D4D">
        <w:t>innførast</w:t>
      </w:r>
      <w:proofErr w:type="spellEnd"/>
      <w:r w:rsidRPr="00225D4D">
        <w:t xml:space="preserve"> </w:t>
      </w:r>
      <w:proofErr w:type="spellStart"/>
      <w:r w:rsidRPr="00225D4D">
        <w:t>innanfor</w:t>
      </w:r>
      <w:proofErr w:type="spellEnd"/>
      <w:r w:rsidRPr="00225D4D">
        <w:t xml:space="preserve"> rammene av </w:t>
      </w:r>
      <w:proofErr w:type="spellStart"/>
      <w:r w:rsidRPr="00225D4D">
        <w:t>dei</w:t>
      </w:r>
      <w:proofErr w:type="spellEnd"/>
      <w:r w:rsidRPr="00225D4D">
        <w:t xml:space="preserve"> </w:t>
      </w:r>
      <w:proofErr w:type="spellStart"/>
      <w:r w:rsidRPr="00225D4D">
        <w:t>folkerettslege</w:t>
      </w:r>
      <w:proofErr w:type="spellEnd"/>
      <w:r w:rsidRPr="00225D4D">
        <w:t xml:space="preserve"> </w:t>
      </w:r>
      <w:proofErr w:type="spellStart"/>
      <w:r w:rsidRPr="00225D4D">
        <w:t>forpliktingane</w:t>
      </w:r>
      <w:proofErr w:type="spellEnd"/>
      <w:r w:rsidRPr="00225D4D">
        <w:t xml:space="preserve"> til </w:t>
      </w:r>
      <w:proofErr w:type="spellStart"/>
      <w:r w:rsidRPr="00225D4D">
        <w:t>Noreg</w:t>
      </w:r>
      <w:proofErr w:type="spellEnd"/>
      <w:r w:rsidRPr="00225D4D">
        <w:t>.</w:t>
      </w:r>
    </w:p>
    <w:p w14:paraId="01265125" w14:textId="77777777" w:rsidR="00D60186" w:rsidRPr="00225D4D" w:rsidRDefault="00D60186" w:rsidP="00225D4D">
      <w:r w:rsidRPr="00225D4D">
        <w:t>Regjeringa foreslår derfor at oppmodingsvedtaket blir oppheva.</w:t>
      </w:r>
    </w:p>
    <w:p w14:paraId="36039A4F" w14:textId="77777777" w:rsidR="00D60186" w:rsidRPr="00225D4D" w:rsidRDefault="00D60186" w:rsidP="00225D4D">
      <w:pPr>
        <w:pStyle w:val="avsnitt-tittel"/>
      </w:pPr>
      <w:r w:rsidRPr="00225D4D">
        <w:t xml:space="preserve">Initiativ til </w:t>
      </w:r>
      <w:proofErr w:type="spellStart"/>
      <w:r w:rsidRPr="00225D4D">
        <w:t>fleire</w:t>
      </w:r>
      <w:proofErr w:type="spellEnd"/>
      <w:r w:rsidRPr="00225D4D">
        <w:t xml:space="preserve"> bilaterale </w:t>
      </w:r>
      <w:proofErr w:type="spellStart"/>
      <w:r w:rsidRPr="00225D4D">
        <w:t>samarbeidsavtalar</w:t>
      </w:r>
      <w:proofErr w:type="spellEnd"/>
      <w:r w:rsidRPr="00225D4D">
        <w:t xml:space="preserve"> mot arbeidslivskriminalitet med aktuelle tredjeland</w:t>
      </w:r>
    </w:p>
    <w:p w14:paraId="4343A670" w14:textId="77777777" w:rsidR="00D60186" w:rsidRPr="00225D4D" w:rsidRDefault="00D60186" w:rsidP="00225D4D">
      <w:pPr>
        <w:pStyle w:val="avsnitt-undertittel"/>
      </w:pPr>
      <w:r w:rsidRPr="00225D4D">
        <w:t>Vedtak 539, 1. april 2025</w:t>
      </w:r>
    </w:p>
    <w:p w14:paraId="1554DE8C" w14:textId="77777777" w:rsidR="00D60186" w:rsidRPr="00225D4D" w:rsidRDefault="00D60186" w:rsidP="00225D4D">
      <w:pPr>
        <w:pStyle w:val="blokksit"/>
        <w:rPr>
          <w:rStyle w:val="kursiv"/>
        </w:rPr>
      </w:pPr>
      <w:r w:rsidRPr="00225D4D">
        <w:rPr>
          <w:rStyle w:val="kursiv"/>
        </w:rPr>
        <w:t>«Stortinget ber regjeringen ta initiativ til flere bilaterale samarbeidsavtaler mot arbeidslivskriminalitet med aktuelle tredjeland, for å oppnå mer strategisk og operativt samarbeid, og komme tilbake til Stortinget senest innen fremleggelsen av statsbudsjettet for 2026.»</w:t>
      </w:r>
    </w:p>
    <w:p w14:paraId="73EA5BC0"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 LS (2024–2025), </w:t>
      </w:r>
      <w:proofErr w:type="spellStart"/>
      <w:r w:rsidRPr="00225D4D">
        <w:t>Innst</w:t>
      </w:r>
      <w:proofErr w:type="spellEnd"/>
      <w:r w:rsidRPr="00225D4D">
        <w:t>. 182 S (2024–2025).</w:t>
      </w:r>
    </w:p>
    <w:p w14:paraId="00CECC1D" w14:textId="77777777" w:rsidR="00D60186" w:rsidRPr="00225D4D" w:rsidRDefault="00D60186" w:rsidP="00225D4D">
      <w:r w:rsidRPr="00225D4D">
        <w:t>Dei norske EØS-</w:t>
      </w:r>
      <w:proofErr w:type="spellStart"/>
      <w:r w:rsidRPr="00225D4D">
        <w:t>midlane</w:t>
      </w:r>
      <w:proofErr w:type="spellEnd"/>
      <w:r w:rsidRPr="00225D4D">
        <w:t xml:space="preserve"> har gjort det </w:t>
      </w:r>
      <w:proofErr w:type="spellStart"/>
      <w:r w:rsidRPr="00225D4D">
        <w:t>mogleg</w:t>
      </w:r>
      <w:proofErr w:type="spellEnd"/>
      <w:r w:rsidRPr="00225D4D">
        <w:t xml:space="preserve"> å utvikle </w:t>
      </w:r>
      <w:proofErr w:type="spellStart"/>
      <w:r w:rsidRPr="00225D4D">
        <w:t>eit</w:t>
      </w:r>
      <w:proofErr w:type="spellEnd"/>
      <w:r w:rsidRPr="00225D4D">
        <w:t xml:space="preserve"> </w:t>
      </w:r>
      <w:proofErr w:type="spellStart"/>
      <w:r w:rsidRPr="00225D4D">
        <w:t>nærmare</w:t>
      </w:r>
      <w:proofErr w:type="spellEnd"/>
      <w:r w:rsidRPr="00225D4D">
        <w:t xml:space="preserve"> samarbeid mellom arbeidstilsyna i </w:t>
      </w:r>
      <w:proofErr w:type="spellStart"/>
      <w:r w:rsidRPr="00225D4D">
        <w:t>Noreg</w:t>
      </w:r>
      <w:proofErr w:type="spellEnd"/>
      <w:r w:rsidRPr="00225D4D">
        <w:t xml:space="preserve"> og EU/EØS-land i Sentral- og Aust-Europa. Dette samarbeidet vil bli </w:t>
      </w:r>
      <w:proofErr w:type="spellStart"/>
      <w:r w:rsidRPr="00225D4D">
        <w:t>vidareført</w:t>
      </w:r>
      <w:proofErr w:type="spellEnd"/>
      <w:r w:rsidRPr="00225D4D">
        <w:t xml:space="preserve">. Som oppfølging av handlingsplanen mot sosial dumping og arbeidslivskriminalitet vil regjeringa vurdere behov og </w:t>
      </w:r>
      <w:proofErr w:type="spellStart"/>
      <w:r w:rsidRPr="00225D4D">
        <w:t>moglege</w:t>
      </w:r>
      <w:proofErr w:type="spellEnd"/>
      <w:r w:rsidRPr="00225D4D">
        <w:t xml:space="preserve"> </w:t>
      </w:r>
      <w:proofErr w:type="spellStart"/>
      <w:r w:rsidRPr="00225D4D">
        <w:t>løysingar</w:t>
      </w:r>
      <w:proofErr w:type="spellEnd"/>
      <w:r w:rsidRPr="00225D4D">
        <w:t xml:space="preserve"> for å styrke samarbeidet med </w:t>
      </w:r>
      <w:proofErr w:type="spellStart"/>
      <w:r w:rsidRPr="00225D4D">
        <w:t>myndigheiter</w:t>
      </w:r>
      <w:proofErr w:type="spellEnd"/>
      <w:r w:rsidRPr="00225D4D">
        <w:t xml:space="preserve"> i land </w:t>
      </w:r>
      <w:proofErr w:type="spellStart"/>
      <w:r w:rsidRPr="00225D4D">
        <w:t>utanfor</w:t>
      </w:r>
      <w:proofErr w:type="spellEnd"/>
      <w:r w:rsidRPr="00225D4D">
        <w:t xml:space="preserve"> EU/EØS-området. Det </w:t>
      </w:r>
      <w:proofErr w:type="spellStart"/>
      <w:r w:rsidRPr="00225D4D">
        <w:t>føreset</w:t>
      </w:r>
      <w:proofErr w:type="spellEnd"/>
      <w:r w:rsidRPr="00225D4D">
        <w:t xml:space="preserve"> finansiering av tiltaka, slik at </w:t>
      </w:r>
      <w:proofErr w:type="spellStart"/>
      <w:r w:rsidRPr="00225D4D">
        <w:t>mottakarlanda</w:t>
      </w:r>
      <w:proofErr w:type="spellEnd"/>
      <w:r w:rsidRPr="00225D4D">
        <w:t xml:space="preserve"> kan </w:t>
      </w:r>
      <w:proofErr w:type="spellStart"/>
      <w:r w:rsidRPr="00225D4D">
        <w:t>involverast</w:t>
      </w:r>
      <w:proofErr w:type="spellEnd"/>
      <w:r w:rsidRPr="00225D4D">
        <w:t>. Regjeringa vil komme tilbake til Stortinget på eigna vis.</w:t>
      </w:r>
    </w:p>
    <w:p w14:paraId="187935A7" w14:textId="77777777" w:rsidR="00D60186" w:rsidRPr="00225D4D" w:rsidRDefault="00D60186" w:rsidP="00225D4D">
      <w:pPr>
        <w:pStyle w:val="avsnitt-tittel"/>
      </w:pPr>
      <w:proofErr w:type="spellStart"/>
      <w:r w:rsidRPr="00225D4D">
        <w:t>Tydeleggjere</w:t>
      </w:r>
      <w:proofErr w:type="spellEnd"/>
      <w:r w:rsidRPr="00225D4D">
        <w:t xml:space="preserve"> at også menneske med utviklingshemming har krav på ei individuell arbeidsevnevurdering og bistand til å delta i arbeidslivet</w:t>
      </w:r>
    </w:p>
    <w:p w14:paraId="7D0BF539" w14:textId="77777777" w:rsidR="00D60186" w:rsidRPr="00225D4D" w:rsidRDefault="00D60186" w:rsidP="00225D4D">
      <w:pPr>
        <w:pStyle w:val="avsnitt-undertittel"/>
      </w:pPr>
      <w:r w:rsidRPr="00225D4D">
        <w:t>Vedtak 609, 6. mai 2025</w:t>
      </w:r>
    </w:p>
    <w:p w14:paraId="4ECB81D5" w14:textId="77777777" w:rsidR="00D60186" w:rsidRPr="00225D4D" w:rsidRDefault="00D60186" w:rsidP="00225D4D">
      <w:pPr>
        <w:pStyle w:val="blokksit"/>
        <w:rPr>
          <w:rStyle w:val="kursiv"/>
        </w:rPr>
      </w:pPr>
      <w:r w:rsidRPr="00225D4D">
        <w:rPr>
          <w:rStyle w:val="kursiv"/>
        </w:rPr>
        <w:t>«Stortinget ber regjeringen tydeliggjøre at også mennesker med utviklingshemming har krav på en individuell arbeidsevnevurdering og bistand til å delta i arbeidslivet.»</w:t>
      </w:r>
    </w:p>
    <w:p w14:paraId="70409CD2"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79CD1953" w14:textId="77777777" w:rsidR="00D60186" w:rsidRPr="00225D4D" w:rsidRDefault="00D60186" w:rsidP="00225D4D">
      <w:proofErr w:type="spellStart"/>
      <w:r w:rsidRPr="00225D4D">
        <w:t>Eit</w:t>
      </w:r>
      <w:proofErr w:type="spellEnd"/>
      <w:r w:rsidRPr="00225D4D">
        <w:t xml:space="preserve"> vilkår for å få innvilga uføretrygd er at inntektsevna til </w:t>
      </w:r>
      <w:proofErr w:type="spellStart"/>
      <w:r w:rsidRPr="00225D4D">
        <w:t>søkaren</w:t>
      </w:r>
      <w:proofErr w:type="spellEnd"/>
      <w:r w:rsidRPr="00225D4D">
        <w:t xml:space="preserve"> er nedsett med minst halvparten. Med mindre det er </w:t>
      </w:r>
      <w:proofErr w:type="spellStart"/>
      <w:r w:rsidRPr="00225D4D">
        <w:t>openbert</w:t>
      </w:r>
      <w:proofErr w:type="spellEnd"/>
      <w:r w:rsidRPr="00225D4D">
        <w:t xml:space="preserve"> at </w:t>
      </w:r>
      <w:proofErr w:type="spellStart"/>
      <w:r w:rsidRPr="00225D4D">
        <w:t>arbeidsretta</w:t>
      </w:r>
      <w:proofErr w:type="spellEnd"/>
      <w:r w:rsidRPr="00225D4D">
        <w:t xml:space="preserve"> tiltak </w:t>
      </w:r>
      <w:proofErr w:type="spellStart"/>
      <w:r w:rsidRPr="00225D4D">
        <w:t>ikkje</w:t>
      </w:r>
      <w:proofErr w:type="spellEnd"/>
      <w:r w:rsidRPr="00225D4D">
        <w:t xml:space="preserve"> er hensiktsmessige, kan uføretrygd </w:t>
      </w:r>
      <w:proofErr w:type="spellStart"/>
      <w:r w:rsidRPr="00225D4D">
        <w:t>berre</w:t>
      </w:r>
      <w:proofErr w:type="spellEnd"/>
      <w:r w:rsidRPr="00225D4D">
        <w:t xml:space="preserve"> </w:t>
      </w:r>
      <w:proofErr w:type="spellStart"/>
      <w:r w:rsidRPr="00225D4D">
        <w:t>innvilgast</w:t>
      </w:r>
      <w:proofErr w:type="spellEnd"/>
      <w:r w:rsidRPr="00225D4D">
        <w:t xml:space="preserve"> dersom </w:t>
      </w:r>
      <w:proofErr w:type="spellStart"/>
      <w:r w:rsidRPr="00225D4D">
        <w:t>søkaren</w:t>
      </w:r>
      <w:proofErr w:type="spellEnd"/>
      <w:r w:rsidRPr="00225D4D">
        <w:t xml:space="preserve"> har gjennomført eller prøvd å gjennomføre individuelle og hensiktsmessige </w:t>
      </w:r>
      <w:proofErr w:type="spellStart"/>
      <w:r w:rsidRPr="00225D4D">
        <w:t>arbeidsretta</w:t>
      </w:r>
      <w:proofErr w:type="spellEnd"/>
      <w:r w:rsidRPr="00225D4D">
        <w:t xml:space="preserve"> tiltak. Dei fleste må derfor få </w:t>
      </w:r>
      <w:proofErr w:type="spellStart"/>
      <w:r w:rsidRPr="00225D4D">
        <w:t>arbeidsretta</w:t>
      </w:r>
      <w:proofErr w:type="spellEnd"/>
      <w:r w:rsidRPr="00225D4D">
        <w:t xml:space="preserve"> bistand før </w:t>
      </w:r>
      <w:proofErr w:type="spellStart"/>
      <w:r w:rsidRPr="00225D4D">
        <w:t>dei</w:t>
      </w:r>
      <w:proofErr w:type="spellEnd"/>
      <w:r w:rsidRPr="00225D4D">
        <w:t xml:space="preserve"> kan få innvilga uføretrygd.</w:t>
      </w:r>
    </w:p>
    <w:p w14:paraId="4C517ADD" w14:textId="77777777" w:rsidR="00D60186" w:rsidRPr="00225D4D" w:rsidRDefault="00D60186" w:rsidP="00225D4D">
      <w:r w:rsidRPr="00225D4D">
        <w:t xml:space="preserve">Det følger av rundskriv at behandling av </w:t>
      </w:r>
      <w:proofErr w:type="spellStart"/>
      <w:r w:rsidRPr="00225D4D">
        <w:t>såkalla</w:t>
      </w:r>
      <w:proofErr w:type="spellEnd"/>
      <w:r w:rsidRPr="00225D4D">
        <w:t xml:space="preserve"> kurantsaker skal </w:t>
      </w:r>
      <w:proofErr w:type="spellStart"/>
      <w:r w:rsidRPr="00225D4D">
        <w:t>prioriterast</w:t>
      </w:r>
      <w:proofErr w:type="spellEnd"/>
      <w:r w:rsidRPr="00225D4D">
        <w:t xml:space="preserve">. Kurantsaker er saker der </w:t>
      </w:r>
      <w:proofErr w:type="spellStart"/>
      <w:r w:rsidRPr="00225D4D">
        <w:t>nokon</w:t>
      </w:r>
      <w:proofErr w:type="spellEnd"/>
      <w:r w:rsidRPr="00225D4D">
        <w:t xml:space="preserve"> har søkt om uføretrygd og det går klart fram av medisinske </w:t>
      </w:r>
      <w:proofErr w:type="spellStart"/>
      <w:r w:rsidRPr="00225D4D">
        <w:t>opplysningar</w:t>
      </w:r>
      <w:proofErr w:type="spellEnd"/>
      <w:r w:rsidRPr="00225D4D">
        <w:t xml:space="preserve"> og </w:t>
      </w:r>
      <w:proofErr w:type="spellStart"/>
      <w:r w:rsidRPr="00225D4D">
        <w:t>funksjonsbeskrivingane</w:t>
      </w:r>
      <w:proofErr w:type="spellEnd"/>
      <w:r w:rsidRPr="00225D4D">
        <w:t xml:space="preserve"> at heile inntektsevna til </w:t>
      </w:r>
      <w:proofErr w:type="spellStart"/>
      <w:r w:rsidRPr="00225D4D">
        <w:t>søkaren</w:t>
      </w:r>
      <w:proofErr w:type="spellEnd"/>
      <w:r w:rsidRPr="00225D4D">
        <w:t xml:space="preserve"> er varig nedsett. Saker der det er klart at </w:t>
      </w:r>
      <w:proofErr w:type="spellStart"/>
      <w:r w:rsidRPr="00225D4D">
        <w:t>søkaren</w:t>
      </w:r>
      <w:proofErr w:type="spellEnd"/>
      <w:r w:rsidRPr="00225D4D">
        <w:t xml:space="preserve"> </w:t>
      </w:r>
      <w:proofErr w:type="spellStart"/>
      <w:r w:rsidRPr="00225D4D">
        <w:t>ikkje</w:t>
      </w:r>
      <w:proofErr w:type="spellEnd"/>
      <w:r w:rsidRPr="00225D4D">
        <w:t xml:space="preserve"> kan fungere i </w:t>
      </w:r>
      <w:proofErr w:type="spellStart"/>
      <w:r w:rsidRPr="00225D4D">
        <w:t>eit</w:t>
      </w:r>
      <w:proofErr w:type="spellEnd"/>
      <w:r w:rsidRPr="00225D4D">
        <w:t xml:space="preserve"> ordinært arbeid på grunn av utviklingshemming, er </w:t>
      </w:r>
      <w:proofErr w:type="spellStart"/>
      <w:r w:rsidRPr="00225D4D">
        <w:t>nemnde</w:t>
      </w:r>
      <w:proofErr w:type="spellEnd"/>
      <w:r w:rsidRPr="00225D4D">
        <w:t xml:space="preserve"> som </w:t>
      </w:r>
      <w:proofErr w:type="spellStart"/>
      <w:r w:rsidRPr="00225D4D">
        <w:t>eitt</w:t>
      </w:r>
      <w:proofErr w:type="spellEnd"/>
      <w:r w:rsidRPr="00225D4D">
        <w:t xml:space="preserve"> av </w:t>
      </w:r>
      <w:proofErr w:type="spellStart"/>
      <w:r w:rsidRPr="00225D4D">
        <w:t>fleire</w:t>
      </w:r>
      <w:proofErr w:type="spellEnd"/>
      <w:r w:rsidRPr="00225D4D">
        <w:t xml:space="preserve"> eksempel på </w:t>
      </w:r>
      <w:proofErr w:type="spellStart"/>
      <w:r w:rsidRPr="00225D4D">
        <w:t>moglege</w:t>
      </w:r>
      <w:proofErr w:type="spellEnd"/>
      <w:r w:rsidRPr="00225D4D">
        <w:t xml:space="preserve"> kurantsaker. I slike </w:t>
      </w:r>
      <w:proofErr w:type="spellStart"/>
      <w:r w:rsidRPr="00225D4D">
        <w:t>tilfelle</w:t>
      </w:r>
      <w:proofErr w:type="spellEnd"/>
      <w:r w:rsidRPr="00225D4D">
        <w:t xml:space="preserve"> blir </w:t>
      </w:r>
      <w:proofErr w:type="spellStart"/>
      <w:r w:rsidRPr="00225D4D">
        <w:t>arbeidsretta</w:t>
      </w:r>
      <w:proofErr w:type="spellEnd"/>
      <w:r w:rsidRPr="00225D4D">
        <w:t xml:space="preserve"> bistand </w:t>
      </w:r>
      <w:proofErr w:type="spellStart"/>
      <w:r w:rsidRPr="00225D4D">
        <w:t>rekna</w:t>
      </w:r>
      <w:proofErr w:type="spellEnd"/>
      <w:r w:rsidRPr="00225D4D">
        <w:t xml:space="preserve"> som unødvendig for behandling av søknaden. Formålet med å prioritere kurantsaker er at </w:t>
      </w:r>
      <w:proofErr w:type="spellStart"/>
      <w:r w:rsidRPr="00225D4D">
        <w:t>personar</w:t>
      </w:r>
      <w:proofErr w:type="spellEnd"/>
      <w:r w:rsidRPr="00225D4D">
        <w:t xml:space="preserve"> som uansett </w:t>
      </w:r>
      <w:proofErr w:type="spellStart"/>
      <w:r w:rsidRPr="00225D4D">
        <w:t>ikkje</w:t>
      </w:r>
      <w:proofErr w:type="spellEnd"/>
      <w:r w:rsidRPr="00225D4D">
        <w:t xml:space="preserve"> kan fungere i </w:t>
      </w:r>
      <w:proofErr w:type="spellStart"/>
      <w:r w:rsidRPr="00225D4D">
        <w:t>eit</w:t>
      </w:r>
      <w:proofErr w:type="spellEnd"/>
      <w:r w:rsidRPr="00225D4D">
        <w:t xml:space="preserve"> ordinært arbeid, skal få behandla søknaden sin </w:t>
      </w:r>
      <w:proofErr w:type="spellStart"/>
      <w:r w:rsidRPr="00225D4D">
        <w:t>raskare</w:t>
      </w:r>
      <w:proofErr w:type="spellEnd"/>
      <w:r w:rsidRPr="00225D4D">
        <w:t>.</w:t>
      </w:r>
    </w:p>
    <w:p w14:paraId="6CE357E9" w14:textId="77777777" w:rsidR="00D60186" w:rsidRPr="00225D4D" w:rsidRDefault="00D60186" w:rsidP="00225D4D">
      <w:r w:rsidRPr="00225D4D">
        <w:t xml:space="preserve">Dersom det er uklart om </w:t>
      </w:r>
      <w:proofErr w:type="spellStart"/>
      <w:r w:rsidRPr="00225D4D">
        <w:t>ein</w:t>
      </w:r>
      <w:proofErr w:type="spellEnd"/>
      <w:r w:rsidRPr="00225D4D">
        <w:t xml:space="preserve"> person med utviklingshemming kan fungere i </w:t>
      </w:r>
      <w:proofErr w:type="spellStart"/>
      <w:r w:rsidRPr="00225D4D">
        <w:t>eit</w:t>
      </w:r>
      <w:proofErr w:type="spellEnd"/>
      <w:r w:rsidRPr="00225D4D">
        <w:t xml:space="preserve"> ordinært arbeid, eller det </w:t>
      </w:r>
      <w:proofErr w:type="spellStart"/>
      <w:r w:rsidRPr="00225D4D">
        <w:t>ikkje</w:t>
      </w:r>
      <w:proofErr w:type="spellEnd"/>
      <w:r w:rsidRPr="00225D4D">
        <w:t xml:space="preserve"> </w:t>
      </w:r>
      <w:proofErr w:type="spellStart"/>
      <w:r w:rsidRPr="00225D4D">
        <w:t>finst</w:t>
      </w:r>
      <w:proofErr w:type="spellEnd"/>
      <w:r w:rsidRPr="00225D4D">
        <w:t xml:space="preserve"> god nok dokumentasjon for å vurdere dette, skal Nav-kontoret vurdere arbeidsevna til personen før </w:t>
      </w:r>
      <w:proofErr w:type="spellStart"/>
      <w:r w:rsidRPr="00225D4D">
        <w:t>dei</w:t>
      </w:r>
      <w:proofErr w:type="spellEnd"/>
      <w:r w:rsidRPr="00225D4D">
        <w:t xml:space="preserve"> </w:t>
      </w:r>
      <w:proofErr w:type="spellStart"/>
      <w:r w:rsidRPr="00225D4D">
        <w:t>behandlar</w:t>
      </w:r>
      <w:proofErr w:type="spellEnd"/>
      <w:r w:rsidRPr="00225D4D">
        <w:t xml:space="preserve"> kravet om uføretrygd. Personen kan da få </w:t>
      </w:r>
      <w:proofErr w:type="spellStart"/>
      <w:r w:rsidRPr="00225D4D">
        <w:t>arbeidsavklaringspengar</w:t>
      </w:r>
      <w:proofErr w:type="spellEnd"/>
      <w:r w:rsidRPr="00225D4D">
        <w:t xml:space="preserve"> fram til arbeidsevna er avklart.</w:t>
      </w:r>
    </w:p>
    <w:p w14:paraId="68B06780" w14:textId="77777777" w:rsidR="00D60186" w:rsidRPr="00225D4D" w:rsidRDefault="00D60186" w:rsidP="00225D4D">
      <w:r w:rsidRPr="00225D4D">
        <w:t xml:space="preserve">Samtidig gir Nav-lova § 14 a alle som tar kontakt med Arbeids- og velferdsetaten, </w:t>
      </w:r>
      <w:proofErr w:type="spellStart"/>
      <w:r w:rsidRPr="00225D4D">
        <w:t>ein</w:t>
      </w:r>
      <w:proofErr w:type="spellEnd"/>
      <w:r w:rsidRPr="00225D4D">
        <w:t xml:space="preserve"> rett til å få vurdert behovet sitt for bistand til å komme i arbeid. I Ot.prp. nr. 4 (2008–2009) understreka departementet at også </w:t>
      </w:r>
      <w:proofErr w:type="spellStart"/>
      <w:r w:rsidRPr="00225D4D">
        <w:t>personar</w:t>
      </w:r>
      <w:proofErr w:type="spellEnd"/>
      <w:r w:rsidRPr="00225D4D">
        <w:t xml:space="preserve"> som på tidspunktet for vurderinga blir </w:t>
      </w:r>
      <w:proofErr w:type="spellStart"/>
      <w:r w:rsidRPr="00225D4D">
        <w:t>rekna</w:t>
      </w:r>
      <w:proofErr w:type="spellEnd"/>
      <w:r w:rsidRPr="00225D4D">
        <w:t xml:space="preserve"> som å stå langt </w:t>
      </w:r>
      <w:proofErr w:type="spellStart"/>
      <w:r w:rsidRPr="00225D4D">
        <w:t>frå</w:t>
      </w:r>
      <w:proofErr w:type="spellEnd"/>
      <w:r w:rsidRPr="00225D4D">
        <w:t xml:space="preserve"> arbeid, har rett til å få kartlagt behovet sitt for hjelp. Dette gjeld </w:t>
      </w:r>
      <w:proofErr w:type="spellStart"/>
      <w:r w:rsidRPr="00225D4D">
        <w:t>sjølv</w:t>
      </w:r>
      <w:proofErr w:type="spellEnd"/>
      <w:r w:rsidRPr="00225D4D">
        <w:t xml:space="preserve"> om slik bistand blir </w:t>
      </w:r>
      <w:proofErr w:type="spellStart"/>
      <w:r w:rsidRPr="00225D4D">
        <w:t>rekna</w:t>
      </w:r>
      <w:proofErr w:type="spellEnd"/>
      <w:r w:rsidRPr="00225D4D">
        <w:t xml:space="preserve"> som unødvendig for behandling av søknaden om uføretrygd. Regelen </w:t>
      </w:r>
      <w:proofErr w:type="spellStart"/>
      <w:r w:rsidRPr="00225D4D">
        <w:t>gjeld</w:t>
      </w:r>
      <w:proofErr w:type="spellEnd"/>
      <w:r w:rsidRPr="00225D4D">
        <w:t xml:space="preserve"> for alle, også </w:t>
      </w:r>
      <w:proofErr w:type="spellStart"/>
      <w:r w:rsidRPr="00225D4D">
        <w:t>personar</w:t>
      </w:r>
      <w:proofErr w:type="spellEnd"/>
      <w:r w:rsidRPr="00225D4D">
        <w:t xml:space="preserve"> med utviklingshemming, og også </w:t>
      </w:r>
      <w:proofErr w:type="spellStart"/>
      <w:r w:rsidRPr="00225D4D">
        <w:t>personar</w:t>
      </w:r>
      <w:proofErr w:type="spellEnd"/>
      <w:r w:rsidRPr="00225D4D">
        <w:t xml:space="preserve"> som får uføretrygd. </w:t>
      </w:r>
      <w:proofErr w:type="spellStart"/>
      <w:r w:rsidRPr="00225D4D">
        <w:t>Personar</w:t>
      </w:r>
      <w:proofErr w:type="spellEnd"/>
      <w:r w:rsidRPr="00225D4D">
        <w:t xml:space="preserve"> som har behov for ei </w:t>
      </w:r>
      <w:proofErr w:type="spellStart"/>
      <w:r w:rsidRPr="00225D4D">
        <w:t>meir</w:t>
      </w:r>
      <w:proofErr w:type="spellEnd"/>
      <w:r w:rsidRPr="00225D4D">
        <w:t xml:space="preserve"> </w:t>
      </w:r>
      <w:proofErr w:type="spellStart"/>
      <w:r w:rsidRPr="00225D4D">
        <w:t>omfattande</w:t>
      </w:r>
      <w:proofErr w:type="spellEnd"/>
      <w:r w:rsidRPr="00225D4D">
        <w:t xml:space="preserve"> vurdering av behovet for bistand, har altså </w:t>
      </w:r>
      <w:proofErr w:type="spellStart"/>
      <w:r w:rsidRPr="00225D4D">
        <w:t>allereie</w:t>
      </w:r>
      <w:proofErr w:type="spellEnd"/>
      <w:r w:rsidRPr="00225D4D">
        <w:t xml:space="preserve"> </w:t>
      </w:r>
      <w:proofErr w:type="spellStart"/>
      <w:r w:rsidRPr="00225D4D">
        <w:t>ein</w:t>
      </w:r>
      <w:proofErr w:type="spellEnd"/>
      <w:r w:rsidRPr="00225D4D">
        <w:t xml:space="preserve"> rett til å få ei arbeidsevnevurdering.</w:t>
      </w:r>
    </w:p>
    <w:p w14:paraId="527F7C08" w14:textId="77777777" w:rsidR="00D60186" w:rsidRPr="00225D4D" w:rsidRDefault="00D60186" w:rsidP="00225D4D">
      <w:r w:rsidRPr="00225D4D">
        <w:t xml:space="preserve">At </w:t>
      </w:r>
      <w:proofErr w:type="spellStart"/>
      <w:r w:rsidRPr="00225D4D">
        <w:t>ein</w:t>
      </w:r>
      <w:proofErr w:type="spellEnd"/>
      <w:r w:rsidRPr="00225D4D">
        <w:t xml:space="preserve"> person har utviklingshemming og får uføretrygd, er m.a.o. </w:t>
      </w:r>
      <w:proofErr w:type="spellStart"/>
      <w:r w:rsidRPr="00225D4D">
        <w:t>ikkje</w:t>
      </w:r>
      <w:proofErr w:type="spellEnd"/>
      <w:r w:rsidRPr="00225D4D">
        <w:t xml:space="preserve"> til hinder for at personen kan få </w:t>
      </w:r>
      <w:proofErr w:type="spellStart"/>
      <w:r w:rsidRPr="00225D4D">
        <w:t>arbeidsretta</w:t>
      </w:r>
      <w:proofErr w:type="spellEnd"/>
      <w:r w:rsidRPr="00225D4D">
        <w:t xml:space="preserve"> bistand og </w:t>
      </w:r>
      <w:proofErr w:type="spellStart"/>
      <w:r w:rsidRPr="00225D4D">
        <w:t>tilbod</w:t>
      </w:r>
      <w:proofErr w:type="spellEnd"/>
      <w:r w:rsidRPr="00225D4D">
        <w:t xml:space="preserve"> om </w:t>
      </w:r>
      <w:proofErr w:type="spellStart"/>
      <w:r w:rsidRPr="00225D4D">
        <w:t>arbeidsmarknadstiltak</w:t>
      </w:r>
      <w:proofErr w:type="spellEnd"/>
      <w:r w:rsidRPr="00225D4D">
        <w:t xml:space="preserve">. Det er likevel </w:t>
      </w:r>
      <w:proofErr w:type="spellStart"/>
      <w:r w:rsidRPr="00225D4D">
        <w:t>ikkje</w:t>
      </w:r>
      <w:proofErr w:type="spellEnd"/>
      <w:r w:rsidRPr="00225D4D">
        <w:t xml:space="preserve"> </w:t>
      </w:r>
      <w:proofErr w:type="spellStart"/>
      <w:r w:rsidRPr="00225D4D">
        <w:t>nokon</w:t>
      </w:r>
      <w:proofErr w:type="spellEnd"/>
      <w:r w:rsidRPr="00225D4D">
        <w:t xml:space="preserve"> rett til å delta i </w:t>
      </w:r>
      <w:proofErr w:type="spellStart"/>
      <w:r w:rsidRPr="00225D4D">
        <w:t>arbeidsmarknadstiltak</w:t>
      </w:r>
      <w:proofErr w:type="spellEnd"/>
      <w:r w:rsidRPr="00225D4D">
        <w:t xml:space="preserve">, men også det </w:t>
      </w:r>
      <w:proofErr w:type="spellStart"/>
      <w:r w:rsidRPr="00225D4D">
        <w:t>gjeld</w:t>
      </w:r>
      <w:proofErr w:type="spellEnd"/>
      <w:r w:rsidRPr="00225D4D">
        <w:t xml:space="preserve"> alle og </w:t>
      </w:r>
      <w:proofErr w:type="spellStart"/>
      <w:r w:rsidRPr="00225D4D">
        <w:t>ikkje</w:t>
      </w:r>
      <w:proofErr w:type="spellEnd"/>
      <w:r w:rsidRPr="00225D4D">
        <w:t xml:space="preserve"> </w:t>
      </w:r>
      <w:proofErr w:type="spellStart"/>
      <w:r w:rsidRPr="00225D4D">
        <w:t>berre</w:t>
      </w:r>
      <w:proofErr w:type="spellEnd"/>
      <w:r w:rsidRPr="00225D4D">
        <w:t xml:space="preserve"> </w:t>
      </w:r>
      <w:proofErr w:type="spellStart"/>
      <w:r w:rsidRPr="00225D4D">
        <w:t>personar</w:t>
      </w:r>
      <w:proofErr w:type="spellEnd"/>
      <w:r w:rsidRPr="00225D4D">
        <w:t xml:space="preserve"> med utviklingshemming. </w:t>
      </w:r>
      <w:proofErr w:type="spellStart"/>
      <w:r w:rsidRPr="00225D4D">
        <w:t>Arbeidsmarknadstiltak</w:t>
      </w:r>
      <w:proofErr w:type="spellEnd"/>
      <w:r w:rsidRPr="00225D4D">
        <w:t xml:space="preserve"> blir tildelte etter ei individuell vurdering av kva slags </w:t>
      </w:r>
      <w:proofErr w:type="spellStart"/>
      <w:r w:rsidRPr="00225D4D">
        <w:t>arbeidsretta</w:t>
      </w:r>
      <w:proofErr w:type="spellEnd"/>
      <w:r w:rsidRPr="00225D4D">
        <w:t xml:space="preserve"> bistand den enkelte treng.</w:t>
      </w:r>
    </w:p>
    <w:p w14:paraId="7FC61346" w14:textId="77777777" w:rsidR="00D60186" w:rsidRPr="00225D4D" w:rsidRDefault="00D60186" w:rsidP="00225D4D">
      <w:r w:rsidRPr="00225D4D">
        <w:t xml:space="preserve">Varig tilrettelagt arbeid er </w:t>
      </w:r>
      <w:proofErr w:type="spellStart"/>
      <w:r w:rsidRPr="00225D4D">
        <w:t>eit</w:t>
      </w:r>
      <w:proofErr w:type="spellEnd"/>
      <w:r w:rsidRPr="00225D4D">
        <w:t xml:space="preserve"> </w:t>
      </w:r>
      <w:proofErr w:type="spellStart"/>
      <w:r w:rsidRPr="00225D4D">
        <w:t>arbeidsmarknadstiltak</w:t>
      </w:r>
      <w:proofErr w:type="spellEnd"/>
      <w:r w:rsidRPr="00225D4D">
        <w:t xml:space="preserve"> for </w:t>
      </w:r>
      <w:proofErr w:type="spellStart"/>
      <w:r w:rsidRPr="00225D4D">
        <w:t>personar</w:t>
      </w:r>
      <w:proofErr w:type="spellEnd"/>
      <w:r w:rsidRPr="00225D4D">
        <w:t xml:space="preserve"> som får uføretrygd eller </w:t>
      </w:r>
      <w:proofErr w:type="spellStart"/>
      <w:r w:rsidRPr="00225D4D">
        <w:t>venteleg</w:t>
      </w:r>
      <w:proofErr w:type="spellEnd"/>
      <w:r w:rsidRPr="00225D4D">
        <w:t xml:space="preserve"> får det i nær framtid, og som har behov for spesiell tilrettelegging og tett oppfølging. Varig tilrettelagt arbeid er </w:t>
      </w:r>
      <w:proofErr w:type="spellStart"/>
      <w:r w:rsidRPr="00225D4D">
        <w:t>eit</w:t>
      </w:r>
      <w:proofErr w:type="spellEnd"/>
      <w:r w:rsidRPr="00225D4D">
        <w:t xml:space="preserve"> viktig tiltak for </w:t>
      </w:r>
      <w:proofErr w:type="spellStart"/>
      <w:r w:rsidRPr="00225D4D">
        <w:t>personar</w:t>
      </w:r>
      <w:proofErr w:type="spellEnd"/>
      <w:r w:rsidRPr="00225D4D">
        <w:t xml:space="preserve"> med utviklingshemming, og gruppa er prioritert for inntak til tiltaket.</w:t>
      </w:r>
    </w:p>
    <w:p w14:paraId="6CDE527F" w14:textId="77777777" w:rsidR="00D60186" w:rsidRPr="00225D4D" w:rsidRDefault="00D60186" w:rsidP="00225D4D">
      <w:r w:rsidRPr="00225D4D">
        <w:t xml:space="preserve">Regjeringa ønsker å </w:t>
      </w:r>
      <w:proofErr w:type="spellStart"/>
      <w:r w:rsidRPr="00225D4D">
        <w:t>tydeleggjere</w:t>
      </w:r>
      <w:proofErr w:type="spellEnd"/>
      <w:r w:rsidRPr="00225D4D">
        <w:t xml:space="preserve"> at </w:t>
      </w:r>
      <w:proofErr w:type="spellStart"/>
      <w:r w:rsidRPr="00225D4D">
        <w:t>mottakarar</w:t>
      </w:r>
      <w:proofErr w:type="spellEnd"/>
      <w:r w:rsidRPr="00225D4D">
        <w:t xml:space="preserve"> av uføretrygd kan få bistand til å komme i arbeid. </w:t>
      </w:r>
      <w:proofErr w:type="spellStart"/>
      <w:r w:rsidRPr="00225D4D">
        <w:t>Frå</w:t>
      </w:r>
      <w:proofErr w:type="spellEnd"/>
      <w:r w:rsidRPr="00225D4D">
        <w:t xml:space="preserve"> 2026 vil alle unge </w:t>
      </w:r>
      <w:proofErr w:type="spellStart"/>
      <w:r w:rsidRPr="00225D4D">
        <w:t>mottakarar</w:t>
      </w:r>
      <w:proofErr w:type="spellEnd"/>
      <w:r w:rsidRPr="00225D4D">
        <w:t xml:space="preserve"> av uføretrygd som har </w:t>
      </w:r>
      <w:proofErr w:type="spellStart"/>
      <w:r w:rsidRPr="00225D4D">
        <w:t>vore</w:t>
      </w:r>
      <w:proofErr w:type="spellEnd"/>
      <w:r w:rsidRPr="00225D4D">
        <w:t xml:space="preserve"> uføre i minst to år, få ei melding </w:t>
      </w:r>
      <w:proofErr w:type="spellStart"/>
      <w:r w:rsidRPr="00225D4D">
        <w:t>frå</w:t>
      </w:r>
      <w:proofErr w:type="spellEnd"/>
      <w:r w:rsidRPr="00225D4D">
        <w:t xml:space="preserve"> Arbeids- og velferdsetaten som forklarer regelverket og informerer om </w:t>
      </w:r>
      <w:proofErr w:type="spellStart"/>
      <w:r w:rsidRPr="00225D4D">
        <w:t>moglegheitene</w:t>
      </w:r>
      <w:proofErr w:type="spellEnd"/>
      <w:r w:rsidRPr="00225D4D">
        <w:t xml:space="preserve"> for </w:t>
      </w:r>
      <w:proofErr w:type="spellStart"/>
      <w:r w:rsidRPr="00225D4D">
        <w:t>arbeidsretta</w:t>
      </w:r>
      <w:proofErr w:type="spellEnd"/>
      <w:r w:rsidRPr="00225D4D">
        <w:t xml:space="preserve"> oppfølging. Sjå </w:t>
      </w:r>
      <w:proofErr w:type="spellStart"/>
      <w:r w:rsidRPr="00225D4D">
        <w:t>nærmare</w:t>
      </w:r>
      <w:proofErr w:type="spellEnd"/>
      <w:r w:rsidRPr="00225D4D">
        <w:t xml:space="preserve"> omtale under del II, punkt 6.1.2. Også unge </w:t>
      </w:r>
      <w:proofErr w:type="spellStart"/>
      <w:r w:rsidRPr="00225D4D">
        <w:t>mottakarar</w:t>
      </w:r>
      <w:proofErr w:type="spellEnd"/>
      <w:r w:rsidRPr="00225D4D">
        <w:t xml:space="preserve"> med utviklingshemming vil få denne meldinga. Med det ser departementet oppmodingsvedtaket som </w:t>
      </w:r>
      <w:proofErr w:type="spellStart"/>
      <w:r w:rsidRPr="00225D4D">
        <w:t>følgt</w:t>
      </w:r>
      <w:proofErr w:type="spellEnd"/>
      <w:r w:rsidRPr="00225D4D">
        <w:t xml:space="preserve"> opp.</w:t>
      </w:r>
    </w:p>
    <w:p w14:paraId="280FCBE6" w14:textId="77777777" w:rsidR="00D60186" w:rsidRPr="00225D4D" w:rsidRDefault="00D60186" w:rsidP="00225D4D">
      <w:pPr>
        <w:pStyle w:val="avsnitt-tittel"/>
      </w:pPr>
      <w:proofErr w:type="spellStart"/>
      <w:r w:rsidRPr="00225D4D">
        <w:t>Endringar</w:t>
      </w:r>
      <w:proofErr w:type="spellEnd"/>
      <w:r w:rsidRPr="00225D4D">
        <w:t xml:space="preserve"> i tiltaksforskrifta for </w:t>
      </w:r>
      <w:proofErr w:type="gramStart"/>
      <w:r w:rsidRPr="00225D4D">
        <w:t>utsette</w:t>
      </w:r>
      <w:proofErr w:type="gramEnd"/>
      <w:r w:rsidRPr="00225D4D">
        <w:t xml:space="preserve"> unge i alderen 16 til 19 år</w:t>
      </w:r>
    </w:p>
    <w:p w14:paraId="010DF07A" w14:textId="77777777" w:rsidR="00D60186" w:rsidRPr="00225D4D" w:rsidRDefault="00D60186" w:rsidP="00225D4D">
      <w:pPr>
        <w:pStyle w:val="avsnitt-undertittel"/>
      </w:pPr>
      <w:r w:rsidRPr="00225D4D">
        <w:t>Vedtak 610, 6. mai 2025</w:t>
      </w:r>
    </w:p>
    <w:p w14:paraId="0ECF3B76" w14:textId="77777777" w:rsidR="00D60186" w:rsidRPr="00225D4D" w:rsidRDefault="00D60186" w:rsidP="00225D4D">
      <w:pPr>
        <w:pStyle w:val="blokksit"/>
        <w:rPr>
          <w:rStyle w:val="kursiv"/>
        </w:rPr>
      </w:pPr>
      <w:r w:rsidRPr="00225D4D">
        <w:rPr>
          <w:rStyle w:val="kursiv"/>
        </w:rPr>
        <w:t>«Stortinget ber regjeringen endre tiltaksforskriften med virkning fra 1. august 2025 slik at Arbeids- og velferdsetaten ved særlige tilfeller kan være med og medfinansiere tiltak for utsatte unge i alderen 16 til 19 år. Derved kan disse få fullført sin tilrettelagte fag- og yrkesopplæring gjennom et offentlig-offentlig samarbeid med fylkeskommunen.»</w:t>
      </w:r>
    </w:p>
    <w:p w14:paraId="3F28C7C1"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1A840AB3" w14:textId="77777777" w:rsidR="00D60186" w:rsidRPr="00225D4D" w:rsidRDefault="00D60186" w:rsidP="00225D4D">
      <w:r w:rsidRPr="00225D4D">
        <w:t xml:space="preserve">Arbeids- og inkluderingsdepartementet har vedtatt </w:t>
      </w:r>
      <w:proofErr w:type="spellStart"/>
      <w:r w:rsidRPr="00225D4D">
        <w:t>endringar</w:t>
      </w:r>
      <w:proofErr w:type="spellEnd"/>
      <w:r w:rsidRPr="00225D4D">
        <w:t xml:space="preserve"> i opplæringstiltaket som gir Arbeids- og velferdsetaten </w:t>
      </w:r>
      <w:proofErr w:type="spellStart"/>
      <w:r w:rsidRPr="00225D4D">
        <w:t>moglegheit</w:t>
      </w:r>
      <w:proofErr w:type="spellEnd"/>
      <w:r w:rsidRPr="00225D4D">
        <w:t xml:space="preserve"> til å tilby ungdom i alderen 16–19 år, som har falle ut av ordinær skolegang, </w:t>
      </w:r>
      <w:proofErr w:type="spellStart"/>
      <w:r w:rsidRPr="00225D4D">
        <w:t>eit</w:t>
      </w:r>
      <w:proofErr w:type="spellEnd"/>
      <w:r w:rsidRPr="00225D4D">
        <w:t xml:space="preserve"> alternativt og tilrettelagt fag- og </w:t>
      </w:r>
      <w:proofErr w:type="spellStart"/>
      <w:r w:rsidRPr="00225D4D">
        <w:t>yrkesopplæringstilbod</w:t>
      </w:r>
      <w:proofErr w:type="spellEnd"/>
      <w:r w:rsidRPr="00225D4D">
        <w:t xml:space="preserve"> i samarbeid med fylkeskommunen. Departementet har </w:t>
      </w:r>
      <w:proofErr w:type="spellStart"/>
      <w:r w:rsidRPr="00225D4D">
        <w:t>vidare</w:t>
      </w:r>
      <w:proofErr w:type="spellEnd"/>
      <w:r w:rsidRPr="00225D4D">
        <w:t xml:space="preserve"> gjort </w:t>
      </w:r>
      <w:proofErr w:type="spellStart"/>
      <w:r w:rsidRPr="00225D4D">
        <w:t>endringar</w:t>
      </w:r>
      <w:proofErr w:type="spellEnd"/>
      <w:r w:rsidRPr="00225D4D">
        <w:t xml:space="preserve"> i mentortiltaket som </w:t>
      </w:r>
      <w:proofErr w:type="spellStart"/>
      <w:r w:rsidRPr="00225D4D">
        <w:t>opnar</w:t>
      </w:r>
      <w:proofErr w:type="spellEnd"/>
      <w:r w:rsidRPr="00225D4D">
        <w:t xml:space="preserve"> for at alle under 30 år som gjennomfører tilrettelagd fag- og yrkesopplæring, kan få støtte og oppfølging </w:t>
      </w:r>
      <w:proofErr w:type="spellStart"/>
      <w:r w:rsidRPr="00225D4D">
        <w:t>frå</w:t>
      </w:r>
      <w:proofErr w:type="spellEnd"/>
      <w:r w:rsidRPr="00225D4D">
        <w:t xml:space="preserve"> </w:t>
      </w:r>
      <w:proofErr w:type="spellStart"/>
      <w:r w:rsidRPr="00225D4D">
        <w:t>ein</w:t>
      </w:r>
      <w:proofErr w:type="spellEnd"/>
      <w:r w:rsidRPr="00225D4D">
        <w:t xml:space="preserve"> mentor i inntil tre år. Endringa </w:t>
      </w:r>
      <w:proofErr w:type="spellStart"/>
      <w:r w:rsidRPr="00225D4D">
        <w:t>legg</w:t>
      </w:r>
      <w:proofErr w:type="spellEnd"/>
      <w:r w:rsidRPr="00225D4D">
        <w:t xml:space="preserve"> til rette for at </w:t>
      </w:r>
      <w:proofErr w:type="spellStart"/>
      <w:r w:rsidRPr="00225D4D">
        <w:t>arbeidsgivarar</w:t>
      </w:r>
      <w:proofErr w:type="spellEnd"/>
      <w:r w:rsidRPr="00225D4D">
        <w:t xml:space="preserve"> som </w:t>
      </w:r>
      <w:proofErr w:type="spellStart"/>
      <w:r w:rsidRPr="00225D4D">
        <w:t>tilset</w:t>
      </w:r>
      <w:proofErr w:type="spellEnd"/>
      <w:r w:rsidRPr="00225D4D">
        <w:t xml:space="preserve"> </w:t>
      </w:r>
      <w:proofErr w:type="spellStart"/>
      <w:r w:rsidRPr="00225D4D">
        <w:t>lærlingar</w:t>
      </w:r>
      <w:proofErr w:type="spellEnd"/>
      <w:r w:rsidRPr="00225D4D">
        <w:t xml:space="preserve"> eller </w:t>
      </w:r>
      <w:proofErr w:type="spellStart"/>
      <w:r w:rsidRPr="00225D4D">
        <w:t>lærekandidatar</w:t>
      </w:r>
      <w:proofErr w:type="spellEnd"/>
      <w:r w:rsidRPr="00225D4D">
        <w:t xml:space="preserve"> som er i </w:t>
      </w:r>
      <w:proofErr w:type="spellStart"/>
      <w:r w:rsidRPr="00225D4D">
        <w:t>eit</w:t>
      </w:r>
      <w:proofErr w:type="spellEnd"/>
      <w:r w:rsidRPr="00225D4D">
        <w:t xml:space="preserve"> opplæringstiltak via Arbeids- og velferdsetaten, kan få økonomisk </w:t>
      </w:r>
      <w:proofErr w:type="spellStart"/>
      <w:r w:rsidRPr="00225D4D">
        <w:t>tilskot</w:t>
      </w:r>
      <w:proofErr w:type="spellEnd"/>
      <w:r w:rsidRPr="00225D4D">
        <w:t xml:space="preserve"> til å følge </w:t>
      </w:r>
      <w:proofErr w:type="spellStart"/>
      <w:r w:rsidRPr="00225D4D">
        <w:t>dei</w:t>
      </w:r>
      <w:proofErr w:type="spellEnd"/>
      <w:r w:rsidRPr="00225D4D">
        <w:t xml:space="preserve"> opp gjennom skoleløpet.</w:t>
      </w:r>
    </w:p>
    <w:p w14:paraId="569B2D13" w14:textId="77777777" w:rsidR="00D60186" w:rsidRPr="00225D4D" w:rsidRDefault="00D60186" w:rsidP="00225D4D">
      <w:proofErr w:type="spellStart"/>
      <w:r w:rsidRPr="00225D4D">
        <w:t>Forskriftsendringane</w:t>
      </w:r>
      <w:proofErr w:type="spellEnd"/>
      <w:r w:rsidRPr="00225D4D">
        <w:t xml:space="preserve"> tredde i kraft 1. august 2025. Med det ser departementet oppmodingsvedtaket som </w:t>
      </w:r>
      <w:proofErr w:type="spellStart"/>
      <w:r w:rsidRPr="00225D4D">
        <w:t>følgt</w:t>
      </w:r>
      <w:proofErr w:type="spellEnd"/>
      <w:r w:rsidRPr="00225D4D">
        <w:t xml:space="preserve"> opp.</w:t>
      </w:r>
    </w:p>
    <w:p w14:paraId="1A1D06A6" w14:textId="77777777" w:rsidR="00D60186" w:rsidRPr="00225D4D" w:rsidRDefault="00D60186" w:rsidP="00225D4D">
      <w:pPr>
        <w:pStyle w:val="avsnitt-tittel"/>
      </w:pPr>
      <w:r w:rsidRPr="00225D4D">
        <w:t>Fremme forslag om å heve fribeløpet for uføre</w:t>
      </w:r>
    </w:p>
    <w:p w14:paraId="6694D27D" w14:textId="77777777" w:rsidR="00D60186" w:rsidRPr="00225D4D" w:rsidRDefault="00D60186" w:rsidP="00225D4D">
      <w:pPr>
        <w:pStyle w:val="avsnitt-undertittel"/>
      </w:pPr>
      <w:r w:rsidRPr="00225D4D">
        <w:t>Vedtak 611, 6. mai 2025</w:t>
      </w:r>
    </w:p>
    <w:p w14:paraId="765BEA7C" w14:textId="77777777" w:rsidR="00D60186" w:rsidRPr="00225D4D" w:rsidRDefault="00D60186" w:rsidP="00225D4D">
      <w:pPr>
        <w:pStyle w:val="blokksit"/>
        <w:rPr>
          <w:rStyle w:val="kursiv"/>
        </w:rPr>
      </w:pPr>
      <w:r w:rsidRPr="00225D4D">
        <w:rPr>
          <w:rStyle w:val="kursiv"/>
        </w:rPr>
        <w:t>«Stortinget ber regjeringen fremme forslag om å heve fribeløpet for uføre.»</w:t>
      </w:r>
    </w:p>
    <w:p w14:paraId="3F3F9886"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05CB21BA" w14:textId="77777777" w:rsidR="00D60186" w:rsidRPr="00225D4D" w:rsidRDefault="00D60186" w:rsidP="00225D4D">
      <w:r w:rsidRPr="00225D4D">
        <w:t xml:space="preserve">Oppmodingsvedtaket er til vurdering i departementet. Regjeringa vil komme tilbake til Stortinget på </w:t>
      </w:r>
      <w:proofErr w:type="spellStart"/>
      <w:r w:rsidRPr="00225D4D">
        <w:t>eit</w:t>
      </w:r>
      <w:proofErr w:type="spellEnd"/>
      <w:r w:rsidRPr="00225D4D">
        <w:t xml:space="preserve"> </w:t>
      </w:r>
      <w:proofErr w:type="spellStart"/>
      <w:r w:rsidRPr="00225D4D">
        <w:t>seinare</w:t>
      </w:r>
      <w:proofErr w:type="spellEnd"/>
      <w:r w:rsidRPr="00225D4D">
        <w:t xml:space="preserve"> tidspunkt.</w:t>
      </w:r>
    </w:p>
    <w:p w14:paraId="5CD99643" w14:textId="77777777" w:rsidR="00D60186" w:rsidRPr="00225D4D" w:rsidRDefault="00D60186" w:rsidP="00225D4D">
      <w:r w:rsidRPr="00225D4D">
        <w:t xml:space="preserve">Departementet viser samtidig til omtalen under oppmodingsvedtak 937, 16. juni 2023, der det </w:t>
      </w:r>
      <w:proofErr w:type="spellStart"/>
      <w:r w:rsidRPr="00225D4D">
        <w:t>no</w:t>
      </w:r>
      <w:proofErr w:type="spellEnd"/>
      <w:r w:rsidRPr="00225D4D">
        <w:t xml:space="preserve"> blir foreslått andre </w:t>
      </w:r>
      <w:proofErr w:type="spellStart"/>
      <w:r w:rsidRPr="00225D4D">
        <w:t>endringar</w:t>
      </w:r>
      <w:proofErr w:type="spellEnd"/>
      <w:r w:rsidRPr="00225D4D">
        <w:t xml:space="preserve"> for å </w:t>
      </w:r>
      <w:proofErr w:type="spellStart"/>
      <w:r w:rsidRPr="00225D4D">
        <w:t>gjere</w:t>
      </w:r>
      <w:proofErr w:type="spellEnd"/>
      <w:r w:rsidRPr="00225D4D">
        <w:t xml:space="preserve"> det </w:t>
      </w:r>
      <w:proofErr w:type="spellStart"/>
      <w:r w:rsidRPr="00225D4D">
        <w:t>enklare</w:t>
      </w:r>
      <w:proofErr w:type="spellEnd"/>
      <w:r w:rsidRPr="00225D4D">
        <w:t xml:space="preserve"> å kombinere uføretrygd med arbeidsinntekt.</w:t>
      </w:r>
    </w:p>
    <w:p w14:paraId="2266834D" w14:textId="77777777" w:rsidR="00D60186" w:rsidRPr="00225D4D" w:rsidRDefault="00D60186" w:rsidP="00225D4D">
      <w:pPr>
        <w:pStyle w:val="avsnitt-tittel"/>
      </w:pPr>
      <w:r w:rsidRPr="00225D4D">
        <w:t xml:space="preserve">Arbeide for at gradert sjukmelding blir brukt i større grad, og for at Nav-kontoret </w:t>
      </w:r>
      <w:proofErr w:type="spellStart"/>
      <w:r w:rsidRPr="00225D4D">
        <w:t>startar</w:t>
      </w:r>
      <w:proofErr w:type="spellEnd"/>
      <w:r w:rsidRPr="00225D4D">
        <w:t xml:space="preserve"> oppfølginga av </w:t>
      </w:r>
      <w:proofErr w:type="gramStart"/>
      <w:r w:rsidRPr="00225D4D">
        <w:t>sjukmelde</w:t>
      </w:r>
      <w:proofErr w:type="gramEnd"/>
      <w:r w:rsidRPr="00225D4D">
        <w:t xml:space="preserve"> </w:t>
      </w:r>
      <w:proofErr w:type="spellStart"/>
      <w:r w:rsidRPr="00225D4D">
        <w:t>tidleg</w:t>
      </w:r>
      <w:proofErr w:type="spellEnd"/>
    </w:p>
    <w:p w14:paraId="51C7D738" w14:textId="77777777" w:rsidR="00D60186" w:rsidRPr="00225D4D" w:rsidRDefault="00D60186" w:rsidP="00225D4D">
      <w:pPr>
        <w:pStyle w:val="avsnitt-undertittel"/>
      </w:pPr>
      <w:r w:rsidRPr="00225D4D">
        <w:t>Vedtak 612, 6. mai 2025</w:t>
      </w:r>
    </w:p>
    <w:p w14:paraId="7A986CA9" w14:textId="77777777" w:rsidR="00D60186" w:rsidRPr="00225D4D" w:rsidRDefault="00D60186" w:rsidP="00225D4D">
      <w:pPr>
        <w:pStyle w:val="blokksit"/>
        <w:rPr>
          <w:rStyle w:val="kursiv"/>
        </w:rPr>
      </w:pPr>
      <w:r w:rsidRPr="00225D4D">
        <w:rPr>
          <w:rStyle w:val="kursiv"/>
        </w:rPr>
        <w:t>«Stortinget ber regjeringen arbeide for at gradert sykemelding brukes i større grad, og at Navs oppfølging av sykemeldte starter tidlig.»</w:t>
      </w:r>
    </w:p>
    <w:p w14:paraId="448D901F"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05DED181" w14:textId="77777777" w:rsidR="00D60186" w:rsidRPr="00225D4D" w:rsidRDefault="00D60186" w:rsidP="00225D4D">
      <w:r w:rsidRPr="00225D4D">
        <w:t xml:space="preserve">Regjeringa ser oppfølginga av oppmodingsvedtaket i </w:t>
      </w:r>
      <w:proofErr w:type="spellStart"/>
      <w:r w:rsidRPr="00225D4D">
        <w:t>samanheng</w:t>
      </w:r>
      <w:proofErr w:type="spellEnd"/>
      <w:r w:rsidRPr="00225D4D">
        <w:t xml:space="preserve"> med bl.a. oppfølginga av tiltak i avtalen om redusert </w:t>
      </w:r>
      <w:proofErr w:type="spellStart"/>
      <w:r w:rsidRPr="00225D4D">
        <w:t>sjukefråvær</w:t>
      </w:r>
      <w:proofErr w:type="spellEnd"/>
      <w:r w:rsidRPr="00225D4D">
        <w:t xml:space="preserve"> og </w:t>
      </w:r>
      <w:proofErr w:type="spellStart"/>
      <w:r w:rsidRPr="00225D4D">
        <w:t>fråfall</w:t>
      </w:r>
      <w:proofErr w:type="spellEnd"/>
      <w:r w:rsidRPr="00225D4D">
        <w:t xml:space="preserve"> </w:t>
      </w:r>
      <w:proofErr w:type="spellStart"/>
      <w:r w:rsidRPr="00225D4D">
        <w:t>frå</w:t>
      </w:r>
      <w:proofErr w:type="spellEnd"/>
      <w:r w:rsidRPr="00225D4D">
        <w:t xml:space="preserve"> arbeidslivet (IA-avtalen) 2025–2028, inkludert to lovarbeid – </w:t>
      </w:r>
      <w:proofErr w:type="spellStart"/>
      <w:r w:rsidRPr="00225D4D">
        <w:t>eitt</w:t>
      </w:r>
      <w:proofErr w:type="spellEnd"/>
      <w:r w:rsidRPr="00225D4D">
        <w:t xml:space="preserve"> om </w:t>
      </w:r>
      <w:proofErr w:type="spellStart"/>
      <w:r w:rsidRPr="00225D4D">
        <w:t>endringar</w:t>
      </w:r>
      <w:proofErr w:type="spellEnd"/>
      <w:r w:rsidRPr="00225D4D">
        <w:t xml:space="preserve"> som kan presisere, og ev. forsterke, </w:t>
      </w:r>
      <w:proofErr w:type="spellStart"/>
      <w:r w:rsidRPr="00225D4D">
        <w:t>medverknads</w:t>
      </w:r>
      <w:proofErr w:type="spellEnd"/>
      <w:r w:rsidRPr="00225D4D">
        <w:t xml:space="preserve">- og aktivitetsplikta til den sjukmelde og tilretteleggingsplikta til </w:t>
      </w:r>
      <w:proofErr w:type="spellStart"/>
      <w:r w:rsidRPr="00225D4D">
        <w:t>arbeidsgivaren</w:t>
      </w:r>
      <w:proofErr w:type="spellEnd"/>
      <w:r w:rsidRPr="00225D4D">
        <w:t xml:space="preserve">, og </w:t>
      </w:r>
      <w:proofErr w:type="spellStart"/>
      <w:r w:rsidRPr="00225D4D">
        <w:t>eitt</w:t>
      </w:r>
      <w:proofErr w:type="spellEnd"/>
      <w:r w:rsidRPr="00225D4D">
        <w:t xml:space="preserve"> for å regulere ei </w:t>
      </w:r>
      <w:proofErr w:type="spellStart"/>
      <w:r w:rsidRPr="00225D4D">
        <w:t>meir</w:t>
      </w:r>
      <w:proofErr w:type="spellEnd"/>
      <w:r w:rsidRPr="00225D4D">
        <w:t xml:space="preserve"> behovstilpassa </w:t>
      </w:r>
      <w:proofErr w:type="spellStart"/>
      <w:r w:rsidRPr="00225D4D">
        <w:t>sjukefråværsoppfølging</w:t>
      </w:r>
      <w:proofErr w:type="spellEnd"/>
      <w:r w:rsidRPr="00225D4D">
        <w:t xml:space="preserve"> </w:t>
      </w:r>
      <w:proofErr w:type="spellStart"/>
      <w:r w:rsidRPr="00225D4D">
        <w:t>frå</w:t>
      </w:r>
      <w:proofErr w:type="spellEnd"/>
      <w:r w:rsidRPr="00225D4D">
        <w:t xml:space="preserve"> Arbeids- og velferdsetaten, og prosjektet </w:t>
      </w:r>
      <w:proofErr w:type="spellStart"/>
      <w:r w:rsidRPr="00225D4D">
        <w:rPr>
          <w:rStyle w:val="kursiv"/>
        </w:rPr>
        <w:t>Berekraftig</w:t>
      </w:r>
      <w:proofErr w:type="spellEnd"/>
      <w:r w:rsidRPr="00225D4D">
        <w:rPr>
          <w:rStyle w:val="kursiv"/>
        </w:rPr>
        <w:t xml:space="preserve"> sjukmelding</w:t>
      </w:r>
      <w:r w:rsidRPr="00225D4D">
        <w:t xml:space="preserve">, som skal styrke rolla til fastlegen i </w:t>
      </w:r>
      <w:proofErr w:type="spellStart"/>
      <w:r w:rsidRPr="00225D4D">
        <w:t>sjukefråværsarbeidet</w:t>
      </w:r>
      <w:proofErr w:type="spellEnd"/>
      <w:r w:rsidRPr="00225D4D">
        <w:t xml:space="preserve"> og </w:t>
      </w:r>
      <w:proofErr w:type="spellStart"/>
      <w:r w:rsidRPr="00225D4D">
        <w:t>auke</w:t>
      </w:r>
      <w:proofErr w:type="spellEnd"/>
      <w:r w:rsidRPr="00225D4D">
        <w:t xml:space="preserve"> helsekompetansen i befolkninga. </w:t>
      </w:r>
      <w:proofErr w:type="spellStart"/>
      <w:r w:rsidRPr="00225D4D">
        <w:t>Vidare</w:t>
      </w:r>
      <w:proofErr w:type="spellEnd"/>
      <w:r w:rsidRPr="00225D4D">
        <w:t xml:space="preserve"> heng oppfølginga </w:t>
      </w:r>
      <w:proofErr w:type="spellStart"/>
      <w:r w:rsidRPr="00225D4D">
        <w:t>saman</w:t>
      </w:r>
      <w:proofErr w:type="spellEnd"/>
      <w:r w:rsidRPr="00225D4D">
        <w:t xml:space="preserve"> med oppfølginga av områdegjennomgangen av helserelaterte </w:t>
      </w:r>
      <w:proofErr w:type="spellStart"/>
      <w:r w:rsidRPr="00225D4D">
        <w:t>ytingar</w:t>
      </w:r>
      <w:proofErr w:type="spellEnd"/>
      <w:r w:rsidRPr="00225D4D">
        <w:t xml:space="preserve"> i folketrygda. Sjå omtale under del II, punkt 6.3 Redusere </w:t>
      </w:r>
      <w:proofErr w:type="spellStart"/>
      <w:r w:rsidRPr="00225D4D">
        <w:t>sjukefråvær</w:t>
      </w:r>
      <w:proofErr w:type="spellEnd"/>
      <w:r w:rsidRPr="00225D4D">
        <w:t xml:space="preserve"> og </w:t>
      </w:r>
      <w:proofErr w:type="spellStart"/>
      <w:r w:rsidRPr="00225D4D">
        <w:t>fråfall</w:t>
      </w:r>
      <w:proofErr w:type="spellEnd"/>
      <w:r w:rsidRPr="00225D4D">
        <w:t xml:space="preserve"> </w:t>
      </w:r>
      <w:proofErr w:type="spellStart"/>
      <w:r w:rsidRPr="00225D4D">
        <w:t>frå</w:t>
      </w:r>
      <w:proofErr w:type="spellEnd"/>
      <w:r w:rsidRPr="00225D4D">
        <w:t xml:space="preserve"> arbeidslivet og punkt 6.7 </w:t>
      </w:r>
      <w:proofErr w:type="spellStart"/>
      <w:r w:rsidRPr="00225D4D">
        <w:t>Inntektssikringsordningar</w:t>
      </w:r>
      <w:proofErr w:type="spellEnd"/>
      <w:r w:rsidRPr="00225D4D">
        <w:t xml:space="preserve"> som gir økonomisk tryggleik og samtidig stimulerer til arbeid.</w:t>
      </w:r>
    </w:p>
    <w:p w14:paraId="5017E5FA"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3FDE96CA" w14:textId="77777777" w:rsidR="00D60186" w:rsidRPr="00225D4D" w:rsidRDefault="00D60186" w:rsidP="00225D4D">
      <w:pPr>
        <w:pStyle w:val="avsnitt-tittel"/>
      </w:pPr>
      <w:proofErr w:type="spellStart"/>
      <w:r w:rsidRPr="00225D4D">
        <w:t>Skilje</w:t>
      </w:r>
      <w:proofErr w:type="spellEnd"/>
      <w:r w:rsidRPr="00225D4D">
        <w:t xml:space="preserve"> ut «Varig </w:t>
      </w:r>
      <w:proofErr w:type="spellStart"/>
      <w:r w:rsidRPr="00225D4D">
        <w:t>lønnstilskot</w:t>
      </w:r>
      <w:proofErr w:type="spellEnd"/>
      <w:r w:rsidRPr="00225D4D">
        <w:t xml:space="preserve">» som </w:t>
      </w:r>
      <w:proofErr w:type="spellStart"/>
      <w:r w:rsidRPr="00225D4D">
        <w:t>ein</w:t>
      </w:r>
      <w:proofErr w:type="spellEnd"/>
      <w:r w:rsidRPr="00225D4D">
        <w:t xml:space="preserve"> eigen budsjettpost i statsbudsjettet</w:t>
      </w:r>
    </w:p>
    <w:p w14:paraId="594B9D98" w14:textId="77777777" w:rsidR="00D60186" w:rsidRPr="00225D4D" w:rsidRDefault="00D60186" w:rsidP="00225D4D">
      <w:pPr>
        <w:pStyle w:val="avsnitt-undertittel"/>
      </w:pPr>
      <w:r w:rsidRPr="00225D4D">
        <w:t>Vedtak 613, 6. mai 2025</w:t>
      </w:r>
    </w:p>
    <w:p w14:paraId="44E9C4BB" w14:textId="77777777" w:rsidR="00D60186" w:rsidRPr="00225D4D" w:rsidRDefault="00D60186" w:rsidP="00225D4D">
      <w:pPr>
        <w:pStyle w:val="blokksit"/>
        <w:rPr>
          <w:rStyle w:val="kursiv"/>
        </w:rPr>
      </w:pPr>
      <w:r w:rsidRPr="00225D4D">
        <w:rPr>
          <w:rStyle w:val="kursiv"/>
        </w:rPr>
        <w:t>«Stortinget ber regjeringen fremme forslag som skiller ut «Varig lønnstilskudd» som en egen budsjettpost i statsbudsjettet.»</w:t>
      </w:r>
    </w:p>
    <w:p w14:paraId="572D2514"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79F466B9" w14:textId="77777777" w:rsidR="00D60186" w:rsidRPr="00225D4D" w:rsidRDefault="00D60186" w:rsidP="00225D4D">
      <w:r w:rsidRPr="00225D4D">
        <w:t xml:space="preserve">Regjeringa foreslår å </w:t>
      </w:r>
      <w:proofErr w:type="spellStart"/>
      <w:r w:rsidRPr="00225D4D">
        <w:t>skilje</w:t>
      </w:r>
      <w:proofErr w:type="spellEnd"/>
      <w:r w:rsidRPr="00225D4D">
        <w:t xml:space="preserve"> ut tiltaket varig </w:t>
      </w:r>
      <w:proofErr w:type="spellStart"/>
      <w:r w:rsidRPr="00225D4D">
        <w:t>lønnstilskot</w:t>
      </w:r>
      <w:proofErr w:type="spellEnd"/>
      <w:r w:rsidRPr="00225D4D">
        <w:t xml:space="preserve"> på </w:t>
      </w:r>
      <w:proofErr w:type="spellStart"/>
      <w:r w:rsidRPr="00225D4D">
        <w:t>ein</w:t>
      </w:r>
      <w:proofErr w:type="spellEnd"/>
      <w:r w:rsidRPr="00225D4D">
        <w:t xml:space="preserve"> eigen budsjettpost i statsbudsjettet for 2026. Sjå omtale under del II, programkategori 09.30 </w:t>
      </w:r>
      <w:proofErr w:type="spellStart"/>
      <w:r w:rsidRPr="00225D4D">
        <w:t>Arbeidsmarknad</w:t>
      </w:r>
      <w:proofErr w:type="spellEnd"/>
      <w:r w:rsidRPr="00225D4D">
        <w:t xml:space="preserve">. Med det ser departementet oppmodingsvedtaket som </w:t>
      </w:r>
      <w:proofErr w:type="spellStart"/>
      <w:r w:rsidRPr="00225D4D">
        <w:t>følgt</w:t>
      </w:r>
      <w:proofErr w:type="spellEnd"/>
      <w:r w:rsidRPr="00225D4D">
        <w:t xml:space="preserve"> opp.</w:t>
      </w:r>
    </w:p>
    <w:p w14:paraId="3015CE14" w14:textId="77777777" w:rsidR="00D60186" w:rsidRPr="00225D4D" w:rsidRDefault="00D60186" w:rsidP="00225D4D">
      <w:pPr>
        <w:pStyle w:val="avsnitt-tittel"/>
      </w:pPr>
      <w:r w:rsidRPr="00225D4D">
        <w:t xml:space="preserve">Legge til rette for </w:t>
      </w:r>
      <w:proofErr w:type="spellStart"/>
      <w:r w:rsidRPr="00225D4D">
        <w:t>ein</w:t>
      </w:r>
      <w:proofErr w:type="spellEnd"/>
      <w:r w:rsidRPr="00225D4D">
        <w:t xml:space="preserve"> </w:t>
      </w:r>
      <w:proofErr w:type="spellStart"/>
      <w:r w:rsidRPr="00225D4D">
        <w:t>saumlaus</w:t>
      </w:r>
      <w:proofErr w:type="spellEnd"/>
      <w:r w:rsidRPr="00225D4D">
        <w:t xml:space="preserve"> overgang </w:t>
      </w:r>
      <w:proofErr w:type="spellStart"/>
      <w:r w:rsidRPr="00225D4D">
        <w:t>frå</w:t>
      </w:r>
      <w:proofErr w:type="spellEnd"/>
      <w:r w:rsidRPr="00225D4D">
        <w:t xml:space="preserve"> </w:t>
      </w:r>
      <w:proofErr w:type="spellStart"/>
      <w:r w:rsidRPr="00225D4D">
        <w:t>vidaregåande</w:t>
      </w:r>
      <w:proofErr w:type="spellEnd"/>
      <w:r w:rsidRPr="00225D4D">
        <w:t xml:space="preserve"> skole til varig tilrettelagt arbeid (VTA)</w:t>
      </w:r>
    </w:p>
    <w:p w14:paraId="4F8FAD4E" w14:textId="77777777" w:rsidR="00D60186" w:rsidRPr="00225D4D" w:rsidRDefault="00D60186" w:rsidP="00225D4D">
      <w:pPr>
        <w:pStyle w:val="avsnitt-undertittel"/>
      </w:pPr>
      <w:r w:rsidRPr="00225D4D">
        <w:t>Vedtak 614, 6. mai 2025</w:t>
      </w:r>
    </w:p>
    <w:p w14:paraId="55F87395" w14:textId="77777777" w:rsidR="00D60186" w:rsidRPr="00225D4D" w:rsidRDefault="00D60186" w:rsidP="00225D4D">
      <w:pPr>
        <w:pStyle w:val="blokksit"/>
        <w:rPr>
          <w:rStyle w:val="kursiv"/>
        </w:rPr>
      </w:pPr>
      <w:r w:rsidRPr="00225D4D">
        <w:rPr>
          <w:rStyle w:val="kursiv"/>
        </w:rPr>
        <w:t>«Stortinget ber regjeringen snarest mulig fremme forslag som legger til rette for en sømløs overgang fra videregående skole til varig tilrettelagt arbeid (VTA) for personer som fullfører videregående skole, og som har behov for varig tilrettelagt arbeid.»</w:t>
      </w:r>
    </w:p>
    <w:p w14:paraId="37770AB3"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6CE23A42" w14:textId="77777777" w:rsidR="00D60186" w:rsidRPr="00225D4D" w:rsidRDefault="00D60186" w:rsidP="00225D4D">
      <w:r w:rsidRPr="00225D4D">
        <w:t>Regjeringa vil sjå på problemstillinga og komme tilbake til Stortinget på eigna måte.</w:t>
      </w:r>
    </w:p>
    <w:p w14:paraId="3DE1EFE3" w14:textId="77777777" w:rsidR="00D60186" w:rsidRPr="00225D4D" w:rsidRDefault="00D60186" w:rsidP="00225D4D">
      <w:pPr>
        <w:pStyle w:val="avsnitt-tittel"/>
      </w:pPr>
      <w:proofErr w:type="spellStart"/>
      <w:r w:rsidRPr="00225D4D">
        <w:t>Gjere</w:t>
      </w:r>
      <w:proofErr w:type="spellEnd"/>
      <w:r w:rsidRPr="00225D4D">
        <w:t xml:space="preserve"> nødvendige </w:t>
      </w:r>
      <w:proofErr w:type="spellStart"/>
      <w:r w:rsidRPr="00225D4D">
        <w:t>regelendringar</w:t>
      </w:r>
      <w:proofErr w:type="spellEnd"/>
      <w:r w:rsidRPr="00225D4D">
        <w:t xml:space="preserve"> for å sikre at </w:t>
      </w:r>
      <w:proofErr w:type="spellStart"/>
      <w:r w:rsidRPr="00225D4D">
        <w:t>deltakarar</w:t>
      </w:r>
      <w:proofErr w:type="spellEnd"/>
      <w:r w:rsidRPr="00225D4D">
        <w:t xml:space="preserve"> i </w:t>
      </w:r>
      <w:proofErr w:type="spellStart"/>
      <w:r w:rsidRPr="00225D4D">
        <w:t>arbeidsførebuande</w:t>
      </w:r>
      <w:proofErr w:type="spellEnd"/>
      <w:r w:rsidRPr="00225D4D">
        <w:t xml:space="preserve"> trening (AFT) òg kan </w:t>
      </w:r>
      <w:proofErr w:type="spellStart"/>
      <w:r w:rsidRPr="00225D4D">
        <w:t>følgast</w:t>
      </w:r>
      <w:proofErr w:type="spellEnd"/>
      <w:r w:rsidRPr="00225D4D">
        <w:t xml:space="preserve"> opp på hensiktsmessig måte etter tilsetting, og </w:t>
      </w:r>
      <w:proofErr w:type="spellStart"/>
      <w:r w:rsidRPr="00225D4D">
        <w:t>opne</w:t>
      </w:r>
      <w:proofErr w:type="spellEnd"/>
      <w:r w:rsidRPr="00225D4D">
        <w:t xml:space="preserve"> for at </w:t>
      </w:r>
      <w:proofErr w:type="spellStart"/>
      <w:r w:rsidRPr="00225D4D">
        <w:t>deltakarar</w:t>
      </w:r>
      <w:proofErr w:type="spellEnd"/>
      <w:r w:rsidRPr="00225D4D">
        <w:t xml:space="preserve"> kan ta del i fag- og yrkesopplæring som fører fram mot fagbrev</w:t>
      </w:r>
    </w:p>
    <w:p w14:paraId="1FBC9F53" w14:textId="77777777" w:rsidR="00D60186" w:rsidRPr="00225D4D" w:rsidRDefault="00D60186" w:rsidP="00225D4D">
      <w:pPr>
        <w:pStyle w:val="avsnitt-undertittel"/>
      </w:pPr>
      <w:r w:rsidRPr="00225D4D">
        <w:t>Vedtak 616, 6. mai 2025</w:t>
      </w:r>
    </w:p>
    <w:p w14:paraId="2238EE0C" w14:textId="77777777" w:rsidR="00D60186" w:rsidRPr="00225D4D" w:rsidRDefault="00D60186" w:rsidP="00225D4D">
      <w:pPr>
        <w:pStyle w:val="blokksit"/>
        <w:rPr>
          <w:rStyle w:val="kursiv"/>
        </w:rPr>
      </w:pPr>
      <w:r w:rsidRPr="00225D4D">
        <w:rPr>
          <w:rStyle w:val="kursiv"/>
        </w:rPr>
        <w:t>«Stortinget ber regjeringen gjøre nødvendige regelendringer for å sikre at deltakere i arbeidsforberedende trening (AFT) også kan følges opp på hensiktsmessig måte etter ansettelse, og åpne for at deltakere kan delta i fag- og yrkesopplæring som leder frem mot fagbrev»</w:t>
      </w:r>
    </w:p>
    <w:p w14:paraId="7D11135A"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13207176" w14:textId="77777777" w:rsidR="00D60186" w:rsidRPr="00225D4D" w:rsidRDefault="00D60186" w:rsidP="00225D4D">
      <w:r w:rsidRPr="00225D4D">
        <w:t xml:space="preserve">Det er gjort </w:t>
      </w:r>
      <w:proofErr w:type="spellStart"/>
      <w:r w:rsidRPr="00225D4D">
        <w:t>endringar</w:t>
      </w:r>
      <w:proofErr w:type="spellEnd"/>
      <w:r w:rsidRPr="00225D4D">
        <w:t xml:space="preserve"> i tiltaksforskrifta kap. 13 – </w:t>
      </w:r>
      <w:proofErr w:type="spellStart"/>
      <w:r w:rsidRPr="00225D4D">
        <w:t>arbeidsførebuande</w:t>
      </w:r>
      <w:proofErr w:type="spellEnd"/>
      <w:r w:rsidRPr="00225D4D">
        <w:t xml:space="preserve"> trening (AFT) – som </w:t>
      </w:r>
      <w:proofErr w:type="spellStart"/>
      <w:r w:rsidRPr="00225D4D">
        <w:t>legg</w:t>
      </w:r>
      <w:proofErr w:type="spellEnd"/>
      <w:r w:rsidRPr="00225D4D">
        <w:t xml:space="preserve"> til rette for at AFT-</w:t>
      </w:r>
      <w:proofErr w:type="spellStart"/>
      <w:r w:rsidRPr="00225D4D">
        <w:t>deltakarar</w:t>
      </w:r>
      <w:proofErr w:type="spellEnd"/>
      <w:r w:rsidRPr="00225D4D">
        <w:t xml:space="preserve"> kan få oppfølging </w:t>
      </w:r>
      <w:proofErr w:type="spellStart"/>
      <w:r w:rsidRPr="00225D4D">
        <w:t>frå</w:t>
      </w:r>
      <w:proofErr w:type="spellEnd"/>
      <w:r w:rsidRPr="00225D4D">
        <w:t xml:space="preserve"> tiltaksarrangøren etter at </w:t>
      </w:r>
      <w:proofErr w:type="spellStart"/>
      <w:r w:rsidRPr="00225D4D">
        <w:t>ein</w:t>
      </w:r>
      <w:proofErr w:type="spellEnd"/>
      <w:r w:rsidRPr="00225D4D">
        <w:t xml:space="preserve"> har fått lønt arbeid. Endringa gjeld òg der </w:t>
      </w:r>
      <w:proofErr w:type="spellStart"/>
      <w:r w:rsidRPr="00225D4D">
        <w:t>deltakarar</w:t>
      </w:r>
      <w:proofErr w:type="spellEnd"/>
      <w:r w:rsidRPr="00225D4D">
        <w:t xml:space="preserve"> blir tilsette som </w:t>
      </w:r>
      <w:proofErr w:type="spellStart"/>
      <w:r w:rsidRPr="00225D4D">
        <w:t>lærlingar</w:t>
      </w:r>
      <w:proofErr w:type="spellEnd"/>
      <w:r w:rsidRPr="00225D4D">
        <w:t xml:space="preserve"> eller </w:t>
      </w:r>
      <w:proofErr w:type="spellStart"/>
      <w:r w:rsidRPr="00225D4D">
        <w:t>lærekandidatar</w:t>
      </w:r>
      <w:proofErr w:type="spellEnd"/>
      <w:r w:rsidRPr="00225D4D">
        <w:t xml:space="preserve">. </w:t>
      </w:r>
      <w:proofErr w:type="spellStart"/>
      <w:r w:rsidRPr="00225D4D">
        <w:t>Vidare</w:t>
      </w:r>
      <w:proofErr w:type="spellEnd"/>
      <w:r w:rsidRPr="00225D4D">
        <w:t xml:space="preserve"> er det </w:t>
      </w:r>
      <w:proofErr w:type="spellStart"/>
      <w:r w:rsidRPr="00225D4D">
        <w:t>opna</w:t>
      </w:r>
      <w:proofErr w:type="spellEnd"/>
      <w:r w:rsidRPr="00225D4D">
        <w:t xml:space="preserve"> for at </w:t>
      </w:r>
      <w:proofErr w:type="spellStart"/>
      <w:r w:rsidRPr="00225D4D">
        <w:t>deltakarane</w:t>
      </w:r>
      <w:proofErr w:type="spellEnd"/>
      <w:r w:rsidRPr="00225D4D">
        <w:t xml:space="preserve"> kan gjennomføre formell opplæring som </w:t>
      </w:r>
      <w:proofErr w:type="spellStart"/>
      <w:r w:rsidRPr="00225D4D">
        <w:t>ein</w:t>
      </w:r>
      <w:proofErr w:type="spellEnd"/>
      <w:r w:rsidRPr="00225D4D">
        <w:t xml:space="preserve"> del av AFT-tiltaket. Det er òg gjort </w:t>
      </w:r>
      <w:proofErr w:type="spellStart"/>
      <w:r w:rsidRPr="00225D4D">
        <w:t>justeringar</w:t>
      </w:r>
      <w:proofErr w:type="spellEnd"/>
      <w:r w:rsidRPr="00225D4D">
        <w:t xml:space="preserve"> som gir større </w:t>
      </w:r>
      <w:proofErr w:type="spellStart"/>
      <w:r w:rsidRPr="00225D4D">
        <w:t>moglegheit</w:t>
      </w:r>
      <w:proofErr w:type="spellEnd"/>
      <w:r w:rsidRPr="00225D4D">
        <w:t xml:space="preserve"> for å delta i AFT-tiltaket på deltid og i kombinasjon med andre </w:t>
      </w:r>
      <w:proofErr w:type="spellStart"/>
      <w:r w:rsidRPr="00225D4D">
        <w:t>arbeidsmarknadstiltak</w:t>
      </w:r>
      <w:proofErr w:type="spellEnd"/>
      <w:r w:rsidRPr="00225D4D">
        <w:t>.</w:t>
      </w:r>
    </w:p>
    <w:p w14:paraId="5EAD88D1" w14:textId="77777777" w:rsidR="00D60186" w:rsidRPr="00225D4D" w:rsidRDefault="00D60186" w:rsidP="00225D4D">
      <w:proofErr w:type="spellStart"/>
      <w:r w:rsidRPr="00225D4D">
        <w:t>Regelverksendringane</w:t>
      </w:r>
      <w:proofErr w:type="spellEnd"/>
      <w:r w:rsidRPr="00225D4D">
        <w:t xml:space="preserve"> trer i kraft </w:t>
      </w:r>
      <w:proofErr w:type="spellStart"/>
      <w:r w:rsidRPr="00225D4D">
        <w:t>frå</w:t>
      </w:r>
      <w:proofErr w:type="spellEnd"/>
      <w:r w:rsidRPr="00225D4D">
        <w:t xml:space="preserve"> 1. januar 2026. Med det ser departementet oppmodingsvedtaket som </w:t>
      </w:r>
      <w:proofErr w:type="spellStart"/>
      <w:r w:rsidRPr="00225D4D">
        <w:t>følgt</w:t>
      </w:r>
      <w:proofErr w:type="spellEnd"/>
      <w:r w:rsidRPr="00225D4D">
        <w:t xml:space="preserve"> opp.</w:t>
      </w:r>
    </w:p>
    <w:p w14:paraId="4266A8AC" w14:textId="77777777" w:rsidR="00D60186" w:rsidRPr="00225D4D" w:rsidRDefault="00D60186" w:rsidP="00225D4D">
      <w:pPr>
        <w:pStyle w:val="avsnitt-tittel"/>
      </w:pPr>
      <w:r w:rsidRPr="00225D4D">
        <w:t xml:space="preserve">Trappe opp VTA med 1 000 </w:t>
      </w:r>
      <w:proofErr w:type="spellStart"/>
      <w:r w:rsidRPr="00225D4D">
        <w:t>plassar</w:t>
      </w:r>
      <w:proofErr w:type="spellEnd"/>
      <w:r w:rsidRPr="00225D4D">
        <w:t xml:space="preserve"> i året</w:t>
      </w:r>
    </w:p>
    <w:p w14:paraId="776193CA" w14:textId="77777777" w:rsidR="00D60186" w:rsidRPr="00225D4D" w:rsidRDefault="00D60186" w:rsidP="00225D4D">
      <w:pPr>
        <w:pStyle w:val="avsnitt-undertittel"/>
      </w:pPr>
      <w:r w:rsidRPr="00225D4D">
        <w:t>Vedtak 617, 6. mai 2025</w:t>
      </w:r>
    </w:p>
    <w:p w14:paraId="756FAD42" w14:textId="77777777" w:rsidR="00D60186" w:rsidRPr="00225D4D" w:rsidRDefault="00D60186" w:rsidP="00225D4D">
      <w:pPr>
        <w:pStyle w:val="blokksit"/>
        <w:rPr>
          <w:rStyle w:val="kursiv"/>
        </w:rPr>
      </w:pPr>
      <w:r w:rsidRPr="00225D4D">
        <w:rPr>
          <w:rStyle w:val="kursiv"/>
        </w:rPr>
        <w:t>«Stortinget ber regjeringen trappe opp antallet nye varig tilrettelagte arbeidsplasser (VTA) med 1 000 plasser i året, med oppstart i forslaget til statsbudsjett for 2026.»</w:t>
      </w:r>
    </w:p>
    <w:p w14:paraId="5856A700"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0F5185BE" w14:textId="77777777" w:rsidR="00D60186" w:rsidRPr="00225D4D" w:rsidRDefault="00D60186" w:rsidP="00225D4D">
      <w:r w:rsidRPr="00225D4D">
        <w:t xml:space="preserve">I </w:t>
      </w:r>
      <w:proofErr w:type="spellStart"/>
      <w:r w:rsidRPr="00225D4D">
        <w:t>Prop</w:t>
      </w:r>
      <w:proofErr w:type="spellEnd"/>
      <w:r w:rsidRPr="00225D4D">
        <w:t xml:space="preserve">. 1 S (2023–2024) la regjeringa fram </w:t>
      </w:r>
      <w:proofErr w:type="spellStart"/>
      <w:r w:rsidRPr="00225D4D">
        <w:t>ein</w:t>
      </w:r>
      <w:proofErr w:type="spellEnd"/>
      <w:r w:rsidRPr="00225D4D">
        <w:t xml:space="preserve"> langsiktig plan for å styrke varig tilrettelagt arbeid (VTA) med om lag 2 000 </w:t>
      </w:r>
      <w:proofErr w:type="spellStart"/>
      <w:r w:rsidRPr="00225D4D">
        <w:t>plassar</w:t>
      </w:r>
      <w:proofErr w:type="spellEnd"/>
      <w:r w:rsidRPr="00225D4D">
        <w:t xml:space="preserve"> i perioden 2024–2027. Planen følger opp oppmodingsvedtak 605 </w:t>
      </w:r>
      <w:proofErr w:type="spellStart"/>
      <w:r w:rsidRPr="00225D4D">
        <w:t>frå</w:t>
      </w:r>
      <w:proofErr w:type="spellEnd"/>
      <w:r w:rsidRPr="00225D4D">
        <w:t xml:space="preserve"> 18. april 2023. Planen er </w:t>
      </w:r>
      <w:proofErr w:type="spellStart"/>
      <w:r w:rsidRPr="00225D4D">
        <w:t>følgt</w:t>
      </w:r>
      <w:proofErr w:type="spellEnd"/>
      <w:r w:rsidRPr="00225D4D">
        <w:t xml:space="preserve"> opp med </w:t>
      </w:r>
      <w:proofErr w:type="spellStart"/>
      <w:r w:rsidRPr="00225D4D">
        <w:t>løyvingar</w:t>
      </w:r>
      <w:proofErr w:type="spellEnd"/>
      <w:r w:rsidRPr="00225D4D">
        <w:t xml:space="preserve"> som svarer til om lag 500 nye </w:t>
      </w:r>
      <w:proofErr w:type="spellStart"/>
      <w:r w:rsidRPr="00225D4D">
        <w:t>plassar</w:t>
      </w:r>
      <w:proofErr w:type="spellEnd"/>
      <w:r w:rsidRPr="00225D4D">
        <w:t xml:space="preserve"> i statsbudsjetta for både 2024 og 2025. </w:t>
      </w:r>
      <w:proofErr w:type="spellStart"/>
      <w:r w:rsidRPr="00225D4D">
        <w:t>Tilsvarande</w:t>
      </w:r>
      <w:proofErr w:type="spellEnd"/>
      <w:r w:rsidRPr="00225D4D">
        <w:t xml:space="preserve"> blir foreslått i statsbudsjettet for 2026.</w:t>
      </w:r>
    </w:p>
    <w:p w14:paraId="45847C3A" w14:textId="77777777" w:rsidR="00D60186" w:rsidRPr="00225D4D" w:rsidRDefault="00D60186" w:rsidP="00225D4D">
      <w:r w:rsidRPr="00225D4D">
        <w:t xml:space="preserve">Regjeringa vil </w:t>
      </w:r>
      <w:proofErr w:type="spellStart"/>
      <w:r w:rsidRPr="00225D4D">
        <w:t>framleis</w:t>
      </w:r>
      <w:proofErr w:type="spellEnd"/>
      <w:r w:rsidRPr="00225D4D">
        <w:t xml:space="preserve"> følge opp opptrappingsplanen i tråd med signala som blei gitt til Stortinget i statsbudsjettet for 2024.</w:t>
      </w:r>
    </w:p>
    <w:p w14:paraId="069E8B60" w14:textId="77777777" w:rsidR="00D60186" w:rsidRPr="00225D4D" w:rsidRDefault="00D60186" w:rsidP="00225D4D">
      <w:pPr>
        <w:pStyle w:val="avsnitt-tittel"/>
      </w:pPr>
      <w:r w:rsidRPr="00225D4D">
        <w:t xml:space="preserve">Gå gjennom korleis </w:t>
      </w:r>
      <w:proofErr w:type="spellStart"/>
      <w:r w:rsidRPr="00225D4D">
        <w:t>ytingar</w:t>
      </w:r>
      <w:proofErr w:type="spellEnd"/>
      <w:r w:rsidRPr="00225D4D">
        <w:t xml:space="preserve"> og </w:t>
      </w:r>
      <w:proofErr w:type="spellStart"/>
      <w:r w:rsidRPr="00225D4D">
        <w:t>lovreglar</w:t>
      </w:r>
      <w:proofErr w:type="spellEnd"/>
      <w:r w:rsidRPr="00225D4D">
        <w:t xml:space="preserve"> for arbeidstid og ferie kan </w:t>
      </w:r>
      <w:proofErr w:type="spellStart"/>
      <w:r w:rsidRPr="00225D4D">
        <w:t>innrettast</w:t>
      </w:r>
      <w:proofErr w:type="spellEnd"/>
      <w:r w:rsidRPr="00225D4D">
        <w:t xml:space="preserve"> slik at </w:t>
      </w:r>
      <w:proofErr w:type="spellStart"/>
      <w:r w:rsidRPr="00225D4D">
        <w:t>dei</w:t>
      </w:r>
      <w:proofErr w:type="spellEnd"/>
      <w:r w:rsidRPr="00225D4D">
        <w:t xml:space="preserve"> fremmer </w:t>
      </w:r>
      <w:proofErr w:type="spellStart"/>
      <w:r w:rsidRPr="00225D4D">
        <w:t>moglegheitene</w:t>
      </w:r>
      <w:proofErr w:type="spellEnd"/>
      <w:r w:rsidRPr="00225D4D">
        <w:t xml:space="preserve"> til å stå lenger i arbeid</w:t>
      </w:r>
    </w:p>
    <w:p w14:paraId="0B558E3C" w14:textId="77777777" w:rsidR="00D60186" w:rsidRPr="00225D4D" w:rsidRDefault="00D60186" w:rsidP="00225D4D">
      <w:pPr>
        <w:pStyle w:val="avsnitt-undertittel"/>
      </w:pPr>
      <w:r w:rsidRPr="00225D4D">
        <w:t>Vedtak 618, 6. mai 2025</w:t>
      </w:r>
    </w:p>
    <w:p w14:paraId="6C3E5BA7" w14:textId="77777777" w:rsidR="00D60186" w:rsidRPr="00225D4D" w:rsidRDefault="00D60186" w:rsidP="00225D4D">
      <w:pPr>
        <w:pStyle w:val="blokksit"/>
        <w:rPr>
          <w:rStyle w:val="kursiv"/>
        </w:rPr>
      </w:pPr>
      <w:r w:rsidRPr="00225D4D">
        <w:rPr>
          <w:rStyle w:val="kursiv"/>
        </w:rPr>
        <w:t>«Stortinget ber regjeringen gjennomgå hvordan ytelser og lovregler for arbeidstid og ferie kan innrettes slik at de fremmer mulighetene for at arbeidstakere kan stå lenger i arbeid når de blir eldre.»</w:t>
      </w:r>
    </w:p>
    <w:p w14:paraId="2F4EF6ED"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0363B340" w14:textId="77777777" w:rsidR="00D60186" w:rsidRPr="00225D4D" w:rsidRDefault="00D60186" w:rsidP="00225D4D">
      <w:r w:rsidRPr="00225D4D">
        <w:t xml:space="preserve">Arbeidsmiljølova og ferielova har </w:t>
      </w:r>
      <w:proofErr w:type="spellStart"/>
      <w:r w:rsidRPr="00225D4D">
        <w:t>fleire</w:t>
      </w:r>
      <w:proofErr w:type="spellEnd"/>
      <w:r w:rsidRPr="00225D4D">
        <w:t xml:space="preserve"> </w:t>
      </w:r>
      <w:proofErr w:type="spellStart"/>
      <w:r w:rsidRPr="00225D4D">
        <w:t>reglar</w:t>
      </w:r>
      <w:proofErr w:type="spellEnd"/>
      <w:r w:rsidRPr="00225D4D">
        <w:t xml:space="preserve"> som </w:t>
      </w:r>
      <w:proofErr w:type="spellStart"/>
      <w:r w:rsidRPr="00225D4D">
        <w:t>rettar</w:t>
      </w:r>
      <w:proofErr w:type="spellEnd"/>
      <w:r w:rsidRPr="00225D4D">
        <w:t xml:space="preserve"> seg mot </w:t>
      </w:r>
      <w:proofErr w:type="spellStart"/>
      <w:r w:rsidRPr="00225D4D">
        <w:t>seniorar</w:t>
      </w:r>
      <w:proofErr w:type="spellEnd"/>
      <w:r w:rsidRPr="00225D4D">
        <w:t xml:space="preserve"> i arbeidslivet. </w:t>
      </w:r>
      <w:proofErr w:type="spellStart"/>
      <w:r w:rsidRPr="00225D4D">
        <w:t>Arbeidstakar</w:t>
      </w:r>
      <w:proofErr w:type="spellEnd"/>
      <w:r w:rsidRPr="00225D4D">
        <w:t xml:space="preserve"> har f.eks. rett til </w:t>
      </w:r>
      <w:proofErr w:type="gramStart"/>
      <w:r w:rsidRPr="00225D4D">
        <w:t>ei ekstra veke</w:t>
      </w:r>
      <w:proofErr w:type="gramEnd"/>
      <w:r w:rsidRPr="00225D4D">
        <w:t xml:space="preserve"> med ferie </w:t>
      </w:r>
      <w:proofErr w:type="spellStart"/>
      <w:r w:rsidRPr="00225D4D">
        <w:t>frå</w:t>
      </w:r>
      <w:proofErr w:type="spellEnd"/>
      <w:r w:rsidRPr="00225D4D">
        <w:t xml:space="preserve"> det året </w:t>
      </w:r>
      <w:proofErr w:type="spellStart"/>
      <w:r w:rsidRPr="00225D4D">
        <w:t>ein</w:t>
      </w:r>
      <w:proofErr w:type="spellEnd"/>
      <w:r w:rsidRPr="00225D4D">
        <w:t xml:space="preserve"> fyller 60 år, og rett til redusert arbeidstid etter fylte 62 år. Det skal også bli </w:t>
      </w:r>
      <w:proofErr w:type="spellStart"/>
      <w:r w:rsidRPr="00225D4D">
        <w:t>teke</w:t>
      </w:r>
      <w:proofErr w:type="spellEnd"/>
      <w:r w:rsidRPr="00225D4D">
        <w:t xml:space="preserve"> omsyn til alder ved </w:t>
      </w:r>
      <w:proofErr w:type="spellStart"/>
      <w:r w:rsidRPr="00225D4D">
        <w:t>arbeidsgivar</w:t>
      </w:r>
      <w:proofErr w:type="spellEnd"/>
      <w:r w:rsidRPr="00225D4D">
        <w:t xml:space="preserve"> si organisering og tilrettelegging av arbeidssituasjonen til den enkelte. Departementet vurderer derfor innretninga på dagens </w:t>
      </w:r>
      <w:proofErr w:type="spellStart"/>
      <w:r w:rsidRPr="00225D4D">
        <w:t>ytingar</w:t>
      </w:r>
      <w:proofErr w:type="spellEnd"/>
      <w:r w:rsidRPr="00225D4D">
        <w:t xml:space="preserve"> og </w:t>
      </w:r>
      <w:proofErr w:type="spellStart"/>
      <w:r w:rsidRPr="00225D4D">
        <w:t>reglane</w:t>
      </w:r>
      <w:proofErr w:type="spellEnd"/>
      <w:r w:rsidRPr="00225D4D">
        <w:t xml:space="preserve"> for arbeidstid og ferie for å </w:t>
      </w:r>
      <w:proofErr w:type="spellStart"/>
      <w:r w:rsidRPr="00225D4D">
        <w:t>vere</w:t>
      </w:r>
      <w:proofErr w:type="spellEnd"/>
      <w:r w:rsidRPr="00225D4D">
        <w:t xml:space="preserve"> </w:t>
      </w:r>
      <w:proofErr w:type="spellStart"/>
      <w:r w:rsidRPr="00225D4D">
        <w:t>formålstenleg</w:t>
      </w:r>
      <w:proofErr w:type="spellEnd"/>
      <w:r w:rsidRPr="00225D4D">
        <w:t xml:space="preserve"> for at </w:t>
      </w:r>
      <w:proofErr w:type="spellStart"/>
      <w:r w:rsidRPr="00225D4D">
        <w:t>arbeidstakarar</w:t>
      </w:r>
      <w:proofErr w:type="spellEnd"/>
      <w:r w:rsidRPr="00225D4D">
        <w:t xml:space="preserve"> kan stå lenger i arbeid når </w:t>
      </w:r>
      <w:proofErr w:type="spellStart"/>
      <w:r w:rsidRPr="00225D4D">
        <w:t>dei</w:t>
      </w:r>
      <w:proofErr w:type="spellEnd"/>
      <w:r w:rsidRPr="00225D4D">
        <w:t xml:space="preserve"> blir eldre. Regjeringa foreslår at oppmodingsvedtaket blir oppheva.</w:t>
      </w:r>
    </w:p>
    <w:p w14:paraId="22E046DD" w14:textId="77777777" w:rsidR="00D60186" w:rsidRPr="00225D4D" w:rsidRDefault="00D60186" w:rsidP="00225D4D">
      <w:pPr>
        <w:pStyle w:val="avsnitt-tittel"/>
      </w:pPr>
      <w:r w:rsidRPr="00225D4D">
        <w:t xml:space="preserve">Komme med forslag som styrker opptrappingsplanen for varig tilrettelagt arbeid </w:t>
      </w:r>
      <w:proofErr w:type="spellStart"/>
      <w:r w:rsidRPr="00225D4D">
        <w:t>ytterlegare</w:t>
      </w:r>
      <w:proofErr w:type="spellEnd"/>
    </w:p>
    <w:p w14:paraId="110B50FF" w14:textId="77777777" w:rsidR="00D60186" w:rsidRPr="00225D4D" w:rsidRDefault="00D60186" w:rsidP="00225D4D">
      <w:pPr>
        <w:pStyle w:val="avsnitt-undertittel"/>
      </w:pPr>
      <w:r w:rsidRPr="00225D4D">
        <w:t>Vedtak 619, 6. mai 2025</w:t>
      </w:r>
    </w:p>
    <w:p w14:paraId="7A2F0FC3" w14:textId="77777777" w:rsidR="00D60186" w:rsidRPr="00225D4D" w:rsidRDefault="00D60186" w:rsidP="00225D4D">
      <w:pPr>
        <w:pStyle w:val="blokksit"/>
        <w:rPr>
          <w:rStyle w:val="kursiv"/>
        </w:rPr>
      </w:pPr>
      <w:r w:rsidRPr="00225D4D">
        <w:rPr>
          <w:rStyle w:val="kursiv"/>
        </w:rPr>
        <w:t>«Stortinget ber regjeringen komme tilbake med forslag som styrker opptrappingsplanen for varig tilrettelagt arbeid (VTA) ytterligere, med mål om 1 000 nye plasser per år.».</w:t>
      </w:r>
    </w:p>
    <w:p w14:paraId="7A7CB6D4"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1D7EE11F" w14:textId="77777777" w:rsidR="00D60186" w:rsidRPr="00225D4D" w:rsidRDefault="00D60186" w:rsidP="00225D4D">
      <w:r w:rsidRPr="00225D4D">
        <w:t>Vi viser til vedtak 617, 6. mai 2025. Regjeringa foreslår at oppmodingsvedtaket blir oppheva.</w:t>
      </w:r>
    </w:p>
    <w:p w14:paraId="278F30B7" w14:textId="77777777" w:rsidR="00D60186" w:rsidRPr="00225D4D" w:rsidRDefault="00D60186" w:rsidP="00225D4D">
      <w:pPr>
        <w:pStyle w:val="avsnitt-tittel"/>
      </w:pPr>
      <w:r w:rsidRPr="00225D4D">
        <w:t xml:space="preserve">Sørge for at varig tilrettelagt arbeid (VTA) og </w:t>
      </w:r>
      <w:proofErr w:type="spellStart"/>
      <w:r w:rsidRPr="00225D4D">
        <w:t>arbeidsførebuande</w:t>
      </w:r>
      <w:proofErr w:type="spellEnd"/>
      <w:r w:rsidRPr="00225D4D">
        <w:t xml:space="preserve"> trening (AFT) </w:t>
      </w:r>
      <w:proofErr w:type="spellStart"/>
      <w:r w:rsidRPr="00225D4D">
        <w:t>ikkje</w:t>
      </w:r>
      <w:proofErr w:type="spellEnd"/>
      <w:r w:rsidRPr="00225D4D">
        <w:t xml:space="preserve"> kan </w:t>
      </w:r>
      <w:proofErr w:type="spellStart"/>
      <w:r w:rsidRPr="00225D4D">
        <w:t>settast</w:t>
      </w:r>
      <w:proofErr w:type="spellEnd"/>
      <w:r w:rsidRPr="00225D4D">
        <w:t xml:space="preserve"> ut på </w:t>
      </w:r>
      <w:proofErr w:type="spellStart"/>
      <w:r w:rsidRPr="00225D4D">
        <w:t>anbod</w:t>
      </w:r>
      <w:proofErr w:type="spellEnd"/>
    </w:p>
    <w:p w14:paraId="3B4C96C6" w14:textId="77777777" w:rsidR="00D60186" w:rsidRPr="00225D4D" w:rsidRDefault="00D60186" w:rsidP="00225D4D">
      <w:pPr>
        <w:pStyle w:val="avsnitt-undertittel"/>
      </w:pPr>
      <w:r w:rsidRPr="00225D4D">
        <w:t>Vedtak 620, 6. mai 2025</w:t>
      </w:r>
    </w:p>
    <w:p w14:paraId="04410FE9" w14:textId="77777777" w:rsidR="00D60186" w:rsidRPr="00225D4D" w:rsidRDefault="00D60186" w:rsidP="00225D4D">
      <w:pPr>
        <w:pStyle w:val="blokksit"/>
        <w:rPr>
          <w:rStyle w:val="kursiv"/>
        </w:rPr>
      </w:pPr>
      <w:r w:rsidRPr="00225D4D">
        <w:rPr>
          <w:rStyle w:val="kursiv"/>
        </w:rPr>
        <w:t>«Stortinget ber regjeringen sørge for at varig tilrettelagt arbeid (VTA) og arbeidsforberedende trening (AFT) ikke settes ut på anbud.».</w:t>
      </w:r>
    </w:p>
    <w:p w14:paraId="4F0C1949"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1E32F5D7" w14:textId="77777777" w:rsidR="00D60186" w:rsidRPr="00225D4D" w:rsidRDefault="00D60186" w:rsidP="00225D4D">
      <w:r w:rsidRPr="00225D4D">
        <w:t xml:space="preserve">Varig tilrettelagt arbeid og </w:t>
      </w:r>
      <w:proofErr w:type="spellStart"/>
      <w:r w:rsidRPr="00225D4D">
        <w:t>arbeidsførebuande</w:t>
      </w:r>
      <w:proofErr w:type="spellEnd"/>
      <w:r w:rsidRPr="00225D4D">
        <w:t xml:space="preserve"> trening er regulerte i forskrifta om </w:t>
      </w:r>
      <w:proofErr w:type="spellStart"/>
      <w:r w:rsidRPr="00225D4D">
        <w:t>arbeidsmarknadstiltak</w:t>
      </w:r>
      <w:proofErr w:type="spellEnd"/>
      <w:r w:rsidRPr="00225D4D">
        <w:t xml:space="preserve">. Regjeringa har </w:t>
      </w:r>
      <w:proofErr w:type="spellStart"/>
      <w:r w:rsidRPr="00225D4D">
        <w:t>ikkje</w:t>
      </w:r>
      <w:proofErr w:type="spellEnd"/>
      <w:r w:rsidRPr="00225D4D">
        <w:t xml:space="preserve"> planar om å endre forskrifta slik at tiltaka blir sette ut på </w:t>
      </w:r>
      <w:proofErr w:type="spellStart"/>
      <w:r w:rsidRPr="00225D4D">
        <w:t>anbod</w:t>
      </w:r>
      <w:proofErr w:type="spellEnd"/>
      <w:r w:rsidRPr="00225D4D">
        <w:t xml:space="preserve">. Med dette ser departementet oppmodingsvedtaket som </w:t>
      </w:r>
      <w:proofErr w:type="spellStart"/>
      <w:r w:rsidRPr="00225D4D">
        <w:t>følgt</w:t>
      </w:r>
      <w:proofErr w:type="spellEnd"/>
      <w:r w:rsidRPr="00225D4D">
        <w:t xml:space="preserve"> opp.</w:t>
      </w:r>
    </w:p>
    <w:p w14:paraId="240DF74C" w14:textId="77777777" w:rsidR="00D60186" w:rsidRPr="00225D4D" w:rsidRDefault="00D60186" w:rsidP="00225D4D">
      <w:pPr>
        <w:pStyle w:val="avsnitt-tittel"/>
      </w:pPr>
      <w:r w:rsidRPr="00225D4D">
        <w:t xml:space="preserve">Prioritere ideelle og </w:t>
      </w:r>
      <w:proofErr w:type="spellStart"/>
      <w:r w:rsidRPr="00225D4D">
        <w:t>offentlege</w:t>
      </w:r>
      <w:proofErr w:type="spellEnd"/>
      <w:r w:rsidRPr="00225D4D">
        <w:t xml:space="preserve"> </w:t>
      </w:r>
      <w:proofErr w:type="spellStart"/>
      <w:r w:rsidRPr="00225D4D">
        <w:t>aktørar</w:t>
      </w:r>
      <w:proofErr w:type="spellEnd"/>
      <w:r w:rsidRPr="00225D4D">
        <w:t xml:space="preserve"> i </w:t>
      </w:r>
      <w:proofErr w:type="spellStart"/>
      <w:r w:rsidRPr="00225D4D">
        <w:t>arbeidsmarknadstiltak</w:t>
      </w:r>
      <w:proofErr w:type="spellEnd"/>
      <w:r w:rsidRPr="00225D4D">
        <w:t xml:space="preserve"> for å sikre best </w:t>
      </w:r>
      <w:proofErr w:type="spellStart"/>
      <w:r w:rsidRPr="00225D4D">
        <w:t>mogleg</w:t>
      </w:r>
      <w:proofErr w:type="spellEnd"/>
      <w:r w:rsidRPr="00225D4D">
        <w:t xml:space="preserve"> kvalitet i tiltaka for </w:t>
      </w:r>
      <w:proofErr w:type="spellStart"/>
      <w:r w:rsidRPr="00225D4D">
        <w:t>brukarane</w:t>
      </w:r>
      <w:proofErr w:type="spellEnd"/>
    </w:p>
    <w:p w14:paraId="46D4EF4F" w14:textId="77777777" w:rsidR="00D60186" w:rsidRPr="00225D4D" w:rsidRDefault="00D60186" w:rsidP="00225D4D">
      <w:pPr>
        <w:pStyle w:val="avsnitt-undertittel"/>
      </w:pPr>
      <w:r w:rsidRPr="00225D4D">
        <w:t>Vedtak 621, 6. mai 2025</w:t>
      </w:r>
    </w:p>
    <w:p w14:paraId="71ED7539" w14:textId="77777777" w:rsidR="00D60186" w:rsidRPr="00225D4D" w:rsidRDefault="00D60186" w:rsidP="00225D4D">
      <w:pPr>
        <w:pStyle w:val="blokksit"/>
        <w:rPr>
          <w:rStyle w:val="kursiv"/>
        </w:rPr>
      </w:pPr>
      <w:r w:rsidRPr="00225D4D">
        <w:rPr>
          <w:rStyle w:val="kursiv"/>
        </w:rPr>
        <w:t>«Stortinget ber regjeringen prioritere ideelle og offentlige aktører i arbeidsmarkedstiltak for å sikre best mulig kvalitet i tiltakene for brukerne.»</w:t>
      </w:r>
    </w:p>
    <w:p w14:paraId="3DB70F82" w14:textId="77777777" w:rsidR="00D60186" w:rsidRPr="00225D4D" w:rsidRDefault="00D60186" w:rsidP="00225D4D">
      <w:r w:rsidRPr="00225D4D">
        <w:t xml:space="preserve">Vedtaket blei gjort ved behandling av Meld. St. 33 (2023–2024), </w:t>
      </w:r>
      <w:proofErr w:type="spellStart"/>
      <w:r w:rsidRPr="00225D4D">
        <w:t>Innst</w:t>
      </w:r>
      <w:proofErr w:type="spellEnd"/>
      <w:r w:rsidRPr="00225D4D">
        <w:t>. 150 S (2024–2025).</w:t>
      </w:r>
    </w:p>
    <w:p w14:paraId="32DAB52F" w14:textId="77777777" w:rsidR="00D60186" w:rsidRPr="00225D4D" w:rsidRDefault="00D60186" w:rsidP="00225D4D">
      <w:r w:rsidRPr="00225D4D">
        <w:t xml:space="preserve">Regjeringa ser oppfølging av vedtaket i lys av korleis </w:t>
      </w:r>
      <w:proofErr w:type="spellStart"/>
      <w:r w:rsidRPr="00225D4D">
        <w:t>Avkommersialiseringsutvalget</w:t>
      </w:r>
      <w:proofErr w:type="spellEnd"/>
      <w:r w:rsidRPr="00225D4D">
        <w:t xml:space="preserve"> blir </w:t>
      </w:r>
      <w:proofErr w:type="spellStart"/>
      <w:r w:rsidRPr="00225D4D">
        <w:t>følgt</w:t>
      </w:r>
      <w:proofErr w:type="spellEnd"/>
      <w:r w:rsidRPr="00225D4D">
        <w:t xml:space="preserve"> opp. Rapporten </w:t>
      </w:r>
      <w:proofErr w:type="spellStart"/>
      <w:r w:rsidRPr="00225D4D">
        <w:t>frå</w:t>
      </w:r>
      <w:proofErr w:type="spellEnd"/>
      <w:r w:rsidRPr="00225D4D">
        <w:t xml:space="preserve"> </w:t>
      </w:r>
      <w:proofErr w:type="spellStart"/>
      <w:r w:rsidRPr="00225D4D">
        <w:t>utvalet</w:t>
      </w:r>
      <w:proofErr w:type="spellEnd"/>
      <w:r w:rsidRPr="00225D4D">
        <w:t xml:space="preserve"> har </w:t>
      </w:r>
      <w:proofErr w:type="spellStart"/>
      <w:r w:rsidRPr="00225D4D">
        <w:t>vore</w:t>
      </w:r>
      <w:proofErr w:type="spellEnd"/>
      <w:r w:rsidRPr="00225D4D">
        <w:t xml:space="preserve"> på </w:t>
      </w:r>
      <w:proofErr w:type="spellStart"/>
      <w:r w:rsidRPr="00225D4D">
        <w:t>høyring</w:t>
      </w:r>
      <w:proofErr w:type="spellEnd"/>
      <w:r w:rsidRPr="00225D4D">
        <w:t xml:space="preserve">. Digitaliserings- og forvaltningsdepartementet følger opp </w:t>
      </w:r>
      <w:proofErr w:type="spellStart"/>
      <w:r w:rsidRPr="00225D4D">
        <w:t>høyringa</w:t>
      </w:r>
      <w:proofErr w:type="spellEnd"/>
      <w:r w:rsidRPr="00225D4D">
        <w:t xml:space="preserve">, sjå omtale i </w:t>
      </w:r>
      <w:proofErr w:type="spellStart"/>
      <w:r w:rsidRPr="00225D4D">
        <w:t>Prop</w:t>
      </w:r>
      <w:proofErr w:type="spellEnd"/>
      <w:r w:rsidRPr="00225D4D">
        <w:t xml:space="preserve">. 1 S (2024–2025) for Arbeids- og inkluderingsdepartementet. Regjeringa har </w:t>
      </w:r>
      <w:proofErr w:type="spellStart"/>
      <w:r w:rsidRPr="00225D4D">
        <w:t>vidareført</w:t>
      </w:r>
      <w:proofErr w:type="spellEnd"/>
      <w:r w:rsidRPr="00225D4D">
        <w:t xml:space="preserve"> innsatsområda i </w:t>
      </w:r>
      <w:r w:rsidRPr="00225D4D">
        <w:rPr>
          <w:rStyle w:val="kursiv"/>
        </w:rPr>
        <w:t>Strategi for økt innovasjon og bedre tjenester på arbeids- og velferdsfeltet</w:t>
      </w:r>
      <w:r w:rsidRPr="00225D4D">
        <w:t xml:space="preserve"> </w:t>
      </w:r>
      <w:proofErr w:type="spellStart"/>
      <w:r w:rsidRPr="00225D4D">
        <w:t>frå</w:t>
      </w:r>
      <w:proofErr w:type="spellEnd"/>
      <w:r w:rsidRPr="00225D4D">
        <w:t xml:space="preserve"> Solberg-regjeringa.</w:t>
      </w:r>
    </w:p>
    <w:p w14:paraId="0B65A671" w14:textId="77777777" w:rsidR="00D60186" w:rsidRPr="00225D4D" w:rsidRDefault="00D60186" w:rsidP="00225D4D">
      <w:r w:rsidRPr="00225D4D">
        <w:t xml:space="preserve">Regjeringa vil komme tilbake til Stortinget på </w:t>
      </w:r>
      <w:proofErr w:type="spellStart"/>
      <w:r w:rsidRPr="00225D4D">
        <w:t>høveleg</w:t>
      </w:r>
      <w:proofErr w:type="spellEnd"/>
      <w:r w:rsidRPr="00225D4D">
        <w:t xml:space="preserve"> vis.</w:t>
      </w:r>
    </w:p>
    <w:p w14:paraId="55AEF2C6" w14:textId="77777777" w:rsidR="00D60186" w:rsidRPr="00225D4D" w:rsidRDefault="00D60186" w:rsidP="00225D4D">
      <w:pPr>
        <w:pStyle w:val="avsnitt-tittel"/>
      </w:pPr>
      <w:r w:rsidRPr="00225D4D">
        <w:t xml:space="preserve">Sikre Arbeidstilsynet </w:t>
      </w:r>
      <w:proofErr w:type="spellStart"/>
      <w:r w:rsidRPr="00225D4D">
        <w:t>lovheimlar</w:t>
      </w:r>
      <w:proofErr w:type="spellEnd"/>
      <w:r w:rsidRPr="00225D4D">
        <w:t xml:space="preserve"> for å kunne </w:t>
      </w:r>
      <w:proofErr w:type="spellStart"/>
      <w:r w:rsidRPr="00225D4D">
        <w:t>offentleggjere</w:t>
      </w:r>
      <w:proofErr w:type="spellEnd"/>
      <w:r w:rsidRPr="00225D4D">
        <w:t xml:space="preserve"> grove og gjentatte </w:t>
      </w:r>
      <w:proofErr w:type="spellStart"/>
      <w:r w:rsidRPr="00225D4D">
        <w:t>brot</w:t>
      </w:r>
      <w:proofErr w:type="spellEnd"/>
    </w:p>
    <w:p w14:paraId="33A478D6" w14:textId="77777777" w:rsidR="00D60186" w:rsidRPr="00225D4D" w:rsidRDefault="00D60186" w:rsidP="00225D4D">
      <w:pPr>
        <w:pStyle w:val="avsnitt-undertittel"/>
      </w:pPr>
      <w:r w:rsidRPr="00225D4D">
        <w:t>Vedtak 790, 27. mai 2025</w:t>
      </w:r>
    </w:p>
    <w:p w14:paraId="47BC7A97" w14:textId="77777777" w:rsidR="00D60186" w:rsidRPr="00225D4D" w:rsidRDefault="00D60186" w:rsidP="00225D4D">
      <w:pPr>
        <w:pStyle w:val="blokksit"/>
        <w:rPr>
          <w:rStyle w:val="kursiv"/>
        </w:rPr>
      </w:pPr>
      <w:r w:rsidRPr="00225D4D">
        <w:rPr>
          <w:rStyle w:val="kursiv"/>
        </w:rPr>
        <w:t>«Stortinget ber regjeringen sikre at Arbeidstilsynet har hjemler for å kunne offentliggjøre grove og gjentatte brudd der pålegg eller stansingsvedtak fra Arbeidstilsynet ikke etterleves innen fastsatte frister, og komme tilbake til Stortinget senest innen fremleggelsen av revidert nasjonalbudsjett for 2026.»</w:t>
      </w:r>
    </w:p>
    <w:p w14:paraId="24B7CC52"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3A263AFC" w14:textId="77777777" w:rsidR="00D60186" w:rsidRPr="00225D4D" w:rsidRDefault="00D60186" w:rsidP="00225D4D">
      <w:r w:rsidRPr="00225D4D">
        <w:t xml:space="preserve">Som omtalt i handlingsplanen mot sosial dumping og arbeidslivskriminalitet (2025), skal Arbeidstilsynet publisere tilsynsdokument og stansingsvedtak på </w:t>
      </w:r>
      <w:proofErr w:type="spellStart"/>
      <w:r w:rsidRPr="00225D4D">
        <w:t>eInnsyn</w:t>
      </w:r>
      <w:proofErr w:type="spellEnd"/>
      <w:r w:rsidRPr="00225D4D">
        <w:t xml:space="preserve">, som er ei digital </w:t>
      </w:r>
      <w:proofErr w:type="spellStart"/>
      <w:r w:rsidRPr="00225D4D">
        <w:t>søketeneste</w:t>
      </w:r>
      <w:proofErr w:type="spellEnd"/>
      <w:r w:rsidRPr="00225D4D">
        <w:t xml:space="preserve"> for dokument </w:t>
      </w:r>
      <w:proofErr w:type="spellStart"/>
      <w:r w:rsidRPr="00225D4D">
        <w:t>frå</w:t>
      </w:r>
      <w:proofErr w:type="spellEnd"/>
      <w:r w:rsidRPr="00225D4D">
        <w:t xml:space="preserve"> </w:t>
      </w:r>
      <w:proofErr w:type="spellStart"/>
      <w:r w:rsidRPr="00225D4D">
        <w:t>offentlege</w:t>
      </w:r>
      <w:proofErr w:type="spellEnd"/>
      <w:r w:rsidRPr="00225D4D">
        <w:t xml:space="preserve"> </w:t>
      </w:r>
      <w:proofErr w:type="spellStart"/>
      <w:r w:rsidRPr="00225D4D">
        <w:t>postjournalar</w:t>
      </w:r>
      <w:proofErr w:type="spellEnd"/>
      <w:r w:rsidRPr="00225D4D">
        <w:t xml:space="preserve">. Tilsynet vil </w:t>
      </w:r>
      <w:proofErr w:type="spellStart"/>
      <w:r w:rsidRPr="00225D4D">
        <w:t>gjere</w:t>
      </w:r>
      <w:proofErr w:type="spellEnd"/>
      <w:r w:rsidRPr="00225D4D">
        <w:t xml:space="preserve"> løysinga </w:t>
      </w:r>
      <w:proofErr w:type="spellStart"/>
      <w:r w:rsidRPr="00225D4D">
        <w:t>synleg</w:t>
      </w:r>
      <w:proofErr w:type="spellEnd"/>
      <w:r w:rsidRPr="00225D4D">
        <w:t xml:space="preserve"> og lett </w:t>
      </w:r>
      <w:proofErr w:type="spellStart"/>
      <w:r w:rsidRPr="00225D4D">
        <w:t>tilgjengeleg</w:t>
      </w:r>
      <w:proofErr w:type="spellEnd"/>
      <w:r w:rsidRPr="00225D4D">
        <w:t xml:space="preserve"> på nettsidene sine. Dette vil bidra til at </w:t>
      </w:r>
      <w:proofErr w:type="spellStart"/>
      <w:r w:rsidRPr="00225D4D">
        <w:t>verksemder</w:t>
      </w:r>
      <w:proofErr w:type="spellEnd"/>
      <w:r w:rsidRPr="00225D4D">
        <w:t xml:space="preserve">, </w:t>
      </w:r>
      <w:proofErr w:type="spellStart"/>
      <w:r w:rsidRPr="00225D4D">
        <w:t>innkjøparar</w:t>
      </w:r>
      <w:proofErr w:type="spellEnd"/>
      <w:r w:rsidRPr="00225D4D">
        <w:t xml:space="preserve"> og </w:t>
      </w:r>
      <w:proofErr w:type="spellStart"/>
      <w:r w:rsidRPr="00225D4D">
        <w:t>forbrukarar</w:t>
      </w:r>
      <w:proofErr w:type="spellEnd"/>
      <w:r w:rsidRPr="00225D4D">
        <w:t xml:space="preserve"> får betre tilgang til informasjon som </w:t>
      </w:r>
      <w:proofErr w:type="spellStart"/>
      <w:r w:rsidRPr="00225D4D">
        <w:t>gjer</w:t>
      </w:r>
      <w:proofErr w:type="spellEnd"/>
      <w:r w:rsidRPr="00225D4D">
        <w:t xml:space="preserve"> det </w:t>
      </w:r>
      <w:proofErr w:type="spellStart"/>
      <w:r w:rsidRPr="00225D4D">
        <w:t>mogleg</w:t>
      </w:r>
      <w:proofErr w:type="spellEnd"/>
      <w:r w:rsidRPr="00225D4D">
        <w:t xml:space="preserve"> å </w:t>
      </w:r>
      <w:proofErr w:type="spellStart"/>
      <w:r w:rsidRPr="00225D4D">
        <w:t>velje</w:t>
      </w:r>
      <w:proofErr w:type="spellEnd"/>
      <w:r w:rsidRPr="00225D4D">
        <w:t xml:space="preserve"> bort useriøse og kriminelle </w:t>
      </w:r>
      <w:proofErr w:type="spellStart"/>
      <w:r w:rsidRPr="00225D4D">
        <w:t>aktørar</w:t>
      </w:r>
      <w:proofErr w:type="spellEnd"/>
      <w:r w:rsidRPr="00225D4D">
        <w:t xml:space="preserve">. Arbeidstilsynet skal arbeide </w:t>
      </w:r>
      <w:proofErr w:type="spellStart"/>
      <w:r w:rsidRPr="00225D4D">
        <w:t>vidare</w:t>
      </w:r>
      <w:proofErr w:type="spellEnd"/>
      <w:r w:rsidRPr="00225D4D">
        <w:t xml:space="preserve"> med </w:t>
      </w:r>
      <w:proofErr w:type="spellStart"/>
      <w:r w:rsidRPr="00225D4D">
        <w:t>løysingar</w:t>
      </w:r>
      <w:proofErr w:type="spellEnd"/>
      <w:r w:rsidRPr="00225D4D">
        <w:t xml:space="preserve"> for å </w:t>
      </w:r>
      <w:proofErr w:type="spellStart"/>
      <w:r w:rsidRPr="00225D4D">
        <w:t>gjere</w:t>
      </w:r>
      <w:proofErr w:type="spellEnd"/>
      <w:r w:rsidRPr="00225D4D">
        <w:t xml:space="preserve"> den publiserte informasjonen </w:t>
      </w:r>
      <w:proofErr w:type="spellStart"/>
      <w:r w:rsidRPr="00225D4D">
        <w:t>tilgjengeleg</w:t>
      </w:r>
      <w:proofErr w:type="spellEnd"/>
      <w:r w:rsidRPr="00225D4D">
        <w:t xml:space="preserve"> for </w:t>
      </w:r>
      <w:proofErr w:type="spellStart"/>
      <w:r w:rsidRPr="00225D4D">
        <w:t>innkjøparar</w:t>
      </w:r>
      <w:proofErr w:type="spellEnd"/>
      <w:r w:rsidRPr="00225D4D">
        <w:t xml:space="preserve"> og </w:t>
      </w:r>
      <w:proofErr w:type="spellStart"/>
      <w:r w:rsidRPr="00225D4D">
        <w:t>forbrukarar</w:t>
      </w:r>
      <w:proofErr w:type="spellEnd"/>
      <w:r w:rsidRPr="00225D4D">
        <w:t xml:space="preserve"> på </w:t>
      </w:r>
      <w:proofErr w:type="spellStart"/>
      <w:r w:rsidRPr="00225D4D">
        <w:t>ein</w:t>
      </w:r>
      <w:proofErr w:type="spellEnd"/>
      <w:r w:rsidRPr="00225D4D">
        <w:t xml:space="preserve"> </w:t>
      </w:r>
      <w:proofErr w:type="spellStart"/>
      <w:r w:rsidRPr="00225D4D">
        <w:t>enklare</w:t>
      </w:r>
      <w:proofErr w:type="spellEnd"/>
      <w:r w:rsidRPr="00225D4D">
        <w:t xml:space="preserve"> måte. Regjeringa </w:t>
      </w:r>
      <w:proofErr w:type="spellStart"/>
      <w:r w:rsidRPr="00225D4D">
        <w:t>legg</w:t>
      </w:r>
      <w:proofErr w:type="spellEnd"/>
      <w:r w:rsidRPr="00225D4D">
        <w:t xml:space="preserve"> til grunn at Arbeidstilsynet har heimel til slik </w:t>
      </w:r>
      <w:proofErr w:type="spellStart"/>
      <w:r w:rsidRPr="00225D4D">
        <w:t>offentleggjering</w:t>
      </w:r>
      <w:proofErr w:type="spellEnd"/>
      <w:r w:rsidRPr="00225D4D">
        <w:t xml:space="preserve"> og </w:t>
      </w:r>
      <w:proofErr w:type="spellStart"/>
      <w:r w:rsidRPr="00225D4D">
        <w:t>reknar</w:t>
      </w:r>
      <w:proofErr w:type="spellEnd"/>
      <w:r w:rsidRPr="00225D4D">
        <w:t xml:space="preserve"> derfor oppmodingsvedtaket som </w:t>
      </w:r>
      <w:proofErr w:type="spellStart"/>
      <w:r w:rsidRPr="00225D4D">
        <w:t>følgt</w:t>
      </w:r>
      <w:proofErr w:type="spellEnd"/>
      <w:r w:rsidRPr="00225D4D">
        <w:t xml:space="preserve"> opp.</w:t>
      </w:r>
    </w:p>
    <w:p w14:paraId="67B19D2D" w14:textId="77777777" w:rsidR="00D60186" w:rsidRPr="00225D4D" w:rsidRDefault="00D60186" w:rsidP="00225D4D">
      <w:pPr>
        <w:pStyle w:val="avsnitt-tittel"/>
      </w:pPr>
      <w:r w:rsidRPr="00225D4D">
        <w:t xml:space="preserve">Greie ut </w:t>
      </w:r>
      <w:proofErr w:type="spellStart"/>
      <w:r w:rsidRPr="00225D4D">
        <w:t>eit</w:t>
      </w:r>
      <w:proofErr w:type="spellEnd"/>
      <w:r w:rsidRPr="00225D4D">
        <w:t xml:space="preserve"> prikksystem hos Arbeidstilsynet, der </w:t>
      </w:r>
      <w:proofErr w:type="spellStart"/>
      <w:r w:rsidRPr="00225D4D">
        <w:t>sanksjonane</w:t>
      </w:r>
      <w:proofErr w:type="spellEnd"/>
      <w:r w:rsidRPr="00225D4D">
        <w:t xml:space="preserve"> blir </w:t>
      </w:r>
      <w:proofErr w:type="spellStart"/>
      <w:r w:rsidRPr="00225D4D">
        <w:t>hardare</w:t>
      </w:r>
      <w:proofErr w:type="spellEnd"/>
      <w:r w:rsidRPr="00225D4D">
        <w:t xml:space="preserve"> etter gjentatte </w:t>
      </w:r>
      <w:proofErr w:type="spellStart"/>
      <w:r w:rsidRPr="00225D4D">
        <w:t>brot</w:t>
      </w:r>
      <w:proofErr w:type="spellEnd"/>
    </w:p>
    <w:p w14:paraId="23E7BA11" w14:textId="77777777" w:rsidR="00D60186" w:rsidRPr="00225D4D" w:rsidRDefault="00D60186" w:rsidP="00225D4D">
      <w:pPr>
        <w:pStyle w:val="avsnitt-undertittel"/>
      </w:pPr>
      <w:r w:rsidRPr="00225D4D">
        <w:t>Vedtak 791, 27. mai 2025</w:t>
      </w:r>
    </w:p>
    <w:p w14:paraId="0BD9D52D" w14:textId="77777777" w:rsidR="00D60186" w:rsidRPr="00225D4D" w:rsidRDefault="00D60186" w:rsidP="00225D4D">
      <w:pPr>
        <w:pStyle w:val="blokksit"/>
        <w:rPr>
          <w:rStyle w:val="kursiv"/>
        </w:rPr>
      </w:pPr>
      <w:r w:rsidRPr="00225D4D">
        <w:rPr>
          <w:rStyle w:val="kursiv"/>
        </w:rPr>
        <w:t>«Stortinget ber regjeringen utrede et prikksystem hos Arbeidstilsynet, hvor sanksjonene blir hardere etter gjentatte brudd, slik at gjengangerne sanksjoneres strengere, og komme tilbake til Stortinget senest innen fremleggelsen av revidert nasjonalbudsjett for 2026.»</w:t>
      </w:r>
    </w:p>
    <w:p w14:paraId="3ED3DF43"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6128E4DB" w14:textId="77777777" w:rsidR="00D60186" w:rsidRPr="00225D4D" w:rsidRDefault="00D60186" w:rsidP="00225D4D">
      <w:r w:rsidRPr="00225D4D">
        <w:t>Oppmodingsvedtaket er til behandling i departementet. Regjeringa vil komme tilbake til Stortinget på eigna måte.</w:t>
      </w:r>
    </w:p>
    <w:p w14:paraId="78E08564" w14:textId="77777777" w:rsidR="00D60186" w:rsidRPr="00225D4D" w:rsidRDefault="00D60186" w:rsidP="00225D4D">
      <w:pPr>
        <w:pStyle w:val="avsnitt-tittel"/>
      </w:pPr>
      <w:r w:rsidRPr="00225D4D">
        <w:t xml:space="preserve">Betre kunnskapsgrunnlaget og </w:t>
      </w:r>
      <w:proofErr w:type="spellStart"/>
      <w:r w:rsidRPr="00225D4D">
        <w:t>auke</w:t>
      </w:r>
      <w:proofErr w:type="spellEnd"/>
      <w:r w:rsidRPr="00225D4D">
        <w:t xml:space="preserve"> forskinga om sosial dumping og arbeidslivskriminalitet</w:t>
      </w:r>
    </w:p>
    <w:p w14:paraId="586A3361" w14:textId="77777777" w:rsidR="00D60186" w:rsidRPr="00225D4D" w:rsidRDefault="00D60186" w:rsidP="00225D4D">
      <w:pPr>
        <w:pStyle w:val="avsnitt-undertittel"/>
      </w:pPr>
      <w:r w:rsidRPr="00225D4D">
        <w:t>Vedtak 792, 27. mai 2025</w:t>
      </w:r>
    </w:p>
    <w:p w14:paraId="7D41F95C" w14:textId="77777777" w:rsidR="00D60186" w:rsidRPr="00225D4D" w:rsidRDefault="00D60186" w:rsidP="00225D4D">
      <w:pPr>
        <w:pStyle w:val="blokksit"/>
        <w:rPr>
          <w:rStyle w:val="kursiv"/>
        </w:rPr>
      </w:pPr>
      <w:r w:rsidRPr="00225D4D">
        <w:rPr>
          <w:rStyle w:val="kursiv"/>
        </w:rPr>
        <w:t>«Stortinget ber regjeringen bedre kunnskapsgrunnlaget og øke forskningen om sosial dumping og arbeidslivskriminalitet for å sikre at innsats mot sosial dumping og arbeidslivskriminalitet virker etter intensjonen og at virkemidler og tiltak har den ønskede effekten, og deretter komme tilbake til Stortinget på egnet måte.»</w:t>
      </w:r>
    </w:p>
    <w:p w14:paraId="6708388E"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416E7C6C" w14:textId="77777777" w:rsidR="00D60186" w:rsidRPr="00225D4D" w:rsidRDefault="00D60186" w:rsidP="00225D4D">
      <w:r w:rsidRPr="00225D4D">
        <w:t xml:space="preserve">I samsvar med handlingsplanen mot sosial dumping og arbeidslivskriminalitet (2025) vil regjeringa betre kunnskapsgrunnlaget og </w:t>
      </w:r>
      <w:proofErr w:type="spellStart"/>
      <w:r w:rsidRPr="00225D4D">
        <w:t>auke</w:t>
      </w:r>
      <w:proofErr w:type="spellEnd"/>
      <w:r w:rsidRPr="00225D4D">
        <w:t xml:space="preserve"> forskinga på sosial dumping og arbeidslivskriminalitet i </w:t>
      </w:r>
      <w:proofErr w:type="spellStart"/>
      <w:r w:rsidRPr="00225D4D">
        <w:t>Noreg</w:t>
      </w:r>
      <w:proofErr w:type="spellEnd"/>
      <w:r w:rsidRPr="00225D4D">
        <w:t xml:space="preserve">. Dette skal </w:t>
      </w:r>
      <w:proofErr w:type="spellStart"/>
      <w:r w:rsidRPr="00225D4D">
        <w:t>gjennomførast</w:t>
      </w:r>
      <w:proofErr w:type="spellEnd"/>
      <w:r w:rsidRPr="00225D4D">
        <w:t xml:space="preserve"> både gjennom departementets eigne forskingsinitiativ og i dialog med Forskingsrådet. Resultata </w:t>
      </w:r>
      <w:proofErr w:type="spellStart"/>
      <w:r w:rsidRPr="00225D4D">
        <w:t>frå</w:t>
      </w:r>
      <w:proofErr w:type="spellEnd"/>
      <w:r w:rsidRPr="00225D4D">
        <w:t xml:space="preserve"> forskinga vil bli brukte til å </w:t>
      </w:r>
      <w:proofErr w:type="spellStart"/>
      <w:r w:rsidRPr="00225D4D">
        <w:t>vidareutvikle</w:t>
      </w:r>
      <w:proofErr w:type="spellEnd"/>
      <w:r w:rsidRPr="00225D4D">
        <w:t xml:space="preserve"> innsatsen mot sosial dumping og arbeidslivskriminalitet. Med det ser departementet oppmodingsvedtaket som </w:t>
      </w:r>
      <w:proofErr w:type="spellStart"/>
      <w:r w:rsidRPr="00225D4D">
        <w:t>følgt</w:t>
      </w:r>
      <w:proofErr w:type="spellEnd"/>
      <w:r w:rsidRPr="00225D4D">
        <w:t xml:space="preserve"> opp.</w:t>
      </w:r>
    </w:p>
    <w:p w14:paraId="46A81719" w14:textId="77777777" w:rsidR="00D60186" w:rsidRPr="00225D4D" w:rsidRDefault="00D60186" w:rsidP="00225D4D">
      <w:pPr>
        <w:pStyle w:val="avsnitt-tittel"/>
      </w:pPr>
      <w:r w:rsidRPr="00225D4D">
        <w:t xml:space="preserve">Styrke samarbeidet med sjølvstendige </w:t>
      </w:r>
      <w:proofErr w:type="spellStart"/>
      <w:r w:rsidRPr="00225D4D">
        <w:t>organisasjonar</w:t>
      </w:r>
      <w:proofErr w:type="spellEnd"/>
      <w:r w:rsidRPr="00225D4D">
        <w:t>, som for eksempel Fair Play Bygg Norge</w:t>
      </w:r>
    </w:p>
    <w:p w14:paraId="398AE815" w14:textId="77777777" w:rsidR="00D60186" w:rsidRPr="00225D4D" w:rsidRDefault="00D60186" w:rsidP="00225D4D">
      <w:pPr>
        <w:pStyle w:val="avsnitt-undertittel"/>
      </w:pPr>
      <w:r w:rsidRPr="00225D4D">
        <w:t>Vedtak 793, 27. mai 2025</w:t>
      </w:r>
    </w:p>
    <w:p w14:paraId="20F64AD8" w14:textId="77777777" w:rsidR="00D60186" w:rsidRPr="00225D4D" w:rsidRDefault="00D60186" w:rsidP="00225D4D">
      <w:pPr>
        <w:pStyle w:val="blokksit"/>
        <w:rPr>
          <w:rStyle w:val="kursiv"/>
        </w:rPr>
      </w:pPr>
      <w:r w:rsidRPr="00225D4D">
        <w:rPr>
          <w:rStyle w:val="kursiv"/>
        </w:rPr>
        <w:t>«Stortinget ber regjeringen styrke samarbeidet med selvstendige organisasjoner, som for eksempel Fair Play Bygg Norge, som jobber for et trygt og seriøst arbeidsliv, og komme tilbake til Stortinget på egnet måte.»</w:t>
      </w:r>
    </w:p>
    <w:p w14:paraId="23A1F273"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16DEDF2D" w14:textId="77777777" w:rsidR="00D60186" w:rsidRPr="00225D4D" w:rsidRDefault="00D60186" w:rsidP="00225D4D">
      <w:r w:rsidRPr="00225D4D">
        <w:t xml:space="preserve">Gjennom den felles innsatsen sin mot arbeidslivskriminalitet har Arbeidstilsynet, Arbeids- og velferdsetaten, politiet og Skatteetaten utvikla </w:t>
      </w:r>
      <w:proofErr w:type="spellStart"/>
      <w:r w:rsidRPr="00225D4D">
        <w:t>eit</w:t>
      </w:r>
      <w:proofErr w:type="spellEnd"/>
      <w:r w:rsidRPr="00225D4D">
        <w:t xml:space="preserve"> </w:t>
      </w:r>
      <w:proofErr w:type="spellStart"/>
      <w:r w:rsidRPr="00225D4D">
        <w:t>omfattande</w:t>
      </w:r>
      <w:proofErr w:type="spellEnd"/>
      <w:r w:rsidRPr="00225D4D">
        <w:t xml:space="preserve"> samarbeid med andre </w:t>
      </w:r>
      <w:proofErr w:type="spellStart"/>
      <w:r w:rsidRPr="00225D4D">
        <w:t>offentlege</w:t>
      </w:r>
      <w:proofErr w:type="spellEnd"/>
      <w:r w:rsidRPr="00225D4D">
        <w:t xml:space="preserve"> </w:t>
      </w:r>
      <w:proofErr w:type="spellStart"/>
      <w:r w:rsidRPr="00225D4D">
        <w:t>etatar</w:t>
      </w:r>
      <w:proofErr w:type="spellEnd"/>
      <w:r w:rsidRPr="00225D4D">
        <w:t xml:space="preserve">, </w:t>
      </w:r>
      <w:proofErr w:type="spellStart"/>
      <w:r w:rsidRPr="00225D4D">
        <w:t>kommunar</w:t>
      </w:r>
      <w:proofErr w:type="spellEnd"/>
      <w:r w:rsidRPr="00225D4D">
        <w:t xml:space="preserve">, </w:t>
      </w:r>
      <w:proofErr w:type="spellStart"/>
      <w:r w:rsidRPr="00225D4D">
        <w:t>partane</w:t>
      </w:r>
      <w:proofErr w:type="spellEnd"/>
      <w:r w:rsidRPr="00225D4D">
        <w:t xml:space="preserve"> i arbeidslivet og frivillige </w:t>
      </w:r>
      <w:proofErr w:type="spellStart"/>
      <w:r w:rsidRPr="00225D4D">
        <w:t>organisasjonar</w:t>
      </w:r>
      <w:proofErr w:type="spellEnd"/>
      <w:r w:rsidRPr="00225D4D">
        <w:t xml:space="preserve">. Fair Play Bygg, som er etablert med grupper mange </w:t>
      </w:r>
      <w:proofErr w:type="spellStart"/>
      <w:r w:rsidRPr="00225D4D">
        <w:t>stader</w:t>
      </w:r>
      <w:proofErr w:type="spellEnd"/>
      <w:r w:rsidRPr="00225D4D">
        <w:t xml:space="preserve"> i landet, er blitt </w:t>
      </w:r>
      <w:proofErr w:type="spellStart"/>
      <w:r w:rsidRPr="00225D4D">
        <w:t>ein</w:t>
      </w:r>
      <w:proofErr w:type="spellEnd"/>
      <w:r w:rsidRPr="00225D4D">
        <w:t xml:space="preserve"> sentral samarbeidspart for </w:t>
      </w:r>
      <w:proofErr w:type="spellStart"/>
      <w:r w:rsidRPr="00225D4D">
        <w:t>etatane</w:t>
      </w:r>
      <w:proofErr w:type="spellEnd"/>
      <w:r w:rsidRPr="00225D4D">
        <w:t xml:space="preserve">. Tips og informasjon </w:t>
      </w:r>
      <w:proofErr w:type="spellStart"/>
      <w:r w:rsidRPr="00225D4D">
        <w:t>frå</w:t>
      </w:r>
      <w:proofErr w:type="spellEnd"/>
      <w:r w:rsidRPr="00225D4D">
        <w:t xml:space="preserve"> Fair Play Bygg-gruppene bidrar til </w:t>
      </w:r>
      <w:proofErr w:type="spellStart"/>
      <w:r w:rsidRPr="00225D4D">
        <w:t>auka</w:t>
      </w:r>
      <w:proofErr w:type="spellEnd"/>
      <w:r w:rsidRPr="00225D4D">
        <w:t xml:space="preserve"> kunnskap om utviklingstrekk og situasjonen for </w:t>
      </w:r>
      <w:proofErr w:type="spellStart"/>
      <w:r w:rsidRPr="00225D4D">
        <w:t>dei</w:t>
      </w:r>
      <w:proofErr w:type="spellEnd"/>
      <w:r w:rsidRPr="00225D4D">
        <w:t xml:space="preserve"> som blir offer for arbeidslivskriminalitet. Dei bidrar òg med tips og informasjon om konkrete </w:t>
      </w:r>
      <w:proofErr w:type="spellStart"/>
      <w:r w:rsidRPr="00225D4D">
        <w:t>trusselaktørar</w:t>
      </w:r>
      <w:proofErr w:type="spellEnd"/>
      <w:r w:rsidRPr="00225D4D">
        <w:t xml:space="preserve">. Det blir òg vist til omtale under vedtak 808, 27 mai 2025, der det går fram at regjeringa foreslår ei samla løyving på 6 mill. kroner til Fair Play Bygg i 2026. Med det ser departementet oppmodingsvedtaket som </w:t>
      </w:r>
      <w:proofErr w:type="spellStart"/>
      <w:r w:rsidRPr="00225D4D">
        <w:t>følgt</w:t>
      </w:r>
      <w:proofErr w:type="spellEnd"/>
      <w:r w:rsidRPr="00225D4D">
        <w:t xml:space="preserve"> opp.</w:t>
      </w:r>
    </w:p>
    <w:p w14:paraId="7F247A11" w14:textId="77777777" w:rsidR="00D60186" w:rsidRPr="00225D4D" w:rsidRDefault="00D60186" w:rsidP="00225D4D">
      <w:pPr>
        <w:pStyle w:val="avsnitt-tittel"/>
      </w:pPr>
      <w:r w:rsidRPr="00225D4D">
        <w:t xml:space="preserve">Greie ut krav om </w:t>
      </w:r>
      <w:proofErr w:type="spellStart"/>
      <w:r w:rsidRPr="00225D4D">
        <w:t>skriftleg</w:t>
      </w:r>
      <w:proofErr w:type="spellEnd"/>
      <w:r w:rsidRPr="00225D4D">
        <w:t xml:space="preserve"> arbeidskontrakt </w:t>
      </w:r>
      <w:proofErr w:type="spellStart"/>
      <w:r w:rsidRPr="00225D4D">
        <w:t>frå</w:t>
      </w:r>
      <w:proofErr w:type="spellEnd"/>
      <w:r w:rsidRPr="00225D4D">
        <w:t xml:space="preserve"> første arbeidsdag</w:t>
      </w:r>
    </w:p>
    <w:p w14:paraId="356BCB46" w14:textId="77777777" w:rsidR="00D60186" w:rsidRPr="00225D4D" w:rsidRDefault="00D60186" w:rsidP="00225D4D">
      <w:pPr>
        <w:pStyle w:val="avsnitt-undertittel"/>
      </w:pPr>
      <w:r w:rsidRPr="00225D4D">
        <w:t>Vedtak 795, 27. mai 2025</w:t>
      </w:r>
    </w:p>
    <w:p w14:paraId="036201E4" w14:textId="77777777" w:rsidR="00D60186" w:rsidRPr="00225D4D" w:rsidRDefault="00D60186" w:rsidP="00225D4D">
      <w:pPr>
        <w:pStyle w:val="blokksit"/>
        <w:rPr>
          <w:rStyle w:val="kursiv"/>
        </w:rPr>
      </w:pPr>
      <w:r w:rsidRPr="00225D4D">
        <w:rPr>
          <w:rStyle w:val="kursiv"/>
        </w:rPr>
        <w:t>«Stortinget ber regjeringen utrede krav om skriftlig arbeidskontrakt fra første arbeidsdag, og som minimum innføre krav om at lønnsopplysninger og de mest sentrale arbeidsvilkårene skal være gitt skriftlig fra dag én, og komme tilbake til Stortinget i løpet av 2025.»</w:t>
      </w:r>
    </w:p>
    <w:p w14:paraId="61EF49EA"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33F377CA" w14:textId="77777777" w:rsidR="00D60186" w:rsidRPr="00225D4D" w:rsidRDefault="00D60186" w:rsidP="00225D4D">
      <w:r w:rsidRPr="00225D4D">
        <w:t>Oppmodingsvedtaket er til behandling i departementet. Regjeringa vil komme tilbake til Stortinget på eigna måte.</w:t>
      </w:r>
    </w:p>
    <w:p w14:paraId="1E475BCC" w14:textId="77777777" w:rsidR="00D60186" w:rsidRPr="00225D4D" w:rsidRDefault="00D60186" w:rsidP="00225D4D">
      <w:pPr>
        <w:pStyle w:val="avsnitt-tittel"/>
      </w:pPr>
      <w:r w:rsidRPr="00225D4D">
        <w:t xml:space="preserve">Greie ut ei digital løysing for </w:t>
      </w:r>
      <w:proofErr w:type="spellStart"/>
      <w:r w:rsidRPr="00225D4D">
        <w:t>arbeidskontraktar</w:t>
      </w:r>
      <w:proofErr w:type="spellEnd"/>
      <w:r w:rsidRPr="00225D4D">
        <w:t xml:space="preserve"> for å sikre </w:t>
      </w:r>
      <w:proofErr w:type="spellStart"/>
      <w:r w:rsidRPr="00225D4D">
        <w:t>enklare</w:t>
      </w:r>
      <w:proofErr w:type="spellEnd"/>
      <w:r w:rsidRPr="00225D4D">
        <w:t xml:space="preserve"> kontroll av </w:t>
      </w:r>
      <w:proofErr w:type="spellStart"/>
      <w:r w:rsidRPr="00225D4D">
        <w:t>rettane</w:t>
      </w:r>
      <w:proofErr w:type="spellEnd"/>
      <w:r w:rsidRPr="00225D4D">
        <w:t xml:space="preserve"> til </w:t>
      </w:r>
      <w:proofErr w:type="spellStart"/>
      <w:r w:rsidRPr="00225D4D">
        <w:t>arbeidstakarane</w:t>
      </w:r>
      <w:proofErr w:type="spellEnd"/>
      <w:r w:rsidRPr="00225D4D">
        <w:t xml:space="preserve"> og at lønnskrav blir ivaretatt</w:t>
      </w:r>
    </w:p>
    <w:p w14:paraId="32996BAA" w14:textId="77777777" w:rsidR="00D60186" w:rsidRPr="00225D4D" w:rsidRDefault="00D60186" w:rsidP="00225D4D">
      <w:pPr>
        <w:pStyle w:val="avsnitt-undertittel"/>
      </w:pPr>
      <w:r w:rsidRPr="00225D4D">
        <w:t>Vedtak 796, 27. mai 2025</w:t>
      </w:r>
    </w:p>
    <w:p w14:paraId="42C42855" w14:textId="77777777" w:rsidR="00D60186" w:rsidRPr="00225D4D" w:rsidRDefault="00D60186" w:rsidP="00225D4D">
      <w:pPr>
        <w:pStyle w:val="blokksit"/>
        <w:rPr>
          <w:rStyle w:val="kursiv"/>
        </w:rPr>
      </w:pPr>
      <w:r w:rsidRPr="00225D4D">
        <w:rPr>
          <w:rStyle w:val="kursiv"/>
        </w:rPr>
        <w:t>«Stortinget ber regjeringen utrede en digital løsning for arbeidskontrakter for å sikre enklere kontroll av arbeidstakernes rettigheter og at lønnskrav blir ivaretatt, og komme tilbake til Stortinget innen statsbudsjettet for 2026.»</w:t>
      </w:r>
    </w:p>
    <w:p w14:paraId="7A4C1AF8"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54B390FB" w14:textId="77777777" w:rsidR="00D60186" w:rsidRPr="00225D4D" w:rsidRDefault="00D60186" w:rsidP="00225D4D">
      <w:r w:rsidRPr="00225D4D">
        <w:t xml:space="preserve">På oppdrag </w:t>
      </w:r>
      <w:proofErr w:type="spellStart"/>
      <w:r w:rsidRPr="00225D4D">
        <w:t>frå</w:t>
      </w:r>
      <w:proofErr w:type="spellEnd"/>
      <w:r w:rsidRPr="00225D4D">
        <w:t xml:space="preserve"> Arbeids- og inkluderingsdepartementet har Arbeidstilsynet, i dialog med Skatteetaten og Arbeids- og velferdsetaten, greidd ut ulike sider ved ei eventuell innføring av digitale </w:t>
      </w:r>
      <w:proofErr w:type="spellStart"/>
      <w:r w:rsidRPr="00225D4D">
        <w:t>arbeidsavtalar</w:t>
      </w:r>
      <w:proofErr w:type="spellEnd"/>
      <w:r w:rsidRPr="00225D4D">
        <w:t xml:space="preserve">. Som omtalt i handlingsplanen mot sosial dumping og arbeidslivskriminalitet vil departementet på bakgrunn av utgreiinga vurdere eventuelle tiltak for å </w:t>
      </w:r>
      <w:proofErr w:type="spellStart"/>
      <w:r w:rsidRPr="00225D4D">
        <w:t>forbetre</w:t>
      </w:r>
      <w:proofErr w:type="spellEnd"/>
      <w:r w:rsidRPr="00225D4D">
        <w:t xml:space="preserve"> den digitale informasjonen om </w:t>
      </w:r>
      <w:proofErr w:type="spellStart"/>
      <w:r w:rsidRPr="00225D4D">
        <w:t>arbeidskontraktar</w:t>
      </w:r>
      <w:proofErr w:type="spellEnd"/>
      <w:r w:rsidRPr="00225D4D">
        <w:t xml:space="preserve"> og arbeidsforhold.</w:t>
      </w:r>
    </w:p>
    <w:p w14:paraId="07CDD4D0" w14:textId="77777777" w:rsidR="00D60186" w:rsidRPr="00225D4D" w:rsidRDefault="00D60186" w:rsidP="00225D4D">
      <w:r w:rsidRPr="00225D4D">
        <w:t>Regjeringa vil komme tilbake til Stortinga på eigna måte.</w:t>
      </w:r>
    </w:p>
    <w:p w14:paraId="7E69EB0D" w14:textId="77777777" w:rsidR="00D60186" w:rsidRPr="00225D4D" w:rsidRDefault="00D60186" w:rsidP="00225D4D">
      <w:pPr>
        <w:pStyle w:val="avsnitt-tittel"/>
      </w:pPr>
      <w:r w:rsidRPr="00225D4D">
        <w:t xml:space="preserve">Gi Arbeidstilsynet </w:t>
      </w:r>
      <w:proofErr w:type="spellStart"/>
      <w:r w:rsidRPr="00225D4D">
        <w:t>moglegheit</w:t>
      </w:r>
      <w:proofErr w:type="spellEnd"/>
      <w:r w:rsidRPr="00225D4D">
        <w:t xml:space="preserve"> til å vise bort </w:t>
      </w:r>
      <w:proofErr w:type="spellStart"/>
      <w:r w:rsidRPr="00225D4D">
        <w:t>arbeidstakarar</w:t>
      </w:r>
      <w:proofErr w:type="spellEnd"/>
      <w:r w:rsidRPr="00225D4D">
        <w:t xml:space="preserve"> som </w:t>
      </w:r>
      <w:proofErr w:type="spellStart"/>
      <w:r w:rsidRPr="00225D4D">
        <w:t>ikkje</w:t>
      </w:r>
      <w:proofErr w:type="spellEnd"/>
      <w:r w:rsidRPr="00225D4D">
        <w:t xml:space="preserve"> har HMS-kort, </w:t>
      </w:r>
      <w:proofErr w:type="spellStart"/>
      <w:r w:rsidRPr="00225D4D">
        <w:t>frå</w:t>
      </w:r>
      <w:proofErr w:type="spellEnd"/>
      <w:r w:rsidRPr="00225D4D">
        <w:t xml:space="preserve"> byggeplass</w:t>
      </w:r>
    </w:p>
    <w:p w14:paraId="406B5A78" w14:textId="77777777" w:rsidR="00D60186" w:rsidRPr="00225D4D" w:rsidRDefault="00D60186" w:rsidP="00225D4D">
      <w:pPr>
        <w:pStyle w:val="avsnitt-undertittel"/>
      </w:pPr>
      <w:r w:rsidRPr="00225D4D">
        <w:t>Vedtak 797, 27. mai 2025</w:t>
      </w:r>
    </w:p>
    <w:p w14:paraId="717A7419" w14:textId="77777777" w:rsidR="00D60186" w:rsidRPr="00225D4D" w:rsidRDefault="00D60186" w:rsidP="00225D4D">
      <w:pPr>
        <w:pStyle w:val="blokksit"/>
        <w:rPr>
          <w:rStyle w:val="kursiv"/>
        </w:rPr>
      </w:pPr>
      <w:r w:rsidRPr="00225D4D">
        <w:rPr>
          <w:rStyle w:val="kursiv"/>
        </w:rPr>
        <w:t>«Stortinget ber regjeringen gi Arbeidstilsynet mulighet til å bortvise arbeidstakere fra byggeplass der de ikke besitter pliktig HMS-kort og ikke er registrert i Aa-registeret (Navs arbeidsgiver- og arbeidstakerregister), og komme tilbake til Stortinget innen statsbudsjettet for 2026.»</w:t>
      </w:r>
    </w:p>
    <w:p w14:paraId="01C4E05E"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78E01E3B" w14:textId="77777777" w:rsidR="00D60186" w:rsidRPr="00225D4D" w:rsidRDefault="00D60186" w:rsidP="00225D4D">
      <w:r w:rsidRPr="00225D4D">
        <w:t xml:space="preserve">Arbeidstilsynet har i dag </w:t>
      </w:r>
      <w:proofErr w:type="spellStart"/>
      <w:r w:rsidRPr="00225D4D">
        <w:t>ikkje</w:t>
      </w:r>
      <w:proofErr w:type="spellEnd"/>
      <w:r w:rsidRPr="00225D4D">
        <w:t xml:space="preserve"> heimel til å vise bort </w:t>
      </w:r>
      <w:proofErr w:type="spellStart"/>
      <w:r w:rsidRPr="00225D4D">
        <w:t>personar</w:t>
      </w:r>
      <w:proofErr w:type="spellEnd"/>
      <w:r w:rsidRPr="00225D4D">
        <w:t xml:space="preserve">; det er det politiet som har. Etter departementet sitt syn </w:t>
      </w:r>
      <w:proofErr w:type="spellStart"/>
      <w:r w:rsidRPr="00225D4D">
        <w:t>føreset</w:t>
      </w:r>
      <w:proofErr w:type="spellEnd"/>
      <w:r w:rsidRPr="00225D4D">
        <w:t xml:space="preserve"> en heimel om bortvising at den </w:t>
      </w:r>
      <w:proofErr w:type="spellStart"/>
      <w:r w:rsidRPr="00225D4D">
        <w:t>myndigheit</w:t>
      </w:r>
      <w:proofErr w:type="spellEnd"/>
      <w:r w:rsidRPr="00225D4D">
        <w:t xml:space="preserve"> som viser bort også må kunne nytte fysisk makt om den aktuelle personen </w:t>
      </w:r>
      <w:proofErr w:type="spellStart"/>
      <w:r w:rsidRPr="00225D4D">
        <w:t>ikkje</w:t>
      </w:r>
      <w:proofErr w:type="spellEnd"/>
      <w:r w:rsidRPr="00225D4D">
        <w:t xml:space="preserve"> samarbeider. Departementet </w:t>
      </w:r>
      <w:proofErr w:type="spellStart"/>
      <w:r w:rsidRPr="00225D4D">
        <w:t>legg</w:t>
      </w:r>
      <w:proofErr w:type="spellEnd"/>
      <w:r w:rsidRPr="00225D4D">
        <w:t xml:space="preserve"> til grunn at det </w:t>
      </w:r>
      <w:proofErr w:type="spellStart"/>
      <w:r w:rsidRPr="00225D4D">
        <w:t>ikkje</w:t>
      </w:r>
      <w:proofErr w:type="spellEnd"/>
      <w:r w:rsidRPr="00225D4D">
        <w:t xml:space="preserve"> er aktuelt å gi Arbeidstilsynets </w:t>
      </w:r>
      <w:proofErr w:type="spellStart"/>
      <w:r w:rsidRPr="00225D4D">
        <w:t>inspektørar</w:t>
      </w:r>
      <w:proofErr w:type="spellEnd"/>
      <w:r w:rsidRPr="00225D4D">
        <w:t xml:space="preserve"> slik </w:t>
      </w:r>
      <w:proofErr w:type="spellStart"/>
      <w:r w:rsidRPr="00225D4D">
        <w:t>politimyndigheit</w:t>
      </w:r>
      <w:proofErr w:type="spellEnd"/>
      <w:r w:rsidRPr="00225D4D">
        <w:t xml:space="preserve">. Departementet meiner derfor at det </w:t>
      </w:r>
      <w:proofErr w:type="spellStart"/>
      <w:r w:rsidRPr="00225D4D">
        <w:t>ikkje</w:t>
      </w:r>
      <w:proofErr w:type="spellEnd"/>
      <w:r w:rsidRPr="00225D4D">
        <w:t xml:space="preserve"> er aktuelt å </w:t>
      </w:r>
      <w:proofErr w:type="spellStart"/>
      <w:r w:rsidRPr="00225D4D">
        <w:t>følgje</w:t>
      </w:r>
      <w:proofErr w:type="spellEnd"/>
      <w:r w:rsidRPr="00225D4D">
        <w:t xml:space="preserve"> opp vedtaket. Regjeringa foreslår at oppmodingsvedtaket blir oppheva.</w:t>
      </w:r>
    </w:p>
    <w:p w14:paraId="48F4C475" w14:textId="77777777" w:rsidR="00D60186" w:rsidRPr="00225D4D" w:rsidRDefault="00D60186" w:rsidP="00225D4D">
      <w:pPr>
        <w:pStyle w:val="avsnitt-tittel"/>
      </w:pPr>
      <w:r w:rsidRPr="00225D4D">
        <w:t xml:space="preserve">Greie ut </w:t>
      </w:r>
      <w:proofErr w:type="spellStart"/>
      <w:r w:rsidRPr="00225D4D">
        <w:t>eit</w:t>
      </w:r>
      <w:proofErr w:type="spellEnd"/>
      <w:r w:rsidRPr="00225D4D">
        <w:t xml:space="preserve"> prikksystem hos Arbeidstilsynet der </w:t>
      </w:r>
      <w:proofErr w:type="spellStart"/>
      <w:r w:rsidRPr="00225D4D">
        <w:t>sanksjonane</w:t>
      </w:r>
      <w:proofErr w:type="spellEnd"/>
      <w:r w:rsidRPr="00225D4D">
        <w:t xml:space="preserve"> blir </w:t>
      </w:r>
      <w:proofErr w:type="spellStart"/>
      <w:r w:rsidRPr="00225D4D">
        <w:t>hardare</w:t>
      </w:r>
      <w:proofErr w:type="spellEnd"/>
      <w:r w:rsidRPr="00225D4D">
        <w:t xml:space="preserve"> etter gjentatte </w:t>
      </w:r>
      <w:proofErr w:type="spellStart"/>
      <w:r w:rsidRPr="00225D4D">
        <w:t>brot</w:t>
      </w:r>
      <w:proofErr w:type="spellEnd"/>
      <w:r w:rsidRPr="00225D4D">
        <w:t xml:space="preserve">, slik at </w:t>
      </w:r>
      <w:proofErr w:type="spellStart"/>
      <w:r w:rsidRPr="00225D4D">
        <w:t>gjengangarane</w:t>
      </w:r>
      <w:proofErr w:type="spellEnd"/>
      <w:r w:rsidRPr="00225D4D">
        <w:t xml:space="preserve"> blir sanksjonerte </w:t>
      </w:r>
      <w:proofErr w:type="spellStart"/>
      <w:r w:rsidRPr="00225D4D">
        <w:t>strengare</w:t>
      </w:r>
      <w:proofErr w:type="spellEnd"/>
    </w:p>
    <w:p w14:paraId="71219331" w14:textId="77777777" w:rsidR="00D60186" w:rsidRPr="00225D4D" w:rsidRDefault="00D60186" w:rsidP="00225D4D">
      <w:pPr>
        <w:pStyle w:val="avsnitt-undertittel"/>
      </w:pPr>
      <w:r w:rsidRPr="00225D4D">
        <w:t>Vedtak 798, 27. mai 2025</w:t>
      </w:r>
    </w:p>
    <w:p w14:paraId="3018C513" w14:textId="77777777" w:rsidR="00D60186" w:rsidRPr="00225D4D" w:rsidRDefault="00D60186" w:rsidP="00225D4D">
      <w:pPr>
        <w:pStyle w:val="blokksit"/>
        <w:rPr>
          <w:rStyle w:val="kursiv"/>
        </w:rPr>
      </w:pPr>
      <w:r w:rsidRPr="00225D4D">
        <w:rPr>
          <w:rStyle w:val="kursiv"/>
        </w:rPr>
        <w:t>«Stortinget ber regjeringen utrede et prikksystem hos Arbeidstilsynet, hvor sanksjonene blir hardere etter gjentatte brudd, slik at gjengangerne sanksjoneres strengere, og komme tilbake til Stortinget senest innen fremleggelsen av statsbudsjettet for 2026.»</w:t>
      </w:r>
    </w:p>
    <w:p w14:paraId="414D308F"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494CC2CD" w14:textId="77777777" w:rsidR="00D60186" w:rsidRPr="00225D4D" w:rsidRDefault="00D60186" w:rsidP="00225D4D">
      <w:r w:rsidRPr="00225D4D">
        <w:t>Oppmodingsvedtaket er til behandling i departementet. Regjeringa vil komme tilbake til Stortinget på eigna måte.</w:t>
      </w:r>
    </w:p>
    <w:p w14:paraId="20DA1F0C" w14:textId="77777777" w:rsidR="00D60186" w:rsidRPr="00225D4D" w:rsidRDefault="00D60186" w:rsidP="00225D4D">
      <w:pPr>
        <w:pStyle w:val="avsnitt-tittel"/>
      </w:pPr>
      <w:r w:rsidRPr="00225D4D">
        <w:t xml:space="preserve">Sikre at Arbeidstilsynet har </w:t>
      </w:r>
      <w:proofErr w:type="spellStart"/>
      <w:r w:rsidRPr="00225D4D">
        <w:t>lovheimlar</w:t>
      </w:r>
      <w:proofErr w:type="spellEnd"/>
      <w:r w:rsidRPr="00225D4D">
        <w:t xml:space="preserve"> for å kunne </w:t>
      </w:r>
      <w:proofErr w:type="spellStart"/>
      <w:r w:rsidRPr="00225D4D">
        <w:t>offentleggjere</w:t>
      </w:r>
      <w:proofErr w:type="spellEnd"/>
      <w:r w:rsidRPr="00225D4D">
        <w:t xml:space="preserve"> grove og gjentatte </w:t>
      </w:r>
      <w:proofErr w:type="spellStart"/>
      <w:r w:rsidRPr="00225D4D">
        <w:t>brot</w:t>
      </w:r>
      <w:proofErr w:type="spellEnd"/>
    </w:p>
    <w:p w14:paraId="6AE5CA67" w14:textId="77777777" w:rsidR="00D60186" w:rsidRPr="00225D4D" w:rsidRDefault="00D60186" w:rsidP="00225D4D">
      <w:pPr>
        <w:pStyle w:val="avsnitt-undertittel"/>
      </w:pPr>
      <w:r w:rsidRPr="00225D4D">
        <w:t>Vedtak 799, 27. mai 2025</w:t>
      </w:r>
    </w:p>
    <w:p w14:paraId="0C92B05B" w14:textId="77777777" w:rsidR="00D60186" w:rsidRPr="00225D4D" w:rsidRDefault="00D60186" w:rsidP="00225D4D">
      <w:pPr>
        <w:pStyle w:val="blokksit"/>
        <w:rPr>
          <w:rStyle w:val="kursiv"/>
        </w:rPr>
      </w:pPr>
      <w:r w:rsidRPr="00225D4D">
        <w:rPr>
          <w:rStyle w:val="kursiv"/>
        </w:rPr>
        <w:t>«Stortinget ber regjeringen sikre at Arbeidstilsynet har hjemler for å kunne offentliggjøre grove og gjentatte brudd der pålegg eller stansingsvedtak fra Arbeidstilsynet ikke etterleves innen fastsatte frister, og komme tilbake til Stortinget senest innen fremleggelsen av statsbudsjettet for 2026.»</w:t>
      </w:r>
    </w:p>
    <w:p w14:paraId="72844BED"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5861BE21" w14:textId="77777777" w:rsidR="00D60186" w:rsidRPr="00225D4D" w:rsidRDefault="00D60186" w:rsidP="00225D4D">
      <w:r w:rsidRPr="00225D4D">
        <w:t xml:space="preserve">Sjå omtale av vedtak 790, 27. mai 2025. Med det ser departementet oppmodingsvedtaket som </w:t>
      </w:r>
      <w:proofErr w:type="spellStart"/>
      <w:r w:rsidRPr="00225D4D">
        <w:t>følgt</w:t>
      </w:r>
      <w:proofErr w:type="spellEnd"/>
      <w:r w:rsidRPr="00225D4D">
        <w:t xml:space="preserve"> opp.</w:t>
      </w:r>
    </w:p>
    <w:p w14:paraId="38C7DBB8" w14:textId="77777777" w:rsidR="00D60186" w:rsidRPr="00225D4D" w:rsidRDefault="00D60186" w:rsidP="00225D4D">
      <w:pPr>
        <w:pStyle w:val="avsnitt-tittel"/>
      </w:pPr>
      <w:r w:rsidRPr="00225D4D">
        <w:t xml:space="preserve">Gå gjennom og </w:t>
      </w:r>
      <w:proofErr w:type="spellStart"/>
      <w:r w:rsidRPr="00225D4D">
        <w:t>forbetre</w:t>
      </w:r>
      <w:proofErr w:type="spellEnd"/>
      <w:r w:rsidRPr="00225D4D">
        <w:t xml:space="preserve"> informasjonen som blir gitt til </w:t>
      </w:r>
      <w:proofErr w:type="spellStart"/>
      <w:r w:rsidRPr="00225D4D">
        <w:t>utanlandske</w:t>
      </w:r>
      <w:proofErr w:type="spellEnd"/>
      <w:r w:rsidRPr="00225D4D">
        <w:t xml:space="preserve"> </w:t>
      </w:r>
      <w:proofErr w:type="spellStart"/>
      <w:r w:rsidRPr="00225D4D">
        <w:t>arbeidstakarar</w:t>
      </w:r>
      <w:proofErr w:type="spellEnd"/>
      <w:r w:rsidRPr="00225D4D">
        <w:t xml:space="preserve"> i forbindelse med registrering for arbeid i </w:t>
      </w:r>
      <w:proofErr w:type="spellStart"/>
      <w:r w:rsidRPr="00225D4D">
        <w:t>Noreg</w:t>
      </w:r>
      <w:proofErr w:type="spellEnd"/>
    </w:p>
    <w:p w14:paraId="6644F29D" w14:textId="77777777" w:rsidR="00D60186" w:rsidRPr="00225D4D" w:rsidRDefault="00D60186" w:rsidP="00225D4D">
      <w:pPr>
        <w:pStyle w:val="avsnitt-undertittel"/>
      </w:pPr>
      <w:r w:rsidRPr="00225D4D">
        <w:t>Vedtak 801, 27. mai 2025</w:t>
      </w:r>
    </w:p>
    <w:p w14:paraId="7E1C69E4" w14:textId="77777777" w:rsidR="00D60186" w:rsidRPr="00225D4D" w:rsidRDefault="00D60186" w:rsidP="00225D4D">
      <w:pPr>
        <w:pStyle w:val="blokksit"/>
        <w:rPr>
          <w:rStyle w:val="kursiv"/>
        </w:rPr>
      </w:pPr>
      <w:r w:rsidRPr="00225D4D">
        <w:rPr>
          <w:rStyle w:val="kursiv"/>
        </w:rPr>
        <w:t>«Stortinget ber regjeringen gjennomgå og forbedre informasjonen som gis til utenlandske arbeidstakere i forbindelse med registrering for arbeid i Norge, herunder ved utdeling av d-nummer, og sikre at Arbeidstilsynet og andre offentlige aktører møter utenlandske arbeidstakere med forbedret informasjonsmateriell innen 1. januar 2026.»</w:t>
      </w:r>
    </w:p>
    <w:p w14:paraId="23174F82"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5051F57C" w14:textId="77777777" w:rsidR="00D60186" w:rsidRPr="00225D4D" w:rsidRDefault="00D60186" w:rsidP="00225D4D">
      <w:r w:rsidRPr="00225D4D">
        <w:t xml:space="preserve">I samsvar med handlingsplanen mot sosial dumping og arbeidslivskriminalitet (2025) skal </w:t>
      </w:r>
      <w:proofErr w:type="spellStart"/>
      <w:r w:rsidRPr="00225D4D">
        <w:t>ein</w:t>
      </w:r>
      <w:proofErr w:type="spellEnd"/>
      <w:r w:rsidRPr="00225D4D">
        <w:t xml:space="preserve"> nytte sentrale </w:t>
      </w:r>
      <w:proofErr w:type="spellStart"/>
      <w:r w:rsidRPr="00225D4D">
        <w:t>møtestader</w:t>
      </w:r>
      <w:proofErr w:type="spellEnd"/>
      <w:r w:rsidRPr="00225D4D">
        <w:t xml:space="preserve"> som Skatteetaten sin ID-kontroll og Servicesenter for </w:t>
      </w:r>
      <w:proofErr w:type="spellStart"/>
      <w:r w:rsidRPr="00225D4D">
        <w:t>utanlandske</w:t>
      </w:r>
      <w:proofErr w:type="spellEnd"/>
      <w:r w:rsidRPr="00225D4D">
        <w:t xml:space="preserve"> </w:t>
      </w:r>
      <w:proofErr w:type="spellStart"/>
      <w:r w:rsidRPr="00225D4D">
        <w:t>arbeidstakarar</w:t>
      </w:r>
      <w:proofErr w:type="spellEnd"/>
      <w:r w:rsidRPr="00225D4D">
        <w:t xml:space="preserve"> (SUA) til å formidle informasjon til </w:t>
      </w:r>
      <w:proofErr w:type="spellStart"/>
      <w:r w:rsidRPr="00225D4D">
        <w:t>utanlandske</w:t>
      </w:r>
      <w:proofErr w:type="spellEnd"/>
      <w:r w:rsidRPr="00225D4D">
        <w:t xml:space="preserve"> </w:t>
      </w:r>
      <w:proofErr w:type="spellStart"/>
      <w:r w:rsidRPr="00225D4D">
        <w:t>arbeidstakarar</w:t>
      </w:r>
      <w:proofErr w:type="spellEnd"/>
      <w:r w:rsidRPr="00225D4D">
        <w:t xml:space="preserve">. I samarbeid med </w:t>
      </w:r>
      <w:proofErr w:type="spellStart"/>
      <w:r w:rsidRPr="00225D4D">
        <w:t>partane</w:t>
      </w:r>
      <w:proofErr w:type="spellEnd"/>
      <w:r w:rsidRPr="00225D4D">
        <w:t xml:space="preserve"> i arbeidslivet skal relevante </w:t>
      </w:r>
      <w:proofErr w:type="spellStart"/>
      <w:r w:rsidRPr="00225D4D">
        <w:t>myndigheiter</w:t>
      </w:r>
      <w:proofErr w:type="spellEnd"/>
      <w:r w:rsidRPr="00225D4D">
        <w:t xml:space="preserve"> utforme og </w:t>
      </w:r>
      <w:proofErr w:type="spellStart"/>
      <w:r w:rsidRPr="00225D4D">
        <w:t>vidareutvikle</w:t>
      </w:r>
      <w:proofErr w:type="spellEnd"/>
      <w:r w:rsidRPr="00225D4D">
        <w:t xml:space="preserve"> lett </w:t>
      </w:r>
      <w:proofErr w:type="spellStart"/>
      <w:r w:rsidRPr="00225D4D">
        <w:t>tilgjengeleg</w:t>
      </w:r>
      <w:proofErr w:type="spellEnd"/>
      <w:r w:rsidRPr="00225D4D">
        <w:t xml:space="preserve"> informasjonsmateriell om </w:t>
      </w:r>
      <w:proofErr w:type="spellStart"/>
      <w:r w:rsidRPr="00225D4D">
        <w:t>rettar</w:t>
      </w:r>
      <w:proofErr w:type="spellEnd"/>
      <w:r w:rsidRPr="00225D4D">
        <w:t xml:space="preserve"> og plikter i norsk arbeidsliv. Med det ser departementet oppmodingsvedtaket som </w:t>
      </w:r>
      <w:proofErr w:type="spellStart"/>
      <w:r w:rsidRPr="00225D4D">
        <w:t>følgt</w:t>
      </w:r>
      <w:proofErr w:type="spellEnd"/>
      <w:r w:rsidRPr="00225D4D">
        <w:t xml:space="preserve"> opp.</w:t>
      </w:r>
    </w:p>
    <w:p w14:paraId="734365EB" w14:textId="77777777" w:rsidR="00D60186" w:rsidRPr="00225D4D" w:rsidRDefault="00D60186" w:rsidP="00225D4D">
      <w:pPr>
        <w:pStyle w:val="avsnitt-tittel"/>
      </w:pPr>
      <w:r w:rsidRPr="00225D4D">
        <w:t xml:space="preserve">Innføre </w:t>
      </w:r>
      <w:proofErr w:type="spellStart"/>
      <w:r w:rsidRPr="00225D4D">
        <w:t>eit</w:t>
      </w:r>
      <w:proofErr w:type="spellEnd"/>
      <w:r w:rsidRPr="00225D4D">
        <w:t xml:space="preserve"> prikksystem, </w:t>
      </w:r>
      <w:proofErr w:type="spellStart"/>
      <w:r w:rsidRPr="00225D4D">
        <w:t>eit</w:t>
      </w:r>
      <w:proofErr w:type="spellEnd"/>
      <w:r w:rsidRPr="00225D4D">
        <w:t xml:space="preserve"> rullebladregister eller ei </w:t>
      </w:r>
      <w:proofErr w:type="spellStart"/>
      <w:r w:rsidRPr="00225D4D">
        <w:t>tilsvarande</w:t>
      </w:r>
      <w:proofErr w:type="spellEnd"/>
      <w:r w:rsidRPr="00225D4D">
        <w:t xml:space="preserve"> ordning for juridiske og fysiske </w:t>
      </w:r>
      <w:proofErr w:type="spellStart"/>
      <w:r w:rsidRPr="00225D4D">
        <w:t>personar</w:t>
      </w:r>
      <w:proofErr w:type="spellEnd"/>
      <w:r w:rsidRPr="00225D4D">
        <w:t xml:space="preserve"> som er </w:t>
      </w:r>
      <w:proofErr w:type="spellStart"/>
      <w:r w:rsidRPr="00225D4D">
        <w:t>dømde</w:t>
      </w:r>
      <w:proofErr w:type="spellEnd"/>
      <w:r w:rsidRPr="00225D4D">
        <w:t xml:space="preserve"> for arbeidslivskriminalitet</w:t>
      </w:r>
    </w:p>
    <w:p w14:paraId="7BA9DA55" w14:textId="77777777" w:rsidR="00D60186" w:rsidRPr="00225D4D" w:rsidRDefault="00D60186" w:rsidP="00225D4D">
      <w:pPr>
        <w:pStyle w:val="avsnitt-undertittel"/>
      </w:pPr>
      <w:r w:rsidRPr="00225D4D">
        <w:t>Vedtak 802, 27. mai 2025</w:t>
      </w:r>
    </w:p>
    <w:p w14:paraId="3E29F9B9" w14:textId="77777777" w:rsidR="00D60186" w:rsidRPr="00225D4D" w:rsidRDefault="00D60186" w:rsidP="00225D4D">
      <w:pPr>
        <w:pStyle w:val="blokksit"/>
        <w:rPr>
          <w:rStyle w:val="kursiv"/>
        </w:rPr>
      </w:pPr>
      <w:r w:rsidRPr="00225D4D">
        <w:rPr>
          <w:rStyle w:val="kursiv"/>
        </w:rPr>
        <w:t>«Stortinget ber regjeringen innføre et prikksystem, et rullebladregister eller en tilsvarende ordning for juridiske og fysiske personer som har blitt dømt for arbeidslivskriminalitet, der gjentatte grove brudd medfører karantene eller tap av rettighet til å eie og drive en bedrift.»</w:t>
      </w:r>
    </w:p>
    <w:p w14:paraId="6B5DF802"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0F0061B6" w14:textId="77777777" w:rsidR="00D60186" w:rsidRPr="00225D4D" w:rsidRDefault="00D60186" w:rsidP="00225D4D">
      <w:r w:rsidRPr="00225D4D">
        <w:t>Oppmodingsvedtaket er til behandling i departementet.</w:t>
      </w:r>
    </w:p>
    <w:p w14:paraId="1CB135B2" w14:textId="77777777" w:rsidR="00D60186" w:rsidRPr="00225D4D" w:rsidRDefault="00D60186" w:rsidP="00225D4D">
      <w:pPr>
        <w:pStyle w:val="avsnitt-tittel"/>
      </w:pPr>
      <w:r w:rsidRPr="00225D4D">
        <w:t xml:space="preserve">Etablere </w:t>
      </w:r>
      <w:proofErr w:type="spellStart"/>
      <w:r w:rsidRPr="00225D4D">
        <w:t>ein</w:t>
      </w:r>
      <w:proofErr w:type="spellEnd"/>
      <w:r w:rsidRPr="00225D4D">
        <w:t xml:space="preserve"> innsynsportal for seriøsitet som </w:t>
      </w:r>
      <w:proofErr w:type="spellStart"/>
      <w:r w:rsidRPr="00225D4D">
        <w:t>samlar</w:t>
      </w:r>
      <w:proofErr w:type="spellEnd"/>
      <w:r w:rsidRPr="00225D4D">
        <w:t xml:space="preserve"> informasjon </w:t>
      </w:r>
      <w:proofErr w:type="spellStart"/>
      <w:r w:rsidRPr="00225D4D">
        <w:t>frå</w:t>
      </w:r>
      <w:proofErr w:type="spellEnd"/>
      <w:r w:rsidRPr="00225D4D">
        <w:t xml:space="preserve"> etablerte register</w:t>
      </w:r>
    </w:p>
    <w:p w14:paraId="5565B871" w14:textId="77777777" w:rsidR="00D60186" w:rsidRPr="00225D4D" w:rsidRDefault="00D60186" w:rsidP="00225D4D">
      <w:pPr>
        <w:pStyle w:val="avsnitt-undertittel"/>
      </w:pPr>
      <w:r w:rsidRPr="00225D4D">
        <w:t>Vedtak 803, 27. mai 2025</w:t>
      </w:r>
    </w:p>
    <w:p w14:paraId="3A61AB88" w14:textId="77777777" w:rsidR="00D60186" w:rsidRPr="00225D4D" w:rsidRDefault="00D60186" w:rsidP="00225D4D">
      <w:pPr>
        <w:pStyle w:val="blokksit"/>
        <w:rPr>
          <w:rStyle w:val="kursiv"/>
        </w:rPr>
      </w:pPr>
      <w:r w:rsidRPr="00225D4D">
        <w:rPr>
          <w:rStyle w:val="kursiv"/>
        </w:rPr>
        <w:t>«Stortinget ber regjeringen etablere en innsynsportal for seriøsitet som samler informasjon fra etablerte registre, slik at bedrifter og privatpersoner enkelt kan sjekke om bedrifter innfrir kriterier for seriøsitet, og komme tilbake til Stortinget senest innen fremleggelsen av statsbudsjettet for 2026.»</w:t>
      </w:r>
    </w:p>
    <w:p w14:paraId="4FFE4A23"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696EF05D" w14:textId="77777777" w:rsidR="00D60186" w:rsidRPr="00225D4D" w:rsidRDefault="00D60186" w:rsidP="00225D4D">
      <w:r w:rsidRPr="00225D4D">
        <w:t>Oppmodingsvedtaket er til vurdering i departementet.</w:t>
      </w:r>
    </w:p>
    <w:p w14:paraId="6007FCD8" w14:textId="77777777" w:rsidR="00D60186" w:rsidRPr="00225D4D" w:rsidRDefault="00D60186" w:rsidP="00225D4D">
      <w:pPr>
        <w:pStyle w:val="avsnitt-tittel"/>
      </w:pPr>
      <w:r w:rsidRPr="00225D4D">
        <w:t xml:space="preserve">Utvide ordninga med HMS-kort til </w:t>
      </w:r>
      <w:proofErr w:type="spellStart"/>
      <w:r w:rsidRPr="00225D4D">
        <w:t>fleire</w:t>
      </w:r>
      <w:proofErr w:type="spellEnd"/>
      <w:r w:rsidRPr="00225D4D">
        <w:t xml:space="preserve"> utsette </w:t>
      </w:r>
      <w:proofErr w:type="spellStart"/>
      <w:r w:rsidRPr="00225D4D">
        <w:t>bransjar</w:t>
      </w:r>
      <w:proofErr w:type="spellEnd"/>
      <w:r w:rsidRPr="00225D4D">
        <w:t xml:space="preserve"> og forsterke korta</w:t>
      </w:r>
    </w:p>
    <w:p w14:paraId="2D7BDB3D" w14:textId="77777777" w:rsidR="00D60186" w:rsidRPr="00225D4D" w:rsidRDefault="00D60186" w:rsidP="00225D4D">
      <w:pPr>
        <w:pStyle w:val="avsnitt-undertittel"/>
      </w:pPr>
      <w:r w:rsidRPr="00225D4D">
        <w:t>Vedtak 804, 27. mai 2025</w:t>
      </w:r>
    </w:p>
    <w:p w14:paraId="039674CD" w14:textId="77777777" w:rsidR="00D60186" w:rsidRPr="00225D4D" w:rsidRDefault="00D60186" w:rsidP="00225D4D">
      <w:pPr>
        <w:pStyle w:val="blokksit"/>
        <w:rPr>
          <w:rStyle w:val="kursiv"/>
        </w:rPr>
      </w:pPr>
      <w:r w:rsidRPr="00225D4D">
        <w:rPr>
          <w:rStyle w:val="kursiv"/>
        </w:rPr>
        <w:t>«Stortinget ber regjeringen utvide ordningen med HMS-kort til flere utsatte bransjer og forsterke kortene med biometriske data og formelle kvalifikasjoner, og deretter utvide kortenes gyldighetstid, og komme tilbake til Stortinget på egnet måte.»</w:t>
      </w:r>
    </w:p>
    <w:p w14:paraId="3E0B9472"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5D4AA730" w14:textId="77777777" w:rsidR="00D60186" w:rsidRPr="00225D4D" w:rsidRDefault="00D60186" w:rsidP="00225D4D">
      <w:r w:rsidRPr="00225D4D">
        <w:t>Oppmodingsvedtaket er til behandling i departementet. Regjeringa vil komme tilbake til Stortinget på eigna måte.</w:t>
      </w:r>
    </w:p>
    <w:p w14:paraId="13FCCB1C" w14:textId="77777777" w:rsidR="00D60186" w:rsidRPr="00225D4D" w:rsidRDefault="00D60186" w:rsidP="00225D4D">
      <w:pPr>
        <w:pStyle w:val="avsnitt-tittel"/>
      </w:pPr>
      <w:r w:rsidRPr="00225D4D">
        <w:t xml:space="preserve">Inkludere </w:t>
      </w:r>
      <w:proofErr w:type="spellStart"/>
      <w:r w:rsidRPr="00225D4D">
        <w:t>fleire</w:t>
      </w:r>
      <w:proofErr w:type="spellEnd"/>
      <w:r w:rsidRPr="00225D4D">
        <w:t xml:space="preserve"> </w:t>
      </w:r>
      <w:proofErr w:type="spellStart"/>
      <w:r w:rsidRPr="00225D4D">
        <w:t>sanntidsopplysningar</w:t>
      </w:r>
      <w:proofErr w:type="spellEnd"/>
      <w:r w:rsidRPr="00225D4D">
        <w:t xml:space="preserve"> i HMS-kortet og sørge for at </w:t>
      </w:r>
      <w:proofErr w:type="spellStart"/>
      <w:r w:rsidRPr="00225D4D">
        <w:t>sannsynlege</w:t>
      </w:r>
      <w:proofErr w:type="spellEnd"/>
      <w:r w:rsidRPr="00225D4D">
        <w:t xml:space="preserve"> </w:t>
      </w:r>
      <w:proofErr w:type="spellStart"/>
      <w:r w:rsidRPr="00225D4D">
        <w:t>brot</w:t>
      </w:r>
      <w:proofErr w:type="spellEnd"/>
      <w:r w:rsidRPr="00225D4D">
        <w:t xml:space="preserve"> på </w:t>
      </w:r>
      <w:proofErr w:type="spellStart"/>
      <w:r w:rsidRPr="00225D4D">
        <w:t>reglane</w:t>
      </w:r>
      <w:proofErr w:type="spellEnd"/>
      <w:r w:rsidRPr="00225D4D">
        <w:t xml:space="preserve"> automatisk blir rapporterte til den aktuelle </w:t>
      </w:r>
      <w:proofErr w:type="spellStart"/>
      <w:r w:rsidRPr="00225D4D">
        <w:t>tilsynsmyndigheita</w:t>
      </w:r>
      <w:proofErr w:type="spellEnd"/>
    </w:p>
    <w:p w14:paraId="6408AF83" w14:textId="77777777" w:rsidR="00D60186" w:rsidRPr="00225D4D" w:rsidRDefault="00D60186" w:rsidP="00225D4D">
      <w:pPr>
        <w:pStyle w:val="avsnitt-undertittel"/>
      </w:pPr>
      <w:r w:rsidRPr="00225D4D">
        <w:t>Vedtak 805, 27. mai 2025</w:t>
      </w:r>
    </w:p>
    <w:p w14:paraId="3C42133A" w14:textId="77777777" w:rsidR="00D60186" w:rsidRPr="00225D4D" w:rsidRDefault="00D60186" w:rsidP="00225D4D">
      <w:pPr>
        <w:pStyle w:val="blokksit"/>
        <w:rPr>
          <w:rStyle w:val="kursiv"/>
        </w:rPr>
      </w:pPr>
      <w:r w:rsidRPr="00225D4D">
        <w:rPr>
          <w:rStyle w:val="kursiv"/>
        </w:rPr>
        <w:t>«Stortinget ber regjeringen inkludere flere sanntidsopplysninger i HMS-kortet, herunder lage en kobling til a-ordningen (lønn og skattetrekk), OTP-innbetalinger og ytelsesutbetalinger fra Nav, samt sørge for at sannsynlige brudd på reglene automatisk rapporteres til den aktuelle tilsynsmyndigheten, og komme tilbake til Stortinget på egnet måte.»</w:t>
      </w:r>
    </w:p>
    <w:p w14:paraId="4DE85B5B"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6605903E" w14:textId="77777777" w:rsidR="00D60186" w:rsidRPr="00225D4D" w:rsidRDefault="00D60186" w:rsidP="00225D4D">
      <w:r w:rsidRPr="00225D4D">
        <w:t>Oppmodingsvedtaket er til behandling i departementet. Regjeringa vil komme tilbake til Stortinget på eigna måte.</w:t>
      </w:r>
    </w:p>
    <w:p w14:paraId="7E7B80B9" w14:textId="77777777" w:rsidR="00D60186" w:rsidRPr="00225D4D" w:rsidRDefault="00D60186" w:rsidP="00225D4D">
      <w:pPr>
        <w:pStyle w:val="avsnitt-tittel"/>
      </w:pPr>
      <w:r w:rsidRPr="00225D4D">
        <w:t xml:space="preserve">Krav om fysisk ID-sjekk eller bruk av </w:t>
      </w:r>
      <w:proofErr w:type="spellStart"/>
      <w:r w:rsidRPr="00225D4D">
        <w:t>BankID</w:t>
      </w:r>
      <w:proofErr w:type="spellEnd"/>
      <w:r w:rsidRPr="00225D4D">
        <w:t xml:space="preserve"> ved </w:t>
      </w:r>
      <w:proofErr w:type="spellStart"/>
      <w:r w:rsidRPr="00225D4D">
        <w:t>utferding</w:t>
      </w:r>
      <w:proofErr w:type="spellEnd"/>
      <w:r w:rsidRPr="00225D4D">
        <w:t xml:space="preserve"> av HMS-kort</w:t>
      </w:r>
    </w:p>
    <w:p w14:paraId="6306301E" w14:textId="77777777" w:rsidR="00D60186" w:rsidRPr="00225D4D" w:rsidRDefault="00D60186" w:rsidP="00225D4D">
      <w:pPr>
        <w:pStyle w:val="avsnitt-undertittel"/>
      </w:pPr>
      <w:r w:rsidRPr="00225D4D">
        <w:t>Vedtak 806, 27. mai 2025</w:t>
      </w:r>
    </w:p>
    <w:p w14:paraId="7F70D2ED" w14:textId="77777777" w:rsidR="00D60186" w:rsidRPr="00225D4D" w:rsidRDefault="00D60186" w:rsidP="00225D4D">
      <w:pPr>
        <w:pStyle w:val="blokksit"/>
        <w:rPr>
          <w:rStyle w:val="kursiv"/>
        </w:rPr>
      </w:pPr>
      <w:r w:rsidRPr="00225D4D">
        <w:rPr>
          <w:rStyle w:val="kursiv"/>
        </w:rPr>
        <w:t xml:space="preserve">«Stortinget ber regjeringen utrede krav om fysisk ID-sjekk eller bruk av </w:t>
      </w:r>
      <w:proofErr w:type="spellStart"/>
      <w:r w:rsidRPr="00225D4D">
        <w:rPr>
          <w:rStyle w:val="kursiv"/>
        </w:rPr>
        <w:t>BankID</w:t>
      </w:r>
      <w:proofErr w:type="spellEnd"/>
      <w:r w:rsidRPr="00225D4D">
        <w:rPr>
          <w:rStyle w:val="kursiv"/>
        </w:rPr>
        <w:t xml:space="preserve"> ved utstedelse av HMS-kort og komme tilbake til Stortinget på egnet måte.»</w:t>
      </w:r>
    </w:p>
    <w:p w14:paraId="2658BABF"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3500F38D" w14:textId="77777777" w:rsidR="00D60186" w:rsidRPr="00225D4D" w:rsidRDefault="00D60186" w:rsidP="00225D4D">
      <w:r w:rsidRPr="00225D4D">
        <w:t>Oppmodingsvedtaket er til behandling i departementet. Regjeringa vil komme tilbake til Stortinget på eigna måte.</w:t>
      </w:r>
    </w:p>
    <w:p w14:paraId="008C2A9D" w14:textId="77777777" w:rsidR="00D60186" w:rsidRPr="00225D4D" w:rsidRDefault="00D60186" w:rsidP="00225D4D">
      <w:pPr>
        <w:pStyle w:val="avsnitt-tittel"/>
      </w:pPr>
      <w:r w:rsidRPr="00225D4D">
        <w:t>Heimel for Arbeidstilsynet til å handheve lønnstjuveri</w:t>
      </w:r>
    </w:p>
    <w:p w14:paraId="1C4B79F7" w14:textId="77777777" w:rsidR="00D60186" w:rsidRPr="00225D4D" w:rsidRDefault="00D60186" w:rsidP="00225D4D">
      <w:pPr>
        <w:pStyle w:val="avsnitt-undertittel"/>
      </w:pPr>
      <w:r w:rsidRPr="00225D4D">
        <w:t>Vedtak 807, 27. mai 2025</w:t>
      </w:r>
    </w:p>
    <w:p w14:paraId="1692C3AA" w14:textId="77777777" w:rsidR="00D60186" w:rsidRPr="00225D4D" w:rsidRDefault="00D60186" w:rsidP="00225D4D">
      <w:pPr>
        <w:pStyle w:val="blokksit"/>
        <w:rPr>
          <w:rStyle w:val="kursiv"/>
        </w:rPr>
      </w:pPr>
      <w:r w:rsidRPr="00225D4D">
        <w:rPr>
          <w:rStyle w:val="kursiv"/>
        </w:rPr>
        <w:t>«Stortinget ber regjeringen utrede å gi Arbeidstilsynet hjemmel til å håndheve lønnstyveri.»</w:t>
      </w:r>
    </w:p>
    <w:p w14:paraId="176901F3"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327C976A" w14:textId="77777777" w:rsidR="00D60186" w:rsidRPr="00225D4D" w:rsidRDefault="00D60186" w:rsidP="00225D4D">
      <w:r w:rsidRPr="00225D4D">
        <w:t xml:space="preserve">Reguleringa av lønnstjuveri </w:t>
      </w:r>
      <w:proofErr w:type="spellStart"/>
      <w:r w:rsidRPr="00225D4D">
        <w:t>finst</w:t>
      </w:r>
      <w:proofErr w:type="spellEnd"/>
      <w:r w:rsidRPr="00225D4D">
        <w:t xml:space="preserve"> i straffelova. I </w:t>
      </w:r>
      <w:proofErr w:type="spellStart"/>
      <w:r w:rsidRPr="00225D4D">
        <w:t>Noreg</w:t>
      </w:r>
      <w:proofErr w:type="spellEnd"/>
      <w:r w:rsidRPr="00225D4D">
        <w:t xml:space="preserve"> er det politi, </w:t>
      </w:r>
      <w:proofErr w:type="spellStart"/>
      <w:r w:rsidRPr="00225D4D">
        <w:t>påtalemyndigheit</w:t>
      </w:r>
      <w:proofErr w:type="spellEnd"/>
      <w:r w:rsidRPr="00225D4D">
        <w:t xml:space="preserve"> og </w:t>
      </w:r>
      <w:proofErr w:type="spellStart"/>
      <w:r w:rsidRPr="00225D4D">
        <w:t>domstolane</w:t>
      </w:r>
      <w:proofErr w:type="spellEnd"/>
      <w:r w:rsidRPr="00225D4D">
        <w:t xml:space="preserve"> som er gitt </w:t>
      </w:r>
      <w:proofErr w:type="spellStart"/>
      <w:r w:rsidRPr="00225D4D">
        <w:t>myndigheit</w:t>
      </w:r>
      <w:proofErr w:type="spellEnd"/>
      <w:r w:rsidRPr="00225D4D">
        <w:t xml:space="preserve"> til å handheve </w:t>
      </w:r>
      <w:proofErr w:type="spellStart"/>
      <w:r w:rsidRPr="00225D4D">
        <w:t>strafferettslege</w:t>
      </w:r>
      <w:proofErr w:type="spellEnd"/>
      <w:r w:rsidRPr="00225D4D">
        <w:t xml:space="preserve"> føresegner. Departementet </w:t>
      </w:r>
      <w:proofErr w:type="spellStart"/>
      <w:r w:rsidRPr="00225D4D">
        <w:t>legg</w:t>
      </w:r>
      <w:proofErr w:type="spellEnd"/>
      <w:r w:rsidRPr="00225D4D">
        <w:t xml:space="preserve"> til grunn at det </w:t>
      </w:r>
      <w:proofErr w:type="spellStart"/>
      <w:r w:rsidRPr="00225D4D">
        <w:t>ikkje</w:t>
      </w:r>
      <w:proofErr w:type="spellEnd"/>
      <w:r w:rsidRPr="00225D4D">
        <w:t xml:space="preserve"> er aktuelt å gi Arbeidstilsynet slik </w:t>
      </w:r>
      <w:proofErr w:type="spellStart"/>
      <w:r w:rsidRPr="00225D4D">
        <w:t>myndigheit</w:t>
      </w:r>
      <w:proofErr w:type="spellEnd"/>
      <w:r w:rsidRPr="00225D4D">
        <w:t>. Regjeringa foreslår at oppmodingsvedtaket blir oppheva.</w:t>
      </w:r>
    </w:p>
    <w:p w14:paraId="70C98E51" w14:textId="77777777" w:rsidR="00D60186" w:rsidRPr="00225D4D" w:rsidRDefault="00D60186" w:rsidP="00225D4D">
      <w:pPr>
        <w:pStyle w:val="avsnitt-tittel"/>
      </w:pPr>
      <w:proofErr w:type="spellStart"/>
      <w:r w:rsidRPr="00225D4D">
        <w:t>Auka</w:t>
      </w:r>
      <w:proofErr w:type="spellEnd"/>
      <w:r w:rsidRPr="00225D4D">
        <w:t xml:space="preserve"> løyving til Fair Play Bygg Norge</w:t>
      </w:r>
    </w:p>
    <w:p w14:paraId="7F65A296" w14:textId="77777777" w:rsidR="00D60186" w:rsidRPr="00225D4D" w:rsidRDefault="00D60186" w:rsidP="00225D4D">
      <w:pPr>
        <w:pStyle w:val="avsnitt-undertittel"/>
      </w:pPr>
      <w:r w:rsidRPr="00225D4D">
        <w:t>Vedtak 808, 27. mai 2025</w:t>
      </w:r>
    </w:p>
    <w:p w14:paraId="791B3EF6" w14:textId="77777777" w:rsidR="00D60186" w:rsidRPr="00225D4D" w:rsidRDefault="00D60186" w:rsidP="00225D4D">
      <w:pPr>
        <w:pStyle w:val="blokksit"/>
        <w:rPr>
          <w:rStyle w:val="kursiv"/>
        </w:rPr>
      </w:pPr>
      <w:r w:rsidRPr="00225D4D">
        <w:rPr>
          <w:rStyle w:val="kursiv"/>
        </w:rPr>
        <w:t>«Stortinget ber regjeringen øke bevilgningen til Fair Play Bygg Norge.»</w:t>
      </w:r>
    </w:p>
    <w:p w14:paraId="254B67EB"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58DE6249" w14:textId="77777777" w:rsidR="00D60186" w:rsidRPr="00225D4D" w:rsidRDefault="00D60186" w:rsidP="00225D4D">
      <w:r w:rsidRPr="00225D4D">
        <w:t xml:space="preserve">I samsvar med handlingsplanen mot sosial dumping og arbeidslivskriminalitet blir støtta til Fair Play Bygg </w:t>
      </w:r>
      <w:proofErr w:type="spellStart"/>
      <w:r w:rsidRPr="00225D4D">
        <w:t>vidareført</w:t>
      </w:r>
      <w:proofErr w:type="spellEnd"/>
      <w:r w:rsidRPr="00225D4D">
        <w:t xml:space="preserve">. I tillegg blir det lagt fram forslag om å </w:t>
      </w:r>
      <w:proofErr w:type="spellStart"/>
      <w:r w:rsidRPr="00225D4D">
        <w:t>auke</w:t>
      </w:r>
      <w:proofErr w:type="spellEnd"/>
      <w:r w:rsidRPr="00225D4D">
        <w:t xml:space="preserve"> løyvinga i statsbudsjettet for 2026, slik at den totale løyvinga </w:t>
      </w:r>
      <w:proofErr w:type="spellStart"/>
      <w:r w:rsidRPr="00225D4D">
        <w:t>deira</w:t>
      </w:r>
      <w:proofErr w:type="spellEnd"/>
      <w:r w:rsidRPr="00225D4D">
        <w:t xml:space="preserve"> blir 6 mill. kroner. Med det ser departementet oppmodingsvedtaket som </w:t>
      </w:r>
      <w:proofErr w:type="spellStart"/>
      <w:r w:rsidRPr="00225D4D">
        <w:t>følgt</w:t>
      </w:r>
      <w:proofErr w:type="spellEnd"/>
      <w:r w:rsidRPr="00225D4D">
        <w:t xml:space="preserve"> opp.</w:t>
      </w:r>
    </w:p>
    <w:p w14:paraId="666D6209" w14:textId="77777777" w:rsidR="00D60186" w:rsidRPr="00225D4D" w:rsidRDefault="00D60186" w:rsidP="00225D4D">
      <w:pPr>
        <w:pStyle w:val="avsnitt-tittel"/>
      </w:pPr>
      <w:r w:rsidRPr="00225D4D">
        <w:t xml:space="preserve">Forslag til målretta tiltak for </w:t>
      </w:r>
      <w:proofErr w:type="spellStart"/>
      <w:r w:rsidRPr="00225D4D">
        <w:t>arbeidstakarar</w:t>
      </w:r>
      <w:proofErr w:type="spellEnd"/>
      <w:r w:rsidRPr="00225D4D">
        <w:t xml:space="preserve"> som blir grovt utnytta i arbeidslivet</w:t>
      </w:r>
    </w:p>
    <w:p w14:paraId="0D56D31B" w14:textId="77777777" w:rsidR="00D60186" w:rsidRPr="00225D4D" w:rsidRDefault="00D60186" w:rsidP="00225D4D">
      <w:pPr>
        <w:pStyle w:val="avsnitt-undertittel"/>
      </w:pPr>
      <w:r w:rsidRPr="00225D4D">
        <w:t>Vedtak 809, 27. mai 2025</w:t>
      </w:r>
    </w:p>
    <w:p w14:paraId="56ED727F" w14:textId="77777777" w:rsidR="00D60186" w:rsidRPr="00225D4D" w:rsidRDefault="00D60186" w:rsidP="00225D4D">
      <w:pPr>
        <w:pStyle w:val="blokksit"/>
        <w:rPr>
          <w:rStyle w:val="kursiv"/>
        </w:rPr>
      </w:pPr>
      <w:r w:rsidRPr="00225D4D">
        <w:rPr>
          <w:rStyle w:val="kursiv"/>
        </w:rPr>
        <w:t>«Stortinget ber regjeringen fremme forslag til målrettede tiltak for arbeidstakere som blir grovt utnyttet i arbeidslivet.»</w:t>
      </w:r>
    </w:p>
    <w:p w14:paraId="6E4E5B1C"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80 L (2024–2025), </w:t>
      </w:r>
      <w:proofErr w:type="spellStart"/>
      <w:r w:rsidRPr="00225D4D">
        <w:t>Innst</w:t>
      </w:r>
      <w:proofErr w:type="spellEnd"/>
      <w:r w:rsidRPr="00225D4D">
        <w:t>. 334 L (2024–2025), Lovvedtak 74 (2024–2025).</w:t>
      </w:r>
    </w:p>
    <w:p w14:paraId="4F0A2D5E" w14:textId="77777777" w:rsidR="00D60186" w:rsidRPr="00225D4D" w:rsidRDefault="00D60186" w:rsidP="00225D4D">
      <w:r w:rsidRPr="00225D4D">
        <w:t xml:space="preserve">Regjeringa har lagt fram </w:t>
      </w:r>
      <w:proofErr w:type="spellStart"/>
      <w:r w:rsidRPr="00225D4D">
        <w:t>ein</w:t>
      </w:r>
      <w:proofErr w:type="spellEnd"/>
      <w:r w:rsidRPr="00225D4D">
        <w:t xml:space="preserve"> strategi mot menneskehandel for å samordne og styrke innsatsen og hjelpe </w:t>
      </w:r>
      <w:proofErr w:type="spellStart"/>
      <w:r w:rsidRPr="00225D4D">
        <w:t>personar</w:t>
      </w:r>
      <w:proofErr w:type="spellEnd"/>
      <w:r w:rsidRPr="00225D4D">
        <w:t xml:space="preserve"> som blir offer for slik utnytting. I samsvar med handlingsplanen mot sosial dumping og arbeidslivskriminalitet blir det gjennomført ei kartlegging av </w:t>
      </w:r>
      <w:proofErr w:type="spellStart"/>
      <w:r w:rsidRPr="00225D4D">
        <w:t>arbeidstakarar</w:t>
      </w:r>
      <w:proofErr w:type="spellEnd"/>
      <w:r w:rsidRPr="00225D4D">
        <w:t xml:space="preserve"> i gråsona mellom sosial dumping og menneskehandel til tvangsarbeid. </w:t>
      </w:r>
      <w:proofErr w:type="spellStart"/>
      <w:r w:rsidRPr="00225D4D">
        <w:t>Ein</w:t>
      </w:r>
      <w:proofErr w:type="spellEnd"/>
      <w:r w:rsidRPr="00225D4D">
        <w:t xml:space="preserve"> rapport </w:t>
      </w:r>
      <w:proofErr w:type="spellStart"/>
      <w:r w:rsidRPr="00225D4D">
        <w:t>frå</w:t>
      </w:r>
      <w:proofErr w:type="spellEnd"/>
      <w:r w:rsidRPr="00225D4D">
        <w:t xml:space="preserve"> kartlegginga skal </w:t>
      </w:r>
      <w:proofErr w:type="spellStart"/>
      <w:r w:rsidRPr="00225D4D">
        <w:t>leggast</w:t>
      </w:r>
      <w:proofErr w:type="spellEnd"/>
      <w:r w:rsidRPr="00225D4D">
        <w:t xml:space="preserve"> fram mot slutten av 2025. På bakgrunn av rapporten skal departementet vurdere eventuelle </w:t>
      </w:r>
      <w:proofErr w:type="spellStart"/>
      <w:r w:rsidRPr="00225D4D">
        <w:t>vidare</w:t>
      </w:r>
      <w:proofErr w:type="spellEnd"/>
      <w:r w:rsidRPr="00225D4D">
        <w:t xml:space="preserve"> tiltak som kan </w:t>
      </w:r>
      <w:proofErr w:type="spellStart"/>
      <w:r w:rsidRPr="00225D4D">
        <w:t>førebygge</w:t>
      </w:r>
      <w:proofErr w:type="spellEnd"/>
      <w:r w:rsidRPr="00225D4D">
        <w:t xml:space="preserve"> og </w:t>
      </w:r>
      <w:proofErr w:type="spellStart"/>
      <w:r w:rsidRPr="00225D4D">
        <w:t>motverke</w:t>
      </w:r>
      <w:proofErr w:type="spellEnd"/>
      <w:r w:rsidRPr="00225D4D">
        <w:t xml:space="preserve"> denne typen grov kriminalitet og styrke situasjonen for </w:t>
      </w:r>
      <w:proofErr w:type="spellStart"/>
      <w:r w:rsidRPr="00225D4D">
        <w:t>offera</w:t>
      </w:r>
      <w:proofErr w:type="spellEnd"/>
      <w:r w:rsidRPr="00225D4D">
        <w:t xml:space="preserve">. Med det ser departementet oppmodingsvedtaket som </w:t>
      </w:r>
      <w:proofErr w:type="spellStart"/>
      <w:r w:rsidRPr="00225D4D">
        <w:t>følgt</w:t>
      </w:r>
      <w:proofErr w:type="spellEnd"/>
      <w:r w:rsidRPr="00225D4D">
        <w:t xml:space="preserve"> opp.</w:t>
      </w:r>
    </w:p>
    <w:p w14:paraId="547B5413" w14:textId="77777777" w:rsidR="00D60186" w:rsidRPr="00225D4D" w:rsidRDefault="00D60186" w:rsidP="00225D4D">
      <w:pPr>
        <w:pStyle w:val="avsnitt-tittel"/>
      </w:pPr>
      <w:r w:rsidRPr="00225D4D">
        <w:t xml:space="preserve">Fjerne unntaket for psykiske og fysiske </w:t>
      </w:r>
      <w:proofErr w:type="spellStart"/>
      <w:r w:rsidRPr="00225D4D">
        <w:t>belastningslidingar</w:t>
      </w:r>
      <w:proofErr w:type="spellEnd"/>
      <w:r w:rsidRPr="00225D4D">
        <w:t xml:space="preserve"> i folketrygdlova § 13-3 tredje leddet</w:t>
      </w:r>
    </w:p>
    <w:p w14:paraId="1A555072" w14:textId="77777777" w:rsidR="00D60186" w:rsidRPr="00225D4D" w:rsidRDefault="00D60186" w:rsidP="00225D4D">
      <w:pPr>
        <w:pStyle w:val="avsnitt-undertittel"/>
      </w:pPr>
      <w:r w:rsidRPr="00225D4D">
        <w:t>Vedtak 811, 2. juni 2025</w:t>
      </w:r>
    </w:p>
    <w:p w14:paraId="55FBDC56" w14:textId="77777777" w:rsidR="00D60186" w:rsidRPr="00225D4D" w:rsidRDefault="00D60186" w:rsidP="00225D4D">
      <w:pPr>
        <w:pStyle w:val="blokksit"/>
        <w:rPr>
          <w:rStyle w:val="kursiv"/>
        </w:rPr>
      </w:pPr>
      <w:r w:rsidRPr="00225D4D">
        <w:rPr>
          <w:rStyle w:val="kursiv"/>
        </w:rPr>
        <w:t>«Stortinget ber regjeringen foreslå å endre folketrygdloven § 13-3 tredje ledd, slik at unntaket for psykiske og fysiske belastningslidelser fjernes.»</w:t>
      </w:r>
    </w:p>
    <w:p w14:paraId="3A40AE8D"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5E7532DC" w14:textId="77777777" w:rsidR="00D60186" w:rsidRPr="00225D4D" w:rsidRDefault="00D60186" w:rsidP="00225D4D">
      <w:r w:rsidRPr="00225D4D">
        <w:t>Oppmodingsvedtaket er til behandling i departementet. Regjeringa vil komme tilbake til Stortinget på eigna måte.</w:t>
      </w:r>
    </w:p>
    <w:p w14:paraId="512D0161" w14:textId="77777777" w:rsidR="00D60186" w:rsidRPr="00225D4D" w:rsidRDefault="00D60186" w:rsidP="00225D4D">
      <w:pPr>
        <w:pStyle w:val="avsnitt-tittel"/>
      </w:pPr>
      <w:r w:rsidRPr="00225D4D">
        <w:t>Endre det avdempa ulykkesomgrepet i folketrygdlova § 13-3 andre leddet</w:t>
      </w:r>
    </w:p>
    <w:p w14:paraId="469ACFD0" w14:textId="77777777" w:rsidR="00D60186" w:rsidRPr="00225D4D" w:rsidRDefault="00D60186" w:rsidP="00225D4D">
      <w:pPr>
        <w:pStyle w:val="avsnitt-undertittel"/>
      </w:pPr>
      <w:r w:rsidRPr="00225D4D">
        <w:t>Vedtak 812, 2. juni 2025</w:t>
      </w:r>
    </w:p>
    <w:p w14:paraId="3C2335C8" w14:textId="77777777" w:rsidR="00D60186" w:rsidRPr="00225D4D" w:rsidRDefault="00D60186" w:rsidP="00225D4D">
      <w:pPr>
        <w:pStyle w:val="blokksit"/>
        <w:rPr>
          <w:rStyle w:val="kursiv"/>
        </w:rPr>
      </w:pPr>
      <w:r w:rsidRPr="00225D4D">
        <w:rPr>
          <w:rStyle w:val="kursiv"/>
        </w:rPr>
        <w:t xml:space="preserve">«Stortinget ber regjeringen legge frem et forslag til endring av det avdempede </w:t>
      </w:r>
      <w:proofErr w:type="spellStart"/>
      <w:r w:rsidRPr="00225D4D">
        <w:rPr>
          <w:rStyle w:val="kursiv"/>
        </w:rPr>
        <w:t>ulykkesbegrepet</w:t>
      </w:r>
      <w:proofErr w:type="spellEnd"/>
      <w:r w:rsidRPr="00225D4D">
        <w:rPr>
          <w:rStyle w:val="kursiv"/>
        </w:rPr>
        <w:t xml:space="preserve"> i folketrygdloven § 13-3 annet ledd, slik at sammenligningen med hva som er normalt i arbeidet, strykes, for å sikre at skader som skyldes egenskaper ved arbeidet eller arbeidsstedet, også fanges opp.»</w:t>
      </w:r>
    </w:p>
    <w:p w14:paraId="2DD2FD9E"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12586693" w14:textId="77777777" w:rsidR="00D60186" w:rsidRPr="00225D4D" w:rsidRDefault="00D60186" w:rsidP="00225D4D">
      <w:r w:rsidRPr="00225D4D">
        <w:t xml:space="preserve">Regjeringa viste i </w:t>
      </w:r>
      <w:proofErr w:type="spellStart"/>
      <w:r w:rsidRPr="00225D4D">
        <w:t>Prop</w:t>
      </w:r>
      <w:proofErr w:type="spellEnd"/>
      <w:r w:rsidRPr="00225D4D">
        <w:t xml:space="preserve">. 134 L (2024–2025) </w:t>
      </w:r>
      <w:r w:rsidRPr="00225D4D">
        <w:rPr>
          <w:rStyle w:val="kursiv"/>
        </w:rPr>
        <w:t>Endringer i folketrygdloven (yrkessykdommer og elektronisk melding av yrkesskade)</w:t>
      </w:r>
      <w:r w:rsidRPr="00225D4D">
        <w:t xml:space="preserve"> til at dagens arbeidsulykkeomgrep </w:t>
      </w:r>
      <w:proofErr w:type="spellStart"/>
      <w:r w:rsidRPr="00225D4D">
        <w:t>inneber</w:t>
      </w:r>
      <w:proofErr w:type="spellEnd"/>
      <w:r w:rsidRPr="00225D4D">
        <w:t xml:space="preserve"> at enkelte kan oppleve at </w:t>
      </w:r>
      <w:proofErr w:type="spellStart"/>
      <w:r w:rsidRPr="00225D4D">
        <w:t>dei</w:t>
      </w:r>
      <w:proofErr w:type="spellEnd"/>
      <w:r w:rsidRPr="00225D4D">
        <w:t xml:space="preserve"> </w:t>
      </w:r>
      <w:proofErr w:type="spellStart"/>
      <w:r w:rsidRPr="00225D4D">
        <w:t>ikkje</w:t>
      </w:r>
      <w:proofErr w:type="spellEnd"/>
      <w:r w:rsidRPr="00225D4D">
        <w:t xml:space="preserve"> får skaden </w:t>
      </w:r>
      <w:proofErr w:type="spellStart"/>
      <w:r w:rsidRPr="00225D4D">
        <w:t>godkjend</w:t>
      </w:r>
      <w:proofErr w:type="spellEnd"/>
      <w:r w:rsidRPr="00225D4D">
        <w:t xml:space="preserve"> som yrkesskade fordi </w:t>
      </w:r>
      <w:proofErr w:type="spellStart"/>
      <w:r w:rsidRPr="00225D4D">
        <w:t>dei</w:t>
      </w:r>
      <w:proofErr w:type="spellEnd"/>
      <w:r w:rsidRPr="00225D4D">
        <w:t xml:space="preserve"> har </w:t>
      </w:r>
      <w:proofErr w:type="spellStart"/>
      <w:r w:rsidRPr="00225D4D">
        <w:t>eit</w:t>
      </w:r>
      <w:proofErr w:type="spellEnd"/>
      <w:r w:rsidRPr="00225D4D">
        <w:t xml:space="preserve"> risikofylt arbeid. Ei endring av omgrepet kan </w:t>
      </w:r>
      <w:proofErr w:type="spellStart"/>
      <w:r w:rsidRPr="00225D4D">
        <w:t>vere</w:t>
      </w:r>
      <w:proofErr w:type="spellEnd"/>
      <w:r w:rsidRPr="00225D4D">
        <w:t xml:space="preserve"> viktig for denne gruppa. Regjeringa varsla derfor i proposisjonen at departementet tok sikte på å sende på </w:t>
      </w:r>
      <w:proofErr w:type="spellStart"/>
      <w:r w:rsidRPr="00225D4D">
        <w:t>høyring</w:t>
      </w:r>
      <w:proofErr w:type="spellEnd"/>
      <w:r w:rsidRPr="00225D4D">
        <w:t xml:space="preserve"> </w:t>
      </w:r>
      <w:proofErr w:type="spellStart"/>
      <w:r w:rsidRPr="00225D4D">
        <w:t>eit</w:t>
      </w:r>
      <w:proofErr w:type="spellEnd"/>
      <w:r w:rsidRPr="00225D4D">
        <w:t xml:space="preserve"> forslag om </w:t>
      </w:r>
      <w:proofErr w:type="spellStart"/>
      <w:r w:rsidRPr="00225D4D">
        <w:t>endringar</w:t>
      </w:r>
      <w:proofErr w:type="spellEnd"/>
      <w:r w:rsidRPr="00225D4D">
        <w:t xml:space="preserve"> i arbeidsulykkeomgrepet våren 2025.</w:t>
      </w:r>
    </w:p>
    <w:p w14:paraId="6463D683" w14:textId="77777777" w:rsidR="00D60186" w:rsidRPr="00225D4D" w:rsidRDefault="00D60186" w:rsidP="00225D4D">
      <w:r w:rsidRPr="00225D4D">
        <w:t xml:space="preserve">Oppmodingsvedtak 812 og oppmodingsvedtaka 816, 817 og 818, vedtatte 2. juni 2025, gjeld alle ulykkesomgrepet. Departementet sende 5. september 2025 på </w:t>
      </w:r>
      <w:proofErr w:type="spellStart"/>
      <w:r w:rsidRPr="00225D4D">
        <w:t>høyring</w:t>
      </w:r>
      <w:proofErr w:type="spellEnd"/>
      <w:r w:rsidRPr="00225D4D">
        <w:t xml:space="preserve"> forslag til </w:t>
      </w:r>
      <w:proofErr w:type="spellStart"/>
      <w:r w:rsidRPr="00225D4D">
        <w:t>endringar</w:t>
      </w:r>
      <w:proofErr w:type="spellEnd"/>
      <w:r w:rsidRPr="00225D4D">
        <w:t xml:space="preserve"> i arbeidsulykkeomgrepet, og </w:t>
      </w:r>
      <w:proofErr w:type="spellStart"/>
      <w:r w:rsidRPr="00225D4D">
        <w:t>desse</w:t>
      </w:r>
      <w:proofErr w:type="spellEnd"/>
      <w:r w:rsidRPr="00225D4D">
        <w:t xml:space="preserve"> følger òg opp oppmodingsvedtaka, med frist 5. desember 2025. Sjå òg omtale under del II, programkategori 29.90, kap. 5701.</w:t>
      </w:r>
    </w:p>
    <w:p w14:paraId="652959DF" w14:textId="77777777" w:rsidR="00D60186" w:rsidRPr="00225D4D" w:rsidRDefault="00D60186" w:rsidP="00225D4D">
      <w:r w:rsidRPr="00225D4D">
        <w:t>Regjeringa vil komme tilbake til Stortinget på eigna måte.</w:t>
      </w:r>
    </w:p>
    <w:p w14:paraId="7E69AAA2" w14:textId="77777777" w:rsidR="00D60186" w:rsidRPr="00225D4D" w:rsidRDefault="00D60186" w:rsidP="00225D4D">
      <w:pPr>
        <w:pStyle w:val="avsnitt-tittel"/>
      </w:pPr>
      <w:r w:rsidRPr="00225D4D">
        <w:t xml:space="preserve">Oppdatere yrkessjukdomslista, slik at kreftformene som </w:t>
      </w:r>
      <w:proofErr w:type="spellStart"/>
      <w:r w:rsidRPr="00225D4D">
        <w:t>rammar</w:t>
      </w:r>
      <w:proofErr w:type="spellEnd"/>
      <w:r w:rsidRPr="00225D4D">
        <w:t xml:space="preserve"> kvinnelege </w:t>
      </w:r>
      <w:proofErr w:type="spellStart"/>
      <w:r w:rsidRPr="00225D4D">
        <w:t>brannkonstablar</w:t>
      </w:r>
      <w:proofErr w:type="spellEnd"/>
      <w:r w:rsidRPr="00225D4D">
        <w:t xml:space="preserve"> (brystkreft, livmorhalskreft, kreft i </w:t>
      </w:r>
      <w:proofErr w:type="spellStart"/>
      <w:r w:rsidRPr="00225D4D">
        <w:t>eggstokkane</w:t>
      </w:r>
      <w:proofErr w:type="spellEnd"/>
      <w:r w:rsidRPr="00225D4D">
        <w:t xml:space="preserve">), blir </w:t>
      </w:r>
      <w:proofErr w:type="spellStart"/>
      <w:r w:rsidRPr="00225D4D">
        <w:t>godkjende</w:t>
      </w:r>
      <w:proofErr w:type="spellEnd"/>
      <w:r w:rsidRPr="00225D4D">
        <w:t xml:space="preserve"> som yrkessjukdom</w:t>
      </w:r>
    </w:p>
    <w:p w14:paraId="36C3F4E6" w14:textId="77777777" w:rsidR="00D60186" w:rsidRPr="00225D4D" w:rsidRDefault="00D60186" w:rsidP="00225D4D">
      <w:pPr>
        <w:pStyle w:val="avsnitt-undertittel"/>
      </w:pPr>
      <w:r w:rsidRPr="00225D4D">
        <w:t>Vedtak 813, 2. juni 2025</w:t>
      </w:r>
    </w:p>
    <w:p w14:paraId="1696F2B3" w14:textId="77777777" w:rsidR="00D60186" w:rsidRPr="00225D4D" w:rsidRDefault="00D60186" w:rsidP="00225D4D">
      <w:pPr>
        <w:pStyle w:val="blokksit"/>
        <w:rPr>
          <w:rStyle w:val="kursiv"/>
        </w:rPr>
      </w:pPr>
      <w:r w:rsidRPr="00225D4D">
        <w:rPr>
          <w:rStyle w:val="kursiv"/>
        </w:rPr>
        <w:t>«Stortinget ber regjeringen oppdatere yrkessykdomslisten, slik at kreftformene som rammer kvinnelige brannkonstabler (brystkreft, livmorhalskreft, kreft i eggstokkene), godkjennes som yrkessykdom.»</w:t>
      </w:r>
    </w:p>
    <w:p w14:paraId="37E97A05"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12FAE61D" w14:textId="77777777" w:rsidR="00D60186" w:rsidRPr="00225D4D" w:rsidRDefault="00D60186" w:rsidP="00225D4D">
      <w:r w:rsidRPr="00225D4D">
        <w:t>Oppmodingsvedtaket er til behandling i departementet. Regjeringa vil komme tilbake til Stortinget på eigna måte.</w:t>
      </w:r>
    </w:p>
    <w:p w14:paraId="3E5AA746" w14:textId="77777777" w:rsidR="00D60186" w:rsidRPr="00225D4D" w:rsidRDefault="00D60186" w:rsidP="00225D4D">
      <w:pPr>
        <w:pStyle w:val="avsnitt-tittel"/>
      </w:pPr>
      <w:r w:rsidRPr="00225D4D">
        <w:t xml:space="preserve">Oppdatere yrkessjukdomslista, slik at brystkreft som </w:t>
      </w:r>
      <w:proofErr w:type="spellStart"/>
      <w:r w:rsidRPr="00225D4D">
        <w:t>rammar</w:t>
      </w:r>
      <w:proofErr w:type="spellEnd"/>
      <w:r w:rsidRPr="00225D4D">
        <w:t xml:space="preserve"> </w:t>
      </w:r>
      <w:proofErr w:type="spellStart"/>
      <w:r w:rsidRPr="00225D4D">
        <w:t>arbeidstakarar</w:t>
      </w:r>
      <w:proofErr w:type="spellEnd"/>
      <w:r w:rsidRPr="00225D4D">
        <w:t xml:space="preserve"> i turnus/nattarbeid, blir </w:t>
      </w:r>
      <w:proofErr w:type="spellStart"/>
      <w:r w:rsidRPr="00225D4D">
        <w:t>godkjende</w:t>
      </w:r>
      <w:proofErr w:type="spellEnd"/>
      <w:r w:rsidRPr="00225D4D">
        <w:t xml:space="preserve"> som yrkessjukdom</w:t>
      </w:r>
    </w:p>
    <w:p w14:paraId="36CFFFDF" w14:textId="77777777" w:rsidR="00D60186" w:rsidRPr="00225D4D" w:rsidRDefault="00D60186" w:rsidP="00225D4D">
      <w:pPr>
        <w:pStyle w:val="avsnitt-undertittel"/>
      </w:pPr>
      <w:r w:rsidRPr="00225D4D">
        <w:t>Vedtak 814, 2. juni 2025</w:t>
      </w:r>
    </w:p>
    <w:p w14:paraId="6497E6E0" w14:textId="77777777" w:rsidR="00D60186" w:rsidRPr="00225D4D" w:rsidRDefault="00D60186" w:rsidP="00225D4D">
      <w:pPr>
        <w:pStyle w:val="blokksit"/>
        <w:rPr>
          <w:rStyle w:val="kursiv"/>
        </w:rPr>
      </w:pPr>
      <w:r w:rsidRPr="00225D4D">
        <w:rPr>
          <w:rStyle w:val="kursiv"/>
        </w:rPr>
        <w:t>«Stortinget ber regjeringen oppdatere yrkessykdomslisten, slik at brystkreft som rammer arbeidstakere i turnus/nattarbeid, godkjennes som yrkessykdom.»</w:t>
      </w:r>
    </w:p>
    <w:p w14:paraId="3281098D"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1B582876" w14:textId="77777777" w:rsidR="00D60186" w:rsidRPr="00225D4D" w:rsidRDefault="00D60186" w:rsidP="00225D4D">
      <w:r w:rsidRPr="00225D4D">
        <w:t>Oppmodingsvedtaket er til behandling i departementet. Regjeringa vil komme tilbake til Stortinget på eigna måte.</w:t>
      </w:r>
    </w:p>
    <w:p w14:paraId="20150039" w14:textId="77777777" w:rsidR="00D60186" w:rsidRPr="00225D4D" w:rsidRDefault="00D60186" w:rsidP="00225D4D">
      <w:pPr>
        <w:pStyle w:val="avsnitt-tittel"/>
      </w:pPr>
      <w:proofErr w:type="spellStart"/>
      <w:r w:rsidRPr="00225D4D">
        <w:t>Tydeleggjere</w:t>
      </w:r>
      <w:proofErr w:type="spellEnd"/>
      <w:r w:rsidRPr="00225D4D">
        <w:t xml:space="preserve"> presumsjonsregelen, slik at </w:t>
      </w:r>
      <w:proofErr w:type="spellStart"/>
      <w:r w:rsidRPr="00225D4D">
        <w:t>bevisbyrda</w:t>
      </w:r>
      <w:proofErr w:type="spellEnd"/>
      <w:r w:rsidRPr="00225D4D">
        <w:t xml:space="preserve"> blir snudd i favør av den sjuke</w:t>
      </w:r>
    </w:p>
    <w:p w14:paraId="60B65DE0" w14:textId="77777777" w:rsidR="00D60186" w:rsidRPr="00225D4D" w:rsidRDefault="00D60186" w:rsidP="00225D4D">
      <w:pPr>
        <w:pStyle w:val="avsnitt-undertittel"/>
      </w:pPr>
      <w:r w:rsidRPr="00225D4D">
        <w:t>Vedtak 815, 2. juni 2025</w:t>
      </w:r>
    </w:p>
    <w:p w14:paraId="4F3C4C0A" w14:textId="77777777" w:rsidR="00D60186" w:rsidRPr="00225D4D" w:rsidRDefault="00D60186" w:rsidP="00225D4D">
      <w:pPr>
        <w:pStyle w:val="blokksit"/>
        <w:rPr>
          <w:rStyle w:val="kursiv"/>
        </w:rPr>
      </w:pPr>
      <w:r w:rsidRPr="00225D4D">
        <w:rPr>
          <w:rStyle w:val="kursiv"/>
        </w:rPr>
        <w:t>«Stortinget ber regjeringen foreslå å tydeliggjøre presumsjonsregelen, slik at bevisbyrden snus i favør av den syke. Dersom andre forklaringer er mer sannsynlige enn eksponering i yrket, er det Nav eller forsikringsselskapet som får bevisbyrden.»</w:t>
      </w:r>
    </w:p>
    <w:p w14:paraId="573E0A87"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0226B04B" w14:textId="77777777" w:rsidR="00D60186" w:rsidRPr="00225D4D" w:rsidRDefault="00D60186" w:rsidP="00225D4D">
      <w:r w:rsidRPr="00225D4D">
        <w:t>Oppmodingsvedtaket er til behandling i departementet. Regjeringa vil komme tilbake til Stortinget på eigna måte.</w:t>
      </w:r>
    </w:p>
    <w:p w14:paraId="2145D928" w14:textId="77777777" w:rsidR="00D60186" w:rsidRPr="00225D4D" w:rsidRDefault="00D60186" w:rsidP="00225D4D">
      <w:pPr>
        <w:pStyle w:val="avsnitt-tittel"/>
      </w:pPr>
      <w:r w:rsidRPr="00225D4D">
        <w:t xml:space="preserve">Endre arbeidsulykkeomgrepet for å forhindre at tilsette i risikofylte yrke har </w:t>
      </w:r>
      <w:proofErr w:type="spellStart"/>
      <w:r w:rsidRPr="00225D4D">
        <w:t>dårlegare</w:t>
      </w:r>
      <w:proofErr w:type="spellEnd"/>
      <w:r w:rsidRPr="00225D4D">
        <w:t xml:space="preserve"> yrkesskadedekning</w:t>
      </w:r>
    </w:p>
    <w:p w14:paraId="0FA897F2" w14:textId="77777777" w:rsidR="00D60186" w:rsidRPr="00225D4D" w:rsidRDefault="00D60186" w:rsidP="00225D4D">
      <w:pPr>
        <w:pStyle w:val="avsnitt-undertittel"/>
      </w:pPr>
      <w:r w:rsidRPr="00225D4D">
        <w:t>Vedtak 816, 2. juni 2025</w:t>
      </w:r>
    </w:p>
    <w:p w14:paraId="51D9E32C" w14:textId="77777777" w:rsidR="00D60186" w:rsidRPr="00225D4D" w:rsidRDefault="00D60186" w:rsidP="00225D4D">
      <w:pPr>
        <w:pStyle w:val="blokksit"/>
        <w:rPr>
          <w:rStyle w:val="kursiv"/>
        </w:rPr>
      </w:pPr>
      <w:r w:rsidRPr="00225D4D">
        <w:rPr>
          <w:rStyle w:val="kursiv"/>
        </w:rPr>
        <w:t>«Stortinget ber regjeringen fremme forslag om endringer i arbeidsulykkebegrepet for å forhindre at ansatte i risikofylte yrker i realiteten har dårligere yrkesskadedekning enn ansatte i lite risikofylte yrker.»</w:t>
      </w:r>
    </w:p>
    <w:p w14:paraId="2EECFB08"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546738E6" w14:textId="77777777" w:rsidR="00D60186" w:rsidRPr="00225D4D" w:rsidRDefault="00D60186" w:rsidP="00225D4D">
      <w:r w:rsidRPr="00225D4D">
        <w:t>Oppmodingsvedtak 812, 816, 817 og 818, vedtatte 2. juni 2025, gjeld alle ulykkesomgrepet. Vi viser til omtale under vedtak 812, 2. juni 2025. Regjeringa vil komme tilbake til Stortinget på eigna måte.</w:t>
      </w:r>
    </w:p>
    <w:p w14:paraId="16FEA4FA" w14:textId="77777777" w:rsidR="00D60186" w:rsidRPr="00225D4D" w:rsidRDefault="00D60186" w:rsidP="00225D4D">
      <w:pPr>
        <w:pStyle w:val="avsnitt-tittel"/>
      </w:pPr>
      <w:r w:rsidRPr="00225D4D">
        <w:t xml:space="preserve">Endre yrkesskaderegelverket slik at yrkesskadedekning skal gjelde under </w:t>
      </w:r>
      <w:proofErr w:type="spellStart"/>
      <w:r w:rsidRPr="00225D4D">
        <w:t>øvingar</w:t>
      </w:r>
      <w:proofErr w:type="spellEnd"/>
      <w:r w:rsidRPr="00225D4D">
        <w:t xml:space="preserve"> og trening </w:t>
      </w:r>
      <w:proofErr w:type="spellStart"/>
      <w:r w:rsidRPr="00225D4D">
        <w:t>arbeidsgivaren</w:t>
      </w:r>
      <w:proofErr w:type="spellEnd"/>
      <w:r w:rsidRPr="00225D4D">
        <w:t xml:space="preserve"> har pålagt</w:t>
      </w:r>
    </w:p>
    <w:p w14:paraId="420BC0FE" w14:textId="77777777" w:rsidR="00D60186" w:rsidRPr="00225D4D" w:rsidRDefault="00D60186" w:rsidP="00225D4D">
      <w:pPr>
        <w:pStyle w:val="avsnitt-undertittel"/>
      </w:pPr>
      <w:r w:rsidRPr="00225D4D">
        <w:t>Vedtak 817, 2. juni 2025</w:t>
      </w:r>
    </w:p>
    <w:p w14:paraId="57F7B6A0" w14:textId="77777777" w:rsidR="00D60186" w:rsidRPr="00225D4D" w:rsidRDefault="00D60186" w:rsidP="00225D4D">
      <w:pPr>
        <w:pStyle w:val="blokksit"/>
        <w:rPr>
          <w:rStyle w:val="kursiv"/>
        </w:rPr>
      </w:pPr>
      <w:r w:rsidRPr="00225D4D">
        <w:rPr>
          <w:rStyle w:val="kursiv"/>
        </w:rPr>
        <w:t>«Stortinget ber regjeringen fremme forslag om å endre yrkesskaderegelverket slik at yrkesskadedekning skal gjelde under øvelser og trening pålagt av arbeidsgiver.»</w:t>
      </w:r>
    </w:p>
    <w:p w14:paraId="5525F69C"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2C729A63" w14:textId="77777777" w:rsidR="00D60186" w:rsidRPr="00225D4D" w:rsidRDefault="00D60186" w:rsidP="00225D4D">
      <w:r w:rsidRPr="00225D4D">
        <w:t>Oppmodingsvedtak 812, 816, 817 og 818, vedtatte 2. juni 2025, gjeld alle ulykkesomgrepet. Vi viser til omtale under vedtak 812, 2. juni 2025. Regjeringa vil komme tilbake til Stortinget på eigna måte.</w:t>
      </w:r>
    </w:p>
    <w:p w14:paraId="43998807" w14:textId="77777777" w:rsidR="00D60186" w:rsidRPr="00225D4D" w:rsidRDefault="00D60186" w:rsidP="00225D4D">
      <w:pPr>
        <w:pStyle w:val="avsnitt-tittel"/>
      </w:pPr>
      <w:r w:rsidRPr="00225D4D">
        <w:t xml:space="preserve">Endre arbeidsulykkeomgrepet slik at tilsette i risikable yrker </w:t>
      </w:r>
      <w:proofErr w:type="spellStart"/>
      <w:r w:rsidRPr="00225D4D">
        <w:t>ikkje</w:t>
      </w:r>
      <w:proofErr w:type="spellEnd"/>
      <w:r w:rsidRPr="00225D4D">
        <w:t xml:space="preserve"> står </w:t>
      </w:r>
      <w:proofErr w:type="spellStart"/>
      <w:r w:rsidRPr="00225D4D">
        <w:t>utan</w:t>
      </w:r>
      <w:proofErr w:type="spellEnd"/>
      <w:r w:rsidRPr="00225D4D">
        <w:t xml:space="preserve"> dekning under øving</w:t>
      </w:r>
    </w:p>
    <w:p w14:paraId="740459FE" w14:textId="77777777" w:rsidR="00D60186" w:rsidRPr="00225D4D" w:rsidRDefault="00D60186" w:rsidP="00225D4D">
      <w:pPr>
        <w:pStyle w:val="avsnitt-undertittel"/>
      </w:pPr>
      <w:r w:rsidRPr="00225D4D">
        <w:t>Vedtak 818, 2. juni 2025</w:t>
      </w:r>
    </w:p>
    <w:p w14:paraId="65FD633A" w14:textId="77777777" w:rsidR="00D60186" w:rsidRPr="00225D4D" w:rsidRDefault="00D60186" w:rsidP="00225D4D">
      <w:pPr>
        <w:pStyle w:val="blokksit"/>
        <w:rPr>
          <w:rStyle w:val="kursiv"/>
        </w:rPr>
      </w:pPr>
      <w:r w:rsidRPr="00225D4D">
        <w:rPr>
          <w:rStyle w:val="kursiv"/>
        </w:rPr>
        <w:t>«Stortinget ber regjeringen fremme forslag om å endre arbeidsulykkebegrepet slik at ansatte i risikable yrker ikke står uten dekning under øvelse som følge av krav om at selve hendelsen som forårsaker ulykken, er uventet, eller at hendelsen ikke kan ansees som usedvanlig for yrket. Forslaget bør ikke begrense seg til enkelte yrkesgrupper, men gjelde generelt for alle.»</w:t>
      </w:r>
    </w:p>
    <w:p w14:paraId="44D48EF2"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297CC2D1" w14:textId="77777777" w:rsidR="00D60186" w:rsidRPr="00225D4D" w:rsidRDefault="00D60186" w:rsidP="00225D4D">
      <w:r w:rsidRPr="00225D4D">
        <w:t>Oppmodingsvedtak 812, 816, 817 og 818, vedtatte 2. juni 2025, gjeld alle ulykkesomgrepet. Vi viser til omtale under vedtak 812, 2. juni 2025. Regjeringa vil komme tilbake til Stortinget på eigna måte.</w:t>
      </w:r>
    </w:p>
    <w:p w14:paraId="324A8ACB" w14:textId="77777777" w:rsidR="00D60186" w:rsidRPr="00225D4D" w:rsidRDefault="00D60186" w:rsidP="00225D4D">
      <w:pPr>
        <w:pStyle w:val="avsnitt-tittel"/>
      </w:pPr>
      <w:r w:rsidRPr="00225D4D">
        <w:t xml:space="preserve">Oppdatere yrkessjukdomslista slik at </w:t>
      </w:r>
      <w:proofErr w:type="spellStart"/>
      <w:r w:rsidRPr="00225D4D">
        <w:t>krefttypane</w:t>
      </w:r>
      <w:proofErr w:type="spellEnd"/>
      <w:r w:rsidRPr="00225D4D">
        <w:t xml:space="preserve"> der IARC har funne </w:t>
      </w:r>
      <w:proofErr w:type="spellStart"/>
      <w:r w:rsidRPr="00225D4D">
        <w:t>ein</w:t>
      </w:r>
      <w:proofErr w:type="spellEnd"/>
      <w:r w:rsidRPr="00225D4D">
        <w:t xml:space="preserve"> </w:t>
      </w:r>
      <w:proofErr w:type="spellStart"/>
      <w:r w:rsidRPr="00225D4D">
        <w:t>samanheng</w:t>
      </w:r>
      <w:proofErr w:type="spellEnd"/>
      <w:r w:rsidRPr="00225D4D">
        <w:t xml:space="preserve"> mellom brannyrket og kreft (sju </w:t>
      </w:r>
      <w:proofErr w:type="spellStart"/>
      <w:r w:rsidRPr="00225D4D">
        <w:t>diagnosar</w:t>
      </w:r>
      <w:proofErr w:type="spellEnd"/>
      <w:r w:rsidRPr="00225D4D">
        <w:t xml:space="preserve">) blir </w:t>
      </w:r>
      <w:proofErr w:type="spellStart"/>
      <w:r w:rsidRPr="00225D4D">
        <w:t>godkjende</w:t>
      </w:r>
      <w:proofErr w:type="spellEnd"/>
      <w:r w:rsidRPr="00225D4D">
        <w:t xml:space="preserve"> for brannfolk og </w:t>
      </w:r>
      <w:proofErr w:type="spellStart"/>
      <w:r w:rsidRPr="00225D4D">
        <w:t>feiarar</w:t>
      </w:r>
      <w:proofErr w:type="spellEnd"/>
    </w:p>
    <w:p w14:paraId="70BB506E" w14:textId="77777777" w:rsidR="00D60186" w:rsidRPr="00225D4D" w:rsidRDefault="00D60186" w:rsidP="00225D4D">
      <w:pPr>
        <w:pStyle w:val="avsnitt-undertittel"/>
      </w:pPr>
      <w:r w:rsidRPr="00225D4D">
        <w:t>Vedtak 819, 2. juni 2025</w:t>
      </w:r>
    </w:p>
    <w:p w14:paraId="5D097F20" w14:textId="77777777" w:rsidR="00D60186" w:rsidRPr="00225D4D" w:rsidRDefault="00D60186" w:rsidP="00225D4D">
      <w:pPr>
        <w:pStyle w:val="blokksit"/>
        <w:rPr>
          <w:rStyle w:val="kursiv"/>
        </w:rPr>
      </w:pPr>
      <w:r w:rsidRPr="00225D4D">
        <w:rPr>
          <w:rStyle w:val="kursiv"/>
        </w:rPr>
        <w:t>«Stortinget ber regjeringen oppdatere yrkessykdomslisten, slik at krefttypene der IARC har funnet en sammenheng mellom brannyrket og kreft (7 diagnoser), godkjennes som yrkessykdom for brannfolk og feiere.»</w:t>
      </w:r>
    </w:p>
    <w:p w14:paraId="505ECF82"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604B82BE" w14:textId="77777777" w:rsidR="00D60186" w:rsidRPr="00225D4D" w:rsidRDefault="00D60186" w:rsidP="00225D4D">
      <w:r w:rsidRPr="00225D4D">
        <w:t>Oppmodingsvedtaket er til behandling i departementet. Regjeringa vil komme tilbake til Stortinget på eigna måte.</w:t>
      </w:r>
    </w:p>
    <w:p w14:paraId="4BE3AF08" w14:textId="77777777" w:rsidR="00D60186" w:rsidRPr="00225D4D" w:rsidRDefault="00D60186" w:rsidP="00225D4D">
      <w:pPr>
        <w:pStyle w:val="avsnitt-tittel"/>
      </w:pPr>
      <w:r w:rsidRPr="00225D4D">
        <w:t xml:space="preserve">Etablere </w:t>
      </w:r>
      <w:proofErr w:type="spellStart"/>
      <w:r w:rsidRPr="00225D4D">
        <w:t>eit</w:t>
      </w:r>
      <w:proofErr w:type="spellEnd"/>
      <w:r w:rsidRPr="00225D4D">
        <w:t xml:space="preserve"> hurtigspor for å sikre at </w:t>
      </w:r>
      <w:proofErr w:type="spellStart"/>
      <w:r w:rsidRPr="00225D4D">
        <w:t>dei</w:t>
      </w:r>
      <w:proofErr w:type="spellEnd"/>
      <w:r w:rsidRPr="00225D4D">
        <w:t xml:space="preserve"> sju kreftformene der IARC har funne </w:t>
      </w:r>
      <w:proofErr w:type="spellStart"/>
      <w:r w:rsidRPr="00225D4D">
        <w:t>ein</w:t>
      </w:r>
      <w:proofErr w:type="spellEnd"/>
      <w:r w:rsidRPr="00225D4D">
        <w:t xml:space="preserve"> </w:t>
      </w:r>
      <w:proofErr w:type="spellStart"/>
      <w:r w:rsidRPr="00225D4D">
        <w:t>samanheng</w:t>
      </w:r>
      <w:proofErr w:type="spellEnd"/>
      <w:r w:rsidRPr="00225D4D">
        <w:t xml:space="preserve"> med brann- og </w:t>
      </w:r>
      <w:proofErr w:type="spellStart"/>
      <w:r w:rsidRPr="00225D4D">
        <w:t>feiaryrket</w:t>
      </w:r>
      <w:proofErr w:type="spellEnd"/>
      <w:r w:rsidRPr="00225D4D">
        <w:t xml:space="preserve">, blir </w:t>
      </w:r>
      <w:proofErr w:type="spellStart"/>
      <w:r w:rsidRPr="00225D4D">
        <w:t>godkjende</w:t>
      </w:r>
      <w:proofErr w:type="spellEnd"/>
      <w:r w:rsidRPr="00225D4D">
        <w:t xml:space="preserve"> som yrkessjukdom i tråd med klassifiseringa til IARC</w:t>
      </w:r>
    </w:p>
    <w:p w14:paraId="78BE90FB" w14:textId="77777777" w:rsidR="00D60186" w:rsidRPr="00225D4D" w:rsidRDefault="00D60186" w:rsidP="00225D4D">
      <w:pPr>
        <w:pStyle w:val="avsnitt-undertittel"/>
      </w:pPr>
      <w:r w:rsidRPr="00225D4D">
        <w:t>Vedtak 820, 2. juni 2025</w:t>
      </w:r>
    </w:p>
    <w:p w14:paraId="41CCED89" w14:textId="77777777" w:rsidR="00D60186" w:rsidRPr="00225D4D" w:rsidRDefault="00D60186" w:rsidP="00225D4D">
      <w:pPr>
        <w:pStyle w:val="blokksit"/>
        <w:rPr>
          <w:rStyle w:val="kursiv"/>
        </w:rPr>
      </w:pPr>
      <w:r w:rsidRPr="00225D4D">
        <w:rPr>
          <w:rStyle w:val="kursiv"/>
        </w:rPr>
        <w:t>«Stortinget ber regjeringen etablere et hurtigspor for å sikre at de syv kreftformene der IARC har funnet en sammenheng med brann- og feieryrket, godkjennes som yrkessykdom i tråd med IARCs klassifisering.»</w:t>
      </w:r>
    </w:p>
    <w:p w14:paraId="6DC18073" w14:textId="77777777" w:rsidR="00D60186" w:rsidRPr="00225D4D" w:rsidRDefault="00D60186" w:rsidP="00225D4D">
      <w:r w:rsidRPr="00225D4D">
        <w:t xml:space="preserve">Vedtaket blei gjort ved behandling av Dokument 8:134 S (2024–2025), </w:t>
      </w:r>
      <w:proofErr w:type="spellStart"/>
      <w:r w:rsidRPr="00225D4D">
        <w:t>Innst</w:t>
      </w:r>
      <w:proofErr w:type="spellEnd"/>
      <w:r w:rsidRPr="00225D4D">
        <w:t>. 361 S (2024–2025).</w:t>
      </w:r>
    </w:p>
    <w:p w14:paraId="3369BA42" w14:textId="77777777" w:rsidR="00D60186" w:rsidRPr="00225D4D" w:rsidRDefault="00D60186" w:rsidP="00225D4D">
      <w:r w:rsidRPr="00225D4D">
        <w:t>Oppmodingsvedtaket er til behandling i departementet. Regjeringa vil komme tilbake til Stortinget på eigna måte.</w:t>
      </w:r>
    </w:p>
    <w:p w14:paraId="7A1B40D4" w14:textId="77777777" w:rsidR="00D60186" w:rsidRPr="00225D4D" w:rsidRDefault="00D60186" w:rsidP="00225D4D">
      <w:pPr>
        <w:pStyle w:val="avsnitt-tittel"/>
      </w:pPr>
      <w:r w:rsidRPr="00225D4D">
        <w:t xml:space="preserve">Vurdere behovet for å </w:t>
      </w:r>
      <w:proofErr w:type="spellStart"/>
      <w:r w:rsidRPr="00225D4D">
        <w:t>gjere</w:t>
      </w:r>
      <w:proofErr w:type="spellEnd"/>
      <w:r w:rsidRPr="00225D4D">
        <w:t xml:space="preserve"> </w:t>
      </w:r>
      <w:proofErr w:type="spellStart"/>
      <w:r w:rsidRPr="00225D4D">
        <w:t>endringar</w:t>
      </w:r>
      <w:proofErr w:type="spellEnd"/>
      <w:r w:rsidRPr="00225D4D">
        <w:t xml:space="preserve"> i arbeidsmiljølova for å sikre at styrkeforholdet og interessene til </w:t>
      </w:r>
      <w:proofErr w:type="spellStart"/>
      <w:r w:rsidRPr="00225D4D">
        <w:t>arbeidstakarane</w:t>
      </w:r>
      <w:proofErr w:type="spellEnd"/>
      <w:r w:rsidRPr="00225D4D">
        <w:t xml:space="preserve"> i forbindelse med avtale om </w:t>
      </w:r>
      <w:proofErr w:type="spellStart"/>
      <w:r w:rsidRPr="00225D4D">
        <w:t>gjennomsnittsberekning</w:t>
      </w:r>
      <w:proofErr w:type="spellEnd"/>
      <w:r w:rsidRPr="00225D4D">
        <w:t xml:space="preserve"> av arbeidstid, blir ivaretatt på </w:t>
      </w:r>
      <w:proofErr w:type="spellStart"/>
      <w:r w:rsidRPr="00225D4D">
        <w:t>ein</w:t>
      </w:r>
      <w:proofErr w:type="spellEnd"/>
      <w:r w:rsidRPr="00225D4D">
        <w:t xml:space="preserve"> god måte</w:t>
      </w:r>
    </w:p>
    <w:p w14:paraId="0292F078" w14:textId="77777777" w:rsidR="00D60186" w:rsidRPr="00225D4D" w:rsidRDefault="00D60186" w:rsidP="00225D4D">
      <w:pPr>
        <w:pStyle w:val="avsnitt-undertittel"/>
      </w:pPr>
      <w:r w:rsidRPr="00225D4D">
        <w:t>Vedtak 923, 2. juni 2025</w:t>
      </w:r>
    </w:p>
    <w:p w14:paraId="5A1FCAFD" w14:textId="77777777" w:rsidR="00D60186" w:rsidRPr="00225D4D" w:rsidRDefault="00D60186" w:rsidP="00225D4D">
      <w:pPr>
        <w:pStyle w:val="blokksit"/>
        <w:rPr>
          <w:rStyle w:val="kursiv"/>
        </w:rPr>
      </w:pPr>
      <w:r w:rsidRPr="00225D4D">
        <w:rPr>
          <w:rStyle w:val="kursiv"/>
        </w:rPr>
        <w:t>«Stortinget ber regjeringen, i tett dialog med partene i arbeidslivet, vurdere om det er behov for å gjøre endringer i arbeidsmiljøloven § 10-5 første og andre ledd for å sikre at arbeidstakeres styrkeforhold og interesser i forbindelse med avtale om gjennomsnittsberegning av arbeidstid ivaretas på en god måte. Dette må vurderes opp mot øvrige bestemmelser i arbeidsmiljøloven § 10-5 samt § 10-12 fjerde ledd.»</w:t>
      </w:r>
    </w:p>
    <w:p w14:paraId="10BB29E0" w14:textId="77777777" w:rsidR="00D60186" w:rsidRPr="00225D4D" w:rsidRDefault="00D60186" w:rsidP="00225D4D">
      <w:r w:rsidRPr="00225D4D">
        <w:t xml:space="preserve">Vedtaket blei gjort ved behandling av Dokument 8:210 LS (2024–2025), </w:t>
      </w:r>
      <w:proofErr w:type="spellStart"/>
      <w:r w:rsidRPr="00225D4D">
        <w:t>Innst</w:t>
      </w:r>
      <w:proofErr w:type="spellEnd"/>
      <w:r w:rsidRPr="00225D4D">
        <w:t>. 466 L (2024–2025).</w:t>
      </w:r>
    </w:p>
    <w:p w14:paraId="7742384F" w14:textId="77777777" w:rsidR="00D60186" w:rsidRPr="00225D4D" w:rsidRDefault="00D60186" w:rsidP="00225D4D">
      <w:r w:rsidRPr="00225D4D">
        <w:t>Oppmodingsvedtaket er til behandling i departementet.</w:t>
      </w:r>
    </w:p>
    <w:p w14:paraId="427728E8" w14:textId="77777777" w:rsidR="00D60186" w:rsidRPr="00225D4D" w:rsidRDefault="00D60186" w:rsidP="00225D4D">
      <w:pPr>
        <w:pStyle w:val="avsnitt-tittel"/>
      </w:pPr>
      <w:r w:rsidRPr="00225D4D">
        <w:t xml:space="preserve">Tiltak for å </w:t>
      </w:r>
      <w:proofErr w:type="spellStart"/>
      <w:r w:rsidRPr="00225D4D">
        <w:t>motverke</w:t>
      </w:r>
      <w:proofErr w:type="spellEnd"/>
      <w:r w:rsidRPr="00225D4D">
        <w:t xml:space="preserve"> at busette </w:t>
      </w:r>
      <w:proofErr w:type="spellStart"/>
      <w:r w:rsidRPr="00225D4D">
        <w:t>flyktningar</w:t>
      </w:r>
      <w:proofErr w:type="spellEnd"/>
      <w:r w:rsidRPr="00225D4D">
        <w:t xml:space="preserve"> </w:t>
      </w:r>
      <w:proofErr w:type="spellStart"/>
      <w:r w:rsidRPr="00225D4D">
        <w:t>flyttar</w:t>
      </w:r>
      <w:proofErr w:type="spellEnd"/>
      <w:r w:rsidRPr="00225D4D">
        <w:t xml:space="preserve"> </w:t>
      </w:r>
      <w:proofErr w:type="spellStart"/>
      <w:r w:rsidRPr="00225D4D">
        <w:t>frå</w:t>
      </w:r>
      <w:proofErr w:type="spellEnd"/>
      <w:r w:rsidRPr="00225D4D">
        <w:t xml:space="preserve"> busettingskommunen etter avslutta introduksjonsprogram</w:t>
      </w:r>
    </w:p>
    <w:p w14:paraId="70693002" w14:textId="77777777" w:rsidR="00D60186" w:rsidRPr="00225D4D" w:rsidRDefault="00D60186" w:rsidP="00225D4D">
      <w:pPr>
        <w:pStyle w:val="avsnitt-undertittel"/>
      </w:pPr>
      <w:r w:rsidRPr="00225D4D">
        <w:t>Vedtak 951, 2. juni 2025</w:t>
      </w:r>
    </w:p>
    <w:p w14:paraId="0E63B3DE" w14:textId="77777777" w:rsidR="00D60186" w:rsidRPr="00225D4D" w:rsidRDefault="00D60186" w:rsidP="00225D4D">
      <w:pPr>
        <w:pStyle w:val="blokksit"/>
        <w:rPr>
          <w:rStyle w:val="kursiv"/>
        </w:rPr>
      </w:pPr>
      <w:r w:rsidRPr="00225D4D">
        <w:rPr>
          <w:rStyle w:val="kursiv"/>
        </w:rPr>
        <w:t>«Stortinget ber regjeringen komme tilbake til Stortinget med forslag om å innføre tiltak for å motvirke at bosatte flyktninger flytter fra bostedskommunen ved endt introduksjonsprogram.»</w:t>
      </w:r>
    </w:p>
    <w:p w14:paraId="21F7F7EF" w14:textId="77777777" w:rsidR="00D60186" w:rsidRPr="00225D4D" w:rsidRDefault="00D60186" w:rsidP="00225D4D">
      <w:r w:rsidRPr="00225D4D">
        <w:t xml:space="preserve">Vedtaket blei gjort ved behandling av Dokument 8:181 S (2024–2025), </w:t>
      </w:r>
      <w:proofErr w:type="spellStart"/>
      <w:r w:rsidRPr="00225D4D">
        <w:t>Innst</w:t>
      </w:r>
      <w:proofErr w:type="spellEnd"/>
      <w:r w:rsidRPr="00225D4D">
        <w:t>. 330 S (2024–2025).</w:t>
      </w:r>
    </w:p>
    <w:p w14:paraId="40EF4CB6" w14:textId="77777777" w:rsidR="00D60186" w:rsidRPr="00225D4D" w:rsidRDefault="00D60186" w:rsidP="00225D4D">
      <w:r w:rsidRPr="00225D4D">
        <w:t xml:space="preserve">I statsbudsjettet for 2026 styrker regjeringa </w:t>
      </w:r>
      <w:proofErr w:type="spellStart"/>
      <w:r w:rsidRPr="00225D4D">
        <w:t>områdesatsingane</w:t>
      </w:r>
      <w:proofErr w:type="spellEnd"/>
      <w:r w:rsidRPr="00225D4D">
        <w:t xml:space="preserve"> i </w:t>
      </w:r>
      <w:proofErr w:type="spellStart"/>
      <w:r w:rsidRPr="00225D4D">
        <w:t>utvalde</w:t>
      </w:r>
      <w:proofErr w:type="spellEnd"/>
      <w:r w:rsidRPr="00225D4D">
        <w:t xml:space="preserve"> </w:t>
      </w:r>
      <w:proofErr w:type="spellStart"/>
      <w:r w:rsidRPr="00225D4D">
        <w:t>kommunar</w:t>
      </w:r>
      <w:proofErr w:type="spellEnd"/>
      <w:r w:rsidRPr="00225D4D">
        <w:t xml:space="preserve"> i Østfold. </w:t>
      </w:r>
      <w:proofErr w:type="spellStart"/>
      <w:r w:rsidRPr="00225D4D">
        <w:t>Desse</w:t>
      </w:r>
      <w:proofErr w:type="spellEnd"/>
      <w:r w:rsidRPr="00225D4D">
        <w:t xml:space="preserve"> </w:t>
      </w:r>
      <w:proofErr w:type="spellStart"/>
      <w:r w:rsidRPr="00225D4D">
        <w:t>kommunane</w:t>
      </w:r>
      <w:proofErr w:type="spellEnd"/>
      <w:r w:rsidRPr="00225D4D">
        <w:t xml:space="preserve"> har store </w:t>
      </w:r>
      <w:proofErr w:type="spellStart"/>
      <w:r w:rsidRPr="00225D4D">
        <w:t>levekårsutfordringar</w:t>
      </w:r>
      <w:proofErr w:type="spellEnd"/>
      <w:r w:rsidRPr="00225D4D">
        <w:t xml:space="preserve"> og </w:t>
      </w:r>
      <w:proofErr w:type="spellStart"/>
      <w:r w:rsidRPr="00225D4D">
        <w:t>ein</w:t>
      </w:r>
      <w:proofErr w:type="spellEnd"/>
      <w:r w:rsidRPr="00225D4D">
        <w:t xml:space="preserve"> overrepresentasjon av </w:t>
      </w:r>
      <w:proofErr w:type="spellStart"/>
      <w:r w:rsidRPr="00225D4D">
        <w:t>innbyggarar</w:t>
      </w:r>
      <w:proofErr w:type="spellEnd"/>
      <w:r w:rsidRPr="00225D4D">
        <w:t xml:space="preserve"> med sosioøkonomiske </w:t>
      </w:r>
      <w:proofErr w:type="spellStart"/>
      <w:r w:rsidRPr="00225D4D">
        <w:t>utfordringar</w:t>
      </w:r>
      <w:proofErr w:type="spellEnd"/>
      <w:r w:rsidRPr="00225D4D">
        <w:t xml:space="preserve">, svak </w:t>
      </w:r>
      <w:proofErr w:type="spellStart"/>
      <w:r w:rsidRPr="00225D4D">
        <w:t>tilknyting</w:t>
      </w:r>
      <w:proofErr w:type="spellEnd"/>
      <w:r w:rsidRPr="00225D4D">
        <w:t xml:space="preserve"> til arbeidslivet og </w:t>
      </w:r>
      <w:proofErr w:type="spellStart"/>
      <w:r w:rsidRPr="00225D4D">
        <w:t>innvandrarbakgrunn</w:t>
      </w:r>
      <w:proofErr w:type="spellEnd"/>
      <w:r w:rsidRPr="00225D4D">
        <w:t xml:space="preserve">. Belastninga på </w:t>
      </w:r>
      <w:proofErr w:type="spellStart"/>
      <w:r w:rsidRPr="00225D4D">
        <w:t>dei</w:t>
      </w:r>
      <w:proofErr w:type="spellEnd"/>
      <w:r w:rsidRPr="00225D4D">
        <w:t xml:space="preserve"> aktuelle områda kan bli forsterka av at </w:t>
      </w:r>
      <w:proofErr w:type="spellStart"/>
      <w:r w:rsidRPr="00225D4D">
        <w:t>vanskelegstilte</w:t>
      </w:r>
      <w:proofErr w:type="spellEnd"/>
      <w:r w:rsidRPr="00225D4D">
        <w:t xml:space="preserve"> </w:t>
      </w:r>
      <w:proofErr w:type="spellStart"/>
      <w:r w:rsidRPr="00225D4D">
        <w:t>innvandrarar</w:t>
      </w:r>
      <w:proofErr w:type="spellEnd"/>
      <w:r w:rsidRPr="00225D4D">
        <w:t xml:space="preserve"> og </w:t>
      </w:r>
      <w:proofErr w:type="spellStart"/>
      <w:r w:rsidRPr="00225D4D">
        <w:t>flyktningar</w:t>
      </w:r>
      <w:proofErr w:type="spellEnd"/>
      <w:r w:rsidRPr="00225D4D">
        <w:t xml:space="preserve"> </w:t>
      </w:r>
      <w:proofErr w:type="spellStart"/>
      <w:r w:rsidRPr="00225D4D">
        <w:t>flyttar</w:t>
      </w:r>
      <w:proofErr w:type="spellEnd"/>
      <w:r w:rsidRPr="00225D4D">
        <w:t xml:space="preserve"> dit </w:t>
      </w:r>
      <w:proofErr w:type="spellStart"/>
      <w:r w:rsidRPr="00225D4D">
        <w:t>frå</w:t>
      </w:r>
      <w:proofErr w:type="spellEnd"/>
      <w:r w:rsidRPr="00225D4D">
        <w:t xml:space="preserve"> </w:t>
      </w:r>
      <w:proofErr w:type="spellStart"/>
      <w:r w:rsidRPr="00225D4D">
        <w:t>kommunane</w:t>
      </w:r>
      <w:proofErr w:type="spellEnd"/>
      <w:r w:rsidRPr="00225D4D">
        <w:t xml:space="preserve"> </w:t>
      </w:r>
      <w:proofErr w:type="spellStart"/>
      <w:r w:rsidRPr="00225D4D">
        <w:t>dei</w:t>
      </w:r>
      <w:proofErr w:type="spellEnd"/>
      <w:r w:rsidRPr="00225D4D">
        <w:t xml:space="preserve"> </w:t>
      </w:r>
      <w:proofErr w:type="spellStart"/>
      <w:r w:rsidRPr="00225D4D">
        <w:t>opphaveleg</w:t>
      </w:r>
      <w:proofErr w:type="spellEnd"/>
      <w:r w:rsidRPr="00225D4D">
        <w:t xml:space="preserve"> blei busette i. Å styrke </w:t>
      </w:r>
      <w:proofErr w:type="spellStart"/>
      <w:r w:rsidRPr="00225D4D">
        <w:t>områdesatsingane</w:t>
      </w:r>
      <w:proofErr w:type="spellEnd"/>
      <w:r w:rsidRPr="00225D4D">
        <w:t xml:space="preserve">, med tiltak som bl.a. kan bidra til at </w:t>
      </w:r>
      <w:proofErr w:type="spellStart"/>
      <w:r w:rsidRPr="00225D4D">
        <w:t>fleire</w:t>
      </w:r>
      <w:proofErr w:type="spellEnd"/>
      <w:r w:rsidRPr="00225D4D">
        <w:t xml:space="preserve"> med </w:t>
      </w:r>
      <w:proofErr w:type="spellStart"/>
      <w:r w:rsidRPr="00225D4D">
        <w:t>innvandrarbakgrunn</w:t>
      </w:r>
      <w:proofErr w:type="spellEnd"/>
      <w:r w:rsidRPr="00225D4D">
        <w:t xml:space="preserve"> kjem i arbeid, kan dempe </w:t>
      </w:r>
      <w:proofErr w:type="spellStart"/>
      <w:r w:rsidRPr="00225D4D">
        <w:t>dei</w:t>
      </w:r>
      <w:proofErr w:type="spellEnd"/>
      <w:r w:rsidRPr="00225D4D">
        <w:t xml:space="preserve"> negative </w:t>
      </w:r>
      <w:proofErr w:type="spellStart"/>
      <w:r w:rsidRPr="00225D4D">
        <w:t>konsekvensane</w:t>
      </w:r>
      <w:proofErr w:type="spellEnd"/>
      <w:r w:rsidRPr="00225D4D">
        <w:t xml:space="preserve"> </w:t>
      </w:r>
      <w:proofErr w:type="spellStart"/>
      <w:r w:rsidRPr="00225D4D">
        <w:t>kommunane</w:t>
      </w:r>
      <w:proofErr w:type="spellEnd"/>
      <w:r w:rsidRPr="00225D4D">
        <w:t xml:space="preserve"> opplever.</w:t>
      </w:r>
    </w:p>
    <w:p w14:paraId="375EC77F" w14:textId="77777777" w:rsidR="00D60186" w:rsidRPr="00225D4D" w:rsidRDefault="00D60186" w:rsidP="00225D4D">
      <w:proofErr w:type="spellStart"/>
      <w:r w:rsidRPr="00225D4D">
        <w:t>Frå</w:t>
      </w:r>
      <w:proofErr w:type="spellEnd"/>
      <w:r w:rsidRPr="00225D4D">
        <w:t xml:space="preserve"> og med 2025 har </w:t>
      </w:r>
      <w:proofErr w:type="spellStart"/>
      <w:r w:rsidRPr="00225D4D">
        <w:t>eit</w:t>
      </w:r>
      <w:proofErr w:type="spellEnd"/>
      <w:r w:rsidRPr="00225D4D">
        <w:t xml:space="preserve"> nytt inntektssystem for </w:t>
      </w:r>
      <w:proofErr w:type="spellStart"/>
      <w:r w:rsidRPr="00225D4D">
        <w:t>kommunane</w:t>
      </w:r>
      <w:proofErr w:type="spellEnd"/>
      <w:r w:rsidRPr="00225D4D">
        <w:t xml:space="preserve"> </w:t>
      </w:r>
      <w:proofErr w:type="gramStart"/>
      <w:r w:rsidRPr="00225D4D">
        <w:t>trådd</w:t>
      </w:r>
      <w:proofErr w:type="gramEnd"/>
      <w:r w:rsidRPr="00225D4D">
        <w:t xml:space="preserve"> i kraft. Kriteriet </w:t>
      </w:r>
      <w:proofErr w:type="spellStart"/>
      <w:r w:rsidRPr="00225D4D">
        <w:rPr>
          <w:rStyle w:val="kursiv"/>
        </w:rPr>
        <w:t>flyktningar</w:t>
      </w:r>
      <w:proofErr w:type="spellEnd"/>
      <w:r w:rsidRPr="00225D4D">
        <w:rPr>
          <w:rStyle w:val="kursiv"/>
        </w:rPr>
        <w:t xml:space="preserve"> </w:t>
      </w:r>
      <w:proofErr w:type="spellStart"/>
      <w:r w:rsidRPr="00225D4D">
        <w:rPr>
          <w:rStyle w:val="kursiv"/>
        </w:rPr>
        <w:t>utan</w:t>
      </w:r>
      <w:proofErr w:type="spellEnd"/>
      <w:r w:rsidRPr="00225D4D">
        <w:rPr>
          <w:rStyle w:val="kursiv"/>
        </w:rPr>
        <w:t xml:space="preserve"> </w:t>
      </w:r>
      <w:proofErr w:type="spellStart"/>
      <w:r w:rsidRPr="00225D4D">
        <w:rPr>
          <w:rStyle w:val="kursiv"/>
        </w:rPr>
        <w:t>integreringstilskot</w:t>
      </w:r>
      <w:proofErr w:type="spellEnd"/>
      <w:r w:rsidRPr="00225D4D">
        <w:t xml:space="preserve"> inngår i </w:t>
      </w:r>
      <w:proofErr w:type="spellStart"/>
      <w:r w:rsidRPr="00225D4D">
        <w:t>utgiftsutjamninga</w:t>
      </w:r>
      <w:proofErr w:type="spellEnd"/>
      <w:r w:rsidRPr="00225D4D">
        <w:t xml:space="preserve">, og </w:t>
      </w:r>
      <w:proofErr w:type="spellStart"/>
      <w:r w:rsidRPr="00225D4D">
        <w:t>fangar</w:t>
      </w:r>
      <w:proofErr w:type="spellEnd"/>
      <w:r w:rsidRPr="00225D4D">
        <w:t xml:space="preserve"> opp kostnadsulemper knytt til </w:t>
      </w:r>
      <w:proofErr w:type="spellStart"/>
      <w:r w:rsidRPr="00225D4D">
        <w:t>ein</w:t>
      </w:r>
      <w:proofErr w:type="spellEnd"/>
      <w:r w:rsidRPr="00225D4D">
        <w:t xml:space="preserve"> </w:t>
      </w:r>
      <w:proofErr w:type="spellStart"/>
      <w:r w:rsidRPr="00225D4D">
        <w:t>høg</w:t>
      </w:r>
      <w:proofErr w:type="spellEnd"/>
      <w:r w:rsidRPr="00225D4D">
        <w:t xml:space="preserve"> andel </w:t>
      </w:r>
      <w:proofErr w:type="spellStart"/>
      <w:r w:rsidRPr="00225D4D">
        <w:t>flyktningar</w:t>
      </w:r>
      <w:proofErr w:type="spellEnd"/>
      <w:r w:rsidRPr="00225D4D">
        <w:t xml:space="preserve"> i kommunen – også </w:t>
      </w:r>
      <w:proofErr w:type="spellStart"/>
      <w:r w:rsidRPr="00225D4D">
        <w:t>dei</w:t>
      </w:r>
      <w:proofErr w:type="spellEnd"/>
      <w:r w:rsidRPr="00225D4D">
        <w:t xml:space="preserve"> som </w:t>
      </w:r>
      <w:proofErr w:type="spellStart"/>
      <w:r w:rsidRPr="00225D4D">
        <w:t>flyttar</w:t>
      </w:r>
      <w:proofErr w:type="spellEnd"/>
      <w:r w:rsidRPr="00225D4D">
        <w:t xml:space="preserve"> til kommunen etter at perioden for </w:t>
      </w:r>
      <w:proofErr w:type="spellStart"/>
      <w:r w:rsidRPr="00225D4D">
        <w:t>integreringstilskot</w:t>
      </w:r>
      <w:proofErr w:type="spellEnd"/>
      <w:r w:rsidRPr="00225D4D">
        <w:t xml:space="preserve"> er over. I det nye systemet har dette kriteriet fått </w:t>
      </w:r>
      <w:proofErr w:type="spellStart"/>
      <w:r w:rsidRPr="00225D4D">
        <w:t>høgare</w:t>
      </w:r>
      <w:proofErr w:type="spellEnd"/>
      <w:r w:rsidRPr="00225D4D">
        <w:t xml:space="preserve"> vekt enn </w:t>
      </w:r>
      <w:proofErr w:type="spellStart"/>
      <w:r w:rsidRPr="00225D4D">
        <w:t>tidlegare</w:t>
      </w:r>
      <w:proofErr w:type="spellEnd"/>
      <w:r w:rsidRPr="00225D4D">
        <w:t xml:space="preserve">. Samla sett har kriterium som </w:t>
      </w:r>
      <w:proofErr w:type="spellStart"/>
      <w:r w:rsidRPr="00225D4D">
        <w:t>omhandlar</w:t>
      </w:r>
      <w:proofErr w:type="spellEnd"/>
      <w:r w:rsidRPr="00225D4D">
        <w:t xml:space="preserve"> </w:t>
      </w:r>
      <w:proofErr w:type="spellStart"/>
      <w:r w:rsidRPr="00225D4D">
        <w:t>flyktningar</w:t>
      </w:r>
      <w:proofErr w:type="spellEnd"/>
      <w:r w:rsidRPr="00225D4D">
        <w:t xml:space="preserve"> og andre </w:t>
      </w:r>
      <w:proofErr w:type="spellStart"/>
      <w:r w:rsidRPr="00225D4D">
        <w:t>levekårsfaktorar</w:t>
      </w:r>
      <w:proofErr w:type="spellEnd"/>
      <w:r w:rsidRPr="00225D4D">
        <w:t xml:space="preserve"> fått </w:t>
      </w:r>
      <w:proofErr w:type="spellStart"/>
      <w:r w:rsidRPr="00225D4D">
        <w:t>auka</w:t>
      </w:r>
      <w:proofErr w:type="spellEnd"/>
      <w:r w:rsidRPr="00225D4D">
        <w:t xml:space="preserve"> betydning i </w:t>
      </w:r>
      <w:proofErr w:type="spellStart"/>
      <w:r w:rsidRPr="00225D4D">
        <w:t>berekninga</w:t>
      </w:r>
      <w:proofErr w:type="spellEnd"/>
      <w:r w:rsidRPr="00225D4D">
        <w:t xml:space="preserve"> av </w:t>
      </w:r>
      <w:proofErr w:type="spellStart"/>
      <w:r w:rsidRPr="00225D4D">
        <w:t>kommunane</w:t>
      </w:r>
      <w:proofErr w:type="spellEnd"/>
      <w:r w:rsidRPr="00225D4D">
        <w:t xml:space="preserve"> sine inntekter. Dette gir </w:t>
      </w:r>
      <w:proofErr w:type="spellStart"/>
      <w:r w:rsidRPr="00225D4D">
        <w:t>kommunane</w:t>
      </w:r>
      <w:proofErr w:type="spellEnd"/>
      <w:r w:rsidRPr="00225D4D">
        <w:t xml:space="preserve"> betre økonomiske </w:t>
      </w:r>
      <w:proofErr w:type="spellStart"/>
      <w:r w:rsidRPr="00225D4D">
        <w:t>føresetnader</w:t>
      </w:r>
      <w:proofErr w:type="spellEnd"/>
      <w:r w:rsidRPr="00225D4D">
        <w:t xml:space="preserve"> for å styrke </w:t>
      </w:r>
      <w:proofErr w:type="spellStart"/>
      <w:r w:rsidRPr="00225D4D">
        <w:t>tenestetilbodet</w:t>
      </w:r>
      <w:proofErr w:type="spellEnd"/>
      <w:r w:rsidRPr="00225D4D">
        <w:t xml:space="preserve"> til </w:t>
      </w:r>
      <w:proofErr w:type="spellStart"/>
      <w:r w:rsidRPr="00225D4D">
        <w:t>flyktningar</w:t>
      </w:r>
      <w:proofErr w:type="spellEnd"/>
      <w:r w:rsidRPr="00225D4D">
        <w:t xml:space="preserve">. Slik kan </w:t>
      </w:r>
      <w:proofErr w:type="spellStart"/>
      <w:r w:rsidRPr="00225D4D">
        <w:t>kommunane</w:t>
      </w:r>
      <w:proofErr w:type="spellEnd"/>
      <w:r w:rsidRPr="00225D4D">
        <w:t xml:space="preserve"> </w:t>
      </w:r>
      <w:proofErr w:type="spellStart"/>
      <w:r w:rsidRPr="00225D4D">
        <w:t>vere</w:t>
      </w:r>
      <w:proofErr w:type="spellEnd"/>
      <w:r w:rsidRPr="00225D4D">
        <w:t xml:space="preserve"> betre rusta til å </w:t>
      </w:r>
      <w:proofErr w:type="spellStart"/>
      <w:r w:rsidRPr="00225D4D">
        <w:t>lukkast</w:t>
      </w:r>
      <w:proofErr w:type="spellEnd"/>
      <w:r w:rsidRPr="00225D4D">
        <w:t xml:space="preserve"> med integrering.</w:t>
      </w:r>
    </w:p>
    <w:p w14:paraId="4A1823C2" w14:textId="77777777" w:rsidR="00D60186" w:rsidRPr="00225D4D" w:rsidRDefault="00D60186" w:rsidP="00225D4D">
      <w:r w:rsidRPr="00225D4D">
        <w:t xml:space="preserve">Departementet arbeider </w:t>
      </w:r>
      <w:proofErr w:type="spellStart"/>
      <w:r w:rsidRPr="00225D4D">
        <w:t>framleis</w:t>
      </w:r>
      <w:proofErr w:type="spellEnd"/>
      <w:r w:rsidRPr="00225D4D">
        <w:t xml:space="preserve"> med å følgja opp vedtaket og vil komma tilbake til Stortinget på </w:t>
      </w:r>
      <w:proofErr w:type="spellStart"/>
      <w:r w:rsidRPr="00225D4D">
        <w:t>høveleg</w:t>
      </w:r>
      <w:proofErr w:type="spellEnd"/>
      <w:r w:rsidRPr="00225D4D">
        <w:t xml:space="preserve"> måte.</w:t>
      </w:r>
    </w:p>
    <w:p w14:paraId="1B20B467" w14:textId="77777777" w:rsidR="00D60186" w:rsidRPr="00225D4D" w:rsidRDefault="00D60186" w:rsidP="00225D4D">
      <w:pPr>
        <w:pStyle w:val="Overskrift2"/>
      </w:pPr>
      <w:r w:rsidRPr="00225D4D">
        <w:t>Stortingssesjon (2023–2024)</w:t>
      </w:r>
    </w:p>
    <w:p w14:paraId="50B58E9C" w14:textId="77777777" w:rsidR="00D60186" w:rsidRPr="00225D4D" w:rsidRDefault="00D60186" w:rsidP="00225D4D">
      <w:pPr>
        <w:pStyle w:val="avsnitt-tittel"/>
      </w:pPr>
      <w:r w:rsidRPr="00225D4D">
        <w:t xml:space="preserve">Greie ut medlemskap i pensjonsordning for </w:t>
      </w:r>
      <w:proofErr w:type="spellStart"/>
      <w:r w:rsidRPr="00225D4D">
        <w:t>sjukepleiarar</w:t>
      </w:r>
      <w:proofErr w:type="spellEnd"/>
      <w:r w:rsidRPr="00225D4D">
        <w:t xml:space="preserve"> for </w:t>
      </w:r>
      <w:proofErr w:type="spellStart"/>
      <w:r w:rsidRPr="00225D4D">
        <w:t>offentleg</w:t>
      </w:r>
      <w:proofErr w:type="spellEnd"/>
      <w:r w:rsidRPr="00225D4D">
        <w:t xml:space="preserve"> </w:t>
      </w:r>
      <w:proofErr w:type="spellStart"/>
      <w:r w:rsidRPr="00225D4D">
        <w:t>godkjende</w:t>
      </w:r>
      <w:proofErr w:type="spellEnd"/>
      <w:r w:rsidRPr="00225D4D">
        <w:t xml:space="preserve"> </w:t>
      </w:r>
      <w:proofErr w:type="spellStart"/>
      <w:r w:rsidRPr="00225D4D">
        <w:t>sjukepleiarar</w:t>
      </w:r>
      <w:proofErr w:type="spellEnd"/>
      <w:r w:rsidRPr="00225D4D">
        <w:t xml:space="preserve"> tilsette i </w:t>
      </w:r>
      <w:proofErr w:type="spellStart"/>
      <w:r w:rsidRPr="00225D4D">
        <w:t>bemanningsføretak</w:t>
      </w:r>
      <w:proofErr w:type="spellEnd"/>
    </w:p>
    <w:p w14:paraId="602CE38B" w14:textId="77777777" w:rsidR="00D60186" w:rsidRPr="00225D4D" w:rsidRDefault="00D60186" w:rsidP="00225D4D">
      <w:pPr>
        <w:pStyle w:val="avsnitt-undertittel"/>
      </w:pPr>
      <w:r w:rsidRPr="00225D4D">
        <w:t>Vedtak 16, 7. november 2023</w:t>
      </w:r>
    </w:p>
    <w:p w14:paraId="3522226A" w14:textId="77777777" w:rsidR="00D60186" w:rsidRPr="00225D4D" w:rsidRDefault="00D60186" w:rsidP="00225D4D">
      <w:pPr>
        <w:pStyle w:val="blokksit"/>
        <w:rPr>
          <w:rStyle w:val="kursiv"/>
        </w:rPr>
      </w:pPr>
      <w:r w:rsidRPr="00225D4D">
        <w:rPr>
          <w:rStyle w:val="kursiv"/>
        </w:rPr>
        <w:t>«Stortinget ber regjeringen utrede om offentlig godkjente sykepleiere ansatt i bemanningsforetak og som leies ut til institusjoner under sykepleierpensjonsloven, også bør være medlemmer i pensjonsordningen for sykepleiere.»</w:t>
      </w:r>
    </w:p>
    <w:p w14:paraId="798F0AF4"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120 L (2022–2023), </w:t>
      </w:r>
      <w:proofErr w:type="spellStart"/>
      <w:r w:rsidRPr="00225D4D">
        <w:t>Innst</w:t>
      </w:r>
      <w:proofErr w:type="spellEnd"/>
      <w:r w:rsidRPr="00225D4D">
        <w:t>. 37 L (2023–2024), Lovvedtak 1 (2023–2024).</w:t>
      </w:r>
    </w:p>
    <w:p w14:paraId="7FA439A8" w14:textId="77777777" w:rsidR="00D60186" w:rsidRPr="00225D4D" w:rsidRDefault="00D60186" w:rsidP="00225D4D">
      <w:r w:rsidRPr="00225D4D">
        <w:t xml:space="preserve">Regjeringa har prioritert å få på plass nye </w:t>
      </w:r>
      <w:proofErr w:type="spellStart"/>
      <w:r w:rsidRPr="00225D4D">
        <w:t>pensjonsreglar</w:t>
      </w:r>
      <w:proofErr w:type="spellEnd"/>
      <w:r w:rsidRPr="00225D4D">
        <w:t xml:space="preserve"> for yrkesgrupper som har særaldersgrenser, inkludert </w:t>
      </w:r>
      <w:proofErr w:type="spellStart"/>
      <w:r w:rsidRPr="00225D4D">
        <w:t>sjukepleiarar</w:t>
      </w:r>
      <w:proofErr w:type="spellEnd"/>
      <w:r w:rsidRPr="00225D4D">
        <w:t xml:space="preserve">. Etter forslag </w:t>
      </w:r>
      <w:proofErr w:type="spellStart"/>
      <w:r w:rsidRPr="00225D4D">
        <w:t>frå</w:t>
      </w:r>
      <w:proofErr w:type="spellEnd"/>
      <w:r w:rsidRPr="00225D4D">
        <w:t xml:space="preserve"> regjeringa har Stortinget vedtatt nye </w:t>
      </w:r>
      <w:proofErr w:type="spellStart"/>
      <w:r w:rsidRPr="00225D4D">
        <w:t>pensjonsreglar</w:t>
      </w:r>
      <w:proofErr w:type="spellEnd"/>
      <w:r w:rsidRPr="00225D4D">
        <w:t xml:space="preserve">. Dei nye </w:t>
      </w:r>
      <w:proofErr w:type="spellStart"/>
      <w:r w:rsidRPr="00225D4D">
        <w:t>pensjonsreglane</w:t>
      </w:r>
      <w:proofErr w:type="spellEnd"/>
      <w:r w:rsidRPr="00225D4D">
        <w:t xml:space="preserve"> </w:t>
      </w:r>
      <w:proofErr w:type="spellStart"/>
      <w:r w:rsidRPr="00225D4D">
        <w:t>likebehandlar</w:t>
      </w:r>
      <w:proofErr w:type="spellEnd"/>
      <w:r w:rsidRPr="00225D4D">
        <w:t xml:space="preserve"> inntekt </w:t>
      </w:r>
      <w:proofErr w:type="spellStart"/>
      <w:r w:rsidRPr="00225D4D">
        <w:t>frå</w:t>
      </w:r>
      <w:proofErr w:type="spellEnd"/>
      <w:r w:rsidRPr="00225D4D">
        <w:t xml:space="preserve"> </w:t>
      </w:r>
      <w:proofErr w:type="spellStart"/>
      <w:r w:rsidRPr="00225D4D">
        <w:t>bemanningsføretak</w:t>
      </w:r>
      <w:proofErr w:type="spellEnd"/>
      <w:r w:rsidRPr="00225D4D">
        <w:t xml:space="preserve"> og andre </w:t>
      </w:r>
      <w:proofErr w:type="spellStart"/>
      <w:r w:rsidRPr="00225D4D">
        <w:t>arbeidsgivarar</w:t>
      </w:r>
      <w:proofErr w:type="spellEnd"/>
      <w:r w:rsidRPr="00225D4D">
        <w:t xml:space="preserve"> for pensjonerte </w:t>
      </w:r>
      <w:proofErr w:type="spellStart"/>
      <w:r w:rsidRPr="00225D4D">
        <w:t>sjukepleiarar</w:t>
      </w:r>
      <w:proofErr w:type="spellEnd"/>
      <w:r w:rsidRPr="00225D4D">
        <w:t>.</w:t>
      </w:r>
    </w:p>
    <w:p w14:paraId="5A44EE85" w14:textId="77777777" w:rsidR="00D60186" w:rsidRPr="00225D4D" w:rsidRDefault="00D60186" w:rsidP="00225D4D">
      <w:r w:rsidRPr="00225D4D">
        <w:t xml:space="preserve">Departementet arbeider </w:t>
      </w:r>
      <w:proofErr w:type="spellStart"/>
      <w:r w:rsidRPr="00225D4D">
        <w:t>framleis</w:t>
      </w:r>
      <w:proofErr w:type="spellEnd"/>
      <w:r w:rsidRPr="00225D4D">
        <w:t xml:space="preserve"> med å følge opp vedtak nr. 16, 7. november 2023, bl.a. i lys av </w:t>
      </w:r>
      <w:proofErr w:type="spellStart"/>
      <w:r w:rsidRPr="00225D4D">
        <w:t>dei</w:t>
      </w:r>
      <w:proofErr w:type="spellEnd"/>
      <w:r w:rsidRPr="00225D4D">
        <w:t xml:space="preserve"> nye </w:t>
      </w:r>
      <w:proofErr w:type="spellStart"/>
      <w:r w:rsidRPr="00225D4D">
        <w:t>pensjonsreglane</w:t>
      </w:r>
      <w:proofErr w:type="spellEnd"/>
      <w:r w:rsidRPr="00225D4D">
        <w:t>, og vil komme tilbake til Stortinget på eigna måte.</w:t>
      </w:r>
    </w:p>
    <w:p w14:paraId="217F5456" w14:textId="77777777" w:rsidR="00D60186" w:rsidRPr="00225D4D" w:rsidRDefault="00D60186" w:rsidP="00225D4D">
      <w:pPr>
        <w:pStyle w:val="avsnitt-tittel"/>
      </w:pPr>
      <w:r w:rsidRPr="00225D4D">
        <w:t xml:space="preserve">Strategi for å styrke rolla og </w:t>
      </w:r>
      <w:proofErr w:type="spellStart"/>
      <w:r w:rsidRPr="00225D4D">
        <w:t>tilbodet</w:t>
      </w:r>
      <w:proofErr w:type="spellEnd"/>
      <w:r w:rsidRPr="00225D4D">
        <w:t xml:space="preserve"> til ideell sektor på arbeids- og velferdsfeltet</w:t>
      </w:r>
    </w:p>
    <w:p w14:paraId="2CD32FED" w14:textId="77777777" w:rsidR="00D60186" w:rsidRPr="00225D4D" w:rsidRDefault="00D60186" w:rsidP="00225D4D">
      <w:pPr>
        <w:pStyle w:val="avsnitt-undertittel"/>
      </w:pPr>
      <w:r w:rsidRPr="00225D4D">
        <w:t>Vedtak 52, 28. november 2023</w:t>
      </w:r>
    </w:p>
    <w:p w14:paraId="3CE251EB" w14:textId="77777777" w:rsidR="00D60186" w:rsidRPr="00225D4D" w:rsidRDefault="00D60186" w:rsidP="00225D4D">
      <w:pPr>
        <w:pStyle w:val="blokksit"/>
        <w:rPr>
          <w:rStyle w:val="kursiv"/>
        </w:rPr>
      </w:pPr>
      <w:r w:rsidRPr="00225D4D">
        <w:rPr>
          <w:rStyle w:val="kursiv"/>
        </w:rPr>
        <w:t>«Stortinget ber regjeringen fremme en strategi for å styrke ideell sektors rolle og tilbud på arbeids- og velferdsfeltet.»</w:t>
      </w:r>
    </w:p>
    <w:p w14:paraId="516D6E66" w14:textId="77777777" w:rsidR="00D60186" w:rsidRPr="00225D4D" w:rsidRDefault="00D60186" w:rsidP="00225D4D">
      <w:r w:rsidRPr="00225D4D">
        <w:t xml:space="preserve">Vedtaket blei gjort ved behandling av Dokument 8:261 S (2022–2023), </w:t>
      </w:r>
      <w:proofErr w:type="spellStart"/>
      <w:r w:rsidRPr="00225D4D">
        <w:t>Innst</w:t>
      </w:r>
      <w:proofErr w:type="spellEnd"/>
      <w:r w:rsidRPr="00225D4D">
        <w:t>. 61 S (2023–2024).</w:t>
      </w:r>
    </w:p>
    <w:p w14:paraId="6E312A93" w14:textId="77777777" w:rsidR="00D60186" w:rsidRPr="00225D4D" w:rsidRDefault="00D60186" w:rsidP="00225D4D">
      <w:r w:rsidRPr="00225D4D">
        <w:t xml:space="preserve">Regjeringa ser oppfølginga av vedtaket i lys av korleis </w:t>
      </w:r>
      <w:proofErr w:type="spellStart"/>
      <w:r w:rsidRPr="00225D4D">
        <w:t>Avkommersialiseringsutvalget</w:t>
      </w:r>
      <w:proofErr w:type="spellEnd"/>
      <w:r w:rsidRPr="00225D4D">
        <w:t xml:space="preserve"> blir </w:t>
      </w:r>
      <w:proofErr w:type="spellStart"/>
      <w:r w:rsidRPr="00225D4D">
        <w:t>følgt</w:t>
      </w:r>
      <w:proofErr w:type="spellEnd"/>
      <w:r w:rsidRPr="00225D4D">
        <w:t xml:space="preserve"> opp. Rapporten </w:t>
      </w:r>
      <w:proofErr w:type="spellStart"/>
      <w:r w:rsidRPr="00225D4D">
        <w:t>frå</w:t>
      </w:r>
      <w:proofErr w:type="spellEnd"/>
      <w:r w:rsidRPr="00225D4D">
        <w:t xml:space="preserve"> </w:t>
      </w:r>
      <w:proofErr w:type="spellStart"/>
      <w:r w:rsidRPr="00225D4D">
        <w:t>utvalet</w:t>
      </w:r>
      <w:proofErr w:type="spellEnd"/>
      <w:r w:rsidRPr="00225D4D">
        <w:t xml:space="preserve"> har </w:t>
      </w:r>
      <w:proofErr w:type="spellStart"/>
      <w:r w:rsidRPr="00225D4D">
        <w:t>vore</w:t>
      </w:r>
      <w:proofErr w:type="spellEnd"/>
      <w:r w:rsidRPr="00225D4D">
        <w:t xml:space="preserve"> på </w:t>
      </w:r>
      <w:proofErr w:type="spellStart"/>
      <w:r w:rsidRPr="00225D4D">
        <w:t>høyring</w:t>
      </w:r>
      <w:proofErr w:type="spellEnd"/>
      <w:r w:rsidRPr="00225D4D">
        <w:t xml:space="preserve">. Digitaliserings- og forvaltningsdepartementet følger opp </w:t>
      </w:r>
      <w:proofErr w:type="spellStart"/>
      <w:r w:rsidRPr="00225D4D">
        <w:t>høyringa</w:t>
      </w:r>
      <w:proofErr w:type="spellEnd"/>
      <w:r w:rsidRPr="00225D4D">
        <w:t xml:space="preserve">. Sjå omtale i </w:t>
      </w:r>
      <w:proofErr w:type="spellStart"/>
      <w:r w:rsidRPr="00225D4D">
        <w:t>Prop</w:t>
      </w:r>
      <w:proofErr w:type="spellEnd"/>
      <w:r w:rsidRPr="00225D4D">
        <w:t xml:space="preserve">. 1 S (2024–2025) </w:t>
      </w:r>
      <w:proofErr w:type="spellStart"/>
      <w:r w:rsidRPr="00225D4D">
        <w:t>frå</w:t>
      </w:r>
      <w:proofErr w:type="spellEnd"/>
      <w:r w:rsidRPr="00225D4D">
        <w:t xml:space="preserve"> Arbeids- og inkluderingsdepartementet. Regjeringa har </w:t>
      </w:r>
      <w:proofErr w:type="spellStart"/>
      <w:r w:rsidRPr="00225D4D">
        <w:t>vidareført</w:t>
      </w:r>
      <w:proofErr w:type="spellEnd"/>
      <w:r w:rsidRPr="00225D4D">
        <w:t xml:space="preserve"> innsatsområda i </w:t>
      </w:r>
      <w:r w:rsidRPr="00225D4D">
        <w:rPr>
          <w:rStyle w:val="kursiv"/>
        </w:rPr>
        <w:t>Strategi for økt innovasjon og bedre tjenester på arbeids- og velferdsfeltet</w:t>
      </w:r>
      <w:r w:rsidRPr="00225D4D">
        <w:t xml:space="preserve"> </w:t>
      </w:r>
      <w:proofErr w:type="spellStart"/>
      <w:r w:rsidRPr="00225D4D">
        <w:t>frå</w:t>
      </w:r>
      <w:proofErr w:type="spellEnd"/>
      <w:r w:rsidRPr="00225D4D">
        <w:t xml:space="preserve"> Solberg-regjeringa.</w:t>
      </w:r>
    </w:p>
    <w:p w14:paraId="6F3B3C57" w14:textId="77777777" w:rsidR="00D60186" w:rsidRPr="00225D4D" w:rsidRDefault="00D60186" w:rsidP="00225D4D">
      <w:pPr>
        <w:pStyle w:val="avsnitt-tittel"/>
      </w:pPr>
      <w:r w:rsidRPr="00225D4D">
        <w:t xml:space="preserve">Representantforslag om betre </w:t>
      </w:r>
      <w:proofErr w:type="spellStart"/>
      <w:r w:rsidRPr="00225D4D">
        <w:t>ordningar</w:t>
      </w:r>
      <w:proofErr w:type="spellEnd"/>
      <w:r w:rsidRPr="00225D4D">
        <w:t xml:space="preserve"> for sjølvstendige og </w:t>
      </w:r>
      <w:proofErr w:type="spellStart"/>
      <w:r w:rsidRPr="00225D4D">
        <w:t>frilansarar</w:t>
      </w:r>
      <w:proofErr w:type="spellEnd"/>
      <w:r w:rsidRPr="00225D4D">
        <w:t xml:space="preserve"> ved svangerskap og sjukdom</w:t>
      </w:r>
    </w:p>
    <w:p w14:paraId="4E86C805" w14:textId="77777777" w:rsidR="00D60186" w:rsidRPr="00225D4D" w:rsidRDefault="00D60186" w:rsidP="00225D4D">
      <w:pPr>
        <w:pStyle w:val="avsnitt-undertittel"/>
      </w:pPr>
      <w:r w:rsidRPr="00225D4D">
        <w:t>Vedtak 56, 30. november 2023</w:t>
      </w:r>
    </w:p>
    <w:p w14:paraId="23B44FBE" w14:textId="77777777" w:rsidR="00D60186" w:rsidRPr="00225D4D" w:rsidRDefault="00D60186" w:rsidP="00225D4D">
      <w:pPr>
        <w:pStyle w:val="blokksit"/>
        <w:rPr>
          <w:rStyle w:val="kursiv"/>
        </w:rPr>
      </w:pPr>
      <w:r w:rsidRPr="00225D4D">
        <w:rPr>
          <w:rStyle w:val="kursiv"/>
        </w:rPr>
        <w:t>«Stortinget ber regjeringen foreslå bedre ordninger for gründere og selvstendig næringsdrivende ved svangerskap og sykdom for å gi tryggere rammer og større mulighet til å satse.»</w:t>
      </w:r>
    </w:p>
    <w:p w14:paraId="57640364" w14:textId="77777777" w:rsidR="00D60186" w:rsidRPr="00225D4D" w:rsidRDefault="00D60186" w:rsidP="00225D4D">
      <w:r w:rsidRPr="00225D4D">
        <w:t xml:space="preserve">Vedtaket blei gjort ved behandling av Dokument 8:234 S (2022–2023), </w:t>
      </w:r>
      <w:proofErr w:type="spellStart"/>
      <w:r w:rsidRPr="00225D4D">
        <w:t>Innst</w:t>
      </w:r>
      <w:proofErr w:type="spellEnd"/>
      <w:r w:rsidRPr="00225D4D">
        <w:t>. 68 S (2023–2024).</w:t>
      </w:r>
    </w:p>
    <w:p w14:paraId="32E2E53A" w14:textId="77777777" w:rsidR="00D60186" w:rsidRPr="00225D4D" w:rsidRDefault="00D60186" w:rsidP="00225D4D">
      <w:r w:rsidRPr="00225D4D">
        <w:t xml:space="preserve">Departementet har vurdert og greidd ut </w:t>
      </w:r>
      <w:proofErr w:type="spellStart"/>
      <w:r w:rsidRPr="00225D4D">
        <w:t>utvalde</w:t>
      </w:r>
      <w:proofErr w:type="spellEnd"/>
      <w:r w:rsidRPr="00225D4D">
        <w:t xml:space="preserve"> </w:t>
      </w:r>
      <w:proofErr w:type="spellStart"/>
      <w:r w:rsidRPr="00225D4D">
        <w:t>problemstillingar</w:t>
      </w:r>
      <w:proofErr w:type="spellEnd"/>
      <w:r w:rsidRPr="00225D4D">
        <w:t xml:space="preserve"> knytt til </w:t>
      </w:r>
      <w:proofErr w:type="spellStart"/>
      <w:r w:rsidRPr="00225D4D">
        <w:t>dei</w:t>
      </w:r>
      <w:proofErr w:type="spellEnd"/>
      <w:r w:rsidRPr="00225D4D">
        <w:t xml:space="preserve"> sosiale </w:t>
      </w:r>
      <w:proofErr w:type="spellStart"/>
      <w:r w:rsidRPr="00225D4D">
        <w:t>rettane</w:t>
      </w:r>
      <w:proofErr w:type="spellEnd"/>
      <w:r w:rsidRPr="00225D4D">
        <w:t xml:space="preserve"> til sjølvstendig </w:t>
      </w:r>
      <w:proofErr w:type="spellStart"/>
      <w:r w:rsidRPr="00225D4D">
        <w:t>næringsdrivande</w:t>
      </w:r>
      <w:proofErr w:type="spellEnd"/>
      <w:r w:rsidRPr="00225D4D">
        <w:t xml:space="preserve"> og </w:t>
      </w:r>
      <w:proofErr w:type="spellStart"/>
      <w:r w:rsidRPr="00225D4D">
        <w:t>frilansarar</w:t>
      </w:r>
      <w:proofErr w:type="spellEnd"/>
      <w:r w:rsidRPr="00225D4D">
        <w:t xml:space="preserve">. Etter ei samla vurdering meiner regjeringa at </w:t>
      </w:r>
      <w:proofErr w:type="spellStart"/>
      <w:r w:rsidRPr="00225D4D">
        <w:t>rettane</w:t>
      </w:r>
      <w:proofErr w:type="spellEnd"/>
      <w:r w:rsidRPr="00225D4D">
        <w:t xml:space="preserve"> til gruppene er gode og at det </w:t>
      </w:r>
      <w:proofErr w:type="spellStart"/>
      <w:r w:rsidRPr="00225D4D">
        <w:t>ikkje</w:t>
      </w:r>
      <w:proofErr w:type="spellEnd"/>
      <w:r w:rsidRPr="00225D4D">
        <w:t xml:space="preserve"> er grunn til å endre </w:t>
      </w:r>
      <w:proofErr w:type="spellStart"/>
      <w:r w:rsidRPr="00225D4D">
        <w:t>innretningane</w:t>
      </w:r>
      <w:proofErr w:type="spellEnd"/>
      <w:r w:rsidRPr="00225D4D">
        <w:t xml:space="preserve"> på </w:t>
      </w:r>
      <w:proofErr w:type="spellStart"/>
      <w:r w:rsidRPr="00225D4D">
        <w:t>dei</w:t>
      </w:r>
      <w:proofErr w:type="spellEnd"/>
      <w:r w:rsidRPr="00225D4D">
        <w:t xml:space="preserve"> sosiale </w:t>
      </w:r>
      <w:proofErr w:type="spellStart"/>
      <w:r w:rsidRPr="00225D4D">
        <w:t>ordningane</w:t>
      </w:r>
      <w:proofErr w:type="spellEnd"/>
      <w:r w:rsidRPr="00225D4D">
        <w:t xml:space="preserve"> for sjølvstendig </w:t>
      </w:r>
      <w:proofErr w:type="spellStart"/>
      <w:r w:rsidRPr="00225D4D">
        <w:t>næringsdrivande</w:t>
      </w:r>
      <w:proofErr w:type="spellEnd"/>
      <w:r w:rsidRPr="00225D4D">
        <w:t xml:space="preserve"> og </w:t>
      </w:r>
      <w:proofErr w:type="spellStart"/>
      <w:r w:rsidRPr="00225D4D">
        <w:t>frilansarar</w:t>
      </w:r>
      <w:proofErr w:type="spellEnd"/>
      <w:r w:rsidRPr="00225D4D">
        <w:t xml:space="preserve">. Utfordringa ligg heller i </w:t>
      </w:r>
      <w:proofErr w:type="spellStart"/>
      <w:r w:rsidRPr="00225D4D">
        <w:t>manglande</w:t>
      </w:r>
      <w:proofErr w:type="spellEnd"/>
      <w:r w:rsidRPr="00225D4D">
        <w:t xml:space="preserve"> informasjon om </w:t>
      </w:r>
      <w:proofErr w:type="spellStart"/>
      <w:r w:rsidRPr="00225D4D">
        <w:t>dei</w:t>
      </w:r>
      <w:proofErr w:type="spellEnd"/>
      <w:r w:rsidRPr="00225D4D">
        <w:t xml:space="preserve"> </w:t>
      </w:r>
      <w:proofErr w:type="spellStart"/>
      <w:r w:rsidRPr="00225D4D">
        <w:t>rettane</w:t>
      </w:r>
      <w:proofErr w:type="spellEnd"/>
      <w:r w:rsidRPr="00225D4D">
        <w:t xml:space="preserve"> som </w:t>
      </w:r>
      <w:proofErr w:type="spellStart"/>
      <w:r w:rsidRPr="00225D4D">
        <w:t>finst</w:t>
      </w:r>
      <w:proofErr w:type="spellEnd"/>
      <w:r w:rsidRPr="00225D4D">
        <w:t xml:space="preserve">, og lågt inntektsgrunnlag for enkelte grupper. Arbeids- og velferdsdirektoratet har gjennomført og sett i verk </w:t>
      </w:r>
      <w:proofErr w:type="spellStart"/>
      <w:r w:rsidRPr="00225D4D">
        <w:t>fleire</w:t>
      </w:r>
      <w:proofErr w:type="spellEnd"/>
      <w:r w:rsidRPr="00225D4D">
        <w:t xml:space="preserve"> tiltak for å betre informasjonen, rettleiinga og fagkompetansen om </w:t>
      </w:r>
      <w:proofErr w:type="spellStart"/>
      <w:r w:rsidRPr="00225D4D">
        <w:t>dei</w:t>
      </w:r>
      <w:proofErr w:type="spellEnd"/>
      <w:r w:rsidRPr="00225D4D">
        <w:t xml:space="preserve"> ulike </w:t>
      </w:r>
      <w:proofErr w:type="spellStart"/>
      <w:r w:rsidRPr="00225D4D">
        <w:t>ytingane</w:t>
      </w:r>
      <w:proofErr w:type="spellEnd"/>
      <w:r w:rsidRPr="00225D4D">
        <w:t xml:space="preserve">. Departementet vil òg vurdere om informasjon om sosiale </w:t>
      </w:r>
      <w:proofErr w:type="spellStart"/>
      <w:r w:rsidRPr="00225D4D">
        <w:t>rettar</w:t>
      </w:r>
      <w:proofErr w:type="spellEnd"/>
      <w:r w:rsidRPr="00225D4D">
        <w:t xml:space="preserve"> for sjølvstendig </w:t>
      </w:r>
      <w:proofErr w:type="spellStart"/>
      <w:r w:rsidRPr="00225D4D">
        <w:t>næringsdrivande</w:t>
      </w:r>
      <w:proofErr w:type="spellEnd"/>
      <w:r w:rsidRPr="00225D4D">
        <w:t xml:space="preserve">, </w:t>
      </w:r>
      <w:proofErr w:type="spellStart"/>
      <w:r w:rsidRPr="00225D4D">
        <w:t>frilansarar</w:t>
      </w:r>
      <w:proofErr w:type="spellEnd"/>
      <w:r w:rsidRPr="00225D4D">
        <w:t xml:space="preserve"> og </w:t>
      </w:r>
      <w:proofErr w:type="spellStart"/>
      <w:r w:rsidRPr="00225D4D">
        <w:t>personar</w:t>
      </w:r>
      <w:proofErr w:type="spellEnd"/>
      <w:r w:rsidRPr="00225D4D">
        <w:t xml:space="preserve"> med kombinasjonsinntekter i større grad kan </w:t>
      </w:r>
      <w:proofErr w:type="spellStart"/>
      <w:r w:rsidRPr="00225D4D">
        <w:t>knytast</w:t>
      </w:r>
      <w:proofErr w:type="spellEnd"/>
      <w:r w:rsidRPr="00225D4D">
        <w:t xml:space="preserve"> til og </w:t>
      </w:r>
      <w:proofErr w:type="spellStart"/>
      <w:r w:rsidRPr="00225D4D">
        <w:t>rettast</w:t>
      </w:r>
      <w:proofErr w:type="spellEnd"/>
      <w:r w:rsidRPr="00225D4D">
        <w:t xml:space="preserve"> mot </w:t>
      </w:r>
      <w:proofErr w:type="spellStart"/>
      <w:r w:rsidRPr="00225D4D">
        <w:t>dei</w:t>
      </w:r>
      <w:proofErr w:type="spellEnd"/>
      <w:r w:rsidRPr="00225D4D">
        <w:t xml:space="preserve"> digitale brukarflatene </w:t>
      </w:r>
      <w:proofErr w:type="spellStart"/>
      <w:r w:rsidRPr="00225D4D">
        <w:t>desse</w:t>
      </w:r>
      <w:proofErr w:type="spellEnd"/>
      <w:r w:rsidRPr="00225D4D">
        <w:t xml:space="preserve"> gruppene </w:t>
      </w:r>
      <w:proofErr w:type="spellStart"/>
      <w:r w:rsidRPr="00225D4D">
        <w:t>føretrekker</w:t>
      </w:r>
      <w:proofErr w:type="spellEnd"/>
      <w:r w:rsidRPr="00225D4D">
        <w:t xml:space="preserve">. </w:t>
      </w:r>
      <w:proofErr w:type="spellStart"/>
      <w:r w:rsidRPr="00225D4D">
        <w:t>Vidare</w:t>
      </w:r>
      <w:proofErr w:type="spellEnd"/>
      <w:r w:rsidRPr="00225D4D">
        <w:t xml:space="preserve"> har Kultur- og likestillingsdepartementet sett i gang </w:t>
      </w:r>
      <w:proofErr w:type="spellStart"/>
      <w:r w:rsidRPr="00225D4D">
        <w:t>eit</w:t>
      </w:r>
      <w:proofErr w:type="spellEnd"/>
      <w:r w:rsidRPr="00225D4D">
        <w:t xml:space="preserve"> arbeid med å utarbeide </w:t>
      </w:r>
      <w:proofErr w:type="spellStart"/>
      <w:r w:rsidRPr="00225D4D">
        <w:t>rettleiande</w:t>
      </w:r>
      <w:proofErr w:type="spellEnd"/>
      <w:r w:rsidRPr="00225D4D">
        <w:t xml:space="preserve"> verdiprinsipp for </w:t>
      </w:r>
      <w:proofErr w:type="spellStart"/>
      <w:r w:rsidRPr="00225D4D">
        <w:t>rimeleg</w:t>
      </w:r>
      <w:proofErr w:type="spellEnd"/>
      <w:r w:rsidRPr="00225D4D">
        <w:t xml:space="preserve"> betaling for </w:t>
      </w:r>
      <w:proofErr w:type="spellStart"/>
      <w:r w:rsidRPr="00225D4D">
        <w:t>kunstnarisk</w:t>
      </w:r>
      <w:proofErr w:type="spellEnd"/>
      <w:r w:rsidRPr="00225D4D">
        <w:t xml:space="preserve"> arbeid, og </w:t>
      </w:r>
      <w:proofErr w:type="spellStart"/>
      <w:r w:rsidRPr="00225D4D">
        <w:t>ein</w:t>
      </w:r>
      <w:proofErr w:type="spellEnd"/>
      <w:r w:rsidRPr="00225D4D">
        <w:t xml:space="preserve"> </w:t>
      </w:r>
      <w:proofErr w:type="spellStart"/>
      <w:r w:rsidRPr="00225D4D">
        <w:t>oppfølgande</w:t>
      </w:r>
      <w:proofErr w:type="spellEnd"/>
      <w:r w:rsidRPr="00225D4D">
        <w:t xml:space="preserve"> strategi som skal gjelde for </w:t>
      </w:r>
      <w:proofErr w:type="spellStart"/>
      <w:r w:rsidRPr="00225D4D">
        <w:t>statleg</w:t>
      </w:r>
      <w:proofErr w:type="spellEnd"/>
      <w:r w:rsidRPr="00225D4D">
        <w:t xml:space="preserve"> finansierte kunst- og </w:t>
      </w:r>
      <w:proofErr w:type="spellStart"/>
      <w:r w:rsidRPr="00225D4D">
        <w:t>kulturinstitusjonar</w:t>
      </w:r>
      <w:proofErr w:type="spellEnd"/>
      <w:r w:rsidRPr="00225D4D">
        <w:t xml:space="preserve"> og </w:t>
      </w:r>
      <w:proofErr w:type="spellStart"/>
      <w:r w:rsidRPr="00225D4D">
        <w:t>tilskotsordningar</w:t>
      </w:r>
      <w:proofErr w:type="spellEnd"/>
      <w:r w:rsidRPr="00225D4D">
        <w:t xml:space="preserve">. Sjå </w:t>
      </w:r>
      <w:proofErr w:type="spellStart"/>
      <w:r w:rsidRPr="00225D4D">
        <w:t>nærmare</w:t>
      </w:r>
      <w:proofErr w:type="spellEnd"/>
      <w:r w:rsidRPr="00225D4D">
        <w:t xml:space="preserve"> omtale i del II, punkt 6.7.4 Sosiale </w:t>
      </w:r>
      <w:proofErr w:type="spellStart"/>
      <w:r w:rsidRPr="00225D4D">
        <w:t>ordningar</w:t>
      </w:r>
      <w:proofErr w:type="spellEnd"/>
      <w:r w:rsidRPr="00225D4D">
        <w:t xml:space="preserve"> for sjølvstendig </w:t>
      </w:r>
      <w:proofErr w:type="spellStart"/>
      <w:r w:rsidRPr="00225D4D">
        <w:t>næringsdrivande</w:t>
      </w:r>
      <w:proofErr w:type="spellEnd"/>
      <w:r w:rsidRPr="00225D4D">
        <w:t xml:space="preserve"> og </w:t>
      </w:r>
      <w:proofErr w:type="spellStart"/>
      <w:r w:rsidRPr="00225D4D">
        <w:t>frilansarar</w:t>
      </w:r>
      <w:proofErr w:type="spellEnd"/>
      <w:r w:rsidRPr="00225D4D">
        <w:t>. Sjå òg omtale av oppmodingsvedtak 456 (2021–2022).</w:t>
      </w:r>
    </w:p>
    <w:p w14:paraId="4580AA00"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7406AA39" w14:textId="77777777" w:rsidR="00D60186" w:rsidRPr="00225D4D" w:rsidRDefault="00D60186" w:rsidP="00225D4D">
      <w:pPr>
        <w:pStyle w:val="avsnitt-tittel"/>
      </w:pPr>
      <w:r w:rsidRPr="00225D4D">
        <w:t xml:space="preserve">Oppdatering av </w:t>
      </w:r>
      <w:proofErr w:type="spellStart"/>
      <w:r w:rsidRPr="00225D4D">
        <w:t>rettleiaren</w:t>
      </w:r>
      <w:proofErr w:type="spellEnd"/>
      <w:r w:rsidRPr="00225D4D">
        <w:t xml:space="preserve"> om økonomisk sosialhjelp i lys av SIFO-rapport om grunnlaget for </w:t>
      </w:r>
      <w:proofErr w:type="spellStart"/>
      <w:r w:rsidRPr="00225D4D">
        <w:t>dei</w:t>
      </w:r>
      <w:proofErr w:type="spellEnd"/>
      <w:r w:rsidRPr="00225D4D">
        <w:t xml:space="preserve"> </w:t>
      </w:r>
      <w:proofErr w:type="spellStart"/>
      <w:r w:rsidRPr="00225D4D">
        <w:t>statlege</w:t>
      </w:r>
      <w:proofErr w:type="spellEnd"/>
      <w:r w:rsidRPr="00225D4D">
        <w:t xml:space="preserve"> </w:t>
      </w:r>
      <w:proofErr w:type="spellStart"/>
      <w:r w:rsidRPr="00225D4D">
        <w:t>rettleiande</w:t>
      </w:r>
      <w:proofErr w:type="spellEnd"/>
      <w:r w:rsidRPr="00225D4D">
        <w:t xml:space="preserve"> </w:t>
      </w:r>
      <w:proofErr w:type="spellStart"/>
      <w:r w:rsidRPr="00225D4D">
        <w:t>satsane</w:t>
      </w:r>
      <w:proofErr w:type="spellEnd"/>
      <w:r w:rsidRPr="00225D4D">
        <w:t xml:space="preserve"> for økonomisk sosialhjelp</w:t>
      </w:r>
    </w:p>
    <w:p w14:paraId="3EBD3FF2" w14:textId="77777777" w:rsidR="00D60186" w:rsidRPr="00225D4D" w:rsidRDefault="00D60186" w:rsidP="00225D4D">
      <w:pPr>
        <w:pStyle w:val="avsnitt-undertittel"/>
      </w:pPr>
      <w:r w:rsidRPr="00225D4D">
        <w:t>Vedtak 69, 4. desember 2023</w:t>
      </w:r>
    </w:p>
    <w:p w14:paraId="7D4B0ED6" w14:textId="77777777" w:rsidR="00D60186" w:rsidRPr="00225D4D" w:rsidRDefault="00D60186" w:rsidP="00225D4D">
      <w:pPr>
        <w:pStyle w:val="blokksit"/>
        <w:rPr>
          <w:rStyle w:val="kursiv"/>
        </w:rPr>
      </w:pPr>
      <w:r w:rsidRPr="00225D4D">
        <w:rPr>
          <w:rStyle w:val="kursiv"/>
        </w:rPr>
        <w:t>«Stortinget ber regjeringen oppdatere veilederen for økonomisk sosialhjelp innen 1. juli 2024 for å tydeliggjøre hvordan dekningen av utgifter til internett, telefon og moderate utgifter til transport skal inngå ved utmåling av stønadsnivå. Oppdateringen skal ses i lys av den kommende SIFO-rapporten om grunnlaget for de statlige veiledende satsene for økonomisk sosialhjelp.»</w:t>
      </w:r>
    </w:p>
    <w:p w14:paraId="43852579" w14:textId="77777777" w:rsidR="00D60186" w:rsidRPr="00225D4D" w:rsidRDefault="00D60186" w:rsidP="00225D4D">
      <w:r w:rsidRPr="00225D4D">
        <w:t xml:space="preserve">Vedtaket blei gjort ved behandling av Meld. St. 1 (2023–2024), </w:t>
      </w:r>
      <w:proofErr w:type="spellStart"/>
      <w:r w:rsidRPr="00225D4D">
        <w:t>Innst</w:t>
      </w:r>
      <w:proofErr w:type="spellEnd"/>
      <w:r w:rsidRPr="00225D4D">
        <w:t>. 2 S (2023–2024).</w:t>
      </w:r>
    </w:p>
    <w:p w14:paraId="65FB6500" w14:textId="77777777" w:rsidR="00D60186" w:rsidRPr="00225D4D" w:rsidRDefault="00D60186" w:rsidP="00225D4D">
      <w:r w:rsidRPr="00225D4D">
        <w:t xml:space="preserve">På oppdrag </w:t>
      </w:r>
      <w:proofErr w:type="spellStart"/>
      <w:r w:rsidRPr="00225D4D">
        <w:t>frå</w:t>
      </w:r>
      <w:proofErr w:type="spellEnd"/>
      <w:r w:rsidRPr="00225D4D">
        <w:t xml:space="preserve"> departementet har Arbeids- og velferdsdirektoratet oppdatert </w:t>
      </w:r>
      <w:proofErr w:type="spellStart"/>
      <w:r w:rsidRPr="00225D4D">
        <w:t>rettleiaren</w:t>
      </w:r>
      <w:proofErr w:type="spellEnd"/>
      <w:r w:rsidRPr="00225D4D">
        <w:t xml:space="preserve"> om økonomisk sosialhjelp. Direktoratet har på relevante </w:t>
      </w:r>
      <w:proofErr w:type="spellStart"/>
      <w:r w:rsidRPr="00225D4D">
        <w:t>stadar</w:t>
      </w:r>
      <w:proofErr w:type="spellEnd"/>
      <w:r w:rsidRPr="00225D4D">
        <w:t xml:space="preserve"> i </w:t>
      </w:r>
      <w:proofErr w:type="spellStart"/>
      <w:r w:rsidRPr="00225D4D">
        <w:t>rettleiaren</w:t>
      </w:r>
      <w:proofErr w:type="spellEnd"/>
      <w:r w:rsidRPr="00225D4D">
        <w:t xml:space="preserve"> lagt inn tekst som minner </w:t>
      </w:r>
      <w:proofErr w:type="spellStart"/>
      <w:r w:rsidRPr="00225D4D">
        <w:t>saksbehandlarane</w:t>
      </w:r>
      <w:proofErr w:type="spellEnd"/>
      <w:r w:rsidRPr="00225D4D">
        <w:t xml:space="preserve"> i Nav-kontora på at </w:t>
      </w:r>
      <w:proofErr w:type="spellStart"/>
      <w:r w:rsidRPr="00225D4D">
        <w:t>dei</w:t>
      </w:r>
      <w:proofErr w:type="spellEnd"/>
      <w:r w:rsidRPr="00225D4D">
        <w:t xml:space="preserve"> må </w:t>
      </w:r>
      <w:proofErr w:type="spellStart"/>
      <w:r w:rsidRPr="00225D4D">
        <w:t>vere</w:t>
      </w:r>
      <w:proofErr w:type="spellEnd"/>
      <w:r w:rsidRPr="00225D4D">
        <w:t xml:space="preserve"> </w:t>
      </w:r>
      <w:proofErr w:type="spellStart"/>
      <w:r w:rsidRPr="00225D4D">
        <w:t>merksame</w:t>
      </w:r>
      <w:proofErr w:type="spellEnd"/>
      <w:r w:rsidRPr="00225D4D">
        <w:t xml:space="preserve"> på utgifter til internett, telefon og transport. Slik </w:t>
      </w:r>
      <w:proofErr w:type="spellStart"/>
      <w:r w:rsidRPr="00225D4D">
        <w:t>gjer</w:t>
      </w:r>
      <w:proofErr w:type="spellEnd"/>
      <w:r w:rsidRPr="00225D4D">
        <w:t xml:space="preserve"> </w:t>
      </w:r>
      <w:proofErr w:type="spellStart"/>
      <w:r w:rsidRPr="00225D4D">
        <w:t>rettleiaren</w:t>
      </w:r>
      <w:proofErr w:type="spellEnd"/>
      <w:r w:rsidRPr="00225D4D">
        <w:t xml:space="preserve"> det </w:t>
      </w:r>
      <w:proofErr w:type="spellStart"/>
      <w:r w:rsidRPr="00225D4D">
        <w:t>tydelegare</w:t>
      </w:r>
      <w:proofErr w:type="spellEnd"/>
      <w:r w:rsidRPr="00225D4D">
        <w:t xml:space="preserve"> at </w:t>
      </w:r>
      <w:proofErr w:type="spellStart"/>
      <w:r w:rsidRPr="00225D4D">
        <w:t>ein</w:t>
      </w:r>
      <w:proofErr w:type="spellEnd"/>
      <w:r w:rsidRPr="00225D4D">
        <w:t xml:space="preserve"> skal vurdere slike utgifter ved utmåling av økonomisk sosialhjelp der det er relevant.</w:t>
      </w:r>
    </w:p>
    <w:p w14:paraId="785EAD3A" w14:textId="77777777" w:rsidR="00D60186" w:rsidRPr="00225D4D" w:rsidRDefault="00D60186" w:rsidP="00225D4D">
      <w:r w:rsidRPr="00225D4D">
        <w:t xml:space="preserve">SIFO foreslår å </w:t>
      </w:r>
      <w:proofErr w:type="spellStart"/>
      <w:r w:rsidRPr="00225D4D">
        <w:t>klargjere</w:t>
      </w:r>
      <w:proofErr w:type="spellEnd"/>
      <w:r w:rsidRPr="00225D4D">
        <w:t xml:space="preserve"> kva for </w:t>
      </w:r>
      <w:proofErr w:type="spellStart"/>
      <w:r w:rsidRPr="00225D4D">
        <w:t>utgiftskomponentar</w:t>
      </w:r>
      <w:proofErr w:type="spellEnd"/>
      <w:r w:rsidRPr="00225D4D">
        <w:t xml:space="preserve"> som bør inngå ved at utgifter til bl.a. transport heilt eksplisitt </w:t>
      </w:r>
      <w:proofErr w:type="spellStart"/>
      <w:r w:rsidRPr="00225D4D">
        <w:t>ikkje</w:t>
      </w:r>
      <w:proofErr w:type="spellEnd"/>
      <w:r w:rsidRPr="00225D4D">
        <w:t xml:space="preserve"> blir omfatta av </w:t>
      </w:r>
      <w:proofErr w:type="spellStart"/>
      <w:r w:rsidRPr="00225D4D">
        <w:t>dei</w:t>
      </w:r>
      <w:proofErr w:type="spellEnd"/>
      <w:r w:rsidRPr="00225D4D">
        <w:t xml:space="preserve"> </w:t>
      </w:r>
      <w:proofErr w:type="spellStart"/>
      <w:r w:rsidRPr="00225D4D">
        <w:t>rettleiande</w:t>
      </w:r>
      <w:proofErr w:type="spellEnd"/>
      <w:r w:rsidRPr="00225D4D">
        <w:t xml:space="preserve"> </w:t>
      </w:r>
      <w:proofErr w:type="spellStart"/>
      <w:r w:rsidRPr="00225D4D">
        <w:t>satsane</w:t>
      </w:r>
      <w:proofErr w:type="spellEnd"/>
      <w:r w:rsidRPr="00225D4D">
        <w:t xml:space="preserve">. Dei </w:t>
      </w:r>
      <w:proofErr w:type="spellStart"/>
      <w:r w:rsidRPr="00225D4D">
        <w:t>peiker</w:t>
      </w:r>
      <w:proofErr w:type="spellEnd"/>
      <w:r w:rsidRPr="00225D4D">
        <w:t xml:space="preserve"> òg på at utgifter til internett og breiband bør </w:t>
      </w:r>
      <w:proofErr w:type="spellStart"/>
      <w:r w:rsidRPr="00225D4D">
        <w:t>vurderast</w:t>
      </w:r>
      <w:proofErr w:type="spellEnd"/>
      <w:r w:rsidRPr="00225D4D">
        <w:t xml:space="preserve"> individuelt. Departementet har </w:t>
      </w:r>
      <w:proofErr w:type="spellStart"/>
      <w:r w:rsidRPr="00225D4D">
        <w:t>følgt</w:t>
      </w:r>
      <w:proofErr w:type="spellEnd"/>
      <w:r w:rsidRPr="00225D4D">
        <w:t xml:space="preserve"> opp SIFO sitt forslag om at internett og transport </w:t>
      </w:r>
      <w:proofErr w:type="spellStart"/>
      <w:r w:rsidRPr="00225D4D">
        <w:t>ikkje</w:t>
      </w:r>
      <w:proofErr w:type="spellEnd"/>
      <w:r w:rsidRPr="00225D4D">
        <w:t xml:space="preserve"> skal inngå i </w:t>
      </w:r>
      <w:proofErr w:type="spellStart"/>
      <w:r w:rsidRPr="00225D4D">
        <w:t>dei</w:t>
      </w:r>
      <w:proofErr w:type="spellEnd"/>
      <w:r w:rsidRPr="00225D4D">
        <w:t xml:space="preserve"> </w:t>
      </w:r>
      <w:proofErr w:type="spellStart"/>
      <w:r w:rsidRPr="00225D4D">
        <w:t>rettleiande</w:t>
      </w:r>
      <w:proofErr w:type="spellEnd"/>
      <w:r w:rsidRPr="00225D4D">
        <w:t xml:space="preserve"> </w:t>
      </w:r>
      <w:proofErr w:type="spellStart"/>
      <w:r w:rsidRPr="00225D4D">
        <w:t>satsane</w:t>
      </w:r>
      <w:proofErr w:type="spellEnd"/>
      <w:r w:rsidRPr="00225D4D">
        <w:t xml:space="preserve">, og at dette skal stå heilt eksplisitt i det </w:t>
      </w:r>
      <w:proofErr w:type="spellStart"/>
      <w:r w:rsidRPr="00225D4D">
        <w:t>årlege</w:t>
      </w:r>
      <w:proofErr w:type="spellEnd"/>
      <w:r w:rsidRPr="00225D4D">
        <w:t xml:space="preserve"> rundskrivet om de </w:t>
      </w:r>
      <w:proofErr w:type="spellStart"/>
      <w:r w:rsidRPr="00225D4D">
        <w:t>rettleiande</w:t>
      </w:r>
      <w:proofErr w:type="spellEnd"/>
      <w:r w:rsidRPr="00225D4D">
        <w:t xml:space="preserve"> </w:t>
      </w:r>
      <w:proofErr w:type="spellStart"/>
      <w:r w:rsidRPr="00225D4D">
        <w:t>satsane</w:t>
      </w:r>
      <w:proofErr w:type="spellEnd"/>
      <w:r w:rsidRPr="00225D4D">
        <w:t xml:space="preserve">, sjå del II, punkt 6.9 Inkludering i samfunnet og gode levekår for </w:t>
      </w:r>
      <w:proofErr w:type="spellStart"/>
      <w:r w:rsidRPr="00225D4D">
        <w:t>dei</w:t>
      </w:r>
      <w:proofErr w:type="spellEnd"/>
      <w:r w:rsidRPr="00225D4D">
        <w:t xml:space="preserve"> mest </w:t>
      </w:r>
      <w:proofErr w:type="spellStart"/>
      <w:r w:rsidRPr="00225D4D">
        <w:t>vanskelegstilte</w:t>
      </w:r>
      <w:proofErr w:type="spellEnd"/>
      <w:r w:rsidRPr="00225D4D">
        <w:t>.</w:t>
      </w:r>
    </w:p>
    <w:p w14:paraId="6328906A"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26392693" w14:textId="77777777" w:rsidR="00D60186" w:rsidRPr="00225D4D" w:rsidRDefault="00D60186" w:rsidP="00225D4D">
      <w:pPr>
        <w:pStyle w:val="avsnitt-tittel"/>
      </w:pPr>
      <w:r w:rsidRPr="00225D4D">
        <w:t xml:space="preserve">Regelverket for </w:t>
      </w:r>
      <w:proofErr w:type="spellStart"/>
      <w:r w:rsidRPr="00225D4D">
        <w:t>pårørande</w:t>
      </w:r>
      <w:proofErr w:type="spellEnd"/>
      <w:r w:rsidRPr="00225D4D">
        <w:t xml:space="preserve"> sine </w:t>
      </w:r>
      <w:proofErr w:type="spellStart"/>
      <w:r w:rsidRPr="00225D4D">
        <w:t>permisjonsmoglegheiter</w:t>
      </w:r>
      <w:proofErr w:type="spellEnd"/>
      <w:r w:rsidRPr="00225D4D">
        <w:t xml:space="preserve"> i arbeidslivet</w:t>
      </w:r>
    </w:p>
    <w:p w14:paraId="798996BD" w14:textId="77777777" w:rsidR="00D60186" w:rsidRPr="00225D4D" w:rsidRDefault="00D60186" w:rsidP="00225D4D">
      <w:pPr>
        <w:pStyle w:val="avsnitt-undertittel"/>
      </w:pPr>
      <w:r w:rsidRPr="00225D4D">
        <w:t>Vedtak 147, 12. desember 2023</w:t>
      </w:r>
    </w:p>
    <w:p w14:paraId="2E68B97C" w14:textId="77777777" w:rsidR="00D60186" w:rsidRPr="00225D4D" w:rsidRDefault="00D60186" w:rsidP="00225D4D">
      <w:pPr>
        <w:pStyle w:val="blokksit"/>
        <w:rPr>
          <w:rStyle w:val="kursiv"/>
        </w:rPr>
      </w:pPr>
      <w:r w:rsidRPr="00225D4D">
        <w:rPr>
          <w:rStyle w:val="kursiv"/>
        </w:rPr>
        <w:t>«Stortinget ber regjeringa gjennomgå og forbedre regelverket for pårørendes permisjonsmuligheter i arbeidslivet for å sikre likestilling og bedre mulighetene til å kombinere arbeid og omsorg uten å pådra seg økonomiske problemer eller falle ut av arbeidslivet.»</w:t>
      </w:r>
    </w:p>
    <w:p w14:paraId="02A0A863" w14:textId="77777777" w:rsidR="00D60186" w:rsidRPr="00225D4D" w:rsidRDefault="00D60186" w:rsidP="00225D4D">
      <w:r w:rsidRPr="00225D4D">
        <w:t xml:space="preserve">Vedtaket blei gjort ved behandling av Meld. St. 24 (2022–2023), </w:t>
      </w:r>
      <w:proofErr w:type="spellStart"/>
      <w:r w:rsidRPr="00225D4D">
        <w:t>Innst</w:t>
      </w:r>
      <w:proofErr w:type="spellEnd"/>
      <w:r w:rsidRPr="00225D4D">
        <w:t>. 112 S (2023–2024).</w:t>
      </w:r>
    </w:p>
    <w:p w14:paraId="68688560" w14:textId="77777777" w:rsidR="00D60186" w:rsidRPr="00225D4D" w:rsidRDefault="00D60186" w:rsidP="00225D4D">
      <w:r w:rsidRPr="00225D4D">
        <w:t xml:space="preserve">Arbeids- og inkluderingsdepartementet og Helse- og omsorgsdepartementet har greidd ut </w:t>
      </w:r>
      <w:proofErr w:type="spellStart"/>
      <w:r w:rsidRPr="00225D4D">
        <w:t>gjeldande</w:t>
      </w:r>
      <w:proofErr w:type="spellEnd"/>
      <w:r w:rsidRPr="00225D4D">
        <w:t xml:space="preserve"> </w:t>
      </w:r>
      <w:proofErr w:type="spellStart"/>
      <w:r w:rsidRPr="00225D4D">
        <w:t>ordningar</w:t>
      </w:r>
      <w:proofErr w:type="spellEnd"/>
      <w:r w:rsidRPr="00225D4D">
        <w:t xml:space="preserve"> og behov for </w:t>
      </w:r>
      <w:proofErr w:type="spellStart"/>
      <w:r w:rsidRPr="00225D4D">
        <w:t>endringar</w:t>
      </w:r>
      <w:proofErr w:type="spellEnd"/>
      <w:r w:rsidRPr="00225D4D">
        <w:t xml:space="preserve">, med utgangspunkt i forsking om kva </w:t>
      </w:r>
      <w:proofErr w:type="spellStart"/>
      <w:r w:rsidRPr="00225D4D">
        <w:t>oppgåver</w:t>
      </w:r>
      <w:proofErr w:type="spellEnd"/>
      <w:r w:rsidRPr="00225D4D">
        <w:t xml:space="preserve"> </w:t>
      </w:r>
      <w:proofErr w:type="spellStart"/>
      <w:r w:rsidRPr="00225D4D">
        <w:t>dei</w:t>
      </w:r>
      <w:proofErr w:type="spellEnd"/>
      <w:r w:rsidRPr="00225D4D">
        <w:t xml:space="preserve"> </w:t>
      </w:r>
      <w:proofErr w:type="spellStart"/>
      <w:r w:rsidRPr="00225D4D">
        <w:t>pårørande</w:t>
      </w:r>
      <w:proofErr w:type="spellEnd"/>
      <w:r w:rsidRPr="00225D4D">
        <w:t xml:space="preserve"> </w:t>
      </w:r>
      <w:proofErr w:type="spellStart"/>
      <w:r w:rsidRPr="00225D4D">
        <w:t>gjer</w:t>
      </w:r>
      <w:proofErr w:type="spellEnd"/>
      <w:r w:rsidRPr="00225D4D">
        <w:t xml:space="preserve">, og kor </w:t>
      </w:r>
      <w:proofErr w:type="spellStart"/>
      <w:r w:rsidRPr="00225D4D">
        <w:t>mykje</w:t>
      </w:r>
      <w:proofErr w:type="spellEnd"/>
      <w:r w:rsidRPr="00225D4D">
        <w:t xml:space="preserve"> tid </w:t>
      </w:r>
      <w:proofErr w:type="spellStart"/>
      <w:r w:rsidRPr="00225D4D">
        <w:t>dei</w:t>
      </w:r>
      <w:proofErr w:type="spellEnd"/>
      <w:r w:rsidRPr="00225D4D">
        <w:t xml:space="preserve"> bruker på slike </w:t>
      </w:r>
      <w:proofErr w:type="spellStart"/>
      <w:r w:rsidRPr="00225D4D">
        <w:t>oppgåver</w:t>
      </w:r>
      <w:proofErr w:type="spellEnd"/>
      <w:r w:rsidRPr="00225D4D">
        <w:t xml:space="preserve">. Forskinga som </w:t>
      </w:r>
      <w:proofErr w:type="spellStart"/>
      <w:r w:rsidRPr="00225D4D">
        <w:t>finst</w:t>
      </w:r>
      <w:proofErr w:type="spellEnd"/>
      <w:r w:rsidRPr="00225D4D">
        <w:t xml:space="preserve">, gir </w:t>
      </w:r>
      <w:proofErr w:type="spellStart"/>
      <w:r w:rsidRPr="00225D4D">
        <w:t>ikkje</w:t>
      </w:r>
      <w:proofErr w:type="spellEnd"/>
      <w:r w:rsidRPr="00225D4D">
        <w:t xml:space="preserve"> grunnlag for å </w:t>
      </w:r>
      <w:proofErr w:type="spellStart"/>
      <w:r w:rsidRPr="00225D4D">
        <w:t>seie</w:t>
      </w:r>
      <w:proofErr w:type="spellEnd"/>
      <w:r w:rsidRPr="00225D4D">
        <w:t xml:space="preserve"> at </w:t>
      </w:r>
      <w:proofErr w:type="spellStart"/>
      <w:r w:rsidRPr="00225D4D">
        <w:t>pårørande</w:t>
      </w:r>
      <w:proofErr w:type="spellEnd"/>
      <w:r w:rsidRPr="00225D4D">
        <w:t xml:space="preserve"> pådrar seg økonomiske problem eller fell ut av arbeidslivet som følge av </w:t>
      </w:r>
      <w:proofErr w:type="spellStart"/>
      <w:r w:rsidRPr="00225D4D">
        <w:t>omfattande</w:t>
      </w:r>
      <w:proofErr w:type="spellEnd"/>
      <w:r w:rsidRPr="00225D4D">
        <w:t xml:space="preserve"> </w:t>
      </w:r>
      <w:proofErr w:type="spellStart"/>
      <w:r w:rsidRPr="00225D4D">
        <w:t>pårørandeinnsats</w:t>
      </w:r>
      <w:proofErr w:type="spellEnd"/>
      <w:r w:rsidRPr="00225D4D">
        <w:t xml:space="preserve">. Regjeringa har etter dette bestemt at ho </w:t>
      </w:r>
      <w:proofErr w:type="spellStart"/>
      <w:r w:rsidRPr="00225D4D">
        <w:t>ikkje</w:t>
      </w:r>
      <w:proofErr w:type="spellEnd"/>
      <w:r w:rsidRPr="00225D4D">
        <w:t xml:space="preserve"> vil foreslå </w:t>
      </w:r>
      <w:proofErr w:type="spellStart"/>
      <w:r w:rsidRPr="00225D4D">
        <w:t>regelverksendringar</w:t>
      </w:r>
      <w:proofErr w:type="spellEnd"/>
      <w:r w:rsidRPr="00225D4D">
        <w:t xml:space="preserve"> knytte til retten til permisjon, og foreslår at oppmodingsvedtaket blir oppheva.</w:t>
      </w:r>
    </w:p>
    <w:p w14:paraId="0CD1A28D" w14:textId="77777777" w:rsidR="00D60186" w:rsidRPr="00225D4D" w:rsidRDefault="00D60186" w:rsidP="00225D4D">
      <w:pPr>
        <w:pStyle w:val="avsnitt-tittel"/>
      </w:pPr>
      <w:r w:rsidRPr="00225D4D">
        <w:t xml:space="preserve">Utgreiing om å fjerne unntaket for helsesektoren i regelverket for </w:t>
      </w:r>
      <w:proofErr w:type="spellStart"/>
      <w:r w:rsidRPr="00225D4D">
        <w:t>innleige</w:t>
      </w:r>
      <w:proofErr w:type="spellEnd"/>
    </w:p>
    <w:p w14:paraId="6155AA33" w14:textId="77777777" w:rsidR="00D60186" w:rsidRPr="00225D4D" w:rsidRDefault="00D60186" w:rsidP="00225D4D">
      <w:pPr>
        <w:pStyle w:val="avsnitt-undertittel"/>
      </w:pPr>
      <w:r w:rsidRPr="00225D4D">
        <w:t>Vedtak 643, 14. mai 2024</w:t>
      </w:r>
    </w:p>
    <w:p w14:paraId="2E6F6276" w14:textId="77777777" w:rsidR="00D60186" w:rsidRPr="00225D4D" w:rsidRDefault="00D60186" w:rsidP="00225D4D">
      <w:pPr>
        <w:pStyle w:val="blokksit"/>
        <w:rPr>
          <w:rStyle w:val="kursiv"/>
        </w:rPr>
      </w:pPr>
      <w:r w:rsidRPr="00225D4D">
        <w:rPr>
          <w:rStyle w:val="kursiv"/>
        </w:rPr>
        <w:t xml:space="preserve">«Stortinget ber regjeringen utrede fjerning av unntaket for helsesektoren i regelverket for </w:t>
      </w:r>
      <w:proofErr w:type="gramStart"/>
      <w:r w:rsidRPr="00225D4D">
        <w:rPr>
          <w:rStyle w:val="kursiv"/>
        </w:rPr>
        <w:t>innleie</w:t>
      </w:r>
      <w:proofErr w:type="gramEnd"/>
      <w:r w:rsidRPr="00225D4D">
        <w:rPr>
          <w:rStyle w:val="kursiv"/>
        </w:rPr>
        <w:t>, med sikte på å redusere bruken av innleie i helsesektoren, uten å svekke kommunenes og helseforetakenes evne og mulighet til å redusere ventetider og opprettholde en forsvarlig helsetjeneste.»</w:t>
      </w:r>
    </w:p>
    <w:p w14:paraId="02210CFB" w14:textId="77777777" w:rsidR="00D60186" w:rsidRPr="00225D4D" w:rsidRDefault="00D60186" w:rsidP="00225D4D">
      <w:r w:rsidRPr="00225D4D">
        <w:t xml:space="preserve">Vedtaket blei gjort ved behandling av Dokument 8:108 S (2023–2024), </w:t>
      </w:r>
      <w:proofErr w:type="spellStart"/>
      <w:r w:rsidRPr="00225D4D">
        <w:t>Innst</w:t>
      </w:r>
      <w:proofErr w:type="spellEnd"/>
      <w:r w:rsidRPr="00225D4D">
        <w:t>. 296 S (2023–2024).</w:t>
      </w:r>
    </w:p>
    <w:p w14:paraId="48FBB0EE" w14:textId="77777777" w:rsidR="00D60186" w:rsidRPr="00225D4D" w:rsidRDefault="00D60186" w:rsidP="00225D4D">
      <w:r w:rsidRPr="00225D4D">
        <w:t xml:space="preserve">Ei arbeidsgruppe sett ned av Arbeids- og inkluderingsdepartementet og Helse- og omsorgsdepartementet har vurdert behova for og omfanget av </w:t>
      </w:r>
      <w:proofErr w:type="spellStart"/>
      <w:r w:rsidRPr="00225D4D">
        <w:t>innleige</w:t>
      </w:r>
      <w:proofErr w:type="spellEnd"/>
      <w:r w:rsidRPr="00225D4D">
        <w:t xml:space="preserve"> i helse- og omsorgssektoren, og sett på ulike tiltak som kan avgrense bruken av </w:t>
      </w:r>
      <w:proofErr w:type="spellStart"/>
      <w:r w:rsidRPr="00225D4D">
        <w:t>innleige</w:t>
      </w:r>
      <w:proofErr w:type="spellEnd"/>
      <w:r w:rsidRPr="00225D4D">
        <w:t xml:space="preserve"> </w:t>
      </w:r>
      <w:proofErr w:type="spellStart"/>
      <w:r w:rsidRPr="00225D4D">
        <w:t>utan</w:t>
      </w:r>
      <w:proofErr w:type="spellEnd"/>
      <w:r w:rsidRPr="00225D4D">
        <w:t xml:space="preserve"> å svekke </w:t>
      </w:r>
      <w:proofErr w:type="spellStart"/>
      <w:r w:rsidRPr="00225D4D">
        <w:t>moglegheitene</w:t>
      </w:r>
      <w:proofErr w:type="spellEnd"/>
      <w:r w:rsidRPr="00225D4D">
        <w:t xml:space="preserve"> </w:t>
      </w:r>
      <w:proofErr w:type="spellStart"/>
      <w:r w:rsidRPr="00225D4D">
        <w:t>kommunane</w:t>
      </w:r>
      <w:proofErr w:type="spellEnd"/>
      <w:r w:rsidRPr="00225D4D">
        <w:t xml:space="preserve"> og </w:t>
      </w:r>
      <w:proofErr w:type="spellStart"/>
      <w:r w:rsidRPr="00225D4D">
        <w:t>helseføretaka</w:t>
      </w:r>
      <w:proofErr w:type="spellEnd"/>
      <w:r w:rsidRPr="00225D4D">
        <w:t xml:space="preserve"> har til å redusere ventetider og </w:t>
      </w:r>
      <w:proofErr w:type="spellStart"/>
      <w:r w:rsidRPr="00225D4D">
        <w:t>oppretthalde</w:t>
      </w:r>
      <w:proofErr w:type="spellEnd"/>
      <w:r w:rsidRPr="00225D4D">
        <w:t xml:space="preserve"> ei </w:t>
      </w:r>
      <w:proofErr w:type="spellStart"/>
      <w:r w:rsidRPr="00225D4D">
        <w:t>forsvarleg</w:t>
      </w:r>
      <w:proofErr w:type="spellEnd"/>
      <w:r w:rsidRPr="00225D4D">
        <w:t xml:space="preserve"> </w:t>
      </w:r>
      <w:proofErr w:type="spellStart"/>
      <w:r w:rsidRPr="00225D4D">
        <w:t>helseteneste</w:t>
      </w:r>
      <w:proofErr w:type="spellEnd"/>
      <w:r w:rsidRPr="00225D4D">
        <w:t>.</w:t>
      </w:r>
    </w:p>
    <w:p w14:paraId="7ABF79B2" w14:textId="77777777" w:rsidR="00D60186" w:rsidRPr="00225D4D" w:rsidRDefault="00D60186" w:rsidP="00225D4D">
      <w:r w:rsidRPr="00225D4D">
        <w:t xml:space="preserve">Utgreiinga </w:t>
      </w:r>
      <w:proofErr w:type="spellStart"/>
      <w:r w:rsidRPr="00225D4D">
        <w:t>frå</w:t>
      </w:r>
      <w:proofErr w:type="spellEnd"/>
      <w:r w:rsidRPr="00225D4D">
        <w:t xml:space="preserve"> arbeidsgruppa viser at det er gjennomført ei rekke tiltak og </w:t>
      </w:r>
      <w:proofErr w:type="spellStart"/>
      <w:r w:rsidRPr="00225D4D">
        <w:t>satsingar</w:t>
      </w:r>
      <w:proofErr w:type="spellEnd"/>
      <w:r w:rsidRPr="00225D4D">
        <w:t xml:space="preserve"> i helse- og omsorgssektoren som skal bidra til å redusere omfanget av </w:t>
      </w:r>
      <w:proofErr w:type="spellStart"/>
      <w:r w:rsidRPr="00225D4D">
        <w:t>innleige</w:t>
      </w:r>
      <w:proofErr w:type="spellEnd"/>
      <w:r w:rsidRPr="00225D4D">
        <w:t xml:space="preserve"> </w:t>
      </w:r>
      <w:proofErr w:type="spellStart"/>
      <w:r w:rsidRPr="00225D4D">
        <w:t>frå</w:t>
      </w:r>
      <w:proofErr w:type="spellEnd"/>
      <w:r w:rsidRPr="00225D4D">
        <w:t xml:space="preserve"> </w:t>
      </w:r>
      <w:proofErr w:type="spellStart"/>
      <w:r w:rsidRPr="00225D4D">
        <w:t>bemanningsføretak</w:t>
      </w:r>
      <w:proofErr w:type="spellEnd"/>
      <w:r w:rsidRPr="00225D4D">
        <w:t xml:space="preserve">. Oppdaterte tal </w:t>
      </w:r>
      <w:proofErr w:type="spellStart"/>
      <w:r w:rsidRPr="00225D4D">
        <w:t>frå</w:t>
      </w:r>
      <w:proofErr w:type="spellEnd"/>
      <w:r w:rsidRPr="00225D4D">
        <w:t xml:space="preserve"> Statistisk sentralbyrå, NHO Service og Handel og </w:t>
      </w:r>
      <w:proofErr w:type="spellStart"/>
      <w:r w:rsidRPr="00225D4D">
        <w:t>fleire</w:t>
      </w:r>
      <w:proofErr w:type="spellEnd"/>
      <w:r w:rsidRPr="00225D4D">
        <w:t xml:space="preserve"> </w:t>
      </w:r>
      <w:proofErr w:type="spellStart"/>
      <w:r w:rsidRPr="00225D4D">
        <w:t>helseføretak</w:t>
      </w:r>
      <w:proofErr w:type="spellEnd"/>
      <w:r w:rsidRPr="00225D4D">
        <w:t xml:space="preserve"> viser at bruken av </w:t>
      </w:r>
      <w:proofErr w:type="spellStart"/>
      <w:r w:rsidRPr="00225D4D">
        <w:t>innleige</w:t>
      </w:r>
      <w:proofErr w:type="spellEnd"/>
      <w:r w:rsidRPr="00225D4D">
        <w:t xml:space="preserve"> </w:t>
      </w:r>
      <w:proofErr w:type="spellStart"/>
      <w:r w:rsidRPr="00225D4D">
        <w:t>frå</w:t>
      </w:r>
      <w:proofErr w:type="spellEnd"/>
      <w:r w:rsidRPr="00225D4D">
        <w:t xml:space="preserve"> </w:t>
      </w:r>
      <w:proofErr w:type="spellStart"/>
      <w:r w:rsidRPr="00225D4D">
        <w:t>bemanningsføretak</w:t>
      </w:r>
      <w:proofErr w:type="spellEnd"/>
      <w:r w:rsidRPr="00225D4D">
        <w:t xml:space="preserve"> går ned, </w:t>
      </w:r>
      <w:proofErr w:type="spellStart"/>
      <w:r w:rsidRPr="00225D4D">
        <w:t>noko</w:t>
      </w:r>
      <w:proofErr w:type="spellEnd"/>
      <w:r w:rsidRPr="00225D4D">
        <w:t xml:space="preserve"> som kan tyde på at tiltaka har hatt effekt.</w:t>
      </w:r>
    </w:p>
    <w:p w14:paraId="1EAC8D57" w14:textId="77777777" w:rsidR="00D60186" w:rsidRPr="00225D4D" w:rsidRDefault="00D60186" w:rsidP="00225D4D">
      <w:r w:rsidRPr="00225D4D">
        <w:t xml:space="preserve">I lys av </w:t>
      </w:r>
      <w:proofErr w:type="spellStart"/>
      <w:r w:rsidRPr="00225D4D">
        <w:t>dei</w:t>
      </w:r>
      <w:proofErr w:type="spellEnd"/>
      <w:r w:rsidRPr="00225D4D">
        <w:t xml:space="preserve"> tiltaka som er sett i gang, er det </w:t>
      </w:r>
      <w:proofErr w:type="spellStart"/>
      <w:r w:rsidRPr="00225D4D">
        <w:t>ikkje</w:t>
      </w:r>
      <w:proofErr w:type="spellEnd"/>
      <w:r w:rsidRPr="00225D4D">
        <w:t xml:space="preserve"> </w:t>
      </w:r>
      <w:proofErr w:type="spellStart"/>
      <w:r w:rsidRPr="00225D4D">
        <w:t>foremålstenleg</w:t>
      </w:r>
      <w:proofErr w:type="spellEnd"/>
      <w:r w:rsidRPr="00225D4D">
        <w:t xml:space="preserve"> å endre regelverket om </w:t>
      </w:r>
      <w:proofErr w:type="spellStart"/>
      <w:r w:rsidRPr="00225D4D">
        <w:t>innleige</w:t>
      </w:r>
      <w:proofErr w:type="spellEnd"/>
      <w:r w:rsidRPr="00225D4D">
        <w:t xml:space="preserve"> no. Regjeringa vil </w:t>
      </w:r>
      <w:proofErr w:type="spellStart"/>
      <w:r w:rsidRPr="00225D4D">
        <w:t>følgje</w:t>
      </w:r>
      <w:proofErr w:type="spellEnd"/>
      <w:r w:rsidRPr="00225D4D">
        <w:t xml:space="preserve"> nøye med på utviklinga i bruken av </w:t>
      </w:r>
      <w:proofErr w:type="spellStart"/>
      <w:r w:rsidRPr="00225D4D">
        <w:t>innleige</w:t>
      </w:r>
      <w:proofErr w:type="spellEnd"/>
      <w:r w:rsidRPr="00225D4D">
        <w:t xml:space="preserve"> i helse- og omsorgssektoren.</w:t>
      </w:r>
    </w:p>
    <w:p w14:paraId="5CB6F6D4" w14:textId="77777777" w:rsidR="00D60186" w:rsidRPr="00225D4D" w:rsidRDefault="00D60186" w:rsidP="00225D4D">
      <w:r w:rsidRPr="00225D4D">
        <w:t xml:space="preserve">Med det ser departementet oppmodingsvedtaket som </w:t>
      </w:r>
      <w:proofErr w:type="spellStart"/>
      <w:r w:rsidRPr="00225D4D">
        <w:t>følgt</w:t>
      </w:r>
      <w:proofErr w:type="spellEnd"/>
      <w:r w:rsidRPr="00225D4D">
        <w:t xml:space="preserve"> opp.</w:t>
      </w:r>
    </w:p>
    <w:p w14:paraId="72281401" w14:textId="77777777" w:rsidR="00D60186" w:rsidRPr="00225D4D" w:rsidRDefault="00D60186" w:rsidP="00225D4D">
      <w:pPr>
        <w:pStyle w:val="avsnitt-tittel"/>
      </w:pPr>
      <w:r w:rsidRPr="00225D4D">
        <w:t xml:space="preserve">Representantforslag om konkrete tiltak mot </w:t>
      </w:r>
      <w:proofErr w:type="spellStart"/>
      <w:r w:rsidRPr="00225D4D">
        <w:t>æreskriminalitet</w:t>
      </w:r>
      <w:proofErr w:type="spellEnd"/>
      <w:r w:rsidRPr="00225D4D">
        <w:t xml:space="preserve"> – </w:t>
      </w:r>
      <w:proofErr w:type="spellStart"/>
      <w:r w:rsidRPr="00225D4D">
        <w:t>auka</w:t>
      </w:r>
      <w:proofErr w:type="spellEnd"/>
      <w:r w:rsidRPr="00225D4D">
        <w:t xml:space="preserve"> kunnskap og kompetanse</w:t>
      </w:r>
    </w:p>
    <w:p w14:paraId="06946746" w14:textId="77777777" w:rsidR="00D60186" w:rsidRPr="00225D4D" w:rsidRDefault="00D60186" w:rsidP="00225D4D">
      <w:pPr>
        <w:pStyle w:val="avsnitt-undertittel"/>
      </w:pPr>
      <w:r w:rsidRPr="00225D4D">
        <w:t>Vedtak 660, 23. mai 2024</w:t>
      </w:r>
    </w:p>
    <w:p w14:paraId="064A941E" w14:textId="77777777" w:rsidR="00D60186" w:rsidRPr="00225D4D" w:rsidRDefault="00D60186" w:rsidP="00225D4D">
      <w:pPr>
        <w:pStyle w:val="blokksit"/>
        <w:rPr>
          <w:rStyle w:val="kursiv"/>
        </w:rPr>
      </w:pPr>
      <w:r w:rsidRPr="00225D4D">
        <w:rPr>
          <w:rStyle w:val="kursiv"/>
        </w:rPr>
        <w:t xml:space="preserve">«Stortinget ber regjeringen sette </w:t>
      </w:r>
      <w:proofErr w:type="gramStart"/>
      <w:r w:rsidRPr="00225D4D">
        <w:rPr>
          <w:rStyle w:val="kursiv"/>
        </w:rPr>
        <w:t>fokus</w:t>
      </w:r>
      <w:proofErr w:type="gramEnd"/>
      <w:r w:rsidRPr="00225D4D">
        <w:rPr>
          <w:rStyle w:val="kursiv"/>
        </w:rPr>
        <w:t xml:space="preserve"> på og sørge for at ansatte i skolene, barnehagene, barnevernstjenesten, helsetjenesten og politiet får økt kunnskap og kompetanse for tidlig å avdekke og følge opp der barn blir utsatt for negativ sosial kontroll og </w:t>
      </w:r>
      <w:proofErr w:type="spellStart"/>
      <w:r w:rsidRPr="00225D4D">
        <w:rPr>
          <w:rStyle w:val="kursiv"/>
        </w:rPr>
        <w:t>æresrelatert</w:t>
      </w:r>
      <w:proofErr w:type="spellEnd"/>
      <w:r w:rsidRPr="00225D4D">
        <w:rPr>
          <w:rStyle w:val="kursiv"/>
        </w:rPr>
        <w:t xml:space="preserve"> vold.»</w:t>
      </w:r>
    </w:p>
    <w:p w14:paraId="7620F266" w14:textId="77777777" w:rsidR="00D60186" w:rsidRPr="00225D4D" w:rsidRDefault="00D60186" w:rsidP="00225D4D">
      <w:r w:rsidRPr="00225D4D">
        <w:t xml:space="preserve">Vedtaket blei gjort ved behandling av Dokument 8:96 S (2023–2024), </w:t>
      </w:r>
      <w:proofErr w:type="spellStart"/>
      <w:r w:rsidRPr="00225D4D">
        <w:t>Innst</w:t>
      </w:r>
      <w:proofErr w:type="spellEnd"/>
      <w:r w:rsidRPr="00225D4D">
        <w:t>. 320 S (2023–2024).</w:t>
      </w:r>
    </w:p>
    <w:p w14:paraId="69003966" w14:textId="77777777" w:rsidR="00D60186" w:rsidRPr="00225D4D" w:rsidRDefault="00D60186" w:rsidP="00225D4D">
      <w:r w:rsidRPr="00225D4D">
        <w:t xml:space="preserve">Vedtaket er </w:t>
      </w:r>
      <w:proofErr w:type="spellStart"/>
      <w:r w:rsidRPr="00225D4D">
        <w:t>følgt</w:t>
      </w:r>
      <w:proofErr w:type="spellEnd"/>
      <w:r w:rsidRPr="00225D4D">
        <w:t xml:space="preserve"> opp gjennom tiltak </w:t>
      </w:r>
      <w:proofErr w:type="spellStart"/>
      <w:r w:rsidRPr="00225D4D">
        <w:t>frå</w:t>
      </w:r>
      <w:proofErr w:type="spellEnd"/>
      <w:r w:rsidRPr="00225D4D">
        <w:t xml:space="preserve"> handlingsplanen til regjeringa,</w:t>
      </w:r>
      <w:r w:rsidRPr="00225D4D">
        <w:rPr>
          <w:rStyle w:val="kursiv"/>
        </w:rPr>
        <w:t xml:space="preserve"> Sjef i eget liv – styrket innsats mot negativ sosial kontroll og </w:t>
      </w:r>
      <w:proofErr w:type="spellStart"/>
      <w:r w:rsidRPr="00225D4D">
        <w:rPr>
          <w:rStyle w:val="kursiv"/>
        </w:rPr>
        <w:t>æresmotivert</w:t>
      </w:r>
      <w:proofErr w:type="spellEnd"/>
      <w:r w:rsidRPr="00225D4D">
        <w:rPr>
          <w:rStyle w:val="kursiv"/>
        </w:rPr>
        <w:t xml:space="preserve"> vold 2025–2028</w:t>
      </w:r>
      <w:r w:rsidRPr="00225D4D">
        <w:t xml:space="preserve">. Å styrke kompetansen om tematikken blant tilsette i </w:t>
      </w:r>
      <w:proofErr w:type="spellStart"/>
      <w:r w:rsidRPr="00225D4D">
        <w:t>tenesteapparatet</w:t>
      </w:r>
      <w:proofErr w:type="spellEnd"/>
      <w:r w:rsidRPr="00225D4D">
        <w:t xml:space="preserve"> er </w:t>
      </w:r>
      <w:proofErr w:type="spellStart"/>
      <w:r w:rsidRPr="00225D4D">
        <w:t>eit</w:t>
      </w:r>
      <w:proofErr w:type="spellEnd"/>
      <w:r w:rsidRPr="00225D4D">
        <w:t xml:space="preserve"> av </w:t>
      </w:r>
      <w:proofErr w:type="gramStart"/>
      <w:r w:rsidRPr="00225D4D">
        <w:t>fire innsatsområde</w:t>
      </w:r>
      <w:proofErr w:type="gramEnd"/>
      <w:r w:rsidRPr="00225D4D">
        <w:t xml:space="preserve"> i handlingsplanen. I planen er det </w:t>
      </w:r>
      <w:proofErr w:type="spellStart"/>
      <w:r w:rsidRPr="00225D4D">
        <w:t>særskilde</w:t>
      </w:r>
      <w:proofErr w:type="spellEnd"/>
      <w:r w:rsidRPr="00225D4D">
        <w:t xml:space="preserve"> tiltak retta mot </w:t>
      </w:r>
      <w:proofErr w:type="gramStart"/>
      <w:r w:rsidRPr="00225D4D">
        <w:t>tilsette</w:t>
      </w:r>
      <w:proofErr w:type="gramEnd"/>
      <w:r w:rsidRPr="00225D4D">
        <w:t xml:space="preserve"> i barnevernstenesta, politi og </w:t>
      </w:r>
      <w:proofErr w:type="spellStart"/>
      <w:r w:rsidRPr="00225D4D">
        <w:t>påtalemyndigheit</w:t>
      </w:r>
      <w:proofErr w:type="spellEnd"/>
      <w:r w:rsidRPr="00225D4D">
        <w:t xml:space="preserve">, skole, barnehage, SFO, </w:t>
      </w:r>
      <w:proofErr w:type="spellStart"/>
      <w:r w:rsidRPr="00225D4D">
        <w:t>vaksenopplæringa</w:t>
      </w:r>
      <w:proofErr w:type="spellEnd"/>
      <w:r w:rsidRPr="00225D4D">
        <w:t xml:space="preserve"> og helse- og </w:t>
      </w:r>
      <w:proofErr w:type="spellStart"/>
      <w:r w:rsidRPr="00225D4D">
        <w:t>omsorgstenestene</w:t>
      </w:r>
      <w:proofErr w:type="spellEnd"/>
      <w:r w:rsidRPr="00225D4D">
        <w:t>.</w:t>
      </w:r>
    </w:p>
    <w:p w14:paraId="48A6F21E" w14:textId="77777777" w:rsidR="00D60186" w:rsidRPr="00225D4D" w:rsidRDefault="00D60186" w:rsidP="00225D4D">
      <w:r w:rsidRPr="00225D4D">
        <w:t xml:space="preserve">Regjeringa har også styrka det nasjonale, </w:t>
      </w:r>
      <w:proofErr w:type="spellStart"/>
      <w:r w:rsidRPr="00225D4D">
        <w:t>tverretatlege</w:t>
      </w:r>
      <w:proofErr w:type="spellEnd"/>
      <w:r w:rsidRPr="00225D4D">
        <w:t xml:space="preserve"> kompetanseteamet mot negativ sosial kontroll og </w:t>
      </w:r>
      <w:proofErr w:type="spellStart"/>
      <w:r w:rsidRPr="00225D4D">
        <w:t>æresrelatert</w:t>
      </w:r>
      <w:proofErr w:type="spellEnd"/>
      <w:r w:rsidRPr="00225D4D">
        <w:t xml:space="preserve"> vald med </w:t>
      </w:r>
      <w:proofErr w:type="spellStart"/>
      <w:r w:rsidRPr="00225D4D">
        <w:t>fleire</w:t>
      </w:r>
      <w:proofErr w:type="spellEnd"/>
      <w:r w:rsidRPr="00225D4D">
        <w:t xml:space="preserve"> stillinger. Kompetanseteamet </w:t>
      </w:r>
      <w:proofErr w:type="spellStart"/>
      <w:r w:rsidRPr="00225D4D">
        <w:t>rettleiar</w:t>
      </w:r>
      <w:proofErr w:type="spellEnd"/>
      <w:r w:rsidRPr="00225D4D">
        <w:t xml:space="preserve"> tilsette i det ordinære </w:t>
      </w:r>
      <w:proofErr w:type="spellStart"/>
      <w:r w:rsidRPr="00225D4D">
        <w:t>tenesteapparatet</w:t>
      </w:r>
      <w:proofErr w:type="spellEnd"/>
      <w:r w:rsidRPr="00225D4D">
        <w:t xml:space="preserve"> i enkeltsaker, og bidrar med kompetanseheving for </w:t>
      </w:r>
      <w:proofErr w:type="spellStart"/>
      <w:r w:rsidRPr="00225D4D">
        <w:t>dei</w:t>
      </w:r>
      <w:proofErr w:type="spellEnd"/>
      <w:r w:rsidRPr="00225D4D">
        <w:t xml:space="preserve"> tilsette i </w:t>
      </w:r>
      <w:proofErr w:type="spellStart"/>
      <w:r w:rsidRPr="00225D4D">
        <w:t>tenestene</w:t>
      </w:r>
      <w:proofErr w:type="spellEnd"/>
      <w:r w:rsidRPr="00225D4D">
        <w:t xml:space="preserve"> gjennom å </w:t>
      </w:r>
      <w:proofErr w:type="spellStart"/>
      <w:r w:rsidRPr="00225D4D">
        <w:t>halde</w:t>
      </w:r>
      <w:proofErr w:type="spellEnd"/>
      <w:r w:rsidRPr="00225D4D">
        <w:t xml:space="preserve"> foredrag og seminar om tematikken.</w:t>
      </w:r>
    </w:p>
    <w:p w14:paraId="47A35099" w14:textId="77777777" w:rsidR="00D60186" w:rsidRPr="00225D4D" w:rsidRDefault="00D60186" w:rsidP="00225D4D">
      <w:r w:rsidRPr="00225D4D">
        <w:t xml:space="preserve">Med det ser departementet oppmodingsvedtaket som </w:t>
      </w:r>
      <w:proofErr w:type="spellStart"/>
      <w:r w:rsidRPr="00225D4D">
        <w:t>følgt</w:t>
      </w:r>
      <w:proofErr w:type="spellEnd"/>
      <w:r w:rsidRPr="00225D4D">
        <w:t xml:space="preserve"> opp.</w:t>
      </w:r>
    </w:p>
    <w:p w14:paraId="5F57E668" w14:textId="77777777" w:rsidR="00D60186" w:rsidRPr="00225D4D" w:rsidRDefault="00D60186" w:rsidP="00225D4D">
      <w:pPr>
        <w:pStyle w:val="avsnitt-tittel"/>
      </w:pPr>
      <w:r w:rsidRPr="00225D4D">
        <w:t xml:space="preserve">Representantforslag om konkrete tiltak mot </w:t>
      </w:r>
      <w:proofErr w:type="spellStart"/>
      <w:r w:rsidRPr="00225D4D">
        <w:t>æreskriminalitet</w:t>
      </w:r>
      <w:proofErr w:type="spellEnd"/>
      <w:r w:rsidRPr="00225D4D">
        <w:t xml:space="preserve"> – barn og unge som er i utlandet mot </w:t>
      </w:r>
      <w:proofErr w:type="gramStart"/>
      <w:r w:rsidRPr="00225D4D">
        <w:t>si eiga vilje</w:t>
      </w:r>
      <w:proofErr w:type="gramEnd"/>
    </w:p>
    <w:p w14:paraId="4A2F020A" w14:textId="77777777" w:rsidR="00D60186" w:rsidRPr="00225D4D" w:rsidRDefault="00D60186" w:rsidP="00225D4D">
      <w:pPr>
        <w:pStyle w:val="avsnitt-undertittel"/>
      </w:pPr>
      <w:r w:rsidRPr="00225D4D">
        <w:t>Vedtak 661, 23. mai 2024</w:t>
      </w:r>
    </w:p>
    <w:p w14:paraId="086E26CF" w14:textId="77777777" w:rsidR="00D60186" w:rsidRPr="00225D4D" w:rsidRDefault="00D60186" w:rsidP="00225D4D">
      <w:pPr>
        <w:pStyle w:val="blokksit"/>
        <w:rPr>
          <w:rStyle w:val="kursiv"/>
        </w:rPr>
      </w:pPr>
      <w:r w:rsidRPr="00225D4D">
        <w:rPr>
          <w:rStyle w:val="kursiv"/>
        </w:rPr>
        <w:t>«Stortinget ber regjeringen utarbeide, oppdatere og styrke informasjon og veiledere om hvordan barn og unge som befinner seg i utlandet mot sin vilje, skal følges opp og gis hjelp dersom de oppnår kontakt med ambassader, barnevernet eller andre offentlige instanser, for å sikre at barna det gjelder, opplever å bli tatt på alvor.»</w:t>
      </w:r>
    </w:p>
    <w:p w14:paraId="04D37944" w14:textId="77777777" w:rsidR="00D60186" w:rsidRPr="00225D4D" w:rsidRDefault="00D60186" w:rsidP="00225D4D">
      <w:r w:rsidRPr="00225D4D">
        <w:t xml:space="preserve">Vedtaket blei gjort ved behandling av Dokument 8:96 S (2023–2024), </w:t>
      </w:r>
      <w:proofErr w:type="spellStart"/>
      <w:r w:rsidRPr="00225D4D">
        <w:t>Innst</w:t>
      </w:r>
      <w:proofErr w:type="spellEnd"/>
      <w:r w:rsidRPr="00225D4D">
        <w:t>. 320 S (2023–2024).</w:t>
      </w:r>
    </w:p>
    <w:p w14:paraId="3FDFE3AB" w14:textId="77777777" w:rsidR="00D60186" w:rsidRPr="00225D4D" w:rsidRDefault="00D60186" w:rsidP="00225D4D">
      <w:r w:rsidRPr="00225D4D">
        <w:t xml:space="preserve">Vedtaket er </w:t>
      </w:r>
      <w:proofErr w:type="spellStart"/>
      <w:r w:rsidRPr="00225D4D">
        <w:t>følgt</w:t>
      </w:r>
      <w:proofErr w:type="spellEnd"/>
      <w:r w:rsidRPr="00225D4D">
        <w:t xml:space="preserve"> opp gjennom tiltak </w:t>
      </w:r>
      <w:proofErr w:type="spellStart"/>
      <w:r w:rsidRPr="00225D4D">
        <w:t>frå</w:t>
      </w:r>
      <w:proofErr w:type="spellEnd"/>
      <w:r w:rsidRPr="00225D4D">
        <w:t xml:space="preserve"> handlingsplanen til regjeringa, </w:t>
      </w:r>
      <w:r w:rsidRPr="00225D4D">
        <w:rPr>
          <w:rStyle w:val="kursiv"/>
        </w:rPr>
        <w:t xml:space="preserve">Sjef i eget liv – styrket innsats mot negativ sosial kontroll og </w:t>
      </w:r>
      <w:proofErr w:type="spellStart"/>
      <w:r w:rsidRPr="00225D4D">
        <w:rPr>
          <w:rStyle w:val="kursiv"/>
        </w:rPr>
        <w:t>æresmotivert</w:t>
      </w:r>
      <w:proofErr w:type="spellEnd"/>
      <w:r w:rsidRPr="00225D4D">
        <w:rPr>
          <w:rStyle w:val="kursiv"/>
        </w:rPr>
        <w:t xml:space="preserve"> vold 2025–2028</w:t>
      </w:r>
      <w:r w:rsidRPr="00225D4D">
        <w:t xml:space="preserve">. Å </w:t>
      </w:r>
      <w:proofErr w:type="spellStart"/>
      <w:r w:rsidRPr="00225D4D">
        <w:t>førebygge</w:t>
      </w:r>
      <w:proofErr w:type="spellEnd"/>
      <w:r w:rsidRPr="00225D4D">
        <w:t xml:space="preserve"> ufrivillige </w:t>
      </w:r>
      <w:proofErr w:type="spellStart"/>
      <w:r w:rsidRPr="00225D4D">
        <w:t>utanlandsopphald</w:t>
      </w:r>
      <w:proofErr w:type="spellEnd"/>
      <w:r w:rsidRPr="00225D4D">
        <w:t xml:space="preserve"> er </w:t>
      </w:r>
      <w:proofErr w:type="spellStart"/>
      <w:r w:rsidRPr="00225D4D">
        <w:t>eit</w:t>
      </w:r>
      <w:proofErr w:type="spellEnd"/>
      <w:r w:rsidRPr="00225D4D">
        <w:t xml:space="preserve"> av </w:t>
      </w:r>
      <w:proofErr w:type="gramStart"/>
      <w:r w:rsidRPr="00225D4D">
        <w:t>fire innsatsområde</w:t>
      </w:r>
      <w:proofErr w:type="gramEnd"/>
      <w:r w:rsidRPr="00225D4D">
        <w:t xml:space="preserve"> i handlingsplanen. Planen </w:t>
      </w:r>
      <w:proofErr w:type="spellStart"/>
      <w:r w:rsidRPr="00225D4D">
        <w:t>inneheld</w:t>
      </w:r>
      <w:proofErr w:type="spellEnd"/>
      <w:r w:rsidRPr="00225D4D">
        <w:t xml:space="preserve"> bl.a. tiltak for å samordne </w:t>
      </w:r>
      <w:proofErr w:type="spellStart"/>
      <w:r w:rsidRPr="00225D4D">
        <w:t>ressursar</w:t>
      </w:r>
      <w:proofErr w:type="spellEnd"/>
      <w:r w:rsidRPr="00225D4D">
        <w:t xml:space="preserve"> om tematikken og </w:t>
      </w:r>
      <w:proofErr w:type="spellStart"/>
      <w:r w:rsidRPr="00225D4D">
        <w:t>gjere</w:t>
      </w:r>
      <w:proofErr w:type="spellEnd"/>
      <w:r w:rsidRPr="00225D4D">
        <w:t xml:space="preserve"> </w:t>
      </w:r>
      <w:proofErr w:type="spellStart"/>
      <w:r w:rsidRPr="00225D4D">
        <w:t>desse</w:t>
      </w:r>
      <w:proofErr w:type="spellEnd"/>
      <w:r w:rsidRPr="00225D4D">
        <w:t xml:space="preserve"> </w:t>
      </w:r>
      <w:proofErr w:type="spellStart"/>
      <w:r w:rsidRPr="00225D4D">
        <w:t>meir</w:t>
      </w:r>
      <w:proofErr w:type="spellEnd"/>
      <w:r w:rsidRPr="00225D4D">
        <w:t xml:space="preserve"> </w:t>
      </w:r>
      <w:proofErr w:type="spellStart"/>
      <w:r w:rsidRPr="00225D4D">
        <w:t>kjende</w:t>
      </w:r>
      <w:proofErr w:type="spellEnd"/>
      <w:r w:rsidRPr="00225D4D">
        <w:t xml:space="preserve">, og å styrke samarbeidet mellom kompetanseteamet mot negativ sosial kontroll og </w:t>
      </w:r>
      <w:proofErr w:type="spellStart"/>
      <w:r w:rsidRPr="00225D4D">
        <w:t>æresrelatert</w:t>
      </w:r>
      <w:proofErr w:type="spellEnd"/>
      <w:r w:rsidRPr="00225D4D">
        <w:t xml:space="preserve"> vald, norske </w:t>
      </w:r>
      <w:proofErr w:type="spellStart"/>
      <w:r w:rsidRPr="00225D4D">
        <w:t>utanriksstasjonar</w:t>
      </w:r>
      <w:proofErr w:type="spellEnd"/>
      <w:r w:rsidRPr="00225D4D">
        <w:t xml:space="preserve"> og andre relevante </w:t>
      </w:r>
      <w:proofErr w:type="spellStart"/>
      <w:r w:rsidRPr="00225D4D">
        <w:t>offentlege</w:t>
      </w:r>
      <w:proofErr w:type="spellEnd"/>
      <w:r w:rsidRPr="00225D4D">
        <w:t xml:space="preserve"> </w:t>
      </w:r>
      <w:proofErr w:type="spellStart"/>
      <w:r w:rsidRPr="00225D4D">
        <w:t>tenester</w:t>
      </w:r>
      <w:proofErr w:type="spellEnd"/>
      <w:r w:rsidRPr="00225D4D">
        <w:t xml:space="preserve"> i oppfølginga av </w:t>
      </w:r>
      <w:proofErr w:type="spellStart"/>
      <w:r w:rsidRPr="00225D4D">
        <w:t>personar</w:t>
      </w:r>
      <w:proofErr w:type="spellEnd"/>
      <w:r w:rsidRPr="00225D4D">
        <w:t xml:space="preserve"> som er utsette for ufrivillige </w:t>
      </w:r>
      <w:proofErr w:type="spellStart"/>
      <w:r w:rsidRPr="00225D4D">
        <w:t>utanlandsopphald</w:t>
      </w:r>
      <w:proofErr w:type="spellEnd"/>
      <w:r w:rsidRPr="00225D4D">
        <w:t>.</w:t>
      </w:r>
    </w:p>
    <w:p w14:paraId="0B2DF948" w14:textId="77777777" w:rsidR="00D60186" w:rsidRPr="00225D4D" w:rsidRDefault="00D60186" w:rsidP="00225D4D">
      <w:r w:rsidRPr="00225D4D">
        <w:t xml:space="preserve">Juni 2025 la regjeringa fram </w:t>
      </w:r>
      <w:proofErr w:type="spellStart"/>
      <w:r w:rsidRPr="00225D4D">
        <w:t>ein</w:t>
      </w:r>
      <w:proofErr w:type="spellEnd"/>
      <w:r w:rsidRPr="00225D4D">
        <w:t xml:space="preserve"> proposisjon med forslag om </w:t>
      </w:r>
      <w:proofErr w:type="spellStart"/>
      <w:r w:rsidRPr="00225D4D">
        <w:t>utreiseforbod</w:t>
      </w:r>
      <w:proofErr w:type="spellEnd"/>
      <w:r w:rsidRPr="00225D4D">
        <w:t xml:space="preserve"> for barn som står i fare for å bli utsett for </w:t>
      </w:r>
      <w:proofErr w:type="spellStart"/>
      <w:r w:rsidRPr="00225D4D">
        <w:t>skadeleg</w:t>
      </w:r>
      <w:proofErr w:type="spellEnd"/>
      <w:r w:rsidRPr="00225D4D">
        <w:t xml:space="preserve"> </w:t>
      </w:r>
      <w:proofErr w:type="spellStart"/>
      <w:r w:rsidRPr="00225D4D">
        <w:t>opphald</w:t>
      </w:r>
      <w:proofErr w:type="spellEnd"/>
      <w:r w:rsidRPr="00225D4D">
        <w:t xml:space="preserve"> i utlandet. Regjeringa foreslår </w:t>
      </w:r>
      <w:proofErr w:type="spellStart"/>
      <w:r w:rsidRPr="00225D4D">
        <w:t>ein</w:t>
      </w:r>
      <w:proofErr w:type="spellEnd"/>
      <w:r w:rsidRPr="00225D4D">
        <w:t xml:space="preserve"> ny lovregel i barnevernslova om vedtak om </w:t>
      </w:r>
      <w:proofErr w:type="spellStart"/>
      <w:r w:rsidRPr="00225D4D">
        <w:t>utreiseforbod</w:t>
      </w:r>
      <w:proofErr w:type="spellEnd"/>
      <w:r w:rsidRPr="00225D4D">
        <w:t xml:space="preserve"> for barn som risikerer å bli utsett for </w:t>
      </w:r>
      <w:proofErr w:type="spellStart"/>
      <w:r w:rsidRPr="00225D4D">
        <w:t>skadeleg</w:t>
      </w:r>
      <w:proofErr w:type="spellEnd"/>
      <w:r w:rsidRPr="00225D4D">
        <w:t xml:space="preserve"> </w:t>
      </w:r>
      <w:proofErr w:type="spellStart"/>
      <w:r w:rsidRPr="00225D4D">
        <w:t>opphald</w:t>
      </w:r>
      <w:proofErr w:type="spellEnd"/>
      <w:r w:rsidRPr="00225D4D">
        <w:t xml:space="preserve"> i utlandet, ei </w:t>
      </w:r>
      <w:proofErr w:type="spellStart"/>
      <w:r w:rsidRPr="00225D4D">
        <w:t>særleg</w:t>
      </w:r>
      <w:proofErr w:type="spellEnd"/>
      <w:r w:rsidRPr="00225D4D">
        <w:t xml:space="preserve"> plikt for barnevernstenesta til å varsle politiet og </w:t>
      </w:r>
      <w:proofErr w:type="spellStart"/>
      <w:r w:rsidRPr="00225D4D">
        <w:t>utlendingsmyndigheitene</w:t>
      </w:r>
      <w:proofErr w:type="spellEnd"/>
      <w:r w:rsidRPr="00225D4D">
        <w:t xml:space="preserve">, at </w:t>
      </w:r>
      <w:proofErr w:type="spellStart"/>
      <w:r w:rsidRPr="00225D4D">
        <w:t>brot</w:t>
      </w:r>
      <w:proofErr w:type="spellEnd"/>
      <w:r w:rsidRPr="00225D4D">
        <w:t xml:space="preserve"> på </w:t>
      </w:r>
      <w:proofErr w:type="spellStart"/>
      <w:r w:rsidRPr="00225D4D">
        <w:t>utreiseforbodet</w:t>
      </w:r>
      <w:proofErr w:type="spellEnd"/>
      <w:r w:rsidRPr="00225D4D">
        <w:t xml:space="preserve"> skal </w:t>
      </w:r>
      <w:proofErr w:type="spellStart"/>
      <w:r w:rsidRPr="00225D4D">
        <w:t>vere</w:t>
      </w:r>
      <w:proofErr w:type="spellEnd"/>
      <w:r w:rsidRPr="00225D4D">
        <w:t xml:space="preserve"> straffbart, og at </w:t>
      </w:r>
      <w:proofErr w:type="spellStart"/>
      <w:r w:rsidRPr="00225D4D">
        <w:t>ein</w:t>
      </w:r>
      <w:proofErr w:type="spellEnd"/>
      <w:r w:rsidRPr="00225D4D">
        <w:t xml:space="preserve"> </w:t>
      </w:r>
      <w:proofErr w:type="spellStart"/>
      <w:r w:rsidRPr="00225D4D">
        <w:t>ikkje</w:t>
      </w:r>
      <w:proofErr w:type="spellEnd"/>
      <w:r w:rsidRPr="00225D4D">
        <w:t xml:space="preserve"> skal utstede pass eller ID-kort med reiserett til barn som har </w:t>
      </w:r>
      <w:proofErr w:type="spellStart"/>
      <w:r w:rsidRPr="00225D4D">
        <w:t>eit</w:t>
      </w:r>
      <w:proofErr w:type="spellEnd"/>
      <w:r w:rsidRPr="00225D4D">
        <w:t xml:space="preserve"> </w:t>
      </w:r>
      <w:proofErr w:type="spellStart"/>
      <w:r w:rsidRPr="00225D4D">
        <w:t>utreiseforbod</w:t>
      </w:r>
      <w:proofErr w:type="spellEnd"/>
      <w:r w:rsidRPr="00225D4D">
        <w:t xml:space="preserve">. Forslaga skal bidra til å </w:t>
      </w:r>
      <w:proofErr w:type="spellStart"/>
      <w:r w:rsidRPr="00225D4D">
        <w:t>førebygge</w:t>
      </w:r>
      <w:proofErr w:type="spellEnd"/>
      <w:r w:rsidRPr="00225D4D">
        <w:t xml:space="preserve"> negativ sosial kontroll og </w:t>
      </w:r>
      <w:proofErr w:type="spellStart"/>
      <w:r w:rsidRPr="00225D4D">
        <w:t>æresmotivert</w:t>
      </w:r>
      <w:proofErr w:type="spellEnd"/>
      <w:r w:rsidRPr="00225D4D">
        <w:t xml:space="preserve"> vald, og proposisjonen følger opp forslag </w:t>
      </w:r>
      <w:proofErr w:type="spellStart"/>
      <w:r w:rsidRPr="00225D4D">
        <w:t>frå</w:t>
      </w:r>
      <w:proofErr w:type="spellEnd"/>
      <w:r w:rsidRPr="00225D4D">
        <w:t xml:space="preserve"> NOU 2024: 13 </w:t>
      </w:r>
      <w:r w:rsidRPr="00225D4D">
        <w:rPr>
          <w:rStyle w:val="kursiv"/>
        </w:rPr>
        <w:t>Lov og frihet.</w:t>
      </w:r>
    </w:p>
    <w:p w14:paraId="7DC0F0AE" w14:textId="77777777" w:rsidR="00D60186" w:rsidRPr="00225D4D" w:rsidRDefault="00D60186" w:rsidP="00225D4D">
      <w:r w:rsidRPr="00225D4D">
        <w:t xml:space="preserve">Med det ser departementet oppmodingsvedtaket som </w:t>
      </w:r>
      <w:proofErr w:type="spellStart"/>
      <w:r w:rsidRPr="00225D4D">
        <w:t>følgt</w:t>
      </w:r>
      <w:proofErr w:type="spellEnd"/>
      <w:r w:rsidRPr="00225D4D">
        <w:t xml:space="preserve"> opp.</w:t>
      </w:r>
    </w:p>
    <w:p w14:paraId="6DDE45E2" w14:textId="77777777" w:rsidR="00D60186" w:rsidRPr="00225D4D" w:rsidRDefault="00D60186" w:rsidP="00225D4D">
      <w:pPr>
        <w:pStyle w:val="avsnitt-tittel"/>
      </w:pPr>
      <w:r w:rsidRPr="00225D4D">
        <w:t xml:space="preserve">Representantforslag om å greie ut korleis staten kan overta inndrivinga ved </w:t>
      </w:r>
      <w:proofErr w:type="spellStart"/>
      <w:r w:rsidRPr="00225D4D">
        <w:t>dei</w:t>
      </w:r>
      <w:proofErr w:type="spellEnd"/>
      <w:r w:rsidRPr="00225D4D">
        <w:t xml:space="preserve"> </w:t>
      </w:r>
      <w:proofErr w:type="spellStart"/>
      <w:r w:rsidRPr="00225D4D">
        <w:t>meir</w:t>
      </w:r>
      <w:proofErr w:type="spellEnd"/>
      <w:r w:rsidRPr="00225D4D">
        <w:t xml:space="preserve"> </w:t>
      </w:r>
      <w:proofErr w:type="spellStart"/>
      <w:r w:rsidRPr="00225D4D">
        <w:t>openberre</w:t>
      </w:r>
      <w:proofErr w:type="spellEnd"/>
      <w:r w:rsidRPr="00225D4D">
        <w:t xml:space="preserve"> tilfella av lønnstjuveri</w:t>
      </w:r>
    </w:p>
    <w:p w14:paraId="032BE6EA" w14:textId="77777777" w:rsidR="00D60186" w:rsidRPr="00225D4D" w:rsidRDefault="00D60186" w:rsidP="00225D4D">
      <w:pPr>
        <w:pStyle w:val="avsnitt-undertittel"/>
      </w:pPr>
      <w:r w:rsidRPr="00225D4D">
        <w:t>Vedtak 728, 7. juni 2024</w:t>
      </w:r>
    </w:p>
    <w:p w14:paraId="46466391" w14:textId="77777777" w:rsidR="00D60186" w:rsidRPr="00225D4D" w:rsidRDefault="00D60186" w:rsidP="00225D4D">
      <w:pPr>
        <w:pStyle w:val="blokksit"/>
        <w:rPr>
          <w:rStyle w:val="kursiv"/>
        </w:rPr>
      </w:pPr>
      <w:r w:rsidRPr="00225D4D">
        <w:rPr>
          <w:rStyle w:val="kursiv"/>
        </w:rPr>
        <w:t>«Stortinget ber regjeringen utrede hvordan staten kan overta inndrivingen ved de mer åpenbare tilfellene av lønnstyveri, og komme tilbake til Stortinget på egnet måte – med sikte på innføring i 2025.»</w:t>
      </w:r>
    </w:p>
    <w:p w14:paraId="1566933D" w14:textId="77777777" w:rsidR="00D60186" w:rsidRPr="00225D4D" w:rsidRDefault="00D60186" w:rsidP="00225D4D">
      <w:r w:rsidRPr="00225D4D">
        <w:t xml:space="preserve">Vedtaket blei gjort ved behandling av Dokument 8:142 S (2023–2024), </w:t>
      </w:r>
      <w:proofErr w:type="spellStart"/>
      <w:r w:rsidRPr="00225D4D">
        <w:t>Innst</w:t>
      </w:r>
      <w:proofErr w:type="spellEnd"/>
      <w:r w:rsidRPr="00225D4D">
        <w:t>. 376 S (2023–2024).</w:t>
      </w:r>
    </w:p>
    <w:p w14:paraId="1B2B424F" w14:textId="77777777" w:rsidR="00D60186" w:rsidRPr="00225D4D" w:rsidRDefault="00D60186" w:rsidP="00225D4D">
      <w:r w:rsidRPr="00225D4D">
        <w:t xml:space="preserve">Som ledd i oppfølginga av vedtaket har regjeringa møtt </w:t>
      </w:r>
      <w:proofErr w:type="spellStart"/>
      <w:r w:rsidRPr="00225D4D">
        <w:t>hovudorganisasjonane</w:t>
      </w:r>
      <w:proofErr w:type="spellEnd"/>
      <w:r w:rsidRPr="00225D4D">
        <w:t xml:space="preserve"> på </w:t>
      </w:r>
      <w:proofErr w:type="spellStart"/>
      <w:r w:rsidRPr="00225D4D">
        <w:t>arbeidstakar</w:t>
      </w:r>
      <w:proofErr w:type="spellEnd"/>
      <w:r w:rsidRPr="00225D4D">
        <w:t xml:space="preserve">- og </w:t>
      </w:r>
      <w:proofErr w:type="spellStart"/>
      <w:r w:rsidRPr="00225D4D">
        <w:t>arbeidsgivarsida</w:t>
      </w:r>
      <w:proofErr w:type="spellEnd"/>
      <w:r w:rsidRPr="00225D4D">
        <w:t xml:space="preserve"> for å diskutere korleis innsatsen mot lønnstjuveri kan </w:t>
      </w:r>
      <w:proofErr w:type="spellStart"/>
      <w:r w:rsidRPr="00225D4D">
        <w:t>rettast</w:t>
      </w:r>
      <w:proofErr w:type="spellEnd"/>
      <w:r w:rsidRPr="00225D4D">
        <w:t xml:space="preserve"> inn mest </w:t>
      </w:r>
      <w:proofErr w:type="spellStart"/>
      <w:r w:rsidRPr="00225D4D">
        <w:t>mogleg</w:t>
      </w:r>
      <w:proofErr w:type="spellEnd"/>
      <w:r w:rsidRPr="00225D4D">
        <w:t xml:space="preserve"> effektivt framover. Tilbakemeldinga </w:t>
      </w:r>
      <w:proofErr w:type="spellStart"/>
      <w:r w:rsidRPr="00225D4D">
        <w:t>frå</w:t>
      </w:r>
      <w:proofErr w:type="spellEnd"/>
      <w:r w:rsidRPr="00225D4D">
        <w:t xml:space="preserve"> </w:t>
      </w:r>
      <w:proofErr w:type="spellStart"/>
      <w:r w:rsidRPr="00225D4D">
        <w:t>partane</w:t>
      </w:r>
      <w:proofErr w:type="spellEnd"/>
      <w:r w:rsidRPr="00225D4D">
        <w:t xml:space="preserve"> var at det er viktig at det </w:t>
      </w:r>
      <w:proofErr w:type="spellStart"/>
      <w:r w:rsidRPr="00225D4D">
        <w:t>ikkje</w:t>
      </w:r>
      <w:proofErr w:type="spellEnd"/>
      <w:r w:rsidRPr="00225D4D">
        <w:t xml:space="preserve"> blir etablert </w:t>
      </w:r>
      <w:proofErr w:type="spellStart"/>
      <w:r w:rsidRPr="00225D4D">
        <w:t>ordningar</w:t>
      </w:r>
      <w:proofErr w:type="spellEnd"/>
      <w:r w:rsidRPr="00225D4D">
        <w:t xml:space="preserve"> som kan </w:t>
      </w:r>
      <w:proofErr w:type="spellStart"/>
      <w:r w:rsidRPr="00225D4D">
        <w:t>vere</w:t>
      </w:r>
      <w:proofErr w:type="spellEnd"/>
      <w:r w:rsidRPr="00225D4D">
        <w:t xml:space="preserve"> med på å bygge opp under kriminell </w:t>
      </w:r>
      <w:proofErr w:type="spellStart"/>
      <w:r w:rsidRPr="00225D4D">
        <w:t>verksemd</w:t>
      </w:r>
      <w:proofErr w:type="spellEnd"/>
      <w:r w:rsidRPr="00225D4D">
        <w:t xml:space="preserve"> på statens kostnad, og at det </w:t>
      </w:r>
      <w:proofErr w:type="spellStart"/>
      <w:r w:rsidRPr="00225D4D">
        <w:t>finst</w:t>
      </w:r>
      <w:proofErr w:type="spellEnd"/>
      <w:r w:rsidRPr="00225D4D">
        <w:t xml:space="preserve"> andre tiltak enn å etablere ei ordning der staten tar over lønnsansvaret til </w:t>
      </w:r>
      <w:proofErr w:type="spellStart"/>
      <w:r w:rsidRPr="00225D4D">
        <w:t>arbeidsgivaren</w:t>
      </w:r>
      <w:proofErr w:type="spellEnd"/>
      <w:r w:rsidRPr="00225D4D">
        <w:t xml:space="preserve">, som kan </w:t>
      </w:r>
      <w:proofErr w:type="spellStart"/>
      <w:r w:rsidRPr="00225D4D">
        <w:t>vere</w:t>
      </w:r>
      <w:proofErr w:type="spellEnd"/>
      <w:r w:rsidRPr="00225D4D">
        <w:t xml:space="preserve"> </w:t>
      </w:r>
      <w:proofErr w:type="spellStart"/>
      <w:r w:rsidRPr="00225D4D">
        <w:t>meir</w:t>
      </w:r>
      <w:proofErr w:type="spellEnd"/>
      <w:r w:rsidRPr="00225D4D">
        <w:t xml:space="preserve"> effektive for å sikre </w:t>
      </w:r>
      <w:proofErr w:type="spellStart"/>
      <w:r w:rsidRPr="00225D4D">
        <w:t>dei</w:t>
      </w:r>
      <w:proofErr w:type="spellEnd"/>
      <w:r w:rsidRPr="00225D4D">
        <w:t xml:space="preserve"> sårbare </w:t>
      </w:r>
      <w:proofErr w:type="spellStart"/>
      <w:r w:rsidRPr="00225D4D">
        <w:t>arbeidstakarane</w:t>
      </w:r>
      <w:proofErr w:type="spellEnd"/>
      <w:r w:rsidRPr="00225D4D">
        <w:t>.</w:t>
      </w:r>
    </w:p>
    <w:p w14:paraId="659B9E8C" w14:textId="77777777" w:rsidR="00D60186" w:rsidRPr="00225D4D" w:rsidRDefault="00D60186" w:rsidP="00225D4D">
      <w:r w:rsidRPr="00225D4D">
        <w:t xml:space="preserve">Departementet viser til handlingsplanen mot arbeidslivskriminalitet og sosial dumping. Der går det fram at regjeringa vil evaluere føresegna om lønnstjuveri i straffelova for å undersøke om </w:t>
      </w:r>
      <w:proofErr w:type="spellStart"/>
      <w:r w:rsidRPr="00225D4D">
        <w:t>dei</w:t>
      </w:r>
      <w:proofErr w:type="spellEnd"/>
      <w:r w:rsidRPr="00225D4D">
        <w:t xml:space="preserve"> </w:t>
      </w:r>
      <w:proofErr w:type="spellStart"/>
      <w:r w:rsidRPr="00225D4D">
        <w:t>verkar</w:t>
      </w:r>
      <w:proofErr w:type="spellEnd"/>
      <w:r w:rsidRPr="00225D4D">
        <w:t xml:space="preserve"> etter </w:t>
      </w:r>
      <w:proofErr w:type="spellStart"/>
      <w:r w:rsidRPr="00225D4D">
        <w:t>si</w:t>
      </w:r>
      <w:proofErr w:type="spellEnd"/>
      <w:r w:rsidRPr="00225D4D">
        <w:t xml:space="preserve"> hensikt. I tillegg har handlingsplanen </w:t>
      </w:r>
      <w:proofErr w:type="spellStart"/>
      <w:r w:rsidRPr="00225D4D">
        <w:t>eit</w:t>
      </w:r>
      <w:proofErr w:type="spellEnd"/>
      <w:r w:rsidRPr="00225D4D">
        <w:t xml:space="preserve"> tiltak som foreslår at saker om inndriving av </w:t>
      </w:r>
      <w:proofErr w:type="spellStart"/>
      <w:r w:rsidRPr="00225D4D">
        <w:t>løn</w:t>
      </w:r>
      <w:proofErr w:type="spellEnd"/>
      <w:r w:rsidRPr="00225D4D">
        <w:t xml:space="preserve"> blir gjort til </w:t>
      </w:r>
      <w:proofErr w:type="spellStart"/>
      <w:r w:rsidRPr="00225D4D">
        <w:t>ein</w:t>
      </w:r>
      <w:proofErr w:type="spellEnd"/>
      <w:r w:rsidRPr="00225D4D">
        <w:t xml:space="preserve"> prioritert sakstype for fritt rettsråd, som vil styrke rettstryggleiken til ofra for </w:t>
      </w:r>
      <w:proofErr w:type="spellStart"/>
      <w:r w:rsidRPr="00225D4D">
        <w:t>lønstjuveri</w:t>
      </w:r>
      <w:proofErr w:type="spellEnd"/>
      <w:r w:rsidRPr="00225D4D">
        <w:t xml:space="preserve">. Regjeringa skal og styrke den nettbaserte informasjonen og rettleiing om </w:t>
      </w:r>
      <w:proofErr w:type="spellStart"/>
      <w:r w:rsidRPr="00225D4D">
        <w:t>reglane</w:t>
      </w:r>
      <w:proofErr w:type="spellEnd"/>
      <w:r w:rsidRPr="00225D4D">
        <w:t xml:space="preserve"> knytt til </w:t>
      </w:r>
      <w:proofErr w:type="spellStart"/>
      <w:r w:rsidRPr="00225D4D">
        <w:t>lønstjuveri</w:t>
      </w:r>
      <w:proofErr w:type="spellEnd"/>
      <w:r w:rsidRPr="00225D4D">
        <w:t xml:space="preserve"> og korleis </w:t>
      </w:r>
      <w:proofErr w:type="spellStart"/>
      <w:r w:rsidRPr="00225D4D">
        <w:t>arbeidstakarane</w:t>
      </w:r>
      <w:proofErr w:type="spellEnd"/>
      <w:r w:rsidRPr="00225D4D">
        <w:t xml:space="preserve"> kan gå fram dersom </w:t>
      </w:r>
      <w:proofErr w:type="spellStart"/>
      <w:r w:rsidRPr="00225D4D">
        <w:t>dei</w:t>
      </w:r>
      <w:proofErr w:type="spellEnd"/>
      <w:r w:rsidRPr="00225D4D">
        <w:t xml:space="preserve"> meiner </w:t>
      </w:r>
      <w:proofErr w:type="spellStart"/>
      <w:r w:rsidRPr="00225D4D">
        <w:t>dei</w:t>
      </w:r>
      <w:proofErr w:type="spellEnd"/>
      <w:r w:rsidRPr="00225D4D">
        <w:t xml:space="preserve"> er utsett for dette. På bakgrunn av </w:t>
      </w:r>
      <w:proofErr w:type="spellStart"/>
      <w:r w:rsidRPr="00225D4D">
        <w:t>dei</w:t>
      </w:r>
      <w:proofErr w:type="spellEnd"/>
      <w:r w:rsidRPr="00225D4D">
        <w:t xml:space="preserve"> omtalte arbeida ser regjeringa oppmodingsvedtaket som </w:t>
      </w:r>
      <w:proofErr w:type="spellStart"/>
      <w:r w:rsidRPr="00225D4D">
        <w:t>følgt</w:t>
      </w:r>
      <w:proofErr w:type="spellEnd"/>
      <w:r w:rsidRPr="00225D4D">
        <w:t xml:space="preserve"> opp.</w:t>
      </w:r>
    </w:p>
    <w:p w14:paraId="1E1E5680" w14:textId="77777777" w:rsidR="00D60186" w:rsidRPr="00225D4D" w:rsidRDefault="00D60186" w:rsidP="00225D4D">
      <w:pPr>
        <w:pStyle w:val="avsnitt-tittel"/>
      </w:pPr>
      <w:r w:rsidRPr="00225D4D">
        <w:t xml:space="preserve">Legge fram </w:t>
      </w:r>
      <w:proofErr w:type="spellStart"/>
      <w:r w:rsidRPr="00225D4D">
        <w:t>ein</w:t>
      </w:r>
      <w:proofErr w:type="spellEnd"/>
      <w:r w:rsidRPr="00225D4D">
        <w:t xml:space="preserve"> styrkt handlingsplan mot tvangsekteskap</w:t>
      </w:r>
    </w:p>
    <w:p w14:paraId="0CE926B9" w14:textId="77777777" w:rsidR="00D60186" w:rsidRPr="00225D4D" w:rsidRDefault="00D60186" w:rsidP="00225D4D">
      <w:pPr>
        <w:pStyle w:val="avsnitt-undertittel"/>
      </w:pPr>
      <w:r w:rsidRPr="00225D4D">
        <w:t>Vedtak 770, 12. juni 2024</w:t>
      </w:r>
    </w:p>
    <w:p w14:paraId="677F3FDA" w14:textId="77777777" w:rsidR="00D60186" w:rsidRPr="00225D4D" w:rsidRDefault="00D60186" w:rsidP="00225D4D">
      <w:pPr>
        <w:pStyle w:val="blokksit"/>
        <w:rPr>
          <w:rStyle w:val="kursiv"/>
        </w:rPr>
      </w:pPr>
      <w:r w:rsidRPr="00225D4D">
        <w:rPr>
          <w:rStyle w:val="kursiv"/>
        </w:rPr>
        <w:t>«Stortinget ber regjeringen legge frem en styrket handlingsplan mot tvangsekteskap og orientere Stortinget på egnet måte.»</w:t>
      </w:r>
    </w:p>
    <w:p w14:paraId="17C17453"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99 L (2023–2024), </w:t>
      </w:r>
      <w:proofErr w:type="spellStart"/>
      <w:r w:rsidRPr="00225D4D">
        <w:t>Innst</w:t>
      </w:r>
      <w:proofErr w:type="spellEnd"/>
      <w:r w:rsidRPr="00225D4D">
        <w:t>. 427 L (2023–2024), Lovvedtak 90 (2023–2024).</w:t>
      </w:r>
    </w:p>
    <w:p w14:paraId="73985DBB" w14:textId="77777777" w:rsidR="00D60186" w:rsidRPr="00225D4D" w:rsidRDefault="00D60186" w:rsidP="00225D4D">
      <w:r w:rsidRPr="00225D4D">
        <w:t xml:space="preserve">Regjeringa lanserte i mai 2025 den nye handlingsplanen </w:t>
      </w:r>
      <w:r w:rsidRPr="00225D4D">
        <w:rPr>
          <w:rStyle w:val="kursiv"/>
        </w:rPr>
        <w:t xml:space="preserve">Sjef i eget liv – styrket innsats mot negativ sosial kontroll og </w:t>
      </w:r>
      <w:proofErr w:type="spellStart"/>
      <w:r w:rsidRPr="00225D4D">
        <w:rPr>
          <w:rStyle w:val="kursiv"/>
        </w:rPr>
        <w:t>æresmotivert</w:t>
      </w:r>
      <w:proofErr w:type="spellEnd"/>
      <w:r w:rsidRPr="00225D4D">
        <w:rPr>
          <w:rStyle w:val="kursiv"/>
        </w:rPr>
        <w:t xml:space="preserve"> vold 2025-2028</w:t>
      </w:r>
      <w:r w:rsidRPr="00225D4D">
        <w:t>. Tiltak mot tvangsekteskap inngår i planen.</w:t>
      </w:r>
    </w:p>
    <w:p w14:paraId="3750B703" w14:textId="77777777" w:rsidR="00D60186" w:rsidRPr="00225D4D" w:rsidRDefault="00D60186" w:rsidP="00225D4D">
      <w:r w:rsidRPr="00225D4D">
        <w:t xml:space="preserve">Viktige tiltak er å styrke det </w:t>
      </w:r>
      <w:proofErr w:type="spellStart"/>
      <w:r w:rsidRPr="00225D4D">
        <w:t>rettslege</w:t>
      </w:r>
      <w:proofErr w:type="spellEnd"/>
      <w:r w:rsidRPr="00225D4D">
        <w:t xml:space="preserve"> vernet for </w:t>
      </w:r>
      <w:proofErr w:type="gramStart"/>
      <w:r w:rsidRPr="00225D4D">
        <w:t>utsette</w:t>
      </w:r>
      <w:proofErr w:type="gramEnd"/>
      <w:r w:rsidRPr="00225D4D">
        <w:t xml:space="preserve">, betre </w:t>
      </w:r>
      <w:proofErr w:type="spellStart"/>
      <w:r w:rsidRPr="00225D4D">
        <w:t>førebyggingsarbeidet</w:t>
      </w:r>
      <w:proofErr w:type="spellEnd"/>
      <w:r w:rsidRPr="00225D4D">
        <w:t xml:space="preserve"> og heve kompetansen om tematikken blant tilsette i </w:t>
      </w:r>
      <w:proofErr w:type="spellStart"/>
      <w:r w:rsidRPr="00225D4D">
        <w:t>tenestene</w:t>
      </w:r>
      <w:proofErr w:type="spellEnd"/>
      <w:r w:rsidRPr="00225D4D">
        <w:t>.</w:t>
      </w:r>
    </w:p>
    <w:p w14:paraId="2E89AD1B" w14:textId="77777777" w:rsidR="00D60186" w:rsidRPr="00225D4D" w:rsidRDefault="00D60186" w:rsidP="00225D4D">
      <w:proofErr w:type="spellStart"/>
      <w:r w:rsidRPr="00225D4D">
        <w:t>Endringar</w:t>
      </w:r>
      <w:proofErr w:type="spellEnd"/>
      <w:r w:rsidRPr="00225D4D">
        <w:t xml:space="preserve"> i ekteskapsloven som forbyr ekteskap mellom nære </w:t>
      </w:r>
      <w:proofErr w:type="spellStart"/>
      <w:r w:rsidRPr="00225D4D">
        <w:t>slektningar</w:t>
      </w:r>
      <w:proofErr w:type="spellEnd"/>
      <w:r w:rsidRPr="00225D4D">
        <w:t xml:space="preserve"> trådte i kraft 1. januar 2025. </w:t>
      </w:r>
      <w:proofErr w:type="spellStart"/>
      <w:r w:rsidRPr="00225D4D">
        <w:t>Forbodet</w:t>
      </w:r>
      <w:proofErr w:type="spellEnd"/>
      <w:r w:rsidRPr="00225D4D">
        <w:t xml:space="preserve"> gjeld ekteskap mellom søskenbarn, og mellom </w:t>
      </w:r>
      <w:proofErr w:type="spellStart"/>
      <w:r w:rsidRPr="00225D4D">
        <w:t>hvv</w:t>
      </w:r>
      <w:proofErr w:type="spellEnd"/>
      <w:r w:rsidRPr="00225D4D">
        <w:t xml:space="preserve">. en tante eller onkel som den </w:t>
      </w:r>
      <w:proofErr w:type="spellStart"/>
      <w:r w:rsidRPr="00225D4D">
        <w:t>eine</w:t>
      </w:r>
      <w:proofErr w:type="spellEnd"/>
      <w:r w:rsidRPr="00225D4D">
        <w:t xml:space="preserve"> parten og </w:t>
      </w:r>
      <w:proofErr w:type="spellStart"/>
      <w:r w:rsidRPr="00225D4D">
        <w:t>ein</w:t>
      </w:r>
      <w:proofErr w:type="spellEnd"/>
      <w:r w:rsidRPr="00225D4D">
        <w:t xml:space="preserve"> nevø eller niese som den andre parten. Formålet med </w:t>
      </w:r>
      <w:proofErr w:type="spellStart"/>
      <w:r w:rsidRPr="00225D4D">
        <w:t>forbodet</w:t>
      </w:r>
      <w:proofErr w:type="spellEnd"/>
      <w:r w:rsidRPr="00225D4D">
        <w:t xml:space="preserve"> er primært å </w:t>
      </w:r>
      <w:proofErr w:type="spellStart"/>
      <w:r w:rsidRPr="00225D4D">
        <w:t>motverke</w:t>
      </w:r>
      <w:proofErr w:type="spellEnd"/>
      <w:r w:rsidRPr="00225D4D">
        <w:t xml:space="preserve"> </w:t>
      </w:r>
      <w:proofErr w:type="spellStart"/>
      <w:r w:rsidRPr="00225D4D">
        <w:t>helseskadar</w:t>
      </w:r>
      <w:proofErr w:type="spellEnd"/>
      <w:r w:rsidRPr="00225D4D">
        <w:t xml:space="preserve"> hos barn, men det vil også kunne bidra til å </w:t>
      </w:r>
      <w:proofErr w:type="spellStart"/>
      <w:r w:rsidRPr="00225D4D">
        <w:t>motverke</w:t>
      </w:r>
      <w:proofErr w:type="spellEnd"/>
      <w:r w:rsidRPr="00225D4D">
        <w:t xml:space="preserve"> tvangsekteskap og negativ sosial kontroll.</w:t>
      </w:r>
    </w:p>
    <w:p w14:paraId="72C2B56E" w14:textId="77777777" w:rsidR="00D60186" w:rsidRPr="00225D4D" w:rsidRDefault="00D60186" w:rsidP="00225D4D">
      <w:r w:rsidRPr="00225D4D">
        <w:t xml:space="preserve">Med det ser departementet oppmodingsvedtaket som </w:t>
      </w:r>
      <w:proofErr w:type="spellStart"/>
      <w:r w:rsidRPr="00225D4D">
        <w:t>følgt</w:t>
      </w:r>
      <w:proofErr w:type="spellEnd"/>
      <w:r w:rsidRPr="00225D4D">
        <w:t xml:space="preserve"> opp.</w:t>
      </w:r>
    </w:p>
    <w:p w14:paraId="32B727E2" w14:textId="77777777" w:rsidR="00D60186" w:rsidRPr="00225D4D" w:rsidRDefault="00D60186" w:rsidP="00225D4D">
      <w:pPr>
        <w:pStyle w:val="avsnitt-tittel"/>
      </w:pPr>
      <w:r w:rsidRPr="00225D4D">
        <w:t xml:space="preserve">Greie ut </w:t>
      </w:r>
      <w:proofErr w:type="spellStart"/>
      <w:r w:rsidRPr="00225D4D">
        <w:t>forenklingar</w:t>
      </w:r>
      <w:proofErr w:type="spellEnd"/>
      <w:r w:rsidRPr="00225D4D">
        <w:t xml:space="preserve"> i regelverket for norske bedrifter som vil rekruttere høgkvalifiserte </w:t>
      </w:r>
      <w:proofErr w:type="spellStart"/>
      <w:r w:rsidRPr="00225D4D">
        <w:t>arbeidstakarar</w:t>
      </w:r>
      <w:proofErr w:type="spellEnd"/>
      <w:r w:rsidRPr="00225D4D">
        <w:t xml:space="preserve"> </w:t>
      </w:r>
      <w:proofErr w:type="spellStart"/>
      <w:r w:rsidRPr="00225D4D">
        <w:t>frå</w:t>
      </w:r>
      <w:proofErr w:type="spellEnd"/>
      <w:r w:rsidRPr="00225D4D">
        <w:t xml:space="preserve"> tredjeland</w:t>
      </w:r>
    </w:p>
    <w:p w14:paraId="3781EABC" w14:textId="77777777" w:rsidR="00D60186" w:rsidRPr="00225D4D" w:rsidRDefault="00D60186" w:rsidP="00225D4D">
      <w:pPr>
        <w:pStyle w:val="avsnitt-undertittel"/>
      </w:pPr>
      <w:r w:rsidRPr="00225D4D">
        <w:t>Vedtak 801, 17. juni 2024</w:t>
      </w:r>
    </w:p>
    <w:p w14:paraId="0E16FBC7" w14:textId="77777777" w:rsidR="00D60186" w:rsidRPr="00225D4D" w:rsidRDefault="00D60186" w:rsidP="00225D4D">
      <w:pPr>
        <w:pStyle w:val="blokksit"/>
        <w:rPr>
          <w:rStyle w:val="kursiv"/>
        </w:rPr>
      </w:pPr>
      <w:r w:rsidRPr="00225D4D">
        <w:rPr>
          <w:rStyle w:val="kursiv"/>
        </w:rPr>
        <w:t>«Stortinget ber regjeringen utrede forenklinger i regelverket for norske bedrifter som vil rekruttere høykvalifiserte arbeidstakere fra tredjeland, utrede om regelverket for selvstendig næringsdrivende bør justeres, og komme tilbake til Stortinget på egnet måte.»</w:t>
      </w:r>
    </w:p>
    <w:p w14:paraId="22C5ADBA" w14:textId="77777777" w:rsidR="00D60186" w:rsidRPr="00225D4D" w:rsidRDefault="00D60186" w:rsidP="00225D4D">
      <w:r w:rsidRPr="00225D4D">
        <w:t xml:space="preserve">Vedtaket blei gjort ved behandling av Meld. St. 23 (2023–2024), </w:t>
      </w:r>
      <w:proofErr w:type="spellStart"/>
      <w:r w:rsidRPr="00225D4D">
        <w:t>Innst</w:t>
      </w:r>
      <w:proofErr w:type="spellEnd"/>
      <w:r w:rsidRPr="00225D4D">
        <w:t>. 360 S (2023–2024).</w:t>
      </w:r>
    </w:p>
    <w:p w14:paraId="14A68766" w14:textId="77777777" w:rsidR="00D60186" w:rsidRPr="00225D4D" w:rsidRDefault="00D60186" w:rsidP="00225D4D">
      <w:r w:rsidRPr="00225D4D">
        <w:t>Departementet arbeider med å følge opp vedtaket og vil komme tilbake til Stortinget på eigna måte.</w:t>
      </w:r>
    </w:p>
    <w:p w14:paraId="53A50AD4" w14:textId="77777777" w:rsidR="00D60186" w:rsidRPr="00225D4D" w:rsidRDefault="00D60186" w:rsidP="00225D4D">
      <w:pPr>
        <w:pStyle w:val="avsnitt-tittel"/>
      </w:pPr>
      <w:r w:rsidRPr="00225D4D">
        <w:t xml:space="preserve">Vurdering av </w:t>
      </w:r>
      <w:proofErr w:type="spellStart"/>
      <w:r w:rsidRPr="00225D4D">
        <w:t>eit</w:t>
      </w:r>
      <w:proofErr w:type="spellEnd"/>
      <w:r w:rsidRPr="00225D4D">
        <w:t xml:space="preserve"> avgrensa unntak </w:t>
      </w:r>
      <w:proofErr w:type="spellStart"/>
      <w:r w:rsidRPr="00225D4D">
        <w:t>frå</w:t>
      </w:r>
      <w:proofErr w:type="spellEnd"/>
      <w:r w:rsidRPr="00225D4D">
        <w:t xml:space="preserve"> arbeidsmiljølova for sjølvstendige </w:t>
      </w:r>
      <w:proofErr w:type="spellStart"/>
      <w:r w:rsidRPr="00225D4D">
        <w:t>konsulentar</w:t>
      </w:r>
      <w:proofErr w:type="spellEnd"/>
      <w:r w:rsidRPr="00225D4D">
        <w:t xml:space="preserve"> med spesialkompetanse</w:t>
      </w:r>
    </w:p>
    <w:p w14:paraId="7D9D3862" w14:textId="77777777" w:rsidR="00D60186" w:rsidRPr="00225D4D" w:rsidRDefault="00D60186" w:rsidP="00225D4D">
      <w:pPr>
        <w:pStyle w:val="avsnitt-undertittel"/>
      </w:pPr>
      <w:r w:rsidRPr="00225D4D">
        <w:t>Vedtak 842, 20. juni 2024</w:t>
      </w:r>
    </w:p>
    <w:p w14:paraId="138911D9" w14:textId="77777777" w:rsidR="00D60186" w:rsidRPr="00225D4D" w:rsidRDefault="00D60186" w:rsidP="00225D4D">
      <w:pPr>
        <w:pStyle w:val="blokksit"/>
        <w:rPr>
          <w:rStyle w:val="kursiv"/>
        </w:rPr>
      </w:pPr>
      <w:r w:rsidRPr="00225D4D">
        <w:rPr>
          <w:rStyle w:val="kursiv"/>
        </w:rPr>
        <w:t>«Stortinget ber regjeringen vurdere et avgrenset unntak fra arbeidsmiljøloven slik at selvstendige IT-rådgivere og konsulenter med spesialkompetanse fortsatt skal kunne levere arbeid og oppdrag.»</w:t>
      </w:r>
    </w:p>
    <w:p w14:paraId="0C7E6A42" w14:textId="77777777" w:rsidR="00D60186" w:rsidRPr="00225D4D" w:rsidRDefault="00D60186" w:rsidP="00225D4D">
      <w:r w:rsidRPr="00225D4D">
        <w:t xml:space="preserve">Vedtaket blei gjort ved behandling av Dokument 8:154 S (2023–2024), </w:t>
      </w:r>
      <w:proofErr w:type="spellStart"/>
      <w:r w:rsidRPr="00225D4D">
        <w:t>Innst</w:t>
      </w:r>
      <w:proofErr w:type="spellEnd"/>
      <w:r w:rsidRPr="00225D4D">
        <w:t>. 449 S (2023–2024).</w:t>
      </w:r>
    </w:p>
    <w:p w14:paraId="68BF10D5" w14:textId="77777777" w:rsidR="00D60186" w:rsidRPr="00225D4D" w:rsidRDefault="00D60186" w:rsidP="00225D4D">
      <w:r w:rsidRPr="00225D4D">
        <w:t xml:space="preserve">Den 18. desember 2024 sende Arbeids- og inkluderingsdepartementet </w:t>
      </w:r>
      <w:proofErr w:type="spellStart"/>
      <w:r w:rsidRPr="00225D4D">
        <w:t>eit</w:t>
      </w:r>
      <w:proofErr w:type="spellEnd"/>
      <w:r w:rsidRPr="00225D4D">
        <w:t xml:space="preserve"> forslag om oppretting av ei partssamansett arbeidsgruppe og midlertidig unntak </w:t>
      </w:r>
      <w:proofErr w:type="spellStart"/>
      <w:r w:rsidRPr="00225D4D">
        <w:t>frå</w:t>
      </w:r>
      <w:proofErr w:type="spellEnd"/>
      <w:r w:rsidRPr="00225D4D">
        <w:t xml:space="preserve"> godkjenningsordninga for </w:t>
      </w:r>
      <w:proofErr w:type="spellStart"/>
      <w:r w:rsidRPr="00225D4D">
        <w:t>bemanningsføretak</w:t>
      </w:r>
      <w:proofErr w:type="spellEnd"/>
      <w:r w:rsidRPr="00225D4D">
        <w:t xml:space="preserve"> som driv </w:t>
      </w:r>
      <w:proofErr w:type="spellStart"/>
      <w:r w:rsidRPr="00225D4D">
        <w:t>utleige</w:t>
      </w:r>
      <w:proofErr w:type="spellEnd"/>
      <w:r w:rsidRPr="00225D4D">
        <w:t xml:space="preserve"> av rådgivings- og </w:t>
      </w:r>
      <w:proofErr w:type="spellStart"/>
      <w:r w:rsidRPr="00225D4D">
        <w:t>konsulenttenester</w:t>
      </w:r>
      <w:proofErr w:type="spellEnd"/>
      <w:r w:rsidRPr="00225D4D">
        <w:t xml:space="preserve"> </w:t>
      </w:r>
      <w:proofErr w:type="spellStart"/>
      <w:r w:rsidRPr="00225D4D">
        <w:t>innanfor</w:t>
      </w:r>
      <w:proofErr w:type="spellEnd"/>
      <w:r w:rsidRPr="00225D4D">
        <w:t xml:space="preserve"> IKT. Det er sett ned ei partssamansett arbeidsgruppe i tråd med dette forslaget. Arbeidsgruppa skal kartlegge korleis konsulent- og </w:t>
      </w:r>
      <w:proofErr w:type="spellStart"/>
      <w:r w:rsidRPr="00225D4D">
        <w:t>rådgivingsverksemd</w:t>
      </w:r>
      <w:proofErr w:type="spellEnd"/>
      <w:r w:rsidRPr="00225D4D">
        <w:t xml:space="preserve"> blir organisert, identifisere behova til </w:t>
      </w:r>
      <w:proofErr w:type="spellStart"/>
      <w:r w:rsidRPr="00225D4D">
        <w:t>oppdragsgivarar</w:t>
      </w:r>
      <w:proofErr w:type="spellEnd"/>
      <w:r w:rsidRPr="00225D4D">
        <w:t xml:space="preserve"> og </w:t>
      </w:r>
      <w:proofErr w:type="spellStart"/>
      <w:r w:rsidRPr="00225D4D">
        <w:t>oppdragstakarar</w:t>
      </w:r>
      <w:proofErr w:type="spellEnd"/>
      <w:r w:rsidRPr="00225D4D">
        <w:t xml:space="preserve">, og belyse eventuelle </w:t>
      </w:r>
      <w:proofErr w:type="spellStart"/>
      <w:r w:rsidRPr="00225D4D">
        <w:t>utfordringar</w:t>
      </w:r>
      <w:proofErr w:type="spellEnd"/>
      <w:r w:rsidRPr="00225D4D">
        <w:t xml:space="preserve"> og foreslå </w:t>
      </w:r>
      <w:proofErr w:type="spellStart"/>
      <w:r w:rsidRPr="00225D4D">
        <w:t>moglege</w:t>
      </w:r>
      <w:proofErr w:type="spellEnd"/>
      <w:r w:rsidRPr="00225D4D">
        <w:t xml:space="preserve"> </w:t>
      </w:r>
      <w:proofErr w:type="spellStart"/>
      <w:r w:rsidRPr="00225D4D">
        <w:t>løysingar</w:t>
      </w:r>
      <w:proofErr w:type="spellEnd"/>
      <w:r w:rsidRPr="00225D4D">
        <w:t xml:space="preserve">. Arbeidsgruppa skal legge fram </w:t>
      </w:r>
      <w:proofErr w:type="spellStart"/>
      <w:r w:rsidRPr="00225D4D">
        <w:t>vurderingane</w:t>
      </w:r>
      <w:proofErr w:type="spellEnd"/>
      <w:r w:rsidRPr="00225D4D">
        <w:t xml:space="preserve"> og forslaga sine, </w:t>
      </w:r>
      <w:proofErr w:type="spellStart"/>
      <w:r w:rsidRPr="00225D4D">
        <w:t>medrekna</w:t>
      </w:r>
      <w:proofErr w:type="spellEnd"/>
      <w:r w:rsidRPr="00225D4D">
        <w:t xml:space="preserve"> </w:t>
      </w:r>
      <w:proofErr w:type="spellStart"/>
      <w:r w:rsidRPr="00225D4D">
        <w:t>eit</w:t>
      </w:r>
      <w:proofErr w:type="spellEnd"/>
      <w:r w:rsidRPr="00225D4D">
        <w:t xml:space="preserve"> ev. forslag til unntak, i </w:t>
      </w:r>
      <w:proofErr w:type="spellStart"/>
      <w:r w:rsidRPr="00225D4D">
        <w:t>ein</w:t>
      </w:r>
      <w:proofErr w:type="spellEnd"/>
      <w:r w:rsidRPr="00225D4D">
        <w:t xml:space="preserve"> rapport til Arbeids- og inkluderingsdepartementet </w:t>
      </w:r>
      <w:proofErr w:type="spellStart"/>
      <w:r w:rsidRPr="00225D4D">
        <w:t>innan</w:t>
      </w:r>
      <w:proofErr w:type="spellEnd"/>
      <w:r w:rsidRPr="00225D4D">
        <w:t xml:space="preserve"> 1. april 2026. </w:t>
      </w:r>
      <w:proofErr w:type="spellStart"/>
      <w:r w:rsidRPr="00225D4D">
        <w:t>Vidare</w:t>
      </w:r>
      <w:proofErr w:type="spellEnd"/>
      <w:r w:rsidRPr="00225D4D">
        <w:t xml:space="preserve"> arbeid vil skje i dialog med </w:t>
      </w:r>
      <w:proofErr w:type="spellStart"/>
      <w:r w:rsidRPr="00225D4D">
        <w:t>partane</w:t>
      </w:r>
      <w:proofErr w:type="spellEnd"/>
      <w:r w:rsidRPr="00225D4D">
        <w:t xml:space="preserve"> i arbeidslivet.</w:t>
      </w:r>
    </w:p>
    <w:p w14:paraId="04F5B7B0" w14:textId="77777777" w:rsidR="00D60186" w:rsidRPr="00225D4D" w:rsidRDefault="00D60186" w:rsidP="00225D4D">
      <w:pPr>
        <w:pStyle w:val="avsnitt-tittel"/>
      </w:pPr>
      <w:r w:rsidRPr="00225D4D">
        <w:t xml:space="preserve">Oppfølging av arbeidet med </w:t>
      </w:r>
      <w:proofErr w:type="spellStart"/>
      <w:r w:rsidRPr="00225D4D">
        <w:t>oljepionerane</w:t>
      </w:r>
      <w:proofErr w:type="spellEnd"/>
      <w:r w:rsidRPr="00225D4D">
        <w:t xml:space="preserve"> i lys av kunnskapen </w:t>
      </w:r>
      <w:proofErr w:type="spellStart"/>
      <w:r w:rsidRPr="00225D4D">
        <w:t>frå</w:t>
      </w:r>
      <w:proofErr w:type="spellEnd"/>
      <w:r w:rsidRPr="00225D4D">
        <w:t xml:space="preserve"> NOU 2022: 19 </w:t>
      </w:r>
      <w:proofErr w:type="spellStart"/>
      <w:r w:rsidRPr="00225D4D">
        <w:t>Oljepionerene</w:t>
      </w:r>
      <w:proofErr w:type="spellEnd"/>
      <w:r w:rsidRPr="00225D4D">
        <w:t xml:space="preserve"> – en kompensasjonsordning</w:t>
      </w:r>
    </w:p>
    <w:p w14:paraId="61949B86" w14:textId="77777777" w:rsidR="00D60186" w:rsidRPr="00225D4D" w:rsidRDefault="00D60186" w:rsidP="00225D4D">
      <w:pPr>
        <w:pStyle w:val="avsnitt-undertittel"/>
      </w:pPr>
      <w:r w:rsidRPr="00225D4D">
        <w:t>Vedtak 843, 20. juni 2024</w:t>
      </w:r>
    </w:p>
    <w:p w14:paraId="1D1F538D" w14:textId="77777777" w:rsidR="00D60186" w:rsidRPr="00225D4D" w:rsidRDefault="00D60186" w:rsidP="00225D4D">
      <w:pPr>
        <w:pStyle w:val="blokksit"/>
        <w:rPr>
          <w:rStyle w:val="kursiv"/>
        </w:rPr>
      </w:pPr>
      <w:r w:rsidRPr="00225D4D">
        <w:rPr>
          <w:rStyle w:val="kursiv"/>
        </w:rPr>
        <w:t xml:space="preserve">«Stortinget ber regjeringen, i lys av kunnskapen fra NOU 2022:19 </w:t>
      </w:r>
      <w:proofErr w:type="spellStart"/>
      <w:r w:rsidRPr="00225D4D">
        <w:rPr>
          <w:rStyle w:val="kursiv"/>
        </w:rPr>
        <w:t>Oljepionerene</w:t>
      </w:r>
      <w:proofErr w:type="spellEnd"/>
      <w:r w:rsidRPr="00225D4D">
        <w:rPr>
          <w:rStyle w:val="kursiv"/>
        </w:rPr>
        <w:t xml:space="preserve"> – en kompensasjonsordning, følge opp arbeidet med </w:t>
      </w:r>
      <w:proofErr w:type="spellStart"/>
      <w:r w:rsidRPr="00225D4D">
        <w:rPr>
          <w:rStyle w:val="kursiv"/>
        </w:rPr>
        <w:t>oljepionerene</w:t>
      </w:r>
      <w:proofErr w:type="spellEnd"/>
      <w:r w:rsidRPr="00225D4D">
        <w:rPr>
          <w:rStyle w:val="kursiv"/>
        </w:rPr>
        <w:t xml:space="preserve"> og komme raskt tilbake til Stortinget på egnet vis.»</w:t>
      </w:r>
    </w:p>
    <w:p w14:paraId="55D502F7" w14:textId="77777777" w:rsidR="00D60186" w:rsidRPr="00225D4D" w:rsidRDefault="00D60186" w:rsidP="00225D4D">
      <w:r w:rsidRPr="00225D4D">
        <w:t xml:space="preserve">Vedtaket blei gjort ved behandling av Dokument 8:161 S (2023–2024), </w:t>
      </w:r>
      <w:proofErr w:type="spellStart"/>
      <w:r w:rsidRPr="00225D4D">
        <w:t>Innst</w:t>
      </w:r>
      <w:proofErr w:type="spellEnd"/>
      <w:r w:rsidRPr="00225D4D">
        <w:t>. 444 S (2023–2024).</w:t>
      </w:r>
    </w:p>
    <w:p w14:paraId="67DFA727" w14:textId="77777777" w:rsidR="00D60186" w:rsidRPr="00225D4D" w:rsidRDefault="00D60186" w:rsidP="00225D4D">
      <w:r w:rsidRPr="00225D4D">
        <w:t xml:space="preserve">Det blir vist til omtale av oppmodingsvedtak 220, 17. desember 2024. Med dette ser departementet oppmodingsvedtaket som </w:t>
      </w:r>
      <w:proofErr w:type="spellStart"/>
      <w:r w:rsidRPr="00225D4D">
        <w:t>følgt</w:t>
      </w:r>
      <w:proofErr w:type="spellEnd"/>
      <w:r w:rsidRPr="00225D4D">
        <w:t xml:space="preserve"> opp.</w:t>
      </w:r>
    </w:p>
    <w:p w14:paraId="0A1C72D1" w14:textId="77777777" w:rsidR="00D60186" w:rsidRPr="00225D4D" w:rsidRDefault="00D60186" w:rsidP="00225D4D">
      <w:pPr>
        <w:pStyle w:val="Overskrift2"/>
      </w:pPr>
      <w:r w:rsidRPr="00225D4D">
        <w:t>Stortingssesjon (2022–2023)</w:t>
      </w:r>
    </w:p>
    <w:p w14:paraId="006D61C5" w14:textId="77777777" w:rsidR="00D60186" w:rsidRPr="00225D4D" w:rsidRDefault="00D60186" w:rsidP="00225D4D">
      <w:pPr>
        <w:pStyle w:val="avsnitt-tittel"/>
      </w:pPr>
      <w:proofErr w:type="spellStart"/>
      <w:r w:rsidRPr="00225D4D">
        <w:t>Endringar</w:t>
      </w:r>
      <w:proofErr w:type="spellEnd"/>
      <w:r w:rsidRPr="00225D4D">
        <w:t xml:space="preserve"> i folketrygdlova m.m. (</w:t>
      </w:r>
      <w:proofErr w:type="spellStart"/>
      <w:r w:rsidRPr="00225D4D">
        <w:t>synleggjering</w:t>
      </w:r>
      <w:proofErr w:type="spellEnd"/>
      <w:r w:rsidRPr="00225D4D">
        <w:t xml:space="preserve"> av </w:t>
      </w:r>
      <w:proofErr w:type="spellStart"/>
      <w:r w:rsidRPr="00225D4D">
        <w:t>folkerettslege</w:t>
      </w:r>
      <w:proofErr w:type="spellEnd"/>
      <w:r w:rsidRPr="00225D4D">
        <w:t xml:space="preserve"> </w:t>
      </w:r>
      <w:proofErr w:type="spellStart"/>
      <w:r w:rsidRPr="00225D4D">
        <w:t>forpliktingar</w:t>
      </w:r>
      <w:proofErr w:type="spellEnd"/>
      <w:r w:rsidRPr="00225D4D">
        <w:t xml:space="preserve"> til trygdekoordinering)</w:t>
      </w:r>
    </w:p>
    <w:p w14:paraId="7F4C6BA0" w14:textId="77777777" w:rsidR="00D60186" w:rsidRPr="00225D4D" w:rsidRDefault="00D60186" w:rsidP="00225D4D">
      <w:pPr>
        <w:pStyle w:val="avsnitt-undertittel"/>
      </w:pPr>
      <w:r w:rsidRPr="00225D4D">
        <w:t>Vedtak 37, 26. oktober 2022</w:t>
      </w:r>
    </w:p>
    <w:p w14:paraId="31C9C7A6" w14:textId="77777777" w:rsidR="00D60186" w:rsidRPr="00225D4D" w:rsidRDefault="00D60186" w:rsidP="00225D4D">
      <w:pPr>
        <w:pStyle w:val="blokksit"/>
        <w:rPr>
          <w:rStyle w:val="kursiv"/>
        </w:rPr>
      </w:pPr>
      <w:r w:rsidRPr="00225D4D">
        <w:rPr>
          <w:rStyle w:val="kursiv"/>
        </w:rPr>
        <w:t>«Stortinget ber regjeringen komme tilbake til Stortinget med en avklaring av forholdet mellom folketrygdlovens bestemmelser og EØS-retten.»</w:t>
      </w:r>
    </w:p>
    <w:p w14:paraId="24FCE753"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71 L (2021–2022), </w:t>
      </w:r>
      <w:proofErr w:type="spellStart"/>
      <w:r w:rsidRPr="00225D4D">
        <w:t>Innst</w:t>
      </w:r>
      <w:proofErr w:type="spellEnd"/>
      <w:r w:rsidRPr="00225D4D">
        <w:t>. 33 L (2022–2023), Lovvedtak 2.</w:t>
      </w:r>
    </w:p>
    <w:p w14:paraId="15432196" w14:textId="77777777" w:rsidR="00D60186" w:rsidRPr="00225D4D" w:rsidRDefault="00D60186" w:rsidP="00225D4D">
      <w:r w:rsidRPr="00225D4D">
        <w:t xml:space="preserve">Oppmodingsvedtaket er til behandling i departementet. Regjeringa vil komme tilbake til Stortinget på </w:t>
      </w:r>
      <w:proofErr w:type="spellStart"/>
      <w:r w:rsidRPr="00225D4D">
        <w:t>eit</w:t>
      </w:r>
      <w:proofErr w:type="spellEnd"/>
      <w:r w:rsidRPr="00225D4D">
        <w:t xml:space="preserve"> </w:t>
      </w:r>
      <w:proofErr w:type="spellStart"/>
      <w:r w:rsidRPr="00225D4D">
        <w:t>seinare</w:t>
      </w:r>
      <w:proofErr w:type="spellEnd"/>
      <w:r w:rsidRPr="00225D4D">
        <w:t xml:space="preserve"> tidspunkt.</w:t>
      </w:r>
    </w:p>
    <w:p w14:paraId="4B6C4771" w14:textId="77777777" w:rsidR="00D60186" w:rsidRPr="00225D4D" w:rsidRDefault="00D60186" w:rsidP="00225D4D">
      <w:pPr>
        <w:pStyle w:val="avsnitt-tittel"/>
      </w:pPr>
      <w:r w:rsidRPr="00225D4D">
        <w:t xml:space="preserve">Utviklingstrekk og tiltak for heimekontor og staduavhengige </w:t>
      </w:r>
      <w:proofErr w:type="spellStart"/>
      <w:r w:rsidRPr="00225D4D">
        <w:t>arbeidsplassar</w:t>
      </w:r>
      <w:proofErr w:type="spellEnd"/>
    </w:p>
    <w:p w14:paraId="13FD8CA0" w14:textId="77777777" w:rsidR="00D60186" w:rsidRPr="00225D4D" w:rsidRDefault="00D60186" w:rsidP="00225D4D">
      <w:pPr>
        <w:pStyle w:val="avsnitt-undertittel"/>
      </w:pPr>
      <w:r w:rsidRPr="00225D4D">
        <w:t>Vedtak 491, 21. februar 2023</w:t>
      </w:r>
    </w:p>
    <w:p w14:paraId="0108900C" w14:textId="77777777" w:rsidR="00D60186" w:rsidRPr="00225D4D" w:rsidRDefault="00D60186" w:rsidP="00225D4D">
      <w:pPr>
        <w:pStyle w:val="blokksit"/>
        <w:rPr>
          <w:rStyle w:val="kursiv"/>
        </w:rPr>
      </w:pPr>
      <w:r w:rsidRPr="00225D4D">
        <w:rPr>
          <w:rStyle w:val="kursiv"/>
        </w:rPr>
        <w:t>«Stortinget ber regjeringen komme tilbake til Stortinget, på et egnet tidspunkt, med en oppsummering av kunnskapsinnhentingen og om utviklingstrekk for hjemmekontor og stedsuavhengige arbeidsplasser i arbeidslivet samt en vurdering av behovet for ytterligere tiltak i lys av dette.»</w:t>
      </w:r>
    </w:p>
    <w:p w14:paraId="408ADF7F" w14:textId="77777777" w:rsidR="00D60186" w:rsidRPr="00225D4D" w:rsidRDefault="00D60186" w:rsidP="00225D4D">
      <w:r w:rsidRPr="00225D4D">
        <w:t xml:space="preserve">Vedtaket blei gjort ved behandling av Dokument 8:34 S (2022–2023), </w:t>
      </w:r>
      <w:proofErr w:type="spellStart"/>
      <w:r w:rsidRPr="00225D4D">
        <w:t>Innst</w:t>
      </w:r>
      <w:proofErr w:type="spellEnd"/>
      <w:r w:rsidRPr="00225D4D">
        <w:t>. 188 S (2022–2023).</w:t>
      </w:r>
    </w:p>
    <w:p w14:paraId="2AACDB63" w14:textId="77777777" w:rsidR="00D60186" w:rsidRPr="00225D4D" w:rsidRDefault="00D60186" w:rsidP="00225D4D">
      <w:r w:rsidRPr="00225D4D">
        <w:t xml:space="preserve">Departementet følger opp kunnskapsbehov når det </w:t>
      </w:r>
      <w:proofErr w:type="spellStart"/>
      <w:r w:rsidRPr="00225D4D">
        <w:t>gjeld</w:t>
      </w:r>
      <w:proofErr w:type="spellEnd"/>
      <w:r w:rsidRPr="00225D4D">
        <w:t xml:space="preserve"> omfanget og </w:t>
      </w:r>
      <w:proofErr w:type="spellStart"/>
      <w:r w:rsidRPr="00225D4D">
        <w:t>konsekvensane</w:t>
      </w:r>
      <w:proofErr w:type="spellEnd"/>
      <w:r w:rsidRPr="00225D4D">
        <w:t xml:space="preserve"> av heimekontor og nye </w:t>
      </w:r>
      <w:proofErr w:type="spellStart"/>
      <w:r w:rsidRPr="00225D4D">
        <w:t>måtar</w:t>
      </w:r>
      <w:proofErr w:type="spellEnd"/>
      <w:r w:rsidRPr="00225D4D">
        <w:t xml:space="preserve"> å organisere arbeidet på for </w:t>
      </w:r>
      <w:proofErr w:type="spellStart"/>
      <w:r w:rsidRPr="00225D4D">
        <w:t>arbeidstakarar</w:t>
      </w:r>
      <w:proofErr w:type="spellEnd"/>
      <w:r w:rsidRPr="00225D4D">
        <w:t xml:space="preserve"> og </w:t>
      </w:r>
      <w:proofErr w:type="spellStart"/>
      <w:r w:rsidRPr="00225D4D">
        <w:t>verksemder</w:t>
      </w:r>
      <w:proofErr w:type="spellEnd"/>
      <w:r w:rsidRPr="00225D4D">
        <w:t xml:space="preserve">, gjennom tre forskingsprosjekt finansierte av </w:t>
      </w:r>
      <w:proofErr w:type="spellStart"/>
      <w:r w:rsidRPr="00225D4D">
        <w:t>midlar</w:t>
      </w:r>
      <w:proofErr w:type="spellEnd"/>
      <w:r w:rsidRPr="00225D4D">
        <w:t xml:space="preserve"> </w:t>
      </w:r>
      <w:proofErr w:type="spellStart"/>
      <w:r w:rsidRPr="00225D4D">
        <w:t>frå</w:t>
      </w:r>
      <w:proofErr w:type="spellEnd"/>
      <w:r w:rsidRPr="00225D4D">
        <w:t xml:space="preserve"> Forskingsrådet. To av prosjekta blir gjennomførte ved Arbeidsforskningsinstituttet ved </w:t>
      </w:r>
      <w:proofErr w:type="spellStart"/>
      <w:r w:rsidRPr="00225D4D">
        <w:t>OsloMet</w:t>
      </w:r>
      <w:proofErr w:type="spellEnd"/>
      <w:r w:rsidRPr="00225D4D">
        <w:t xml:space="preserve"> (CROSSBOW 2021–2026, REFLEX 2023–2027) og </w:t>
      </w:r>
      <w:proofErr w:type="spellStart"/>
      <w:r w:rsidRPr="00225D4D">
        <w:t>eitt</w:t>
      </w:r>
      <w:proofErr w:type="spellEnd"/>
      <w:r w:rsidRPr="00225D4D">
        <w:t xml:space="preserve"> prosjekt ved Universitetet i Søraust-</w:t>
      </w:r>
      <w:proofErr w:type="spellStart"/>
      <w:r w:rsidRPr="00225D4D">
        <w:t>Noreg</w:t>
      </w:r>
      <w:proofErr w:type="spellEnd"/>
      <w:r w:rsidRPr="00225D4D">
        <w:t xml:space="preserve"> (REMOTE 2021–2026). </w:t>
      </w:r>
      <w:proofErr w:type="spellStart"/>
      <w:r w:rsidRPr="00225D4D">
        <w:t>Vidare</w:t>
      </w:r>
      <w:proofErr w:type="spellEnd"/>
      <w:r w:rsidRPr="00225D4D">
        <w:t xml:space="preserve"> gjennomfører </w:t>
      </w:r>
      <w:proofErr w:type="spellStart"/>
      <w:r w:rsidRPr="00225D4D">
        <w:t>Fafo</w:t>
      </w:r>
      <w:proofErr w:type="spellEnd"/>
      <w:r w:rsidRPr="00225D4D">
        <w:t xml:space="preserve">, på oppdrag </w:t>
      </w:r>
      <w:proofErr w:type="spellStart"/>
      <w:r w:rsidRPr="00225D4D">
        <w:t>frå</w:t>
      </w:r>
      <w:proofErr w:type="spellEnd"/>
      <w:r w:rsidRPr="00225D4D">
        <w:t xml:space="preserve"> departementet, </w:t>
      </w:r>
      <w:proofErr w:type="spellStart"/>
      <w:r w:rsidRPr="00225D4D">
        <w:t>eit</w:t>
      </w:r>
      <w:proofErr w:type="spellEnd"/>
      <w:r w:rsidRPr="00225D4D">
        <w:t xml:space="preserve"> forskingsprosjekt om </w:t>
      </w:r>
      <w:proofErr w:type="spellStart"/>
      <w:r w:rsidRPr="00225D4D">
        <w:t>arbeidstakarane</w:t>
      </w:r>
      <w:proofErr w:type="spellEnd"/>
      <w:r w:rsidRPr="00225D4D">
        <w:t xml:space="preserve"> sin rett til å kople </w:t>
      </w:r>
      <w:proofErr w:type="spellStart"/>
      <w:r w:rsidRPr="00225D4D">
        <w:t>frå</w:t>
      </w:r>
      <w:proofErr w:type="spellEnd"/>
      <w:r w:rsidRPr="00225D4D">
        <w:t xml:space="preserve">. Prosjektet kartlegg omfanget og </w:t>
      </w:r>
      <w:proofErr w:type="spellStart"/>
      <w:r w:rsidRPr="00225D4D">
        <w:t>konsekvensane</w:t>
      </w:r>
      <w:proofErr w:type="spellEnd"/>
      <w:r w:rsidRPr="00225D4D">
        <w:t xml:space="preserve"> av at </w:t>
      </w:r>
      <w:proofErr w:type="spellStart"/>
      <w:r w:rsidRPr="00225D4D">
        <w:t>arbeidstakarane</w:t>
      </w:r>
      <w:proofErr w:type="spellEnd"/>
      <w:r w:rsidRPr="00225D4D">
        <w:t xml:space="preserve"> har kontakt med og </w:t>
      </w:r>
      <w:proofErr w:type="spellStart"/>
      <w:r w:rsidRPr="00225D4D">
        <w:t>tilknyting</w:t>
      </w:r>
      <w:proofErr w:type="spellEnd"/>
      <w:r w:rsidRPr="00225D4D">
        <w:t xml:space="preserve"> til jobben </w:t>
      </w:r>
      <w:proofErr w:type="spellStart"/>
      <w:r w:rsidRPr="00225D4D">
        <w:t>utanom</w:t>
      </w:r>
      <w:proofErr w:type="spellEnd"/>
      <w:r w:rsidRPr="00225D4D">
        <w:t xml:space="preserve"> ordinær arbeidstid, i ulike yrke og </w:t>
      </w:r>
      <w:proofErr w:type="spellStart"/>
      <w:r w:rsidRPr="00225D4D">
        <w:t>næringar</w:t>
      </w:r>
      <w:proofErr w:type="spellEnd"/>
      <w:r w:rsidRPr="00225D4D">
        <w:t xml:space="preserve">. Prosjektet varer ut 2025. Departementet har god dialog med </w:t>
      </w:r>
      <w:proofErr w:type="spellStart"/>
      <w:r w:rsidRPr="00225D4D">
        <w:t>partane</w:t>
      </w:r>
      <w:proofErr w:type="spellEnd"/>
      <w:r w:rsidRPr="00225D4D">
        <w:t xml:space="preserve"> i arbeidslivet om oppfølginga av kunnskapsbehova. Departementet </w:t>
      </w:r>
      <w:proofErr w:type="spellStart"/>
      <w:r w:rsidRPr="00225D4D">
        <w:t>avventar</w:t>
      </w:r>
      <w:proofErr w:type="spellEnd"/>
      <w:r w:rsidRPr="00225D4D">
        <w:t xml:space="preserve"> resultata </w:t>
      </w:r>
      <w:proofErr w:type="spellStart"/>
      <w:r w:rsidRPr="00225D4D">
        <w:t>frå</w:t>
      </w:r>
      <w:proofErr w:type="spellEnd"/>
      <w:r w:rsidRPr="00225D4D">
        <w:t xml:space="preserve"> forskingsprosjekta før eventuelle nye tiltak blir vurderte. Regjeringa vil komme tilbake til Stortinget på eigna vis.</w:t>
      </w:r>
    </w:p>
    <w:p w14:paraId="44693883" w14:textId="77777777" w:rsidR="00D60186" w:rsidRPr="00225D4D" w:rsidRDefault="00D60186" w:rsidP="00225D4D">
      <w:pPr>
        <w:pStyle w:val="avsnitt-tittel"/>
      </w:pPr>
      <w:proofErr w:type="spellStart"/>
      <w:r w:rsidRPr="00225D4D">
        <w:t>Endringar</w:t>
      </w:r>
      <w:proofErr w:type="spellEnd"/>
      <w:r w:rsidRPr="00225D4D">
        <w:t xml:space="preserve"> i arbeidsmiljølova m.m. (</w:t>
      </w:r>
      <w:proofErr w:type="spellStart"/>
      <w:r w:rsidRPr="00225D4D">
        <w:t>arbeidstakaromgrepet</w:t>
      </w:r>
      <w:proofErr w:type="spellEnd"/>
      <w:r w:rsidRPr="00225D4D">
        <w:t xml:space="preserve"> og </w:t>
      </w:r>
      <w:proofErr w:type="spellStart"/>
      <w:r w:rsidRPr="00225D4D">
        <w:t>arbeidsgivaransvar</w:t>
      </w:r>
      <w:proofErr w:type="spellEnd"/>
      <w:r w:rsidRPr="00225D4D">
        <w:t xml:space="preserve"> i konsern)</w:t>
      </w:r>
    </w:p>
    <w:p w14:paraId="13A9C160" w14:textId="77777777" w:rsidR="00D60186" w:rsidRPr="00225D4D" w:rsidRDefault="00D60186" w:rsidP="00225D4D">
      <w:pPr>
        <w:pStyle w:val="avsnitt-undertittel"/>
      </w:pPr>
      <w:r w:rsidRPr="00225D4D">
        <w:t>Vedtak 493, 21. februar 2023</w:t>
      </w:r>
    </w:p>
    <w:p w14:paraId="726C33CC" w14:textId="77777777" w:rsidR="00D60186" w:rsidRPr="00225D4D" w:rsidRDefault="00D60186" w:rsidP="00225D4D">
      <w:pPr>
        <w:pStyle w:val="blokksit"/>
        <w:rPr>
          <w:rStyle w:val="kursiv"/>
        </w:rPr>
      </w:pPr>
      <w:r w:rsidRPr="00225D4D">
        <w:rPr>
          <w:rStyle w:val="kursiv"/>
        </w:rPr>
        <w:t>«Stortinget ber regjeringen snarest mulig utrede et lovforslag om å gi Arbeidstilsynet påleggskompetanse med hensyn til arbeidstakerbegrepet definert i § 1-8 og komme tilbake til Stortinget på egnet måte.»</w:t>
      </w:r>
    </w:p>
    <w:p w14:paraId="3C0C1497"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14 L (2022–2023), </w:t>
      </w:r>
      <w:proofErr w:type="spellStart"/>
      <w:r w:rsidRPr="00225D4D">
        <w:t>Innst</w:t>
      </w:r>
      <w:proofErr w:type="spellEnd"/>
      <w:r w:rsidRPr="00225D4D">
        <w:t>. 181 L (2022–2023), Lovvedtak 41 (2022–2023).</w:t>
      </w:r>
    </w:p>
    <w:p w14:paraId="367ECBE2" w14:textId="77777777" w:rsidR="00D60186" w:rsidRPr="00225D4D" w:rsidRDefault="00D60186" w:rsidP="00225D4D">
      <w:r w:rsidRPr="00225D4D">
        <w:t xml:space="preserve">Oppmodingsvedtaket blei behandla og kvittert ut gjennom </w:t>
      </w:r>
      <w:proofErr w:type="spellStart"/>
      <w:r w:rsidRPr="00225D4D">
        <w:t>Prop</w:t>
      </w:r>
      <w:proofErr w:type="spellEnd"/>
      <w:r w:rsidRPr="00225D4D">
        <w:t xml:space="preserve">. 80 L (2024–2025). Med det ser departementet oppmodingsvedtaket som </w:t>
      </w:r>
      <w:proofErr w:type="spellStart"/>
      <w:r w:rsidRPr="00225D4D">
        <w:t>følgt</w:t>
      </w:r>
      <w:proofErr w:type="spellEnd"/>
      <w:r w:rsidRPr="00225D4D">
        <w:t xml:space="preserve"> opp.</w:t>
      </w:r>
    </w:p>
    <w:p w14:paraId="39606D93" w14:textId="77777777" w:rsidR="00D60186" w:rsidRPr="00225D4D" w:rsidRDefault="00D60186" w:rsidP="00225D4D">
      <w:pPr>
        <w:pStyle w:val="avsnitt-tittel"/>
      </w:pPr>
      <w:r w:rsidRPr="00225D4D">
        <w:t>Utgreiing av heimel for Arbeidstilsynet til å ta beslag i dokument under tilsyn</w:t>
      </w:r>
    </w:p>
    <w:p w14:paraId="43587D63" w14:textId="77777777" w:rsidR="00D60186" w:rsidRPr="00225D4D" w:rsidRDefault="00D60186" w:rsidP="00225D4D">
      <w:pPr>
        <w:pStyle w:val="avsnitt-undertittel"/>
      </w:pPr>
      <w:r w:rsidRPr="00225D4D">
        <w:t>Vedtak 530, 14. mars 2023</w:t>
      </w:r>
    </w:p>
    <w:p w14:paraId="34CF28C4" w14:textId="77777777" w:rsidR="00D60186" w:rsidRPr="00225D4D" w:rsidRDefault="00D60186" w:rsidP="00225D4D">
      <w:pPr>
        <w:pStyle w:val="blokksit"/>
        <w:rPr>
          <w:rStyle w:val="kursiv"/>
        </w:rPr>
      </w:pPr>
      <w:r w:rsidRPr="00225D4D">
        <w:rPr>
          <w:rStyle w:val="kursiv"/>
        </w:rPr>
        <w:t>«Stortinget ber regjeringen utrede forslag om en hjemmel for å ta beslag i relevante dokumenter som firmaer ikke vil vise frem under Arbeidstilsynets kontroller, og komme tilbake til Stortinget på egnet måte.»</w:t>
      </w:r>
    </w:p>
    <w:p w14:paraId="0A5BACF7" w14:textId="77777777" w:rsidR="00D60186" w:rsidRPr="00225D4D" w:rsidRDefault="00D60186" w:rsidP="00225D4D">
      <w:r w:rsidRPr="00225D4D">
        <w:t xml:space="preserve">Vedtaket blei gjort ved behandling av Dokument 8:70 S (2022–2023), </w:t>
      </w:r>
      <w:proofErr w:type="spellStart"/>
      <w:r w:rsidRPr="00225D4D">
        <w:t>Innst</w:t>
      </w:r>
      <w:proofErr w:type="spellEnd"/>
      <w:r w:rsidRPr="00225D4D">
        <w:t>. 196 S (2022–2023).</w:t>
      </w:r>
    </w:p>
    <w:p w14:paraId="7A073753" w14:textId="77777777" w:rsidR="00D60186" w:rsidRPr="00225D4D" w:rsidRDefault="00D60186" w:rsidP="00225D4D">
      <w:r w:rsidRPr="00225D4D">
        <w:t xml:space="preserve">I </w:t>
      </w:r>
      <w:proofErr w:type="spellStart"/>
      <w:r w:rsidRPr="00225D4D">
        <w:t>Prop</w:t>
      </w:r>
      <w:proofErr w:type="spellEnd"/>
      <w:r w:rsidRPr="00225D4D">
        <w:t xml:space="preserve">. 80 L (2024–2025) la regjeringa fram forslag til ei føresegn som gir Arbeidstilsynet heimel til, på </w:t>
      </w:r>
      <w:proofErr w:type="spellStart"/>
      <w:r w:rsidRPr="00225D4D">
        <w:t>nærmare</w:t>
      </w:r>
      <w:proofErr w:type="spellEnd"/>
      <w:r w:rsidRPr="00225D4D">
        <w:t xml:space="preserve"> vilkår og etter avgjerd av tingretten, å ta beslag i relevante dokument og elektronisk lagra informasjon. Med det ser departementet oppmodingsvedtaket som </w:t>
      </w:r>
      <w:proofErr w:type="spellStart"/>
      <w:r w:rsidRPr="00225D4D">
        <w:t>følgt</w:t>
      </w:r>
      <w:proofErr w:type="spellEnd"/>
      <w:r w:rsidRPr="00225D4D">
        <w:t xml:space="preserve"> opp.</w:t>
      </w:r>
    </w:p>
    <w:p w14:paraId="01E262D1" w14:textId="77777777" w:rsidR="00D60186" w:rsidRPr="00225D4D" w:rsidRDefault="00D60186" w:rsidP="00225D4D">
      <w:pPr>
        <w:pStyle w:val="avsnitt-tittel"/>
      </w:pPr>
      <w:r w:rsidRPr="00225D4D">
        <w:t xml:space="preserve">Greie ut heimel for Arbeidstilsynet til å hente inn informasjon </w:t>
      </w:r>
      <w:proofErr w:type="spellStart"/>
      <w:r w:rsidRPr="00225D4D">
        <w:t>frå</w:t>
      </w:r>
      <w:proofErr w:type="spellEnd"/>
      <w:r w:rsidRPr="00225D4D">
        <w:t xml:space="preserve"> «</w:t>
      </w:r>
      <w:proofErr w:type="spellStart"/>
      <w:r w:rsidRPr="00225D4D">
        <w:t>tredjepartar</w:t>
      </w:r>
      <w:proofErr w:type="spellEnd"/>
      <w:r w:rsidRPr="00225D4D">
        <w:t>»</w:t>
      </w:r>
    </w:p>
    <w:p w14:paraId="64F5A28C" w14:textId="77777777" w:rsidR="00D60186" w:rsidRPr="00225D4D" w:rsidRDefault="00D60186" w:rsidP="00225D4D">
      <w:pPr>
        <w:pStyle w:val="avsnitt-undertittel"/>
      </w:pPr>
      <w:r w:rsidRPr="00225D4D">
        <w:t>Vedtak 531, 14. mars 2023</w:t>
      </w:r>
    </w:p>
    <w:p w14:paraId="3E69BEA9" w14:textId="77777777" w:rsidR="00D60186" w:rsidRPr="00225D4D" w:rsidRDefault="00D60186" w:rsidP="00225D4D">
      <w:pPr>
        <w:pStyle w:val="blokksit"/>
        <w:rPr>
          <w:rStyle w:val="kursiv"/>
        </w:rPr>
      </w:pPr>
      <w:r w:rsidRPr="00225D4D">
        <w:rPr>
          <w:rStyle w:val="kursiv"/>
        </w:rPr>
        <w:t>«Stortinget ber regjeringen utrede forslag som sikrer Arbeidstilsynet adgang til å hente informasjon fra flere aktører, en såkalt tredjepart, og komme tilbake til Stortinget på egnet måte.»</w:t>
      </w:r>
    </w:p>
    <w:p w14:paraId="79C43627" w14:textId="77777777" w:rsidR="00D60186" w:rsidRPr="00225D4D" w:rsidRDefault="00D60186" w:rsidP="00225D4D">
      <w:r w:rsidRPr="00225D4D">
        <w:t xml:space="preserve">Vedtaket blei gjort ved behandling av Dokument 8:70 S (2022–2023), </w:t>
      </w:r>
      <w:proofErr w:type="spellStart"/>
      <w:r w:rsidRPr="00225D4D">
        <w:t>Innst</w:t>
      </w:r>
      <w:proofErr w:type="spellEnd"/>
      <w:r w:rsidRPr="00225D4D">
        <w:t>. 196 S (2022–2023).</w:t>
      </w:r>
    </w:p>
    <w:p w14:paraId="775E716C" w14:textId="77777777" w:rsidR="00D60186" w:rsidRPr="00225D4D" w:rsidRDefault="00D60186" w:rsidP="00225D4D">
      <w:r w:rsidRPr="00225D4D">
        <w:t xml:space="preserve">I </w:t>
      </w:r>
      <w:proofErr w:type="spellStart"/>
      <w:r w:rsidRPr="00225D4D">
        <w:t>Prop</w:t>
      </w:r>
      <w:proofErr w:type="spellEnd"/>
      <w:r w:rsidRPr="00225D4D">
        <w:t xml:space="preserve">. 80 L (2024–2025) la regjeringa fram forslag til ei føresegn som gir Arbeidstilsynet heimel til, på </w:t>
      </w:r>
      <w:proofErr w:type="spellStart"/>
      <w:r w:rsidRPr="00225D4D">
        <w:t>nærmare</w:t>
      </w:r>
      <w:proofErr w:type="spellEnd"/>
      <w:r w:rsidRPr="00225D4D">
        <w:t xml:space="preserve"> vilkår, å hente inn informasjon </w:t>
      </w:r>
      <w:proofErr w:type="spellStart"/>
      <w:r w:rsidRPr="00225D4D">
        <w:t>frå</w:t>
      </w:r>
      <w:proofErr w:type="spellEnd"/>
      <w:r w:rsidRPr="00225D4D">
        <w:t xml:space="preserve"> andre enn den </w:t>
      </w:r>
      <w:proofErr w:type="spellStart"/>
      <w:r w:rsidRPr="00225D4D">
        <w:t>eit</w:t>
      </w:r>
      <w:proofErr w:type="spellEnd"/>
      <w:r w:rsidRPr="00225D4D">
        <w:t xml:space="preserve"> tilsyn er retta mot, </w:t>
      </w:r>
      <w:proofErr w:type="spellStart"/>
      <w:r w:rsidRPr="00225D4D">
        <w:t>såkalla</w:t>
      </w:r>
      <w:proofErr w:type="spellEnd"/>
      <w:r w:rsidRPr="00225D4D">
        <w:t xml:space="preserve"> </w:t>
      </w:r>
      <w:proofErr w:type="spellStart"/>
      <w:r w:rsidRPr="00225D4D">
        <w:t>tredjepartar</w:t>
      </w:r>
      <w:proofErr w:type="spellEnd"/>
      <w:r w:rsidRPr="00225D4D">
        <w:t xml:space="preserve">. Med det ser departementet oppmodingsvedtaket som </w:t>
      </w:r>
      <w:proofErr w:type="spellStart"/>
      <w:r w:rsidRPr="00225D4D">
        <w:t>følgt</w:t>
      </w:r>
      <w:proofErr w:type="spellEnd"/>
      <w:r w:rsidRPr="00225D4D">
        <w:t xml:space="preserve"> opp.</w:t>
      </w:r>
    </w:p>
    <w:p w14:paraId="7D3234CA" w14:textId="77777777" w:rsidR="00D60186" w:rsidRPr="00225D4D" w:rsidRDefault="00D60186" w:rsidP="00225D4D">
      <w:pPr>
        <w:pStyle w:val="avsnitt-tittel"/>
      </w:pPr>
      <w:r w:rsidRPr="00225D4D">
        <w:t xml:space="preserve">Representantforslag om å gå gjennom og vurdere Arbeidstilsynet sine </w:t>
      </w:r>
      <w:proofErr w:type="spellStart"/>
      <w:r w:rsidRPr="00225D4D">
        <w:t>heimlar</w:t>
      </w:r>
      <w:proofErr w:type="spellEnd"/>
      <w:r w:rsidRPr="00225D4D">
        <w:t xml:space="preserve"> for tilsyn, informasjonstilgang og </w:t>
      </w:r>
      <w:proofErr w:type="spellStart"/>
      <w:r w:rsidRPr="00225D4D">
        <w:t>sanksjonsmoglegheiter</w:t>
      </w:r>
      <w:proofErr w:type="spellEnd"/>
      <w:r w:rsidRPr="00225D4D">
        <w:t xml:space="preserve"> etter arbeidsmiljølova</w:t>
      </w:r>
    </w:p>
    <w:p w14:paraId="0A2033A1" w14:textId="77777777" w:rsidR="00D60186" w:rsidRPr="00225D4D" w:rsidRDefault="00D60186" w:rsidP="00225D4D">
      <w:pPr>
        <w:pStyle w:val="avsnitt-undertittel"/>
      </w:pPr>
      <w:r w:rsidRPr="00225D4D">
        <w:t>Vedtak 532, 14. mars 2023</w:t>
      </w:r>
    </w:p>
    <w:p w14:paraId="10695FEA" w14:textId="77777777" w:rsidR="00D60186" w:rsidRPr="00225D4D" w:rsidRDefault="00D60186" w:rsidP="00225D4D">
      <w:pPr>
        <w:pStyle w:val="blokksit"/>
        <w:rPr>
          <w:rStyle w:val="kursiv"/>
        </w:rPr>
      </w:pPr>
      <w:r w:rsidRPr="00225D4D">
        <w:rPr>
          <w:rStyle w:val="kursiv"/>
        </w:rPr>
        <w:t>«Stortinget ber regjeringen gjennomgå og vurdere Arbeidstilsynets hjemler for tilsyn, informasjonstilgang og sanksjonsmuligheter etter arbeidsmiljøloven.»</w:t>
      </w:r>
    </w:p>
    <w:p w14:paraId="35913EDE" w14:textId="77777777" w:rsidR="00D60186" w:rsidRPr="00225D4D" w:rsidRDefault="00D60186" w:rsidP="00225D4D">
      <w:r w:rsidRPr="00225D4D">
        <w:t xml:space="preserve">Vedtaket blei gjort ved behandling av Dokument 8:70 S (2022–2023), </w:t>
      </w:r>
      <w:proofErr w:type="spellStart"/>
      <w:r w:rsidRPr="00225D4D">
        <w:t>Innst</w:t>
      </w:r>
      <w:proofErr w:type="spellEnd"/>
      <w:r w:rsidRPr="00225D4D">
        <w:t>. 196 S (2022–2023).</w:t>
      </w:r>
    </w:p>
    <w:p w14:paraId="2025A098" w14:textId="77777777" w:rsidR="00D60186" w:rsidRPr="00225D4D" w:rsidRDefault="00D60186" w:rsidP="00225D4D">
      <w:r w:rsidRPr="00225D4D">
        <w:t xml:space="preserve">I </w:t>
      </w:r>
      <w:proofErr w:type="spellStart"/>
      <w:r w:rsidRPr="00225D4D">
        <w:t>Prop</w:t>
      </w:r>
      <w:proofErr w:type="spellEnd"/>
      <w:r w:rsidRPr="00225D4D">
        <w:t xml:space="preserve">. 80 L (2024–2025) gjekk departementet grundig gjennom Arbeidstilsynet sine </w:t>
      </w:r>
      <w:proofErr w:type="spellStart"/>
      <w:r w:rsidRPr="00225D4D">
        <w:t>heimlar</w:t>
      </w:r>
      <w:proofErr w:type="spellEnd"/>
      <w:r w:rsidRPr="00225D4D">
        <w:t xml:space="preserve"> for tilsyn, </w:t>
      </w:r>
      <w:proofErr w:type="spellStart"/>
      <w:r w:rsidRPr="00225D4D">
        <w:t>moglegheit</w:t>
      </w:r>
      <w:proofErr w:type="spellEnd"/>
      <w:r w:rsidRPr="00225D4D">
        <w:t xml:space="preserve"> til å innhente </w:t>
      </w:r>
      <w:proofErr w:type="spellStart"/>
      <w:r w:rsidRPr="00225D4D">
        <w:t>opplysningar</w:t>
      </w:r>
      <w:proofErr w:type="spellEnd"/>
      <w:r w:rsidRPr="00225D4D">
        <w:t xml:space="preserve"> og </w:t>
      </w:r>
      <w:proofErr w:type="spellStart"/>
      <w:r w:rsidRPr="00225D4D">
        <w:t>sanksjonsmoglegheiter</w:t>
      </w:r>
      <w:proofErr w:type="spellEnd"/>
      <w:r w:rsidRPr="00225D4D">
        <w:t xml:space="preserve">. I same proposisjon la regjeringa – i tillegg til forslaga som er omtalt under vedtak 530 og 531 av 14. mars 2023 – fram forslag til føresegner som gir Arbeidstilsynet heimel til å gi </w:t>
      </w:r>
      <w:proofErr w:type="spellStart"/>
      <w:r w:rsidRPr="00225D4D">
        <w:t>lovbrotsgebyr</w:t>
      </w:r>
      <w:proofErr w:type="spellEnd"/>
      <w:r w:rsidRPr="00225D4D">
        <w:t xml:space="preserve"> «på staden», dvs. under tilsynet, og å gi fysiske </w:t>
      </w:r>
      <w:proofErr w:type="spellStart"/>
      <w:r w:rsidRPr="00225D4D">
        <w:t>personar</w:t>
      </w:r>
      <w:proofErr w:type="spellEnd"/>
      <w:r w:rsidRPr="00225D4D">
        <w:t xml:space="preserve"> </w:t>
      </w:r>
      <w:proofErr w:type="spellStart"/>
      <w:r w:rsidRPr="00225D4D">
        <w:t>lovbrotsgebyr</w:t>
      </w:r>
      <w:proofErr w:type="spellEnd"/>
      <w:r w:rsidRPr="00225D4D">
        <w:t xml:space="preserve"> under </w:t>
      </w:r>
      <w:proofErr w:type="spellStart"/>
      <w:r w:rsidRPr="00225D4D">
        <w:t>nærmare</w:t>
      </w:r>
      <w:proofErr w:type="spellEnd"/>
      <w:r w:rsidRPr="00225D4D">
        <w:t xml:space="preserve"> vilkår. Departementet la òg fram forslag som styrker </w:t>
      </w:r>
      <w:proofErr w:type="spellStart"/>
      <w:r w:rsidRPr="00225D4D">
        <w:t>heimlane</w:t>
      </w:r>
      <w:proofErr w:type="spellEnd"/>
      <w:r w:rsidRPr="00225D4D">
        <w:t xml:space="preserve"> Arbeidstilsynet har for å ta seg inn i ei </w:t>
      </w:r>
      <w:proofErr w:type="spellStart"/>
      <w:r w:rsidRPr="00225D4D">
        <w:t>verksemd</w:t>
      </w:r>
      <w:proofErr w:type="spellEnd"/>
      <w:r w:rsidRPr="00225D4D">
        <w:t xml:space="preserve"> </w:t>
      </w:r>
      <w:proofErr w:type="spellStart"/>
      <w:r w:rsidRPr="00225D4D">
        <w:t>dei</w:t>
      </w:r>
      <w:proofErr w:type="spellEnd"/>
      <w:r w:rsidRPr="00225D4D">
        <w:t xml:space="preserve"> etter lova har tilgang til, både på eiga hand og gjennom bistand </w:t>
      </w:r>
      <w:proofErr w:type="spellStart"/>
      <w:r w:rsidRPr="00225D4D">
        <w:t>frå</w:t>
      </w:r>
      <w:proofErr w:type="spellEnd"/>
      <w:r w:rsidRPr="00225D4D">
        <w:t xml:space="preserve"> politiet. Med det ser departementet oppmodingsvedtaket som </w:t>
      </w:r>
      <w:proofErr w:type="spellStart"/>
      <w:r w:rsidRPr="00225D4D">
        <w:t>følgt</w:t>
      </w:r>
      <w:proofErr w:type="spellEnd"/>
      <w:r w:rsidRPr="00225D4D">
        <w:t xml:space="preserve"> opp.</w:t>
      </w:r>
    </w:p>
    <w:p w14:paraId="5E8EA7CE" w14:textId="77777777" w:rsidR="00D60186" w:rsidRPr="00225D4D" w:rsidRDefault="00D60186" w:rsidP="00225D4D">
      <w:pPr>
        <w:pStyle w:val="avsnitt-tittel"/>
      </w:pPr>
      <w:proofErr w:type="spellStart"/>
      <w:r w:rsidRPr="00225D4D">
        <w:t>Menneskerettar</w:t>
      </w:r>
      <w:proofErr w:type="spellEnd"/>
      <w:r w:rsidRPr="00225D4D">
        <w:t xml:space="preserve"> for </w:t>
      </w:r>
      <w:proofErr w:type="spellStart"/>
      <w:r w:rsidRPr="00225D4D">
        <w:t>personar</w:t>
      </w:r>
      <w:proofErr w:type="spellEnd"/>
      <w:r w:rsidRPr="00225D4D">
        <w:t xml:space="preserve"> med utviklingshemming – </w:t>
      </w:r>
      <w:proofErr w:type="spellStart"/>
      <w:r w:rsidRPr="00225D4D">
        <w:t>regelendringar</w:t>
      </w:r>
      <w:proofErr w:type="spellEnd"/>
      <w:r w:rsidRPr="00225D4D">
        <w:t xml:space="preserve"> for å gi </w:t>
      </w:r>
      <w:proofErr w:type="spellStart"/>
      <w:r w:rsidRPr="00225D4D">
        <w:t>personar</w:t>
      </w:r>
      <w:proofErr w:type="spellEnd"/>
      <w:r w:rsidRPr="00225D4D">
        <w:t xml:space="preserve"> med utviklingshemming i VTA-O varig oppfølging</w:t>
      </w:r>
    </w:p>
    <w:p w14:paraId="21C879B5" w14:textId="77777777" w:rsidR="00D60186" w:rsidRPr="00225D4D" w:rsidRDefault="00D60186" w:rsidP="00225D4D">
      <w:pPr>
        <w:pStyle w:val="avsnitt-undertittel"/>
      </w:pPr>
      <w:r w:rsidRPr="00225D4D">
        <w:t>Vedtak 604, 18. april 2023</w:t>
      </w:r>
    </w:p>
    <w:p w14:paraId="22F1CF80" w14:textId="77777777" w:rsidR="00D60186" w:rsidRPr="00225D4D" w:rsidRDefault="00D60186" w:rsidP="00225D4D">
      <w:pPr>
        <w:pStyle w:val="blokksit"/>
        <w:rPr>
          <w:rStyle w:val="kursiv"/>
        </w:rPr>
      </w:pPr>
      <w:r w:rsidRPr="00225D4D">
        <w:rPr>
          <w:rStyle w:val="kursiv"/>
        </w:rPr>
        <w:t>«Stortinget ber regjeringen sørge for nødvendige regelendringer for å gi personer med utviklingshemming i VTA-O varig oppfølging, uavhengig av hvilket fylke man bor i, og med et omfang tilsvarende det som praktiseres i HELT MED. Oppfølgingen må kunne gis også av andre enn Nav, eksempelvis HELT MED eller vekst- og attføringsbedriftene, gjerne ved at dagens tilskudd erstattes med varig oppfølging av både arbeidstaker og arbeidsgiver. Regjeringen bes komme tilbake med sin oppfølging i forbindelse med statsbudsjettet for 2024.»</w:t>
      </w:r>
    </w:p>
    <w:p w14:paraId="31B22490" w14:textId="77777777" w:rsidR="00D60186" w:rsidRPr="00225D4D" w:rsidRDefault="00D60186" w:rsidP="00225D4D">
      <w:r w:rsidRPr="00225D4D">
        <w:t xml:space="preserve">Vedtaket blei gjort ved behandling av Meld. St. 8 (2022–2023), </w:t>
      </w:r>
      <w:proofErr w:type="spellStart"/>
      <w:r w:rsidRPr="00225D4D">
        <w:t>Innst</w:t>
      </w:r>
      <w:proofErr w:type="spellEnd"/>
      <w:r w:rsidRPr="00225D4D">
        <w:t>. 246 S (2022–2023).</w:t>
      </w:r>
    </w:p>
    <w:p w14:paraId="1A317198" w14:textId="77777777" w:rsidR="00D60186" w:rsidRPr="00225D4D" w:rsidRDefault="00D60186" w:rsidP="00225D4D">
      <w:r w:rsidRPr="00225D4D">
        <w:t xml:space="preserve">Arbeids- og inkluderingsdepartementet sende forslag til justering av forskrift om </w:t>
      </w:r>
      <w:proofErr w:type="spellStart"/>
      <w:r w:rsidRPr="00225D4D">
        <w:t>arbeidsmarknadstiltak</w:t>
      </w:r>
      <w:proofErr w:type="spellEnd"/>
      <w:r w:rsidRPr="00225D4D">
        <w:t xml:space="preserve"> på </w:t>
      </w:r>
      <w:proofErr w:type="spellStart"/>
      <w:r w:rsidRPr="00225D4D">
        <w:t>høyring</w:t>
      </w:r>
      <w:proofErr w:type="spellEnd"/>
      <w:r w:rsidRPr="00225D4D">
        <w:t xml:space="preserve"> 25. juni 2025 med </w:t>
      </w:r>
      <w:proofErr w:type="spellStart"/>
      <w:r w:rsidRPr="00225D4D">
        <w:t>høyringsfrist</w:t>
      </w:r>
      <w:proofErr w:type="spellEnd"/>
      <w:r w:rsidRPr="00225D4D">
        <w:t xml:space="preserve"> 20. oktober. Forslaget </w:t>
      </w:r>
      <w:proofErr w:type="spellStart"/>
      <w:r w:rsidRPr="00225D4D">
        <w:t>legg</w:t>
      </w:r>
      <w:proofErr w:type="spellEnd"/>
      <w:r w:rsidRPr="00225D4D">
        <w:t xml:space="preserve"> til rette for varig oppfølging av </w:t>
      </w:r>
      <w:proofErr w:type="spellStart"/>
      <w:r w:rsidRPr="00225D4D">
        <w:t>deltakarane</w:t>
      </w:r>
      <w:proofErr w:type="spellEnd"/>
      <w:r w:rsidRPr="00225D4D">
        <w:t xml:space="preserve"> i varig tilrettelagt arbeid i ordinære </w:t>
      </w:r>
      <w:proofErr w:type="spellStart"/>
      <w:r w:rsidRPr="00225D4D">
        <w:t>verksemder</w:t>
      </w:r>
      <w:proofErr w:type="spellEnd"/>
      <w:r w:rsidRPr="00225D4D">
        <w:t xml:space="preserve">. Arbeids- og velferdsetaten vil kunne drive oppfølging med eigne tilsette eller kjøpe oppfølginga som ei </w:t>
      </w:r>
      <w:proofErr w:type="spellStart"/>
      <w:r w:rsidRPr="00225D4D">
        <w:t>teneste</w:t>
      </w:r>
      <w:proofErr w:type="spellEnd"/>
      <w:r w:rsidRPr="00225D4D">
        <w:t xml:space="preserve"> </w:t>
      </w:r>
      <w:proofErr w:type="spellStart"/>
      <w:r w:rsidRPr="00225D4D">
        <w:t>frå</w:t>
      </w:r>
      <w:proofErr w:type="spellEnd"/>
      <w:r w:rsidRPr="00225D4D">
        <w:t xml:space="preserve"> </w:t>
      </w:r>
      <w:proofErr w:type="spellStart"/>
      <w:r w:rsidRPr="00225D4D">
        <w:t>førehandsgodkjende</w:t>
      </w:r>
      <w:proofErr w:type="spellEnd"/>
      <w:r w:rsidRPr="00225D4D">
        <w:t xml:space="preserve"> </w:t>
      </w:r>
      <w:proofErr w:type="spellStart"/>
      <w:r w:rsidRPr="00225D4D">
        <w:t>verksemder</w:t>
      </w:r>
      <w:proofErr w:type="spellEnd"/>
      <w:r w:rsidRPr="00225D4D">
        <w:t xml:space="preserve"> som oppfyller krava i tiltaksforskrifta § 14-5. Som regel vil </w:t>
      </w:r>
      <w:proofErr w:type="spellStart"/>
      <w:r w:rsidRPr="00225D4D">
        <w:t>desse</w:t>
      </w:r>
      <w:proofErr w:type="spellEnd"/>
      <w:r w:rsidRPr="00225D4D">
        <w:t xml:space="preserve"> </w:t>
      </w:r>
      <w:proofErr w:type="spellStart"/>
      <w:r w:rsidRPr="00225D4D">
        <w:t>vere</w:t>
      </w:r>
      <w:proofErr w:type="spellEnd"/>
      <w:r w:rsidRPr="00225D4D">
        <w:t xml:space="preserve"> aksjeselskap med kommunal eller fylkeskommunal aksjemajoritet, men forskrifta </w:t>
      </w:r>
      <w:proofErr w:type="spellStart"/>
      <w:r w:rsidRPr="00225D4D">
        <w:t>opnar</w:t>
      </w:r>
      <w:proofErr w:type="spellEnd"/>
      <w:r w:rsidRPr="00225D4D">
        <w:t xml:space="preserve"> òg for ideelle </w:t>
      </w:r>
      <w:proofErr w:type="spellStart"/>
      <w:r w:rsidRPr="00225D4D">
        <w:t>organisasjonar</w:t>
      </w:r>
      <w:proofErr w:type="spellEnd"/>
      <w:r w:rsidRPr="00225D4D">
        <w:t xml:space="preserve"> som har som primær </w:t>
      </w:r>
      <w:proofErr w:type="spellStart"/>
      <w:r w:rsidRPr="00225D4D">
        <w:t>verksemd</w:t>
      </w:r>
      <w:proofErr w:type="spellEnd"/>
      <w:r w:rsidRPr="00225D4D">
        <w:t xml:space="preserve"> å drive sosiale </w:t>
      </w:r>
      <w:proofErr w:type="spellStart"/>
      <w:r w:rsidRPr="00225D4D">
        <w:t>aktivitetar</w:t>
      </w:r>
      <w:proofErr w:type="spellEnd"/>
      <w:r w:rsidRPr="00225D4D">
        <w:t xml:space="preserve"> for </w:t>
      </w:r>
      <w:proofErr w:type="spellStart"/>
      <w:r w:rsidRPr="00225D4D">
        <w:t>vanskelegstilte</w:t>
      </w:r>
      <w:proofErr w:type="spellEnd"/>
      <w:r w:rsidRPr="00225D4D">
        <w:t xml:space="preserve"> </w:t>
      </w:r>
      <w:proofErr w:type="spellStart"/>
      <w:r w:rsidRPr="00225D4D">
        <w:t>personar</w:t>
      </w:r>
      <w:proofErr w:type="spellEnd"/>
      <w:r w:rsidRPr="00225D4D">
        <w:t>.</w:t>
      </w:r>
    </w:p>
    <w:p w14:paraId="75DFA06B" w14:textId="77777777" w:rsidR="00D60186" w:rsidRPr="00225D4D" w:rsidRDefault="00D60186" w:rsidP="00225D4D">
      <w:r w:rsidRPr="00225D4D">
        <w:t xml:space="preserve">Arbeids- og velferdsdirektoratet har sett i gang </w:t>
      </w:r>
      <w:proofErr w:type="spellStart"/>
      <w:r w:rsidRPr="00225D4D">
        <w:t>eit</w:t>
      </w:r>
      <w:proofErr w:type="spellEnd"/>
      <w:r w:rsidRPr="00225D4D">
        <w:t xml:space="preserve"> pilotprosjekt i samarbeid med stiftinga Helt med. </w:t>
      </w:r>
      <w:proofErr w:type="spellStart"/>
      <w:r w:rsidRPr="00225D4D">
        <w:t>Erfaringar</w:t>
      </w:r>
      <w:proofErr w:type="spellEnd"/>
      <w:r w:rsidRPr="00225D4D">
        <w:t xml:space="preserve"> </w:t>
      </w:r>
      <w:proofErr w:type="spellStart"/>
      <w:r w:rsidRPr="00225D4D">
        <w:t>frå</w:t>
      </w:r>
      <w:proofErr w:type="spellEnd"/>
      <w:r w:rsidRPr="00225D4D">
        <w:t xml:space="preserve"> pilotprosjektet vil bli </w:t>
      </w:r>
      <w:proofErr w:type="spellStart"/>
      <w:r w:rsidRPr="00225D4D">
        <w:t>trekte</w:t>
      </w:r>
      <w:proofErr w:type="spellEnd"/>
      <w:r w:rsidRPr="00225D4D">
        <w:t xml:space="preserve"> inn i arbeidet med den permanente ordninga.</w:t>
      </w:r>
    </w:p>
    <w:p w14:paraId="1F1A1EA9" w14:textId="77777777" w:rsidR="00D60186" w:rsidRPr="00225D4D" w:rsidRDefault="00D60186" w:rsidP="00225D4D">
      <w:r w:rsidRPr="00225D4D">
        <w:t>Regjeringa vil komme tilbake til Stortinget på eigna måte.</w:t>
      </w:r>
    </w:p>
    <w:p w14:paraId="4817018D" w14:textId="77777777" w:rsidR="00D60186" w:rsidRPr="00225D4D" w:rsidRDefault="00D60186" w:rsidP="00225D4D">
      <w:pPr>
        <w:pStyle w:val="avsnitt-tittel"/>
      </w:pPr>
      <w:r w:rsidRPr="00225D4D">
        <w:t xml:space="preserve">Prioritering av operative </w:t>
      </w:r>
      <w:proofErr w:type="spellStart"/>
      <w:r w:rsidRPr="00225D4D">
        <w:t>kontrollar</w:t>
      </w:r>
      <w:proofErr w:type="spellEnd"/>
      <w:r w:rsidRPr="00225D4D">
        <w:t xml:space="preserve">, sanksjonering og etterforsking </w:t>
      </w:r>
      <w:proofErr w:type="spellStart"/>
      <w:r w:rsidRPr="00225D4D">
        <w:t>frå</w:t>
      </w:r>
      <w:proofErr w:type="spellEnd"/>
      <w:r w:rsidRPr="00225D4D">
        <w:t xml:space="preserve"> a-</w:t>
      </w:r>
      <w:proofErr w:type="spellStart"/>
      <w:r w:rsidRPr="00225D4D">
        <w:t>krimsentera</w:t>
      </w:r>
      <w:proofErr w:type="spellEnd"/>
    </w:p>
    <w:p w14:paraId="35A354FE" w14:textId="77777777" w:rsidR="00D60186" w:rsidRPr="00225D4D" w:rsidRDefault="00D60186" w:rsidP="00225D4D">
      <w:pPr>
        <w:pStyle w:val="avsnitt-undertittel"/>
      </w:pPr>
      <w:r w:rsidRPr="00225D4D">
        <w:t>Vedtak 727, 1. juni 2023</w:t>
      </w:r>
    </w:p>
    <w:p w14:paraId="560054C9" w14:textId="77777777" w:rsidR="00D60186" w:rsidRPr="00225D4D" w:rsidRDefault="00D60186" w:rsidP="00225D4D">
      <w:pPr>
        <w:pStyle w:val="blokksit"/>
        <w:rPr>
          <w:rStyle w:val="kursiv"/>
        </w:rPr>
      </w:pPr>
      <w:r w:rsidRPr="00225D4D">
        <w:rPr>
          <w:rStyle w:val="kursiv"/>
        </w:rPr>
        <w:t>«Stortinget ber regjeringen sørge for at a-krimsentrene prioriterer operative kontroller, sanksjonering og etterforskning, samt at kunnskapsinnhentingen innrettes for å understøtte dette.»</w:t>
      </w:r>
    </w:p>
    <w:p w14:paraId="65C18BEB" w14:textId="77777777" w:rsidR="00D60186" w:rsidRPr="00225D4D" w:rsidRDefault="00D60186" w:rsidP="00225D4D">
      <w:r w:rsidRPr="00225D4D">
        <w:t xml:space="preserve">Vedtaket blei gjort ved behandling av Dokument 8:198 S (2022–2023), </w:t>
      </w:r>
      <w:proofErr w:type="spellStart"/>
      <w:r w:rsidRPr="00225D4D">
        <w:t>Innst</w:t>
      </w:r>
      <w:proofErr w:type="spellEnd"/>
      <w:r w:rsidRPr="00225D4D">
        <w:t>. 388 S (2022–2023).</w:t>
      </w:r>
    </w:p>
    <w:p w14:paraId="4D219B99" w14:textId="77777777" w:rsidR="00D60186" w:rsidRPr="00225D4D" w:rsidRDefault="00D60186" w:rsidP="00225D4D">
      <w:r w:rsidRPr="00225D4D">
        <w:t xml:space="preserve">Arbeidstilsynet, Arbeids- og velferdsetaten, politiet og Skatteetaten gjennomfører </w:t>
      </w:r>
      <w:proofErr w:type="spellStart"/>
      <w:r w:rsidRPr="00225D4D">
        <w:t>ein</w:t>
      </w:r>
      <w:proofErr w:type="spellEnd"/>
      <w:r w:rsidRPr="00225D4D">
        <w:t xml:space="preserve"> felles innsats mot arbeidslivskriminalitet. Arbeids- og inkluderingsdepartementet, Finansdepartementet og Justis- og beredskapsdepartementet har gitt </w:t>
      </w:r>
      <w:proofErr w:type="spellStart"/>
      <w:r w:rsidRPr="00225D4D">
        <w:t>etatane</w:t>
      </w:r>
      <w:proofErr w:type="spellEnd"/>
      <w:r w:rsidRPr="00225D4D">
        <w:t xml:space="preserve"> </w:t>
      </w:r>
      <w:proofErr w:type="spellStart"/>
      <w:r w:rsidRPr="00225D4D">
        <w:t>eit</w:t>
      </w:r>
      <w:proofErr w:type="spellEnd"/>
      <w:r w:rsidRPr="00225D4D">
        <w:t xml:space="preserve"> felles oppdrag om å </w:t>
      </w:r>
      <w:proofErr w:type="spellStart"/>
      <w:r w:rsidRPr="00225D4D">
        <w:t>vidareutvikle</w:t>
      </w:r>
      <w:proofErr w:type="spellEnd"/>
      <w:r w:rsidRPr="00225D4D">
        <w:t xml:space="preserve"> samarbeidet sitt. </w:t>
      </w:r>
      <w:proofErr w:type="spellStart"/>
      <w:r w:rsidRPr="00225D4D">
        <w:t>Etatane</w:t>
      </w:r>
      <w:proofErr w:type="spellEnd"/>
      <w:r w:rsidRPr="00225D4D">
        <w:t xml:space="preserve"> er i gang med ulike tiltak som bidrar til dette. Det er innført ei </w:t>
      </w:r>
      <w:proofErr w:type="spellStart"/>
      <w:r w:rsidRPr="00225D4D">
        <w:t>tydelegare</w:t>
      </w:r>
      <w:proofErr w:type="spellEnd"/>
      <w:r w:rsidRPr="00225D4D">
        <w:t xml:space="preserve"> og </w:t>
      </w:r>
      <w:proofErr w:type="spellStart"/>
      <w:r w:rsidRPr="00225D4D">
        <w:t>meir</w:t>
      </w:r>
      <w:proofErr w:type="spellEnd"/>
      <w:r w:rsidRPr="00225D4D">
        <w:t xml:space="preserve"> målretta styring av samarbeidet for å oppnå </w:t>
      </w:r>
      <w:proofErr w:type="spellStart"/>
      <w:r w:rsidRPr="00225D4D">
        <w:t>likare</w:t>
      </w:r>
      <w:proofErr w:type="spellEnd"/>
      <w:r w:rsidRPr="00225D4D">
        <w:t xml:space="preserve"> prioritering av tiltak mot </w:t>
      </w:r>
      <w:proofErr w:type="spellStart"/>
      <w:r w:rsidRPr="00225D4D">
        <w:t>dei</w:t>
      </w:r>
      <w:proofErr w:type="spellEnd"/>
      <w:r w:rsidRPr="00225D4D">
        <w:t xml:space="preserve"> kriminelle </w:t>
      </w:r>
      <w:proofErr w:type="spellStart"/>
      <w:r w:rsidRPr="00225D4D">
        <w:t>aktørane</w:t>
      </w:r>
      <w:proofErr w:type="spellEnd"/>
      <w:r w:rsidRPr="00225D4D">
        <w:t xml:space="preserve"> i arbeidslivet. </w:t>
      </w:r>
      <w:proofErr w:type="spellStart"/>
      <w:r w:rsidRPr="00225D4D">
        <w:t>Vidare</w:t>
      </w:r>
      <w:proofErr w:type="spellEnd"/>
      <w:r w:rsidRPr="00225D4D">
        <w:t xml:space="preserve"> er det gjennomført felles kunnskapsinnhenting som grunnlag for </w:t>
      </w:r>
      <w:proofErr w:type="spellStart"/>
      <w:r w:rsidRPr="00225D4D">
        <w:t>ein</w:t>
      </w:r>
      <w:proofErr w:type="spellEnd"/>
      <w:r w:rsidRPr="00225D4D">
        <w:t xml:space="preserve"> samla kontrollinnsats </w:t>
      </w:r>
      <w:proofErr w:type="spellStart"/>
      <w:r w:rsidRPr="00225D4D">
        <w:t>frå</w:t>
      </w:r>
      <w:proofErr w:type="spellEnd"/>
      <w:r w:rsidRPr="00225D4D">
        <w:t xml:space="preserve"> a-krimsentra og det lokale a-krimsamarbeidet mellom </w:t>
      </w:r>
      <w:proofErr w:type="spellStart"/>
      <w:r w:rsidRPr="00225D4D">
        <w:t>etatane</w:t>
      </w:r>
      <w:proofErr w:type="spellEnd"/>
      <w:r w:rsidRPr="00225D4D">
        <w:t xml:space="preserve">. Nasjonalt </w:t>
      </w:r>
      <w:proofErr w:type="spellStart"/>
      <w:r w:rsidRPr="00225D4D">
        <w:t>tverretatleg</w:t>
      </w:r>
      <w:proofErr w:type="spellEnd"/>
      <w:r w:rsidRPr="00225D4D">
        <w:t xml:space="preserve"> analyse- og etterretningssenter (NTAES) har fått ei </w:t>
      </w:r>
      <w:proofErr w:type="spellStart"/>
      <w:r w:rsidRPr="00225D4D">
        <w:t>tydelegare</w:t>
      </w:r>
      <w:proofErr w:type="spellEnd"/>
      <w:r w:rsidRPr="00225D4D">
        <w:t xml:space="preserve"> rolle i arbeidet med å bygge opp kunnskap om arbeidslivskriminalitet i </w:t>
      </w:r>
      <w:proofErr w:type="spellStart"/>
      <w:r w:rsidRPr="00225D4D">
        <w:t>etatane</w:t>
      </w:r>
      <w:proofErr w:type="spellEnd"/>
      <w:r w:rsidRPr="00225D4D">
        <w:t xml:space="preserve">. Det er i gang </w:t>
      </w:r>
      <w:proofErr w:type="spellStart"/>
      <w:r w:rsidRPr="00225D4D">
        <w:t>eit</w:t>
      </w:r>
      <w:proofErr w:type="spellEnd"/>
      <w:r w:rsidRPr="00225D4D">
        <w:t xml:space="preserve"> arbeid med nytt regelverk for å legge </w:t>
      </w:r>
      <w:proofErr w:type="spellStart"/>
      <w:r w:rsidRPr="00225D4D">
        <w:t>betre</w:t>
      </w:r>
      <w:proofErr w:type="spellEnd"/>
      <w:r w:rsidRPr="00225D4D">
        <w:t xml:space="preserve"> til rette for at NTAES kan dele informasjon på aktørnivå. Som oppfølging av handlingsplanen mot sosial dumping og arbeidslivskriminalitet vil departementa sette i gang </w:t>
      </w:r>
      <w:proofErr w:type="spellStart"/>
      <w:r w:rsidRPr="00225D4D">
        <w:t>eit</w:t>
      </w:r>
      <w:proofErr w:type="spellEnd"/>
      <w:r w:rsidRPr="00225D4D">
        <w:t xml:space="preserve"> </w:t>
      </w:r>
      <w:proofErr w:type="spellStart"/>
      <w:r w:rsidRPr="00225D4D">
        <w:t>vidare</w:t>
      </w:r>
      <w:proofErr w:type="spellEnd"/>
      <w:r w:rsidRPr="00225D4D">
        <w:t xml:space="preserve"> arbeid med utvikling av det </w:t>
      </w:r>
      <w:proofErr w:type="spellStart"/>
      <w:r w:rsidRPr="00225D4D">
        <w:t>tverretatlege</w:t>
      </w:r>
      <w:proofErr w:type="spellEnd"/>
      <w:r w:rsidRPr="00225D4D">
        <w:t xml:space="preserve"> samarbeidet. </w:t>
      </w:r>
      <w:proofErr w:type="spellStart"/>
      <w:r w:rsidRPr="00225D4D">
        <w:t>Eit</w:t>
      </w:r>
      <w:proofErr w:type="spellEnd"/>
      <w:r w:rsidRPr="00225D4D">
        <w:t xml:space="preserve"> sentralt mål er å sikre </w:t>
      </w:r>
      <w:proofErr w:type="spellStart"/>
      <w:r w:rsidRPr="00225D4D">
        <w:t>ein</w:t>
      </w:r>
      <w:proofErr w:type="spellEnd"/>
      <w:r w:rsidRPr="00225D4D">
        <w:t xml:space="preserve"> god balanse mellom den operative kontrollinnsatsen og arbeidet med etterretning og kunnskapsutvikling. Med det ser departementet oppmodingsvedtaket som </w:t>
      </w:r>
      <w:proofErr w:type="spellStart"/>
      <w:r w:rsidRPr="00225D4D">
        <w:t>følgt</w:t>
      </w:r>
      <w:proofErr w:type="spellEnd"/>
      <w:r w:rsidRPr="00225D4D">
        <w:t xml:space="preserve"> opp.</w:t>
      </w:r>
    </w:p>
    <w:p w14:paraId="1D5B25A2" w14:textId="77777777" w:rsidR="00D60186" w:rsidRPr="00225D4D" w:rsidRDefault="00D60186" w:rsidP="00225D4D">
      <w:pPr>
        <w:pStyle w:val="avsnitt-tittel"/>
      </w:pPr>
      <w:r w:rsidRPr="00225D4D">
        <w:t xml:space="preserve">Vurdere bruk av arrest og utlegg </w:t>
      </w:r>
      <w:proofErr w:type="spellStart"/>
      <w:r w:rsidRPr="00225D4D">
        <w:t>frå</w:t>
      </w:r>
      <w:proofErr w:type="spellEnd"/>
      <w:r w:rsidRPr="00225D4D">
        <w:t xml:space="preserve"> kriminelle </w:t>
      </w:r>
      <w:proofErr w:type="spellStart"/>
      <w:r w:rsidRPr="00225D4D">
        <w:t>aktørar</w:t>
      </w:r>
      <w:proofErr w:type="spellEnd"/>
      <w:r w:rsidRPr="00225D4D">
        <w:t xml:space="preserve"> i a-krimsamarbeidet</w:t>
      </w:r>
    </w:p>
    <w:p w14:paraId="4CBF84A7" w14:textId="77777777" w:rsidR="00D60186" w:rsidRPr="00225D4D" w:rsidRDefault="00D60186" w:rsidP="00225D4D">
      <w:pPr>
        <w:pStyle w:val="avsnitt-undertittel"/>
      </w:pPr>
      <w:r w:rsidRPr="00225D4D">
        <w:t>Vedtak 728, 1. juni 2023</w:t>
      </w:r>
    </w:p>
    <w:p w14:paraId="6A50DB79" w14:textId="0D55D813" w:rsidR="00D60186" w:rsidRPr="00225D4D" w:rsidRDefault="00D60186" w:rsidP="00225D4D">
      <w:pPr>
        <w:pStyle w:val="blokksit"/>
        <w:rPr>
          <w:rStyle w:val="kursiv"/>
        </w:rPr>
      </w:pPr>
      <w:r w:rsidRPr="00225D4D">
        <w:rPr>
          <w:rStyle w:val="kursiv"/>
        </w:rPr>
        <w:t>«Stortinget ber regjeringen sørge for at man i a</w:t>
      </w:r>
      <w:r w:rsidR="00225D4D">
        <w:rPr>
          <w:rStyle w:val="kursiv"/>
        </w:rPr>
        <w:t>-</w:t>
      </w:r>
      <w:r w:rsidRPr="00225D4D">
        <w:rPr>
          <w:rStyle w:val="kursiv"/>
        </w:rPr>
        <w:t>krimsamarbeidet prioriterer bruk av arrest og utlegg fra kriminelle aktører.»</w:t>
      </w:r>
    </w:p>
    <w:p w14:paraId="3B00A4DF" w14:textId="77777777" w:rsidR="00D60186" w:rsidRPr="00225D4D" w:rsidRDefault="00D60186" w:rsidP="00225D4D">
      <w:r w:rsidRPr="00225D4D">
        <w:t xml:space="preserve">Vedtaket blei gjort ved behandling av Dokument 8:198 S (2022–2023), </w:t>
      </w:r>
      <w:proofErr w:type="spellStart"/>
      <w:r w:rsidRPr="00225D4D">
        <w:t>Innst</w:t>
      </w:r>
      <w:proofErr w:type="spellEnd"/>
      <w:r w:rsidRPr="00225D4D">
        <w:t>. 388 S (2022–2023).</w:t>
      </w:r>
    </w:p>
    <w:p w14:paraId="22C1D8C7" w14:textId="42394E73" w:rsidR="00D60186" w:rsidRPr="00225D4D" w:rsidRDefault="00D60186" w:rsidP="00225D4D">
      <w:r w:rsidRPr="00225D4D">
        <w:t xml:space="preserve">Formålet med den felles innsatsen mot arbeidslivskriminalitet er at </w:t>
      </w:r>
      <w:proofErr w:type="spellStart"/>
      <w:r w:rsidRPr="00225D4D">
        <w:t>dei</w:t>
      </w:r>
      <w:proofErr w:type="spellEnd"/>
      <w:r w:rsidRPr="00225D4D">
        <w:t xml:space="preserve"> samla </w:t>
      </w:r>
      <w:proofErr w:type="spellStart"/>
      <w:r w:rsidRPr="00225D4D">
        <w:t>ressursane</w:t>
      </w:r>
      <w:proofErr w:type="spellEnd"/>
      <w:r w:rsidRPr="00225D4D">
        <w:t xml:space="preserve">, </w:t>
      </w:r>
      <w:proofErr w:type="spellStart"/>
      <w:r w:rsidRPr="00225D4D">
        <w:t>verkemidla</w:t>
      </w:r>
      <w:proofErr w:type="spellEnd"/>
      <w:r w:rsidRPr="00225D4D">
        <w:t xml:space="preserve"> og </w:t>
      </w:r>
      <w:proofErr w:type="spellStart"/>
      <w:r w:rsidRPr="00225D4D">
        <w:t>sanksjonane</w:t>
      </w:r>
      <w:proofErr w:type="spellEnd"/>
      <w:r w:rsidRPr="00225D4D">
        <w:t xml:space="preserve"> til </w:t>
      </w:r>
      <w:proofErr w:type="spellStart"/>
      <w:r w:rsidRPr="00225D4D">
        <w:t>etatane</w:t>
      </w:r>
      <w:proofErr w:type="spellEnd"/>
      <w:r w:rsidRPr="00225D4D">
        <w:t xml:space="preserve"> skal bli sette i </w:t>
      </w:r>
      <w:proofErr w:type="spellStart"/>
      <w:r w:rsidRPr="00225D4D">
        <w:t>samanheng</w:t>
      </w:r>
      <w:proofErr w:type="spellEnd"/>
      <w:r w:rsidRPr="00225D4D">
        <w:t xml:space="preserve"> og nytta på </w:t>
      </w:r>
      <w:proofErr w:type="spellStart"/>
      <w:r w:rsidRPr="00225D4D">
        <w:t>ein</w:t>
      </w:r>
      <w:proofErr w:type="spellEnd"/>
      <w:r w:rsidRPr="00225D4D">
        <w:t xml:space="preserve"> effektiv måte, slik at </w:t>
      </w:r>
      <w:proofErr w:type="spellStart"/>
      <w:r w:rsidRPr="00225D4D">
        <w:t>dei</w:t>
      </w:r>
      <w:proofErr w:type="spellEnd"/>
      <w:r w:rsidRPr="00225D4D">
        <w:t xml:space="preserve"> kriminelle </w:t>
      </w:r>
      <w:proofErr w:type="spellStart"/>
      <w:r w:rsidRPr="00225D4D">
        <w:t>aktørane</w:t>
      </w:r>
      <w:proofErr w:type="spellEnd"/>
      <w:r w:rsidRPr="00225D4D">
        <w:t xml:space="preserve"> får mindre handlingsrom. </w:t>
      </w:r>
      <w:proofErr w:type="spellStart"/>
      <w:r w:rsidRPr="00225D4D">
        <w:t>Eit</w:t>
      </w:r>
      <w:proofErr w:type="spellEnd"/>
      <w:r w:rsidRPr="00225D4D">
        <w:t xml:space="preserve"> av </w:t>
      </w:r>
      <w:proofErr w:type="spellStart"/>
      <w:r w:rsidRPr="00225D4D">
        <w:t>desse</w:t>
      </w:r>
      <w:proofErr w:type="spellEnd"/>
      <w:r w:rsidRPr="00225D4D">
        <w:t xml:space="preserve"> </w:t>
      </w:r>
      <w:proofErr w:type="spellStart"/>
      <w:r w:rsidRPr="00225D4D">
        <w:t>verkemidla</w:t>
      </w:r>
      <w:proofErr w:type="spellEnd"/>
      <w:r w:rsidRPr="00225D4D">
        <w:t xml:space="preserve"> er at Skatteetaten kan </w:t>
      </w:r>
      <w:proofErr w:type="spellStart"/>
      <w:r w:rsidRPr="00225D4D">
        <w:t>krevje</w:t>
      </w:r>
      <w:proofErr w:type="spellEnd"/>
      <w:r w:rsidRPr="00225D4D">
        <w:t xml:space="preserve"> inn pengebeløp gjennom arrest og utlegg. Dei siste åra er a-</w:t>
      </w:r>
      <w:proofErr w:type="spellStart"/>
      <w:r w:rsidRPr="00225D4D">
        <w:t>krimsentera</w:t>
      </w:r>
      <w:proofErr w:type="spellEnd"/>
      <w:r w:rsidRPr="00225D4D">
        <w:t xml:space="preserve"> og det lokale a-krimsamarbeidet blitt knytte </w:t>
      </w:r>
      <w:proofErr w:type="spellStart"/>
      <w:r w:rsidRPr="00225D4D">
        <w:t>tettare</w:t>
      </w:r>
      <w:proofErr w:type="spellEnd"/>
      <w:r w:rsidRPr="00225D4D">
        <w:t xml:space="preserve"> til Skatteetaten sin divisjon for </w:t>
      </w:r>
      <w:proofErr w:type="spellStart"/>
      <w:r w:rsidRPr="00225D4D">
        <w:t>innkrevjing</w:t>
      </w:r>
      <w:proofErr w:type="spellEnd"/>
      <w:r w:rsidRPr="00225D4D">
        <w:t xml:space="preserve">. Saker som blir avdekte gjennom a-krimsamarbeidet, blir ofte </w:t>
      </w:r>
      <w:proofErr w:type="spellStart"/>
      <w:r w:rsidRPr="00225D4D">
        <w:t>følgde</w:t>
      </w:r>
      <w:proofErr w:type="spellEnd"/>
      <w:r w:rsidRPr="00225D4D">
        <w:t xml:space="preserve"> opp i linjeorganisasjonen til etaten. I arbeidet med å sikre </w:t>
      </w:r>
      <w:proofErr w:type="spellStart"/>
      <w:r w:rsidRPr="00225D4D">
        <w:t>verdiar</w:t>
      </w:r>
      <w:proofErr w:type="spellEnd"/>
      <w:r w:rsidRPr="00225D4D">
        <w:t xml:space="preserve"> og redusere tap av inntekter ved </w:t>
      </w:r>
      <w:proofErr w:type="spellStart"/>
      <w:r w:rsidRPr="00225D4D">
        <w:t>manglande</w:t>
      </w:r>
      <w:proofErr w:type="spellEnd"/>
      <w:r w:rsidRPr="00225D4D">
        <w:t xml:space="preserve"> betaling av </w:t>
      </w:r>
      <w:proofErr w:type="spellStart"/>
      <w:r w:rsidRPr="00225D4D">
        <w:t>skattar</w:t>
      </w:r>
      <w:proofErr w:type="spellEnd"/>
      <w:r w:rsidRPr="00225D4D">
        <w:t xml:space="preserve"> og avgifter </w:t>
      </w:r>
      <w:proofErr w:type="spellStart"/>
      <w:r w:rsidRPr="00225D4D">
        <w:t>nyttar</w:t>
      </w:r>
      <w:proofErr w:type="spellEnd"/>
      <w:r w:rsidRPr="00225D4D">
        <w:t xml:space="preserve"> </w:t>
      </w:r>
      <w:proofErr w:type="spellStart"/>
      <w:r w:rsidRPr="00225D4D">
        <w:t>ein</w:t>
      </w:r>
      <w:proofErr w:type="spellEnd"/>
      <w:r w:rsidRPr="00225D4D">
        <w:t xml:space="preserve"> </w:t>
      </w:r>
      <w:proofErr w:type="spellStart"/>
      <w:r w:rsidRPr="00225D4D">
        <w:t>fleire</w:t>
      </w:r>
      <w:proofErr w:type="spellEnd"/>
      <w:r w:rsidRPr="00225D4D">
        <w:t xml:space="preserve"> </w:t>
      </w:r>
      <w:proofErr w:type="spellStart"/>
      <w:r w:rsidRPr="00225D4D">
        <w:t>verkemiddel</w:t>
      </w:r>
      <w:proofErr w:type="spellEnd"/>
      <w:r w:rsidRPr="00225D4D">
        <w:t xml:space="preserve"> i kombinasjon – og går </w:t>
      </w:r>
      <w:proofErr w:type="spellStart"/>
      <w:r w:rsidRPr="00225D4D">
        <w:t>meir</w:t>
      </w:r>
      <w:proofErr w:type="spellEnd"/>
      <w:r w:rsidRPr="00225D4D">
        <w:t xml:space="preserve"> målretta mot a</w:t>
      </w:r>
      <w:r w:rsidR="00225D4D">
        <w:t>-</w:t>
      </w:r>
      <w:proofErr w:type="spellStart"/>
      <w:r w:rsidRPr="00225D4D">
        <w:t>krimaktørar</w:t>
      </w:r>
      <w:proofErr w:type="spellEnd"/>
      <w:r w:rsidRPr="00225D4D">
        <w:t xml:space="preserve">. Effekten av arrest og utlegg har </w:t>
      </w:r>
      <w:proofErr w:type="spellStart"/>
      <w:r w:rsidRPr="00225D4D">
        <w:t>auka</w:t>
      </w:r>
      <w:proofErr w:type="spellEnd"/>
      <w:r w:rsidRPr="00225D4D">
        <w:t xml:space="preserve">. Av </w:t>
      </w:r>
      <w:proofErr w:type="spellStart"/>
      <w:r w:rsidRPr="00225D4D">
        <w:t>årsrapporteringa</w:t>
      </w:r>
      <w:proofErr w:type="spellEnd"/>
      <w:r w:rsidRPr="00225D4D">
        <w:t xml:space="preserve"> for 2024 går det fram at Skatteetaten, i saker som hadde utspring i a-krimsamarbeidet, sikra i overkant av 100 mill. kroner ved bruk av utlegg, arrest, erstatningskrav og konkurskrav. Med det ser departementet oppmodingsvedtaket som </w:t>
      </w:r>
      <w:proofErr w:type="spellStart"/>
      <w:r w:rsidRPr="00225D4D">
        <w:t>følgt</w:t>
      </w:r>
      <w:proofErr w:type="spellEnd"/>
      <w:r w:rsidRPr="00225D4D">
        <w:t xml:space="preserve"> opp.</w:t>
      </w:r>
    </w:p>
    <w:p w14:paraId="01A61500" w14:textId="77777777" w:rsidR="00D60186" w:rsidRPr="00225D4D" w:rsidRDefault="00D60186" w:rsidP="00225D4D">
      <w:pPr>
        <w:pStyle w:val="avsnitt-tittel"/>
      </w:pPr>
      <w:r w:rsidRPr="00225D4D">
        <w:t>Plan for samarbeidet mellom a-</w:t>
      </w:r>
      <w:proofErr w:type="spellStart"/>
      <w:r w:rsidRPr="00225D4D">
        <w:t>krimsentera</w:t>
      </w:r>
      <w:proofErr w:type="spellEnd"/>
      <w:r w:rsidRPr="00225D4D">
        <w:t xml:space="preserve"> og </w:t>
      </w:r>
      <w:proofErr w:type="spellStart"/>
      <w:r w:rsidRPr="00225D4D">
        <w:t>ikkje-statlege</w:t>
      </w:r>
      <w:proofErr w:type="spellEnd"/>
      <w:r w:rsidRPr="00225D4D">
        <w:t xml:space="preserve"> </w:t>
      </w:r>
      <w:proofErr w:type="spellStart"/>
      <w:r w:rsidRPr="00225D4D">
        <w:t>aktørar</w:t>
      </w:r>
      <w:proofErr w:type="spellEnd"/>
    </w:p>
    <w:p w14:paraId="5B805825" w14:textId="77777777" w:rsidR="00D60186" w:rsidRPr="00225D4D" w:rsidRDefault="00D60186" w:rsidP="00225D4D">
      <w:pPr>
        <w:pStyle w:val="avsnitt-undertittel"/>
      </w:pPr>
      <w:r w:rsidRPr="00225D4D">
        <w:t>Vedtak 730, 1. juni 2023</w:t>
      </w:r>
    </w:p>
    <w:p w14:paraId="65C277A8" w14:textId="77777777" w:rsidR="00D60186" w:rsidRPr="00225D4D" w:rsidRDefault="00D60186" w:rsidP="00225D4D">
      <w:pPr>
        <w:pStyle w:val="blokksit"/>
        <w:rPr>
          <w:rStyle w:val="kursiv"/>
        </w:rPr>
      </w:pPr>
      <w:r w:rsidRPr="00225D4D">
        <w:rPr>
          <w:rStyle w:val="kursiv"/>
        </w:rPr>
        <w:t>«Stortinget ber regjeringen sørge for at a-krimsentrene har en plan for samarbeidet med ikke-statlige aktører som er tett på ofrene for arbeidslivskriminalitet, samt at det etableres et kontaktpunkt / en tipsløsning.»</w:t>
      </w:r>
    </w:p>
    <w:p w14:paraId="707542C4" w14:textId="77777777" w:rsidR="00D60186" w:rsidRPr="00225D4D" w:rsidRDefault="00D60186" w:rsidP="00225D4D">
      <w:r w:rsidRPr="00225D4D">
        <w:t xml:space="preserve">Vedtaket blei gjort ved behandling av Dokument 8:198 S (2022–2023), </w:t>
      </w:r>
      <w:proofErr w:type="spellStart"/>
      <w:r w:rsidRPr="00225D4D">
        <w:t>Innst</w:t>
      </w:r>
      <w:proofErr w:type="spellEnd"/>
      <w:r w:rsidRPr="00225D4D">
        <w:t>. 388 S (2022–2023).</w:t>
      </w:r>
    </w:p>
    <w:p w14:paraId="5D8F5821" w14:textId="77777777" w:rsidR="00D60186" w:rsidRPr="00225D4D" w:rsidRDefault="00D60186" w:rsidP="00225D4D">
      <w:r w:rsidRPr="00225D4D">
        <w:t xml:space="preserve">Gjennom den felles innsatsen mot arbeidslivskriminalitet har Arbeidstilsynet, Arbeids- og velferdsetaten, politiet og Skatteetaten utvikla </w:t>
      </w:r>
      <w:proofErr w:type="spellStart"/>
      <w:r w:rsidRPr="00225D4D">
        <w:t>eit</w:t>
      </w:r>
      <w:proofErr w:type="spellEnd"/>
      <w:r w:rsidRPr="00225D4D">
        <w:t xml:space="preserve"> </w:t>
      </w:r>
      <w:proofErr w:type="spellStart"/>
      <w:r w:rsidRPr="00225D4D">
        <w:t>omfattande</w:t>
      </w:r>
      <w:proofErr w:type="spellEnd"/>
      <w:r w:rsidRPr="00225D4D">
        <w:t xml:space="preserve"> samarbeid med andre </w:t>
      </w:r>
      <w:proofErr w:type="spellStart"/>
      <w:r w:rsidRPr="00225D4D">
        <w:t>offentlege</w:t>
      </w:r>
      <w:proofErr w:type="spellEnd"/>
      <w:r w:rsidRPr="00225D4D">
        <w:t xml:space="preserve"> </w:t>
      </w:r>
      <w:proofErr w:type="spellStart"/>
      <w:r w:rsidRPr="00225D4D">
        <w:t>etatar</w:t>
      </w:r>
      <w:proofErr w:type="spellEnd"/>
      <w:r w:rsidRPr="00225D4D">
        <w:t xml:space="preserve">, </w:t>
      </w:r>
      <w:proofErr w:type="spellStart"/>
      <w:r w:rsidRPr="00225D4D">
        <w:t>kommunar</w:t>
      </w:r>
      <w:proofErr w:type="spellEnd"/>
      <w:r w:rsidRPr="00225D4D">
        <w:t xml:space="preserve">, </w:t>
      </w:r>
      <w:proofErr w:type="spellStart"/>
      <w:r w:rsidRPr="00225D4D">
        <w:t>partane</w:t>
      </w:r>
      <w:proofErr w:type="spellEnd"/>
      <w:r w:rsidRPr="00225D4D">
        <w:t xml:space="preserve"> i arbeidslivet og frivillige </w:t>
      </w:r>
      <w:proofErr w:type="spellStart"/>
      <w:r w:rsidRPr="00225D4D">
        <w:t>organisasjonar</w:t>
      </w:r>
      <w:proofErr w:type="spellEnd"/>
      <w:r w:rsidRPr="00225D4D">
        <w:t xml:space="preserve">. Fair Play Bygg, som </w:t>
      </w:r>
      <w:proofErr w:type="spellStart"/>
      <w:r w:rsidRPr="00225D4D">
        <w:t>no</w:t>
      </w:r>
      <w:proofErr w:type="spellEnd"/>
      <w:r w:rsidRPr="00225D4D">
        <w:t xml:space="preserve"> er etablert med grupper mange </w:t>
      </w:r>
      <w:proofErr w:type="spellStart"/>
      <w:r w:rsidRPr="00225D4D">
        <w:t>stader</w:t>
      </w:r>
      <w:proofErr w:type="spellEnd"/>
      <w:r w:rsidRPr="00225D4D">
        <w:t xml:space="preserve"> i landet, er blitt </w:t>
      </w:r>
      <w:proofErr w:type="spellStart"/>
      <w:r w:rsidRPr="00225D4D">
        <w:t>ein</w:t>
      </w:r>
      <w:proofErr w:type="spellEnd"/>
      <w:r w:rsidRPr="00225D4D">
        <w:t xml:space="preserve"> sentral samarbeidspart for </w:t>
      </w:r>
      <w:proofErr w:type="spellStart"/>
      <w:r w:rsidRPr="00225D4D">
        <w:t>etatane</w:t>
      </w:r>
      <w:proofErr w:type="spellEnd"/>
      <w:r w:rsidRPr="00225D4D">
        <w:t xml:space="preserve">. Tips og informasjon </w:t>
      </w:r>
      <w:proofErr w:type="spellStart"/>
      <w:r w:rsidRPr="00225D4D">
        <w:t>frå</w:t>
      </w:r>
      <w:proofErr w:type="spellEnd"/>
      <w:r w:rsidRPr="00225D4D">
        <w:t xml:space="preserve"> Fair Play Bygg-gruppene bidrar til </w:t>
      </w:r>
      <w:proofErr w:type="spellStart"/>
      <w:r w:rsidRPr="00225D4D">
        <w:t>auka</w:t>
      </w:r>
      <w:proofErr w:type="spellEnd"/>
      <w:r w:rsidRPr="00225D4D">
        <w:t xml:space="preserve"> kunnskap om utviklingstrekk og situasjonen for </w:t>
      </w:r>
      <w:proofErr w:type="spellStart"/>
      <w:r w:rsidRPr="00225D4D">
        <w:t>dei</w:t>
      </w:r>
      <w:proofErr w:type="spellEnd"/>
      <w:r w:rsidRPr="00225D4D">
        <w:t xml:space="preserve"> som blir offer for arbeidslivskriminalitet. Dei bidrar òg med tips og informasjon om konkrete </w:t>
      </w:r>
      <w:proofErr w:type="spellStart"/>
      <w:r w:rsidRPr="00225D4D">
        <w:t>trusselaktørar</w:t>
      </w:r>
      <w:proofErr w:type="spellEnd"/>
      <w:r w:rsidRPr="00225D4D">
        <w:t xml:space="preserve">. Gjennom a-krimsamarbeidet har </w:t>
      </w:r>
      <w:proofErr w:type="spellStart"/>
      <w:r w:rsidRPr="00225D4D">
        <w:t>etatane</w:t>
      </w:r>
      <w:proofErr w:type="spellEnd"/>
      <w:r w:rsidRPr="00225D4D">
        <w:t xml:space="preserve"> </w:t>
      </w:r>
      <w:proofErr w:type="spellStart"/>
      <w:r w:rsidRPr="00225D4D">
        <w:t>dessutan</w:t>
      </w:r>
      <w:proofErr w:type="spellEnd"/>
      <w:r w:rsidRPr="00225D4D">
        <w:t xml:space="preserve"> faste </w:t>
      </w:r>
      <w:proofErr w:type="spellStart"/>
      <w:r w:rsidRPr="00225D4D">
        <w:t>møteplassar</w:t>
      </w:r>
      <w:proofErr w:type="spellEnd"/>
      <w:r w:rsidRPr="00225D4D">
        <w:t xml:space="preserve"> med </w:t>
      </w:r>
      <w:proofErr w:type="spellStart"/>
      <w:r w:rsidRPr="00225D4D">
        <w:t>organisasjonar</w:t>
      </w:r>
      <w:proofErr w:type="spellEnd"/>
      <w:r w:rsidRPr="00225D4D">
        <w:t xml:space="preserve"> som gir bistand til </w:t>
      </w:r>
      <w:proofErr w:type="spellStart"/>
      <w:r w:rsidRPr="00225D4D">
        <w:t>enkeltpersonar</w:t>
      </w:r>
      <w:proofErr w:type="spellEnd"/>
      <w:r w:rsidRPr="00225D4D">
        <w:t xml:space="preserve"> som kan </w:t>
      </w:r>
      <w:proofErr w:type="spellStart"/>
      <w:r w:rsidRPr="00225D4D">
        <w:t>vere</w:t>
      </w:r>
      <w:proofErr w:type="spellEnd"/>
      <w:r w:rsidRPr="00225D4D">
        <w:t xml:space="preserve"> utsette for menneskehandel eller andre former for utnytting i arbeidsforhold. Som del av arbeidet med å </w:t>
      </w:r>
      <w:proofErr w:type="spellStart"/>
      <w:r w:rsidRPr="00225D4D">
        <w:t>vidareutvikle</w:t>
      </w:r>
      <w:proofErr w:type="spellEnd"/>
      <w:r w:rsidRPr="00225D4D">
        <w:t xml:space="preserve"> a-krimsamarbeidet skal </w:t>
      </w:r>
      <w:proofErr w:type="spellStart"/>
      <w:r w:rsidRPr="00225D4D">
        <w:t>etatane</w:t>
      </w:r>
      <w:proofErr w:type="spellEnd"/>
      <w:r w:rsidRPr="00225D4D">
        <w:t xml:space="preserve"> ev. vurdere behovet for </w:t>
      </w:r>
      <w:proofErr w:type="spellStart"/>
      <w:r w:rsidRPr="00225D4D">
        <w:t>ein</w:t>
      </w:r>
      <w:proofErr w:type="spellEnd"/>
      <w:r w:rsidRPr="00225D4D">
        <w:t xml:space="preserve"> </w:t>
      </w:r>
      <w:proofErr w:type="spellStart"/>
      <w:r w:rsidRPr="00225D4D">
        <w:t>nærmare</w:t>
      </w:r>
      <w:proofErr w:type="spellEnd"/>
      <w:r w:rsidRPr="00225D4D">
        <w:t xml:space="preserve"> plan for samarbeid med </w:t>
      </w:r>
      <w:proofErr w:type="spellStart"/>
      <w:r w:rsidRPr="00225D4D">
        <w:t>ikkje-statlege</w:t>
      </w:r>
      <w:proofErr w:type="spellEnd"/>
      <w:r w:rsidRPr="00225D4D">
        <w:t xml:space="preserve"> </w:t>
      </w:r>
      <w:proofErr w:type="spellStart"/>
      <w:r w:rsidRPr="00225D4D">
        <w:t>aktørar</w:t>
      </w:r>
      <w:proofErr w:type="spellEnd"/>
      <w:r w:rsidRPr="00225D4D">
        <w:t>.</w:t>
      </w:r>
    </w:p>
    <w:p w14:paraId="5F34DECD" w14:textId="77777777" w:rsidR="00D60186" w:rsidRPr="00225D4D" w:rsidRDefault="00D60186" w:rsidP="00225D4D">
      <w:r w:rsidRPr="00225D4D">
        <w:t>Innsatsen mot arbeidslivskriminalitet skjer både i a-</w:t>
      </w:r>
      <w:proofErr w:type="spellStart"/>
      <w:r w:rsidRPr="00225D4D">
        <w:t>krimsentera</w:t>
      </w:r>
      <w:proofErr w:type="spellEnd"/>
      <w:r w:rsidRPr="00225D4D">
        <w:t xml:space="preserve"> og gjennom arbeidet til </w:t>
      </w:r>
      <w:proofErr w:type="spellStart"/>
      <w:r w:rsidRPr="00225D4D">
        <w:t>etatane</w:t>
      </w:r>
      <w:proofErr w:type="spellEnd"/>
      <w:r w:rsidRPr="00225D4D">
        <w:t xml:space="preserve">. Det er derfor nødvendig og </w:t>
      </w:r>
      <w:proofErr w:type="spellStart"/>
      <w:r w:rsidRPr="00225D4D">
        <w:t>ønskeleg</w:t>
      </w:r>
      <w:proofErr w:type="spellEnd"/>
      <w:r w:rsidRPr="00225D4D">
        <w:t xml:space="preserve"> at tips og informasjon blir formidla til </w:t>
      </w:r>
      <w:proofErr w:type="spellStart"/>
      <w:r w:rsidRPr="00225D4D">
        <w:t>etatane</w:t>
      </w:r>
      <w:proofErr w:type="spellEnd"/>
      <w:r w:rsidRPr="00225D4D">
        <w:t xml:space="preserve"> som har det </w:t>
      </w:r>
      <w:proofErr w:type="spellStart"/>
      <w:r w:rsidRPr="00225D4D">
        <w:t>faglege</w:t>
      </w:r>
      <w:proofErr w:type="spellEnd"/>
      <w:r w:rsidRPr="00225D4D">
        <w:t xml:space="preserve"> ansvaret. Såleis har det </w:t>
      </w:r>
      <w:proofErr w:type="spellStart"/>
      <w:r w:rsidRPr="00225D4D">
        <w:t>ikkje</w:t>
      </w:r>
      <w:proofErr w:type="spellEnd"/>
      <w:r w:rsidRPr="00225D4D">
        <w:t xml:space="preserve"> </w:t>
      </w:r>
      <w:proofErr w:type="spellStart"/>
      <w:r w:rsidRPr="00225D4D">
        <w:t>vore</w:t>
      </w:r>
      <w:proofErr w:type="spellEnd"/>
      <w:r w:rsidRPr="00225D4D">
        <w:t xml:space="preserve"> aktuelt å innføre </w:t>
      </w:r>
      <w:proofErr w:type="spellStart"/>
      <w:r w:rsidRPr="00225D4D">
        <w:t>ordningar</w:t>
      </w:r>
      <w:proofErr w:type="spellEnd"/>
      <w:r w:rsidRPr="00225D4D">
        <w:t xml:space="preserve"> med felles </w:t>
      </w:r>
      <w:proofErr w:type="spellStart"/>
      <w:r w:rsidRPr="00225D4D">
        <w:t>løysingar</w:t>
      </w:r>
      <w:proofErr w:type="spellEnd"/>
      <w:r w:rsidRPr="00225D4D">
        <w:t xml:space="preserve"> for dette som del av a-krimsamarbeidet. Med det ser departementet oppmodingsvedtaket som </w:t>
      </w:r>
      <w:proofErr w:type="spellStart"/>
      <w:r w:rsidRPr="00225D4D">
        <w:t>følgt</w:t>
      </w:r>
      <w:proofErr w:type="spellEnd"/>
      <w:r w:rsidRPr="00225D4D">
        <w:t xml:space="preserve"> opp.</w:t>
      </w:r>
    </w:p>
    <w:p w14:paraId="0A543F22" w14:textId="77777777" w:rsidR="00D60186" w:rsidRPr="00225D4D" w:rsidRDefault="00D60186" w:rsidP="00225D4D">
      <w:pPr>
        <w:pStyle w:val="avsnitt-tittel"/>
      </w:pPr>
      <w:r w:rsidRPr="00225D4D">
        <w:t xml:space="preserve">Vurdering av omlegging av fribeløpet i uføretrygda og andre </w:t>
      </w:r>
      <w:proofErr w:type="spellStart"/>
      <w:r w:rsidRPr="00225D4D">
        <w:t>endringar</w:t>
      </w:r>
      <w:proofErr w:type="spellEnd"/>
    </w:p>
    <w:p w14:paraId="5D06BAF7" w14:textId="77777777" w:rsidR="00D60186" w:rsidRPr="00225D4D" w:rsidRDefault="00D60186" w:rsidP="00225D4D">
      <w:pPr>
        <w:pStyle w:val="avsnitt-undertittel"/>
      </w:pPr>
      <w:r w:rsidRPr="00225D4D">
        <w:t>Vedtak 937, 16. juni 2023</w:t>
      </w:r>
    </w:p>
    <w:p w14:paraId="663F77BC" w14:textId="77777777" w:rsidR="00D60186" w:rsidRPr="00225D4D" w:rsidRDefault="00D60186" w:rsidP="00225D4D">
      <w:pPr>
        <w:pStyle w:val="blokksit"/>
        <w:rPr>
          <w:rStyle w:val="kursiv"/>
        </w:rPr>
      </w:pPr>
      <w:r w:rsidRPr="00225D4D">
        <w:rPr>
          <w:rStyle w:val="kursiv"/>
        </w:rPr>
        <w:t>«Stortinget ber regjeringen i forbindelse med statsbudsjettet for 2024 komme tilbake med en vurdering av en omlegging av fribeløpet i uføretrygden, herunder en vurdering av en økning av fribeløpet inntil 1 G og andre endringer med mål om at uføre med restarbeidsevne i større grad enn med dagens regelverk kan kombinere arbeidsinntekt med uføretrygd.»</w:t>
      </w:r>
    </w:p>
    <w:p w14:paraId="2BE1579E" w14:textId="77777777" w:rsidR="00D60186" w:rsidRPr="00225D4D" w:rsidRDefault="00D60186" w:rsidP="00225D4D">
      <w:r w:rsidRPr="00225D4D">
        <w:t xml:space="preserve">Vedtaket blei gjort ved behandling av Meld. St. 2 (2022–2023), </w:t>
      </w:r>
      <w:proofErr w:type="spellStart"/>
      <w:r w:rsidRPr="00225D4D">
        <w:t>Innst</w:t>
      </w:r>
      <w:proofErr w:type="spellEnd"/>
      <w:r w:rsidRPr="00225D4D">
        <w:t>. 490 S (2022–2023).</w:t>
      </w:r>
    </w:p>
    <w:p w14:paraId="7EEB0696" w14:textId="77777777" w:rsidR="00D60186" w:rsidRPr="00225D4D" w:rsidRDefault="00D60186" w:rsidP="00225D4D">
      <w:r w:rsidRPr="00225D4D">
        <w:t xml:space="preserve">I </w:t>
      </w:r>
      <w:proofErr w:type="spellStart"/>
      <w:r w:rsidRPr="00225D4D">
        <w:t>Prop</w:t>
      </w:r>
      <w:proofErr w:type="spellEnd"/>
      <w:r w:rsidRPr="00225D4D">
        <w:t xml:space="preserve">. 1 S (2024–2025) vurderte departementet nivået på fribeløpet og varsla at </w:t>
      </w:r>
      <w:proofErr w:type="spellStart"/>
      <w:r w:rsidRPr="00225D4D">
        <w:t>ein</w:t>
      </w:r>
      <w:proofErr w:type="spellEnd"/>
      <w:r w:rsidRPr="00225D4D">
        <w:t xml:space="preserve"> ville komme tilbake i </w:t>
      </w:r>
      <w:proofErr w:type="spellStart"/>
      <w:r w:rsidRPr="00225D4D">
        <w:t>Prop</w:t>
      </w:r>
      <w:proofErr w:type="spellEnd"/>
      <w:r w:rsidRPr="00225D4D">
        <w:t xml:space="preserve">. 1 S (2025–2026) med ei vurdering av andre </w:t>
      </w:r>
      <w:proofErr w:type="spellStart"/>
      <w:r w:rsidRPr="00225D4D">
        <w:t>endringar</w:t>
      </w:r>
      <w:proofErr w:type="spellEnd"/>
      <w:r w:rsidRPr="00225D4D">
        <w:t xml:space="preserve">. Regjeringa foreslår to </w:t>
      </w:r>
      <w:proofErr w:type="spellStart"/>
      <w:r w:rsidRPr="00225D4D">
        <w:t>endringar</w:t>
      </w:r>
      <w:proofErr w:type="spellEnd"/>
      <w:r w:rsidRPr="00225D4D">
        <w:t xml:space="preserve"> som kan </w:t>
      </w:r>
      <w:proofErr w:type="spellStart"/>
      <w:r w:rsidRPr="00225D4D">
        <w:t>gjere</w:t>
      </w:r>
      <w:proofErr w:type="spellEnd"/>
      <w:r w:rsidRPr="00225D4D">
        <w:t xml:space="preserve"> det </w:t>
      </w:r>
      <w:proofErr w:type="spellStart"/>
      <w:r w:rsidRPr="00225D4D">
        <w:t>enklare</w:t>
      </w:r>
      <w:proofErr w:type="spellEnd"/>
      <w:r w:rsidRPr="00225D4D">
        <w:t xml:space="preserve"> å kombinere uføretrygd med arbeid. </w:t>
      </w:r>
      <w:proofErr w:type="spellStart"/>
      <w:r w:rsidRPr="00225D4D">
        <w:t>Ein</w:t>
      </w:r>
      <w:proofErr w:type="spellEnd"/>
      <w:r w:rsidRPr="00225D4D">
        <w:t xml:space="preserve"> del uføre har høg kompensasjonsgrad og dermed </w:t>
      </w:r>
      <w:proofErr w:type="spellStart"/>
      <w:r w:rsidRPr="00225D4D">
        <w:t>høg</w:t>
      </w:r>
      <w:proofErr w:type="spellEnd"/>
      <w:r w:rsidRPr="00225D4D">
        <w:t xml:space="preserve"> reduksjonsprosent for uføretrygda når </w:t>
      </w:r>
      <w:proofErr w:type="spellStart"/>
      <w:r w:rsidRPr="00225D4D">
        <w:t>dei</w:t>
      </w:r>
      <w:proofErr w:type="spellEnd"/>
      <w:r w:rsidRPr="00225D4D">
        <w:t xml:space="preserve"> kombinerer trygd med arbeidsinntekt. For at det skal lønne seg </w:t>
      </w:r>
      <w:proofErr w:type="spellStart"/>
      <w:r w:rsidRPr="00225D4D">
        <w:t>meir</w:t>
      </w:r>
      <w:proofErr w:type="spellEnd"/>
      <w:r w:rsidRPr="00225D4D">
        <w:t xml:space="preserve"> for </w:t>
      </w:r>
      <w:proofErr w:type="spellStart"/>
      <w:r w:rsidRPr="00225D4D">
        <w:t>dei</w:t>
      </w:r>
      <w:proofErr w:type="spellEnd"/>
      <w:r w:rsidRPr="00225D4D">
        <w:t xml:space="preserve"> å arbeide, foreslår regjeringa at det blir sett </w:t>
      </w:r>
      <w:proofErr w:type="spellStart"/>
      <w:r w:rsidRPr="00225D4D">
        <w:t>eit</w:t>
      </w:r>
      <w:proofErr w:type="spellEnd"/>
      <w:r w:rsidRPr="00225D4D">
        <w:t xml:space="preserve"> tak på 70 pst. for reduksjonsprosenten. </w:t>
      </w:r>
      <w:proofErr w:type="spellStart"/>
      <w:r w:rsidRPr="00225D4D">
        <w:t>Vidare</w:t>
      </w:r>
      <w:proofErr w:type="spellEnd"/>
      <w:r w:rsidRPr="00225D4D">
        <w:t xml:space="preserve"> foreslår regjeringa at minste inntekt før uførleik for </w:t>
      </w:r>
      <w:proofErr w:type="spellStart"/>
      <w:r w:rsidRPr="00225D4D">
        <w:t>dei</w:t>
      </w:r>
      <w:proofErr w:type="spellEnd"/>
      <w:r w:rsidRPr="00225D4D">
        <w:t xml:space="preserve"> som lever </w:t>
      </w:r>
      <w:proofErr w:type="spellStart"/>
      <w:r w:rsidRPr="00225D4D">
        <w:t>saman</w:t>
      </w:r>
      <w:proofErr w:type="spellEnd"/>
      <w:r w:rsidRPr="00225D4D">
        <w:t xml:space="preserve"> med </w:t>
      </w:r>
      <w:proofErr w:type="spellStart"/>
      <w:r w:rsidRPr="00225D4D">
        <w:t>ein</w:t>
      </w:r>
      <w:proofErr w:type="spellEnd"/>
      <w:r w:rsidRPr="00225D4D">
        <w:t xml:space="preserve"> ektefelle eller </w:t>
      </w:r>
      <w:proofErr w:type="spellStart"/>
      <w:r w:rsidRPr="00225D4D">
        <w:t>sambuar</w:t>
      </w:r>
      <w:proofErr w:type="spellEnd"/>
      <w:r w:rsidRPr="00225D4D">
        <w:t xml:space="preserve">, blir </w:t>
      </w:r>
      <w:proofErr w:type="spellStart"/>
      <w:r w:rsidRPr="00225D4D">
        <w:t>auka</w:t>
      </w:r>
      <w:proofErr w:type="spellEnd"/>
      <w:r w:rsidRPr="00225D4D">
        <w:t xml:space="preserve"> </w:t>
      </w:r>
      <w:proofErr w:type="spellStart"/>
      <w:r w:rsidRPr="00225D4D">
        <w:t>frå</w:t>
      </w:r>
      <w:proofErr w:type="spellEnd"/>
      <w:r w:rsidRPr="00225D4D">
        <w:t xml:space="preserve"> 3,3 til 3,5 G. Det er same nivå som for </w:t>
      </w:r>
      <w:proofErr w:type="spellStart"/>
      <w:r w:rsidRPr="00225D4D">
        <w:t>einslege</w:t>
      </w:r>
      <w:proofErr w:type="spellEnd"/>
      <w:r w:rsidRPr="00225D4D">
        <w:t xml:space="preserve">. Dermed blir uføregraden uavhengig av sivilstand, og gifte og </w:t>
      </w:r>
      <w:proofErr w:type="spellStart"/>
      <w:r w:rsidRPr="00225D4D">
        <w:t>sambuande</w:t>
      </w:r>
      <w:proofErr w:type="spellEnd"/>
      <w:r w:rsidRPr="00225D4D">
        <w:t xml:space="preserve"> som hadde </w:t>
      </w:r>
      <w:proofErr w:type="spellStart"/>
      <w:r w:rsidRPr="00225D4D">
        <w:t>låg</w:t>
      </w:r>
      <w:proofErr w:type="spellEnd"/>
      <w:r w:rsidRPr="00225D4D">
        <w:t xml:space="preserve"> inntekt før </w:t>
      </w:r>
      <w:proofErr w:type="spellStart"/>
      <w:r w:rsidRPr="00225D4D">
        <w:t>dei</w:t>
      </w:r>
      <w:proofErr w:type="spellEnd"/>
      <w:r w:rsidRPr="00225D4D">
        <w:t xml:space="preserve"> blei uføre, vil få </w:t>
      </w:r>
      <w:proofErr w:type="spellStart"/>
      <w:r w:rsidRPr="00225D4D">
        <w:t>meir</w:t>
      </w:r>
      <w:proofErr w:type="spellEnd"/>
      <w:r w:rsidRPr="00225D4D">
        <w:t xml:space="preserve"> igjen for å arbeide. Sjå </w:t>
      </w:r>
      <w:proofErr w:type="spellStart"/>
      <w:r w:rsidRPr="00225D4D">
        <w:t>nærmare</w:t>
      </w:r>
      <w:proofErr w:type="spellEnd"/>
      <w:r w:rsidRPr="00225D4D">
        <w:t xml:space="preserve"> omtale i del II, programkategori 29.50, kap. 2655.</w:t>
      </w:r>
    </w:p>
    <w:p w14:paraId="19689F8E"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5DBDD630" w14:textId="77777777" w:rsidR="00D60186" w:rsidRPr="00225D4D" w:rsidRDefault="00D60186" w:rsidP="00225D4D">
      <w:pPr>
        <w:pStyle w:val="Overskrift2"/>
      </w:pPr>
      <w:r w:rsidRPr="00225D4D">
        <w:t>Stortingssesjon (2021–2022)</w:t>
      </w:r>
    </w:p>
    <w:p w14:paraId="56CED3D7" w14:textId="77777777" w:rsidR="00D60186" w:rsidRPr="00225D4D" w:rsidRDefault="00D60186" w:rsidP="00225D4D">
      <w:pPr>
        <w:pStyle w:val="avsnitt-tittel"/>
      </w:pPr>
      <w:r w:rsidRPr="00225D4D">
        <w:t xml:space="preserve">Greie ut om sjølvstendig </w:t>
      </w:r>
      <w:proofErr w:type="spellStart"/>
      <w:r w:rsidRPr="00225D4D">
        <w:t>næringsdrivande</w:t>
      </w:r>
      <w:proofErr w:type="spellEnd"/>
      <w:r w:rsidRPr="00225D4D">
        <w:t xml:space="preserve"> og </w:t>
      </w:r>
      <w:proofErr w:type="spellStart"/>
      <w:r w:rsidRPr="00225D4D">
        <w:t>frilansarar</w:t>
      </w:r>
      <w:proofErr w:type="spellEnd"/>
      <w:r w:rsidRPr="00225D4D">
        <w:t xml:space="preserve"> skal opparbeide seg </w:t>
      </w:r>
      <w:proofErr w:type="spellStart"/>
      <w:r w:rsidRPr="00225D4D">
        <w:t>sterkare</w:t>
      </w:r>
      <w:proofErr w:type="spellEnd"/>
      <w:r w:rsidRPr="00225D4D">
        <w:t xml:space="preserve"> </w:t>
      </w:r>
      <w:proofErr w:type="spellStart"/>
      <w:r w:rsidRPr="00225D4D">
        <w:t>rettar</w:t>
      </w:r>
      <w:proofErr w:type="spellEnd"/>
      <w:r w:rsidRPr="00225D4D">
        <w:t xml:space="preserve"> til inntektssikring</w:t>
      </w:r>
    </w:p>
    <w:p w14:paraId="57A1C83B" w14:textId="77777777" w:rsidR="00D60186" w:rsidRPr="00225D4D" w:rsidRDefault="00D60186" w:rsidP="00225D4D">
      <w:pPr>
        <w:pStyle w:val="avsnitt-undertittel"/>
      </w:pPr>
      <w:r w:rsidRPr="00225D4D">
        <w:t>Vedtak 456, 31. mars 2022</w:t>
      </w:r>
    </w:p>
    <w:p w14:paraId="748B5333" w14:textId="77777777" w:rsidR="00D60186" w:rsidRPr="00225D4D" w:rsidRDefault="00D60186" w:rsidP="00225D4D">
      <w:pPr>
        <w:pStyle w:val="blokksit"/>
        <w:rPr>
          <w:rStyle w:val="kursiv"/>
        </w:rPr>
      </w:pPr>
      <w:r w:rsidRPr="00225D4D">
        <w:rPr>
          <w:rStyle w:val="kursiv"/>
        </w:rPr>
        <w:t>«Stortinget ber regjeringen utrede om selvstendig næringsdrivende og frilansere skal opparbeide seg sterkere rettigheter til inntektssikring, inkludert forbedring av sykelønnsordningen og sosiale ordninger for selvstendig næringsdrivende.»</w:t>
      </w:r>
    </w:p>
    <w:p w14:paraId="2003CE94" w14:textId="77777777" w:rsidR="00D60186" w:rsidRPr="00225D4D" w:rsidRDefault="00D60186" w:rsidP="00225D4D">
      <w:r w:rsidRPr="00225D4D">
        <w:t xml:space="preserve">Vedtaket blei gjort ved behandling av Dokument 8:92 S (2021–2022), </w:t>
      </w:r>
      <w:proofErr w:type="spellStart"/>
      <w:r w:rsidRPr="00225D4D">
        <w:t>Innst</w:t>
      </w:r>
      <w:proofErr w:type="spellEnd"/>
      <w:r w:rsidRPr="00225D4D">
        <w:t>. 215 S (2021–2022).</w:t>
      </w:r>
    </w:p>
    <w:p w14:paraId="4D18D1C4" w14:textId="77777777" w:rsidR="00D60186" w:rsidRPr="00225D4D" w:rsidRDefault="00D60186" w:rsidP="00225D4D">
      <w:r w:rsidRPr="00225D4D">
        <w:t xml:space="preserve">Departementet har vurdert og greidd ut </w:t>
      </w:r>
      <w:proofErr w:type="spellStart"/>
      <w:r w:rsidRPr="00225D4D">
        <w:t>utvalde</w:t>
      </w:r>
      <w:proofErr w:type="spellEnd"/>
      <w:r w:rsidRPr="00225D4D">
        <w:t xml:space="preserve"> </w:t>
      </w:r>
      <w:proofErr w:type="spellStart"/>
      <w:r w:rsidRPr="00225D4D">
        <w:t>problemstillingar</w:t>
      </w:r>
      <w:proofErr w:type="spellEnd"/>
      <w:r w:rsidRPr="00225D4D">
        <w:t xml:space="preserve"> knytt til </w:t>
      </w:r>
      <w:proofErr w:type="spellStart"/>
      <w:r w:rsidRPr="00225D4D">
        <w:t>dei</w:t>
      </w:r>
      <w:proofErr w:type="spellEnd"/>
      <w:r w:rsidRPr="00225D4D">
        <w:t xml:space="preserve"> sosiale </w:t>
      </w:r>
      <w:proofErr w:type="spellStart"/>
      <w:r w:rsidRPr="00225D4D">
        <w:t>rettane</w:t>
      </w:r>
      <w:proofErr w:type="spellEnd"/>
      <w:r w:rsidRPr="00225D4D">
        <w:t xml:space="preserve"> til sjølvstendig </w:t>
      </w:r>
      <w:proofErr w:type="spellStart"/>
      <w:r w:rsidRPr="00225D4D">
        <w:t>næringsdrivande</w:t>
      </w:r>
      <w:proofErr w:type="spellEnd"/>
      <w:r w:rsidRPr="00225D4D">
        <w:t xml:space="preserve"> og </w:t>
      </w:r>
      <w:proofErr w:type="spellStart"/>
      <w:r w:rsidRPr="00225D4D">
        <w:t>frilansarar</w:t>
      </w:r>
      <w:proofErr w:type="spellEnd"/>
      <w:r w:rsidRPr="00225D4D">
        <w:t xml:space="preserve">. Etter ei samla vurdering meiner regjeringa at det </w:t>
      </w:r>
      <w:proofErr w:type="spellStart"/>
      <w:r w:rsidRPr="00225D4D">
        <w:t>ikkje</w:t>
      </w:r>
      <w:proofErr w:type="spellEnd"/>
      <w:r w:rsidRPr="00225D4D">
        <w:t xml:space="preserve"> er grunn til å endre </w:t>
      </w:r>
      <w:proofErr w:type="spellStart"/>
      <w:r w:rsidRPr="00225D4D">
        <w:t>innretningane</w:t>
      </w:r>
      <w:proofErr w:type="spellEnd"/>
      <w:r w:rsidRPr="00225D4D">
        <w:t xml:space="preserve"> på </w:t>
      </w:r>
      <w:proofErr w:type="spellStart"/>
      <w:r w:rsidRPr="00225D4D">
        <w:t>dei</w:t>
      </w:r>
      <w:proofErr w:type="spellEnd"/>
      <w:r w:rsidRPr="00225D4D">
        <w:t xml:space="preserve"> sosiale </w:t>
      </w:r>
      <w:proofErr w:type="spellStart"/>
      <w:r w:rsidRPr="00225D4D">
        <w:t>ordningane</w:t>
      </w:r>
      <w:proofErr w:type="spellEnd"/>
      <w:r w:rsidRPr="00225D4D">
        <w:t xml:space="preserve"> for sjølvstendig </w:t>
      </w:r>
      <w:proofErr w:type="spellStart"/>
      <w:r w:rsidRPr="00225D4D">
        <w:t>næringsdrivande</w:t>
      </w:r>
      <w:proofErr w:type="spellEnd"/>
      <w:r w:rsidRPr="00225D4D">
        <w:t xml:space="preserve"> og </w:t>
      </w:r>
      <w:proofErr w:type="spellStart"/>
      <w:r w:rsidRPr="00225D4D">
        <w:t>frilansarar</w:t>
      </w:r>
      <w:proofErr w:type="spellEnd"/>
      <w:r w:rsidRPr="00225D4D">
        <w:t xml:space="preserve">. Sjå omtale av oppmodingsvedtak 56 (2023–2024) og omtale i del II, punkt 6.7.4 Sosiale </w:t>
      </w:r>
      <w:proofErr w:type="spellStart"/>
      <w:r w:rsidRPr="00225D4D">
        <w:t>ordningar</w:t>
      </w:r>
      <w:proofErr w:type="spellEnd"/>
      <w:r w:rsidRPr="00225D4D">
        <w:t xml:space="preserve"> for sjølvstendig </w:t>
      </w:r>
      <w:proofErr w:type="spellStart"/>
      <w:r w:rsidRPr="00225D4D">
        <w:t>næringsdrivande</w:t>
      </w:r>
      <w:proofErr w:type="spellEnd"/>
      <w:r w:rsidRPr="00225D4D">
        <w:t xml:space="preserve"> og </w:t>
      </w:r>
      <w:proofErr w:type="spellStart"/>
      <w:r w:rsidRPr="00225D4D">
        <w:t>frilansarar</w:t>
      </w:r>
      <w:proofErr w:type="spellEnd"/>
      <w:r w:rsidRPr="00225D4D">
        <w:t>.</w:t>
      </w:r>
    </w:p>
    <w:p w14:paraId="4C34296A"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08259FDA" w14:textId="77777777" w:rsidR="00D60186" w:rsidRPr="00225D4D" w:rsidRDefault="00D60186" w:rsidP="00225D4D">
      <w:pPr>
        <w:pStyle w:val="avsnitt-tittel"/>
      </w:pPr>
      <w:proofErr w:type="spellStart"/>
      <w:r w:rsidRPr="00225D4D">
        <w:t>Tilgjenge</w:t>
      </w:r>
      <w:proofErr w:type="spellEnd"/>
      <w:r w:rsidRPr="00225D4D">
        <w:t xml:space="preserve"> til og kvalitet i økonomisk rådgiving og gjeldsrådgiving</w:t>
      </w:r>
    </w:p>
    <w:p w14:paraId="26722798" w14:textId="77777777" w:rsidR="00D60186" w:rsidRPr="00225D4D" w:rsidRDefault="00D60186" w:rsidP="00225D4D">
      <w:pPr>
        <w:pStyle w:val="avsnitt-undertittel"/>
      </w:pPr>
      <w:r w:rsidRPr="00225D4D">
        <w:t>Vedtak 794, 15. juni 2022</w:t>
      </w:r>
    </w:p>
    <w:p w14:paraId="0465AAF2" w14:textId="77777777" w:rsidR="00D60186" w:rsidRPr="00225D4D" w:rsidRDefault="00D60186" w:rsidP="00225D4D">
      <w:pPr>
        <w:pStyle w:val="blokksit"/>
        <w:rPr>
          <w:rStyle w:val="kursiv"/>
        </w:rPr>
      </w:pPr>
      <w:r w:rsidRPr="00225D4D">
        <w:rPr>
          <w:rStyle w:val="kursiv"/>
        </w:rPr>
        <w:t>«Stortinget ber regjeringen komme tilbake til Stortinget på egnet måte med en rapport om dekningsgrad for gjeldsrådgivere, ventetiden for å få time hos en gjeldsrådgiver og hvilken kompetanse gjeldsrådgiverne har.»</w:t>
      </w:r>
    </w:p>
    <w:p w14:paraId="4B5BA648" w14:textId="77777777" w:rsidR="00D60186" w:rsidRPr="00225D4D" w:rsidRDefault="00D60186" w:rsidP="00225D4D">
      <w:r w:rsidRPr="00225D4D">
        <w:t xml:space="preserve">Vedtaket blei gjort ved behandling av Dokument 8:200 S (2021–2022), </w:t>
      </w:r>
      <w:proofErr w:type="spellStart"/>
      <w:r w:rsidRPr="00225D4D">
        <w:t>Innst</w:t>
      </w:r>
      <w:proofErr w:type="spellEnd"/>
      <w:r w:rsidRPr="00225D4D">
        <w:t>. 373 S (2021- 2022).</w:t>
      </w:r>
    </w:p>
    <w:p w14:paraId="160703FB" w14:textId="77777777" w:rsidR="00D60186" w:rsidRPr="00225D4D" w:rsidRDefault="00D60186" w:rsidP="00225D4D">
      <w:r w:rsidRPr="00225D4D">
        <w:t xml:space="preserve">Oxford Research har på oppdrag </w:t>
      </w:r>
      <w:proofErr w:type="spellStart"/>
      <w:r w:rsidRPr="00225D4D">
        <w:t>frå</w:t>
      </w:r>
      <w:proofErr w:type="spellEnd"/>
      <w:r w:rsidRPr="00225D4D">
        <w:t xml:space="preserve"> Arbeids- og velferdsdirektoratet gjennomført ei undersøking av den økonomiske rådgivinga i Nav-kontora (rapport 2024/11).</w:t>
      </w:r>
    </w:p>
    <w:p w14:paraId="26307646" w14:textId="77777777" w:rsidR="00D60186" w:rsidRPr="00225D4D" w:rsidRDefault="00D60186" w:rsidP="00225D4D">
      <w:proofErr w:type="spellStart"/>
      <w:r w:rsidRPr="00225D4D">
        <w:t>Tenesta</w:t>
      </w:r>
      <w:proofErr w:type="spellEnd"/>
      <w:r w:rsidRPr="00225D4D">
        <w:t xml:space="preserve"> blir dekt av økonomiske </w:t>
      </w:r>
      <w:proofErr w:type="spellStart"/>
      <w:r w:rsidRPr="00225D4D">
        <w:t>rådgivarar</w:t>
      </w:r>
      <w:proofErr w:type="spellEnd"/>
      <w:r w:rsidRPr="00225D4D">
        <w:t xml:space="preserve">, </w:t>
      </w:r>
      <w:proofErr w:type="spellStart"/>
      <w:r w:rsidRPr="00225D4D">
        <w:t>medrekna</w:t>
      </w:r>
      <w:proofErr w:type="spellEnd"/>
      <w:r w:rsidRPr="00225D4D">
        <w:t xml:space="preserve"> </w:t>
      </w:r>
      <w:proofErr w:type="spellStart"/>
      <w:r w:rsidRPr="00225D4D">
        <w:t>gjeldsrådgivarar</w:t>
      </w:r>
      <w:proofErr w:type="spellEnd"/>
      <w:r w:rsidRPr="00225D4D">
        <w:t>, men òg av andre Nav-</w:t>
      </w:r>
      <w:proofErr w:type="spellStart"/>
      <w:r w:rsidRPr="00225D4D">
        <w:t>rettleiarar</w:t>
      </w:r>
      <w:proofErr w:type="spellEnd"/>
      <w:r w:rsidRPr="00225D4D">
        <w:t xml:space="preserve"> med </w:t>
      </w:r>
      <w:proofErr w:type="spellStart"/>
      <w:r w:rsidRPr="00225D4D">
        <w:t>brukarkontakt</w:t>
      </w:r>
      <w:proofErr w:type="spellEnd"/>
      <w:r w:rsidRPr="00225D4D">
        <w:t xml:space="preserve">. Økonomiske </w:t>
      </w:r>
      <w:proofErr w:type="spellStart"/>
      <w:r w:rsidRPr="00225D4D">
        <w:t>rådgivarar</w:t>
      </w:r>
      <w:proofErr w:type="spellEnd"/>
      <w:r w:rsidRPr="00225D4D">
        <w:t xml:space="preserve"> handterer </w:t>
      </w:r>
      <w:proofErr w:type="spellStart"/>
      <w:r w:rsidRPr="00225D4D">
        <w:t>dei</w:t>
      </w:r>
      <w:proofErr w:type="spellEnd"/>
      <w:r w:rsidRPr="00225D4D">
        <w:t xml:space="preserve"> tyngre og </w:t>
      </w:r>
      <w:proofErr w:type="spellStart"/>
      <w:r w:rsidRPr="00225D4D">
        <w:t>meir</w:t>
      </w:r>
      <w:proofErr w:type="spellEnd"/>
      <w:r w:rsidRPr="00225D4D">
        <w:t xml:space="preserve"> kompliserte sakene, inkludert tiltak på kreditorsida. Alle Nav-kontora i undersøkinga har dedikerte økonomiske </w:t>
      </w:r>
      <w:proofErr w:type="spellStart"/>
      <w:r w:rsidRPr="00225D4D">
        <w:t>rådgivarar</w:t>
      </w:r>
      <w:proofErr w:type="spellEnd"/>
      <w:r w:rsidRPr="00225D4D">
        <w:t xml:space="preserve">. Den </w:t>
      </w:r>
      <w:proofErr w:type="spellStart"/>
      <w:r w:rsidRPr="00225D4D">
        <w:t>vanlegaste</w:t>
      </w:r>
      <w:proofErr w:type="spellEnd"/>
      <w:r w:rsidRPr="00225D4D">
        <w:t xml:space="preserve"> utdanningsbakgrunnen er økonomiske og administrative fag. Dei økonomiske </w:t>
      </w:r>
      <w:proofErr w:type="spellStart"/>
      <w:r w:rsidRPr="00225D4D">
        <w:t>rådgivarane</w:t>
      </w:r>
      <w:proofErr w:type="spellEnd"/>
      <w:r w:rsidRPr="00225D4D">
        <w:t xml:space="preserve"> opplever i stor grad å ha </w:t>
      </w:r>
      <w:proofErr w:type="spellStart"/>
      <w:r w:rsidRPr="00225D4D">
        <w:t>tilstrekkeleg</w:t>
      </w:r>
      <w:proofErr w:type="spellEnd"/>
      <w:r w:rsidRPr="00225D4D">
        <w:t xml:space="preserve"> kompetanse. </w:t>
      </w:r>
      <w:proofErr w:type="spellStart"/>
      <w:r w:rsidRPr="00225D4D">
        <w:t>Ein</w:t>
      </w:r>
      <w:proofErr w:type="spellEnd"/>
      <w:r w:rsidRPr="00225D4D">
        <w:t xml:space="preserve"> stor andel av andre Nav-</w:t>
      </w:r>
      <w:proofErr w:type="spellStart"/>
      <w:r w:rsidRPr="00225D4D">
        <w:t>rettleiarar</w:t>
      </w:r>
      <w:proofErr w:type="spellEnd"/>
      <w:r w:rsidRPr="00225D4D">
        <w:t xml:space="preserve"> med </w:t>
      </w:r>
      <w:proofErr w:type="spellStart"/>
      <w:r w:rsidRPr="00225D4D">
        <w:t>brukarkontakt</w:t>
      </w:r>
      <w:proofErr w:type="spellEnd"/>
      <w:r w:rsidRPr="00225D4D">
        <w:t xml:space="preserve"> yter òg enkel økonomisk rådgiving og rettleiing. Mange av </w:t>
      </w:r>
      <w:proofErr w:type="spellStart"/>
      <w:r w:rsidRPr="00225D4D">
        <w:t>desse</w:t>
      </w:r>
      <w:proofErr w:type="spellEnd"/>
      <w:r w:rsidRPr="00225D4D">
        <w:t xml:space="preserve"> </w:t>
      </w:r>
      <w:proofErr w:type="spellStart"/>
      <w:r w:rsidRPr="00225D4D">
        <w:t>peiker</w:t>
      </w:r>
      <w:proofErr w:type="spellEnd"/>
      <w:r w:rsidRPr="00225D4D">
        <w:t xml:space="preserve"> på behov for </w:t>
      </w:r>
      <w:proofErr w:type="spellStart"/>
      <w:r w:rsidRPr="00225D4D">
        <w:t>meir</w:t>
      </w:r>
      <w:proofErr w:type="spellEnd"/>
      <w:r w:rsidRPr="00225D4D">
        <w:t xml:space="preserve"> kompetanse og formell opplæring. Oxford Research finn at økonomisk rådgiving fungerer godt i </w:t>
      </w:r>
      <w:proofErr w:type="spellStart"/>
      <w:r w:rsidRPr="00225D4D">
        <w:t>dei</w:t>
      </w:r>
      <w:proofErr w:type="spellEnd"/>
      <w:r w:rsidRPr="00225D4D">
        <w:t xml:space="preserve"> tyngste sakene, men at kartlegginga og saksbehandlinga i </w:t>
      </w:r>
      <w:proofErr w:type="spellStart"/>
      <w:r w:rsidRPr="00225D4D">
        <w:t>enklare</w:t>
      </w:r>
      <w:proofErr w:type="spellEnd"/>
      <w:r w:rsidRPr="00225D4D">
        <w:t xml:space="preserve"> saker er </w:t>
      </w:r>
      <w:proofErr w:type="spellStart"/>
      <w:r w:rsidRPr="00225D4D">
        <w:t>meir</w:t>
      </w:r>
      <w:proofErr w:type="spellEnd"/>
      <w:r w:rsidRPr="00225D4D">
        <w:t xml:space="preserve"> </w:t>
      </w:r>
      <w:proofErr w:type="spellStart"/>
      <w:r w:rsidRPr="00225D4D">
        <w:t>varierande</w:t>
      </w:r>
      <w:proofErr w:type="spellEnd"/>
      <w:r w:rsidRPr="00225D4D">
        <w:t>.</w:t>
      </w:r>
    </w:p>
    <w:p w14:paraId="2C3616D9" w14:textId="77777777" w:rsidR="00D60186" w:rsidRPr="00225D4D" w:rsidRDefault="00D60186" w:rsidP="00225D4D">
      <w:r w:rsidRPr="00225D4D">
        <w:t xml:space="preserve">Blant Nav-kontora som var med i undersøkinga, varierte ventetida </w:t>
      </w:r>
      <w:proofErr w:type="spellStart"/>
      <w:r w:rsidRPr="00225D4D">
        <w:t>frå</w:t>
      </w:r>
      <w:proofErr w:type="spellEnd"/>
      <w:r w:rsidRPr="00225D4D">
        <w:t xml:space="preserve"> tre veker til </w:t>
      </w:r>
      <w:proofErr w:type="spellStart"/>
      <w:r w:rsidRPr="00225D4D">
        <w:t>eit</w:t>
      </w:r>
      <w:proofErr w:type="spellEnd"/>
      <w:r w:rsidRPr="00225D4D">
        <w:t xml:space="preserve"> halvt år. </w:t>
      </w:r>
      <w:proofErr w:type="spellStart"/>
      <w:r w:rsidRPr="00225D4D">
        <w:t>Eit</w:t>
      </w:r>
      <w:proofErr w:type="spellEnd"/>
      <w:r w:rsidRPr="00225D4D">
        <w:t xml:space="preserve"> </w:t>
      </w:r>
      <w:proofErr w:type="spellStart"/>
      <w:r w:rsidRPr="00225D4D">
        <w:t>fåtal</w:t>
      </w:r>
      <w:proofErr w:type="spellEnd"/>
      <w:r w:rsidRPr="00225D4D">
        <w:t xml:space="preserve"> kontor hadde </w:t>
      </w:r>
      <w:proofErr w:type="spellStart"/>
      <w:r w:rsidRPr="00225D4D">
        <w:t>ikkje</w:t>
      </w:r>
      <w:proofErr w:type="spellEnd"/>
      <w:r w:rsidRPr="00225D4D">
        <w:t xml:space="preserve"> ventetid. </w:t>
      </w:r>
      <w:proofErr w:type="spellStart"/>
      <w:r w:rsidRPr="00225D4D">
        <w:t>Desse</w:t>
      </w:r>
      <w:proofErr w:type="spellEnd"/>
      <w:r w:rsidRPr="00225D4D">
        <w:t xml:space="preserve"> </w:t>
      </w:r>
      <w:proofErr w:type="spellStart"/>
      <w:r w:rsidRPr="00225D4D">
        <w:t>tala</w:t>
      </w:r>
      <w:proofErr w:type="spellEnd"/>
      <w:r w:rsidRPr="00225D4D">
        <w:t xml:space="preserve"> er </w:t>
      </w:r>
      <w:proofErr w:type="spellStart"/>
      <w:r w:rsidRPr="00225D4D">
        <w:t>ikkje</w:t>
      </w:r>
      <w:proofErr w:type="spellEnd"/>
      <w:r w:rsidRPr="00225D4D">
        <w:t xml:space="preserve"> sikre på grunn av </w:t>
      </w:r>
      <w:proofErr w:type="spellStart"/>
      <w:r w:rsidRPr="00225D4D">
        <w:t>varierande</w:t>
      </w:r>
      <w:proofErr w:type="spellEnd"/>
      <w:r w:rsidRPr="00225D4D">
        <w:t xml:space="preserve"> praksis med omsyn til om og korleis ventetid blir målt.</w:t>
      </w:r>
    </w:p>
    <w:p w14:paraId="32175E3F" w14:textId="77777777" w:rsidR="00D60186" w:rsidRPr="00225D4D" w:rsidRDefault="00D60186" w:rsidP="00225D4D">
      <w:r w:rsidRPr="00225D4D">
        <w:t xml:space="preserve">Sjå òg omtale av økonomi- og gjeldsrådgiving under del II, programkategori 09.20 Tiltak for </w:t>
      </w:r>
      <w:proofErr w:type="spellStart"/>
      <w:r w:rsidRPr="00225D4D">
        <w:t>betra</w:t>
      </w:r>
      <w:proofErr w:type="spellEnd"/>
      <w:r w:rsidRPr="00225D4D">
        <w:t xml:space="preserve"> levekår m.m.</w:t>
      </w:r>
    </w:p>
    <w:p w14:paraId="45876171"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75B1FB9F" w14:textId="77777777" w:rsidR="00D60186" w:rsidRPr="00225D4D" w:rsidRDefault="00D60186" w:rsidP="00225D4D">
      <w:pPr>
        <w:pStyle w:val="avsnitt-tittel"/>
      </w:pPr>
      <w:proofErr w:type="spellStart"/>
      <w:r w:rsidRPr="00225D4D">
        <w:t>Berekning</w:t>
      </w:r>
      <w:proofErr w:type="spellEnd"/>
      <w:r w:rsidRPr="00225D4D">
        <w:t xml:space="preserve"> av uføretrygd når inntektsevna </w:t>
      </w:r>
      <w:proofErr w:type="spellStart"/>
      <w:r w:rsidRPr="00225D4D">
        <w:t>tidlegare</w:t>
      </w:r>
      <w:proofErr w:type="spellEnd"/>
      <w:r w:rsidRPr="00225D4D">
        <w:t xml:space="preserve"> har </w:t>
      </w:r>
      <w:proofErr w:type="spellStart"/>
      <w:r w:rsidRPr="00225D4D">
        <w:t>vore</w:t>
      </w:r>
      <w:proofErr w:type="spellEnd"/>
      <w:r w:rsidRPr="00225D4D">
        <w:t xml:space="preserve"> nedsett pga. delvis uførleik </w:t>
      </w:r>
      <w:proofErr w:type="spellStart"/>
      <w:r w:rsidRPr="00225D4D">
        <w:t>utan</w:t>
      </w:r>
      <w:proofErr w:type="spellEnd"/>
      <w:r w:rsidRPr="00225D4D">
        <w:t xml:space="preserve"> at inngangsvilkåret for </w:t>
      </w:r>
      <w:proofErr w:type="spellStart"/>
      <w:r w:rsidRPr="00225D4D">
        <w:t>uføreytingar</w:t>
      </w:r>
      <w:proofErr w:type="spellEnd"/>
      <w:r w:rsidRPr="00225D4D">
        <w:t xml:space="preserve"> i folketrygda har </w:t>
      </w:r>
      <w:proofErr w:type="spellStart"/>
      <w:r w:rsidRPr="00225D4D">
        <w:t>vore</w:t>
      </w:r>
      <w:proofErr w:type="spellEnd"/>
      <w:r w:rsidRPr="00225D4D">
        <w:t xml:space="preserve"> oppfylt</w:t>
      </w:r>
    </w:p>
    <w:p w14:paraId="480EFF38" w14:textId="77777777" w:rsidR="00D60186" w:rsidRPr="00225D4D" w:rsidRDefault="00D60186" w:rsidP="00225D4D">
      <w:pPr>
        <w:pStyle w:val="avsnitt-undertittel"/>
      </w:pPr>
      <w:r w:rsidRPr="00225D4D">
        <w:t>Vedtak 813, 16. juni 2022</w:t>
      </w:r>
    </w:p>
    <w:p w14:paraId="0261D5F3" w14:textId="77777777" w:rsidR="00D60186" w:rsidRPr="00225D4D" w:rsidRDefault="00D60186" w:rsidP="00225D4D">
      <w:pPr>
        <w:pStyle w:val="blokksit"/>
        <w:rPr>
          <w:rStyle w:val="kursiv"/>
        </w:rPr>
      </w:pPr>
      <w:r w:rsidRPr="00225D4D">
        <w:rPr>
          <w:rStyle w:val="kursiv"/>
        </w:rPr>
        <w:t>«Stortinget ber regjeringen foreta en gjennomgang av problemstillingen om at arbeidsfolk som blir syke, men som ønsker å fortsette i inntektsbringende arbeid utover 50 pst., får lavere uføretrygd dersom de på et seinere tidspunkt må søke uføretrygd fordi arbeidskapasiteten blir ytterligere redusert, og komme tilbake på egnet måte til Stortinget.»</w:t>
      </w:r>
    </w:p>
    <w:p w14:paraId="7E596D24" w14:textId="77777777" w:rsidR="00D60186" w:rsidRPr="00225D4D" w:rsidRDefault="00D60186" w:rsidP="00225D4D">
      <w:r w:rsidRPr="00225D4D">
        <w:t xml:space="preserve">Vedtaket blei gjort ved behandling av Dokument 8:189 S (2021–2022), </w:t>
      </w:r>
      <w:proofErr w:type="spellStart"/>
      <w:r w:rsidRPr="00225D4D">
        <w:t>Innst</w:t>
      </w:r>
      <w:proofErr w:type="spellEnd"/>
      <w:r w:rsidRPr="00225D4D">
        <w:t>. 424 S (2021- 2022).</w:t>
      </w:r>
    </w:p>
    <w:p w14:paraId="47BD022E" w14:textId="77777777" w:rsidR="00D60186" w:rsidRPr="00225D4D" w:rsidRDefault="00D60186" w:rsidP="00225D4D">
      <w:r w:rsidRPr="00225D4D">
        <w:t xml:space="preserve">Denne saka </w:t>
      </w:r>
      <w:proofErr w:type="spellStart"/>
      <w:r w:rsidRPr="00225D4D">
        <w:t>inneber</w:t>
      </w:r>
      <w:proofErr w:type="spellEnd"/>
      <w:r w:rsidRPr="00225D4D">
        <w:t xml:space="preserve"> </w:t>
      </w:r>
      <w:proofErr w:type="spellStart"/>
      <w:r w:rsidRPr="00225D4D">
        <w:t>avvegingar</w:t>
      </w:r>
      <w:proofErr w:type="spellEnd"/>
      <w:r w:rsidRPr="00225D4D">
        <w:t xml:space="preserve"> mellom sentrale omsyn som regelverket for uførepensjon </w:t>
      </w:r>
      <w:proofErr w:type="spellStart"/>
      <w:r w:rsidRPr="00225D4D">
        <w:t>frå</w:t>
      </w:r>
      <w:proofErr w:type="spellEnd"/>
      <w:r w:rsidRPr="00225D4D">
        <w:t xml:space="preserve"> </w:t>
      </w:r>
      <w:proofErr w:type="spellStart"/>
      <w:r w:rsidRPr="00225D4D">
        <w:t>tenestepensjon</w:t>
      </w:r>
      <w:proofErr w:type="spellEnd"/>
      <w:r w:rsidRPr="00225D4D">
        <w:t xml:space="preserve"> og uføretrygd </w:t>
      </w:r>
      <w:proofErr w:type="spellStart"/>
      <w:r w:rsidRPr="00225D4D">
        <w:t>frå</w:t>
      </w:r>
      <w:proofErr w:type="spellEnd"/>
      <w:r w:rsidRPr="00225D4D">
        <w:t xml:space="preserve"> folketrygda skal vareta. Oppmodingsvedtaket er derfor framleis til vurdering i departementet, og regjeringa vil komma tilbake til Stortinget på eigna måte.</w:t>
      </w:r>
    </w:p>
    <w:p w14:paraId="3909721B" w14:textId="77777777" w:rsidR="00D60186" w:rsidRPr="00225D4D" w:rsidRDefault="00D60186" w:rsidP="00225D4D">
      <w:pPr>
        <w:pStyle w:val="Overskrift2"/>
      </w:pPr>
      <w:r w:rsidRPr="00225D4D">
        <w:t>Stortingssesjon (2020–2021)</w:t>
      </w:r>
    </w:p>
    <w:p w14:paraId="3A6B5604" w14:textId="77777777" w:rsidR="00D60186" w:rsidRPr="00225D4D" w:rsidRDefault="00D60186" w:rsidP="00225D4D">
      <w:pPr>
        <w:pStyle w:val="avsnitt-tittel"/>
      </w:pPr>
      <w:r w:rsidRPr="00225D4D">
        <w:t xml:space="preserve">Forenkling av </w:t>
      </w:r>
      <w:proofErr w:type="spellStart"/>
      <w:r w:rsidRPr="00225D4D">
        <w:t>yrkesskadereglane</w:t>
      </w:r>
      <w:proofErr w:type="spellEnd"/>
    </w:p>
    <w:p w14:paraId="42CFB9FC" w14:textId="77777777" w:rsidR="00D60186" w:rsidRPr="00225D4D" w:rsidRDefault="00D60186" w:rsidP="00225D4D">
      <w:pPr>
        <w:pStyle w:val="avsnitt-undertittel"/>
      </w:pPr>
      <w:r w:rsidRPr="00225D4D">
        <w:t>Vedtak 911, 11. mai 2021</w:t>
      </w:r>
    </w:p>
    <w:p w14:paraId="361ECCEB" w14:textId="77777777" w:rsidR="00D60186" w:rsidRPr="00225D4D" w:rsidRDefault="00D60186" w:rsidP="00225D4D">
      <w:pPr>
        <w:pStyle w:val="blokksit"/>
        <w:rPr>
          <w:rStyle w:val="kursiv"/>
        </w:rPr>
      </w:pPr>
      <w:r w:rsidRPr="00225D4D">
        <w:rPr>
          <w:rStyle w:val="kursiv"/>
        </w:rPr>
        <w:t>«Stortinget ber regjeringen i samråd med partene i arbeidslivet legge frem et forslag til nødvendig forenkling av yrkesskadereglene som er i tråd med utviklingen i samfunnet og arbeidslivet, og som sikrer den enkelte arbeidstaker. Stortinget ber også regjeringen gjennomgå og om nødvendig oppdatere yrkessykdomslisten.»</w:t>
      </w:r>
    </w:p>
    <w:p w14:paraId="56A81B14" w14:textId="77777777" w:rsidR="00D60186" w:rsidRPr="00225D4D" w:rsidRDefault="00D60186" w:rsidP="00225D4D">
      <w:r w:rsidRPr="00225D4D">
        <w:t xml:space="preserve">Vedtaket blei gjort ved behandling av Dokument 8:150 S (2020–2021), </w:t>
      </w:r>
      <w:proofErr w:type="spellStart"/>
      <w:r w:rsidRPr="00225D4D">
        <w:t>Innst</w:t>
      </w:r>
      <w:proofErr w:type="spellEnd"/>
      <w:r w:rsidRPr="00225D4D">
        <w:t>. 382 S (2020–2021).</w:t>
      </w:r>
    </w:p>
    <w:p w14:paraId="0A23A197" w14:textId="77777777" w:rsidR="00D60186" w:rsidRPr="00225D4D" w:rsidRDefault="00D60186" w:rsidP="00225D4D">
      <w:r w:rsidRPr="00225D4D">
        <w:t xml:space="preserve">Arbeids- og inkluderingsdepartementet foreslo </w:t>
      </w:r>
      <w:proofErr w:type="spellStart"/>
      <w:r w:rsidRPr="00225D4D">
        <w:t>endringar</w:t>
      </w:r>
      <w:proofErr w:type="spellEnd"/>
      <w:r w:rsidRPr="00225D4D">
        <w:t xml:space="preserve"> i yrkesskadereglene i </w:t>
      </w:r>
      <w:proofErr w:type="spellStart"/>
      <w:r w:rsidRPr="00225D4D">
        <w:t>Prop</w:t>
      </w:r>
      <w:proofErr w:type="spellEnd"/>
      <w:r w:rsidRPr="00225D4D">
        <w:t xml:space="preserve">. 134 L (2024–2025) </w:t>
      </w:r>
      <w:r w:rsidRPr="00225D4D">
        <w:rPr>
          <w:rStyle w:val="kursiv"/>
        </w:rPr>
        <w:t>Endringer i folketrygdloven (yrkessykdommer og elektronisk melding av yrkesskade)</w:t>
      </w:r>
      <w:r w:rsidRPr="00225D4D">
        <w:t>. Som det går fram av proposisjonen punkt 2.3 og 2.4, følger forslaga opp oppmodingsvedtaket.</w:t>
      </w:r>
    </w:p>
    <w:p w14:paraId="13FAD0BC" w14:textId="77777777" w:rsidR="00D60186" w:rsidRPr="00225D4D" w:rsidRDefault="00D60186" w:rsidP="00225D4D">
      <w:r w:rsidRPr="00225D4D">
        <w:t xml:space="preserve">Yrkessjukdomslista er ei forskrift som </w:t>
      </w:r>
      <w:proofErr w:type="spellStart"/>
      <w:r w:rsidRPr="00225D4D">
        <w:t>listar</w:t>
      </w:r>
      <w:proofErr w:type="spellEnd"/>
      <w:r w:rsidRPr="00225D4D">
        <w:t xml:space="preserve"> opp </w:t>
      </w:r>
      <w:proofErr w:type="spellStart"/>
      <w:r w:rsidRPr="00225D4D">
        <w:t>sjukdommar</w:t>
      </w:r>
      <w:proofErr w:type="spellEnd"/>
      <w:r w:rsidRPr="00225D4D">
        <w:t xml:space="preserve"> som på </w:t>
      </w:r>
      <w:proofErr w:type="spellStart"/>
      <w:r w:rsidRPr="00225D4D">
        <w:t>nærmare</w:t>
      </w:r>
      <w:proofErr w:type="spellEnd"/>
      <w:r w:rsidRPr="00225D4D">
        <w:t xml:space="preserve"> vilkår kan likestillast med yrkesskade og gi grunnlag for erstatning. Forskrifta har i all </w:t>
      </w:r>
      <w:proofErr w:type="spellStart"/>
      <w:r w:rsidRPr="00225D4D">
        <w:t>hovudsak</w:t>
      </w:r>
      <w:proofErr w:type="spellEnd"/>
      <w:r w:rsidRPr="00225D4D">
        <w:t xml:space="preserve"> </w:t>
      </w:r>
      <w:proofErr w:type="spellStart"/>
      <w:r w:rsidRPr="00225D4D">
        <w:t>vore</w:t>
      </w:r>
      <w:proofErr w:type="spellEnd"/>
      <w:r w:rsidRPr="00225D4D">
        <w:t xml:space="preserve"> uendra </w:t>
      </w:r>
      <w:proofErr w:type="spellStart"/>
      <w:r w:rsidRPr="00225D4D">
        <w:t>sidan</w:t>
      </w:r>
      <w:proofErr w:type="spellEnd"/>
      <w:r w:rsidRPr="00225D4D">
        <w:t xml:space="preserve"> 1958.</w:t>
      </w:r>
    </w:p>
    <w:p w14:paraId="18267C97" w14:textId="77777777" w:rsidR="00D60186" w:rsidRPr="00225D4D" w:rsidRDefault="00D60186" w:rsidP="00225D4D">
      <w:r w:rsidRPr="00225D4D">
        <w:t xml:space="preserve">Departementet foreslo å opprette </w:t>
      </w:r>
      <w:proofErr w:type="spellStart"/>
      <w:r w:rsidRPr="00225D4D">
        <w:t>eit</w:t>
      </w:r>
      <w:proofErr w:type="spellEnd"/>
      <w:r w:rsidRPr="00225D4D">
        <w:t xml:space="preserve"> </w:t>
      </w:r>
      <w:proofErr w:type="spellStart"/>
      <w:r w:rsidRPr="00225D4D">
        <w:t>rådgivande</w:t>
      </w:r>
      <w:proofErr w:type="spellEnd"/>
      <w:r w:rsidRPr="00225D4D">
        <w:t xml:space="preserve"> </w:t>
      </w:r>
      <w:proofErr w:type="spellStart"/>
      <w:r w:rsidRPr="00225D4D">
        <w:t>yrkessjukdomsutval</w:t>
      </w:r>
      <w:proofErr w:type="spellEnd"/>
      <w:r w:rsidRPr="00225D4D">
        <w:t xml:space="preserve">, </w:t>
      </w:r>
      <w:proofErr w:type="spellStart"/>
      <w:r w:rsidRPr="00225D4D">
        <w:t>noko</w:t>
      </w:r>
      <w:proofErr w:type="spellEnd"/>
      <w:r w:rsidRPr="00225D4D">
        <w:t xml:space="preserve"> som vil </w:t>
      </w:r>
      <w:proofErr w:type="spellStart"/>
      <w:r w:rsidRPr="00225D4D">
        <w:t>innebere</w:t>
      </w:r>
      <w:proofErr w:type="spellEnd"/>
      <w:r w:rsidRPr="00225D4D">
        <w:t xml:space="preserve"> </w:t>
      </w:r>
      <w:proofErr w:type="spellStart"/>
      <w:r w:rsidRPr="00225D4D">
        <w:t>jamlege</w:t>
      </w:r>
      <w:proofErr w:type="spellEnd"/>
      <w:r w:rsidRPr="00225D4D">
        <w:t xml:space="preserve"> </w:t>
      </w:r>
      <w:proofErr w:type="spellStart"/>
      <w:r w:rsidRPr="00225D4D">
        <w:t>vurderingar</w:t>
      </w:r>
      <w:proofErr w:type="spellEnd"/>
      <w:r w:rsidRPr="00225D4D">
        <w:t xml:space="preserve"> av kva for </w:t>
      </w:r>
      <w:proofErr w:type="spellStart"/>
      <w:r w:rsidRPr="00225D4D">
        <w:t>sjukdommar</w:t>
      </w:r>
      <w:proofErr w:type="spellEnd"/>
      <w:r w:rsidRPr="00225D4D">
        <w:t xml:space="preserve"> som skal stå på yrkessjukdomslista, og ei styrking av forskinga på området. Departementet foreslo òg </w:t>
      </w:r>
      <w:proofErr w:type="spellStart"/>
      <w:r w:rsidRPr="00225D4D">
        <w:t>ein</w:t>
      </w:r>
      <w:proofErr w:type="spellEnd"/>
      <w:r w:rsidRPr="00225D4D">
        <w:t xml:space="preserve"> sikringsventil for </w:t>
      </w:r>
      <w:proofErr w:type="spellStart"/>
      <w:r w:rsidRPr="00225D4D">
        <w:t>sjukdommar</w:t>
      </w:r>
      <w:proofErr w:type="spellEnd"/>
      <w:r w:rsidRPr="00225D4D">
        <w:t xml:space="preserve"> som </w:t>
      </w:r>
      <w:proofErr w:type="spellStart"/>
      <w:r w:rsidRPr="00225D4D">
        <w:t>ikkje</w:t>
      </w:r>
      <w:proofErr w:type="spellEnd"/>
      <w:r w:rsidRPr="00225D4D">
        <w:t xml:space="preserve"> er tatt opp på yrkessjukdomslista. Stortinget </w:t>
      </w:r>
      <w:proofErr w:type="spellStart"/>
      <w:r w:rsidRPr="00225D4D">
        <w:t>slutta</w:t>
      </w:r>
      <w:proofErr w:type="spellEnd"/>
      <w:r w:rsidRPr="00225D4D">
        <w:t xml:space="preserve"> seg til </w:t>
      </w:r>
      <w:proofErr w:type="spellStart"/>
      <w:r w:rsidRPr="00225D4D">
        <w:t>desse</w:t>
      </w:r>
      <w:proofErr w:type="spellEnd"/>
      <w:r w:rsidRPr="00225D4D">
        <w:t xml:space="preserve"> forslaga, jf. </w:t>
      </w:r>
      <w:proofErr w:type="spellStart"/>
      <w:r w:rsidRPr="00225D4D">
        <w:t>Innst</w:t>
      </w:r>
      <w:proofErr w:type="spellEnd"/>
      <w:r w:rsidRPr="00225D4D">
        <w:t>. 346 L (2024–2025) og lovvedtak 75 (2024–2025).</w:t>
      </w:r>
    </w:p>
    <w:p w14:paraId="17865A7D"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184A38A4" w14:textId="77777777" w:rsidR="00D60186" w:rsidRPr="00225D4D" w:rsidRDefault="00D60186" w:rsidP="00225D4D">
      <w:pPr>
        <w:pStyle w:val="avsnitt-tittel"/>
      </w:pPr>
      <w:proofErr w:type="spellStart"/>
      <w:r w:rsidRPr="00225D4D">
        <w:t>Avkorting</w:t>
      </w:r>
      <w:proofErr w:type="spellEnd"/>
      <w:r w:rsidRPr="00225D4D">
        <w:t xml:space="preserve"> i uføretrygd for fosterforeldre</w:t>
      </w:r>
    </w:p>
    <w:p w14:paraId="726BAD23" w14:textId="77777777" w:rsidR="00D60186" w:rsidRPr="00225D4D" w:rsidRDefault="00D60186" w:rsidP="00225D4D">
      <w:pPr>
        <w:pStyle w:val="avsnitt-undertittel"/>
      </w:pPr>
      <w:r w:rsidRPr="00225D4D">
        <w:t>Vedtak 1200, 10. juni 2021</w:t>
      </w:r>
    </w:p>
    <w:p w14:paraId="27DE1572" w14:textId="77777777" w:rsidR="00D60186" w:rsidRPr="00225D4D" w:rsidRDefault="00D60186" w:rsidP="00225D4D">
      <w:pPr>
        <w:pStyle w:val="blokksit"/>
        <w:rPr>
          <w:rStyle w:val="kursiv"/>
        </w:rPr>
      </w:pPr>
      <w:r w:rsidRPr="00225D4D">
        <w:rPr>
          <w:rStyle w:val="kursiv"/>
        </w:rPr>
        <w:t>«Stortinget ber regjeringen snarest fremme forslag om at uføre fosterforeldre ikke får avkortning i sin uføretrygd som følge av fosterhjemsoppdraget.»</w:t>
      </w:r>
    </w:p>
    <w:p w14:paraId="0DE98877"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133 L (2020–2021), </w:t>
      </w:r>
      <w:proofErr w:type="spellStart"/>
      <w:r w:rsidRPr="00225D4D">
        <w:t>Innst</w:t>
      </w:r>
      <w:proofErr w:type="spellEnd"/>
      <w:r w:rsidRPr="00225D4D">
        <w:t>. 625 L (2020–2021), Lovvedtak 173-174 (2020–2021).</w:t>
      </w:r>
    </w:p>
    <w:p w14:paraId="5324ECBC" w14:textId="77777777" w:rsidR="00D60186" w:rsidRPr="00225D4D" w:rsidRDefault="00D60186" w:rsidP="00225D4D">
      <w:r w:rsidRPr="00225D4D">
        <w:t xml:space="preserve">Departementet viser til at </w:t>
      </w:r>
      <w:proofErr w:type="spellStart"/>
      <w:r w:rsidRPr="00225D4D">
        <w:t>ein</w:t>
      </w:r>
      <w:proofErr w:type="spellEnd"/>
      <w:r w:rsidRPr="00225D4D">
        <w:t xml:space="preserve"> som </w:t>
      </w:r>
      <w:proofErr w:type="spellStart"/>
      <w:r w:rsidRPr="00225D4D">
        <w:t>hovudregel</w:t>
      </w:r>
      <w:proofErr w:type="spellEnd"/>
      <w:r w:rsidRPr="00225D4D">
        <w:t xml:space="preserve"> vil komme betre økonomisk ut ved å ta på seg (eller </w:t>
      </w:r>
      <w:proofErr w:type="spellStart"/>
      <w:r w:rsidRPr="00225D4D">
        <w:t>halde</w:t>
      </w:r>
      <w:proofErr w:type="spellEnd"/>
      <w:r w:rsidRPr="00225D4D">
        <w:t xml:space="preserve"> fram med) fosterheimsoppdrag enn ved </w:t>
      </w:r>
      <w:proofErr w:type="spellStart"/>
      <w:r w:rsidRPr="00225D4D">
        <w:t>berre</w:t>
      </w:r>
      <w:proofErr w:type="spellEnd"/>
      <w:r w:rsidRPr="00225D4D">
        <w:t xml:space="preserve"> å motta uføretrygd. </w:t>
      </w:r>
      <w:proofErr w:type="spellStart"/>
      <w:r w:rsidRPr="00225D4D">
        <w:t>Godtgjeringa</w:t>
      </w:r>
      <w:proofErr w:type="spellEnd"/>
      <w:r w:rsidRPr="00225D4D">
        <w:t xml:space="preserve"> </w:t>
      </w:r>
      <w:proofErr w:type="spellStart"/>
      <w:r w:rsidRPr="00225D4D">
        <w:t>frå</w:t>
      </w:r>
      <w:proofErr w:type="spellEnd"/>
      <w:r w:rsidRPr="00225D4D">
        <w:t xml:space="preserve"> fosterheimsoppdraget gir </w:t>
      </w:r>
      <w:proofErr w:type="spellStart"/>
      <w:r w:rsidRPr="00225D4D">
        <w:t>opptening</w:t>
      </w:r>
      <w:proofErr w:type="spellEnd"/>
      <w:r w:rsidRPr="00225D4D">
        <w:t xml:space="preserve"> til alderspensjon i folketrygda. Uføre fosterforeldre får i tillegg utgiftsdekning, barnetrygd, og </w:t>
      </w:r>
      <w:proofErr w:type="spellStart"/>
      <w:r w:rsidRPr="00225D4D">
        <w:t>dei</w:t>
      </w:r>
      <w:proofErr w:type="spellEnd"/>
      <w:r w:rsidRPr="00225D4D">
        <w:t xml:space="preserve"> kan ha rett til behovsprøvd barnetillegg.</w:t>
      </w:r>
    </w:p>
    <w:p w14:paraId="4A9AC848" w14:textId="77777777" w:rsidR="00D60186" w:rsidRPr="00225D4D" w:rsidRDefault="00D60186" w:rsidP="00225D4D">
      <w:r w:rsidRPr="00225D4D">
        <w:t xml:space="preserve">Oppmodingsvedtaket </w:t>
      </w:r>
      <w:proofErr w:type="spellStart"/>
      <w:r w:rsidRPr="00225D4D">
        <w:t>frå</w:t>
      </w:r>
      <w:proofErr w:type="spellEnd"/>
      <w:r w:rsidRPr="00225D4D">
        <w:t xml:space="preserve"> Stortinget </w:t>
      </w:r>
      <w:proofErr w:type="spellStart"/>
      <w:r w:rsidRPr="00225D4D">
        <w:t>inneber</w:t>
      </w:r>
      <w:proofErr w:type="spellEnd"/>
      <w:r w:rsidRPr="00225D4D">
        <w:t xml:space="preserve"> </w:t>
      </w:r>
      <w:proofErr w:type="spellStart"/>
      <w:r w:rsidRPr="00225D4D">
        <w:t>ein</w:t>
      </w:r>
      <w:proofErr w:type="spellEnd"/>
      <w:r w:rsidRPr="00225D4D">
        <w:t xml:space="preserve"> overkompensasjon for uføre som er fosterforeldre </w:t>
      </w:r>
      <w:proofErr w:type="spellStart"/>
      <w:r w:rsidRPr="00225D4D">
        <w:t>samanlikna</w:t>
      </w:r>
      <w:proofErr w:type="spellEnd"/>
      <w:r w:rsidRPr="00225D4D">
        <w:t xml:space="preserve"> med andre uføre som har </w:t>
      </w:r>
      <w:proofErr w:type="spellStart"/>
      <w:r w:rsidRPr="00225D4D">
        <w:t>pensjonsgivande</w:t>
      </w:r>
      <w:proofErr w:type="spellEnd"/>
      <w:r w:rsidRPr="00225D4D">
        <w:t xml:space="preserve"> inntekt, og ulik behandling av ulike former for </w:t>
      </w:r>
      <w:proofErr w:type="spellStart"/>
      <w:r w:rsidRPr="00225D4D">
        <w:t>pensjonsgivande</w:t>
      </w:r>
      <w:proofErr w:type="spellEnd"/>
      <w:r w:rsidRPr="00225D4D">
        <w:t xml:space="preserve"> inntekt.</w:t>
      </w:r>
    </w:p>
    <w:p w14:paraId="2F023FC9" w14:textId="77777777" w:rsidR="00D60186" w:rsidRPr="00225D4D" w:rsidRDefault="00D60186" w:rsidP="00225D4D">
      <w:r w:rsidRPr="00225D4D">
        <w:t xml:space="preserve">Regjeringa vil derfor </w:t>
      </w:r>
      <w:proofErr w:type="spellStart"/>
      <w:r w:rsidRPr="00225D4D">
        <w:t>ikkje</w:t>
      </w:r>
      <w:proofErr w:type="spellEnd"/>
      <w:r w:rsidRPr="00225D4D">
        <w:t xml:space="preserve"> foreslå eigne </w:t>
      </w:r>
      <w:proofErr w:type="spellStart"/>
      <w:r w:rsidRPr="00225D4D">
        <w:t>reglar</w:t>
      </w:r>
      <w:proofErr w:type="spellEnd"/>
      <w:r w:rsidRPr="00225D4D">
        <w:t xml:space="preserve"> for kombinasjon av uføretrygd og </w:t>
      </w:r>
      <w:proofErr w:type="spellStart"/>
      <w:r w:rsidRPr="00225D4D">
        <w:t>pensjonsgivande</w:t>
      </w:r>
      <w:proofErr w:type="spellEnd"/>
      <w:r w:rsidRPr="00225D4D">
        <w:t xml:space="preserve"> inntekt for uføre fosterforeldre, og foreslår å oppheve </w:t>
      </w:r>
      <w:proofErr w:type="spellStart"/>
      <w:r w:rsidRPr="00225D4D">
        <w:t>oppmodingsvedtaktet</w:t>
      </w:r>
      <w:proofErr w:type="spellEnd"/>
      <w:r w:rsidRPr="00225D4D">
        <w:t xml:space="preserve">. Sjå </w:t>
      </w:r>
      <w:proofErr w:type="spellStart"/>
      <w:r w:rsidRPr="00225D4D">
        <w:t>nærmare</w:t>
      </w:r>
      <w:proofErr w:type="spellEnd"/>
      <w:r w:rsidRPr="00225D4D">
        <w:t xml:space="preserve"> omtale i del II, programkategori 29.50, kap. 2655.</w:t>
      </w:r>
    </w:p>
    <w:p w14:paraId="0455BC65" w14:textId="77777777" w:rsidR="00D60186" w:rsidRPr="00225D4D" w:rsidRDefault="00D60186" w:rsidP="00225D4D">
      <w:r w:rsidRPr="00225D4D">
        <w:t xml:space="preserve">Sjå òg omtale av oppmodingsvedtak 321 av 15. desember 2017 med forslag om å føre </w:t>
      </w:r>
      <w:proofErr w:type="spellStart"/>
      <w:r w:rsidRPr="00225D4D">
        <w:t>vidare</w:t>
      </w:r>
      <w:proofErr w:type="spellEnd"/>
      <w:r w:rsidRPr="00225D4D">
        <w:t xml:space="preserve"> </w:t>
      </w:r>
      <w:proofErr w:type="spellStart"/>
      <w:r w:rsidRPr="00225D4D">
        <w:t>særreglar</w:t>
      </w:r>
      <w:proofErr w:type="spellEnd"/>
      <w:r w:rsidRPr="00225D4D">
        <w:t xml:space="preserve"> for </w:t>
      </w:r>
      <w:proofErr w:type="spellStart"/>
      <w:r w:rsidRPr="00225D4D">
        <w:t>arbeidsavklaringspengar</w:t>
      </w:r>
      <w:proofErr w:type="spellEnd"/>
      <w:r w:rsidRPr="00225D4D">
        <w:t xml:space="preserve"> og </w:t>
      </w:r>
      <w:proofErr w:type="spellStart"/>
      <w:r w:rsidRPr="00225D4D">
        <w:t>dagpengar</w:t>
      </w:r>
      <w:proofErr w:type="spellEnd"/>
      <w:r w:rsidRPr="00225D4D">
        <w:t>.</w:t>
      </w:r>
    </w:p>
    <w:p w14:paraId="68290EE9" w14:textId="77777777" w:rsidR="00D60186" w:rsidRPr="00225D4D" w:rsidRDefault="00D60186" w:rsidP="00225D4D">
      <w:pPr>
        <w:pStyle w:val="Overskrift2"/>
      </w:pPr>
      <w:r w:rsidRPr="00225D4D">
        <w:t>Stortingssesjon (2019–2020)</w:t>
      </w:r>
    </w:p>
    <w:p w14:paraId="0A2DDE89" w14:textId="77777777" w:rsidR="00D60186" w:rsidRPr="00225D4D" w:rsidRDefault="00D60186" w:rsidP="00225D4D">
      <w:pPr>
        <w:pStyle w:val="avsnitt-tittel"/>
      </w:pPr>
      <w:r w:rsidRPr="00225D4D">
        <w:t xml:space="preserve">Juridisk og økonomisk medansvar for </w:t>
      </w:r>
      <w:proofErr w:type="spellStart"/>
      <w:r w:rsidRPr="00225D4D">
        <w:t>transportkjøparar</w:t>
      </w:r>
      <w:proofErr w:type="spellEnd"/>
      <w:r w:rsidRPr="00225D4D">
        <w:t>/</w:t>
      </w:r>
      <w:proofErr w:type="spellStart"/>
      <w:r w:rsidRPr="00225D4D">
        <w:t>transporttingarar</w:t>
      </w:r>
      <w:proofErr w:type="spellEnd"/>
    </w:p>
    <w:p w14:paraId="1CBED1BD" w14:textId="77777777" w:rsidR="00D60186" w:rsidRPr="00225D4D" w:rsidRDefault="00D60186" w:rsidP="00225D4D">
      <w:pPr>
        <w:pStyle w:val="avsnitt-undertittel"/>
      </w:pPr>
      <w:r w:rsidRPr="00225D4D">
        <w:t>Vedtak 626, 28. mai 2020</w:t>
      </w:r>
    </w:p>
    <w:p w14:paraId="5F80FA54" w14:textId="77777777" w:rsidR="00D60186" w:rsidRPr="00225D4D" w:rsidRDefault="00D60186" w:rsidP="00225D4D">
      <w:pPr>
        <w:pStyle w:val="blokksit"/>
        <w:rPr>
          <w:rStyle w:val="kursiv"/>
        </w:rPr>
      </w:pPr>
      <w:r w:rsidRPr="00225D4D">
        <w:rPr>
          <w:rStyle w:val="kursiv"/>
        </w:rPr>
        <w:t xml:space="preserve">«Stortinget ber regjeringen utrede innføring av et objektivt juridisk og økonomisk medansvar for transportkjøpere/transportbestillere og komme tilbake til Stortinget på egnet måte. Det objektive ansvaret må inkludere medansvaret for at lønns- og arbeidsvilkårene i sektoren er oppfylt. Utredningen må videre inneholde en vurdering av behovet for et register med virksomheter som oppfyller kravene til å drive med transporttjenester etter modell av for eksempel </w:t>
      </w:r>
      <w:proofErr w:type="spellStart"/>
      <w:r w:rsidRPr="00225D4D">
        <w:rPr>
          <w:rStyle w:val="kursiv"/>
        </w:rPr>
        <w:t>Renholdsregisteret</w:t>
      </w:r>
      <w:proofErr w:type="spellEnd"/>
      <w:r w:rsidRPr="00225D4D">
        <w:rPr>
          <w:rStyle w:val="kursiv"/>
        </w:rPr>
        <w:t>. Utredningen må også vurdere en avgrensning av oppdragsgivere som skal omfattes av medansvaret.»</w:t>
      </w:r>
    </w:p>
    <w:p w14:paraId="72104AF8"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60 L (2019–2020), </w:t>
      </w:r>
      <w:proofErr w:type="spellStart"/>
      <w:r w:rsidRPr="00225D4D">
        <w:t>Innst</w:t>
      </w:r>
      <w:proofErr w:type="spellEnd"/>
      <w:r w:rsidRPr="00225D4D">
        <w:t>. 293 L (2019–2020), Lovvedtak 105 (2019–2020).</w:t>
      </w:r>
    </w:p>
    <w:p w14:paraId="7618FFDB" w14:textId="77777777" w:rsidR="00D60186" w:rsidRPr="00225D4D" w:rsidRDefault="00D60186" w:rsidP="00225D4D">
      <w:r w:rsidRPr="00225D4D">
        <w:t xml:space="preserve">Statens vegvesen og Arbeidstilsynet har, som ei oppfølging av handlingsplanen mot sosial dumping i transportsektoren </w:t>
      </w:r>
      <w:proofErr w:type="spellStart"/>
      <w:r w:rsidRPr="00225D4D">
        <w:t>frå</w:t>
      </w:r>
      <w:proofErr w:type="spellEnd"/>
      <w:r w:rsidRPr="00225D4D">
        <w:t xml:space="preserve"> 2022, utarbeidd </w:t>
      </w:r>
      <w:proofErr w:type="spellStart"/>
      <w:r w:rsidRPr="00225D4D">
        <w:t>eit</w:t>
      </w:r>
      <w:proofErr w:type="spellEnd"/>
      <w:r w:rsidRPr="00225D4D">
        <w:t xml:space="preserve"> forslag til </w:t>
      </w:r>
      <w:proofErr w:type="spellStart"/>
      <w:r w:rsidRPr="00225D4D">
        <w:t>klargjering</w:t>
      </w:r>
      <w:proofErr w:type="spellEnd"/>
      <w:r w:rsidRPr="00225D4D">
        <w:t xml:space="preserve"> av medansvaret for </w:t>
      </w:r>
      <w:proofErr w:type="spellStart"/>
      <w:r w:rsidRPr="00225D4D">
        <w:t>transportkjøparar</w:t>
      </w:r>
      <w:proofErr w:type="spellEnd"/>
      <w:r w:rsidRPr="00225D4D">
        <w:t xml:space="preserve"> mm. som i dag følger av forskrift om arbeidstid for </w:t>
      </w:r>
      <w:proofErr w:type="spellStart"/>
      <w:r w:rsidRPr="00225D4D">
        <w:t>sjåførar</w:t>
      </w:r>
      <w:proofErr w:type="spellEnd"/>
      <w:r w:rsidRPr="00225D4D">
        <w:t>.</w:t>
      </w:r>
    </w:p>
    <w:p w14:paraId="381C66D3" w14:textId="77777777" w:rsidR="00D60186" w:rsidRPr="00225D4D" w:rsidRDefault="00D60186" w:rsidP="00225D4D">
      <w:r w:rsidRPr="00225D4D">
        <w:t xml:space="preserve">Det er etablert to </w:t>
      </w:r>
      <w:proofErr w:type="spellStart"/>
      <w:r w:rsidRPr="00225D4D">
        <w:t>registreringsordningar</w:t>
      </w:r>
      <w:proofErr w:type="spellEnd"/>
      <w:r w:rsidRPr="00225D4D">
        <w:t xml:space="preserve"> for gods- og persontransport på veg. Krav om løyve og registrering i løyveregister gjeld for store </w:t>
      </w:r>
      <w:proofErr w:type="spellStart"/>
      <w:r w:rsidRPr="00225D4D">
        <w:t>delar</w:t>
      </w:r>
      <w:proofErr w:type="spellEnd"/>
      <w:r w:rsidRPr="00225D4D">
        <w:t xml:space="preserve"> av gods- og persontransportnæringa i </w:t>
      </w:r>
      <w:proofErr w:type="spellStart"/>
      <w:r w:rsidRPr="00225D4D">
        <w:t>Noreg</w:t>
      </w:r>
      <w:proofErr w:type="spellEnd"/>
      <w:r w:rsidRPr="00225D4D">
        <w:t xml:space="preserve"> og andre EØS-land. Regjeringa har fastsett krav til løyve for nasjonal transport med varebil (totalvekt mellom 2500 og 3500 kg) som tar til å gjelde 1. januar 2026. </w:t>
      </w:r>
      <w:proofErr w:type="spellStart"/>
      <w:r w:rsidRPr="00225D4D">
        <w:t>Vidare</w:t>
      </w:r>
      <w:proofErr w:type="spellEnd"/>
      <w:r w:rsidRPr="00225D4D">
        <w:t xml:space="preserve"> har </w:t>
      </w:r>
      <w:proofErr w:type="spellStart"/>
      <w:r w:rsidRPr="00225D4D">
        <w:t>Noreg</w:t>
      </w:r>
      <w:proofErr w:type="spellEnd"/>
      <w:r w:rsidRPr="00225D4D">
        <w:t xml:space="preserve">, med verknad </w:t>
      </w:r>
      <w:proofErr w:type="spellStart"/>
      <w:r w:rsidRPr="00225D4D">
        <w:t>frå</w:t>
      </w:r>
      <w:proofErr w:type="spellEnd"/>
      <w:r w:rsidRPr="00225D4D">
        <w:t xml:space="preserve"> 3. november 2023, slutta seg til den felles registreringsordninga til EU for internasjonal gods- og persontransport som </w:t>
      </w:r>
      <w:proofErr w:type="spellStart"/>
      <w:r w:rsidRPr="00225D4D">
        <w:t>inneber</w:t>
      </w:r>
      <w:proofErr w:type="spellEnd"/>
      <w:r w:rsidRPr="00225D4D">
        <w:t xml:space="preserve"> utsending av </w:t>
      </w:r>
      <w:proofErr w:type="spellStart"/>
      <w:r w:rsidRPr="00225D4D">
        <w:t>sjåførar</w:t>
      </w:r>
      <w:proofErr w:type="spellEnd"/>
      <w:r w:rsidRPr="00225D4D">
        <w:t xml:space="preserve">. Dette </w:t>
      </w:r>
      <w:proofErr w:type="spellStart"/>
      <w:r w:rsidRPr="00225D4D">
        <w:t>inneber</w:t>
      </w:r>
      <w:proofErr w:type="spellEnd"/>
      <w:r w:rsidRPr="00225D4D">
        <w:t xml:space="preserve"> at bl.a. kabotasjetransport skal </w:t>
      </w:r>
      <w:proofErr w:type="spellStart"/>
      <w:r w:rsidRPr="00225D4D">
        <w:t>meldast</w:t>
      </w:r>
      <w:proofErr w:type="spellEnd"/>
      <w:r w:rsidRPr="00225D4D">
        <w:t xml:space="preserve"> til Arbeidstilsynet på førehand. I tillegg er det fastsett krav om HMS-kort for varebiltransport som òg tar til å gjelde 1. januar 2026. Slik regjeringa ser det, vil dette gi </w:t>
      </w:r>
      <w:proofErr w:type="spellStart"/>
      <w:r w:rsidRPr="00225D4D">
        <w:t>ytterlegare</w:t>
      </w:r>
      <w:proofErr w:type="spellEnd"/>
      <w:r w:rsidRPr="00225D4D">
        <w:t xml:space="preserve"> oversikt og effektivisering av tilsynsarbeidet i denne delen av sektoren. Arbeids- og inkluderingsdepartementet har gitt Samfunnsøkonomisk analyse AS i oppdrag å kartlegge korleis solidaransvarsordninga og sjå-til-plikta som i dag er nedfelte i </w:t>
      </w:r>
      <w:proofErr w:type="spellStart"/>
      <w:r w:rsidRPr="00225D4D">
        <w:t>allmenngjeringslovgivinga</w:t>
      </w:r>
      <w:proofErr w:type="spellEnd"/>
      <w:r w:rsidRPr="00225D4D">
        <w:t xml:space="preserve"> fungerer. Behovet for </w:t>
      </w:r>
      <w:proofErr w:type="spellStart"/>
      <w:r w:rsidRPr="00225D4D">
        <w:t>ytterlegare</w:t>
      </w:r>
      <w:proofErr w:type="spellEnd"/>
      <w:r w:rsidRPr="00225D4D">
        <w:t xml:space="preserve"> </w:t>
      </w:r>
      <w:proofErr w:type="spellStart"/>
      <w:r w:rsidRPr="00225D4D">
        <w:t>endringar</w:t>
      </w:r>
      <w:proofErr w:type="spellEnd"/>
      <w:r w:rsidRPr="00225D4D">
        <w:t xml:space="preserve"> vil bli vurdert på bakgrunn av denne evalueringa.</w:t>
      </w:r>
    </w:p>
    <w:p w14:paraId="34A186A4"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33B72130" w14:textId="77777777" w:rsidR="00D60186" w:rsidRPr="00225D4D" w:rsidRDefault="00D60186" w:rsidP="00225D4D">
      <w:pPr>
        <w:pStyle w:val="avsnitt-tittel"/>
      </w:pPr>
      <w:proofErr w:type="spellStart"/>
      <w:r w:rsidRPr="00225D4D">
        <w:t>Rettshevdinga</w:t>
      </w:r>
      <w:proofErr w:type="spellEnd"/>
      <w:r w:rsidRPr="00225D4D">
        <w:t xml:space="preserve"> til å stanse </w:t>
      </w:r>
      <w:proofErr w:type="spellStart"/>
      <w:r w:rsidRPr="00225D4D">
        <w:t>køyretøy</w:t>
      </w:r>
      <w:proofErr w:type="spellEnd"/>
    </w:p>
    <w:p w14:paraId="1380FF96" w14:textId="77777777" w:rsidR="00D60186" w:rsidRPr="00225D4D" w:rsidRDefault="00D60186" w:rsidP="00225D4D">
      <w:pPr>
        <w:pStyle w:val="avsnitt-undertittel"/>
      </w:pPr>
      <w:r w:rsidRPr="00225D4D">
        <w:t>Vedtak 627, 28. mai 2020</w:t>
      </w:r>
    </w:p>
    <w:p w14:paraId="56D9EC77" w14:textId="77777777" w:rsidR="00D60186" w:rsidRPr="00225D4D" w:rsidRDefault="00D60186" w:rsidP="00225D4D">
      <w:pPr>
        <w:pStyle w:val="blokksit"/>
        <w:rPr>
          <w:rStyle w:val="kursiv"/>
        </w:rPr>
      </w:pPr>
      <w:r w:rsidRPr="00225D4D">
        <w:rPr>
          <w:rStyle w:val="kursiv"/>
        </w:rPr>
        <w:t>«Stortinget ber regjeringen utarbeide og legge frem for Stortinget forslag om at Statens Vegvesen skal gis håndhevingsrett til å stanse kjøretøyer etter vedtak fra Arbeidstilsynet.»</w:t>
      </w:r>
    </w:p>
    <w:p w14:paraId="01517C4F"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60 L (2019–2020), </w:t>
      </w:r>
      <w:proofErr w:type="spellStart"/>
      <w:r w:rsidRPr="00225D4D">
        <w:t>Innst</w:t>
      </w:r>
      <w:proofErr w:type="spellEnd"/>
      <w:r w:rsidRPr="00225D4D">
        <w:t>. 293 L (2019–2020), Lovvedtak 105 (2019–2020).</w:t>
      </w:r>
    </w:p>
    <w:p w14:paraId="2E1A8578" w14:textId="77777777" w:rsidR="00D60186" w:rsidRPr="00225D4D" w:rsidRDefault="00D60186" w:rsidP="00225D4D">
      <w:r w:rsidRPr="00225D4D">
        <w:t xml:space="preserve">I handlingsplanen til regjeringa mot sosial dumping i transportsektoren </w:t>
      </w:r>
      <w:proofErr w:type="spellStart"/>
      <w:r w:rsidRPr="00225D4D">
        <w:t>frå</w:t>
      </w:r>
      <w:proofErr w:type="spellEnd"/>
      <w:r w:rsidRPr="00225D4D">
        <w:t xml:space="preserve"> 2022 varsla regjeringa at ho vil legge fram forslag om å gi Statens vegvesen </w:t>
      </w:r>
      <w:proofErr w:type="spellStart"/>
      <w:r w:rsidRPr="00225D4D">
        <w:t>myndigheit</w:t>
      </w:r>
      <w:proofErr w:type="spellEnd"/>
      <w:r w:rsidRPr="00225D4D">
        <w:t xml:space="preserve"> til å reagere mot køyring i strid med stansingsvedtak som Arbeidstilsynet har fastsett. Arbeidstilsynet og Statens vegvesen leverte på oppdrag </w:t>
      </w:r>
      <w:proofErr w:type="spellStart"/>
      <w:r w:rsidRPr="00225D4D">
        <w:t>frå</w:t>
      </w:r>
      <w:proofErr w:type="spellEnd"/>
      <w:r w:rsidRPr="00225D4D">
        <w:t xml:space="preserve"> Arbeids- og inkluderingsdepartementet og Samferdselsdepartementet </w:t>
      </w:r>
      <w:proofErr w:type="spellStart"/>
      <w:r w:rsidRPr="00225D4D">
        <w:t>ein</w:t>
      </w:r>
      <w:proofErr w:type="spellEnd"/>
      <w:r w:rsidRPr="00225D4D">
        <w:t xml:space="preserve"> rapport i mai 2025, der </w:t>
      </w:r>
      <w:proofErr w:type="spellStart"/>
      <w:r w:rsidRPr="00225D4D">
        <w:t>dei</w:t>
      </w:r>
      <w:proofErr w:type="spellEnd"/>
      <w:r w:rsidRPr="00225D4D">
        <w:t xml:space="preserve"> greidde ut forslaget, bl.a. nødvendige </w:t>
      </w:r>
      <w:proofErr w:type="spellStart"/>
      <w:r w:rsidRPr="00225D4D">
        <w:t>regelverksendringar</w:t>
      </w:r>
      <w:proofErr w:type="spellEnd"/>
      <w:r w:rsidRPr="00225D4D">
        <w:t xml:space="preserve"> og praktiske </w:t>
      </w:r>
      <w:proofErr w:type="spellStart"/>
      <w:r w:rsidRPr="00225D4D">
        <w:t>løysingar</w:t>
      </w:r>
      <w:proofErr w:type="spellEnd"/>
      <w:r w:rsidRPr="00225D4D">
        <w:t xml:space="preserve">. Regjeringa vil komme tilbake til Stortinget på </w:t>
      </w:r>
      <w:proofErr w:type="spellStart"/>
      <w:r w:rsidRPr="00225D4D">
        <w:t>eit</w:t>
      </w:r>
      <w:proofErr w:type="spellEnd"/>
      <w:r w:rsidRPr="00225D4D">
        <w:t xml:space="preserve"> </w:t>
      </w:r>
      <w:proofErr w:type="spellStart"/>
      <w:r w:rsidRPr="00225D4D">
        <w:t>seinare</w:t>
      </w:r>
      <w:proofErr w:type="spellEnd"/>
      <w:r w:rsidRPr="00225D4D">
        <w:t xml:space="preserve"> tidspunkt.</w:t>
      </w:r>
    </w:p>
    <w:p w14:paraId="4A7F0ADC" w14:textId="77777777" w:rsidR="00D60186" w:rsidRPr="00225D4D" w:rsidRDefault="00D60186" w:rsidP="00225D4D">
      <w:pPr>
        <w:pStyle w:val="Overskrift2"/>
      </w:pPr>
      <w:r w:rsidRPr="00225D4D">
        <w:t>Stortingssesjon (2017–2018)</w:t>
      </w:r>
    </w:p>
    <w:p w14:paraId="06D07D18" w14:textId="77777777" w:rsidR="00D60186" w:rsidRPr="00225D4D" w:rsidRDefault="00D60186" w:rsidP="00225D4D">
      <w:pPr>
        <w:pStyle w:val="avsnitt-tittel"/>
      </w:pPr>
      <w:r w:rsidRPr="00225D4D">
        <w:t xml:space="preserve">Særaldersgrenser for </w:t>
      </w:r>
      <w:proofErr w:type="gramStart"/>
      <w:r w:rsidRPr="00225D4D">
        <w:t>tilsette</w:t>
      </w:r>
      <w:proofErr w:type="gramEnd"/>
      <w:r w:rsidRPr="00225D4D">
        <w:t xml:space="preserve"> i staten</w:t>
      </w:r>
    </w:p>
    <w:p w14:paraId="075BB160" w14:textId="77777777" w:rsidR="00D60186" w:rsidRPr="00225D4D" w:rsidRDefault="00D60186" w:rsidP="00225D4D">
      <w:pPr>
        <w:pStyle w:val="avsnitt-undertittel"/>
      </w:pPr>
      <w:r w:rsidRPr="00225D4D">
        <w:t>Vedtak nr. 42, 4. desember 2017</w:t>
      </w:r>
    </w:p>
    <w:p w14:paraId="63B0776E" w14:textId="77777777" w:rsidR="00D60186" w:rsidRPr="00225D4D" w:rsidRDefault="00D60186" w:rsidP="00225D4D">
      <w:pPr>
        <w:pStyle w:val="blokksit"/>
        <w:rPr>
          <w:rStyle w:val="kursiv"/>
        </w:rPr>
      </w:pPr>
      <w:r w:rsidRPr="00225D4D">
        <w:rPr>
          <w:rStyle w:val="kursiv"/>
        </w:rPr>
        <w:t>«Stortinget ber regjeringen vurdere, i samråd med partene i arbeidslivet, om dagens system med særaldersgrenser for ansatte i staten og statlige virksomheter bør endres, i tråd med utviklingen i samfunns- og yrkesliv.»</w:t>
      </w:r>
    </w:p>
    <w:p w14:paraId="03E2A2B6" w14:textId="77777777" w:rsidR="00D60186" w:rsidRPr="00225D4D" w:rsidRDefault="00D60186" w:rsidP="00225D4D">
      <w:r w:rsidRPr="00225D4D">
        <w:t xml:space="preserve">Vedtaket blei gjort ved behandling av Meld. St. 1 (2017–2018), </w:t>
      </w:r>
      <w:proofErr w:type="spellStart"/>
      <w:r w:rsidRPr="00225D4D">
        <w:t>Innst</w:t>
      </w:r>
      <w:proofErr w:type="spellEnd"/>
      <w:r w:rsidRPr="00225D4D">
        <w:t>. 2 S (2017–2018).</w:t>
      </w:r>
    </w:p>
    <w:p w14:paraId="2888DB3D" w14:textId="77777777" w:rsidR="00D60186" w:rsidRPr="00225D4D" w:rsidRDefault="00D60186" w:rsidP="00225D4D">
      <w:r w:rsidRPr="00225D4D">
        <w:t xml:space="preserve">I avtalen om nye </w:t>
      </w:r>
      <w:proofErr w:type="spellStart"/>
      <w:r w:rsidRPr="00225D4D">
        <w:t>pensjonsreglar</w:t>
      </w:r>
      <w:proofErr w:type="spellEnd"/>
      <w:r w:rsidRPr="00225D4D">
        <w:t xml:space="preserve"> for </w:t>
      </w:r>
      <w:proofErr w:type="spellStart"/>
      <w:r w:rsidRPr="00225D4D">
        <w:t>personar</w:t>
      </w:r>
      <w:proofErr w:type="spellEnd"/>
      <w:r w:rsidRPr="00225D4D">
        <w:t xml:space="preserve"> med særaldersgrense </w:t>
      </w:r>
      <w:proofErr w:type="spellStart"/>
      <w:r w:rsidRPr="00225D4D">
        <w:t>frå</w:t>
      </w:r>
      <w:proofErr w:type="spellEnd"/>
      <w:r w:rsidRPr="00225D4D">
        <w:t xml:space="preserve"> august 2023 går det fram at </w:t>
      </w:r>
      <w:proofErr w:type="spellStart"/>
      <w:r w:rsidRPr="00225D4D">
        <w:t>partane</w:t>
      </w:r>
      <w:proofErr w:type="spellEnd"/>
      <w:r w:rsidRPr="00225D4D">
        <w:t xml:space="preserve"> er innforståtte med at det </w:t>
      </w:r>
      <w:proofErr w:type="spellStart"/>
      <w:r w:rsidRPr="00225D4D">
        <w:t>no</w:t>
      </w:r>
      <w:proofErr w:type="spellEnd"/>
      <w:r w:rsidRPr="00225D4D">
        <w:t xml:space="preserve"> blir sett i gang </w:t>
      </w:r>
      <w:proofErr w:type="spellStart"/>
      <w:r w:rsidRPr="00225D4D">
        <w:t>eit</w:t>
      </w:r>
      <w:proofErr w:type="spellEnd"/>
      <w:r w:rsidRPr="00225D4D">
        <w:t xml:space="preserve"> arbeid for å vurdere det framtidige omfanget av særaldersgrenser. Arbeidet har som siktemål at </w:t>
      </w:r>
      <w:proofErr w:type="spellStart"/>
      <w:r w:rsidRPr="00225D4D">
        <w:t>offentleg</w:t>
      </w:r>
      <w:proofErr w:type="spellEnd"/>
      <w:r w:rsidRPr="00225D4D">
        <w:t xml:space="preserve"> sektor i større grad får nyttiggjort kompetansen til </w:t>
      </w:r>
      <w:proofErr w:type="spellStart"/>
      <w:r w:rsidRPr="00225D4D">
        <w:t>personar</w:t>
      </w:r>
      <w:proofErr w:type="spellEnd"/>
      <w:r w:rsidRPr="00225D4D">
        <w:t xml:space="preserve"> som i dag har særaldersgrenser. Regjeringa vil komme tilbake til Stortinget på eigna tidspunkt og på eigna måte.</w:t>
      </w:r>
    </w:p>
    <w:p w14:paraId="254F72B4" w14:textId="77777777" w:rsidR="00D60186" w:rsidRPr="00225D4D" w:rsidRDefault="00D60186" w:rsidP="00225D4D">
      <w:pPr>
        <w:pStyle w:val="avsnitt-tittel"/>
      </w:pPr>
      <w:r w:rsidRPr="00225D4D">
        <w:t>Overgangsordning for fosterforeldre</w:t>
      </w:r>
    </w:p>
    <w:p w14:paraId="73F01810" w14:textId="77777777" w:rsidR="00D60186" w:rsidRPr="00225D4D" w:rsidRDefault="00D60186" w:rsidP="00225D4D">
      <w:pPr>
        <w:pStyle w:val="avsnitt-undertittel"/>
      </w:pPr>
      <w:r w:rsidRPr="00225D4D">
        <w:t>Vedtak 321, 15. desember 2017</w:t>
      </w:r>
    </w:p>
    <w:p w14:paraId="5CD81240" w14:textId="77777777" w:rsidR="00D60186" w:rsidRPr="00225D4D" w:rsidRDefault="00D60186" w:rsidP="00225D4D">
      <w:pPr>
        <w:pStyle w:val="blokksit"/>
        <w:rPr>
          <w:rStyle w:val="kursiv"/>
        </w:rPr>
      </w:pPr>
      <w:r w:rsidRPr="00225D4D">
        <w:rPr>
          <w:rStyle w:val="kursiv"/>
        </w:rP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14:paraId="68410594" w14:textId="77777777" w:rsidR="00D60186" w:rsidRPr="00225D4D" w:rsidRDefault="00D60186" w:rsidP="00225D4D">
      <w:r w:rsidRPr="00225D4D">
        <w:t xml:space="preserve">Vedtaket blei gjort ved behandling av </w:t>
      </w:r>
      <w:proofErr w:type="spellStart"/>
      <w:r w:rsidRPr="00225D4D">
        <w:t>Prop</w:t>
      </w:r>
      <w:proofErr w:type="spellEnd"/>
      <w:r w:rsidRPr="00225D4D">
        <w:t xml:space="preserve">. 1 S (2017–2018), </w:t>
      </w:r>
      <w:proofErr w:type="spellStart"/>
      <w:r w:rsidRPr="00225D4D">
        <w:t>Innst</w:t>
      </w:r>
      <w:proofErr w:type="spellEnd"/>
      <w:r w:rsidRPr="00225D4D">
        <w:t>. 15 S (2017–2018).</w:t>
      </w:r>
    </w:p>
    <w:p w14:paraId="217FE0ED" w14:textId="77777777" w:rsidR="00D60186" w:rsidRPr="00225D4D" w:rsidRDefault="00D60186" w:rsidP="00225D4D">
      <w:r w:rsidRPr="00225D4D">
        <w:t xml:space="preserve">Både </w:t>
      </w:r>
      <w:proofErr w:type="spellStart"/>
      <w:r w:rsidRPr="00225D4D">
        <w:t>dagpengar</w:t>
      </w:r>
      <w:proofErr w:type="spellEnd"/>
      <w:r w:rsidRPr="00225D4D">
        <w:t xml:space="preserve"> og </w:t>
      </w:r>
      <w:proofErr w:type="spellStart"/>
      <w:r w:rsidRPr="00225D4D">
        <w:t>arbeidsavklaringspengar</w:t>
      </w:r>
      <w:proofErr w:type="spellEnd"/>
      <w:r w:rsidRPr="00225D4D">
        <w:t xml:space="preserve"> blir avkorta på grunnlag av </w:t>
      </w:r>
      <w:proofErr w:type="spellStart"/>
      <w:r w:rsidRPr="00225D4D">
        <w:t>timar</w:t>
      </w:r>
      <w:proofErr w:type="spellEnd"/>
      <w:r w:rsidRPr="00225D4D">
        <w:t xml:space="preserve"> </w:t>
      </w:r>
      <w:proofErr w:type="spellStart"/>
      <w:r w:rsidRPr="00225D4D">
        <w:t>mottakaren</w:t>
      </w:r>
      <w:proofErr w:type="spellEnd"/>
      <w:r w:rsidRPr="00225D4D">
        <w:t xml:space="preserve"> har arbeidd.</w:t>
      </w:r>
    </w:p>
    <w:p w14:paraId="41E495A0" w14:textId="77777777" w:rsidR="00D60186" w:rsidRPr="00225D4D" w:rsidRDefault="00D60186" w:rsidP="00225D4D">
      <w:r w:rsidRPr="00225D4D">
        <w:t xml:space="preserve">Som det står i oppmodingsvedtaket, er det </w:t>
      </w:r>
      <w:proofErr w:type="spellStart"/>
      <w:r w:rsidRPr="00225D4D">
        <w:t>frå</w:t>
      </w:r>
      <w:proofErr w:type="spellEnd"/>
      <w:r w:rsidRPr="00225D4D">
        <w:t xml:space="preserve"> 1. januar 2018 fastsett i forskrift at </w:t>
      </w:r>
      <w:proofErr w:type="spellStart"/>
      <w:r w:rsidRPr="00225D4D">
        <w:t>dagpengane</w:t>
      </w:r>
      <w:proofErr w:type="spellEnd"/>
      <w:r w:rsidRPr="00225D4D">
        <w:t xml:space="preserve"> og </w:t>
      </w:r>
      <w:proofErr w:type="spellStart"/>
      <w:r w:rsidRPr="00225D4D">
        <w:t>arbeidsavklaringspengane</w:t>
      </w:r>
      <w:proofErr w:type="spellEnd"/>
      <w:r w:rsidRPr="00225D4D">
        <w:t xml:space="preserve"> </w:t>
      </w:r>
      <w:proofErr w:type="spellStart"/>
      <w:r w:rsidRPr="00225D4D">
        <w:t>ikkje</w:t>
      </w:r>
      <w:proofErr w:type="spellEnd"/>
      <w:r w:rsidRPr="00225D4D">
        <w:t xml:space="preserve"> skal </w:t>
      </w:r>
      <w:proofErr w:type="spellStart"/>
      <w:r w:rsidRPr="00225D4D">
        <w:t>avkortast</w:t>
      </w:r>
      <w:proofErr w:type="spellEnd"/>
      <w:r w:rsidRPr="00225D4D">
        <w:t xml:space="preserve"> ved arbeid som fosterforeldre. Ordninga er </w:t>
      </w:r>
      <w:proofErr w:type="spellStart"/>
      <w:r w:rsidRPr="00225D4D">
        <w:t>vidareført</w:t>
      </w:r>
      <w:proofErr w:type="spellEnd"/>
      <w:r w:rsidRPr="00225D4D">
        <w:t xml:space="preserve"> som ei varig ordning og </w:t>
      </w:r>
      <w:proofErr w:type="spellStart"/>
      <w:r w:rsidRPr="00225D4D">
        <w:t>timar</w:t>
      </w:r>
      <w:proofErr w:type="spellEnd"/>
      <w:r w:rsidRPr="00225D4D">
        <w:t xml:space="preserve"> i arbeid som fosterforeldre fører </w:t>
      </w:r>
      <w:proofErr w:type="spellStart"/>
      <w:r w:rsidRPr="00225D4D">
        <w:t>ikkje</w:t>
      </w:r>
      <w:proofErr w:type="spellEnd"/>
      <w:r w:rsidRPr="00225D4D">
        <w:t xml:space="preserve"> til </w:t>
      </w:r>
      <w:proofErr w:type="spellStart"/>
      <w:r w:rsidRPr="00225D4D">
        <w:t>avkorting</w:t>
      </w:r>
      <w:proofErr w:type="spellEnd"/>
      <w:r w:rsidRPr="00225D4D">
        <w:t xml:space="preserve"> i </w:t>
      </w:r>
      <w:proofErr w:type="spellStart"/>
      <w:r w:rsidRPr="00225D4D">
        <w:t>desse</w:t>
      </w:r>
      <w:proofErr w:type="spellEnd"/>
      <w:r w:rsidRPr="00225D4D">
        <w:t xml:space="preserve"> </w:t>
      </w:r>
      <w:proofErr w:type="spellStart"/>
      <w:r w:rsidRPr="00225D4D">
        <w:t>ytingane</w:t>
      </w:r>
      <w:proofErr w:type="spellEnd"/>
      <w:r w:rsidRPr="00225D4D">
        <w:t>.</w:t>
      </w:r>
    </w:p>
    <w:p w14:paraId="794CF76F" w14:textId="77777777" w:rsidR="00D60186" w:rsidRPr="00225D4D" w:rsidRDefault="00D60186" w:rsidP="00225D4D">
      <w:proofErr w:type="spellStart"/>
      <w:r w:rsidRPr="00225D4D">
        <w:t>Gjeldande</w:t>
      </w:r>
      <w:proofErr w:type="spellEnd"/>
      <w:r w:rsidRPr="00225D4D">
        <w:t xml:space="preserve"> regler for </w:t>
      </w:r>
      <w:proofErr w:type="spellStart"/>
      <w:r w:rsidRPr="00225D4D">
        <w:t>dagpengar</w:t>
      </w:r>
      <w:proofErr w:type="spellEnd"/>
      <w:r w:rsidRPr="00225D4D">
        <w:t xml:space="preserve"> og </w:t>
      </w:r>
      <w:proofErr w:type="spellStart"/>
      <w:r w:rsidRPr="00225D4D">
        <w:t>arbeidsavklaringspengar</w:t>
      </w:r>
      <w:proofErr w:type="spellEnd"/>
      <w:r w:rsidRPr="00225D4D">
        <w:t xml:space="preserve"> er i tråd med Stortinget sin intensjon med oppmodingsvedtaket om at fosterforeldre </w:t>
      </w:r>
      <w:proofErr w:type="spellStart"/>
      <w:r w:rsidRPr="00225D4D">
        <w:t>ikkje</w:t>
      </w:r>
      <w:proofErr w:type="spellEnd"/>
      <w:r w:rsidRPr="00225D4D">
        <w:t xml:space="preserve"> skal få </w:t>
      </w:r>
      <w:proofErr w:type="spellStart"/>
      <w:r w:rsidRPr="00225D4D">
        <w:t>avkorting</w:t>
      </w:r>
      <w:proofErr w:type="spellEnd"/>
      <w:r w:rsidRPr="00225D4D">
        <w:t xml:space="preserve"> i </w:t>
      </w:r>
      <w:proofErr w:type="spellStart"/>
      <w:r w:rsidRPr="00225D4D">
        <w:t>ytingar</w:t>
      </w:r>
      <w:proofErr w:type="spellEnd"/>
      <w:r w:rsidRPr="00225D4D">
        <w:t xml:space="preserve"> som følge av fosterheimsoppdraget. Sjå òg omtale av vedtak 1200, 10. juni 2021.</w:t>
      </w:r>
    </w:p>
    <w:p w14:paraId="18BD5523" w14:textId="77777777" w:rsidR="00D60186" w:rsidRPr="00225D4D" w:rsidRDefault="00D60186" w:rsidP="00225D4D">
      <w:r w:rsidRPr="00225D4D">
        <w:t xml:space="preserve">Med dette ser departementet oppmodingsvedtaket som </w:t>
      </w:r>
      <w:proofErr w:type="spellStart"/>
      <w:r w:rsidRPr="00225D4D">
        <w:t>følgt</w:t>
      </w:r>
      <w:proofErr w:type="spellEnd"/>
      <w:r w:rsidRPr="00225D4D">
        <w:t xml:space="preserve"> opp.</w:t>
      </w:r>
    </w:p>
    <w:p w14:paraId="3277E446" w14:textId="77777777" w:rsidR="00D60186" w:rsidRPr="00225D4D" w:rsidRDefault="00D60186" w:rsidP="00225D4D">
      <w:pPr>
        <w:pStyle w:val="Overskrift1"/>
      </w:pPr>
      <w:r w:rsidRPr="00225D4D">
        <w:t>Barne- og familiedepartementet</w:t>
      </w:r>
    </w:p>
    <w:p w14:paraId="3C7D32FD" w14:textId="77777777" w:rsidR="00D60186" w:rsidRPr="00225D4D" w:rsidRDefault="00D60186" w:rsidP="00225D4D">
      <w:proofErr w:type="spellStart"/>
      <w:r w:rsidRPr="00225D4D">
        <w:t>Nedanfor</w:t>
      </w:r>
      <w:proofErr w:type="spellEnd"/>
      <w:r w:rsidRPr="00225D4D">
        <w:t xml:space="preserve"> er </w:t>
      </w:r>
      <w:proofErr w:type="gramStart"/>
      <w:r w:rsidRPr="00225D4D">
        <w:t>ei oversikt</w:t>
      </w:r>
      <w:proofErr w:type="gramEnd"/>
      <w:r w:rsidRPr="00225D4D">
        <w:t xml:space="preserve"> over oppfølginga av oppmodingsvedtak under BFD. </w:t>
      </w:r>
      <w:proofErr w:type="spellStart"/>
      <w:r w:rsidRPr="00225D4D">
        <w:t>Oversikta</w:t>
      </w:r>
      <w:proofErr w:type="spellEnd"/>
      <w:r w:rsidRPr="00225D4D">
        <w:t xml:space="preserve"> inkluderer alle vedtaka </w:t>
      </w:r>
      <w:proofErr w:type="spellStart"/>
      <w:r w:rsidRPr="00225D4D">
        <w:t>frå</w:t>
      </w:r>
      <w:proofErr w:type="spellEnd"/>
      <w:r w:rsidRPr="00225D4D">
        <w:t xml:space="preserve"> stortingssesjonen (2024–2025) og vedtaka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stortingssesjonar</w:t>
      </w:r>
      <w:proofErr w:type="spellEnd"/>
      <w:r w:rsidRPr="00225D4D">
        <w:t xml:space="preserve"> som kontroll- og konstitusjonskomiteen i </w:t>
      </w:r>
      <w:proofErr w:type="spellStart"/>
      <w:r w:rsidRPr="00225D4D">
        <w:t>Innst</w:t>
      </w:r>
      <w:proofErr w:type="spellEnd"/>
      <w:r w:rsidRPr="00225D4D">
        <w:t xml:space="preserve">. 216 (2024–2025) meinte </w:t>
      </w:r>
      <w:proofErr w:type="spellStart"/>
      <w:r w:rsidRPr="00225D4D">
        <w:t>ikkje</w:t>
      </w:r>
      <w:proofErr w:type="spellEnd"/>
      <w:r w:rsidRPr="00225D4D">
        <w:t xml:space="preserve"> var </w:t>
      </w:r>
      <w:proofErr w:type="spellStart"/>
      <w:r w:rsidRPr="00225D4D">
        <w:t>utkvitterte</w:t>
      </w:r>
      <w:proofErr w:type="spellEnd"/>
      <w:r w:rsidRPr="00225D4D">
        <w:t>.</w:t>
      </w:r>
    </w:p>
    <w:p w14:paraId="2A19DA6B" w14:textId="77777777" w:rsidR="00D60186" w:rsidRPr="00225D4D" w:rsidRDefault="00D60186" w:rsidP="00225D4D">
      <w:r w:rsidRPr="00225D4D">
        <w:t xml:space="preserve">I tabellen </w:t>
      </w:r>
      <w:proofErr w:type="spellStart"/>
      <w:r w:rsidRPr="00225D4D">
        <w:t>nedanfor</w:t>
      </w:r>
      <w:proofErr w:type="spellEnd"/>
      <w:r w:rsidRPr="00225D4D">
        <w:t xml:space="preserve"> står det om departementet </w:t>
      </w:r>
      <w:proofErr w:type="spellStart"/>
      <w:r w:rsidRPr="00225D4D">
        <w:t>reknar</w:t>
      </w:r>
      <w:proofErr w:type="spellEnd"/>
      <w:r w:rsidRPr="00225D4D">
        <w:t xml:space="preserve"> rapporteringa om oppmodingsvedtaket som avslutta, eller om departementet òg vil rapportere konkret om vedtaket i budsjettforslaget neste år.</w:t>
      </w:r>
    </w:p>
    <w:p w14:paraId="4496A522" w14:textId="6249DE65" w:rsidR="00330F87" w:rsidRPr="00225D4D" w:rsidRDefault="00330F87" w:rsidP="00225D4D">
      <w:pPr>
        <w:pStyle w:val="tabell-tittel"/>
      </w:pPr>
      <w:r w:rsidRPr="00225D4D">
        <w:t>Oversikt over oppmodings- og utgreiingsvedtak, ordna etter sesjon og nummer</w:t>
      </w:r>
    </w:p>
    <w:p w14:paraId="3CDD11CA" w14:textId="77777777" w:rsidR="00D60186" w:rsidRPr="00225D4D" w:rsidRDefault="00D60186" w:rsidP="00225D4D">
      <w:pPr>
        <w:pStyle w:val="Tabellnavn"/>
      </w:pPr>
      <w:r w:rsidRPr="00225D4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60"/>
        <w:gridCol w:w="1208"/>
        <w:gridCol w:w="5812"/>
        <w:gridCol w:w="1480"/>
      </w:tblGrid>
      <w:tr w:rsidR="00E76DC8" w:rsidRPr="00225D4D" w14:paraId="2313B256" w14:textId="77777777" w:rsidTr="00274E77">
        <w:trPr>
          <w:trHeight w:val="600"/>
        </w:trPr>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0E9B3F" w14:textId="77777777" w:rsidR="00D60186" w:rsidRPr="00815696" w:rsidRDefault="00D60186" w:rsidP="00225D4D">
            <w:pPr>
              <w:rPr>
                <w:sz w:val="21"/>
                <w:szCs w:val="21"/>
              </w:rPr>
            </w:pPr>
            <w:r w:rsidRPr="00815696">
              <w:rPr>
                <w:sz w:val="21"/>
                <w:szCs w:val="21"/>
              </w:rPr>
              <w:t>Sesjon</w:t>
            </w:r>
          </w:p>
        </w:tc>
        <w:tc>
          <w:tcPr>
            <w:tcW w:w="1208"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66A1E5" w14:textId="77777777" w:rsidR="00D60186" w:rsidRPr="00815696" w:rsidRDefault="00D60186" w:rsidP="00815696">
            <w:pPr>
              <w:ind w:right="113"/>
              <w:jc w:val="right"/>
              <w:rPr>
                <w:sz w:val="21"/>
                <w:szCs w:val="21"/>
              </w:rPr>
            </w:pPr>
            <w:r w:rsidRPr="00815696">
              <w:rPr>
                <w:sz w:val="21"/>
                <w:szCs w:val="21"/>
              </w:rPr>
              <w:t>Vedtak nr.</w:t>
            </w:r>
          </w:p>
        </w:tc>
        <w:tc>
          <w:tcPr>
            <w:tcW w:w="581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5D9825" w14:textId="77777777" w:rsidR="00D60186" w:rsidRPr="00815696" w:rsidRDefault="00D60186" w:rsidP="00225D4D">
            <w:pPr>
              <w:rPr>
                <w:sz w:val="21"/>
                <w:szCs w:val="21"/>
              </w:rPr>
            </w:pPr>
            <w:r w:rsidRPr="00815696">
              <w:rPr>
                <w:sz w:val="21"/>
                <w:szCs w:val="21"/>
              </w:rPr>
              <w:t>Stikkord</w:t>
            </w:r>
          </w:p>
        </w:tc>
        <w:tc>
          <w:tcPr>
            <w:tcW w:w="1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A2A7FF" w14:textId="77777777" w:rsidR="00D60186" w:rsidRPr="00815696" w:rsidRDefault="00D60186" w:rsidP="00815696">
            <w:pPr>
              <w:jc w:val="right"/>
              <w:rPr>
                <w:sz w:val="21"/>
                <w:szCs w:val="21"/>
              </w:rPr>
            </w:pPr>
            <w:r w:rsidRPr="00815696">
              <w:rPr>
                <w:sz w:val="21"/>
                <w:szCs w:val="21"/>
              </w:rPr>
              <w:t xml:space="preserve">Rapportering </w:t>
            </w:r>
            <w:r w:rsidRPr="00815696">
              <w:rPr>
                <w:sz w:val="21"/>
                <w:szCs w:val="21"/>
              </w:rPr>
              <w:br/>
              <w:t>avslutta (ja/nei)</w:t>
            </w:r>
          </w:p>
        </w:tc>
      </w:tr>
      <w:tr w:rsidR="00E76DC8" w:rsidRPr="00225D4D" w14:paraId="3A7E3A5D" w14:textId="77777777" w:rsidTr="00814879">
        <w:trPr>
          <w:trHeight w:val="20"/>
        </w:trPr>
        <w:tc>
          <w:tcPr>
            <w:tcW w:w="1060" w:type="dxa"/>
            <w:tcBorders>
              <w:top w:val="single" w:sz="4" w:space="0" w:color="000000"/>
              <w:left w:val="nil"/>
              <w:bottom w:val="nil"/>
              <w:right w:val="nil"/>
            </w:tcBorders>
            <w:tcMar>
              <w:top w:w="128" w:type="dxa"/>
              <w:left w:w="43" w:type="dxa"/>
              <w:bottom w:w="43" w:type="dxa"/>
              <w:right w:w="43" w:type="dxa"/>
            </w:tcMar>
          </w:tcPr>
          <w:p w14:paraId="45AD58C5" w14:textId="77777777" w:rsidR="00D60186" w:rsidRPr="00815696" w:rsidRDefault="00D60186" w:rsidP="00225D4D">
            <w:pPr>
              <w:rPr>
                <w:sz w:val="21"/>
                <w:szCs w:val="21"/>
              </w:rPr>
            </w:pPr>
            <w:r w:rsidRPr="00815696">
              <w:rPr>
                <w:sz w:val="21"/>
                <w:szCs w:val="21"/>
              </w:rPr>
              <w:t>2024–2025</w:t>
            </w:r>
          </w:p>
        </w:tc>
        <w:tc>
          <w:tcPr>
            <w:tcW w:w="1208" w:type="dxa"/>
            <w:tcBorders>
              <w:top w:val="single" w:sz="4" w:space="0" w:color="000000"/>
              <w:left w:val="nil"/>
              <w:bottom w:val="nil"/>
              <w:right w:val="nil"/>
            </w:tcBorders>
            <w:tcMar>
              <w:top w:w="128" w:type="dxa"/>
              <w:left w:w="43" w:type="dxa"/>
              <w:bottom w:w="43" w:type="dxa"/>
              <w:right w:w="43" w:type="dxa"/>
            </w:tcMar>
          </w:tcPr>
          <w:p w14:paraId="26335B01" w14:textId="77777777" w:rsidR="00D60186" w:rsidRPr="00815696" w:rsidRDefault="00D60186" w:rsidP="00815696">
            <w:pPr>
              <w:ind w:right="113"/>
              <w:jc w:val="right"/>
              <w:rPr>
                <w:sz w:val="21"/>
                <w:szCs w:val="21"/>
              </w:rPr>
            </w:pPr>
            <w:r w:rsidRPr="00815696">
              <w:rPr>
                <w:sz w:val="21"/>
                <w:szCs w:val="21"/>
              </w:rPr>
              <w:t>88</w:t>
            </w:r>
          </w:p>
        </w:tc>
        <w:tc>
          <w:tcPr>
            <w:tcW w:w="5812" w:type="dxa"/>
            <w:tcBorders>
              <w:top w:val="single" w:sz="4" w:space="0" w:color="000000"/>
              <w:left w:val="nil"/>
              <w:bottom w:val="nil"/>
              <w:right w:val="nil"/>
            </w:tcBorders>
            <w:tcMar>
              <w:top w:w="128" w:type="dxa"/>
              <w:left w:w="43" w:type="dxa"/>
              <w:bottom w:w="43" w:type="dxa"/>
              <w:right w:w="43" w:type="dxa"/>
            </w:tcMar>
          </w:tcPr>
          <w:p w14:paraId="1B36FC3F" w14:textId="77777777" w:rsidR="00D60186" w:rsidRPr="00815696" w:rsidRDefault="00D60186" w:rsidP="00225D4D">
            <w:pPr>
              <w:rPr>
                <w:sz w:val="21"/>
                <w:szCs w:val="21"/>
              </w:rPr>
            </w:pPr>
            <w:r w:rsidRPr="00815696">
              <w:rPr>
                <w:sz w:val="21"/>
                <w:szCs w:val="21"/>
              </w:rPr>
              <w:t xml:space="preserve">oppbygging av det </w:t>
            </w:r>
            <w:proofErr w:type="spellStart"/>
            <w:r w:rsidRPr="00815696">
              <w:rPr>
                <w:sz w:val="21"/>
                <w:szCs w:val="21"/>
              </w:rPr>
              <w:t>statlege</w:t>
            </w:r>
            <w:proofErr w:type="spellEnd"/>
            <w:r w:rsidRPr="00815696">
              <w:rPr>
                <w:sz w:val="21"/>
                <w:szCs w:val="21"/>
              </w:rPr>
              <w:t xml:space="preserve"> barnevernet</w:t>
            </w:r>
          </w:p>
        </w:tc>
        <w:tc>
          <w:tcPr>
            <w:tcW w:w="1480" w:type="dxa"/>
            <w:tcBorders>
              <w:top w:val="single" w:sz="4" w:space="0" w:color="000000"/>
              <w:left w:val="nil"/>
              <w:bottom w:val="nil"/>
              <w:right w:val="nil"/>
            </w:tcBorders>
            <w:tcMar>
              <w:top w:w="128" w:type="dxa"/>
              <w:left w:w="43" w:type="dxa"/>
              <w:bottom w:w="43" w:type="dxa"/>
              <w:right w:w="43" w:type="dxa"/>
            </w:tcMar>
          </w:tcPr>
          <w:p w14:paraId="2777D049" w14:textId="77777777" w:rsidR="00D60186" w:rsidRPr="00815696" w:rsidRDefault="00D60186" w:rsidP="00815696">
            <w:pPr>
              <w:jc w:val="right"/>
              <w:rPr>
                <w:sz w:val="21"/>
                <w:szCs w:val="21"/>
              </w:rPr>
            </w:pPr>
            <w:r w:rsidRPr="00815696">
              <w:rPr>
                <w:sz w:val="21"/>
                <w:szCs w:val="21"/>
              </w:rPr>
              <w:t>Ja</w:t>
            </w:r>
          </w:p>
        </w:tc>
      </w:tr>
      <w:tr w:rsidR="00E76DC8" w:rsidRPr="00225D4D" w14:paraId="52A79320"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1791E452"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52F0CBCB" w14:textId="77777777" w:rsidR="00D60186" w:rsidRPr="00815696" w:rsidRDefault="00D60186" w:rsidP="00815696">
            <w:pPr>
              <w:ind w:right="113"/>
              <w:jc w:val="right"/>
              <w:rPr>
                <w:sz w:val="21"/>
                <w:szCs w:val="21"/>
              </w:rPr>
            </w:pPr>
            <w:r w:rsidRPr="00815696">
              <w:rPr>
                <w:sz w:val="21"/>
                <w:szCs w:val="21"/>
              </w:rPr>
              <w:t>439</w:t>
            </w:r>
          </w:p>
        </w:tc>
        <w:tc>
          <w:tcPr>
            <w:tcW w:w="5812" w:type="dxa"/>
            <w:tcBorders>
              <w:top w:val="nil"/>
              <w:left w:val="nil"/>
              <w:bottom w:val="nil"/>
              <w:right w:val="nil"/>
            </w:tcBorders>
            <w:tcMar>
              <w:top w:w="128" w:type="dxa"/>
              <w:left w:w="43" w:type="dxa"/>
              <w:bottom w:w="43" w:type="dxa"/>
              <w:right w:w="43" w:type="dxa"/>
            </w:tcMar>
          </w:tcPr>
          <w:p w14:paraId="7AC718D0" w14:textId="77777777" w:rsidR="00D60186" w:rsidRPr="00815696" w:rsidRDefault="00D60186" w:rsidP="00225D4D">
            <w:pPr>
              <w:rPr>
                <w:sz w:val="21"/>
                <w:szCs w:val="21"/>
              </w:rPr>
            </w:pPr>
            <w:r w:rsidRPr="00815696">
              <w:rPr>
                <w:sz w:val="21"/>
                <w:szCs w:val="21"/>
              </w:rPr>
              <w:t>dobbeltmedlemskap i trus- og livssynssamfunn</w:t>
            </w:r>
          </w:p>
        </w:tc>
        <w:tc>
          <w:tcPr>
            <w:tcW w:w="1480" w:type="dxa"/>
            <w:tcBorders>
              <w:top w:val="nil"/>
              <w:left w:val="nil"/>
              <w:bottom w:val="nil"/>
              <w:right w:val="nil"/>
            </w:tcBorders>
            <w:tcMar>
              <w:top w:w="128" w:type="dxa"/>
              <w:left w:w="43" w:type="dxa"/>
              <w:bottom w:w="43" w:type="dxa"/>
              <w:right w:w="43" w:type="dxa"/>
            </w:tcMar>
          </w:tcPr>
          <w:p w14:paraId="430FDD3F" w14:textId="77777777" w:rsidR="00D60186" w:rsidRPr="00815696" w:rsidRDefault="00D60186" w:rsidP="00815696">
            <w:pPr>
              <w:jc w:val="right"/>
              <w:rPr>
                <w:sz w:val="21"/>
                <w:szCs w:val="21"/>
              </w:rPr>
            </w:pPr>
            <w:r w:rsidRPr="00815696">
              <w:rPr>
                <w:sz w:val="21"/>
                <w:szCs w:val="21"/>
              </w:rPr>
              <w:t>Ja</w:t>
            </w:r>
          </w:p>
        </w:tc>
      </w:tr>
      <w:tr w:rsidR="00E76DC8" w:rsidRPr="00225D4D" w14:paraId="55A8B13F"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01C41948"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5B0A8CC9" w14:textId="77777777" w:rsidR="00D60186" w:rsidRPr="00815696" w:rsidRDefault="00D60186" w:rsidP="00815696">
            <w:pPr>
              <w:ind w:right="113"/>
              <w:jc w:val="right"/>
              <w:rPr>
                <w:sz w:val="21"/>
                <w:szCs w:val="21"/>
              </w:rPr>
            </w:pPr>
            <w:r w:rsidRPr="00815696">
              <w:rPr>
                <w:sz w:val="21"/>
                <w:szCs w:val="21"/>
              </w:rPr>
              <w:t>440</w:t>
            </w:r>
          </w:p>
        </w:tc>
        <w:tc>
          <w:tcPr>
            <w:tcW w:w="5812" w:type="dxa"/>
            <w:tcBorders>
              <w:top w:val="nil"/>
              <w:left w:val="nil"/>
              <w:bottom w:val="nil"/>
              <w:right w:val="nil"/>
            </w:tcBorders>
            <w:tcMar>
              <w:top w:w="128" w:type="dxa"/>
              <w:left w:w="43" w:type="dxa"/>
              <w:bottom w:w="43" w:type="dxa"/>
              <w:right w:w="43" w:type="dxa"/>
            </w:tcMar>
          </w:tcPr>
          <w:p w14:paraId="3EC7EC9D" w14:textId="77777777" w:rsidR="00D60186" w:rsidRPr="00815696" w:rsidRDefault="00D60186" w:rsidP="00225D4D">
            <w:pPr>
              <w:rPr>
                <w:sz w:val="21"/>
                <w:szCs w:val="21"/>
              </w:rPr>
            </w:pPr>
            <w:r w:rsidRPr="00815696">
              <w:rPr>
                <w:sz w:val="21"/>
                <w:szCs w:val="21"/>
              </w:rPr>
              <w:t xml:space="preserve">stanse samvær som </w:t>
            </w:r>
            <w:proofErr w:type="spellStart"/>
            <w:r w:rsidRPr="00815696">
              <w:rPr>
                <w:sz w:val="21"/>
                <w:szCs w:val="21"/>
              </w:rPr>
              <w:t>ikkje</w:t>
            </w:r>
            <w:proofErr w:type="spellEnd"/>
            <w:r w:rsidRPr="00815696">
              <w:rPr>
                <w:sz w:val="21"/>
                <w:szCs w:val="21"/>
              </w:rPr>
              <w:t xml:space="preserve"> er til det beste for barnet i barnevernet</w:t>
            </w:r>
          </w:p>
        </w:tc>
        <w:tc>
          <w:tcPr>
            <w:tcW w:w="1480" w:type="dxa"/>
            <w:tcBorders>
              <w:top w:val="nil"/>
              <w:left w:val="nil"/>
              <w:bottom w:val="nil"/>
              <w:right w:val="nil"/>
            </w:tcBorders>
            <w:tcMar>
              <w:top w:w="128" w:type="dxa"/>
              <w:left w:w="43" w:type="dxa"/>
              <w:bottom w:w="43" w:type="dxa"/>
              <w:right w:w="43" w:type="dxa"/>
            </w:tcMar>
          </w:tcPr>
          <w:p w14:paraId="16CD1B9A" w14:textId="77777777" w:rsidR="00D60186" w:rsidRPr="00815696" w:rsidRDefault="00D60186" w:rsidP="00815696">
            <w:pPr>
              <w:jc w:val="right"/>
              <w:rPr>
                <w:sz w:val="21"/>
                <w:szCs w:val="21"/>
              </w:rPr>
            </w:pPr>
            <w:r w:rsidRPr="00815696">
              <w:rPr>
                <w:sz w:val="21"/>
                <w:szCs w:val="21"/>
              </w:rPr>
              <w:t>Nei</w:t>
            </w:r>
          </w:p>
        </w:tc>
      </w:tr>
      <w:tr w:rsidR="00E76DC8" w:rsidRPr="00225D4D" w14:paraId="6150177E"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43A4909C"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1B4C7888" w14:textId="77777777" w:rsidR="00D60186" w:rsidRPr="00815696" w:rsidRDefault="00D60186" w:rsidP="00815696">
            <w:pPr>
              <w:ind w:right="113"/>
              <w:jc w:val="right"/>
              <w:rPr>
                <w:sz w:val="21"/>
                <w:szCs w:val="21"/>
              </w:rPr>
            </w:pPr>
            <w:r w:rsidRPr="00815696">
              <w:rPr>
                <w:sz w:val="21"/>
                <w:szCs w:val="21"/>
              </w:rPr>
              <w:t>441</w:t>
            </w:r>
          </w:p>
        </w:tc>
        <w:tc>
          <w:tcPr>
            <w:tcW w:w="5812" w:type="dxa"/>
            <w:tcBorders>
              <w:top w:val="nil"/>
              <w:left w:val="nil"/>
              <w:bottom w:val="nil"/>
              <w:right w:val="nil"/>
            </w:tcBorders>
            <w:tcMar>
              <w:top w:w="128" w:type="dxa"/>
              <w:left w:w="43" w:type="dxa"/>
              <w:bottom w:w="43" w:type="dxa"/>
              <w:right w:w="43" w:type="dxa"/>
            </w:tcMar>
          </w:tcPr>
          <w:p w14:paraId="5FB8B44C" w14:textId="77777777" w:rsidR="00D60186" w:rsidRPr="00815696" w:rsidRDefault="00D60186" w:rsidP="00225D4D">
            <w:pPr>
              <w:rPr>
                <w:sz w:val="21"/>
                <w:szCs w:val="21"/>
              </w:rPr>
            </w:pPr>
            <w:proofErr w:type="spellStart"/>
            <w:r w:rsidRPr="00815696">
              <w:rPr>
                <w:sz w:val="21"/>
                <w:szCs w:val="21"/>
              </w:rPr>
              <w:t>styrkje</w:t>
            </w:r>
            <w:proofErr w:type="spellEnd"/>
            <w:r w:rsidRPr="00815696">
              <w:rPr>
                <w:sz w:val="21"/>
                <w:szCs w:val="21"/>
              </w:rPr>
              <w:t xml:space="preserve"> </w:t>
            </w:r>
            <w:proofErr w:type="spellStart"/>
            <w:r w:rsidRPr="00815696">
              <w:rPr>
                <w:sz w:val="21"/>
                <w:szCs w:val="21"/>
              </w:rPr>
              <w:t>partsrettane</w:t>
            </w:r>
            <w:proofErr w:type="spellEnd"/>
            <w:r w:rsidRPr="00815696">
              <w:rPr>
                <w:sz w:val="21"/>
                <w:szCs w:val="21"/>
              </w:rPr>
              <w:t xml:space="preserve"> til fosterbarn og fosterforeldre </w:t>
            </w:r>
          </w:p>
        </w:tc>
        <w:tc>
          <w:tcPr>
            <w:tcW w:w="1480" w:type="dxa"/>
            <w:tcBorders>
              <w:top w:val="nil"/>
              <w:left w:val="nil"/>
              <w:bottom w:val="nil"/>
              <w:right w:val="nil"/>
            </w:tcBorders>
            <w:tcMar>
              <w:top w:w="128" w:type="dxa"/>
              <w:left w:w="43" w:type="dxa"/>
              <w:bottom w:w="43" w:type="dxa"/>
              <w:right w:w="43" w:type="dxa"/>
            </w:tcMar>
          </w:tcPr>
          <w:p w14:paraId="4BE9BEF8" w14:textId="77777777" w:rsidR="00D60186" w:rsidRPr="00815696" w:rsidRDefault="00D60186" w:rsidP="00815696">
            <w:pPr>
              <w:jc w:val="right"/>
              <w:rPr>
                <w:sz w:val="21"/>
                <w:szCs w:val="21"/>
              </w:rPr>
            </w:pPr>
            <w:r w:rsidRPr="00815696">
              <w:rPr>
                <w:sz w:val="21"/>
                <w:szCs w:val="21"/>
              </w:rPr>
              <w:t>Nei</w:t>
            </w:r>
          </w:p>
        </w:tc>
      </w:tr>
      <w:tr w:rsidR="00E76DC8" w:rsidRPr="00225D4D" w14:paraId="5B7FF955"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58A23016"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611BAABC" w14:textId="77777777" w:rsidR="00D60186" w:rsidRPr="00815696" w:rsidRDefault="00D60186" w:rsidP="00815696">
            <w:pPr>
              <w:ind w:right="113"/>
              <w:jc w:val="right"/>
              <w:rPr>
                <w:sz w:val="21"/>
                <w:szCs w:val="21"/>
              </w:rPr>
            </w:pPr>
            <w:r w:rsidRPr="00815696">
              <w:rPr>
                <w:sz w:val="21"/>
                <w:szCs w:val="21"/>
              </w:rPr>
              <w:t>472</w:t>
            </w:r>
          </w:p>
        </w:tc>
        <w:tc>
          <w:tcPr>
            <w:tcW w:w="5812" w:type="dxa"/>
            <w:tcBorders>
              <w:top w:val="nil"/>
              <w:left w:val="nil"/>
              <w:bottom w:val="nil"/>
              <w:right w:val="nil"/>
            </w:tcBorders>
            <w:tcMar>
              <w:top w:w="128" w:type="dxa"/>
              <w:left w:w="43" w:type="dxa"/>
              <w:bottom w:w="43" w:type="dxa"/>
              <w:right w:w="43" w:type="dxa"/>
            </w:tcMar>
          </w:tcPr>
          <w:p w14:paraId="7D71D9F7" w14:textId="77777777" w:rsidR="00D60186" w:rsidRPr="00815696" w:rsidRDefault="00D60186" w:rsidP="00225D4D">
            <w:pPr>
              <w:rPr>
                <w:sz w:val="21"/>
                <w:szCs w:val="21"/>
              </w:rPr>
            </w:pPr>
            <w:proofErr w:type="spellStart"/>
            <w:r w:rsidRPr="00815696">
              <w:rPr>
                <w:sz w:val="21"/>
                <w:szCs w:val="21"/>
              </w:rPr>
              <w:t>ein</w:t>
            </w:r>
            <w:proofErr w:type="spellEnd"/>
            <w:r w:rsidRPr="00815696">
              <w:rPr>
                <w:sz w:val="21"/>
                <w:szCs w:val="21"/>
              </w:rPr>
              <w:t>-til-</w:t>
            </w:r>
            <w:proofErr w:type="spellStart"/>
            <w:r w:rsidRPr="00815696">
              <w:rPr>
                <w:sz w:val="21"/>
                <w:szCs w:val="21"/>
              </w:rPr>
              <w:t>ein</w:t>
            </w:r>
            <w:proofErr w:type="spellEnd"/>
            <w:r w:rsidRPr="00815696">
              <w:rPr>
                <w:sz w:val="21"/>
                <w:szCs w:val="21"/>
              </w:rPr>
              <w:t>-oppfølging av unge i faresona for kriminalitet</w:t>
            </w:r>
          </w:p>
        </w:tc>
        <w:tc>
          <w:tcPr>
            <w:tcW w:w="1480" w:type="dxa"/>
            <w:tcBorders>
              <w:top w:val="nil"/>
              <w:left w:val="nil"/>
              <w:bottom w:val="nil"/>
              <w:right w:val="nil"/>
            </w:tcBorders>
            <w:tcMar>
              <w:top w:w="128" w:type="dxa"/>
              <w:left w:w="43" w:type="dxa"/>
              <w:bottom w:w="43" w:type="dxa"/>
              <w:right w:w="43" w:type="dxa"/>
            </w:tcMar>
          </w:tcPr>
          <w:p w14:paraId="13C3D99C" w14:textId="77777777" w:rsidR="00D60186" w:rsidRPr="00815696" w:rsidRDefault="00D60186" w:rsidP="00815696">
            <w:pPr>
              <w:jc w:val="right"/>
              <w:rPr>
                <w:sz w:val="21"/>
                <w:szCs w:val="21"/>
              </w:rPr>
            </w:pPr>
            <w:r w:rsidRPr="00815696">
              <w:rPr>
                <w:sz w:val="21"/>
                <w:szCs w:val="21"/>
              </w:rPr>
              <w:t>Ja</w:t>
            </w:r>
          </w:p>
        </w:tc>
      </w:tr>
      <w:tr w:rsidR="00E76DC8" w:rsidRPr="00225D4D" w14:paraId="361B28FA"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578D0C8B"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59270217" w14:textId="77777777" w:rsidR="00D60186" w:rsidRPr="00815696" w:rsidRDefault="00D60186" w:rsidP="00815696">
            <w:pPr>
              <w:ind w:right="113"/>
              <w:jc w:val="right"/>
              <w:rPr>
                <w:sz w:val="21"/>
                <w:szCs w:val="21"/>
              </w:rPr>
            </w:pPr>
            <w:r w:rsidRPr="00815696">
              <w:rPr>
                <w:sz w:val="21"/>
                <w:szCs w:val="21"/>
              </w:rPr>
              <w:t>477</w:t>
            </w:r>
          </w:p>
        </w:tc>
        <w:tc>
          <w:tcPr>
            <w:tcW w:w="5812" w:type="dxa"/>
            <w:tcBorders>
              <w:top w:val="nil"/>
              <w:left w:val="nil"/>
              <w:bottom w:val="nil"/>
              <w:right w:val="nil"/>
            </w:tcBorders>
            <w:tcMar>
              <w:top w:w="128" w:type="dxa"/>
              <w:left w:w="43" w:type="dxa"/>
              <w:bottom w:w="43" w:type="dxa"/>
              <w:right w:w="43" w:type="dxa"/>
            </w:tcMar>
          </w:tcPr>
          <w:p w14:paraId="48882524" w14:textId="77777777" w:rsidR="00D60186" w:rsidRPr="00815696" w:rsidRDefault="00D60186" w:rsidP="00225D4D">
            <w:pPr>
              <w:rPr>
                <w:sz w:val="21"/>
                <w:szCs w:val="21"/>
              </w:rPr>
            </w:pPr>
            <w:r w:rsidRPr="00815696">
              <w:rPr>
                <w:sz w:val="21"/>
                <w:szCs w:val="21"/>
              </w:rPr>
              <w:t xml:space="preserve">tilpassa bu- og </w:t>
            </w:r>
            <w:proofErr w:type="spellStart"/>
            <w:r w:rsidRPr="00815696">
              <w:rPr>
                <w:sz w:val="21"/>
                <w:szCs w:val="21"/>
              </w:rPr>
              <w:t>rehabiliteringstilbod</w:t>
            </w:r>
            <w:proofErr w:type="spellEnd"/>
            <w:r w:rsidRPr="00815696">
              <w:rPr>
                <w:sz w:val="21"/>
                <w:szCs w:val="21"/>
              </w:rPr>
              <w:t xml:space="preserve"> for barn som </w:t>
            </w:r>
            <w:proofErr w:type="spellStart"/>
            <w:r w:rsidRPr="00815696">
              <w:rPr>
                <w:sz w:val="21"/>
                <w:szCs w:val="21"/>
              </w:rPr>
              <w:t>gjer</w:t>
            </w:r>
            <w:proofErr w:type="spellEnd"/>
            <w:r w:rsidRPr="00815696">
              <w:rPr>
                <w:sz w:val="21"/>
                <w:szCs w:val="21"/>
              </w:rPr>
              <w:t xml:space="preserve"> seg skuldig i </w:t>
            </w:r>
            <w:proofErr w:type="spellStart"/>
            <w:r w:rsidRPr="00815696">
              <w:rPr>
                <w:sz w:val="21"/>
                <w:szCs w:val="21"/>
              </w:rPr>
              <w:t>alvorleg</w:t>
            </w:r>
            <w:proofErr w:type="spellEnd"/>
            <w:r w:rsidRPr="00815696">
              <w:rPr>
                <w:sz w:val="21"/>
                <w:szCs w:val="21"/>
              </w:rPr>
              <w:t xml:space="preserve"> kriminalitet</w:t>
            </w:r>
          </w:p>
        </w:tc>
        <w:tc>
          <w:tcPr>
            <w:tcW w:w="1480" w:type="dxa"/>
            <w:tcBorders>
              <w:top w:val="nil"/>
              <w:left w:val="nil"/>
              <w:bottom w:val="nil"/>
              <w:right w:val="nil"/>
            </w:tcBorders>
            <w:tcMar>
              <w:top w:w="128" w:type="dxa"/>
              <w:left w:w="43" w:type="dxa"/>
              <w:bottom w:w="43" w:type="dxa"/>
              <w:right w:w="43" w:type="dxa"/>
            </w:tcMar>
          </w:tcPr>
          <w:p w14:paraId="2A05A86D" w14:textId="77777777" w:rsidR="00D60186" w:rsidRPr="00815696" w:rsidRDefault="00D60186" w:rsidP="00815696">
            <w:pPr>
              <w:jc w:val="right"/>
              <w:rPr>
                <w:sz w:val="21"/>
                <w:szCs w:val="21"/>
              </w:rPr>
            </w:pPr>
            <w:r w:rsidRPr="00815696">
              <w:rPr>
                <w:sz w:val="21"/>
                <w:szCs w:val="21"/>
              </w:rPr>
              <w:t>Nei</w:t>
            </w:r>
          </w:p>
        </w:tc>
      </w:tr>
      <w:tr w:rsidR="00E76DC8" w:rsidRPr="00225D4D" w14:paraId="7A4C16BF"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4AFFCE52"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529AEEEA" w14:textId="77777777" w:rsidR="00D60186" w:rsidRPr="00815696" w:rsidRDefault="00D60186" w:rsidP="00815696">
            <w:pPr>
              <w:ind w:right="113"/>
              <w:jc w:val="right"/>
              <w:rPr>
                <w:sz w:val="21"/>
                <w:szCs w:val="21"/>
              </w:rPr>
            </w:pPr>
            <w:r w:rsidRPr="00815696">
              <w:rPr>
                <w:sz w:val="21"/>
                <w:szCs w:val="21"/>
              </w:rPr>
              <w:t>514</w:t>
            </w:r>
          </w:p>
        </w:tc>
        <w:tc>
          <w:tcPr>
            <w:tcW w:w="5812" w:type="dxa"/>
            <w:tcBorders>
              <w:top w:val="nil"/>
              <w:left w:val="nil"/>
              <w:bottom w:val="nil"/>
              <w:right w:val="nil"/>
            </w:tcBorders>
            <w:tcMar>
              <w:top w:w="128" w:type="dxa"/>
              <w:left w:w="43" w:type="dxa"/>
              <w:bottom w:w="43" w:type="dxa"/>
              <w:right w:w="43" w:type="dxa"/>
            </w:tcMar>
          </w:tcPr>
          <w:p w14:paraId="1CCC59A8" w14:textId="77777777" w:rsidR="00D60186" w:rsidRPr="00815696" w:rsidRDefault="00D60186" w:rsidP="00225D4D">
            <w:pPr>
              <w:rPr>
                <w:sz w:val="21"/>
                <w:szCs w:val="21"/>
              </w:rPr>
            </w:pPr>
            <w:r w:rsidRPr="00815696">
              <w:rPr>
                <w:sz w:val="21"/>
                <w:szCs w:val="21"/>
              </w:rPr>
              <w:t>tilgang til informasjon i saker om samvær</w:t>
            </w:r>
          </w:p>
        </w:tc>
        <w:tc>
          <w:tcPr>
            <w:tcW w:w="1480" w:type="dxa"/>
            <w:tcBorders>
              <w:top w:val="nil"/>
              <w:left w:val="nil"/>
              <w:bottom w:val="nil"/>
              <w:right w:val="nil"/>
            </w:tcBorders>
            <w:tcMar>
              <w:top w:w="128" w:type="dxa"/>
              <w:left w:w="43" w:type="dxa"/>
              <w:bottom w:w="43" w:type="dxa"/>
              <w:right w:w="43" w:type="dxa"/>
            </w:tcMar>
          </w:tcPr>
          <w:p w14:paraId="669842EB" w14:textId="77777777" w:rsidR="00D60186" w:rsidRPr="00815696" w:rsidRDefault="00D60186" w:rsidP="00815696">
            <w:pPr>
              <w:jc w:val="right"/>
              <w:rPr>
                <w:sz w:val="21"/>
                <w:szCs w:val="21"/>
              </w:rPr>
            </w:pPr>
            <w:r w:rsidRPr="00815696">
              <w:rPr>
                <w:sz w:val="21"/>
                <w:szCs w:val="21"/>
              </w:rPr>
              <w:t>Nei</w:t>
            </w:r>
          </w:p>
        </w:tc>
      </w:tr>
      <w:tr w:rsidR="00E76DC8" w:rsidRPr="00225D4D" w14:paraId="50363D97"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5411945F"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4175EB6F" w14:textId="77777777" w:rsidR="00D60186" w:rsidRPr="00815696" w:rsidRDefault="00D60186" w:rsidP="00815696">
            <w:pPr>
              <w:ind w:right="113"/>
              <w:jc w:val="right"/>
              <w:rPr>
                <w:sz w:val="21"/>
                <w:szCs w:val="21"/>
              </w:rPr>
            </w:pPr>
            <w:r w:rsidRPr="00815696">
              <w:rPr>
                <w:sz w:val="21"/>
                <w:szCs w:val="21"/>
              </w:rPr>
              <w:t>515</w:t>
            </w:r>
          </w:p>
        </w:tc>
        <w:tc>
          <w:tcPr>
            <w:tcW w:w="5812" w:type="dxa"/>
            <w:tcBorders>
              <w:top w:val="nil"/>
              <w:left w:val="nil"/>
              <w:bottom w:val="nil"/>
              <w:right w:val="nil"/>
            </w:tcBorders>
            <w:tcMar>
              <w:top w:w="128" w:type="dxa"/>
              <w:left w:w="43" w:type="dxa"/>
              <w:bottom w:w="43" w:type="dxa"/>
              <w:right w:w="43" w:type="dxa"/>
            </w:tcMar>
          </w:tcPr>
          <w:p w14:paraId="63D5E2E1" w14:textId="77777777" w:rsidR="00D60186" w:rsidRPr="00815696" w:rsidRDefault="00D60186" w:rsidP="00225D4D">
            <w:pPr>
              <w:rPr>
                <w:sz w:val="21"/>
                <w:szCs w:val="21"/>
              </w:rPr>
            </w:pPr>
            <w:proofErr w:type="spellStart"/>
            <w:r w:rsidRPr="00815696">
              <w:rPr>
                <w:sz w:val="21"/>
                <w:szCs w:val="21"/>
              </w:rPr>
              <w:t>personar</w:t>
            </w:r>
            <w:proofErr w:type="spellEnd"/>
            <w:r w:rsidRPr="00815696">
              <w:rPr>
                <w:sz w:val="21"/>
                <w:szCs w:val="21"/>
              </w:rPr>
              <w:t xml:space="preserve"> </w:t>
            </w:r>
            <w:proofErr w:type="spellStart"/>
            <w:r w:rsidRPr="00815696">
              <w:rPr>
                <w:sz w:val="21"/>
                <w:szCs w:val="21"/>
              </w:rPr>
              <w:t>dømde</w:t>
            </w:r>
            <w:proofErr w:type="spellEnd"/>
            <w:r w:rsidRPr="00815696">
              <w:rPr>
                <w:sz w:val="21"/>
                <w:szCs w:val="21"/>
              </w:rPr>
              <w:t xml:space="preserve"> for overgrep mot barn skal </w:t>
            </w:r>
            <w:proofErr w:type="spellStart"/>
            <w:r w:rsidRPr="00815696">
              <w:rPr>
                <w:sz w:val="21"/>
                <w:szCs w:val="21"/>
              </w:rPr>
              <w:t>ikkje</w:t>
            </w:r>
            <w:proofErr w:type="spellEnd"/>
            <w:r w:rsidRPr="00815696">
              <w:rPr>
                <w:sz w:val="21"/>
                <w:szCs w:val="21"/>
              </w:rPr>
              <w:t xml:space="preserve"> ha samvær med egne barn</w:t>
            </w:r>
          </w:p>
        </w:tc>
        <w:tc>
          <w:tcPr>
            <w:tcW w:w="1480" w:type="dxa"/>
            <w:tcBorders>
              <w:top w:val="nil"/>
              <w:left w:val="nil"/>
              <w:bottom w:val="nil"/>
              <w:right w:val="nil"/>
            </w:tcBorders>
            <w:tcMar>
              <w:top w:w="128" w:type="dxa"/>
              <w:left w:w="43" w:type="dxa"/>
              <w:bottom w:w="43" w:type="dxa"/>
              <w:right w:w="43" w:type="dxa"/>
            </w:tcMar>
          </w:tcPr>
          <w:p w14:paraId="1F6DBE9D" w14:textId="77777777" w:rsidR="00D60186" w:rsidRPr="00815696" w:rsidRDefault="00D60186" w:rsidP="00815696">
            <w:pPr>
              <w:jc w:val="right"/>
              <w:rPr>
                <w:sz w:val="21"/>
                <w:szCs w:val="21"/>
              </w:rPr>
            </w:pPr>
            <w:r w:rsidRPr="00815696">
              <w:rPr>
                <w:sz w:val="21"/>
                <w:szCs w:val="21"/>
              </w:rPr>
              <w:t>Nei</w:t>
            </w:r>
          </w:p>
        </w:tc>
      </w:tr>
      <w:tr w:rsidR="00E76DC8" w:rsidRPr="00225D4D" w14:paraId="0B6BB0EF"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4BE5984E"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4210C8FE" w14:textId="77777777" w:rsidR="00D60186" w:rsidRPr="00815696" w:rsidRDefault="00D60186" w:rsidP="00815696">
            <w:pPr>
              <w:ind w:right="113"/>
              <w:jc w:val="right"/>
              <w:rPr>
                <w:sz w:val="21"/>
                <w:szCs w:val="21"/>
              </w:rPr>
            </w:pPr>
            <w:r w:rsidRPr="00815696">
              <w:rPr>
                <w:sz w:val="21"/>
                <w:szCs w:val="21"/>
              </w:rPr>
              <w:t>516</w:t>
            </w:r>
          </w:p>
        </w:tc>
        <w:tc>
          <w:tcPr>
            <w:tcW w:w="5812" w:type="dxa"/>
            <w:tcBorders>
              <w:top w:val="nil"/>
              <w:left w:val="nil"/>
              <w:bottom w:val="nil"/>
              <w:right w:val="nil"/>
            </w:tcBorders>
            <w:tcMar>
              <w:top w:w="128" w:type="dxa"/>
              <w:left w:w="43" w:type="dxa"/>
              <w:bottom w:w="43" w:type="dxa"/>
              <w:right w:w="43" w:type="dxa"/>
            </w:tcMar>
          </w:tcPr>
          <w:p w14:paraId="18FB9E41" w14:textId="77777777" w:rsidR="00D60186" w:rsidRPr="00815696" w:rsidRDefault="00D60186" w:rsidP="00225D4D">
            <w:pPr>
              <w:rPr>
                <w:sz w:val="21"/>
                <w:szCs w:val="21"/>
              </w:rPr>
            </w:pPr>
            <w:proofErr w:type="spellStart"/>
            <w:r w:rsidRPr="00815696">
              <w:rPr>
                <w:sz w:val="21"/>
                <w:szCs w:val="21"/>
              </w:rPr>
              <w:t>opplysingar</w:t>
            </w:r>
            <w:proofErr w:type="spellEnd"/>
            <w:r w:rsidRPr="00815696">
              <w:rPr>
                <w:sz w:val="21"/>
                <w:szCs w:val="21"/>
              </w:rPr>
              <w:t xml:space="preserve"> om vald og overgrep i foreldretvistsaker etter modell i Sverige</w:t>
            </w:r>
          </w:p>
        </w:tc>
        <w:tc>
          <w:tcPr>
            <w:tcW w:w="1480" w:type="dxa"/>
            <w:tcBorders>
              <w:top w:val="nil"/>
              <w:left w:val="nil"/>
              <w:bottom w:val="nil"/>
              <w:right w:val="nil"/>
            </w:tcBorders>
            <w:tcMar>
              <w:top w:w="128" w:type="dxa"/>
              <w:left w:w="43" w:type="dxa"/>
              <w:bottom w:w="43" w:type="dxa"/>
              <w:right w:w="43" w:type="dxa"/>
            </w:tcMar>
          </w:tcPr>
          <w:p w14:paraId="07F2DF43" w14:textId="77777777" w:rsidR="00D60186" w:rsidRPr="00815696" w:rsidRDefault="00D60186" w:rsidP="00815696">
            <w:pPr>
              <w:jc w:val="right"/>
              <w:rPr>
                <w:sz w:val="21"/>
                <w:szCs w:val="21"/>
              </w:rPr>
            </w:pPr>
            <w:r w:rsidRPr="00815696">
              <w:rPr>
                <w:sz w:val="21"/>
                <w:szCs w:val="21"/>
              </w:rPr>
              <w:t>Nei</w:t>
            </w:r>
          </w:p>
        </w:tc>
      </w:tr>
      <w:tr w:rsidR="00E76DC8" w:rsidRPr="00225D4D" w14:paraId="3C158A54"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3D6F7F04"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79688D26" w14:textId="77777777" w:rsidR="00D60186" w:rsidRPr="00815696" w:rsidRDefault="00D60186" w:rsidP="00815696">
            <w:pPr>
              <w:ind w:right="113"/>
              <w:jc w:val="right"/>
              <w:rPr>
                <w:sz w:val="21"/>
                <w:szCs w:val="21"/>
              </w:rPr>
            </w:pPr>
            <w:r w:rsidRPr="00815696">
              <w:rPr>
                <w:sz w:val="21"/>
                <w:szCs w:val="21"/>
              </w:rPr>
              <w:t>589</w:t>
            </w:r>
          </w:p>
        </w:tc>
        <w:tc>
          <w:tcPr>
            <w:tcW w:w="5812" w:type="dxa"/>
            <w:tcBorders>
              <w:top w:val="nil"/>
              <w:left w:val="nil"/>
              <w:bottom w:val="nil"/>
              <w:right w:val="nil"/>
            </w:tcBorders>
            <w:tcMar>
              <w:top w:w="128" w:type="dxa"/>
              <w:left w:w="43" w:type="dxa"/>
              <w:bottom w:w="43" w:type="dxa"/>
              <w:right w:w="43" w:type="dxa"/>
            </w:tcMar>
          </w:tcPr>
          <w:p w14:paraId="3AFBDCB2" w14:textId="77777777" w:rsidR="00D60186" w:rsidRPr="00815696" w:rsidRDefault="00D60186" w:rsidP="00225D4D">
            <w:pPr>
              <w:rPr>
                <w:sz w:val="21"/>
                <w:szCs w:val="21"/>
              </w:rPr>
            </w:pPr>
            <w:proofErr w:type="spellStart"/>
            <w:r w:rsidRPr="00815696">
              <w:rPr>
                <w:sz w:val="21"/>
                <w:szCs w:val="21"/>
              </w:rPr>
              <w:t>føreseieleg</w:t>
            </w:r>
            <w:proofErr w:type="spellEnd"/>
            <w:r w:rsidRPr="00815696">
              <w:rPr>
                <w:sz w:val="21"/>
                <w:szCs w:val="21"/>
              </w:rPr>
              <w:t xml:space="preserve"> finansiering av prosjektet «LNU Trygg!»</w:t>
            </w:r>
          </w:p>
        </w:tc>
        <w:tc>
          <w:tcPr>
            <w:tcW w:w="1480" w:type="dxa"/>
            <w:tcBorders>
              <w:top w:val="nil"/>
              <w:left w:val="nil"/>
              <w:bottom w:val="nil"/>
              <w:right w:val="nil"/>
            </w:tcBorders>
            <w:tcMar>
              <w:top w:w="128" w:type="dxa"/>
              <w:left w:w="43" w:type="dxa"/>
              <w:bottom w:w="43" w:type="dxa"/>
              <w:right w:w="43" w:type="dxa"/>
            </w:tcMar>
          </w:tcPr>
          <w:p w14:paraId="6B4E7619" w14:textId="77777777" w:rsidR="00D60186" w:rsidRPr="00815696" w:rsidRDefault="00D60186" w:rsidP="00815696">
            <w:pPr>
              <w:jc w:val="right"/>
              <w:rPr>
                <w:sz w:val="21"/>
                <w:szCs w:val="21"/>
              </w:rPr>
            </w:pPr>
            <w:r w:rsidRPr="00815696">
              <w:rPr>
                <w:sz w:val="21"/>
                <w:szCs w:val="21"/>
              </w:rPr>
              <w:t>Ja</w:t>
            </w:r>
          </w:p>
        </w:tc>
      </w:tr>
      <w:tr w:rsidR="00E76DC8" w:rsidRPr="00225D4D" w14:paraId="4DAFBCFF"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21688C10"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42D20998" w14:textId="77777777" w:rsidR="00D60186" w:rsidRPr="00815696" w:rsidRDefault="00D60186" w:rsidP="00815696">
            <w:pPr>
              <w:ind w:right="113"/>
              <w:jc w:val="right"/>
              <w:rPr>
                <w:sz w:val="21"/>
                <w:szCs w:val="21"/>
              </w:rPr>
            </w:pPr>
            <w:r w:rsidRPr="00815696">
              <w:rPr>
                <w:sz w:val="21"/>
                <w:szCs w:val="21"/>
              </w:rPr>
              <w:t>1000</w:t>
            </w:r>
          </w:p>
        </w:tc>
        <w:tc>
          <w:tcPr>
            <w:tcW w:w="5812" w:type="dxa"/>
            <w:tcBorders>
              <w:top w:val="nil"/>
              <w:left w:val="nil"/>
              <w:bottom w:val="nil"/>
              <w:right w:val="nil"/>
            </w:tcBorders>
            <w:tcMar>
              <w:top w:w="128" w:type="dxa"/>
              <w:left w:w="43" w:type="dxa"/>
              <w:bottom w:w="43" w:type="dxa"/>
              <w:right w:w="43" w:type="dxa"/>
            </w:tcMar>
          </w:tcPr>
          <w:p w14:paraId="0EC6E683" w14:textId="77777777" w:rsidR="00D60186" w:rsidRPr="00815696" w:rsidRDefault="00D60186" w:rsidP="00225D4D">
            <w:pPr>
              <w:rPr>
                <w:sz w:val="21"/>
                <w:szCs w:val="21"/>
              </w:rPr>
            </w:pPr>
            <w:r w:rsidRPr="00815696">
              <w:rPr>
                <w:sz w:val="21"/>
                <w:szCs w:val="21"/>
              </w:rPr>
              <w:t xml:space="preserve">praksisorienterte </w:t>
            </w:r>
            <w:proofErr w:type="spellStart"/>
            <w:r w:rsidRPr="00815696">
              <w:rPr>
                <w:sz w:val="21"/>
                <w:szCs w:val="21"/>
              </w:rPr>
              <w:t>tverrfaglege</w:t>
            </w:r>
            <w:proofErr w:type="spellEnd"/>
            <w:r w:rsidRPr="00815696">
              <w:rPr>
                <w:sz w:val="21"/>
                <w:szCs w:val="21"/>
              </w:rPr>
              <w:t xml:space="preserve"> team</w:t>
            </w:r>
          </w:p>
        </w:tc>
        <w:tc>
          <w:tcPr>
            <w:tcW w:w="1480" w:type="dxa"/>
            <w:tcBorders>
              <w:top w:val="nil"/>
              <w:left w:val="nil"/>
              <w:bottom w:val="nil"/>
              <w:right w:val="nil"/>
            </w:tcBorders>
            <w:tcMar>
              <w:top w:w="128" w:type="dxa"/>
              <w:left w:w="43" w:type="dxa"/>
              <w:bottom w:w="43" w:type="dxa"/>
              <w:right w:w="43" w:type="dxa"/>
            </w:tcMar>
          </w:tcPr>
          <w:p w14:paraId="7F85DE57" w14:textId="77777777" w:rsidR="00D60186" w:rsidRPr="00815696" w:rsidRDefault="00D60186" w:rsidP="00815696">
            <w:pPr>
              <w:jc w:val="right"/>
              <w:rPr>
                <w:sz w:val="21"/>
                <w:szCs w:val="21"/>
              </w:rPr>
            </w:pPr>
            <w:r w:rsidRPr="00815696">
              <w:rPr>
                <w:sz w:val="21"/>
                <w:szCs w:val="21"/>
              </w:rPr>
              <w:t>Nei</w:t>
            </w:r>
          </w:p>
        </w:tc>
      </w:tr>
      <w:tr w:rsidR="00E76DC8" w:rsidRPr="00225D4D" w14:paraId="28BE928C"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69F2532F"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106E1608" w14:textId="77777777" w:rsidR="00D60186" w:rsidRPr="00815696" w:rsidRDefault="00D60186" w:rsidP="00815696">
            <w:pPr>
              <w:ind w:right="113"/>
              <w:jc w:val="right"/>
              <w:rPr>
                <w:sz w:val="21"/>
                <w:szCs w:val="21"/>
              </w:rPr>
            </w:pPr>
            <w:r w:rsidRPr="00815696">
              <w:rPr>
                <w:sz w:val="21"/>
                <w:szCs w:val="21"/>
              </w:rPr>
              <w:t>1001</w:t>
            </w:r>
          </w:p>
        </w:tc>
        <w:tc>
          <w:tcPr>
            <w:tcW w:w="5812" w:type="dxa"/>
            <w:tcBorders>
              <w:top w:val="nil"/>
              <w:left w:val="nil"/>
              <w:bottom w:val="nil"/>
              <w:right w:val="nil"/>
            </w:tcBorders>
            <w:tcMar>
              <w:top w:w="128" w:type="dxa"/>
              <w:left w:w="43" w:type="dxa"/>
              <w:bottom w:w="43" w:type="dxa"/>
              <w:right w:w="43" w:type="dxa"/>
            </w:tcMar>
          </w:tcPr>
          <w:p w14:paraId="6A4FF038" w14:textId="77777777" w:rsidR="00D60186" w:rsidRPr="00815696" w:rsidRDefault="00D60186" w:rsidP="00225D4D">
            <w:pPr>
              <w:rPr>
                <w:sz w:val="21"/>
                <w:szCs w:val="21"/>
              </w:rPr>
            </w:pPr>
            <w:r w:rsidRPr="00815696">
              <w:rPr>
                <w:sz w:val="21"/>
                <w:szCs w:val="21"/>
              </w:rPr>
              <w:t xml:space="preserve">ny organisering av det </w:t>
            </w:r>
            <w:proofErr w:type="spellStart"/>
            <w:r w:rsidRPr="00815696">
              <w:rPr>
                <w:sz w:val="21"/>
                <w:szCs w:val="21"/>
              </w:rPr>
              <w:t>statlege</w:t>
            </w:r>
            <w:proofErr w:type="spellEnd"/>
            <w:r w:rsidRPr="00815696">
              <w:rPr>
                <w:sz w:val="21"/>
                <w:szCs w:val="21"/>
              </w:rPr>
              <w:t xml:space="preserve"> barnevernet</w:t>
            </w:r>
          </w:p>
        </w:tc>
        <w:tc>
          <w:tcPr>
            <w:tcW w:w="1480" w:type="dxa"/>
            <w:tcBorders>
              <w:top w:val="nil"/>
              <w:left w:val="nil"/>
              <w:bottom w:val="nil"/>
              <w:right w:val="nil"/>
            </w:tcBorders>
            <w:tcMar>
              <w:top w:w="128" w:type="dxa"/>
              <w:left w:w="43" w:type="dxa"/>
              <w:bottom w:w="43" w:type="dxa"/>
              <w:right w:w="43" w:type="dxa"/>
            </w:tcMar>
          </w:tcPr>
          <w:p w14:paraId="17BF80D8" w14:textId="77777777" w:rsidR="00D60186" w:rsidRPr="00815696" w:rsidRDefault="00D60186" w:rsidP="00815696">
            <w:pPr>
              <w:jc w:val="right"/>
              <w:rPr>
                <w:sz w:val="21"/>
                <w:szCs w:val="21"/>
              </w:rPr>
            </w:pPr>
            <w:r w:rsidRPr="00815696">
              <w:rPr>
                <w:sz w:val="21"/>
                <w:szCs w:val="21"/>
              </w:rPr>
              <w:t>Nei</w:t>
            </w:r>
          </w:p>
        </w:tc>
      </w:tr>
      <w:tr w:rsidR="00E76DC8" w:rsidRPr="00225D4D" w14:paraId="70A4E14B"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3208C18D"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14F61D03" w14:textId="77777777" w:rsidR="00D60186" w:rsidRPr="00815696" w:rsidRDefault="00D60186" w:rsidP="00815696">
            <w:pPr>
              <w:ind w:right="113"/>
              <w:jc w:val="right"/>
              <w:rPr>
                <w:sz w:val="21"/>
                <w:szCs w:val="21"/>
              </w:rPr>
            </w:pPr>
            <w:r w:rsidRPr="00815696">
              <w:rPr>
                <w:sz w:val="21"/>
                <w:szCs w:val="21"/>
              </w:rPr>
              <w:t>1004</w:t>
            </w:r>
          </w:p>
        </w:tc>
        <w:tc>
          <w:tcPr>
            <w:tcW w:w="5812" w:type="dxa"/>
            <w:tcBorders>
              <w:top w:val="nil"/>
              <w:left w:val="nil"/>
              <w:bottom w:val="nil"/>
              <w:right w:val="nil"/>
            </w:tcBorders>
            <w:tcMar>
              <w:top w:w="128" w:type="dxa"/>
              <w:left w:w="43" w:type="dxa"/>
              <w:bottom w:w="43" w:type="dxa"/>
              <w:right w:w="43" w:type="dxa"/>
            </w:tcMar>
          </w:tcPr>
          <w:p w14:paraId="40C3A6F3" w14:textId="77777777" w:rsidR="00D60186" w:rsidRPr="00815696" w:rsidRDefault="00D60186" w:rsidP="00225D4D">
            <w:pPr>
              <w:rPr>
                <w:sz w:val="21"/>
                <w:szCs w:val="21"/>
              </w:rPr>
            </w:pPr>
            <w:proofErr w:type="spellStart"/>
            <w:r w:rsidRPr="00815696">
              <w:rPr>
                <w:sz w:val="21"/>
                <w:szCs w:val="21"/>
              </w:rPr>
              <w:t>partsrettar</w:t>
            </w:r>
            <w:proofErr w:type="spellEnd"/>
            <w:r w:rsidRPr="00815696">
              <w:rPr>
                <w:sz w:val="21"/>
                <w:szCs w:val="21"/>
              </w:rPr>
              <w:t xml:space="preserve"> til barn </w:t>
            </w:r>
            <w:proofErr w:type="spellStart"/>
            <w:r w:rsidRPr="00815696">
              <w:rPr>
                <w:sz w:val="21"/>
                <w:szCs w:val="21"/>
              </w:rPr>
              <w:t>frå</w:t>
            </w:r>
            <w:proofErr w:type="spellEnd"/>
            <w:r w:rsidRPr="00815696">
              <w:rPr>
                <w:sz w:val="21"/>
                <w:szCs w:val="21"/>
              </w:rPr>
              <w:t xml:space="preserve"> 12 år</w:t>
            </w:r>
          </w:p>
        </w:tc>
        <w:tc>
          <w:tcPr>
            <w:tcW w:w="1480" w:type="dxa"/>
            <w:tcBorders>
              <w:top w:val="nil"/>
              <w:left w:val="nil"/>
              <w:bottom w:val="nil"/>
              <w:right w:val="nil"/>
            </w:tcBorders>
            <w:tcMar>
              <w:top w:w="128" w:type="dxa"/>
              <w:left w:w="43" w:type="dxa"/>
              <w:bottom w:w="43" w:type="dxa"/>
              <w:right w:w="43" w:type="dxa"/>
            </w:tcMar>
          </w:tcPr>
          <w:p w14:paraId="2CE88E39" w14:textId="77777777" w:rsidR="00D60186" w:rsidRPr="00815696" w:rsidRDefault="00D60186" w:rsidP="00815696">
            <w:pPr>
              <w:jc w:val="right"/>
              <w:rPr>
                <w:sz w:val="21"/>
                <w:szCs w:val="21"/>
              </w:rPr>
            </w:pPr>
            <w:r w:rsidRPr="00815696">
              <w:rPr>
                <w:sz w:val="21"/>
                <w:szCs w:val="21"/>
              </w:rPr>
              <w:t>Nei</w:t>
            </w:r>
          </w:p>
        </w:tc>
      </w:tr>
      <w:tr w:rsidR="00E76DC8" w:rsidRPr="00225D4D" w14:paraId="5C142491"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0063EA1E"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14193BB8" w14:textId="77777777" w:rsidR="00D60186" w:rsidRPr="00815696" w:rsidRDefault="00D60186" w:rsidP="00815696">
            <w:pPr>
              <w:ind w:right="113"/>
              <w:jc w:val="right"/>
              <w:rPr>
                <w:sz w:val="21"/>
                <w:szCs w:val="21"/>
              </w:rPr>
            </w:pPr>
            <w:r w:rsidRPr="00815696">
              <w:rPr>
                <w:sz w:val="21"/>
                <w:szCs w:val="21"/>
              </w:rPr>
              <w:t>1005</w:t>
            </w:r>
          </w:p>
        </w:tc>
        <w:tc>
          <w:tcPr>
            <w:tcW w:w="5812" w:type="dxa"/>
            <w:tcBorders>
              <w:top w:val="nil"/>
              <w:left w:val="nil"/>
              <w:bottom w:val="nil"/>
              <w:right w:val="nil"/>
            </w:tcBorders>
            <w:tcMar>
              <w:top w:w="128" w:type="dxa"/>
              <w:left w:w="43" w:type="dxa"/>
              <w:bottom w:w="43" w:type="dxa"/>
              <w:right w:w="43" w:type="dxa"/>
            </w:tcMar>
          </w:tcPr>
          <w:p w14:paraId="2714CBE0" w14:textId="77777777" w:rsidR="00D60186" w:rsidRPr="00815696" w:rsidRDefault="00D60186" w:rsidP="00225D4D">
            <w:pPr>
              <w:rPr>
                <w:sz w:val="21"/>
                <w:szCs w:val="21"/>
              </w:rPr>
            </w:pPr>
            <w:r w:rsidRPr="00815696">
              <w:rPr>
                <w:sz w:val="21"/>
                <w:szCs w:val="21"/>
              </w:rPr>
              <w:t>elektroniske kommunikasjonsmiddel og internett</w:t>
            </w:r>
          </w:p>
        </w:tc>
        <w:tc>
          <w:tcPr>
            <w:tcW w:w="1480" w:type="dxa"/>
            <w:tcBorders>
              <w:top w:val="nil"/>
              <w:left w:val="nil"/>
              <w:bottom w:val="nil"/>
              <w:right w:val="nil"/>
            </w:tcBorders>
            <w:tcMar>
              <w:top w:w="128" w:type="dxa"/>
              <w:left w:w="43" w:type="dxa"/>
              <w:bottom w:w="43" w:type="dxa"/>
              <w:right w:w="43" w:type="dxa"/>
            </w:tcMar>
          </w:tcPr>
          <w:p w14:paraId="63DE23E6" w14:textId="77777777" w:rsidR="00D60186" w:rsidRPr="00815696" w:rsidRDefault="00D60186" w:rsidP="00815696">
            <w:pPr>
              <w:jc w:val="right"/>
              <w:rPr>
                <w:sz w:val="21"/>
                <w:szCs w:val="21"/>
              </w:rPr>
            </w:pPr>
            <w:r w:rsidRPr="00815696">
              <w:rPr>
                <w:sz w:val="21"/>
                <w:szCs w:val="21"/>
              </w:rPr>
              <w:t>Ja</w:t>
            </w:r>
          </w:p>
        </w:tc>
      </w:tr>
      <w:tr w:rsidR="00E76DC8" w:rsidRPr="00225D4D" w14:paraId="01EA2B56"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0BCBABBD"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1F883C11" w14:textId="77777777" w:rsidR="00D60186" w:rsidRPr="00815696" w:rsidRDefault="00D60186" w:rsidP="00815696">
            <w:pPr>
              <w:ind w:right="113"/>
              <w:jc w:val="right"/>
              <w:rPr>
                <w:sz w:val="21"/>
                <w:szCs w:val="21"/>
              </w:rPr>
            </w:pPr>
            <w:r w:rsidRPr="00815696">
              <w:rPr>
                <w:sz w:val="21"/>
                <w:szCs w:val="21"/>
              </w:rPr>
              <w:t>1006</w:t>
            </w:r>
          </w:p>
        </w:tc>
        <w:tc>
          <w:tcPr>
            <w:tcW w:w="5812" w:type="dxa"/>
            <w:tcBorders>
              <w:top w:val="nil"/>
              <w:left w:val="nil"/>
              <w:bottom w:val="nil"/>
              <w:right w:val="nil"/>
            </w:tcBorders>
            <w:tcMar>
              <w:top w:w="128" w:type="dxa"/>
              <w:left w:w="43" w:type="dxa"/>
              <w:bottom w:w="43" w:type="dxa"/>
              <w:right w:w="43" w:type="dxa"/>
            </w:tcMar>
          </w:tcPr>
          <w:p w14:paraId="487519D0" w14:textId="77777777" w:rsidR="00D60186" w:rsidRPr="00815696" w:rsidRDefault="00D60186" w:rsidP="00225D4D">
            <w:pPr>
              <w:rPr>
                <w:sz w:val="21"/>
                <w:szCs w:val="21"/>
              </w:rPr>
            </w:pPr>
            <w:r w:rsidRPr="00815696">
              <w:rPr>
                <w:sz w:val="21"/>
                <w:szCs w:val="21"/>
              </w:rPr>
              <w:t xml:space="preserve">arbeidserfaring til </w:t>
            </w:r>
            <w:proofErr w:type="spellStart"/>
            <w:r w:rsidRPr="00815696">
              <w:rPr>
                <w:sz w:val="21"/>
                <w:szCs w:val="21"/>
              </w:rPr>
              <w:t>fagleg</w:t>
            </w:r>
            <w:proofErr w:type="spellEnd"/>
            <w:r w:rsidRPr="00815696">
              <w:rPr>
                <w:sz w:val="21"/>
                <w:szCs w:val="21"/>
              </w:rPr>
              <w:t xml:space="preserve"> personell i </w:t>
            </w:r>
            <w:proofErr w:type="spellStart"/>
            <w:r w:rsidRPr="00815696">
              <w:rPr>
                <w:sz w:val="21"/>
                <w:szCs w:val="21"/>
              </w:rPr>
              <w:t>barnevernsinstitusjonar</w:t>
            </w:r>
            <w:proofErr w:type="spellEnd"/>
          </w:p>
        </w:tc>
        <w:tc>
          <w:tcPr>
            <w:tcW w:w="1480" w:type="dxa"/>
            <w:tcBorders>
              <w:top w:val="nil"/>
              <w:left w:val="nil"/>
              <w:bottom w:val="nil"/>
              <w:right w:val="nil"/>
            </w:tcBorders>
            <w:tcMar>
              <w:top w:w="128" w:type="dxa"/>
              <w:left w:w="43" w:type="dxa"/>
              <w:bottom w:w="43" w:type="dxa"/>
              <w:right w:w="43" w:type="dxa"/>
            </w:tcMar>
          </w:tcPr>
          <w:p w14:paraId="4F6C1EE6" w14:textId="77777777" w:rsidR="00D60186" w:rsidRPr="00815696" w:rsidRDefault="00D60186" w:rsidP="00815696">
            <w:pPr>
              <w:jc w:val="right"/>
              <w:rPr>
                <w:sz w:val="21"/>
                <w:szCs w:val="21"/>
              </w:rPr>
            </w:pPr>
            <w:r w:rsidRPr="00815696">
              <w:rPr>
                <w:sz w:val="21"/>
                <w:szCs w:val="21"/>
              </w:rPr>
              <w:t>Ja</w:t>
            </w:r>
          </w:p>
        </w:tc>
      </w:tr>
      <w:tr w:rsidR="00E76DC8" w:rsidRPr="00225D4D" w14:paraId="25A65202"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0F8D2430"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34B203C8" w14:textId="77777777" w:rsidR="00D60186" w:rsidRPr="00815696" w:rsidRDefault="00D60186" w:rsidP="00815696">
            <w:pPr>
              <w:ind w:right="113"/>
              <w:jc w:val="right"/>
              <w:rPr>
                <w:sz w:val="21"/>
                <w:szCs w:val="21"/>
              </w:rPr>
            </w:pPr>
            <w:r w:rsidRPr="00815696">
              <w:rPr>
                <w:sz w:val="21"/>
                <w:szCs w:val="21"/>
              </w:rPr>
              <w:t>1007</w:t>
            </w:r>
          </w:p>
        </w:tc>
        <w:tc>
          <w:tcPr>
            <w:tcW w:w="5812" w:type="dxa"/>
            <w:tcBorders>
              <w:top w:val="nil"/>
              <w:left w:val="nil"/>
              <w:bottom w:val="nil"/>
              <w:right w:val="nil"/>
            </w:tcBorders>
            <w:tcMar>
              <w:top w:w="128" w:type="dxa"/>
              <w:left w:w="43" w:type="dxa"/>
              <w:bottom w:w="43" w:type="dxa"/>
              <w:right w:w="43" w:type="dxa"/>
            </w:tcMar>
          </w:tcPr>
          <w:p w14:paraId="2C47DEEF" w14:textId="77777777" w:rsidR="00D60186" w:rsidRPr="00815696" w:rsidRDefault="00D60186" w:rsidP="00225D4D">
            <w:pPr>
              <w:rPr>
                <w:sz w:val="21"/>
                <w:szCs w:val="21"/>
              </w:rPr>
            </w:pPr>
            <w:proofErr w:type="spellStart"/>
            <w:r w:rsidRPr="00815696">
              <w:rPr>
                <w:sz w:val="21"/>
                <w:szCs w:val="21"/>
              </w:rPr>
              <w:t>motverke</w:t>
            </w:r>
            <w:proofErr w:type="spellEnd"/>
            <w:r w:rsidRPr="00815696">
              <w:rPr>
                <w:sz w:val="21"/>
                <w:szCs w:val="21"/>
              </w:rPr>
              <w:t xml:space="preserve"> samværshindring</w:t>
            </w:r>
          </w:p>
        </w:tc>
        <w:tc>
          <w:tcPr>
            <w:tcW w:w="1480" w:type="dxa"/>
            <w:tcBorders>
              <w:top w:val="nil"/>
              <w:left w:val="nil"/>
              <w:bottom w:val="nil"/>
              <w:right w:val="nil"/>
            </w:tcBorders>
            <w:tcMar>
              <w:top w:w="128" w:type="dxa"/>
              <w:left w:w="43" w:type="dxa"/>
              <w:bottom w:w="43" w:type="dxa"/>
              <w:right w:w="43" w:type="dxa"/>
            </w:tcMar>
          </w:tcPr>
          <w:p w14:paraId="5C40310B" w14:textId="77777777" w:rsidR="00D60186" w:rsidRPr="00815696" w:rsidRDefault="00D60186" w:rsidP="00815696">
            <w:pPr>
              <w:jc w:val="right"/>
              <w:rPr>
                <w:sz w:val="21"/>
                <w:szCs w:val="21"/>
              </w:rPr>
            </w:pPr>
            <w:r w:rsidRPr="00815696">
              <w:rPr>
                <w:sz w:val="21"/>
                <w:szCs w:val="21"/>
              </w:rPr>
              <w:t>Nei</w:t>
            </w:r>
          </w:p>
        </w:tc>
      </w:tr>
      <w:tr w:rsidR="00E76DC8" w:rsidRPr="00225D4D" w14:paraId="484F1B73"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78A4D67D"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66C5695A" w14:textId="77777777" w:rsidR="00D60186" w:rsidRPr="00815696" w:rsidRDefault="00D60186" w:rsidP="00815696">
            <w:pPr>
              <w:ind w:right="113"/>
              <w:jc w:val="right"/>
              <w:rPr>
                <w:sz w:val="21"/>
                <w:szCs w:val="21"/>
              </w:rPr>
            </w:pPr>
            <w:r w:rsidRPr="00815696">
              <w:rPr>
                <w:sz w:val="21"/>
                <w:szCs w:val="21"/>
              </w:rPr>
              <w:t>1008</w:t>
            </w:r>
          </w:p>
        </w:tc>
        <w:tc>
          <w:tcPr>
            <w:tcW w:w="5812" w:type="dxa"/>
            <w:tcBorders>
              <w:top w:val="nil"/>
              <w:left w:val="nil"/>
              <w:bottom w:val="nil"/>
              <w:right w:val="nil"/>
            </w:tcBorders>
            <w:tcMar>
              <w:top w:w="128" w:type="dxa"/>
              <w:left w:w="43" w:type="dxa"/>
              <w:bottom w:w="43" w:type="dxa"/>
              <w:right w:w="43" w:type="dxa"/>
            </w:tcMar>
          </w:tcPr>
          <w:p w14:paraId="3E6789EC" w14:textId="77777777" w:rsidR="00D60186" w:rsidRPr="00815696" w:rsidRDefault="00D60186" w:rsidP="00225D4D">
            <w:pPr>
              <w:rPr>
                <w:sz w:val="21"/>
                <w:szCs w:val="21"/>
              </w:rPr>
            </w:pPr>
            <w:r w:rsidRPr="00815696">
              <w:rPr>
                <w:sz w:val="21"/>
                <w:szCs w:val="21"/>
              </w:rPr>
              <w:t xml:space="preserve">moment ved </w:t>
            </w:r>
            <w:proofErr w:type="spellStart"/>
            <w:r w:rsidRPr="00815696">
              <w:rPr>
                <w:sz w:val="21"/>
                <w:szCs w:val="21"/>
              </w:rPr>
              <w:t>det-beste-for-barnet-vurderingar</w:t>
            </w:r>
            <w:proofErr w:type="spellEnd"/>
          </w:p>
        </w:tc>
        <w:tc>
          <w:tcPr>
            <w:tcW w:w="1480" w:type="dxa"/>
            <w:tcBorders>
              <w:top w:val="nil"/>
              <w:left w:val="nil"/>
              <w:bottom w:val="nil"/>
              <w:right w:val="nil"/>
            </w:tcBorders>
            <w:tcMar>
              <w:top w:w="128" w:type="dxa"/>
              <w:left w:w="43" w:type="dxa"/>
              <w:bottom w:w="43" w:type="dxa"/>
              <w:right w:w="43" w:type="dxa"/>
            </w:tcMar>
          </w:tcPr>
          <w:p w14:paraId="2522EF9D" w14:textId="77777777" w:rsidR="00D60186" w:rsidRPr="00815696" w:rsidRDefault="00D60186" w:rsidP="00815696">
            <w:pPr>
              <w:jc w:val="right"/>
              <w:rPr>
                <w:sz w:val="21"/>
                <w:szCs w:val="21"/>
              </w:rPr>
            </w:pPr>
            <w:r w:rsidRPr="00815696">
              <w:rPr>
                <w:sz w:val="21"/>
                <w:szCs w:val="21"/>
              </w:rPr>
              <w:t>Nei</w:t>
            </w:r>
          </w:p>
        </w:tc>
      </w:tr>
      <w:tr w:rsidR="00E76DC8" w:rsidRPr="00225D4D" w14:paraId="68CE47E1"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1DDCD436"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3BC5CF65" w14:textId="77777777" w:rsidR="00D60186" w:rsidRPr="00815696" w:rsidRDefault="00D60186" w:rsidP="00815696">
            <w:pPr>
              <w:ind w:right="113"/>
              <w:jc w:val="right"/>
              <w:rPr>
                <w:sz w:val="21"/>
                <w:szCs w:val="21"/>
              </w:rPr>
            </w:pPr>
            <w:r w:rsidRPr="00815696">
              <w:rPr>
                <w:sz w:val="21"/>
                <w:szCs w:val="21"/>
              </w:rPr>
              <w:t>1009</w:t>
            </w:r>
          </w:p>
        </w:tc>
        <w:tc>
          <w:tcPr>
            <w:tcW w:w="5812" w:type="dxa"/>
            <w:tcBorders>
              <w:top w:val="nil"/>
              <w:left w:val="nil"/>
              <w:bottom w:val="nil"/>
              <w:right w:val="nil"/>
            </w:tcBorders>
            <w:tcMar>
              <w:top w:w="128" w:type="dxa"/>
              <w:left w:w="43" w:type="dxa"/>
              <w:bottom w:w="43" w:type="dxa"/>
              <w:right w:w="43" w:type="dxa"/>
            </w:tcMar>
          </w:tcPr>
          <w:p w14:paraId="2EB21CE0" w14:textId="77777777" w:rsidR="00D60186" w:rsidRPr="00815696" w:rsidRDefault="00D60186" w:rsidP="00225D4D">
            <w:pPr>
              <w:rPr>
                <w:sz w:val="21"/>
                <w:szCs w:val="21"/>
              </w:rPr>
            </w:pPr>
            <w:proofErr w:type="spellStart"/>
            <w:r w:rsidRPr="00815696">
              <w:rPr>
                <w:sz w:val="21"/>
                <w:szCs w:val="21"/>
              </w:rPr>
              <w:t>fastsetjing</w:t>
            </w:r>
            <w:proofErr w:type="spellEnd"/>
            <w:r w:rsidRPr="00815696">
              <w:rPr>
                <w:sz w:val="21"/>
                <w:szCs w:val="21"/>
              </w:rPr>
              <w:t xml:space="preserve"> av medmorskap</w:t>
            </w:r>
          </w:p>
        </w:tc>
        <w:tc>
          <w:tcPr>
            <w:tcW w:w="1480" w:type="dxa"/>
            <w:tcBorders>
              <w:top w:val="nil"/>
              <w:left w:val="nil"/>
              <w:bottom w:val="nil"/>
              <w:right w:val="nil"/>
            </w:tcBorders>
            <w:tcMar>
              <w:top w:w="128" w:type="dxa"/>
              <w:left w:w="43" w:type="dxa"/>
              <w:bottom w:w="43" w:type="dxa"/>
              <w:right w:w="43" w:type="dxa"/>
            </w:tcMar>
          </w:tcPr>
          <w:p w14:paraId="020A8649" w14:textId="77777777" w:rsidR="00D60186" w:rsidRPr="00815696" w:rsidRDefault="00D60186" w:rsidP="00815696">
            <w:pPr>
              <w:jc w:val="right"/>
              <w:rPr>
                <w:sz w:val="21"/>
                <w:szCs w:val="21"/>
              </w:rPr>
            </w:pPr>
            <w:r w:rsidRPr="00815696">
              <w:rPr>
                <w:sz w:val="21"/>
                <w:szCs w:val="21"/>
              </w:rPr>
              <w:t>Nei</w:t>
            </w:r>
          </w:p>
        </w:tc>
      </w:tr>
      <w:tr w:rsidR="00E76DC8" w:rsidRPr="00225D4D" w14:paraId="297E07F6"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4CA866C5"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737B70D9" w14:textId="77777777" w:rsidR="00D60186" w:rsidRPr="00815696" w:rsidRDefault="00D60186" w:rsidP="00815696">
            <w:pPr>
              <w:ind w:right="113"/>
              <w:jc w:val="right"/>
              <w:rPr>
                <w:sz w:val="21"/>
                <w:szCs w:val="21"/>
              </w:rPr>
            </w:pPr>
            <w:r w:rsidRPr="00815696">
              <w:rPr>
                <w:sz w:val="21"/>
                <w:szCs w:val="21"/>
              </w:rPr>
              <w:t>1010</w:t>
            </w:r>
          </w:p>
        </w:tc>
        <w:tc>
          <w:tcPr>
            <w:tcW w:w="5812" w:type="dxa"/>
            <w:tcBorders>
              <w:top w:val="nil"/>
              <w:left w:val="nil"/>
              <w:bottom w:val="nil"/>
              <w:right w:val="nil"/>
            </w:tcBorders>
            <w:tcMar>
              <w:top w:w="128" w:type="dxa"/>
              <w:left w:w="43" w:type="dxa"/>
              <w:bottom w:w="43" w:type="dxa"/>
              <w:right w:w="43" w:type="dxa"/>
            </w:tcMar>
          </w:tcPr>
          <w:p w14:paraId="61A53A81" w14:textId="77777777" w:rsidR="00D60186" w:rsidRPr="00815696" w:rsidRDefault="00D60186" w:rsidP="00225D4D">
            <w:pPr>
              <w:rPr>
                <w:sz w:val="21"/>
                <w:szCs w:val="21"/>
              </w:rPr>
            </w:pPr>
            <w:proofErr w:type="spellStart"/>
            <w:r w:rsidRPr="00815696">
              <w:rPr>
                <w:sz w:val="21"/>
                <w:szCs w:val="21"/>
              </w:rPr>
              <w:t>innhaldet</w:t>
            </w:r>
            <w:proofErr w:type="spellEnd"/>
            <w:r w:rsidRPr="00815696">
              <w:rPr>
                <w:sz w:val="21"/>
                <w:szCs w:val="21"/>
              </w:rPr>
              <w:t xml:space="preserve"> i omsorgsplikta og foreldreansvaret</w:t>
            </w:r>
          </w:p>
        </w:tc>
        <w:tc>
          <w:tcPr>
            <w:tcW w:w="1480" w:type="dxa"/>
            <w:tcBorders>
              <w:top w:val="nil"/>
              <w:left w:val="nil"/>
              <w:bottom w:val="nil"/>
              <w:right w:val="nil"/>
            </w:tcBorders>
            <w:tcMar>
              <w:top w:w="128" w:type="dxa"/>
              <w:left w:w="43" w:type="dxa"/>
              <w:bottom w:w="43" w:type="dxa"/>
              <w:right w:w="43" w:type="dxa"/>
            </w:tcMar>
          </w:tcPr>
          <w:p w14:paraId="1AC24281" w14:textId="77777777" w:rsidR="00D60186" w:rsidRPr="00815696" w:rsidRDefault="00D60186" w:rsidP="00815696">
            <w:pPr>
              <w:jc w:val="right"/>
              <w:rPr>
                <w:sz w:val="21"/>
                <w:szCs w:val="21"/>
              </w:rPr>
            </w:pPr>
            <w:r w:rsidRPr="00815696">
              <w:rPr>
                <w:sz w:val="21"/>
                <w:szCs w:val="21"/>
              </w:rPr>
              <w:t>Nei</w:t>
            </w:r>
          </w:p>
        </w:tc>
      </w:tr>
      <w:tr w:rsidR="00E76DC8" w:rsidRPr="00225D4D" w14:paraId="34D39D88"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63042B93"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3208A3FC" w14:textId="77777777" w:rsidR="00D60186" w:rsidRPr="00815696" w:rsidRDefault="00D60186" w:rsidP="00815696">
            <w:pPr>
              <w:ind w:right="113"/>
              <w:jc w:val="right"/>
              <w:rPr>
                <w:sz w:val="21"/>
                <w:szCs w:val="21"/>
              </w:rPr>
            </w:pPr>
            <w:r w:rsidRPr="00815696">
              <w:rPr>
                <w:sz w:val="21"/>
                <w:szCs w:val="21"/>
              </w:rPr>
              <w:t>1011</w:t>
            </w:r>
          </w:p>
        </w:tc>
        <w:tc>
          <w:tcPr>
            <w:tcW w:w="5812" w:type="dxa"/>
            <w:tcBorders>
              <w:top w:val="nil"/>
              <w:left w:val="nil"/>
              <w:bottom w:val="nil"/>
              <w:right w:val="nil"/>
            </w:tcBorders>
            <w:tcMar>
              <w:top w:w="128" w:type="dxa"/>
              <w:left w:w="43" w:type="dxa"/>
              <w:bottom w:w="43" w:type="dxa"/>
              <w:right w:w="43" w:type="dxa"/>
            </w:tcMar>
          </w:tcPr>
          <w:p w14:paraId="1087BE83" w14:textId="77777777" w:rsidR="00D60186" w:rsidRPr="00815696" w:rsidRDefault="00D60186" w:rsidP="00225D4D">
            <w:pPr>
              <w:rPr>
                <w:sz w:val="21"/>
                <w:szCs w:val="21"/>
              </w:rPr>
            </w:pPr>
            <w:proofErr w:type="spellStart"/>
            <w:r w:rsidRPr="00815696">
              <w:rPr>
                <w:sz w:val="21"/>
                <w:szCs w:val="21"/>
              </w:rPr>
              <w:t>innhaldet</w:t>
            </w:r>
            <w:proofErr w:type="spellEnd"/>
            <w:r w:rsidRPr="00815696">
              <w:rPr>
                <w:sz w:val="21"/>
                <w:szCs w:val="21"/>
              </w:rPr>
              <w:t xml:space="preserve"> i «</w:t>
            </w:r>
            <w:proofErr w:type="spellStart"/>
            <w:r w:rsidRPr="00815696">
              <w:rPr>
                <w:sz w:val="21"/>
                <w:szCs w:val="21"/>
              </w:rPr>
              <w:t>dagleg</w:t>
            </w:r>
            <w:proofErr w:type="spellEnd"/>
            <w:r w:rsidRPr="00815696">
              <w:rPr>
                <w:sz w:val="21"/>
                <w:szCs w:val="21"/>
              </w:rPr>
              <w:t xml:space="preserve"> </w:t>
            </w:r>
            <w:proofErr w:type="spellStart"/>
            <w:r w:rsidRPr="00815696">
              <w:rPr>
                <w:sz w:val="21"/>
                <w:szCs w:val="21"/>
              </w:rPr>
              <w:t>myndigheit</w:t>
            </w:r>
            <w:proofErr w:type="spellEnd"/>
            <w:r w:rsidRPr="00815696">
              <w:rPr>
                <w:sz w:val="21"/>
                <w:szCs w:val="21"/>
              </w:rPr>
              <w:t>»</w:t>
            </w:r>
          </w:p>
        </w:tc>
        <w:tc>
          <w:tcPr>
            <w:tcW w:w="1480" w:type="dxa"/>
            <w:tcBorders>
              <w:top w:val="nil"/>
              <w:left w:val="nil"/>
              <w:bottom w:val="nil"/>
              <w:right w:val="nil"/>
            </w:tcBorders>
            <w:tcMar>
              <w:top w:w="128" w:type="dxa"/>
              <w:left w:w="43" w:type="dxa"/>
              <w:bottom w:w="43" w:type="dxa"/>
              <w:right w:w="43" w:type="dxa"/>
            </w:tcMar>
          </w:tcPr>
          <w:p w14:paraId="42A45166" w14:textId="77777777" w:rsidR="00D60186" w:rsidRPr="00815696" w:rsidRDefault="00D60186" w:rsidP="00815696">
            <w:pPr>
              <w:jc w:val="right"/>
              <w:rPr>
                <w:sz w:val="21"/>
                <w:szCs w:val="21"/>
              </w:rPr>
            </w:pPr>
            <w:r w:rsidRPr="00815696">
              <w:rPr>
                <w:sz w:val="21"/>
                <w:szCs w:val="21"/>
              </w:rPr>
              <w:t>Nei</w:t>
            </w:r>
          </w:p>
        </w:tc>
      </w:tr>
      <w:tr w:rsidR="00E76DC8" w:rsidRPr="00225D4D" w14:paraId="0E3DE8FC"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354F3E54"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3C16E0C7" w14:textId="77777777" w:rsidR="00D60186" w:rsidRPr="00815696" w:rsidRDefault="00D60186" w:rsidP="00815696">
            <w:pPr>
              <w:ind w:right="113"/>
              <w:jc w:val="right"/>
              <w:rPr>
                <w:sz w:val="21"/>
                <w:szCs w:val="21"/>
              </w:rPr>
            </w:pPr>
            <w:r w:rsidRPr="00815696">
              <w:rPr>
                <w:sz w:val="21"/>
                <w:szCs w:val="21"/>
              </w:rPr>
              <w:t>1012</w:t>
            </w:r>
          </w:p>
        </w:tc>
        <w:tc>
          <w:tcPr>
            <w:tcW w:w="5812" w:type="dxa"/>
            <w:tcBorders>
              <w:top w:val="nil"/>
              <w:left w:val="nil"/>
              <w:bottom w:val="nil"/>
              <w:right w:val="nil"/>
            </w:tcBorders>
            <w:tcMar>
              <w:top w:w="128" w:type="dxa"/>
              <w:left w:w="43" w:type="dxa"/>
              <w:bottom w:w="43" w:type="dxa"/>
              <w:right w:w="43" w:type="dxa"/>
            </w:tcMar>
          </w:tcPr>
          <w:p w14:paraId="54B9F7FA" w14:textId="77777777" w:rsidR="00D60186" w:rsidRPr="00815696" w:rsidRDefault="00D60186" w:rsidP="00225D4D">
            <w:pPr>
              <w:rPr>
                <w:sz w:val="21"/>
                <w:szCs w:val="21"/>
              </w:rPr>
            </w:pPr>
            <w:r w:rsidRPr="00815696">
              <w:rPr>
                <w:sz w:val="21"/>
                <w:szCs w:val="21"/>
              </w:rPr>
              <w:t xml:space="preserve">prioritere </w:t>
            </w:r>
            <w:proofErr w:type="spellStart"/>
            <w:r w:rsidRPr="00815696">
              <w:rPr>
                <w:sz w:val="21"/>
                <w:szCs w:val="21"/>
              </w:rPr>
              <w:t>tidlegare</w:t>
            </w:r>
            <w:proofErr w:type="spellEnd"/>
            <w:r w:rsidRPr="00815696">
              <w:rPr>
                <w:sz w:val="21"/>
                <w:szCs w:val="21"/>
              </w:rPr>
              <w:t xml:space="preserve"> oppmodingsvedtak om å sikre barn mot vald, overgrep og risiko</w:t>
            </w:r>
          </w:p>
        </w:tc>
        <w:tc>
          <w:tcPr>
            <w:tcW w:w="1480" w:type="dxa"/>
            <w:tcBorders>
              <w:top w:val="nil"/>
              <w:left w:val="nil"/>
              <w:bottom w:val="nil"/>
              <w:right w:val="nil"/>
            </w:tcBorders>
            <w:tcMar>
              <w:top w:w="128" w:type="dxa"/>
              <w:left w:w="43" w:type="dxa"/>
              <w:bottom w:w="43" w:type="dxa"/>
              <w:right w:w="43" w:type="dxa"/>
            </w:tcMar>
          </w:tcPr>
          <w:p w14:paraId="7D6B08CF" w14:textId="77777777" w:rsidR="00D60186" w:rsidRPr="00815696" w:rsidRDefault="00D60186" w:rsidP="00815696">
            <w:pPr>
              <w:jc w:val="right"/>
              <w:rPr>
                <w:sz w:val="21"/>
                <w:szCs w:val="21"/>
              </w:rPr>
            </w:pPr>
            <w:r w:rsidRPr="00815696">
              <w:rPr>
                <w:sz w:val="21"/>
                <w:szCs w:val="21"/>
              </w:rPr>
              <w:t>Nei</w:t>
            </w:r>
          </w:p>
        </w:tc>
      </w:tr>
      <w:tr w:rsidR="00E76DC8" w:rsidRPr="00225D4D" w14:paraId="3708A988"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781FC1B8"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75579631" w14:textId="77777777" w:rsidR="00D60186" w:rsidRPr="00815696" w:rsidRDefault="00D60186" w:rsidP="00815696">
            <w:pPr>
              <w:ind w:right="113"/>
              <w:jc w:val="right"/>
              <w:rPr>
                <w:sz w:val="21"/>
                <w:szCs w:val="21"/>
              </w:rPr>
            </w:pPr>
            <w:r w:rsidRPr="00815696">
              <w:rPr>
                <w:sz w:val="21"/>
                <w:szCs w:val="21"/>
              </w:rPr>
              <w:t>1013</w:t>
            </w:r>
          </w:p>
        </w:tc>
        <w:tc>
          <w:tcPr>
            <w:tcW w:w="5812" w:type="dxa"/>
            <w:tcBorders>
              <w:top w:val="nil"/>
              <w:left w:val="nil"/>
              <w:bottom w:val="nil"/>
              <w:right w:val="nil"/>
            </w:tcBorders>
            <w:tcMar>
              <w:top w:w="128" w:type="dxa"/>
              <w:left w:w="43" w:type="dxa"/>
              <w:bottom w:w="43" w:type="dxa"/>
              <w:right w:w="43" w:type="dxa"/>
            </w:tcMar>
          </w:tcPr>
          <w:p w14:paraId="3C29DACD" w14:textId="77777777" w:rsidR="00D60186" w:rsidRPr="00815696" w:rsidRDefault="00D60186" w:rsidP="00225D4D">
            <w:pPr>
              <w:rPr>
                <w:sz w:val="21"/>
                <w:szCs w:val="21"/>
              </w:rPr>
            </w:pPr>
            <w:proofErr w:type="spellStart"/>
            <w:r w:rsidRPr="00815696">
              <w:rPr>
                <w:sz w:val="21"/>
                <w:szCs w:val="21"/>
              </w:rPr>
              <w:t>lovendringar</w:t>
            </w:r>
            <w:proofErr w:type="spellEnd"/>
            <w:r w:rsidRPr="00815696">
              <w:rPr>
                <w:sz w:val="21"/>
                <w:szCs w:val="21"/>
              </w:rPr>
              <w:t xml:space="preserve"> om samvær i saker med vald i nære </w:t>
            </w:r>
            <w:proofErr w:type="spellStart"/>
            <w:r w:rsidRPr="00815696">
              <w:rPr>
                <w:sz w:val="21"/>
                <w:szCs w:val="21"/>
              </w:rPr>
              <w:t>relasjonar</w:t>
            </w:r>
            <w:proofErr w:type="spellEnd"/>
          </w:p>
        </w:tc>
        <w:tc>
          <w:tcPr>
            <w:tcW w:w="1480" w:type="dxa"/>
            <w:tcBorders>
              <w:top w:val="nil"/>
              <w:left w:val="nil"/>
              <w:bottom w:val="nil"/>
              <w:right w:val="nil"/>
            </w:tcBorders>
            <w:tcMar>
              <w:top w:w="128" w:type="dxa"/>
              <w:left w:w="43" w:type="dxa"/>
              <w:bottom w:w="43" w:type="dxa"/>
              <w:right w:w="43" w:type="dxa"/>
            </w:tcMar>
          </w:tcPr>
          <w:p w14:paraId="2CBBADD6" w14:textId="77777777" w:rsidR="00D60186" w:rsidRPr="00815696" w:rsidRDefault="00D60186" w:rsidP="00815696">
            <w:pPr>
              <w:jc w:val="right"/>
              <w:rPr>
                <w:sz w:val="21"/>
                <w:szCs w:val="21"/>
              </w:rPr>
            </w:pPr>
            <w:r w:rsidRPr="00815696">
              <w:rPr>
                <w:sz w:val="21"/>
                <w:szCs w:val="21"/>
              </w:rPr>
              <w:t>Nei</w:t>
            </w:r>
          </w:p>
        </w:tc>
      </w:tr>
      <w:tr w:rsidR="00E76DC8" w:rsidRPr="00225D4D" w14:paraId="1AE905B9"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625CA87C"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17B89456" w14:textId="77777777" w:rsidR="00D60186" w:rsidRPr="00815696" w:rsidRDefault="00D60186" w:rsidP="00815696">
            <w:pPr>
              <w:ind w:right="113"/>
              <w:jc w:val="right"/>
              <w:rPr>
                <w:sz w:val="21"/>
                <w:szCs w:val="21"/>
              </w:rPr>
            </w:pPr>
            <w:r w:rsidRPr="00815696">
              <w:rPr>
                <w:sz w:val="21"/>
                <w:szCs w:val="21"/>
              </w:rPr>
              <w:t>1014</w:t>
            </w:r>
          </w:p>
        </w:tc>
        <w:tc>
          <w:tcPr>
            <w:tcW w:w="5812" w:type="dxa"/>
            <w:tcBorders>
              <w:top w:val="nil"/>
              <w:left w:val="nil"/>
              <w:bottom w:val="nil"/>
              <w:right w:val="nil"/>
            </w:tcBorders>
            <w:tcMar>
              <w:top w:w="128" w:type="dxa"/>
              <w:left w:w="43" w:type="dxa"/>
              <w:bottom w:w="43" w:type="dxa"/>
              <w:right w:w="43" w:type="dxa"/>
            </w:tcMar>
          </w:tcPr>
          <w:p w14:paraId="1F1F6150" w14:textId="77777777" w:rsidR="00D60186" w:rsidRPr="00815696" w:rsidRDefault="00D60186" w:rsidP="00225D4D">
            <w:pPr>
              <w:rPr>
                <w:sz w:val="21"/>
                <w:szCs w:val="21"/>
              </w:rPr>
            </w:pPr>
            <w:proofErr w:type="spellStart"/>
            <w:r w:rsidRPr="00815696">
              <w:rPr>
                <w:sz w:val="21"/>
                <w:szCs w:val="21"/>
              </w:rPr>
              <w:t>lovendringar</w:t>
            </w:r>
            <w:proofErr w:type="spellEnd"/>
            <w:r w:rsidRPr="00815696">
              <w:rPr>
                <w:sz w:val="21"/>
                <w:szCs w:val="21"/>
              </w:rPr>
              <w:t xml:space="preserve"> om samvær for barn på krisesenter</w:t>
            </w:r>
          </w:p>
        </w:tc>
        <w:tc>
          <w:tcPr>
            <w:tcW w:w="1480" w:type="dxa"/>
            <w:tcBorders>
              <w:top w:val="nil"/>
              <w:left w:val="nil"/>
              <w:bottom w:val="nil"/>
              <w:right w:val="nil"/>
            </w:tcBorders>
            <w:tcMar>
              <w:top w:w="128" w:type="dxa"/>
              <w:left w:w="43" w:type="dxa"/>
              <w:bottom w:w="43" w:type="dxa"/>
              <w:right w:w="43" w:type="dxa"/>
            </w:tcMar>
          </w:tcPr>
          <w:p w14:paraId="11E50B23" w14:textId="77777777" w:rsidR="00D60186" w:rsidRPr="00815696" w:rsidRDefault="00D60186" w:rsidP="00815696">
            <w:pPr>
              <w:jc w:val="right"/>
              <w:rPr>
                <w:sz w:val="21"/>
                <w:szCs w:val="21"/>
              </w:rPr>
            </w:pPr>
            <w:r w:rsidRPr="00815696">
              <w:rPr>
                <w:sz w:val="21"/>
                <w:szCs w:val="21"/>
              </w:rPr>
              <w:t>Nei</w:t>
            </w:r>
          </w:p>
        </w:tc>
      </w:tr>
      <w:tr w:rsidR="00E76DC8" w:rsidRPr="00225D4D" w14:paraId="242B41C6"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788D5309"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60B76F63" w14:textId="77777777" w:rsidR="00D60186" w:rsidRPr="00815696" w:rsidRDefault="00D60186" w:rsidP="00815696">
            <w:pPr>
              <w:ind w:right="113"/>
              <w:jc w:val="right"/>
              <w:rPr>
                <w:sz w:val="21"/>
                <w:szCs w:val="21"/>
              </w:rPr>
            </w:pPr>
            <w:r w:rsidRPr="00815696">
              <w:rPr>
                <w:sz w:val="21"/>
                <w:szCs w:val="21"/>
              </w:rPr>
              <w:t>1015</w:t>
            </w:r>
          </w:p>
        </w:tc>
        <w:tc>
          <w:tcPr>
            <w:tcW w:w="5812" w:type="dxa"/>
            <w:tcBorders>
              <w:top w:val="nil"/>
              <w:left w:val="nil"/>
              <w:bottom w:val="nil"/>
              <w:right w:val="nil"/>
            </w:tcBorders>
            <w:tcMar>
              <w:top w:w="128" w:type="dxa"/>
              <w:left w:w="43" w:type="dxa"/>
              <w:bottom w:w="43" w:type="dxa"/>
              <w:right w:w="43" w:type="dxa"/>
            </w:tcMar>
          </w:tcPr>
          <w:p w14:paraId="78391130" w14:textId="77777777" w:rsidR="00D60186" w:rsidRPr="00815696" w:rsidRDefault="00D60186" w:rsidP="00225D4D">
            <w:pPr>
              <w:rPr>
                <w:sz w:val="21"/>
                <w:szCs w:val="21"/>
              </w:rPr>
            </w:pPr>
            <w:r w:rsidRPr="00815696">
              <w:rPr>
                <w:sz w:val="21"/>
                <w:szCs w:val="21"/>
              </w:rPr>
              <w:t xml:space="preserve">betre avdekking og handsaming av vald, overgrep og </w:t>
            </w:r>
            <w:proofErr w:type="spellStart"/>
            <w:r w:rsidRPr="00815696">
              <w:rPr>
                <w:sz w:val="21"/>
                <w:szCs w:val="21"/>
              </w:rPr>
              <w:t>annan</w:t>
            </w:r>
            <w:proofErr w:type="spellEnd"/>
            <w:r w:rsidRPr="00815696">
              <w:rPr>
                <w:sz w:val="21"/>
                <w:szCs w:val="21"/>
              </w:rPr>
              <w:t xml:space="preserve"> </w:t>
            </w:r>
            <w:proofErr w:type="spellStart"/>
            <w:r w:rsidRPr="00815696">
              <w:rPr>
                <w:sz w:val="21"/>
                <w:szCs w:val="21"/>
              </w:rPr>
              <w:t>alvorleg</w:t>
            </w:r>
            <w:proofErr w:type="spellEnd"/>
            <w:r w:rsidRPr="00815696">
              <w:rPr>
                <w:sz w:val="21"/>
                <w:szCs w:val="21"/>
              </w:rPr>
              <w:t xml:space="preserve"> risiko mot barn</w:t>
            </w:r>
          </w:p>
        </w:tc>
        <w:tc>
          <w:tcPr>
            <w:tcW w:w="1480" w:type="dxa"/>
            <w:tcBorders>
              <w:top w:val="nil"/>
              <w:left w:val="nil"/>
              <w:bottom w:val="nil"/>
              <w:right w:val="nil"/>
            </w:tcBorders>
            <w:tcMar>
              <w:top w:w="128" w:type="dxa"/>
              <w:left w:w="43" w:type="dxa"/>
              <w:bottom w:w="43" w:type="dxa"/>
              <w:right w:w="43" w:type="dxa"/>
            </w:tcMar>
          </w:tcPr>
          <w:p w14:paraId="405551AD" w14:textId="77777777" w:rsidR="00D60186" w:rsidRPr="00815696" w:rsidRDefault="00D60186" w:rsidP="00815696">
            <w:pPr>
              <w:jc w:val="right"/>
              <w:rPr>
                <w:sz w:val="21"/>
                <w:szCs w:val="21"/>
              </w:rPr>
            </w:pPr>
            <w:r w:rsidRPr="00815696">
              <w:rPr>
                <w:sz w:val="21"/>
                <w:szCs w:val="21"/>
              </w:rPr>
              <w:t>Nei</w:t>
            </w:r>
          </w:p>
        </w:tc>
      </w:tr>
      <w:tr w:rsidR="00E76DC8" w:rsidRPr="00225D4D" w14:paraId="1009315B"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2A87204C"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1CEED582" w14:textId="77777777" w:rsidR="00D60186" w:rsidRPr="00815696" w:rsidRDefault="00D60186" w:rsidP="00815696">
            <w:pPr>
              <w:ind w:right="113"/>
              <w:jc w:val="right"/>
              <w:rPr>
                <w:sz w:val="21"/>
                <w:szCs w:val="21"/>
              </w:rPr>
            </w:pPr>
            <w:r w:rsidRPr="00815696">
              <w:rPr>
                <w:sz w:val="21"/>
                <w:szCs w:val="21"/>
              </w:rPr>
              <w:t>1016</w:t>
            </w:r>
          </w:p>
        </w:tc>
        <w:tc>
          <w:tcPr>
            <w:tcW w:w="5812" w:type="dxa"/>
            <w:tcBorders>
              <w:top w:val="nil"/>
              <w:left w:val="nil"/>
              <w:bottom w:val="nil"/>
              <w:right w:val="nil"/>
            </w:tcBorders>
            <w:tcMar>
              <w:top w:w="128" w:type="dxa"/>
              <w:left w:w="43" w:type="dxa"/>
              <w:bottom w:w="43" w:type="dxa"/>
              <w:right w:w="43" w:type="dxa"/>
            </w:tcMar>
          </w:tcPr>
          <w:p w14:paraId="1181A429" w14:textId="77777777" w:rsidR="00D60186" w:rsidRPr="00815696" w:rsidRDefault="00D60186" w:rsidP="00225D4D">
            <w:pPr>
              <w:rPr>
                <w:sz w:val="21"/>
                <w:szCs w:val="21"/>
              </w:rPr>
            </w:pPr>
            <w:proofErr w:type="spellStart"/>
            <w:r w:rsidRPr="00815696">
              <w:rPr>
                <w:sz w:val="21"/>
                <w:szCs w:val="21"/>
              </w:rPr>
              <w:t>tverrfagleg</w:t>
            </w:r>
            <w:proofErr w:type="spellEnd"/>
            <w:r w:rsidRPr="00815696">
              <w:rPr>
                <w:sz w:val="21"/>
                <w:szCs w:val="21"/>
              </w:rPr>
              <w:t xml:space="preserve"> vurdering i foreldretvistsaker</w:t>
            </w:r>
          </w:p>
        </w:tc>
        <w:tc>
          <w:tcPr>
            <w:tcW w:w="1480" w:type="dxa"/>
            <w:tcBorders>
              <w:top w:val="nil"/>
              <w:left w:val="nil"/>
              <w:bottom w:val="nil"/>
              <w:right w:val="nil"/>
            </w:tcBorders>
            <w:tcMar>
              <w:top w:w="128" w:type="dxa"/>
              <w:left w:w="43" w:type="dxa"/>
              <w:bottom w:w="43" w:type="dxa"/>
              <w:right w:w="43" w:type="dxa"/>
            </w:tcMar>
          </w:tcPr>
          <w:p w14:paraId="35837AC2" w14:textId="77777777" w:rsidR="00D60186" w:rsidRPr="00815696" w:rsidRDefault="00D60186" w:rsidP="00815696">
            <w:pPr>
              <w:jc w:val="right"/>
              <w:rPr>
                <w:sz w:val="21"/>
                <w:szCs w:val="21"/>
              </w:rPr>
            </w:pPr>
            <w:r w:rsidRPr="00815696">
              <w:rPr>
                <w:sz w:val="21"/>
                <w:szCs w:val="21"/>
              </w:rPr>
              <w:t>Nei</w:t>
            </w:r>
          </w:p>
        </w:tc>
      </w:tr>
      <w:tr w:rsidR="00E76DC8" w:rsidRPr="00225D4D" w14:paraId="7EA0EB2D"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4BB73178"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4DF1B863" w14:textId="77777777" w:rsidR="00D60186" w:rsidRPr="00815696" w:rsidRDefault="00D60186" w:rsidP="00815696">
            <w:pPr>
              <w:ind w:right="113"/>
              <w:jc w:val="right"/>
              <w:rPr>
                <w:sz w:val="21"/>
                <w:szCs w:val="21"/>
              </w:rPr>
            </w:pPr>
            <w:r w:rsidRPr="00815696">
              <w:rPr>
                <w:sz w:val="21"/>
                <w:szCs w:val="21"/>
              </w:rPr>
              <w:t>1017</w:t>
            </w:r>
          </w:p>
        </w:tc>
        <w:tc>
          <w:tcPr>
            <w:tcW w:w="5812" w:type="dxa"/>
            <w:tcBorders>
              <w:top w:val="nil"/>
              <w:left w:val="nil"/>
              <w:bottom w:val="nil"/>
              <w:right w:val="nil"/>
            </w:tcBorders>
            <w:tcMar>
              <w:top w:w="128" w:type="dxa"/>
              <w:left w:w="43" w:type="dxa"/>
              <w:bottom w:w="43" w:type="dxa"/>
              <w:right w:w="43" w:type="dxa"/>
            </w:tcMar>
          </w:tcPr>
          <w:p w14:paraId="4D3B881A" w14:textId="77777777" w:rsidR="00D60186" w:rsidRPr="00815696" w:rsidRDefault="00D60186" w:rsidP="00225D4D">
            <w:pPr>
              <w:rPr>
                <w:sz w:val="21"/>
                <w:szCs w:val="21"/>
              </w:rPr>
            </w:pPr>
            <w:r w:rsidRPr="00815696">
              <w:rPr>
                <w:sz w:val="21"/>
                <w:szCs w:val="21"/>
              </w:rPr>
              <w:t xml:space="preserve">krav til kompetanse for </w:t>
            </w:r>
            <w:proofErr w:type="gramStart"/>
            <w:r w:rsidRPr="00815696">
              <w:rPr>
                <w:sz w:val="21"/>
                <w:szCs w:val="21"/>
              </w:rPr>
              <w:t>tilsette</w:t>
            </w:r>
            <w:proofErr w:type="gramEnd"/>
            <w:r w:rsidRPr="00815696">
              <w:rPr>
                <w:sz w:val="21"/>
                <w:szCs w:val="21"/>
              </w:rPr>
              <w:t xml:space="preserve"> ved </w:t>
            </w:r>
            <w:proofErr w:type="spellStart"/>
            <w:r w:rsidRPr="00815696">
              <w:rPr>
                <w:sz w:val="21"/>
                <w:szCs w:val="21"/>
              </w:rPr>
              <w:t>krisesentera</w:t>
            </w:r>
            <w:proofErr w:type="spellEnd"/>
          </w:p>
        </w:tc>
        <w:tc>
          <w:tcPr>
            <w:tcW w:w="1480" w:type="dxa"/>
            <w:tcBorders>
              <w:top w:val="nil"/>
              <w:left w:val="nil"/>
              <w:bottom w:val="nil"/>
              <w:right w:val="nil"/>
            </w:tcBorders>
            <w:tcMar>
              <w:top w:w="128" w:type="dxa"/>
              <w:left w:w="43" w:type="dxa"/>
              <w:bottom w:w="43" w:type="dxa"/>
              <w:right w:w="43" w:type="dxa"/>
            </w:tcMar>
          </w:tcPr>
          <w:p w14:paraId="7FE13AFD" w14:textId="77777777" w:rsidR="00D60186" w:rsidRPr="00815696" w:rsidRDefault="00D60186" w:rsidP="00815696">
            <w:pPr>
              <w:jc w:val="right"/>
              <w:rPr>
                <w:sz w:val="21"/>
                <w:szCs w:val="21"/>
              </w:rPr>
            </w:pPr>
            <w:r w:rsidRPr="00815696">
              <w:rPr>
                <w:sz w:val="21"/>
                <w:szCs w:val="21"/>
              </w:rPr>
              <w:t>Nei</w:t>
            </w:r>
          </w:p>
        </w:tc>
      </w:tr>
      <w:tr w:rsidR="00E76DC8" w:rsidRPr="00225D4D" w14:paraId="18300855"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7E6B1382"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6CD84D4C" w14:textId="77777777" w:rsidR="00D60186" w:rsidRPr="00815696" w:rsidRDefault="00D60186" w:rsidP="00815696">
            <w:pPr>
              <w:ind w:right="113"/>
              <w:jc w:val="right"/>
              <w:rPr>
                <w:sz w:val="21"/>
                <w:szCs w:val="21"/>
              </w:rPr>
            </w:pPr>
            <w:r w:rsidRPr="00815696">
              <w:rPr>
                <w:sz w:val="21"/>
                <w:szCs w:val="21"/>
              </w:rPr>
              <w:t>1018</w:t>
            </w:r>
          </w:p>
        </w:tc>
        <w:tc>
          <w:tcPr>
            <w:tcW w:w="5812" w:type="dxa"/>
            <w:tcBorders>
              <w:top w:val="nil"/>
              <w:left w:val="nil"/>
              <w:bottom w:val="nil"/>
              <w:right w:val="nil"/>
            </w:tcBorders>
            <w:tcMar>
              <w:top w:w="128" w:type="dxa"/>
              <w:left w:w="43" w:type="dxa"/>
              <w:bottom w:w="43" w:type="dxa"/>
              <w:right w:w="43" w:type="dxa"/>
            </w:tcMar>
          </w:tcPr>
          <w:p w14:paraId="411A4C2E" w14:textId="77777777" w:rsidR="00D60186" w:rsidRPr="00815696" w:rsidRDefault="00D60186" w:rsidP="00225D4D">
            <w:pPr>
              <w:rPr>
                <w:sz w:val="21"/>
                <w:szCs w:val="21"/>
              </w:rPr>
            </w:pPr>
            <w:r w:rsidRPr="00815696">
              <w:rPr>
                <w:sz w:val="21"/>
                <w:szCs w:val="21"/>
              </w:rPr>
              <w:t>universell utforming av krisesenter</w:t>
            </w:r>
          </w:p>
        </w:tc>
        <w:tc>
          <w:tcPr>
            <w:tcW w:w="1480" w:type="dxa"/>
            <w:tcBorders>
              <w:top w:val="nil"/>
              <w:left w:val="nil"/>
              <w:bottom w:val="nil"/>
              <w:right w:val="nil"/>
            </w:tcBorders>
            <w:tcMar>
              <w:top w:w="128" w:type="dxa"/>
              <w:left w:w="43" w:type="dxa"/>
              <w:bottom w:w="43" w:type="dxa"/>
              <w:right w:w="43" w:type="dxa"/>
            </w:tcMar>
          </w:tcPr>
          <w:p w14:paraId="28E94605" w14:textId="77777777" w:rsidR="00D60186" w:rsidRPr="00815696" w:rsidRDefault="00D60186" w:rsidP="00815696">
            <w:pPr>
              <w:jc w:val="right"/>
              <w:rPr>
                <w:sz w:val="21"/>
                <w:szCs w:val="21"/>
              </w:rPr>
            </w:pPr>
            <w:r w:rsidRPr="00815696">
              <w:rPr>
                <w:sz w:val="21"/>
                <w:szCs w:val="21"/>
              </w:rPr>
              <w:t>Ja</w:t>
            </w:r>
          </w:p>
        </w:tc>
      </w:tr>
      <w:tr w:rsidR="00E76DC8" w:rsidRPr="00225D4D" w14:paraId="6F3AC5B1"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05BC688B"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280350CC" w14:textId="77777777" w:rsidR="00D60186" w:rsidRPr="00815696" w:rsidRDefault="00D60186" w:rsidP="00815696">
            <w:pPr>
              <w:ind w:right="113"/>
              <w:jc w:val="right"/>
              <w:rPr>
                <w:sz w:val="21"/>
                <w:szCs w:val="21"/>
              </w:rPr>
            </w:pPr>
            <w:r w:rsidRPr="00815696">
              <w:rPr>
                <w:sz w:val="21"/>
                <w:szCs w:val="21"/>
              </w:rPr>
              <w:t>1019</w:t>
            </w:r>
          </w:p>
        </w:tc>
        <w:tc>
          <w:tcPr>
            <w:tcW w:w="5812" w:type="dxa"/>
            <w:tcBorders>
              <w:top w:val="nil"/>
              <w:left w:val="nil"/>
              <w:bottom w:val="nil"/>
              <w:right w:val="nil"/>
            </w:tcBorders>
            <w:tcMar>
              <w:top w:w="128" w:type="dxa"/>
              <w:left w:w="43" w:type="dxa"/>
              <w:bottom w:w="43" w:type="dxa"/>
              <w:right w:w="43" w:type="dxa"/>
            </w:tcMar>
          </w:tcPr>
          <w:p w14:paraId="223F73B5" w14:textId="77777777" w:rsidR="00D60186" w:rsidRPr="00815696" w:rsidRDefault="00D60186" w:rsidP="00225D4D">
            <w:pPr>
              <w:rPr>
                <w:sz w:val="21"/>
                <w:szCs w:val="21"/>
              </w:rPr>
            </w:pPr>
            <w:r w:rsidRPr="00815696">
              <w:rPr>
                <w:sz w:val="21"/>
                <w:szCs w:val="21"/>
              </w:rPr>
              <w:t xml:space="preserve">kunnskapsgrunnlag om felles </w:t>
            </w:r>
            <w:proofErr w:type="spellStart"/>
            <w:r w:rsidRPr="00815696">
              <w:rPr>
                <w:sz w:val="21"/>
                <w:szCs w:val="21"/>
              </w:rPr>
              <w:t>butilbod</w:t>
            </w:r>
            <w:proofErr w:type="spellEnd"/>
            <w:r w:rsidRPr="00815696">
              <w:rPr>
                <w:sz w:val="21"/>
                <w:szCs w:val="21"/>
              </w:rPr>
              <w:t xml:space="preserve"> på krisesenter</w:t>
            </w:r>
          </w:p>
        </w:tc>
        <w:tc>
          <w:tcPr>
            <w:tcW w:w="1480" w:type="dxa"/>
            <w:tcBorders>
              <w:top w:val="nil"/>
              <w:left w:val="nil"/>
              <w:bottom w:val="nil"/>
              <w:right w:val="nil"/>
            </w:tcBorders>
            <w:tcMar>
              <w:top w:w="128" w:type="dxa"/>
              <w:left w:w="43" w:type="dxa"/>
              <w:bottom w:w="43" w:type="dxa"/>
              <w:right w:w="43" w:type="dxa"/>
            </w:tcMar>
          </w:tcPr>
          <w:p w14:paraId="7746B92C" w14:textId="77777777" w:rsidR="00D60186" w:rsidRPr="00815696" w:rsidRDefault="00D60186" w:rsidP="00815696">
            <w:pPr>
              <w:jc w:val="right"/>
              <w:rPr>
                <w:sz w:val="21"/>
                <w:szCs w:val="21"/>
              </w:rPr>
            </w:pPr>
            <w:r w:rsidRPr="00815696">
              <w:rPr>
                <w:sz w:val="21"/>
                <w:szCs w:val="21"/>
              </w:rPr>
              <w:t>Ja</w:t>
            </w:r>
          </w:p>
        </w:tc>
      </w:tr>
      <w:tr w:rsidR="00E76DC8" w:rsidRPr="00225D4D" w14:paraId="6E162F71"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3CBF091E"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07CD9A72" w14:textId="77777777" w:rsidR="00D60186" w:rsidRPr="00815696" w:rsidRDefault="00D60186" w:rsidP="00815696">
            <w:pPr>
              <w:ind w:right="113"/>
              <w:jc w:val="right"/>
              <w:rPr>
                <w:sz w:val="21"/>
                <w:szCs w:val="21"/>
              </w:rPr>
            </w:pPr>
            <w:r w:rsidRPr="00815696">
              <w:rPr>
                <w:sz w:val="21"/>
                <w:szCs w:val="21"/>
              </w:rPr>
              <w:t>1020</w:t>
            </w:r>
          </w:p>
        </w:tc>
        <w:tc>
          <w:tcPr>
            <w:tcW w:w="5812" w:type="dxa"/>
            <w:tcBorders>
              <w:top w:val="nil"/>
              <w:left w:val="nil"/>
              <w:bottom w:val="nil"/>
              <w:right w:val="nil"/>
            </w:tcBorders>
            <w:tcMar>
              <w:top w:w="128" w:type="dxa"/>
              <w:left w:w="43" w:type="dxa"/>
              <w:bottom w:w="43" w:type="dxa"/>
              <w:right w:w="43" w:type="dxa"/>
            </w:tcMar>
          </w:tcPr>
          <w:p w14:paraId="75AAB305" w14:textId="77777777" w:rsidR="00D60186" w:rsidRPr="00815696" w:rsidRDefault="00D60186" w:rsidP="00225D4D">
            <w:pPr>
              <w:rPr>
                <w:sz w:val="21"/>
                <w:szCs w:val="21"/>
              </w:rPr>
            </w:pPr>
            <w:proofErr w:type="spellStart"/>
            <w:r w:rsidRPr="00815696">
              <w:rPr>
                <w:sz w:val="21"/>
                <w:szCs w:val="21"/>
              </w:rPr>
              <w:t>vidareføring</w:t>
            </w:r>
            <w:proofErr w:type="spellEnd"/>
            <w:r w:rsidRPr="00815696">
              <w:rPr>
                <w:sz w:val="21"/>
                <w:szCs w:val="21"/>
              </w:rPr>
              <w:t xml:space="preserve"> av forsøk med </w:t>
            </w:r>
            <w:proofErr w:type="spellStart"/>
            <w:r w:rsidRPr="00815696">
              <w:rPr>
                <w:sz w:val="21"/>
                <w:szCs w:val="21"/>
              </w:rPr>
              <w:t>krisesentermodellar</w:t>
            </w:r>
            <w:proofErr w:type="spellEnd"/>
          </w:p>
        </w:tc>
        <w:tc>
          <w:tcPr>
            <w:tcW w:w="1480" w:type="dxa"/>
            <w:tcBorders>
              <w:top w:val="nil"/>
              <w:left w:val="nil"/>
              <w:bottom w:val="nil"/>
              <w:right w:val="nil"/>
            </w:tcBorders>
            <w:tcMar>
              <w:top w:w="128" w:type="dxa"/>
              <w:left w:w="43" w:type="dxa"/>
              <w:bottom w:w="43" w:type="dxa"/>
              <w:right w:w="43" w:type="dxa"/>
            </w:tcMar>
          </w:tcPr>
          <w:p w14:paraId="30A2BC15" w14:textId="77777777" w:rsidR="00D60186" w:rsidRPr="00815696" w:rsidRDefault="00D60186" w:rsidP="00815696">
            <w:pPr>
              <w:jc w:val="right"/>
              <w:rPr>
                <w:sz w:val="21"/>
                <w:szCs w:val="21"/>
              </w:rPr>
            </w:pPr>
            <w:r w:rsidRPr="00815696">
              <w:rPr>
                <w:sz w:val="21"/>
                <w:szCs w:val="21"/>
              </w:rPr>
              <w:t>Ja</w:t>
            </w:r>
          </w:p>
        </w:tc>
      </w:tr>
      <w:tr w:rsidR="00E76DC8" w:rsidRPr="00225D4D" w14:paraId="25963417"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6426FCA2"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46B6B2FC" w14:textId="77777777" w:rsidR="00D60186" w:rsidRPr="00815696" w:rsidRDefault="00D60186" w:rsidP="00815696">
            <w:pPr>
              <w:ind w:right="113"/>
              <w:jc w:val="right"/>
              <w:rPr>
                <w:sz w:val="21"/>
                <w:szCs w:val="21"/>
              </w:rPr>
            </w:pPr>
            <w:r w:rsidRPr="00815696">
              <w:rPr>
                <w:sz w:val="21"/>
                <w:szCs w:val="21"/>
              </w:rPr>
              <w:t>1021</w:t>
            </w:r>
          </w:p>
        </w:tc>
        <w:tc>
          <w:tcPr>
            <w:tcW w:w="5812" w:type="dxa"/>
            <w:tcBorders>
              <w:top w:val="nil"/>
              <w:left w:val="nil"/>
              <w:bottom w:val="nil"/>
              <w:right w:val="nil"/>
            </w:tcBorders>
            <w:tcMar>
              <w:top w:w="128" w:type="dxa"/>
              <w:left w:w="43" w:type="dxa"/>
              <w:bottom w:w="43" w:type="dxa"/>
              <w:right w:w="43" w:type="dxa"/>
            </w:tcMar>
          </w:tcPr>
          <w:p w14:paraId="69FD491B" w14:textId="77777777" w:rsidR="00D60186" w:rsidRPr="00815696" w:rsidRDefault="00D60186" w:rsidP="00225D4D">
            <w:pPr>
              <w:rPr>
                <w:sz w:val="21"/>
                <w:szCs w:val="21"/>
              </w:rPr>
            </w:pPr>
            <w:r w:rsidRPr="00815696">
              <w:rPr>
                <w:sz w:val="21"/>
                <w:szCs w:val="21"/>
              </w:rPr>
              <w:t xml:space="preserve">barn sine </w:t>
            </w:r>
            <w:proofErr w:type="spellStart"/>
            <w:r w:rsidRPr="00815696">
              <w:rPr>
                <w:sz w:val="21"/>
                <w:szCs w:val="21"/>
              </w:rPr>
              <w:t>rettar</w:t>
            </w:r>
            <w:proofErr w:type="spellEnd"/>
            <w:r w:rsidRPr="00815696">
              <w:rPr>
                <w:sz w:val="21"/>
                <w:szCs w:val="21"/>
              </w:rPr>
              <w:t xml:space="preserve"> på krisesenter</w:t>
            </w:r>
          </w:p>
        </w:tc>
        <w:tc>
          <w:tcPr>
            <w:tcW w:w="1480" w:type="dxa"/>
            <w:tcBorders>
              <w:top w:val="nil"/>
              <w:left w:val="nil"/>
              <w:bottom w:val="nil"/>
              <w:right w:val="nil"/>
            </w:tcBorders>
            <w:tcMar>
              <w:top w:w="128" w:type="dxa"/>
              <w:left w:w="43" w:type="dxa"/>
              <w:bottom w:w="43" w:type="dxa"/>
              <w:right w:w="43" w:type="dxa"/>
            </w:tcMar>
          </w:tcPr>
          <w:p w14:paraId="34EA8FAA" w14:textId="77777777" w:rsidR="00D60186" w:rsidRPr="00815696" w:rsidRDefault="00D60186" w:rsidP="00815696">
            <w:pPr>
              <w:jc w:val="right"/>
              <w:rPr>
                <w:sz w:val="21"/>
                <w:szCs w:val="21"/>
              </w:rPr>
            </w:pPr>
            <w:r w:rsidRPr="00815696">
              <w:rPr>
                <w:sz w:val="21"/>
                <w:szCs w:val="21"/>
              </w:rPr>
              <w:t>Ja</w:t>
            </w:r>
          </w:p>
        </w:tc>
      </w:tr>
      <w:tr w:rsidR="00E76DC8" w:rsidRPr="00225D4D" w14:paraId="7FA71EC1"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0E592D33"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0E27C503" w14:textId="77777777" w:rsidR="00D60186" w:rsidRPr="00815696" w:rsidRDefault="00D60186" w:rsidP="00815696">
            <w:pPr>
              <w:ind w:right="113"/>
              <w:jc w:val="right"/>
              <w:rPr>
                <w:sz w:val="21"/>
                <w:szCs w:val="21"/>
              </w:rPr>
            </w:pPr>
            <w:r w:rsidRPr="00815696">
              <w:rPr>
                <w:sz w:val="21"/>
                <w:szCs w:val="21"/>
              </w:rPr>
              <w:t>1022</w:t>
            </w:r>
          </w:p>
        </w:tc>
        <w:tc>
          <w:tcPr>
            <w:tcW w:w="5812" w:type="dxa"/>
            <w:tcBorders>
              <w:top w:val="nil"/>
              <w:left w:val="nil"/>
              <w:bottom w:val="nil"/>
              <w:right w:val="nil"/>
            </w:tcBorders>
            <w:tcMar>
              <w:top w:w="128" w:type="dxa"/>
              <w:left w:w="43" w:type="dxa"/>
              <w:bottom w:w="43" w:type="dxa"/>
              <w:right w:w="43" w:type="dxa"/>
            </w:tcMar>
          </w:tcPr>
          <w:p w14:paraId="26BDC282" w14:textId="77777777" w:rsidR="00D60186" w:rsidRPr="00815696" w:rsidRDefault="00D60186" w:rsidP="00225D4D">
            <w:pPr>
              <w:rPr>
                <w:sz w:val="21"/>
                <w:szCs w:val="21"/>
              </w:rPr>
            </w:pPr>
            <w:r w:rsidRPr="00815696">
              <w:rPr>
                <w:sz w:val="21"/>
                <w:szCs w:val="21"/>
              </w:rPr>
              <w:t xml:space="preserve">gratis transport for barn i </w:t>
            </w:r>
            <w:proofErr w:type="spellStart"/>
            <w:r w:rsidRPr="00815696">
              <w:rPr>
                <w:sz w:val="21"/>
                <w:szCs w:val="21"/>
              </w:rPr>
              <w:t>krisesentertilbodet</w:t>
            </w:r>
            <w:proofErr w:type="spellEnd"/>
          </w:p>
        </w:tc>
        <w:tc>
          <w:tcPr>
            <w:tcW w:w="1480" w:type="dxa"/>
            <w:tcBorders>
              <w:top w:val="nil"/>
              <w:left w:val="nil"/>
              <w:bottom w:val="nil"/>
              <w:right w:val="nil"/>
            </w:tcBorders>
            <w:tcMar>
              <w:top w:w="128" w:type="dxa"/>
              <w:left w:w="43" w:type="dxa"/>
              <w:bottom w:w="43" w:type="dxa"/>
              <w:right w:w="43" w:type="dxa"/>
            </w:tcMar>
          </w:tcPr>
          <w:p w14:paraId="58DBB477" w14:textId="77777777" w:rsidR="00D60186" w:rsidRPr="00815696" w:rsidRDefault="00D60186" w:rsidP="00815696">
            <w:pPr>
              <w:jc w:val="right"/>
              <w:rPr>
                <w:sz w:val="21"/>
                <w:szCs w:val="21"/>
              </w:rPr>
            </w:pPr>
            <w:r w:rsidRPr="00815696">
              <w:rPr>
                <w:sz w:val="21"/>
                <w:szCs w:val="21"/>
              </w:rPr>
              <w:t>Nei</w:t>
            </w:r>
          </w:p>
        </w:tc>
      </w:tr>
      <w:tr w:rsidR="00E76DC8" w:rsidRPr="00225D4D" w14:paraId="6A2F3A8D"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4953D709"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306D571A" w14:textId="77777777" w:rsidR="00D60186" w:rsidRPr="00815696" w:rsidRDefault="00D60186" w:rsidP="00815696">
            <w:pPr>
              <w:ind w:right="113"/>
              <w:jc w:val="right"/>
              <w:rPr>
                <w:sz w:val="21"/>
                <w:szCs w:val="21"/>
              </w:rPr>
            </w:pPr>
            <w:r w:rsidRPr="00815696">
              <w:rPr>
                <w:sz w:val="21"/>
                <w:szCs w:val="21"/>
              </w:rPr>
              <w:t>1023</w:t>
            </w:r>
          </w:p>
        </w:tc>
        <w:tc>
          <w:tcPr>
            <w:tcW w:w="5812" w:type="dxa"/>
            <w:tcBorders>
              <w:top w:val="nil"/>
              <w:left w:val="nil"/>
              <w:bottom w:val="nil"/>
              <w:right w:val="nil"/>
            </w:tcBorders>
            <w:tcMar>
              <w:top w:w="128" w:type="dxa"/>
              <w:left w:w="43" w:type="dxa"/>
              <w:bottom w:w="43" w:type="dxa"/>
              <w:right w:w="43" w:type="dxa"/>
            </w:tcMar>
          </w:tcPr>
          <w:p w14:paraId="6DB34A52" w14:textId="77777777" w:rsidR="00D60186" w:rsidRPr="00815696" w:rsidRDefault="00D60186" w:rsidP="00225D4D">
            <w:pPr>
              <w:rPr>
                <w:sz w:val="21"/>
                <w:szCs w:val="21"/>
              </w:rPr>
            </w:pPr>
            <w:proofErr w:type="spellStart"/>
            <w:r w:rsidRPr="00815696">
              <w:rPr>
                <w:sz w:val="21"/>
                <w:szCs w:val="21"/>
              </w:rPr>
              <w:t>tilbod</w:t>
            </w:r>
            <w:proofErr w:type="spellEnd"/>
            <w:r w:rsidRPr="00815696">
              <w:rPr>
                <w:sz w:val="21"/>
                <w:szCs w:val="21"/>
              </w:rPr>
              <w:t xml:space="preserve"> til </w:t>
            </w:r>
            <w:proofErr w:type="spellStart"/>
            <w:r w:rsidRPr="00815696">
              <w:rPr>
                <w:sz w:val="21"/>
                <w:szCs w:val="21"/>
              </w:rPr>
              <w:t>valdsutsette</w:t>
            </w:r>
            <w:proofErr w:type="spellEnd"/>
            <w:r w:rsidRPr="00815696">
              <w:rPr>
                <w:sz w:val="21"/>
                <w:szCs w:val="21"/>
              </w:rPr>
              <w:t xml:space="preserve"> med kjæledyr</w:t>
            </w:r>
          </w:p>
        </w:tc>
        <w:tc>
          <w:tcPr>
            <w:tcW w:w="1480" w:type="dxa"/>
            <w:tcBorders>
              <w:top w:val="nil"/>
              <w:left w:val="nil"/>
              <w:bottom w:val="nil"/>
              <w:right w:val="nil"/>
            </w:tcBorders>
            <w:tcMar>
              <w:top w:w="128" w:type="dxa"/>
              <w:left w:w="43" w:type="dxa"/>
              <w:bottom w:w="43" w:type="dxa"/>
              <w:right w:w="43" w:type="dxa"/>
            </w:tcMar>
          </w:tcPr>
          <w:p w14:paraId="12372FBE" w14:textId="77777777" w:rsidR="00D60186" w:rsidRPr="00815696" w:rsidRDefault="00D60186" w:rsidP="00815696">
            <w:pPr>
              <w:jc w:val="right"/>
              <w:rPr>
                <w:sz w:val="21"/>
                <w:szCs w:val="21"/>
              </w:rPr>
            </w:pPr>
            <w:r w:rsidRPr="00815696">
              <w:rPr>
                <w:sz w:val="21"/>
                <w:szCs w:val="21"/>
              </w:rPr>
              <w:t>Ja</w:t>
            </w:r>
          </w:p>
        </w:tc>
      </w:tr>
      <w:tr w:rsidR="00E76DC8" w:rsidRPr="00225D4D" w14:paraId="5C5E7EAE"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30E62BB5" w14:textId="77777777" w:rsidR="00D60186" w:rsidRPr="00815696" w:rsidRDefault="00D60186" w:rsidP="00225D4D">
            <w:pPr>
              <w:rPr>
                <w:sz w:val="21"/>
                <w:szCs w:val="21"/>
              </w:rPr>
            </w:pPr>
            <w:r w:rsidRPr="00815696">
              <w:rPr>
                <w:sz w:val="21"/>
                <w:szCs w:val="21"/>
              </w:rPr>
              <w:t>2024–2025</w:t>
            </w:r>
          </w:p>
        </w:tc>
        <w:tc>
          <w:tcPr>
            <w:tcW w:w="1208" w:type="dxa"/>
            <w:tcBorders>
              <w:top w:val="nil"/>
              <w:left w:val="nil"/>
              <w:bottom w:val="nil"/>
              <w:right w:val="nil"/>
            </w:tcBorders>
            <w:tcMar>
              <w:top w:w="128" w:type="dxa"/>
              <w:left w:w="43" w:type="dxa"/>
              <w:bottom w:w="43" w:type="dxa"/>
              <w:right w:w="43" w:type="dxa"/>
            </w:tcMar>
          </w:tcPr>
          <w:p w14:paraId="09279B98" w14:textId="77777777" w:rsidR="00D60186" w:rsidRPr="00815696" w:rsidRDefault="00D60186" w:rsidP="00815696">
            <w:pPr>
              <w:ind w:right="113"/>
              <w:jc w:val="right"/>
              <w:rPr>
                <w:sz w:val="21"/>
                <w:szCs w:val="21"/>
              </w:rPr>
            </w:pPr>
            <w:r w:rsidRPr="00815696">
              <w:rPr>
                <w:sz w:val="21"/>
                <w:szCs w:val="21"/>
              </w:rPr>
              <w:t>1212</w:t>
            </w:r>
          </w:p>
        </w:tc>
        <w:tc>
          <w:tcPr>
            <w:tcW w:w="5812" w:type="dxa"/>
            <w:tcBorders>
              <w:top w:val="nil"/>
              <w:left w:val="nil"/>
              <w:bottom w:val="nil"/>
              <w:right w:val="nil"/>
            </w:tcBorders>
            <w:tcMar>
              <w:top w:w="128" w:type="dxa"/>
              <w:left w:w="43" w:type="dxa"/>
              <w:bottom w:w="43" w:type="dxa"/>
              <w:right w:w="43" w:type="dxa"/>
            </w:tcMar>
          </w:tcPr>
          <w:p w14:paraId="4F88CBB8" w14:textId="77777777" w:rsidR="00D60186" w:rsidRPr="00815696" w:rsidRDefault="00D60186" w:rsidP="00225D4D">
            <w:pPr>
              <w:rPr>
                <w:sz w:val="21"/>
                <w:szCs w:val="21"/>
              </w:rPr>
            </w:pPr>
            <w:r w:rsidRPr="00815696">
              <w:rPr>
                <w:sz w:val="21"/>
                <w:szCs w:val="21"/>
              </w:rPr>
              <w:t xml:space="preserve">melding til Stortinget om </w:t>
            </w:r>
            <w:proofErr w:type="spellStart"/>
            <w:r w:rsidRPr="00815696">
              <w:rPr>
                <w:sz w:val="21"/>
                <w:szCs w:val="21"/>
              </w:rPr>
              <w:t>fødselstal</w:t>
            </w:r>
            <w:proofErr w:type="spellEnd"/>
          </w:p>
        </w:tc>
        <w:tc>
          <w:tcPr>
            <w:tcW w:w="1480" w:type="dxa"/>
            <w:tcBorders>
              <w:top w:val="nil"/>
              <w:left w:val="nil"/>
              <w:bottom w:val="nil"/>
              <w:right w:val="nil"/>
            </w:tcBorders>
            <w:tcMar>
              <w:top w:w="128" w:type="dxa"/>
              <w:left w:w="43" w:type="dxa"/>
              <w:bottom w:w="43" w:type="dxa"/>
              <w:right w:w="43" w:type="dxa"/>
            </w:tcMar>
          </w:tcPr>
          <w:p w14:paraId="4DFC1FD8" w14:textId="77777777" w:rsidR="00D60186" w:rsidRPr="00815696" w:rsidRDefault="00D60186" w:rsidP="00815696">
            <w:pPr>
              <w:jc w:val="right"/>
              <w:rPr>
                <w:sz w:val="21"/>
                <w:szCs w:val="21"/>
              </w:rPr>
            </w:pPr>
            <w:r w:rsidRPr="00815696">
              <w:rPr>
                <w:sz w:val="21"/>
                <w:szCs w:val="21"/>
              </w:rPr>
              <w:t>Nei</w:t>
            </w:r>
          </w:p>
        </w:tc>
      </w:tr>
      <w:tr w:rsidR="00E76DC8" w:rsidRPr="00225D4D" w14:paraId="5C0DE3EE"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302EB18D" w14:textId="77777777" w:rsidR="00D60186" w:rsidRPr="00815696" w:rsidRDefault="00D60186" w:rsidP="00225D4D">
            <w:pPr>
              <w:rPr>
                <w:sz w:val="21"/>
                <w:szCs w:val="21"/>
              </w:rPr>
            </w:pPr>
            <w:r w:rsidRPr="00815696">
              <w:rPr>
                <w:sz w:val="21"/>
                <w:szCs w:val="21"/>
              </w:rPr>
              <w:t>2023–2024</w:t>
            </w:r>
          </w:p>
        </w:tc>
        <w:tc>
          <w:tcPr>
            <w:tcW w:w="1208" w:type="dxa"/>
            <w:tcBorders>
              <w:top w:val="nil"/>
              <w:left w:val="nil"/>
              <w:bottom w:val="nil"/>
              <w:right w:val="nil"/>
            </w:tcBorders>
            <w:tcMar>
              <w:top w:w="128" w:type="dxa"/>
              <w:left w:w="43" w:type="dxa"/>
              <w:bottom w:w="43" w:type="dxa"/>
              <w:right w:w="43" w:type="dxa"/>
            </w:tcMar>
          </w:tcPr>
          <w:p w14:paraId="0A5E4DFC" w14:textId="77777777" w:rsidR="00D60186" w:rsidRPr="00815696" w:rsidRDefault="00D60186" w:rsidP="00815696">
            <w:pPr>
              <w:ind w:right="113"/>
              <w:jc w:val="right"/>
              <w:rPr>
                <w:sz w:val="21"/>
                <w:szCs w:val="21"/>
              </w:rPr>
            </w:pPr>
            <w:r w:rsidRPr="00815696">
              <w:rPr>
                <w:sz w:val="21"/>
                <w:szCs w:val="21"/>
              </w:rPr>
              <w:t>142</w:t>
            </w:r>
          </w:p>
        </w:tc>
        <w:tc>
          <w:tcPr>
            <w:tcW w:w="5812" w:type="dxa"/>
            <w:tcBorders>
              <w:top w:val="nil"/>
              <w:left w:val="nil"/>
              <w:bottom w:val="nil"/>
              <w:right w:val="nil"/>
            </w:tcBorders>
            <w:tcMar>
              <w:top w:w="128" w:type="dxa"/>
              <w:left w:w="43" w:type="dxa"/>
              <w:bottom w:w="43" w:type="dxa"/>
              <w:right w:w="43" w:type="dxa"/>
            </w:tcMar>
          </w:tcPr>
          <w:p w14:paraId="5EE27544" w14:textId="77777777" w:rsidR="00D60186" w:rsidRPr="00815696" w:rsidRDefault="00D60186" w:rsidP="00225D4D">
            <w:pPr>
              <w:rPr>
                <w:sz w:val="21"/>
                <w:szCs w:val="21"/>
              </w:rPr>
            </w:pPr>
            <w:proofErr w:type="spellStart"/>
            <w:r w:rsidRPr="00815696">
              <w:rPr>
                <w:sz w:val="21"/>
                <w:szCs w:val="21"/>
              </w:rPr>
              <w:t>godkjend</w:t>
            </w:r>
            <w:proofErr w:type="spellEnd"/>
            <w:r w:rsidRPr="00815696">
              <w:rPr>
                <w:sz w:val="21"/>
                <w:szCs w:val="21"/>
              </w:rPr>
              <w:t xml:space="preserve"> religiøs tilleggsutdanning</w:t>
            </w:r>
          </w:p>
        </w:tc>
        <w:tc>
          <w:tcPr>
            <w:tcW w:w="1480" w:type="dxa"/>
            <w:tcBorders>
              <w:top w:val="nil"/>
              <w:left w:val="nil"/>
              <w:bottom w:val="nil"/>
              <w:right w:val="nil"/>
            </w:tcBorders>
            <w:tcMar>
              <w:top w:w="128" w:type="dxa"/>
              <w:left w:w="43" w:type="dxa"/>
              <w:bottom w:w="43" w:type="dxa"/>
              <w:right w:w="43" w:type="dxa"/>
            </w:tcMar>
          </w:tcPr>
          <w:p w14:paraId="30B99ECD" w14:textId="77777777" w:rsidR="00D60186" w:rsidRPr="00815696" w:rsidRDefault="00D60186" w:rsidP="00815696">
            <w:pPr>
              <w:jc w:val="right"/>
              <w:rPr>
                <w:sz w:val="21"/>
                <w:szCs w:val="21"/>
              </w:rPr>
            </w:pPr>
            <w:r w:rsidRPr="00815696">
              <w:rPr>
                <w:sz w:val="21"/>
                <w:szCs w:val="21"/>
              </w:rPr>
              <w:t>Nei</w:t>
            </w:r>
          </w:p>
        </w:tc>
      </w:tr>
      <w:tr w:rsidR="00E76DC8" w:rsidRPr="00225D4D" w14:paraId="025E8098"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1BEE09EA" w14:textId="77777777" w:rsidR="00D60186" w:rsidRPr="00815696" w:rsidRDefault="00D60186" w:rsidP="00225D4D">
            <w:pPr>
              <w:rPr>
                <w:sz w:val="21"/>
                <w:szCs w:val="21"/>
              </w:rPr>
            </w:pPr>
            <w:r w:rsidRPr="00815696">
              <w:rPr>
                <w:sz w:val="21"/>
                <w:szCs w:val="21"/>
              </w:rPr>
              <w:t>2023–2024</w:t>
            </w:r>
          </w:p>
        </w:tc>
        <w:tc>
          <w:tcPr>
            <w:tcW w:w="1208" w:type="dxa"/>
            <w:tcBorders>
              <w:top w:val="nil"/>
              <w:left w:val="nil"/>
              <w:bottom w:val="nil"/>
              <w:right w:val="nil"/>
            </w:tcBorders>
            <w:tcMar>
              <w:top w:w="128" w:type="dxa"/>
              <w:left w:w="43" w:type="dxa"/>
              <w:bottom w:w="43" w:type="dxa"/>
              <w:right w:w="43" w:type="dxa"/>
            </w:tcMar>
          </w:tcPr>
          <w:p w14:paraId="15FF116E" w14:textId="77777777" w:rsidR="00D60186" w:rsidRPr="00815696" w:rsidRDefault="00D60186" w:rsidP="00815696">
            <w:pPr>
              <w:ind w:right="113"/>
              <w:jc w:val="right"/>
              <w:rPr>
                <w:sz w:val="21"/>
                <w:szCs w:val="21"/>
              </w:rPr>
            </w:pPr>
            <w:r w:rsidRPr="00815696">
              <w:rPr>
                <w:sz w:val="21"/>
                <w:szCs w:val="21"/>
              </w:rPr>
              <w:t>611</w:t>
            </w:r>
          </w:p>
        </w:tc>
        <w:tc>
          <w:tcPr>
            <w:tcW w:w="5812" w:type="dxa"/>
            <w:tcBorders>
              <w:top w:val="nil"/>
              <w:left w:val="nil"/>
              <w:bottom w:val="nil"/>
              <w:right w:val="nil"/>
            </w:tcBorders>
            <w:tcMar>
              <w:top w:w="128" w:type="dxa"/>
              <w:left w:w="43" w:type="dxa"/>
              <w:bottom w:w="43" w:type="dxa"/>
              <w:right w:w="43" w:type="dxa"/>
            </w:tcMar>
          </w:tcPr>
          <w:p w14:paraId="754C5E02" w14:textId="77777777" w:rsidR="00D60186" w:rsidRPr="00815696" w:rsidRDefault="00D60186" w:rsidP="00225D4D">
            <w:pPr>
              <w:rPr>
                <w:sz w:val="21"/>
                <w:szCs w:val="21"/>
              </w:rPr>
            </w:pPr>
            <w:r w:rsidRPr="00815696">
              <w:rPr>
                <w:sz w:val="21"/>
                <w:szCs w:val="21"/>
              </w:rPr>
              <w:t>verne barn mot vald og seksuelle overgrep i saker om samvær og omsorg</w:t>
            </w:r>
          </w:p>
        </w:tc>
        <w:tc>
          <w:tcPr>
            <w:tcW w:w="1480" w:type="dxa"/>
            <w:tcBorders>
              <w:top w:val="nil"/>
              <w:left w:val="nil"/>
              <w:bottom w:val="nil"/>
              <w:right w:val="nil"/>
            </w:tcBorders>
            <w:tcMar>
              <w:top w:w="128" w:type="dxa"/>
              <w:left w:w="43" w:type="dxa"/>
              <w:bottom w:w="43" w:type="dxa"/>
              <w:right w:w="43" w:type="dxa"/>
            </w:tcMar>
          </w:tcPr>
          <w:p w14:paraId="0DBF63A6" w14:textId="77777777" w:rsidR="00D60186" w:rsidRPr="00815696" w:rsidRDefault="00D60186" w:rsidP="00815696">
            <w:pPr>
              <w:jc w:val="right"/>
              <w:rPr>
                <w:sz w:val="21"/>
                <w:szCs w:val="21"/>
              </w:rPr>
            </w:pPr>
            <w:r w:rsidRPr="00815696">
              <w:rPr>
                <w:sz w:val="21"/>
                <w:szCs w:val="21"/>
              </w:rPr>
              <w:t>Ja</w:t>
            </w:r>
          </w:p>
        </w:tc>
      </w:tr>
      <w:tr w:rsidR="00E76DC8" w:rsidRPr="00225D4D" w14:paraId="60DAC151"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7E77FDEA" w14:textId="77777777" w:rsidR="00D60186" w:rsidRPr="00815696" w:rsidRDefault="00D60186" w:rsidP="00225D4D">
            <w:pPr>
              <w:rPr>
                <w:sz w:val="21"/>
                <w:szCs w:val="21"/>
              </w:rPr>
            </w:pPr>
            <w:r w:rsidRPr="00815696">
              <w:rPr>
                <w:sz w:val="21"/>
                <w:szCs w:val="21"/>
              </w:rPr>
              <w:t>2023–2024</w:t>
            </w:r>
          </w:p>
        </w:tc>
        <w:tc>
          <w:tcPr>
            <w:tcW w:w="1208" w:type="dxa"/>
            <w:tcBorders>
              <w:top w:val="nil"/>
              <w:left w:val="nil"/>
              <w:bottom w:val="nil"/>
              <w:right w:val="nil"/>
            </w:tcBorders>
            <w:tcMar>
              <w:top w:w="128" w:type="dxa"/>
              <w:left w:w="43" w:type="dxa"/>
              <w:bottom w:w="43" w:type="dxa"/>
              <w:right w:w="43" w:type="dxa"/>
            </w:tcMar>
          </w:tcPr>
          <w:p w14:paraId="5C54EAC7" w14:textId="77777777" w:rsidR="00D60186" w:rsidRPr="00815696" w:rsidRDefault="00D60186" w:rsidP="00815696">
            <w:pPr>
              <w:ind w:right="113"/>
              <w:jc w:val="right"/>
              <w:rPr>
                <w:sz w:val="21"/>
                <w:szCs w:val="21"/>
              </w:rPr>
            </w:pPr>
            <w:r w:rsidRPr="00815696">
              <w:rPr>
                <w:sz w:val="21"/>
                <w:szCs w:val="21"/>
              </w:rPr>
              <w:t>615</w:t>
            </w:r>
          </w:p>
        </w:tc>
        <w:tc>
          <w:tcPr>
            <w:tcW w:w="5812" w:type="dxa"/>
            <w:tcBorders>
              <w:top w:val="nil"/>
              <w:left w:val="nil"/>
              <w:bottom w:val="nil"/>
              <w:right w:val="nil"/>
            </w:tcBorders>
            <w:tcMar>
              <w:top w:w="128" w:type="dxa"/>
              <w:left w:w="43" w:type="dxa"/>
              <w:bottom w:w="43" w:type="dxa"/>
              <w:right w:w="43" w:type="dxa"/>
            </w:tcMar>
          </w:tcPr>
          <w:p w14:paraId="40BFACEF" w14:textId="77777777" w:rsidR="00D60186" w:rsidRPr="00815696" w:rsidRDefault="00D60186" w:rsidP="00225D4D">
            <w:pPr>
              <w:rPr>
                <w:sz w:val="21"/>
                <w:szCs w:val="21"/>
              </w:rPr>
            </w:pPr>
            <w:r w:rsidRPr="00815696">
              <w:rPr>
                <w:sz w:val="21"/>
                <w:szCs w:val="21"/>
              </w:rPr>
              <w:t>reisekostnader til krisesenter</w:t>
            </w:r>
          </w:p>
        </w:tc>
        <w:tc>
          <w:tcPr>
            <w:tcW w:w="1480" w:type="dxa"/>
            <w:tcBorders>
              <w:top w:val="nil"/>
              <w:left w:val="nil"/>
              <w:bottom w:val="nil"/>
              <w:right w:val="nil"/>
            </w:tcBorders>
            <w:tcMar>
              <w:top w:w="128" w:type="dxa"/>
              <w:left w:w="43" w:type="dxa"/>
              <w:bottom w:w="43" w:type="dxa"/>
              <w:right w:w="43" w:type="dxa"/>
            </w:tcMar>
          </w:tcPr>
          <w:p w14:paraId="145A2218" w14:textId="77777777" w:rsidR="00D60186" w:rsidRPr="00815696" w:rsidRDefault="00D60186" w:rsidP="00815696">
            <w:pPr>
              <w:jc w:val="right"/>
              <w:rPr>
                <w:sz w:val="21"/>
                <w:szCs w:val="21"/>
              </w:rPr>
            </w:pPr>
            <w:r w:rsidRPr="00815696">
              <w:rPr>
                <w:sz w:val="21"/>
                <w:szCs w:val="21"/>
              </w:rPr>
              <w:t>Nei</w:t>
            </w:r>
          </w:p>
        </w:tc>
      </w:tr>
      <w:tr w:rsidR="00E76DC8" w:rsidRPr="00225D4D" w14:paraId="226B256D"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43372F05" w14:textId="77777777" w:rsidR="00D60186" w:rsidRPr="00815696" w:rsidRDefault="00D60186" w:rsidP="00225D4D">
            <w:pPr>
              <w:rPr>
                <w:sz w:val="21"/>
                <w:szCs w:val="21"/>
              </w:rPr>
            </w:pPr>
            <w:r w:rsidRPr="00815696">
              <w:rPr>
                <w:sz w:val="21"/>
                <w:szCs w:val="21"/>
              </w:rPr>
              <w:t>2022–2023</w:t>
            </w:r>
          </w:p>
        </w:tc>
        <w:tc>
          <w:tcPr>
            <w:tcW w:w="1208" w:type="dxa"/>
            <w:tcBorders>
              <w:top w:val="nil"/>
              <w:left w:val="nil"/>
              <w:bottom w:val="nil"/>
              <w:right w:val="nil"/>
            </w:tcBorders>
            <w:tcMar>
              <w:top w:w="128" w:type="dxa"/>
              <w:left w:w="43" w:type="dxa"/>
              <w:bottom w:w="43" w:type="dxa"/>
              <w:right w:w="43" w:type="dxa"/>
            </w:tcMar>
          </w:tcPr>
          <w:p w14:paraId="3713B08D" w14:textId="77777777" w:rsidR="00D60186" w:rsidRPr="00815696" w:rsidRDefault="00D60186" w:rsidP="00815696">
            <w:pPr>
              <w:ind w:right="113"/>
              <w:jc w:val="right"/>
              <w:rPr>
                <w:sz w:val="21"/>
                <w:szCs w:val="21"/>
              </w:rPr>
            </w:pPr>
            <w:r w:rsidRPr="00815696">
              <w:rPr>
                <w:sz w:val="21"/>
                <w:szCs w:val="21"/>
              </w:rPr>
              <w:t>138</w:t>
            </w:r>
          </w:p>
        </w:tc>
        <w:tc>
          <w:tcPr>
            <w:tcW w:w="5812" w:type="dxa"/>
            <w:tcBorders>
              <w:top w:val="nil"/>
              <w:left w:val="nil"/>
              <w:bottom w:val="nil"/>
              <w:right w:val="nil"/>
            </w:tcBorders>
            <w:tcMar>
              <w:top w:w="128" w:type="dxa"/>
              <w:left w:w="43" w:type="dxa"/>
              <w:bottom w:w="43" w:type="dxa"/>
              <w:right w:w="43" w:type="dxa"/>
            </w:tcMar>
          </w:tcPr>
          <w:p w14:paraId="0968F3FB" w14:textId="77777777" w:rsidR="00D60186" w:rsidRPr="00815696" w:rsidRDefault="00D60186" w:rsidP="00225D4D">
            <w:pPr>
              <w:rPr>
                <w:sz w:val="21"/>
                <w:szCs w:val="21"/>
              </w:rPr>
            </w:pPr>
            <w:r w:rsidRPr="00815696">
              <w:rPr>
                <w:sz w:val="21"/>
                <w:szCs w:val="21"/>
              </w:rPr>
              <w:t>meldeplikt om barn på skjult og sperra adresse</w:t>
            </w:r>
          </w:p>
        </w:tc>
        <w:tc>
          <w:tcPr>
            <w:tcW w:w="1480" w:type="dxa"/>
            <w:tcBorders>
              <w:top w:val="nil"/>
              <w:left w:val="nil"/>
              <w:bottom w:val="nil"/>
              <w:right w:val="nil"/>
            </w:tcBorders>
            <w:tcMar>
              <w:top w:w="128" w:type="dxa"/>
              <w:left w:w="43" w:type="dxa"/>
              <w:bottom w:w="43" w:type="dxa"/>
              <w:right w:w="43" w:type="dxa"/>
            </w:tcMar>
          </w:tcPr>
          <w:p w14:paraId="1A64A719" w14:textId="77777777" w:rsidR="00D60186" w:rsidRPr="00815696" w:rsidRDefault="00D60186" w:rsidP="00815696">
            <w:pPr>
              <w:jc w:val="right"/>
              <w:rPr>
                <w:sz w:val="21"/>
                <w:szCs w:val="21"/>
              </w:rPr>
            </w:pPr>
            <w:r w:rsidRPr="00815696">
              <w:rPr>
                <w:sz w:val="21"/>
                <w:szCs w:val="21"/>
              </w:rPr>
              <w:t>Ja</w:t>
            </w:r>
          </w:p>
        </w:tc>
      </w:tr>
      <w:tr w:rsidR="00E76DC8" w:rsidRPr="00225D4D" w14:paraId="7C5EC790"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03879B0C" w14:textId="77777777" w:rsidR="00D60186" w:rsidRPr="00815696" w:rsidRDefault="00D60186" w:rsidP="00225D4D">
            <w:pPr>
              <w:rPr>
                <w:sz w:val="21"/>
                <w:szCs w:val="21"/>
              </w:rPr>
            </w:pPr>
            <w:r w:rsidRPr="00815696">
              <w:rPr>
                <w:sz w:val="21"/>
                <w:szCs w:val="21"/>
              </w:rPr>
              <w:t>2022–2023</w:t>
            </w:r>
          </w:p>
        </w:tc>
        <w:tc>
          <w:tcPr>
            <w:tcW w:w="1208" w:type="dxa"/>
            <w:tcBorders>
              <w:top w:val="nil"/>
              <w:left w:val="nil"/>
              <w:bottom w:val="nil"/>
              <w:right w:val="nil"/>
            </w:tcBorders>
            <w:tcMar>
              <w:top w:w="128" w:type="dxa"/>
              <w:left w:w="43" w:type="dxa"/>
              <w:bottom w:w="43" w:type="dxa"/>
              <w:right w:w="43" w:type="dxa"/>
            </w:tcMar>
          </w:tcPr>
          <w:p w14:paraId="0453C3AD" w14:textId="77777777" w:rsidR="00D60186" w:rsidRPr="00815696" w:rsidRDefault="00D60186" w:rsidP="00815696">
            <w:pPr>
              <w:ind w:right="113"/>
              <w:jc w:val="right"/>
              <w:rPr>
                <w:sz w:val="21"/>
                <w:szCs w:val="21"/>
              </w:rPr>
            </w:pPr>
            <w:r w:rsidRPr="00815696">
              <w:rPr>
                <w:sz w:val="21"/>
                <w:szCs w:val="21"/>
              </w:rPr>
              <w:t>782</w:t>
            </w:r>
          </w:p>
        </w:tc>
        <w:tc>
          <w:tcPr>
            <w:tcW w:w="5812" w:type="dxa"/>
            <w:tcBorders>
              <w:top w:val="nil"/>
              <w:left w:val="nil"/>
              <w:bottom w:val="nil"/>
              <w:right w:val="nil"/>
            </w:tcBorders>
            <w:tcMar>
              <w:top w:w="128" w:type="dxa"/>
              <w:left w:w="43" w:type="dxa"/>
              <w:bottom w:w="43" w:type="dxa"/>
              <w:right w:w="43" w:type="dxa"/>
            </w:tcMar>
          </w:tcPr>
          <w:p w14:paraId="1C866CB0" w14:textId="77777777" w:rsidR="00D60186" w:rsidRPr="00815696" w:rsidRDefault="00D60186" w:rsidP="00225D4D">
            <w:pPr>
              <w:rPr>
                <w:sz w:val="21"/>
                <w:szCs w:val="21"/>
              </w:rPr>
            </w:pPr>
            <w:proofErr w:type="spellStart"/>
            <w:r w:rsidRPr="00815696">
              <w:rPr>
                <w:sz w:val="21"/>
                <w:szCs w:val="21"/>
              </w:rPr>
              <w:t>krisesentertilbod</w:t>
            </w:r>
            <w:proofErr w:type="spellEnd"/>
            <w:r w:rsidRPr="00815696">
              <w:rPr>
                <w:sz w:val="21"/>
                <w:szCs w:val="21"/>
              </w:rPr>
              <w:t xml:space="preserve"> til </w:t>
            </w:r>
            <w:proofErr w:type="gramStart"/>
            <w:r w:rsidRPr="00815696">
              <w:rPr>
                <w:sz w:val="21"/>
                <w:szCs w:val="21"/>
              </w:rPr>
              <w:t>utsette</w:t>
            </w:r>
            <w:proofErr w:type="gramEnd"/>
            <w:r w:rsidRPr="00815696">
              <w:rPr>
                <w:sz w:val="21"/>
                <w:szCs w:val="21"/>
              </w:rPr>
              <w:t xml:space="preserve"> grupper</w:t>
            </w:r>
          </w:p>
        </w:tc>
        <w:tc>
          <w:tcPr>
            <w:tcW w:w="1480" w:type="dxa"/>
            <w:tcBorders>
              <w:top w:val="nil"/>
              <w:left w:val="nil"/>
              <w:bottom w:val="nil"/>
              <w:right w:val="nil"/>
            </w:tcBorders>
            <w:tcMar>
              <w:top w:w="128" w:type="dxa"/>
              <w:left w:w="43" w:type="dxa"/>
              <w:bottom w:w="43" w:type="dxa"/>
              <w:right w:w="43" w:type="dxa"/>
            </w:tcMar>
          </w:tcPr>
          <w:p w14:paraId="6C044F30" w14:textId="77777777" w:rsidR="00D60186" w:rsidRPr="00815696" w:rsidRDefault="00D60186" w:rsidP="00815696">
            <w:pPr>
              <w:jc w:val="right"/>
              <w:rPr>
                <w:sz w:val="21"/>
                <w:szCs w:val="21"/>
              </w:rPr>
            </w:pPr>
            <w:r w:rsidRPr="00815696">
              <w:rPr>
                <w:sz w:val="21"/>
                <w:szCs w:val="21"/>
              </w:rPr>
              <w:t>Ja</w:t>
            </w:r>
          </w:p>
        </w:tc>
      </w:tr>
      <w:tr w:rsidR="00E76DC8" w:rsidRPr="00225D4D" w14:paraId="0B85D0C9"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5B1AEB81" w14:textId="77777777" w:rsidR="00D60186" w:rsidRPr="00815696" w:rsidRDefault="00D60186" w:rsidP="00225D4D">
            <w:pPr>
              <w:rPr>
                <w:sz w:val="21"/>
                <w:szCs w:val="21"/>
              </w:rPr>
            </w:pPr>
            <w:r w:rsidRPr="00815696">
              <w:rPr>
                <w:sz w:val="21"/>
                <w:szCs w:val="21"/>
              </w:rPr>
              <w:t>2022–2023</w:t>
            </w:r>
          </w:p>
        </w:tc>
        <w:tc>
          <w:tcPr>
            <w:tcW w:w="1208" w:type="dxa"/>
            <w:tcBorders>
              <w:top w:val="nil"/>
              <w:left w:val="nil"/>
              <w:bottom w:val="nil"/>
              <w:right w:val="nil"/>
            </w:tcBorders>
            <w:tcMar>
              <w:top w:w="128" w:type="dxa"/>
              <w:left w:w="43" w:type="dxa"/>
              <w:bottom w:w="43" w:type="dxa"/>
              <w:right w:w="43" w:type="dxa"/>
            </w:tcMar>
          </w:tcPr>
          <w:p w14:paraId="32C98802" w14:textId="77777777" w:rsidR="00D60186" w:rsidRPr="00815696" w:rsidRDefault="00D60186" w:rsidP="00815696">
            <w:pPr>
              <w:ind w:right="113"/>
              <w:jc w:val="right"/>
              <w:rPr>
                <w:sz w:val="21"/>
                <w:szCs w:val="21"/>
              </w:rPr>
            </w:pPr>
            <w:r w:rsidRPr="00815696">
              <w:rPr>
                <w:sz w:val="21"/>
                <w:szCs w:val="21"/>
              </w:rPr>
              <w:t>783</w:t>
            </w:r>
          </w:p>
        </w:tc>
        <w:tc>
          <w:tcPr>
            <w:tcW w:w="5812" w:type="dxa"/>
            <w:tcBorders>
              <w:top w:val="nil"/>
              <w:left w:val="nil"/>
              <w:bottom w:val="nil"/>
              <w:right w:val="nil"/>
            </w:tcBorders>
            <w:tcMar>
              <w:top w:w="128" w:type="dxa"/>
              <w:left w:w="43" w:type="dxa"/>
              <w:bottom w:w="43" w:type="dxa"/>
              <w:right w:w="43" w:type="dxa"/>
            </w:tcMar>
          </w:tcPr>
          <w:p w14:paraId="78738DE3" w14:textId="77777777" w:rsidR="00D60186" w:rsidRPr="00815696" w:rsidRDefault="00D60186" w:rsidP="00225D4D">
            <w:pPr>
              <w:rPr>
                <w:sz w:val="21"/>
                <w:szCs w:val="21"/>
              </w:rPr>
            </w:pPr>
            <w:proofErr w:type="spellStart"/>
            <w:r w:rsidRPr="00815696">
              <w:rPr>
                <w:sz w:val="21"/>
                <w:szCs w:val="21"/>
              </w:rPr>
              <w:t>rettleiingar</w:t>
            </w:r>
            <w:proofErr w:type="spellEnd"/>
            <w:r w:rsidRPr="00815696">
              <w:rPr>
                <w:sz w:val="21"/>
                <w:szCs w:val="21"/>
              </w:rPr>
              <w:t xml:space="preserve"> om </w:t>
            </w:r>
            <w:proofErr w:type="spellStart"/>
            <w:r w:rsidRPr="00815696">
              <w:rPr>
                <w:sz w:val="21"/>
                <w:szCs w:val="21"/>
              </w:rPr>
              <w:t>krisesentertilbod</w:t>
            </w:r>
            <w:proofErr w:type="spellEnd"/>
          </w:p>
        </w:tc>
        <w:tc>
          <w:tcPr>
            <w:tcW w:w="1480" w:type="dxa"/>
            <w:tcBorders>
              <w:top w:val="nil"/>
              <w:left w:val="nil"/>
              <w:bottom w:val="nil"/>
              <w:right w:val="nil"/>
            </w:tcBorders>
            <w:tcMar>
              <w:top w:w="128" w:type="dxa"/>
              <w:left w:w="43" w:type="dxa"/>
              <w:bottom w:w="43" w:type="dxa"/>
              <w:right w:w="43" w:type="dxa"/>
            </w:tcMar>
          </w:tcPr>
          <w:p w14:paraId="04174384" w14:textId="77777777" w:rsidR="00D60186" w:rsidRPr="00815696" w:rsidRDefault="00D60186" w:rsidP="00815696">
            <w:pPr>
              <w:jc w:val="right"/>
              <w:rPr>
                <w:sz w:val="21"/>
                <w:szCs w:val="21"/>
              </w:rPr>
            </w:pPr>
            <w:r w:rsidRPr="00815696">
              <w:rPr>
                <w:sz w:val="21"/>
                <w:szCs w:val="21"/>
              </w:rPr>
              <w:t>Ja</w:t>
            </w:r>
          </w:p>
        </w:tc>
      </w:tr>
      <w:tr w:rsidR="00E76DC8" w:rsidRPr="00225D4D" w14:paraId="0AC2CCFA"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27A75A7B" w14:textId="77777777" w:rsidR="00D60186" w:rsidRPr="00815696" w:rsidRDefault="00D60186" w:rsidP="00225D4D">
            <w:pPr>
              <w:rPr>
                <w:sz w:val="21"/>
                <w:szCs w:val="21"/>
              </w:rPr>
            </w:pPr>
            <w:r w:rsidRPr="00815696">
              <w:rPr>
                <w:sz w:val="21"/>
                <w:szCs w:val="21"/>
              </w:rPr>
              <w:t>2021–2022</w:t>
            </w:r>
          </w:p>
        </w:tc>
        <w:tc>
          <w:tcPr>
            <w:tcW w:w="1208" w:type="dxa"/>
            <w:tcBorders>
              <w:top w:val="nil"/>
              <w:left w:val="nil"/>
              <w:bottom w:val="nil"/>
              <w:right w:val="nil"/>
            </w:tcBorders>
            <w:tcMar>
              <w:top w:w="128" w:type="dxa"/>
              <w:left w:w="43" w:type="dxa"/>
              <w:bottom w:w="43" w:type="dxa"/>
              <w:right w:w="43" w:type="dxa"/>
            </w:tcMar>
          </w:tcPr>
          <w:p w14:paraId="5A46E1A5" w14:textId="77777777" w:rsidR="00D60186" w:rsidRPr="00815696" w:rsidRDefault="00D60186" w:rsidP="00815696">
            <w:pPr>
              <w:ind w:right="113"/>
              <w:jc w:val="right"/>
              <w:rPr>
                <w:sz w:val="21"/>
                <w:szCs w:val="21"/>
              </w:rPr>
            </w:pPr>
            <w:r w:rsidRPr="00815696">
              <w:rPr>
                <w:sz w:val="21"/>
                <w:szCs w:val="21"/>
              </w:rPr>
              <w:t>404</w:t>
            </w:r>
          </w:p>
        </w:tc>
        <w:tc>
          <w:tcPr>
            <w:tcW w:w="5812" w:type="dxa"/>
            <w:tcBorders>
              <w:top w:val="nil"/>
              <w:left w:val="nil"/>
              <w:bottom w:val="nil"/>
              <w:right w:val="nil"/>
            </w:tcBorders>
            <w:tcMar>
              <w:top w:w="128" w:type="dxa"/>
              <w:left w:w="43" w:type="dxa"/>
              <w:bottom w:w="43" w:type="dxa"/>
              <w:right w:w="43" w:type="dxa"/>
            </w:tcMar>
          </w:tcPr>
          <w:p w14:paraId="6C4B6349" w14:textId="77777777" w:rsidR="00D60186" w:rsidRPr="00815696" w:rsidRDefault="00D60186" w:rsidP="00225D4D">
            <w:pPr>
              <w:rPr>
                <w:sz w:val="21"/>
                <w:szCs w:val="21"/>
              </w:rPr>
            </w:pPr>
            <w:proofErr w:type="spellStart"/>
            <w:r w:rsidRPr="00815696">
              <w:rPr>
                <w:sz w:val="21"/>
                <w:szCs w:val="21"/>
              </w:rPr>
              <w:t>offentleg</w:t>
            </w:r>
            <w:proofErr w:type="spellEnd"/>
            <w:r w:rsidRPr="00815696">
              <w:rPr>
                <w:sz w:val="21"/>
                <w:szCs w:val="21"/>
              </w:rPr>
              <w:t xml:space="preserve"> plikt til å tilby </w:t>
            </w:r>
            <w:proofErr w:type="spellStart"/>
            <w:r w:rsidRPr="00815696">
              <w:rPr>
                <w:sz w:val="21"/>
                <w:szCs w:val="21"/>
              </w:rPr>
              <w:t>tverrfagleg</w:t>
            </w:r>
            <w:proofErr w:type="spellEnd"/>
            <w:r w:rsidRPr="00815696">
              <w:rPr>
                <w:sz w:val="21"/>
                <w:szCs w:val="21"/>
              </w:rPr>
              <w:t xml:space="preserve"> helsekartlegging </w:t>
            </w:r>
          </w:p>
        </w:tc>
        <w:tc>
          <w:tcPr>
            <w:tcW w:w="1480" w:type="dxa"/>
            <w:tcBorders>
              <w:top w:val="nil"/>
              <w:left w:val="nil"/>
              <w:bottom w:val="nil"/>
              <w:right w:val="nil"/>
            </w:tcBorders>
            <w:tcMar>
              <w:top w:w="128" w:type="dxa"/>
              <w:left w:w="43" w:type="dxa"/>
              <w:bottom w:w="43" w:type="dxa"/>
              <w:right w:w="43" w:type="dxa"/>
            </w:tcMar>
          </w:tcPr>
          <w:p w14:paraId="232CDA63" w14:textId="77777777" w:rsidR="00D60186" w:rsidRPr="00815696" w:rsidRDefault="00D60186" w:rsidP="00815696">
            <w:pPr>
              <w:jc w:val="right"/>
              <w:rPr>
                <w:sz w:val="21"/>
                <w:szCs w:val="21"/>
              </w:rPr>
            </w:pPr>
            <w:r w:rsidRPr="00815696">
              <w:rPr>
                <w:sz w:val="21"/>
                <w:szCs w:val="21"/>
              </w:rPr>
              <w:t>Ja</w:t>
            </w:r>
          </w:p>
        </w:tc>
      </w:tr>
      <w:tr w:rsidR="00E76DC8" w:rsidRPr="00225D4D" w14:paraId="08D80AC5"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6E3E5175" w14:textId="77777777" w:rsidR="00D60186" w:rsidRPr="00815696" w:rsidRDefault="00D60186" w:rsidP="00225D4D">
            <w:pPr>
              <w:rPr>
                <w:sz w:val="21"/>
                <w:szCs w:val="21"/>
              </w:rPr>
            </w:pPr>
            <w:r w:rsidRPr="00815696">
              <w:rPr>
                <w:sz w:val="21"/>
                <w:szCs w:val="21"/>
              </w:rPr>
              <w:t>2021–2022</w:t>
            </w:r>
          </w:p>
        </w:tc>
        <w:tc>
          <w:tcPr>
            <w:tcW w:w="1208" w:type="dxa"/>
            <w:tcBorders>
              <w:top w:val="nil"/>
              <w:left w:val="nil"/>
              <w:bottom w:val="nil"/>
              <w:right w:val="nil"/>
            </w:tcBorders>
            <w:tcMar>
              <w:top w:w="128" w:type="dxa"/>
              <w:left w:w="43" w:type="dxa"/>
              <w:bottom w:w="43" w:type="dxa"/>
              <w:right w:w="43" w:type="dxa"/>
            </w:tcMar>
          </w:tcPr>
          <w:p w14:paraId="67C7F002" w14:textId="77777777" w:rsidR="00D60186" w:rsidRPr="00815696" w:rsidRDefault="00D60186" w:rsidP="00815696">
            <w:pPr>
              <w:ind w:right="113"/>
              <w:jc w:val="right"/>
              <w:rPr>
                <w:sz w:val="21"/>
                <w:szCs w:val="21"/>
              </w:rPr>
            </w:pPr>
            <w:r w:rsidRPr="00815696">
              <w:rPr>
                <w:sz w:val="21"/>
                <w:szCs w:val="21"/>
              </w:rPr>
              <w:t>592</w:t>
            </w:r>
          </w:p>
        </w:tc>
        <w:tc>
          <w:tcPr>
            <w:tcW w:w="5812" w:type="dxa"/>
            <w:tcBorders>
              <w:top w:val="nil"/>
              <w:left w:val="nil"/>
              <w:bottom w:val="nil"/>
              <w:right w:val="nil"/>
            </w:tcBorders>
            <w:tcMar>
              <w:top w:w="128" w:type="dxa"/>
              <w:left w:w="43" w:type="dxa"/>
              <w:bottom w:w="43" w:type="dxa"/>
              <w:right w:w="43" w:type="dxa"/>
            </w:tcMar>
          </w:tcPr>
          <w:p w14:paraId="7C4F7C53" w14:textId="77777777" w:rsidR="00D60186" w:rsidRPr="00815696" w:rsidRDefault="00D60186" w:rsidP="00225D4D">
            <w:pPr>
              <w:rPr>
                <w:sz w:val="21"/>
                <w:szCs w:val="21"/>
              </w:rPr>
            </w:pPr>
            <w:proofErr w:type="spellStart"/>
            <w:r w:rsidRPr="00815696">
              <w:rPr>
                <w:sz w:val="21"/>
                <w:szCs w:val="21"/>
              </w:rPr>
              <w:t>krisesentertilbod</w:t>
            </w:r>
            <w:proofErr w:type="spellEnd"/>
            <w:r w:rsidRPr="00815696">
              <w:rPr>
                <w:sz w:val="21"/>
                <w:szCs w:val="21"/>
              </w:rPr>
              <w:t xml:space="preserve"> til den samiske urbefolkninga</w:t>
            </w:r>
          </w:p>
        </w:tc>
        <w:tc>
          <w:tcPr>
            <w:tcW w:w="1480" w:type="dxa"/>
            <w:tcBorders>
              <w:top w:val="nil"/>
              <w:left w:val="nil"/>
              <w:bottom w:val="nil"/>
              <w:right w:val="nil"/>
            </w:tcBorders>
            <w:tcMar>
              <w:top w:w="128" w:type="dxa"/>
              <w:left w:w="43" w:type="dxa"/>
              <w:bottom w:w="43" w:type="dxa"/>
              <w:right w:w="43" w:type="dxa"/>
            </w:tcMar>
          </w:tcPr>
          <w:p w14:paraId="1061892C" w14:textId="77777777" w:rsidR="00D60186" w:rsidRPr="00815696" w:rsidRDefault="00D60186" w:rsidP="00815696">
            <w:pPr>
              <w:jc w:val="right"/>
              <w:rPr>
                <w:sz w:val="21"/>
                <w:szCs w:val="21"/>
              </w:rPr>
            </w:pPr>
            <w:r w:rsidRPr="00815696">
              <w:rPr>
                <w:sz w:val="21"/>
                <w:szCs w:val="21"/>
              </w:rPr>
              <w:t>Ja</w:t>
            </w:r>
          </w:p>
        </w:tc>
      </w:tr>
      <w:tr w:rsidR="00E76DC8" w:rsidRPr="00225D4D" w14:paraId="6151FD6E"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6321DA5E" w14:textId="77777777" w:rsidR="00D60186" w:rsidRPr="00815696" w:rsidRDefault="00D60186" w:rsidP="00225D4D">
            <w:pPr>
              <w:rPr>
                <w:sz w:val="21"/>
                <w:szCs w:val="21"/>
              </w:rPr>
            </w:pPr>
            <w:r w:rsidRPr="00815696">
              <w:rPr>
                <w:sz w:val="21"/>
                <w:szCs w:val="21"/>
              </w:rPr>
              <w:t>2021–2022</w:t>
            </w:r>
          </w:p>
        </w:tc>
        <w:tc>
          <w:tcPr>
            <w:tcW w:w="1208" w:type="dxa"/>
            <w:tcBorders>
              <w:top w:val="nil"/>
              <w:left w:val="nil"/>
              <w:bottom w:val="nil"/>
              <w:right w:val="nil"/>
            </w:tcBorders>
            <w:tcMar>
              <w:top w:w="128" w:type="dxa"/>
              <w:left w:w="43" w:type="dxa"/>
              <w:bottom w:w="43" w:type="dxa"/>
              <w:right w:w="43" w:type="dxa"/>
            </w:tcMar>
          </w:tcPr>
          <w:p w14:paraId="24C327D5" w14:textId="77777777" w:rsidR="00D60186" w:rsidRPr="00815696" w:rsidRDefault="00D60186" w:rsidP="00815696">
            <w:pPr>
              <w:ind w:right="113"/>
              <w:jc w:val="right"/>
              <w:rPr>
                <w:sz w:val="21"/>
                <w:szCs w:val="21"/>
              </w:rPr>
            </w:pPr>
            <w:r w:rsidRPr="00815696">
              <w:rPr>
                <w:sz w:val="21"/>
                <w:szCs w:val="21"/>
              </w:rPr>
              <w:t>620</w:t>
            </w:r>
          </w:p>
        </w:tc>
        <w:tc>
          <w:tcPr>
            <w:tcW w:w="5812" w:type="dxa"/>
            <w:tcBorders>
              <w:top w:val="nil"/>
              <w:left w:val="nil"/>
              <w:bottom w:val="nil"/>
              <w:right w:val="nil"/>
            </w:tcBorders>
            <w:tcMar>
              <w:top w:w="128" w:type="dxa"/>
              <w:left w:w="43" w:type="dxa"/>
              <w:bottom w:w="43" w:type="dxa"/>
              <w:right w:w="43" w:type="dxa"/>
            </w:tcMar>
          </w:tcPr>
          <w:p w14:paraId="6DDBEE7E" w14:textId="77777777" w:rsidR="00D60186" w:rsidRPr="00815696" w:rsidRDefault="00D60186" w:rsidP="00225D4D">
            <w:pPr>
              <w:rPr>
                <w:sz w:val="21"/>
                <w:szCs w:val="21"/>
              </w:rPr>
            </w:pPr>
            <w:r w:rsidRPr="00815696">
              <w:rPr>
                <w:sz w:val="21"/>
                <w:szCs w:val="21"/>
              </w:rPr>
              <w:t>utvide ordninga for gjeldsinformasjon («gjeldsregister»)</w:t>
            </w:r>
          </w:p>
        </w:tc>
        <w:tc>
          <w:tcPr>
            <w:tcW w:w="1480" w:type="dxa"/>
            <w:tcBorders>
              <w:top w:val="nil"/>
              <w:left w:val="nil"/>
              <w:bottom w:val="nil"/>
              <w:right w:val="nil"/>
            </w:tcBorders>
            <w:tcMar>
              <w:top w:w="128" w:type="dxa"/>
              <w:left w:w="43" w:type="dxa"/>
              <w:bottom w:w="43" w:type="dxa"/>
              <w:right w:w="43" w:type="dxa"/>
            </w:tcMar>
          </w:tcPr>
          <w:p w14:paraId="295948FE" w14:textId="77777777" w:rsidR="00D60186" w:rsidRPr="00815696" w:rsidRDefault="00D60186" w:rsidP="00815696">
            <w:pPr>
              <w:jc w:val="right"/>
              <w:rPr>
                <w:sz w:val="21"/>
                <w:szCs w:val="21"/>
              </w:rPr>
            </w:pPr>
            <w:r w:rsidRPr="00815696">
              <w:rPr>
                <w:sz w:val="21"/>
                <w:szCs w:val="21"/>
              </w:rPr>
              <w:t>Nei</w:t>
            </w:r>
          </w:p>
        </w:tc>
      </w:tr>
      <w:tr w:rsidR="00E76DC8" w:rsidRPr="00225D4D" w14:paraId="5A19E3AC"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217457E7" w14:textId="77777777" w:rsidR="00D60186" w:rsidRPr="00815696" w:rsidRDefault="00D60186" w:rsidP="00225D4D">
            <w:pPr>
              <w:rPr>
                <w:sz w:val="21"/>
                <w:szCs w:val="21"/>
              </w:rPr>
            </w:pPr>
            <w:r w:rsidRPr="00815696">
              <w:rPr>
                <w:sz w:val="21"/>
                <w:szCs w:val="21"/>
              </w:rPr>
              <w:t>2020–2021</w:t>
            </w:r>
          </w:p>
        </w:tc>
        <w:tc>
          <w:tcPr>
            <w:tcW w:w="1208" w:type="dxa"/>
            <w:tcBorders>
              <w:top w:val="nil"/>
              <w:left w:val="nil"/>
              <w:bottom w:val="nil"/>
              <w:right w:val="nil"/>
            </w:tcBorders>
            <w:tcMar>
              <w:top w:w="128" w:type="dxa"/>
              <w:left w:w="43" w:type="dxa"/>
              <w:bottom w:w="43" w:type="dxa"/>
              <w:right w:w="43" w:type="dxa"/>
            </w:tcMar>
          </w:tcPr>
          <w:p w14:paraId="075D04D3" w14:textId="77777777" w:rsidR="00D60186" w:rsidRPr="00815696" w:rsidRDefault="00D60186" w:rsidP="00815696">
            <w:pPr>
              <w:ind w:right="113"/>
              <w:jc w:val="right"/>
              <w:rPr>
                <w:sz w:val="21"/>
                <w:szCs w:val="21"/>
              </w:rPr>
            </w:pPr>
            <w:r w:rsidRPr="00815696">
              <w:rPr>
                <w:sz w:val="21"/>
                <w:szCs w:val="21"/>
              </w:rPr>
              <w:t>715</w:t>
            </w:r>
          </w:p>
        </w:tc>
        <w:tc>
          <w:tcPr>
            <w:tcW w:w="5812" w:type="dxa"/>
            <w:tcBorders>
              <w:top w:val="nil"/>
              <w:left w:val="nil"/>
              <w:bottom w:val="nil"/>
              <w:right w:val="nil"/>
            </w:tcBorders>
            <w:tcMar>
              <w:top w:w="128" w:type="dxa"/>
              <w:left w:w="43" w:type="dxa"/>
              <w:bottom w:w="43" w:type="dxa"/>
              <w:right w:w="43" w:type="dxa"/>
            </w:tcMar>
          </w:tcPr>
          <w:p w14:paraId="168EC635" w14:textId="77777777" w:rsidR="00D60186" w:rsidRPr="00815696" w:rsidRDefault="00D60186" w:rsidP="00225D4D">
            <w:pPr>
              <w:rPr>
                <w:sz w:val="21"/>
                <w:szCs w:val="21"/>
              </w:rPr>
            </w:pPr>
            <w:r w:rsidRPr="00815696">
              <w:rPr>
                <w:sz w:val="21"/>
                <w:szCs w:val="21"/>
              </w:rPr>
              <w:t xml:space="preserve">justering av </w:t>
            </w:r>
            <w:proofErr w:type="spellStart"/>
            <w:r w:rsidRPr="00815696">
              <w:rPr>
                <w:sz w:val="21"/>
                <w:szCs w:val="21"/>
              </w:rPr>
              <w:t>barnebidragsreglane</w:t>
            </w:r>
            <w:proofErr w:type="spellEnd"/>
            <w:r w:rsidRPr="00815696">
              <w:rPr>
                <w:sz w:val="21"/>
                <w:szCs w:val="21"/>
              </w:rPr>
              <w:t xml:space="preserve"> for å hindre samværshindring </w:t>
            </w:r>
          </w:p>
        </w:tc>
        <w:tc>
          <w:tcPr>
            <w:tcW w:w="1480" w:type="dxa"/>
            <w:tcBorders>
              <w:top w:val="nil"/>
              <w:left w:val="nil"/>
              <w:bottom w:val="nil"/>
              <w:right w:val="nil"/>
            </w:tcBorders>
            <w:tcMar>
              <w:top w:w="128" w:type="dxa"/>
              <w:left w:w="43" w:type="dxa"/>
              <w:bottom w:w="43" w:type="dxa"/>
              <w:right w:w="43" w:type="dxa"/>
            </w:tcMar>
          </w:tcPr>
          <w:p w14:paraId="7E569187" w14:textId="77777777" w:rsidR="00D60186" w:rsidRPr="00815696" w:rsidRDefault="00D60186" w:rsidP="00815696">
            <w:pPr>
              <w:jc w:val="right"/>
              <w:rPr>
                <w:sz w:val="21"/>
                <w:szCs w:val="21"/>
              </w:rPr>
            </w:pPr>
            <w:r w:rsidRPr="00815696">
              <w:rPr>
                <w:sz w:val="21"/>
                <w:szCs w:val="21"/>
              </w:rPr>
              <w:t>Ja</w:t>
            </w:r>
          </w:p>
        </w:tc>
      </w:tr>
      <w:tr w:rsidR="00E76DC8" w:rsidRPr="00225D4D" w14:paraId="749ED8A4"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2E403299" w14:textId="77777777" w:rsidR="00D60186" w:rsidRPr="00815696" w:rsidRDefault="00D60186" w:rsidP="00225D4D">
            <w:pPr>
              <w:rPr>
                <w:sz w:val="21"/>
                <w:szCs w:val="21"/>
              </w:rPr>
            </w:pPr>
            <w:r w:rsidRPr="00815696">
              <w:rPr>
                <w:sz w:val="21"/>
                <w:szCs w:val="21"/>
              </w:rPr>
              <w:t>2020–2021</w:t>
            </w:r>
          </w:p>
        </w:tc>
        <w:tc>
          <w:tcPr>
            <w:tcW w:w="1208" w:type="dxa"/>
            <w:tcBorders>
              <w:top w:val="nil"/>
              <w:left w:val="nil"/>
              <w:bottom w:val="nil"/>
              <w:right w:val="nil"/>
            </w:tcBorders>
            <w:tcMar>
              <w:top w:w="128" w:type="dxa"/>
              <w:left w:w="43" w:type="dxa"/>
              <w:bottom w:w="43" w:type="dxa"/>
              <w:right w:w="43" w:type="dxa"/>
            </w:tcMar>
          </w:tcPr>
          <w:p w14:paraId="6FE1EDBF" w14:textId="77777777" w:rsidR="00D60186" w:rsidRPr="00815696" w:rsidRDefault="00D60186" w:rsidP="00815696">
            <w:pPr>
              <w:ind w:right="113"/>
              <w:jc w:val="right"/>
              <w:rPr>
                <w:sz w:val="21"/>
                <w:szCs w:val="21"/>
              </w:rPr>
            </w:pPr>
            <w:r w:rsidRPr="00815696">
              <w:rPr>
                <w:sz w:val="21"/>
                <w:szCs w:val="21"/>
              </w:rPr>
              <w:t>972</w:t>
            </w:r>
          </w:p>
        </w:tc>
        <w:tc>
          <w:tcPr>
            <w:tcW w:w="5812" w:type="dxa"/>
            <w:tcBorders>
              <w:top w:val="nil"/>
              <w:left w:val="nil"/>
              <w:bottom w:val="nil"/>
              <w:right w:val="nil"/>
            </w:tcBorders>
            <w:tcMar>
              <w:top w:w="128" w:type="dxa"/>
              <w:left w:w="43" w:type="dxa"/>
              <w:bottom w:w="43" w:type="dxa"/>
              <w:right w:w="43" w:type="dxa"/>
            </w:tcMar>
          </w:tcPr>
          <w:p w14:paraId="496AB43E" w14:textId="77777777" w:rsidR="00D60186" w:rsidRPr="00815696" w:rsidRDefault="00D60186" w:rsidP="00225D4D">
            <w:pPr>
              <w:rPr>
                <w:sz w:val="21"/>
                <w:szCs w:val="21"/>
              </w:rPr>
            </w:pPr>
            <w:proofErr w:type="spellStart"/>
            <w:r w:rsidRPr="00815696">
              <w:rPr>
                <w:sz w:val="21"/>
                <w:szCs w:val="21"/>
              </w:rPr>
              <w:t>eigendel</w:t>
            </w:r>
            <w:proofErr w:type="spellEnd"/>
            <w:r w:rsidRPr="00815696">
              <w:rPr>
                <w:sz w:val="21"/>
                <w:szCs w:val="21"/>
              </w:rPr>
              <w:t xml:space="preserve"> for mat i </w:t>
            </w:r>
            <w:proofErr w:type="spellStart"/>
            <w:r w:rsidRPr="00815696">
              <w:rPr>
                <w:sz w:val="21"/>
                <w:szCs w:val="21"/>
              </w:rPr>
              <w:t>krisesentera</w:t>
            </w:r>
            <w:proofErr w:type="spellEnd"/>
          </w:p>
        </w:tc>
        <w:tc>
          <w:tcPr>
            <w:tcW w:w="1480" w:type="dxa"/>
            <w:tcBorders>
              <w:top w:val="nil"/>
              <w:left w:val="nil"/>
              <w:bottom w:val="nil"/>
              <w:right w:val="nil"/>
            </w:tcBorders>
            <w:tcMar>
              <w:top w:w="128" w:type="dxa"/>
              <w:left w:w="43" w:type="dxa"/>
              <w:bottom w:w="43" w:type="dxa"/>
              <w:right w:w="43" w:type="dxa"/>
            </w:tcMar>
          </w:tcPr>
          <w:p w14:paraId="1D91921B" w14:textId="77777777" w:rsidR="00D60186" w:rsidRPr="00815696" w:rsidRDefault="00D60186" w:rsidP="00815696">
            <w:pPr>
              <w:jc w:val="right"/>
              <w:rPr>
                <w:sz w:val="21"/>
                <w:szCs w:val="21"/>
              </w:rPr>
            </w:pPr>
            <w:r w:rsidRPr="00815696">
              <w:rPr>
                <w:sz w:val="21"/>
                <w:szCs w:val="21"/>
              </w:rPr>
              <w:t>Ja</w:t>
            </w:r>
          </w:p>
        </w:tc>
      </w:tr>
      <w:tr w:rsidR="00E76DC8" w:rsidRPr="00225D4D" w14:paraId="45FBCD9C"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0CEA0CAF" w14:textId="77777777" w:rsidR="00D60186" w:rsidRPr="00815696" w:rsidRDefault="00D60186" w:rsidP="00225D4D">
            <w:pPr>
              <w:rPr>
                <w:sz w:val="21"/>
                <w:szCs w:val="21"/>
              </w:rPr>
            </w:pPr>
            <w:r w:rsidRPr="00815696">
              <w:rPr>
                <w:sz w:val="21"/>
                <w:szCs w:val="21"/>
              </w:rPr>
              <w:t>2020–2021</w:t>
            </w:r>
          </w:p>
        </w:tc>
        <w:tc>
          <w:tcPr>
            <w:tcW w:w="1208" w:type="dxa"/>
            <w:tcBorders>
              <w:top w:val="nil"/>
              <w:left w:val="nil"/>
              <w:bottom w:val="nil"/>
              <w:right w:val="nil"/>
            </w:tcBorders>
            <w:tcMar>
              <w:top w:w="128" w:type="dxa"/>
              <w:left w:w="43" w:type="dxa"/>
              <w:bottom w:w="43" w:type="dxa"/>
              <w:right w:w="43" w:type="dxa"/>
            </w:tcMar>
          </w:tcPr>
          <w:p w14:paraId="09F547DB" w14:textId="77777777" w:rsidR="00D60186" w:rsidRPr="00815696" w:rsidRDefault="00D60186" w:rsidP="00815696">
            <w:pPr>
              <w:ind w:right="113"/>
              <w:jc w:val="right"/>
              <w:rPr>
                <w:sz w:val="21"/>
                <w:szCs w:val="21"/>
              </w:rPr>
            </w:pPr>
            <w:r w:rsidRPr="00815696">
              <w:rPr>
                <w:sz w:val="21"/>
                <w:szCs w:val="21"/>
              </w:rPr>
              <w:t>1124</w:t>
            </w:r>
          </w:p>
        </w:tc>
        <w:tc>
          <w:tcPr>
            <w:tcW w:w="5812" w:type="dxa"/>
            <w:tcBorders>
              <w:top w:val="nil"/>
              <w:left w:val="nil"/>
              <w:bottom w:val="nil"/>
              <w:right w:val="nil"/>
            </w:tcBorders>
            <w:tcMar>
              <w:top w:w="128" w:type="dxa"/>
              <w:left w:w="43" w:type="dxa"/>
              <w:bottom w:w="43" w:type="dxa"/>
              <w:right w:w="43" w:type="dxa"/>
            </w:tcMar>
          </w:tcPr>
          <w:p w14:paraId="21D24B77" w14:textId="77777777" w:rsidR="00D60186" w:rsidRPr="00815696" w:rsidRDefault="00D60186" w:rsidP="00225D4D">
            <w:pPr>
              <w:rPr>
                <w:sz w:val="21"/>
                <w:szCs w:val="21"/>
              </w:rPr>
            </w:pPr>
            <w:proofErr w:type="spellStart"/>
            <w:r w:rsidRPr="00815696">
              <w:rPr>
                <w:sz w:val="21"/>
                <w:szCs w:val="21"/>
              </w:rPr>
              <w:t>tverrfagleg</w:t>
            </w:r>
            <w:proofErr w:type="spellEnd"/>
            <w:r w:rsidRPr="00815696">
              <w:rPr>
                <w:sz w:val="21"/>
                <w:szCs w:val="21"/>
              </w:rPr>
              <w:t xml:space="preserve"> kompetanse på rus og vald i </w:t>
            </w:r>
            <w:proofErr w:type="spellStart"/>
            <w:r w:rsidRPr="00815696">
              <w:rPr>
                <w:sz w:val="21"/>
                <w:szCs w:val="21"/>
              </w:rPr>
              <w:t>krisesentera</w:t>
            </w:r>
            <w:proofErr w:type="spellEnd"/>
            <w:r w:rsidRPr="00815696">
              <w:rPr>
                <w:sz w:val="21"/>
                <w:szCs w:val="21"/>
              </w:rPr>
              <w:t xml:space="preserve"> </w:t>
            </w:r>
          </w:p>
        </w:tc>
        <w:tc>
          <w:tcPr>
            <w:tcW w:w="1480" w:type="dxa"/>
            <w:tcBorders>
              <w:top w:val="nil"/>
              <w:left w:val="nil"/>
              <w:bottom w:val="nil"/>
              <w:right w:val="nil"/>
            </w:tcBorders>
            <w:tcMar>
              <w:top w:w="128" w:type="dxa"/>
              <w:left w:w="43" w:type="dxa"/>
              <w:bottom w:w="43" w:type="dxa"/>
              <w:right w:w="43" w:type="dxa"/>
            </w:tcMar>
          </w:tcPr>
          <w:p w14:paraId="1BA5E2D5" w14:textId="77777777" w:rsidR="00D60186" w:rsidRPr="00815696" w:rsidRDefault="00D60186" w:rsidP="00815696">
            <w:pPr>
              <w:jc w:val="right"/>
              <w:rPr>
                <w:sz w:val="21"/>
                <w:szCs w:val="21"/>
              </w:rPr>
            </w:pPr>
            <w:r w:rsidRPr="00815696">
              <w:rPr>
                <w:sz w:val="21"/>
                <w:szCs w:val="21"/>
              </w:rPr>
              <w:t>Ja</w:t>
            </w:r>
          </w:p>
        </w:tc>
      </w:tr>
      <w:tr w:rsidR="00E76DC8" w:rsidRPr="00225D4D" w14:paraId="19A750D6"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680BB768" w14:textId="77777777" w:rsidR="00D60186" w:rsidRPr="00815696" w:rsidRDefault="00D60186" w:rsidP="00225D4D">
            <w:pPr>
              <w:rPr>
                <w:sz w:val="21"/>
                <w:szCs w:val="21"/>
              </w:rPr>
            </w:pPr>
            <w:r w:rsidRPr="00815696">
              <w:rPr>
                <w:sz w:val="21"/>
                <w:szCs w:val="21"/>
              </w:rPr>
              <w:t>2020–2021</w:t>
            </w:r>
          </w:p>
        </w:tc>
        <w:tc>
          <w:tcPr>
            <w:tcW w:w="1208" w:type="dxa"/>
            <w:tcBorders>
              <w:top w:val="nil"/>
              <w:left w:val="nil"/>
              <w:bottom w:val="nil"/>
              <w:right w:val="nil"/>
            </w:tcBorders>
            <w:tcMar>
              <w:top w:w="128" w:type="dxa"/>
              <w:left w:w="43" w:type="dxa"/>
              <w:bottom w:w="43" w:type="dxa"/>
              <w:right w:w="43" w:type="dxa"/>
            </w:tcMar>
          </w:tcPr>
          <w:p w14:paraId="2487F38A" w14:textId="77777777" w:rsidR="00D60186" w:rsidRPr="00815696" w:rsidRDefault="00D60186" w:rsidP="00815696">
            <w:pPr>
              <w:ind w:right="113"/>
              <w:jc w:val="right"/>
              <w:rPr>
                <w:sz w:val="21"/>
                <w:szCs w:val="21"/>
              </w:rPr>
            </w:pPr>
            <w:r w:rsidRPr="00815696">
              <w:rPr>
                <w:sz w:val="21"/>
                <w:szCs w:val="21"/>
              </w:rPr>
              <w:t>1195</w:t>
            </w:r>
          </w:p>
        </w:tc>
        <w:tc>
          <w:tcPr>
            <w:tcW w:w="5812" w:type="dxa"/>
            <w:tcBorders>
              <w:top w:val="nil"/>
              <w:left w:val="nil"/>
              <w:bottom w:val="nil"/>
              <w:right w:val="nil"/>
            </w:tcBorders>
            <w:tcMar>
              <w:top w:w="128" w:type="dxa"/>
              <w:left w:w="43" w:type="dxa"/>
              <w:bottom w:w="43" w:type="dxa"/>
              <w:right w:w="43" w:type="dxa"/>
            </w:tcMar>
          </w:tcPr>
          <w:p w14:paraId="0E96B80C" w14:textId="77777777" w:rsidR="00D60186" w:rsidRPr="00815696" w:rsidRDefault="00D60186" w:rsidP="00225D4D">
            <w:pPr>
              <w:rPr>
                <w:sz w:val="21"/>
                <w:szCs w:val="21"/>
              </w:rPr>
            </w:pPr>
            <w:r w:rsidRPr="00815696">
              <w:rPr>
                <w:sz w:val="21"/>
                <w:szCs w:val="21"/>
              </w:rPr>
              <w:t xml:space="preserve">krav om autorisasjon for </w:t>
            </w:r>
            <w:proofErr w:type="gramStart"/>
            <w:r w:rsidRPr="00815696">
              <w:rPr>
                <w:sz w:val="21"/>
                <w:szCs w:val="21"/>
              </w:rPr>
              <w:t>tilsette</w:t>
            </w:r>
            <w:proofErr w:type="gramEnd"/>
            <w:r w:rsidRPr="00815696">
              <w:rPr>
                <w:sz w:val="21"/>
                <w:szCs w:val="21"/>
              </w:rPr>
              <w:t xml:space="preserve"> som skal jobbe med </w:t>
            </w:r>
            <w:proofErr w:type="spellStart"/>
            <w:r w:rsidRPr="00815696">
              <w:rPr>
                <w:sz w:val="21"/>
                <w:szCs w:val="21"/>
              </w:rPr>
              <w:t>omsorgsovertakingar</w:t>
            </w:r>
            <w:proofErr w:type="spellEnd"/>
          </w:p>
        </w:tc>
        <w:tc>
          <w:tcPr>
            <w:tcW w:w="1480" w:type="dxa"/>
            <w:tcBorders>
              <w:top w:val="nil"/>
              <w:left w:val="nil"/>
              <w:bottom w:val="nil"/>
              <w:right w:val="nil"/>
            </w:tcBorders>
            <w:tcMar>
              <w:top w:w="128" w:type="dxa"/>
              <w:left w:w="43" w:type="dxa"/>
              <w:bottom w:w="43" w:type="dxa"/>
              <w:right w:w="43" w:type="dxa"/>
            </w:tcMar>
          </w:tcPr>
          <w:p w14:paraId="471F5FB4" w14:textId="77777777" w:rsidR="00D60186" w:rsidRPr="00815696" w:rsidRDefault="00D60186" w:rsidP="00815696">
            <w:pPr>
              <w:jc w:val="right"/>
              <w:rPr>
                <w:sz w:val="21"/>
                <w:szCs w:val="21"/>
              </w:rPr>
            </w:pPr>
            <w:r w:rsidRPr="00815696">
              <w:rPr>
                <w:sz w:val="21"/>
                <w:szCs w:val="21"/>
              </w:rPr>
              <w:t>Ja</w:t>
            </w:r>
          </w:p>
        </w:tc>
      </w:tr>
      <w:tr w:rsidR="00E76DC8" w:rsidRPr="00225D4D" w14:paraId="3AF14C70"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42D4F06B" w14:textId="77777777" w:rsidR="00D60186" w:rsidRPr="00815696" w:rsidRDefault="00D60186" w:rsidP="00225D4D">
            <w:pPr>
              <w:rPr>
                <w:sz w:val="21"/>
                <w:szCs w:val="21"/>
              </w:rPr>
            </w:pPr>
            <w:r w:rsidRPr="00815696">
              <w:rPr>
                <w:sz w:val="21"/>
                <w:szCs w:val="21"/>
              </w:rPr>
              <w:t>2020–2021</w:t>
            </w:r>
          </w:p>
        </w:tc>
        <w:tc>
          <w:tcPr>
            <w:tcW w:w="1208" w:type="dxa"/>
            <w:tcBorders>
              <w:top w:val="nil"/>
              <w:left w:val="nil"/>
              <w:bottom w:val="nil"/>
              <w:right w:val="nil"/>
            </w:tcBorders>
            <w:tcMar>
              <w:top w:w="128" w:type="dxa"/>
              <w:left w:w="43" w:type="dxa"/>
              <w:bottom w:w="43" w:type="dxa"/>
              <w:right w:w="43" w:type="dxa"/>
            </w:tcMar>
          </w:tcPr>
          <w:p w14:paraId="7E180811" w14:textId="77777777" w:rsidR="00D60186" w:rsidRPr="00815696" w:rsidRDefault="00D60186" w:rsidP="00815696">
            <w:pPr>
              <w:ind w:right="113"/>
              <w:jc w:val="right"/>
              <w:rPr>
                <w:sz w:val="21"/>
                <w:szCs w:val="21"/>
              </w:rPr>
            </w:pPr>
            <w:r w:rsidRPr="00815696">
              <w:rPr>
                <w:sz w:val="21"/>
                <w:szCs w:val="21"/>
              </w:rPr>
              <w:t>1197</w:t>
            </w:r>
          </w:p>
        </w:tc>
        <w:tc>
          <w:tcPr>
            <w:tcW w:w="5812" w:type="dxa"/>
            <w:tcBorders>
              <w:top w:val="nil"/>
              <w:left w:val="nil"/>
              <w:bottom w:val="nil"/>
              <w:right w:val="nil"/>
            </w:tcBorders>
            <w:tcMar>
              <w:top w:w="128" w:type="dxa"/>
              <w:left w:w="43" w:type="dxa"/>
              <w:bottom w:w="43" w:type="dxa"/>
              <w:right w:w="43" w:type="dxa"/>
            </w:tcMar>
          </w:tcPr>
          <w:p w14:paraId="7AFA7426" w14:textId="77777777" w:rsidR="00D60186" w:rsidRPr="00815696" w:rsidRDefault="00D60186" w:rsidP="00225D4D">
            <w:pPr>
              <w:rPr>
                <w:sz w:val="21"/>
                <w:szCs w:val="21"/>
              </w:rPr>
            </w:pPr>
            <w:r w:rsidRPr="00815696">
              <w:rPr>
                <w:sz w:val="21"/>
                <w:szCs w:val="21"/>
              </w:rPr>
              <w:t>ordning med andrehandsvurdering av akuttvedtak</w:t>
            </w:r>
          </w:p>
        </w:tc>
        <w:tc>
          <w:tcPr>
            <w:tcW w:w="1480" w:type="dxa"/>
            <w:tcBorders>
              <w:top w:val="nil"/>
              <w:left w:val="nil"/>
              <w:bottom w:val="nil"/>
              <w:right w:val="nil"/>
            </w:tcBorders>
            <w:tcMar>
              <w:top w:w="128" w:type="dxa"/>
              <w:left w:w="43" w:type="dxa"/>
              <w:bottom w:w="43" w:type="dxa"/>
              <w:right w:w="43" w:type="dxa"/>
            </w:tcMar>
          </w:tcPr>
          <w:p w14:paraId="7546DF4C" w14:textId="77777777" w:rsidR="00D60186" w:rsidRPr="00815696" w:rsidRDefault="00D60186" w:rsidP="00815696">
            <w:pPr>
              <w:jc w:val="right"/>
              <w:rPr>
                <w:sz w:val="21"/>
                <w:szCs w:val="21"/>
              </w:rPr>
            </w:pPr>
            <w:r w:rsidRPr="00815696">
              <w:rPr>
                <w:sz w:val="21"/>
                <w:szCs w:val="21"/>
              </w:rPr>
              <w:t>Ja</w:t>
            </w:r>
          </w:p>
        </w:tc>
      </w:tr>
      <w:tr w:rsidR="00E76DC8" w:rsidRPr="00225D4D" w14:paraId="61C09BD0"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560E38D5" w14:textId="77777777" w:rsidR="00D60186" w:rsidRPr="00815696" w:rsidRDefault="00D60186" w:rsidP="00225D4D">
            <w:pPr>
              <w:rPr>
                <w:sz w:val="21"/>
                <w:szCs w:val="21"/>
              </w:rPr>
            </w:pPr>
            <w:r w:rsidRPr="00815696">
              <w:rPr>
                <w:sz w:val="21"/>
                <w:szCs w:val="21"/>
              </w:rPr>
              <w:t>2020–2021</w:t>
            </w:r>
          </w:p>
        </w:tc>
        <w:tc>
          <w:tcPr>
            <w:tcW w:w="1208" w:type="dxa"/>
            <w:tcBorders>
              <w:top w:val="nil"/>
              <w:left w:val="nil"/>
              <w:bottom w:val="nil"/>
              <w:right w:val="nil"/>
            </w:tcBorders>
            <w:tcMar>
              <w:top w:w="128" w:type="dxa"/>
              <w:left w:w="43" w:type="dxa"/>
              <w:bottom w:w="43" w:type="dxa"/>
              <w:right w:w="43" w:type="dxa"/>
            </w:tcMar>
          </w:tcPr>
          <w:p w14:paraId="7AA71C8A" w14:textId="77777777" w:rsidR="00D60186" w:rsidRPr="00815696" w:rsidRDefault="00D60186" w:rsidP="00815696">
            <w:pPr>
              <w:ind w:right="113"/>
              <w:jc w:val="right"/>
              <w:rPr>
                <w:sz w:val="21"/>
                <w:szCs w:val="21"/>
              </w:rPr>
            </w:pPr>
            <w:r w:rsidRPr="00815696">
              <w:rPr>
                <w:sz w:val="21"/>
                <w:szCs w:val="21"/>
              </w:rPr>
              <w:t>1198</w:t>
            </w:r>
          </w:p>
        </w:tc>
        <w:tc>
          <w:tcPr>
            <w:tcW w:w="5812" w:type="dxa"/>
            <w:tcBorders>
              <w:top w:val="nil"/>
              <w:left w:val="nil"/>
              <w:bottom w:val="nil"/>
              <w:right w:val="nil"/>
            </w:tcBorders>
            <w:tcMar>
              <w:top w:w="128" w:type="dxa"/>
              <w:left w:w="43" w:type="dxa"/>
              <w:bottom w:w="43" w:type="dxa"/>
              <w:right w:w="43" w:type="dxa"/>
            </w:tcMar>
          </w:tcPr>
          <w:p w14:paraId="77FEE02D" w14:textId="77777777" w:rsidR="00D60186" w:rsidRPr="00815696" w:rsidRDefault="00D60186" w:rsidP="00225D4D">
            <w:pPr>
              <w:rPr>
                <w:sz w:val="21"/>
                <w:szCs w:val="21"/>
              </w:rPr>
            </w:pPr>
            <w:r w:rsidRPr="00815696">
              <w:rPr>
                <w:sz w:val="21"/>
                <w:szCs w:val="21"/>
              </w:rPr>
              <w:t>alternativt omgrep til «</w:t>
            </w:r>
            <w:proofErr w:type="spellStart"/>
            <w:r w:rsidRPr="00815696">
              <w:rPr>
                <w:sz w:val="21"/>
                <w:szCs w:val="21"/>
              </w:rPr>
              <w:t>åtferd</w:t>
            </w:r>
            <w:proofErr w:type="spellEnd"/>
            <w:r w:rsidRPr="00815696">
              <w:rPr>
                <w:sz w:val="21"/>
                <w:szCs w:val="21"/>
              </w:rPr>
              <w:t>» i barnevernslova</w:t>
            </w:r>
          </w:p>
        </w:tc>
        <w:tc>
          <w:tcPr>
            <w:tcW w:w="1480" w:type="dxa"/>
            <w:tcBorders>
              <w:top w:val="nil"/>
              <w:left w:val="nil"/>
              <w:bottom w:val="nil"/>
              <w:right w:val="nil"/>
            </w:tcBorders>
            <w:tcMar>
              <w:top w:w="128" w:type="dxa"/>
              <w:left w:w="43" w:type="dxa"/>
              <w:bottom w:w="43" w:type="dxa"/>
              <w:right w:w="43" w:type="dxa"/>
            </w:tcMar>
          </w:tcPr>
          <w:p w14:paraId="07EB1CE8" w14:textId="77777777" w:rsidR="00D60186" w:rsidRPr="00815696" w:rsidRDefault="00D60186" w:rsidP="00815696">
            <w:pPr>
              <w:jc w:val="right"/>
              <w:rPr>
                <w:sz w:val="21"/>
                <w:szCs w:val="21"/>
              </w:rPr>
            </w:pPr>
            <w:r w:rsidRPr="00815696">
              <w:rPr>
                <w:sz w:val="21"/>
                <w:szCs w:val="21"/>
              </w:rPr>
              <w:t>Ja</w:t>
            </w:r>
          </w:p>
        </w:tc>
      </w:tr>
      <w:tr w:rsidR="00E76DC8" w:rsidRPr="00225D4D" w14:paraId="6A7A5399"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352668DC" w14:textId="77777777" w:rsidR="00D60186" w:rsidRPr="00815696" w:rsidRDefault="00D60186" w:rsidP="00225D4D">
            <w:pPr>
              <w:rPr>
                <w:sz w:val="21"/>
                <w:szCs w:val="21"/>
              </w:rPr>
            </w:pPr>
            <w:r w:rsidRPr="00815696">
              <w:rPr>
                <w:sz w:val="21"/>
                <w:szCs w:val="21"/>
              </w:rPr>
              <w:t>2020–2021</w:t>
            </w:r>
          </w:p>
        </w:tc>
        <w:tc>
          <w:tcPr>
            <w:tcW w:w="1208" w:type="dxa"/>
            <w:tcBorders>
              <w:top w:val="nil"/>
              <w:left w:val="nil"/>
              <w:bottom w:val="nil"/>
              <w:right w:val="nil"/>
            </w:tcBorders>
            <w:tcMar>
              <w:top w:w="128" w:type="dxa"/>
              <w:left w:w="43" w:type="dxa"/>
              <w:bottom w:w="43" w:type="dxa"/>
              <w:right w:w="43" w:type="dxa"/>
            </w:tcMar>
          </w:tcPr>
          <w:p w14:paraId="1D9181C9" w14:textId="77777777" w:rsidR="00D60186" w:rsidRPr="00815696" w:rsidRDefault="00D60186" w:rsidP="00815696">
            <w:pPr>
              <w:ind w:right="113"/>
              <w:jc w:val="right"/>
              <w:rPr>
                <w:sz w:val="21"/>
                <w:szCs w:val="21"/>
              </w:rPr>
            </w:pPr>
            <w:r w:rsidRPr="00815696">
              <w:rPr>
                <w:sz w:val="21"/>
                <w:szCs w:val="21"/>
              </w:rPr>
              <w:t>1201</w:t>
            </w:r>
          </w:p>
        </w:tc>
        <w:tc>
          <w:tcPr>
            <w:tcW w:w="5812" w:type="dxa"/>
            <w:tcBorders>
              <w:top w:val="nil"/>
              <w:left w:val="nil"/>
              <w:bottom w:val="nil"/>
              <w:right w:val="nil"/>
            </w:tcBorders>
            <w:tcMar>
              <w:top w:w="128" w:type="dxa"/>
              <w:left w:w="43" w:type="dxa"/>
              <w:bottom w:w="43" w:type="dxa"/>
              <w:right w:w="43" w:type="dxa"/>
            </w:tcMar>
          </w:tcPr>
          <w:p w14:paraId="722CC8E5" w14:textId="77777777" w:rsidR="00D60186" w:rsidRPr="00815696" w:rsidRDefault="00D60186" w:rsidP="00225D4D">
            <w:pPr>
              <w:rPr>
                <w:sz w:val="21"/>
                <w:szCs w:val="21"/>
              </w:rPr>
            </w:pPr>
            <w:r w:rsidRPr="00815696">
              <w:rPr>
                <w:sz w:val="21"/>
                <w:szCs w:val="21"/>
              </w:rPr>
              <w:t xml:space="preserve">oppfølging av </w:t>
            </w:r>
            <w:proofErr w:type="spellStart"/>
            <w:r w:rsidRPr="00815696">
              <w:rPr>
                <w:sz w:val="21"/>
                <w:szCs w:val="21"/>
              </w:rPr>
              <w:t>tilrådingane</w:t>
            </w:r>
            <w:proofErr w:type="spellEnd"/>
            <w:r w:rsidRPr="00815696">
              <w:rPr>
                <w:sz w:val="21"/>
                <w:szCs w:val="21"/>
              </w:rPr>
              <w:t xml:space="preserve"> </w:t>
            </w:r>
            <w:proofErr w:type="spellStart"/>
            <w:r w:rsidRPr="00815696">
              <w:rPr>
                <w:sz w:val="21"/>
                <w:szCs w:val="21"/>
              </w:rPr>
              <w:t>frå</w:t>
            </w:r>
            <w:proofErr w:type="spellEnd"/>
            <w:r w:rsidRPr="00815696">
              <w:rPr>
                <w:sz w:val="21"/>
                <w:szCs w:val="21"/>
              </w:rPr>
              <w:t xml:space="preserve"> </w:t>
            </w:r>
            <w:proofErr w:type="spellStart"/>
            <w:r w:rsidRPr="00815696">
              <w:rPr>
                <w:sz w:val="21"/>
                <w:szCs w:val="21"/>
              </w:rPr>
              <w:t>rettstryggleiksutvalet</w:t>
            </w:r>
            <w:proofErr w:type="spellEnd"/>
            <w:r w:rsidRPr="00815696">
              <w:rPr>
                <w:sz w:val="21"/>
                <w:szCs w:val="21"/>
              </w:rPr>
              <w:t xml:space="preserve"> på barnevernsområdet</w:t>
            </w:r>
          </w:p>
        </w:tc>
        <w:tc>
          <w:tcPr>
            <w:tcW w:w="1480" w:type="dxa"/>
            <w:tcBorders>
              <w:top w:val="nil"/>
              <w:left w:val="nil"/>
              <w:bottom w:val="nil"/>
              <w:right w:val="nil"/>
            </w:tcBorders>
            <w:tcMar>
              <w:top w:w="128" w:type="dxa"/>
              <w:left w:w="43" w:type="dxa"/>
              <w:bottom w:w="43" w:type="dxa"/>
              <w:right w:w="43" w:type="dxa"/>
            </w:tcMar>
          </w:tcPr>
          <w:p w14:paraId="3B23E0F8" w14:textId="77777777" w:rsidR="00D60186" w:rsidRPr="00815696" w:rsidRDefault="00D60186" w:rsidP="00815696">
            <w:pPr>
              <w:jc w:val="right"/>
              <w:rPr>
                <w:sz w:val="21"/>
                <w:szCs w:val="21"/>
              </w:rPr>
            </w:pPr>
            <w:r w:rsidRPr="00815696">
              <w:rPr>
                <w:sz w:val="21"/>
                <w:szCs w:val="21"/>
              </w:rPr>
              <w:t>Ja</w:t>
            </w:r>
          </w:p>
        </w:tc>
      </w:tr>
      <w:tr w:rsidR="00E76DC8" w:rsidRPr="00225D4D" w14:paraId="34B16D8E" w14:textId="77777777" w:rsidTr="00814879">
        <w:trPr>
          <w:trHeight w:val="20"/>
        </w:trPr>
        <w:tc>
          <w:tcPr>
            <w:tcW w:w="1060" w:type="dxa"/>
            <w:tcBorders>
              <w:top w:val="nil"/>
              <w:left w:val="nil"/>
              <w:bottom w:val="nil"/>
              <w:right w:val="nil"/>
            </w:tcBorders>
            <w:tcMar>
              <w:top w:w="128" w:type="dxa"/>
              <w:left w:w="43" w:type="dxa"/>
              <w:bottom w:w="43" w:type="dxa"/>
              <w:right w:w="43" w:type="dxa"/>
            </w:tcMar>
          </w:tcPr>
          <w:p w14:paraId="71E5F5B0" w14:textId="77777777" w:rsidR="00D60186" w:rsidRPr="00815696" w:rsidRDefault="00D60186" w:rsidP="00225D4D">
            <w:pPr>
              <w:rPr>
                <w:sz w:val="21"/>
                <w:szCs w:val="21"/>
              </w:rPr>
            </w:pPr>
            <w:r w:rsidRPr="00815696">
              <w:rPr>
                <w:sz w:val="21"/>
                <w:szCs w:val="21"/>
              </w:rPr>
              <w:t>2019–2020</w:t>
            </w:r>
          </w:p>
        </w:tc>
        <w:tc>
          <w:tcPr>
            <w:tcW w:w="1208" w:type="dxa"/>
            <w:tcBorders>
              <w:top w:val="nil"/>
              <w:left w:val="nil"/>
              <w:bottom w:val="nil"/>
              <w:right w:val="nil"/>
            </w:tcBorders>
            <w:tcMar>
              <w:top w:w="128" w:type="dxa"/>
              <w:left w:w="43" w:type="dxa"/>
              <w:bottom w:w="43" w:type="dxa"/>
              <w:right w:w="43" w:type="dxa"/>
            </w:tcMar>
          </w:tcPr>
          <w:p w14:paraId="1E0F4A5D" w14:textId="77777777" w:rsidR="00D60186" w:rsidRPr="00815696" w:rsidRDefault="00D60186" w:rsidP="00815696">
            <w:pPr>
              <w:ind w:right="113"/>
              <w:jc w:val="right"/>
              <w:rPr>
                <w:sz w:val="21"/>
                <w:szCs w:val="21"/>
              </w:rPr>
            </w:pPr>
            <w:r w:rsidRPr="00815696">
              <w:rPr>
                <w:sz w:val="21"/>
                <w:szCs w:val="21"/>
              </w:rPr>
              <w:t>637</w:t>
            </w:r>
          </w:p>
        </w:tc>
        <w:tc>
          <w:tcPr>
            <w:tcW w:w="5812" w:type="dxa"/>
            <w:tcBorders>
              <w:top w:val="nil"/>
              <w:left w:val="nil"/>
              <w:bottom w:val="nil"/>
              <w:right w:val="nil"/>
            </w:tcBorders>
            <w:tcMar>
              <w:top w:w="128" w:type="dxa"/>
              <w:left w:w="43" w:type="dxa"/>
              <w:bottom w:w="43" w:type="dxa"/>
              <w:right w:w="43" w:type="dxa"/>
            </w:tcMar>
          </w:tcPr>
          <w:p w14:paraId="4BA49B24" w14:textId="77777777" w:rsidR="00D60186" w:rsidRPr="00815696" w:rsidRDefault="00D60186" w:rsidP="00225D4D">
            <w:pPr>
              <w:rPr>
                <w:sz w:val="21"/>
                <w:szCs w:val="21"/>
              </w:rPr>
            </w:pPr>
            <w:proofErr w:type="gramStart"/>
            <w:r w:rsidRPr="00815696">
              <w:rPr>
                <w:sz w:val="21"/>
                <w:szCs w:val="21"/>
              </w:rPr>
              <w:t>FNs konvensjonen</w:t>
            </w:r>
            <w:proofErr w:type="gramEnd"/>
            <w:r w:rsidRPr="00815696">
              <w:rPr>
                <w:sz w:val="21"/>
                <w:szCs w:val="21"/>
              </w:rPr>
              <w:t xml:space="preserve"> om </w:t>
            </w:r>
            <w:proofErr w:type="spellStart"/>
            <w:r w:rsidRPr="00815696">
              <w:rPr>
                <w:sz w:val="21"/>
                <w:szCs w:val="21"/>
              </w:rPr>
              <w:t>barnerettane</w:t>
            </w:r>
            <w:proofErr w:type="spellEnd"/>
            <w:r w:rsidRPr="00815696">
              <w:rPr>
                <w:sz w:val="21"/>
                <w:szCs w:val="21"/>
              </w:rPr>
              <w:t xml:space="preserve"> – ny barnevernslov og ny barnelov </w:t>
            </w:r>
          </w:p>
        </w:tc>
        <w:tc>
          <w:tcPr>
            <w:tcW w:w="1480" w:type="dxa"/>
            <w:tcBorders>
              <w:top w:val="nil"/>
              <w:left w:val="nil"/>
              <w:bottom w:val="nil"/>
              <w:right w:val="nil"/>
            </w:tcBorders>
            <w:tcMar>
              <w:top w:w="128" w:type="dxa"/>
              <w:left w:w="43" w:type="dxa"/>
              <w:bottom w:w="43" w:type="dxa"/>
              <w:right w:w="43" w:type="dxa"/>
            </w:tcMar>
          </w:tcPr>
          <w:p w14:paraId="04E08741" w14:textId="77777777" w:rsidR="00D60186" w:rsidRPr="00815696" w:rsidRDefault="00D60186" w:rsidP="00815696">
            <w:pPr>
              <w:jc w:val="right"/>
              <w:rPr>
                <w:sz w:val="21"/>
                <w:szCs w:val="21"/>
              </w:rPr>
            </w:pPr>
            <w:r w:rsidRPr="00815696">
              <w:rPr>
                <w:sz w:val="21"/>
                <w:szCs w:val="21"/>
              </w:rPr>
              <w:t>Ja</w:t>
            </w:r>
          </w:p>
        </w:tc>
      </w:tr>
      <w:tr w:rsidR="00E76DC8" w:rsidRPr="00225D4D" w14:paraId="4DF00673" w14:textId="77777777" w:rsidTr="00814879">
        <w:trPr>
          <w:trHeight w:val="20"/>
        </w:trPr>
        <w:tc>
          <w:tcPr>
            <w:tcW w:w="1060" w:type="dxa"/>
            <w:tcBorders>
              <w:top w:val="nil"/>
              <w:left w:val="nil"/>
              <w:bottom w:val="single" w:sz="4" w:space="0" w:color="000000"/>
              <w:right w:val="nil"/>
            </w:tcBorders>
            <w:tcMar>
              <w:top w:w="128" w:type="dxa"/>
              <w:left w:w="43" w:type="dxa"/>
              <w:bottom w:w="43" w:type="dxa"/>
              <w:right w:w="43" w:type="dxa"/>
            </w:tcMar>
          </w:tcPr>
          <w:p w14:paraId="15C4A91F" w14:textId="77777777" w:rsidR="00D60186" w:rsidRPr="00815696" w:rsidRDefault="00D60186" w:rsidP="00225D4D">
            <w:pPr>
              <w:rPr>
                <w:sz w:val="21"/>
                <w:szCs w:val="21"/>
              </w:rPr>
            </w:pPr>
            <w:r w:rsidRPr="00815696">
              <w:rPr>
                <w:sz w:val="21"/>
                <w:szCs w:val="21"/>
              </w:rPr>
              <w:t>2016–2017</w:t>
            </w:r>
          </w:p>
        </w:tc>
        <w:tc>
          <w:tcPr>
            <w:tcW w:w="1208" w:type="dxa"/>
            <w:tcBorders>
              <w:top w:val="nil"/>
              <w:left w:val="nil"/>
              <w:bottom w:val="single" w:sz="4" w:space="0" w:color="000000"/>
              <w:right w:val="nil"/>
            </w:tcBorders>
            <w:tcMar>
              <w:top w:w="128" w:type="dxa"/>
              <w:left w:w="43" w:type="dxa"/>
              <w:bottom w:w="43" w:type="dxa"/>
              <w:right w:w="43" w:type="dxa"/>
            </w:tcMar>
          </w:tcPr>
          <w:p w14:paraId="3498B725" w14:textId="77777777" w:rsidR="00D60186" w:rsidRPr="00815696" w:rsidRDefault="00D60186" w:rsidP="00815696">
            <w:pPr>
              <w:ind w:right="113"/>
              <w:jc w:val="right"/>
              <w:rPr>
                <w:sz w:val="21"/>
                <w:szCs w:val="21"/>
              </w:rPr>
            </w:pPr>
            <w:r w:rsidRPr="00815696">
              <w:rPr>
                <w:sz w:val="21"/>
                <w:szCs w:val="21"/>
              </w:rPr>
              <w:t>491</w:t>
            </w:r>
          </w:p>
        </w:tc>
        <w:tc>
          <w:tcPr>
            <w:tcW w:w="5812" w:type="dxa"/>
            <w:tcBorders>
              <w:top w:val="nil"/>
              <w:left w:val="nil"/>
              <w:bottom w:val="single" w:sz="4" w:space="0" w:color="000000"/>
              <w:right w:val="nil"/>
            </w:tcBorders>
            <w:tcMar>
              <w:top w:w="128" w:type="dxa"/>
              <w:left w:w="43" w:type="dxa"/>
              <w:bottom w:w="43" w:type="dxa"/>
              <w:right w:w="43" w:type="dxa"/>
            </w:tcMar>
          </w:tcPr>
          <w:p w14:paraId="61B6D8B6" w14:textId="77777777" w:rsidR="00D60186" w:rsidRPr="00815696" w:rsidRDefault="00D60186" w:rsidP="00225D4D">
            <w:pPr>
              <w:rPr>
                <w:sz w:val="21"/>
                <w:szCs w:val="21"/>
              </w:rPr>
            </w:pPr>
            <w:r w:rsidRPr="00815696">
              <w:rPr>
                <w:sz w:val="21"/>
                <w:szCs w:val="21"/>
              </w:rPr>
              <w:t>evaluering av felles foreldreansvar</w:t>
            </w:r>
          </w:p>
        </w:tc>
        <w:tc>
          <w:tcPr>
            <w:tcW w:w="1480" w:type="dxa"/>
            <w:tcBorders>
              <w:top w:val="nil"/>
              <w:left w:val="nil"/>
              <w:bottom w:val="single" w:sz="4" w:space="0" w:color="000000"/>
              <w:right w:val="nil"/>
            </w:tcBorders>
            <w:tcMar>
              <w:top w:w="128" w:type="dxa"/>
              <w:left w:w="43" w:type="dxa"/>
              <w:bottom w:w="43" w:type="dxa"/>
              <w:right w:w="43" w:type="dxa"/>
            </w:tcMar>
          </w:tcPr>
          <w:p w14:paraId="3EA4A8E4" w14:textId="77777777" w:rsidR="00D60186" w:rsidRPr="00815696" w:rsidRDefault="00D60186" w:rsidP="00815696">
            <w:pPr>
              <w:jc w:val="right"/>
              <w:rPr>
                <w:sz w:val="21"/>
                <w:szCs w:val="21"/>
              </w:rPr>
            </w:pPr>
            <w:r w:rsidRPr="00815696">
              <w:rPr>
                <w:sz w:val="21"/>
                <w:szCs w:val="21"/>
              </w:rPr>
              <w:t>Ja</w:t>
            </w:r>
          </w:p>
        </w:tc>
      </w:tr>
    </w:tbl>
    <w:p w14:paraId="4A696936" w14:textId="77777777" w:rsidR="00D60186" w:rsidRPr="00225D4D" w:rsidRDefault="00D60186" w:rsidP="00815696">
      <w:pPr>
        <w:pStyle w:val="Overskrift2"/>
        <w:numPr>
          <w:ilvl w:val="1"/>
          <w:numId w:val="28"/>
        </w:numPr>
      </w:pPr>
      <w:r w:rsidRPr="00225D4D">
        <w:t>Stortingssesjon (2024–2025)</w:t>
      </w:r>
    </w:p>
    <w:p w14:paraId="48F6121C" w14:textId="77777777" w:rsidR="00D60186" w:rsidRPr="00225D4D" w:rsidRDefault="00D60186" w:rsidP="00225D4D">
      <w:pPr>
        <w:pStyle w:val="avsnitt-tittel"/>
      </w:pPr>
      <w:r w:rsidRPr="00225D4D">
        <w:t xml:space="preserve">Oppbygging av det </w:t>
      </w:r>
      <w:proofErr w:type="spellStart"/>
      <w:r w:rsidRPr="00225D4D">
        <w:t>statlege</w:t>
      </w:r>
      <w:proofErr w:type="spellEnd"/>
      <w:r w:rsidRPr="00225D4D">
        <w:t xml:space="preserve"> barnevernet</w:t>
      </w:r>
    </w:p>
    <w:p w14:paraId="23219FAE" w14:textId="77777777" w:rsidR="00D60186" w:rsidRPr="00225D4D" w:rsidRDefault="00D60186" w:rsidP="00225D4D">
      <w:pPr>
        <w:pStyle w:val="avsnitt-undertittel"/>
      </w:pPr>
      <w:r w:rsidRPr="00225D4D">
        <w:t>Vedtak 88, 5. desember 2024</w:t>
      </w:r>
    </w:p>
    <w:p w14:paraId="5BF79214" w14:textId="77777777" w:rsidR="00D60186" w:rsidRPr="00225D4D" w:rsidRDefault="00D60186" w:rsidP="00225D4D">
      <w:pPr>
        <w:pStyle w:val="blokksit"/>
      </w:pPr>
      <w:r w:rsidRPr="00225D4D">
        <w:t>«</w:t>
      </w:r>
      <w:r w:rsidRPr="00225D4D">
        <w:rPr>
          <w:rStyle w:val="kursiv"/>
        </w:rPr>
        <w:t>Stortinget ber regjeringen i kvalitetsmeldingen for barnevernet foreslå tiltak for oppbygging av det statlige barnevernet, som gir økt kapasitet og beredskap, og som skal kunne bidra til å redusere behovet for dyre enkeltkjøp.»</w:t>
      </w:r>
    </w:p>
    <w:p w14:paraId="43ABE820"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 S (2024–2025), jf. </w:t>
      </w:r>
      <w:proofErr w:type="spellStart"/>
      <w:r w:rsidRPr="00225D4D">
        <w:t>Innst</w:t>
      </w:r>
      <w:proofErr w:type="spellEnd"/>
      <w:r w:rsidRPr="00225D4D">
        <w:t>. 2 S (2024–2025).</w:t>
      </w:r>
    </w:p>
    <w:p w14:paraId="34F4EBD1" w14:textId="77777777" w:rsidR="00D60186" w:rsidRPr="00225D4D" w:rsidRDefault="00D60186" w:rsidP="00225D4D">
      <w:r w:rsidRPr="00225D4D">
        <w:t xml:space="preserve">Vedtaket er omtalt i </w:t>
      </w:r>
      <w:proofErr w:type="spellStart"/>
      <w:r w:rsidRPr="00225D4D">
        <w:t>Prop</w:t>
      </w:r>
      <w:proofErr w:type="spellEnd"/>
      <w:r w:rsidRPr="00225D4D">
        <w:t xml:space="preserve">. 83 L (2024–2025) om kvalitetsløftet i barnevernet i kapittelet om ei framtidig innretting av </w:t>
      </w:r>
      <w:proofErr w:type="spellStart"/>
      <w:r w:rsidRPr="00225D4D">
        <w:t>institusjonstilbodet</w:t>
      </w:r>
      <w:proofErr w:type="spellEnd"/>
      <w:r w:rsidRPr="00225D4D">
        <w:t xml:space="preserve">. Under tiltaket </w:t>
      </w:r>
      <w:r w:rsidRPr="00225D4D">
        <w:rPr>
          <w:rStyle w:val="kursiv"/>
        </w:rPr>
        <w:t>Et fleksibelt og individuelt tilpasset institusjonstilbud</w:t>
      </w:r>
      <w:r w:rsidRPr="00225D4D">
        <w:t xml:space="preserve"> i avsnitt 8.4.3 skriv BFD </w:t>
      </w:r>
      <w:proofErr w:type="spellStart"/>
      <w:r w:rsidRPr="00225D4D">
        <w:t>følgjande</w:t>
      </w:r>
      <w:proofErr w:type="spellEnd"/>
      <w:r w:rsidRPr="00225D4D">
        <w:t>:</w:t>
      </w:r>
    </w:p>
    <w:p w14:paraId="330782C0" w14:textId="77777777" w:rsidR="00D60186" w:rsidRPr="00225D4D" w:rsidRDefault="00D60186" w:rsidP="00225D4D">
      <w:r w:rsidRPr="00225D4D">
        <w:t>«</w:t>
      </w:r>
      <w:r w:rsidRPr="00225D4D">
        <w:rPr>
          <w:rStyle w:val="kursiv"/>
        </w:rPr>
        <w:t xml:space="preserve">En omstilling fra institusjoner inndelt etter målgrupper til mer fleksible institusjoner, kan gi en mer effektiv ressursbruk i institusjonsbarnevernet. Mer fleksible og </w:t>
      </w:r>
      <w:proofErr w:type="gramStart"/>
      <w:r w:rsidRPr="00225D4D">
        <w:rPr>
          <w:rStyle w:val="kursiv"/>
        </w:rPr>
        <w:t>robuste</w:t>
      </w:r>
      <w:proofErr w:type="gramEnd"/>
      <w:r w:rsidRPr="00225D4D">
        <w:rPr>
          <w:rStyle w:val="kursiv"/>
        </w:rPr>
        <w:t xml:space="preserve"> institusjoner er ventet å føre til færre flyttinger og redusert behov for enkeltkjøp, jf. anmodningsvedtak nr. 88 av 5. desember 2024 </w:t>
      </w:r>
      <w:r w:rsidRPr="00225D4D">
        <w:t>[…].»</w:t>
      </w:r>
    </w:p>
    <w:p w14:paraId="422FC0B7" w14:textId="77777777" w:rsidR="00D60186" w:rsidRPr="00225D4D" w:rsidRDefault="00D60186" w:rsidP="00225D4D">
      <w:proofErr w:type="spellStart"/>
      <w:r w:rsidRPr="00225D4D">
        <w:t>Ein</w:t>
      </w:r>
      <w:proofErr w:type="spellEnd"/>
      <w:r w:rsidRPr="00225D4D">
        <w:t xml:space="preserve"> ny måte å innrette </w:t>
      </w:r>
      <w:proofErr w:type="spellStart"/>
      <w:r w:rsidRPr="00225D4D">
        <w:t>institusjonstilbodet</w:t>
      </w:r>
      <w:proofErr w:type="spellEnd"/>
      <w:r w:rsidRPr="00225D4D">
        <w:t xml:space="preserve"> på, i tråd med tiltaka i kvalitetsløftet, blir </w:t>
      </w:r>
      <w:proofErr w:type="spellStart"/>
      <w:r w:rsidRPr="00225D4D">
        <w:t>no</w:t>
      </w:r>
      <w:proofErr w:type="spellEnd"/>
      <w:r w:rsidRPr="00225D4D">
        <w:t xml:space="preserve"> prøvd ut i </w:t>
      </w:r>
      <w:proofErr w:type="spellStart"/>
      <w:r w:rsidRPr="00225D4D">
        <w:t>pilotar</w:t>
      </w:r>
      <w:proofErr w:type="spellEnd"/>
      <w:r w:rsidRPr="00225D4D">
        <w:t xml:space="preserve"> i fire av </w:t>
      </w:r>
      <w:proofErr w:type="spellStart"/>
      <w:r w:rsidRPr="00225D4D">
        <w:t>regionane</w:t>
      </w:r>
      <w:proofErr w:type="spellEnd"/>
      <w:r w:rsidRPr="00225D4D">
        <w:t xml:space="preserve"> til </w:t>
      </w:r>
      <w:proofErr w:type="spellStart"/>
      <w:r w:rsidRPr="00225D4D">
        <w:t>Bufetat</w:t>
      </w:r>
      <w:proofErr w:type="spellEnd"/>
      <w:r w:rsidRPr="00225D4D">
        <w:t xml:space="preserve">. </w:t>
      </w:r>
      <w:proofErr w:type="spellStart"/>
      <w:r w:rsidRPr="00225D4D">
        <w:t>Føremålet</w:t>
      </w:r>
      <w:proofErr w:type="spellEnd"/>
      <w:r w:rsidRPr="00225D4D">
        <w:t xml:space="preserve"> med alle </w:t>
      </w:r>
      <w:proofErr w:type="spellStart"/>
      <w:r w:rsidRPr="00225D4D">
        <w:t>pilotane</w:t>
      </w:r>
      <w:proofErr w:type="spellEnd"/>
      <w:r w:rsidRPr="00225D4D">
        <w:t xml:space="preserve"> er å prøve ut </w:t>
      </w:r>
      <w:proofErr w:type="spellStart"/>
      <w:r w:rsidRPr="00225D4D">
        <w:t>institusjonar</w:t>
      </w:r>
      <w:proofErr w:type="spellEnd"/>
      <w:r w:rsidRPr="00225D4D">
        <w:t xml:space="preserve"> som er </w:t>
      </w:r>
      <w:proofErr w:type="spellStart"/>
      <w:r w:rsidRPr="00225D4D">
        <w:t>tilstrekkeleg</w:t>
      </w:r>
      <w:proofErr w:type="spellEnd"/>
      <w:r w:rsidRPr="00225D4D">
        <w:t xml:space="preserve"> fleksible til å gi </w:t>
      </w:r>
      <w:proofErr w:type="spellStart"/>
      <w:r w:rsidRPr="00225D4D">
        <w:t>eit</w:t>
      </w:r>
      <w:proofErr w:type="spellEnd"/>
      <w:r w:rsidRPr="00225D4D">
        <w:t xml:space="preserve"> tilpassa og </w:t>
      </w:r>
      <w:proofErr w:type="spellStart"/>
      <w:r w:rsidRPr="00225D4D">
        <w:t>føreseieleg</w:t>
      </w:r>
      <w:proofErr w:type="spellEnd"/>
      <w:r w:rsidRPr="00225D4D">
        <w:t xml:space="preserve"> </w:t>
      </w:r>
      <w:proofErr w:type="spellStart"/>
      <w:r w:rsidRPr="00225D4D">
        <w:t>tilbod</w:t>
      </w:r>
      <w:proofErr w:type="spellEnd"/>
      <w:r w:rsidRPr="00225D4D">
        <w:t xml:space="preserve"> til alle barn i målgruppa for barnevernsinstitusjon. I tillegg er det etablert </w:t>
      </w:r>
      <w:proofErr w:type="spellStart"/>
      <w:r w:rsidRPr="00225D4D">
        <w:t>ein</w:t>
      </w:r>
      <w:proofErr w:type="spellEnd"/>
      <w:r w:rsidRPr="00225D4D">
        <w:t xml:space="preserve"> femte pilot: </w:t>
      </w:r>
      <w:proofErr w:type="spellStart"/>
      <w:r w:rsidRPr="00225D4D">
        <w:t>eit</w:t>
      </w:r>
      <w:proofErr w:type="spellEnd"/>
      <w:r w:rsidRPr="00225D4D">
        <w:t xml:space="preserve"> forsterka </w:t>
      </w:r>
      <w:proofErr w:type="spellStart"/>
      <w:r w:rsidRPr="00225D4D">
        <w:t>institusjonstilbod</w:t>
      </w:r>
      <w:proofErr w:type="spellEnd"/>
      <w:r w:rsidRPr="00225D4D">
        <w:t xml:space="preserve"> for barn med store og samansette behov, inkludert barn som står attom </w:t>
      </w:r>
      <w:proofErr w:type="spellStart"/>
      <w:r w:rsidRPr="00225D4D">
        <w:t>gjentakande</w:t>
      </w:r>
      <w:proofErr w:type="spellEnd"/>
      <w:r w:rsidRPr="00225D4D">
        <w:t xml:space="preserve"> eller </w:t>
      </w:r>
      <w:proofErr w:type="spellStart"/>
      <w:r w:rsidRPr="00225D4D">
        <w:t>alvorleg</w:t>
      </w:r>
      <w:proofErr w:type="spellEnd"/>
      <w:r w:rsidRPr="00225D4D">
        <w:t xml:space="preserve"> kriminalitet.</w:t>
      </w:r>
    </w:p>
    <w:p w14:paraId="3D00F277" w14:textId="77777777" w:rsidR="00D60186" w:rsidRPr="00225D4D" w:rsidRDefault="00D60186" w:rsidP="00225D4D">
      <w:r w:rsidRPr="00225D4D">
        <w:t xml:space="preserve">Det er </w:t>
      </w:r>
      <w:proofErr w:type="spellStart"/>
      <w:r w:rsidRPr="00225D4D">
        <w:t>vidare</w:t>
      </w:r>
      <w:proofErr w:type="spellEnd"/>
      <w:r w:rsidRPr="00225D4D">
        <w:t xml:space="preserve"> løyvd om lag 350 mill. kroner til arbeidet med å </w:t>
      </w:r>
      <w:proofErr w:type="spellStart"/>
      <w:r w:rsidRPr="00225D4D">
        <w:t>styrkje</w:t>
      </w:r>
      <w:proofErr w:type="spellEnd"/>
      <w:r w:rsidRPr="00225D4D">
        <w:t xml:space="preserve"> og omstille </w:t>
      </w:r>
      <w:proofErr w:type="spellStart"/>
      <w:r w:rsidRPr="00225D4D">
        <w:t>tilbodet</w:t>
      </w:r>
      <w:proofErr w:type="spellEnd"/>
      <w:r w:rsidRPr="00225D4D">
        <w:t xml:space="preserve"> i perioden 2022–2025. Det er etablert </w:t>
      </w:r>
      <w:proofErr w:type="spellStart"/>
      <w:r w:rsidRPr="00225D4D">
        <w:t>fleire</w:t>
      </w:r>
      <w:proofErr w:type="spellEnd"/>
      <w:r w:rsidRPr="00225D4D">
        <w:t xml:space="preserve"> </w:t>
      </w:r>
      <w:proofErr w:type="spellStart"/>
      <w:r w:rsidRPr="00225D4D">
        <w:t>behandlingsplassar</w:t>
      </w:r>
      <w:proofErr w:type="spellEnd"/>
      <w:r w:rsidRPr="00225D4D">
        <w:t xml:space="preserve"> i </w:t>
      </w:r>
      <w:proofErr w:type="spellStart"/>
      <w:r w:rsidRPr="00225D4D">
        <w:t>Bufetat</w:t>
      </w:r>
      <w:proofErr w:type="spellEnd"/>
      <w:r w:rsidRPr="00225D4D">
        <w:t xml:space="preserve">, og </w:t>
      </w:r>
      <w:proofErr w:type="spellStart"/>
      <w:r w:rsidRPr="00225D4D">
        <w:t>plassar</w:t>
      </w:r>
      <w:proofErr w:type="spellEnd"/>
      <w:r w:rsidRPr="00225D4D">
        <w:t xml:space="preserve"> har blitt forsterka og omstilte. Kapasitetsutnyttinga i </w:t>
      </w:r>
      <w:proofErr w:type="spellStart"/>
      <w:r w:rsidRPr="00225D4D">
        <w:t>institusjonane</w:t>
      </w:r>
      <w:proofErr w:type="spellEnd"/>
      <w:r w:rsidRPr="00225D4D">
        <w:t xml:space="preserve"> til </w:t>
      </w:r>
      <w:proofErr w:type="spellStart"/>
      <w:r w:rsidRPr="00225D4D">
        <w:t>Bufetat</w:t>
      </w:r>
      <w:proofErr w:type="spellEnd"/>
      <w:r w:rsidRPr="00225D4D">
        <w:t xml:space="preserve"> er </w:t>
      </w:r>
      <w:proofErr w:type="spellStart"/>
      <w:r w:rsidRPr="00225D4D">
        <w:t>auka</w:t>
      </w:r>
      <w:proofErr w:type="spellEnd"/>
      <w:r w:rsidRPr="00225D4D">
        <w:t xml:space="preserve">. Styrkinga har skjedd ved å </w:t>
      </w:r>
      <w:proofErr w:type="spellStart"/>
      <w:r w:rsidRPr="00225D4D">
        <w:t>auke</w:t>
      </w:r>
      <w:proofErr w:type="spellEnd"/>
      <w:r w:rsidRPr="00225D4D">
        <w:t xml:space="preserve"> bemanninga, etablere støtteteam og oppgradere </w:t>
      </w:r>
      <w:proofErr w:type="spellStart"/>
      <w:r w:rsidRPr="00225D4D">
        <w:t>eksisterande</w:t>
      </w:r>
      <w:proofErr w:type="spellEnd"/>
      <w:r w:rsidRPr="00225D4D">
        <w:t xml:space="preserve"> institusjonsbygg. </w:t>
      </w:r>
      <w:proofErr w:type="spellStart"/>
      <w:r w:rsidRPr="00225D4D">
        <w:t>Midlane</w:t>
      </w:r>
      <w:proofErr w:type="spellEnd"/>
      <w:r w:rsidRPr="00225D4D">
        <w:t xml:space="preserve"> har òg blitt nytta til å </w:t>
      </w:r>
      <w:proofErr w:type="spellStart"/>
      <w:r w:rsidRPr="00225D4D">
        <w:t>styrkje</w:t>
      </w:r>
      <w:proofErr w:type="spellEnd"/>
      <w:r w:rsidRPr="00225D4D">
        <w:t xml:space="preserve"> det ideelle </w:t>
      </w:r>
      <w:proofErr w:type="spellStart"/>
      <w:r w:rsidRPr="00225D4D">
        <w:t>tilbodet</w:t>
      </w:r>
      <w:proofErr w:type="spellEnd"/>
      <w:r w:rsidRPr="00225D4D">
        <w:t>.</w:t>
      </w:r>
    </w:p>
    <w:p w14:paraId="68628BBB" w14:textId="77777777" w:rsidR="00D60186" w:rsidRPr="00225D4D" w:rsidRDefault="00D60186" w:rsidP="00225D4D">
      <w:r w:rsidRPr="00225D4D">
        <w:t xml:space="preserve">I same periode er det løyvd om lag 1 mrd. kroner til </w:t>
      </w:r>
      <w:proofErr w:type="spellStart"/>
      <w:r w:rsidRPr="00225D4D">
        <w:t>Bufetat</w:t>
      </w:r>
      <w:proofErr w:type="spellEnd"/>
      <w:r w:rsidRPr="00225D4D">
        <w:t xml:space="preserve">, for å </w:t>
      </w:r>
      <w:proofErr w:type="spellStart"/>
      <w:r w:rsidRPr="00225D4D">
        <w:t>dekkje</w:t>
      </w:r>
      <w:proofErr w:type="spellEnd"/>
      <w:r w:rsidRPr="00225D4D">
        <w:t xml:space="preserve"> utgiftsvekst, i </w:t>
      </w:r>
      <w:proofErr w:type="spellStart"/>
      <w:r w:rsidRPr="00225D4D">
        <w:t>hovudsak</w:t>
      </w:r>
      <w:proofErr w:type="spellEnd"/>
      <w:r w:rsidRPr="00225D4D">
        <w:t xml:space="preserve"> på grunn av </w:t>
      </w:r>
      <w:proofErr w:type="spellStart"/>
      <w:r w:rsidRPr="00225D4D">
        <w:t>auka</w:t>
      </w:r>
      <w:proofErr w:type="spellEnd"/>
      <w:r w:rsidRPr="00225D4D">
        <w:t xml:space="preserve"> </w:t>
      </w:r>
      <w:proofErr w:type="spellStart"/>
      <w:r w:rsidRPr="00225D4D">
        <w:t>prisar</w:t>
      </w:r>
      <w:proofErr w:type="spellEnd"/>
      <w:r w:rsidRPr="00225D4D">
        <w:t xml:space="preserve">, </w:t>
      </w:r>
      <w:proofErr w:type="spellStart"/>
      <w:r w:rsidRPr="00225D4D">
        <w:t>fleire</w:t>
      </w:r>
      <w:proofErr w:type="spellEnd"/>
      <w:r w:rsidRPr="00225D4D">
        <w:t xml:space="preserve"> </w:t>
      </w:r>
      <w:proofErr w:type="spellStart"/>
      <w:r w:rsidRPr="00225D4D">
        <w:t>einskilde</w:t>
      </w:r>
      <w:proofErr w:type="spellEnd"/>
      <w:r w:rsidRPr="00225D4D">
        <w:t xml:space="preserve"> kjøp og </w:t>
      </w:r>
      <w:proofErr w:type="spellStart"/>
      <w:r w:rsidRPr="00225D4D">
        <w:t>auka</w:t>
      </w:r>
      <w:proofErr w:type="spellEnd"/>
      <w:r w:rsidRPr="00225D4D">
        <w:t xml:space="preserve"> løyving til private </w:t>
      </w:r>
      <w:proofErr w:type="spellStart"/>
      <w:r w:rsidRPr="00225D4D">
        <w:t>rammeavtalar</w:t>
      </w:r>
      <w:proofErr w:type="spellEnd"/>
      <w:r w:rsidRPr="00225D4D">
        <w:t xml:space="preserve">. Dette for å oppfylle bistandsplikta og sikre langsiktig kapasitetsbygging. Med bakgrunn i behovet for å oppfylle bistandsplikta, samstundes som </w:t>
      </w:r>
      <w:proofErr w:type="spellStart"/>
      <w:r w:rsidRPr="00225D4D">
        <w:t>ressursane</w:t>
      </w:r>
      <w:proofErr w:type="spellEnd"/>
      <w:r w:rsidRPr="00225D4D">
        <w:t xml:space="preserve"> blir brukte på </w:t>
      </w:r>
      <w:proofErr w:type="spellStart"/>
      <w:r w:rsidRPr="00225D4D">
        <w:t>ein</w:t>
      </w:r>
      <w:proofErr w:type="spellEnd"/>
      <w:r w:rsidRPr="00225D4D">
        <w:t xml:space="preserve"> effektiv måte og med betre kostnadskontroll, skal </w:t>
      </w:r>
      <w:proofErr w:type="spellStart"/>
      <w:r w:rsidRPr="00225D4D">
        <w:t>Bufdir</w:t>
      </w:r>
      <w:proofErr w:type="spellEnd"/>
      <w:r w:rsidRPr="00225D4D">
        <w:t xml:space="preserve"> innrette innkjøpa sine på </w:t>
      </w:r>
      <w:proofErr w:type="spellStart"/>
      <w:r w:rsidRPr="00225D4D">
        <w:t>fagleg</w:t>
      </w:r>
      <w:proofErr w:type="spellEnd"/>
      <w:r w:rsidRPr="00225D4D">
        <w:t xml:space="preserve"> grunnlag for å oppnå mest </w:t>
      </w:r>
      <w:proofErr w:type="spellStart"/>
      <w:r w:rsidRPr="00225D4D">
        <w:t>mogleg</w:t>
      </w:r>
      <w:proofErr w:type="spellEnd"/>
      <w:r w:rsidRPr="00225D4D">
        <w:t xml:space="preserve"> </w:t>
      </w:r>
      <w:proofErr w:type="spellStart"/>
      <w:r w:rsidRPr="00225D4D">
        <w:t>føremålstenlege</w:t>
      </w:r>
      <w:proofErr w:type="spellEnd"/>
      <w:r w:rsidRPr="00225D4D">
        <w:t xml:space="preserve"> og kostnadseffektive </w:t>
      </w:r>
      <w:proofErr w:type="spellStart"/>
      <w:r w:rsidRPr="00225D4D">
        <w:t>tenester</w:t>
      </w:r>
      <w:proofErr w:type="spellEnd"/>
      <w:r w:rsidRPr="00225D4D">
        <w:t xml:space="preserve">. </w:t>
      </w:r>
      <w:proofErr w:type="spellStart"/>
      <w:r w:rsidRPr="00225D4D">
        <w:t>Vidare</w:t>
      </w:r>
      <w:proofErr w:type="spellEnd"/>
      <w:r w:rsidRPr="00225D4D">
        <w:t xml:space="preserve"> oppbygging av </w:t>
      </w:r>
      <w:proofErr w:type="spellStart"/>
      <w:r w:rsidRPr="00225D4D">
        <w:t>statleg</w:t>
      </w:r>
      <w:proofErr w:type="spellEnd"/>
      <w:r w:rsidRPr="00225D4D">
        <w:t xml:space="preserve"> kapasitet skal bli prioritert. Regjeringa </w:t>
      </w:r>
      <w:proofErr w:type="spellStart"/>
      <w:r w:rsidRPr="00225D4D">
        <w:t>ønskjer</w:t>
      </w:r>
      <w:proofErr w:type="spellEnd"/>
      <w:r w:rsidRPr="00225D4D">
        <w:t xml:space="preserve"> </w:t>
      </w:r>
      <w:proofErr w:type="spellStart"/>
      <w:r w:rsidRPr="00225D4D">
        <w:t>eit</w:t>
      </w:r>
      <w:proofErr w:type="spellEnd"/>
      <w:r w:rsidRPr="00225D4D">
        <w:t xml:space="preserve"> langsiktig og </w:t>
      </w:r>
      <w:proofErr w:type="spellStart"/>
      <w:r w:rsidRPr="00225D4D">
        <w:t>betydeleg</w:t>
      </w:r>
      <w:proofErr w:type="spellEnd"/>
      <w:r w:rsidRPr="00225D4D">
        <w:t xml:space="preserve"> innslag av ideelle </w:t>
      </w:r>
      <w:proofErr w:type="spellStart"/>
      <w:r w:rsidRPr="00225D4D">
        <w:t>aktørar</w:t>
      </w:r>
      <w:proofErr w:type="spellEnd"/>
      <w:r w:rsidRPr="00225D4D">
        <w:t xml:space="preserve">. Det er òg behov for private kommersielle </w:t>
      </w:r>
      <w:proofErr w:type="spellStart"/>
      <w:r w:rsidRPr="00225D4D">
        <w:t>aktørar</w:t>
      </w:r>
      <w:proofErr w:type="spellEnd"/>
      <w:r w:rsidRPr="00225D4D">
        <w:t xml:space="preserve"> i </w:t>
      </w:r>
      <w:proofErr w:type="spellStart"/>
      <w:r w:rsidRPr="00225D4D">
        <w:t>statleg</w:t>
      </w:r>
      <w:proofErr w:type="spellEnd"/>
      <w:r w:rsidRPr="00225D4D">
        <w:t xml:space="preserve"> barnevern framover, og det skal </w:t>
      </w:r>
      <w:proofErr w:type="spellStart"/>
      <w:r w:rsidRPr="00225D4D">
        <w:t>leggjast</w:t>
      </w:r>
      <w:proofErr w:type="spellEnd"/>
      <w:r w:rsidRPr="00225D4D">
        <w:t xml:space="preserve"> til rette for at </w:t>
      </w:r>
      <w:proofErr w:type="spellStart"/>
      <w:r w:rsidRPr="00225D4D">
        <w:t>aktørane</w:t>
      </w:r>
      <w:proofErr w:type="spellEnd"/>
      <w:r w:rsidRPr="00225D4D">
        <w:t xml:space="preserve"> kan </w:t>
      </w:r>
      <w:proofErr w:type="spellStart"/>
      <w:r w:rsidRPr="00225D4D">
        <w:t>byggje</w:t>
      </w:r>
      <w:proofErr w:type="spellEnd"/>
      <w:r w:rsidRPr="00225D4D">
        <w:t xml:space="preserve"> langsiktig kapasitet. Behovet for privat kapasitet òg på lang sikt er formidla </w:t>
      </w:r>
      <w:proofErr w:type="spellStart"/>
      <w:r w:rsidRPr="00225D4D">
        <w:t>tydeleg</w:t>
      </w:r>
      <w:proofErr w:type="spellEnd"/>
      <w:r w:rsidRPr="00225D4D">
        <w:t xml:space="preserve"> til </w:t>
      </w:r>
      <w:proofErr w:type="spellStart"/>
      <w:r w:rsidRPr="00225D4D">
        <w:t>leverandørane</w:t>
      </w:r>
      <w:proofErr w:type="spellEnd"/>
      <w:r w:rsidRPr="00225D4D">
        <w:t xml:space="preserve"> og </w:t>
      </w:r>
      <w:proofErr w:type="spellStart"/>
      <w:r w:rsidRPr="00225D4D">
        <w:t>Bufdir</w:t>
      </w:r>
      <w:proofErr w:type="spellEnd"/>
      <w:r w:rsidRPr="00225D4D">
        <w:t xml:space="preserve">, og skal </w:t>
      </w:r>
      <w:proofErr w:type="spellStart"/>
      <w:r w:rsidRPr="00225D4D">
        <w:t>takast</w:t>
      </w:r>
      <w:proofErr w:type="spellEnd"/>
      <w:r w:rsidRPr="00225D4D">
        <w:t xml:space="preserve"> omsyn til i dialogen direktoratet har med </w:t>
      </w:r>
      <w:proofErr w:type="spellStart"/>
      <w:r w:rsidRPr="00225D4D">
        <w:t>marknaden</w:t>
      </w:r>
      <w:proofErr w:type="spellEnd"/>
      <w:r w:rsidRPr="00225D4D">
        <w:t xml:space="preserve">, og i </w:t>
      </w:r>
      <w:proofErr w:type="spellStart"/>
      <w:r w:rsidRPr="00225D4D">
        <w:t>dei</w:t>
      </w:r>
      <w:proofErr w:type="spellEnd"/>
      <w:r w:rsidRPr="00225D4D">
        <w:t xml:space="preserve"> konkrete </w:t>
      </w:r>
      <w:proofErr w:type="spellStart"/>
      <w:r w:rsidRPr="00225D4D">
        <w:t>anskaffingane</w:t>
      </w:r>
      <w:proofErr w:type="spellEnd"/>
      <w:r w:rsidRPr="00225D4D">
        <w:t>.</w:t>
      </w:r>
    </w:p>
    <w:p w14:paraId="2797703C"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77B96577" w14:textId="77777777" w:rsidR="00D60186" w:rsidRPr="00225D4D" w:rsidRDefault="00D60186" w:rsidP="00225D4D">
      <w:pPr>
        <w:pStyle w:val="avsnitt-tittel"/>
      </w:pPr>
      <w:r w:rsidRPr="00225D4D">
        <w:t>Dobbeltmedlemskap i trus- og livssynssamfunn</w:t>
      </w:r>
    </w:p>
    <w:p w14:paraId="1E7684DD" w14:textId="77777777" w:rsidR="00D60186" w:rsidRPr="00225D4D" w:rsidRDefault="00D60186" w:rsidP="00225D4D">
      <w:pPr>
        <w:pStyle w:val="avsnitt-undertittel"/>
      </w:pPr>
      <w:r w:rsidRPr="00225D4D">
        <w:t>Vedtak 439, 14. januar 2025</w:t>
      </w:r>
    </w:p>
    <w:p w14:paraId="43D3C4DD" w14:textId="77777777" w:rsidR="00D60186" w:rsidRPr="00225D4D" w:rsidRDefault="00D60186" w:rsidP="00225D4D">
      <w:pPr>
        <w:pStyle w:val="blokksit"/>
      </w:pPr>
      <w:r w:rsidRPr="00225D4D">
        <w:t>«</w:t>
      </w:r>
      <w:r w:rsidRPr="00225D4D">
        <w:rPr>
          <w:rStyle w:val="kursiv"/>
        </w:rPr>
        <w:t xml:space="preserve">Stortinget ber regjeringa greie ut og </w:t>
      </w:r>
      <w:proofErr w:type="spellStart"/>
      <w:r w:rsidRPr="00225D4D">
        <w:rPr>
          <w:rStyle w:val="kursiv"/>
        </w:rPr>
        <w:t>kome</w:t>
      </w:r>
      <w:proofErr w:type="spellEnd"/>
      <w:r w:rsidRPr="00225D4D">
        <w:rPr>
          <w:rStyle w:val="kursiv"/>
        </w:rPr>
        <w:t xml:space="preserve"> attende til Stortinget på eigna måte om tiltak for </w:t>
      </w:r>
      <w:proofErr w:type="spellStart"/>
      <w:r w:rsidRPr="00225D4D">
        <w:rPr>
          <w:rStyle w:val="kursiv"/>
        </w:rPr>
        <w:t>enklare</w:t>
      </w:r>
      <w:proofErr w:type="spellEnd"/>
      <w:r w:rsidRPr="00225D4D">
        <w:rPr>
          <w:rStyle w:val="kursiv"/>
        </w:rPr>
        <w:t xml:space="preserve"> opprydding av uønskte dobbeltmedlemskap i trus- og livssynssamfunn og tiltak for å styrke den </w:t>
      </w:r>
      <w:proofErr w:type="spellStart"/>
      <w:r w:rsidRPr="00225D4D">
        <w:rPr>
          <w:rStyle w:val="kursiv"/>
        </w:rPr>
        <w:t>einskilde</w:t>
      </w:r>
      <w:proofErr w:type="spellEnd"/>
      <w:r w:rsidRPr="00225D4D">
        <w:rPr>
          <w:rStyle w:val="kursiv"/>
        </w:rPr>
        <w:t xml:space="preserve"> si innsikt i og kontroll over eigne medlemskap.</w:t>
      </w:r>
      <w:r w:rsidRPr="00225D4D">
        <w:t>»</w:t>
      </w:r>
    </w:p>
    <w:p w14:paraId="2E341D11"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lovproposisjon om </w:t>
      </w:r>
      <w:proofErr w:type="spellStart"/>
      <w:r w:rsidRPr="00225D4D">
        <w:t>endringar</w:t>
      </w:r>
      <w:proofErr w:type="spellEnd"/>
      <w:r w:rsidRPr="00225D4D">
        <w:t xml:space="preserve"> i </w:t>
      </w:r>
      <w:proofErr w:type="spellStart"/>
      <w:r w:rsidRPr="00225D4D">
        <w:t>trussamfunnslova</w:t>
      </w:r>
      <w:proofErr w:type="spellEnd"/>
      <w:r w:rsidRPr="00225D4D">
        <w:t xml:space="preserve">, jf. </w:t>
      </w:r>
      <w:proofErr w:type="spellStart"/>
      <w:r w:rsidRPr="00225D4D">
        <w:t>Prop</w:t>
      </w:r>
      <w:proofErr w:type="spellEnd"/>
      <w:r w:rsidRPr="00225D4D">
        <w:t xml:space="preserve">. 116 L (2023–2024) og </w:t>
      </w:r>
      <w:proofErr w:type="spellStart"/>
      <w:r w:rsidRPr="00225D4D">
        <w:t>Innst</w:t>
      </w:r>
      <w:proofErr w:type="spellEnd"/>
      <w:r w:rsidRPr="00225D4D">
        <w:t>. 111 L (2024–2025).</w:t>
      </w:r>
    </w:p>
    <w:p w14:paraId="204BD34B" w14:textId="77777777" w:rsidR="00D60186" w:rsidRPr="00225D4D" w:rsidRDefault="00D60186" w:rsidP="00225D4D">
      <w:r w:rsidRPr="00225D4D">
        <w:t xml:space="preserve">Departementet har gitt Brønnøysundregistra i oppdrag å utvikle ei digital ordning for innsyn i </w:t>
      </w:r>
      <w:proofErr w:type="spellStart"/>
      <w:r w:rsidRPr="00225D4D">
        <w:t>personopplysingane</w:t>
      </w:r>
      <w:proofErr w:type="spellEnd"/>
      <w:r w:rsidRPr="00225D4D">
        <w:t xml:space="preserve"> </w:t>
      </w:r>
      <w:proofErr w:type="spellStart"/>
      <w:r w:rsidRPr="00225D4D">
        <w:t>dei</w:t>
      </w:r>
      <w:proofErr w:type="spellEnd"/>
      <w:r w:rsidRPr="00225D4D">
        <w:t xml:space="preserve"> </w:t>
      </w:r>
      <w:proofErr w:type="spellStart"/>
      <w:r w:rsidRPr="00225D4D">
        <w:t>handsamar</w:t>
      </w:r>
      <w:proofErr w:type="spellEnd"/>
      <w:r w:rsidRPr="00225D4D">
        <w:t xml:space="preserve"> i samband med den </w:t>
      </w:r>
      <w:proofErr w:type="spellStart"/>
      <w:r w:rsidRPr="00225D4D">
        <w:t>årlege</w:t>
      </w:r>
      <w:proofErr w:type="spellEnd"/>
      <w:r w:rsidRPr="00225D4D">
        <w:t xml:space="preserve"> kontrollen av medlemslistene til trus- og livssynssamfunna. Målet er at løysinga skal lanserast </w:t>
      </w:r>
      <w:proofErr w:type="spellStart"/>
      <w:r w:rsidRPr="00225D4D">
        <w:t>innan</w:t>
      </w:r>
      <w:proofErr w:type="spellEnd"/>
      <w:r w:rsidRPr="00225D4D">
        <w:t xml:space="preserve"> 31. desember 2025.</w:t>
      </w:r>
    </w:p>
    <w:p w14:paraId="17F5ADFA"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47201F78" w14:textId="77777777" w:rsidR="00D60186" w:rsidRPr="00225D4D" w:rsidRDefault="00D60186" w:rsidP="00225D4D">
      <w:pPr>
        <w:pStyle w:val="avsnitt-tittel"/>
      </w:pPr>
      <w:r w:rsidRPr="00225D4D">
        <w:t xml:space="preserve">Stanse samvær som </w:t>
      </w:r>
      <w:proofErr w:type="spellStart"/>
      <w:r w:rsidRPr="00225D4D">
        <w:t>ikkje</w:t>
      </w:r>
      <w:proofErr w:type="spellEnd"/>
      <w:r w:rsidRPr="00225D4D">
        <w:t xml:space="preserve"> er til det beste for barnet i barnevernet</w:t>
      </w:r>
    </w:p>
    <w:p w14:paraId="36641BA8" w14:textId="77777777" w:rsidR="00D60186" w:rsidRPr="00225D4D" w:rsidRDefault="00D60186" w:rsidP="00225D4D">
      <w:pPr>
        <w:pStyle w:val="avsnitt-undertittel"/>
      </w:pPr>
      <w:r w:rsidRPr="00225D4D">
        <w:t>Vedtak 440, 14. januar 2025</w:t>
      </w:r>
    </w:p>
    <w:p w14:paraId="3985C670" w14:textId="77777777" w:rsidR="00D60186" w:rsidRPr="00225D4D" w:rsidRDefault="00D60186" w:rsidP="00225D4D">
      <w:pPr>
        <w:pStyle w:val="blokksit"/>
      </w:pPr>
      <w:r w:rsidRPr="00225D4D">
        <w:t>«</w:t>
      </w:r>
      <w:r w:rsidRPr="00225D4D">
        <w:rPr>
          <w:rStyle w:val="kursiv"/>
        </w:rPr>
        <w:t>Stortinget ber regjeringen utrede hvordan man kan senke terskelen for at barnevernet kan stanse samvær som ikke er til barnets beste.</w:t>
      </w:r>
      <w:r w:rsidRPr="00225D4D">
        <w:t>»</w:t>
      </w:r>
    </w:p>
    <w:p w14:paraId="5C1A7853"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Meld. St. 29 (2023–2024) </w:t>
      </w:r>
      <w:r w:rsidRPr="00225D4D">
        <w:rPr>
          <w:rStyle w:val="kursiv"/>
        </w:rPr>
        <w:t xml:space="preserve">Fosterheim – </w:t>
      </w:r>
      <w:proofErr w:type="spellStart"/>
      <w:r w:rsidRPr="00225D4D">
        <w:rPr>
          <w:rStyle w:val="kursiv"/>
        </w:rPr>
        <w:t>ein</w:t>
      </w:r>
      <w:proofErr w:type="spellEnd"/>
      <w:r w:rsidRPr="00225D4D">
        <w:rPr>
          <w:rStyle w:val="kursiv"/>
        </w:rPr>
        <w:t xml:space="preserve"> trygg heim å bu i</w:t>
      </w:r>
      <w:r w:rsidRPr="00225D4D">
        <w:t xml:space="preserve">, jf. </w:t>
      </w:r>
      <w:proofErr w:type="spellStart"/>
      <w:r w:rsidRPr="00225D4D">
        <w:t>Innst</w:t>
      </w:r>
      <w:proofErr w:type="spellEnd"/>
      <w:r w:rsidRPr="00225D4D">
        <w:t>. 110 S (2024–2025).</w:t>
      </w:r>
    </w:p>
    <w:p w14:paraId="7E86E67C" w14:textId="77777777" w:rsidR="00D60186" w:rsidRPr="00225D4D" w:rsidRDefault="00D60186" w:rsidP="00225D4D">
      <w:r w:rsidRPr="00225D4D">
        <w:t xml:space="preserve">Stortinget har ved handsaminga av </w:t>
      </w:r>
      <w:proofErr w:type="spellStart"/>
      <w:r w:rsidRPr="00225D4D">
        <w:t>Prop</w:t>
      </w:r>
      <w:proofErr w:type="spellEnd"/>
      <w:r w:rsidRPr="00225D4D">
        <w:t xml:space="preserve">. 83 L (2024–2025) </w:t>
      </w:r>
      <w:proofErr w:type="spellStart"/>
      <w:r w:rsidRPr="00225D4D">
        <w:t>vidare</w:t>
      </w:r>
      <w:proofErr w:type="spellEnd"/>
      <w:r w:rsidRPr="00225D4D">
        <w:t xml:space="preserve"> slutta seg til forslaget </w:t>
      </w:r>
      <w:proofErr w:type="spellStart"/>
      <w:r w:rsidRPr="00225D4D">
        <w:t>frå</w:t>
      </w:r>
      <w:proofErr w:type="spellEnd"/>
      <w:r w:rsidRPr="00225D4D">
        <w:t xml:space="preserve"> departementet om </w:t>
      </w:r>
      <w:proofErr w:type="spellStart"/>
      <w:r w:rsidRPr="00225D4D">
        <w:t>ein</w:t>
      </w:r>
      <w:proofErr w:type="spellEnd"/>
      <w:r w:rsidRPr="00225D4D">
        <w:t xml:space="preserve"> heimel for mellombels stans av </w:t>
      </w:r>
      <w:proofErr w:type="spellStart"/>
      <w:r w:rsidRPr="00225D4D">
        <w:t>skadeleg</w:t>
      </w:r>
      <w:proofErr w:type="spellEnd"/>
      <w:r w:rsidRPr="00225D4D">
        <w:t xml:space="preserve"> samvær. I tillegg </w:t>
      </w:r>
      <w:proofErr w:type="spellStart"/>
      <w:r w:rsidRPr="00225D4D">
        <w:t>varslar</w:t>
      </w:r>
      <w:proofErr w:type="spellEnd"/>
      <w:r w:rsidRPr="00225D4D">
        <w:t xml:space="preserve"> departementet i lovproposisjonen ei utgreiing av </w:t>
      </w:r>
      <w:proofErr w:type="spellStart"/>
      <w:r w:rsidRPr="00225D4D">
        <w:t>regelverksendringar</w:t>
      </w:r>
      <w:proofErr w:type="spellEnd"/>
      <w:r w:rsidRPr="00225D4D">
        <w:t xml:space="preserve"> og andre tiltak for å ivareta barn som har sterk motstand mot samvær.</w:t>
      </w:r>
    </w:p>
    <w:p w14:paraId="18451730" w14:textId="77777777" w:rsidR="00D60186" w:rsidRPr="00225D4D" w:rsidRDefault="00D60186" w:rsidP="00225D4D">
      <w:r w:rsidRPr="00225D4D">
        <w:t xml:space="preserve">Departementet vil orientere Stortinget om den </w:t>
      </w:r>
      <w:proofErr w:type="spellStart"/>
      <w:r w:rsidRPr="00225D4D">
        <w:t>vidare</w:t>
      </w:r>
      <w:proofErr w:type="spellEnd"/>
      <w:r w:rsidRPr="00225D4D">
        <w:t xml:space="preserve"> oppfølginga av vedtaket på eigna vis.</w:t>
      </w:r>
    </w:p>
    <w:p w14:paraId="2D9754E5" w14:textId="77777777" w:rsidR="00D60186" w:rsidRPr="00225D4D" w:rsidRDefault="00D60186" w:rsidP="00225D4D">
      <w:pPr>
        <w:pStyle w:val="avsnitt-tittel"/>
      </w:pPr>
      <w:proofErr w:type="spellStart"/>
      <w:r w:rsidRPr="00225D4D">
        <w:t>Styrkje</w:t>
      </w:r>
      <w:proofErr w:type="spellEnd"/>
      <w:r w:rsidRPr="00225D4D">
        <w:t xml:space="preserve"> </w:t>
      </w:r>
      <w:proofErr w:type="spellStart"/>
      <w:r w:rsidRPr="00225D4D">
        <w:t>partsrettane</w:t>
      </w:r>
      <w:proofErr w:type="spellEnd"/>
      <w:r w:rsidRPr="00225D4D">
        <w:t xml:space="preserve"> til fosterbarn og fosterforeldre</w:t>
      </w:r>
    </w:p>
    <w:p w14:paraId="21A0A178" w14:textId="77777777" w:rsidR="00D60186" w:rsidRPr="00225D4D" w:rsidRDefault="00D60186" w:rsidP="00225D4D">
      <w:pPr>
        <w:pStyle w:val="avsnitt-undertittel"/>
      </w:pPr>
      <w:r w:rsidRPr="00225D4D">
        <w:t>Vedtak 441, 14. januar 2025</w:t>
      </w:r>
    </w:p>
    <w:p w14:paraId="2A5F4EFD" w14:textId="77777777" w:rsidR="00D60186" w:rsidRPr="00225D4D" w:rsidRDefault="00D60186" w:rsidP="00225D4D">
      <w:pPr>
        <w:pStyle w:val="blokksit"/>
      </w:pPr>
      <w:r w:rsidRPr="00225D4D">
        <w:t>«</w:t>
      </w:r>
      <w:r w:rsidRPr="00225D4D">
        <w:rPr>
          <w:rStyle w:val="kursiv"/>
        </w:rPr>
        <w:t>Stortinget ber regjeringen utrede hvordan man kan styrke partsrettighetene til fosterbarn og fosterforeldre ved flytting og/eller tilbakeføring.</w:t>
      </w:r>
      <w:r w:rsidRPr="00225D4D">
        <w:t>»</w:t>
      </w:r>
    </w:p>
    <w:p w14:paraId="256603F2"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Meld. St. 29 (2023–2024) </w:t>
      </w:r>
      <w:r w:rsidRPr="00225D4D">
        <w:rPr>
          <w:rStyle w:val="kursiv"/>
        </w:rPr>
        <w:t xml:space="preserve">Fosterheim – </w:t>
      </w:r>
      <w:proofErr w:type="spellStart"/>
      <w:r w:rsidRPr="00225D4D">
        <w:rPr>
          <w:rStyle w:val="kursiv"/>
        </w:rPr>
        <w:t>ein</w:t>
      </w:r>
      <w:proofErr w:type="spellEnd"/>
      <w:r w:rsidRPr="00225D4D">
        <w:rPr>
          <w:rStyle w:val="kursiv"/>
        </w:rPr>
        <w:t xml:space="preserve"> trygg heim å bu i</w:t>
      </w:r>
      <w:r w:rsidRPr="00225D4D">
        <w:t xml:space="preserve">, jf. </w:t>
      </w:r>
      <w:proofErr w:type="spellStart"/>
      <w:r w:rsidRPr="00225D4D">
        <w:t>Innst</w:t>
      </w:r>
      <w:proofErr w:type="spellEnd"/>
      <w:r w:rsidRPr="00225D4D">
        <w:t>. 110 S (2024–2025).</w:t>
      </w:r>
    </w:p>
    <w:p w14:paraId="55B2320E" w14:textId="77777777" w:rsidR="00D60186" w:rsidRPr="00225D4D" w:rsidRDefault="00D60186" w:rsidP="00225D4D">
      <w:r w:rsidRPr="00225D4D">
        <w:t xml:space="preserve">Stortinget har ved handsaminga av </w:t>
      </w:r>
      <w:proofErr w:type="spellStart"/>
      <w:r w:rsidRPr="00225D4D">
        <w:t>Prop</w:t>
      </w:r>
      <w:proofErr w:type="spellEnd"/>
      <w:r w:rsidRPr="00225D4D">
        <w:t xml:space="preserve">. 83 L (2024–2025) slutta seg til forslag som gir fosterforeldre og fosterbarn rett til å klage på vedtak om flytting </w:t>
      </w:r>
      <w:proofErr w:type="spellStart"/>
      <w:r w:rsidRPr="00225D4D">
        <w:t>frå</w:t>
      </w:r>
      <w:proofErr w:type="spellEnd"/>
      <w:r w:rsidRPr="00225D4D">
        <w:t xml:space="preserve"> fosterheimen. Departementet vil vurdere </w:t>
      </w:r>
      <w:proofErr w:type="spellStart"/>
      <w:r w:rsidRPr="00225D4D">
        <w:t>nærare</w:t>
      </w:r>
      <w:proofErr w:type="spellEnd"/>
      <w:r w:rsidRPr="00225D4D">
        <w:t xml:space="preserve"> korleis </w:t>
      </w:r>
      <w:proofErr w:type="spellStart"/>
      <w:r w:rsidRPr="00225D4D">
        <w:t>rettane</w:t>
      </w:r>
      <w:proofErr w:type="spellEnd"/>
      <w:r w:rsidRPr="00225D4D">
        <w:t xml:space="preserve"> til fosterforeldre kan bli styrkte i saker som </w:t>
      </w:r>
      <w:proofErr w:type="spellStart"/>
      <w:r w:rsidRPr="00225D4D">
        <w:t>gjeld</w:t>
      </w:r>
      <w:proofErr w:type="spellEnd"/>
      <w:r w:rsidRPr="00225D4D">
        <w:t xml:space="preserve"> tilbakeføring til </w:t>
      </w:r>
      <w:proofErr w:type="spellStart"/>
      <w:r w:rsidRPr="00225D4D">
        <w:t>foreldra</w:t>
      </w:r>
      <w:proofErr w:type="spellEnd"/>
      <w:r w:rsidRPr="00225D4D">
        <w:t>.</w:t>
      </w:r>
    </w:p>
    <w:p w14:paraId="30372671" w14:textId="77777777" w:rsidR="00D60186" w:rsidRPr="00225D4D" w:rsidRDefault="00D60186" w:rsidP="00225D4D">
      <w:r w:rsidRPr="00225D4D">
        <w:t xml:space="preserve">Departementet vil orientere Stortinget om den </w:t>
      </w:r>
      <w:proofErr w:type="spellStart"/>
      <w:r w:rsidRPr="00225D4D">
        <w:t>vidare</w:t>
      </w:r>
      <w:proofErr w:type="spellEnd"/>
      <w:r w:rsidRPr="00225D4D">
        <w:t xml:space="preserve"> oppfølginga av vedtaket på eigna vis. Sjå òg oppfølging av vedtak 1 004 av 11. juni 2025.</w:t>
      </w:r>
    </w:p>
    <w:p w14:paraId="4ECA9158" w14:textId="77777777" w:rsidR="00D60186" w:rsidRPr="00225D4D" w:rsidRDefault="00D60186" w:rsidP="00225D4D">
      <w:pPr>
        <w:pStyle w:val="avsnitt-tittel"/>
      </w:pPr>
      <w:r w:rsidRPr="00225D4D">
        <w:t xml:space="preserve">Kommunale samarbeidsprosjekt for </w:t>
      </w:r>
      <w:proofErr w:type="spellStart"/>
      <w:r w:rsidRPr="00225D4D">
        <w:t>ein</w:t>
      </w:r>
      <w:proofErr w:type="spellEnd"/>
      <w:r w:rsidRPr="00225D4D">
        <w:t>-til-</w:t>
      </w:r>
      <w:proofErr w:type="spellStart"/>
      <w:r w:rsidRPr="00225D4D">
        <w:t>ein</w:t>
      </w:r>
      <w:proofErr w:type="spellEnd"/>
      <w:r w:rsidRPr="00225D4D">
        <w:t>-oppfølging av unge i faresona for kriminalitet</w:t>
      </w:r>
    </w:p>
    <w:p w14:paraId="4C36C412" w14:textId="77777777" w:rsidR="00D60186" w:rsidRPr="00225D4D" w:rsidRDefault="00D60186" w:rsidP="00225D4D">
      <w:pPr>
        <w:pStyle w:val="avsnitt-undertittel"/>
      </w:pPr>
      <w:r w:rsidRPr="00225D4D">
        <w:t>Vedtak 472, 20. februar 2025</w:t>
      </w:r>
    </w:p>
    <w:p w14:paraId="6C0CBDFA" w14:textId="77777777" w:rsidR="00D60186" w:rsidRPr="00225D4D" w:rsidRDefault="00D60186" w:rsidP="00225D4D">
      <w:pPr>
        <w:pStyle w:val="blokksit"/>
      </w:pPr>
      <w:r w:rsidRPr="00225D4D">
        <w:t>«</w:t>
      </w:r>
      <w:r w:rsidRPr="00225D4D">
        <w:rPr>
          <w:rStyle w:val="kursiv"/>
        </w:rPr>
        <w:t>Stortinget ber regjeringen i forbindelse med statsbudsjettet for 2026 initiere tiltak for å realisere flere kommunale samarbeidsprosjekter for én-til-én-oppfølging av unge i faresonen for kriminalitet.</w:t>
      </w:r>
      <w:r w:rsidRPr="00225D4D">
        <w:t>»</w:t>
      </w:r>
    </w:p>
    <w:p w14:paraId="3FE11F0D"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w:t>
      </w:r>
      <w:proofErr w:type="spellStart"/>
      <w:r w:rsidRPr="00225D4D">
        <w:t>ein</w:t>
      </w:r>
      <w:proofErr w:type="spellEnd"/>
      <w:r w:rsidRPr="00225D4D">
        <w:t xml:space="preserve"> forsterka kamp mot ungdomskriminalitet, jf. </w:t>
      </w:r>
      <w:proofErr w:type="spellStart"/>
      <w:r w:rsidRPr="00225D4D">
        <w:t>Dok</w:t>
      </w:r>
      <w:proofErr w:type="spellEnd"/>
      <w:r w:rsidRPr="00225D4D">
        <w:t>. 8:7 S (2024–2025).</w:t>
      </w:r>
    </w:p>
    <w:p w14:paraId="3A70F9AF" w14:textId="77777777" w:rsidR="00D60186" w:rsidRPr="00225D4D" w:rsidRDefault="00D60186" w:rsidP="00225D4D">
      <w:r w:rsidRPr="00225D4D">
        <w:t xml:space="preserve">I Revidert nasjonalbudsjett i 2025 vart det løyvd 12 mill. kroner til </w:t>
      </w:r>
      <w:proofErr w:type="spellStart"/>
      <w:r w:rsidRPr="00225D4D">
        <w:t>kommunane</w:t>
      </w:r>
      <w:proofErr w:type="spellEnd"/>
      <w:r w:rsidRPr="00225D4D">
        <w:t xml:space="preserve"> Oslo, Bergen, Trondheim og Stavanger for å starte arbeidet med </w:t>
      </w:r>
      <w:proofErr w:type="spellStart"/>
      <w:r w:rsidRPr="00225D4D">
        <w:t>ein</w:t>
      </w:r>
      <w:proofErr w:type="spellEnd"/>
      <w:r w:rsidRPr="00225D4D">
        <w:t>-til-</w:t>
      </w:r>
      <w:proofErr w:type="spellStart"/>
      <w:r w:rsidRPr="00225D4D">
        <w:t>ein</w:t>
      </w:r>
      <w:proofErr w:type="spellEnd"/>
      <w:r w:rsidRPr="00225D4D">
        <w:t xml:space="preserve">-oppfølging. I budsjettforslaget for 2026 er det </w:t>
      </w:r>
      <w:proofErr w:type="spellStart"/>
      <w:r w:rsidRPr="00225D4D">
        <w:t>føreslått</w:t>
      </w:r>
      <w:proofErr w:type="spellEnd"/>
      <w:r w:rsidRPr="00225D4D">
        <w:t xml:space="preserve"> å </w:t>
      </w:r>
      <w:proofErr w:type="spellStart"/>
      <w:r w:rsidRPr="00225D4D">
        <w:t>styrkje</w:t>
      </w:r>
      <w:proofErr w:type="spellEnd"/>
      <w:r w:rsidRPr="00225D4D">
        <w:t xml:space="preserve"> arbeidet </w:t>
      </w:r>
      <w:proofErr w:type="spellStart"/>
      <w:r w:rsidRPr="00225D4D">
        <w:t>ytterlegare</w:t>
      </w:r>
      <w:proofErr w:type="spellEnd"/>
      <w:r w:rsidRPr="00225D4D">
        <w:t xml:space="preserve"> med 90 mill. kroner, sjå </w:t>
      </w:r>
      <w:proofErr w:type="spellStart"/>
      <w:r w:rsidRPr="00225D4D">
        <w:t>nærare</w:t>
      </w:r>
      <w:proofErr w:type="spellEnd"/>
      <w:r w:rsidRPr="00225D4D">
        <w:t xml:space="preserve"> omtale under programkategori 11.10.</w:t>
      </w:r>
    </w:p>
    <w:p w14:paraId="1B277EC0"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55364CDD" w14:textId="77777777" w:rsidR="00D60186" w:rsidRPr="00225D4D" w:rsidRDefault="00D60186" w:rsidP="00225D4D">
      <w:pPr>
        <w:pStyle w:val="avsnitt-tittel"/>
      </w:pPr>
      <w:r w:rsidRPr="00225D4D">
        <w:t xml:space="preserve">Tilpassa bu- og </w:t>
      </w:r>
      <w:proofErr w:type="spellStart"/>
      <w:r w:rsidRPr="00225D4D">
        <w:t>rehabiliteringstilbod</w:t>
      </w:r>
      <w:proofErr w:type="spellEnd"/>
      <w:r w:rsidRPr="00225D4D">
        <w:t xml:space="preserve"> for barn som </w:t>
      </w:r>
      <w:proofErr w:type="spellStart"/>
      <w:r w:rsidRPr="00225D4D">
        <w:t>gjer</w:t>
      </w:r>
      <w:proofErr w:type="spellEnd"/>
      <w:r w:rsidRPr="00225D4D">
        <w:t xml:space="preserve"> seg skuldig i </w:t>
      </w:r>
      <w:proofErr w:type="spellStart"/>
      <w:r w:rsidRPr="00225D4D">
        <w:t>alvorleg</w:t>
      </w:r>
      <w:proofErr w:type="spellEnd"/>
      <w:r w:rsidRPr="00225D4D">
        <w:t xml:space="preserve"> kriminalitet</w:t>
      </w:r>
    </w:p>
    <w:p w14:paraId="1F2F8E35" w14:textId="77777777" w:rsidR="00D60186" w:rsidRPr="00225D4D" w:rsidRDefault="00D60186" w:rsidP="00225D4D">
      <w:pPr>
        <w:pStyle w:val="avsnitt-undertittel"/>
      </w:pPr>
      <w:r w:rsidRPr="00225D4D">
        <w:t>Vedtak 477, 20. februar 2025</w:t>
      </w:r>
    </w:p>
    <w:p w14:paraId="7E6F4B83" w14:textId="77777777" w:rsidR="00D60186" w:rsidRPr="00225D4D" w:rsidRDefault="00D60186" w:rsidP="00225D4D">
      <w:pPr>
        <w:pStyle w:val="blokksit"/>
      </w:pPr>
      <w:r w:rsidRPr="00225D4D">
        <w:t>«</w:t>
      </w:r>
      <w:r w:rsidRPr="00225D4D">
        <w:rPr>
          <w:rStyle w:val="kursiv"/>
        </w:rPr>
        <w:t>Stortinget ber regjeringen komme tilbake til Stortinget med forslag om et tilpasset bo- og rehabiliteringstilbud for barn under den strafferettslige lavalderen som begår gjentatt og alvorlig kriminalitet.</w:t>
      </w:r>
      <w:r w:rsidRPr="00225D4D">
        <w:t>»</w:t>
      </w:r>
    </w:p>
    <w:p w14:paraId="0EB0CCA4"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w:t>
      </w:r>
      <w:proofErr w:type="spellStart"/>
      <w:r w:rsidRPr="00225D4D">
        <w:t>ein</w:t>
      </w:r>
      <w:proofErr w:type="spellEnd"/>
      <w:r w:rsidRPr="00225D4D">
        <w:t xml:space="preserve"> forsterka kamp mot ungdomskriminalitet, jf. </w:t>
      </w:r>
      <w:proofErr w:type="spellStart"/>
      <w:r w:rsidRPr="00225D4D">
        <w:t>Dok</w:t>
      </w:r>
      <w:proofErr w:type="spellEnd"/>
      <w:r w:rsidRPr="00225D4D">
        <w:t>. 8:7 S (2024–2025).</w:t>
      </w:r>
    </w:p>
    <w:p w14:paraId="2FA7605C" w14:textId="77777777" w:rsidR="00D60186" w:rsidRPr="00225D4D" w:rsidRDefault="00D60186" w:rsidP="00225D4D">
      <w:r w:rsidRPr="00225D4D">
        <w:t xml:space="preserve">I vente på ekspertutgreiinga om tiltak retta mot gruppa som </w:t>
      </w:r>
      <w:proofErr w:type="spellStart"/>
      <w:r w:rsidRPr="00225D4D">
        <w:t>gjer</w:t>
      </w:r>
      <w:proofErr w:type="spellEnd"/>
      <w:r w:rsidRPr="00225D4D">
        <w:t xml:space="preserve"> seg skuldig i gjenteken eller </w:t>
      </w:r>
      <w:proofErr w:type="spellStart"/>
      <w:r w:rsidRPr="00225D4D">
        <w:t>alvorleg</w:t>
      </w:r>
      <w:proofErr w:type="spellEnd"/>
      <w:r w:rsidRPr="00225D4D">
        <w:t xml:space="preserve"> kriminalitet, </w:t>
      </w:r>
      <w:proofErr w:type="spellStart"/>
      <w:r w:rsidRPr="00225D4D">
        <w:t>vart</w:t>
      </w:r>
      <w:proofErr w:type="spellEnd"/>
      <w:r w:rsidRPr="00225D4D">
        <w:t xml:space="preserve"> det sett av 20 mill. kroner i 2025 til å pilotere </w:t>
      </w:r>
      <w:proofErr w:type="spellStart"/>
      <w:r w:rsidRPr="00225D4D">
        <w:t>eit</w:t>
      </w:r>
      <w:proofErr w:type="spellEnd"/>
      <w:r w:rsidRPr="00225D4D">
        <w:t xml:space="preserve"> forsterka </w:t>
      </w:r>
      <w:proofErr w:type="spellStart"/>
      <w:r w:rsidRPr="00225D4D">
        <w:t>institusjonstilbod</w:t>
      </w:r>
      <w:proofErr w:type="spellEnd"/>
      <w:r w:rsidRPr="00225D4D">
        <w:t xml:space="preserve"> for barn med store og samansette behov, inkludert barn med gjenteken eller </w:t>
      </w:r>
      <w:proofErr w:type="spellStart"/>
      <w:r w:rsidRPr="00225D4D">
        <w:t>alvorleg</w:t>
      </w:r>
      <w:proofErr w:type="spellEnd"/>
      <w:r w:rsidRPr="00225D4D">
        <w:t xml:space="preserve"> kriminalitet. Den 7. mars 2025 </w:t>
      </w:r>
      <w:proofErr w:type="spellStart"/>
      <w:r w:rsidRPr="00225D4D">
        <w:t>opna</w:t>
      </w:r>
      <w:proofErr w:type="spellEnd"/>
      <w:r w:rsidRPr="00225D4D">
        <w:t xml:space="preserve"> </w:t>
      </w:r>
      <w:proofErr w:type="spellStart"/>
      <w:r w:rsidRPr="00225D4D">
        <w:t>eit</w:t>
      </w:r>
      <w:proofErr w:type="spellEnd"/>
      <w:r w:rsidRPr="00225D4D">
        <w:t xml:space="preserve"> nytt </w:t>
      </w:r>
      <w:proofErr w:type="spellStart"/>
      <w:r w:rsidRPr="00225D4D">
        <w:t>institusjonstilbod</w:t>
      </w:r>
      <w:proofErr w:type="spellEnd"/>
      <w:r w:rsidRPr="00225D4D">
        <w:t xml:space="preserve"> i Vestby kommune som </w:t>
      </w:r>
      <w:proofErr w:type="spellStart"/>
      <w:r w:rsidRPr="00225D4D">
        <w:t>ein</w:t>
      </w:r>
      <w:proofErr w:type="spellEnd"/>
      <w:r w:rsidRPr="00225D4D">
        <w:t xml:space="preserve"> pilot. </w:t>
      </w:r>
      <w:proofErr w:type="spellStart"/>
      <w:r w:rsidRPr="00225D4D">
        <w:t>Tilbodet</w:t>
      </w:r>
      <w:proofErr w:type="spellEnd"/>
      <w:r w:rsidRPr="00225D4D">
        <w:t xml:space="preserve"> er retta mot barn som barnevernstenesta vurderer har behov for </w:t>
      </w:r>
      <w:proofErr w:type="spellStart"/>
      <w:r w:rsidRPr="00225D4D">
        <w:t>eit</w:t>
      </w:r>
      <w:proofErr w:type="spellEnd"/>
      <w:r w:rsidRPr="00225D4D">
        <w:t xml:space="preserve"> </w:t>
      </w:r>
      <w:proofErr w:type="spellStart"/>
      <w:r w:rsidRPr="00225D4D">
        <w:t>institusjonsopphald</w:t>
      </w:r>
      <w:proofErr w:type="spellEnd"/>
      <w:r w:rsidRPr="00225D4D">
        <w:t xml:space="preserve"> på bakgrunn av at barnet </w:t>
      </w:r>
      <w:proofErr w:type="spellStart"/>
      <w:r w:rsidRPr="00225D4D">
        <w:t>utset</w:t>
      </w:r>
      <w:proofErr w:type="spellEnd"/>
      <w:r w:rsidRPr="00225D4D">
        <w:t xml:space="preserve"> utviklinga si for </w:t>
      </w:r>
      <w:proofErr w:type="spellStart"/>
      <w:r w:rsidRPr="00225D4D">
        <w:t>alvorleg</w:t>
      </w:r>
      <w:proofErr w:type="spellEnd"/>
      <w:r w:rsidRPr="00225D4D">
        <w:t xml:space="preserve"> fare. Piloten gir barna i målgruppa </w:t>
      </w:r>
      <w:proofErr w:type="spellStart"/>
      <w:r w:rsidRPr="00225D4D">
        <w:t>eit</w:t>
      </w:r>
      <w:proofErr w:type="spellEnd"/>
      <w:r w:rsidRPr="00225D4D">
        <w:t xml:space="preserve"> forsterka </w:t>
      </w:r>
      <w:proofErr w:type="spellStart"/>
      <w:r w:rsidRPr="00225D4D">
        <w:t>tilbod</w:t>
      </w:r>
      <w:proofErr w:type="spellEnd"/>
      <w:r w:rsidRPr="00225D4D">
        <w:t xml:space="preserve"> </w:t>
      </w:r>
      <w:proofErr w:type="spellStart"/>
      <w:r w:rsidRPr="00225D4D">
        <w:t>innanfor</w:t>
      </w:r>
      <w:proofErr w:type="spellEnd"/>
      <w:r w:rsidRPr="00225D4D">
        <w:t xml:space="preserve"> rammene til barnevernet og i tett samarbeid med relevante </w:t>
      </w:r>
      <w:proofErr w:type="spellStart"/>
      <w:r w:rsidRPr="00225D4D">
        <w:t>samarbeidspartnarar</w:t>
      </w:r>
      <w:proofErr w:type="spellEnd"/>
      <w:r w:rsidRPr="00225D4D">
        <w:t xml:space="preserve">. Piloten er i fyrste omgang </w:t>
      </w:r>
      <w:proofErr w:type="spellStart"/>
      <w:r w:rsidRPr="00225D4D">
        <w:t>eit</w:t>
      </w:r>
      <w:proofErr w:type="spellEnd"/>
      <w:r w:rsidRPr="00225D4D">
        <w:t xml:space="preserve"> </w:t>
      </w:r>
      <w:proofErr w:type="spellStart"/>
      <w:r w:rsidRPr="00225D4D">
        <w:t>tilbod</w:t>
      </w:r>
      <w:proofErr w:type="spellEnd"/>
      <w:r w:rsidRPr="00225D4D">
        <w:t xml:space="preserve"> til barn </w:t>
      </w:r>
      <w:proofErr w:type="spellStart"/>
      <w:r w:rsidRPr="00225D4D">
        <w:t>frå</w:t>
      </w:r>
      <w:proofErr w:type="spellEnd"/>
      <w:r w:rsidRPr="00225D4D">
        <w:t xml:space="preserve"> </w:t>
      </w:r>
      <w:proofErr w:type="spellStart"/>
      <w:r w:rsidRPr="00225D4D">
        <w:t>deltakarkommunane</w:t>
      </w:r>
      <w:proofErr w:type="spellEnd"/>
      <w:r w:rsidRPr="00225D4D">
        <w:t xml:space="preserve"> Fredrikstad, Lillestrøm, Bærum og Nordre Follo.</w:t>
      </w:r>
    </w:p>
    <w:p w14:paraId="4328666A" w14:textId="77777777" w:rsidR="00D60186" w:rsidRPr="00225D4D" w:rsidRDefault="00D60186" w:rsidP="00225D4D">
      <w:r w:rsidRPr="00225D4D">
        <w:t xml:space="preserve">Det blir lagt opp til tett samarbeid med aktuelle </w:t>
      </w:r>
      <w:proofErr w:type="spellStart"/>
      <w:r w:rsidRPr="00225D4D">
        <w:t>aktørar</w:t>
      </w:r>
      <w:proofErr w:type="spellEnd"/>
      <w:r w:rsidRPr="00225D4D">
        <w:t xml:space="preserve"> rundt barna og </w:t>
      </w:r>
      <w:proofErr w:type="spellStart"/>
      <w:r w:rsidRPr="00225D4D">
        <w:t>ungdommane</w:t>
      </w:r>
      <w:proofErr w:type="spellEnd"/>
      <w:r w:rsidRPr="00225D4D">
        <w:t xml:space="preserve">, </w:t>
      </w:r>
      <w:proofErr w:type="spellStart"/>
      <w:r w:rsidRPr="00225D4D">
        <w:t>heimkommunane</w:t>
      </w:r>
      <w:proofErr w:type="spellEnd"/>
      <w:r w:rsidRPr="00225D4D">
        <w:t xml:space="preserve"> </w:t>
      </w:r>
      <w:proofErr w:type="spellStart"/>
      <w:r w:rsidRPr="00225D4D">
        <w:t>deira</w:t>
      </w:r>
      <w:proofErr w:type="spellEnd"/>
      <w:r w:rsidRPr="00225D4D">
        <w:t xml:space="preserve"> og systematisk arbeid med familie og nettverk. Det blir òg lagt opp til </w:t>
      </w:r>
      <w:proofErr w:type="spellStart"/>
      <w:r w:rsidRPr="00225D4D">
        <w:t>høgare</w:t>
      </w:r>
      <w:proofErr w:type="spellEnd"/>
      <w:r w:rsidRPr="00225D4D">
        <w:t xml:space="preserve"> bemanningstettleik i institusjonen og ei </w:t>
      </w:r>
      <w:proofErr w:type="spellStart"/>
      <w:r w:rsidRPr="00225D4D">
        <w:t>tverrfagleg</w:t>
      </w:r>
      <w:proofErr w:type="spellEnd"/>
      <w:r w:rsidRPr="00225D4D">
        <w:t xml:space="preserve"> </w:t>
      </w:r>
      <w:proofErr w:type="spellStart"/>
      <w:r w:rsidRPr="00225D4D">
        <w:t>samansetjing</w:t>
      </w:r>
      <w:proofErr w:type="spellEnd"/>
      <w:r w:rsidRPr="00225D4D">
        <w:t xml:space="preserve"> av bemanninga. Arbeidet </w:t>
      </w:r>
      <w:proofErr w:type="spellStart"/>
      <w:r w:rsidRPr="00225D4D">
        <w:t>legg</w:t>
      </w:r>
      <w:proofErr w:type="spellEnd"/>
      <w:r w:rsidRPr="00225D4D">
        <w:t xml:space="preserve"> til rette for at endringsarbeidet barnet </w:t>
      </w:r>
      <w:proofErr w:type="spellStart"/>
      <w:r w:rsidRPr="00225D4D">
        <w:t>gjer</w:t>
      </w:r>
      <w:proofErr w:type="spellEnd"/>
      <w:r w:rsidRPr="00225D4D">
        <w:t xml:space="preserve"> under </w:t>
      </w:r>
      <w:proofErr w:type="spellStart"/>
      <w:r w:rsidRPr="00225D4D">
        <w:t>opphaldet</w:t>
      </w:r>
      <w:proofErr w:type="spellEnd"/>
      <w:r w:rsidRPr="00225D4D">
        <w:t xml:space="preserve"> i institusjonen, kan </w:t>
      </w:r>
      <w:proofErr w:type="spellStart"/>
      <w:r w:rsidRPr="00225D4D">
        <w:t>halde</w:t>
      </w:r>
      <w:proofErr w:type="spellEnd"/>
      <w:r w:rsidRPr="00225D4D">
        <w:t xml:space="preserve"> fram òg etter </w:t>
      </w:r>
      <w:proofErr w:type="spellStart"/>
      <w:r w:rsidRPr="00225D4D">
        <w:t>opphaldet</w:t>
      </w:r>
      <w:proofErr w:type="spellEnd"/>
      <w:r w:rsidRPr="00225D4D">
        <w:t>.</w:t>
      </w:r>
    </w:p>
    <w:p w14:paraId="7FEDC4CC" w14:textId="77777777" w:rsidR="00D60186" w:rsidRPr="00225D4D" w:rsidRDefault="00D60186" w:rsidP="00225D4D">
      <w:r w:rsidRPr="00225D4D">
        <w:t xml:space="preserve">Straff og samfunnsvern er </w:t>
      </w:r>
      <w:proofErr w:type="spellStart"/>
      <w:r w:rsidRPr="00225D4D">
        <w:t>ikkje</w:t>
      </w:r>
      <w:proofErr w:type="spellEnd"/>
      <w:r w:rsidRPr="00225D4D">
        <w:t xml:space="preserve"> barnevernet si </w:t>
      </w:r>
      <w:proofErr w:type="spellStart"/>
      <w:r w:rsidRPr="00225D4D">
        <w:t>oppgåve</w:t>
      </w:r>
      <w:proofErr w:type="spellEnd"/>
      <w:r w:rsidRPr="00225D4D">
        <w:t xml:space="preserve">. Men regjeringa ser at det er </w:t>
      </w:r>
      <w:proofErr w:type="spellStart"/>
      <w:r w:rsidRPr="00225D4D">
        <w:t>naudsynt</w:t>
      </w:r>
      <w:proofErr w:type="spellEnd"/>
      <w:r w:rsidRPr="00225D4D">
        <w:t xml:space="preserve"> med </w:t>
      </w:r>
      <w:proofErr w:type="spellStart"/>
      <w:r w:rsidRPr="00225D4D">
        <w:t>eit</w:t>
      </w:r>
      <w:proofErr w:type="spellEnd"/>
      <w:r w:rsidRPr="00225D4D">
        <w:t xml:space="preserve"> </w:t>
      </w:r>
      <w:proofErr w:type="spellStart"/>
      <w:r w:rsidRPr="00225D4D">
        <w:t>tilbod</w:t>
      </w:r>
      <w:proofErr w:type="spellEnd"/>
      <w:r w:rsidRPr="00225D4D">
        <w:t xml:space="preserve"> som er </w:t>
      </w:r>
      <w:proofErr w:type="spellStart"/>
      <w:r w:rsidRPr="00225D4D">
        <w:t>meir</w:t>
      </w:r>
      <w:proofErr w:type="spellEnd"/>
      <w:r w:rsidRPr="00225D4D">
        <w:t xml:space="preserve"> tilpassa enn dagens </w:t>
      </w:r>
      <w:proofErr w:type="spellStart"/>
      <w:r w:rsidRPr="00225D4D">
        <w:t>barnevernsinstitusjonar</w:t>
      </w:r>
      <w:proofErr w:type="spellEnd"/>
      <w:r w:rsidRPr="00225D4D">
        <w:t xml:space="preserve"> når det </w:t>
      </w:r>
      <w:proofErr w:type="spellStart"/>
      <w:r w:rsidRPr="00225D4D">
        <w:t>gjeld</w:t>
      </w:r>
      <w:proofErr w:type="spellEnd"/>
      <w:r w:rsidRPr="00225D4D">
        <w:t xml:space="preserve"> fysisk utforming av bygg, bemanning og kompetanse, og der kvart barn får tett oppfølging av </w:t>
      </w:r>
      <w:proofErr w:type="spellStart"/>
      <w:r w:rsidRPr="00225D4D">
        <w:t>eit</w:t>
      </w:r>
      <w:proofErr w:type="spellEnd"/>
      <w:r w:rsidRPr="00225D4D">
        <w:t xml:space="preserve"> team med </w:t>
      </w:r>
      <w:proofErr w:type="spellStart"/>
      <w:r w:rsidRPr="00225D4D">
        <w:t>tverrfagleg</w:t>
      </w:r>
      <w:proofErr w:type="spellEnd"/>
      <w:r w:rsidRPr="00225D4D">
        <w:t xml:space="preserve"> kompetanse.</w:t>
      </w:r>
    </w:p>
    <w:p w14:paraId="5FA3D393" w14:textId="77777777" w:rsidR="00D60186" w:rsidRPr="00225D4D" w:rsidRDefault="00D60186" w:rsidP="00225D4D">
      <w:r w:rsidRPr="00225D4D">
        <w:t xml:space="preserve">Det er planlagt at perioden for pilotering skal vare </w:t>
      </w:r>
      <w:proofErr w:type="spellStart"/>
      <w:r w:rsidRPr="00225D4D">
        <w:t>frå</w:t>
      </w:r>
      <w:proofErr w:type="spellEnd"/>
      <w:r w:rsidRPr="00225D4D">
        <w:t xml:space="preserve"> 2025 til 2028, og det blir planlagt systematisk kunnskapsinnhenting undervegs. Departementet </w:t>
      </w:r>
      <w:proofErr w:type="spellStart"/>
      <w:r w:rsidRPr="00225D4D">
        <w:t>legg</w:t>
      </w:r>
      <w:proofErr w:type="spellEnd"/>
      <w:r w:rsidRPr="00225D4D">
        <w:t xml:space="preserve"> til grunn at piloten i Vestby kommune </w:t>
      </w:r>
      <w:proofErr w:type="spellStart"/>
      <w:r w:rsidRPr="00225D4D">
        <w:t>svarar</w:t>
      </w:r>
      <w:proofErr w:type="spellEnd"/>
      <w:r w:rsidRPr="00225D4D">
        <w:t xml:space="preserve"> til den type </w:t>
      </w:r>
      <w:proofErr w:type="spellStart"/>
      <w:r w:rsidRPr="00225D4D">
        <w:t>institusjonar</w:t>
      </w:r>
      <w:proofErr w:type="spellEnd"/>
      <w:r w:rsidRPr="00225D4D">
        <w:t xml:space="preserve"> </w:t>
      </w:r>
      <w:proofErr w:type="spellStart"/>
      <w:r w:rsidRPr="00225D4D">
        <w:t>utvalet</w:t>
      </w:r>
      <w:proofErr w:type="spellEnd"/>
      <w:r w:rsidRPr="00225D4D">
        <w:t xml:space="preserve"> tilrår å pilotere for barn i </w:t>
      </w:r>
      <w:proofErr w:type="spellStart"/>
      <w:r w:rsidRPr="00225D4D">
        <w:t>høg</w:t>
      </w:r>
      <w:proofErr w:type="spellEnd"/>
      <w:r w:rsidRPr="00225D4D">
        <w:t xml:space="preserve"> risiko.</w:t>
      </w:r>
    </w:p>
    <w:p w14:paraId="2AF885D8" w14:textId="77777777" w:rsidR="00D60186" w:rsidRPr="00225D4D" w:rsidRDefault="00D60186" w:rsidP="00225D4D">
      <w:r w:rsidRPr="00225D4D">
        <w:t xml:space="preserve">Departementet vil orientere Stortinget om den </w:t>
      </w:r>
      <w:proofErr w:type="spellStart"/>
      <w:r w:rsidRPr="00225D4D">
        <w:t>vidare</w:t>
      </w:r>
      <w:proofErr w:type="spellEnd"/>
      <w:r w:rsidRPr="00225D4D">
        <w:t xml:space="preserve"> oppfølginga av vedtaket på eigna vis.</w:t>
      </w:r>
    </w:p>
    <w:p w14:paraId="1B338856" w14:textId="77777777" w:rsidR="00D60186" w:rsidRPr="00225D4D" w:rsidRDefault="00D60186" w:rsidP="00225D4D">
      <w:pPr>
        <w:pStyle w:val="avsnitt-tittel"/>
      </w:pPr>
      <w:r w:rsidRPr="00225D4D">
        <w:t>Tilgang til informasjon i saker om samvær</w:t>
      </w:r>
    </w:p>
    <w:p w14:paraId="23020F0E" w14:textId="77777777" w:rsidR="00D60186" w:rsidRPr="00225D4D" w:rsidRDefault="00D60186" w:rsidP="00225D4D">
      <w:pPr>
        <w:pStyle w:val="avsnitt-undertittel"/>
      </w:pPr>
      <w:r w:rsidRPr="00225D4D">
        <w:t>Vedtak 514, 18. mars 2025</w:t>
      </w:r>
    </w:p>
    <w:p w14:paraId="21084E53" w14:textId="77777777" w:rsidR="00D60186" w:rsidRPr="00225D4D" w:rsidRDefault="00D60186" w:rsidP="00225D4D">
      <w:pPr>
        <w:pStyle w:val="blokksit"/>
      </w:pPr>
      <w:r w:rsidRPr="00225D4D">
        <w:t>«</w:t>
      </w:r>
      <w:r w:rsidRPr="00225D4D">
        <w:rPr>
          <w:rStyle w:val="kursiv"/>
        </w:rPr>
        <w:t>Stortinget ber regjeringen utrede hvordan det i saker om samvær kan sikres at barnevernet, domstolene og sakkyndige alltid innhenter og får tilgang til all relevant informasjon som omhandler vold og overgrep mot barn og unge, om det bør innføres en varslingsplikt for påtalemyndigheten, samt om andre enn foreldre, f.eks. barnevernet, kan gis søksmålskompetanse for å styrke barns rettssikkerhet i spørsmål om barnefordeling og samvær.</w:t>
      </w:r>
      <w:r w:rsidRPr="00225D4D">
        <w:t>»</w:t>
      </w:r>
    </w:p>
    <w:p w14:paraId="56B18F82"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samværsrett, jf. </w:t>
      </w:r>
      <w:proofErr w:type="spellStart"/>
      <w:r w:rsidRPr="00225D4D">
        <w:t>Dok</w:t>
      </w:r>
      <w:proofErr w:type="spellEnd"/>
      <w:r w:rsidRPr="00225D4D">
        <w:t xml:space="preserve"> 8:15 S (2024–2025) og </w:t>
      </w:r>
      <w:proofErr w:type="spellStart"/>
      <w:r w:rsidRPr="00225D4D">
        <w:t>Innst</w:t>
      </w:r>
      <w:proofErr w:type="spellEnd"/>
      <w:r w:rsidRPr="00225D4D">
        <w:t xml:space="preserve">. 154 S (2024–2025). Stortinget vedtok ny barnelov den 16. juni 2025. Oppmodingsvedtaket kom for seint til å bli </w:t>
      </w:r>
      <w:proofErr w:type="spellStart"/>
      <w:r w:rsidRPr="00225D4D">
        <w:t>følgt</w:t>
      </w:r>
      <w:proofErr w:type="spellEnd"/>
      <w:r w:rsidRPr="00225D4D">
        <w:t xml:space="preserve"> opp i </w:t>
      </w:r>
      <w:proofErr w:type="spellStart"/>
      <w:r w:rsidRPr="00225D4D">
        <w:t>Prop</w:t>
      </w:r>
      <w:proofErr w:type="spellEnd"/>
      <w:r w:rsidRPr="00225D4D">
        <w:t xml:space="preserve">. 117 L (2024–2025) </w:t>
      </w:r>
      <w:r w:rsidRPr="00225D4D">
        <w:rPr>
          <w:rStyle w:val="kursiv"/>
        </w:rPr>
        <w:t>Lov om barn og foreldre (barnelova)</w:t>
      </w:r>
      <w:r w:rsidRPr="00225D4D">
        <w:t xml:space="preserve">. BFD vil sjå oppfølginga av vedtaket i samband med nye oppmodingsvedtak </w:t>
      </w:r>
      <w:proofErr w:type="spellStart"/>
      <w:r w:rsidRPr="00225D4D">
        <w:t>frå</w:t>
      </w:r>
      <w:proofErr w:type="spellEnd"/>
      <w:r w:rsidRPr="00225D4D">
        <w:t xml:space="preserve"> då Stortinget handsama ny barnelov. Departementet vil orientere Stortinget om den </w:t>
      </w:r>
      <w:proofErr w:type="spellStart"/>
      <w:r w:rsidRPr="00225D4D">
        <w:t>vidare</w:t>
      </w:r>
      <w:proofErr w:type="spellEnd"/>
      <w:r w:rsidRPr="00225D4D">
        <w:t xml:space="preserve"> oppfølginga av vedtaket på eigna vis.</w:t>
      </w:r>
    </w:p>
    <w:p w14:paraId="74DB4165" w14:textId="77777777" w:rsidR="00D60186" w:rsidRPr="00225D4D" w:rsidRDefault="00D60186" w:rsidP="00225D4D">
      <w:pPr>
        <w:pStyle w:val="avsnitt-tittel"/>
      </w:pPr>
      <w:r w:rsidRPr="00225D4D">
        <w:t>Beskytte barn og unge mot vald og overgrep i samband med samvær</w:t>
      </w:r>
    </w:p>
    <w:p w14:paraId="1A68B15C" w14:textId="77777777" w:rsidR="00D60186" w:rsidRPr="00225D4D" w:rsidRDefault="00D60186" w:rsidP="00225D4D">
      <w:pPr>
        <w:pStyle w:val="avsnitt-undertittel"/>
      </w:pPr>
      <w:r w:rsidRPr="00225D4D">
        <w:t>Vedtak 515, 18. mars 2025</w:t>
      </w:r>
    </w:p>
    <w:p w14:paraId="3D68DF07" w14:textId="77777777" w:rsidR="00D60186" w:rsidRPr="00225D4D" w:rsidRDefault="00D60186" w:rsidP="00225D4D">
      <w:pPr>
        <w:pStyle w:val="blokksit"/>
      </w:pPr>
      <w:r w:rsidRPr="00225D4D">
        <w:t>«</w:t>
      </w:r>
      <w:r w:rsidRPr="00225D4D">
        <w:rPr>
          <w:rStyle w:val="kursiv"/>
        </w:rPr>
        <w:t>Stortinget ber regjeringen sikre at barn og unges rett til beskyttelse mot vold og overgrep styrkes i ny barnelov, samt sørge for en gjennomgang av, og ved behov foreslå nødvendige endringer i annet relevant lovverk, slik at personer dømt for overgrep mot barn normalt ikke skal ha samvær med egne barn.</w:t>
      </w:r>
      <w:r w:rsidRPr="00225D4D">
        <w:t>»</w:t>
      </w:r>
    </w:p>
    <w:p w14:paraId="7B40E9C1"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samværsrett, jf. </w:t>
      </w:r>
      <w:proofErr w:type="spellStart"/>
      <w:r w:rsidRPr="00225D4D">
        <w:t>Dok</w:t>
      </w:r>
      <w:proofErr w:type="spellEnd"/>
      <w:r w:rsidRPr="00225D4D">
        <w:t xml:space="preserve"> 8:15 S (2024–2025) og </w:t>
      </w:r>
      <w:proofErr w:type="spellStart"/>
      <w:r w:rsidRPr="00225D4D">
        <w:t>Innst</w:t>
      </w:r>
      <w:proofErr w:type="spellEnd"/>
      <w:r w:rsidRPr="00225D4D">
        <w:t>. 154 S (2024–2025). Stortinget vedtok ny barnelov den 16. juni 2025.</w:t>
      </w:r>
    </w:p>
    <w:p w14:paraId="045485A1" w14:textId="77777777" w:rsidR="00D60186" w:rsidRPr="00225D4D" w:rsidRDefault="00D60186" w:rsidP="00225D4D">
      <w:r w:rsidRPr="00225D4D">
        <w:t xml:space="preserve">Oppmodingsvedtaket kom for seint til å bli </w:t>
      </w:r>
      <w:proofErr w:type="spellStart"/>
      <w:r w:rsidRPr="00225D4D">
        <w:t>følgt</w:t>
      </w:r>
      <w:proofErr w:type="spellEnd"/>
      <w:r w:rsidRPr="00225D4D">
        <w:t xml:space="preserve"> opp i </w:t>
      </w:r>
      <w:proofErr w:type="spellStart"/>
      <w:r w:rsidRPr="00225D4D">
        <w:t>Prop</w:t>
      </w:r>
      <w:proofErr w:type="spellEnd"/>
      <w:r w:rsidRPr="00225D4D">
        <w:t xml:space="preserve">. 117 L (2024–2025) </w:t>
      </w:r>
      <w:r w:rsidRPr="00225D4D">
        <w:rPr>
          <w:rStyle w:val="kursiv"/>
        </w:rPr>
        <w:t>Ny barnelov</w:t>
      </w:r>
      <w:r w:rsidRPr="00225D4D">
        <w:t xml:space="preserve">. BFD viser til omtale av vedtak 611 </w:t>
      </w:r>
      <w:proofErr w:type="spellStart"/>
      <w:r w:rsidRPr="00225D4D">
        <w:t>frå</w:t>
      </w:r>
      <w:proofErr w:type="spellEnd"/>
      <w:r w:rsidRPr="00225D4D">
        <w:t xml:space="preserve"> 7. mai 2024 om å verne barn mot vald og seksuelle overgrep i saker om samvær og omsorg i ny barnelov, som departementet </w:t>
      </w:r>
      <w:proofErr w:type="spellStart"/>
      <w:r w:rsidRPr="00225D4D">
        <w:t>reknar</w:t>
      </w:r>
      <w:proofErr w:type="spellEnd"/>
      <w:r w:rsidRPr="00225D4D">
        <w:t xml:space="preserve"> som </w:t>
      </w:r>
      <w:proofErr w:type="spellStart"/>
      <w:r w:rsidRPr="00225D4D">
        <w:t>følgd</w:t>
      </w:r>
      <w:proofErr w:type="spellEnd"/>
      <w:r w:rsidRPr="00225D4D">
        <w:t xml:space="preserve"> opp. Med same grunngjeving </w:t>
      </w:r>
      <w:proofErr w:type="spellStart"/>
      <w:r w:rsidRPr="00225D4D">
        <w:t>reknar</w:t>
      </w:r>
      <w:proofErr w:type="spellEnd"/>
      <w:r w:rsidRPr="00225D4D">
        <w:t xml:space="preserve"> departementet den fyrste delen av dette vedtaket som </w:t>
      </w:r>
      <w:proofErr w:type="spellStart"/>
      <w:r w:rsidRPr="00225D4D">
        <w:t>gjeld</w:t>
      </w:r>
      <w:proofErr w:type="spellEnd"/>
      <w:r w:rsidRPr="00225D4D">
        <w:t xml:space="preserve"> å </w:t>
      </w:r>
      <w:proofErr w:type="spellStart"/>
      <w:r w:rsidRPr="00225D4D">
        <w:t>styrkje</w:t>
      </w:r>
      <w:proofErr w:type="spellEnd"/>
      <w:r w:rsidRPr="00225D4D">
        <w:t xml:space="preserve"> barn og unge sin rett til beskyttelse mot vald og overgrep i ny barnelov, som </w:t>
      </w:r>
      <w:proofErr w:type="spellStart"/>
      <w:r w:rsidRPr="00225D4D">
        <w:t>følgd</w:t>
      </w:r>
      <w:proofErr w:type="spellEnd"/>
      <w:r w:rsidRPr="00225D4D">
        <w:t xml:space="preserve"> opp. BFD vil elles sjå oppfølginga av vedtaket i samband med nye oppmodingsvedtak </w:t>
      </w:r>
      <w:proofErr w:type="spellStart"/>
      <w:r w:rsidRPr="00225D4D">
        <w:t>frå</w:t>
      </w:r>
      <w:proofErr w:type="spellEnd"/>
      <w:r w:rsidRPr="00225D4D">
        <w:t xml:space="preserve"> då Stortinget handsama ny barnelov. Departementet vil orientere Stortinget om den </w:t>
      </w:r>
      <w:proofErr w:type="spellStart"/>
      <w:r w:rsidRPr="00225D4D">
        <w:t>vidare</w:t>
      </w:r>
      <w:proofErr w:type="spellEnd"/>
      <w:r w:rsidRPr="00225D4D">
        <w:t xml:space="preserve"> oppfølginga av vedtaket på eigna vis.</w:t>
      </w:r>
    </w:p>
    <w:p w14:paraId="39973659" w14:textId="77777777" w:rsidR="00D60186" w:rsidRPr="00225D4D" w:rsidRDefault="00D60186" w:rsidP="00225D4D">
      <w:pPr>
        <w:pStyle w:val="avsnitt-tittel"/>
      </w:pPr>
      <w:proofErr w:type="spellStart"/>
      <w:r w:rsidRPr="00225D4D">
        <w:t>Undersøkje</w:t>
      </w:r>
      <w:proofErr w:type="spellEnd"/>
      <w:r w:rsidRPr="00225D4D">
        <w:t xml:space="preserve"> korleis </w:t>
      </w:r>
      <w:proofErr w:type="spellStart"/>
      <w:r w:rsidRPr="00225D4D">
        <w:t>domstolane</w:t>
      </w:r>
      <w:proofErr w:type="spellEnd"/>
      <w:r w:rsidRPr="00225D4D">
        <w:t xml:space="preserve"> </w:t>
      </w:r>
      <w:proofErr w:type="spellStart"/>
      <w:r w:rsidRPr="00225D4D">
        <w:t>handsamar</w:t>
      </w:r>
      <w:proofErr w:type="spellEnd"/>
      <w:r w:rsidRPr="00225D4D">
        <w:t xml:space="preserve"> foreldretvistsaker om vald</w:t>
      </w:r>
    </w:p>
    <w:p w14:paraId="790CCB65" w14:textId="77777777" w:rsidR="00D60186" w:rsidRPr="00225D4D" w:rsidRDefault="00D60186" w:rsidP="00225D4D">
      <w:pPr>
        <w:pStyle w:val="avsnitt-undertittel"/>
      </w:pPr>
      <w:r w:rsidRPr="00225D4D">
        <w:t>Vedtak 516, 18. mars 2025</w:t>
      </w:r>
    </w:p>
    <w:p w14:paraId="7AE3E470" w14:textId="77777777" w:rsidR="00D60186" w:rsidRPr="00225D4D" w:rsidRDefault="00D60186" w:rsidP="00225D4D">
      <w:pPr>
        <w:pStyle w:val="blokksit"/>
      </w:pPr>
      <w:r w:rsidRPr="00225D4D">
        <w:t>«</w:t>
      </w:r>
      <w:r w:rsidRPr="00225D4D">
        <w:rPr>
          <w:rStyle w:val="kursiv"/>
        </w:rPr>
        <w:t>Stortinget ber regjeringen gjennomføre en undersøkelse av hvordan norske domstoler innhenter, benytter og vurderer opplysninger om vold og andre overgrep i foreldretvistsaker, etter modell av arbeidet i Sverige.</w:t>
      </w:r>
      <w:r w:rsidRPr="00225D4D">
        <w:t>»</w:t>
      </w:r>
    </w:p>
    <w:p w14:paraId="13BF9B8B"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samværsrett, jf. </w:t>
      </w:r>
      <w:proofErr w:type="spellStart"/>
      <w:r w:rsidRPr="00225D4D">
        <w:t>Dok</w:t>
      </w:r>
      <w:proofErr w:type="spellEnd"/>
      <w:r w:rsidRPr="00225D4D">
        <w:t xml:space="preserve"> 8:15 S (2024–2025) og </w:t>
      </w:r>
      <w:proofErr w:type="spellStart"/>
      <w:r w:rsidRPr="00225D4D">
        <w:t>Innst</w:t>
      </w:r>
      <w:proofErr w:type="spellEnd"/>
      <w:r w:rsidRPr="00225D4D">
        <w:t>. 154 S (2024–2025). Stortinget vedtok ny barnelov den 16. juni 2025.</w:t>
      </w:r>
    </w:p>
    <w:p w14:paraId="38BEEAE7" w14:textId="77777777" w:rsidR="00D60186" w:rsidRPr="00225D4D" w:rsidRDefault="00D60186" w:rsidP="00225D4D">
      <w:r w:rsidRPr="00225D4D">
        <w:t xml:space="preserve">Oppmodingsvedtaket kom for seint til å bli </w:t>
      </w:r>
      <w:proofErr w:type="spellStart"/>
      <w:r w:rsidRPr="00225D4D">
        <w:t>følgt</w:t>
      </w:r>
      <w:proofErr w:type="spellEnd"/>
      <w:r w:rsidRPr="00225D4D">
        <w:t xml:space="preserve"> opp i </w:t>
      </w:r>
      <w:proofErr w:type="spellStart"/>
      <w:r w:rsidRPr="00225D4D">
        <w:t>Prop</w:t>
      </w:r>
      <w:proofErr w:type="spellEnd"/>
      <w:r w:rsidRPr="00225D4D">
        <w:t xml:space="preserve">. 117 L (2024–2025) </w:t>
      </w:r>
      <w:r w:rsidRPr="00225D4D">
        <w:rPr>
          <w:rStyle w:val="kursiv"/>
        </w:rPr>
        <w:t>Lov om barn og foreldre (barnelova)</w:t>
      </w:r>
      <w:r w:rsidRPr="00225D4D">
        <w:t xml:space="preserve">. BFD vil sjå oppfølginga av vedtaket i samband med nye oppmodingsvedtak </w:t>
      </w:r>
      <w:proofErr w:type="spellStart"/>
      <w:r w:rsidRPr="00225D4D">
        <w:t>frå</w:t>
      </w:r>
      <w:proofErr w:type="spellEnd"/>
      <w:r w:rsidRPr="00225D4D">
        <w:t xml:space="preserve"> Stortinget si handsaming av ny barnelov. Departementet vil orientere Stortinget om den </w:t>
      </w:r>
      <w:proofErr w:type="spellStart"/>
      <w:r w:rsidRPr="00225D4D">
        <w:t>vidare</w:t>
      </w:r>
      <w:proofErr w:type="spellEnd"/>
      <w:r w:rsidRPr="00225D4D">
        <w:t xml:space="preserve"> oppfølginga av vedtaket på eigna vis.</w:t>
      </w:r>
    </w:p>
    <w:p w14:paraId="0F467DBB" w14:textId="77777777" w:rsidR="00D60186" w:rsidRPr="00225D4D" w:rsidRDefault="00D60186" w:rsidP="00225D4D">
      <w:pPr>
        <w:pStyle w:val="avsnitt-tittel"/>
      </w:pPr>
      <w:proofErr w:type="spellStart"/>
      <w:r w:rsidRPr="00225D4D">
        <w:t>Føreseieleg</w:t>
      </w:r>
      <w:proofErr w:type="spellEnd"/>
      <w:r w:rsidRPr="00225D4D">
        <w:t xml:space="preserve"> finansiering av prosjektet «LNU Trygg!»</w:t>
      </w:r>
    </w:p>
    <w:p w14:paraId="1E52324C" w14:textId="77777777" w:rsidR="00D60186" w:rsidRPr="00225D4D" w:rsidRDefault="00D60186" w:rsidP="00225D4D">
      <w:pPr>
        <w:pStyle w:val="avsnitt-undertittel"/>
      </w:pPr>
      <w:r w:rsidRPr="00225D4D">
        <w:t>Vedtak 589, 24. april 2025</w:t>
      </w:r>
    </w:p>
    <w:p w14:paraId="52604C66" w14:textId="77777777" w:rsidR="00D60186" w:rsidRPr="00225D4D" w:rsidRDefault="00D60186" w:rsidP="00225D4D">
      <w:pPr>
        <w:pStyle w:val="blokksit"/>
      </w:pPr>
      <w:r w:rsidRPr="00225D4D">
        <w:t>«</w:t>
      </w:r>
      <w:r w:rsidRPr="00225D4D">
        <w:rPr>
          <w:rStyle w:val="kursiv"/>
        </w:rPr>
        <w:t xml:space="preserve">Stortinget ber regjeringa arbeide for ei </w:t>
      </w:r>
      <w:proofErr w:type="spellStart"/>
      <w:r w:rsidRPr="00225D4D">
        <w:rPr>
          <w:rStyle w:val="kursiv"/>
        </w:rPr>
        <w:t>føreseieleg</w:t>
      </w:r>
      <w:proofErr w:type="spellEnd"/>
      <w:r w:rsidRPr="00225D4D">
        <w:rPr>
          <w:rStyle w:val="kursiv"/>
        </w:rPr>
        <w:t xml:space="preserve"> finansiering av prosjektet ‘LNU Trygg!’.</w:t>
      </w:r>
      <w:r w:rsidRPr="00225D4D">
        <w:t>»</w:t>
      </w:r>
    </w:p>
    <w:p w14:paraId="535FC723"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Meld. St. 7 (2024–2025), jf. </w:t>
      </w:r>
      <w:proofErr w:type="spellStart"/>
      <w:r w:rsidRPr="00225D4D">
        <w:t>Innst</w:t>
      </w:r>
      <w:proofErr w:type="spellEnd"/>
      <w:r w:rsidRPr="00225D4D">
        <w:t>. 223 S (2024–2025).</w:t>
      </w:r>
    </w:p>
    <w:p w14:paraId="1C675AA4" w14:textId="77777777" w:rsidR="00D60186" w:rsidRPr="00225D4D" w:rsidRDefault="00D60186" w:rsidP="00225D4D">
      <w:r w:rsidRPr="00225D4D">
        <w:t xml:space="preserve">Departementet viser til at regjeringa i </w:t>
      </w:r>
      <w:proofErr w:type="spellStart"/>
      <w:r w:rsidRPr="00225D4D">
        <w:t>Prop</w:t>
      </w:r>
      <w:proofErr w:type="spellEnd"/>
      <w:r w:rsidRPr="00225D4D">
        <w:t xml:space="preserve">. 1 S (2025–2026) </w:t>
      </w:r>
      <w:proofErr w:type="spellStart"/>
      <w:r w:rsidRPr="00225D4D">
        <w:t>føreslår</w:t>
      </w:r>
      <w:proofErr w:type="spellEnd"/>
      <w:r w:rsidRPr="00225D4D">
        <w:t xml:space="preserve"> å </w:t>
      </w:r>
      <w:proofErr w:type="spellStart"/>
      <w:r w:rsidRPr="00225D4D">
        <w:t>auke</w:t>
      </w:r>
      <w:proofErr w:type="spellEnd"/>
      <w:r w:rsidRPr="00225D4D">
        <w:t xml:space="preserve"> </w:t>
      </w:r>
      <w:proofErr w:type="spellStart"/>
      <w:r w:rsidRPr="00225D4D">
        <w:t>driftstilskotet</w:t>
      </w:r>
      <w:proofErr w:type="spellEnd"/>
      <w:r w:rsidRPr="00225D4D">
        <w:t xml:space="preserve"> til LNU, Ungdom og Fritid og Unge funksjonshemmede med 4 mill. kroner under kap. 846, post 70. Auken i </w:t>
      </w:r>
      <w:proofErr w:type="spellStart"/>
      <w:r w:rsidRPr="00225D4D">
        <w:t>driftstilskotet</w:t>
      </w:r>
      <w:proofErr w:type="spellEnd"/>
      <w:r w:rsidRPr="00225D4D">
        <w:t xml:space="preserve"> vil bidra til at prosjektet LNU Trygg kan </w:t>
      </w:r>
      <w:proofErr w:type="spellStart"/>
      <w:r w:rsidRPr="00225D4D">
        <w:t>finansierast</w:t>
      </w:r>
      <w:proofErr w:type="spellEnd"/>
      <w:r w:rsidRPr="00225D4D">
        <w:t xml:space="preserve"> som </w:t>
      </w:r>
      <w:proofErr w:type="spellStart"/>
      <w:r w:rsidRPr="00225D4D">
        <w:t>ein</w:t>
      </w:r>
      <w:proofErr w:type="spellEnd"/>
      <w:r w:rsidRPr="00225D4D">
        <w:t xml:space="preserve"> del av den ordinære drifta til LNU.</w:t>
      </w:r>
    </w:p>
    <w:p w14:paraId="440CFFA6" w14:textId="77777777" w:rsidR="00D60186" w:rsidRPr="00225D4D" w:rsidRDefault="00D60186" w:rsidP="00225D4D">
      <w:r w:rsidRPr="00225D4D">
        <w:t xml:space="preserve">Med denne </w:t>
      </w:r>
      <w:proofErr w:type="spellStart"/>
      <w:r w:rsidRPr="00225D4D">
        <w:t>auken</w:t>
      </w:r>
      <w:proofErr w:type="spellEnd"/>
      <w:r w:rsidRPr="00225D4D">
        <w:t xml:space="preserve"> i </w:t>
      </w:r>
      <w:proofErr w:type="spellStart"/>
      <w:r w:rsidRPr="00225D4D">
        <w:t>driftstilskot</w:t>
      </w:r>
      <w:proofErr w:type="spellEnd"/>
      <w:r w:rsidRPr="00225D4D">
        <w:t xml:space="preserve"> </w:t>
      </w:r>
      <w:proofErr w:type="spellStart"/>
      <w:r w:rsidRPr="00225D4D">
        <w:t>reknar</w:t>
      </w:r>
      <w:proofErr w:type="spellEnd"/>
      <w:r w:rsidRPr="00225D4D">
        <w:t xml:space="preserve"> departementet vedtaket som </w:t>
      </w:r>
      <w:proofErr w:type="spellStart"/>
      <w:r w:rsidRPr="00225D4D">
        <w:t>følgt</w:t>
      </w:r>
      <w:proofErr w:type="spellEnd"/>
      <w:r w:rsidRPr="00225D4D">
        <w:t xml:space="preserve"> opp.</w:t>
      </w:r>
    </w:p>
    <w:p w14:paraId="41B85461" w14:textId="77777777" w:rsidR="00D60186" w:rsidRPr="00225D4D" w:rsidRDefault="00D60186" w:rsidP="00225D4D">
      <w:pPr>
        <w:pStyle w:val="avsnitt-tittel"/>
      </w:pPr>
      <w:r w:rsidRPr="00225D4D">
        <w:t xml:space="preserve">Praksisorienterte </w:t>
      </w:r>
      <w:proofErr w:type="spellStart"/>
      <w:r w:rsidRPr="00225D4D">
        <w:t>tverrfaglege</w:t>
      </w:r>
      <w:proofErr w:type="spellEnd"/>
      <w:r w:rsidRPr="00225D4D">
        <w:t xml:space="preserve"> team</w:t>
      </w:r>
    </w:p>
    <w:p w14:paraId="5789D53E" w14:textId="77777777" w:rsidR="00D60186" w:rsidRPr="00225D4D" w:rsidRDefault="00D60186" w:rsidP="00225D4D">
      <w:pPr>
        <w:pStyle w:val="avsnitt-undertittel"/>
      </w:pPr>
      <w:r w:rsidRPr="00225D4D">
        <w:t>Vedtak 1000, 11. juni 2025</w:t>
      </w:r>
    </w:p>
    <w:p w14:paraId="5DC69AB7" w14:textId="77777777" w:rsidR="00D60186" w:rsidRPr="00225D4D" w:rsidRDefault="00D60186" w:rsidP="00225D4D">
      <w:pPr>
        <w:pStyle w:val="blokksit"/>
      </w:pPr>
      <w:r w:rsidRPr="00225D4D">
        <w:t>«</w:t>
      </w:r>
      <w:r w:rsidRPr="00225D4D">
        <w:rPr>
          <w:rStyle w:val="kursiv"/>
        </w:rPr>
        <w:t xml:space="preserve">Stortinget ber regjeringa i </w:t>
      </w:r>
      <w:proofErr w:type="spellStart"/>
      <w:r w:rsidRPr="00225D4D">
        <w:rPr>
          <w:rStyle w:val="kursiv"/>
        </w:rPr>
        <w:t>eit</w:t>
      </w:r>
      <w:proofErr w:type="spellEnd"/>
      <w:r w:rsidRPr="00225D4D">
        <w:rPr>
          <w:rStyle w:val="kursiv"/>
        </w:rPr>
        <w:t xml:space="preserve"> samarbeid med KS legge til rette for at </w:t>
      </w:r>
      <w:proofErr w:type="spellStart"/>
      <w:r w:rsidRPr="00225D4D">
        <w:rPr>
          <w:rStyle w:val="kursiv"/>
        </w:rPr>
        <w:t>kommunar</w:t>
      </w:r>
      <w:proofErr w:type="spellEnd"/>
      <w:r w:rsidRPr="00225D4D">
        <w:rPr>
          <w:rStyle w:val="kursiv"/>
        </w:rPr>
        <w:t xml:space="preserve"> og </w:t>
      </w:r>
      <w:proofErr w:type="spellStart"/>
      <w:r w:rsidRPr="00225D4D">
        <w:rPr>
          <w:rStyle w:val="kursiv"/>
        </w:rPr>
        <w:t>barnevernstenester</w:t>
      </w:r>
      <w:proofErr w:type="spellEnd"/>
      <w:r w:rsidRPr="00225D4D">
        <w:rPr>
          <w:rStyle w:val="kursiv"/>
        </w:rPr>
        <w:t xml:space="preserve"> som </w:t>
      </w:r>
      <w:proofErr w:type="spellStart"/>
      <w:r w:rsidRPr="00225D4D">
        <w:rPr>
          <w:rStyle w:val="kursiv"/>
        </w:rPr>
        <w:t>ønskjer</w:t>
      </w:r>
      <w:proofErr w:type="spellEnd"/>
      <w:r w:rsidRPr="00225D4D">
        <w:rPr>
          <w:rStyle w:val="kursiv"/>
        </w:rPr>
        <w:t xml:space="preserve"> det, i 2026 kan sette i gang forsøk med praksisorienterte </w:t>
      </w:r>
      <w:proofErr w:type="spellStart"/>
      <w:r w:rsidRPr="00225D4D">
        <w:rPr>
          <w:rStyle w:val="kursiv"/>
        </w:rPr>
        <w:t>tverrfaglege</w:t>
      </w:r>
      <w:proofErr w:type="spellEnd"/>
      <w:r w:rsidRPr="00225D4D">
        <w:rPr>
          <w:rStyle w:val="kursiv"/>
        </w:rPr>
        <w:t xml:space="preserve"> team med spisskompetanse som kan få fram </w:t>
      </w:r>
      <w:proofErr w:type="spellStart"/>
      <w:r w:rsidRPr="00225D4D">
        <w:rPr>
          <w:rStyle w:val="kursiv"/>
        </w:rPr>
        <w:t>naudsynt</w:t>
      </w:r>
      <w:proofErr w:type="spellEnd"/>
      <w:r w:rsidRPr="00225D4D">
        <w:rPr>
          <w:rStyle w:val="kursiv"/>
        </w:rPr>
        <w:t xml:space="preserve"> </w:t>
      </w:r>
      <w:proofErr w:type="spellStart"/>
      <w:r w:rsidRPr="00225D4D">
        <w:rPr>
          <w:rStyle w:val="kursiv"/>
        </w:rPr>
        <w:t>fagleg</w:t>
      </w:r>
      <w:proofErr w:type="spellEnd"/>
      <w:r w:rsidRPr="00225D4D">
        <w:rPr>
          <w:rStyle w:val="kursiv"/>
        </w:rPr>
        <w:t xml:space="preserve">, klinisk kunnskap om </w:t>
      </w:r>
      <w:proofErr w:type="gramStart"/>
      <w:r w:rsidRPr="00225D4D">
        <w:rPr>
          <w:rStyle w:val="kursiv"/>
        </w:rPr>
        <w:t>utsette</w:t>
      </w:r>
      <w:proofErr w:type="gramEnd"/>
      <w:r w:rsidRPr="00225D4D">
        <w:rPr>
          <w:rStyle w:val="kursiv"/>
        </w:rPr>
        <w:t xml:space="preserve"> barn og </w:t>
      </w:r>
      <w:proofErr w:type="spellStart"/>
      <w:r w:rsidRPr="00225D4D">
        <w:rPr>
          <w:rStyle w:val="kursiv"/>
        </w:rPr>
        <w:t>familiars</w:t>
      </w:r>
      <w:proofErr w:type="spellEnd"/>
      <w:r w:rsidRPr="00225D4D">
        <w:rPr>
          <w:rStyle w:val="kursiv"/>
        </w:rPr>
        <w:t xml:space="preserve"> problem, </w:t>
      </w:r>
      <w:proofErr w:type="spellStart"/>
      <w:r w:rsidRPr="00225D4D">
        <w:rPr>
          <w:rStyle w:val="kursiv"/>
        </w:rPr>
        <w:t>ressursar</w:t>
      </w:r>
      <w:proofErr w:type="spellEnd"/>
      <w:r w:rsidRPr="00225D4D">
        <w:rPr>
          <w:rStyle w:val="kursiv"/>
        </w:rPr>
        <w:t xml:space="preserve"> og behov. Stortinget skal </w:t>
      </w:r>
      <w:proofErr w:type="spellStart"/>
      <w:r w:rsidRPr="00225D4D">
        <w:rPr>
          <w:rStyle w:val="kursiv"/>
        </w:rPr>
        <w:t>informerast</w:t>
      </w:r>
      <w:proofErr w:type="spellEnd"/>
      <w:r w:rsidRPr="00225D4D">
        <w:rPr>
          <w:rStyle w:val="kursiv"/>
        </w:rPr>
        <w:t xml:space="preserve"> om forsøka på eigna måte.</w:t>
      </w:r>
      <w:r w:rsidRPr="00225D4D">
        <w:t>»</w:t>
      </w:r>
    </w:p>
    <w:p w14:paraId="272A4D9A"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83 L (2024–2025), jf. </w:t>
      </w:r>
      <w:proofErr w:type="spellStart"/>
      <w:r w:rsidRPr="00225D4D">
        <w:t>Innst</w:t>
      </w:r>
      <w:proofErr w:type="spellEnd"/>
      <w:r w:rsidRPr="00225D4D">
        <w:t xml:space="preserve">. 524 L (2024–2025). Departementet vurderer den </w:t>
      </w:r>
      <w:proofErr w:type="spellStart"/>
      <w:r w:rsidRPr="00225D4D">
        <w:t>nærare</w:t>
      </w:r>
      <w:proofErr w:type="spellEnd"/>
      <w:r w:rsidRPr="00225D4D">
        <w:t xml:space="preserve"> utforminga av forsøket i samarbeid med KS. Det </w:t>
      </w:r>
      <w:proofErr w:type="spellStart"/>
      <w:r w:rsidRPr="00225D4D">
        <w:t>finst</w:t>
      </w:r>
      <w:proofErr w:type="spellEnd"/>
      <w:r w:rsidRPr="00225D4D">
        <w:t xml:space="preserve"> </w:t>
      </w:r>
      <w:proofErr w:type="spellStart"/>
      <w:r w:rsidRPr="00225D4D">
        <w:t>fleire</w:t>
      </w:r>
      <w:proofErr w:type="spellEnd"/>
      <w:r w:rsidRPr="00225D4D">
        <w:t xml:space="preserve"> </w:t>
      </w:r>
      <w:proofErr w:type="spellStart"/>
      <w:r w:rsidRPr="00225D4D">
        <w:t>modellar</w:t>
      </w:r>
      <w:proofErr w:type="spellEnd"/>
      <w:r w:rsidRPr="00225D4D">
        <w:t xml:space="preserve"> for </w:t>
      </w:r>
      <w:proofErr w:type="spellStart"/>
      <w:r w:rsidRPr="00225D4D">
        <w:t>tverrfagleg</w:t>
      </w:r>
      <w:proofErr w:type="spellEnd"/>
      <w:r w:rsidRPr="00225D4D">
        <w:t xml:space="preserve"> og </w:t>
      </w:r>
      <w:proofErr w:type="spellStart"/>
      <w:r w:rsidRPr="00225D4D">
        <w:t>tverretatleg</w:t>
      </w:r>
      <w:proofErr w:type="spellEnd"/>
      <w:r w:rsidRPr="00225D4D">
        <w:t xml:space="preserve"> samarbeid. </w:t>
      </w:r>
      <w:proofErr w:type="spellStart"/>
      <w:r w:rsidRPr="00225D4D">
        <w:t>Nokre</w:t>
      </w:r>
      <w:proofErr w:type="spellEnd"/>
      <w:r w:rsidRPr="00225D4D">
        <w:t xml:space="preserve"> av </w:t>
      </w:r>
      <w:proofErr w:type="spellStart"/>
      <w:r w:rsidRPr="00225D4D">
        <w:t>desse</w:t>
      </w:r>
      <w:proofErr w:type="spellEnd"/>
      <w:r w:rsidRPr="00225D4D">
        <w:t xml:space="preserve"> er alt i gang med å bli prøvde ut og </w:t>
      </w:r>
      <w:proofErr w:type="spellStart"/>
      <w:r w:rsidRPr="00225D4D">
        <w:t>vidareutvikla</w:t>
      </w:r>
      <w:proofErr w:type="spellEnd"/>
      <w:r w:rsidRPr="00225D4D">
        <w:t xml:space="preserve"> i </w:t>
      </w:r>
      <w:proofErr w:type="spellStart"/>
      <w:r w:rsidRPr="00225D4D">
        <w:t>kommunane</w:t>
      </w:r>
      <w:proofErr w:type="spellEnd"/>
      <w:r w:rsidRPr="00225D4D">
        <w:t xml:space="preserve">. Utgangspunktet til departementet er at det bør </w:t>
      </w:r>
      <w:proofErr w:type="spellStart"/>
      <w:r w:rsidRPr="00225D4D">
        <w:t>byggjast</w:t>
      </w:r>
      <w:proofErr w:type="spellEnd"/>
      <w:r w:rsidRPr="00225D4D">
        <w:t xml:space="preserve"> </w:t>
      </w:r>
      <w:proofErr w:type="spellStart"/>
      <w:r w:rsidRPr="00225D4D">
        <w:t>vidare</w:t>
      </w:r>
      <w:proofErr w:type="spellEnd"/>
      <w:r w:rsidRPr="00225D4D">
        <w:t xml:space="preserve"> på </w:t>
      </w:r>
      <w:proofErr w:type="spellStart"/>
      <w:r w:rsidRPr="00225D4D">
        <w:t>desse</w:t>
      </w:r>
      <w:proofErr w:type="spellEnd"/>
      <w:r w:rsidRPr="00225D4D">
        <w:t xml:space="preserve"> i arbeidet. Det bør òg </w:t>
      </w:r>
      <w:proofErr w:type="spellStart"/>
      <w:r w:rsidRPr="00225D4D">
        <w:t>takast</w:t>
      </w:r>
      <w:proofErr w:type="spellEnd"/>
      <w:r w:rsidRPr="00225D4D">
        <w:t xml:space="preserve"> omsyn til </w:t>
      </w:r>
      <w:proofErr w:type="spellStart"/>
      <w:r w:rsidRPr="00225D4D">
        <w:t>endringar</w:t>
      </w:r>
      <w:proofErr w:type="spellEnd"/>
      <w:r w:rsidRPr="00225D4D">
        <w:t xml:space="preserve"> i kompetansemodellen for barnevernet og relevante tiltak </w:t>
      </w:r>
      <w:proofErr w:type="spellStart"/>
      <w:r w:rsidRPr="00225D4D">
        <w:t>innanfor</w:t>
      </w:r>
      <w:proofErr w:type="spellEnd"/>
      <w:r w:rsidRPr="00225D4D">
        <w:t xml:space="preserve"> ansvarsområdet til Helse- og omsorgsdepartementet. Departementet vil orientere Stortinget om den </w:t>
      </w:r>
      <w:proofErr w:type="spellStart"/>
      <w:r w:rsidRPr="00225D4D">
        <w:t>vidare</w:t>
      </w:r>
      <w:proofErr w:type="spellEnd"/>
      <w:r w:rsidRPr="00225D4D">
        <w:t xml:space="preserve"> oppfølginga av vedtaket på eigna vis.</w:t>
      </w:r>
    </w:p>
    <w:p w14:paraId="1CEFCEBC" w14:textId="77777777" w:rsidR="00D60186" w:rsidRPr="00225D4D" w:rsidRDefault="00D60186" w:rsidP="00225D4D">
      <w:pPr>
        <w:pStyle w:val="avsnitt-tittel"/>
      </w:pPr>
      <w:r w:rsidRPr="00225D4D">
        <w:t xml:space="preserve">Ny organisering av det </w:t>
      </w:r>
      <w:proofErr w:type="spellStart"/>
      <w:r w:rsidRPr="00225D4D">
        <w:t>statlege</w:t>
      </w:r>
      <w:proofErr w:type="spellEnd"/>
      <w:r w:rsidRPr="00225D4D">
        <w:t xml:space="preserve"> barnevernet</w:t>
      </w:r>
    </w:p>
    <w:p w14:paraId="36DAC835" w14:textId="77777777" w:rsidR="00D60186" w:rsidRPr="00225D4D" w:rsidRDefault="00D60186" w:rsidP="00225D4D">
      <w:pPr>
        <w:pStyle w:val="avsnitt-undertittel"/>
      </w:pPr>
      <w:r w:rsidRPr="00225D4D">
        <w:t>Vedtak 1001, 11. juni 2025</w:t>
      </w:r>
    </w:p>
    <w:p w14:paraId="023F5ECB" w14:textId="77777777" w:rsidR="00D60186" w:rsidRPr="00225D4D" w:rsidRDefault="00D60186" w:rsidP="00225D4D">
      <w:pPr>
        <w:pStyle w:val="blokksit"/>
      </w:pPr>
      <w:r w:rsidRPr="00225D4D">
        <w:t>«</w:t>
      </w:r>
      <w:r w:rsidRPr="00225D4D">
        <w:rPr>
          <w:rStyle w:val="kursiv"/>
        </w:rPr>
        <w:t xml:space="preserve">Stortinget ber regjeringa fremme forslag om ny organisering av det </w:t>
      </w:r>
      <w:proofErr w:type="spellStart"/>
      <w:r w:rsidRPr="00225D4D">
        <w:rPr>
          <w:rStyle w:val="kursiv"/>
        </w:rPr>
        <w:t>statlege</w:t>
      </w:r>
      <w:proofErr w:type="spellEnd"/>
      <w:r w:rsidRPr="00225D4D">
        <w:rPr>
          <w:rStyle w:val="kursiv"/>
        </w:rPr>
        <w:t xml:space="preserve"> barnevernet, med bakgrunn i </w:t>
      </w:r>
      <w:proofErr w:type="spellStart"/>
      <w:r w:rsidRPr="00225D4D">
        <w:rPr>
          <w:rStyle w:val="kursiv"/>
        </w:rPr>
        <w:t>ekspertutvalets</w:t>
      </w:r>
      <w:proofErr w:type="spellEnd"/>
      <w:r w:rsidRPr="00225D4D">
        <w:rPr>
          <w:rStyle w:val="kursiv"/>
        </w:rPr>
        <w:t xml:space="preserve"> rapport, der det er </w:t>
      </w:r>
      <w:proofErr w:type="spellStart"/>
      <w:r w:rsidRPr="00225D4D">
        <w:rPr>
          <w:rStyle w:val="kursiv"/>
        </w:rPr>
        <w:t>eit</w:t>
      </w:r>
      <w:proofErr w:type="spellEnd"/>
      <w:r w:rsidRPr="00225D4D">
        <w:rPr>
          <w:rStyle w:val="kursiv"/>
        </w:rPr>
        <w:t xml:space="preserve"> </w:t>
      </w:r>
      <w:proofErr w:type="spellStart"/>
      <w:r w:rsidRPr="00225D4D">
        <w:rPr>
          <w:rStyle w:val="kursiv"/>
        </w:rPr>
        <w:t>tydeleg</w:t>
      </w:r>
      <w:proofErr w:type="spellEnd"/>
      <w:r w:rsidRPr="00225D4D">
        <w:rPr>
          <w:rStyle w:val="kursiv"/>
        </w:rPr>
        <w:t xml:space="preserve"> </w:t>
      </w:r>
      <w:proofErr w:type="spellStart"/>
      <w:r w:rsidRPr="00225D4D">
        <w:rPr>
          <w:rStyle w:val="kursiv"/>
        </w:rPr>
        <w:t>skilje</w:t>
      </w:r>
      <w:proofErr w:type="spellEnd"/>
      <w:r w:rsidRPr="00225D4D">
        <w:rPr>
          <w:rStyle w:val="kursiv"/>
        </w:rPr>
        <w:t xml:space="preserve"> mellom fagdirektorat og etatsstyring.</w:t>
      </w:r>
      <w:r w:rsidRPr="00225D4D">
        <w:t>»</w:t>
      </w:r>
    </w:p>
    <w:p w14:paraId="54243470"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83 L (2024–2025), jf. </w:t>
      </w:r>
      <w:proofErr w:type="spellStart"/>
      <w:r w:rsidRPr="00225D4D">
        <w:t>Innst</w:t>
      </w:r>
      <w:proofErr w:type="spellEnd"/>
      <w:r w:rsidRPr="00225D4D">
        <w:t xml:space="preserve">. 524 L (2024–2025). </w:t>
      </w:r>
      <w:proofErr w:type="spellStart"/>
      <w:r w:rsidRPr="00225D4D">
        <w:t>Ekspertutvalet</w:t>
      </w:r>
      <w:proofErr w:type="spellEnd"/>
      <w:r w:rsidRPr="00225D4D">
        <w:t xml:space="preserve"> leverte rapporten sin 1. oktober 2025. Departementet vil komme tilbake til Stortinget med ei vurdering av rapporten og om oppfølging av forslaga på eigna vis.</w:t>
      </w:r>
    </w:p>
    <w:p w14:paraId="0BFC8A5B" w14:textId="77777777" w:rsidR="00D60186" w:rsidRPr="00225D4D" w:rsidRDefault="00D60186" w:rsidP="00225D4D">
      <w:pPr>
        <w:pStyle w:val="avsnitt-tittel"/>
      </w:pPr>
      <w:proofErr w:type="spellStart"/>
      <w:r w:rsidRPr="00225D4D">
        <w:t>Partsrettar</w:t>
      </w:r>
      <w:proofErr w:type="spellEnd"/>
      <w:r w:rsidRPr="00225D4D">
        <w:t xml:space="preserve"> til barn </w:t>
      </w:r>
      <w:proofErr w:type="spellStart"/>
      <w:r w:rsidRPr="00225D4D">
        <w:t>frå</w:t>
      </w:r>
      <w:proofErr w:type="spellEnd"/>
      <w:r w:rsidRPr="00225D4D">
        <w:t xml:space="preserve"> 12 år</w:t>
      </w:r>
    </w:p>
    <w:p w14:paraId="72546B1F" w14:textId="77777777" w:rsidR="00D60186" w:rsidRPr="00225D4D" w:rsidRDefault="00D60186" w:rsidP="00225D4D">
      <w:pPr>
        <w:pStyle w:val="avsnitt-undertittel"/>
      </w:pPr>
      <w:r w:rsidRPr="00225D4D">
        <w:t>Vedtak 1004, 11. juni 2025</w:t>
      </w:r>
    </w:p>
    <w:p w14:paraId="2B9E6898" w14:textId="77777777" w:rsidR="00D60186" w:rsidRPr="00225D4D" w:rsidRDefault="00D60186" w:rsidP="00225D4D">
      <w:pPr>
        <w:pStyle w:val="blokksit"/>
      </w:pPr>
      <w:r w:rsidRPr="00225D4D">
        <w:t>«</w:t>
      </w:r>
      <w:r w:rsidRPr="00225D4D">
        <w:rPr>
          <w:rStyle w:val="kursiv"/>
        </w:rPr>
        <w:t xml:space="preserve">Stortinget ber regjeringa </w:t>
      </w:r>
      <w:proofErr w:type="spellStart"/>
      <w:r w:rsidRPr="00225D4D">
        <w:rPr>
          <w:rStyle w:val="kursiv"/>
        </w:rPr>
        <w:t>fremje</w:t>
      </w:r>
      <w:proofErr w:type="spellEnd"/>
      <w:r w:rsidRPr="00225D4D">
        <w:rPr>
          <w:rStyle w:val="kursiv"/>
        </w:rPr>
        <w:t xml:space="preserve"> lovendringsforslag som gir barn </w:t>
      </w:r>
      <w:proofErr w:type="spellStart"/>
      <w:r w:rsidRPr="00225D4D">
        <w:rPr>
          <w:rStyle w:val="kursiv"/>
        </w:rPr>
        <w:t>frå</w:t>
      </w:r>
      <w:proofErr w:type="spellEnd"/>
      <w:r w:rsidRPr="00225D4D">
        <w:rPr>
          <w:rStyle w:val="kursiv"/>
        </w:rPr>
        <w:t xml:space="preserve"> 12 år </w:t>
      </w:r>
      <w:proofErr w:type="spellStart"/>
      <w:r w:rsidRPr="00225D4D">
        <w:rPr>
          <w:rStyle w:val="kursiv"/>
        </w:rPr>
        <w:t>partsrettar</w:t>
      </w:r>
      <w:proofErr w:type="spellEnd"/>
      <w:r w:rsidRPr="00225D4D">
        <w:rPr>
          <w:rStyle w:val="kursiv"/>
        </w:rPr>
        <w:t xml:space="preserve"> i barnevernssaker </w:t>
      </w:r>
      <w:proofErr w:type="spellStart"/>
      <w:r w:rsidRPr="00225D4D">
        <w:rPr>
          <w:rStyle w:val="kursiv"/>
        </w:rPr>
        <w:t>frå</w:t>
      </w:r>
      <w:proofErr w:type="spellEnd"/>
      <w:r w:rsidRPr="00225D4D">
        <w:rPr>
          <w:rStyle w:val="kursiv"/>
        </w:rPr>
        <w:t xml:space="preserve"> 1. januar 2028.</w:t>
      </w:r>
      <w:r w:rsidRPr="00225D4D">
        <w:t>»</w:t>
      </w:r>
    </w:p>
    <w:p w14:paraId="771F4B15"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83 L (2024–2025), jf. </w:t>
      </w:r>
      <w:proofErr w:type="spellStart"/>
      <w:r w:rsidRPr="00225D4D">
        <w:t>Innst</w:t>
      </w:r>
      <w:proofErr w:type="spellEnd"/>
      <w:r w:rsidRPr="00225D4D">
        <w:t xml:space="preserve">. 524 L (2024–2025). </w:t>
      </w:r>
      <w:proofErr w:type="spellStart"/>
      <w:r w:rsidRPr="00225D4D">
        <w:t>Vidare</w:t>
      </w:r>
      <w:proofErr w:type="spellEnd"/>
      <w:r w:rsidRPr="00225D4D">
        <w:t xml:space="preserve"> oppfølging vil </w:t>
      </w:r>
      <w:proofErr w:type="spellStart"/>
      <w:r w:rsidRPr="00225D4D">
        <w:t>krevje</w:t>
      </w:r>
      <w:proofErr w:type="spellEnd"/>
      <w:r w:rsidRPr="00225D4D">
        <w:t xml:space="preserve"> </w:t>
      </w:r>
      <w:proofErr w:type="spellStart"/>
      <w:r w:rsidRPr="00225D4D">
        <w:t>eit</w:t>
      </w:r>
      <w:proofErr w:type="spellEnd"/>
      <w:r w:rsidRPr="00225D4D">
        <w:t xml:space="preserve"> utgreiingsarbeid og </w:t>
      </w:r>
      <w:proofErr w:type="spellStart"/>
      <w:r w:rsidRPr="00225D4D">
        <w:t>eit</w:t>
      </w:r>
      <w:proofErr w:type="spellEnd"/>
      <w:r w:rsidRPr="00225D4D">
        <w:t xml:space="preserve"> </w:t>
      </w:r>
      <w:proofErr w:type="spellStart"/>
      <w:r w:rsidRPr="00225D4D">
        <w:t>høyringsnotat</w:t>
      </w:r>
      <w:proofErr w:type="spellEnd"/>
      <w:r w:rsidRPr="00225D4D">
        <w:t xml:space="preserve"> om </w:t>
      </w:r>
      <w:proofErr w:type="spellStart"/>
      <w:r w:rsidRPr="00225D4D">
        <w:t>partsrettar</w:t>
      </w:r>
      <w:proofErr w:type="spellEnd"/>
      <w:r w:rsidRPr="00225D4D">
        <w:t xml:space="preserve"> og </w:t>
      </w:r>
      <w:proofErr w:type="spellStart"/>
      <w:r w:rsidRPr="00225D4D">
        <w:t>barnevennlege</w:t>
      </w:r>
      <w:proofErr w:type="spellEnd"/>
      <w:r w:rsidRPr="00225D4D">
        <w:t xml:space="preserve"> </w:t>
      </w:r>
      <w:proofErr w:type="spellStart"/>
      <w:r w:rsidRPr="00225D4D">
        <w:t>prosessar</w:t>
      </w:r>
      <w:proofErr w:type="spellEnd"/>
      <w:r w:rsidRPr="00225D4D">
        <w:t xml:space="preserve"> og </w:t>
      </w:r>
      <w:proofErr w:type="spellStart"/>
      <w:r w:rsidRPr="00225D4D">
        <w:t>dessutan</w:t>
      </w:r>
      <w:proofErr w:type="spellEnd"/>
      <w:r w:rsidRPr="00225D4D">
        <w:t xml:space="preserve"> </w:t>
      </w:r>
      <w:proofErr w:type="spellStart"/>
      <w:r w:rsidRPr="00225D4D">
        <w:t>ein</w:t>
      </w:r>
      <w:proofErr w:type="spellEnd"/>
      <w:r w:rsidRPr="00225D4D">
        <w:t xml:space="preserve"> lovproposisjon for Stortinget.</w:t>
      </w:r>
    </w:p>
    <w:p w14:paraId="069069DB" w14:textId="77777777" w:rsidR="00D60186" w:rsidRPr="00225D4D" w:rsidRDefault="00D60186" w:rsidP="00225D4D">
      <w:r w:rsidRPr="00225D4D">
        <w:t xml:space="preserve">Departementet vil komme tilbake til Stortinget om den </w:t>
      </w:r>
      <w:proofErr w:type="spellStart"/>
      <w:r w:rsidRPr="00225D4D">
        <w:t>vidare</w:t>
      </w:r>
      <w:proofErr w:type="spellEnd"/>
      <w:r w:rsidRPr="00225D4D">
        <w:t xml:space="preserve"> oppfølginga av vedtaket på eigna vis.</w:t>
      </w:r>
    </w:p>
    <w:p w14:paraId="6D39A889" w14:textId="77777777" w:rsidR="00D60186" w:rsidRPr="00225D4D" w:rsidRDefault="00D60186" w:rsidP="00225D4D">
      <w:pPr>
        <w:pStyle w:val="avsnitt-tittel"/>
      </w:pPr>
      <w:r w:rsidRPr="00225D4D">
        <w:t>Elektroniske kommunikasjonsmiddel og internett</w:t>
      </w:r>
    </w:p>
    <w:p w14:paraId="58036F87" w14:textId="77777777" w:rsidR="00D60186" w:rsidRPr="00225D4D" w:rsidRDefault="00D60186" w:rsidP="00225D4D">
      <w:pPr>
        <w:pStyle w:val="avsnitt-undertittel"/>
      </w:pPr>
      <w:r w:rsidRPr="00225D4D">
        <w:t>Vedtak 1005, 11. juni 2025</w:t>
      </w:r>
    </w:p>
    <w:p w14:paraId="16DA6D48" w14:textId="77777777" w:rsidR="00D60186" w:rsidRPr="00225D4D" w:rsidRDefault="00D60186" w:rsidP="00225D4D">
      <w:pPr>
        <w:pStyle w:val="blokksit"/>
      </w:pPr>
      <w:r w:rsidRPr="00225D4D">
        <w:t>«</w:t>
      </w:r>
      <w:r w:rsidRPr="00225D4D">
        <w:rPr>
          <w:rStyle w:val="kursiv"/>
        </w:rPr>
        <w:t xml:space="preserve">Stortinget ber regjeringen tydeliggjøre at varigheten av inngrep i barns bruk av elektroniske kommunikasjonsmidler og internett ikke må utgjøre et urimelig inngrep i barnets rettigheter, og at det må stilles strenge krav til inngrepets nødvendighet. Dette må </w:t>
      </w:r>
      <w:proofErr w:type="gramStart"/>
      <w:r w:rsidRPr="00225D4D">
        <w:rPr>
          <w:rStyle w:val="kursiv"/>
        </w:rPr>
        <w:t>fremkomme</w:t>
      </w:r>
      <w:proofErr w:type="gramEnd"/>
      <w:r w:rsidRPr="00225D4D">
        <w:rPr>
          <w:rStyle w:val="kursiv"/>
        </w:rPr>
        <w:t xml:space="preserve"> tydelig i rundskriv og veileder til barnevernsloven.</w:t>
      </w:r>
      <w:r w:rsidRPr="00225D4D">
        <w:t>»</w:t>
      </w:r>
    </w:p>
    <w:p w14:paraId="549F1176"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83 L (2024–2025), jf. </w:t>
      </w:r>
      <w:proofErr w:type="spellStart"/>
      <w:r w:rsidRPr="00225D4D">
        <w:t>Innst</w:t>
      </w:r>
      <w:proofErr w:type="spellEnd"/>
      <w:r w:rsidRPr="00225D4D">
        <w:t xml:space="preserve">. 524 L (2024–2025). Departementet har gitt </w:t>
      </w:r>
      <w:proofErr w:type="spellStart"/>
      <w:r w:rsidRPr="00225D4D">
        <w:t>Bufdir</w:t>
      </w:r>
      <w:proofErr w:type="spellEnd"/>
      <w:r w:rsidRPr="00225D4D">
        <w:t xml:space="preserve"> i oppdrag å utarbeide nytt rundskriv om </w:t>
      </w:r>
      <w:proofErr w:type="spellStart"/>
      <w:r w:rsidRPr="00225D4D">
        <w:t>rettar</w:t>
      </w:r>
      <w:proofErr w:type="spellEnd"/>
      <w:r w:rsidRPr="00225D4D">
        <w:t xml:space="preserve"> og inngrep overfor barn på barnevernsinstitusjon.</w:t>
      </w:r>
    </w:p>
    <w:p w14:paraId="756DBF72"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0E56619E" w14:textId="77777777" w:rsidR="00D60186" w:rsidRPr="00225D4D" w:rsidRDefault="00D60186" w:rsidP="00225D4D">
      <w:pPr>
        <w:pStyle w:val="avsnitt-tittel"/>
      </w:pPr>
      <w:r w:rsidRPr="00225D4D">
        <w:t xml:space="preserve">Arbeidserfaring til </w:t>
      </w:r>
      <w:proofErr w:type="spellStart"/>
      <w:r w:rsidRPr="00225D4D">
        <w:t>fagleg</w:t>
      </w:r>
      <w:proofErr w:type="spellEnd"/>
      <w:r w:rsidRPr="00225D4D">
        <w:t xml:space="preserve"> personell i </w:t>
      </w:r>
      <w:proofErr w:type="spellStart"/>
      <w:r w:rsidRPr="00225D4D">
        <w:t>barnevernsinstitusjonar</w:t>
      </w:r>
      <w:proofErr w:type="spellEnd"/>
    </w:p>
    <w:p w14:paraId="22EB9EC7" w14:textId="77777777" w:rsidR="00D60186" w:rsidRPr="00225D4D" w:rsidRDefault="00D60186" w:rsidP="00225D4D">
      <w:pPr>
        <w:pStyle w:val="avsnitt-undertittel"/>
      </w:pPr>
      <w:r w:rsidRPr="00225D4D">
        <w:t>Vedtak 1006, 11. juni 2025</w:t>
      </w:r>
    </w:p>
    <w:p w14:paraId="4436EA7F" w14:textId="77777777" w:rsidR="00D60186" w:rsidRPr="00225D4D" w:rsidRDefault="00D60186" w:rsidP="00225D4D">
      <w:pPr>
        <w:pStyle w:val="blokksit"/>
      </w:pPr>
      <w:r w:rsidRPr="00225D4D">
        <w:t>«</w:t>
      </w:r>
      <w:r w:rsidRPr="00225D4D">
        <w:rPr>
          <w:rStyle w:val="kursiv"/>
        </w:rPr>
        <w:t>Stortinget ber regjeringen sørge for at barnevernsinstitusjonen også kan ansette faglig personell som kan dokumentere minst tre års arbeidserfaring tilsvarende heltidsstilling fra barnevernsinstitusjon, andre barnevernstiltak med døgnbemanning eller andre tilsvarende omsorgstiltak etter annet lov- og regelverk enn barnevernsloven.</w:t>
      </w:r>
      <w:r w:rsidRPr="00225D4D">
        <w:t>»</w:t>
      </w:r>
    </w:p>
    <w:p w14:paraId="09CED871"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83 L (2024–2025), jf. </w:t>
      </w:r>
      <w:proofErr w:type="spellStart"/>
      <w:r w:rsidRPr="00225D4D">
        <w:t>Innst</w:t>
      </w:r>
      <w:proofErr w:type="spellEnd"/>
      <w:r w:rsidRPr="00225D4D">
        <w:t xml:space="preserve">. 524 L (2024–2025). Departementet har gitt </w:t>
      </w:r>
      <w:proofErr w:type="spellStart"/>
      <w:r w:rsidRPr="00225D4D">
        <w:t>Bufdir</w:t>
      </w:r>
      <w:proofErr w:type="spellEnd"/>
      <w:r w:rsidRPr="00225D4D">
        <w:t xml:space="preserve"> i oppdrag å </w:t>
      </w:r>
      <w:proofErr w:type="spellStart"/>
      <w:r w:rsidRPr="00225D4D">
        <w:t>sørgje</w:t>
      </w:r>
      <w:proofErr w:type="spellEnd"/>
      <w:r w:rsidRPr="00225D4D">
        <w:t xml:space="preserve"> for at rundskriv og anna </w:t>
      </w:r>
      <w:proofErr w:type="spellStart"/>
      <w:r w:rsidRPr="00225D4D">
        <w:t>rettleiande</w:t>
      </w:r>
      <w:proofErr w:type="spellEnd"/>
      <w:r w:rsidRPr="00225D4D">
        <w:t xml:space="preserve"> materiale </w:t>
      </w:r>
      <w:proofErr w:type="spellStart"/>
      <w:r w:rsidRPr="00225D4D">
        <w:t>tydeleg</w:t>
      </w:r>
      <w:proofErr w:type="spellEnd"/>
      <w:r w:rsidRPr="00225D4D">
        <w:t xml:space="preserve"> viser korleis kravet til kompetanse skal </w:t>
      </w:r>
      <w:proofErr w:type="spellStart"/>
      <w:r w:rsidRPr="00225D4D">
        <w:t>forståast</w:t>
      </w:r>
      <w:proofErr w:type="spellEnd"/>
      <w:r w:rsidRPr="00225D4D">
        <w:t xml:space="preserve">, inkludert korleis kravet til </w:t>
      </w:r>
      <w:proofErr w:type="spellStart"/>
      <w:r w:rsidRPr="00225D4D">
        <w:t>talet</w:t>
      </w:r>
      <w:proofErr w:type="spellEnd"/>
      <w:r w:rsidRPr="00225D4D">
        <w:t xml:space="preserve"> på års erfaring skal operasjonaliserast. </w:t>
      </w:r>
    </w:p>
    <w:p w14:paraId="5F521368"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6ABF6B00" w14:textId="77777777" w:rsidR="00D60186" w:rsidRPr="00225D4D" w:rsidRDefault="00D60186" w:rsidP="00225D4D">
      <w:pPr>
        <w:pStyle w:val="avsnitt-tittel"/>
      </w:pPr>
      <w:proofErr w:type="spellStart"/>
      <w:r w:rsidRPr="00225D4D">
        <w:t>Motverke</w:t>
      </w:r>
      <w:proofErr w:type="spellEnd"/>
      <w:r w:rsidRPr="00225D4D">
        <w:t xml:space="preserve"> samværshindring</w:t>
      </w:r>
    </w:p>
    <w:p w14:paraId="4C78C042" w14:textId="77777777" w:rsidR="00D60186" w:rsidRPr="00225D4D" w:rsidRDefault="00D60186" w:rsidP="00225D4D">
      <w:pPr>
        <w:pStyle w:val="avsnitt-undertittel"/>
      </w:pPr>
      <w:r w:rsidRPr="00225D4D">
        <w:t>Vedtak 1007, 11. juni 2025</w:t>
      </w:r>
    </w:p>
    <w:p w14:paraId="4F7474F9" w14:textId="77777777" w:rsidR="00D60186" w:rsidRPr="00225D4D" w:rsidRDefault="00D60186" w:rsidP="00225D4D">
      <w:pPr>
        <w:pStyle w:val="blokksit"/>
      </w:pPr>
      <w:r w:rsidRPr="00225D4D">
        <w:t>«</w:t>
      </w:r>
      <w:r w:rsidRPr="00225D4D">
        <w:rPr>
          <w:rStyle w:val="kursiv"/>
        </w:rPr>
        <w:t>Stortinget ber regjeringen utrede ytterligere tiltak for å motvirke samværshindring, og komme tilbake til Stortinget på egnet måte.</w:t>
      </w:r>
      <w:r w:rsidRPr="00225D4D">
        <w:t>»</w:t>
      </w:r>
    </w:p>
    <w:p w14:paraId="41B85BDC"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Departementet vil orientere Stortinget om den </w:t>
      </w:r>
      <w:proofErr w:type="spellStart"/>
      <w:r w:rsidRPr="00225D4D">
        <w:t>vidare</w:t>
      </w:r>
      <w:proofErr w:type="spellEnd"/>
      <w:r w:rsidRPr="00225D4D">
        <w:t xml:space="preserve"> oppfølginga av vedtaket på eigna vis. Sjå også omtale under oppmodingsvedtak nr. 715 (2020–2021).</w:t>
      </w:r>
    </w:p>
    <w:p w14:paraId="58A8D3DF" w14:textId="77777777" w:rsidR="00D60186" w:rsidRPr="00225D4D" w:rsidRDefault="00D60186" w:rsidP="00225D4D">
      <w:pPr>
        <w:pStyle w:val="avsnitt-tittel"/>
      </w:pPr>
      <w:r w:rsidRPr="00225D4D">
        <w:t xml:space="preserve">Moment ved </w:t>
      </w:r>
      <w:proofErr w:type="spellStart"/>
      <w:r w:rsidRPr="00225D4D">
        <w:t>det-beste-for-barnet-vurderingar</w:t>
      </w:r>
      <w:proofErr w:type="spellEnd"/>
    </w:p>
    <w:p w14:paraId="5FD500C1" w14:textId="77777777" w:rsidR="00D60186" w:rsidRPr="00225D4D" w:rsidRDefault="00D60186" w:rsidP="00225D4D">
      <w:pPr>
        <w:pStyle w:val="avsnitt-undertittel"/>
      </w:pPr>
      <w:r w:rsidRPr="00225D4D">
        <w:t>Vedtak 1008, 11. juni 2025</w:t>
      </w:r>
    </w:p>
    <w:p w14:paraId="098AD7CA" w14:textId="77777777" w:rsidR="00D60186" w:rsidRPr="00225D4D" w:rsidRDefault="00D60186" w:rsidP="00225D4D">
      <w:pPr>
        <w:pStyle w:val="blokksit"/>
      </w:pPr>
      <w:r w:rsidRPr="00225D4D">
        <w:t>«</w:t>
      </w:r>
      <w:r w:rsidRPr="00225D4D">
        <w:rPr>
          <w:rStyle w:val="kursiv"/>
        </w:rPr>
        <w:t>Stortinget ber regjeringen om å vurdere hvordan momenter som bør legges til grunn ved ‘barnets beste’-vurderinger, kan tydeliggjøres i arbeidet med forskrifter til barneloven og i relevant veiledningsmateriell.</w:t>
      </w:r>
      <w:r w:rsidRPr="00225D4D">
        <w:t>»</w:t>
      </w:r>
    </w:p>
    <w:p w14:paraId="2E851489"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Departementet vil orientere Stortinget om den </w:t>
      </w:r>
      <w:proofErr w:type="spellStart"/>
      <w:r w:rsidRPr="00225D4D">
        <w:t>vidare</w:t>
      </w:r>
      <w:proofErr w:type="spellEnd"/>
      <w:r w:rsidRPr="00225D4D">
        <w:t xml:space="preserve"> oppfølginga av vedtaket på eigna vis.</w:t>
      </w:r>
    </w:p>
    <w:p w14:paraId="42718F6E" w14:textId="77777777" w:rsidR="00D60186" w:rsidRPr="00225D4D" w:rsidRDefault="00D60186" w:rsidP="00225D4D">
      <w:pPr>
        <w:pStyle w:val="avsnitt-tittel"/>
      </w:pPr>
      <w:proofErr w:type="spellStart"/>
      <w:r w:rsidRPr="00225D4D">
        <w:t>Fastsetjing</w:t>
      </w:r>
      <w:proofErr w:type="spellEnd"/>
      <w:r w:rsidRPr="00225D4D">
        <w:t xml:space="preserve"> av medmorskap</w:t>
      </w:r>
    </w:p>
    <w:p w14:paraId="199849A0" w14:textId="77777777" w:rsidR="00D60186" w:rsidRPr="00225D4D" w:rsidRDefault="00D60186" w:rsidP="00225D4D">
      <w:pPr>
        <w:pStyle w:val="avsnitt-undertittel"/>
      </w:pPr>
      <w:r w:rsidRPr="00225D4D">
        <w:t>Vedtak 1009, 11. juni 2025</w:t>
      </w:r>
    </w:p>
    <w:p w14:paraId="024D50BA" w14:textId="77777777" w:rsidR="00D60186" w:rsidRPr="00225D4D" w:rsidRDefault="00D60186" w:rsidP="00225D4D">
      <w:pPr>
        <w:pStyle w:val="blokksit"/>
      </w:pPr>
      <w:r w:rsidRPr="00225D4D">
        <w:t>«</w:t>
      </w:r>
      <w:r w:rsidRPr="00225D4D">
        <w:rPr>
          <w:rStyle w:val="kursiv"/>
        </w:rPr>
        <w:t>Stortinget ber regjeringen utrede endringer i barnelova § 2-3 om medmorskap, med sikte på å fremme et lovforslag som innebærer at medmorskap fastsettes på samme vis som farskap etter reglene i §§ 2-4 om ekteskap og reglene om erklæring i §§ 2-5 flg.</w:t>
      </w:r>
      <w:r w:rsidRPr="00225D4D">
        <w:t>»</w:t>
      </w:r>
    </w:p>
    <w:p w14:paraId="6B1E9BA0"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Departementet vil orientere Stortinget om den </w:t>
      </w:r>
      <w:proofErr w:type="spellStart"/>
      <w:r w:rsidRPr="00225D4D">
        <w:t>vidare</w:t>
      </w:r>
      <w:proofErr w:type="spellEnd"/>
      <w:r w:rsidRPr="00225D4D">
        <w:t xml:space="preserve"> oppfølginga av vedtaket på eigna vis.</w:t>
      </w:r>
    </w:p>
    <w:p w14:paraId="104541D7" w14:textId="77777777" w:rsidR="00D60186" w:rsidRPr="00225D4D" w:rsidRDefault="00D60186" w:rsidP="00225D4D">
      <w:pPr>
        <w:pStyle w:val="avsnitt-tittel"/>
      </w:pPr>
      <w:proofErr w:type="spellStart"/>
      <w:r w:rsidRPr="00225D4D">
        <w:t>Innhaldet</w:t>
      </w:r>
      <w:proofErr w:type="spellEnd"/>
      <w:r w:rsidRPr="00225D4D">
        <w:t xml:space="preserve"> i omsorgsplikta og foreldreansvaret</w:t>
      </w:r>
    </w:p>
    <w:p w14:paraId="4BFB911F" w14:textId="77777777" w:rsidR="00D60186" w:rsidRPr="00225D4D" w:rsidRDefault="00D60186" w:rsidP="00225D4D">
      <w:pPr>
        <w:pStyle w:val="avsnitt-undertittel"/>
      </w:pPr>
      <w:r w:rsidRPr="00225D4D">
        <w:t>Vedtak 1010, 11. juni 2025</w:t>
      </w:r>
    </w:p>
    <w:p w14:paraId="0CFB3F10" w14:textId="77777777" w:rsidR="00D60186" w:rsidRPr="00225D4D" w:rsidRDefault="00D60186" w:rsidP="00225D4D">
      <w:pPr>
        <w:pStyle w:val="blokksit"/>
      </w:pPr>
      <w:r w:rsidRPr="00225D4D">
        <w:t>«</w:t>
      </w:r>
      <w:r w:rsidRPr="00225D4D">
        <w:rPr>
          <w:rStyle w:val="kursiv"/>
        </w:rPr>
        <w:t>Stortinget ber regjeringen vurdere hva som er innholdet i omsorgsplikten, og hvordan foreldreansvaret kan tydeliggjøres i arbeidet med forskrifter til barnelova og i relevant veiledningsmateriell.</w:t>
      </w:r>
      <w:r w:rsidRPr="00225D4D">
        <w:t>»</w:t>
      </w:r>
    </w:p>
    <w:p w14:paraId="1DAEF266"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Departementet vil orientere Stortinget om den </w:t>
      </w:r>
      <w:proofErr w:type="spellStart"/>
      <w:r w:rsidRPr="00225D4D">
        <w:t>vidare</w:t>
      </w:r>
      <w:proofErr w:type="spellEnd"/>
      <w:r w:rsidRPr="00225D4D">
        <w:t xml:space="preserve"> oppfølginga av vedtaket på eigna vis.</w:t>
      </w:r>
    </w:p>
    <w:p w14:paraId="5B9605A0" w14:textId="77777777" w:rsidR="00D60186" w:rsidRPr="00225D4D" w:rsidRDefault="00D60186" w:rsidP="00225D4D">
      <w:pPr>
        <w:pStyle w:val="avsnitt-tittel"/>
      </w:pPr>
      <w:proofErr w:type="spellStart"/>
      <w:r w:rsidRPr="00225D4D">
        <w:t>Innhaldet</w:t>
      </w:r>
      <w:proofErr w:type="spellEnd"/>
      <w:r w:rsidRPr="00225D4D">
        <w:t xml:space="preserve"> i «</w:t>
      </w:r>
      <w:proofErr w:type="spellStart"/>
      <w:r w:rsidRPr="00225D4D">
        <w:t>dagleg</w:t>
      </w:r>
      <w:proofErr w:type="spellEnd"/>
      <w:r w:rsidRPr="00225D4D">
        <w:t xml:space="preserve"> </w:t>
      </w:r>
      <w:proofErr w:type="spellStart"/>
      <w:r w:rsidRPr="00225D4D">
        <w:t>myndigheit</w:t>
      </w:r>
      <w:proofErr w:type="spellEnd"/>
      <w:r w:rsidRPr="00225D4D">
        <w:t>»</w:t>
      </w:r>
    </w:p>
    <w:p w14:paraId="2562AB69" w14:textId="77777777" w:rsidR="00D60186" w:rsidRPr="00225D4D" w:rsidRDefault="00D60186" w:rsidP="00225D4D">
      <w:pPr>
        <w:pStyle w:val="avsnitt-undertittel"/>
      </w:pPr>
      <w:r w:rsidRPr="00225D4D">
        <w:t>Vedtak 1011, 11. juni 2025</w:t>
      </w:r>
    </w:p>
    <w:p w14:paraId="55569E48" w14:textId="77777777" w:rsidR="00D60186" w:rsidRPr="00225D4D" w:rsidRDefault="00D60186" w:rsidP="00225D4D">
      <w:pPr>
        <w:pStyle w:val="blokksit"/>
      </w:pPr>
      <w:r w:rsidRPr="00225D4D">
        <w:t>«</w:t>
      </w:r>
      <w:r w:rsidRPr="00225D4D">
        <w:rPr>
          <w:rStyle w:val="kursiv"/>
        </w:rPr>
        <w:t>Stortinget ber regjeringen tydeliggjøre gjennom veiledning hva som er innholdet i begrepet ‘daglig myndighet’ som utøves overfor barn etter samlivsbrudd, og vurdere om det er behov for særreguleringer.</w:t>
      </w:r>
      <w:r w:rsidRPr="00225D4D">
        <w:t>»</w:t>
      </w:r>
    </w:p>
    <w:p w14:paraId="77030067"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Departementet vil orientere Stortinget om den </w:t>
      </w:r>
      <w:proofErr w:type="spellStart"/>
      <w:r w:rsidRPr="00225D4D">
        <w:t>vidare</w:t>
      </w:r>
      <w:proofErr w:type="spellEnd"/>
      <w:r w:rsidRPr="00225D4D">
        <w:t xml:space="preserve"> oppfølginga av vedtaket på eigna vis.</w:t>
      </w:r>
    </w:p>
    <w:p w14:paraId="49335DDD" w14:textId="77777777" w:rsidR="00D60186" w:rsidRPr="00225D4D" w:rsidRDefault="00D60186" w:rsidP="00225D4D">
      <w:pPr>
        <w:pStyle w:val="avsnitt-tittel"/>
      </w:pPr>
      <w:r w:rsidRPr="00225D4D">
        <w:t xml:space="preserve">Prioritere </w:t>
      </w:r>
      <w:proofErr w:type="spellStart"/>
      <w:r w:rsidRPr="00225D4D">
        <w:t>tidlegare</w:t>
      </w:r>
      <w:proofErr w:type="spellEnd"/>
      <w:r w:rsidRPr="00225D4D">
        <w:t xml:space="preserve"> oppmodingsvedtak om å sikre barn mot vald, overgrep og risiko</w:t>
      </w:r>
    </w:p>
    <w:p w14:paraId="52A4B73C" w14:textId="77777777" w:rsidR="00D60186" w:rsidRPr="00225D4D" w:rsidRDefault="00D60186" w:rsidP="00225D4D">
      <w:pPr>
        <w:pStyle w:val="avsnitt-undertittel"/>
      </w:pPr>
      <w:r w:rsidRPr="00225D4D">
        <w:t>Vedtak 1012, 11. juni 2025</w:t>
      </w:r>
    </w:p>
    <w:p w14:paraId="14164B5F" w14:textId="77777777" w:rsidR="00D60186" w:rsidRPr="00225D4D" w:rsidRDefault="00D60186" w:rsidP="00225D4D">
      <w:pPr>
        <w:pStyle w:val="blokksit"/>
      </w:pPr>
      <w:r w:rsidRPr="00225D4D">
        <w:t>«</w:t>
      </w:r>
      <w:r w:rsidRPr="00225D4D">
        <w:rPr>
          <w:rStyle w:val="kursiv"/>
        </w:rPr>
        <w:t>Stortinget ber regjeringen prioritere oppfølging av Stortingets anmodningsvedtak nr. 514, 515, 516 og 517 (2024–2025), slik at barn og unge sikres mot vold, overgrep og risiko. Regjeringen bes snarest mulig komme tilbake til Stortinget på egnet måte med plan for det videre arbeidet.</w:t>
      </w:r>
      <w:r w:rsidRPr="00225D4D">
        <w:t>»</w:t>
      </w:r>
    </w:p>
    <w:p w14:paraId="3656356F"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Vi viser til omtalen under av oppmodingsvedtak nr. 514, 515 og 516. Ansvaret for nr. 517 ligg til Justis- og beredskapsdepartementet. Departementet vil orientere Stortinget om den </w:t>
      </w:r>
      <w:proofErr w:type="spellStart"/>
      <w:r w:rsidRPr="00225D4D">
        <w:t>vidare</w:t>
      </w:r>
      <w:proofErr w:type="spellEnd"/>
      <w:r w:rsidRPr="00225D4D">
        <w:t xml:space="preserve"> oppfølginga av vedtaket på eigna vis.</w:t>
      </w:r>
    </w:p>
    <w:p w14:paraId="244CA676" w14:textId="77777777" w:rsidR="00D60186" w:rsidRPr="00225D4D" w:rsidRDefault="00D60186" w:rsidP="00225D4D">
      <w:pPr>
        <w:pStyle w:val="avsnitt-tittel"/>
      </w:pPr>
      <w:proofErr w:type="spellStart"/>
      <w:r w:rsidRPr="00225D4D">
        <w:t>Lovendringar</w:t>
      </w:r>
      <w:proofErr w:type="spellEnd"/>
      <w:r w:rsidRPr="00225D4D">
        <w:t xml:space="preserve"> om samvær i saker med vald i nære </w:t>
      </w:r>
      <w:proofErr w:type="spellStart"/>
      <w:r w:rsidRPr="00225D4D">
        <w:t>relasjonar</w:t>
      </w:r>
      <w:proofErr w:type="spellEnd"/>
    </w:p>
    <w:p w14:paraId="2B9ACD1E" w14:textId="77777777" w:rsidR="00D60186" w:rsidRPr="00225D4D" w:rsidRDefault="00D60186" w:rsidP="00225D4D">
      <w:pPr>
        <w:pStyle w:val="avsnitt-undertittel"/>
      </w:pPr>
      <w:r w:rsidRPr="00225D4D">
        <w:t>Vedtak 1013, 11. juni 2025</w:t>
      </w:r>
    </w:p>
    <w:p w14:paraId="6CBBBFFA" w14:textId="77777777" w:rsidR="00D60186" w:rsidRPr="00225D4D" w:rsidRDefault="00D60186" w:rsidP="00225D4D">
      <w:pPr>
        <w:pStyle w:val="blokksit"/>
      </w:pPr>
      <w:r w:rsidRPr="00225D4D">
        <w:t>«</w:t>
      </w:r>
      <w:r w:rsidRPr="00225D4D">
        <w:rPr>
          <w:rStyle w:val="kursiv"/>
        </w:rPr>
        <w:t>Stortinget ber regjeringen fremme forslag til lovendringer som sikrer at barn som har vært utsatt for eller vært vitne til vold i nære relasjoner som utøves av en forelder, i utgangspunktet ikke skal ha samvær med den voldsutøvende forelderen. Barn gis rett til å midlertidig stanse samvær dersom de opplever det som utrygt eller belastende.</w:t>
      </w:r>
      <w:r w:rsidRPr="00225D4D">
        <w:t>»</w:t>
      </w:r>
    </w:p>
    <w:p w14:paraId="79C0CFFB"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w:t>
      </w:r>
      <w:proofErr w:type="spellStart"/>
      <w:r w:rsidRPr="00225D4D">
        <w:t>Vidare</w:t>
      </w:r>
      <w:proofErr w:type="spellEnd"/>
      <w:r w:rsidRPr="00225D4D">
        <w:t xml:space="preserve"> oppfølging vil </w:t>
      </w:r>
      <w:proofErr w:type="spellStart"/>
      <w:r w:rsidRPr="00225D4D">
        <w:t>krevje</w:t>
      </w:r>
      <w:proofErr w:type="spellEnd"/>
      <w:r w:rsidRPr="00225D4D">
        <w:t xml:space="preserve"> </w:t>
      </w:r>
      <w:proofErr w:type="spellStart"/>
      <w:r w:rsidRPr="00225D4D">
        <w:t>eit</w:t>
      </w:r>
      <w:proofErr w:type="spellEnd"/>
      <w:r w:rsidRPr="00225D4D">
        <w:t xml:space="preserve"> utgreiingsarbeid, og må </w:t>
      </w:r>
      <w:proofErr w:type="spellStart"/>
      <w:r w:rsidRPr="00225D4D">
        <w:t>sjåast</w:t>
      </w:r>
      <w:proofErr w:type="spellEnd"/>
      <w:r w:rsidRPr="00225D4D">
        <w:t xml:space="preserve"> i </w:t>
      </w:r>
      <w:proofErr w:type="spellStart"/>
      <w:r w:rsidRPr="00225D4D">
        <w:t>samanheng</w:t>
      </w:r>
      <w:proofErr w:type="spellEnd"/>
      <w:r w:rsidRPr="00225D4D">
        <w:t xml:space="preserve"> med </w:t>
      </w:r>
      <w:proofErr w:type="spellStart"/>
      <w:r w:rsidRPr="00225D4D">
        <w:t>naudsynt</w:t>
      </w:r>
      <w:proofErr w:type="spellEnd"/>
      <w:r w:rsidRPr="00225D4D">
        <w:t xml:space="preserve"> arbeid i samband med at ny barnelov skal ta til å gjelde, og </w:t>
      </w:r>
      <w:proofErr w:type="spellStart"/>
      <w:r w:rsidRPr="00225D4D">
        <w:t>vidare</w:t>
      </w:r>
      <w:proofErr w:type="spellEnd"/>
      <w:r w:rsidRPr="00225D4D">
        <w:t xml:space="preserve"> arbeid med ny familievernlov. Departementet vil orientere Stortinget om den </w:t>
      </w:r>
      <w:proofErr w:type="spellStart"/>
      <w:r w:rsidRPr="00225D4D">
        <w:t>vidare</w:t>
      </w:r>
      <w:proofErr w:type="spellEnd"/>
      <w:r w:rsidRPr="00225D4D">
        <w:t xml:space="preserve"> oppfølginga av vedtaket på eigna vis.</w:t>
      </w:r>
    </w:p>
    <w:p w14:paraId="74F7BB41" w14:textId="77777777" w:rsidR="00D60186" w:rsidRPr="00225D4D" w:rsidRDefault="00D60186" w:rsidP="00225D4D">
      <w:pPr>
        <w:pStyle w:val="avsnitt-tittel"/>
      </w:pPr>
      <w:proofErr w:type="spellStart"/>
      <w:r w:rsidRPr="00225D4D">
        <w:t>Lovendringar</w:t>
      </w:r>
      <w:proofErr w:type="spellEnd"/>
      <w:r w:rsidRPr="00225D4D">
        <w:t xml:space="preserve"> om samvær for barn på krisesenter</w:t>
      </w:r>
    </w:p>
    <w:p w14:paraId="5ED79C2E" w14:textId="77777777" w:rsidR="00D60186" w:rsidRPr="00225D4D" w:rsidRDefault="00D60186" w:rsidP="00225D4D">
      <w:pPr>
        <w:pStyle w:val="avsnitt-undertittel"/>
      </w:pPr>
      <w:r w:rsidRPr="00225D4D">
        <w:t>Vedtak 1014, 11. juni 2025</w:t>
      </w:r>
    </w:p>
    <w:p w14:paraId="108F7C63" w14:textId="77777777" w:rsidR="00D60186" w:rsidRPr="00225D4D" w:rsidRDefault="00D60186" w:rsidP="00225D4D">
      <w:pPr>
        <w:pStyle w:val="blokksit"/>
      </w:pPr>
      <w:r w:rsidRPr="00225D4D">
        <w:t>«</w:t>
      </w:r>
      <w:r w:rsidRPr="00225D4D">
        <w:rPr>
          <w:rStyle w:val="kursiv"/>
        </w:rPr>
        <w:t>Stortinget ber regjeringen fremme forslag til lovendringer som sikrer at barn som oppholder seg på krisesenter, ikke skal ha samvær med en forelder som har utøvd vold mot den andre forelderen, og at barn gis rett til å nekte samvær dersom de opplever det som utrygt eller belastende.</w:t>
      </w:r>
      <w:r w:rsidRPr="00225D4D">
        <w:t>»</w:t>
      </w:r>
    </w:p>
    <w:p w14:paraId="6BA3961D"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w:t>
      </w:r>
      <w:proofErr w:type="spellStart"/>
      <w:r w:rsidRPr="00225D4D">
        <w:t>Vidare</w:t>
      </w:r>
      <w:proofErr w:type="spellEnd"/>
      <w:r w:rsidRPr="00225D4D">
        <w:t xml:space="preserve"> oppfølging vil </w:t>
      </w:r>
      <w:proofErr w:type="spellStart"/>
      <w:r w:rsidRPr="00225D4D">
        <w:t>krevje</w:t>
      </w:r>
      <w:proofErr w:type="spellEnd"/>
      <w:r w:rsidRPr="00225D4D">
        <w:t xml:space="preserve"> </w:t>
      </w:r>
      <w:proofErr w:type="spellStart"/>
      <w:r w:rsidRPr="00225D4D">
        <w:t>eit</w:t>
      </w:r>
      <w:proofErr w:type="spellEnd"/>
      <w:r w:rsidRPr="00225D4D">
        <w:t xml:space="preserve"> utgreiingsarbeid og må </w:t>
      </w:r>
      <w:proofErr w:type="spellStart"/>
      <w:r w:rsidRPr="00225D4D">
        <w:t>sjåast</w:t>
      </w:r>
      <w:proofErr w:type="spellEnd"/>
      <w:r w:rsidRPr="00225D4D">
        <w:t xml:space="preserve"> i </w:t>
      </w:r>
      <w:proofErr w:type="spellStart"/>
      <w:r w:rsidRPr="00225D4D">
        <w:t>samanheng</w:t>
      </w:r>
      <w:proofErr w:type="spellEnd"/>
      <w:r w:rsidRPr="00225D4D">
        <w:t xml:space="preserve"> med </w:t>
      </w:r>
      <w:proofErr w:type="spellStart"/>
      <w:r w:rsidRPr="00225D4D">
        <w:t>naudsynt</w:t>
      </w:r>
      <w:proofErr w:type="spellEnd"/>
      <w:r w:rsidRPr="00225D4D">
        <w:t xml:space="preserve"> arbeid i samband med at ny barnelov skal ta til å gjelde, og </w:t>
      </w:r>
      <w:proofErr w:type="spellStart"/>
      <w:r w:rsidRPr="00225D4D">
        <w:t>vidare</w:t>
      </w:r>
      <w:proofErr w:type="spellEnd"/>
      <w:r w:rsidRPr="00225D4D">
        <w:t xml:space="preserve"> arbeid med ny familievernlov. Departementet vil orientere Stortinget om den </w:t>
      </w:r>
      <w:proofErr w:type="spellStart"/>
      <w:r w:rsidRPr="00225D4D">
        <w:t>vidare</w:t>
      </w:r>
      <w:proofErr w:type="spellEnd"/>
      <w:r w:rsidRPr="00225D4D">
        <w:t xml:space="preserve"> oppfølginga av vedtaket på eigna vis.</w:t>
      </w:r>
    </w:p>
    <w:p w14:paraId="7DC2C08E" w14:textId="77777777" w:rsidR="00D60186" w:rsidRPr="00225D4D" w:rsidRDefault="00D60186" w:rsidP="00225D4D">
      <w:pPr>
        <w:pStyle w:val="avsnitt-tittel"/>
      </w:pPr>
      <w:r w:rsidRPr="00225D4D">
        <w:t xml:space="preserve">Betre avdekking og handsaming av vald, overgrep og </w:t>
      </w:r>
      <w:proofErr w:type="spellStart"/>
      <w:r w:rsidRPr="00225D4D">
        <w:t>annan</w:t>
      </w:r>
      <w:proofErr w:type="spellEnd"/>
      <w:r w:rsidRPr="00225D4D">
        <w:t xml:space="preserve"> </w:t>
      </w:r>
      <w:proofErr w:type="spellStart"/>
      <w:r w:rsidRPr="00225D4D">
        <w:t>alvorleg</w:t>
      </w:r>
      <w:proofErr w:type="spellEnd"/>
      <w:r w:rsidRPr="00225D4D">
        <w:t xml:space="preserve"> risiko mot barn</w:t>
      </w:r>
    </w:p>
    <w:p w14:paraId="336208B0" w14:textId="77777777" w:rsidR="00D60186" w:rsidRPr="00225D4D" w:rsidRDefault="00D60186" w:rsidP="00225D4D">
      <w:pPr>
        <w:pStyle w:val="avsnitt-undertittel"/>
      </w:pPr>
      <w:r w:rsidRPr="00225D4D">
        <w:t>Vedtak 1015, 11. juni 2025</w:t>
      </w:r>
    </w:p>
    <w:p w14:paraId="52F42094" w14:textId="77777777" w:rsidR="00D60186" w:rsidRPr="00225D4D" w:rsidRDefault="00D60186" w:rsidP="00225D4D">
      <w:pPr>
        <w:pStyle w:val="blokksit"/>
      </w:pPr>
      <w:r w:rsidRPr="00225D4D">
        <w:t>«</w:t>
      </w:r>
      <w:r w:rsidRPr="00225D4D">
        <w:rPr>
          <w:rStyle w:val="kursiv"/>
        </w:rPr>
        <w:t>Stortinget ber regjeringen utrede om det bør etableres mer forpliktende kontakt og samarbeid mellom ulike tjenester mv. for bedre å kunne avdekke og håndtere vold, overgrep og annen alvorlig risiko mot barn, og tilfeller med risiko for uberettiget brudd i kontakt mellom barn og forelder.</w:t>
      </w:r>
      <w:r w:rsidRPr="00225D4D">
        <w:t>»</w:t>
      </w:r>
    </w:p>
    <w:p w14:paraId="7A92A308"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w:t>
      </w:r>
      <w:proofErr w:type="spellStart"/>
      <w:r w:rsidRPr="00225D4D">
        <w:t>Vidare</w:t>
      </w:r>
      <w:proofErr w:type="spellEnd"/>
      <w:r w:rsidRPr="00225D4D">
        <w:t xml:space="preserve"> oppfølging vil </w:t>
      </w:r>
      <w:proofErr w:type="spellStart"/>
      <w:r w:rsidRPr="00225D4D">
        <w:t>krevje</w:t>
      </w:r>
      <w:proofErr w:type="spellEnd"/>
      <w:r w:rsidRPr="00225D4D">
        <w:t xml:space="preserve"> </w:t>
      </w:r>
      <w:proofErr w:type="spellStart"/>
      <w:r w:rsidRPr="00225D4D">
        <w:t>eit</w:t>
      </w:r>
      <w:proofErr w:type="spellEnd"/>
      <w:r w:rsidRPr="00225D4D">
        <w:t xml:space="preserve"> utgreiingsarbeid, og må </w:t>
      </w:r>
      <w:proofErr w:type="spellStart"/>
      <w:r w:rsidRPr="00225D4D">
        <w:t>sjåast</w:t>
      </w:r>
      <w:proofErr w:type="spellEnd"/>
      <w:r w:rsidRPr="00225D4D">
        <w:t xml:space="preserve"> i </w:t>
      </w:r>
      <w:proofErr w:type="spellStart"/>
      <w:r w:rsidRPr="00225D4D">
        <w:t>samanheng</w:t>
      </w:r>
      <w:proofErr w:type="spellEnd"/>
      <w:r w:rsidRPr="00225D4D">
        <w:t xml:space="preserve"> med </w:t>
      </w:r>
      <w:proofErr w:type="spellStart"/>
      <w:r w:rsidRPr="00225D4D">
        <w:t>naudsynt</w:t>
      </w:r>
      <w:proofErr w:type="spellEnd"/>
      <w:r w:rsidRPr="00225D4D">
        <w:t xml:space="preserve"> arbeid i samband med at ny barnelov skal ta til å gjelde, og </w:t>
      </w:r>
      <w:proofErr w:type="spellStart"/>
      <w:r w:rsidRPr="00225D4D">
        <w:t>vidare</w:t>
      </w:r>
      <w:proofErr w:type="spellEnd"/>
      <w:r w:rsidRPr="00225D4D">
        <w:t xml:space="preserve"> arbeid med ny familievernlov. Departementet vil orientere Stortinget om den </w:t>
      </w:r>
      <w:proofErr w:type="spellStart"/>
      <w:r w:rsidRPr="00225D4D">
        <w:t>vidare</w:t>
      </w:r>
      <w:proofErr w:type="spellEnd"/>
      <w:r w:rsidRPr="00225D4D">
        <w:t xml:space="preserve"> oppfølginga av vedtaket på eigna vis.</w:t>
      </w:r>
    </w:p>
    <w:p w14:paraId="66855EDE" w14:textId="77777777" w:rsidR="00D60186" w:rsidRPr="00225D4D" w:rsidRDefault="00D60186" w:rsidP="00225D4D">
      <w:pPr>
        <w:pStyle w:val="avsnitt-tittel"/>
      </w:pPr>
      <w:proofErr w:type="spellStart"/>
      <w:r w:rsidRPr="00225D4D">
        <w:t>Tverrfagleg</w:t>
      </w:r>
      <w:proofErr w:type="spellEnd"/>
      <w:r w:rsidRPr="00225D4D">
        <w:t xml:space="preserve"> vurdering i foreldretvistsaker</w:t>
      </w:r>
    </w:p>
    <w:p w14:paraId="25955952" w14:textId="77777777" w:rsidR="00D60186" w:rsidRPr="00225D4D" w:rsidRDefault="00D60186" w:rsidP="00225D4D">
      <w:pPr>
        <w:pStyle w:val="avsnitt-undertittel"/>
      </w:pPr>
      <w:r w:rsidRPr="00225D4D">
        <w:t>Vedtak 1016, 11. juni 2025</w:t>
      </w:r>
    </w:p>
    <w:p w14:paraId="6D905D20" w14:textId="77777777" w:rsidR="00D60186" w:rsidRPr="00225D4D" w:rsidRDefault="00D60186" w:rsidP="00225D4D">
      <w:pPr>
        <w:pStyle w:val="blokksit"/>
      </w:pPr>
      <w:r w:rsidRPr="00225D4D">
        <w:t>«</w:t>
      </w:r>
      <w:r w:rsidRPr="00225D4D">
        <w:rPr>
          <w:rStyle w:val="kursiv"/>
        </w:rPr>
        <w:t>Stortinget ber regjeringen utrede forslag til hvordan det kan sikres tverrfaglig vurdering i foreldretvistsaker der det er mistanke om eller risiko for vold, seksuelle overgrep eller at barnet på annet vis blir behandlet slik at den fysiske eller psykiske helsa utsettes for skade eller fare.</w:t>
      </w:r>
      <w:r w:rsidRPr="00225D4D">
        <w:t>»</w:t>
      </w:r>
    </w:p>
    <w:p w14:paraId="5651999F"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at Stortinget handsama </w:t>
      </w:r>
      <w:proofErr w:type="spellStart"/>
      <w:r w:rsidRPr="00225D4D">
        <w:t>Prop</w:t>
      </w:r>
      <w:proofErr w:type="spellEnd"/>
      <w:r w:rsidRPr="00225D4D">
        <w:t xml:space="preserve">. 117 L (2024–2025), jf. </w:t>
      </w:r>
      <w:proofErr w:type="spellStart"/>
      <w:r w:rsidRPr="00225D4D">
        <w:t>Innst</w:t>
      </w:r>
      <w:proofErr w:type="spellEnd"/>
      <w:r w:rsidRPr="00225D4D">
        <w:t xml:space="preserve">. 526 S (2024–2025). </w:t>
      </w:r>
      <w:proofErr w:type="spellStart"/>
      <w:r w:rsidRPr="00225D4D">
        <w:t>Vidare</w:t>
      </w:r>
      <w:proofErr w:type="spellEnd"/>
      <w:r w:rsidRPr="00225D4D">
        <w:t xml:space="preserve"> oppfølging vil </w:t>
      </w:r>
      <w:proofErr w:type="spellStart"/>
      <w:r w:rsidRPr="00225D4D">
        <w:t>krevje</w:t>
      </w:r>
      <w:proofErr w:type="spellEnd"/>
      <w:r w:rsidRPr="00225D4D">
        <w:t xml:space="preserve"> </w:t>
      </w:r>
      <w:proofErr w:type="spellStart"/>
      <w:r w:rsidRPr="00225D4D">
        <w:t>eit</w:t>
      </w:r>
      <w:proofErr w:type="spellEnd"/>
      <w:r w:rsidRPr="00225D4D">
        <w:t xml:space="preserve"> utgreiingsarbeid, og må </w:t>
      </w:r>
      <w:proofErr w:type="spellStart"/>
      <w:r w:rsidRPr="00225D4D">
        <w:t>sjåast</w:t>
      </w:r>
      <w:proofErr w:type="spellEnd"/>
      <w:r w:rsidRPr="00225D4D">
        <w:t xml:space="preserve"> i </w:t>
      </w:r>
      <w:proofErr w:type="spellStart"/>
      <w:r w:rsidRPr="00225D4D">
        <w:t>samanheng</w:t>
      </w:r>
      <w:proofErr w:type="spellEnd"/>
      <w:r w:rsidRPr="00225D4D">
        <w:t xml:space="preserve"> med </w:t>
      </w:r>
      <w:proofErr w:type="spellStart"/>
      <w:r w:rsidRPr="00225D4D">
        <w:t>naudsynt</w:t>
      </w:r>
      <w:proofErr w:type="spellEnd"/>
      <w:r w:rsidRPr="00225D4D">
        <w:t xml:space="preserve"> arbeid i samband med at ny barnelov skal ta til å gjelde, og </w:t>
      </w:r>
      <w:proofErr w:type="spellStart"/>
      <w:r w:rsidRPr="00225D4D">
        <w:t>vidare</w:t>
      </w:r>
      <w:proofErr w:type="spellEnd"/>
      <w:r w:rsidRPr="00225D4D">
        <w:t xml:space="preserve"> arbeid med ny familievernlov. Departementet vil orientere Stortinget om den </w:t>
      </w:r>
      <w:proofErr w:type="spellStart"/>
      <w:r w:rsidRPr="00225D4D">
        <w:t>vidare</w:t>
      </w:r>
      <w:proofErr w:type="spellEnd"/>
      <w:r w:rsidRPr="00225D4D">
        <w:t xml:space="preserve"> oppfølginga av vedtaket på eigna vis.</w:t>
      </w:r>
    </w:p>
    <w:p w14:paraId="137F527D" w14:textId="77777777" w:rsidR="00D60186" w:rsidRPr="00225D4D" w:rsidRDefault="00D60186" w:rsidP="00225D4D">
      <w:pPr>
        <w:pStyle w:val="avsnitt-tittel"/>
      </w:pPr>
      <w:r w:rsidRPr="00225D4D">
        <w:t xml:space="preserve">Krav til kompetanse for </w:t>
      </w:r>
      <w:proofErr w:type="gramStart"/>
      <w:r w:rsidRPr="00225D4D">
        <w:t>tilsette</w:t>
      </w:r>
      <w:proofErr w:type="gramEnd"/>
      <w:r w:rsidRPr="00225D4D">
        <w:t xml:space="preserve"> ved </w:t>
      </w:r>
      <w:proofErr w:type="spellStart"/>
      <w:r w:rsidRPr="00225D4D">
        <w:t>krisesentera</w:t>
      </w:r>
      <w:proofErr w:type="spellEnd"/>
    </w:p>
    <w:p w14:paraId="168C4434" w14:textId="77777777" w:rsidR="00D60186" w:rsidRPr="00225D4D" w:rsidRDefault="00D60186" w:rsidP="00225D4D">
      <w:pPr>
        <w:pStyle w:val="avsnitt-undertittel"/>
      </w:pPr>
      <w:r w:rsidRPr="00225D4D">
        <w:t>Vedtak 1017, 11. juni 2025</w:t>
      </w:r>
    </w:p>
    <w:p w14:paraId="1E213A9C" w14:textId="77777777" w:rsidR="00D60186" w:rsidRPr="00225D4D" w:rsidRDefault="00D60186" w:rsidP="00225D4D">
      <w:pPr>
        <w:pStyle w:val="blokksit"/>
      </w:pPr>
      <w:r w:rsidRPr="00225D4D">
        <w:t>«</w:t>
      </w:r>
      <w:r w:rsidRPr="00225D4D">
        <w:rPr>
          <w:rStyle w:val="kursiv"/>
        </w:rPr>
        <w:t>Stortinget ber regjeringen utrede behovet for krav til kompetanse for ansatte ved krisesentre, og vurdere hvordan slike krav best kan reguleres og følges opp.</w:t>
      </w:r>
      <w:r w:rsidRPr="00225D4D">
        <w:t>»</w:t>
      </w:r>
    </w:p>
    <w:p w14:paraId="7BD24397"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122 L (2024–2025), jf. </w:t>
      </w:r>
      <w:proofErr w:type="spellStart"/>
      <w:r w:rsidRPr="00225D4D">
        <w:t>Innst</w:t>
      </w:r>
      <w:proofErr w:type="spellEnd"/>
      <w:r w:rsidRPr="00225D4D">
        <w:t>. 439 L (2024–2025).</w:t>
      </w:r>
    </w:p>
    <w:p w14:paraId="4C77FEA7" w14:textId="77777777" w:rsidR="00D60186" w:rsidRPr="00225D4D" w:rsidRDefault="00D60186" w:rsidP="00225D4D">
      <w:r w:rsidRPr="00225D4D">
        <w:t xml:space="preserve">Krisesenterlova gir heimel til å gi forskrift om krav til kompetanse til </w:t>
      </w:r>
      <w:proofErr w:type="gramStart"/>
      <w:r w:rsidRPr="00225D4D">
        <w:t>tilsette</w:t>
      </w:r>
      <w:proofErr w:type="gramEnd"/>
      <w:r w:rsidRPr="00225D4D">
        <w:t xml:space="preserve"> ved </w:t>
      </w:r>
      <w:proofErr w:type="spellStart"/>
      <w:r w:rsidRPr="00225D4D">
        <w:t>krisesentera</w:t>
      </w:r>
      <w:proofErr w:type="spellEnd"/>
      <w:r w:rsidRPr="00225D4D">
        <w:t xml:space="preserve">. Departementet sende 14. juni 2024 forslag til </w:t>
      </w:r>
      <w:proofErr w:type="spellStart"/>
      <w:r w:rsidRPr="00225D4D">
        <w:t>endringar</w:t>
      </w:r>
      <w:proofErr w:type="spellEnd"/>
      <w:r w:rsidRPr="00225D4D">
        <w:t xml:space="preserve"> i krisesenterlova på </w:t>
      </w:r>
      <w:proofErr w:type="spellStart"/>
      <w:r w:rsidRPr="00225D4D">
        <w:t>offentleg</w:t>
      </w:r>
      <w:proofErr w:type="spellEnd"/>
      <w:r w:rsidRPr="00225D4D">
        <w:t xml:space="preserve"> </w:t>
      </w:r>
      <w:proofErr w:type="spellStart"/>
      <w:r w:rsidRPr="00225D4D">
        <w:t>høyring</w:t>
      </w:r>
      <w:proofErr w:type="spellEnd"/>
      <w:r w:rsidRPr="00225D4D">
        <w:t xml:space="preserve">. I </w:t>
      </w:r>
      <w:proofErr w:type="spellStart"/>
      <w:r w:rsidRPr="00225D4D">
        <w:t>høyringsnotatet</w:t>
      </w:r>
      <w:proofErr w:type="spellEnd"/>
      <w:r w:rsidRPr="00225D4D">
        <w:t xml:space="preserve"> bad departementet om </w:t>
      </w:r>
      <w:proofErr w:type="spellStart"/>
      <w:r w:rsidRPr="00225D4D">
        <w:t>høyringsinstansane</w:t>
      </w:r>
      <w:proofErr w:type="spellEnd"/>
      <w:r w:rsidRPr="00225D4D">
        <w:t xml:space="preserve"> sitt syn på behovet for ei slik forskrift. </w:t>
      </w:r>
      <w:proofErr w:type="spellStart"/>
      <w:r w:rsidRPr="00225D4D">
        <w:t>Høyringsinstansane</w:t>
      </w:r>
      <w:proofErr w:type="spellEnd"/>
      <w:r w:rsidRPr="00225D4D">
        <w:t xml:space="preserve"> var delte i synet på om det bør </w:t>
      </w:r>
      <w:proofErr w:type="spellStart"/>
      <w:r w:rsidRPr="00225D4D">
        <w:t>utarbeidast</w:t>
      </w:r>
      <w:proofErr w:type="spellEnd"/>
      <w:r w:rsidRPr="00225D4D">
        <w:t xml:space="preserve"> ei forskrift med krav til kompetanse, og kva for krav til kompetanse det i så tilfelle bør </w:t>
      </w:r>
      <w:proofErr w:type="spellStart"/>
      <w:r w:rsidRPr="00225D4D">
        <w:t>stillast</w:t>
      </w:r>
      <w:proofErr w:type="spellEnd"/>
      <w:r w:rsidRPr="00225D4D">
        <w:t xml:space="preserve">. </w:t>
      </w:r>
      <w:proofErr w:type="spellStart"/>
      <w:r w:rsidRPr="00225D4D">
        <w:t>Nokre</w:t>
      </w:r>
      <w:proofErr w:type="spellEnd"/>
      <w:r w:rsidRPr="00225D4D">
        <w:t xml:space="preserve"> </w:t>
      </w:r>
      <w:proofErr w:type="spellStart"/>
      <w:r w:rsidRPr="00225D4D">
        <w:t>høyringsinstansar</w:t>
      </w:r>
      <w:proofErr w:type="spellEnd"/>
      <w:r w:rsidRPr="00225D4D">
        <w:t xml:space="preserve"> </w:t>
      </w:r>
      <w:proofErr w:type="spellStart"/>
      <w:r w:rsidRPr="00225D4D">
        <w:t>peikte</w:t>
      </w:r>
      <w:proofErr w:type="spellEnd"/>
      <w:r w:rsidRPr="00225D4D">
        <w:t xml:space="preserve"> òg på at det </w:t>
      </w:r>
      <w:proofErr w:type="spellStart"/>
      <w:r w:rsidRPr="00225D4D">
        <w:t>underliggjande</w:t>
      </w:r>
      <w:proofErr w:type="spellEnd"/>
      <w:r w:rsidRPr="00225D4D">
        <w:t xml:space="preserve"> problemet er behovet for kvalifiserte tilsette, og ei forskriftsfesting av krav til kompetanse vil </w:t>
      </w:r>
      <w:proofErr w:type="spellStart"/>
      <w:r w:rsidRPr="00225D4D">
        <w:t>ikkje</w:t>
      </w:r>
      <w:proofErr w:type="spellEnd"/>
      <w:r w:rsidRPr="00225D4D">
        <w:t xml:space="preserve"> løyse dette. Departementet må vurdere saka </w:t>
      </w:r>
      <w:proofErr w:type="spellStart"/>
      <w:r w:rsidRPr="00225D4D">
        <w:t>nærare</w:t>
      </w:r>
      <w:proofErr w:type="spellEnd"/>
      <w:r w:rsidRPr="00225D4D">
        <w:t xml:space="preserve"> i lys av </w:t>
      </w:r>
      <w:proofErr w:type="spellStart"/>
      <w:r w:rsidRPr="00225D4D">
        <w:t>høyringsfråsegna</w:t>
      </w:r>
      <w:proofErr w:type="spellEnd"/>
      <w:r w:rsidRPr="00225D4D">
        <w:t>.</w:t>
      </w:r>
    </w:p>
    <w:p w14:paraId="32711DD1" w14:textId="77777777" w:rsidR="00D60186" w:rsidRPr="00225D4D" w:rsidRDefault="00D60186" w:rsidP="00225D4D">
      <w:r w:rsidRPr="00225D4D">
        <w:t xml:space="preserve">Departementet vil orientere Stortinget om den </w:t>
      </w:r>
      <w:proofErr w:type="spellStart"/>
      <w:r w:rsidRPr="00225D4D">
        <w:t>vidare</w:t>
      </w:r>
      <w:proofErr w:type="spellEnd"/>
      <w:r w:rsidRPr="00225D4D">
        <w:t xml:space="preserve"> oppfølginga av vedtaket på eigna vis.</w:t>
      </w:r>
    </w:p>
    <w:p w14:paraId="3891A9E7" w14:textId="77777777" w:rsidR="00D60186" w:rsidRPr="00225D4D" w:rsidRDefault="00D60186" w:rsidP="00225D4D">
      <w:pPr>
        <w:pStyle w:val="avsnitt-tittel"/>
      </w:pPr>
      <w:r w:rsidRPr="00225D4D">
        <w:t>Universell utforming av krisesenter</w:t>
      </w:r>
    </w:p>
    <w:p w14:paraId="472FC7A1" w14:textId="77777777" w:rsidR="00D60186" w:rsidRPr="00225D4D" w:rsidRDefault="00D60186" w:rsidP="00225D4D">
      <w:pPr>
        <w:pStyle w:val="avsnitt-undertittel"/>
      </w:pPr>
      <w:r w:rsidRPr="00225D4D">
        <w:t>Vedtak 1018, 11. juni 2025</w:t>
      </w:r>
    </w:p>
    <w:p w14:paraId="0F0A349F" w14:textId="77777777" w:rsidR="00D60186" w:rsidRPr="00225D4D" w:rsidRDefault="00D60186" w:rsidP="00225D4D">
      <w:pPr>
        <w:pStyle w:val="blokksit"/>
      </w:pPr>
      <w:r w:rsidRPr="00225D4D">
        <w:t>«</w:t>
      </w:r>
      <w:r w:rsidRPr="00225D4D">
        <w:rPr>
          <w:rStyle w:val="kursiv"/>
        </w:rPr>
        <w:t xml:space="preserve">Stortinget ber regjeringen utrede tiltak for å sikre universell utforming og bedre tilrettelegging ved krisesentre og skjerming av særlig utsatte beboere samt utrede kommunenes handlingsrom </w:t>
      </w:r>
      <w:proofErr w:type="gramStart"/>
      <w:r w:rsidRPr="00225D4D">
        <w:rPr>
          <w:rStyle w:val="kursiv"/>
        </w:rPr>
        <w:t>vedrørende</w:t>
      </w:r>
      <w:proofErr w:type="gramEnd"/>
      <w:r w:rsidRPr="00225D4D">
        <w:rPr>
          <w:rStyle w:val="kursiv"/>
        </w:rPr>
        <w:t xml:space="preserve"> disse kravene.</w:t>
      </w:r>
      <w:r w:rsidRPr="00225D4D">
        <w:t>»</w:t>
      </w:r>
    </w:p>
    <w:p w14:paraId="15917608"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122 L (2024–2025), jf. </w:t>
      </w:r>
      <w:proofErr w:type="spellStart"/>
      <w:r w:rsidRPr="00225D4D">
        <w:t>Innst</w:t>
      </w:r>
      <w:proofErr w:type="spellEnd"/>
      <w:r w:rsidRPr="00225D4D">
        <w:t>. 439 L (2024–2025).</w:t>
      </w:r>
    </w:p>
    <w:p w14:paraId="0869C236" w14:textId="77777777" w:rsidR="00D60186" w:rsidRPr="00225D4D" w:rsidRDefault="00D60186" w:rsidP="00225D4D">
      <w:proofErr w:type="spellStart"/>
      <w:r w:rsidRPr="00225D4D">
        <w:t>Tilskotsordninga</w:t>
      </w:r>
      <w:proofErr w:type="spellEnd"/>
      <w:r w:rsidRPr="00225D4D">
        <w:t xml:space="preserve"> til oppgradering av krisesenterbygg som </w:t>
      </w:r>
      <w:proofErr w:type="spellStart"/>
      <w:r w:rsidRPr="00225D4D">
        <w:t>vart</w:t>
      </w:r>
      <w:proofErr w:type="spellEnd"/>
      <w:r w:rsidRPr="00225D4D">
        <w:t xml:space="preserve"> etablert i 2025, </w:t>
      </w:r>
      <w:proofErr w:type="spellStart"/>
      <w:r w:rsidRPr="00225D4D">
        <w:t>opnar</w:t>
      </w:r>
      <w:proofErr w:type="spellEnd"/>
      <w:r w:rsidRPr="00225D4D">
        <w:t xml:space="preserve"> for finansiering av prosjekt der </w:t>
      </w:r>
      <w:proofErr w:type="spellStart"/>
      <w:r w:rsidRPr="00225D4D">
        <w:t>føremålet</w:t>
      </w:r>
      <w:proofErr w:type="spellEnd"/>
      <w:r w:rsidRPr="00225D4D">
        <w:t xml:space="preserve"> er at lokala er betre tilrettelagde for </w:t>
      </w:r>
      <w:proofErr w:type="spellStart"/>
      <w:r w:rsidRPr="00225D4D">
        <w:t>personar</w:t>
      </w:r>
      <w:proofErr w:type="spellEnd"/>
      <w:r w:rsidRPr="00225D4D">
        <w:t xml:space="preserve"> med </w:t>
      </w:r>
      <w:proofErr w:type="spellStart"/>
      <w:r w:rsidRPr="00225D4D">
        <w:t>funksjonsnedsetjingar</w:t>
      </w:r>
      <w:proofErr w:type="spellEnd"/>
      <w:r w:rsidRPr="00225D4D">
        <w:t xml:space="preserve">. Dette vil bidra til universell utforming av </w:t>
      </w:r>
      <w:proofErr w:type="spellStart"/>
      <w:r w:rsidRPr="00225D4D">
        <w:t>krisesentera</w:t>
      </w:r>
      <w:proofErr w:type="spellEnd"/>
      <w:r w:rsidRPr="00225D4D">
        <w:t>.</w:t>
      </w:r>
    </w:p>
    <w:p w14:paraId="5C4C5906" w14:textId="77777777" w:rsidR="00D60186" w:rsidRPr="00225D4D" w:rsidRDefault="00D60186" w:rsidP="00225D4D">
      <w:proofErr w:type="spellStart"/>
      <w:r w:rsidRPr="00225D4D">
        <w:t>Vidare</w:t>
      </w:r>
      <w:proofErr w:type="spellEnd"/>
      <w:r w:rsidRPr="00225D4D">
        <w:t xml:space="preserve"> følgjer det av krisesenterlova § 3 fyrste ledd at kommunen skal </w:t>
      </w:r>
      <w:proofErr w:type="spellStart"/>
      <w:r w:rsidRPr="00225D4D">
        <w:t>sørgje</w:t>
      </w:r>
      <w:proofErr w:type="spellEnd"/>
      <w:r w:rsidRPr="00225D4D">
        <w:t xml:space="preserve"> for at </w:t>
      </w:r>
      <w:proofErr w:type="spellStart"/>
      <w:r w:rsidRPr="00225D4D">
        <w:t>tilbodet</w:t>
      </w:r>
      <w:proofErr w:type="spellEnd"/>
      <w:r w:rsidRPr="00225D4D">
        <w:t xml:space="preserve"> så langt råd er blir lagt til rette slik at det kjem </w:t>
      </w:r>
      <w:proofErr w:type="spellStart"/>
      <w:r w:rsidRPr="00225D4D">
        <w:t>dei</w:t>
      </w:r>
      <w:proofErr w:type="spellEnd"/>
      <w:r w:rsidRPr="00225D4D">
        <w:t xml:space="preserve"> individuelle behova til </w:t>
      </w:r>
      <w:proofErr w:type="spellStart"/>
      <w:r w:rsidRPr="00225D4D">
        <w:t>brukarane</w:t>
      </w:r>
      <w:proofErr w:type="spellEnd"/>
      <w:r w:rsidRPr="00225D4D">
        <w:t xml:space="preserve"> i møte, til dømes behov for universell utforming. Departementet har i </w:t>
      </w:r>
      <w:proofErr w:type="spellStart"/>
      <w:r w:rsidRPr="00225D4D">
        <w:t>Prop</w:t>
      </w:r>
      <w:proofErr w:type="spellEnd"/>
      <w:r w:rsidRPr="00225D4D">
        <w:t xml:space="preserve">. 122 L (2024–2025) </w:t>
      </w:r>
      <w:proofErr w:type="spellStart"/>
      <w:r w:rsidRPr="00225D4D">
        <w:t>teke</w:t>
      </w:r>
      <w:proofErr w:type="spellEnd"/>
      <w:r w:rsidRPr="00225D4D">
        <w:t xml:space="preserve"> stilling til formuleringa «så langt råd er» og fastslått at det er ei erkjenning av at ei fullstendig tilrettelegging for kvar </w:t>
      </w:r>
      <w:proofErr w:type="spellStart"/>
      <w:r w:rsidRPr="00225D4D">
        <w:t>einskilde</w:t>
      </w:r>
      <w:proofErr w:type="spellEnd"/>
      <w:r w:rsidRPr="00225D4D">
        <w:t xml:space="preserve"> brukar i praksis vil </w:t>
      </w:r>
      <w:proofErr w:type="spellStart"/>
      <w:r w:rsidRPr="00225D4D">
        <w:t>vere</w:t>
      </w:r>
      <w:proofErr w:type="spellEnd"/>
      <w:r w:rsidRPr="00225D4D">
        <w:t xml:space="preserve"> svært </w:t>
      </w:r>
      <w:proofErr w:type="spellStart"/>
      <w:r w:rsidRPr="00225D4D">
        <w:t>vanskeleg</w:t>
      </w:r>
      <w:proofErr w:type="spellEnd"/>
      <w:r w:rsidRPr="00225D4D">
        <w:t xml:space="preserve"> og i </w:t>
      </w:r>
      <w:proofErr w:type="spellStart"/>
      <w:r w:rsidRPr="00225D4D">
        <w:t>einskilde</w:t>
      </w:r>
      <w:proofErr w:type="spellEnd"/>
      <w:r w:rsidRPr="00225D4D">
        <w:t xml:space="preserve"> tilfelle </w:t>
      </w:r>
      <w:proofErr w:type="spellStart"/>
      <w:r w:rsidRPr="00225D4D">
        <w:t>ikkje</w:t>
      </w:r>
      <w:proofErr w:type="spellEnd"/>
      <w:r w:rsidRPr="00225D4D">
        <w:t xml:space="preserve"> </w:t>
      </w:r>
      <w:proofErr w:type="spellStart"/>
      <w:r w:rsidRPr="00225D4D">
        <w:t>mogleg</w:t>
      </w:r>
      <w:proofErr w:type="spellEnd"/>
      <w:r w:rsidRPr="00225D4D">
        <w:t xml:space="preserve">. </w:t>
      </w:r>
      <w:proofErr w:type="spellStart"/>
      <w:r w:rsidRPr="00225D4D">
        <w:t>Bufdir</w:t>
      </w:r>
      <w:proofErr w:type="spellEnd"/>
      <w:r w:rsidRPr="00225D4D">
        <w:t xml:space="preserve"> vil oppdatere både </w:t>
      </w:r>
      <w:r w:rsidRPr="00225D4D">
        <w:rPr>
          <w:rStyle w:val="kursiv"/>
        </w:rPr>
        <w:t>Veileder til krisesenterloven</w:t>
      </w:r>
      <w:r w:rsidRPr="00225D4D">
        <w:t xml:space="preserve"> og den </w:t>
      </w:r>
      <w:proofErr w:type="spellStart"/>
      <w:r w:rsidRPr="00225D4D">
        <w:t>faglege</w:t>
      </w:r>
      <w:proofErr w:type="spellEnd"/>
      <w:r w:rsidRPr="00225D4D">
        <w:t xml:space="preserve"> rettleiinga for </w:t>
      </w:r>
      <w:proofErr w:type="spellStart"/>
      <w:r w:rsidRPr="00225D4D">
        <w:t>innhaldet</w:t>
      </w:r>
      <w:proofErr w:type="spellEnd"/>
      <w:r w:rsidRPr="00225D4D">
        <w:t xml:space="preserve"> i </w:t>
      </w:r>
      <w:proofErr w:type="spellStart"/>
      <w:r w:rsidRPr="00225D4D">
        <w:t>krisesentertilbodet</w:t>
      </w:r>
      <w:proofErr w:type="spellEnd"/>
      <w:r w:rsidRPr="00225D4D">
        <w:t xml:space="preserve"> og understreke det ansvaret </w:t>
      </w:r>
      <w:proofErr w:type="spellStart"/>
      <w:r w:rsidRPr="00225D4D">
        <w:t>kommunane</w:t>
      </w:r>
      <w:proofErr w:type="spellEnd"/>
      <w:r w:rsidRPr="00225D4D">
        <w:t xml:space="preserve"> har til å </w:t>
      </w:r>
      <w:proofErr w:type="spellStart"/>
      <w:r w:rsidRPr="00225D4D">
        <w:t>leggje</w:t>
      </w:r>
      <w:proofErr w:type="spellEnd"/>
      <w:r w:rsidRPr="00225D4D">
        <w:t xml:space="preserve"> til rette for </w:t>
      </w:r>
      <w:proofErr w:type="spellStart"/>
      <w:r w:rsidRPr="00225D4D">
        <w:t>brukarane</w:t>
      </w:r>
      <w:proofErr w:type="spellEnd"/>
      <w:r w:rsidRPr="00225D4D">
        <w:t xml:space="preserve">, uansett </w:t>
      </w:r>
      <w:proofErr w:type="spellStart"/>
      <w:r w:rsidRPr="00225D4D">
        <w:t>kva</w:t>
      </w:r>
      <w:proofErr w:type="spellEnd"/>
      <w:r w:rsidRPr="00225D4D">
        <w:t xml:space="preserve"> livssituasjon </w:t>
      </w:r>
      <w:proofErr w:type="spellStart"/>
      <w:r w:rsidRPr="00225D4D">
        <w:t>dei</w:t>
      </w:r>
      <w:proofErr w:type="spellEnd"/>
      <w:r w:rsidRPr="00225D4D">
        <w:t xml:space="preserve"> er i.</w:t>
      </w:r>
    </w:p>
    <w:p w14:paraId="780018FD"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36CB8BA3" w14:textId="77777777" w:rsidR="00D60186" w:rsidRPr="00225D4D" w:rsidRDefault="00D60186" w:rsidP="00225D4D">
      <w:pPr>
        <w:pStyle w:val="avsnitt-tittel"/>
      </w:pPr>
      <w:r w:rsidRPr="00225D4D">
        <w:t xml:space="preserve">Kunnskapsgrunnlag om felles </w:t>
      </w:r>
      <w:proofErr w:type="spellStart"/>
      <w:r w:rsidRPr="00225D4D">
        <w:t>butilbod</w:t>
      </w:r>
      <w:proofErr w:type="spellEnd"/>
      <w:r w:rsidRPr="00225D4D">
        <w:t xml:space="preserve"> på krisesenter</w:t>
      </w:r>
    </w:p>
    <w:p w14:paraId="39B8AB15" w14:textId="77777777" w:rsidR="00D60186" w:rsidRPr="00225D4D" w:rsidRDefault="00D60186" w:rsidP="00225D4D">
      <w:pPr>
        <w:pStyle w:val="avsnitt-undertittel"/>
      </w:pPr>
      <w:r w:rsidRPr="00225D4D">
        <w:t>Vedtak 1019, 11. juni 2025</w:t>
      </w:r>
    </w:p>
    <w:p w14:paraId="7C880750" w14:textId="77777777" w:rsidR="00D60186" w:rsidRPr="00225D4D" w:rsidRDefault="00D60186" w:rsidP="00225D4D">
      <w:pPr>
        <w:pStyle w:val="blokksit"/>
      </w:pPr>
      <w:r w:rsidRPr="00225D4D">
        <w:t>«</w:t>
      </w:r>
      <w:r w:rsidRPr="00225D4D">
        <w:rPr>
          <w:rStyle w:val="kursiv"/>
        </w:rPr>
        <w:t>Stortinget ber regjeringen styrke kunnskapsgrunnlaget om felles botilbud på krisesenter ved å legge til rette for at de kommunene som ønsker det, kan gjennomføre forsøk med integrert krisesenter etter bestemmelsene i forsøksloven, og komme tilbake til Stortinget på egnet vis.</w:t>
      </w:r>
      <w:r w:rsidRPr="00225D4D">
        <w:t>»</w:t>
      </w:r>
    </w:p>
    <w:p w14:paraId="098D7B3B"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122 L (2024–2025), jf. </w:t>
      </w:r>
      <w:proofErr w:type="spellStart"/>
      <w:r w:rsidRPr="00225D4D">
        <w:t>Innst</w:t>
      </w:r>
      <w:proofErr w:type="spellEnd"/>
      <w:r w:rsidRPr="00225D4D">
        <w:t>. 439 L (2024–2025).</w:t>
      </w:r>
    </w:p>
    <w:p w14:paraId="13BD40F5" w14:textId="77777777" w:rsidR="00D60186" w:rsidRPr="00225D4D" w:rsidRDefault="00D60186" w:rsidP="00225D4D">
      <w:proofErr w:type="spellStart"/>
      <w:r w:rsidRPr="00225D4D">
        <w:t>Nokre</w:t>
      </w:r>
      <w:proofErr w:type="spellEnd"/>
      <w:r w:rsidRPr="00225D4D">
        <w:t xml:space="preserve"> </w:t>
      </w:r>
      <w:proofErr w:type="spellStart"/>
      <w:r w:rsidRPr="00225D4D">
        <w:t>kommunar</w:t>
      </w:r>
      <w:proofErr w:type="spellEnd"/>
      <w:r w:rsidRPr="00225D4D">
        <w:t xml:space="preserve"> har </w:t>
      </w:r>
      <w:proofErr w:type="spellStart"/>
      <w:r w:rsidRPr="00225D4D">
        <w:t>teke</w:t>
      </w:r>
      <w:proofErr w:type="spellEnd"/>
      <w:r w:rsidRPr="00225D4D">
        <w:t xml:space="preserve"> kontakt med </w:t>
      </w:r>
      <w:proofErr w:type="spellStart"/>
      <w:r w:rsidRPr="00225D4D">
        <w:t>Bufdir</w:t>
      </w:r>
      <w:proofErr w:type="spellEnd"/>
      <w:r w:rsidRPr="00225D4D">
        <w:t xml:space="preserve"> for å høyre om høve til å gjennomføre forsøk med integrert krisesenter. Direktoratet gir informasjon til </w:t>
      </w:r>
      <w:proofErr w:type="spellStart"/>
      <w:r w:rsidRPr="00225D4D">
        <w:t>dei</w:t>
      </w:r>
      <w:proofErr w:type="spellEnd"/>
      <w:r w:rsidRPr="00225D4D">
        <w:t xml:space="preserve"> aktuelle </w:t>
      </w:r>
      <w:proofErr w:type="spellStart"/>
      <w:r w:rsidRPr="00225D4D">
        <w:t>kommunane</w:t>
      </w:r>
      <w:proofErr w:type="spellEnd"/>
      <w:r w:rsidRPr="00225D4D">
        <w:t xml:space="preserve"> om kva som er krava som følgjer av forsøkslova. Departementet vil handsame eventuelle søknader i tråd med forsøkslova. Evaluering av forsøket ved Romerike krisesenter har </w:t>
      </w:r>
      <w:proofErr w:type="spellStart"/>
      <w:r w:rsidRPr="00225D4D">
        <w:t>medverke</w:t>
      </w:r>
      <w:proofErr w:type="spellEnd"/>
      <w:r w:rsidRPr="00225D4D">
        <w:t xml:space="preserve"> til å </w:t>
      </w:r>
      <w:proofErr w:type="spellStart"/>
      <w:r w:rsidRPr="00225D4D">
        <w:t>styrkje</w:t>
      </w:r>
      <w:proofErr w:type="spellEnd"/>
      <w:r w:rsidRPr="00225D4D">
        <w:t xml:space="preserve"> kunnskapsgrunnlaget om felles </w:t>
      </w:r>
      <w:proofErr w:type="spellStart"/>
      <w:r w:rsidRPr="00225D4D">
        <w:t>butilbod</w:t>
      </w:r>
      <w:proofErr w:type="spellEnd"/>
      <w:r w:rsidRPr="00225D4D">
        <w:t xml:space="preserve"> på krisesenter. </w:t>
      </w:r>
      <w:proofErr w:type="spellStart"/>
      <w:r w:rsidRPr="00225D4D">
        <w:t>Fleire</w:t>
      </w:r>
      <w:proofErr w:type="spellEnd"/>
      <w:r w:rsidRPr="00225D4D">
        <w:t xml:space="preserve"> forsøk vil på sikt </w:t>
      </w:r>
      <w:proofErr w:type="spellStart"/>
      <w:r w:rsidRPr="00225D4D">
        <w:t>styrkje</w:t>
      </w:r>
      <w:proofErr w:type="spellEnd"/>
      <w:r w:rsidRPr="00225D4D">
        <w:t xml:space="preserve"> kunnskapsgrunnlaget </w:t>
      </w:r>
      <w:proofErr w:type="spellStart"/>
      <w:r w:rsidRPr="00225D4D">
        <w:t>ytterlegare</w:t>
      </w:r>
      <w:proofErr w:type="spellEnd"/>
      <w:r w:rsidRPr="00225D4D">
        <w:t xml:space="preserve">, sjå òg omtale av vedtak 1 020 av 11. juni 2025 under om </w:t>
      </w:r>
      <w:proofErr w:type="spellStart"/>
      <w:r w:rsidRPr="00225D4D">
        <w:t>vidareføring</w:t>
      </w:r>
      <w:proofErr w:type="spellEnd"/>
      <w:r w:rsidRPr="00225D4D">
        <w:t xml:space="preserve"> av forsøk med </w:t>
      </w:r>
      <w:proofErr w:type="spellStart"/>
      <w:r w:rsidRPr="00225D4D">
        <w:t>krisesentermodellar</w:t>
      </w:r>
      <w:proofErr w:type="spellEnd"/>
      <w:r w:rsidRPr="00225D4D">
        <w:t xml:space="preserve">. Departementet er kjent med at Romerike krisesenter vil </w:t>
      </w:r>
      <w:proofErr w:type="spellStart"/>
      <w:r w:rsidRPr="00225D4D">
        <w:t>søkje</w:t>
      </w:r>
      <w:proofErr w:type="spellEnd"/>
      <w:r w:rsidRPr="00225D4D">
        <w:t xml:space="preserve"> om </w:t>
      </w:r>
      <w:proofErr w:type="spellStart"/>
      <w:r w:rsidRPr="00225D4D">
        <w:t>vidareføring</w:t>
      </w:r>
      <w:proofErr w:type="spellEnd"/>
      <w:r w:rsidRPr="00225D4D">
        <w:t xml:space="preserve"> av forsøket.</w:t>
      </w:r>
    </w:p>
    <w:p w14:paraId="5E71A529"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48D9EB8A" w14:textId="77777777" w:rsidR="00D60186" w:rsidRPr="00225D4D" w:rsidRDefault="00D60186" w:rsidP="00225D4D">
      <w:pPr>
        <w:pStyle w:val="avsnitt-tittel"/>
      </w:pPr>
      <w:proofErr w:type="spellStart"/>
      <w:r w:rsidRPr="00225D4D">
        <w:t>Vidareføring</w:t>
      </w:r>
      <w:proofErr w:type="spellEnd"/>
      <w:r w:rsidRPr="00225D4D">
        <w:t xml:space="preserve"> av forsøk med </w:t>
      </w:r>
      <w:proofErr w:type="spellStart"/>
      <w:r w:rsidRPr="00225D4D">
        <w:t>krisesentermodellar</w:t>
      </w:r>
      <w:proofErr w:type="spellEnd"/>
    </w:p>
    <w:p w14:paraId="6B2DD835" w14:textId="77777777" w:rsidR="00D60186" w:rsidRPr="00225D4D" w:rsidRDefault="00D60186" w:rsidP="00225D4D">
      <w:pPr>
        <w:pStyle w:val="avsnitt-undertittel"/>
      </w:pPr>
      <w:r w:rsidRPr="00225D4D">
        <w:t>Vedtak 1020, 11. juni 2025</w:t>
      </w:r>
    </w:p>
    <w:p w14:paraId="58CC699B" w14:textId="77777777" w:rsidR="00D60186" w:rsidRPr="00225D4D" w:rsidRDefault="00D60186" w:rsidP="00225D4D">
      <w:pPr>
        <w:pStyle w:val="blokksit"/>
      </w:pPr>
      <w:r w:rsidRPr="00225D4D">
        <w:t>«</w:t>
      </w:r>
      <w:r w:rsidRPr="00225D4D">
        <w:rPr>
          <w:rStyle w:val="kursiv"/>
        </w:rPr>
        <w:t>Stortinget ber regjeringen sørge for at allerede igangsatte forsøksprosjekter med ulike krisesentermodeller får fortsette.</w:t>
      </w:r>
      <w:r w:rsidRPr="00225D4D">
        <w:t>»</w:t>
      </w:r>
    </w:p>
    <w:p w14:paraId="34FC3EFE"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122 L (2024–2025), jf. </w:t>
      </w:r>
      <w:proofErr w:type="spellStart"/>
      <w:r w:rsidRPr="00225D4D">
        <w:t>Innst</w:t>
      </w:r>
      <w:proofErr w:type="spellEnd"/>
      <w:r w:rsidRPr="00225D4D">
        <w:t>. 439 L (2024–2025).</w:t>
      </w:r>
    </w:p>
    <w:p w14:paraId="4C096E64" w14:textId="77777777" w:rsidR="00D60186" w:rsidRPr="00225D4D" w:rsidRDefault="00D60186" w:rsidP="00225D4D">
      <w:r w:rsidRPr="00225D4D">
        <w:t xml:space="preserve">Romerike krisesenter </w:t>
      </w:r>
      <w:proofErr w:type="spellStart"/>
      <w:r w:rsidRPr="00225D4D">
        <w:t>fekk</w:t>
      </w:r>
      <w:proofErr w:type="spellEnd"/>
      <w:r w:rsidRPr="00225D4D">
        <w:t xml:space="preserve"> i 2021 godkjent </w:t>
      </w:r>
      <w:proofErr w:type="spellStart"/>
      <w:r w:rsidRPr="00225D4D">
        <w:t>eit</w:t>
      </w:r>
      <w:proofErr w:type="spellEnd"/>
      <w:r w:rsidRPr="00225D4D">
        <w:t xml:space="preserve"> forsøk om integrert </w:t>
      </w:r>
      <w:proofErr w:type="spellStart"/>
      <w:r w:rsidRPr="00225D4D">
        <w:t>krisesentertilbod</w:t>
      </w:r>
      <w:proofErr w:type="spellEnd"/>
      <w:r w:rsidRPr="00225D4D">
        <w:t xml:space="preserve"> for kvinner og menn. Forsøket er godkjent </w:t>
      </w:r>
      <w:proofErr w:type="spellStart"/>
      <w:r w:rsidRPr="00225D4D">
        <w:t>innanfor</w:t>
      </w:r>
      <w:proofErr w:type="spellEnd"/>
      <w:r w:rsidRPr="00225D4D">
        <w:t xml:space="preserve"> ramma av forsøkslova. Departementet er kjent med at Romerike krisesenter har positive </w:t>
      </w:r>
      <w:proofErr w:type="spellStart"/>
      <w:r w:rsidRPr="00225D4D">
        <w:t>erfaringar</w:t>
      </w:r>
      <w:proofErr w:type="spellEnd"/>
      <w:r w:rsidRPr="00225D4D">
        <w:t xml:space="preserve"> med forsøket, som </w:t>
      </w:r>
      <w:proofErr w:type="spellStart"/>
      <w:r w:rsidRPr="00225D4D">
        <w:t>medverkar</w:t>
      </w:r>
      <w:proofErr w:type="spellEnd"/>
      <w:r w:rsidRPr="00225D4D">
        <w:t xml:space="preserve"> til å </w:t>
      </w:r>
      <w:proofErr w:type="spellStart"/>
      <w:r w:rsidRPr="00225D4D">
        <w:t>styrkje</w:t>
      </w:r>
      <w:proofErr w:type="spellEnd"/>
      <w:r w:rsidRPr="00225D4D">
        <w:t xml:space="preserve"> kunnskapsgrunnlaget om felles </w:t>
      </w:r>
      <w:proofErr w:type="spellStart"/>
      <w:r w:rsidRPr="00225D4D">
        <w:t>butilbod</w:t>
      </w:r>
      <w:proofErr w:type="spellEnd"/>
      <w:r w:rsidRPr="00225D4D">
        <w:t xml:space="preserve"> på krisesenter. Departementet har i brev informert Romerike krisesenter om at </w:t>
      </w:r>
      <w:proofErr w:type="spellStart"/>
      <w:r w:rsidRPr="00225D4D">
        <w:t>dei</w:t>
      </w:r>
      <w:proofErr w:type="spellEnd"/>
      <w:r w:rsidRPr="00225D4D">
        <w:t xml:space="preserve"> kan </w:t>
      </w:r>
      <w:proofErr w:type="spellStart"/>
      <w:r w:rsidRPr="00225D4D">
        <w:t>søkje</w:t>
      </w:r>
      <w:proofErr w:type="spellEnd"/>
      <w:r w:rsidRPr="00225D4D">
        <w:t xml:space="preserve"> om </w:t>
      </w:r>
      <w:proofErr w:type="spellStart"/>
      <w:r w:rsidRPr="00225D4D">
        <w:t>vidareføring</w:t>
      </w:r>
      <w:proofErr w:type="spellEnd"/>
      <w:r w:rsidRPr="00225D4D">
        <w:t xml:space="preserve"> av forsøket, og er kjent med at </w:t>
      </w:r>
      <w:proofErr w:type="spellStart"/>
      <w:r w:rsidRPr="00225D4D">
        <w:t>dei</w:t>
      </w:r>
      <w:proofErr w:type="spellEnd"/>
      <w:r w:rsidRPr="00225D4D">
        <w:t xml:space="preserve"> vil </w:t>
      </w:r>
      <w:proofErr w:type="spellStart"/>
      <w:r w:rsidRPr="00225D4D">
        <w:t>fremje</w:t>
      </w:r>
      <w:proofErr w:type="spellEnd"/>
      <w:r w:rsidRPr="00225D4D">
        <w:t xml:space="preserve"> </w:t>
      </w:r>
      <w:proofErr w:type="spellStart"/>
      <w:r w:rsidRPr="00225D4D">
        <w:t>ein</w:t>
      </w:r>
      <w:proofErr w:type="spellEnd"/>
      <w:r w:rsidRPr="00225D4D">
        <w:t xml:space="preserve"> slik søknad. </w:t>
      </w:r>
      <w:proofErr w:type="spellStart"/>
      <w:r w:rsidRPr="00225D4D">
        <w:t>Ein</w:t>
      </w:r>
      <w:proofErr w:type="spellEnd"/>
      <w:r w:rsidRPr="00225D4D">
        <w:t xml:space="preserve"> søknad om </w:t>
      </w:r>
      <w:proofErr w:type="spellStart"/>
      <w:r w:rsidRPr="00225D4D">
        <w:t>vidareføring</w:t>
      </w:r>
      <w:proofErr w:type="spellEnd"/>
      <w:r w:rsidRPr="00225D4D">
        <w:t xml:space="preserve"> vil bli handsama i tråd med forsøkslova.</w:t>
      </w:r>
    </w:p>
    <w:p w14:paraId="20DCBD2F"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4F527928" w14:textId="77777777" w:rsidR="00D60186" w:rsidRPr="00225D4D" w:rsidRDefault="00D60186" w:rsidP="00225D4D">
      <w:pPr>
        <w:pStyle w:val="avsnitt-tittel"/>
      </w:pPr>
      <w:r w:rsidRPr="00225D4D">
        <w:t xml:space="preserve">Barn sine </w:t>
      </w:r>
      <w:proofErr w:type="spellStart"/>
      <w:r w:rsidRPr="00225D4D">
        <w:t>rettar</w:t>
      </w:r>
      <w:proofErr w:type="spellEnd"/>
      <w:r w:rsidRPr="00225D4D">
        <w:t xml:space="preserve"> på krisesenter</w:t>
      </w:r>
    </w:p>
    <w:p w14:paraId="29FEDF81" w14:textId="77777777" w:rsidR="00D60186" w:rsidRPr="00225D4D" w:rsidRDefault="00D60186" w:rsidP="00225D4D">
      <w:pPr>
        <w:pStyle w:val="avsnitt-undertittel"/>
      </w:pPr>
      <w:r w:rsidRPr="00225D4D">
        <w:t>Vedtak 1021, 11. juni 2025</w:t>
      </w:r>
    </w:p>
    <w:p w14:paraId="31D127E3" w14:textId="77777777" w:rsidR="00D60186" w:rsidRPr="00225D4D" w:rsidRDefault="00D60186" w:rsidP="00225D4D">
      <w:pPr>
        <w:pStyle w:val="blokksit"/>
      </w:pPr>
      <w:r w:rsidRPr="00225D4D">
        <w:t>«</w:t>
      </w:r>
      <w:r w:rsidRPr="00225D4D">
        <w:rPr>
          <w:rStyle w:val="kursiv"/>
        </w:rPr>
        <w:t>Stortinget ber regjeringen legge til rette for at beslutninger som angår barn på krisesenter, skal ta utgangspunkt i barnets beste, og at barna selv må få mulighet til å uttrykke seg i saker som angår dem.</w:t>
      </w:r>
      <w:r w:rsidRPr="00225D4D">
        <w:t>»</w:t>
      </w:r>
    </w:p>
    <w:p w14:paraId="3FF40901"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122 L (2024–2025), jf. </w:t>
      </w:r>
      <w:proofErr w:type="spellStart"/>
      <w:r w:rsidRPr="00225D4D">
        <w:t>Innst</w:t>
      </w:r>
      <w:proofErr w:type="spellEnd"/>
      <w:r w:rsidRPr="00225D4D">
        <w:t>. 439 L (2024–2025).</w:t>
      </w:r>
    </w:p>
    <w:p w14:paraId="100A4787" w14:textId="77777777" w:rsidR="00D60186" w:rsidRPr="00225D4D" w:rsidRDefault="00D60186" w:rsidP="00225D4D">
      <w:r w:rsidRPr="00225D4D">
        <w:t xml:space="preserve">Det følgjer av krisesenterlova at kommunen har plikt til å </w:t>
      </w:r>
      <w:proofErr w:type="spellStart"/>
      <w:r w:rsidRPr="00225D4D">
        <w:t>sørgje</w:t>
      </w:r>
      <w:proofErr w:type="spellEnd"/>
      <w:r w:rsidRPr="00225D4D">
        <w:t xml:space="preserve"> for å ta vare på barn på </w:t>
      </w:r>
      <w:proofErr w:type="spellStart"/>
      <w:r w:rsidRPr="00225D4D">
        <w:t>ein</w:t>
      </w:r>
      <w:proofErr w:type="spellEnd"/>
      <w:r w:rsidRPr="00225D4D">
        <w:t xml:space="preserve"> god måte, som er tilpassa </w:t>
      </w:r>
      <w:proofErr w:type="spellStart"/>
      <w:r w:rsidRPr="00225D4D">
        <w:t>dei</w:t>
      </w:r>
      <w:proofErr w:type="spellEnd"/>
      <w:r w:rsidRPr="00225D4D">
        <w:t xml:space="preserve"> </w:t>
      </w:r>
      <w:proofErr w:type="spellStart"/>
      <w:r w:rsidRPr="00225D4D">
        <w:t>særskilde</w:t>
      </w:r>
      <w:proofErr w:type="spellEnd"/>
      <w:r w:rsidRPr="00225D4D">
        <w:t xml:space="preserve"> behova </w:t>
      </w:r>
      <w:proofErr w:type="spellStart"/>
      <w:r w:rsidRPr="00225D4D">
        <w:t>deira</w:t>
      </w:r>
      <w:proofErr w:type="spellEnd"/>
      <w:r w:rsidRPr="00225D4D">
        <w:t xml:space="preserve">, og slik at </w:t>
      </w:r>
      <w:proofErr w:type="spellStart"/>
      <w:r w:rsidRPr="00225D4D">
        <w:t>dei</w:t>
      </w:r>
      <w:proofErr w:type="spellEnd"/>
      <w:r w:rsidRPr="00225D4D">
        <w:t xml:space="preserve"> får </w:t>
      </w:r>
      <w:proofErr w:type="spellStart"/>
      <w:r w:rsidRPr="00225D4D">
        <w:t>rettane</w:t>
      </w:r>
      <w:proofErr w:type="spellEnd"/>
      <w:r w:rsidRPr="00225D4D">
        <w:t xml:space="preserve"> sine etter anna regelverk oppfylt. Barn har sjølvstendige </w:t>
      </w:r>
      <w:proofErr w:type="spellStart"/>
      <w:r w:rsidRPr="00225D4D">
        <w:t>rettar</w:t>
      </w:r>
      <w:proofErr w:type="spellEnd"/>
      <w:r w:rsidRPr="00225D4D">
        <w:t xml:space="preserve">, og </w:t>
      </w:r>
      <w:proofErr w:type="spellStart"/>
      <w:r w:rsidRPr="00225D4D">
        <w:t>foreldra</w:t>
      </w:r>
      <w:proofErr w:type="spellEnd"/>
      <w:r w:rsidRPr="00225D4D">
        <w:t xml:space="preserve"> skal i kraft av foreldreansvaret ta hand om </w:t>
      </w:r>
      <w:proofErr w:type="spellStart"/>
      <w:r w:rsidRPr="00225D4D">
        <w:t>rettane</w:t>
      </w:r>
      <w:proofErr w:type="spellEnd"/>
      <w:r w:rsidRPr="00225D4D">
        <w:t xml:space="preserve"> og interessene til barna. Barn har mellom anna rett til </w:t>
      </w:r>
      <w:proofErr w:type="spellStart"/>
      <w:r w:rsidRPr="00225D4D">
        <w:t>medverknad</w:t>
      </w:r>
      <w:proofErr w:type="spellEnd"/>
      <w:r w:rsidRPr="00225D4D">
        <w:t xml:space="preserve"> og krav på vern. Det følgjer av Grunnlova og FNs konvensjon om </w:t>
      </w:r>
      <w:proofErr w:type="spellStart"/>
      <w:r w:rsidRPr="00225D4D">
        <w:t>barnerettane</w:t>
      </w:r>
      <w:proofErr w:type="spellEnd"/>
      <w:r w:rsidRPr="00225D4D">
        <w:t xml:space="preserve">, jf. også barnelova §§ 31 og 33. Foreldre på krisesenter vil ofte ha behov for støtte for å kunne ta seg av barna. I den </w:t>
      </w:r>
      <w:proofErr w:type="spellStart"/>
      <w:r w:rsidRPr="00225D4D">
        <w:t>faglege</w:t>
      </w:r>
      <w:proofErr w:type="spellEnd"/>
      <w:r w:rsidRPr="00225D4D">
        <w:t xml:space="preserve"> rettleiinga </w:t>
      </w:r>
      <w:proofErr w:type="spellStart"/>
      <w:r w:rsidRPr="00225D4D">
        <w:t>frå</w:t>
      </w:r>
      <w:proofErr w:type="spellEnd"/>
      <w:r w:rsidRPr="00225D4D">
        <w:t xml:space="preserve"> </w:t>
      </w:r>
      <w:proofErr w:type="spellStart"/>
      <w:r w:rsidRPr="00225D4D">
        <w:t>Bufdir</w:t>
      </w:r>
      <w:proofErr w:type="spellEnd"/>
      <w:r w:rsidRPr="00225D4D">
        <w:t xml:space="preserve"> om </w:t>
      </w:r>
      <w:proofErr w:type="spellStart"/>
      <w:r w:rsidRPr="00225D4D">
        <w:t>innhaldet</w:t>
      </w:r>
      <w:proofErr w:type="spellEnd"/>
      <w:r w:rsidRPr="00225D4D">
        <w:t xml:space="preserve"> i </w:t>
      </w:r>
      <w:proofErr w:type="spellStart"/>
      <w:r w:rsidRPr="00225D4D">
        <w:t>krisesentertilbodet</w:t>
      </w:r>
      <w:proofErr w:type="spellEnd"/>
      <w:r w:rsidRPr="00225D4D">
        <w:t xml:space="preserve"> er det </w:t>
      </w:r>
      <w:proofErr w:type="spellStart"/>
      <w:r w:rsidRPr="00225D4D">
        <w:t>ein</w:t>
      </w:r>
      <w:proofErr w:type="spellEnd"/>
      <w:r w:rsidRPr="00225D4D">
        <w:t xml:space="preserve"> </w:t>
      </w:r>
      <w:proofErr w:type="spellStart"/>
      <w:r w:rsidRPr="00225D4D">
        <w:t>omfattande</w:t>
      </w:r>
      <w:proofErr w:type="spellEnd"/>
      <w:r w:rsidRPr="00225D4D">
        <w:t xml:space="preserve"> omtale av korleis barn bør </w:t>
      </w:r>
      <w:proofErr w:type="spellStart"/>
      <w:r w:rsidRPr="00225D4D">
        <w:t>følgjast</w:t>
      </w:r>
      <w:proofErr w:type="spellEnd"/>
      <w:r w:rsidRPr="00225D4D">
        <w:t xml:space="preserve"> opp på krisesenter, og kva </w:t>
      </w:r>
      <w:proofErr w:type="spellStart"/>
      <w:r w:rsidRPr="00225D4D">
        <w:t>dei</w:t>
      </w:r>
      <w:proofErr w:type="spellEnd"/>
      <w:r w:rsidRPr="00225D4D">
        <w:t xml:space="preserve"> har av </w:t>
      </w:r>
      <w:proofErr w:type="spellStart"/>
      <w:r w:rsidRPr="00225D4D">
        <w:t>rettar</w:t>
      </w:r>
      <w:proofErr w:type="spellEnd"/>
      <w:r w:rsidRPr="00225D4D">
        <w:t xml:space="preserve">. Departementet har gitt direktoratet i oppdrag å oppdatere rettleiinga. Direktoratet skal vurdere om og eventuelt korleis prinsippet om det beste for barnet og barn sin rett til å si meininga si, kan </w:t>
      </w:r>
      <w:proofErr w:type="spellStart"/>
      <w:r w:rsidRPr="00225D4D">
        <w:t>tydeleggjerast</w:t>
      </w:r>
      <w:proofErr w:type="spellEnd"/>
      <w:r w:rsidRPr="00225D4D">
        <w:t xml:space="preserve"> </w:t>
      </w:r>
      <w:proofErr w:type="spellStart"/>
      <w:r w:rsidRPr="00225D4D">
        <w:t>endå</w:t>
      </w:r>
      <w:proofErr w:type="spellEnd"/>
      <w:r w:rsidRPr="00225D4D">
        <w:t xml:space="preserve"> </w:t>
      </w:r>
      <w:proofErr w:type="spellStart"/>
      <w:r w:rsidRPr="00225D4D">
        <w:t>meir</w:t>
      </w:r>
      <w:proofErr w:type="spellEnd"/>
      <w:r w:rsidRPr="00225D4D">
        <w:t xml:space="preserve"> i rettleiinga.</w:t>
      </w:r>
    </w:p>
    <w:p w14:paraId="7566C98D"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034F1951" w14:textId="77777777" w:rsidR="00D60186" w:rsidRPr="00225D4D" w:rsidRDefault="00D60186" w:rsidP="00225D4D">
      <w:pPr>
        <w:pStyle w:val="avsnitt-tittel"/>
      </w:pPr>
      <w:r w:rsidRPr="00225D4D">
        <w:t xml:space="preserve">Gratis transport for barn i </w:t>
      </w:r>
      <w:proofErr w:type="spellStart"/>
      <w:r w:rsidRPr="00225D4D">
        <w:t>krisesentertilbodet</w:t>
      </w:r>
      <w:proofErr w:type="spellEnd"/>
    </w:p>
    <w:p w14:paraId="0C8AEBE8" w14:textId="77777777" w:rsidR="00D60186" w:rsidRPr="00225D4D" w:rsidRDefault="00D60186" w:rsidP="00225D4D">
      <w:pPr>
        <w:pStyle w:val="avsnitt-undertittel"/>
      </w:pPr>
      <w:r w:rsidRPr="00225D4D">
        <w:t>Vedtak 1022, 11. juni 2025</w:t>
      </w:r>
    </w:p>
    <w:p w14:paraId="4888CE98" w14:textId="77777777" w:rsidR="00D60186" w:rsidRPr="00225D4D" w:rsidRDefault="00D60186" w:rsidP="00225D4D">
      <w:pPr>
        <w:pStyle w:val="blokksit"/>
      </w:pPr>
      <w:r w:rsidRPr="00225D4D">
        <w:t>«</w:t>
      </w:r>
      <w:r w:rsidRPr="00225D4D">
        <w:rPr>
          <w:rStyle w:val="kursiv"/>
        </w:rPr>
        <w:t>Stortinget ber regjeringen utrede løsninger for at alle barn på krisesenter får rett til gratis og trygg transport til tilbud som fritidsaktiviteter, skolefritidsordning og barnehage.</w:t>
      </w:r>
      <w:r w:rsidRPr="00225D4D">
        <w:t>»</w:t>
      </w:r>
    </w:p>
    <w:p w14:paraId="436A673D"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122 L (2024–2025), jf. </w:t>
      </w:r>
      <w:proofErr w:type="spellStart"/>
      <w:r w:rsidRPr="00225D4D">
        <w:t>Innst</w:t>
      </w:r>
      <w:proofErr w:type="spellEnd"/>
      <w:r w:rsidRPr="00225D4D">
        <w:t>. 439 L (2024–2025).</w:t>
      </w:r>
    </w:p>
    <w:p w14:paraId="64076B65" w14:textId="77777777" w:rsidR="00D60186" w:rsidRPr="00225D4D" w:rsidRDefault="00D60186" w:rsidP="00225D4D">
      <w:r w:rsidRPr="00225D4D">
        <w:t xml:space="preserve">Proposisjonen </w:t>
      </w:r>
      <w:proofErr w:type="spellStart"/>
      <w:r w:rsidRPr="00225D4D">
        <w:t>omfattar</w:t>
      </w:r>
      <w:proofErr w:type="spellEnd"/>
      <w:r w:rsidRPr="00225D4D">
        <w:t xml:space="preserve"> </w:t>
      </w:r>
      <w:proofErr w:type="spellStart"/>
      <w:r w:rsidRPr="00225D4D">
        <w:t>ein</w:t>
      </w:r>
      <w:proofErr w:type="spellEnd"/>
      <w:r w:rsidRPr="00225D4D">
        <w:t xml:space="preserve"> meldingsdel der mellom anna </w:t>
      </w:r>
      <w:proofErr w:type="spellStart"/>
      <w:r w:rsidRPr="00225D4D">
        <w:t>utfordringar</w:t>
      </w:r>
      <w:proofErr w:type="spellEnd"/>
      <w:r w:rsidRPr="00225D4D">
        <w:t xml:space="preserve"> med dekking av reiseutgifter er drøfta. Å greie ut gratis og trygg transport for barn til </w:t>
      </w:r>
      <w:proofErr w:type="spellStart"/>
      <w:r w:rsidRPr="00225D4D">
        <w:t>fritidsaktivitetar</w:t>
      </w:r>
      <w:proofErr w:type="spellEnd"/>
      <w:r w:rsidRPr="00225D4D">
        <w:t xml:space="preserve">, </w:t>
      </w:r>
      <w:proofErr w:type="spellStart"/>
      <w:r w:rsidRPr="00225D4D">
        <w:t>skulefritidsordning</w:t>
      </w:r>
      <w:proofErr w:type="spellEnd"/>
      <w:r w:rsidRPr="00225D4D">
        <w:t xml:space="preserve"> og barnehage må </w:t>
      </w:r>
      <w:proofErr w:type="spellStart"/>
      <w:r w:rsidRPr="00225D4D">
        <w:t>sjåast</w:t>
      </w:r>
      <w:proofErr w:type="spellEnd"/>
      <w:r w:rsidRPr="00225D4D">
        <w:t xml:space="preserve"> </w:t>
      </w:r>
      <w:proofErr w:type="spellStart"/>
      <w:r w:rsidRPr="00225D4D">
        <w:t>saman</w:t>
      </w:r>
      <w:proofErr w:type="spellEnd"/>
      <w:r w:rsidRPr="00225D4D">
        <w:t xml:space="preserve"> med dette, slik at </w:t>
      </w:r>
      <w:proofErr w:type="spellStart"/>
      <w:r w:rsidRPr="00225D4D">
        <w:t>ein</w:t>
      </w:r>
      <w:proofErr w:type="spellEnd"/>
      <w:r w:rsidRPr="00225D4D">
        <w:t xml:space="preserve"> </w:t>
      </w:r>
      <w:proofErr w:type="spellStart"/>
      <w:r w:rsidRPr="00225D4D">
        <w:t>ikkje</w:t>
      </w:r>
      <w:proofErr w:type="spellEnd"/>
      <w:r w:rsidRPr="00225D4D">
        <w:t xml:space="preserve"> etablerer ulike </w:t>
      </w:r>
      <w:proofErr w:type="spellStart"/>
      <w:r w:rsidRPr="00225D4D">
        <w:t>overlappande</w:t>
      </w:r>
      <w:proofErr w:type="spellEnd"/>
      <w:r w:rsidRPr="00225D4D">
        <w:t xml:space="preserve"> </w:t>
      </w:r>
      <w:proofErr w:type="spellStart"/>
      <w:r w:rsidRPr="00225D4D">
        <w:t>løysingar</w:t>
      </w:r>
      <w:proofErr w:type="spellEnd"/>
      <w:r w:rsidRPr="00225D4D">
        <w:t xml:space="preserve">. Sjå òg omtale av oppfølging av oppmodingsvedtak 615 av 7. mai 2024 om å </w:t>
      </w:r>
      <w:proofErr w:type="spellStart"/>
      <w:r w:rsidRPr="00225D4D">
        <w:t>dekkje</w:t>
      </w:r>
      <w:proofErr w:type="spellEnd"/>
      <w:r w:rsidRPr="00225D4D">
        <w:t xml:space="preserve"> reisekostnader til krisesenter </w:t>
      </w:r>
      <w:proofErr w:type="spellStart"/>
      <w:r w:rsidRPr="00225D4D">
        <w:t>nedanfor</w:t>
      </w:r>
      <w:proofErr w:type="spellEnd"/>
      <w:r w:rsidRPr="00225D4D">
        <w:t>.</w:t>
      </w:r>
    </w:p>
    <w:p w14:paraId="0BAFF289" w14:textId="77777777" w:rsidR="00D60186" w:rsidRPr="00225D4D" w:rsidRDefault="00D60186" w:rsidP="00225D4D">
      <w:r w:rsidRPr="00225D4D">
        <w:t xml:space="preserve">Departementet vil orientere Stortinget om den </w:t>
      </w:r>
      <w:proofErr w:type="spellStart"/>
      <w:r w:rsidRPr="00225D4D">
        <w:t>vidare</w:t>
      </w:r>
      <w:proofErr w:type="spellEnd"/>
      <w:r w:rsidRPr="00225D4D">
        <w:t xml:space="preserve"> oppfølginga av vedtaket på eigna vis.</w:t>
      </w:r>
    </w:p>
    <w:p w14:paraId="77F83A5F" w14:textId="77777777" w:rsidR="00D60186" w:rsidRPr="00225D4D" w:rsidRDefault="00D60186" w:rsidP="00225D4D">
      <w:pPr>
        <w:pStyle w:val="avsnitt-tittel"/>
      </w:pPr>
      <w:proofErr w:type="spellStart"/>
      <w:r w:rsidRPr="00225D4D">
        <w:t>Tilbod</w:t>
      </w:r>
      <w:proofErr w:type="spellEnd"/>
      <w:r w:rsidRPr="00225D4D">
        <w:t xml:space="preserve"> til </w:t>
      </w:r>
      <w:proofErr w:type="spellStart"/>
      <w:r w:rsidRPr="00225D4D">
        <w:t>valdsutsette</w:t>
      </w:r>
      <w:proofErr w:type="spellEnd"/>
      <w:r w:rsidRPr="00225D4D">
        <w:t xml:space="preserve"> med kjæledyr</w:t>
      </w:r>
    </w:p>
    <w:p w14:paraId="08E44F18" w14:textId="77777777" w:rsidR="00D60186" w:rsidRPr="00225D4D" w:rsidRDefault="00D60186" w:rsidP="00225D4D">
      <w:pPr>
        <w:pStyle w:val="avsnitt-undertittel"/>
      </w:pPr>
      <w:r w:rsidRPr="00225D4D">
        <w:t>Vedtak 1023, 11. juni 2025</w:t>
      </w:r>
    </w:p>
    <w:p w14:paraId="39BAF382" w14:textId="77777777" w:rsidR="00D60186" w:rsidRPr="00225D4D" w:rsidRDefault="00D60186" w:rsidP="00225D4D">
      <w:pPr>
        <w:pStyle w:val="blokksit"/>
      </w:pPr>
      <w:r w:rsidRPr="00225D4D">
        <w:t>«</w:t>
      </w:r>
      <w:r w:rsidRPr="00225D4D">
        <w:rPr>
          <w:rStyle w:val="kursiv"/>
        </w:rPr>
        <w:t>Stortinget ber regjeringen utarbeide en veiledning til krisesentrene om at de skal legge til rette for egne tilbud til voldsutsatte med kjæledyr, eller at de skal inngå avtaler med lokale aktører som kan tilby et trygt og tilgjengelig tilbud for dyrene.</w:t>
      </w:r>
      <w:r w:rsidRPr="00225D4D">
        <w:t>»</w:t>
      </w:r>
    </w:p>
    <w:p w14:paraId="541C8703"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122 L (2024–2025), jf. </w:t>
      </w:r>
      <w:proofErr w:type="spellStart"/>
      <w:r w:rsidRPr="00225D4D">
        <w:t>Innst</w:t>
      </w:r>
      <w:proofErr w:type="spellEnd"/>
      <w:r w:rsidRPr="00225D4D">
        <w:t>. 439 L (2024–2025).</w:t>
      </w:r>
    </w:p>
    <w:p w14:paraId="65744E30" w14:textId="77777777" w:rsidR="00D60186" w:rsidRPr="00225D4D" w:rsidRDefault="00D60186" w:rsidP="00225D4D">
      <w:proofErr w:type="spellStart"/>
      <w:r w:rsidRPr="00225D4D">
        <w:t>Tilskotsordninga</w:t>
      </w:r>
      <w:proofErr w:type="spellEnd"/>
      <w:r w:rsidRPr="00225D4D">
        <w:t xml:space="preserve"> til oppgradering av krisesenterbygg som </w:t>
      </w:r>
      <w:proofErr w:type="spellStart"/>
      <w:r w:rsidRPr="00225D4D">
        <w:t>vart</w:t>
      </w:r>
      <w:proofErr w:type="spellEnd"/>
      <w:r w:rsidRPr="00225D4D">
        <w:t xml:space="preserve"> etablert i 2025, </w:t>
      </w:r>
      <w:proofErr w:type="spellStart"/>
      <w:r w:rsidRPr="00225D4D">
        <w:t>opnar</w:t>
      </w:r>
      <w:proofErr w:type="spellEnd"/>
      <w:r w:rsidRPr="00225D4D">
        <w:t xml:space="preserve"> for finansiering av prosjekt der </w:t>
      </w:r>
      <w:proofErr w:type="spellStart"/>
      <w:r w:rsidRPr="00225D4D">
        <w:t>føremålet</w:t>
      </w:r>
      <w:proofErr w:type="spellEnd"/>
      <w:r w:rsidRPr="00225D4D">
        <w:t xml:space="preserve"> er å </w:t>
      </w:r>
      <w:proofErr w:type="spellStart"/>
      <w:r w:rsidRPr="00225D4D">
        <w:t>leggje</w:t>
      </w:r>
      <w:proofErr w:type="spellEnd"/>
      <w:r w:rsidRPr="00225D4D">
        <w:t xml:space="preserve"> lokala betre til rette for </w:t>
      </w:r>
      <w:proofErr w:type="spellStart"/>
      <w:r w:rsidRPr="00225D4D">
        <w:t>brukarar</w:t>
      </w:r>
      <w:proofErr w:type="spellEnd"/>
      <w:r w:rsidRPr="00225D4D">
        <w:t xml:space="preserve"> med kjæledyr òg. I tillegg har departementet gitt </w:t>
      </w:r>
      <w:proofErr w:type="spellStart"/>
      <w:r w:rsidRPr="00225D4D">
        <w:t>Bufdir</w:t>
      </w:r>
      <w:proofErr w:type="spellEnd"/>
      <w:r w:rsidRPr="00225D4D">
        <w:t xml:space="preserve"> i oppdrag å oppdatere den </w:t>
      </w:r>
      <w:proofErr w:type="spellStart"/>
      <w:r w:rsidRPr="00225D4D">
        <w:t>faglege</w:t>
      </w:r>
      <w:proofErr w:type="spellEnd"/>
      <w:r w:rsidRPr="00225D4D">
        <w:t xml:space="preserve"> rettleiinga for </w:t>
      </w:r>
      <w:proofErr w:type="spellStart"/>
      <w:r w:rsidRPr="00225D4D">
        <w:t>innhaldet</w:t>
      </w:r>
      <w:proofErr w:type="spellEnd"/>
      <w:r w:rsidRPr="00225D4D">
        <w:t xml:space="preserve"> i </w:t>
      </w:r>
      <w:proofErr w:type="spellStart"/>
      <w:r w:rsidRPr="00225D4D">
        <w:t>krisesentertilbodet</w:t>
      </w:r>
      <w:proofErr w:type="spellEnd"/>
      <w:r w:rsidRPr="00225D4D">
        <w:t xml:space="preserve"> slik at behovet for å ta seg av </w:t>
      </w:r>
      <w:proofErr w:type="spellStart"/>
      <w:r w:rsidRPr="00225D4D">
        <w:t>valdsutsette</w:t>
      </w:r>
      <w:proofErr w:type="spellEnd"/>
      <w:r w:rsidRPr="00225D4D">
        <w:t xml:space="preserve"> med kjæledyr kjem betre fram.</w:t>
      </w:r>
    </w:p>
    <w:p w14:paraId="39E867F2"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23E886F5" w14:textId="77777777" w:rsidR="00D60186" w:rsidRPr="00225D4D" w:rsidRDefault="00D60186" w:rsidP="00225D4D">
      <w:pPr>
        <w:pStyle w:val="avsnitt-tittel"/>
      </w:pPr>
      <w:r w:rsidRPr="00225D4D">
        <w:t xml:space="preserve">Melding til Stortinget om </w:t>
      </w:r>
      <w:proofErr w:type="spellStart"/>
      <w:r w:rsidRPr="00225D4D">
        <w:t>fødselstal</w:t>
      </w:r>
      <w:proofErr w:type="spellEnd"/>
    </w:p>
    <w:p w14:paraId="2A8E28E4" w14:textId="77777777" w:rsidR="00D60186" w:rsidRPr="00225D4D" w:rsidRDefault="00D60186" w:rsidP="00225D4D">
      <w:pPr>
        <w:pStyle w:val="avsnitt-undertittel"/>
      </w:pPr>
      <w:r w:rsidRPr="00225D4D">
        <w:t>Vedtak 1212, 20. juni 2025</w:t>
      </w:r>
    </w:p>
    <w:p w14:paraId="2AC37C09" w14:textId="77777777" w:rsidR="00D60186" w:rsidRPr="00225D4D" w:rsidRDefault="00D60186" w:rsidP="00225D4D">
      <w:pPr>
        <w:pStyle w:val="blokksit"/>
      </w:pPr>
      <w:r w:rsidRPr="00225D4D">
        <w:t>«</w:t>
      </w:r>
      <w:r w:rsidRPr="00225D4D">
        <w:rPr>
          <w:rStyle w:val="kursiv"/>
        </w:rPr>
        <w:t xml:space="preserve">Stortinget ber regjeringen legge frem en stortingsmelding etter at </w:t>
      </w:r>
      <w:proofErr w:type="spellStart"/>
      <w:r w:rsidRPr="00225D4D">
        <w:rPr>
          <w:rStyle w:val="kursiv"/>
        </w:rPr>
        <w:t>Fødselstallsutvalgets</w:t>
      </w:r>
      <w:proofErr w:type="spellEnd"/>
      <w:r w:rsidRPr="00225D4D">
        <w:rPr>
          <w:rStyle w:val="kursiv"/>
        </w:rPr>
        <w:t xml:space="preserve"> utredning er levert.</w:t>
      </w:r>
      <w:r w:rsidRPr="00225D4D">
        <w:t>»</w:t>
      </w:r>
    </w:p>
    <w:p w14:paraId="287A2A81"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146 S (2024–2025), jf. </w:t>
      </w:r>
      <w:proofErr w:type="spellStart"/>
      <w:r w:rsidRPr="00225D4D">
        <w:t>Innst</w:t>
      </w:r>
      <w:proofErr w:type="spellEnd"/>
      <w:r w:rsidRPr="00225D4D">
        <w:t xml:space="preserve">. 540 S (2024–2025). </w:t>
      </w:r>
      <w:proofErr w:type="spellStart"/>
      <w:r w:rsidRPr="00225D4D">
        <w:t>Utvalet</w:t>
      </w:r>
      <w:proofErr w:type="spellEnd"/>
      <w:r w:rsidRPr="00225D4D">
        <w:t xml:space="preserve"> om </w:t>
      </w:r>
      <w:proofErr w:type="spellStart"/>
      <w:r w:rsidRPr="00225D4D">
        <w:t>fødselstal</w:t>
      </w:r>
      <w:proofErr w:type="spellEnd"/>
      <w:r w:rsidRPr="00225D4D">
        <w:t xml:space="preserve"> og </w:t>
      </w:r>
      <w:proofErr w:type="spellStart"/>
      <w:r w:rsidRPr="00225D4D">
        <w:t>velferdsordningar</w:t>
      </w:r>
      <w:proofErr w:type="spellEnd"/>
      <w:r w:rsidRPr="00225D4D">
        <w:t xml:space="preserve"> for </w:t>
      </w:r>
      <w:proofErr w:type="spellStart"/>
      <w:r w:rsidRPr="00225D4D">
        <w:t>barnefamiliar</w:t>
      </w:r>
      <w:proofErr w:type="spellEnd"/>
      <w:r w:rsidRPr="00225D4D">
        <w:t xml:space="preserve"> vil ferdigstille arbeidet og levere </w:t>
      </w:r>
      <w:proofErr w:type="spellStart"/>
      <w:r w:rsidRPr="00225D4D">
        <w:t>endeleg</w:t>
      </w:r>
      <w:proofErr w:type="spellEnd"/>
      <w:r w:rsidRPr="00225D4D">
        <w:t xml:space="preserve"> NOU vinteren 2026. Departementet vil orientere Stortinget om den </w:t>
      </w:r>
      <w:proofErr w:type="spellStart"/>
      <w:r w:rsidRPr="00225D4D">
        <w:t>vidare</w:t>
      </w:r>
      <w:proofErr w:type="spellEnd"/>
      <w:r w:rsidRPr="00225D4D">
        <w:t xml:space="preserve"> oppfølginga av vedtaket på eigna vis.</w:t>
      </w:r>
    </w:p>
    <w:p w14:paraId="71BD6A68" w14:textId="77777777" w:rsidR="00D60186" w:rsidRPr="00225D4D" w:rsidRDefault="00D60186" w:rsidP="00225D4D">
      <w:pPr>
        <w:pStyle w:val="Overskrift2"/>
      </w:pPr>
      <w:r w:rsidRPr="00225D4D">
        <w:t>Stortingssesjon (2023–2024)</w:t>
      </w:r>
    </w:p>
    <w:p w14:paraId="0AA805EE" w14:textId="77777777" w:rsidR="00D60186" w:rsidRPr="00225D4D" w:rsidRDefault="00D60186" w:rsidP="00225D4D">
      <w:pPr>
        <w:pStyle w:val="avsnitt-tittel"/>
      </w:pPr>
      <w:proofErr w:type="spellStart"/>
      <w:r w:rsidRPr="00225D4D">
        <w:t>Godkjend</w:t>
      </w:r>
      <w:proofErr w:type="spellEnd"/>
      <w:r w:rsidRPr="00225D4D">
        <w:t xml:space="preserve"> religiøs tilleggsutdanning</w:t>
      </w:r>
    </w:p>
    <w:p w14:paraId="6AF82F89" w14:textId="77777777" w:rsidR="00D60186" w:rsidRPr="00225D4D" w:rsidRDefault="00D60186" w:rsidP="00225D4D">
      <w:pPr>
        <w:pStyle w:val="avsnitt-undertittel"/>
      </w:pPr>
      <w:r w:rsidRPr="00225D4D">
        <w:t>Vedtak 142, 12. desember 2023</w:t>
      </w:r>
    </w:p>
    <w:p w14:paraId="4E447DD3" w14:textId="77777777" w:rsidR="00D60186" w:rsidRPr="00225D4D" w:rsidRDefault="00D60186" w:rsidP="00225D4D">
      <w:pPr>
        <w:pStyle w:val="blokksit"/>
      </w:pPr>
      <w:r w:rsidRPr="00225D4D">
        <w:t>«</w:t>
      </w:r>
      <w:r w:rsidRPr="00225D4D">
        <w:rPr>
          <w:rStyle w:val="kursiv"/>
        </w:rPr>
        <w:t>Stortinget ber regjeringen utrede og fremme forslag om insentiver for å sikre at flere religiøse ledere eller andre nøkkelpersoner i trossamfunn gjennomfører godkjent religiøs tilleggsutdanning i Norge.</w:t>
      </w:r>
      <w:r w:rsidRPr="00225D4D">
        <w:t>»</w:t>
      </w:r>
    </w:p>
    <w:p w14:paraId="349BE696"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betre </w:t>
      </w:r>
      <w:proofErr w:type="spellStart"/>
      <w:r w:rsidRPr="00225D4D">
        <w:t>førebygging</w:t>
      </w:r>
      <w:proofErr w:type="spellEnd"/>
      <w:r w:rsidRPr="00225D4D">
        <w:t xml:space="preserve"> av og </w:t>
      </w:r>
      <w:proofErr w:type="spellStart"/>
      <w:r w:rsidRPr="00225D4D">
        <w:t>meir</w:t>
      </w:r>
      <w:proofErr w:type="spellEnd"/>
      <w:r w:rsidRPr="00225D4D">
        <w:t xml:space="preserve"> kunnskap om </w:t>
      </w:r>
      <w:proofErr w:type="spellStart"/>
      <w:r w:rsidRPr="00225D4D">
        <w:t>valdeleg</w:t>
      </w:r>
      <w:proofErr w:type="spellEnd"/>
      <w:r w:rsidRPr="00225D4D">
        <w:t xml:space="preserve"> ekstremisme og radikalisering, jf. </w:t>
      </w:r>
      <w:proofErr w:type="spellStart"/>
      <w:r w:rsidRPr="00225D4D">
        <w:t>Dok</w:t>
      </w:r>
      <w:proofErr w:type="spellEnd"/>
      <w:r w:rsidRPr="00225D4D">
        <w:t xml:space="preserve">. 8:246 S (2022–2023) og </w:t>
      </w:r>
      <w:proofErr w:type="spellStart"/>
      <w:r w:rsidRPr="00225D4D">
        <w:t>Innst</w:t>
      </w:r>
      <w:proofErr w:type="spellEnd"/>
      <w:r w:rsidRPr="00225D4D">
        <w:t>. 93 S (2023–2024).</w:t>
      </w:r>
    </w:p>
    <w:p w14:paraId="5BE9E7A6" w14:textId="77777777" w:rsidR="00D60186" w:rsidRPr="00225D4D" w:rsidRDefault="00D60186" w:rsidP="00225D4D">
      <w:r w:rsidRPr="00225D4D">
        <w:t xml:space="preserve">Det </w:t>
      </w:r>
      <w:proofErr w:type="spellStart"/>
      <w:r w:rsidRPr="00225D4D">
        <w:t>finst</w:t>
      </w:r>
      <w:proofErr w:type="spellEnd"/>
      <w:r w:rsidRPr="00225D4D">
        <w:t xml:space="preserve"> </w:t>
      </w:r>
      <w:proofErr w:type="spellStart"/>
      <w:r w:rsidRPr="00225D4D">
        <w:t>fleire</w:t>
      </w:r>
      <w:proofErr w:type="spellEnd"/>
      <w:r w:rsidRPr="00225D4D">
        <w:t xml:space="preserve"> kurs- og </w:t>
      </w:r>
      <w:proofErr w:type="spellStart"/>
      <w:r w:rsidRPr="00225D4D">
        <w:t>utdanningstilbod</w:t>
      </w:r>
      <w:proofErr w:type="spellEnd"/>
      <w:r w:rsidRPr="00225D4D">
        <w:t xml:space="preserve"> til religiøse </w:t>
      </w:r>
      <w:proofErr w:type="spellStart"/>
      <w:r w:rsidRPr="00225D4D">
        <w:t>leiarar</w:t>
      </w:r>
      <w:proofErr w:type="spellEnd"/>
      <w:r w:rsidRPr="00225D4D">
        <w:t xml:space="preserve"> med </w:t>
      </w:r>
      <w:proofErr w:type="spellStart"/>
      <w:r w:rsidRPr="00225D4D">
        <w:t>utanlandsk</w:t>
      </w:r>
      <w:proofErr w:type="spellEnd"/>
      <w:r w:rsidRPr="00225D4D">
        <w:t xml:space="preserve"> bakgrunn. Det teologiske fakultet ved Universitetet i Oslo (TF) tilbyr </w:t>
      </w:r>
      <w:proofErr w:type="spellStart"/>
      <w:r w:rsidRPr="00225D4D">
        <w:t>ein</w:t>
      </w:r>
      <w:proofErr w:type="spellEnd"/>
      <w:r w:rsidRPr="00225D4D">
        <w:t xml:space="preserve"> master i «lederskap, etikk og samtalepraksis». I tillegg tilbyr universitetet kurset «Å være religiøs leder i Norge», som departementet gir </w:t>
      </w:r>
      <w:proofErr w:type="spellStart"/>
      <w:r w:rsidRPr="00225D4D">
        <w:t>tilskot</w:t>
      </w:r>
      <w:proofErr w:type="spellEnd"/>
      <w:r w:rsidRPr="00225D4D">
        <w:t xml:space="preserve"> til. Kurset er </w:t>
      </w:r>
      <w:proofErr w:type="spellStart"/>
      <w:r w:rsidRPr="00225D4D">
        <w:t>eit</w:t>
      </w:r>
      <w:proofErr w:type="spellEnd"/>
      <w:r w:rsidRPr="00225D4D">
        <w:t xml:space="preserve"> etter- og </w:t>
      </w:r>
      <w:proofErr w:type="spellStart"/>
      <w:r w:rsidRPr="00225D4D">
        <w:t>vidareutdanningstilbod</w:t>
      </w:r>
      <w:proofErr w:type="spellEnd"/>
      <w:r w:rsidRPr="00225D4D">
        <w:t xml:space="preserve"> og kan </w:t>
      </w:r>
      <w:proofErr w:type="spellStart"/>
      <w:r w:rsidRPr="00225D4D">
        <w:t>takast</w:t>
      </w:r>
      <w:proofErr w:type="spellEnd"/>
      <w:r w:rsidRPr="00225D4D">
        <w:t xml:space="preserve"> med og </w:t>
      </w:r>
      <w:proofErr w:type="spellStart"/>
      <w:r w:rsidRPr="00225D4D">
        <w:t>utan</w:t>
      </w:r>
      <w:proofErr w:type="spellEnd"/>
      <w:r w:rsidRPr="00225D4D">
        <w:t xml:space="preserve"> studiepoeng. Målgruppa er religiøse </w:t>
      </w:r>
      <w:proofErr w:type="spellStart"/>
      <w:r w:rsidRPr="00225D4D">
        <w:t>leiarar</w:t>
      </w:r>
      <w:proofErr w:type="spellEnd"/>
      <w:r w:rsidRPr="00225D4D">
        <w:t xml:space="preserve"> med </w:t>
      </w:r>
      <w:proofErr w:type="spellStart"/>
      <w:r w:rsidRPr="00225D4D">
        <w:t>utanlandsk</w:t>
      </w:r>
      <w:proofErr w:type="spellEnd"/>
      <w:r w:rsidRPr="00225D4D">
        <w:t xml:space="preserve"> bakgrunn. </w:t>
      </w:r>
      <w:proofErr w:type="spellStart"/>
      <w:r w:rsidRPr="00225D4D">
        <w:t>Nærare</w:t>
      </w:r>
      <w:proofErr w:type="spellEnd"/>
      <w:r w:rsidRPr="00225D4D">
        <w:t xml:space="preserve"> 200 religiøse </w:t>
      </w:r>
      <w:proofErr w:type="spellStart"/>
      <w:r w:rsidRPr="00225D4D">
        <w:t>leiarar</w:t>
      </w:r>
      <w:proofErr w:type="spellEnd"/>
      <w:r w:rsidRPr="00225D4D">
        <w:t xml:space="preserve"> har til </w:t>
      </w:r>
      <w:proofErr w:type="spellStart"/>
      <w:r w:rsidRPr="00225D4D">
        <w:t>no</w:t>
      </w:r>
      <w:proofErr w:type="spellEnd"/>
      <w:r w:rsidRPr="00225D4D">
        <w:t xml:space="preserve"> </w:t>
      </w:r>
      <w:proofErr w:type="spellStart"/>
      <w:r w:rsidRPr="00225D4D">
        <w:t>teke</w:t>
      </w:r>
      <w:proofErr w:type="spellEnd"/>
      <w:r w:rsidRPr="00225D4D">
        <w:t xml:space="preserve"> kurset. TF har på oppdrag </w:t>
      </w:r>
      <w:proofErr w:type="spellStart"/>
      <w:r w:rsidRPr="00225D4D">
        <w:t>frå</w:t>
      </w:r>
      <w:proofErr w:type="spellEnd"/>
      <w:r w:rsidRPr="00225D4D">
        <w:t xml:space="preserve"> BFD fått utført ei evaluering av kurset, som også har </w:t>
      </w:r>
      <w:proofErr w:type="spellStart"/>
      <w:r w:rsidRPr="00225D4D">
        <w:t>noko</w:t>
      </w:r>
      <w:proofErr w:type="spellEnd"/>
      <w:r w:rsidRPr="00225D4D">
        <w:t xml:space="preserve"> å </w:t>
      </w:r>
      <w:proofErr w:type="spellStart"/>
      <w:r w:rsidRPr="00225D4D">
        <w:t>seie</w:t>
      </w:r>
      <w:proofErr w:type="spellEnd"/>
      <w:r w:rsidRPr="00225D4D">
        <w:t xml:space="preserve"> om rekruttering.</w:t>
      </w:r>
    </w:p>
    <w:p w14:paraId="3768BF5F" w14:textId="77777777" w:rsidR="00D60186" w:rsidRPr="00225D4D" w:rsidRDefault="00D60186" w:rsidP="00225D4D">
      <w:r w:rsidRPr="00225D4D">
        <w:t xml:space="preserve">Departementet har gitt Forskningsstiftelsen </w:t>
      </w:r>
      <w:proofErr w:type="spellStart"/>
      <w:r w:rsidRPr="00225D4D">
        <w:t>Fafo</w:t>
      </w:r>
      <w:proofErr w:type="spellEnd"/>
      <w:r w:rsidRPr="00225D4D">
        <w:t xml:space="preserve"> </w:t>
      </w:r>
      <w:proofErr w:type="spellStart"/>
      <w:r w:rsidRPr="00225D4D">
        <w:t>eit</w:t>
      </w:r>
      <w:proofErr w:type="spellEnd"/>
      <w:r w:rsidRPr="00225D4D">
        <w:t xml:space="preserve"> forskings- og utgreiingsoppdrag om kva som kan bidra til at </w:t>
      </w:r>
      <w:proofErr w:type="spellStart"/>
      <w:r w:rsidRPr="00225D4D">
        <w:t>fleire</w:t>
      </w:r>
      <w:proofErr w:type="spellEnd"/>
      <w:r w:rsidRPr="00225D4D">
        <w:t xml:space="preserve"> religiøse </w:t>
      </w:r>
      <w:proofErr w:type="spellStart"/>
      <w:r w:rsidRPr="00225D4D">
        <w:t>leiarar</w:t>
      </w:r>
      <w:proofErr w:type="spellEnd"/>
      <w:r w:rsidRPr="00225D4D">
        <w:t xml:space="preserve"> og </w:t>
      </w:r>
      <w:proofErr w:type="spellStart"/>
      <w:r w:rsidRPr="00225D4D">
        <w:t>nøkkelpersonar</w:t>
      </w:r>
      <w:proofErr w:type="spellEnd"/>
      <w:r w:rsidRPr="00225D4D">
        <w:t xml:space="preserve"> i trus- og livssynssamfunn gjennomfører tilleggsutdanning i samband med rolla som trus- og </w:t>
      </w:r>
      <w:proofErr w:type="spellStart"/>
      <w:r w:rsidRPr="00225D4D">
        <w:t>livssynsleiar</w:t>
      </w:r>
      <w:proofErr w:type="spellEnd"/>
      <w:r w:rsidRPr="00225D4D">
        <w:t xml:space="preserve"> i </w:t>
      </w:r>
      <w:proofErr w:type="spellStart"/>
      <w:r w:rsidRPr="00225D4D">
        <w:t>Noreg</w:t>
      </w:r>
      <w:proofErr w:type="spellEnd"/>
      <w:r w:rsidRPr="00225D4D">
        <w:t>.</w:t>
      </w:r>
    </w:p>
    <w:p w14:paraId="488260D9" w14:textId="77777777" w:rsidR="00D60186" w:rsidRPr="00225D4D" w:rsidRDefault="00D60186" w:rsidP="00225D4D">
      <w:r w:rsidRPr="00225D4D">
        <w:t xml:space="preserve">Departementet vil orientere Stortinget om den </w:t>
      </w:r>
      <w:proofErr w:type="spellStart"/>
      <w:r w:rsidRPr="00225D4D">
        <w:t>vidare</w:t>
      </w:r>
      <w:proofErr w:type="spellEnd"/>
      <w:r w:rsidRPr="00225D4D">
        <w:t xml:space="preserve"> oppfølginga av vedtaket på eigna vis.</w:t>
      </w:r>
    </w:p>
    <w:p w14:paraId="4CCA4DA8" w14:textId="77777777" w:rsidR="00D60186" w:rsidRPr="00225D4D" w:rsidRDefault="00D60186" w:rsidP="00225D4D">
      <w:pPr>
        <w:pStyle w:val="avsnitt-tittel"/>
      </w:pPr>
      <w:r w:rsidRPr="00225D4D">
        <w:t>Verne barn mot vald og seksuelle overgrep i saker om samvær og omsorg</w:t>
      </w:r>
    </w:p>
    <w:p w14:paraId="0812044B" w14:textId="77777777" w:rsidR="00D60186" w:rsidRPr="00225D4D" w:rsidRDefault="00D60186" w:rsidP="00225D4D">
      <w:pPr>
        <w:pStyle w:val="avsnitt-undertittel"/>
      </w:pPr>
      <w:r w:rsidRPr="00225D4D">
        <w:t>Vedtak 611, 7. mai 2024</w:t>
      </w:r>
    </w:p>
    <w:p w14:paraId="363B780E" w14:textId="77777777" w:rsidR="00D60186" w:rsidRPr="00225D4D" w:rsidRDefault="00D60186" w:rsidP="00225D4D">
      <w:pPr>
        <w:pStyle w:val="blokksit"/>
      </w:pPr>
      <w:r w:rsidRPr="00225D4D">
        <w:t>«</w:t>
      </w:r>
      <w:r w:rsidRPr="00225D4D">
        <w:rPr>
          <w:rStyle w:val="kursiv"/>
        </w:rPr>
        <w:t>Stortinget ber regjeringen vurdere grep som kan styrke barnets rett til beskyttelse mot vold og seksuelle overgrep i saker om samvær og omsorg, og melde tilbake til Stortinget i forbindelse med de varslede endringene i barneloven.</w:t>
      </w:r>
      <w:r w:rsidRPr="00225D4D">
        <w:t>»</w:t>
      </w:r>
    </w:p>
    <w:p w14:paraId="22797D84"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ein</w:t>
      </w:r>
      <w:proofErr w:type="spellEnd"/>
      <w:r w:rsidRPr="00225D4D">
        <w:t xml:space="preserve"> opptrappingsplan mot vald og overgrep mot barn og vald i nære </w:t>
      </w:r>
      <w:proofErr w:type="spellStart"/>
      <w:r w:rsidRPr="00225D4D">
        <w:t>relasjonar</w:t>
      </w:r>
      <w:proofErr w:type="spellEnd"/>
      <w:r w:rsidRPr="00225D4D">
        <w:t xml:space="preserve">, jf. </w:t>
      </w:r>
      <w:proofErr w:type="spellStart"/>
      <w:r w:rsidRPr="00225D4D">
        <w:t>Prop</w:t>
      </w:r>
      <w:proofErr w:type="spellEnd"/>
      <w:r w:rsidRPr="00225D4D">
        <w:t xml:space="preserve">. 36 S (2023–2024) og </w:t>
      </w:r>
      <w:proofErr w:type="spellStart"/>
      <w:r w:rsidRPr="00225D4D">
        <w:t>Innst</w:t>
      </w:r>
      <w:proofErr w:type="spellEnd"/>
      <w:r w:rsidRPr="00225D4D">
        <w:t>. 259 S (2023–2024).</w:t>
      </w:r>
    </w:p>
    <w:p w14:paraId="29D0EEEC" w14:textId="77777777" w:rsidR="00D60186" w:rsidRPr="00225D4D" w:rsidRDefault="00D60186" w:rsidP="00225D4D">
      <w:r w:rsidRPr="00225D4D">
        <w:t xml:space="preserve">I </w:t>
      </w:r>
      <w:proofErr w:type="spellStart"/>
      <w:r w:rsidRPr="00225D4D">
        <w:t>Prop</w:t>
      </w:r>
      <w:proofErr w:type="spellEnd"/>
      <w:r w:rsidRPr="00225D4D">
        <w:t xml:space="preserve">. 117 L (2024–2025) </w:t>
      </w:r>
      <w:r w:rsidRPr="00225D4D">
        <w:rPr>
          <w:rStyle w:val="kursiv"/>
        </w:rPr>
        <w:t xml:space="preserve">Lov om barn og foreldre (barnelova) </w:t>
      </w:r>
      <w:r w:rsidRPr="00225D4D">
        <w:t xml:space="preserve">er det </w:t>
      </w:r>
      <w:proofErr w:type="spellStart"/>
      <w:r w:rsidRPr="00225D4D">
        <w:t>tydeleggjort</w:t>
      </w:r>
      <w:proofErr w:type="spellEnd"/>
      <w:r w:rsidRPr="00225D4D">
        <w:t xml:space="preserve"> at barn og foreldre sin gjensidige rett til samvær </w:t>
      </w:r>
      <w:proofErr w:type="spellStart"/>
      <w:r w:rsidRPr="00225D4D">
        <w:t>ikkje</w:t>
      </w:r>
      <w:proofErr w:type="spellEnd"/>
      <w:r w:rsidRPr="00225D4D">
        <w:t xml:space="preserve"> er vilkårslaus, og at barn har rett til beskyttelse mot vald og overgrep. Det vil </w:t>
      </w:r>
      <w:proofErr w:type="spellStart"/>
      <w:r w:rsidRPr="00225D4D">
        <w:t>seie</w:t>
      </w:r>
      <w:proofErr w:type="spellEnd"/>
      <w:r w:rsidRPr="00225D4D">
        <w:t xml:space="preserve"> at det </w:t>
      </w:r>
      <w:proofErr w:type="spellStart"/>
      <w:r w:rsidRPr="00225D4D">
        <w:t>ikkje</w:t>
      </w:r>
      <w:proofErr w:type="spellEnd"/>
      <w:r w:rsidRPr="00225D4D">
        <w:t xml:space="preserve"> alltid skal </w:t>
      </w:r>
      <w:proofErr w:type="spellStart"/>
      <w:r w:rsidRPr="00225D4D">
        <w:t>vere</w:t>
      </w:r>
      <w:proofErr w:type="spellEnd"/>
      <w:r w:rsidRPr="00225D4D">
        <w:t xml:space="preserve"> samvær. I proposisjonen er det uttalt at risiko for vald eller overgrep typisk vil </w:t>
      </w:r>
      <w:proofErr w:type="spellStart"/>
      <w:r w:rsidRPr="00225D4D">
        <w:t>vere</w:t>
      </w:r>
      <w:proofErr w:type="spellEnd"/>
      <w:r w:rsidRPr="00225D4D">
        <w:t xml:space="preserve"> </w:t>
      </w:r>
      <w:proofErr w:type="spellStart"/>
      <w:r w:rsidRPr="00225D4D">
        <w:t>situasjonar</w:t>
      </w:r>
      <w:proofErr w:type="spellEnd"/>
      <w:r w:rsidRPr="00225D4D">
        <w:t xml:space="preserve"> der det </w:t>
      </w:r>
      <w:proofErr w:type="spellStart"/>
      <w:r w:rsidRPr="00225D4D">
        <w:t>ikkje</w:t>
      </w:r>
      <w:proofErr w:type="spellEnd"/>
      <w:r w:rsidRPr="00225D4D">
        <w:t xml:space="preserve"> vil </w:t>
      </w:r>
      <w:proofErr w:type="spellStart"/>
      <w:r w:rsidRPr="00225D4D">
        <w:t>vere</w:t>
      </w:r>
      <w:proofErr w:type="spellEnd"/>
      <w:r w:rsidRPr="00225D4D">
        <w:t xml:space="preserve"> til det beste for barnet med samvær. Det kan òg omfatte </w:t>
      </w:r>
      <w:proofErr w:type="spellStart"/>
      <w:r w:rsidRPr="00225D4D">
        <w:t>situasjonar</w:t>
      </w:r>
      <w:proofErr w:type="spellEnd"/>
      <w:r w:rsidRPr="00225D4D">
        <w:t xml:space="preserve"> der barnet er vitne til vald mellom foreldre og vald mot søsken. Samvær skal </w:t>
      </w:r>
      <w:proofErr w:type="spellStart"/>
      <w:r w:rsidRPr="00225D4D">
        <w:t>vere</w:t>
      </w:r>
      <w:proofErr w:type="spellEnd"/>
      <w:r w:rsidRPr="00225D4D">
        <w:t xml:space="preserve"> trygt for barnet, og det må </w:t>
      </w:r>
      <w:proofErr w:type="spellStart"/>
      <w:r w:rsidRPr="00225D4D">
        <w:t>vurderast</w:t>
      </w:r>
      <w:proofErr w:type="spellEnd"/>
      <w:r w:rsidRPr="00225D4D">
        <w:t xml:space="preserve"> konkret om det skal </w:t>
      </w:r>
      <w:proofErr w:type="spellStart"/>
      <w:r w:rsidRPr="00225D4D">
        <w:t>vere</w:t>
      </w:r>
      <w:proofErr w:type="spellEnd"/>
      <w:r w:rsidRPr="00225D4D">
        <w:t xml:space="preserve"> samvær, og i så fall av kva omfang. Det er òg andre </w:t>
      </w:r>
      <w:proofErr w:type="spellStart"/>
      <w:r w:rsidRPr="00225D4D">
        <w:t>endringar</w:t>
      </w:r>
      <w:proofErr w:type="spellEnd"/>
      <w:r w:rsidRPr="00225D4D">
        <w:t xml:space="preserve"> i ny lov som er skal gi barn betre beskyttelse mot vald. Det </w:t>
      </w:r>
      <w:proofErr w:type="spellStart"/>
      <w:r w:rsidRPr="00225D4D">
        <w:t>gjeld</w:t>
      </w:r>
      <w:proofErr w:type="spellEnd"/>
      <w:r w:rsidRPr="00225D4D">
        <w:t xml:space="preserve"> mellom anna føresegna i det </w:t>
      </w:r>
      <w:proofErr w:type="spellStart"/>
      <w:r w:rsidRPr="00225D4D">
        <w:t>innleiande</w:t>
      </w:r>
      <w:proofErr w:type="spellEnd"/>
      <w:r w:rsidRPr="00225D4D">
        <w:t xml:space="preserve"> kapittelet om barn sine </w:t>
      </w:r>
      <w:proofErr w:type="spellStart"/>
      <w:r w:rsidRPr="00225D4D">
        <w:t>rettar</w:t>
      </w:r>
      <w:proofErr w:type="spellEnd"/>
      <w:r w:rsidRPr="00225D4D">
        <w:t xml:space="preserve">, som gir barn rett til omsorg, utvikling og vern mot vald. I tillegg kjem </w:t>
      </w:r>
      <w:proofErr w:type="spellStart"/>
      <w:r w:rsidRPr="00225D4D">
        <w:t>endringar</w:t>
      </w:r>
      <w:proofErr w:type="spellEnd"/>
      <w:r w:rsidRPr="00225D4D">
        <w:t xml:space="preserve"> i </w:t>
      </w:r>
      <w:proofErr w:type="spellStart"/>
      <w:r w:rsidRPr="00225D4D">
        <w:t>reglane</w:t>
      </w:r>
      <w:proofErr w:type="spellEnd"/>
      <w:r w:rsidRPr="00225D4D">
        <w:t xml:space="preserve"> om sakshandsaming for </w:t>
      </w:r>
      <w:proofErr w:type="spellStart"/>
      <w:r w:rsidRPr="00225D4D">
        <w:t>domstolane</w:t>
      </w:r>
      <w:proofErr w:type="spellEnd"/>
      <w:r w:rsidRPr="00225D4D">
        <w:t xml:space="preserve">, som </w:t>
      </w:r>
      <w:proofErr w:type="spellStart"/>
      <w:r w:rsidRPr="00225D4D">
        <w:t>legg</w:t>
      </w:r>
      <w:proofErr w:type="spellEnd"/>
      <w:r w:rsidRPr="00225D4D">
        <w:t xml:space="preserve"> til rette for at saker blir betre opplyste, til dømes gjennom ei ny føresegn om innhenting av dokument </w:t>
      </w:r>
      <w:proofErr w:type="spellStart"/>
      <w:r w:rsidRPr="00225D4D">
        <w:t>frå</w:t>
      </w:r>
      <w:proofErr w:type="spellEnd"/>
      <w:r w:rsidRPr="00225D4D">
        <w:t xml:space="preserve"> politiet og at det er innført </w:t>
      </w:r>
      <w:proofErr w:type="spellStart"/>
      <w:r w:rsidRPr="00225D4D">
        <w:t>ein</w:t>
      </w:r>
      <w:proofErr w:type="spellEnd"/>
      <w:r w:rsidRPr="00225D4D">
        <w:t xml:space="preserve"> frist på seks veker for retten til å ta mellombels avgjerd etter krav </w:t>
      </w:r>
      <w:proofErr w:type="spellStart"/>
      <w:r w:rsidRPr="00225D4D">
        <w:t>frå</w:t>
      </w:r>
      <w:proofErr w:type="spellEnd"/>
      <w:r w:rsidRPr="00225D4D">
        <w:t xml:space="preserve"> </w:t>
      </w:r>
      <w:proofErr w:type="spellStart"/>
      <w:r w:rsidRPr="00225D4D">
        <w:t>ein</w:t>
      </w:r>
      <w:proofErr w:type="spellEnd"/>
      <w:r w:rsidRPr="00225D4D">
        <w:t xml:space="preserve"> part der det er påstand om vald eller </w:t>
      </w:r>
      <w:proofErr w:type="spellStart"/>
      <w:r w:rsidRPr="00225D4D">
        <w:t>annan</w:t>
      </w:r>
      <w:proofErr w:type="spellEnd"/>
      <w:r w:rsidRPr="00225D4D">
        <w:t xml:space="preserve"> risiko. Stortinget vedtok ny barnelov 16. juni.</w:t>
      </w:r>
    </w:p>
    <w:p w14:paraId="4F6A8F87"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461105EF" w14:textId="77777777" w:rsidR="00D60186" w:rsidRPr="00225D4D" w:rsidRDefault="00D60186" w:rsidP="00225D4D">
      <w:pPr>
        <w:pStyle w:val="avsnitt-tittel"/>
      </w:pPr>
      <w:r w:rsidRPr="00225D4D">
        <w:t>Reisekostnader til krisesenter</w:t>
      </w:r>
    </w:p>
    <w:p w14:paraId="161D7E24" w14:textId="77777777" w:rsidR="00D60186" w:rsidRPr="00225D4D" w:rsidRDefault="00D60186" w:rsidP="00225D4D">
      <w:pPr>
        <w:pStyle w:val="avsnitt-undertittel"/>
      </w:pPr>
      <w:r w:rsidRPr="00225D4D">
        <w:t>Vedtak 615, 7. mai 2024</w:t>
      </w:r>
    </w:p>
    <w:p w14:paraId="047CD62A" w14:textId="77777777" w:rsidR="00D60186" w:rsidRPr="00225D4D" w:rsidRDefault="00D60186" w:rsidP="00225D4D">
      <w:pPr>
        <w:pStyle w:val="blokksit"/>
      </w:pPr>
      <w:r w:rsidRPr="00225D4D">
        <w:t>«</w:t>
      </w:r>
      <w:r w:rsidRPr="00225D4D">
        <w:rPr>
          <w:rStyle w:val="kursiv"/>
        </w:rPr>
        <w:t>Stortinget ber regjeringen i forbindelse med revidert nasjonalbudsjett for 2024 utrede og fremme forslag til tilstrekkelige lovhjemler som sikrer at kostnader knyttet til reiser til og fra krisesenter blir dekket.</w:t>
      </w:r>
      <w:r w:rsidRPr="00225D4D">
        <w:t>»</w:t>
      </w:r>
    </w:p>
    <w:p w14:paraId="4430CDBE"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ein</w:t>
      </w:r>
      <w:proofErr w:type="spellEnd"/>
      <w:r w:rsidRPr="00225D4D">
        <w:t xml:space="preserve"> opptrappingsplan mot vald og overgrep mot barn og vald i nære </w:t>
      </w:r>
      <w:proofErr w:type="spellStart"/>
      <w:r w:rsidRPr="00225D4D">
        <w:t>relasjonar</w:t>
      </w:r>
      <w:proofErr w:type="spellEnd"/>
      <w:r w:rsidRPr="00225D4D">
        <w:t xml:space="preserve">, jf. </w:t>
      </w:r>
      <w:proofErr w:type="spellStart"/>
      <w:r w:rsidRPr="00225D4D">
        <w:t>Prop</w:t>
      </w:r>
      <w:proofErr w:type="spellEnd"/>
      <w:r w:rsidRPr="00225D4D">
        <w:t xml:space="preserve">. 36 S (2023–2024) og </w:t>
      </w:r>
      <w:proofErr w:type="spellStart"/>
      <w:r w:rsidRPr="00225D4D">
        <w:t>Innst</w:t>
      </w:r>
      <w:proofErr w:type="spellEnd"/>
      <w:r w:rsidRPr="00225D4D">
        <w:t xml:space="preserve">. 259 S (2023–2024). Kontroll- og konstitusjonskomitéen har hatt </w:t>
      </w:r>
      <w:proofErr w:type="spellStart"/>
      <w:r w:rsidRPr="00225D4D">
        <w:t>følgjande</w:t>
      </w:r>
      <w:proofErr w:type="spellEnd"/>
      <w:r w:rsidRPr="00225D4D">
        <w:t xml:space="preserve"> merknad til saka i innstillinga til Meld. St. 4 (2024–2025):</w:t>
      </w:r>
    </w:p>
    <w:p w14:paraId="1F51CC9D" w14:textId="77777777" w:rsidR="00D60186" w:rsidRPr="00225D4D" w:rsidRDefault="00D60186" w:rsidP="00225D4D">
      <w:pPr>
        <w:pStyle w:val="blokksit"/>
      </w:pPr>
      <w:r w:rsidRPr="00225D4D">
        <w:t>«</w:t>
      </w:r>
      <w:r w:rsidRPr="00225D4D">
        <w:rPr>
          <w:rStyle w:val="kursiv"/>
        </w:rPr>
        <w:t xml:space="preserve">Komiteens flertall, medlemmene fra Arbeiderpartiet, Senterpartiet og Sosialistisk Venstreparti viser til omtalen av vedtaket i Meld. St. 4 (2024–2025). Flertallet mener at regjeringen skal følge opp vedtaket ved å utrede og fremme forslag til tilstrekkelige lovhjemler som sikrer at kostnader knyttet til reiser til og fra krisesenter blir dekket i forbindelse med arbeidet med revidert </w:t>
      </w:r>
      <w:proofErr w:type="spellStart"/>
      <w:r w:rsidRPr="00225D4D">
        <w:rPr>
          <w:rStyle w:val="kursiv"/>
        </w:rPr>
        <w:t>krisesenterlov</w:t>
      </w:r>
      <w:proofErr w:type="spellEnd"/>
      <w:r w:rsidRPr="00225D4D">
        <w:rPr>
          <w:rStyle w:val="kursiv"/>
        </w:rPr>
        <w:t xml:space="preserve"> i løpet av våren 2025. Flertallet mener arbeidet med revidert </w:t>
      </w:r>
      <w:proofErr w:type="spellStart"/>
      <w:r w:rsidRPr="00225D4D">
        <w:rPr>
          <w:rStyle w:val="kursiv"/>
        </w:rPr>
        <w:t>krisesenterlov</w:t>
      </w:r>
      <w:proofErr w:type="spellEnd"/>
      <w:r w:rsidRPr="00225D4D">
        <w:rPr>
          <w:rStyle w:val="kursiv"/>
        </w:rPr>
        <w:t xml:space="preserve"> skal prioriteres i 2025.</w:t>
      </w:r>
      <w:r w:rsidRPr="00225D4D">
        <w:t>»</w:t>
      </w:r>
    </w:p>
    <w:p w14:paraId="20236DAA" w14:textId="77777777" w:rsidR="00D60186" w:rsidRPr="00225D4D" w:rsidRDefault="00D60186" w:rsidP="00225D4D">
      <w:r w:rsidRPr="00225D4D">
        <w:t xml:space="preserve">Arbeidet med krisesenterlova har blitt prioritert i 2025, og regjeringa la 10. april fram </w:t>
      </w:r>
      <w:proofErr w:type="spellStart"/>
      <w:r w:rsidRPr="00225D4D">
        <w:t>Prop</w:t>
      </w:r>
      <w:proofErr w:type="spellEnd"/>
      <w:r w:rsidRPr="00225D4D">
        <w:t xml:space="preserve">. 122 L (2024–2025) </w:t>
      </w:r>
      <w:proofErr w:type="spellStart"/>
      <w:r w:rsidRPr="00225D4D">
        <w:rPr>
          <w:rStyle w:val="kursiv"/>
        </w:rPr>
        <w:t>Endringar</w:t>
      </w:r>
      <w:proofErr w:type="spellEnd"/>
      <w:r w:rsidRPr="00225D4D">
        <w:rPr>
          <w:rStyle w:val="kursiv"/>
        </w:rPr>
        <w:t xml:space="preserve"> i krisesenterlova (</w:t>
      </w:r>
      <w:proofErr w:type="spellStart"/>
      <w:r w:rsidRPr="00225D4D">
        <w:rPr>
          <w:rStyle w:val="kursiv"/>
        </w:rPr>
        <w:t>tydeleggjering</w:t>
      </w:r>
      <w:proofErr w:type="spellEnd"/>
      <w:r w:rsidRPr="00225D4D">
        <w:rPr>
          <w:rStyle w:val="kursiv"/>
        </w:rPr>
        <w:t xml:space="preserve"> av det kommunale ansvaret og grunnlag for behandling av </w:t>
      </w:r>
      <w:proofErr w:type="spellStart"/>
      <w:r w:rsidRPr="00225D4D">
        <w:rPr>
          <w:rStyle w:val="kursiv"/>
        </w:rPr>
        <w:t>personopplysningar</w:t>
      </w:r>
      <w:proofErr w:type="spellEnd"/>
      <w:r w:rsidRPr="00225D4D">
        <w:rPr>
          <w:rStyle w:val="kursiv"/>
        </w:rPr>
        <w:t xml:space="preserve"> m.m.)</w:t>
      </w:r>
      <w:r w:rsidRPr="00225D4D">
        <w:t xml:space="preserve">. Proposisjonen </w:t>
      </w:r>
      <w:proofErr w:type="spellStart"/>
      <w:r w:rsidRPr="00225D4D">
        <w:t>omfattar</w:t>
      </w:r>
      <w:proofErr w:type="spellEnd"/>
      <w:r w:rsidRPr="00225D4D">
        <w:t xml:space="preserve"> </w:t>
      </w:r>
      <w:proofErr w:type="spellStart"/>
      <w:r w:rsidRPr="00225D4D">
        <w:t>ein</w:t>
      </w:r>
      <w:proofErr w:type="spellEnd"/>
      <w:r w:rsidRPr="00225D4D">
        <w:t xml:space="preserve"> meldingsdel der mellom anna </w:t>
      </w:r>
      <w:proofErr w:type="spellStart"/>
      <w:r w:rsidRPr="00225D4D">
        <w:t>utfordringar</w:t>
      </w:r>
      <w:proofErr w:type="spellEnd"/>
      <w:r w:rsidRPr="00225D4D">
        <w:t xml:space="preserve"> med den geografiske </w:t>
      </w:r>
      <w:proofErr w:type="spellStart"/>
      <w:r w:rsidRPr="00225D4D">
        <w:t>tilgjengelegheita</w:t>
      </w:r>
      <w:proofErr w:type="spellEnd"/>
      <w:r w:rsidRPr="00225D4D">
        <w:t xml:space="preserve"> til </w:t>
      </w:r>
      <w:proofErr w:type="spellStart"/>
      <w:r w:rsidRPr="00225D4D">
        <w:t>krisesentertilbodet</w:t>
      </w:r>
      <w:proofErr w:type="spellEnd"/>
      <w:r w:rsidRPr="00225D4D">
        <w:t xml:space="preserve"> blir drøfta. Det er i proposisjonen gjort greie for </w:t>
      </w:r>
      <w:proofErr w:type="spellStart"/>
      <w:r w:rsidRPr="00225D4D">
        <w:t>problemstillingar</w:t>
      </w:r>
      <w:proofErr w:type="spellEnd"/>
      <w:r w:rsidRPr="00225D4D">
        <w:t xml:space="preserve"> som må </w:t>
      </w:r>
      <w:proofErr w:type="spellStart"/>
      <w:r w:rsidRPr="00225D4D">
        <w:t>greiast</w:t>
      </w:r>
      <w:proofErr w:type="spellEnd"/>
      <w:r w:rsidRPr="00225D4D">
        <w:t xml:space="preserve"> ut før </w:t>
      </w:r>
      <w:proofErr w:type="spellStart"/>
      <w:r w:rsidRPr="00225D4D">
        <w:t>eit</w:t>
      </w:r>
      <w:proofErr w:type="spellEnd"/>
      <w:r w:rsidRPr="00225D4D">
        <w:t xml:space="preserve"> forslag til lovendring kan blir </w:t>
      </w:r>
      <w:proofErr w:type="spellStart"/>
      <w:r w:rsidRPr="00225D4D">
        <w:t>høyrt</w:t>
      </w:r>
      <w:proofErr w:type="spellEnd"/>
      <w:r w:rsidRPr="00225D4D">
        <w:t xml:space="preserve">. Oppfølging av oppmodingsvedtaket må i tillegg </w:t>
      </w:r>
      <w:proofErr w:type="spellStart"/>
      <w:r w:rsidRPr="00225D4D">
        <w:t>sjåast</w:t>
      </w:r>
      <w:proofErr w:type="spellEnd"/>
      <w:r w:rsidRPr="00225D4D">
        <w:t xml:space="preserve"> i </w:t>
      </w:r>
      <w:proofErr w:type="spellStart"/>
      <w:r w:rsidRPr="00225D4D">
        <w:t>samanheng</w:t>
      </w:r>
      <w:proofErr w:type="spellEnd"/>
      <w:r w:rsidRPr="00225D4D">
        <w:t xml:space="preserve"> med oppfølging av vedtak 1022 av 11. juni 2022, slik at det </w:t>
      </w:r>
      <w:proofErr w:type="spellStart"/>
      <w:r w:rsidRPr="00225D4D">
        <w:t>ikkje</w:t>
      </w:r>
      <w:proofErr w:type="spellEnd"/>
      <w:r w:rsidRPr="00225D4D">
        <w:t xml:space="preserve"> blir etablert </w:t>
      </w:r>
      <w:proofErr w:type="spellStart"/>
      <w:r w:rsidRPr="00225D4D">
        <w:t>overlappande</w:t>
      </w:r>
      <w:proofErr w:type="spellEnd"/>
      <w:r w:rsidRPr="00225D4D">
        <w:t xml:space="preserve"> </w:t>
      </w:r>
      <w:proofErr w:type="spellStart"/>
      <w:r w:rsidRPr="00225D4D">
        <w:t>løysingar</w:t>
      </w:r>
      <w:proofErr w:type="spellEnd"/>
      <w:r w:rsidRPr="00225D4D">
        <w:t xml:space="preserve"> for å </w:t>
      </w:r>
      <w:proofErr w:type="spellStart"/>
      <w:r w:rsidRPr="00225D4D">
        <w:t>dekkje</w:t>
      </w:r>
      <w:proofErr w:type="spellEnd"/>
      <w:r w:rsidRPr="00225D4D">
        <w:t xml:space="preserve"> kostnader til transport.</w:t>
      </w:r>
    </w:p>
    <w:p w14:paraId="0A32E94E" w14:textId="77777777" w:rsidR="00D60186" w:rsidRPr="00225D4D" w:rsidRDefault="00D60186" w:rsidP="00225D4D">
      <w:r w:rsidRPr="00225D4D">
        <w:t xml:space="preserve">Departementet vil orientere Stortinget om den </w:t>
      </w:r>
      <w:proofErr w:type="spellStart"/>
      <w:r w:rsidRPr="00225D4D">
        <w:t>vidare</w:t>
      </w:r>
      <w:proofErr w:type="spellEnd"/>
      <w:r w:rsidRPr="00225D4D">
        <w:t xml:space="preserve"> oppfølginga av vedtaket på eigna vis.</w:t>
      </w:r>
    </w:p>
    <w:p w14:paraId="5E2D00F1" w14:textId="77777777" w:rsidR="00D60186" w:rsidRPr="00225D4D" w:rsidRDefault="00D60186" w:rsidP="00225D4D">
      <w:pPr>
        <w:pStyle w:val="Overskrift2"/>
      </w:pPr>
      <w:r w:rsidRPr="00225D4D">
        <w:t>Stortingssesjon (2022–2023)</w:t>
      </w:r>
    </w:p>
    <w:p w14:paraId="7F8A12CF" w14:textId="77777777" w:rsidR="00D60186" w:rsidRPr="00225D4D" w:rsidRDefault="00D60186" w:rsidP="00225D4D">
      <w:pPr>
        <w:pStyle w:val="avsnitt-tittel"/>
      </w:pPr>
      <w:r w:rsidRPr="00225D4D">
        <w:t>Meldeplikta barnevernet har til politiet om barn på skjult og sperra adresse</w:t>
      </w:r>
    </w:p>
    <w:p w14:paraId="6F0099AA" w14:textId="77777777" w:rsidR="00D60186" w:rsidRPr="00225D4D" w:rsidRDefault="00D60186" w:rsidP="00225D4D">
      <w:pPr>
        <w:pStyle w:val="avsnitt-undertittel"/>
      </w:pPr>
      <w:r w:rsidRPr="00225D4D">
        <w:t>Vedtak 138, 6. desember 2022</w:t>
      </w:r>
    </w:p>
    <w:p w14:paraId="05140260" w14:textId="77777777" w:rsidR="00D60186" w:rsidRPr="00225D4D" w:rsidRDefault="00D60186" w:rsidP="00225D4D">
      <w:pPr>
        <w:pStyle w:val="blokksit"/>
      </w:pPr>
      <w:r w:rsidRPr="00225D4D">
        <w:t>«</w:t>
      </w:r>
      <w:r w:rsidRPr="00225D4D">
        <w:rPr>
          <w:rStyle w:val="kursiv"/>
        </w:rPr>
        <w:t>Stortinget ber regjeringen sørge for at regelverket om barnevernets meldeplikt til politiet om barn på skjult og sperret adresse klargjøres, og at det sikres nødvendige rutiner for informasjonsutveksling.</w:t>
      </w:r>
      <w:r w:rsidRPr="00225D4D">
        <w:t>»</w:t>
      </w:r>
    </w:p>
    <w:p w14:paraId="6BABDAD7"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å betre </w:t>
      </w:r>
      <w:proofErr w:type="spellStart"/>
      <w:r w:rsidRPr="00225D4D">
        <w:t>førebyggje</w:t>
      </w:r>
      <w:proofErr w:type="spellEnd"/>
      <w:r w:rsidRPr="00225D4D">
        <w:t xml:space="preserve"> og få slutt på </w:t>
      </w:r>
      <w:proofErr w:type="spellStart"/>
      <w:r w:rsidRPr="00225D4D">
        <w:t>partnardrap</w:t>
      </w:r>
      <w:proofErr w:type="spellEnd"/>
      <w:r w:rsidRPr="00225D4D">
        <w:t xml:space="preserve">, jf. </w:t>
      </w:r>
      <w:proofErr w:type="spellStart"/>
      <w:r w:rsidRPr="00225D4D">
        <w:t>Dok</w:t>
      </w:r>
      <w:proofErr w:type="spellEnd"/>
      <w:r w:rsidRPr="00225D4D">
        <w:t xml:space="preserve">. 8:218 S (2021–2022) og </w:t>
      </w:r>
      <w:proofErr w:type="spellStart"/>
      <w:r w:rsidRPr="00225D4D">
        <w:t>Innst</w:t>
      </w:r>
      <w:proofErr w:type="spellEnd"/>
      <w:r w:rsidRPr="00225D4D">
        <w:t>. 64 S (2022–2023).</w:t>
      </w:r>
    </w:p>
    <w:p w14:paraId="3AF74C43" w14:textId="77777777" w:rsidR="00D60186" w:rsidRPr="00225D4D" w:rsidRDefault="00D60186" w:rsidP="00225D4D">
      <w:r w:rsidRPr="00225D4D">
        <w:t xml:space="preserve">Stortinget har ved handsaminga av </w:t>
      </w:r>
      <w:proofErr w:type="spellStart"/>
      <w:r w:rsidRPr="00225D4D">
        <w:t>Prop</w:t>
      </w:r>
      <w:proofErr w:type="spellEnd"/>
      <w:r w:rsidRPr="00225D4D">
        <w:t xml:space="preserve">. 83 L (2024–2025) slutta seg til forslaget </w:t>
      </w:r>
      <w:proofErr w:type="spellStart"/>
      <w:r w:rsidRPr="00225D4D">
        <w:t>frå</w:t>
      </w:r>
      <w:proofErr w:type="spellEnd"/>
      <w:r w:rsidRPr="00225D4D">
        <w:t xml:space="preserve"> departementet om at barnevernstenesta </w:t>
      </w:r>
      <w:proofErr w:type="spellStart"/>
      <w:r w:rsidRPr="00225D4D">
        <w:t>utan</w:t>
      </w:r>
      <w:proofErr w:type="spellEnd"/>
      <w:r w:rsidRPr="00225D4D">
        <w:t xml:space="preserve"> hinder av teieplikt skal gi informasjon til politiet så snart som </w:t>
      </w:r>
      <w:proofErr w:type="spellStart"/>
      <w:r w:rsidRPr="00225D4D">
        <w:t>mogleg</w:t>
      </w:r>
      <w:proofErr w:type="spellEnd"/>
      <w:r w:rsidRPr="00225D4D">
        <w:t xml:space="preserve"> når det blir vurdert, gjort, endra eller oppheva vedtak om skjult eller sperra adresse. Departementet </w:t>
      </w:r>
      <w:proofErr w:type="spellStart"/>
      <w:r w:rsidRPr="00225D4D">
        <w:t>tek</w:t>
      </w:r>
      <w:proofErr w:type="spellEnd"/>
      <w:r w:rsidRPr="00225D4D">
        <w:t xml:space="preserve"> sikte på at lovendringa skal gjelde </w:t>
      </w:r>
      <w:proofErr w:type="spellStart"/>
      <w:r w:rsidRPr="00225D4D">
        <w:t>frå</w:t>
      </w:r>
      <w:proofErr w:type="spellEnd"/>
      <w:r w:rsidRPr="00225D4D">
        <w:t xml:space="preserve"> 1. januar 2026.</w:t>
      </w:r>
    </w:p>
    <w:p w14:paraId="3C357E62"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6B3E397C" w14:textId="77777777" w:rsidR="00D60186" w:rsidRPr="00225D4D" w:rsidRDefault="00D60186" w:rsidP="00225D4D">
      <w:pPr>
        <w:pStyle w:val="avsnitt-tittel"/>
      </w:pPr>
      <w:proofErr w:type="spellStart"/>
      <w:r w:rsidRPr="00225D4D">
        <w:t>Tydeleggjere</w:t>
      </w:r>
      <w:proofErr w:type="spellEnd"/>
      <w:r w:rsidRPr="00225D4D">
        <w:t xml:space="preserve"> ansvaret </w:t>
      </w:r>
      <w:proofErr w:type="spellStart"/>
      <w:r w:rsidRPr="00225D4D">
        <w:t>kommunane</w:t>
      </w:r>
      <w:proofErr w:type="spellEnd"/>
      <w:r w:rsidRPr="00225D4D">
        <w:t xml:space="preserve"> har for </w:t>
      </w:r>
      <w:proofErr w:type="spellStart"/>
      <w:r w:rsidRPr="00225D4D">
        <w:t>krisesentertilbodet</w:t>
      </w:r>
      <w:proofErr w:type="spellEnd"/>
      <w:r w:rsidRPr="00225D4D">
        <w:t xml:space="preserve"> til </w:t>
      </w:r>
      <w:proofErr w:type="gramStart"/>
      <w:r w:rsidRPr="00225D4D">
        <w:t>utsette</w:t>
      </w:r>
      <w:proofErr w:type="gramEnd"/>
      <w:r w:rsidRPr="00225D4D">
        <w:t xml:space="preserve"> grupper</w:t>
      </w:r>
    </w:p>
    <w:p w14:paraId="4D30399D" w14:textId="77777777" w:rsidR="00D60186" w:rsidRPr="00225D4D" w:rsidRDefault="00D60186" w:rsidP="00225D4D">
      <w:pPr>
        <w:pStyle w:val="avsnitt-undertittel"/>
      </w:pPr>
      <w:r w:rsidRPr="00225D4D">
        <w:t>Vedtak 782, 7. juni 2023</w:t>
      </w:r>
    </w:p>
    <w:p w14:paraId="4E1F27B5" w14:textId="77777777" w:rsidR="00D60186" w:rsidRPr="00225D4D" w:rsidRDefault="00D60186" w:rsidP="00225D4D">
      <w:pPr>
        <w:pStyle w:val="blokksit"/>
      </w:pPr>
      <w:r w:rsidRPr="00225D4D">
        <w:t>«</w:t>
      </w:r>
      <w:r w:rsidRPr="00225D4D">
        <w:rPr>
          <w:rStyle w:val="kursiv"/>
        </w:rPr>
        <w:t>Stortinget ber regjeringen fremme forslag om endringer i krisesenterlova, der kommunens ansvar for krisesentertilbudet til utsatte grupper tydeliggjøres.</w:t>
      </w:r>
      <w:r w:rsidRPr="00225D4D">
        <w:t>»</w:t>
      </w:r>
    </w:p>
    <w:p w14:paraId="1C432545"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w:t>
      </w:r>
      <w:proofErr w:type="spellStart"/>
      <w:r w:rsidRPr="00225D4D">
        <w:t>krisesentertilbodet</w:t>
      </w:r>
      <w:proofErr w:type="spellEnd"/>
      <w:r w:rsidRPr="00225D4D">
        <w:t xml:space="preserve"> for kvinner i aktiv rus, jf. </w:t>
      </w:r>
      <w:proofErr w:type="spellStart"/>
      <w:r w:rsidRPr="00225D4D">
        <w:t>Dok</w:t>
      </w:r>
      <w:proofErr w:type="spellEnd"/>
      <w:r w:rsidRPr="00225D4D">
        <w:t xml:space="preserve">. 8:168 S (2022–2023) og </w:t>
      </w:r>
      <w:proofErr w:type="spellStart"/>
      <w:r w:rsidRPr="00225D4D">
        <w:t>Innst</w:t>
      </w:r>
      <w:proofErr w:type="spellEnd"/>
      <w:r w:rsidRPr="00225D4D">
        <w:t>. 474 S (2022–2023).</w:t>
      </w:r>
    </w:p>
    <w:p w14:paraId="56F98BBA" w14:textId="77777777" w:rsidR="00D60186" w:rsidRPr="00225D4D" w:rsidRDefault="00D60186" w:rsidP="00225D4D">
      <w:r w:rsidRPr="00225D4D">
        <w:t xml:space="preserve">Den 16. juni 2025 vedtok Stortinget </w:t>
      </w:r>
      <w:proofErr w:type="spellStart"/>
      <w:r w:rsidRPr="00225D4D">
        <w:t>endringar</w:t>
      </w:r>
      <w:proofErr w:type="spellEnd"/>
      <w:r w:rsidRPr="00225D4D">
        <w:t xml:space="preserve"> i krisesenterlova, jf. </w:t>
      </w:r>
      <w:proofErr w:type="spellStart"/>
      <w:r w:rsidRPr="00225D4D">
        <w:t>Prop</w:t>
      </w:r>
      <w:proofErr w:type="spellEnd"/>
      <w:r w:rsidRPr="00225D4D">
        <w:t xml:space="preserve">. 122 L (2024–2025) </w:t>
      </w:r>
      <w:proofErr w:type="spellStart"/>
      <w:r w:rsidRPr="00225D4D">
        <w:rPr>
          <w:rStyle w:val="kursiv"/>
        </w:rPr>
        <w:t>Endringar</w:t>
      </w:r>
      <w:proofErr w:type="spellEnd"/>
      <w:r w:rsidRPr="00225D4D">
        <w:rPr>
          <w:rStyle w:val="kursiv"/>
        </w:rPr>
        <w:t xml:space="preserve"> i krisesenterlova (</w:t>
      </w:r>
      <w:proofErr w:type="spellStart"/>
      <w:r w:rsidRPr="00225D4D">
        <w:rPr>
          <w:rStyle w:val="kursiv"/>
        </w:rPr>
        <w:t>tydeleggjering</w:t>
      </w:r>
      <w:proofErr w:type="spellEnd"/>
      <w:r w:rsidRPr="00225D4D">
        <w:rPr>
          <w:rStyle w:val="kursiv"/>
        </w:rPr>
        <w:t xml:space="preserve"> av det kommunale ansvaret og grunnlag for behandling av </w:t>
      </w:r>
      <w:proofErr w:type="spellStart"/>
      <w:r w:rsidRPr="00225D4D">
        <w:rPr>
          <w:rStyle w:val="kursiv"/>
        </w:rPr>
        <w:t>personopplysningar</w:t>
      </w:r>
      <w:proofErr w:type="spellEnd"/>
      <w:r w:rsidRPr="00225D4D">
        <w:rPr>
          <w:rStyle w:val="kursiv"/>
        </w:rPr>
        <w:t xml:space="preserve"> m.m.)</w:t>
      </w:r>
      <w:r w:rsidRPr="00225D4D">
        <w:t xml:space="preserve"> og </w:t>
      </w:r>
      <w:proofErr w:type="spellStart"/>
      <w:r w:rsidRPr="00225D4D">
        <w:t>Innst</w:t>
      </w:r>
      <w:proofErr w:type="spellEnd"/>
      <w:r w:rsidRPr="00225D4D">
        <w:t>. 439 L (2024–2025).</w:t>
      </w:r>
    </w:p>
    <w:p w14:paraId="3E72393C" w14:textId="77777777" w:rsidR="00D60186" w:rsidRPr="00225D4D" w:rsidRDefault="00D60186" w:rsidP="00225D4D">
      <w:r w:rsidRPr="00225D4D">
        <w:t xml:space="preserve">Endringa i krisesenterlova § 3 </w:t>
      </w:r>
      <w:proofErr w:type="spellStart"/>
      <w:r w:rsidRPr="00225D4D">
        <w:t>inneber</w:t>
      </w:r>
      <w:proofErr w:type="spellEnd"/>
      <w:r w:rsidRPr="00225D4D">
        <w:t xml:space="preserve"> mellom anna at det blir </w:t>
      </w:r>
      <w:proofErr w:type="spellStart"/>
      <w:r w:rsidRPr="00225D4D">
        <w:t>tydeleggjort</w:t>
      </w:r>
      <w:proofErr w:type="spellEnd"/>
      <w:r w:rsidRPr="00225D4D">
        <w:t xml:space="preserve"> at kommunen har plikt til å </w:t>
      </w:r>
      <w:proofErr w:type="spellStart"/>
      <w:r w:rsidRPr="00225D4D">
        <w:t>sørgje</w:t>
      </w:r>
      <w:proofErr w:type="spellEnd"/>
      <w:r w:rsidRPr="00225D4D">
        <w:t xml:space="preserve"> for likeverdige alternative </w:t>
      </w:r>
      <w:proofErr w:type="spellStart"/>
      <w:r w:rsidRPr="00225D4D">
        <w:t>krisesentertilbod</w:t>
      </w:r>
      <w:proofErr w:type="spellEnd"/>
      <w:r w:rsidRPr="00225D4D">
        <w:t xml:space="preserve"> for </w:t>
      </w:r>
      <w:proofErr w:type="spellStart"/>
      <w:r w:rsidRPr="00225D4D">
        <w:t>brukarar</w:t>
      </w:r>
      <w:proofErr w:type="spellEnd"/>
      <w:r w:rsidRPr="00225D4D">
        <w:t xml:space="preserve"> som </w:t>
      </w:r>
      <w:proofErr w:type="spellStart"/>
      <w:r w:rsidRPr="00225D4D">
        <w:t>ikkje</w:t>
      </w:r>
      <w:proofErr w:type="spellEnd"/>
      <w:r w:rsidRPr="00225D4D">
        <w:t xml:space="preserve"> kan nytte det </w:t>
      </w:r>
      <w:proofErr w:type="spellStart"/>
      <w:r w:rsidRPr="00225D4D">
        <w:t>vanlege</w:t>
      </w:r>
      <w:proofErr w:type="spellEnd"/>
      <w:r w:rsidRPr="00225D4D">
        <w:t xml:space="preserve"> </w:t>
      </w:r>
      <w:proofErr w:type="spellStart"/>
      <w:r w:rsidRPr="00225D4D">
        <w:t>butilbodet</w:t>
      </w:r>
      <w:proofErr w:type="spellEnd"/>
      <w:r w:rsidRPr="00225D4D">
        <w:t xml:space="preserve"> ved krisesenteret fordi tilrettelegging </w:t>
      </w:r>
      <w:proofErr w:type="spellStart"/>
      <w:r w:rsidRPr="00225D4D">
        <w:t>ikkje</w:t>
      </w:r>
      <w:proofErr w:type="spellEnd"/>
      <w:r w:rsidRPr="00225D4D">
        <w:t xml:space="preserve"> er </w:t>
      </w:r>
      <w:proofErr w:type="spellStart"/>
      <w:r w:rsidRPr="00225D4D">
        <w:t>mogleg</w:t>
      </w:r>
      <w:proofErr w:type="spellEnd"/>
      <w:r w:rsidRPr="00225D4D">
        <w:t xml:space="preserve">. Dette vil omfatte </w:t>
      </w:r>
      <w:proofErr w:type="spellStart"/>
      <w:r w:rsidRPr="00225D4D">
        <w:t>brukarar</w:t>
      </w:r>
      <w:proofErr w:type="spellEnd"/>
      <w:r w:rsidRPr="00225D4D">
        <w:t xml:space="preserve"> som på grunn av eigen eller andre sin tryggleik, individuelle behov eller av omsyn til andre </w:t>
      </w:r>
      <w:proofErr w:type="spellStart"/>
      <w:r w:rsidRPr="00225D4D">
        <w:t>brukarar</w:t>
      </w:r>
      <w:proofErr w:type="spellEnd"/>
      <w:r w:rsidRPr="00225D4D">
        <w:t xml:space="preserve"> </w:t>
      </w:r>
      <w:proofErr w:type="spellStart"/>
      <w:r w:rsidRPr="00225D4D">
        <w:t>ikkje</w:t>
      </w:r>
      <w:proofErr w:type="spellEnd"/>
      <w:r w:rsidRPr="00225D4D">
        <w:t xml:space="preserve"> kan </w:t>
      </w:r>
      <w:proofErr w:type="spellStart"/>
      <w:r w:rsidRPr="00225D4D">
        <w:t>vere</w:t>
      </w:r>
      <w:proofErr w:type="spellEnd"/>
      <w:r w:rsidRPr="00225D4D">
        <w:t xml:space="preserve"> på krisesenter. Lovendringa tek til å gjelde </w:t>
      </w:r>
      <w:proofErr w:type="spellStart"/>
      <w:r w:rsidRPr="00225D4D">
        <w:t>frå</w:t>
      </w:r>
      <w:proofErr w:type="spellEnd"/>
      <w:r w:rsidRPr="00225D4D">
        <w:t xml:space="preserve"> 1. januar 2026.</w:t>
      </w:r>
    </w:p>
    <w:p w14:paraId="3F0A8465"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1185E91E" w14:textId="77777777" w:rsidR="00D60186" w:rsidRPr="00225D4D" w:rsidRDefault="00D60186" w:rsidP="00225D4D">
      <w:pPr>
        <w:pStyle w:val="avsnitt-tittel"/>
      </w:pPr>
      <w:proofErr w:type="spellStart"/>
      <w:r w:rsidRPr="00225D4D">
        <w:t>Krisesentertilbodet</w:t>
      </w:r>
      <w:proofErr w:type="spellEnd"/>
      <w:r w:rsidRPr="00225D4D">
        <w:t xml:space="preserve"> til </w:t>
      </w:r>
      <w:proofErr w:type="gramStart"/>
      <w:r w:rsidRPr="00225D4D">
        <w:t>utsette</w:t>
      </w:r>
      <w:proofErr w:type="gramEnd"/>
      <w:r w:rsidRPr="00225D4D">
        <w:t xml:space="preserve"> grupper – oppdatere </w:t>
      </w:r>
      <w:proofErr w:type="spellStart"/>
      <w:r w:rsidRPr="00225D4D">
        <w:t>rettleiingar</w:t>
      </w:r>
      <w:proofErr w:type="spellEnd"/>
    </w:p>
    <w:p w14:paraId="594CCFE1" w14:textId="77777777" w:rsidR="00D60186" w:rsidRPr="00225D4D" w:rsidRDefault="00D60186" w:rsidP="00225D4D">
      <w:pPr>
        <w:pStyle w:val="avsnitt-undertittel"/>
      </w:pPr>
      <w:r w:rsidRPr="00225D4D">
        <w:t>Vedtak 783, 7. juni 2023</w:t>
      </w:r>
    </w:p>
    <w:p w14:paraId="72CFDC7A" w14:textId="77777777" w:rsidR="00D60186" w:rsidRPr="00225D4D" w:rsidRDefault="00D60186" w:rsidP="00225D4D">
      <w:pPr>
        <w:pStyle w:val="blokksit"/>
      </w:pPr>
      <w:r w:rsidRPr="00225D4D">
        <w:t>«</w:t>
      </w:r>
      <w:r w:rsidRPr="00225D4D">
        <w:rPr>
          <w:rStyle w:val="kursiv"/>
        </w:rPr>
        <w:t>Stortinget ber regjeringen oppdatere veilederen til krisesenterlova slik at den tydeligere omhandler krisesentertilbudet til utsatte grupper. Dette arbeidet forutsettes igangsatt straks endringer i krisesenterlova er vedtatt.</w:t>
      </w:r>
      <w:r w:rsidRPr="00225D4D">
        <w:t>»</w:t>
      </w:r>
    </w:p>
    <w:p w14:paraId="2B4A2A2F"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w:t>
      </w:r>
      <w:proofErr w:type="spellStart"/>
      <w:r w:rsidRPr="00225D4D">
        <w:t>krisesentertilbodet</w:t>
      </w:r>
      <w:proofErr w:type="spellEnd"/>
      <w:r w:rsidRPr="00225D4D">
        <w:t xml:space="preserve"> for kvinner i aktiv rus, jf. </w:t>
      </w:r>
      <w:proofErr w:type="spellStart"/>
      <w:r w:rsidRPr="00225D4D">
        <w:t>Dok</w:t>
      </w:r>
      <w:proofErr w:type="spellEnd"/>
      <w:r w:rsidRPr="00225D4D">
        <w:t xml:space="preserve">. 8:168 S (2022–2023) og </w:t>
      </w:r>
      <w:proofErr w:type="spellStart"/>
      <w:r w:rsidRPr="00225D4D">
        <w:t>Innst</w:t>
      </w:r>
      <w:proofErr w:type="spellEnd"/>
      <w:r w:rsidRPr="00225D4D">
        <w:t>. 474 S (2022–2023).</w:t>
      </w:r>
    </w:p>
    <w:p w14:paraId="57411C46" w14:textId="77777777" w:rsidR="00D60186" w:rsidRPr="00225D4D" w:rsidRDefault="00D60186" w:rsidP="00225D4D">
      <w:r w:rsidRPr="00225D4D">
        <w:t xml:space="preserve">Departementet viser til </w:t>
      </w:r>
      <w:proofErr w:type="spellStart"/>
      <w:r w:rsidRPr="00225D4D">
        <w:t>Prop</w:t>
      </w:r>
      <w:proofErr w:type="spellEnd"/>
      <w:r w:rsidRPr="00225D4D">
        <w:t xml:space="preserve">. 122 L (2024–2025) </w:t>
      </w:r>
      <w:proofErr w:type="spellStart"/>
      <w:r w:rsidRPr="00225D4D">
        <w:rPr>
          <w:rStyle w:val="kursiv"/>
        </w:rPr>
        <w:t>Endringar</w:t>
      </w:r>
      <w:proofErr w:type="spellEnd"/>
      <w:r w:rsidRPr="00225D4D">
        <w:rPr>
          <w:rStyle w:val="kursiv"/>
        </w:rPr>
        <w:t xml:space="preserve"> i krisesenterlova (</w:t>
      </w:r>
      <w:proofErr w:type="spellStart"/>
      <w:r w:rsidRPr="00225D4D">
        <w:rPr>
          <w:rStyle w:val="kursiv"/>
        </w:rPr>
        <w:t>tydeleggjering</w:t>
      </w:r>
      <w:proofErr w:type="spellEnd"/>
      <w:r w:rsidRPr="00225D4D">
        <w:rPr>
          <w:rStyle w:val="kursiv"/>
        </w:rPr>
        <w:t xml:space="preserve"> av det kommunale ansvaret og grunnlag for behandling av </w:t>
      </w:r>
      <w:proofErr w:type="spellStart"/>
      <w:r w:rsidRPr="00225D4D">
        <w:rPr>
          <w:rStyle w:val="kursiv"/>
        </w:rPr>
        <w:t>personopplysningar</w:t>
      </w:r>
      <w:proofErr w:type="spellEnd"/>
      <w:r w:rsidRPr="00225D4D">
        <w:rPr>
          <w:rStyle w:val="kursiv"/>
        </w:rPr>
        <w:t xml:space="preserve"> m.m.)</w:t>
      </w:r>
      <w:r w:rsidRPr="00225D4D">
        <w:t xml:space="preserve">. Det kjem fram av meldingsdelen at aktuelle </w:t>
      </w:r>
      <w:proofErr w:type="spellStart"/>
      <w:r w:rsidRPr="00225D4D">
        <w:t>rettleiingar</w:t>
      </w:r>
      <w:proofErr w:type="spellEnd"/>
      <w:r w:rsidRPr="00225D4D">
        <w:t xml:space="preserve"> skal </w:t>
      </w:r>
      <w:proofErr w:type="spellStart"/>
      <w:r w:rsidRPr="00225D4D">
        <w:t>oppdaterast</w:t>
      </w:r>
      <w:proofErr w:type="spellEnd"/>
      <w:r w:rsidRPr="00225D4D">
        <w:t xml:space="preserve">. Departementet har gitt </w:t>
      </w:r>
      <w:proofErr w:type="spellStart"/>
      <w:r w:rsidRPr="00225D4D">
        <w:t>Bufdir</w:t>
      </w:r>
      <w:proofErr w:type="spellEnd"/>
      <w:r w:rsidRPr="00225D4D">
        <w:t xml:space="preserve"> i oppdrag å oppdatere </w:t>
      </w:r>
      <w:r w:rsidRPr="00225D4D">
        <w:rPr>
          <w:rStyle w:val="kursiv"/>
        </w:rPr>
        <w:t>Veileder til krisesenterloven</w:t>
      </w:r>
      <w:r w:rsidRPr="00225D4D">
        <w:t xml:space="preserve"> før </w:t>
      </w:r>
      <w:proofErr w:type="spellStart"/>
      <w:r w:rsidRPr="00225D4D">
        <w:t>lovendringane</w:t>
      </w:r>
      <w:proofErr w:type="spellEnd"/>
      <w:r w:rsidRPr="00225D4D">
        <w:t xml:space="preserve"> tek til å gjelde </w:t>
      </w:r>
      <w:proofErr w:type="spellStart"/>
      <w:r w:rsidRPr="00225D4D">
        <w:t>frå</w:t>
      </w:r>
      <w:proofErr w:type="spellEnd"/>
      <w:r w:rsidRPr="00225D4D">
        <w:t xml:space="preserve"> 1. januar 2026. Rettleiinga vil </w:t>
      </w:r>
      <w:proofErr w:type="spellStart"/>
      <w:r w:rsidRPr="00225D4D">
        <w:t>tydeleg</w:t>
      </w:r>
      <w:proofErr w:type="spellEnd"/>
      <w:r w:rsidRPr="00225D4D">
        <w:t xml:space="preserve"> omhandle </w:t>
      </w:r>
      <w:proofErr w:type="spellStart"/>
      <w:r w:rsidRPr="00225D4D">
        <w:t>krisesentertilbodet</w:t>
      </w:r>
      <w:proofErr w:type="spellEnd"/>
      <w:r w:rsidRPr="00225D4D">
        <w:t xml:space="preserve"> til </w:t>
      </w:r>
      <w:proofErr w:type="gramStart"/>
      <w:r w:rsidRPr="00225D4D">
        <w:t>utsette</w:t>
      </w:r>
      <w:proofErr w:type="gramEnd"/>
      <w:r w:rsidRPr="00225D4D">
        <w:t xml:space="preserve"> grupper og kva ansvar kommunen har når det </w:t>
      </w:r>
      <w:proofErr w:type="spellStart"/>
      <w:r w:rsidRPr="00225D4D">
        <w:t>gjeld</w:t>
      </w:r>
      <w:proofErr w:type="spellEnd"/>
      <w:r w:rsidRPr="00225D4D">
        <w:t xml:space="preserve"> å </w:t>
      </w:r>
      <w:proofErr w:type="spellStart"/>
      <w:r w:rsidRPr="00225D4D">
        <w:t>leggje</w:t>
      </w:r>
      <w:proofErr w:type="spellEnd"/>
      <w:r w:rsidRPr="00225D4D">
        <w:t xml:space="preserve"> til rette for </w:t>
      </w:r>
      <w:proofErr w:type="spellStart"/>
      <w:r w:rsidRPr="00225D4D">
        <w:t>eit</w:t>
      </w:r>
      <w:proofErr w:type="spellEnd"/>
      <w:r w:rsidRPr="00225D4D">
        <w:t xml:space="preserve"> likeverdig </w:t>
      </w:r>
      <w:proofErr w:type="spellStart"/>
      <w:r w:rsidRPr="00225D4D">
        <w:t>tilbod</w:t>
      </w:r>
      <w:proofErr w:type="spellEnd"/>
      <w:r w:rsidRPr="00225D4D">
        <w:t xml:space="preserve"> til </w:t>
      </w:r>
      <w:proofErr w:type="spellStart"/>
      <w:r w:rsidRPr="00225D4D">
        <w:t>særleg</w:t>
      </w:r>
      <w:proofErr w:type="spellEnd"/>
      <w:r w:rsidRPr="00225D4D">
        <w:t xml:space="preserve"> utsette grupper.</w:t>
      </w:r>
    </w:p>
    <w:p w14:paraId="77E6830A"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613E2020" w14:textId="77777777" w:rsidR="00D60186" w:rsidRPr="00225D4D" w:rsidRDefault="00D60186" w:rsidP="00225D4D">
      <w:pPr>
        <w:pStyle w:val="Overskrift2"/>
      </w:pPr>
      <w:r w:rsidRPr="00225D4D">
        <w:t>Stortingssesjon (2021–2022)</w:t>
      </w:r>
    </w:p>
    <w:p w14:paraId="27635174" w14:textId="77777777" w:rsidR="00D60186" w:rsidRPr="00225D4D" w:rsidRDefault="00D60186" w:rsidP="00225D4D">
      <w:pPr>
        <w:pStyle w:val="avsnitt-tittel"/>
      </w:pPr>
      <w:proofErr w:type="spellStart"/>
      <w:r w:rsidRPr="00225D4D">
        <w:t>Offentleg</w:t>
      </w:r>
      <w:proofErr w:type="spellEnd"/>
      <w:r w:rsidRPr="00225D4D">
        <w:t xml:space="preserve"> plikt til å tilby </w:t>
      </w:r>
      <w:proofErr w:type="spellStart"/>
      <w:r w:rsidRPr="00225D4D">
        <w:t>tverrfagleg</w:t>
      </w:r>
      <w:proofErr w:type="spellEnd"/>
      <w:r w:rsidRPr="00225D4D">
        <w:t xml:space="preserve"> helsekartlegging</w:t>
      </w:r>
    </w:p>
    <w:p w14:paraId="2838A336" w14:textId="77777777" w:rsidR="00D60186" w:rsidRPr="00225D4D" w:rsidRDefault="00D60186" w:rsidP="00225D4D">
      <w:pPr>
        <w:pStyle w:val="avsnitt-undertittel"/>
      </w:pPr>
      <w:r w:rsidRPr="00225D4D">
        <w:t>Vedtak 404, 3. mars 2022</w:t>
      </w:r>
    </w:p>
    <w:p w14:paraId="1FDA20D1" w14:textId="77777777" w:rsidR="00D60186" w:rsidRPr="00225D4D" w:rsidRDefault="00D60186" w:rsidP="00225D4D">
      <w:pPr>
        <w:pStyle w:val="blokksit"/>
      </w:pPr>
      <w:r w:rsidRPr="00225D4D">
        <w:t>«</w:t>
      </w:r>
      <w:r w:rsidRPr="00225D4D">
        <w:rPr>
          <w:rStyle w:val="kursiv"/>
        </w:rPr>
        <w:t>Stortinget ber regjeringen utrede at det offentlige skal ha en plikt til å tilby tverrfaglig helsekartlegging når kommunen ber om dette, og raskt komme tilbake til Stortinget på egnet vis.</w:t>
      </w:r>
      <w:r w:rsidRPr="00225D4D">
        <w:t>»</w:t>
      </w:r>
    </w:p>
    <w:p w14:paraId="0E29AF5F"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222 L (2020–2021) </w:t>
      </w:r>
      <w:r w:rsidRPr="00225D4D">
        <w:rPr>
          <w:rStyle w:val="kursiv"/>
        </w:rPr>
        <w:t>Endringer i barnevernloven mv. (tverrfaglig helsekartlegging)</w:t>
      </w:r>
      <w:r w:rsidRPr="00225D4D">
        <w:t xml:space="preserve">, jf. </w:t>
      </w:r>
      <w:proofErr w:type="spellStart"/>
      <w:r w:rsidRPr="00225D4D">
        <w:t>Innst</w:t>
      </w:r>
      <w:proofErr w:type="spellEnd"/>
      <w:r w:rsidRPr="00225D4D">
        <w:t>. 166 L (2021–2022).</w:t>
      </w:r>
    </w:p>
    <w:p w14:paraId="703980E3" w14:textId="77777777" w:rsidR="00D60186" w:rsidRPr="00225D4D" w:rsidRDefault="00D60186" w:rsidP="00225D4D">
      <w:r w:rsidRPr="00225D4D">
        <w:t xml:space="preserve">I regjeringsstrategien </w:t>
      </w:r>
      <w:r w:rsidRPr="00225D4D">
        <w:rPr>
          <w:rStyle w:val="kursiv"/>
        </w:rPr>
        <w:t>Vårt felles ansvar – ny retning for barnevernets institusjonstilbud</w:t>
      </w:r>
      <w:r w:rsidRPr="00225D4D">
        <w:t xml:space="preserve"> og i omtale av saka i </w:t>
      </w:r>
      <w:proofErr w:type="spellStart"/>
      <w:r w:rsidRPr="00225D4D">
        <w:t>Prop</w:t>
      </w:r>
      <w:proofErr w:type="spellEnd"/>
      <w:r w:rsidRPr="00225D4D">
        <w:t xml:space="preserve">. 83 L (2024–2025) </w:t>
      </w:r>
      <w:r w:rsidRPr="00225D4D">
        <w:rPr>
          <w:rStyle w:val="kursiv"/>
        </w:rPr>
        <w:t>Endringer i barnevernsloven mv. (kvalitetsløftet i barnevernet)</w:t>
      </w:r>
      <w:r w:rsidRPr="00225D4D">
        <w:t xml:space="preserve"> går det fram at regjeringa arbeider for å betre rette inn </w:t>
      </w:r>
      <w:proofErr w:type="spellStart"/>
      <w:r w:rsidRPr="00225D4D">
        <w:t>tverrfagleg</w:t>
      </w:r>
      <w:proofErr w:type="spellEnd"/>
      <w:r w:rsidRPr="00225D4D">
        <w:t xml:space="preserve"> helsekartlegging, og at det blir planlagt for å overføre ansvar </w:t>
      </w:r>
      <w:proofErr w:type="spellStart"/>
      <w:r w:rsidRPr="00225D4D">
        <w:t>frå</w:t>
      </w:r>
      <w:proofErr w:type="spellEnd"/>
      <w:r w:rsidRPr="00225D4D">
        <w:t xml:space="preserve"> </w:t>
      </w:r>
      <w:proofErr w:type="spellStart"/>
      <w:r w:rsidRPr="00225D4D">
        <w:t>Bufetat</w:t>
      </w:r>
      <w:proofErr w:type="spellEnd"/>
      <w:r w:rsidRPr="00225D4D">
        <w:t xml:space="preserve"> til helsesektoren. Det står </w:t>
      </w:r>
      <w:proofErr w:type="spellStart"/>
      <w:r w:rsidRPr="00225D4D">
        <w:t>vidare</w:t>
      </w:r>
      <w:proofErr w:type="spellEnd"/>
      <w:r w:rsidRPr="00225D4D">
        <w:t xml:space="preserve"> at Barne- og familiedepartementet, i samarbeid med Helse- og omsorgsdepartementet, vil vurdere behovet for </w:t>
      </w:r>
      <w:proofErr w:type="spellStart"/>
      <w:r w:rsidRPr="00225D4D">
        <w:t>endringar</w:t>
      </w:r>
      <w:proofErr w:type="spellEnd"/>
      <w:r w:rsidRPr="00225D4D">
        <w:t xml:space="preserve"> i barnevernslova og eventuell forankring i helse- og omsorgslovgivinga, som </w:t>
      </w:r>
      <w:proofErr w:type="spellStart"/>
      <w:r w:rsidRPr="00225D4D">
        <w:t>følgje</w:t>
      </w:r>
      <w:proofErr w:type="spellEnd"/>
      <w:r w:rsidRPr="00225D4D">
        <w:t xml:space="preserve"> av forslag til ny måte å innrette </w:t>
      </w:r>
      <w:proofErr w:type="spellStart"/>
      <w:r w:rsidRPr="00225D4D">
        <w:t>tverrfagleg</w:t>
      </w:r>
      <w:proofErr w:type="spellEnd"/>
      <w:r w:rsidRPr="00225D4D">
        <w:t xml:space="preserve"> helsekartlegging på, jf. </w:t>
      </w:r>
      <w:proofErr w:type="spellStart"/>
      <w:r w:rsidRPr="00225D4D">
        <w:t>Prop</w:t>
      </w:r>
      <w:proofErr w:type="spellEnd"/>
      <w:r w:rsidRPr="00225D4D">
        <w:t xml:space="preserve">. 222 L (2020–2021). </w:t>
      </w:r>
      <w:proofErr w:type="spellStart"/>
      <w:r w:rsidRPr="00225D4D">
        <w:t>Konsekvensane</w:t>
      </w:r>
      <w:proofErr w:type="spellEnd"/>
      <w:r w:rsidRPr="00225D4D">
        <w:t xml:space="preserve"> av overføring skal </w:t>
      </w:r>
      <w:proofErr w:type="spellStart"/>
      <w:r w:rsidRPr="00225D4D">
        <w:t>greiast</w:t>
      </w:r>
      <w:proofErr w:type="spellEnd"/>
      <w:r w:rsidRPr="00225D4D">
        <w:t xml:space="preserve"> ut, og </w:t>
      </w:r>
      <w:proofErr w:type="spellStart"/>
      <w:r w:rsidRPr="00225D4D">
        <w:t>føremålet</w:t>
      </w:r>
      <w:proofErr w:type="spellEnd"/>
      <w:r w:rsidRPr="00225D4D">
        <w:t xml:space="preserve"> skal </w:t>
      </w:r>
      <w:proofErr w:type="spellStart"/>
      <w:r w:rsidRPr="00225D4D">
        <w:t>endrast</w:t>
      </w:r>
      <w:proofErr w:type="spellEnd"/>
      <w:r w:rsidRPr="00225D4D">
        <w:t xml:space="preserve"> </w:t>
      </w:r>
      <w:proofErr w:type="spellStart"/>
      <w:r w:rsidRPr="00225D4D">
        <w:t>frå</w:t>
      </w:r>
      <w:proofErr w:type="spellEnd"/>
      <w:r w:rsidRPr="00225D4D">
        <w:t xml:space="preserve"> sakkunnig oppdrag til helsehjelp.</w:t>
      </w:r>
    </w:p>
    <w:p w14:paraId="69127933"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04C099BC" w14:textId="77777777" w:rsidR="00D60186" w:rsidRPr="00225D4D" w:rsidRDefault="00D60186" w:rsidP="00225D4D">
      <w:pPr>
        <w:pStyle w:val="avsnitt-tittel"/>
      </w:pPr>
      <w:proofErr w:type="spellStart"/>
      <w:r w:rsidRPr="00225D4D">
        <w:t>Krisesentertilbod</w:t>
      </w:r>
      <w:proofErr w:type="spellEnd"/>
      <w:r w:rsidRPr="00225D4D">
        <w:t xml:space="preserve"> til den samiske urbefolkninga</w:t>
      </w:r>
    </w:p>
    <w:p w14:paraId="6BD66C9A" w14:textId="77777777" w:rsidR="00D60186" w:rsidRPr="00225D4D" w:rsidRDefault="00D60186" w:rsidP="00225D4D">
      <w:pPr>
        <w:pStyle w:val="avsnitt-undertittel"/>
      </w:pPr>
      <w:r w:rsidRPr="00225D4D">
        <w:t>Vedtak 592, 30. mai 2022</w:t>
      </w:r>
    </w:p>
    <w:p w14:paraId="1C114FB3" w14:textId="77777777" w:rsidR="00D60186" w:rsidRPr="00225D4D" w:rsidRDefault="00D60186" w:rsidP="00225D4D">
      <w:pPr>
        <w:pStyle w:val="blokksit"/>
      </w:pPr>
      <w:r w:rsidRPr="00225D4D">
        <w:t>«</w:t>
      </w:r>
      <w:r w:rsidRPr="00225D4D">
        <w:rPr>
          <w:rStyle w:val="kursiv"/>
        </w:rPr>
        <w:t>Stortinget ber regjeringen se til at krisesentertilbudet til den samiske urbefolkningen bedres, og orientere Stortinget på egnet vis.</w:t>
      </w:r>
      <w:r w:rsidRPr="00225D4D">
        <w:t>»</w:t>
      </w:r>
    </w:p>
    <w:p w14:paraId="5F2B5453"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w:t>
      </w:r>
      <w:proofErr w:type="spellStart"/>
      <w:r w:rsidRPr="00225D4D">
        <w:t>eit</w:t>
      </w:r>
      <w:proofErr w:type="spellEnd"/>
      <w:r w:rsidRPr="00225D4D">
        <w:t xml:space="preserve"> styrkt, likeverdig, </w:t>
      </w:r>
      <w:proofErr w:type="spellStart"/>
      <w:r w:rsidRPr="00225D4D">
        <w:t>heilårsope</w:t>
      </w:r>
      <w:proofErr w:type="spellEnd"/>
      <w:r w:rsidRPr="00225D4D">
        <w:t xml:space="preserve"> og døgnbemanna </w:t>
      </w:r>
      <w:proofErr w:type="spellStart"/>
      <w:r w:rsidRPr="00225D4D">
        <w:t>krisesentertilbod</w:t>
      </w:r>
      <w:proofErr w:type="spellEnd"/>
      <w:r w:rsidRPr="00225D4D">
        <w:t xml:space="preserve"> over heile landet, jf. </w:t>
      </w:r>
      <w:proofErr w:type="spellStart"/>
      <w:r w:rsidRPr="00225D4D">
        <w:t>Dok</w:t>
      </w:r>
      <w:proofErr w:type="spellEnd"/>
      <w:r w:rsidRPr="00225D4D">
        <w:t xml:space="preserve">. 8:135 S (2021–2022) og </w:t>
      </w:r>
      <w:proofErr w:type="spellStart"/>
      <w:r w:rsidRPr="00225D4D">
        <w:t>Innst</w:t>
      </w:r>
      <w:proofErr w:type="spellEnd"/>
      <w:r w:rsidRPr="00225D4D">
        <w:t>. 339 S (2021–2022).</w:t>
      </w:r>
    </w:p>
    <w:p w14:paraId="1C4EED3D" w14:textId="77777777" w:rsidR="00D60186" w:rsidRPr="00225D4D" w:rsidRDefault="00D60186" w:rsidP="00225D4D">
      <w:proofErr w:type="spellStart"/>
      <w:r w:rsidRPr="00225D4D">
        <w:t>Bufdir</w:t>
      </w:r>
      <w:proofErr w:type="spellEnd"/>
      <w:r w:rsidRPr="00225D4D">
        <w:t xml:space="preserve"> </w:t>
      </w:r>
      <w:proofErr w:type="spellStart"/>
      <w:r w:rsidRPr="00225D4D">
        <w:t>forvaltar</w:t>
      </w:r>
      <w:proofErr w:type="spellEnd"/>
      <w:r w:rsidRPr="00225D4D">
        <w:t xml:space="preserve"> </w:t>
      </w:r>
      <w:proofErr w:type="spellStart"/>
      <w:r w:rsidRPr="00225D4D">
        <w:t>tilskotsordninga</w:t>
      </w:r>
      <w:proofErr w:type="spellEnd"/>
      <w:r w:rsidRPr="00225D4D">
        <w:t xml:space="preserve"> </w:t>
      </w:r>
      <w:proofErr w:type="spellStart"/>
      <w:r w:rsidRPr="00225D4D">
        <w:rPr>
          <w:rStyle w:val="kursiv"/>
        </w:rPr>
        <w:t>Tilskot</w:t>
      </w:r>
      <w:proofErr w:type="spellEnd"/>
      <w:r w:rsidRPr="00225D4D">
        <w:rPr>
          <w:rStyle w:val="kursiv"/>
        </w:rPr>
        <w:t xml:space="preserve"> til tiltak mot vald og overgrep</w:t>
      </w:r>
      <w:r w:rsidRPr="00225D4D">
        <w:t xml:space="preserve">. </w:t>
      </w:r>
      <w:proofErr w:type="spellStart"/>
      <w:r w:rsidRPr="00225D4D">
        <w:t>Tilskotsordninga</w:t>
      </w:r>
      <w:proofErr w:type="spellEnd"/>
      <w:r w:rsidRPr="00225D4D">
        <w:t xml:space="preserve"> har mellom anna </w:t>
      </w:r>
      <w:proofErr w:type="spellStart"/>
      <w:r w:rsidRPr="00225D4D">
        <w:t>bidrege</w:t>
      </w:r>
      <w:proofErr w:type="spellEnd"/>
      <w:r w:rsidRPr="00225D4D">
        <w:t xml:space="preserve"> til å etablere </w:t>
      </w:r>
      <w:proofErr w:type="spellStart"/>
      <w:r w:rsidRPr="00225D4D">
        <w:t>eit</w:t>
      </w:r>
      <w:proofErr w:type="spellEnd"/>
      <w:r w:rsidRPr="00225D4D">
        <w:t xml:space="preserve"> samarbeid mellom Karasjok kommune og Alta kommune der </w:t>
      </w:r>
      <w:proofErr w:type="spellStart"/>
      <w:r w:rsidRPr="00225D4D">
        <w:t>vaksne</w:t>
      </w:r>
      <w:proofErr w:type="spellEnd"/>
      <w:r w:rsidRPr="00225D4D">
        <w:t xml:space="preserve"> og barn </w:t>
      </w:r>
      <w:proofErr w:type="spellStart"/>
      <w:r w:rsidRPr="00225D4D">
        <w:t>frå</w:t>
      </w:r>
      <w:proofErr w:type="spellEnd"/>
      <w:r w:rsidRPr="00225D4D">
        <w:t xml:space="preserve"> Karasjok kan nytte seg av </w:t>
      </w:r>
      <w:proofErr w:type="spellStart"/>
      <w:r w:rsidRPr="00225D4D">
        <w:t>krisesentertilbodet</w:t>
      </w:r>
      <w:proofErr w:type="spellEnd"/>
      <w:r w:rsidRPr="00225D4D">
        <w:t xml:space="preserve"> i Alta, samstundes som det blir etablert </w:t>
      </w:r>
      <w:proofErr w:type="spellStart"/>
      <w:r w:rsidRPr="00225D4D">
        <w:t>eit</w:t>
      </w:r>
      <w:proofErr w:type="spellEnd"/>
      <w:r w:rsidRPr="00225D4D">
        <w:t xml:space="preserve"> </w:t>
      </w:r>
      <w:proofErr w:type="spellStart"/>
      <w:r w:rsidRPr="00225D4D">
        <w:t>dagtilbod</w:t>
      </w:r>
      <w:proofErr w:type="spellEnd"/>
      <w:r w:rsidRPr="00225D4D">
        <w:t xml:space="preserve"> med </w:t>
      </w:r>
      <w:proofErr w:type="spellStart"/>
      <w:r w:rsidRPr="00225D4D">
        <w:t>samiskspråklege</w:t>
      </w:r>
      <w:proofErr w:type="spellEnd"/>
      <w:r w:rsidRPr="00225D4D">
        <w:t xml:space="preserve"> </w:t>
      </w:r>
      <w:proofErr w:type="spellStart"/>
      <w:r w:rsidRPr="00225D4D">
        <w:t>stillingsressursar</w:t>
      </w:r>
      <w:proofErr w:type="spellEnd"/>
      <w:r w:rsidRPr="00225D4D">
        <w:t xml:space="preserve"> i Karasjok.</w:t>
      </w:r>
    </w:p>
    <w:p w14:paraId="1AF00505" w14:textId="77777777" w:rsidR="00D60186" w:rsidRPr="00225D4D" w:rsidRDefault="00D60186" w:rsidP="00225D4D">
      <w:r w:rsidRPr="00225D4D">
        <w:t xml:space="preserve">Departementet viser i tillegg til at Stortinget 16. juni 2025 vedtok </w:t>
      </w:r>
      <w:proofErr w:type="spellStart"/>
      <w:r w:rsidRPr="00225D4D">
        <w:t>endringar</w:t>
      </w:r>
      <w:proofErr w:type="spellEnd"/>
      <w:r w:rsidRPr="00225D4D">
        <w:t xml:space="preserve"> i krisesenterlova, jf. </w:t>
      </w:r>
      <w:proofErr w:type="spellStart"/>
      <w:r w:rsidRPr="00225D4D">
        <w:t>Prop</w:t>
      </w:r>
      <w:proofErr w:type="spellEnd"/>
      <w:r w:rsidRPr="00225D4D">
        <w:t xml:space="preserve">. 122 L (2024–2025) </w:t>
      </w:r>
      <w:proofErr w:type="spellStart"/>
      <w:r w:rsidRPr="00225D4D">
        <w:rPr>
          <w:rStyle w:val="kursiv"/>
        </w:rPr>
        <w:t>Endringar</w:t>
      </w:r>
      <w:proofErr w:type="spellEnd"/>
      <w:r w:rsidRPr="00225D4D">
        <w:rPr>
          <w:rStyle w:val="kursiv"/>
        </w:rPr>
        <w:t xml:space="preserve"> i krisesenterlova (</w:t>
      </w:r>
      <w:proofErr w:type="spellStart"/>
      <w:r w:rsidRPr="00225D4D">
        <w:rPr>
          <w:rStyle w:val="kursiv"/>
        </w:rPr>
        <w:t>tydeleggjering</w:t>
      </w:r>
      <w:proofErr w:type="spellEnd"/>
      <w:r w:rsidRPr="00225D4D">
        <w:rPr>
          <w:rStyle w:val="kursiv"/>
        </w:rPr>
        <w:t xml:space="preserve"> av det kommunale ansvaret og grunnlag for behandling av </w:t>
      </w:r>
      <w:proofErr w:type="spellStart"/>
      <w:r w:rsidRPr="00225D4D">
        <w:rPr>
          <w:rStyle w:val="kursiv"/>
        </w:rPr>
        <w:t>personopplysningar</w:t>
      </w:r>
      <w:proofErr w:type="spellEnd"/>
      <w:r w:rsidRPr="00225D4D">
        <w:rPr>
          <w:rStyle w:val="kursiv"/>
        </w:rPr>
        <w:t xml:space="preserve"> m.m.)</w:t>
      </w:r>
      <w:r w:rsidRPr="00225D4D">
        <w:t xml:space="preserve"> og </w:t>
      </w:r>
      <w:proofErr w:type="spellStart"/>
      <w:r w:rsidRPr="00225D4D">
        <w:t>Innst</w:t>
      </w:r>
      <w:proofErr w:type="spellEnd"/>
      <w:r w:rsidRPr="00225D4D">
        <w:t xml:space="preserve">. 439 L (2024–2025). </w:t>
      </w:r>
      <w:proofErr w:type="spellStart"/>
      <w:r w:rsidRPr="00225D4D">
        <w:t>Lovendringane</w:t>
      </w:r>
      <w:proofErr w:type="spellEnd"/>
      <w:r w:rsidRPr="00225D4D">
        <w:t xml:space="preserve"> gjeld mellom anna ei lovfesting av at </w:t>
      </w:r>
      <w:proofErr w:type="spellStart"/>
      <w:r w:rsidRPr="00225D4D">
        <w:t>dei</w:t>
      </w:r>
      <w:proofErr w:type="spellEnd"/>
      <w:r w:rsidRPr="00225D4D">
        <w:t xml:space="preserve"> </w:t>
      </w:r>
      <w:proofErr w:type="spellStart"/>
      <w:r w:rsidRPr="00225D4D">
        <w:t>særskilde</w:t>
      </w:r>
      <w:proofErr w:type="spellEnd"/>
      <w:r w:rsidRPr="00225D4D">
        <w:t xml:space="preserve"> </w:t>
      </w:r>
      <w:proofErr w:type="spellStart"/>
      <w:r w:rsidRPr="00225D4D">
        <w:t>rettane</w:t>
      </w:r>
      <w:proofErr w:type="spellEnd"/>
      <w:r w:rsidRPr="00225D4D">
        <w:t xml:space="preserve"> til den samiske befolkninga skal </w:t>
      </w:r>
      <w:proofErr w:type="spellStart"/>
      <w:r w:rsidRPr="00225D4D">
        <w:t>takast</w:t>
      </w:r>
      <w:proofErr w:type="spellEnd"/>
      <w:r w:rsidRPr="00225D4D">
        <w:t xml:space="preserve"> vare på i </w:t>
      </w:r>
      <w:proofErr w:type="spellStart"/>
      <w:r w:rsidRPr="00225D4D">
        <w:t>krisesentertilbodet</w:t>
      </w:r>
      <w:proofErr w:type="spellEnd"/>
      <w:r w:rsidRPr="00225D4D">
        <w:t xml:space="preserve">. </w:t>
      </w:r>
      <w:proofErr w:type="spellStart"/>
      <w:r w:rsidRPr="00225D4D">
        <w:t>Føremålet</w:t>
      </w:r>
      <w:proofErr w:type="spellEnd"/>
      <w:r w:rsidRPr="00225D4D">
        <w:t xml:space="preserve"> med føresegna er å bidra til å </w:t>
      </w:r>
      <w:proofErr w:type="spellStart"/>
      <w:r w:rsidRPr="00225D4D">
        <w:t>auke</w:t>
      </w:r>
      <w:proofErr w:type="spellEnd"/>
      <w:r w:rsidRPr="00225D4D">
        <w:t xml:space="preserve"> </w:t>
      </w:r>
      <w:proofErr w:type="spellStart"/>
      <w:r w:rsidRPr="00225D4D">
        <w:t>merksemda</w:t>
      </w:r>
      <w:proofErr w:type="spellEnd"/>
      <w:r w:rsidRPr="00225D4D">
        <w:t xml:space="preserve"> om </w:t>
      </w:r>
      <w:proofErr w:type="spellStart"/>
      <w:r w:rsidRPr="00225D4D">
        <w:t>samar</w:t>
      </w:r>
      <w:proofErr w:type="spellEnd"/>
      <w:r w:rsidRPr="00225D4D">
        <w:t xml:space="preserve"> både som individ og gruppe, og med det gi </w:t>
      </w:r>
      <w:proofErr w:type="spellStart"/>
      <w:r w:rsidRPr="00225D4D">
        <w:t>eit</w:t>
      </w:r>
      <w:proofErr w:type="spellEnd"/>
      <w:r w:rsidRPr="00225D4D">
        <w:t xml:space="preserve"> betre </w:t>
      </w:r>
      <w:proofErr w:type="spellStart"/>
      <w:r w:rsidRPr="00225D4D">
        <w:t>krisesentertilbod</w:t>
      </w:r>
      <w:proofErr w:type="spellEnd"/>
      <w:r w:rsidRPr="00225D4D">
        <w:t xml:space="preserve"> til samiske kvinner, menn og barn, i tråd med både nasjonal lovgiving og internasjonale </w:t>
      </w:r>
      <w:proofErr w:type="spellStart"/>
      <w:r w:rsidRPr="00225D4D">
        <w:t>konvensjonar</w:t>
      </w:r>
      <w:proofErr w:type="spellEnd"/>
      <w:r w:rsidRPr="00225D4D">
        <w:t xml:space="preserve"> </w:t>
      </w:r>
      <w:proofErr w:type="spellStart"/>
      <w:r w:rsidRPr="00225D4D">
        <w:t>Noreg</w:t>
      </w:r>
      <w:proofErr w:type="spellEnd"/>
      <w:r w:rsidRPr="00225D4D">
        <w:t xml:space="preserve"> er forplikta etter. Lovendringa tek til å gjelde </w:t>
      </w:r>
      <w:proofErr w:type="spellStart"/>
      <w:r w:rsidRPr="00225D4D">
        <w:t>frå</w:t>
      </w:r>
      <w:proofErr w:type="spellEnd"/>
      <w:r w:rsidRPr="00225D4D">
        <w:t xml:space="preserve"> 1. januar 2026.</w:t>
      </w:r>
    </w:p>
    <w:p w14:paraId="04FD4BB7"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044E561E" w14:textId="77777777" w:rsidR="00D60186" w:rsidRPr="00225D4D" w:rsidRDefault="00D60186" w:rsidP="00225D4D">
      <w:pPr>
        <w:pStyle w:val="avsnitt-tittel"/>
      </w:pPr>
      <w:r w:rsidRPr="00225D4D">
        <w:t>Utvide ordninga for gjeldsinformasjon («gjeldsregister»)</w:t>
      </w:r>
    </w:p>
    <w:p w14:paraId="4C4A7DF0" w14:textId="77777777" w:rsidR="00D60186" w:rsidRPr="00225D4D" w:rsidRDefault="00D60186" w:rsidP="00225D4D">
      <w:pPr>
        <w:pStyle w:val="avsnitt-undertittel"/>
      </w:pPr>
      <w:r w:rsidRPr="00225D4D">
        <w:t>Vedtak 620, 31. mai 2022</w:t>
      </w:r>
    </w:p>
    <w:p w14:paraId="60CE2D23" w14:textId="77777777" w:rsidR="00D60186" w:rsidRPr="00225D4D" w:rsidRDefault="00D60186" w:rsidP="00225D4D">
      <w:pPr>
        <w:pStyle w:val="blokksit"/>
      </w:pPr>
      <w:r w:rsidRPr="00225D4D">
        <w:t>«</w:t>
      </w:r>
      <w:r w:rsidRPr="00225D4D">
        <w:rPr>
          <w:rStyle w:val="kursiv"/>
        </w:rPr>
        <w:t>Stortinget ber regjeringen utvide Gjeldsregisteret slik at det inneholder alle typer gjeld, både med og uten sikkerhet. Regjeringen må samtidig gjøre grundige utredninger som sikrer personvernet, og vurdere om enkelte typer gjeld av den grunn ikke skal innlemmes.</w:t>
      </w:r>
      <w:r w:rsidRPr="00225D4D">
        <w:t>»</w:t>
      </w:r>
    </w:p>
    <w:p w14:paraId="60A68675"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å ta sosialt ansvar og hjelpe folk med gjeldsproblem gjennom å </w:t>
      </w:r>
      <w:proofErr w:type="spellStart"/>
      <w:r w:rsidRPr="00225D4D">
        <w:t>styrkje</w:t>
      </w:r>
      <w:proofErr w:type="spellEnd"/>
      <w:r w:rsidRPr="00225D4D">
        <w:t xml:space="preserve"> og utvide gjeldsregisteret, jf. </w:t>
      </w:r>
      <w:proofErr w:type="spellStart"/>
      <w:r w:rsidRPr="00225D4D">
        <w:t>Dok</w:t>
      </w:r>
      <w:proofErr w:type="spellEnd"/>
      <w:r w:rsidRPr="00225D4D">
        <w:t xml:space="preserve">. 8:203 S (2021–2022), jf. </w:t>
      </w:r>
      <w:proofErr w:type="spellStart"/>
      <w:r w:rsidRPr="00225D4D">
        <w:t>Innst</w:t>
      </w:r>
      <w:proofErr w:type="spellEnd"/>
      <w:r w:rsidRPr="00225D4D">
        <w:t>. 361 S (2021–2022).</w:t>
      </w:r>
    </w:p>
    <w:p w14:paraId="6F81222C" w14:textId="77777777" w:rsidR="00D60186" w:rsidRPr="00225D4D" w:rsidRDefault="00D60186" w:rsidP="00225D4D">
      <w:r w:rsidRPr="00225D4D">
        <w:t xml:space="preserve">BFD hadde i 2022 på </w:t>
      </w:r>
      <w:proofErr w:type="spellStart"/>
      <w:r w:rsidRPr="00225D4D">
        <w:t>høyring</w:t>
      </w:r>
      <w:proofErr w:type="spellEnd"/>
      <w:r w:rsidRPr="00225D4D">
        <w:t xml:space="preserve"> </w:t>
      </w:r>
      <w:proofErr w:type="spellStart"/>
      <w:r w:rsidRPr="00225D4D">
        <w:t>eit</w:t>
      </w:r>
      <w:proofErr w:type="spellEnd"/>
      <w:r w:rsidRPr="00225D4D">
        <w:t xml:space="preserve"> forslag om å utvide ordninga for gjeldsinformasjon med ulike </w:t>
      </w:r>
      <w:proofErr w:type="spellStart"/>
      <w:r w:rsidRPr="00225D4D">
        <w:t>typar</w:t>
      </w:r>
      <w:proofErr w:type="spellEnd"/>
      <w:r w:rsidRPr="00225D4D">
        <w:t xml:space="preserve"> pantesikra gjeld. Vurderinga til BFD etter dette var at personvernomsyn </w:t>
      </w:r>
      <w:proofErr w:type="spellStart"/>
      <w:r w:rsidRPr="00225D4D">
        <w:t>gjer</w:t>
      </w:r>
      <w:proofErr w:type="spellEnd"/>
      <w:r w:rsidRPr="00225D4D">
        <w:t xml:space="preserve"> at ordninga </w:t>
      </w:r>
      <w:proofErr w:type="spellStart"/>
      <w:r w:rsidRPr="00225D4D">
        <w:t>ikkje</w:t>
      </w:r>
      <w:proofErr w:type="spellEnd"/>
      <w:r w:rsidRPr="00225D4D">
        <w:t xml:space="preserve"> kan </w:t>
      </w:r>
      <w:proofErr w:type="spellStart"/>
      <w:r w:rsidRPr="00225D4D">
        <w:t>utvidast</w:t>
      </w:r>
      <w:proofErr w:type="spellEnd"/>
      <w:r w:rsidRPr="00225D4D">
        <w:t xml:space="preserve"> til å omfatte pantesikra gjeld </w:t>
      </w:r>
      <w:proofErr w:type="spellStart"/>
      <w:r w:rsidRPr="00225D4D">
        <w:t>utan</w:t>
      </w:r>
      <w:proofErr w:type="spellEnd"/>
      <w:r w:rsidRPr="00225D4D">
        <w:t xml:space="preserve"> at </w:t>
      </w:r>
      <w:proofErr w:type="spellStart"/>
      <w:r w:rsidRPr="00225D4D">
        <w:t>føremålet</w:t>
      </w:r>
      <w:proofErr w:type="spellEnd"/>
      <w:r w:rsidRPr="00225D4D">
        <w:t xml:space="preserve"> til gjeldsinformasjonslova blir endra. Lite tyder på at det er på grunn av at bustad- og bilgjeld </w:t>
      </w:r>
      <w:proofErr w:type="spellStart"/>
      <w:r w:rsidRPr="00225D4D">
        <w:t>ikkje</w:t>
      </w:r>
      <w:proofErr w:type="spellEnd"/>
      <w:r w:rsidRPr="00225D4D">
        <w:t xml:space="preserve"> er omfatta av informasjonsordninga, at </w:t>
      </w:r>
      <w:proofErr w:type="spellStart"/>
      <w:r w:rsidRPr="00225D4D">
        <w:t>kredittvurderingar</w:t>
      </w:r>
      <w:proofErr w:type="spellEnd"/>
      <w:r w:rsidRPr="00225D4D">
        <w:t xml:space="preserve"> </w:t>
      </w:r>
      <w:proofErr w:type="spellStart"/>
      <w:r w:rsidRPr="00225D4D">
        <w:t>sviktar</w:t>
      </w:r>
      <w:proofErr w:type="spellEnd"/>
      <w:r w:rsidRPr="00225D4D">
        <w:t xml:space="preserve"> og </w:t>
      </w:r>
      <w:proofErr w:type="spellStart"/>
      <w:r w:rsidRPr="00225D4D">
        <w:t>einskilde</w:t>
      </w:r>
      <w:proofErr w:type="spellEnd"/>
      <w:r w:rsidRPr="00225D4D">
        <w:t xml:space="preserve"> får gjeldsproblem. Ei utviding av ordninga må derfor grunngivast med </w:t>
      </w:r>
      <w:proofErr w:type="spellStart"/>
      <w:r w:rsidRPr="00225D4D">
        <w:t>noko</w:t>
      </w:r>
      <w:proofErr w:type="spellEnd"/>
      <w:r w:rsidRPr="00225D4D">
        <w:t xml:space="preserve"> anna enn å skulle </w:t>
      </w:r>
      <w:proofErr w:type="spellStart"/>
      <w:r w:rsidRPr="00225D4D">
        <w:t>motverke</w:t>
      </w:r>
      <w:proofErr w:type="spellEnd"/>
      <w:r w:rsidRPr="00225D4D">
        <w:t xml:space="preserve"> gjeldsproblem.</w:t>
      </w:r>
    </w:p>
    <w:p w14:paraId="4808F2DC" w14:textId="77777777" w:rsidR="00D60186" w:rsidRPr="00225D4D" w:rsidRDefault="00D60186" w:rsidP="00225D4D">
      <w:r w:rsidRPr="00225D4D">
        <w:t xml:space="preserve">BFD sende 3. april 2025 </w:t>
      </w:r>
      <w:proofErr w:type="spellStart"/>
      <w:r w:rsidRPr="00225D4D">
        <w:t>eit</w:t>
      </w:r>
      <w:proofErr w:type="spellEnd"/>
      <w:r w:rsidRPr="00225D4D">
        <w:t xml:space="preserve"> framlegg om å utvide gjeldsinformasjonsordninga med mellom anna pantegjeld. </w:t>
      </w:r>
      <w:proofErr w:type="spellStart"/>
      <w:r w:rsidRPr="00225D4D">
        <w:t>Høyringsfristen</w:t>
      </w:r>
      <w:proofErr w:type="spellEnd"/>
      <w:r w:rsidRPr="00225D4D">
        <w:t xml:space="preserve"> var 3. juli 2025. Departementet er i gang med å vurdere </w:t>
      </w:r>
      <w:proofErr w:type="spellStart"/>
      <w:r w:rsidRPr="00225D4D">
        <w:t>innspela</w:t>
      </w:r>
      <w:proofErr w:type="spellEnd"/>
      <w:r w:rsidRPr="00225D4D">
        <w:t xml:space="preserve"> </w:t>
      </w:r>
      <w:proofErr w:type="spellStart"/>
      <w:r w:rsidRPr="00225D4D">
        <w:t>frå</w:t>
      </w:r>
      <w:proofErr w:type="spellEnd"/>
      <w:r w:rsidRPr="00225D4D">
        <w:t xml:space="preserve"> </w:t>
      </w:r>
      <w:proofErr w:type="spellStart"/>
      <w:r w:rsidRPr="00225D4D">
        <w:t>høyringa</w:t>
      </w:r>
      <w:proofErr w:type="spellEnd"/>
      <w:r w:rsidRPr="00225D4D">
        <w:t xml:space="preserve"> og vil orientere Stortinget om den </w:t>
      </w:r>
      <w:proofErr w:type="spellStart"/>
      <w:r w:rsidRPr="00225D4D">
        <w:t>vidare</w:t>
      </w:r>
      <w:proofErr w:type="spellEnd"/>
      <w:r w:rsidRPr="00225D4D">
        <w:t xml:space="preserve"> oppfølginga av vedtaket på eigna vis.</w:t>
      </w:r>
    </w:p>
    <w:p w14:paraId="1A59CBF3" w14:textId="77777777" w:rsidR="00D60186" w:rsidRPr="00225D4D" w:rsidRDefault="00D60186" w:rsidP="00225D4D">
      <w:pPr>
        <w:pStyle w:val="Overskrift2"/>
      </w:pPr>
      <w:r w:rsidRPr="00225D4D">
        <w:t>Stortingssesjon (2020–2021)</w:t>
      </w:r>
    </w:p>
    <w:p w14:paraId="01F1DD95" w14:textId="77777777" w:rsidR="00D60186" w:rsidRPr="00225D4D" w:rsidRDefault="00D60186" w:rsidP="00225D4D">
      <w:pPr>
        <w:pStyle w:val="avsnitt-tittel"/>
      </w:pPr>
      <w:r w:rsidRPr="00225D4D">
        <w:t xml:space="preserve">Justering av </w:t>
      </w:r>
      <w:proofErr w:type="spellStart"/>
      <w:r w:rsidRPr="00225D4D">
        <w:t>barnebidragsreglane</w:t>
      </w:r>
      <w:proofErr w:type="spellEnd"/>
      <w:r w:rsidRPr="00225D4D">
        <w:t xml:space="preserve"> for å hindre samværshindring</w:t>
      </w:r>
    </w:p>
    <w:p w14:paraId="36CE485D" w14:textId="77777777" w:rsidR="00D60186" w:rsidRPr="00225D4D" w:rsidRDefault="00D60186" w:rsidP="00225D4D">
      <w:pPr>
        <w:pStyle w:val="avsnitt-undertittel"/>
      </w:pPr>
      <w:r w:rsidRPr="00225D4D">
        <w:t>Vedtak 715, 9. mars 2021</w:t>
      </w:r>
    </w:p>
    <w:p w14:paraId="22BAEA36" w14:textId="77777777" w:rsidR="00D60186" w:rsidRPr="00225D4D" w:rsidRDefault="00D60186" w:rsidP="00225D4D">
      <w:pPr>
        <w:pStyle w:val="blokksit"/>
      </w:pPr>
      <w:r w:rsidRPr="00225D4D">
        <w:t>«</w:t>
      </w:r>
      <w:r w:rsidRPr="00225D4D">
        <w:rPr>
          <w:rStyle w:val="kursiv"/>
        </w:rPr>
        <w:t>Stortinget ber regjeringen ved oppfølgingen av NOU 2020: 14 Ny barnelov – Til barnets beste, utrede om det er behov for å gjøre justeringer i barnebidragsreglene for å sikre at økonomi ikke blir en drivende faktor for samværshindring.</w:t>
      </w:r>
      <w:r w:rsidRPr="00225D4D">
        <w:t>»</w:t>
      </w:r>
    </w:p>
    <w:p w14:paraId="77B7DC9A"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samværshindring, jf. </w:t>
      </w:r>
      <w:proofErr w:type="spellStart"/>
      <w:r w:rsidRPr="00225D4D">
        <w:t>Dok</w:t>
      </w:r>
      <w:proofErr w:type="spellEnd"/>
      <w:r w:rsidRPr="00225D4D">
        <w:t xml:space="preserve">. 8:40 S (2020–2021) og </w:t>
      </w:r>
      <w:proofErr w:type="spellStart"/>
      <w:r w:rsidRPr="00225D4D">
        <w:t>Innst</w:t>
      </w:r>
      <w:proofErr w:type="spellEnd"/>
      <w:r w:rsidRPr="00225D4D">
        <w:t>. 264 S (2020–2021).</w:t>
      </w:r>
    </w:p>
    <w:p w14:paraId="6396E89E" w14:textId="77777777" w:rsidR="00D60186" w:rsidRPr="00225D4D" w:rsidRDefault="00D60186" w:rsidP="00225D4D">
      <w:r w:rsidRPr="00225D4D">
        <w:t xml:space="preserve">Departementet har greidd ut og vurdert om det er behov og høve for å justere i </w:t>
      </w:r>
      <w:proofErr w:type="spellStart"/>
      <w:r w:rsidRPr="00225D4D">
        <w:t>gjeldande</w:t>
      </w:r>
      <w:proofErr w:type="spellEnd"/>
      <w:r w:rsidRPr="00225D4D">
        <w:t xml:space="preserve"> regelverk for barnebidrag for å sikre at økonomi </w:t>
      </w:r>
      <w:proofErr w:type="spellStart"/>
      <w:r w:rsidRPr="00225D4D">
        <w:t>ikkje</w:t>
      </w:r>
      <w:proofErr w:type="spellEnd"/>
      <w:r w:rsidRPr="00225D4D">
        <w:t xml:space="preserve"> blir </w:t>
      </w:r>
      <w:proofErr w:type="spellStart"/>
      <w:r w:rsidRPr="00225D4D">
        <w:t>ein</w:t>
      </w:r>
      <w:proofErr w:type="spellEnd"/>
      <w:r w:rsidRPr="00225D4D">
        <w:t xml:space="preserve"> </w:t>
      </w:r>
      <w:proofErr w:type="spellStart"/>
      <w:r w:rsidRPr="00225D4D">
        <w:t>drivande</w:t>
      </w:r>
      <w:proofErr w:type="spellEnd"/>
      <w:r w:rsidRPr="00225D4D">
        <w:t xml:space="preserve"> faktor for samværshindring. Regelverket for </w:t>
      </w:r>
      <w:proofErr w:type="spellStart"/>
      <w:r w:rsidRPr="00225D4D">
        <w:t>offentleg</w:t>
      </w:r>
      <w:proofErr w:type="spellEnd"/>
      <w:r w:rsidRPr="00225D4D">
        <w:t xml:space="preserve"> fastsett barnebidrag og samvær er i stor grad regulert på forskriftsnivå. Departementet har </w:t>
      </w:r>
      <w:proofErr w:type="spellStart"/>
      <w:r w:rsidRPr="00225D4D">
        <w:t>særleg</w:t>
      </w:r>
      <w:proofErr w:type="spellEnd"/>
      <w:r w:rsidRPr="00225D4D">
        <w:t xml:space="preserve"> sett på om det er </w:t>
      </w:r>
      <w:proofErr w:type="spellStart"/>
      <w:r w:rsidRPr="00225D4D">
        <w:t>mogleg</w:t>
      </w:r>
      <w:proofErr w:type="spellEnd"/>
      <w:r w:rsidRPr="00225D4D">
        <w:t xml:space="preserve"> å </w:t>
      </w:r>
      <w:proofErr w:type="spellStart"/>
      <w:r w:rsidRPr="00225D4D">
        <w:t>gjere</w:t>
      </w:r>
      <w:proofErr w:type="spellEnd"/>
      <w:r w:rsidRPr="00225D4D">
        <w:t xml:space="preserve"> </w:t>
      </w:r>
      <w:proofErr w:type="spellStart"/>
      <w:r w:rsidRPr="00225D4D">
        <w:t>endringar</w:t>
      </w:r>
      <w:proofErr w:type="spellEnd"/>
      <w:r w:rsidRPr="00225D4D">
        <w:t xml:space="preserve"> på forskriftsnivå for å </w:t>
      </w:r>
      <w:proofErr w:type="spellStart"/>
      <w:r w:rsidRPr="00225D4D">
        <w:t>motverke</w:t>
      </w:r>
      <w:proofErr w:type="spellEnd"/>
      <w:r w:rsidRPr="00225D4D">
        <w:t xml:space="preserve"> at den bidragspliktige må yte barnebidrag for </w:t>
      </w:r>
      <w:proofErr w:type="spellStart"/>
      <w:r w:rsidRPr="00225D4D">
        <w:t>periodar</w:t>
      </w:r>
      <w:proofErr w:type="spellEnd"/>
      <w:r w:rsidRPr="00225D4D">
        <w:t xml:space="preserve"> den bidragspliktige </w:t>
      </w:r>
      <w:proofErr w:type="spellStart"/>
      <w:r w:rsidRPr="00225D4D">
        <w:t>ikkje</w:t>
      </w:r>
      <w:proofErr w:type="spellEnd"/>
      <w:r w:rsidRPr="00225D4D">
        <w:t xml:space="preserve"> har samvær etter avtale, og der </w:t>
      </w:r>
      <w:proofErr w:type="spellStart"/>
      <w:r w:rsidRPr="00225D4D">
        <w:t>manglande</w:t>
      </w:r>
      <w:proofErr w:type="spellEnd"/>
      <w:r w:rsidRPr="00225D4D">
        <w:t xml:space="preserve"> samvær skriv seg </w:t>
      </w:r>
      <w:proofErr w:type="spellStart"/>
      <w:r w:rsidRPr="00225D4D">
        <w:t>frå</w:t>
      </w:r>
      <w:proofErr w:type="spellEnd"/>
      <w:r w:rsidRPr="00225D4D">
        <w:t xml:space="preserve"> at </w:t>
      </w:r>
      <w:proofErr w:type="spellStart"/>
      <w:r w:rsidRPr="00225D4D">
        <w:t>bidragsmottakaren</w:t>
      </w:r>
      <w:proofErr w:type="spellEnd"/>
      <w:r w:rsidRPr="00225D4D">
        <w:t xml:space="preserve"> </w:t>
      </w:r>
      <w:proofErr w:type="spellStart"/>
      <w:r w:rsidRPr="00225D4D">
        <w:t>hindrar</w:t>
      </w:r>
      <w:proofErr w:type="spellEnd"/>
      <w:r w:rsidRPr="00225D4D">
        <w:t xml:space="preserve"> samværet. Høgsterett har </w:t>
      </w:r>
      <w:proofErr w:type="spellStart"/>
      <w:r w:rsidRPr="00225D4D">
        <w:t>nyleg</w:t>
      </w:r>
      <w:proofErr w:type="spellEnd"/>
      <w:r w:rsidRPr="00225D4D">
        <w:t xml:space="preserve"> stadfesta </w:t>
      </w:r>
      <w:proofErr w:type="spellStart"/>
      <w:r w:rsidRPr="00225D4D">
        <w:t>innhaldet</w:t>
      </w:r>
      <w:proofErr w:type="spellEnd"/>
      <w:r w:rsidRPr="00225D4D">
        <w:t xml:space="preserve"> i barnelova § 67 om barnebidrag og gjort det klart at barnet sin rett til å bli forsørgd er </w:t>
      </w:r>
      <w:proofErr w:type="spellStart"/>
      <w:r w:rsidRPr="00225D4D">
        <w:t>avgjerande</w:t>
      </w:r>
      <w:proofErr w:type="spellEnd"/>
      <w:r w:rsidRPr="00225D4D">
        <w:t xml:space="preserve">. Høgsterettsdommen </w:t>
      </w:r>
      <w:proofErr w:type="spellStart"/>
      <w:r w:rsidRPr="00225D4D">
        <w:t>tydleggjer</w:t>
      </w:r>
      <w:proofErr w:type="spellEnd"/>
      <w:r w:rsidRPr="00225D4D">
        <w:t xml:space="preserve"> den </w:t>
      </w:r>
      <w:proofErr w:type="spellStart"/>
      <w:r w:rsidRPr="00225D4D">
        <w:t>uomtvistelege</w:t>
      </w:r>
      <w:proofErr w:type="spellEnd"/>
      <w:r w:rsidRPr="00225D4D">
        <w:t xml:space="preserve"> retten barnet har til å bli økonomisk forsørgd uavhengig av kvar barnet bur, og at barnet har rett på barnebidrag </w:t>
      </w:r>
      <w:proofErr w:type="spellStart"/>
      <w:r w:rsidRPr="00225D4D">
        <w:t>frå</w:t>
      </w:r>
      <w:proofErr w:type="spellEnd"/>
      <w:r w:rsidRPr="00225D4D">
        <w:t xml:space="preserve"> den forelderen det </w:t>
      </w:r>
      <w:proofErr w:type="spellStart"/>
      <w:r w:rsidRPr="00225D4D">
        <w:t>ikkje</w:t>
      </w:r>
      <w:proofErr w:type="spellEnd"/>
      <w:r w:rsidRPr="00225D4D">
        <w:t xml:space="preserve"> bur </w:t>
      </w:r>
      <w:proofErr w:type="spellStart"/>
      <w:r w:rsidRPr="00225D4D">
        <w:t>saman</w:t>
      </w:r>
      <w:proofErr w:type="spellEnd"/>
      <w:r w:rsidRPr="00225D4D">
        <w:t xml:space="preserve"> med, </w:t>
      </w:r>
      <w:proofErr w:type="spellStart"/>
      <w:r w:rsidRPr="00225D4D">
        <w:t>sjølv</w:t>
      </w:r>
      <w:proofErr w:type="spellEnd"/>
      <w:r w:rsidRPr="00225D4D">
        <w:t xml:space="preserve"> om bustaden til barnet er i strid med avtale eller dom. </w:t>
      </w:r>
      <w:proofErr w:type="spellStart"/>
      <w:r w:rsidRPr="00225D4D">
        <w:t>Forskriftsendringar</w:t>
      </w:r>
      <w:proofErr w:type="spellEnd"/>
      <w:r w:rsidRPr="00225D4D">
        <w:t xml:space="preserve"> som </w:t>
      </w:r>
      <w:proofErr w:type="spellStart"/>
      <w:r w:rsidRPr="00225D4D">
        <w:t>gjer</w:t>
      </w:r>
      <w:proofErr w:type="spellEnd"/>
      <w:r w:rsidRPr="00225D4D">
        <w:t xml:space="preserve"> at den bidragspliktige må yte mindre i bidrag på grunn av samværshindring, kan føre til at barnet i mindre grad blir forsørgd. På den bakgrunn meiner departementet at </w:t>
      </w:r>
      <w:proofErr w:type="spellStart"/>
      <w:r w:rsidRPr="00225D4D">
        <w:t>dei</w:t>
      </w:r>
      <w:proofErr w:type="spellEnd"/>
      <w:r w:rsidRPr="00225D4D">
        <w:t xml:space="preserve"> vurderte </w:t>
      </w:r>
      <w:proofErr w:type="spellStart"/>
      <w:r w:rsidRPr="00225D4D">
        <w:t>endringane</w:t>
      </w:r>
      <w:proofErr w:type="spellEnd"/>
      <w:r w:rsidRPr="00225D4D">
        <w:t xml:space="preserve"> på forskriftsnivå kan føre til at forskrift blir i strid med barnelova. Departementet har derfor sett i gang </w:t>
      </w:r>
      <w:proofErr w:type="spellStart"/>
      <w:r w:rsidRPr="00225D4D">
        <w:t>ein</w:t>
      </w:r>
      <w:proofErr w:type="spellEnd"/>
      <w:r w:rsidRPr="00225D4D">
        <w:t xml:space="preserve"> gjennomgang av regelverket, der departementet òg vil sjå </w:t>
      </w:r>
      <w:proofErr w:type="spellStart"/>
      <w:r w:rsidRPr="00225D4D">
        <w:t>nærare</w:t>
      </w:r>
      <w:proofErr w:type="spellEnd"/>
      <w:r w:rsidRPr="00225D4D">
        <w:t xml:space="preserve"> på korleis regelverket i størst </w:t>
      </w:r>
      <w:proofErr w:type="spellStart"/>
      <w:r w:rsidRPr="00225D4D">
        <w:t>mogleg</w:t>
      </w:r>
      <w:proofErr w:type="spellEnd"/>
      <w:r w:rsidRPr="00225D4D">
        <w:t xml:space="preserve"> grad kan </w:t>
      </w:r>
      <w:proofErr w:type="spellStart"/>
      <w:r w:rsidRPr="00225D4D">
        <w:t>innrettast</w:t>
      </w:r>
      <w:proofErr w:type="spellEnd"/>
      <w:r w:rsidRPr="00225D4D">
        <w:t xml:space="preserve"> for å unngå at økonomi kan bli </w:t>
      </w:r>
      <w:proofErr w:type="spellStart"/>
      <w:r w:rsidRPr="00225D4D">
        <w:t>ein</w:t>
      </w:r>
      <w:proofErr w:type="spellEnd"/>
      <w:r w:rsidRPr="00225D4D">
        <w:t xml:space="preserve"> </w:t>
      </w:r>
      <w:proofErr w:type="spellStart"/>
      <w:r w:rsidRPr="00225D4D">
        <w:t>drivande</w:t>
      </w:r>
      <w:proofErr w:type="spellEnd"/>
      <w:r w:rsidRPr="00225D4D">
        <w:t xml:space="preserve"> faktor for samværshindring.</w:t>
      </w:r>
    </w:p>
    <w:p w14:paraId="2F66EC29"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1A7EB6EA" w14:textId="77777777" w:rsidR="00D60186" w:rsidRPr="00225D4D" w:rsidRDefault="00D60186" w:rsidP="00225D4D">
      <w:pPr>
        <w:pStyle w:val="avsnitt-tittel"/>
      </w:pPr>
      <w:proofErr w:type="spellStart"/>
      <w:r w:rsidRPr="00225D4D">
        <w:t>Eigendel</w:t>
      </w:r>
      <w:proofErr w:type="spellEnd"/>
      <w:r w:rsidRPr="00225D4D">
        <w:t xml:space="preserve"> for mat i </w:t>
      </w:r>
      <w:proofErr w:type="spellStart"/>
      <w:r w:rsidRPr="00225D4D">
        <w:t>krisesentera</w:t>
      </w:r>
      <w:proofErr w:type="spellEnd"/>
    </w:p>
    <w:p w14:paraId="0A3BF691" w14:textId="77777777" w:rsidR="00D60186" w:rsidRPr="00225D4D" w:rsidRDefault="00D60186" w:rsidP="00225D4D">
      <w:pPr>
        <w:pStyle w:val="avsnitt-undertittel"/>
      </w:pPr>
      <w:r w:rsidRPr="00225D4D">
        <w:t>Vedtak 972, 25. mai 2021</w:t>
      </w:r>
    </w:p>
    <w:p w14:paraId="396EDE0F" w14:textId="77777777" w:rsidR="00D60186" w:rsidRPr="00225D4D" w:rsidRDefault="00D60186" w:rsidP="00225D4D">
      <w:pPr>
        <w:pStyle w:val="blokksit"/>
      </w:pPr>
      <w:r w:rsidRPr="00225D4D">
        <w:t>«</w:t>
      </w:r>
      <w:r w:rsidRPr="00225D4D">
        <w:rPr>
          <w:rStyle w:val="kursiv"/>
        </w:rPr>
        <w:t>Stortinget ber regjeringen gå gjennom lov om kommunale krisesentertilbud og legge opp til at det ikke tas egenandel for mat fra den enkelte.</w:t>
      </w:r>
      <w:r w:rsidRPr="00225D4D">
        <w:t>»</w:t>
      </w:r>
    </w:p>
    <w:p w14:paraId="6D49C6EE"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w:t>
      </w:r>
      <w:proofErr w:type="spellStart"/>
      <w:r w:rsidRPr="00225D4D">
        <w:t>eit</w:t>
      </w:r>
      <w:proofErr w:type="spellEnd"/>
      <w:r w:rsidRPr="00225D4D">
        <w:t xml:space="preserve"> styrkt og gratis </w:t>
      </w:r>
      <w:proofErr w:type="spellStart"/>
      <w:r w:rsidRPr="00225D4D">
        <w:t>krisesentertilbod</w:t>
      </w:r>
      <w:proofErr w:type="spellEnd"/>
      <w:r w:rsidRPr="00225D4D">
        <w:t xml:space="preserve"> for </w:t>
      </w:r>
      <w:proofErr w:type="spellStart"/>
      <w:r w:rsidRPr="00225D4D">
        <w:t>valdsutsette</w:t>
      </w:r>
      <w:proofErr w:type="spellEnd"/>
      <w:r w:rsidRPr="00225D4D">
        <w:t xml:space="preserve">, jf. </w:t>
      </w:r>
      <w:proofErr w:type="spellStart"/>
      <w:r w:rsidRPr="00225D4D">
        <w:t>Dok</w:t>
      </w:r>
      <w:proofErr w:type="spellEnd"/>
      <w:r w:rsidRPr="00225D4D">
        <w:t xml:space="preserve">. 8:134 S (2020–2021) og </w:t>
      </w:r>
      <w:proofErr w:type="spellStart"/>
      <w:r w:rsidRPr="00225D4D">
        <w:t>Innst</w:t>
      </w:r>
      <w:proofErr w:type="spellEnd"/>
      <w:r w:rsidRPr="00225D4D">
        <w:t>. 427 S (2020–2021).</w:t>
      </w:r>
    </w:p>
    <w:p w14:paraId="42617E5D" w14:textId="77777777" w:rsidR="00D60186" w:rsidRPr="00225D4D" w:rsidRDefault="00D60186" w:rsidP="00225D4D">
      <w:r w:rsidRPr="00225D4D">
        <w:t xml:space="preserve">Departementet viser til </w:t>
      </w:r>
      <w:proofErr w:type="spellStart"/>
      <w:r w:rsidRPr="00225D4D">
        <w:t>Prop</w:t>
      </w:r>
      <w:proofErr w:type="spellEnd"/>
      <w:r w:rsidRPr="00225D4D">
        <w:t xml:space="preserve">. 122 L (2024–2025) </w:t>
      </w:r>
      <w:proofErr w:type="spellStart"/>
      <w:r w:rsidRPr="00225D4D">
        <w:rPr>
          <w:rStyle w:val="kursiv"/>
        </w:rPr>
        <w:t>Endringar</w:t>
      </w:r>
      <w:proofErr w:type="spellEnd"/>
      <w:r w:rsidRPr="00225D4D">
        <w:rPr>
          <w:rStyle w:val="kursiv"/>
        </w:rPr>
        <w:t xml:space="preserve"> i krisesenterlova (</w:t>
      </w:r>
      <w:proofErr w:type="spellStart"/>
      <w:r w:rsidRPr="00225D4D">
        <w:rPr>
          <w:rStyle w:val="kursiv"/>
        </w:rPr>
        <w:t>tydeleggjering</w:t>
      </w:r>
      <w:proofErr w:type="spellEnd"/>
      <w:r w:rsidRPr="00225D4D">
        <w:rPr>
          <w:rStyle w:val="kursiv"/>
        </w:rPr>
        <w:t xml:space="preserve"> av det kommunale ansvaret og grunnlag for behandling av </w:t>
      </w:r>
      <w:proofErr w:type="spellStart"/>
      <w:r w:rsidRPr="00225D4D">
        <w:rPr>
          <w:rStyle w:val="kursiv"/>
        </w:rPr>
        <w:t>personopplysningar</w:t>
      </w:r>
      <w:proofErr w:type="spellEnd"/>
      <w:r w:rsidRPr="00225D4D">
        <w:rPr>
          <w:rStyle w:val="kursiv"/>
        </w:rPr>
        <w:t xml:space="preserve"> m.m</w:t>
      </w:r>
      <w:r w:rsidRPr="00225D4D">
        <w:t>.</w:t>
      </w:r>
      <w:r w:rsidRPr="00225D4D">
        <w:rPr>
          <w:rStyle w:val="kursiv"/>
        </w:rPr>
        <w:t>)</w:t>
      </w:r>
      <w:r w:rsidRPr="00225D4D">
        <w:t xml:space="preserve">. I proposisjonen har departementet presisert at det er </w:t>
      </w:r>
      <w:proofErr w:type="spellStart"/>
      <w:r w:rsidRPr="00225D4D">
        <w:t>grunnleggjande</w:t>
      </w:r>
      <w:proofErr w:type="spellEnd"/>
      <w:r w:rsidRPr="00225D4D">
        <w:t xml:space="preserve"> at </w:t>
      </w:r>
      <w:proofErr w:type="spellStart"/>
      <w:r w:rsidRPr="00225D4D">
        <w:t>krisesentertilbodet</w:t>
      </w:r>
      <w:proofErr w:type="spellEnd"/>
      <w:r w:rsidRPr="00225D4D">
        <w:t xml:space="preserve"> skal </w:t>
      </w:r>
      <w:proofErr w:type="spellStart"/>
      <w:r w:rsidRPr="00225D4D">
        <w:t>vere</w:t>
      </w:r>
      <w:proofErr w:type="spellEnd"/>
      <w:r w:rsidRPr="00225D4D">
        <w:t xml:space="preserve"> </w:t>
      </w:r>
      <w:proofErr w:type="spellStart"/>
      <w:r w:rsidRPr="00225D4D">
        <w:t>eit</w:t>
      </w:r>
      <w:proofErr w:type="spellEnd"/>
      <w:r w:rsidRPr="00225D4D">
        <w:t xml:space="preserve"> </w:t>
      </w:r>
      <w:proofErr w:type="spellStart"/>
      <w:r w:rsidRPr="00225D4D">
        <w:t>lågterskeltilbod</w:t>
      </w:r>
      <w:proofErr w:type="spellEnd"/>
      <w:r w:rsidRPr="00225D4D">
        <w:t xml:space="preserve">. </w:t>
      </w:r>
      <w:proofErr w:type="spellStart"/>
      <w:r w:rsidRPr="00225D4D">
        <w:t>Vidare</w:t>
      </w:r>
      <w:proofErr w:type="spellEnd"/>
      <w:r w:rsidRPr="00225D4D">
        <w:t xml:space="preserve"> har departementet </w:t>
      </w:r>
      <w:proofErr w:type="spellStart"/>
      <w:r w:rsidRPr="00225D4D">
        <w:t>peikt</w:t>
      </w:r>
      <w:proofErr w:type="spellEnd"/>
      <w:r w:rsidRPr="00225D4D">
        <w:t xml:space="preserve"> på at dersom </w:t>
      </w:r>
      <w:proofErr w:type="spellStart"/>
      <w:r w:rsidRPr="00225D4D">
        <w:t>eigendelar</w:t>
      </w:r>
      <w:proofErr w:type="spellEnd"/>
      <w:r w:rsidRPr="00225D4D">
        <w:t xml:space="preserve"> til utgifter til mat til kostpris </w:t>
      </w:r>
      <w:proofErr w:type="spellStart"/>
      <w:r w:rsidRPr="00225D4D">
        <w:t>gjer</w:t>
      </w:r>
      <w:proofErr w:type="spellEnd"/>
      <w:r w:rsidRPr="00225D4D">
        <w:t xml:space="preserve"> at </w:t>
      </w:r>
      <w:proofErr w:type="spellStart"/>
      <w:r w:rsidRPr="00225D4D">
        <w:t>einskilde</w:t>
      </w:r>
      <w:proofErr w:type="spellEnd"/>
      <w:r w:rsidRPr="00225D4D">
        <w:t xml:space="preserve"> </w:t>
      </w:r>
      <w:proofErr w:type="spellStart"/>
      <w:r w:rsidRPr="00225D4D">
        <w:t>valdsutsette</w:t>
      </w:r>
      <w:proofErr w:type="spellEnd"/>
      <w:r w:rsidRPr="00225D4D">
        <w:t xml:space="preserve"> av økonomiske </w:t>
      </w:r>
      <w:proofErr w:type="spellStart"/>
      <w:r w:rsidRPr="00225D4D">
        <w:t>grunnar</w:t>
      </w:r>
      <w:proofErr w:type="spellEnd"/>
      <w:r w:rsidRPr="00225D4D">
        <w:t xml:space="preserve"> </w:t>
      </w:r>
      <w:proofErr w:type="spellStart"/>
      <w:r w:rsidRPr="00225D4D">
        <w:t>ikkje</w:t>
      </w:r>
      <w:proofErr w:type="spellEnd"/>
      <w:r w:rsidRPr="00225D4D">
        <w:t xml:space="preserve"> </w:t>
      </w:r>
      <w:proofErr w:type="spellStart"/>
      <w:r w:rsidRPr="00225D4D">
        <w:t>søkjer</w:t>
      </w:r>
      <w:proofErr w:type="spellEnd"/>
      <w:r w:rsidRPr="00225D4D">
        <w:t xml:space="preserve"> vern på krisesenteret, vil </w:t>
      </w:r>
      <w:proofErr w:type="spellStart"/>
      <w:r w:rsidRPr="00225D4D">
        <w:t>tilbodet</w:t>
      </w:r>
      <w:proofErr w:type="spellEnd"/>
      <w:r w:rsidRPr="00225D4D">
        <w:t xml:space="preserve"> </w:t>
      </w:r>
      <w:proofErr w:type="spellStart"/>
      <w:r w:rsidRPr="00225D4D">
        <w:t>ikkje</w:t>
      </w:r>
      <w:proofErr w:type="spellEnd"/>
      <w:r w:rsidRPr="00225D4D">
        <w:t xml:space="preserve"> lenger </w:t>
      </w:r>
      <w:proofErr w:type="spellStart"/>
      <w:r w:rsidRPr="00225D4D">
        <w:t>vere</w:t>
      </w:r>
      <w:proofErr w:type="spellEnd"/>
      <w:r w:rsidRPr="00225D4D">
        <w:t xml:space="preserve"> </w:t>
      </w:r>
      <w:proofErr w:type="spellStart"/>
      <w:r w:rsidRPr="00225D4D">
        <w:t>eit</w:t>
      </w:r>
      <w:proofErr w:type="spellEnd"/>
      <w:r w:rsidRPr="00225D4D">
        <w:t xml:space="preserve"> reelt </w:t>
      </w:r>
      <w:proofErr w:type="spellStart"/>
      <w:r w:rsidRPr="00225D4D">
        <w:t>lågterskeltilbod</w:t>
      </w:r>
      <w:proofErr w:type="spellEnd"/>
      <w:r w:rsidRPr="00225D4D">
        <w:t xml:space="preserve">. </w:t>
      </w:r>
      <w:proofErr w:type="spellStart"/>
      <w:r w:rsidRPr="00225D4D">
        <w:t>Sjølv</w:t>
      </w:r>
      <w:proofErr w:type="spellEnd"/>
      <w:r w:rsidRPr="00225D4D">
        <w:t xml:space="preserve"> om det er høve til å ta </w:t>
      </w:r>
      <w:proofErr w:type="spellStart"/>
      <w:r w:rsidRPr="00225D4D">
        <w:t>eigendel</w:t>
      </w:r>
      <w:proofErr w:type="spellEnd"/>
      <w:r w:rsidRPr="00225D4D">
        <w:t xml:space="preserve"> til utgifter til mat til kostpris, må </w:t>
      </w:r>
      <w:proofErr w:type="spellStart"/>
      <w:r w:rsidRPr="00225D4D">
        <w:t>kommunane</w:t>
      </w:r>
      <w:proofErr w:type="spellEnd"/>
      <w:r w:rsidRPr="00225D4D">
        <w:t xml:space="preserve"> derfor vurdere om </w:t>
      </w:r>
      <w:proofErr w:type="spellStart"/>
      <w:r w:rsidRPr="00225D4D">
        <w:t>eigendelar</w:t>
      </w:r>
      <w:proofErr w:type="spellEnd"/>
      <w:r w:rsidRPr="00225D4D">
        <w:t xml:space="preserve"> i praksis vil </w:t>
      </w:r>
      <w:proofErr w:type="spellStart"/>
      <w:r w:rsidRPr="00225D4D">
        <w:t>innebere</w:t>
      </w:r>
      <w:proofErr w:type="spellEnd"/>
      <w:r w:rsidRPr="00225D4D">
        <w:t xml:space="preserve"> ei hindring for at </w:t>
      </w:r>
      <w:proofErr w:type="spellStart"/>
      <w:r w:rsidRPr="00225D4D">
        <w:t>valdsutsette</w:t>
      </w:r>
      <w:proofErr w:type="spellEnd"/>
      <w:r w:rsidRPr="00225D4D">
        <w:t xml:space="preserve"> </w:t>
      </w:r>
      <w:proofErr w:type="spellStart"/>
      <w:r w:rsidRPr="00225D4D">
        <w:t>oppsøkjer</w:t>
      </w:r>
      <w:proofErr w:type="spellEnd"/>
      <w:r w:rsidRPr="00225D4D">
        <w:t xml:space="preserve"> hjelp. </w:t>
      </w:r>
      <w:proofErr w:type="spellStart"/>
      <w:r w:rsidRPr="00225D4D">
        <w:t>Desse</w:t>
      </w:r>
      <w:proofErr w:type="spellEnd"/>
      <w:r w:rsidRPr="00225D4D">
        <w:t xml:space="preserve"> </w:t>
      </w:r>
      <w:proofErr w:type="spellStart"/>
      <w:r w:rsidRPr="00225D4D">
        <w:t>føringane</w:t>
      </w:r>
      <w:proofErr w:type="spellEnd"/>
      <w:r w:rsidRPr="00225D4D">
        <w:t xml:space="preserve"> etter </w:t>
      </w:r>
      <w:proofErr w:type="spellStart"/>
      <w:r w:rsidRPr="00225D4D">
        <w:t>gjeldande</w:t>
      </w:r>
      <w:proofErr w:type="spellEnd"/>
      <w:r w:rsidRPr="00225D4D">
        <w:t xml:space="preserve"> rett tek etter departementet </w:t>
      </w:r>
      <w:proofErr w:type="spellStart"/>
      <w:r w:rsidRPr="00225D4D">
        <w:t>si</w:t>
      </w:r>
      <w:proofErr w:type="spellEnd"/>
      <w:r w:rsidRPr="00225D4D">
        <w:t xml:space="preserve"> vurdering hand om både omsynet til </w:t>
      </w:r>
      <w:proofErr w:type="spellStart"/>
      <w:r w:rsidRPr="00225D4D">
        <w:t>valdsutsette</w:t>
      </w:r>
      <w:proofErr w:type="spellEnd"/>
      <w:r w:rsidRPr="00225D4D">
        <w:t xml:space="preserve"> og det kommunale </w:t>
      </w:r>
      <w:proofErr w:type="spellStart"/>
      <w:r w:rsidRPr="00225D4D">
        <w:t>sjølvstyret</w:t>
      </w:r>
      <w:proofErr w:type="spellEnd"/>
      <w:r w:rsidRPr="00225D4D">
        <w:t xml:space="preserve">. Departementet har gitt </w:t>
      </w:r>
      <w:proofErr w:type="spellStart"/>
      <w:r w:rsidRPr="00225D4D">
        <w:t>Bufdir</w:t>
      </w:r>
      <w:proofErr w:type="spellEnd"/>
      <w:r w:rsidRPr="00225D4D">
        <w:t xml:space="preserve"> i oppdrag å oppdatere </w:t>
      </w:r>
      <w:r w:rsidRPr="00225D4D">
        <w:rPr>
          <w:rStyle w:val="kursiv"/>
        </w:rPr>
        <w:t>Veileder til krisesenterloven</w:t>
      </w:r>
      <w:r w:rsidRPr="00225D4D">
        <w:t xml:space="preserve"> i tråd med dette.</w:t>
      </w:r>
    </w:p>
    <w:p w14:paraId="313990D3"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0875BCBB" w14:textId="77777777" w:rsidR="00D60186" w:rsidRPr="00225D4D" w:rsidRDefault="00D60186" w:rsidP="00225D4D">
      <w:pPr>
        <w:pStyle w:val="avsnitt-tittel"/>
      </w:pPr>
      <w:proofErr w:type="spellStart"/>
      <w:r w:rsidRPr="00225D4D">
        <w:t>Tverrfagleg</w:t>
      </w:r>
      <w:proofErr w:type="spellEnd"/>
      <w:r w:rsidRPr="00225D4D">
        <w:t xml:space="preserve"> kompetanse på rus og vald i </w:t>
      </w:r>
      <w:proofErr w:type="spellStart"/>
      <w:r w:rsidRPr="00225D4D">
        <w:t>krisesentera</w:t>
      </w:r>
      <w:proofErr w:type="spellEnd"/>
    </w:p>
    <w:p w14:paraId="27D60FC0" w14:textId="77777777" w:rsidR="00D60186" w:rsidRPr="00225D4D" w:rsidRDefault="00D60186" w:rsidP="00225D4D">
      <w:pPr>
        <w:pStyle w:val="avsnitt-undertittel"/>
      </w:pPr>
      <w:r w:rsidRPr="00225D4D">
        <w:t>Vedtak 1124, 3. juni 2021</w:t>
      </w:r>
    </w:p>
    <w:p w14:paraId="5A270CF8" w14:textId="77777777" w:rsidR="00D60186" w:rsidRPr="00225D4D" w:rsidRDefault="00D60186" w:rsidP="00225D4D">
      <w:pPr>
        <w:pStyle w:val="blokksit"/>
      </w:pPr>
      <w:r w:rsidRPr="00225D4D">
        <w:t>«</w:t>
      </w:r>
      <w:r w:rsidRPr="00225D4D">
        <w:rPr>
          <w:rStyle w:val="kursiv"/>
        </w:rPr>
        <w:t>Stortinget ber regjeringen sikre at òg personer i aktiv rus har tilgang til et krisesentertilbud med ansatte som har tverrfaglig kompetanse på rus og vold, enten i tilknytning til eksisterende krisesentre eller som selvstendig tilbud.</w:t>
      </w:r>
      <w:r w:rsidRPr="00225D4D">
        <w:t>»</w:t>
      </w:r>
    </w:p>
    <w:p w14:paraId="2729663B"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eit</w:t>
      </w:r>
      <w:proofErr w:type="spellEnd"/>
      <w:r w:rsidRPr="00225D4D">
        <w:t xml:space="preserve"> representantforslag om </w:t>
      </w:r>
      <w:proofErr w:type="gramStart"/>
      <w:r w:rsidRPr="00225D4D">
        <w:t xml:space="preserve">ei </w:t>
      </w:r>
      <w:proofErr w:type="spellStart"/>
      <w:r w:rsidRPr="00225D4D">
        <w:t>førebyggings</w:t>
      </w:r>
      <w:proofErr w:type="spellEnd"/>
      <w:r w:rsidRPr="00225D4D">
        <w:t>- og behandlingsreform</w:t>
      </w:r>
      <w:proofErr w:type="gramEnd"/>
      <w:r w:rsidRPr="00225D4D">
        <w:t xml:space="preserve"> på rusfeltet, jf. </w:t>
      </w:r>
      <w:proofErr w:type="spellStart"/>
      <w:r w:rsidRPr="00225D4D">
        <w:t>Dok</w:t>
      </w:r>
      <w:proofErr w:type="spellEnd"/>
      <w:r w:rsidRPr="00225D4D">
        <w:t xml:space="preserve">. 8:119 S (2020–2021) og </w:t>
      </w:r>
      <w:proofErr w:type="spellStart"/>
      <w:r w:rsidRPr="00225D4D">
        <w:t>Innst</w:t>
      </w:r>
      <w:proofErr w:type="spellEnd"/>
      <w:r w:rsidRPr="00225D4D">
        <w:t>. 578 S (2020–2021).</w:t>
      </w:r>
    </w:p>
    <w:p w14:paraId="7A439AA1" w14:textId="77777777" w:rsidR="00D60186" w:rsidRPr="00225D4D" w:rsidRDefault="00D60186" w:rsidP="00225D4D">
      <w:r w:rsidRPr="00225D4D">
        <w:t xml:space="preserve">Den 16. juni 2025 vedtok Stortinget </w:t>
      </w:r>
      <w:proofErr w:type="spellStart"/>
      <w:r w:rsidRPr="00225D4D">
        <w:t>endringar</w:t>
      </w:r>
      <w:proofErr w:type="spellEnd"/>
      <w:r w:rsidRPr="00225D4D">
        <w:t xml:space="preserve"> i krisesenterlova, jf. </w:t>
      </w:r>
      <w:proofErr w:type="spellStart"/>
      <w:r w:rsidRPr="00225D4D">
        <w:t>Prop</w:t>
      </w:r>
      <w:proofErr w:type="spellEnd"/>
      <w:r w:rsidRPr="00225D4D">
        <w:t xml:space="preserve">. 122 L (2024–2025) </w:t>
      </w:r>
      <w:proofErr w:type="spellStart"/>
      <w:r w:rsidRPr="00225D4D">
        <w:rPr>
          <w:rStyle w:val="kursiv"/>
        </w:rPr>
        <w:t>Endringar</w:t>
      </w:r>
      <w:proofErr w:type="spellEnd"/>
      <w:r w:rsidRPr="00225D4D">
        <w:rPr>
          <w:rStyle w:val="kursiv"/>
        </w:rPr>
        <w:t xml:space="preserve"> i krisesenterlova (</w:t>
      </w:r>
      <w:proofErr w:type="spellStart"/>
      <w:r w:rsidRPr="00225D4D">
        <w:rPr>
          <w:rStyle w:val="kursiv"/>
        </w:rPr>
        <w:t>tydeleggjering</w:t>
      </w:r>
      <w:proofErr w:type="spellEnd"/>
      <w:r w:rsidRPr="00225D4D">
        <w:rPr>
          <w:rStyle w:val="kursiv"/>
        </w:rPr>
        <w:t xml:space="preserve"> av det kommunale ansvaret og grunnlag for behandling av </w:t>
      </w:r>
      <w:proofErr w:type="spellStart"/>
      <w:r w:rsidRPr="00225D4D">
        <w:rPr>
          <w:rStyle w:val="kursiv"/>
        </w:rPr>
        <w:t>personopplysningar</w:t>
      </w:r>
      <w:proofErr w:type="spellEnd"/>
      <w:r w:rsidRPr="00225D4D">
        <w:rPr>
          <w:rStyle w:val="kursiv"/>
        </w:rPr>
        <w:t xml:space="preserve"> m.m.)</w:t>
      </w:r>
      <w:r w:rsidRPr="00225D4D">
        <w:t xml:space="preserve"> og </w:t>
      </w:r>
      <w:proofErr w:type="spellStart"/>
      <w:r w:rsidRPr="00225D4D">
        <w:t>Innst</w:t>
      </w:r>
      <w:proofErr w:type="spellEnd"/>
      <w:r w:rsidRPr="00225D4D">
        <w:t>. 439 L (2024–2025).</w:t>
      </w:r>
    </w:p>
    <w:p w14:paraId="0E901158" w14:textId="77777777" w:rsidR="00D60186" w:rsidRPr="00225D4D" w:rsidRDefault="00D60186" w:rsidP="00225D4D">
      <w:r w:rsidRPr="00225D4D">
        <w:t xml:space="preserve">Endringa i krisesenterlova § 3 </w:t>
      </w:r>
      <w:proofErr w:type="spellStart"/>
      <w:r w:rsidRPr="00225D4D">
        <w:t>inneber</w:t>
      </w:r>
      <w:proofErr w:type="spellEnd"/>
      <w:r w:rsidRPr="00225D4D">
        <w:t xml:space="preserve"> mellom anna at det er </w:t>
      </w:r>
      <w:proofErr w:type="spellStart"/>
      <w:r w:rsidRPr="00225D4D">
        <w:t>tydeleggjort</w:t>
      </w:r>
      <w:proofErr w:type="spellEnd"/>
      <w:r w:rsidRPr="00225D4D">
        <w:t xml:space="preserve"> i lova at kommunen har plikt til å </w:t>
      </w:r>
      <w:proofErr w:type="spellStart"/>
      <w:r w:rsidRPr="00225D4D">
        <w:t>sørgje</w:t>
      </w:r>
      <w:proofErr w:type="spellEnd"/>
      <w:r w:rsidRPr="00225D4D">
        <w:t xml:space="preserve"> for likeverdige alternative </w:t>
      </w:r>
      <w:proofErr w:type="spellStart"/>
      <w:r w:rsidRPr="00225D4D">
        <w:t>krisesentertilbod</w:t>
      </w:r>
      <w:proofErr w:type="spellEnd"/>
      <w:r w:rsidRPr="00225D4D">
        <w:t xml:space="preserve"> for </w:t>
      </w:r>
      <w:proofErr w:type="spellStart"/>
      <w:r w:rsidRPr="00225D4D">
        <w:t>brukarar</w:t>
      </w:r>
      <w:proofErr w:type="spellEnd"/>
      <w:r w:rsidRPr="00225D4D">
        <w:t xml:space="preserve"> som </w:t>
      </w:r>
      <w:proofErr w:type="spellStart"/>
      <w:r w:rsidRPr="00225D4D">
        <w:t>ikkje</w:t>
      </w:r>
      <w:proofErr w:type="spellEnd"/>
      <w:r w:rsidRPr="00225D4D">
        <w:t xml:space="preserve"> kan nytte det </w:t>
      </w:r>
      <w:proofErr w:type="spellStart"/>
      <w:r w:rsidRPr="00225D4D">
        <w:t>vanlege</w:t>
      </w:r>
      <w:proofErr w:type="spellEnd"/>
      <w:r w:rsidRPr="00225D4D">
        <w:t xml:space="preserve"> </w:t>
      </w:r>
      <w:proofErr w:type="spellStart"/>
      <w:r w:rsidRPr="00225D4D">
        <w:t>butilbodet</w:t>
      </w:r>
      <w:proofErr w:type="spellEnd"/>
      <w:r w:rsidRPr="00225D4D">
        <w:t xml:space="preserve"> ved krisesenteret. Dette vil omfatte </w:t>
      </w:r>
      <w:proofErr w:type="spellStart"/>
      <w:r w:rsidRPr="00225D4D">
        <w:t>brukarar</w:t>
      </w:r>
      <w:proofErr w:type="spellEnd"/>
      <w:r w:rsidRPr="00225D4D">
        <w:t xml:space="preserve"> som på grunn av eigen eller andre sin tryggleik, individuelle behov eller av omsyn til andre </w:t>
      </w:r>
      <w:proofErr w:type="spellStart"/>
      <w:r w:rsidRPr="00225D4D">
        <w:t>brukarar</w:t>
      </w:r>
      <w:proofErr w:type="spellEnd"/>
      <w:r w:rsidRPr="00225D4D">
        <w:t xml:space="preserve"> </w:t>
      </w:r>
      <w:proofErr w:type="spellStart"/>
      <w:r w:rsidRPr="00225D4D">
        <w:t>ikkje</w:t>
      </w:r>
      <w:proofErr w:type="spellEnd"/>
      <w:r w:rsidRPr="00225D4D">
        <w:t xml:space="preserve"> kan </w:t>
      </w:r>
      <w:proofErr w:type="spellStart"/>
      <w:r w:rsidRPr="00225D4D">
        <w:t>vere</w:t>
      </w:r>
      <w:proofErr w:type="spellEnd"/>
      <w:r w:rsidRPr="00225D4D">
        <w:t xml:space="preserve"> på krisesenter, til dømes </w:t>
      </w:r>
      <w:proofErr w:type="spellStart"/>
      <w:r w:rsidRPr="00225D4D">
        <w:t>brukarar</w:t>
      </w:r>
      <w:proofErr w:type="spellEnd"/>
      <w:r w:rsidRPr="00225D4D">
        <w:t xml:space="preserve"> med rusmiddelproblem. Lovendringa tek til å gjelde </w:t>
      </w:r>
      <w:proofErr w:type="spellStart"/>
      <w:r w:rsidRPr="00225D4D">
        <w:t>frå</w:t>
      </w:r>
      <w:proofErr w:type="spellEnd"/>
      <w:r w:rsidRPr="00225D4D">
        <w:t xml:space="preserve"> 1. januar 2026. Det skal </w:t>
      </w:r>
      <w:proofErr w:type="spellStart"/>
      <w:r w:rsidRPr="00225D4D">
        <w:t>leggjast</w:t>
      </w:r>
      <w:proofErr w:type="spellEnd"/>
      <w:r w:rsidRPr="00225D4D">
        <w:t xml:space="preserve"> til at det </w:t>
      </w:r>
      <w:proofErr w:type="spellStart"/>
      <w:r w:rsidRPr="00225D4D">
        <w:t>allereie</w:t>
      </w:r>
      <w:proofErr w:type="spellEnd"/>
      <w:r w:rsidRPr="00225D4D">
        <w:t xml:space="preserve"> følgjer av krisesenterlova at kommunen skal </w:t>
      </w:r>
      <w:proofErr w:type="spellStart"/>
      <w:r w:rsidRPr="00225D4D">
        <w:t>sørgje</w:t>
      </w:r>
      <w:proofErr w:type="spellEnd"/>
      <w:r w:rsidRPr="00225D4D">
        <w:t xml:space="preserve"> for god kvalitet på </w:t>
      </w:r>
      <w:proofErr w:type="spellStart"/>
      <w:r w:rsidRPr="00225D4D">
        <w:t>tilbodet</w:t>
      </w:r>
      <w:proofErr w:type="spellEnd"/>
      <w:r w:rsidRPr="00225D4D">
        <w:t xml:space="preserve">, mellom anna ved at </w:t>
      </w:r>
      <w:proofErr w:type="spellStart"/>
      <w:r w:rsidRPr="00225D4D">
        <w:t>dei</w:t>
      </w:r>
      <w:proofErr w:type="spellEnd"/>
      <w:r w:rsidRPr="00225D4D">
        <w:t xml:space="preserve"> tilsette har kompetanse til å ta hand om </w:t>
      </w:r>
      <w:proofErr w:type="spellStart"/>
      <w:r w:rsidRPr="00225D4D">
        <w:t>dei</w:t>
      </w:r>
      <w:proofErr w:type="spellEnd"/>
      <w:r w:rsidRPr="00225D4D">
        <w:t xml:space="preserve"> </w:t>
      </w:r>
      <w:proofErr w:type="spellStart"/>
      <w:r w:rsidRPr="00225D4D">
        <w:t>særskilde</w:t>
      </w:r>
      <w:proofErr w:type="spellEnd"/>
      <w:r w:rsidRPr="00225D4D">
        <w:t xml:space="preserve"> behova til </w:t>
      </w:r>
      <w:proofErr w:type="spellStart"/>
      <w:r w:rsidRPr="00225D4D">
        <w:t>brukarane</w:t>
      </w:r>
      <w:proofErr w:type="spellEnd"/>
      <w:r w:rsidRPr="00225D4D">
        <w:t xml:space="preserve">, jf. krisesenterlova § 2 fjerde ledd, som vil gjelde på </w:t>
      </w:r>
      <w:proofErr w:type="spellStart"/>
      <w:r w:rsidRPr="00225D4D">
        <w:t>vanleg</w:t>
      </w:r>
      <w:proofErr w:type="spellEnd"/>
      <w:r w:rsidRPr="00225D4D">
        <w:t xml:space="preserve"> måte. I den </w:t>
      </w:r>
      <w:proofErr w:type="spellStart"/>
      <w:r w:rsidRPr="00225D4D">
        <w:t>faglege</w:t>
      </w:r>
      <w:proofErr w:type="spellEnd"/>
      <w:r w:rsidRPr="00225D4D">
        <w:t xml:space="preserve"> rettleiinga for </w:t>
      </w:r>
      <w:proofErr w:type="spellStart"/>
      <w:r w:rsidRPr="00225D4D">
        <w:t>innhaldet</w:t>
      </w:r>
      <w:proofErr w:type="spellEnd"/>
      <w:r w:rsidRPr="00225D4D">
        <w:t xml:space="preserve"> i </w:t>
      </w:r>
      <w:proofErr w:type="spellStart"/>
      <w:r w:rsidRPr="00225D4D">
        <w:t>krisesentertilbodet</w:t>
      </w:r>
      <w:proofErr w:type="spellEnd"/>
      <w:r w:rsidRPr="00225D4D">
        <w:t xml:space="preserve"> </w:t>
      </w:r>
      <w:proofErr w:type="spellStart"/>
      <w:r w:rsidRPr="00225D4D">
        <w:t>frå</w:t>
      </w:r>
      <w:proofErr w:type="spellEnd"/>
      <w:r w:rsidRPr="00225D4D">
        <w:t xml:space="preserve"> Barne-, ungdoms- og familiedirektoratet går det </w:t>
      </w:r>
      <w:proofErr w:type="spellStart"/>
      <w:r w:rsidRPr="00225D4D">
        <w:t>vidare</w:t>
      </w:r>
      <w:proofErr w:type="spellEnd"/>
      <w:r w:rsidRPr="00225D4D">
        <w:t xml:space="preserve"> fram at </w:t>
      </w:r>
      <w:proofErr w:type="spellStart"/>
      <w:r w:rsidRPr="00225D4D">
        <w:t>krisesentera</w:t>
      </w:r>
      <w:proofErr w:type="spellEnd"/>
      <w:r w:rsidRPr="00225D4D">
        <w:t xml:space="preserve"> bør ha kunnskap om vald som </w:t>
      </w:r>
      <w:proofErr w:type="spellStart"/>
      <w:r w:rsidRPr="00225D4D">
        <w:t>rammar</w:t>
      </w:r>
      <w:proofErr w:type="spellEnd"/>
      <w:r w:rsidRPr="00225D4D">
        <w:t xml:space="preserve"> </w:t>
      </w:r>
      <w:proofErr w:type="spellStart"/>
      <w:r w:rsidRPr="00225D4D">
        <w:t>personar</w:t>
      </w:r>
      <w:proofErr w:type="spellEnd"/>
      <w:r w:rsidRPr="00225D4D">
        <w:t xml:space="preserve"> med </w:t>
      </w:r>
      <w:proofErr w:type="spellStart"/>
      <w:r w:rsidRPr="00225D4D">
        <w:t>alvorlege</w:t>
      </w:r>
      <w:proofErr w:type="spellEnd"/>
      <w:r w:rsidRPr="00225D4D">
        <w:t xml:space="preserve"> rusproblem, og om individuell tilrettelegging for denne gruppa.</w:t>
      </w:r>
    </w:p>
    <w:p w14:paraId="47F62460"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48DE54AF" w14:textId="77777777" w:rsidR="00D60186" w:rsidRPr="00225D4D" w:rsidRDefault="00D60186" w:rsidP="00225D4D">
      <w:pPr>
        <w:pStyle w:val="avsnitt-tittel"/>
      </w:pPr>
      <w:r w:rsidRPr="00225D4D">
        <w:t xml:space="preserve">Krav om autorisasjon for </w:t>
      </w:r>
      <w:proofErr w:type="gramStart"/>
      <w:r w:rsidRPr="00225D4D">
        <w:t>tilsette</w:t>
      </w:r>
      <w:proofErr w:type="gramEnd"/>
      <w:r w:rsidRPr="00225D4D">
        <w:t xml:space="preserve"> som skal jobbe med </w:t>
      </w:r>
      <w:proofErr w:type="spellStart"/>
      <w:r w:rsidRPr="00225D4D">
        <w:t>omsorgsovertakingar</w:t>
      </w:r>
      <w:proofErr w:type="spellEnd"/>
    </w:p>
    <w:p w14:paraId="1463A74D" w14:textId="77777777" w:rsidR="00D60186" w:rsidRPr="00225D4D" w:rsidRDefault="00D60186" w:rsidP="00225D4D">
      <w:pPr>
        <w:pStyle w:val="avsnitt-undertittel"/>
      </w:pPr>
      <w:r w:rsidRPr="00225D4D">
        <w:t>Vedtak 1195, 10. juni 2021</w:t>
      </w:r>
    </w:p>
    <w:p w14:paraId="4E15F3C3" w14:textId="77777777" w:rsidR="00D60186" w:rsidRPr="00225D4D" w:rsidRDefault="00D60186" w:rsidP="00225D4D">
      <w:pPr>
        <w:pStyle w:val="blokksit"/>
      </w:pPr>
      <w:r w:rsidRPr="00225D4D">
        <w:t>«</w:t>
      </w:r>
      <w:r w:rsidRPr="00225D4D">
        <w:rPr>
          <w:rStyle w:val="kursiv"/>
        </w:rPr>
        <w:t>Stortinget ber regjeringen utrede krav om autorisasjon for de som skal jobbe med omsorgsovertakelser.</w:t>
      </w:r>
      <w:r w:rsidRPr="00225D4D">
        <w:t>»</w:t>
      </w:r>
    </w:p>
    <w:p w14:paraId="3B3561EC"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133 L (2020–2021) </w:t>
      </w:r>
      <w:r w:rsidRPr="00225D4D">
        <w:rPr>
          <w:rStyle w:val="kursiv"/>
        </w:rPr>
        <w:t>Lov om barnevern (barnevernsloven) og lov om endringer i barnevernloven</w:t>
      </w:r>
      <w:r w:rsidRPr="00225D4D">
        <w:t xml:space="preserve">, jf. </w:t>
      </w:r>
      <w:proofErr w:type="spellStart"/>
      <w:r w:rsidRPr="00225D4D">
        <w:t>Innst</w:t>
      </w:r>
      <w:proofErr w:type="spellEnd"/>
      <w:r w:rsidRPr="00225D4D">
        <w:t>. 625 L (2020–2021).</w:t>
      </w:r>
    </w:p>
    <w:p w14:paraId="09FA6BA9" w14:textId="77777777" w:rsidR="00D60186" w:rsidRPr="00225D4D" w:rsidRDefault="00D60186" w:rsidP="00225D4D">
      <w:proofErr w:type="spellStart"/>
      <w:r w:rsidRPr="00225D4D">
        <w:t>Barnevernsutvalet</w:t>
      </w:r>
      <w:proofErr w:type="spellEnd"/>
      <w:r w:rsidRPr="00225D4D">
        <w:t xml:space="preserve"> </w:t>
      </w:r>
      <w:proofErr w:type="spellStart"/>
      <w:r w:rsidRPr="00225D4D">
        <w:t>fekk</w:t>
      </w:r>
      <w:proofErr w:type="spellEnd"/>
      <w:r w:rsidRPr="00225D4D">
        <w:t xml:space="preserve"> i mandat å greie ut «</w:t>
      </w:r>
      <w:r w:rsidRPr="00225D4D">
        <w:rPr>
          <w:rStyle w:val="kursiv"/>
        </w:rPr>
        <w:t xml:space="preserve">ordninger for offentlig godkjenning av personell, herunder </w:t>
      </w:r>
      <w:r w:rsidRPr="00225D4D">
        <w:t>[…]</w:t>
      </w:r>
      <w:r w:rsidRPr="00225D4D">
        <w:rPr>
          <w:rStyle w:val="kursiv"/>
        </w:rPr>
        <w:t xml:space="preserve"> autorisasjon for de i barnevernet som skal jobbe med omsorgsovertakelse </w:t>
      </w:r>
      <w:r w:rsidRPr="00225D4D">
        <w:t>[…]»</w:t>
      </w:r>
      <w:r w:rsidRPr="00225D4D">
        <w:rPr>
          <w:rStyle w:val="kursiv"/>
        </w:rPr>
        <w:t>.</w:t>
      </w:r>
      <w:r w:rsidRPr="00225D4D">
        <w:t xml:space="preserve"> </w:t>
      </w:r>
      <w:proofErr w:type="spellStart"/>
      <w:r w:rsidRPr="00225D4D">
        <w:t>Fleirtalet</w:t>
      </w:r>
      <w:proofErr w:type="spellEnd"/>
      <w:r w:rsidRPr="00225D4D">
        <w:t xml:space="preserve"> i </w:t>
      </w:r>
      <w:proofErr w:type="spellStart"/>
      <w:r w:rsidRPr="00225D4D">
        <w:t>utvalet</w:t>
      </w:r>
      <w:proofErr w:type="spellEnd"/>
      <w:r w:rsidRPr="00225D4D">
        <w:t xml:space="preserve"> uttalte i NOU 2023: 7 </w:t>
      </w:r>
      <w:r w:rsidRPr="00225D4D">
        <w:rPr>
          <w:rStyle w:val="kursiv"/>
        </w:rPr>
        <w:t>Trygg barndom</w:t>
      </w:r>
      <w:r w:rsidRPr="00225D4D">
        <w:t xml:space="preserve">, </w:t>
      </w:r>
      <w:r w:rsidRPr="00225D4D">
        <w:rPr>
          <w:rStyle w:val="kursiv"/>
        </w:rPr>
        <w:t>sikker fremtid</w:t>
      </w:r>
      <w:r w:rsidRPr="00225D4D">
        <w:t xml:space="preserve"> at </w:t>
      </w:r>
      <w:proofErr w:type="spellStart"/>
      <w:r w:rsidRPr="00225D4D">
        <w:t>dei</w:t>
      </w:r>
      <w:proofErr w:type="spellEnd"/>
      <w:r w:rsidRPr="00225D4D">
        <w:t xml:space="preserve"> meinte at dette </w:t>
      </w:r>
      <w:proofErr w:type="spellStart"/>
      <w:r w:rsidRPr="00225D4D">
        <w:t>ikkje</w:t>
      </w:r>
      <w:proofErr w:type="spellEnd"/>
      <w:r w:rsidRPr="00225D4D">
        <w:t xml:space="preserve"> var ei god løysing, og </w:t>
      </w:r>
      <w:proofErr w:type="spellStart"/>
      <w:r w:rsidRPr="00225D4D">
        <w:t>føreslo</w:t>
      </w:r>
      <w:proofErr w:type="spellEnd"/>
      <w:r w:rsidRPr="00225D4D">
        <w:t xml:space="preserve"> </w:t>
      </w:r>
      <w:proofErr w:type="spellStart"/>
      <w:r w:rsidRPr="00225D4D">
        <w:t>ikkje</w:t>
      </w:r>
      <w:proofErr w:type="spellEnd"/>
      <w:r w:rsidRPr="00225D4D">
        <w:t xml:space="preserve"> ei autorisasjonsordning. </w:t>
      </w:r>
      <w:proofErr w:type="spellStart"/>
      <w:r w:rsidRPr="00225D4D">
        <w:t>Eit</w:t>
      </w:r>
      <w:proofErr w:type="spellEnd"/>
      <w:r w:rsidRPr="00225D4D">
        <w:t xml:space="preserve"> </w:t>
      </w:r>
      <w:proofErr w:type="spellStart"/>
      <w:r w:rsidRPr="00225D4D">
        <w:t>mindretal</w:t>
      </w:r>
      <w:proofErr w:type="spellEnd"/>
      <w:r w:rsidRPr="00225D4D">
        <w:t xml:space="preserve"> på </w:t>
      </w:r>
      <w:proofErr w:type="spellStart"/>
      <w:r w:rsidRPr="00225D4D">
        <w:t>ein</w:t>
      </w:r>
      <w:proofErr w:type="spellEnd"/>
      <w:r w:rsidRPr="00225D4D">
        <w:t xml:space="preserve"> medlem ville gå </w:t>
      </w:r>
      <w:proofErr w:type="spellStart"/>
      <w:r w:rsidRPr="00225D4D">
        <w:t>vidare</w:t>
      </w:r>
      <w:proofErr w:type="spellEnd"/>
      <w:r w:rsidRPr="00225D4D">
        <w:t xml:space="preserve"> med ei autorisasjonsordning. Utgreiinga har </w:t>
      </w:r>
      <w:proofErr w:type="spellStart"/>
      <w:r w:rsidRPr="00225D4D">
        <w:t>vore</w:t>
      </w:r>
      <w:proofErr w:type="spellEnd"/>
      <w:r w:rsidRPr="00225D4D">
        <w:t xml:space="preserve"> på </w:t>
      </w:r>
      <w:proofErr w:type="spellStart"/>
      <w:r w:rsidRPr="00225D4D">
        <w:t>offentleg</w:t>
      </w:r>
      <w:proofErr w:type="spellEnd"/>
      <w:r w:rsidRPr="00225D4D">
        <w:t xml:space="preserve"> </w:t>
      </w:r>
      <w:proofErr w:type="spellStart"/>
      <w:r w:rsidRPr="00225D4D">
        <w:t>høyring</w:t>
      </w:r>
      <w:proofErr w:type="spellEnd"/>
      <w:r w:rsidRPr="00225D4D">
        <w:t xml:space="preserve"> som gav støtte til tilrådinga </w:t>
      </w:r>
      <w:proofErr w:type="spellStart"/>
      <w:r w:rsidRPr="00225D4D">
        <w:t>frå</w:t>
      </w:r>
      <w:proofErr w:type="spellEnd"/>
      <w:r w:rsidRPr="00225D4D">
        <w:t xml:space="preserve"> </w:t>
      </w:r>
      <w:proofErr w:type="spellStart"/>
      <w:r w:rsidRPr="00225D4D">
        <w:t>fleirtalet</w:t>
      </w:r>
      <w:proofErr w:type="spellEnd"/>
      <w:r w:rsidRPr="00225D4D">
        <w:t xml:space="preserve">. I </w:t>
      </w:r>
      <w:proofErr w:type="spellStart"/>
      <w:r w:rsidRPr="00225D4D">
        <w:t>Prop</w:t>
      </w:r>
      <w:proofErr w:type="spellEnd"/>
      <w:r w:rsidRPr="00225D4D">
        <w:t xml:space="preserve">. 83 L (2024–2025) går det fram at departementet </w:t>
      </w:r>
      <w:proofErr w:type="spellStart"/>
      <w:r w:rsidRPr="00225D4D">
        <w:t>ikkje</w:t>
      </w:r>
      <w:proofErr w:type="spellEnd"/>
      <w:r w:rsidRPr="00225D4D">
        <w:t xml:space="preserve"> går </w:t>
      </w:r>
      <w:proofErr w:type="spellStart"/>
      <w:r w:rsidRPr="00225D4D">
        <w:t>vidare</w:t>
      </w:r>
      <w:proofErr w:type="spellEnd"/>
      <w:r w:rsidRPr="00225D4D">
        <w:t xml:space="preserve"> med </w:t>
      </w:r>
      <w:proofErr w:type="spellStart"/>
      <w:r w:rsidRPr="00225D4D">
        <w:t>eit</w:t>
      </w:r>
      <w:proofErr w:type="spellEnd"/>
      <w:r w:rsidRPr="00225D4D">
        <w:t xml:space="preserve"> forslag om ei autorisasjonsordning. Stortinget </w:t>
      </w:r>
      <w:proofErr w:type="spellStart"/>
      <w:r w:rsidRPr="00225D4D">
        <w:t>slutta</w:t>
      </w:r>
      <w:proofErr w:type="spellEnd"/>
      <w:r w:rsidRPr="00225D4D">
        <w:t xml:space="preserve"> seg til dette då </w:t>
      </w:r>
      <w:proofErr w:type="spellStart"/>
      <w:r w:rsidRPr="00225D4D">
        <w:t>dei</w:t>
      </w:r>
      <w:proofErr w:type="spellEnd"/>
      <w:r w:rsidRPr="00225D4D">
        <w:t xml:space="preserve"> handsama proposisjonen.</w:t>
      </w:r>
    </w:p>
    <w:p w14:paraId="6700EC76"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297C624E" w14:textId="77777777" w:rsidR="00D60186" w:rsidRPr="00225D4D" w:rsidRDefault="00D60186" w:rsidP="00225D4D">
      <w:pPr>
        <w:pStyle w:val="avsnitt-tittel"/>
      </w:pPr>
      <w:r w:rsidRPr="00225D4D">
        <w:t>Ordning med andrehandsvurdering av akuttvedtak</w:t>
      </w:r>
    </w:p>
    <w:p w14:paraId="23D41258" w14:textId="77777777" w:rsidR="00D60186" w:rsidRPr="00225D4D" w:rsidRDefault="00D60186" w:rsidP="00225D4D">
      <w:pPr>
        <w:pStyle w:val="avsnitt-undertittel"/>
      </w:pPr>
      <w:r w:rsidRPr="00225D4D">
        <w:t>Vedtak 1197, 10. juni 2021</w:t>
      </w:r>
    </w:p>
    <w:p w14:paraId="19D082CD" w14:textId="77777777" w:rsidR="00D60186" w:rsidRPr="00225D4D" w:rsidRDefault="00D60186" w:rsidP="00225D4D">
      <w:pPr>
        <w:pStyle w:val="blokksit"/>
      </w:pPr>
      <w:r w:rsidRPr="00225D4D">
        <w:t>«</w:t>
      </w:r>
      <w:r w:rsidRPr="00225D4D">
        <w:rPr>
          <w:rStyle w:val="kursiv"/>
        </w:rPr>
        <w:t>Stortinget ber regjeringen utrede og fremme forslag om å innføre en ordning med annenhåndsvurdering av akutt-/hastevedtak.</w:t>
      </w:r>
      <w:r w:rsidRPr="00225D4D">
        <w:t>»</w:t>
      </w:r>
    </w:p>
    <w:p w14:paraId="6F36BB3A"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133 L (2020–2021) </w:t>
      </w:r>
      <w:r w:rsidRPr="00225D4D">
        <w:rPr>
          <w:rStyle w:val="kursiv"/>
        </w:rPr>
        <w:t>Lov om barnevern (barnevernsloven) og lov om endringer i barnevernloven</w:t>
      </w:r>
      <w:r w:rsidRPr="00225D4D">
        <w:t xml:space="preserve">, jf. </w:t>
      </w:r>
      <w:proofErr w:type="spellStart"/>
      <w:r w:rsidRPr="00225D4D">
        <w:t>Innst</w:t>
      </w:r>
      <w:proofErr w:type="spellEnd"/>
      <w:r w:rsidRPr="00225D4D">
        <w:t>. 625 L (2020–2021).</w:t>
      </w:r>
    </w:p>
    <w:p w14:paraId="21B98839" w14:textId="77777777" w:rsidR="00D60186" w:rsidRPr="00225D4D" w:rsidRDefault="00D60186" w:rsidP="00225D4D">
      <w:r w:rsidRPr="00225D4D">
        <w:t xml:space="preserve">Departementet viser til at </w:t>
      </w:r>
      <w:proofErr w:type="spellStart"/>
      <w:r w:rsidRPr="00225D4D">
        <w:t>Barnevernsutvalet</w:t>
      </w:r>
      <w:proofErr w:type="spellEnd"/>
      <w:r w:rsidRPr="00225D4D">
        <w:t xml:space="preserve"> har levert utgreiinga NOU 2023: 7 </w:t>
      </w:r>
      <w:r w:rsidRPr="00225D4D">
        <w:rPr>
          <w:rStyle w:val="kursiv"/>
        </w:rPr>
        <w:t>Trygg barndom, sikker fremtid</w:t>
      </w:r>
      <w:r w:rsidRPr="00225D4D">
        <w:t xml:space="preserve">. </w:t>
      </w:r>
      <w:proofErr w:type="spellStart"/>
      <w:r w:rsidRPr="00225D4D">
        <w:t>Utvalet</w:t>
      </w:r>
      <w:proofErr w:type="spellEnd"/>
      <w:r w:rsidRPr="00225D4D">
        <w:t xml:space="preserve"> vart bede om å vurdere spørsmålet, men </w:t>
      </w:r>
      <w:proofErr w:type="spellStart"/>
      <w:r w:rsidRPr="00225D4D">
        <w:t>føreslo</w:t>
      </w:r>
      <w:proofErr w:type="spellEnd"/>
      <w:r w:rsidRPr="00225D4D">
        <w:t xml:space="preserve"> </w:t>
      </w:r>
      <w:proofErr w:type="spellStart"/>
      <w:r w:rsidRPr="00225D4D">
        <w:t>ikkje</w:t>
      </w:r>
      <w:proofErr w:type="spellEnd"/>
      <w:r w:rsidRPr="00225D4D">
        <w:t xml:space="preserve"> å innføre ei ordning med andrehandsvurdering av akuttvedtak. </w:t>
      </w:r>
      <w:proofErr w:type="spellStart"/>
      <w:r w:rsidRPr="00225D4D">
        <w:t>Utvalet</w:t>
      </w:r>
      <w:proofErr w:type="spellEnd"/>
      <w:r w:rsidRPr="00225D4D">
        <w:t xml:space="preserve"> meinte mellom anna at systemet vi har i dag, </w:t>
      </w:r>
      <w:proofErr w:type="spellStart"/>
      <w:r w:rsidRPr="00225D4D">
        <w:t>allereie</w:t>
      </w:r>
      <w:proofErr w:type="spellEnd"/>
      <w:r w:rsidRPr="00225D4D">
        <w:t xml:space="preserve"> </w:t>
      </w:r>
      <w:proofErr w:type="spellStart"/>
      <w:r w:rsidRPr="00225D4D">
        <w:t>inneheld</w:t>
      </w:r>
      <w:proofErr w:type="spellEnd"/>
      <w:r w:rsidRPr="00225D4D">
        <w:t xml:space="preserve"> ei form for andrehandsvurdering. Utgreiinga har </w:t>
      </w:r>
      <w:proofErr w:type="spellStart"/>
      <w:r w:rsidRPr="00225D4D">
        <w:t>vore</w:t>
      </w:r>
      <w:proofErr w:type="spellEnd"/>
      <w:r w:rsidRPr="00225D4D">
        <w:t xml:space="preserve"> på </w:t>
      </w:r>
      <w:proofErr w:type="spellStart"/>
      <w:r w:rsidRPr="00225D4D">
        <w:t>offentleg</w:t>
      </w:r>
      <w:proofErr w:type="spellEnd"/>
      <w:r w:rsidRPr="00225D4D">
        <w:t xml:space="preserve"> </w:t>
      </w:r>
      <w:proofErr w:type="spellStart"/>
      <w:r w:rsidRPr="00225D4D">
        <w:t>høyring</w:t>
      </w:r>
      <w:proofErr w:type="spellEnd"/>
      <w:r w:rsidRPr="00225D4D">
        <w:t xml:space="preserve">. Få </w:t>
      </w:r>
      <w:proofErr w:type="spellStart"/>
      <w:r w:rsidRPr="00225D4D">
        <w:t>høyringsinstansar</w:t>
      </w:r>
      <w:proofErr w:type="spellEnd"/>
      <w:r w:rsidRPr="00225D4D">
        <w:t xml:space="preserve"> uttalte seg om spørsmålet. I </w:t>
      </w:r>
      <w:proofErr w:type="spellStart"/>
      <w:r w:rsidRPr="00225D4D">
        <w:t>Prop</w:t>
      </w:r>
      <w:proofErr w:type="spellEnd"/>
      <w:r w:rsidRPr="00225D4D">
        <w:t xml:space="preserve">. 83 L (2024–2025) går det fram at departementet </w:t>
      </w:r>
      <w:proofErr w:type="spellStart"/>
      <w:r w:rsidRPr="00225D4D">
        <w:t>ikkje</w:t>
      </w:r>
      <w:proofErr w:type="spellEnd"/>
      <w:r w:rsidRPr="00225D4D">
        <w:t xml:space="preserve"> vil </w:t>
      </w:r>
      <w:proofErr w:type="spellStart"/>
      <w:r w:rsidRPr="00225D4D">
        <w:t>føreslå</w:t>
      </w:r>
      <w:proofErr w:type="spellEnd"/>
      <w:r w:rsidRPr="00225D4D">
        <w:t xml:space="preserve"> ei ny andrehandsvurdering av akuttvedtak. Ved handsaminga av proposisjonen slutta Stortinget seg til forslaget </w:t>
      </w:r>
      <w:proofErr w:type="spellStart"/>
      <w:r w:rsidRPr="00225D4D">
        <w:t>frå</w:t>
      </w:r>
      <w:proofErr w:type="spellEnd"/>
      <w:r w:rsidRPr="00225D4D">
        <w:t xml:space="preserve"> departementet om å </w:t>
      </w:r>
      <w:proofErr w:type="spellStart"/>
      <w:r w:rsidRPr="00225D4D">
        <w:t>styrkje</w:t>
      </w:r>
      <w:proofErr w:type="spellEnd"/>
      <w:r w:rsidRPr="00225D4D">
        <w:t xml:space="preserve"> rettstryggleiken i slike saker gjennom </w:t>
      </w:r>
      <w:proofErr w:type="spellStart"/>
      <w:r w:rsidRPr="00225D4D">
        <w:t>einskilde</w:t>
      </w:r>
      <w:proofErr w:type="spellEnd"/>
      <w:r w:rsidRPr="00225D4D">
        <w:t xml:space="preserve"> </w:t>
      </w:r>
      <w:proofErr w:type="spellStart"/>
      <w:r w:rsidRPr="00225D4D">
        <w:t>presiseringar</w:t>
      </w:r>
      <w:proofErr w:type="spellEnd"/>
      <w:r w:rsidRPr="00225D4D">
        <w:t xml:space="preserve"> i </w:t>
      </w:r>
      <w:proofErr w:type="spellStart"/>
      <w:r w:rsidRPr="00225D4D">
        <w:t>reglane</w:t>
      </w:r>
      <w:proofErr w:type="spellEnd"/>
      <w:r w:rsidRPr="00225D4D">
        <w:t xml:space="preserve"> om legalitetskontrollen nemnda </w:t>
      </w:r>
      <w:proofErr w:type="spellStart"/>
      <w:r w:rsidRPr="00225D4D">
        <w:t>gjer</w:t>
      </w:r>
      <w:proofErr w:type="spellEnd"/>
      <w:r w:rsidRPr="00225D4D">
        <w:t xml:space="preserve"> av akuttvedtak, i barnevernslova.</w:t>
      </w:r>
    </w:p>
    <w:p w14:paraId="65ABB8C3"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07DC0AAD" w14:textId="77777777" w:rsidR="00D60186" w:rsidRPr="00225D4D" w:rsidRDefault="00D60186" w:rsidP="00225D4D">
      <w:pPr>
        <w:pStyle w:val="avsnitt-tittel"/>
      </w:pPr>
      <w:r w:rsidRPr="00225D4D">
        <w:t>Alternativt omgrep til «</w:t>
      </w:r>
      <w:proofErr w:type="spellStart"/>
      <w:r w:rsidRPr="00225D4D">
        <w:t>åtferd</w:t>
      </w:r>
      <w:proofErr w:type="spellEnd"/>
      <w:r w:rsidRPr="00225D4D">
        <w:t>» i barnevernslova</w:t>
      </w:r>
    </w:p>
    <w:p w14:paraId="1F924FAA" w14:textId="77777777" w:rsidR="00D60186" w:rsidRPr="00225D4D" w:rsidRDefault="00D60186" w:rsidP="00225D4D">
      <w:pPr>
        <w:pStyle w:val="avsnitt-undertittel"/>
      </w:pPr>
      <w:r w:rsidRPr="00225D4D">
        <w:t>Vedtak nr. 1198, 10. juni 2021</w:t>
      </w:r>
    </w:p>
    <w:p w14:paraId="4B06E4CE" w14:textId="77777777" w:rsidR="00D60186" w:rsidRPr="00225D4D" w:rsidRDefault="00D60186" w:rsidP="00225D4D">
      <w:pPr>
        <w:pStyle w:val="blokksit"/>
      </w:pPr>
      <w:r w:rsidRPr="00225D4D">
        <w:t>«</w:t>
      </w:r>
      <w:r w:rsidRPr="00225D4D">
        <w:rPr>
          <w:rStyle w:val="kursiv"/>
        </w:rPr>
        <w:t xml:space="preserve">Stortinget ber regjeringen arbeide videre med å finne et alternativt begrep til </w:t>
      </w:r>
      <w:proofErr w:type="spellStart"/>
      <w:r w:rsidRPr="00225D4D">
        <w:rPr>
          <w:rStyle w:val="kursiv"/>
        </w:rPr>
        <w:t>atferdsbegrepet</w:t>
      </w:r>
      <w:proofErr w:type="spellEnd"/>
      <w:r w:rsidRPr="00225D4D">
        <w:rPr>
          <w:rStyle w:val="kursiv"/>
        </w:rPr>
        <w:t xml:space="preserve"> i barnevernsloven.</w:t>
      </w:r>
      <w:r w:rsidRPr="00225D4D">
        <w:t>»</w:t>
      </w:r>
    </w:p>
    <w:p w14:paraId="62848794"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133 L (2020–2021) </w:t>
      </w:r>
      <w:r w:rsidRPr="00225D4D">
        <w:rPr>
          <w:rStyle w:val="kursiv"/>
        </w:rPr>
        <w:t>Lov om barnevern (barnevernsloven) og lov om endringer i barnevernloven</w:t>
      </w:r>
      <w:r w:rsidRPr="00225D4D">
        <w:t xml:space="preserve">, jf. </w:t>
      </w:r>
      <w:proofErr w:type="spellStart"/>
      <w:r w:rsidRPr="00225D4D">
        <w:t>Innst</w:t>
      </w:r>
      <w:proofErr w:type="spellEnd"/>
      <w:r w:rsidRPr="00225D4D">
        <w:t>. 625 L (2020–2021).</w:t>
      </w:r>
    </w:p>
    <w:p w14:paraId="11522351" w14:textId="77777777" w:rsidR="00D60186" w:rsidRPr="00225D4D" w:rsidRDefault="00D60186" w:rsidP="00225D4D">
      <w:r w:rsidRPr="00225D4D">
        <w:t>I ny barnevernslov vart omgrepet «</w:t>
      </w:r>
      <w:proofErr w:type="spellStart"/>
      <w:r w:rsidRPr="00225D4D">
        <w:t>åtferdsinstitusjon</w:t>
      </w:r>
      <w:proofErr w:type="spellEnd"/>
      <w:r w:rsidRPr="00225D4D">
        <w:t xml:space="preserve">» erstatta med omgrepa «barnevernsinstitusjon» eller «institusjon», jf. </w:t>
      </w:r>
      <w:proofErr w:type="spellStart"/>
      <w:r w:rsidRPr="00225D4D">
        <w:t>Prop</w:t>
      </w:r>
      <w:proofErr w:type="spellEnd"/>
      <w:r w:rsidRPr="00225D4D">
        <w:t xml:space="preserve">. 86 L (2021–2022) og </w:t>
      </w:r>
      <w:proofErr w:type="spellStart"/>
      <w:r w:rsidRPr="00225D4D">
        <w:t>Innst</w:t>
      </w:r>
      <w:proofErr w:type="spellEnd"/>
      <w:r w:rsidRPr="00225D4D">
        <w:t xml:space="preserve">. 391 L (2021–2022). </w:t>
      </w:r>
      <w:proofErr w:type="spellStart"/>
      <w:r w:rsidRPr="00225D4D">
        <w:t>Vidare</w:t>
      </w:r>
      <w:proofErr w:type="spellEnd"/>
      <w:r w:rsidRPr="00225D4D">
        <w:t xml:space="preserve"> har Stortinget ved handsaminga av </w:t>
      </w:r>
      <w:proofErr w:type="spellStart"/>
      <w:r w:rsidRPr="00225D4D">
        <w:t>Prop</w:t>
      </w:r>
      <w:proofErr w:type="spellEnd"/>
      <w:r w:rsidRPr="00225D4D">
        <w:t xml:space="preserve">. 83 L (2024–2025) slutta seg til forslaget </w:t>
      </w:r>
      <w:proofErr w:type="spellStart"/>
      <w:r w:rsidRPr="00225D4D">
        <w:t>frå</w:t>
      </w:r>
      <w:proofErr w:type="spellEnd"/>
      <w:r w:rsidRPr="00225D4D">
        <w:t xml:space="preserve"> departementet om å innføre alternative omgrep til omgrepet «</w:t>
      </w:r>
      <w:proofErr w:type="spellStart"/>
      <w:r w:rsidRPr="00225D4D">
        <w:t>åtferd</w:t>
      </w:r>
      <w:proofErr w:type="spellEnd"/>
      <w:r w:rsidRPr="00225D4D">
        <w:t>» i barnevernslova. Omgrepet «</w:t>
      </w:r>
      <w:proofErr w:type="spellStart"/>
      <w:r w:rsidRPr="00225D4D">
        <w:t>alvorlege</w:t>
      </w:r>
      <w:proofErr w:type="spellEnd"/>
      <w:r w:rsidRPr="00225D4D">
        <w:t xml:space="preserve"> </w:t>
      </w:r>
      <w:proofErr w:type="spellStart"/>
      <w:r w:rsidRPr="00225D4D">
        <w:t>åtferdsvanskar</w:t>
      </w:r>
      <w:proofErr w:type="spellEnd"/>
      <w:r w:rsidRPr="00225D4D">
        <w:t>» blir erstatta med «</w:t>
      </w:r>
      <w:proofErr w:type="spellStart"/>
      <w:r w:rsidRPr="00225D4D">
        <w:t>utset</w:t>
      </w:r>
      <w:proofErr w:type="spellEnd"/>
      <w:r w:rsidRPr="00225D4D">
        <w:t xml:space="preserve"> utviklinga si for </w:t>
      </w:r>
      <w:proofErr w:type="spellStart"/>
      <w:r w:rsidRPr="00225D4D">
        <w:t>alvorleg</w:t>
      </w:r>
      <w:proofErr w:type="spellEnd"/>
      <w:r w:rsidRPr="00225D4D">
        <w:t xml:space="preserve"> fare».</w:t>
      </w:r>
    </w:p>
    <w:p w14:paraId="17219925"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7EFCD530" w14:textId="77777777" w:rsidR="00D60186" w:rsidRPr="00225D4D" w:rsidRDefault="00D60186" w:rsidP="00225D4D">
      <w:pPr>
        <w:pStyle w:val="avsnitt-tittel"/>
      </w:pPr>
      <w:r w:rsidRPr="00225D4D">
        <w:t xml:space="preserve">Oppfølging av </w:t>
      </w:r>
      <w:proofErr w:type="spellStart"/>
      <w:r w:rsidRPr="00225D4D">
        <w:t>tilrådingar</w:t>
      </w:r>
      <w:proofErr w:type="spellEnd"/>
      <w:r w:rsidRPr="00225D4D">
        <w:t xml:space="preserve"> </w:t>
      </w:r>
      <w:proofErr w:type="spellStart"/>
      <w:r w:rsidRPr="00225D4D">
        <w:t>frå</w:t>
      </w:r>
      <w:proofErr w:type="spellEnd"/>
      <w:r w:rsidRPr="00225D4D">
        <w:t xml:space="preserve"> </w:t>
      </w:r>
      <w:proofErr w:type="spellStart"/>
      <w:r w:rsidRPr="00225D4D">
        <w:t>rettstryggleiksutvalet</w:t>
      </w:r>
      <w:proofErr w:type="spellEnd"/>
      <w:r w:rsidRPr="00225D4D">
        <w:t xml:space="preserve"> på barnevernsområdet</w:t>
      </w:r>
    </w:p>
    <w:p w14:paraId="448B8DD8" w14:textId="77777777" w:rsidR="00D60186" w:rsidRPr="00225D4D" w:rsidRDefault="00D60186" w:rsidP="00225D4D">
      <w:pPr>
        <w:pStyle w:val="avsnitt-undertittel"/>
      </w:pPr>
      <w:r w:rsidRPr="00225D4D">
        <w:t>Vedtak 1201, 10. juni 2021</w:t>
      </w:r>
    </w:p>
    <w:p w14:paraId="38CD779A" w14:textId="77777777" w:rsidR="00D60186" w:rsidRPr="00225D4D" w:rsidRDefault="00D60186" w:rsidP="00225D4D">
      <w:pPr>
        <w:pStyle w:val="blokksit"/>
      </w:pPr>
      <w:r w:rsidRPr="00225D4D">
        <w:t>«</w:t>
      </w:r>
      <w:r w:rsidRPr="00225D4D">
        <w:rPr>
          <w:rStyle w:val="kursiv"/>
        </w:rPr>
        <w:t>Stortinget ber regjeringen følge opp rettsikkerhetsutvalgets anbefalinger på barnevernsområdet uten ubegrunnet opphold.</w:t>
      </w:r>
      <w:r w:rsidRPr="00225D4D">
        <w:t>»</w:t>
      </w:r>
    </w:p>
    <w:p w14:paraId="3D722A82"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133 L (2020–2021) </w:t>
      </w:r>
      <w:r w:rsidRPr="00225D4D">
        <w:rPr>
          <w:rStyle w:val="kursiv"/>
        </w:rPr>
        <w:t>Lov om barnevern (barnevernsloven) og lov om endringer i barnevernloven</w:t>
      </w:r>
      <w:r w:rsidRPr="00225D4D">
        <w:t xml:space="preserve">, jf. </w:t>
      </w:r>
      <w:proofErr w:type="spellStart"/>
      <w:r w:rsidRPr="00225D4D">
        <w:t>Innst</w:t>
      </w:r>
      <w:proofErr w:type="spellEnd"/>
      <w:r w:rsidRPr="00225D4D">
        <w:t>. 625 L (2020–2021).</w:t>
      </w:r>
    </w:p>
    <w:p w14:paraId="5FD595B7" w14:textId="77777777" w:rsidR="00D60186" w:rsidRPr="00225D4D" w:rsidRDefault="00D60186" w:rsidP="00225D4D">
      <w:proofErr w:type="spellStart"/>
      <w:r w:rsidRPr="00225D4D">
        <w:t>Utvalet</w:t>
      </w:r>
      <w:proofErr w:type="spellEnd"/>
      <w:r w:rsidRPr="00225D4D">
        <w:t xml:space="preserve"> som skulle vurdere tiltak for å </w:t>
      </w:r>
      <w:proofErr w:type="spellStart"/>
      <w:r w:rsidRPr="00225D4D">
        <w:t>styrkje</w:t>
      </w:r>
      <w:proofErr w:type="spellEnd"/>
      <w:r w:rsidRPr="00225D4D">
        <w:t xml:space="preserve"> kvaliteten og rettstryggleiken i barnevernet, leverte 20. mars 2023 utgreiinga NOU 2023: 7 </w:t>
      </w:r>
      <w:r w:rsidRPr="00225D4D">
        <w:rPr>
          <w:rStyle w:val="kursiv"/>
        </w:rPr>
        <w:t>Trygg barndom, sikker fremtid</w:t>
      </w:r>
      <w:r w:rsidRPr="00225D4D">
        <w:t xml:space="preserve">. Utgreiinga vart send på </w:t>
      </w:r>
      <w:proofErr w:type="spellStart"/>
      <w:r w:rsidRPr="00225D4D">
        <w:t>offentleg</w:t>
      </w:r>
      <w:proofErr w:type="spellEnd"/>
      <w:r w:rsidRPr="00225D4D">
        <w:t xml:space="preserve"> </w:t>
      </w:r>
      <w:proofErr w:type="spellStart"/>
      <w:r w:rsidRPr="00225D4D">
        <w:t>høyring</w:t>
      </w:r>
      <w:proofErr w:type="spellEnd"/>
      <w:r w:rsidRPr="00225D4D">
        <w:t xml:space="preserve"> våren 2024. Lovforslag og </w:t>
      </w:r>
      <w:proofErr w:type="spellStart"/>
      <w:r w:rsidRPr="00225D4D">
        <w:t>fleire</w:t>
      </w:r>
      <w:proofErr w:type="spellEnd"/>
      <w:r w:rsidRPr="00225D4D">
        <w:t xml:space="preserve"> andre tiltak </w:t>
      </w:r>
      <w:proofErr w:type="spellStart"/>
      <w:r w:rsidRPr="00225D4D">
        <w:t>frå</w:t>
      </w:r>
      <w:proofErr w:type="spellEnd"/>
      <w:r w:rsidRPr="00225D4D">
        <w:t xml:space="preserve"> NOU 2023: 7 er lagde fram for Stortinget i </w:t>
      </w:r>
      <w:proofErr w:type="spellStart"/>
      <w:r w:rsidRPr="00225D4D">
        <w:t>Prop</w:t>
      </w:r>
      <w:proofErr w:type="spellEnd"/>
      <w:r w:rsidRPr="00225D4D">
        <w:t xml:space="preserve">. 83 L (2024–2025) </w:t>
      </w:r>
      <w:r w:rsidRPr="00225D4D">
        <w:rPr>
          <w:rStyle w:val="kursiv"/>
        </w:rPr>
        <w:t>Endringer i barnevernsloven (kvalitetsløftet i barnevernet)</w:t>
      </w:r>
      <w:r w:rsidRPr="00225D4D">
        <w:t xml:space="preserve">. Dette </w:t>
      </w:r>
      <w:proofErr w:type="spellStart"/>
      <w:r w:rsidRPr="00225D4D">
        <w:t>gjeld</w:t>
      </w:r>
      <w:proofErr w:type="spellEnd"/>
      <w:r w:rsidRPr="00225D4D">
        <w:t xml:space="preserve"> mellom anna tiltak for betre tillit og </w:t>
      </w:r>
      <w:proofErr w:type="spellStart"/>
      <w:r w:rsidRPr="00225D4D">
        <w:t>meir</w:t>
      </w:r>
      <w:proofErr w:type="spellEnd"/>
      <w:r w:rsidRPr="00225D4D">
        <w:t xml:space="preserve"> </w:t>
      </w:r>
      <w:proofErr w:type="spellStart"/>
      <w:r w:rsidRPr="00225D4D">
        <w:t>openheit</w:t>
      </w:r>
      <w:proofErr w:type="spellEnd"/>
      <w:r w:rsidRPr="00225D4D">
        <w:t xml:space="preserve"> i barnevernet, lovforslag om klagerett for barn på vedtak om flytting, tiltak for å </w:t>
      </w:r>
      <w:proofErr w:type="spellStart"/>
      <w:r w:rsidRPr="00225D4D">
        <w:t>styrkje</w:t>
      </w:r>
      <w:proofErr w:type="spellEnd"/>
      <w:r w:rsidRPr="00225D4D">
        <w:t xml:space="preserve"> oppfølginga av foreldre etter omsorgsovertaking og andre tiltak for betre rettstryggleik for barn og foreldre når barn har tiltak </w:t>
      </w:r>
      <w:proofErr w:type="spellStart"/>
      <w:r w:rsidRPr="00225D4D">
        <w:t>utanfor</w:t>
      </w:r>
      <w:proofErr w:type="spellEnd"/>
      <w:r w:rsidRPr="00225D4D">
        <w:t xml:space="preserve"> heimen.</w:t>
      </w:r>
    </w:p>
    <w:p w14:paraId="1FDD7B2E"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0ECB4431" w14:textId="77777777" w:rsidR="00D60186" w:rsidRPr="00225D4D" w:rsidRDefault="00D60186" w:rsidP="00225D4D">
      <w:pPr>
        <w:pStyle w:val="Overskrift2"/>
      </w:pPr>
      <w:r w:rsidRPr="00225D4D">
        <w:t>Stortingssesjon (2019–2020)</w:t>
      </w:r>
    </w:p>
    <w:p w14:paraId="2703D349" w14:textId="77777777" w:rsidR="00D60186" w:rsidRPr="00225D4D" w:rsidRDefault="00D60186" w:rsidP="00225D4D">
      <w:pPr>
        <w:pStyle w:val="avsnitt-tittel"/>
      </w:pPr>
      <w:r w:rsidRPr="00225D4D">
        <w:t xml:space="preserve">FNs konvensjon om </w:t>
      </w:r>
      <w:proofErr w:type="spellStart"/>
      <w:r w:rsidRPr="00225D4D">
        <w:t>barnerettane</w:t>
      </w:r>
      <w:proofErr w:type="spellEnd"/>
      <w:r w:rsidRPr="00225D4D">
        <w:t xml:space="preserve"> – ny barnevernslov og ny barnelov</w:t>
      </w:r>
    </w:p>
    <w:p w14:paraId="58CD55EF" w14:textId="77777777" w:rsidR="00D60186" w:rsidRPr="00225D4D" w:rsidRDefault="00D60186" w:rsidP="00225D4D">
      <w:pPr>
        <w:pStyle w:val="avsnitt-undertittel"/>
      </w:pPr>
      <w:r w:rsidRPr="00225D4D">
        <w:t>Vedtak 637, 28. mai 2020</w:t>
      </w:r>
    </w:p>
    <w:p w14:paraId="5866976D" w14:textId="77777777" w:rsidR="00D60186" w:rsidRPr="00225D4D" w:rsidRDefault="00D60186" w:rsidP="00225D4D">
      <w:pPr>
        <w:pStyle w:val="blokksit"/>
      </w:pPr>
      <w:r w:rsidRPr="00225D4D">
        <w:t>«</w:t>
      </w:r>
      <w:r w:rsidRPr="00225D4D">
        <w:rPr>
          <w:rStyle w:val="kursiv"/>
        </w:rPr>
        <w:t>Stortinget ber regjeringen sikre at forslagene til ny barnevernlov og ny barnelov er i tråd med FNs barnekonvensjons prinsipper om barns rett til informasjon, til å bli hørt, beslutninger til barnets beste og barns rett til privatliv.</w:t>
      </w:r>
      <w:r w:rsidRPr="00225D4D">
        <w:t>»</w:t>
      </w:r>
    </w:p>
    <w:p w14:paraId="72CC161F"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orienteringa om situasjonen i barnevernet som barne- og familieministeren </w:t>
      </w:r>
      <w:proofErr w:type="spellStart"/>
      <w:r w:rsidRPr="00225D4D">
        <w:t>heldt</w:t>
      </w:r>
      <w:proofErr w:type="spellEnd"/>
      <w:r w:rsidRPr="00225D4D">
        <w:t xml:space="preserve"> for Stortinget 26. mai 2020.</w:t>
      </w:r>
    </w:p>
    <w:p w14:paraId="1A79A830" w14:textId="77777777" w:rsidR="00D60186" w:rsidRPr="00225D4D" w:rsidRDefault="00D60186" w:rsidP="00225D4D">
      <w:r w:rsidRPr="00225D4D">
        <w:t xml:space="preserve">Departementet </w:t>
      </w:r>
      <w:proofErr w:type="spellStart"/>
      <w:r w:rsidRPr="00225D4D">
        <w:t>reknar</w:t>
      </w:r>
      <w:proofErr w:type="spellEnd"/>
      <w:r w:rsidRPr="00225D4D">
        <w:t xml:space="preserve"> den delen av vedtaket som gjeld ny barnevernslov, som </w:t>
      </w:r>
      <w:proofErr w:type="spellStart"/>
      <w:r w:rsidRPr="00225D4D">
        <w:t>følgd</w:t>
      </w:r>
      <w:proofErr w:type="spellEnd"/>
      <w:r w:rsidRPr="00225D4D">
        <w:t xml:space="preserve"> opp i forslaget til ny barnevernslov som </w:t>
      </w:r>
      <w:proofErr w:type="spellStart"/>
      <w:r w:rsidRPr="00225D4D">
        <w:t>vart</w:t>
      </w:r>
      <w:proofErr w:type="spellEnd"/>
      <w:r w:rsidRPr="00225D4D">
        <w:t xml:space="preserve"> lagt fram for Stortinget i </w:t>
      </w:r>
      <w:proofErr w:type="spellStart"/>
      <w:r w:rsidRPr="00225D4D">
        <w:t>Prop</w:t>
      </w:r>
      <w:proofErr w:type="spellEnd"/>
      <w:r w:rsidRPr="00225D4D">
        <w:t>. 133 L (2020–2021). Stortinget vedtok lova 9. juni 2021, og lova tok til å gjelde 1. januar 2023.</w:t>
      </w:r>
    </w:p>
    <w:p w14:paraId="4835F5E8" w14:textId="77777777" w:rsidR="00D60186" w:rsidRPr="00225D4D" w:rsidRDefault="00D60186" w:rsidP="00225D4D">
      <w:r w:rsidRPr="00225D4D">
        <w:t xml:space="preserve">Stortinget vedtok ny barnelov 16. juni 2025. Regjeringa meiner ny barnelov er i samsvar med og balanserer </w:t>
      </w:r>
      <w:proofErr w:type="spellStart"/>
      <w:r w:rsidRPr="00225D4D">
        <w:t>dei</w:t>
      </w:r>
      <w:proofErr w:type="spellEnd"/>
      <w:r w:rsidRPr="00225D4D">
        <w:t xml:space="preserve"> menneskerettslege pliktene våre. </w:t>
      </w:r>
      <w:proofErr w:type="spellStart"/>
      <w:r w:rsidRPr="00225D4D">
        <w:t>Menneskerettane</w:t>
      </w:r>
      <w:proofErr w:type="spellEnd"/>
      <w:r w:rsidRPr="00225D4D">
        <w:t xml:space="preserve"> </w:t>
      </w:r>
      <w:proofErr w:type="spellStart"/>
      <w:r w:rsidRPr="00225D4D">
        <w:t>set</w:t>
      </w:r>
      <w:proofErr w:type="spellEnd"/>
      <w:r w:rsidRPr="00225D4D">
        <w:t xml:space="preserve"> krav både til utforming av </w:t>
      </w:r>
      <w:proofErr w:type="spellStart"/>
      <w:r w:rsidRPr="00225D4D">
        <w:t>reglar</w:t>
      </w:r>
      <w:proofErr w:type="spellEnd"/>
      <w:r w:rsidRPr="00225D4D">
        <w:t xml:space="preserve"> og handsaming av konkrete saker. Den nye lova har </w:t>
      </w:r>
      <w:proofErr w:type="spellStart"/>
      <w:r w:rsidRPr="00225D4D">
        <w:t>eit</w:t>
      </w:r>
      <w:proofErr w:type="spellEnd"/>
      <w:r w:rsidRPr="00225D4D">
        <w:t xml:space="preserve"> </w:t>
      </w:r>
      <w:proofErr w:type="spellStart"/>
      <w:r w:rsidRPr="00225D4D">
        <w:t>innleiande</w:t>
      </w:r>
      <w:proofErr w:type="spellEnd"/>
      <w:r w:rsidRPr="00225D4D">
        <w:t xml:space="preserve"> kapittel om barns </w:t>
      </w:r>
      <w:proofErr w:type="spellStart"/>
      <w:r w:rsidRPr="00225D4D">
        <w:t>grunnleggjande</w:t>
      </w:r>
      <w:proofErr w:type="spellEnd"/>
      <w:r w:rsidRPr="00225D4D">
        <w:t xml:space="preserve"> </w:t>
      </w:r>
      <w:proofErr w:type="spellStart"/>
      <w:r w:rsidRPr="00225D4D">
        <w:t>rettar</w:t>
      </w:r>
      <w:proofErr w:type="spellEnd"/>
      <w:r w:rsidRPr="00225D4D">
        <w:t xml:space="preserve">, </w:t>
      </w:r>
      <w:proofErr w:type="spellStart"/>
      <w:r w:rsidRPr="00225D4D">
        <w:t>irekna</w:t>
      </w:r>
      <w:proofErr w:type="spellEnd"/>
      <w:r w:rsidRPr="00225D4D">
        <w:t xml:space="preserve"> barnets beste og barns rett til </w:t>
      </w:r>
      <w:proofErr w:type="spellStart"/>
      <w:r w:rsidRPr="00225D4D">
        <w:t>medverknad</w:t>
      </w:r>
      <w:proofErr w:type="spellEnd"/>
      <w:r w:rsidRPr="00225D4D">
        <w:t xml:space="preserve">. Det er òg ei ny føresegn om barnet sin rett til personvern. Den nye lova </w:t>
      </w:r>
      <w:proofErr w:type="spellStart"/>
      <w:r w:rsidRPr="00225D4D">
        <w:t>understrekar</w:t>
      </w:r>
      <w:proofErr w:type="spellEnd"/>
      <w:r w:rsidRPr="00225D4D">
        <w:t xml:space="preserve"> </w:t>
      </w:r>
      <w:proofErr w:type="spellStart"/>
      <w:r w:rsidRPr="00225D4D">
        <w:t>vidare</w:t>
      </w:r>
      <w:proofErr w:type="spellEnd"/>
      <w:r w:rsidRPr="00225D4D">
        <w:t xml:space="preserve"> </w:t>
      </w:r>
      <w:proofErr w:type="spellStart"/>
      <w:r w:rsidRPr="00225D4D">
        <w:t>dei</w:t>
      </w:r>
      <w:proofErr w:type="spellEnd"/>
      <w:r w:rsidRPr="00225D4D">
        <w:t xml:space="preserve"> </w:t>
      </w:r>
      <w:proofErr w:type="spellStart"/>
      <w:r w:rsidRPr="00225D4D">
        <w:t>forventningar</w:t>
      </w:r>
      <w:proofErr w:type="spellEnd"/>
      <w:r w:rsidRPr="00225D4D">
        <w:t xml:space="preserve"> som fyrst og fremst ligg på foreldra når det </w:t>
      </w:r>
      <w:proofErr w:type="spellStart"/>
      <w:r w:rsidRPr="00225D4D">
        <w:t>gjeld</w:t>
      </w:r>
      <w:proofErr w:type="spellEnd"/>
      <w:r w:rsidRPr="00225D4D">
        <w:t xml:space="preserve"> å vareta barn sine </w:t>
      </w:r>
      <w:proofErr w:type="spellStart"/>
      <w:r w:rsidRPr="00225D4D">
        <w:t>grunnleggjande</w:t>
      </w:r>
      <w:proofErr w:type="spellEnd"/>
      <w:r w:rsidRPr="00225D4D">
        <w:t xml:space="preserve"> </w:t>
      </w:r>
      <w:proofErr w:type="spellStart"/>
      <w:r w:rsidRPr="00225D4D">
        <w:t>rettar</w:t>
      </w:r>
      <w:proofErr w:type="spellEnd"/>
      <w:r w:rsidRPr="00225D4D">
        <w:t xml:space="preserve"> i det </w:t>
      </w:r>
      <w:proofErr w:type="spellStart"/>
      <w:r w:rsidRPr="00225D4D">
        <w:t>daglege</w:t>
      </w:r>
      <w:proofErr w:type="spellEnd"/>
      <w:r w:rsidRPr="00225D4D">
        <w:t xml:space="preserve">, som til dømes retten til beskyttelse, omsorg og </w:t>
      </w:r>
      <w:proofErr w:type="spellStart"/>
      <w:r w:rsidRPr="00225D4D">
        <w:t>medverknad</w:t>
      </w:r>
      <w:proofErr w:type="spellEnd"/>
      <w:r w:rsidRPr="00225D4D">
        <w:t xml:space="preserve"> som følgjer mellom anna av FNs barnekonvensjon. </w:t>
      </w:r>
      <w:proofErr w:type="spellStart"/>
      <w:r w:rsidRPr="00225D4D">
        <w:t>Myndigheitene</w:t>
      </w:r>
      <w:proofErr w:type="spellEnd"/>
      <w:r w:rsidRPr="00225D4D">
        <w:t xml:space="preserve"> har òg ansvar for å oppfylle barn sine </w:t>
      </w:r>
      <w:proofErr w:type="spellStart"/>
      <w:r w:rsidRPr="00225D4D">
        <w:t>rettar</w:t>
      </w:r>
      <w:proofErr w:type="spellEnd"/>
      <w:r w:rsidRPr="00225D4D">
        <w:t xml:space="preserve"> på </w:t>
      </w:r>
      <w:proofErr w:type="spellStart"/>
      <w:r w:rsidRPr="00225D4D">
        <w:t>fleire</w:t>
      </w:r>
      <w:proofErr w:type="spellEnd"/>
      <w:r w:rsidRPr="00225D4D">
        <w:t xml:space="preserve"> område, og til å gripe inn når det er nødvendig. Barnelova skal òg vareta barnet sin og foreldra sin rett til å bevare familielivet ved </w:t>
      </w:r>
      <w:proofErr w:type="spellStart"/>
      <w:r w:rsidRPr="00225D4D">
        <w:t>samlivsbrot</w:t>
      </w:r>
      <w:proofErr w:type="spellEnd"/>
      <w:r w:rsidRPr="00225D4D">
        <w:t xml:space="preserve">, og </w:t>
      </w:r>
      <w:proofErr w:type="spellStart"/>
      <w:r w:rsidRPr="00225D4D">
        <w:t>foreldra</w:t>
      </w:r>
      <w:proofErr w:type="spellEnd"/>
      <w:r w:rsidRPr="00225D4D">
        <w:t xml:space="preserve"> sine </w:t>
      </w:r>
      <w:proofErr w:type="spellStart"/>
      <w:r w:rsidRPr="00225D4D">
        <w:t>rettar</w:t>
      </w:r>
      <w:proofErr w:type="spellEnd"/>
      <w:r w:rsidRPr="00225D4D">
        <w:t xml:space="preserve"> og </w:t>
      </w:r>
      <w:proofErr w:type="spellStart"/>
      <w:r w:rsidRPr="00225D4D">
        <w:t>deira</w:t>
      </w:r>
      <w:proofErr w:type="spellEnd"/>
      <w:r w:rsidRPr="00225D4D">
        <w:t xml:space="preserve"> rettstryggleik. I </w:t>
      </w:r>
      <w:proofErr w:type="spellStart"/>
      <w:r w:rsidRPr="00225D4D">
        <w:t>nokre</w:t>
      </w:r>
      <w:proofErr w:type="spellEnd"/>
      <w:r w:rsidRPr="00225D4D">
        <w:t xml:space="preserve"> tilfelle vil barn og foreldre sine interesser </w:t>
      </w:r>
      <w:proofErr w:type="spellStart"/>
      <w:r w:rsidRPr="00225D4D">
        <w:t>vere</w:t>
      </w:r>
      <w:proofErr w:type="spellEnd"/>
      <w:r w:rsidRPr="00225D4D">
        <w:t xml:space="preserve"> </w:t>
      </w:r>
      <w:proofErr w:type="spellStart"/>
      <w:r w:rsidRPr="00225D4D">
        <w:t>motstridande</w:t>
      </w:r>
      <w:proofErr w:type="spellEnd"/>
      <w:r w:rsidRPr="00225D4D">
        <w:t xml:space="preserve">. Det kan til dømes handle om at </w:t>
      </w:r>
      <w:proofErr w:type="spellStart"/>
      <w:r w:rsidRPr="00225D4D">
        <w:t>ein</w:t>
      </w:r>
      <w:proofErr w:type="spellEnd"/>
      <w:r w:rsidRPr="00225D4D">
        <w:t xml:space="preserve"> forelder sin rett til familieliv står i motstrid til barnet sin rett til beskyttelse, og dette kan </w:t>
      </w:r>
      <w:proofErr w:type="spellStart"/>
      <w:r w:rsidRPr="00225D4D">
        <w:t>kome</w:t>
      </w:r>
      <w:proofErr w:type="spellEnd"/>
      <w:r w:rsidRPr="00225D4D">
        <w:t xml:space="preserve"> på spissen i </w:t>
      </w:r>
      <w:proofErr w:type="spellStart"/>
      <w:r w:rsidRPr="00225D4D">
        <w:t>ein</w:t>
      </w:r>
      <w:proofErr w:type="spellEnd"/>
      <w:r w:rsidRPr="00225D4D">
        <w:t xml:space="preserve"> sak om samvær. Det er </w:t>
      </w:r>
      <w:proofErr w:type="spellStart"/>
      <w:r w:rsidRPr="00225D4D">
        <w:t>fleire</w:t>
      </w:r>
      <w:proofErr w:type="spellEnd"/>
      <w:r w:rsidRPr="00225D4D">
        <w:t xml:space="preserve"> føresegner i ny lov som skal </w:t>
      </w:r>
      <w:proofErr w:type="spellStart"/>
      <w:r w:rsidRPr="00225D4D">
        <w:t>gje</w:t>
      </w:r>
      <w:proofErr w:type="spellEnd"/>
      <w:r w:rsidRPr="00225D4D">
        <w:t xml:space="preserve"> barn vern mot vald og overgrep. Departementet har i forarbeida òg uttalt at risiko for vald eller overgrep typisk vil </w:t>
      </w:r>
      <w:proofErr w:type="spellStart"/>
      <w:r w:rsidRPr="00225D4D">
        <w:t>vere</w:t>
      </w:r>
      <w:proofErr w:type="spellEnd"/>
      <w:r w:rsidRPr="00225D4D">
        <w:t xml:space="preserve"> </w:t>
      </w:r>
      <w:proofErr w:type="spellStart"/>
      <w:r w:rsidRPr="00225D4D">
        <w:t>situasjonar</w:t>
      </w:r>
      <w:proofErr w:type="spellEnd"/>
      <w:r w:rsidRPr="00225D4D">
        <w:t xml:space="preserve"> der samvær </w:t>
      </w:r>
      <w:proofErr w:type="spellStart"/>
      <w:r w:rsidRPr="00225D4D">
        <w:t>ikkje</w:t>
      </w:r>
      <w:proofErr w:type="spellEnd"/>
      <w:r w:rsidRPr="00225D4D">
        <w:t xml:space="preserve"> vil </w:t>
      </w:r>
      <w:proofErr w:type="spellStart"/>
      <w:r w:rsidRPr="00225D4D">
        <w:t>vere</w:t>
      </w:r>
      <w:proofErr w:type="spellEnd"/>
      <w:r w:rsidRPr="00225D4D">
        <w:t xml:space="preserve"> til barnet sitt beste. Regjeringa meiner den nye barnelova balanserer </w:t>
      </w:r>
      <w:proofErr w:type="spellStart"/>
      <w:r w:rsidRPr="00225D4D">
        <w:t>dei</w:t>
      </w:r>
      <w:proofErr w:type="spellEnd"/>
      <w:r w:rsidRPr="00225D4D">
        <w:t xml:space="preserve"> menneskerettslege </w:t>
      </w:r>
      <w:proofErr w:type="spellStart"/>
      <w:r w:rsidRPr="00225D4D">
        <w:t>pliktane</w:t>
      </w:r>
      <w:proofErr w:type="spellEnd"/>
      <w:r w:rsidRPr="00225D4D">
        <w:t xml:space="preserve"> på </w:t>
      </w:r>
      <w:proofErr w:type="spellStart"/>
      <w:r w:rsidRPr="00225D4D">
        <w:t>ein</w:t>
      </w:r>
      <w:proofErr w:type="spellEnd"/>
      <w:r w:rsidRPr="00225D4D">
        <w:t xml:space="preserve"> </w:t>
      </w:r>
      <w:proofErr w:type="spellStart"/>
      <w:r w:rsidRPr="00225D4D">
        <w:t>forsvarleg</w:t>
      </w:r>
      <w:proofErr w:type="spellEnd"/>
      <w:r w:rsidRPr="00225D4D">
        <w:t xml:space="preserve"> måte, og </w:t>
      </w:r>
      <w:proofErr w:type="spellStart"/>
      <w:r w:rsidRPr="00225D4D">
        <w:t>legg</w:t>
      </w:r>
      <w:proofErr w:type="spellEnd"/>
      <w:r w:rsidRPr="00225D4D">
        <w:t xml:space="preserve"> til rette for at barnets </w:t>
      </w:r>
      <w:proofErr w:type="spellStart"/>
      <w:r w:rsidRPr="00225D4D">
        <w:t>rettar</w:t>
      </w:r>
      <w:proofErr w:type="spellEnd"/>
      <w:r w:rsidRPr="00225D4D">
        <w:t xml:space="preserve"> blir </w:t>
      </w:r>
      <w:proofErr w:type="spellStart"/>
      <w:r w:rsidRPr="00225D4D">
        <w:t>følgde</w:t>
      </w:r>
      <w:proofErr w:type="spellEnd"/>
      <w:r w:rsidRPr="00225D4D">
        <w:t xml:space="preserve"> opp i praksis i konkrete saker.</w:t>
      </w:r>
    </w:p>
    <w:p w14:paraId="59278F29"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5DABF57A" w14:textId="77777777" w:rsidR="00D60186" w:rsidRPr="00225D4D" w:rsidRDefault="00D60186" w:rsidP="00225D4D">
      <w:pPr>
        <w:pStyle w:val="Overskrift2"/>
      </w:pPr>
      <w:r w:rsidRPr="00225D4D">
        <w:t>Stortingssesjon (2016–2017)</w:t>
      </w:r>
    </w:p>
    <w:p w14:paraId="28F54481" w14:textId="77777777" w:rsidR="00D60186" w:rsidRPr="00225D4D" w:rsidRDefault="00D60186" w:rsidP="00225D4D">
      <w:pPr>
        <w:pStyle w:val="avsnitt-tittel"/>
      </w:pPr>
      <w:r w:rsidRPr="00225D4D">
        <w:t>Evaluering av felles foreldreansvar</w:t>
      </w:r>
    </w:p>
    <w:p w14:paraId="6451D404" w14:textId="77777777" w:rsidR="00D60186" w:rsidRPr="00225D4D" w:rsidRDefault="00D60186" w:rsidP="00225D4D">
      <w:pPr>
        <w:pStyle w:val="avsnitt-undertittel"/>
      </w:pPr>
      <w:r w:rsidRPr="00225D4D">
        <w:t>Vedtak 491, 7. mars 2017</w:t>
      </w:r>
    </w:p>
    <w:p w14:paraId="323F7E69" w14:textId="77777777" w:rsidR="00D60186" w:rsidRPr="00225D4D" w:rsidRDefault="00D60186" w:rsidP="00225D4D">
      <w:pPr>
        <w:pStyle w:val="blokksit"/>
      </w:pPr>
      <w:r w:rsidRPr="00225D4D">
        <w:t>«</w:t>
      </w:r>
      <w:r w:rsidRPr="00225D4D">
        <w:rPr>
          <w:rStyle w:val="kursiv"/>
        </w:rPr>
        <w:t>Stortinget ber regjeringen evaluere felles foreldreansvar fra fødsel, etter at loven har virket tre år.</w:t>
      </w:r>
      <w:r w:rsidRPr="00225D4D">
        <w:t>»</w:t>
      </w:r>
    </w:p>
    <w:p w14:paraId="48E15DA2"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handsaminga av </w:t>
      </w:r>
      <w:proofErr w:type="spellStart"/>
      <w:r w:rsidRPr="00225D4D">
        <w:t>Prop</w:t>
      </w:r>
      <w:proofErr w:type="spellEnd"/>
      <w:r w:rsidRPr="00225D4D">
        <w:t xml:space="preserve">. 161 L (2015–2016) </w:t>
      </w:r>
      <w:r w:rsidRPr="00225D4D">
        <w:rPr>
          <w:rStyle w:val="kursiv"/>
        </w:rPr>
        <w:t>Endringer i barnelova mv. (likestilt foreldreskap)</w:t>
      </w:r>
      <w:r w:rsidRPr="00225D4D">
        <w:t xml:space="preserve">, jf. </w:t>
      </w:r>
      <w:proofErr w:type="spellStart"/>
      <w:r w:rsidRPr="00225D4D">
        <w:t>Innst</w:t>
      </w:r>
      <w:proofErr w:type="spellEnd"/>
      <w:r w:rsidRPr="00225D4D">
        <w:t>. 195 L (2016–2017).</w:t>
      </w:r>
    </w:p>
    <w:p w14:paraId="08D1E161" w14:textId="77777777" w:rsidR="00D60186" w:rsidRPr="00225D4D" w:rsidRDefault="00D60186" w:rsidP="00225D4D">
      <w:r w:rsidRPr="00225D4D">
        <w:t xml:space="preserve">Lovendringa om felles foreldreansvar tok til å gjelde 1. januar 2020 og har </w:t>
      </w:r>
      <w:proofErr w:type="spellStart"/>
      <w:r w:rsidRPr="00225D4D">
        <w:t>no</w:t>
      </w:r>
      <w:proofErr w:type="spellEnd"/>
      <w:r w:rsidRPr="00225D4D">
        <w:t xml:space="preserve"> verka i tre år. Som ei </w:t>
      </w:r>
      <w:proofErr w:type="spellStart"/>
      <w:r w:rsidRPr="00225D4D">
        <w:t>følgje</w:t>
      </w:r>
      <w:proofErr w:type="spellEnd"/>
      <w:r w:rsidRPr="00225D4D">
        <w:t xml:space="preserve"> av ei endring i barnelova § 35 </w:t>
      </w:r>
      <w:proofErr w:type="spellStart"/>
      <w:r w:rsidRPr="00225D4D">
        <w:t>fekk</w:t>
      </w:r>
      <w:proofErr w:type="spellEnd"/>
      <w:r w:rsidRPr="00225D4D">
        <w:t xml:space="preserve"> alle foreldre automatisk felles foreldreansvar for barn </w:t>
      </w:r>
      <w:proofErr w:type="spellStart"/>
      <w:r w:rsidRPr="00225D4D">
        <w:t>dei</w:t>
      </w:r>
      <w:proofErr w:type="spellEnd"/>
      <w:r w:rsidRPr="00225D4D">
        <w:t xml:space="preserve"> får </w:t>
      </w:r>
      <w:proofErr w:type="spellStart"/>
      <w:r w:rsidRPr="00225D4D">
        <w:t>saman</w:t>
      </w:r>
      <w:proofErr w:type="spellEnd"/>
      <w:r w:rsidRPr="00225D4D">
        <w:t xml:space="preserve">, uavhengig av om </w:t>
      </w:r>
      <w:proofErr w:type="spellStart"/>
      <w:r w:rsidRPr="00225D4D">
        <w:t>dei</w:t>
      </w:r>
      <w:proofErr w:type="spellEnd"/>
      <w:r w:rsidRPr="00225D4D">
        <w:t xml:space="preserve"> er </w:t>
      </w:r>
      <w:proofErr w:type="spellStart"/>
      <w:r w:rsidRPr="00225D4D">
        <w:t>ektefellar</w:t>
      </w:r>
      <w:proofErr w:type="spellEnd"/>
      <w:r w:rsidRPr="00225D4D">
        <w:t xml:space="preserve">, </w:t>
      </w:r>
      <w:proofErr w:type="spellStart"/>
      <w:r w:rsidRPr="00225D4D">
        <w:t>sambuarar</w:t>
      </w:r>
      <w:proofErr w:type="spellEnd"/>
      <w:r w:rsidRPr="00225D4D">
        <w:t xml:space="preserve"> eller </w:t>
      </w:r>
      <w:proofErr w:type="spellStart"/>
      <w:r w:rsidRPr="00225D4D">
        <w:t>ikkje</w:t>
      </w:r>
      <w:proofErr w:type="spellEnd"/>
      <w:r w:rsidRPr="00225D4D">
        <w:t xml:space="preserve"> bur </w:t>
      </w:r>
      <w:proofErr w:type="spellStart"/>
      <w:r w:rsidRPr="00225D4D">
        <w:t>saman</w:t>
      </w:r>
      <w:proofErr w:type="spellEnd"/>
      <w:r w:rsidRPr="00225D4D">
        <w:t>.</w:t>
      </w:r>
    </w:p>
    <w:p w14:paraId="76BFEB53" w14:textId="77777777" w:rsidR="00D60186" w:rsidRPr="00225D4D" w:rsidRDefault="00D60186" w:rsidP="00225D4D">
      <w:r w:rsidRPr="00225D4D">
        <w:t xml:space="preserve">Departementet har gjort ei intern evaluering av lovendringa om felles foreldreansvar, og har nytta </w:t>
      </w:r>
      <w:proofErr w:type="spellStart"/>
      <w:r w:rsidRPr="00225D4D">
        <w:t>erfaringane</w:t>
      </w:r>
      <w:proofErr w:type="spellEnd"/>
      <w:r w:rsidRPr="00225D4D">
        <w:t xml:space="preserve"> i arbeidet med ny barnelov. Det er gjort greie for verknaden av lovendringa om felles foreldreansvar uavhengig av samlivsstatusen til </w:t>
      </w:r>
      <w:proofErr w:type="spellStart"/>
      <w:r w:rsidRPr="00225D4D">
        <w:t>foreldra</w:t>
      </w:r>
      <w:proofErr w:type="spellEnd"/>
      <w:r w:rsidRPr="00225D4D">
        <w:t xml:space="preserve"> i </w:t>
      </w:r>
      <w:proofErr w:type="spellStart"/>
      <w:r w:rsidRPr="00225D4D">
        <w:t>Prop</w:t>
      </w:r>
      <w:proofErr w:type="spellEnd"/>
      <w:r w:rsidRPr="00225D4D">
        <w:t xml:space="preserve">. 117 L (2024–2025) </w:t>
      </w:r>
      <w:r w:rsidRPr="00225D4D">
        <w:rPr>
          <w:rStyle w:val="kursiv"/>
        </w:rPr>
        <w:t>Lov om barn og foreldre (barnelova)</w:t>
      </w:r>
      <w:r w:rsidRPr="00225D4D">
        <w:t xml:space="preserve"> under punkt 6.4.4. Stortinget vedtok ny barnelov 16. juni 2025.</w:t>
      </w:r>
    </w:p>
    <w:p w14:paraId="3BB3CBFC" w14:textId="77777777" w:rsidR="00D60186" w:rsidRPr="00225D4D" w:rsidRDefault="00D60186" w:rsidP="00225D4D">
      <w:r w:rsidRPr="00225D4D">
        <w:t xml:space="preserve">Departementet </w:t>
      </w:r>
      <w:proofErr w:type="spellStart"/>
      <w:r w:rsidRPr="00225D4D">
        <w:t>reknar</w:t>
      </w:r>
      <w:proofErr w:type="spellEnd"/>
      <w:r w:rsidRPr="00225D4D">
        <w:t xml:space="preserve"> vedtaket som </w:t>
      </w:r>
      <w:proofErr w:type="spellStart"/>
      <w:r w:rsidRPr="00225D4D">
        <w:t>følgt</w:t>
      </w:r>
      <w:proofErr w:type="spellEnd"/>
      <w:r w:rsidRPr="00225D4D">
        <w:t xml:space="preserve"> opp.</w:t>
      </w:r>
    </w:p>
    <w:p w14:paraId="7BA54DB2" w14:textId="77777777" w:rsidR="00D60186" w:rsidRPr="00225D4D" w:rsidRDefault="00D60186" w:rsidP="00225D4D">
      <w:pPr>
        <w:pStyle w:val="Overskrift1"/>
      </w:pPr>
      <w:r w:rsidRPr="00225D4D">
        <w:t>Digitaliserings- og forvaltningsdepartementet</w:t>
      </w:r>
    </w:p>
    <w:p w14:paraId="0FA2ACFD" w14:textId="77777777" w:rsidR="00D60186" w:rsidRPr="00225D4D" w:rsidRDefault="00D60186" w:rsidP="00225D4D">
      <w:proofErr w:type="spellStart"/>
      <w:r w:rsidRPr="00225D4D">
        <w:t>Nedanfor</w:t>
      </w:r>
      <w:proofErr w:type="spellEnd"/>
      <w:r w:rsidRPr="00225D4D">
        <w:t xml:space="preserve"> er </w:t>
      </w:r>
      <w:proofErr w:type="gramStart"/>
      <w:r w:rsidRPr="00225D4D">
        <w:t>ei oversikt</w:t>
      </w:r>
      <w:proofErr w:type="gramEnd"/>
      <w:r w:rsidRPr="00225D4D">
        <w:t xml:space="preserve"> over oppfølging av oppmodingsvedtak under Digitaliserings- og forvaltningsdepartementet. </w:t>
      </w:r>
      <w:proofErr w:type="spellStart"/>
      <w:r w:rsidRPr="00225D4D">
        <w:t>Oversikta</w:t>
      </w:r>
      <w:proofErr w:type="spellEnd"/>
      <w:r w:rsidRPr="00225D4D">
        <w:t xml:space="preserve"> </w:t>
      </w:r>
      <w:proofErr w:type="spellStart"/>
      <w:r w:rsidRPr="00225D4D">
        <w:t>omfattar</w:t>
      </w:r>
      <w:proofErr w:type="spellEnd"/>
      <w:r w:rsidRPr="00225D4D">
        <w:t xml:space="preserve"> alle vedtak </w:t>
      </w:r>
      <w:proofErr w:type="spellStart"/>
      <w:r w:rsidRPr="00225D4D">
        <w:t>frå</w:t>
      </w:r>
      <w:proofErr w:type="spellEnd"/>
      <w:r w:rsidRPr="00225D4D">
        <w:t xml:space="preserve"> stortingssesjonen 2024–2025 og alle vedtak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sesjonar</w:t>
      </w:r>
      <w:proofErr w:type="spellEnd"/>
      <w:r w:rsidRPr="00225D4D">
        <w:t xml:space="preserve"> som kontroll- og konstitusjonskomiteen i </w:t>
      </w:r>
      <w:proofErr w:type="spellStart"/>
      <w:r w:rsidRPr="00225D4D">
        <w:t>Innst</w:t>
      </w:r>
      <w:proofErr w:type="spellEnd"/>
      <w:r w:rsidRPr="00225D4D">
        <w:t xml:space="preserve">. 216 S (2024–2025) meinte </w:t>
      </w:r>
      <w:proofErr w:type="spellStart"/>
      <w:r w:rsidRPr="00225D4D">
        <w:t>ikkje</w:t>
      </w:r>
      <w:proofErr w:type="spellEnd"/>
      <w:r w:rsidRPr="00225D4D">
        <w:t xml:space="preserve"> var </w:t>
      </w:r>
      <w:proofErr w:type="spellStart"/>
      <w:r w:rsidRPr="00225D4D">
        <w:t>følgde</w:t>
      </w:r>
      <w:proofErr w:type="spellEnd"/>
      <w:r w:rsidRPr="00225D4D">
        <w:t xml:space="preserve"> opp ferdig. I tabellen </w:t>
      </w:r>
      <w:proofErr w:type="spellStart"/>
      <w:r w:rsidRPr="00225D4D">
        <w:t>nedanfor</w:t>
      </w:r>
      <w:proofErr w:type="spellEnd"/>
      <w:r w:rsidRPr="00225D4D">
        <w:t xml:space="preserve"> blir det òg opplyst om departementet planlegg at rapporteringa knytt til oppmodingsvedtaket </w:t>
      </w:r>
      <w:proofErr w:type="spellStart"/>
      <w:r w:rsidRPr="00225D4D">
        <w:t>no</w:t>
      </w:r>
      <w:proofErr w:type="spellEnd"/>
      <w:r w:rsidRPr="00225D4D">
        <w:t xml:space="preserve"> blir avslutta eller om departementet vil rapportere konkret på vedtaket òg i budsjettproposisjonen for neste år.</w:t>
      </w:r>
    </w:p>
    <w:p w14:paraId="7FCD8924" w14:textId="0B131D9F" w:rsidR="00330F87" w:rsidRPr="00225D4D" w:rsidRDefault="00330F87" w:rsidP="00225D4D">
      <w:pPr>
        <w:pStyle w:val="tabell-tittel"/>
      </w:pPr>
      <w:r w:rsidRPr="00225D4D">
        <w:t>Oversikt over oppmodingsvedtak, ordna etter sesjon og nummer</w:t>
      </w:r>
    </w:p>
    <w:p w14:paraId="6ED31B2F" w14:textId="77777777" w:rsidR="00D60186" w:rsidRPr="00225D4D" w:rsidRDefault="00D60186" w:rsidP="00225D4D">
      <w:pPr>
        <w:pStyle w:val="Tabellnavn"/>
      </w:pPr>
      <w:r w:rsidRPr="00225D4D">
        <w:t>04J1xx2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1260"/>
        <w:gridCol w:w="1107"/>
        <w:gridCol w:w="5453"/>
        <w:gridCol w:w="1720"/>
      </w:tblGrid>
      <w:tr w:rsidR="00E76DC8" w:rsidRPr="00225D4D" w14:paraId="3CDB8B7F" w14:textId="77777777" w:rsidTr="00815696">
        <w:trPr>
          <w:trHeight w:val="600"/>
        </w:trPr>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BE85724" w14:textId="77777777" w:rsidR="00D60186" w:rsidRPr="00815696" w:rsidRDefault="00D60186" w:rsidP="00225D4D">
            <w:pPr>
              <w:rPr>
                <w:sz w:val="21"/>
                <w:szCs w:val="21"/>
              </w:rPr>
            </w:pPr>
            <w:r w:rsidRPr="00815696">
              <w:rPr>
                <w:sz w:val="21"/>
                <w:szCs w:val="21"/>
              </w:rPr>
              <w:t>Sesjon</w:t>
            </w:r>
          </w:p>
        </w:tc>
        <w:tc>
          <w:tcPr>
            <w:tcW w:w="110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63E229" w14:textId="77777777" w:rsidR="00D60186" w:rsidRPr="00815696" w:rsidRDefault="00D60186" w:rsidP="00815696">
            <w:pPr>
              <w:ind w:right="113"/>
              <w:jc w:val="right"/>
              <w:rPr>
                <w:sz w:val="21"/>
                <w:szCs w:val="21"/>
              </w:rPr>
            </w:pPr>
            <w:r w:rsidRPr="00815696">
              <w:rPr>
                <w:sz w:val="21"/>
                <w:szCs w:val="21"/>
              </w:rPr>
              <w:t>Vedtak nr.</w:t>
            </w:r>
          </w:p>
        </w:tc>
        <w:tc>
          <w:tcPr>
            <w:tcW w:w="545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1E80FD1" w14:textId="77777777" w:rsidR="00D60186" w:rsidRPr="00815696" w:rsidRDefault="00D60186" w:rsidP="00225D4D">
            <w:pPr>
              <w:rPr>
                <w:sz w:val="21"/>
                <w:szCs w:val="21"/>
              </w:rPr>
            </w:pPr>
            <w:r w:rsidRPr="00815696">
              <w:rPr>
                <w:sz w:val="21"/>
                <w:szCs w:val="21"/>
              </w:rPr>
              <w:t>Stikkord</w:t>
            </w:r>
          </w:p>
        </w:tc>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B3A55C" w14:textId="77777777" w:rsidR="00D60186" w:rsidRPr="00815696" w:rsidRDefault="00D60186" w:rsidP="00815696">
            <w:pPr>
              <w:jc w:val="right"/>
              <w:rPr>
                <w:sz w:val="21"/>
                <w:szCs w:val="21"/>
              </w:rPr>
            </w:pPr>
            <w:r w:rsidRPr="00815696">
              <w:rPr>
                <w:sz w:val="21"/>
                <w:szCs w:val="21"/>
              </w:rPr>
              <w:t xml:space="preserve">Rapporteringa blir </w:t>
            </w:r>
            <w:r w:rsidRPr="00815696">
              <w:rPr>
                <w:sz w:val="21"/>
                <w:szCs w:val="21"/>
              </w:rPr>
              <w:br/>
              <w:t>avslutta (Ja/Nei)</w:t>
            </w:r>
          </w:p>
        </w:tc>
      </w:tr>
      <w:tr w:rsidR="00E76DC8" w:rsidRPr="00225D4D" w14:paraId="2752D6FB" w14:textId="77777777" w:rsidTr="00814879">
        <w:trPr>
          <w:trHeight w:val="20"/>
        </w:trPr>
        <w:tc>
          <w:tcPr>
            <w:tcW w:w="1260" w:type="dxa"/>
            <w:tcBorders>
              <w:top w:val="single" w:sz="4" w:space="0" w:color="000000"/>
              <w:left w:val="nil"/>
              <w:bottom w:val="nil"/>
              <w:right w:val="nil"/>
            </w:tcBorders>
            <w:tcMar>
              <w:top w:w="128" w:type="dxa"/>
              <w:left w:w="43" w:type="dxa"/>
              <w:bottom w:w="43" w:type="dxa"/>
              <w:right w:w="43" w:type="dxa"/>
            </w:tcMar>
          </w:tcPr>
          <w:p w14:paraId="4D834F24" w14:textId="77777777" w:rsidR="00D60186" w:rsidRPr="00815696" w:rsidRDefault="00D60186" w:rsidP="00225D4D">
            <w:pPr>
              <w:rPr>
                <w:sz w:val="21"/>
                <w:szCs w:val="21"/>
              </w:rPr>
            </w:pPr>
            <w:r w:rsidRPr="00815696">
              <w:rPr>
                <w:sz w:val="21"/>
                <w:szCs w:val="21"/>
              </w:rPr>
              <w:t>2024–2025</w:t>
            </w:r>
          </w:p>
        </w:tc>
        <w:tc>
          <w:tcPr>
            <w:tcW w:w="1107" w:type="dxa"/>
            <w:tcBorders>
              <w:top w:val="single" w:sz="4" w:space="0" w:color="000000"/>
              <w:left w:val="nil"/>
              <w:bottom w:val="nil"/>
              <w:right w:val="nil"/>
            </w:tcBorders>
            <w:tcMar>
              <w:top w:w="128" w:type="dxa"/>
              <w:left w:w="43" w:type="dxa"/>
              <w:bottom w:w="43" w:type="dxa"/>
              <w:right w:w="43" w:type="dxa"/>
            </w:tcMar>
          </w:tcPr>
          <w:p w14:paraId="41800746" w14:textId="77777777" w:rsidR="00D60186" w:rsidRPr="00815696" w:rsidRDefault="00D60186" w:rsidP="00815696">
            <w:pPr>
              <w:ind w:right="113"/>
              <w:jc w:val="right"/>
              <w:rPr>
                <w:sz w:val="21"/>
                <w:szCs w:val="21"/>
              </w:rPr>
            </w:pPr>
            <w:r w:rsidRPr="00815696">
              <w:rPr>
                <w:sz w:val="21"/>
                <w:szCs w:val="21"/>
              </w:rPr>
              <w:t>86</w:t>
            </w:r>
          </w:p>
        </w:tc>
        <w:tc>
          <w:tcPr>
            <w:tcW w:w="5453" w:type="dxa"/>
            <w:tcBorders>
              <w:top w:val="single" w:sz="4" w:space="0" w:color="000000"/>
              <w:left w:val="nil"/>
              <w:bottom w:val="nil"/>
              <w:right w:val="nil"/>
            </w:tcBorders>
            <w:tcMar>
              <w:top w:w="128" w:type="dxa"/>
              <w:left w:w="43" w:type="dxa"/>
              <w:bottom w:w="43" w:type="dxa"/>
              <w:right w:w="43" w:type="dxa"/>
            </w:tcMar>
          </w:tcPr>
          <w:p w14:paraId="67A3D12F" w14:textId="77777777" w:rsidR="00D60186" w:rsidRPr="00815696" w:rsidRDefault="00D60186" w:rsidP="00225D4D">
            <w:pPr>
              <w:rPr>
                <w:sz w:val="21"/>
                <w:szCs w:val="21"/>
              </w:rPr>
            </w:pPr>
            <w:r w:rsidRPr="00815696">
              <w:rPr>
                <w:sz w:val="21"/>
                <w:szCs w:val="21"/>
              </w:rPr>
              <w:t xml:space="preserve">Registreringsordning for ideelle </w:t>
            </w:r>
            <w:proofErr w:type="spellStart"/>
            <w:r w:rsidRPr="00815696">
              <w:rPr>
                <w:sz w:val="21"/>
                <w:szCs w:val="21"/>
              </w:rPr>
              <w:t>velferdsaktørar</w:t>
            </w:r>
            <w:proofErr w:type="spellEnd"/>
          </w:p>
        </w:tc>
        <w:tc>
          <w:tcPr>
            <w:tcW w:w="1720" w:type="dxa"/>
            <w:tcBorders>
              <w:top w:val="single" w:sz="4" w:space="0" w:color="000000"/>
              <w:left w:val="nil"/>
              <w:bottom w:val="nil"/>
              <w:right w:val="nil"/>
            </w:tcBorders>
            <w:tcMar>
              <w:top w:w="128" w:type="dxa"/>
              <w:left w:w="43" w:type="dxa"/>
              <w:bottom w:w="43" w:type="dxa"/>
              <w:right w:w="43" w:type="dxa"/>
            </w:tcMar>
          </w:tcPr>
          <w:p w14:paraId="129CE03A" w14:textId="77777777" w:rsidR="00D60186" w:rsidRPr="00815696" w:rsidRDefault="00D60186" w:rsidP="00815696">
            <w:pPr>
              <w:jc w:val="right"/>
              <w:rPr>
                <w:sz w:val="21"/>
                <w:szCs w:val="21"/>
              </w:rPr>
            </w:pPr>
            <w:r w:rsidRPr="00815696">
              <w:rPr>
                <w:sz w:val="21"/>
                <w:szCs w:val="21"/>
              </w:rPr>
              <w:t>Nei</w:t>
            </w:r>
          </w:p>
        </w:tc>
      </w:tr>
      <w:tr w:rsidR="00E76DC8" w:rsidRPr="00225D4D" w14:paraId="42BF05AC"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300E20B8" w14:textId="77777777" w:rsidR="00D60186" w:rsidRPr="00815696" w:rsidRDefault="00D60186" w:rsidP="00225D4D">
            <w:pPr>
              <w:rPr>
                <w:sz w:val="21"/>
                <w:szCs w:val="21"/>
              </w:rPr>
            </w:pPr>
            <w:r w:rsidRPr="00815696">
              <w:rPr>
                <w:sz w:val="21"/>
                <w:szCs w:val="21"/>
              </w:rPr>
              <w:t>2024–2025</w:t>
            </w:r>
          </w:p>
        </w:tc>
        <w:tc>
          <w:tcPr>
            <w:tcW w:w="1107" w:type="dxa"/>
            <w:tcBorders>
              <w:top w:val="nil"/>
              <w:left w:val="nil"/>
              <w:bottom w:val="nil"/>
              <w:right w:val="nil"/>
            </w:tcBorders>
            <w:tcMar>
              <w:top w:w="128" w:type="dxa"/>
              <w:left w:w="43" w:type="dxa"/>
              <w:bottom w:w="43" w:type="dxa"/>
              <w:right w:w="43" w:type="dxa"/>
            </w:tcMar>
          </w:tcPr>
          <w:p w14:paraId="2909FBE7" w14:textId="77777777" w:rsidR="00D60186" w:rsidRPr="00815696" w:rsidRDefault="00D60186" w:rsidP="00815696">
            <w:pPr>
              <w:ind w:right="113"/>
              <w:jc w:val="right"/>
              <w:rPr>
                <w:sz w:val="21"/>
                <w:szCs w:val="21"/>
              </w:rPr>
            </w:pPr>
            <w:r w:rsidRPr="00815696">
              <w:rPr>
                <w:sz w:val="21"/>
                <w:szCs w:val="21"/>
              </w:rPr>
              <w:t>87</w:t>
            </w:r>
          </w:p>
        </w:tc>
        <w:tc>
          <w:tcPr>
            <w:tcW w:w="5453" w:type="dxa"/>
            <w:tcBorders>
              <w:top w:val="nil"/>
              <w:left w:val="nil"/>
              <w:bottom w:val="nil"/>
              <w:right w:val="nil"/>
            </w:tcBorders>
            <w:tcMar>
              <w:top w:w="128" w:type="dxa"/>
              <w:left w:w="43" w:type="dxa"/>
              <w:bottom w:w="43" w:type="dxa"/>
              <w:right w:w="43" w:type="dxa"/>
            </w:tcMar>
          </w:tcPr>
          <w:p w14:paraId="7F118436" w14:textId="77777777" w:rsidR="00D60186" w:rsidRPr="00815696" w:rsidRDefault="00D60186" w:rsidP="00225D4D">
            <w:pPr>
              <w:rPr>
                <w:sz w:val="21"/>
                <w:szCs w:val="21"/>
              </w:rPr>
            </w:pPr>
            <w:r w:rsidRPr="00815696">
              <w:rPr>
                <w:sz w:val="21"/>
                <w:szCs w:val="21"/>
              </w:rPr>
              <w:t xml:space="preserve">Ny lov om registrering av ideelle </w:t>
            </w:r>
            <w:proofErr w:type="spellStart"/>
            <w:r w:rsidRPr="00815696">
              <w:rPr>
                <w:sz w:val="21"/>
                <w:szCs w:val="21"/>
              </w:rPr>
              <w:t>velferdsaktørar</w:t>
            </w:r>
            <w:proofErr w:type="spellEnd"/>
          </w:p>
        </w:tc>
        <w:tc>
          <w:tcPr>
            <w:tcW w:w="1720" w:type="dxa"/>
            <w:tcBorders>
              <w:top w:val="nil"/>
              <w:left w:val="nil"/>
              <w:bottom w:val="nil"/>
              <w:right w:val="nil"/>
            </w:tcBorders>
            <w:tcMar>
              <w:top w:w="128" w:type="dxa"/>
              <w:left w:w="43" w:type="dxa"/>
              <w:bottom w:w="43" w:type="dxa"/>
              <w:right w:w="43" w:type="dxa"/>
            </w:tcMar>
          </w:tcPr>
          <w:p w14:paraId="5E0A0DC4" w14:textId="77777777" w:rsidR="00D60186" w:rsidRPr="00815696" w:rsidRDefault="00D60186" w:rsidP="00815696">
            <w:pPr>
              <w:jc w:val="right"/>
              <w:rPr>
                <w:sz w:val="21"/>
                <w:szCs w:val="21"/>
              </w:rPr>
            </w:pPr>
            <w:r w:rsidRPr="00815696">
              <w:rPr>
                <w:sz w:val="21"/>
                <w:szCs w:val="21"/>
              </w:rPr>
              <w:t>Nei</w:t>
            </w:r>
          </w:p>
        </w:tc>
      </w:tr>
      <w:tr w:rsidR="00E76DC8" w:rsidRPr="00225D4D" w14:paraId="490496AD"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35497FC9" w14:textId="77777777" w:rsidR="00D60186" w:rsidRPr="00815696" w:rsidRDefault="00D60186" w:rsidP="00225D4D">
            <w:pPr>
              <w:rPr>
                <w:sz w:val="21"/>
                <w:szCs w:val="21"/>
              </w:rPr>
            </w:pPr>
            <w:r w:rsidRPr="00815696">
              <w:rPr>
                <w:sz w:val="21"/>
                <w:szCs w:val="21"/>
              </w:rPr>
              <w:t>2024–2025</w:t>
            </w:r>
          </w:p>
        </w:tc>
        <w:tc>
          <w:tcPr>
            <w:tcW w:w="1107" w:type="dxa"/>
            <w:tcBorders>
              <w:top w:val="nil"/>
              <w:left w:val="nil"/>
              <w:bottom w:val="nil"/>
              <w:right w:val="nil"/>
            </w:tcBorders>
            <w:tcMar>
              <w:top w:w="128" w:type="dxa"/>
              <w:left w:w="43" w:type="dxa"/>
              <w:bottom w:w="43" w:type="dxa"/>
              <w:right w:w="43" w:type="dxa"/>
            </w:tcMar>
          </w:tcPr>
          <w:p w14:paraId="5FB815DD" w14:textId="77777777" w:rsidR="00D60186" w:rsidRPr="00815696" w:rsidRDefault="00D60186" w:rsidP="00815696">
            <w:pPr>
              <w:ind w:right="113"/>
              <w:jc w:val="right"/>
              <w:rPr>
                <w:sz w:val="21"/>
                <w:szCs w:val="21"/>
              </w:rPr>
            </w:pPr>
            <w:r w:rsidRPr="00815696">
              <w:rPr>
                <w:sz w:val="21"/>
                <w:szCs w:val="21"/>
              </w:rPr>
              <w:t>493</w:t>
            </w:r>
          </w:p>
        </w:tc>
        <w:tc>
          <w:tcPr>
            <w:tcW w:w="5453" w:type="dxa"/>
            <w:tcBorders>
              <w:top w:val="nil"/>
              <w:left w:val="nil"/>
              <w:bottom w:val="nil"/>
              <w:right w:val="nil"/>
            </w:tcBorders>
            <w:tcMar>
              <w:top w:w="128" w:type="dxa"/>
              <w:left w:w="43" w:type="dxa"/>
              <w:bottom w:w="43" w:type="dxa"/>
              <w:right w:w="43" w:type="dxa"/>
            </w:tcMar>
          </w:tcPr>
          <w:p w14:paraId="342BA2F1" w14:textId="77777777" w:rsidR="00D60186" w:rsidRPr="00815696" w:rsidRDefault="00D60186" w:rsidP="00225D4D">
            <w:pPr>
              <w:rPr>
                <w:sz w:val="21"/>
                <w:szCs w:val="21"/>
              </w:rPr>
            </w:pPr>
            <w:proofErr w:type="spellStart"/>
            <w:r w:rsidRPr="00815696">
              <w:rPr>
                <w:sz w:val="21"/>
                <w:szCs w:val="21"/>
              </w:rPr>
              <w:t>Sløkking</w:t>
            </w:r>
            <w:proofErr w:type="spellEnd"/>
            <w:r w:rsidRPr="00815696">
              <w:rPr>
                <w:sz w:val="21"/>
                <w:szCs w:val="21"/>
              </w:rPr>
              <w:t xml:space="preserve"> av 2G-nettet</w:t>
            </w:r>
          </w:p>
        </w:tc>
        <w:tc>
          <w:tcPr>
            <w:tcW w:w="1720" w:type="dxa"/>
            <w:tcBorders>
              <w:top w:val="nil"/>
              <w:left w:val="nil"/>
              <w:bottom w:val="nil"/>
              <w:right w:val="nil"/>
            </w:tcBorders>
            <w:tcMar>
              <w:top w:w="128" w:type="dxa"/>
              <w:left w:w="43" w:type="dxa"/>
              <w:bottom w:w="43" w:type="dxa"/>
              <w:right w:w="43" w:type="dxa"/>
            </w:tcMar>
          </w:tcPr>
          <w:p w14:paraId="0916C15C" w14:textId="77777777" w:rsidR="00D60186" w:rsidRPr="00815696" w:rsidRDefault="00D60186" w:rsidP="00815696">
            <w:pPr>
              <w:jc w:val="right"/>
              <w:rPr>
                <w:sz w:val="21"/>
                <w:szCs w:val="21"/>
              </w:rPr>
            </w:pPr>
            <w:r w:rsidRPr="00815696">
              <w:rPr>
                <w:sz w:val="21"/>
                <w:szCs w:val="21"/>
              </w:rPr>
              <w:t>Ja</w:t>
            </w:r>
          </w:p>
        </w:tc>
      </w:tr>
      <w:tr w:rsidR="00E76DC8" w:rsidRPr="00225D4D" w14:paraId="2ECA19F5"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501543C9" w14:textId="77777777" w:rsidR="00D60186" w:rsidRPr="00815696" w:rsidRDefault="00D60186" w:rsidP="00225D4D">
            <w:pPr>
              <w:rPr>
                <w:sz w:val="21"/>
                <w:szCs w:val="21"/>
              </w:rPr>
            </w:pPr>
            <w:r w:rsidRPr="00815696">
              <w:rPr>
                <w:sz w:val="21"/>
                <w:szCs w:val="21"/>
              </w:rPr>
              <w:t>2024–2025</w:t>
            </w:r>
          </w:p>
        </w:tc>
        <w:tc>
          <w:tcPr>
            <w:tcW w:w="1107" w:type="dxa"/>
            <w:tcBorders>
              <w:top w:val="nil"/>
              <w:left w:val="nil"/>
              <w:bottom w:val="nil"/>
              <w:right w:val="nil"/>
            </w:tcBorders>
            <w:tcMar>
              <w:top w:w="128" w:type="dxa"/>
              <w:left w:w="43" w:type="dxa"/>
              <w:bottom w:w="43" w:type="dxa"/>
              <w:right w:w="43" w:type="dxa"/>
            </w:tcMar>
          </w:tcPr>
          <w:p w14:paraId="5AD66729" w14:textId="77777777" w:rsidR="00D60186" w:rsidRPr="00815696" w:rsidRDefault="00D60186" w:rsidP="00815696">
            <w:pPr>
              <w:ind w:right="113"/>
              <w:jc w:val="right"/>
              <w:rPr>
                <w:sz w:val="21"/>
                <w:szCs w:val="21"/>
              </w:rPr>
            </w:pPr>
            <w:r w:rsidRPr="00815696">
              <w:rPr>
                <w:sz w:val="21"/>
                <w:szCs w:val="21"/>
              </w:rPr>
              <w:t>615</w:t>
            </w:r>
          </w:p>
        </w:tc>
        <w:tc>
          <w:tcPr>
            <w:tcW w:w="5453" w:type="dxa"/>
            <w:tcBorders>
              <w:top w:val="nil"/>
              <w:left w:val="nil"/>
              <w:bottom w:val="nil"/>
              <w:right w:val="nil"/>
            </w:tcBorders>
            <w:tcMar>
              <w:top w:w="128" w:type="dxa"/>
              <w:left w:w="43" w:type="dxa"/>
              <w:bottom w:w="43" w:type="dxa"/>
              <w:right w:w="43" w:type="dxa"/>
            </w:tcMar>
          </w:tcPr>
          <w:p w14:paraId="6E40745F" w14:textId="77777777" w:rsidR="00D60186" w:rsidRPr="00815696" w:rsidRDefault="00D60186" w:rsidP="00225D4D">
            <w:pPr>
              <w:rPr>
                <w:sz w:val="21"/>
                <w:szCs w:val="21"/>
              </w:rPr>
            </w:pPr>
            <w:r w:rsidRPr="00815696">
              <w:rPr>
                <w:sz w:val="21"/>
                <w:szCs w:val="21"/>
              </w:rPr>
              <w:t xml:space="preserve">Prioritere </w:t>
            </w:r>
            <w:proofErr w:type="spellStart"/>
            <w:r w:rsidRPr="00815696">
              <w:rPr>
                <w:sz w:val="21"/>
                <w:szCs w:val="21"/>
              </w:rPr>
              <w:t>dei</w:t>
            </w:r>
            <w:proofErr w:type="spellEnd"/>
            <w:r w:rsidRPr="00815696">
              <w:rPr>
                <w:sz w:val="21"/>
                <w:szCs w:val="21"/>
              </w:rPr>
              <w:t xml:space="preserve"> med funksjonshemming i </w:t>
            </w:r>
            <w:proofErr w:type="spellStart"/>
            <w:r w:rsidRPr="00815696">
              <w:rPr>
                <w:sz w:val="21"/>
                <w:szCs w:val="21"/>
              </w:rPr>
              <w:t>stillingsutlysingar</w:t>
            </w:r>
            <w:proofErr w:type="spellEnd"/>
          </w:p>
        </w:tc>
        <w:tc>
          <w:tcPr>
            <w:tcW w:w="1720" w:type="dxa"/>
            <w:tcBorders>
              <w:top w:val="nil"/>
              <w:left w:val="nil"/>
              <w:bottom w:val="nil"/>
              <w:right w:val="nil"/>
            </w:tcBorders>
            <w:tcMar>
              <w:top w:w="128" w:type="dxa"/>
              <w:left w:w="43" w:type="dxa"/>
              <w:bottom w:w="43" w:type="dxa"/>
              <w:right w:w="43" w:type="dxa"/>
            </w:tcMar>
          </w:tcPr>
          <w:p w14:paraId="39BD509B" w14:textId="77777777" w:rsidR="00D60186" w:rsidRPr="00815696" w:rsidRDefault="00D60186" w:rsidP="00815696">
            <w:pPr>
              <w:jc w:val="right"/>
              <w:rPr>
                <w:sz w:val="21"/>
                <w:szCs w:val="21"/>
              </w:rPr>
            </w:pPr>
            <w:r w:rsidRPr="00815696">
              <w:rPr>
                <w:sz w:val="21"/>
                <w:szCs w:val="21"/>
              </w:rPr>
              <w:t>Ja</w:t>
            </w:r>
          </w:p>
        </w:tc>
      </w:tr>
      <w:tr w:rsidR="00E76DC8" w:rsidRPr="00225D4D" w14:paraId="628BC8FB"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1A52A911" w14:textId="77777777" w:rsidR="00D60186" w:rsidRPr="00815696" w:rsidRDefault="00D60186" w:rsidP="00225D4D">
            <w:pPr>
              <w:rPr>
                <w:sz w:val="21"/>
                <w:szCs w:val="21"/>
              </w:rPr>
            </w:pPr>
            <w:r w:rsidRPr="00815696">
              <w:rPr>
                <w:sz w:val="21"/>
                <w:szCs w:val="21"/>
              </w:rPr>
              <w:t>2024–2025</w:t>
            </w:r>
          </w:p>
        </w:tc>
        <w:tc>
          <w:tcPr>
            <w:tcW w:w="1107" w:type="dxa"/>
            <w:tcBorders>
              <w:top w:val="nil"/>
              <w:left w:val="nil"/>
              <w:bottom w:val="nil"/>
              <w:right w:val="nil"/>
            </w:tcBorders>
            <w:tcMar>
              <w:top w:w="128" w:type="dxa"/>
              <w:left w:w="43" w:type="dxa"/>
              <w:bottom w:w="43" w:type="dxa"/>
              <w:right w:w="43" w:type="dxa"/>
            </w:tcMar>
          </w:tcPr>
          <w:p w14:paraId="702CBB94" w14:textId="77777777" w:rsidR="00D60186" w:rsidRPr="00815696" w:rsidRDefault="00D60186" w:rsidP="00815696">
            <w:pPr>
              <w:ind w:right="113"/>
              <w:jc w:val="right"/>
              <w:rPr>
                <w:sz w:val="21"/>
                <w:szCs w:val="21"/>
              </w:rPr>
            </w:pPr>
            <w:r w:rsidRPr="00815696">
              <w:rPr>
                <w:sz w:val="21"/>
                <w:szCs w:val="21"/>
              </w:rPr>
              <w:t>639</w:t>
            </w:r>
          </w:p>
        </w:tc>
        <w:tc>
          <w:tcPr>
            <w:tcW w:w="5453" w:type="dxa"/>
            <w:tcBorders>
              <w:top w:val="nil"/>
              <w:left w:val="nil"/>
              <w:bottom w:val="nil"/>
              <w:right w:val="nil"/>
            </w:tcBorders>
            <w:tcMar>
              <w:top w:w="128" w:type="dxa"/>
              <w:left w:w="43" w:type="dxa"/>
              <w:bottom w:w="43" w:type="dxa"/>
              <w:right w:w="43" w:type="dxa"/>
            </w:tcMar>
          </w:tcPr>
          <w:p w14:paraId="7F2504C3" w14:textId="77777777" w:rsidR="00D60186" w:rsidRPr="00815696" w:rsidRDefault="00D60186" w:rsidP="00225D4D">
            <w:pPr>
              <w:rPr>
                <w:sz w:val="21"/>
                <w:szCs w:val="21"/>
              </w:rPr>
            </w:pPr>
            <w:r w:rsidRPr="00815696">
              <w:rPr>
                <w:sz w:val="21"/>
                <w:szCs w:val="21"/>
              </w:rPr>
              <w:t>Prioritere å forsterke infrastruktur og sikre redundans</w:t>
            </w:r>
          </w:p>
        </w:tc>
        <w:tc>
          <w:tcPr>
            <w:tcW w:w="1720" w:type="dxa"/>
            <w:tcBorders>
              <w:top w:val="nil"/>
              <w:left w:val="nil"/>
              <w:bottom w:val="nil"/>
              <w:right w:val="nil"/>
            </w:tcBorders>
            <w:tcMar>
              <w:top w:w="128" w:type="dxa"/>
              <w:left w:w="43" w:type="dxa"/>
              <w:bottom w:w="43" w:type="dxa"/>
              <w:right w:w="43" w:type="dxa"/>
            </w:tcMar>
          </w:tcPr>
          <w:p w14:paraId="4A34B18A" w14:textId="77777777" w:rsidR="00D60186" w:rsidRPr="00815696" w:rsidRDefault="00D60186" w:rsidP="00815696">
            <w:pPr>
              <w:jc w:val="right"/>
              <w:rPr>
                <w:sz w:val="21"/>
                <w:szCs w:val="21"/>
              </w:rPr>
            </w:pPr>
            <w:r w:rsidRPr="00815696">
              <w:rPr>
                <w:sz w:val="21"/>
                <w:szCs w:val="21"/>
              </w:rPr>
              <w:t xml:space="preserve">Ja </w:t>
            </w:r>
          </w:p>
        </w:tc>
      </w:tr>
      <w:tr w:rsidR="00E76DC8" w:rsidRPr="00225D4D" w14:paraId="038B2A7F"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27AA3AD3" w14:textId="77777777" w:rsidR="00D60186" w:rsidRPr="00815696" w:rsidRDefault="00D60186" w:rsidP="00225D4D">
            <w:pPr>
              <w:rPr>
                <w:sz w:val="21"/>
                <w:szCs w:val="21"/>
              </w:rPr>
            </w:pPr>
            <w:r w:rsidRPr="00815696">
              <w:rPr>
                <w:sz w:val="21"/>
                <w:szCs w:val="21"/>
              </w:rPr>
              <w:t>2024–2025</w:t>
            </w:r>
          </w:p>
        </w:tc>
        <w:tc>
          <w:tcPr>
            <w:tcW w:w="1107" w:type="dxa"/>
            <w:tcBorders>
              <w:top w:val="nil"/>
              <w:left w:val="nil"/>
              <w:bottom w:val="nil"/>
              <w:right w:val="nil"/>
            </w:tcBorders>
            <w:tcMar>
              <w:top w:w="128" w:type="dxa"/>
              <w:left w:w="43" w:type="dxa"/>
              <w:bottom w:w="43" w:type="dxa"/>
              <w:right w:w="43" w:type="dxa"/>
            </w:tcMar>
          </w:tcPr>
          <w:p w14:paraId="489F6ADF" w14:textId="77777777" w:rsidR="00D60186" w:rsidRPr="00815696" w:rsidRDefault="00D60186" w:rsidP="00815696">
            <w:pPr>
              <w:ind w:right="113"/>
              <w:jc w:val="right"/>
              <w:rPr>
                <w:sz w:val="21"/>
                <w:szCs w:val="21"/>
              </w:rPr>
            </w:pPr>
            <w:r w:rsidRPr="00815696">
              <w:rPr>
                <w:sz w:val="21"/>
                <w:szCs w:val="21"/>
              </w:rPr>
              <w:t>641</w:t>
            </w:r>
          </w:p>
        </w:tc>
        <w:tc>
          <w:tcPr>
            <w:tcW w:w="5453" w:type="dxa"/>
            <w:tcBorders>
              <w:top w:val="nil"/>
              <w:left w:val="nil"/>
              <w:bottom w:val="nil"/>
              <w:right w:val="nil"/>
            </w:tcBorders>
            <w:tcMar>
              <w:top w:w="128" w:type="dxa"/>
              <w:left w:w="43" w:type="dxa"/>
              <w:bottom w:w="43" w:type="dxa"/>
              <w:right w:w="43" w:type="dxa"/>
            </w:tcMar>
          </w:tcPr>
          <w:p w14:paraId="26D3CC06" w14:textId="77777777" w:rsidR="00D60186" w:rsidRPr="00815696" w:rsidRDefault="00D60186" w:rsidP="00225D4D">
            <w:pPr>
              <w:rPr>
                <w:sz w:val="21"/>
                <w:szCs w:val="21"/>
              </w:rPr>
            </w:pPr>
            <w:proofErr w:type="spellStart"/>
            <w:r w:rsidRPr="00815696">
              <w:rPr>
                <w:sz w:val="21"/>
                <w:szCs w:val="21"/>
              </w:rPr>
              <w:t>Verksemder</w:t>
            </w:r>
            <w:proofErr w:type="spellEnd"/>
            <w:r w:rsidRPr="00815696">
              <w:rPr>
                <w:sz w:val="21"/>
                <w:szCs w:val="21"/>
              </w:rPr>
              <w:t xml:space="preserve"> med ansvar for viktige og kritiske </w:t>
            </w:r>
            <w:proofErr w:type="spellStart"/>
            <w:r w:rsidRPr="00815696">
              <w:rPr>
                <w:sz w:val="21"/>
                <w:szCs w:val="21"/>
              </w:rPr>
              <w:t>samfunnsfunksjonar</w:t>
            </w:r>
            <w:proofErr w:type="spellEnd"/>
          </w:p>
        </w:tc>
        <w:tc>
          <w:tcPr>
            <w:tcW w:w="1720" w:type="dxa"/>
            <w:tcBorders>
              <w:top w:val="nil"/>
              <w:left w:val="nil"/>
              <w:bottom w:val="nil"/>
              <w:right w:val="nil"/>
            </w:tcBorders>
            <w:tcMar>
              <w:top w:w="128" w:type="dxa"/>
              <w:left w:w="43" w:type="dxa"/>
              <w:bottom w:w="43" w:type="dxa"/>
              <w:right w:w="43" w:type="dxa"/>
            </w:tcMar>
          </w:tcPr>
          <w:p w14:paraId="2646C1F2" w14:textId="77777777" w:rsidR="00D60186" w:rsidRPr="00815696" w:rsidRDefault="00D60186" w:rsidP="00815696">
            <w:pPr>
              <w:jc w:val="right"/>
              <w:rPr>
                <w:sz w:val="21"/>
                <w:szCs w:val="21"/>
              </w:rPr>
            </w:pPr>
            <w:r w:rsidRPr="00815696">
              <w:rPr>
                <w:sz w:val="21"/>
                <w:szCs w:val="21"/>
              </w:rPr>
              <w:t>Ja</w:t>
            </w:r>
          </w:p>
        </w:tc>
      </w:tr>
      <w:tr w:rsidR="00E76DC8" w:rsidRPr="00225D4D" w14:paraId="75E65EFB"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0CEA0BDA" w14:textId="77777777" w:rsidR="00D60186" w:rsidRPr="00815696" w:rsidRDefault="00D60186" w:rsidP="00225D4D">
            <w:pPr>
              <w:rPr>
                <w:sz w:val="21"/>
                <w:szCs w:val="21"/>
              </w:rPr>
            </w:pPr>
            <w:r w:rsidRPr="00815696">
              <w:rPr>
                <w:sz w:val="21"/>
                <w:szCs w:val="21"/>
              </w:rPr>
              <w:t>2024–2025</w:t>
            </w:r>
          </w:p>
        </w:tc>
        <w:tc>
          <w:tcPr>
            <w:tcW w:w="1107" w:type="dxa"/>
            <w:tcBorders>
              <w:top w:val="nil"/>
              <w:left w:val="nil"/>
              <w:bottom w:val="nil"/>
              <w:right w:val="nil"/>
            </w:tcBorders>
            <w:tcMar>
              <w:top w:w="128" w:type="dxa"/>
              <w:left w:w="43" w:type="dxa"/>
              <w:bottom w:w="43" w:type="dxa"/>
              <w:right w:w="43" w:type="dxa"/>
            </w:tcMar>
          </w:tcPr>
          <w:p w14:paraId="09D56924" w14:textId="77777777" w:rsidR="00D60186" w:rsidRPr="00815696" w:rsidRDefault="00D60186" w:rsidP="00815696">
            <w:pPr>
              <w:ind w:right="113"/>
              <w:jc w:val="right"/>
              <w:rPr>
                <w:sz w:val="21"/>
                <w:szCs w:val="21"/>
              </w:rPr>
            </w:pPr>
            <w:r w:rsidRPr="00815696">
              <w:rPr>
                <w:sz w:val="21"/>
                <w:szCs w:val="21"/>
              </w:rPr>
              <w:t>1087</w:t>
            </w:r>
          </w:p>
        </w:tc>
        <w:tc>
          <w:tcPr>
            <w:tcW w:w="5453" w:type="dxa"/>
            <w:tcBorders>
              <w:top w:val="nil"/>
              <w:left w:val="nil"/>
              <w:bottom w:val="nil"/>
              <w:right w:val="nil"/>
            </w:tcBorders>
            <w:tcMar>
              <w:top w:w="128" w:type="dxa"/>
              <w:left w:w="43" w:type="dxa"/>
              <w:bottom w:w="43" w:type="dxa"/>
              <w:right w:w="43" w:type="dxa"/>
            </w:tcMar>
          </w:tcPr>
          <w:p w14:paraId="5B2F2D5E" w14:textId="77777777" w:rsidR="00D60186" w:rsidRPr="00815696" w:rsidRDefault="00D60186" w:rsidP="00225D4D">
            <w:pPr>
              <w:rPr>
                <w:sz w:val="21"/>
                <w:szCs w:val="21"/>
              </w:rPr>
            </w:pPr>
            <w:r w:rsidRPr="00815696">
              <w:rPr>
                <w:sz w:val="21"/>
                <w:szCs w:val="21"/>
              </w:rPr>
              <w:t xml:space="preserve">Gjennomgang av instruks om handtering av bygge- og </w:t>
            </w:r>
            <w:proofErr w:type="spellStart"/>
            <w:r w:rsidRPr="00815696">
              <w:rPr>
                <w:sz w:val="21"/>
                <w:szCs w:val="21"/>
              </w:rPr>
              <w:t>leigesakar</w:t>
            </w:r>
            <w:proofErr w:type="spellEnd"/>
            <w:r w:rsidRPr="00815696">
              <w:rPr>
                <w:sz w:val="21"/>
                <w:szCs w:val="21"/>
              </w:rPr>
              <w:t xml:space="preserve"> i </w:t>
            </w:r>
            <w:proofErr w:type="spellStart"/>
            <w:r w:rsidRPr="00815696">
              <w:rPr>
                <w:sz w:val="21"/>
                <w:szCs w:val="21"/>
              </w:rPr>
              <w:t>statleg</w:t>
            </w:r>
            <w:proofErr w:type="spellEnd"/>
            <w:r w:rsidRPr="00815696">
              <w:rPr>
                <w:sz w:val="21"/>
                <w:szCs w:val="21"/>
              </w:rPr>
              <w:t xml:space="preserve"> sivil sektor</w:t>
            </w:r>
          </w:p>
        </w:tc>
        <w:tc>
          <w:tcPr>
            <w:tcW w:w="1720" w:type="dxa"/>
            <w:tcBorders>
              <w:top w:val="nil"/>
              <w:left w:val="nil"/>
              <w:bottom w:val="nil"/>
              <w:right w:val="nil"/>
            </w:tcBorders>
            <w:tcMar>
              <w:top w:w="128" w:type="dxa"/>
              <w:left w:w="43" w:type="dxa"/>
              <w:bottom w:w="43" w:type="dxa"/>
              <w:right w:w="43" w:type="dxa"/>
            </w:tcMar>
          </w:tcPr>
          <w:p w14:paraId="3BEC5E31" w14:textId="77777777" w:rsidR="00D60186" w:rsidRPr="00815696" w:rsidRDefault="00D60186" w:rsidP="00815696">
            <w:pPr>
              <w:jc w:val="right"/>
              <w:rPr>
                <w:sz w:val="21"/>
                <w:szCs w:val="21"/>
              </w:rPr>
            </w:pPr>
            <w:r w:rsidRPr="00815696">
              <w:rPr>
                <w:sz w:val="21"/>
                <w:szCs w:val="21"/>
              </w:rPr>
              <w:t>Ja</w:t>
            </w:r>
          </w:p>
        </w:tc>
      </w:tr>
      <w:tr w:rsidR="00E76DC8" w:rsidRPr="00225D4D" w14:paraId="189524AB"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21D6B394" w14:textId="77777777" w:rsidR="00D60186" w:rsidRPr="00815696" w:rsidRDefault="00D60186" w:rsidP="00225D4D">
            <w:pPr>
              <w:rPr>
                <w:sz w:val="21"/>
                <w:szCs w:val="21"/>
              </w:rPr>
            </w:pPr>
            <w:r w:rsidRPr="00815696">
              <w:rPr>
                <w:sz w:val="21"/>
                <w:szCs w:val="21"/>
              </w:rPr>
              <w:t>2023–2024</w:t>
            </w:r>
          </w:p>
        </w:tc>
        <w:tc>
          <w:tcPr>
            <w:tcW w:w="1107" w:type="dxa"/>
            <w:tcBorders>
              <w:top w:val="nil"/>
              <w:left w:val="nil"/>
              <w:bottom w:val="nil"/>
              <w:right w:val="nil"/>
            </w:tcBorders>
            <w:tcMar>
              <w:top w:w="128" w:type="dxa"/>
              <w:left w:w="43" w:type="dxa"/>
              <w:bottom w:w="43" w:type="dxa"/>
              <w:right w:w="43" w:type="dxa"/>
            </w:tcMar>
          </w:tcPr>
          <w:p w14:paraId="44B3F9ED" w14:textId="77777777" w:rsidR="00D60186" w:rsidRPr="00815696" w:rsidRDefault="00D60186" w:rsidP="00815696">
            <w:pPr>
              <w:ind w:right="113"/>
              <w:jc w:val="right"/>
              <w:rPr>
                <w:sz w:val="21"/>
                <w:szCs w:val="21"/>
              </w:rPr>
            </w:pPr>
            <w:r w:rsidRPr="00815696">
              <w:rPr>
                <w:sz w:val="21"/>
                <w:szCs w:val="21"/>
              </w:rPr>
              <w:t>501</w:t>
            </w:r>
          </w:p>
        </w:tc>
        <w:tc>
          <w:tcPr>
            <w:tcW w:w="5453" w:type="dxa"/>
            <w:tcBorders>
              <w:top w:val="nil"/>
              <w:left w:val="nil"/>
              <w:bottom w:val="nil"/>
              <w:right w:val="nil"/>
            </w:tcBorders>
            <w:tcMar>
              <w:top w:w="128" w:type="dxa"/>
              <w:left w:w="43" w:type="dxa"/>
              <w:bottom w:w="43" w:type="dxa"/>
              <w:right w:w="43" w:type="dxa"/>
            </w:tcMar>
          </w:tcPr>
          <w:p w14:paraId="4787C5AD" w14:textId="77777777" w:rsidR="00D60186" w:rsidRPr="00815696" w:rsidRDefault="00D60186" w:rsidP="00225D4D">
            <w:pPr>
              <w:rPr>
                <w:sz w:val="21"/>
                <w:szCs w:val="21"/>
              </w:rPr>
            </w:pPr>
            <w:proofErr w:type="spellStart"/>
            <w:r w:rsidRPr="00815696">
              <w:rPr>
                <w:sz w:val="21"/>
                <w:szCs w:val="21"/>
              </w:rPr>
              <w:t>Forbod</w:t>
            </w:r>
            <w:proofErr w:type="spellEnd"/>
            <w:r w:rsidRPr="00815696">
              <w:rPr>
                <w:sz w:val="21"/>
                <w:szCs w:val="21"/>
              </w:rPr>
              <w:t xml:space="preserve"> mot </w:t>
            </w:r>
            <w:proofErr w:type="spellStart"/>
            <w:r w:rsidRPr="00815696">
              <w:rPr>
                <w:sz w:val="21"/>
                <w:szCs w:val="21"/>
              </w:rPr>
              <w:t>åtferdsbasert</w:t>
            </w:r>
            <w:proofErr w:type="spellEnd"/>
            <w:r w:rsidRPr="00815696">
              <w:rPr>
                <w:sz w:val="21"/>
                <w:szCs w:val="21"/>
              </w:rPr>
              <w:t xml:space="preserve"> </w:t>
            </w:r>
            <w:proofErr w:type="spellStart"/>
            <w:r w:rsidRPr="00815696">
              <w:rPr>
                <w:sz w:val="21"/>
                <w:szCs w:val="21"/>
              </w:rPr>
              <w:t>marknadsføring</w:t>
            </w:r>
            <w:proofErr w:type="spellEnd"/>
            <w:r w:rsidRPr="00815696">
              <w:rPr>
                <w:sz w:val="21"/>
                <w:szCs w:val="21"/>
              </w:rPr>
              <w:t xml:space="preserve"> retta mot barn og unge</w:t>
            </w:r>
          </w:p>
        </w:tc>
        <w:tc>
          <w:tcPr>
            <w:tcW w:w="1720" w:type="dxa"/>
            <w:tcBorders>
              <w:top w:val="nil"/>
              <w:left w:val="nil"/>
              <w:bottom w:val="nil"/>
              <w:right w:val="nil"/>
            </w:tcBorders>
            <w:tcMar>
              <w:top w:w="128" w:type="dxa"/>
              <w:left w:w="43" w:type="dxa"/>
              <w:bottom w:w="43" w:type="dxa"/>
              <w:right w:w="43" w:type="dxa"/>
            </w:tcMar>
          </w:tcPr>
          <w:p w14:paraId="3EB749C0" w14:textId="77777777" w:rsidR="00D60186" w:rsidRPr="00815696" w:rsidRDefault="00D60186" w:rsidP="00815696">
            <w:pPr>
              <w:jc w:val="right"/>
              <w:rPr>
                <w:sz w:val="21"/>
                <w:szCs w:val="21"/>
              </w:rPr>
            </w:pPr>
            <w:r w:rsidRPr="00815696">
              <w:rPr>
                <w:sz w:val="21"/>
                <w:szCs w:val="21"/>
              </w:rPr>
              <w:t>Ja</w:t>
            </w:r>
          </w:p>
        </w:tc>
      </w:tr>
      <w:tr w:rsidR="00E76DC8" w:rsidRPr="00225D4D" w14:paraId="2458DB94"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2CAC6666" w14:textId="77777777" w:rsidR="00D60186" w:rsidRPr="00815696" w:rsidRDefault="00D60186" w:rsidP="00225D4D">
            <w:pPr>
              <w:rPr>
                <w:sz w:val="21"/>
                <w:szCs w:val="21"/>
              </w:rPr>
            </w:pPr>
            <w:r w:rsidRPr="00815696">
              <w:rPr>
                <w:sz w:val="21"/>
                <w:szCs w:val="21"/>
              </w:rPr>
              <w:t>2023–2024</w:t>
            </w:r>
          </w:p>
        </w:tc>
        <w:tc>
          <w:tcPr>
            <w:tcW w:w="1107" w:type="dxa"/>
            <w:tcBorders>
              <w:top w:val="nil"/>
              <w:left w:val="nil"/>
              <w:bottom w:val="nil"/>
              <w:right w:val="nil"/>
            </w:tcBorders>
            <w:tcMar>
              <w:top w:w="128" w:type="dxa"/>
              <w:left w:w="43" w:type="dxa"/>
              <w:bottom w:w="43" w:type="dxa"/>
              <w:right w:w="43" w:type="dxa"/>
            </w:tcMar>
          </w:tcPr>
          <w:p w14:paraId="6CE12C52" w14:textId="77777777" w:rsidR="00D60186" w:rsidRPr="00815696" w:rsidRDefault="00D60186" w:rsidP="00815696">
            <w:pPr>
              <w:ind w:right="113"/>
              <w:jc w:val="right"/>
              <w:rPr>
                <w:sz w:val="21"/>
                <w:szCs w:val="21"/>
              </w:rPr>
            </w:pPr>
            <w:r w:rsidRPr="00815696">
              <w:rPr>
                <w:sz w:val="21"/>
                <w:szCs w:val="21"/>
              </w:rPr>
              <w:t>625</w:t>
            </w:r>
          </w:p>
        </w:tc>
        <w:tc>
          <w:tcPr>
            <w:tcW w:w="5453" w:type="dxa"/>
            <w:tcBorders>
              <w:top w:val="nil"/>
              <w:left w:val="nil"/>
              <w:bottom w:val="nil"/>
              <w:right w:val="nil"/>
            </w:tcBorders>
            <w:tcMar>
              <w:top w:w="128" w:type="dxa"/>
              <w:left w:w="43" w:type="dxa"/>
              <w:bottom w:w="43" w:type="dxa"/>
              <w:right w:w="43" w:type="dxa"/>
            </w:tcMar>
          </w:tcPr>
          <w:p w14:paraId="156E3AC1" w14:textId="77777777" w:rsidR="00D60186" w:rsidRPr="00815696" w:rsidRDefault="00D60186" w:rsidP="00225D4D">
            <w:pPr>
              <w:rPr>
                <w:sz w:val="21"/>
                <w:szCs w:val="21"/>
              </w:rPr>
            </w:pPr>
            <w:r w:rsidRPr="00815696">
              <w:rPr>
                <w:sz w:val="21"/>
                <w:szCs w:val="21"/>
              </w:rPr>
              <w:t xml:space="preserve">Inkludere </w:t>
            </w:r>
            <w:proofErr w:type="spellStart"/>
            <w:r w:rsidRPr="00815696">
              <w:rPr>
                <w:sz w:val="21"/>
                <w:szCs w:val="21"/>
              </w:rPr>
              <w:t>fleire</w:t>
            </w:r>
            <w:proofErr w:type="spellEnd"/>
            <w:r w:rsidRPr="00815696">
              <w:rPr>
                <w:sz w:val="21"/>
                <w:szCs w:val="21"/>
              </w:rPr>
              <w:t xml:space="preserve"> med </w:t>
            </w:r>
            <w:proofErr w:type="spellStart"/>
            <w:r w:rsidRPr="00815696">
              <w:rPr>
                <w:sz w:val="21"/>
                <w:szCs w:val="21"/>
              </w:rPr>
              <w:t>funksjonshindringar</w:t>
            </w:r>
            <w:proofErr w:type="spellEnd"/>
            <w:r w:rsidRPr="00815696">
              <w:rPr>
                <w:sz w:val="21"/>
                <w:szCs w:val="21"/>
              </w:rPr>
              <w:t xml:space="preserve"> og hol i CV-en i arbeidslivet i staten</w:t>
            </w:r>
          </w:p>
        </w:tc>
        <w:tc>
          <w:tcPr>
            <w:tcW w:w="1720" w:type="dxa"/>
            <w:tcBorders>
              <w:top w:val="nil"/>
              <w:left w:val="nil"/>
              <w:bottom w:val="nil"/>
              <w:right w:val="nil"/>
            </w:tcBorders>
            <w:tcMar>
              <w:top w:w="128" w:type="dxa"/>
              <w:left w:w="43" w:type="dxa"/>
              <w:bottom w:w="43" w:type="dxa"/>
              <w:right w:w="43" w:type="dxa"/>
            </w:tcMar>
          </w:tcPr>
          <w:p w14:paraId="40D0C66B" w14:textId="77777777" w:rsidR="00D60186" w:rsidRPr="00815696" w:rsidRDefault="00D60186" w:rsidP="00815696">
            <w:pPr>
              <w:jc w:val="right"/>
              <w:rPr>
                <w:sz w:val="21"/>
                <w:szCs w:val="21"/>
              </w:rPr>
            </w:pPr>
            <w:r w:rsidRPr="00815696">
              <w:rPr>
                <w:sz w:val="21"/>
                <w:szCs w:val="21"/>
              </w:rPr>
              <w:t>Ja</w:t>
            </w:r>
          </w:p>
        </w:tc>
      </w:tr>
      <w:tr w:rsidR="00E76DC8" w:rsidRPr="00225D4D" w14:paraId="2D078EB7"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7FEC7508" w14:textId="77777777" w:rsidR="00D60186" w:rsidRPr="00815696" w:rsidRDefault="00D60186" w:rsidP="00225D4D">
            <w:pPr>
              <w:rPr>
                <w:sz w:val="21"/>
                <w:szCs w:val="21"/>
              </w:rPr>
            </w:pPr>
            <w:r w:rsidRPr="00815696">
              <w:rPr>
                <w:sz w:val="21"/>
                <w:szCs w:val="21"/>
              </w:rPr>
              <w:t>2023–2024</w:t>
            </w:r>
          </w:p>
        </w:tc>
        <w:tc>
          <w:tcPr>
            <w:tcW w:w="1107" w:type="dxa"/>
            <w:tcBorders>
              <w:top w:val="nil"/>
              <w:left w:val="nil"/>
              <w:bottom w:val="nil"/>
              <w:right w:val="nil"/>
            </w:tcBorders>
            <w:tcMar>
              <w:top w:w="128" w:type="dxa"/>
              <w:left w:w="43" w:type="dxa"/>
              <w:bottom w:w="43" w:type="dxa"/>
              <w:right w:w="43" w:type="dxa"/>
            </w:tcMar>
          </w:tcPr>
          <w:p w14:paraId="2D52C3EB" w14:textId="77777777" w:rsidR="00D60186" w:rsidRPr="00815696" w:rsidRDefault="00D60186" w:rsidP="00815696">
            <w:pPr>
              <w:ind w:right="113"/>
              <w:jc w:val="right"/>
              <w:rPr>
                <w:sz w:val="21"/>
                <w:szCs w:val="21"/>
              </w:rPr>
            </w:pPr>
            <w:r w:rsidRPr="00815696">
              <w:rPr>
                <w:sz w:val="21"/>
                <w:szCs w:val="21"/>
              </w:rPr>
              <w:t>718</w:t>
            </w:r>
          </w:p>
        </w:tc>
        <w:tc>
          <w:tcPr>
            <w:tcW w:w="5453" w:type="dxa"/>
            <w:tcBorders>
              <w:top w:val="nil"/>
              <w:left w:val="nil"/>
              <w:bottom w:val="nil"/>
              <w:right w:val="nil"/>
            </w:tcBorders>
            <w:tcMar>
              <w:top w:w="128" w:type="dxa"/>
              <w:left w:w="43" w:type="dxa"/>
              <w:bottom w:w="43" w:type="dxa"/>
              <w:right w:w="43" w:type="dxa"/>
            </w:tcMar>
          </w:tcPr>
          <w:p w14:paraId="5B32ECB4" w14:textId="77777777" w:rsidR="00D60186" w:rsidRPr="00815696" w:rsidRDefault="00D60186" w:rsidP="00225D4D">
            <w:pPr>
              <w:rPr>
                <w:sz w:val="21"/>
                <w:szCs w:val="21"/>
              </w:rPr>
            </w:pPr>
            <w:proofErr w:type="spellStart"/>
            <w:r w:rsidRPr="00815696">
              <w:rPr>
                <w:sz w:val="21"/>
                <w:szCs w:val="21"/>
              </w:rPr>
              <w:t>Forbod</w:t>
            </w:r>
            <w:proofErr w:type="spellEnd"/>
            <w:r w:rsidRPr="00815696">
              <w:rPr>
                <w:sz w:val="21"/>
                <w:szCs w:val="21"/>
              </w:rPr>
              <w:t xml:space="preserve"> mot utvinning av kryptovaluta</w:t>
            </w:r>
          </w:p>
        </w:tc>
        <w:tc>
          <w:tcPr>
            <w:tcW w:w="1720" w:type="dxa"/>
            <w:tcBorders>
              <w:top w:val="nil"/>
              <w:left w:val="nil"/>
              <w:bottom w:val="nil"/>
              <w:right w:val="nil"/>
            </w:tcBorders>
            <w:tcMar>
              <w:top w:w="128" w:type="dxa"/>
              <w:left w:w="43" w:type="dxa"/>
              <w:bottom w:w="43" w:type="dxa"/>
              <w:right w:w="43" w:type="dxa"/>
            </w:tcMar>
          </w:tcPr>
          <w:p w14:paraId="4BAFA987" w14:textId="77777777" w:rsidR="00D60186" w:rsidRPr="00815696" w:rsidRDefault="00D60186" w:rsidP="00815696">
            <w:pPr>
              <w:jc w:val="right"/>
              <w:rPr>
                <w:sz w:val="21"/>
                <w:szCs w:val="21"/>
              </w:rPr>
            </w:pPr>
            <w:r w:rsidRPr="00815696">
              <w:rPr>
                <w:sz w:val="21"/>
                <w:szCs w:val="21"/>
              </w:rPr>
              <w:t>Ja</w:t>
            </w:r>
          </w:p>
        </w:tc>
      </w:tr>
      <w:tr w:rsidR="00E76DC8" w:rsidRPr="00225D4D" w14:paraId="63726B38"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15FAC0D3" w14:textId="77777777" w:rsidR="00D60186" w:rsidRPr="00815696" w:rsidRDefault="00D60186" w:rsidP="00225D4D">
            <w:pPr>
              <w:rPr>
                <w:sz w:val="21"/>
                <w:szCs w:val="21"/>
              </w:rPr>
            </w:pPr>
            <w:r w:rsidRPr="00815696">
              <w:rPr>
                <w:sz w:val="21"/>
                <w:szCs w:val="21"/>
              </w:rPr>
              <w:t>2022–2023</w:t>
            </w:r>
          </w:p>
        </w:tc>
        <w:tc>
          <w:tcPr>
            <w:tcW w:w="1107" w:type="dxa"/>
            <w:tcBorders>
              <w:top w:val="nil"/>
              <w:left w:val="nil"/>
              <w:bottom w:val="nil"/>
              <w:right w:val="nil"/>
            </w:tcBorders>
            <w:tcMar>
              <w:top w:w="128" w:type="dxa"/>
              <w:left w:w="43" w:type="dxa"/>
              <w:bottom w:w="43" w:type="dxa"/>
              <w:right w:w="43" w:type="dxa"/>
            </w:tcMar>
          </w:tcPr>
          <w:p w14:paraId="4FC416EC" w14:textId="77777777" w:rsidR="00D60186" w:rsidRPr="00815696" w:rsidRDefault="00D60186" w:rsidP="00815696">
            <w:pPr>
              <w:ind w:right="113"/>
              <w:jc w:val="right"/>
              <w:rPr>
                <w:sz w:val="21"/>
                <w:szCs w:val="21"/>
              </w:rPr>
            </w:pPr>
            <w:r w:rsidRPr="00815696">
              <w:rPr>
                <w:sz w:val="21"/>
                <w:szCs w:val="21"/>
              </w:rPr>
              <w:t>196</w:t>
            </w:r>
          </w:p>
        </w:tc>
        <w:tc>
          <w:tcPr>
            <w:tcW w:w="5453" w:type="dxa"/>
            <w:tcBorders>
              <w:top w:val="nil"/>
              <w:left w:val="nil"/>
              <w:bottom w:val="nil"/>
              <w:right w:val="nil"/>
            </w:tcBorders>
            <w:tcMar>
              <w:top w:w="128" w:type="dxa"/>
              <w:left w:w="43" w:type="dxa"/>
              <w:bottom w:w="43" w:type="dxa"/>
              <w:right w:w="43" w:type="dxa"/>
            </w:tcMar>
          </w:tcPr>
          <w:p w14:paraId="30B04562" w14:textId="77777777" w:rsidR="00D60186" w:rsidRPr="00815696" w:rsidRDefault="00D60186" w:rsidP="00225D4D">
            <w:pPr>
              <w:rPr>
                <w:sz w:val="21"/>
                <w:szCs w:val="21"/>
              </w:rPr>
            </w:pPr>
            <w:proofErr w:type="spellStart"/>
            <w:r w:rsidRPr="00815696">
              <w:rPr>
                <w:sz w:val="21"/>
                <w:szCs w:val="21"/>
              </w:rPr>
              <w:t>Konsekvensar</w:t>
            </w:r>
            <w:proofErr w:type="spellEnd"/>
            <w:r w:rsidRPr="00815696">
              <w:rPr>
                <w:sz w:val="21"/>
                <w:szCs w:val="21"/>
              </w:rPr>
              <w:t xml:space="preserve"> ved </w:t>
            </w:r>
            <w:proofErr w:type="spellStart"/>
            <w:r w:rsidRPr="00815696">
              <w:rPr>
                <w:sz w:val="21"/>
                <w:szCs w:val="21"/>
              </w:rPr>
              <w:t>eit</w:t>
            </w:r>
            <w:proofErr w:type="spellEnd"/>
            <w:r w:rsidRPr="00815696">
              <w:rPr>
                <w:sz w:val="21"/>
                <w:szCs w:val="21"/>
              </w:rPr>
              <w:t xml:space="preserve"> norsk </w:t>
            </w:r>
            <w:proofErr w:type="spellStart"/>
            <w:r w:rsidRPr="00815696">
              <w:rPr>
                <w:sz w:val="21"/>
                <w:szCs w:val="21"/>
              </w:rPr>
              <w:t>forbod</w:t>
            </w:r>
            <w:proofErr w:type="spellEnd"/>
            <w:r w:rsidRPr="00815696">
              <w:rPr>
                <w:sz w:val="21"/>
                <w:szCs w:val="21"/>
              </w:rPr>
              <w:t xml:space="preserve"> mot </w:t>
            </w:r>
            <w:proofErr w:type="spellStart"/>
            <w:r w:rsidRPr="00815696">
              <w:rPr>
                <w:sz w:val="21"/>
                <w:szCs w:val="21"/>
              </w:rPr>
              <w:t>atferdsbasert</w:t>
            </w:r>
            <w:proofErr w:type="spellEnd"/>
            <w:r w:rsidRPr="00815696">
              <w:rPr>
                <w:sz w:val="21"/>
                <w:szCs w:val="21"/>
              </w:rPr>
              <w:t xml:space="preserve"> reklame</w:t>
            </w:r>
          </w:p>
        </w:tc>
        <w:tc>
          <w:tcPr>
            <w:tcW w:w="1720" w:type="dxa"/>
            <w:tcBorders>
              <w:top w:val="nil"/>
              <w:left w:val="nil"/>
              <w:bottom w:val="nil"/>
              <w:right w:val="nil"/>
            </w:tcBorders>
            <w:tcMar>
              <w:top w:w="128" w:type="dxa"/>
              <w:left w:w="43" w:type="dxa"/>
              <w:bottom w:w="43" w:type="dxa"/>
              <w:right w:w="43" w:type="dxa"/>
            </w:tcMar>
          </w:tcPr>
          <w:p w14:paraId="75629EC9" w14:textId="77777777" w:rsidR="00D60186" w:rsidRPr="00815696" w:rsidRDefault="00D60186" w:rsidP="00815696">
            <w:pPr>
              <w:jc w:val="right"/>
              <w:rPr>
                <w:sz w:val="21"/>
                <w:szCs w:val="21"/>
              </w:rPr>
            </w:pPr>
            <w:r w:rsidRPr="00815696">
              <w:rPr>
                <w:sz w:val="21"/>
                <w:szCs w:val="21"/>
              </w:rPr>
              <w:t>Ja</w:t>
            </w:r>
          </w:p>
        </w:tc>
      </w:tr>
      <w:tr w:rsidR="00E76DC8" w:rsidRPr="00225D4D" w14:paraId="6B5884A0"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37883A41" w14:textId="77777777" w:rsidR="00D60186" w:rsidRPr="00815696" w:rsidRDefault="00D60186" w:rsidP="00225D4D">
            <w:pPr>
              <w:rPr>
                <w:sz w:val="21"/>
                <w:szCs w:val="21"/>
              </w:rPr>
            </w:pPr>
            <w:r w:rsidRPr="00815696">
              <w:rPr>
                <w:sz w:val="21"/>
                <w:szCs w:val="21"/>
              </w:rPr>
              <w:t>2022–2023</w:t>
            </w:r>
          </w:p>
        </w:tc>
        <w:tc>
          <w:tcPr>
            <w:tcW w:w="1107" w:type="dxa"/>
            <w:tcBorders>
              <w:top w:val="nil"/>
              <w:left w:val="nil"/>
              <w:bottom w:val="nil"/>
              <w:right w:val="nil"/>
            </w:tcBorders>
            <w:tcMar>
              <w:top w:w="128" w:type="dxa"/>
              <w:left w:w="43" w:type="dxa"/>
              <w:bottom w:w="43" w:type="dxa"/>
              <w:right w:w="43" w:type="dxa"/>
            </w:tcMar>
          </w:tcPr>
          <w:p w14:paraId="002FB392" w14:textId="77777777" w:rsidR="00D60186" w:rsidRPr="00815696" w:rsidRDefault="00D60186" w:rsidP="00815696">
            <w:pPr>
              <w:ind w:right="113"/>
              <w:jc w:val="right"/>
              <w:rPr>
                <w:sz w:val="21"/>
                <w:szCs w:val="21"/>
              </w:rPr>
            </w:pPr>
            <w:r w:rsidRPr="00815696">
              <w:rPr>
                <w:sz w:val="21"/>
                <w:szCs w:val="21"/>
              </w:rPr>
              <w:t>197</w:t>
            </w:r>
          </w:p>
        </w:tc>
        <w:tc>
          <w:tcPr>
            <w:tcW w:w="5453" w:type="dxa"/>
            <w:tcBorders>
              <w:top w:val="nil"/>
              <w:left w:val="nil"/>
              <w:bottom w:val="nil"/>
              <w:right w:val="nil"/>
            </w:tcBorders>
            <w:tcMar>
              <w:top w:w="128" w:type="dxa"/>
              <w:left w:w="43" w:type="dxa"/>
              <w:bottom w:w="43" w:type="dxa"/>
              <w:right w:w="43" w:type="dxa"/>
            </w:tcMar>
          </w:tcPr>
          <w:p w14:paraId="4108A75B" w14:textId="77777777" w:rsidR="00D60186" w:rsidRPr="00815696" w:rsidRDefault="00D60186" w:rsidP="00225D4D">
            <w:pPr>
              <w:rPr>
                <w:sz w:val="21"/>
                <w:szCs w:val="21"/>
              </w:rPr>
            </w:pPr>
            <w:r w:rsidRPr="00815696">
              <w:rPr>
                <w:sz w:val="21"/>
                <w:szCs w:val="21"/>
              </w:rPr>
              <w:t xml:space="preserve">Lagring av biometriske data </w:t>
            </w:r>
            <w:proofErr w:type="spellStart"/>
            <w:r w:rsidRPr="00815696">
              <w:rPr>
                <w:sz w:val="21"/>
                <w:szCs w:val="21"/>
              </w:rPr>
              <w:t>frå</w:t>
            </w:r>
            <w:proofErr w:type="spellEnd"/>
            <w:r w:rsidRPr="00815696">
              <w:rPr>
                <w:sz w:val="21"/>
                <w:szCs w:val="21"/>
              </w:rPr>
              <w:t xml:space="preserve"> sosiale medieplattformer</w:t>
            </w:r>
          </w:p>
        </w:tc>
        <w:tc>
          <w:tcPr>
            <w:tcW w:w="1720" w:type="dxa"/>
            <w:tcBorders>
              <w:top w:val="nil"/>
              <w:left w:val="nil"/>
              <w:bottom w:val="nil"/>
              <w:right w:val="nil"/>
            </w:tcBorders>
            <w:tcMar>
              <w:top w:w="128" w:type="dxa"/>
              <w:left w:w="43" w:type="dxa"/>
              <w:bottom w:w="43" w:type="dxa"/>
              <w:right w:w="43" w:type="dxa"/>
            </w:tcMar>
          </w:tcPr>
          <w:p w14:paraId="04091432" w14:textId="77777777" w:rsidR="00D60186" w:rsidRPr="00815696" w:rsidRDefault="00D60186" w:rsidP="00815696">
            <w:pPr>
              <w:jc w:val="right"/>
              <w:rPr>
                <w:sz w:val="21"/>
                <w:szCs w:val="21"/>
              </w:rPr>
            </w:pPr>
            <w:r w:rsidRPr="00815696">
              <w:rPr>
                <w:sz w:val="21"/>
                <w:szCs w:val="21"/>
              </w:rPr>
              <w:t>Ja</w:t>
            </w:r>
          </w:p>
        </w:tc>
      </w:tr>
      <w:tr w:rsidR="00E76DC8" w:rsidRPr="00225D4D" w14:paraId="649A3386"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3DE4CC63" w14:textId="77777777" w:rsidR="00D60186" w:rsidRPr="00815696" w:rsidRDefault="00D60186" w:rsidP="00225D4D">
            <w:pPr>
              <w:rPr>
                <w:sz w:val="21"/>
                <w:szCs w:val="21"/>
              </w:rPr>
            </w:pPr>
            <w:r w:rsidRPr="00815696">
              <w:rPr>
                <w:sz w:val="21"/>
                <w:szCs w:val="21"/>
              </w:rPr>
              <w:t>2022–2023</w:t>
            </w:r>
          </w:p>
        </w:tc>
        <w:tc>
          <w:tcPr>
            <w:tcW w:w="1107" w:type="dxa"/>
            <w:tcBorders>
              <w:top w:val="nil"/>
              <w:left w:val="nil"/>
              <w:bottom w:val="nil"/>
              <w:right w:val="nil"/>
            </w:tcBorders>
            <w:tcMar>
              <w:top w:w="128" w:type="dxa"/>
              <w:left w:w="43" w:type="dxa"/>
              <w:bottom w:w="43" w:type="dxa"/>
              <w:right w:w="43" w:type="dxa"/>
            </w:tcMar>
          </w:tcPr>
          <w:p w14:paraId="0D81B8ED" w14:textId="77777777" w:rsidR="00D60186" w:rsidRPr="00815696" w:rsidRDefault="00D60186" w:rsidP="00815696">
            <w:pPr>
              <w:ind w:right="113"/>
              <w:jc w:val="right"/>
              <w:rPr>
                <w:sz w:val="21"/>
                <w:szCs w:val="21"/>
              </w:rPr>
            </w:pPr>
            <w:r w:rsidRPr="00815696">
              <w:rPr>
                <w:sz w:val="21"/>
                <w:szCs w:val="21"/>
              </w:rPr>
              <w:t>583</w:t>
            </w:r>
          </w:p>
        </w:tc>
        <w:tc>
          <w:tcPr>
            <w:tcW w:w="5453" w:type="dxa"/>
            <w:tcBorders>
              <w:top w:val="nil"/>
              <w:left w:val="nil"/>
              <w:bottom w:val="nil"/>
              <w:right w:val="nil"/>
            </w:tcBorders>
            <w:tcMar>
              <w:top w:w="128" w:type="dxa"/>
              <w:left w:w="43" w:type="dxa"/>
              <w:bottom w:w="43" w:type="dxa"/>
              <w:right w:w="43" w:type="dxa"/>
            </w:tcMar>
          </w:tcPr>
          <w:p w14:paraId="44A01019" w14:textId="77777777" w:rsidR="00D60186" w:rsidRPr="00815696" w:rsidRDefault="00D60186" w:rsidP="00225D4D">
            <w:pPr>
              <w:rPr>
                <w:sz w:val="21"/>
                <w:szCs w:val="21"/>
              </w:rPr>
            </w:pPr>
            <w:proofErr w:type="spellStart"/>
            <w:r w:rsidRPr="00815696">
              <w:rPr>
                <w:sz w:val="21"/>
                <w:szCs w:val="21"/>
              </w:rPr>
              <w:t>Tilgjengeliggjering</w:t>
            </w:r>
            <w:proofErr w:type="spellEnd"/>
            <w:r w:rsidRPr="00815696">
              <w:rPr>
                <w:sz w:val="21"/>
                <w:szCs w:val="21"/>
              </w:rPr>
              <w:t xml:space="preserve"> av data ved inngåing av </w:t>
            </w:r>
            <w:proofErr w:type="spellStart"/>
            <w:r w:rsidRPr="00815696">
              <w:rPr>
                <w:sz w:val="21"/>
                <w:szCs w:val="21"/>
              </w:rPr>
              <w:t>offentlege</w:t>
            </w:r>
            <w:proofErr w:type="spellEnd"/>
            <w:r w:rsidRPr="00815696">
              <w:rPr>
                <w:sz w:val="21"/>
                <w:szCs w:val="21"/>
              </w:rPr>
              <w:t xml:space="preserve"> </w:t>
            </w:r>
            <w:proofErr w:type="spellStart"/>
            <w:r w:rsidRPr="00815696">
              <w:rPr>
                <w:sz w:val="21"/>
                <w:szCs w:val="21"/>
              </w:rPr>
              <w:t>kontraktar</w:t>
            </w:r>
            <w:proofErr w:type="spellEnd"/>
          </w:p>
        </w:tc>
        <w:tc>
          <w:tcPr>
            <w:tcW w:w="1720" w:type="dxa"/>
            <w:tcBorders>
              <w:top w:val="nil"/>
              <w:left w:val="nil"/>
              <w:bottom w:val="nil"/>
              <w:right w:val="nil"/>
            </w:tcBorders>
            <w:tcMar>
              <w:top w:w="128" w:type="dxa"/>
              <w:left w:w="43" w:type="dxa"/>
              <w:bottom w:w="43" w:type="dxa"/>
              <w:right w:w="43" w:type="dxa"/>
            </w:tcMar>
          </w:tcPr>
          <w:p w14:paraId="4B966B2B" w14:textId="77777777" w:rsidR="00D60186" w:rsidRPr="00815696" w:rsidRDefault="00D60186" w:rsidP="00815696">
            <w:pPr>
              <w:jc w:val="right"/>
              <w:rPr>
                <w:sz w:val="21"/>
                <w:szCs w:val="21"/>
              </w:rPr>
            </w:pPr>
            <w:r w:rsidRPr="00815696">
              <w:rPr>
                <w:sz w:val="21"/>
                <w:szCs w:val="21"/>
              </w:rPr>
              <w:t>Ja</w:t>
            </w:r>
          </w:p>
        </w:tc>
      </w:tr>
      <w:tr w:rsidR="00E76DC8" w:rsidRPr="00225D4D" w14:paraId="41CD8BED" w14:textId="77777777" w:rsidTr="00814879">
        <w:trPr>
          <w:trHeight w:val="20"/>
        </w:trPr>
        <w:tc>
          <w:tcPr>
            <w:tcW w:w="1260" w:type="dxa"/>
            <w:tcBorders>
              <w:top w:val="nil"/>
              <w:left w:val="nil"/>
              <w:bottom w:val="nil"/>
              <w:right w:val="nil"/>
            </w:tcBorders>
            <w:tcMar>
              <w:top w:w="128" w:type="dxa"/>
              <w:left w:w="43" w:type="dxa"/>
              <w:bottom w:w="43" w:type="dxa"/>
              <w:right w:w="43" w:type="dxa"/>
            </w:tcMar>
          </w:tcPr>
          <w:p w14:paraId="0AB792E5" w14:textId="77777777" w:rsidR="00D60186" w:rsidRPr="00815696" w:rsidRDefault="00D60186" w:rsidP="00225D4D">
            <w:pPr>
              <w:rPr>
                <w:sz w:val="21"/>
                <w:szCs w:val="21"/>
              </w:rPr>
            </w:pPr>
            <w:r w:rsidRPr="00815696">
              <w:rPr>
                <w:sz w:val="21"/>
                <w:szCs w:val="21"/>
              </w:rPr>
              <w:t>2021–2022</w:t>
            </w:r>
          </w:p>
        </w:tc>
        <w:tc>
          <w:tcPr>
            <w:tcW w:w="1107" w:type="dxa"/>
            <w:tcBorders>
              <w:top w:val="nil"/>
              <w:left w:val="nil"/>
              <w:bottom w:val="nil"/>
              <w:right w:val="nil"/>
            </w:tcBorders>
            <w:tcMar>
              <w:top w:w="128" w:type="dxa"/>
              <w:left w:w="43" w:type="dxa"/>
              <w:bottom w:w="43" w:type="dxa"/>
              <w:right w:w="43" w:type="dxa"/>
            </w:tcMar>
          </w:tcPr>
          <w:p w14:paraId="3F8B0E4B" w14:textId="77777777" w:rsidR="00D60186" w:rsidRPr="00815696" w:rsidRDefault="00D60186" w:rsidP="00815696">
            <w:pPr>
              <w:ind w:right="113"/>
              <w:jc w:val="right"/>
              <w:rPr>
                <w:sz w:val="21"/>
                <w:szCs w:val="21"/>
              </w:rPr>
            </w:pPr>
            <w:r w:rsidRPr="00815696">
              <w:rPr>
                <w:sz w:val="21"/>
                <w:szCs w:val="21"/>
              </w:rPr>
              <w:t>35 nr. 42</w:t>
            </w:r>
          </w:p>
        </w:tc>
        <w:tc>
          <w:tcPr>
            <w:tcW w:w="5453" w:type="dxa"/>
            <w:tcBorders>
              <w:top w:val="nil"/>
              <w:left w:val="nil"/>
              <w:bottom w:val="nil"/>
              <w:right w:val="nil"/>
            </w:tcBorders>
            <w:tcMar>
              <w:top w:w="128" w:type="dxa"/>
              <w:left w:w="43" w:type="dxa"/>
              <w:bottom w:w="43" w:type="dxa"/>
              <w:right w:w="43" w:type="dxa"/>
            </w:tcMar>
          </w:tcPr>
          <w:p w14:paraId="54B02870" w14:textId="77777777" w:rsidR="00D60186" w:rsidRPr="00815696" w:rsidRDefault="00D60186" w:rsidP="00225D4D">
            <w:pPr>
              <w:rPr>
                <w:sz w:val="21"/>
                <w:szCs w:val="21"/>
              </w:rPr>
            </w:pPr>
            <w:proofErr w:type="spellStart"/>
            <w:r w:rsidRPr="00815696">
              <w:rPr>
                <w:sz w:val="21"/>
                <w:szCs w:val="21"/>
              </w:rPr>
              <w:t>Auka</w:t>
            </w:r>
            <w:proofErr w:type="spellEnd"/>
            <w:r w:rsidRPr="00815696">
              <w:rPr>
                <w:sz w:val="21"/>
                <w:szCs w:val="21"/>
              </w:rPr>
              <w:t xml:space="preserve"> </w:t>
            </w:r>
            <w:proofErr w:type="spellStart"/>
            <w:r w:rsidRPr="00815696">
              <w:rPr>
                <w:sz w:val="21"/>
                <w:szCs w:val="21"/>
              </w:rPr>
              <w:t>openheit</w:t>
            </w:r>
            <w:proofErr w:type="spellEnd"/>
            <w:r w:rsidRPr="00815696">
              <w:rPr>
                <w:sz w:val="21"/>
                <w:szCs w:val="21"/>
              </w:rPr>
              <w:t xml:space="preserve"> i </w:t>
            </w:r>
            <w:proofErr w:type="spellStart"/>
            <w:r w:rsidRPr="00815696">
              <w:rPr>
                <w:sz w:val="21"/>
                <w:szCs w:val="21"/>
              </w:rPr>
              <w:t>verksemda</w:t>
            </w:r>
            <w:proofErr w:type="spellEnd"/>
            <w:r w:rsidRPr="00815696">
              <w:rPr>
                <w:sz w:val="21"/>
                <w:szCs w:val="21"/>
              </w:rPr>
              <w:t xml:space="preserve"> til private </w:t>
            </w:r>
            <w:proofErr w:type="spellStart"/>
            <w:r w:rsidRPr="00815696">
              <w:rPr>
                <w:sz w:val="21"/>
                <w:szCs w:val="21"/>
              </w:rPr>
              <w:t>tilbydarar</w:t>
            </w:r>
            <w:proofErr w:type="spellEnd"/>
            <w:r w:rsidRPr="00815696">
              <w:rPr>
                <w:sz w:val="21"/>
                <w:szCs w:val="21"/>
              </w:rPr>
              <w:t xml:space="preserve"> av </w:t>
            </w:r>
            <w:proofErr w:type="spellStart"/>
            <w:r w:rsidRPr="00815696">
              <w:rPr>
                <w:sz w:val="21"/>
                <w:szCs w:val="21"/>
              </w:rPr>
              <w:t>offentleg</w:t>
            </w:r>
            <w:proofErr w:type="spellEnd"/>
            <w:r w:rsidRPr="00815696">
              <w:rPr>
                <w:sz w:val="21"/>
                <w:szCs w:val="21"/>
              </w:rPr>
              <w:t xml:space="preserve"> finansierte </w:t>
            </w:r>
            <w:proofErr w:type="spellStart"/>
            <w:r w:rsidRPr="00815696">
              <w:rPr>
                <w:sz w:val="21"/>
                <w:szCs w:val="21"/>
              </w:rPr>
              <w:t>velferdstenester</w:t>
            </w:r>
            <w:proofErr w:type="spellEnd"/>
            <w:r w:rsidRPr="00815696">
              <w:rPr>
                <w:sz w:val="21"/>
                <w:szCs w:val="21"/>
              </w:rPr>
              <w:t xml:space="preserve"> </w:t>
            </w:r>
          </w:p>
        </w:tc>
        <w:tc>
          <w:tcPr>
            <w:tcW w:w="1720" w:type="dxa"/>
            <w:tcBorders>
              <w:top w:val="nil"/>
              <w:left w:val="nil"/>
              <w:bottom w:val="nil"/>
              <w:right w:val="nil"/>
            </w:tcBorders>
            <w:tcMar>
              <w:top w:w="128" w:type="dxa"/>
              <w:left w:w="43" w:type="dxa"/>
              <w:bottom w:w="43" w:type="dxa"/>
              <w:right w:w="43" w:type="dxa"/>
            </w:tcMar>
          </w:tcPr>
          <w:p w14:paraId="050C3EB0" w14:textId="77777777" w:rsidR="00D60186" w:rsidRPr="00815696" w:rsidRDefault="00D60186" w:rsidP="00815696">
            <w:pPr>
              <w:jc w:val="right"/>
              <w:rPr>
                <w:sz w:val="21"/>
                <w:szCs w:val="21"/>
              </w:rPr>
            </w:pPr>
            <w:r w:rsidRPr="00815696">
              <w:rPr>
                <w:sz w:val="21"/>
                <w:szCs w:val="21"/>
              </w:rPr>
              <w:t>Ja</w:t>
            </w:r>
          </w:p>
        </w:tc>
      </w:tr>
      <w:tr w:rsidR="00E76DC8" w:rsidRPr="00225D4D" w14:paraId="0D81C8FB" w14:textId="77777777" w:rsidTr="00814879">
        <w:trPr>
          <w:trHeight w:val="20"/>
        </w:trPr>
        <w:tc>
          <w:tcPr>
            <w:tcW w:w="1260" w:type="dxa"/>
            <w:tcBorders>
              <w:top w:val="nil"/>
              <w:left w:val="nil"/>
              <w:bottom w:val="single" w:sz="4" w:space="0" w:color="000000"/>
              <w:right w:val="nil"/>
            </w:tcBorders>
            <w:tcMar>
              <w:top w:w="128" w:type="dxa"/>
              <w:left w:w="43" w:type="dxa"/>
              <w:bottom w:w="43" w:type="dxa"/>
              <w:right w:w="43" w:type="dxa"/>
            </w:tcMar>
          </w:tcPr>
          <w:p w14:paraId="057DE076" w14:textId="77777777" w:rsidR="00D60186" w:rsidRPr="00815696" w:rsidRDefault="00D60186" w:rsidP="00225D4D">
            <w:pPr>
              <w:rPr>
                <w:sz w:val="21"/>
                <w:szCs w:val="21"/>
              </w:rPr>
            </w:pPr>
            <w:r w:rsidRPr="00815696">
              <w:rPr>
                <w:sz w:val="21"/>
                <w:szCs w:val="21"/>
              </w:rPr>
              <w:t>2021–2022</w:t>
            </w:r>
          </w:p>
        </w:tc>
        <w:tc>
          <w:tcPr>
            <w:tcW w:w="1107" w:type="dxa"/>
            <w:tcBorders>
              <w:top w:val="nil"/>
              <w:left w:val="nil"/>
              <w:bottom w:val="single" w:sz="4" w:space="0" w:color="000000"/>
              <w:right w:val="nil"/>
            </w:tcBorders>
            <w:tcMar>
              <w:top w:w="128" w:type="dxa"/>
              <w:left w:w="43" w:type="dxa"/>
              <w:bottom w:w="43" w:type="dxa"/>
              <w:right w:w="43" w:type="dxa"/>
            </w:tcMar>
          </w:tcPr>
          <w:p w14:paraId="4918CEC8" w14:textId="77777777" w:rsidR="00D60186" w:rsidRPr="00815696" w:rsidRDefault="00D60186" w:rsidP="00815696">
            <w:pPr>
              <w:ind w:right="113"/>
              <w:jc w:val="right"/>
              <w:rPr>
                <w:sz w:val="21"/>
                <w:szCs w:val="21"/>
              </w:rPr>
            </w:pPr>
            <w:r w:rsidRPr="00815696">
              <w:rPr>
                <w:sz w:val="21"/>
                <w:szCs w:val="21"/>
              </w:rPr>
              <w:t>35 nr. 43</w:t>
            </w:r>
          </w:p>
        </w:tc>
        <w:tc>
          <w:tcPr>
            <w:tcW w:w="5453" w:type="dxa"/>
            <w:tcBorders>
              <w:top w:val="nil"/>
              <w:left w:val="nil"/>
              <w:bottom w:val="single" w:sz="4" w:space="0" w:color="000000"/>
              <w:right w:val="nil"/>
            </w:tcBorders>
            <w:tcMar>
              <w:top w:w="128" w:type="dxa"/>
              <w:left w:w="43" w:type="dxa"/>
              <w:bottom w:w="43" w:type="dxa"/>
              <w:right w:w="43" w:type="dxa"/>
            </w:tcMar>
          </w:tcPr>
          <w:p w14:paraId="57C1A62C" w14:textId="77777777" w:rsidR="00D60186" w:rsidRPr="00815696" w:rsidRDefault="00D60186" w:rsidP="00225D4D">
            <w:pPr>
              <w:rPr>
                <w:sz w:val="21"/>
                <w:szCs w:val="21"/>
              </w:rPr>
            </w:pPr>
            <w:r w:rsidRPr="00815696">
              <w:rPr>
                <w:sz w:val="21"/>
                <w:szCs w:val="21"/>
              </w:rPr>
              <w:t xml:space="preserve">Krav om organisering i sjølvstendig rettssubjekt for selskap som leverer </w:t>
            </w:r>
            <w:proofErr w:type="spellStart"/>
            <w:r w:rsidRPr="00815696">
              <w:rPr>
                <w:sz w:val="21"/>
                <w:szCs w:val="21"/>
              </w:rPr>
              <w:t>offentleg</w:t>
            </w:r>
            <w:proofErr w:type="spellEnd"/>
            <w:r w:rsidRPr="00815696">
              <w:rPr>
                <w:sz w:val="21"/>
                <w:szCs w:val="21"/>
              </w:rPr>
              <w:t xml:space="preserve"> finansierte </w:t>
            </w:r>
            <w:proofErr w:type="spellStart"/>
            <w:r w:rsidRPr="00815696">
              <w:rPr>
                <w:sz w:val="21"/>
                <w:szCs w:val="21"/>
              </w:rPr>
              <w:t>velferdstenester</w:t>
            </w:r>
            <w:proofErr w:type="spellEnd"/>
          </w:p>
        </w:tc>
        <w:tc>
          <w:tcPr>
            <w:tcW w:w="1720" w:type="dxa"/>
            <w:tcBorders>
              <w:top w:val="nil"/>
              <w:left w:val="nil"/>
              <w:bottom w:val="single" w:sz="4" w:space="0" w:color="000000"/>
              <w:right w:val="nil"/>
            </w:tcBorders>
            <w:tcMar>
              <w:top w:w="128" w:type="dxa"/>
              <w:left w:w="43" w:type="dxa"/>
              <w:bottom w:w="43" w:type="dxa"/>
              <w:right w:w="43" w:type="dxa"/>
            </w:tcMar>
          </w:tcPr>
          <w:p w14:paraId="3B10C5D1" w14:textId="77777777" w:rsidR="00D60186" w:rsidRPr="00815696" w:rsidRDefault="00D60186" w:rsidP="00815696">
            <w:pPr>
              <w:jc w:val="right"/>
              <w:rPr>
                <w:sz w:val="21"/>
                <w:szCs w:val="21"/>
              </w:rPr>
            </w:pPr>
            <w:r w:rsidRPr="00815696">
              <w:rPr>
                <w:sz w:val="21"/>
                <w:szCs w:val="21"/>
              </w:rPr>
              <w:t>Ja</w:t>
            </w:r>
          </w:p>
        </w:tc>
      </w:tr>
    </w:tbl>
    <w:p w14:paraId="1A1FE2F2" w14:textId="77777777" w:rsidR="00D60186" w:rsidRPr="00225D4D" w:rsidRDefault="00D60186" w:rsidP="00815696">
      <w:pPr>
        <w:pStyle w:val="Overskrift2"/>
        <w:numPr>
          <w:ilvl w:val="1"/>
          <w:numId w:val="29"/>
        </w:numPr>
      </w:pPr>
      <w:r w:rsidRPr="00225D4D">
        <w:t>Stortingssesjon 2024–2025</w:t>
      </w:r>
    </w:p>
    <w:p w14:paraId="54521C7A" w14:textId="77777777" w:rsidR="00D60186" w:rsidRPr="00225D4D" w:rsidRDefault="00D60186" w:rsidP="00225D4D">
      <w:pPr>
        <w:pStyle w:val="avsnitt-tittel"/>
      </w:pPr>
      <w:r w:rsidRPr="00225D4D">
        <w:t xml:space="preserve">Registreringsordning for ideelle </w:t>
      </w:r>
      <w:proofErr w:type="spellStart"/>
      <w:r w:rsidRPr="00225D4D">
        <w:t>velferdsaktørar</w:t>
      </w:r>
      <w:proofErr w:type="spellEnd"/>
    </w:p>
    <w:p w14:paraId="6D1B67DB" w14:textId="77777777" w:rsidR="00D60186" w:rsidRPr="00225D4D" w:rsidRDefault="00D60186" w:rsidP="00225D4D">
      <w:pPr>
        <w:pStyle w:val="avsnitt-undertittel"/>
      </w:pPr>
      <w:r w:rsidRPr="00225D4D">
        <w:t>Vedtak nr. 86, 5. desember 2024</w:t>
      </w:r>
    </w:p>
    <w:p w14:paraId="4F6C4035" w14:textId="77777777" w:rsidR="00D60186" w:rsidRPr="00225D4D" w:rsidRDefault="00D60186" w:rsidP="00225D4D">
      <w:pPr>
        <w:pStyle w:val="blokksit"/>
        <w:rPr>
          <w:rStyle w:val="kursiv"/>
        </w:rPr>
      </w:pPr>
      <w:r w:rsidRPr="00225D4D">
        <w:rPr>
          <w:rStyle w:val="kursiv"/>
        </w:rPr>
        <w:t>«Stortinget ber regjeringen i løpet av inneværende stortingssesjon fremme forslag om en registreringsordning for ideelle velferdsaktører.»</w:t>
      </w:r>
    </w:p>
    <w:p w14:paraId="06E810A4"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 S (2024–2025) for budsjettåret 2025 – Statsbudsjettet (Gul bok) og </w:t>
      </w:r>
      <w:proofErr w:type="spellStart"/>
      <w:r w:rsidRPr="00225D4D">
        <w:t>Innst</w:t>
      </w:r>
      <w:proofErr w:type="spellEnd"/>
      <w:r w:rsidRPr="00225D4D">
        <w:t>. 2 S (2024–2025).</w:t>
      </w:r>
    </w:p>
    <w:p w14:paraId="0FD31FD3" w14:textId="77777777" w:rsidR="00D60186" w:rsidRPr="00225D4D" w:rsidRDefault="00D60186" w:rsidP="00225D4D">
      <w:r w:rsidRPr="00225D4D">
        <w:t xml:space="preserve">Regjeringa er i gang med å </w:t>
      </w:r>
      <w:proofErr w:type="spellStart"/>
      <w:r w:rsidRPr="00225D4D">
        <w:t>følgje</w:t>
      </w:r>
      <w:proofErr w:type="spellEnd"/>
      <w:r w:rsidRPr="00225D4D">
        <w:t xml:space="preserve"> opp utgreiinga </w:t>
      </w:r>
      <w:proofErr w:type="spellStart"/>
      <w:r w:rsidRPr="00225D4D">
        <w:t>frå</w:t>
      </w:r>
      <w:proofErr w:type="spellEnd"/>
      <w:r w:rsidRPr="00225D4D">
        <w:t xml:space="preserve"> </w:t>
      </w:r>
      <w:proofErr w:type="spellStart"/>
      <w:r w:rsidRPr="00225D4D">
        <w:t>Støstad-utvalet</w:t>
      </w:r>
      <w:proofErr w:type="spellEnd"/>
      <w:r w:rsidRPr="00225D4D">
        <w:t xml:space="preserve">, NOU 2024: 1 </w:t>
      </w:r>
      <w:r w:rsidRPr="00225D4D">
        <w:rPr>
          <w:rStyle w:val="kursiv"/>
        </w:rPr>
        <w:t xml:space="preserve">Definisjon og registrering av ideelle </w:t>
      </w:r>
      <w:proofErr w:type="spellStart"/>
      <w:r w:rsidRPr="00225D4D">
        <w:rPr>
          <w:rStyle w:val="kursiv"/>
        </w:rPr>
        <w:t>velferdsaktørar</w:t>
      </w:r>
      <w:proofErr w:type="spellEnd"/>
      <w:r w:rsidRPr="00225D4D">
        <w:t xml:space="preserve">. </w:t>
      </w:r>
      <w:proofErr w:type="spellStart"/>
      <w:r w:rsidRPr="00225D4D">
        <w:t>Eit</w:t>
      </w:r>
      <w:proofErr w:type="spellEnd"/>
      <w:r w:rsidRPr="00225D4D">
        <w:t xml:space="preserve"> sentralt forslag i utgreiinga er at det skal </w:t>
      </w:r>
      <w:proofErr w:type="spellStart"/>
      <w:r w:rsidRPr="00225D4D">
        <w:t>etablerast</w:t>
      </w:r>
      <w:proofErr w:type="spellEnd"/>
      <w:r w:rsidRPr="00225D4D">
        <w:t xml:space="preserve"> ei registreringsordning for ideelle </w:t>
      </w:r>
      <w:proofErr w:type="spellStart"/>
      <w:r w:rsidRPr="00225D4D">
        <w:t>velferdsaktørar</w:t>
      </w:r>
      <w:proofErr w:type="spellEnd"/>
      <w:r w:rsidRPr="00225D4D">
        <w:t xml:space="preserve">. Regjeringa arbeider med lovgrunnlaget for registreringsordninga gjennom ei eiga lov om registrering av ideelle </w:t>
      </w:r>
      <w:proofErr w:type="spellStart"/>
      <w:r w:rsidRPr="00225D4D">
        <w:t>velferdsaktørar</w:t>
      </w:r>
      <w:proofErr w:type="spellEnd"/>
      <w:r w:rsidRPr="00225D4D">
        <w:t xml:space="preserve">. Arbeidet skal òg avklare kva </w:t>
      </w:r>
      <w:proofErr w:type="spellStart"/>
      <w:r w:rsidRPr="00225D4D">
        <w:t>statleg</w:t>
      </w:r>
      <w:proofErr w:type="spellEnd"/>
      <w:r w:rsidRPr="00225D4D">
        <w:t xml:space="preserve"> </w:t>
      </w:r>
      <w:proofErr w:type="spellStart"/>
      <w:r w:rsidRPr="00225D4D">
        <w:t>myndigheit</w:t>
      </w:r>
      <w:proofErr w:type="spellEnd"/>
      <w:r w:rsidRPr="00225D4D">
        <w:t xml:space="preserve"> som skal </w:t>
      </w:r>
      <w:proofErr w:type="spellStart"/>
      <w:r w:rsidRPr="00225D4D">
        <w:t>vere</w:t>
      </w:r>
      <w:proofErr w:type="spellEnd"/>
      <w:r w:rsidRPr="00225D4D">
        <w:t xml:space="preserve"> registerfører, kva </w:t>
      </w:r>
      <w:proofErr w:type="spellStart"/>
      <w:r w:rsidRPr="00225D4D">
        <w:t>oppgåver</w:t>
      </w:r>
      <w:proofErr w:type="spellEnd"/>
      <w:r w:rsidRPr="00225D4D">
        <w:t xml:space="preserve"> og ansvar </w:t>
      </w:r>
      <w:proofErr w:type="spellStart"/>
      <w:r w:rsidRPr="00225D4D">
        <w:t>registermyndigheita</w:t>
      </w:r>
      <w:proofErr w:type="spellEnd"/>
      <w:r w:rsidRPr="00225D4D">
        <w:t xml:space="preserve"> skal ha og korleis sjølve registreringsordninga skal </w:t>
      </w:r>
      <w:proofErr w:type="spellStart"/>
      <w:r w:rsidRPr="00225D4D">
        <w:t>innrettast</w:t>
      </w:r>
      <w:proofErr w:type="spellEnd"/>
      <w:r w:rsidRPr="00225D4D">
        <w:t xml:space="preserve">. </w:t>
      </w:r>
      <w:proofErr w:type="spellStart"/>
      <w:r w:rsidRPr="00225D4D">
        <w:t>Støstad-utvalet</w:t>
      </w:r>
      <w:proofErr w:type="spellEnd"/>
      <w:r w:rsidRPr="00225D4D">
        <w:t xml:space="preserve"> var </w:t>
      </w:r>
      <w:proofErr w:type="spellStart"/>
      <w:r w:rsidRPr="00225D4D">
        <w:t>ikkje</w:t>
      </w:r>
      <w:proofErr w:type="spellEnd"/>
      <w:r w:rsidRPr="00225D4D">
        <w:t xml:space="preserve"> satt opp som </w:t>
      </w:r>
      <w:proofErr w:type="spellStart"/>
      <w:r w:rsidRPr="00225D4D">
        <w:t>eit</w:t>
      </w:r>
      <w:proofErr w:type="spellEnd"/>
      <w:r w:rsidRPr="00225D4D">
        <w:t xml:space="preserve"> </w:t>
      </w:r>
      <w:proofErr w:type="spellStart"/>
      <w:r w:rsidRPr="00225D4D">
        <w:t>lovutval</w:t>
      </w:r>
      <w:proofErr w:type="spellEnd"/>
      <w:r w:rsidRPr="00225D4D">
        <w:t xml:space="preserve">, og i arbeidet må </w:t>
      </w:r>
      <w:proofErr w:type="spellStart"/>
      <w:r w:rsidRPr="00225D4D">
        <w:t>fleire</w:t>
      </w:r>
      <w:proofErr w:type="spellEnd"/>
      <w:r w:rsidRPr="00225D4D">
        <w:t xml:space="preserve"> </w:t>
      </w:r>
      <w:proofErr w:type="spellStart"/>
      <w:r w:rsidRPr="00225D4D">
        <w:t>rettslege</w:t>
      </w:r>
      <w:proofErr w:type="spellEnd"/>
      <w:r w:rsidRPr="00225D4D">
        <w:t xml:space="preserve"> </w:t>
      </w:r>
      <w:proofErr w:type="spellStart"/>
      <w:r w:rsidRPr="00225D4D">
        <w:t>problemstillingar</w:t>
      </w:r>
      <w:proofErr w:type="spellEnd"/>
      <w:r w:rsidRPr="00225D4D">
        <w:t xml:space="preserve"> </w:t>
      </w:r>
      <w:proofErr w:type="spellStart"/>
      <w:r w:rsidRPr="00225D4D">
        <w:t>avklarast</w:t>
      </w:r>
      <w:proofErr w:type="spellEnd"/>
      <w:r w:rsidRPr="00225D4D">
        <w:t xml:space="preserve">. Arbeidet har </w:t>
      </w:r>
      <w:proofErr w:type="spellStart"/>
      <w:r w:rsidRPr="00225D4D">
        <w:t>høg</w:t>
      </w:r>
      <w:proofErr w:type="spellEnd"/>
      <w:r w:rsidRPr="00225D4D">
        <w:t xml:space="preserve"> prioritet.</w:t>
      </w:r>
    </w:p>
    <w:p w14:paraId="317896A1"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eigna måte.</w:t>
      </w:r>
    </w:p>
    <w:p w14:paraId="7A376212" w14:textId="77777777" w:rsidR="00D60186" w:rsidRPr="00225D4D" w:rsidRDefault="00D60186" w:rsidP="00225D4D">
      <w:pPr>
        <w:pStyle w:val="avsnitt-tittel"/>
      </w:pPr>
      <w:r w:rsidRPr="00225D4D">
        <w:t xml:space="preserve">Ny lov om registrering av ideelle </w:t>
      </w:r>
      <w:proofErr w:type="spellStart"/>
      <w:r w:rsidRPr="00225D4D">
        <w:t>velferdsaktørar</w:t>
      </w:r>
      <w:proofErr w:type="spellEnd"/>
    </w:p>
    <w:p w14:paraId="39BA4699" w14:textId="77777777" w:rsidR="00D60186" w:rsidRPr="00225D4D" w:rsidRDefault="00D60186" w:rsidP="00225D4D">
      <w:pPr>
        <w:pStyle w:val="avsnitt-undertittel"/>
      </w:pPr>
      <w:r w:rsidRPr="00225D4D">
        <w:t>Vedtak nr. 87, 5. desember 2024</w:t>
      </w:r>
    </w:p>
    <w:p w14:paraId="3A333160" w14:textId="77777777" w:rsidR="00D60186" w:rsidRPr="00225D4D" w:rsidRDefault="00D60186" w:rsidP="00225D4D">
      <w:pPr>
        <w:pStyle w:val="blokksit"/>
        <w:rPr>
          <w:rStyle w:val="kursiv"/>
        </w:rPr>
      </w:pPr>
      <w:r w:rsidRPr="00225D4D">
        <w:rPr>
          <w:rStyle w:val="kursiv"/>
        </w:rPr>
        <w:t>«Stortinget ber regjeringen utarbeide forslag til ny lov om registrering av ideelle velferdsaktører, som også inkluderer en juridisk definisjon av ideelle velferdsaktører. Lovproposisjonen fremmes for Stortinget i løpet av inneværende stortingssesjon.»</w:t>
      </w:r>
    </w:p>
    <w:p w14:paraId="58FA08E3"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 S (2024–2025) for budsjettåret 2025 – Statsbudsjettet (Gul bok) og </w:t>
      </w:r>
      <w:proofErr w:type="spellStart"/>
      <w:r w:rsidRPr="00225D4D">
        <w:t>Innst</w:t>
      </w:r>
      <w:proofErr w:type="spellEnd"/>
      <w:r w:rsidRPr="00225D4D">
        <w:t>. 2 S (2024–2025).</w:t>
      </w:r>
    </w:p>
    <w:p w14:paraId="0B33E494" w14:textId="77777777" w:rsidR="00D60186" w:rsidRPr="00225D4D" w:rsidRDefault="00D60186" w:rsidP="00225D4D">
      <w:r w:rsidRPr="00225D4D">
        <w:t xml:space="preserve">Ei registreringsløysing og ei lov om registrering av ideelle </w:t>
      </w:r>
      <w:proofErr w:type="spellStart"/>
      <w:r w:rsidRPr="00225D4D">
        <w:t>velferdsaktørar</w:t>
      </w:r>
      <w:proofErr w:type="spellEnd"/>
      <w:r w:rsidRPr="00225D4D">
        <w:t xml:space="preserve"> må </w:t>
      </w:r>
      <w:proofErr w:type="spellStart"/>
      <w:r w:rsidRPr="00225D4D">
        <w:t>sjåast</w:t>
      </w:r>
      <w:proofErr w:type="spellEnd"/>
      <w:r w:rsidRPr="00225D4D">
        <w:t xml:space="preserve"> i </w:t>
      </w:r>
      <w:proofErr w:type="spellStart"/>
      <w:r w:rsidRPr="00225D4D">
        <w:t>samanheng</w:t>
      </w:r>
      <w:proofErr w:type="spellEnd"/>
      <w:r w:rsidRPr="00225D4D">
        <w:t xml:space="preserve">, og arbeidet må skje parallelt. Regjeringa er i gang med å </w:t>
      </w:r>
      <w:proofErr w:type="spellStart"/>
      <w:r w:rsidRPr="00225D4D">
        <w:t>følgje</w:t>
      </w:r>
      <w:proofErr w:type="spellEnd"/>
      <w:r w:rsidRPr="00225D4D">
        <w:t xml:space="preserve"> opp utgreiinga </w:t>
      </w:r>
      <w:proofErr w:type="spellStart"/>
      <w:r w:rsidRPr="00225D4D">
        <w:t>frå</w:t>
      </w:r>
      <w:proofErr w:type="spellEnd"/>
      <w:r w:rsidRPr="00225D4D">
        <w:t xml:space="preserve"> </w:t>
      </w:r>
      <w:proofErr w:type="spellStart"/>
      <w:r w:rsidRPr="00225D4D">
        <w:t>Støstad-utvalet</w:t>
      </w:r>
      <w:proofErr w:type="spellEnd"/>
      <w:r w:rsidRPr="00225D4D">
        <w:t xml:space="preserve">, NOU 2024: 1 </w:t>
      </w:r>
      <w:r w:rsidRPr="00225D4D">
        <w:rPr>
          <w:rStyle w:val="kursiv"/>
        </w:rPr>
        <w:t xml:space="preserve">Definisjon og registrering av ideelle </w:t>
      </w:r>
      <w:proofErr w:type="spellStart"/>
      <w:r w:rsidRPr="00225D4D">
        <w:rPr>
          <w:rStyle w:val="kursiv"/>
        </w:rPr>
        <w:t>velferdsaktørar</w:t>
      </w:r>
      <w:proofErr w:type="spellEnd"/>
      <w:r w:rsidRPr="00225D4D">
        <w:t xml:space="preserve">, gjennom </w:t>
      </w:r>
      <w:proofErr w:type="spellStart"/>
      <w:r w:rsidRPr="00225D4D">
        <w:t>eit</w:t>
      </w:r>
      <w:proofErr w:type="spellEnd"/>
      <w:r w:rsidRPr="00225D4D">
        <w:t xml:space="preserve"> arbeid med ei ny lov om registrering av ideelle </w:t>
      </w:r>
      <w:proofErr w:type="spellStart"/>
      <w:r w:rsidRPr="00225D4D">
        <w:t>velferdsaktørar</w:t>
      </w:r>
      <w:proofErr w:type="spellEnd"/>
      <w:r w:rsidRPr="00225D4D">
        <w:t xml:space="preserve">, som inkluderer </w:t>
      </w:r>
      <w:proofErr w:type="spellStart"/>
      <w:r w:rsidRPr="00225D4D">
        <w:t>ein</w:t>
      </w:r>
      <w:proofErr w:type="spellEnd"/>
      <w:r w:rsidRPr="00225D4D">
        <w:t xml:space="preserve"> juridisk definisjon av ideelle </w:t>
      </w:r>
      <w:proofErr w:type="spellStart"/>
      <w:r w:rsidRPr="00225D4D">
        <w:t>velferdsaktørar</w:t>
      </w:r>
      <w:proofErr w:type="spellEnd"/>
      <w:r w:rsidRPr="00225D4D">
        <w:t xml:space="preserve">. </w:t>
      </w:r>
      <w:proofErr w:type="spellStart"/>
      <w:r w:rsidRPr="00225D4D">
        <w:t>Støstad-utvalet</w:t>
      </w:r>
      <w:proofErr w:type="spellEnd"/>
      <w:r w:rsidRPr="00225D4D">
        <w:t xml:space="preserve"> var </w:t>
      </w:r>
      <w:proofErr w:type="spellStart"/>
      <w:r w:rsidRPr="00225D4D">
        <w:t>ikkje</w:t>
      </w:r>
      <w:proofErr w:type="spellEnd"/>
      <w:r w:rsidRPr="00225D4D">
        <w:t xml:space="preserve"> satt opp som </w:t>
      </w:r>
      <w:proofErr w:type="spellStart"/>
      <w:r w:rsidRPr="00225D4D">
        <w:t>eit</w:t>
      </w:r>
      <w:proofErr w:type="spellEnd"/>
      <w:r w:rsidRPr="00225D4D">
        <w:t xml:space="preserve"> </w:t>
      </w:r>
      <w:proofErr w:type="spellStart"/>
      <w:r w:rsidRPr="00225D4D">
        <w:t>lovutval</w:t>
      </w:r>
      <w:proofErr w:type="spellEnd"/>
      <w:r w:rsidRPr="00225D4D">
        <w:t xml:space="preserve">, og i arbeidet må </w:t>
      </w:r>
      <w:proofErr w:type="spellStart"/>
      <w:r w:rsidRPr="00225D4D">
        <w:t>fleire</w:t>
      </w:r>
      <w:proofErr w:type="spellEnd"/>
      <w:r w:rsidRPr="00225D4D">
        <w:t xml:space="preserve"> </w:t>
      </w:r>
      <w:proofErr w:type="spellStart"/>
      <w:r w:rsidRPr="00225D4D">
        <w:t>rettslege</w:t>
      </w:r>
      <w:proofErr w:type="spellEnd"/>
      <w:r w:rsidRPr="00225D4D">
        <w:t xml:space="preserve"> </w:t>
      </w:r>
      <w:proofErr w:type="spellStart"/>
      <w:r w:rsidRPr="00225D4D">
        <w:t>problemstillingar</w:t>
      </w:r>
      <w:proofErr w:type="spellEnd"/>
      <w:r w:rsidRPr="00225D4D">
        <w:t xml:space="preserve"> </w:t>
      </w:r>
      <w:proofErr w:type="spellStart"/>
      <w:r w:rsidRPr="00225D4D">
        <w:t>avklarast</w:t>
      </w:r>
      <w:proofErr w:type="spellEnd"/>
      <w:r w:rsidRPr="00225D4D">
        <w:t xml:space="preserve">. Arbeidet har </w:t>
      </w:r>
      <w:proofErr w:type="spellStart"/>
      <w:r w:rsidRPr="00225D4D">
        <w:t>høg</w:t>
      </w:r>
      <w:proofErr w:type="spellEnd"/>
      <w:r w:rsidRPr="00225D4D">
        <w:t xml:space="preserve"> prioritet.</w:t>
      </w:r>
    </w:p>
    <w:p w14:paraId="60D4BBC2"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eigna måte.</w:t>
      </w:r>
    </w:p>
    <w:p w14:paraId="5C33F1F1" w14:textId="77777777" w:rsidR="00D60186" w:rsidRPr="00225D4D" w:rsidRDefault="00D60186" w:rsidP="00225D4D">
      <w:pPr>
        <w:pStyle w:val="avsnitt-tittel"/>
      </w:pPr>
      <w:proofErr w:type="spellStart"/>
      <w:r w:rsidRPr="00225D4D">
        <w:t>Sløkking</w:t>
      </w:r>
      <w:proofErr w:type="spellEnd"/>
      <w:r w:rsidRPr="00225D4D">
        <w:t xml:space="preserve"> av 2G-nettet</w:t>
      </w:r>
    </w:p>
    <w:p w14:paraId="4FD59D0A" w14:textId="77777777" w:rsidR="00D60186" w:rsidRPr="00225D4D" w:rsidRDefault="00D60186" w:rsidP="00225D4D">
      <w:pPr>
        <w:pStyle w:val="avsnitt-undertittel"/>
      </w:pPr>
      <w:r w:rsidRPr="00225D4D">
        <w:t>Vedtak nr. 493, 6. mars 2025</w:t>
      </w:r>
    </w:p>
    <w:p w14:paraId="50F67773" w14:textId="77777777" w:rsidR="00D60186" w:rsidRPr="00225D4D" w:rsidRDefault="00D60186" w:rsidP="00225D4D">
      <w:pPr>
        <w:pStyle w:val="blokksit"/>
        <w:rPr>
          <w:rStyle w:val="kursiv"/>
        </w:rPr>
      </w:pPr>
      <w:r w:rsidRPr="00225D4D">
        <w:rPr>
          <w:rStyle w:val="kursiv"/>
        </w:rPr>
        <w:t>«Stortinget ber regjeringen gjennomføre en konsekvensutredning for å få en oversikt over hvilke systemer av betydning for sikkerhet og beredskap som ikke vil virke etter at 2G-nettet slukkes.»</w:t>
      </w:r>
    </w:p>
    <w:p w14:paraId="1A51696C"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Frank Edvard Sve, Morten Stordalen, Helge André Njåstad, Tor André Johnsen, Morten Wold, Bengt Rune </w:t>
      </w:r>
      <w:proofErr w:type="spellStart"/>
      <w:r w:rsidRPr="00225D4D">
        <w:t>Strifeldt</w:t>
      </w:r>
      <w:proofErr w:type="spellEnd"/>
      <w:r w:rsidRPr="00225D4D">
        <w:t xml:space="preserve">, Sivert Bjørnstad og Sylvi Listhaug om å utsette </w:t>
      </w:r>
      <w:proofErr w:type="spellStart"/>
      <w:r w:rsidRPr="00225D4D">
        <w:t>sløkking</w:t>
      </w:r>
      <w:proofErr w:type="spellEnd"/>
      <w:r w:rsidRPr="00225D4D">
        <w:t xml:space="preserve"> av 2G-nettet, jf. Dokument 8:23 S (2024–2025) og </w:t>
      </w:r>
      <w:proofErr w:type="spellStart"/>
      <w:r w:rsidRPr="00225D4D">
        <w:t>Innst</w:t>
      </w:r>
      <w:proofErr w:type="spellEnd"/>
      <w:r w:rsidRPr="00225D4D">
        <w:t>. 147 S (2024–2025).</w:t>
      </w:r>
    </w:p>
    <w:p w14:paraId="40460444" w14:textId="77777777" w:rsidR="00D60186" w:rsidRPr="00225D4D" w:rsidRDefault="00D60186" w:rsidP="00225D4D">
      <w:r w:rsidRPr="00225D4D">
        <w:t xml:space="preserve">Telia har planlagt ei gradvis </w:t>
      </w:r>
      <w:proofErr w:type="spellStart"/>
      <w:r w:rsidRPr="00225D4D">
        <w:t>sløkking</w:t>
      </w:r>
      <w:proofErr w:type="spellEnd"/>
      <w:r w:rsidRPr="00225D4D">
        <w:t xml:space="preserve"> av sitt 2G-nett </w:t>
      </w:r>
      <w:proofErr w:type="spellStart"/>
      <w:r w:rsidRPr="00225D4D">
        <w:t>frå</w:t>
      </w:r>
      <w:proofErr w:type="spellEnd"/>
      <w:r w:rsidRPr="00225D4D">
        <w:t xml:space="preserve"> </w:t>
      </w:r>
      <w:proofErr w:type="spellStart"/>
      <w:r w:rsidRPr="00225D4D">
        <w:t>hausten</w:t>
      </w:r>
      <w:proofErr w:type="spellEnd"/>
      <w:r w:rsidRPr="00225D4D">
        <w:t xml:space="preserve"> 2025. Telenor vil vente med å </w:t>
      </w:r>
      <w:proofErr w:type="spellStart"/>
      <w:r w:rsidRPr="00225D4D">
        <w:t>sløkke</w:t>
      </w:r>
      <w:proofErr w:type="spellEnd"/>
      <w:r w:rsidRPr="00225D4D">
        <w:t xml:space="preserve"> sitt nett til utgangen av 2027. Digitaliserings- og forvaltningsdepartementet ga i tildelingsbrevet for 2025 Nasjonal kommunikasjonsmyndigheit i oppdrag mellom anna å kartlegge viktige </w:t>
      </w:r>
      <w:proofErr w:type="spellStart"/>
      <w:r w:rsidRPr="00225D4D">
        <w:t>løysingar</w:t>
      </w:r>
      <w:proofErr w:type="spellEnd"/>
      <w:r w:rsidRPr="00225D4D">
        <w:t>/</w:t>
      </w:r>
      <w:proofErr w:type="spellStart"/>
      <w:r w:rsidRPr="00225D4D">
        <w:t>funksjonar</w:t>
      </w:r>
      <w:proofErr w:type="spellEnd"/>
      <w:r w:rsidRPr="00225D4D">
        <w:t xml:space="preserve"> som </w:t>
      </w:r>
      <w:proofErr w:type="spellStart"/>
      <w:r w:rsidRPr="00225D4D">
        <w:t>framleis</w:t>
      </w:r>
      <w:proofErr w:type="spellEnd"/>
      <w:r w:rsidRPr="00225D4D">
        <w:t xml:space="preserve"> var avhengige av 2G og forsikre seg om at </w:t>
      </w:r>
      <w:proofErr w:type="spellStart"/>
      <w:r w:rsidRPr="00225D4D">
        <w:t>aktørane</w:t>
      </w:r>
      <w:proofErr w:type="spellEnd"/>
      <w:r w:rsidRPr="00225D4D">
        <w:t xml:space="preserve"> som er </w:t>
      </w:r>
      <w:proofErr w:type="spellStart"/>
      <w:r w:rsidRPr="00225D4D">
        <w:t>ansvarlege</w:t>
      </w:r>
      <w:proofErr w:type="spellEnd"/>
      <w:r w:rsidRPr="00225D4D">
        <w:t xml:space="preserve"> for </w:t>
      </w:r>
      <w:proofErr w:type="spellStart"/>
      <w:r w:rsidRPr="00225D4D">
        <w:t>desse</w:t>
      </w:r>
      <w:proofErr w:type="spellEnd"/>
      <w:r w:rsidRPr="00225D4D">
        <w:t xml:space="preserve"> </w:t>
      </w:r>
      <w:proofErr w:type="spellStart"/>
      <w:r w:rsidRPr="00225D4D">
        <w:t>løysingane</w:t>
      </w:r>
      <w:proofErr w:type="spellEnd"/>
      <w:r w:rsidRPr="00225D4D">
        <w:t>/</w:t>
      </w:r>
      <w:proofErr w:type="spellStart"/>
      <w:r w:rsidRPr="00225D4D">
        <w:t>funksjonane</w:t>
      </w:r>
      <w:proofErr w:type="spellEnd"/>
      <w:r w:rsidRPr="00225D4D">
        <w:t xml:space="preserve"> har </w:t>
      </w:r>
      <w:proofErr w:type="spellStart"/>
      <w:r w:rsidRPr="00225D4D">
        <w:t>ein</w:t>
      </w:r>
      <w:proofErr w:type="spellEnd"/>
      <w:r w:rsidRPr="00225D4D">
        <w:t xml:space="preserve"> plan for overgang til anna og framtidsretta teknologi. Med bakgrunn i Stortingets vedtak nr. 493, 6. mars 2025 bad departementet Nasjonal kommunikasjonsmyndigheit om å gjennomføre ei konsekvensutgreiing. Nasjonal kommunikasjonsmyndigheit har innhenta informasjon </w:t>
      </w:r>
      <w:proofErr w:type="spellStart"/>
      <w:r w:rsidRPr="00225D4D">
        <w:t>frå</w:t>
      </w:r>
      <w:proofErr w:type="spellEnd"/>
      <w:r w:rsidRPr="00225D4D">
        <w:t xml:space="preserve"> </w:t>
      </w:r>
      <w:proofErr w:type="spellStart"/>
      <w:r w:rsidRPr="00225D4D">
        <w:t>aktørar</w:t>
      </w:r>
      <w:proofErr w:type="spellEnd"/>
      <w:r w:rsidRPr="00225D4D">
        <w:t xml:space="preserve"> i </w:t>
      </w:r>
      <w:proofErr w:type="spellStart"/>
      <w:r w:rsidRPr="00225D4D">
        <w:t>statleg</w:t>
      </w:r>
      <w:proofErr w:type="spellEnd"/>
      <w:r w:rsidRPr="00225D4D">
        <w:t xml:space="preserve">, kommunal og privat sektor, og leverte rapport for utgreiinga 1. juli 2025. Denne viser at det </w:t>
      </w:r>
      <w:proofErr w:type="spellStart"/>
      <w:r w:rsidRPr="00225D4D">
        <w:t>ikkje</w:t>
      </w:r>
      <w:proofErr w:type="spellEnd"/>
      <w:r w:rsidRPr="00225D4D">
        <w:t xml:space="preserve"> er avdekt tilhøve som tyder på at det kan oppstå </w:t>
      </w:r>
      <w:proofErr w:type="spellStart"/>
      <w:r w:rsidRPr="00225D4D">
        <w:t>uhandterlege</w:t>
      </w:r>
      <w:proofErr w:type="spellEnd"/>
      <w:r w:rsidRPr="00225D4D">
        <w:t xml:space="preserve"> </w:t>
      </w:r>
      <w:proofErr w:type="spellStart"/>
      <w:r w:rsidRPr="00225D4D">
        <w:t>konsekvensar</w:t>
      </w:r>
      <w:proofErr w:type="spellEnd"/>
      <w:r w:rsidRPr="00225D4D">
        <w:t xml:space="preserve"> for system av </w:t>
      </w:r>
      <w:proofErr w:type="spellStart"/>
      <w:r w:rsidRPr="00225D4D">
        <w:t>betyding</w:t>
      </w:r>
      <w:proofErr w:type="spellEnd"/>
      <w:r w:rsidRPr="00225D4D">
        <w:t xml:space="preserve"> for </w:t>
      </w:r>
      <w:proofErr w:type="spellStart"/>
      <w:r w:rsidRPr="00225D4D">
        <w:t>sikkerheit</w:t>
      </w:r>
      <w:proofErr w:type="spellEnd"/>
      <w:r w:rsidRPr="00225D4D">
        <w:t xml:space="preserve"> og beredskap ved at Telia </w:t>
      </w:r>
      <w:proofErr w:type="spellStart"/>
      <w:r w:rsidRPr="00225D4D">
        <w:t>startar</w:t>
      </w:r>
      <w:proofErr w:type="spellEnd"/>
      <w:r w:rsidRPr="00225D4D">
        <w:t xml:space="preserve"> å </w:t>
      </w:r>
      <w:proofErr w:type="spellStart"/>
      <w:r w:rsidRPr="00225D4D">
        <w:t>sløkke</w:t>
      </w:r>
      <w:proofErr w:type="spellEnd"/>
      <w:r w:rsidRPr="00225D4D">
        <w:t xml:space="preserve"> sitt nett.</w:t>
      </w:r>
    </w:p>
    <w:p w14:paraId="591E68BD" w14:textId="77777777" w:rsidR="00D60186" w:rsidRPr="00225D4D" w:rsidRDefault="00D60186" w:rsidP="00225D4D">
      <w:r w:rsidRPr="00225D4D">
        <w:t xml:space="preserve">Dette </w:t>
      </w:r>
      <w:proofErr w:type="spellStart"/>
      <w:r w:rsidRPr="00225D4D">
        <w:t>tilseier</w:t>
      </w:r>
      <w:proofErr w:type="spellEnd"/>
      <w:r w:rsidRPr="00225D4D">
        <w:t xml:space="preserve"> at ei gradvis og kontrollert </w:t>
      </w:r>
      <w:proofErr w:type="spellStart"/>
      <w:r w:rsidRPr="00225D4D">
        <w:t>sløkking</w:t>
      </w:r>
      <w:proofErr w:type="spellEnd"/>
      <w:r w:rsidRPr="00225D4D">
        <w:t xml:space="preserve"> av Telias 2G-nett kan </w:t>
      </w:r>
      <w:proofErr w:type="spellStart"/>
      <w:r w:rsidRPr="00225D4D">
        <w:t>gjennomførast</w:t>
      </w:r>
      <w:proofErr w:type="spellEnd"/>
      <w:r w:rsidRPr="00225D4D">
        <w:t xml:space="preserve"> </w:t>
      </w:r>
      <w:proofErr w:type="spellStart"/>
      <w:r w:rsidRPr="00225D4D">
        <w:t>frå</w:t>
      </w:r>
      <w:proofErr w:type="spellEnd"/>
      <w:r w:rsidRPr="00225D4D">
        <w:t xml:space="preserve"> </w:t>
      </w:r>
      <w:proofErr w:type="spellStart"/>
      <w:r w:rsidRPr="00225D4D">
        <w:t>hausten</w:t>
      </w:r>
      <w:proofErr w:type="spellEnd"/>
      <w:r w:rsidRPr="00225D4D">
        <w:t xml:space="preserve"> 2025. Ei gradvis regional </w:t>
      </w:r>
      <w:proofErr w:type="spellStart"/>
      <w:r w:rsidRPr="00225D4D">
        <w:t>sløkking</w:t>
      </w:r>
      <w:proofErr w:type="spellEnd"/>
      <w:r w:rsidRPr="00225D4D">
        <w:t xml:space="preserve"> gir grunnlag for å avdekke eventuelle uventa </w:t>
      </w:r>
      <w:proofErr w:type="spellStart"/>
      <w:r w:rsidRPr="00225D4D">
        <w:t>konsekvensar</w:t>
      </w:r>
      <w:proofErr w:type="spellEnd"/>
      <w:r w:rsidRPr="00225D4D">
        <w:t xml:space="preserve"> på kontrollert vis og </w:t>
      </w:r>
      <w:proofErr w:type="spellStart"/>
      <w:r w:rsidRPr="00225D4D">
        <w:t>moglegheit</w:t>
      </w:r>
      <w:proofErr w:type="spellEnd"/>
      <w:r w:rsidRPr="00225D4D">
        <w:t xml:space="preserve"> til å </w:t>
      </w:r>
      <w:proofErr w:type="spellStart"/>
      <w:r w:rsidRPr="00225D4D">
        <w:t>gjere</w:t>
      </w:r>
      <w:proofErr w:type="spellEnd"/>
      <w:r w:rsidRPr="00225D4D">
        <w:t xml:space="preserve"> målretta </w:t>
      </w:r>
      <w:proofErr w:type="spellStart"/>
      <w:r w:rsidRPr="00225D4D">
        <w:t>avbøtande</w:t>
      </w:r>
      <w:proofErr w:type="spellEnd"/>
      <w:r w:rsidRPr="00225D4D">
        <w:t xml:space="preserve"> tiltak.</w:t>
      </w:r>
    </w:p>
    <w:p w14:paraId="7EA4F1CC"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18DD28D5" w14:textId="77777777" w:rsidR="00D60186" w:rsidRPr="00225D4D" w:rsidRDefault="00D60186" w:rsidP="00225D4D">
      <w:pPr>
        <w:pStyle w:val="avsnitt-tittel"/>
      </w:pPr>
      <w:r w:rsidRPr="00225D4D">
        <w:t xml:space="preserve">Prioritere </w:t>
      </w:r>
      <w:proofErr w:type="spellStart"/>
      <w:r w:rsidRPr="00225D4D">
        <w:t>dei</w:t>
      </w:r>
      <w:proofErr w:type="spellEnd"/>
      <w:r w:rsidRPr="00225D4D">
        <w:t xml:space="preserve"> med funksjonshemming i </w:t>
      </w:r>
      <w:proofErr w:type="spellStart"/>
      <w:r w:rsidRPr="00225D4D">
        <w:t>stillingsutlysingar</w:t>
      </w:r>
      <w:proofErr w:type="spellEnd"/>
    </w:p>
    <w:p w14:paraId="77742175" w14:textId="77777777" w:rsidR="00D60186" w:rsidRPr="00225D4D" w:rsidRDefault="00D60186" w:rsidP="00225D4D">
      <w:pPr>
        <w:pStyle w:val="avsnitt-undertittel"/>
      </w:pPr>
      <w:r w:rsidRPr="00225D4D">
        <w:t>Vedtak nr. 615, 6. mai 2025</w:t>
      </w:r>
    </w:p>
    <w:p w14:paraId="3D347A8B" w14:textId="77777777" w:rsidR="00D60186" w:rsidRPr="00225D4D" w:rsidRDefault="00D60186" w:rsidP="00225D4D">
      <w:pPr>
        <w:pStyle w:val="blokksit"/>
        <w:rPr>
          <w:rStyle w:val="kursiv"/>
        </w:rPr>
      </w:pPr>
      <w:r w:rsidRPr="00225D4D">
        <w:rPr>
          <w:rStyle w:val="kursiv"/>
        </w:rPr>
        <w:t>«Stortinget ber regjeringen sikre at utlysninger av stillinger i statens virksomheter utformes slik at stillingens krav og ansettelsesprosessen kan prioritere funksjonshemmede. Regjeringen bes også arbeide sammen med kommuner og fylkeskommuner for tilsvarende praksis i deres stillingsutlysninger.»</w:t>
      </w:r>
    </w:p>
    <w:p w14:paraId="214DF5D9" w14:textId="77777777" w:rsidR="00D60186" w:rsidRPr="00225D4D" w:rsidRDefault="00D60186" w:rsidP="00225D4D">
      <w:r w:rsidRPr="00225D4D">
        <w:t xml:space="preserve">Dokumenta som ligg til grunn for vedtaket, er Meld. St. 33 (2023–2024) </w:t>
      </w:r>
      <w:r w:rsidRPr="00225D4D">
        <w:rPr>
          <w:rStyle w:val="kursiv"/>
        </w:rPr>
        <w:t>En forsterket arbeidslinje – flere i jobb og færre på trygd</w:t>
      </w:r>
      <w:r w:rsidRPr="00225D4D">
        <w:t xml:space="preserve"> og </w:t>
      </w:r>
      <w:proofErr w:type="spellStart"/>
      <w:r w:rsidRPr="00225D4D">
        <w:t>Innst</w:t>
      </w:r>
      <w:proofErr w:type="spellEnd"/>
      <w:r w:rsidRPr="00225D4D">
        <w:t>. 150 S (2024–2025).</w:t>
      </w:r>
    </w:p>
    <w:p w14:paraId="46DD4705" w14:textId="77777777" w:rsidR="00D60186" w:rsidRPr="00225D4D" w:rsidRDefault="00D60186" w:rsidP="00225D4D">
      <w:r w:rsidRPr="00225D4D">
        <w:t xml:space="preserve">Regjeringa arbeider for at </w:t>
      </w:r>
      <w:proofErr w:type="spellStart"/>
      <w:r w:rsidRPr="00225D4D">
        <w:t>statlege</w:t>
      </w:r>
      <w:proofErr w:type="spellEnd"/>
      <w:r w:rsidRPr="00225D4D">
        <w:t xml:space="preserve"> </w:t>
      </w:r>
      <w:proofErr w:type="spellStart"/>
      <w:r w:rsidRPr="00225D4D">
        <w:t>verksemder</w:t>
      </w:r>
      <w:proofErr w:type="spellEnd"/>
      <w:r w:rsidRPr="00225D4D">
        <w:t xml:space="preserve"> skal kunne føre </w:t>
      </w:r>
      <w:proofErr w:type="spellStart"/>
      <w:r w:rsidRPr="00225D4D">
        <w:t>ein</w:t>
      </w:r>
      <w:proofErr w:type="spellEnd"/>
      <w:r w:rsidRPr="00225D4D">
        <w:t xml:space="preserve"> </w:t>
      </w:r>
      <w:proofErr w:type="spellStart"/>
      <w:r w:rsidRPr="00225D4D">
        <w:t>inkluderande</w:t>
      </w:r>
      <w:proofErr w:type="spellEnd"/>
      <w:r w:rsidRPr="00225D4D">
        <w:t xml:space="preserve"> rekrutteringspraksis og </w:t>
      </w:r>
      <w:proofErr w:type="spellStart"/>
      <w:r w:rsidRPr="00225D4D">
        <w:t>eit</w:t>
      </w:r>
      <w:proofErr w:type="spellEnd"/>
      <w:r w:rsidRPr="00225D4D">
        <w:t xml:space="preserve"> </w:t>
      </w:r>
      <w:proofErr w:type="spellStart"/>
      <w:r w:rsidRPr="00225D4D">
        <w:t>mangfaldig</w:t>
      </w:r>
      <w:proofErr w:type="spellEnd"/>
      <w:r w:rsidRPr="00225D4D">
        <w:t xml:space="preserve"> arbeidsliv. Det er gitt </w:t>
      </w:r>
      <w:proofErr w:type="spellStart"/>
      <w:r w:rsidRPr="00225D4D">
        <w:t>fleire</w:t>
      </w:r>
      <w:proofErr w:type="spellEnd"/>
      <w:r w:rsidRPr="00225D4D">
        <w:t xml:space="preserve"> </w:t>
      </w:r>
      <w:proofErr w:type="spellStart"/>
      <w:r w:rsidRPr="00225D4D">
        <w:t>reglar</w:t>
      </w:r>
      <w:proofErr w:type="spellEnd"/>
      <w:r w:rsidRPr="00225D4D">
        <w:t xml:space="preserve"> og iverksett </w:t>
      </w:r>
      <w:proofErr w:type="spellStart"/>
      <w:r w:rsidRPr="00225D4D">
        <w:t>fleire</w:t>
      </w:r>
      <w:proofErr w:type="spellEnd"/>
      <w:r w:rsidRPr="00225D4D">
        <w:t xml:space="preserve"> tiltak som skal støtte opp under dette. Det er utarbeidd ei </w:t>
      </w:r>
      <w:proofErr w:type="spellStart"/>
      <w:r w:rsidRPr="00225D4D">
        <w:t>mangfaldserklæring</w:t>
      </w:r>
      <w:proofErr w:type="spellEnd"/>
      <w:r w:rsidRPr="00225D4D">
        <w:t xml:space="preserve"> som mange </w:t>
      </w:r>
      <w:proofErr w:type="spellStart"/>
      <w:r w:rsidRPr="00225D4D">
        <w:t>statlege</w:t>
      </w:r>
      <w:proofErr w:type="spellEnd"/>
      <w:r w:rsidRPr="00225D4D">
        <w:t xml:space="preserve"> </w:t>
      </w:r>
      <w:proofErr w:type="spellStart"/>
      <w:r w:rsidRPr="00225D4D">
        <w:t>verksemder</w:t>
      </w:r>
      <w:proofErr w:type="spellEnd"/>
      <w:r w:rsidRPr="00225D4D">
        <w:t xml:space="preserve"> tar inn i </w:t>
      </w:r>
      <w:proofErr w:type="spellStart"/>
      <w:r w:rsidRPr="00225D4D">
        <w:t>stillingsutlysinga</w:t>
      </w:r>
      <w:proofErr w:type="spellEnd"/>
      <w:r w:rsidRPr="00225D4D">
        <w:t xml:space="preserve"> når </w:t>
      </w:r>
      <w:proofErr w:type="spellStart"/>
      <w:r w:rsidRPr="00225D4D">
        <w:t>dei</w:t>
      </w:r>
      <w:proofErr w:type="spellEnd"/>
      <w:r w:rsidRPr="00225D4D">
        <w:t xml:space="preserve"> lyser ut ledige </w:t>
      </w:r>
      <w:proofErr w:type="spellStart"/>
      <w:r w:rsidRPr="00225D4D">
        <w:t>stillingar</w:t>
      </w:r>
      <w:proofErr w:type="spellEnd"/>
      <w:r w:rsidRPr="00225D4D">
        <w:t xml:space="preserve">. </w:t>
      </w:r>
      <w:proofErr w:type="spellStart"/>
      <w:r w:rsidRPr="00225D4D">
        <w:t>Mangfaldserklæringa</w:t>
      </w:r>
      <w:proofErr w:type="spellEnd"/>
      <w:r w:rsidRPr="00225D4D">
        <w:t xml:space="preserve"> signaliserer at alle er ønskte som </w:t>
      </w:r>
      <w:proofErr w:type="spellStart"/>
      <w:r w:rsidRPr="00225D4D">
        <w:t>søkjarar</w:t>
      </w:r>
      <w:proofErr w:type="spellEnd"/>
      <w:r w:rsidRPr="00225D4D">
        <w:t xml:space="preserve"> til ledige </w:t>
      </w:r>
      <w:proofErr w:type="spellStart"/>
      <w:r w:rsidRPr="00225D4D">
        <w:t>stillingar</w:t>
      </w:r>
      <w:proofErr w:type="spellEnd"/>
      <w:r w:rsidRPr="00225D4D">
        <w:t xml:space="preserve">, og at eventuell nedsett funksjonsevne </w:t>
      </w:r>
      <w:proofErr w:type="spellStart"/>
      <w:r w:rsidRPr="00225D4D">
        <w:t>ikkje</w:t>
      </w:r>
      <w:proofErr w:type="spellEnd"/>
      <w:r w:rsidRPr="00225D4D">
        <w:t xml:space="preserve"> er ei hindring. Det er gitt </w:t>
      </w:r>
      <w:proofErr w:type="spellStart"/>
      <w:r w:rsidRPr="00225D4D">
        <w:t>reglar</w:t>
      </w:r>
      <w:proofErr w:type="spellEnd"/>
      <w:r w:rsidRPr="00225D4D">
        <w:t xml:space="preserve"> om at minst </w:t>
      </w:r>
      <w:proofErr w:type="spellStart"/>
      <w:r w:rsidRPr="00225D4D">
        <w:t>ein</w:t>
      </w:r>
      <w:proofErr w:type="spellEnd"/>
      <w:r w:rsidRPr="00225D4D">
        <w:t xml:space="preserve"> kvalifisert </w:t>
      </w:r>
      <w:proofErr w:type="spellStart"/>
      <w:r w:rsidRPr="00225D4D">
        <w:t>søkjar</w:t>
      </w:r>
      <w:proofErr w:type="spellEnd"/>
      <w:r w:rsidRPr="00225D4D">
        <w:t xml:space="preserve"> som oppgir å ha funksjonsnedsetting skal </w:t>
      </w:r>
      <w:proofErr w:type="spellStart"/>
      <w:r w:rsidRPr="00225D4D">
        <w:t>innkallast</w:t>
      </w:r>
      <w:proofErr w:type="spellEnd"/>
      <w:r w:rsidRPr="00225D4D">
        <w:t xml:space="preserve"> til intervju. </w:t>
      </w:r>
      <w:proofErr w:type="spellStart"/>
      <w:r w:rsidRPr="00225D4D">
        <w:t>Personar</w:t>
      </w:r>
      <w:proofErr w:type="spellEnd"/>
      <w:r w:rsidRPr="00225D4D">
        <w:t xml:space="preserve"> som oppgir å ha funksjonsnedsetting kan </w:t>
      </w:r>
      <w:proofErr w:type="spellStart"/>
      <w:r w:rsidRPr="00225D4D">
        <w:t>tilsettast</w:t>
      </w:r>
      <w:proofErr w:type="spellEnd"/>
      <w:r w:rsidRPr="00225D4D">
        <w:t xml:space="preserve"> dersom </w:t>
      </w:r>
      <w:proofErr w:type="spellStart"/>
      <w:r w:rsidRPr="00225D4D">
        <w:t>dei</w:t>
      </w:r>
      <w:proofErr w:type="spellEnd"/>
      <w:r w:rsidRPr="00225D4D">
        <w:t xml:space="preserve"> er tilnærma like godt kvalifiserte som den best kvalifiserte </w:t>
      </w:r>
      <w:proofErr w:type="spellStart"/>
      <w:r w:rsidRPr="00225D4D">
        <w:t>søkjaren</w:t>
      </w:r>
      <w:proofErr w:type="spellEnd"/>
      <w:r w:rsidRPr="00225D4D">
        <w:t xml:space="preserve">. Dette er </w:t>
      </w:r>
      <w:proofErr w:type="spellStart"/>
      <w:r w:rsidRPr="00225D4D">
        <w:t>reglar</w:t>
      </w:r>
      <w:proofErr w:type="spellEnd"/>
      <w:r w:rsidRPr="00225D4D">
        <w:t xml:space="preserve"> om positiv særbehandling, og som det blir opplyst om i utlysinga på </w:t>
      </w:r>
      <w:proofErr w:type="spellStart"/>
      <w:r w:rsidRPr="00225D4D">
        <w:t>rekrutteringsportalane</w:t>
      </w:r>
      <w:proofErr w:type="spellEnd"/>
      <w:r w:rsidRPr="00225D4D">
        <w:t xml:space="preserve"> som </w:t>
      </w:r>
      <w:proofErr w:type="spellStart"/>
      <w:r w:rsidRPr="00225D4D">
        <w:t>statlege</w:t>
      </w:r>
      <w:proofErr w:type="spellEnd"/>
      <w:r w:rsidRPr="00225D4D">
        <w:t xml:space="preserve"> </w:t>
      </w:r>
      <w:proofErr w:type="spellStart"/>
      <w:r w:rsidRPr="00225D4D">
        <w:t>verksemder</w:t>
      </w:r>
      <w:proofErr w:type="spellEnd"/>
      <w:r w:rsidRPr="00225D4D">
        <w:t xml:space="preserve"> brukar. Regelen om at minst </w:t>
      </w:r>
      <w:proofErr w:type="spellStart"/>
      <w:r w:rsidRPr="00225D4D">
        <w:t>ein</w:t>
      </w:r>
      <w:proofErr w:type="spellEnd"/>
      <w:r w:rsidRPr="00225D4D">
        <w:t xml:space="preserve"> kvalifisert </w:t>
      </w:r>
      <w:proofErr w:type="spellStart"/>
      <w:r w:rsidRPr="00225D4D">
        <w:t>søkjar</w:t>
      </w:r>
      <w:proofErr w:type="spellEnd"/>
      <w:r w:rsidRPr="00225D4D">
        <w:t xml:space="preserve"> som oppgir å ha funksjonsnedsetting skal </w:t>
      </w:r>
      <w:proofErr w:type="spellStart"/>
      <w:r w:rsidRPr="00225D4D">
        <w:t>innkallast</w:t>
      </w:r>
      <w:proofErr w:type="spellEnd"/>
      <w:r w:rsidRPr="00225D4D">
        <w:t xml:space="preserve"> til intervju skal bidra til at </w:t>
      </w:r>
      <w:proofErr w:type="spellStart"/>
      <w:r w:rsidRPr="00225D4D">
        <w:t>søkjarar</w:t>
      </w:r>
      <w:proofErr w:type="spellEnd"/>
      <w:r w:rsidRPr="00225D4D">
        <w:t xml:space="preserve"> med funksjonsnedsetting skal få </w:t>
      </w:r>
      <w:proofErr w:type="spellStart"/>
      <w:r w:rsidRPr="00225D4D">
        <w:t>synleggjort</w:t>
      </w:r>
      <w:proofErr w:type="spellEnd"/>
      <w:r w:rsidRPr="00225D4D">
        <w:t xml:space="preserve"> kompetansen sin, og at kompetansen </w:t>
      </w:r>
      <w:proofErr w:type="spellStart"/>
      <w:r w:rsidRPr="00225D4D">
        <w:t>deira</w:t>
      </w:r>
      <w:proofErr w:type="spellEnd"/>
      <w:r w:rsidRPr="00225D4D">
        <w:t xml:space="preserve"> skal bli reelt vurdert opp mot kvalifikasjonskrava i utlysinga.</w:t>
      </w:r>
    </w:p>
    <w:p w14:paraId="31FA65B5" w14:textId="77777777" w:rsidR="00D60186" w:rsidRPr="00225D4D" w:rsidRDefault="00D60186" w:rsidP="00225D4D">
      <w:r w:rsidRPr="00225D4D">
        <w:t xml:space="preserve">Kvalifikasjonsprinsippet som </w:t>
      </w:r>
      <w:proofErr w:type="spellStart"/>
      <w:r w:rsidRPr="00225D4D">
        <w:t>gjeld</w:t>
      </w:r>
      <w:proofErr w:type="spellEnd"/>
      <w:r w:rsidRPr="00225D4D">
        <w:t xml:space="preserve"> for </w:t>
      </w:r>
      <w:proofErr w:type="spellStart"/>
      <w:r w:rsidRPr="00225D4D">
        <w:t>tilsettingar</w:t>
      </w:r>
      <w:proofErr w:type="spellEnd"/>
      <w:r w:rsidRPr="00225D4D">
        <w:t xml:space="preserve"> i staten blir styrt av kvalifikasjonskrava </w:t>
      </w:r>
      <w:proofErr w:type="spellStart"/>
      <w:r w:rsidRPr="00225D4D">
        <w:t>verksemdene</w:t>
      </w:r>
      <w:proofErr w:type="spellEnd"/>
      <w:r w:rsidRPr="00225D4D">
        <w:t xml:space="preserve"> stiller i utlysinga. Kvalifikasjonskrava i utlysinga </w:t>
      </w:r>
      <w:proofErr w:type="spellStart"/>
      <w:r w:rsidRPr="00225D4D">
        <w:t>avgjer</w:t>
      </w:r>
      <w:proofErr w:type="spellEnd"/>
      <w:r w:rsidRPr="00225D4D">
        <w:t xml:space="preserve"> derfor vurderinga av kven av </w:t>
      </w:r>
      <w:proofErr w:type="spellStart"/>
      <w:r w:rsidRPr="00225D4D">
        <w:t>søkjarane</w:t>
      </w:r>
      <w:proofErr w:type="spellEnd"/>
      <w:r w:rsidRPr="00225D4D">
        <w:t xml:space="preserve"> som er best kvalifisert, og </w:t>
      </w:r>
      <w:proofErr w:type="spellStart"/>
      <w:r w:rsidRPr="00225D4D">
        <w:t>moglegheita</w:t>
      </w:r>
      <w:proofErr w:type="spellEnd"/>
      <w:r w:rsidRPr="00225D4D">
        <w:t xml:space="preserve"> til å </w:t>
      </w:r>
      <w:proofErr w:type="spellStart"/>
      <w:r w:rsidRPr="00225D4D">
        <w:t>gjere</w:t>
      </w:r>
      <w:proofErr w:type="spellEnd"/>
      <w:r w:rsidRPr="00225D4D">
        <w:t xml:space="preserve"> bruk av positiv særbehandling ved tilsettinga. Regjeringa </w:t>
      </w:r>
      <w:proofErr w:type="spellStart"/>
      <w:r w:rsidRPr="00225D4D">
        <w:t>oppfordrar</w:t>
      </w:r>
      <w:proofErr w:type="spellEnd"/>
      <w:r w:rsidRPr="00225D4D">
        <w:t xml:space="preserve"> </w:t>
      </w:r>
      <w:proofErr w:type="spellStart"/>
      <w:r w:rsidRPr="00225D4D">
        <w:t>statlege</w:t>
      </w:r>
      <w:proofErr w:type="spellEnd"/>
      <w:r w:rsidRPr="00225D4D">
        <w:t xml:space="preserve"> </w:t>
      </w:r>
      <w:proofErr w:type="spellStart"/>
      <w:r w:rsidRPr="00225D4D">
        <w:t>verksemder</w:t>
      </w:r>
      <w:proofErr w:type="spellEnd"/>
      <w:r w:rsidRPr="00225D4D">
        <w:t xml:space="preserve"> til å gå kritisk gjennom kva for kvalifikasjonskrav som er nødvendige for </w:t>
      </w:r>
      <w:proofErr w:type="spellStart"/>
      <w:r w:rsidRPr="00225D4D">
        <w:t>dei</w:t>
      </w:r>
      <w:proofErr w:type="spellEnd"/>
      <w:r w:rsidRPr="00225D4D">
        <w:t xml:space="preserve"> enkelte </w:t>
      </w:r>
      <w:proofErr w:type="spellStart"/>
      <w:r w:rsidRPr="00225D4D">
        <w:t>stillingane</w:t>
      </w:r>
      <w:proofErr w:type="spellEnd"/>
      <w:r w:rsidRPr="00225D4D">
        <w:t xml:space="preserve">, og til </w:t>
      </w:r>
      <w:proofErr w:type="spellStart"/>
      <w:r w:rsidRPr="00225D4D">
        <w:t>ikkje</w:t>
      </w:r>
      <w:proofErr w:type="spellEnd"/>
      <w:r w:rsidRPr="00225D4D">
        <w:t xml:space="preserve"> å stille </w:t>
      </w:r>
      <w:proofErr w:type="spellStart"/>
      <w:r w:rsidRPr="00225D4D">
        <w:t>høgare</w:t>
      </w:r>
      <w:proofErr w:type="spellEnd"/>
      <w:r w:rsidRPr="00225D4D">
        <w:t xml:space="preserve"> krav enn nødvendig. Unødvendig høge krav kan verke </w:t>
      </w:r>
      <w:proofErr w:type="spellStart"/>
      <w:r w:rsidRPr="00225D4D">
        <w:t>ekskluderande</w:t>
      </w:r>
      <w:proofErr w:type="spellEnd"/>
      <w:r w:rsidRPr="00225D4D">
        <w:t xml:space="preserve">, og vil </w:t>
      </w:r>
      <w:proofErr w:type="spellStart"/>
      <w:r w:rsidRPr="00225D4D">
        <w:t>særleg</w:t>
      </w:r>
      <w:proofErr w:type="spellEnd"/>
      <w:r w:rsidRPr="00225D4D">
        <w:t xml:space="preserve"> kunne ramme </w:t>
      </w:r>
      <w:proofErr w:type="spellStart"/>
      <w:r w:rsidRPr="00225D4D">
        <w:t>personar</w:t>
      </w:r>
      <w:proofErr w:type="spellEnd"/>
      <w:r w:rsidRPr="00225D4D">
        <w:t xml:space="preserve"> med til dømes funksjonsnedsetting, som kan støyte på </w:t>
      </w:r>
      <w:proofErr w:type="spellStart"/>
      <w:r w:rsidRPr="00225D4D">
        <w:t>særskilde</w:t>
      </w:r>
      <w:proofErr w:type="spellEnd"/>
      <w:r w:rsidRPr="00225D4D">
        <w:t xml:space="preserve"> </w:t>
      </w:r>
      <w:proofErr w:type="spellStart"/>
      <w:r w:rsidRPr="00225D4D">
        <w:t>barrierar</w:t>
      </w:r>
      <w:proofErr w:type="spellEnd"/>
      <w:r w:rsidRPr="00225D4D">
        <w:t xml:space="preserve"> i arbeidslivet og i </w:t>
      </w:r>
      <w:proofErr w:type="spellStart"/>
      <w:r w:rsidRPr="00225D4D">
        <w:t>rekrutteringsprosessar</w:t>
      </w:r>
      <w:proofErr w:type="spellEnd"/>
      <w:r w:rsidRPr="00225D4D">
        <w:t xml:space="preserve">. Oppfordringa til </w:t>
      </w:r>
      <w:proofErr w:type="spellStart"/>
      <w:r w:rsidRPr="00225D4D">
        <w:t>statlege</w:t>
      </w:r>
      <w:proofErr w:type="spellEnd"/>
      <w:r w:rsidRPr="00225D4D">
        <w:t xml:space="preserve"> </w:t>
      </w:r>
      <w:proofErr w:type="spellStart"/>
      <w:r w:rsidRPr="00225D4D">
        <w:t>verksemder</w:t>
      </w:r>
      <w:proofErr w:type="spellEnd"/>
      <w:r w:rsidRPr="00225D4D">
        <w:t xml:space="preserve"> om å vurdere kritisk kva for kvalifikasjonskrav som er nødvendig for kvar enkelt stilling blei formidla til </w:t>
      </w:r>
      <w:proofErr w:type="spellStart"/>
      <w:r w:rsidRPr="00225D4D">
        <w:t>dei</w:t>
      </w:r>
      <w:proofErr w:type="spellEnd"/>
      <w:r w:rsidRPr="00225D4D">
        <w:t xml:space="preserve"> </w:t>
      </w:r>
      <w:proofErr w:type="spellStart"/>
      <w:r w:rsidRPr="00225D4D">
        <w:t>statlege</w:t>
      </w:r>
      <w:proofErr w:type="spellEnd"/>
      <w:r w:rsidRPr="00225D4D">
        <w:t xml:space="preserve"> </w:t>
      </w:r>
      <w:proofErr w:type="spellStart"/>
      <w:r w:rsidRPr="00225D4D">
        <w:t>verksemdene</w:t>
      </w:r>
      <w:proofErr w:type="spellEnd"/>
      <w:r w:rsidRPr="00225D4D">
        <w:t xml:space="preserve"> under </w:t>
      </w:r>
      <w:proofErr w:type="spellStart"/>
      <w:r w:rsidRPr="00225D4D">
        <w:t>arbeidsgivarkonferansen</w:t>
      </w:r>
      <w:proofErr w:type="spellEnd"/>
      <w:r w:rsidRPr="00225D4D">
        <w:t xml:space="preserve"> i staten i september 2025. Alle </w:t>
      </w:r>
      <w:proofErr w:type="spellStart"/>
      <w:r w:rsidRPr="00225D4D">
        <w:t>statlege</w:t>
      </w:r>
      <w:proofErr w:type="spellEnd"/>
      <w:r w:rsidRPr="00225D4D">
        <w:t xml:space="preserve"> </w:t>
      </w:r>
      <w:proofErr w:type="spellStart"/>
      <w:r w:rsidRPr="00225D4D">
        <w:t>verksemder</w:t>
      </w:r>
      <w:proofErr w:type="spellEnd"/>
      <w:r w:rsidRPr="00225D4D">
        <w:t xml:space="preserve"> var invitert til konferansen. Digitaliserings- og forvaltningsdepartementet vil </w:t>
      </w:r>
      <w:proofErr w:type="spellStart"/>
      <w:r w:rsidRPr="00225D4D">
        <w:t>halde</w:t>
      </w:r>
      <w:proofErr w:type="spellEnd"/>
      <w:r w:rsidRPr="00225D4D">
        <w:t xml:space="preserve"> fram med å formidle dette i ulike forum framover, som i ulike seminar og møter med </w:t>
      </w:r>
      <w:proofErr w:type="spellStart"/>
      <w:r w:rsidRPr="00225D4D">
        <w:t>statlege</w:t>
      </w:r>
      <w:proofErr w:type="spellEnd"/>
      <w:r w:rsidRPr="00225D4D">
        <w:t xml:space="preserve"> </w:t>
      </w:r>
      <w:proofErr w:type="spellStart"/>
      <w:r w:rsidRPr="00225D4D">
        <w:t>verksemder</w:t>
      </w:r>
      <w:proofErr w:type="spellEnd"/>
      <w:r w:rsidRPr="00225D4D">
        <w:t>.</w:t>
      </w:r>
    </w:p>
    <w:p w14:paraId="6E1C90E4" w14:textId="77777777" w:rsidR="00D60186" w:rsidRPr="00225D4D" w:rsidRDefault="00D60186" w:rsidP="00225D4D">
      <w:proofErr w:type="spellStart"/>
      <w:r w:rsidRPr="00225D4D">
        <w:t>Traineeprogrammet</w:t>
      </w:r>
      <w:proofErr w:type="spellEnd"/>
      <w:r w:rsidRPr="00225D4D">
        <w:t xml:space="preserve"> i staten for </w:t>
      </w:r>
      <w:proofErr w:type="spellStart"/>
      <w:r w:rsidRPr="00225D4D">
        <w:t>personar</w:t>
      </w:r>
      <w:proofErr w:type="spellEnd"/>
      <w:r w:rsidRPr="00225D4D">
        <w:t xml:space="preserve"> med </w:t>
      </w:r>
      <w:proofErr w:type="spellStart"/>
      <w:r w:rsidRPr="00225D4D">
        <w:t>høgare</w:t>
      </w:r>
      <w:proofErr w:type="spellEnd"/>
      <w:r w:rsidRPr="00225D4D">
        <w:t xml:space="preserve"> utdanning og nedsett funksjonsevne eller hol i CV-en er ei av </w:t>
      </w:r>
      <w:proofErr w:type="spellStart"/>
      <w:r w:rsidRPr="00225D4D">
        <w:t>satsingane</w:t>
      </w:r>
      <w:proofErr w:type="spellEnd"/>
      <w:r w:rsidRPr="00225D4D">
        <w:t xml:space="preserve"> til staten på inkludering. </w:t>
      </w:r>
      <w:proofErr w:type="spellStart"/>
      <w:r w:rsidRPr="00225D4D">
        <w:t>Traineeprogrammet</w:t>
      </w:r>
      <w:proofErr w:type="spellEnd"/>
      <w:r w:rsidRPr="00225D4D">
        <w:t xml:space="preserve"> i staten fungerer slik at ordinære </w:t>
      </w:r>
      <w:proofErr w:type="spellStart"/>
      <w:r w:rsidRPr="00225D4D">
        <w:t>stillingar</w:t>
      </w:r>
      <w:proofErr w:type="spellEnd"/>
      <w:r w:rsidRPr="00225D4D">
        <w:t xml:space="preserve"> blir lyste ut som del av programmet, og </w:t>
      </w:r>
      <w:proofErr w:type="spellStart"/>
      <w:r w:rsidRPr="00225D4D">
        <w:t>berre</w:t>
      </w:r>
      <w:proofErr w:type="spellEnd"/>
      <w:r w:rsidRPr="00225D4D">
        <w:t xml:space="preserve"> </w:t>
      </w:r>
      <w:proofErr w:type="spellStart"/>
      <w:r w:rsidRPr="00225D4D">
        <w:t>personar</w:t>
      </w:r>
      <w:proofErr w:type="spellEnd"/>
      <w:r w:rsidRPr="00225D4D">
        <w:t xml:space="preserve"> med </w:t>
      </w:r>
      <w:proofErr w:type="spellStart"/>
      <w:r w:rsidRPr="00225D4D">
        <w:t>høgare</w:t>
      </w:r>
      <w:proofErr w:type="spellEnd"/>
      <w:r w:rsidRPr="00225D4D">
        <w:t xml:space="preserve"> utdanning og funksjonsnedsetting eller hol i CV-en kan </w:t>
      </w:r>
      <w:proofErr w:type="spellStart"/>
      <w:r w:rsidRPr="00225D4D">
        <w:t>søkje</w:t>
      </w:r>
      <w:proofErr w:type="spellEnd"/>
      <w:r w:rsidRPr="00225D4D">
        <w:t xml:space="preserve">. </w:t>
      </w:r>
      <w:proofErr w:type="spellStart"/>
      <w:r w:rsidRPr="00225D4D">
        <w:t>Stillingane</w:t>
      </w:r>
      <w:proofErr w:type="spellEnd"/>
      <w:r w:rsidRPr="00225D4D">
        <w:t xml:space="preserve"> i programmet er midlertidige </w:t>
      </w:r>
      <w:proofErr w:type="spellStart"/>
      <w:r w:rsidRPr="00225D4D">
        <w:t>stillingar</w:t>
      </w:r>
      <w:proofErr w:type="spellEnd"/>
      <w:r w:rsidRPr="00225D4D">
        <w:t xml:space="preserve">, men det er </w:t>
      </w:r>
      <w:proofErr w:type="spellStart"/>
      <w:r w:rsidRPr="00225D4D">
        <w:t>moglegheit</w:t>
      </w:r>
      <w:proofErr w:type="spellEnd"/>
      <w:r w:rsidRPr="00225D4D">
        <w:t xml:space="preserve"> for fast tilsetting i </w:t>
      </w:r>
      <w:proofErr w:type="spellStart"/>
      <w:r w:rsidRPr="00225D4D">
        <w:t>verksemda</w:t>
      </w:r>
      <w:proofErr w:type="spellEnd"/>
      <w:r w:rsidRPr="00225D4D">
        <w:t xml:space="preserve"> </w:t>
      </w:r>
      <w:proofErr w:type="spellStart"/>
      <w:r w:rsidRPr="00225D4D">
        <w:t>utan</w:t>
      </w:r>
      <w:proofErr w:type="spellEnd"/>
      <w:r w:rsidRPr="00225D4D">
        <w:t xml:space="preserve"> at stillinga må </w:t>
      </w:r>
      <w:proofErr w:type="spellStart"/>
      <w:r w:rsidRPr="00225D4D">
        <w:t>lysast</w:t>
      </w:r>
      <w:proofErr w:type="spellEnd"/>
      <w:r w:rsidRPr="00225D4D">
        <w:t xml:space="preserve"> ut dersom </w:t>
      </w:r>
      <w:proofErr w:type="spellStart"/>
      <w:r w:rsidRPr="00225D4D">
        <w:t>vedkommande</w:t>
      </w:r>
      <w:proofErr w:type="spellEnd"/>
      <w:r w:rsidRPr="00225D4D">
        <w:t xml:space="preserve"> er kvalifisert for arbeidet.</w:t>
      </w:r>
    </w:p>
    <w:p w14:paraId="58EF6740" w14:textId="77777777" w:rsidR="00D60186" w:rsidRPr="00225D4D" w:rsidRDefault="00D60186" w:rsidP="00225D4D">
      <w:r w:rsidRPr="00225D4D">
        <w:t xml:space="preserve">Digitaliserings- og forvaltningsdepartementet har hatt dialog med KS om </w:t>
      </w:r>
      <w:proofErr w:type="spellStart"/>
      <w:r w:rsidRPr="00225D4D">
        <w:t>dei</w:t>
      </w:r>
      <w:proofErr w:type="spellEnd"/>
      <w:r w:rsidRPr="00225D4D">
        <w:t xml:space="preserve"> ulike </w:t>
      </w:r>
      <w:proofErr w:type="spellStart"/>
      <w:r w:rsidRPr="00225D4D">
        <w:t>verkemidla</w:t>
      </w:r>
      <w:proofErr w:type="spellEnd"/>
      <w:r w:rsidRPr="00225D4D">
        <w:t xml:space="preserve"> for inkludering og </w:t>
      </w:r>
      <w:proofErr w:type="spellStart"/>
      <w:r w:rsidRPr="00225D4D">
        <w:t>erfaringar</w:t>
      </w:r>
      <w:proofErr w:type="spellEnd"/>
      <w:r w:rsidRPr="00225D4D">
        <w:t xml:space="preserve"> i </w:t>
      </w:r>
      <w:proofErr w:type="spellStart"/>
      <w:r w:rsidRPr="00225D4D">
        <w:t>statleg</w:t>
      </w:r>
      <w:proofErr w:type="spellEnd"/>
      <w:r w:rsidRPr="00225D4D">
        <w:t xml:space="preserve"> og kommunal sektor. Denne dialogen vil </w:t>
      </w:r>
      <w:proofErr w:type="spellStart"/>
      <w:r w:rsidRPr="00225D4D">
        <w:t>halde</w:t>
      </w:r>
      <w:proofErr w:type="spellEnd"/>
      <w:r w:rsidRPr="00225D4D">
        <w:t xml:space="preserve"> fram i regjeringa sitt </w:t>
      </w:r>
      <w:proofErr w:type="spellStart"/>
      <w:r w:rsidRPr="00225D4D">
        <w:t>vidare</w:t>
      </w:r>
      <w:proofErr w:type="spellEnd"/>
      <w:r w:rsidRPr="00225D4D">
        <w:t xml:space="preserve"> arbeid for at </w:t>
      </w:r>
      <w:proofErr w:type="spellStart"/>
      <w:r w:rsidRPr="00225D4D">
        <w:t>fleire</w:t>
      </w:r>
      <w:proofErr w:type="spellEnd"/>
      <w:r w:rsidRPr="00225D4D">
        <w:t xml:space="preserve"> </w:t>
      </w:r>
      <w:proofErr w:type="spellStart"/>
      <w:r w:rsidRPr="00225D4D">
        <w:t>personar</w:t>
      </w:r>
      <w:proofErr w:type="spellEnd"/>
      <w:r w:rsidRPr="00225D4D">
        <w:t xml:space="preserve"> med nedsett funksjonsevne skal bli tilsett i staten.</w:t>
      </w:r>
    </w:p>
    <w:p w14:paraId="7358D5CB"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320EBAE4" w14:textId="77777777" w:rsidR="00D60186" w:rsidRPr="00225D4D" w:rsidRDefault="00D60186" w:rsidP="00225D4D">
      <w:pPr>
        <w:pStyle w:val="avsnitt-tittel"/>
      </w:pPr>
      <w:r w:rsidRPr="00225D4D">
        <w:t>Prioritere å forsterke infrastruktur og sikre redundans</w:t>
      </w:r>
    </w:p>
    <w:p w14:paraId="7A249743" w14:textId="77777777" w:rsidR="00D60186" w:rsidRPr="00225D4D" w:rsidRDefault="00D60186" w:rsidP="00225D4D">
      <w:pPr>
        <w:pStyle w:val="avsnitt-undertittel"/>
      </w:pPr>
      <w:r w:rsidRPr="00225D4D">
        <w:t>Vedtak nr. 639, 6. mai 2025</w:t>
      </w:r>
    </w:p>
    <w:p w14:paraId="68CBEEC2" w14:textId="77777777" w:rsidR="00D60186" w:rsidRPr="00225D4D" w:rsidRDefault="00D60186" w:rsidP="00225D4D">
      <w:pPr>
        <w:pStyle w:val="blokksit"/>
        <w:rPr>
          <w:rStyle w:val="kursiv"/>
        </w:rPr>
      </w:pPr>
      <w:r w:rsidRPr="00225D4D">
        <w:rPr>
          <w:rStyle w:val="kursiv"/>
        </w:rPr>
        <w:t xml:space="preserve">«Stortinget ber regjeringen prioritere å forsterke infrastruktur og sikre redundans i en form og størrelsesorden som følger av digitaliseringstakten, samfunnets avhengighet av </w:t>
      </w:r>
      <w:proofErr w:type="spellStart"/>
      <w:r w:rsidRPr="00225D4D">
        <w:rPr>
          <w:rStyle w:val="kursiv"/>
        </w:rPr>
        <w:t>ekom</w:t>
      </w:r>
      <w:proofErr w:type="spellEnd"/>
      <w:r w:rsidRPr="00225D4D">
        <w:rPr>
          <w:rStyle w:val="kursiv"/>
        </w:rPr>
        <w:t xml:space="preserve"> og risiko- og trusselbildet i samfunnet.»</w:t>
      </w:r>
    </w:p>
    <w:p w14:paraId="72936768" w14:textId="77777777" w:rsidR="00D60186" w:rsidRPr="00225D4D" w:rsidRDefault="00D60186" w:rsidP="00225D4D">
      <w:r w:rsidRPr="00225D4D">
        <w:t xml:space="preserve">Dokumenta som ligg til grunn for vedtaket, er Meld. St. 9 (2024–2025) </w:t>
      </w:r>
      <w:r w:rsidRPr="00225D4D">
        <w:rPr>
          <w:rStyle w:val="kursiv"/>
        </w:rPr>
        <w:t>Totalberedskapsmeldingen</w:t>
      </w:r>
      <w:r w:rsidRPr="00225D4D">
        <w:t xml:space="preserve"> og </w:t>
      </w:r>
      <w:proofErr w:type="spellStart"/>
      <w:r w:rsidRPr="00225D4D">
        <w:t>Innst</w:t>
      </w:r>
      <w:proofErr w:type="spellEnd"/>
      <w:r w:rsidRPr="00225D4D">
        <w:t>. 242 S (2024–2025).</w:t>
      </w:r>
    </w:p>
    <w:p w14:paraId="1BF3064E" w14:textId="77777777" w:rsidR="00D60186" w:rsidRPr="00225D4D" w:rsidRDefault="00D60186" w:rsidP="00225D4D">
      <w:r w:rsidRPr="00225D4D">
        <w:t xml:space="preserve">Gjennom å få på plass den nye </w:t>
      </w:r>
      <w:proofErr w:type="spellStart"/>
      <w:r w:rsidRPr="00225D4D">
        <w:t>ekomlova</w:t>
      </w:r>
      <w:proofErr w:type="spellEnd"/>
      <w:r w:rsidRPr="00225D4D">
        <w:t xml:space="preserve"> med forskrifter som tredde i kraft i starten av 2025, stiller regjeringa </w:t>
      </w:r>
      <w:proofErr w:type="spellStart"/>
      <w:r w:rsidRPr="00225D4D">
        <w:t>strengare</w:t>
      </w:r>
      <w:proofErr w:type="spellEnd"/>
      <w:r w:rsidRPr="00225D4D">
        <w:t xml:space="preserve"> krav til </w:t>
      </w:r>
      <w:proofErr w:type="spellStart"/>
      <w:r w:rsidRPr="00225D4D">
        <w:t>tilbydarane</w:t>
      </w:r>
      <w:proofErr w:type="spellEnd"/>
      <w:r w:rsidRPr="00225D4D">
        <w:t xml:space="preserve"> til </w:t>
      </w:r>
      <w:proofErr w:type="spellStart"/>
      <w:r w:rsidRPr="00225D4D">
        <w:t>sikkerheit</w:t>
      </w:r>
      <w:proofErr w:type="spellEnd"/>
      <w:r w:rsidRPr="00225D4D">
        <w:t xml:space="preserve"> og beredskap enn </w:t>
      </w:r>
      <w:proofErr w:type="spellStart"/>
      <w:r w:rsidRPr="00225D4D">
        <w:t>tidlegare</w:t>
      </w:r>
      <w:proofErr w:type="spellEnd"/>
      <w:r w:rsidRPr="00225D4D">
        <w:t xml:space="preserve">. </w:t>
      </w:r>
      <w:proofErr w:type="spellStart"/>
      <w:r w:rsidRPr="00225D4D">
        <w:t>Ekomforskrifta</w:t>
      </w:r>
      <w:proofErr w:type="spellEnd"/>
      <w:r w:rsidRPr="00225D4D">
        <w:t xml:space="preserve"> stiller mellom anna krav til styringssystem for </w:t>
      </w:r>
      <w:proofErr w:type="spellStart"/>
      <w:r w:rsidRPr="00225D4D">
        <w:t>sikkerheit</w:t>
      </w:r>
      <w:proofErr w:type="spellEnd"/>
      <w:r w:rsidRPr="00225D4D">
        <w:t xml:space="preserve">, risiko og </w:t>
      </w:r>
      <w:proofErr w:type="spellStart"/>
      <w:r w:rsidRPr="00225D4D">
        <w:t>sårbarheitsvurderingar</w:t>
      </w:r>
      <w:proofErr w:type="spellEnd"/>
      <w:r w:rsidRPr="00225D4D">
        <w:t xml:space="preserve">, grunnsikring og skadeavgrensingstiltak, sikringsplanar, </w:t>
      </w:r>
      <w:proofErr w:type="spellStart"/>
      <w:r w:rsidRPr="00225D4D">
        <w:t>beredskapsplanar</w:t>
      </w:r>
      <w:proofErr w:type="spellEnd"/>
      <w:r w:rsidRPr="00225D4D">
        <w:t xml:space="preserve"> og </w:t>
      </w:r>
      <w:proofErr w:type="spellStart"/>
      <w:r w:rsidRPr="00225D4D">
        <w:t>øvingar</w:t>
      </w:r>
      <w:proofErr w:type="spellEnd"/>
      <w:r w:rsidRPr="00225D4D">
        <w:t xml:space="preserve">. </w:t>
      </w:r>
      <w:proofErr w:type="spellStart"/>
      <w:r w:rsidRPr="00225D4D">
        <w:t>Vidare</w:t>
      </w:r>
      <w:proofErr w:type="spellEnd"/>
      <w:r w:rsidRPr="00225D4D">
        <w:t xml:space="preserve"> er ei rekke selskap i sektoren underlagt </w:t>
      </w:r>
      <w:proofErr w:type="spellStart"/>
      <w:r w:rsidRPr="00225D4D">
        <w:t>sikkerheitslova</w:t>
      </w:r>
      <w:proofErr w:type="spellEnd"/>
      <w:r w:rsidRPr="00225D4D">
        <w:t xml:space="preserve"> og </w:t>
      </w:r>
      <w:proofErr w:type="spellStart"/>
      <w:r w:rsidRPr="00225D4D">
        <w:t>ytterlegare</w:t>
      </w:r>
      <w:proofErr w:type="spellEnd"/>
      <w:r w:rsidRPr="00225D4D">
        <w:t xml:space="preserve"> </w:t>
      </w:r>
      <w:proofErr w:type="spellStart"/>
      <w:r w:rsidRPr="00225D4D">
        <w:t>sikkerheitskrav</w:t>
      </w:r>
      <w:proofErr w:type="spellEnd"/>
      <w:r w:rsidRPr="00225D4D">
        <w:t xml:space="preserve">. Dette rammeverket er viktig for å bidra til å oppnå </w:t>
      </w:r>
      <w:proofErr w:type="spellStart"/>
      <w:r w:rsidRPr="00225D4D">
        <w:t>føremålet</w:t>
      </w:r>
      <w:proofErr w:type="spellEnd"/>
      <w:r w:rsidRPr="00225D4D">
        <w:t xml:space="preserve"> med oppmodingsvedtaket, men det er behov for </w:t>
      </w:r>
      <w:proofErr w:type="spellStart"/>
      <w:r w:rsidRPr="00225D4D">
        <w:t>auka</w:t>
      </w:r>
      <w:proofErr w:type="spellEnd"/>
      <w:r w:rsidRPr="00225D4D">
        <w:t xml:space="preserve"> innsats. Regjeringa la i september 2025 derfor fram </w:t>
      </w:r>
      <w:proofErr w:type="spellStart"/>
      <w:r w:rsidRPr="00225D4D">
        <w:t>ein</w:t>
      </w:r>
      <w:proofErr w:type="spellEnd"/>
      <w:r w:rsidRPr="00225D4D">
        <w:t xml:space="preserve"> nasjonal </w:t>
      </w:r>
      <w:proofErr w:type="spellStart"/>
      <w:r w:rsidRPr="00225D4D">
        <w:t>sikkerheitsplan</w:t>
      </w:r>
      <w:proofErr w:type="spellEnd"/>
      <w:r w:rsidRPr="00225D4D">
        <w:t xml:space="preserve"> for digital infrastruktur. </w:t>
      </w:r>
      <w:proofErr w:type="spellStart"/>
      <w:r w:rsidRPr="00225D4D">
        <w:t>Sikkerheitsplanen</w:t>
      </w:r>
      <w:proofErr w:type="spellEnd"/>
      <w:r w:rsidRPr="00225D4D">
        <w:t xml:space="preserve"> følgjer opp den nasjonale </w:t>
      </w:r>
      <w:proofErr w:type="spellStart"/>
      <w:r w:rsidRPr="00225D4D">
        <w:t>sikkerheitsstrategien</w:t>
      </w:r>
      <w:proofErr w:type="spellEnd"/>
      <w:r w:rsidRPr="00225D4D">
        <w:t xml:space="preserve"> og totalberedskapsmeldinga, og er nødvendig som </w:t>
      </w:r>
      <w:proofErr w:type="spellStart"/>
      <w:r w:rsidRPr="00225D4D">
        <w:t>følgje</w:t>
      </w:r>
      <w:proofErr w:type="spellEnd"/>
      <w:r w:rsidRPr="00225D4D">
        <w:t xml:space="preserve"> av digitaliseringa si </w:t>
      </w:r>
      <w:proofErr w:type="spellStart"/>
      <w:r w:rsidRPr="00225D4D">
        <w:t>betyding</w:t>
      </w:r>
      <w:proofErr w:type="spellEnd"/>
      <w:r w:rsidRPr="00225D4D">
        <w:t xml:space="preserve"> i det norske samfunnet og risiko- og </w:t>
      </w:r>
      <w:proofErr w:type="spellStart"/>
      <w:r w:rsidRPr="00225D4D">
        <w:t>trusselbiletet</w:t>
      </w:r>
      <w:proofErr w:type="spellEnd"/>
      <w:r w:rsidRPr="00225D4D">
        <w:t xml:space="preserve">. Gjennom </w:t>
      </w:r>
      <w:proofErr w:type="spellStart"/>
      <w:r w:rsidRPr="00225D4D">
        <w:t>sikkerheitsplanen</w:t>
      </w:r>
      <w:proofErr w:type="spellEnd"/>
      <w:r w:rsidRPr="00225D4D">
        <w:t xml:space="preserve"> og ei foreslått dobling av løyvinga til </w:t>
      </w:r>
      <w:proofErr w:type="spellStart"/>
      <w:r w:rsidRPr="00225D4D">
        <w:t>telesikkerheit</w:t>
      </w:r>
      <w:proofErr w:type="spellEnd"/>
      <w:r w:rsidRPr="00225D4D">
        <w:t xml:space="preserve"> og -beredskap, prioriterer regjeringa å </w:t>
      </w:r>
      <w:proofErr w:type="spellStart"/>
      <w:r w:rsidRPr="00225D4D">
        <w:t>styrkje</w:t>
      </w:r>
      <w:proofErr w:type="spellEnd"/>
      <w:r w:rsidRPr="00225D4D">
        <w:t xml:space="preserve"> den digitale infrastrukturen gjennom ei lang rekke tiltak. Takta på tiltak som fungerer bra, mellom anna programmet for forsterka </w:t>
      </w:r>
      <w:proofErr w:type="spellStart"/>
      <w:r w:rsidRPr="00225D4D">
        <w:t>ekom</w:t>
      </w:r>
      <w:proofErr w:type="spellEnd"/>
      <w:r w:rsidRPr="00225D4D">
        <w:t xml:space="preserve"> og </w:t>
      </w:r>
      <w:proofErr w:type="spellStart"/>
      <w:r w:rsidRPr="00225D4D">
        <w:t>dei</w:t>
      </w:r>
      <w:proofErr w:type="spellEnd"/>
      <w:r w:rsidRPr="00225D4D">
        <w:t xml:space="preserve"> </w:t>
      </w:r>
      <w:proofErr w:type="spellStart"/>
      <w:r w:rsidRPr="00225D4D">
        <w:t>regionvise</w:t>
      </w:r>
      <w:proofErr w:type="spellEnd"/>
      <w:r w:rsidRPr="00225D4D">
        <w:t xml:space="preserve"> risiko- og </w:t>
      </w:r>
      <w:proofErr w:type="spellStart"/>
      <w:r w:rsidRPr="00225D4D">
        <w:t>sårbarheitsanalysane</w:t>
      </w:r>
      <w:proofErr w:type="spellEnd"/>
      <w:r w:rsidRPr="00225D4D">
        <w:t xml:space="preserve"> med </w:t>
      </w:r>
      <w:proofErr w:type="spellStart"/>
      <w:r w:rsidRPr="00225D4D">
        <w:t>tilhøyrande</w:t>
      </w:r>
      <w:proofErr w:type="spellEnd"/>
      <w:r w:rsidRPr="00225D4D">
        <w:t xml:space="preserve"> tiltak, blir </w:t>
      </w:r>
      <w:proofErr w:type="spellStart"/>
      <w:r w:rsidRPr="00225D4D">
        <w:t>auka</w:t>
      </w:r>
      <w:proofErr w:type="spellEnd"/>
      <w:r w:rsidRPr="00225D4D">
        <w:t xml:space="preserve">. Dette </w:t>
      </w:r>
      <w:proofErr w:type="spellStart"/>
      <w:r w:rsidRPr="00225D4D">
        <w:t>inneber</w:t>
      </w:r>
      <w:proofErr w:type="spellEnd"/>
      <w:r w:rsidRPr="00225D4D">
        <w:t xml:space="preserve"> at om lag 100 </w:t>
      </w:r>
      <w:proofErr w:type="spellStart"/>
      <w:r w:rsidRPr="00225D4D">
        <w:t>kommunar</w:t>
      </w:r>
      <w:proofErr w:type="spellEnd"/>
      <w:r w:rsidRPr="00225D4D">
        <w:t xml:space="preserve"> etter planen får forsterka </w:t>
      </w:r>
      <w:proofErr w:type="spellStart"/>
      <w:r w:rsidRPr="00225D4D">
        <w:t>ekom</w:t>
      </w:r>
      <w:proofErr w:type="spellEnd"/>
      <w:r w:rsidRPr="00225D4D">
        <w:t xml:space="preserve"> </w:t>
      </w:r>
      <w:proofErr w:type="spellStart"/>
      <w:r w:rsidRPr="00225D4D">
        <w:t>innan</w:t>
      </w:r>
      <w:proofErr w:type="spellEnd"/>
      <w:r w:rsidRPr="00225D4D">
        <w:t xml:space="preserve"> 2030 og at det kan bli gjennomført risiko- og </w:t>
      </w:r>
      <w:proofErr w:type="spellStart"/>
      <w:r w:rsidRPr="00225D4D">
        <w:t>sårbarheitsanalysar</w:t>
      </w:r>
      <w:proofErr w:type="spellEnd"/>
      <w:r w:rsidRPr="00225D4D">
        <w:t xml:space="preserve"> i heile landet. I tillegg blir det sett i gang ei lang rekke nye tiltak, mellom anna </w:t>
      </w:r>
      <w:proofErr w:type="spellStart"/>
      <w:r w:rsidRPr="00225D4D">
        <w:t>ytterlegare</w:t>
      </w:r>
      <w:proofErr w:type="spellEnd"/>
      <w:r w:rsidRPr="00225D4D">
        <w:t xml:space="preserve"> </w:t>
      </w:r>
      <w:proofErr w:type="spellStart"/>
      <w:r w:rsidRPr="00225D4D">
        <w:t>forsterkingar</w:t>
      </w:r>
      <w:proofErr w:type="spellEnd"/>
      <w:r w:rsidRPr="00225D4D">
        <w:t xml:space="preserve"> av </w:t>
      </w:r>
      <w:proofErr w:type="spellStart"/>
      <w:r w:rsidRPr="00225D4D">
        <w:t>reservestraum</w:t>
      </w:r>
      <w:proofErr w:type="spellEnd"/>
      <w:r w:rsidRPr="00225D4D">
        <w:t xml:space="preserve"> i mobilnetta og pilot for å gjenopprette mobildekning med transportable </w:t>
      </w:r>
      <w:proofErr w:type="spellStart"/>
      <w:r w:rsidRPr="00225D4D">
        <w:t>basestasjonar</w:t>
      </w:r>
      <w:proofErr w:type="spellEnd"/>
      <w:r w:rsidRPr="00225D4D">
        <w:t>.</w:t>
      </w:r>
    </w:p>
    <w:p w14:paraId="5545AC2F"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6CEB7CB6" w14:textId="77777777" w:rsidR="00D60186" w:rsidRPr="00225D4D" w:rsidRDefault="00D60186" w:rsidP="00225D4D">
      <w:pPr>
        <w:pStyle w:val="avsnitt-tittel"/>
      </w:pPr>
      <w:proofErr w:type="spellStart"/>
      <w:r w:rsidRPr="00225D4D">
        <w:t>Verksemder</w:t>
      </w:r>
      <w:proofErr w:type="spellEnd"/>
      <w:r w:rsidRPr="00225D4D">
        <w:t xml:space="preserve"> med ansvar for viktige og kritiske </w:t>
      </w:r>
      <w:proofErr w:type="spellStart"/>
      <w:r w:rsidRPr="00225D4D">
        <w:t>samfunnsfunksjonar</w:t>
      </w:r>
      <w:proofErr w:type="spellEnd"/>
    </w:p>
    <w:p w14:paraId="211C32B4" w14:textId="77777777" w:rsidR="00D60186" w:rsidRPr="00225D4D" w:rsidRDefault="00D60186" w:rsidP="00225D4D">
      <w:pPr>
        <w:pStyle w:val="avsnitt-undertittel"/>
      </w:pPr>
      <w:r w:rsidRPr="00225D4D">
        <w:t>Vedtak nr. 641, 6. mai 2025</w:t>
      </w:r>
    </w:p>
    <w:p w14:paraId="51D1DC1C" w14:textId="77777777" w:rsidR="00D60186" w:rsidRPr="00225D4D" w:rsidRDefault="00D60186" w:rsidP="00225D4D">
      <w:pPr>
        <w:pStyle w:val="blokksit"/>
        <w:rPr>
          <w:rStyle w:val="kursiv"/>
        </w:rPr>
      </w:pPr>
      <w:r w:rsidRPr="00225D4D">
        <w:rPr>
          <w:rStyle w:val="kursiv"/>
        </w:rPr>
        <w:t xml:space="preserve">«Stortinget ber regjeringen følge opp at virksomheter med ansvar for viktige og kritiske samfunnsfunksjoner inkluderer bortfall av </w:t>
      </w:r>
      <w:proofErr w:type="spellStart"/>
      <w:r w:rsidRPr="00225D4D">
        <w:rPr>
          <w:rStyle w:val="kursiv"/>
        </w:rPr>
        <w:t>ekom</w:t>
      </w:r>
      <w:proofErr w:type="spellEnd"/>
      <w:r w:rsidRPr="00225D4D">
        <w:rPr>
          <w:rStyle w:val="kursiv"/>
        </w:rPr>
        <w:t xml:space="preserve"> i sine risiko- og sårbarhetsanalyser og reduserer egen sårbarhet ved å anskaffe nødvendige reserveløsninger.»</w:t>
      </w:r>
    </w:p>
    <w:p w14:paraId="7AF60B44" w14:textId="77777777" w:rsidR="00D60186" w:rsidRPr="00225D4D" w:rsidRDefault="00D60186" w:rsidP="00225D4D">
      <w:r w:rsidRPr="00225D4D">
        <w:t xml:space="preserve">Dokumenta som ligg til grunn for vedtaket, er Meld. St. 9 (2024–2025) </w:t>
      </w:r>
      <w:r w:rsidRPr="00225D4D">
        <w:rPr>
          <w:rStyle w:val="kursiv"/>
        </w:rPr>
        <w:t>Totalberedskapsmeldingen</w:t>
      </w:r>
      <w:r w:rsidRPr="00225D4D">
        <w:t xml:space="preserve"> og </w:t>
      </w:r>
      <w:proofErr w:type="spellStart"/>
      <w:r w:rsidRPr="00225D4D">
        <w:t>Innst</w:t>
      </w:r>
      <w:proofErr w:type="spellEnd"/>
      <w:r w:rsidRPr="00225D4D">
        <w:t>. 242 S (2024–2025).</w:t>
      </w:r>
    </w:p>
    <w:p w14:paraId="4C1B1B86" w14:textId="77777777" w:rsidR="00D60186" w:rsidRPr="00225D4D" w:rsidRDefault="00D60186" w:rsidP="00225D4D">
      <w:proofErr w:type="spellStart"/>
      <w:r w:rsidRPr="00225D4D">
        <w:t>Verksemder</w:t>
      </w:r>
      <w:proofErr w:type="spellEnd"/>
      <w:r w:rsidRPr="00225D4D">
        <w:t xml:space="preserve"> med ansvar for viktige og kritiske </w:t>
      </w:r>
      <w:proofErr w:type="spellStart"/>
      <w:r w:rsidRPr="00225D4D">
        <w:t>samfunnsfunksjonar</w:t>
      </w:r>
      <w:proofErr w:type="spellEnd"/>
      <w:r w:rsidRPr="00225D4D">
        <w:t xml:space="preserve"> har </w:t>
      </w:r>
      <w:proofErr w:type="spellStart"/>
      <w:r w:rsidRPr="00225D4D">
        <w:t>eit</w:t>
      </w:r>
      <w:proofErr w:type="spellEnd"/>
      <w:r w:rsidRPr="00225D4D">
        <w:t xml:space="preserve"> ansvar for å vurdere risiko- og </w:t>
      </w:r>
      <w:proofErr w:type="spellStart"/>
      <w:r w:rsidRPr="00225D4D">
        <w:t>sårbarheiter</w:t>
      </w:r>
      <w:proofErr w:type="spellEnd"/>
      <w:r w:rsidRPr="00225D4D">
        <w:t xml:space="preserve"> og iverksette tiltak for styrka </w:t>
      </w:r>
      <w:proofErr w:type="spellStart"/>
      <w:r w:rsidRPr="00225D4D">
        <w:t>sikkerheit</w:t>
      </w:r>
      <w:proofErr w:type="spellEnd"/>
      <w:r w:rsidRPr="00225D4D">
        <w:t xml:space="preserve"> og beredskap. Bortfall av </w:t>
      </w:r>
      <w:proofErr w:type="spellStart"/>
      <w:r w:rsidRPr="00225D4D">
        <w:t>ekom</w:t>
      </w:r>
      <w:proofErr w:type="spellEnd"/>
      <w:r w:rsidRPr="00225D4D">
        <w:t xml:space="preserve"> er </w:t>
      </w:r>
      <w:proofErr w:type="spellStart"/>
      <w:r w:rsidRPr="00225D4D">
        <w:t>eit</w:t>
      </w:r>
      <w:proofErr w:type="spellEnd"/>
      <w:r w:rsidRPr="00225D4D">
        <w:t xml:space="preserve"> viktig område å inkludere i </w:t>
      </w:r>
      <w:proofErr w:type="spellStart"/>
      <w:r w:rsidRPr="00225D4D">
        <w:t>desse</w:t>
      </w:r>
      <w:proofErr w:type="spellEnd"/>
      <w:r w:rsidRPr="00225D4D">
        <w:t xml:space="preserve"> </w:t>
      </w:r>
      <w:proofErr w:type="spellStart"/>
      <w:r w:rsidRPr="00225D4D">
        <w:t>analysane</w:t>
      </w:r>
      <w:proofErr w:type="spellEnd"/>
      <w:r w:rsidRPr="00225D4D">
        <w:t>.</w:t>
      </w:r>
    </w:p>
    <w:p w14:paraId="46FBCC34" w14:textId="77777777" w:rsidR="00D60186" w:rsidRPr="00225D4D" w:rsidRDefault="00D60186" w:rsidP="00225D4D">
      <w:r w:rsidRPr="00225D4D">
        <w:t xml:space="preserve">Nasjonal kommunikasjonsmyndigheit gir råd til </w:t>
      </w:r>
      <w:proofErr w:type="spellStart"/>
      <w:r w:rsidRPr="00225D4D">
        <w:t>offentlege</w:t>
      </w:r>
      <w:proofErr w:type="spellEnd"/>
      <w:r w:rsidRPr="00225D4D">
        <w:t xml:space="preserve"> og private </w:t>
      </w:r>
      <w:proofErr w:type="spellStart"/>
      <w:r w:rsidRPr="00225D4D">
        <w:t>verksemder</w:t>
      </w:r>
      <w:proofErr w:type="spellEnd"/>
      <w:r w:rsidRPr="00225D4D">
        <w:t xml:space="preserve"> om digital </w:t>
      </w:r>
      <w:proofErr w:type="spellStart"/>
      <w:r w:rsidRPr="00225D4D">
        <w:t>sikkerheit</w:t>
      </w:r>
      <w:proofErr w:type="spellEnd"/>
      <w:r w:rsidRPr="00225D4D">
        <w:t xml:space="preserve"> og beredskap, mellom anna gjennom arbeidet med </w:t>
      </w:r>
      <w:proofErr w:type="spellStart"/>
      <w:r w:rsidRPr="00225D4D">
        <w:t>årlege</w:t>
      </w:r>
      <w:proofErr w:type="spellEnd"/>
      <w:r w:rsidRPr="00225D4D">
        <w:t xml:space="preserve"> risiko- og </w:t>
      </w:r>
      <w:proofErr w:type="spellStart"/>
      <w:r w:rsidRPr="00225D4D">
        <w:t>sårbarheitsvurderingar</w:t>
      </w:r>
      <w:proofErr w:type="spellEnd"/>
      <w:r w:rsidRPr="00225D4D">
        <w:t xml:space="preserve"> for </w:t>
      </w:r>
      <w:proofErr w:type="spellStart"/>
      <w:r w:rsidRPr="00225D4D">
        <w:t>ekomsektoren</w:t>
      </w:r>
      <w:proofErr w:type="spellEnd"/>
      <w:r w:rsidRPr="00225D4D">
        <w:t xml:space="preserve"> (</w:t>
      </w:r>
      <w:proofErr w:type="spellStart"/>
      <w:r w:rsidRPr="00225D4D">
        <w:t>EkomROS</w:t>
      </w:r>
      <w:proofErr w:type="spellEnd"/>
      <w:r w:rsidRPr="00225D4D">
        <w:t xml:space="preserve">). Målgruppa for </w:t>
      </w:r>
      <w:proofErr w:type="spellStart"/>
      <w:r w:rsidRPr="00225D4D">
        <w:t>EkomROS</w:t>
      </w:r>
      <w:proofErr w:type="spellEnd"/>
      <w:r w:rsidRPr="00225D4D">
        <w:t xml:space="preserve"> er </w:t>
      </w:r>
      <w:proofErr w:type="spellStart"/>
      <w:r w:rsidRPr="00225D4D">
        <w:t>myndigheiter</w:t>
      </w:r>
      <w:proofErr w:type="spellEnd"/>
      <w:r w:rsidRPr="00225D4D">
        <w:t xml:space="preserve">, </w:t>
      </w:r>
      <w:proofErr w:type="spellStart"/>
      <w:r w:rsidRPr="00225D4D">
        <w:t>aktørar</w:t>
      </w:r>
      <w:proofErr w:type="spellEnd"/>
      <w:r w:rsidRPr="00225D4D">
        <w:t xml:space="preserve"> i </w:t>
      </w:r>
      <w:proofErr w:type="spellStart"/>
      <w:r w:rsidRPr="00225D4D">
        <w:t>ekomsektoren</w:t>
      </w:r>
      <w:proofErr w:type="spellEnd"/>
      <w:r w:rsidRPr="00225D4D">
        <w:t xml:space="preserve"> og i </w:t>
      </w:r>
      <w:proofErr w:type="spellStart"/>
      <w:r w:rsidRPr="00225D4D">
        <w:t>sektorar</w:t>
      </w:r>
      <w:proofErr w:type="spellEnd"/>
      <w:r w:rsidRPr="00225D4D">
        <w:t xml:space="preserve"> der elektronisk kommunikasjon har </w:t>
      </w:r>
      <w:proofErr w:type="spellStart"/>
      <w:r w:rsidRPr="00225D4D">
        <w:t>betyding</w:t>
      </w:r>
      <w:proofErr w:type="spellEnd"/>
      <w:r w:rsidRPr="00225D4D">
        <w:t xml:space="preserve"> for eige </w:t>
      </w:r>
      <w:proofErr w:type="spellStart"/>
      <w:r w:rsidRPr="00225D4D">
        <w:t>sikkerheits</w:t>
      </w:r>
      <w:proofErr w:type="spellEnd"/>
      <w:r w:rsidRPr="00225D4D">
        <w:t xml:space="preserve">- og beredskapsarbeid, til dømes </w:t>
      </w:r>
      <w:proofErr w:type="spellStart"/>
      <w:r w:rsidRPr="00225D4D">
        <w:t>kommunar</w:t>
      </w:r>
      <w:proofErr w:type="spellEnd"/>
      <w:r w:rsidRPr="00225D4D">
        <w:t xml:space="preserve">, </w:t>
      </w:r>
      <w:proofErr w:type="spellStart"/>
      <w:r w:rsidRPr="00225D4D">
        <w:t>fylkeskommunar</w:t>
      </w:r>
      <w:proofErr w:type="spellEnd"/>
      <w:r w:rsidRPr="00225D4D">
        <w:t xml:space="preserve">, </w:t>
      </w:r>
      <w:proofErr w:type="spellStart"/>
      <w:r w:rsidRPr="00225D4D">
        <w:t>statsforvaltarane</w:t>
      </w:r>
      <w:proofErr w:type="spellEnd"/>
      <w:r w:rsidRPr="00225D4D">
        <w:t xml:space="preserve"> og private og </w:t>
      </w:r>
      <w:proofErr w:type="spellStart"/>
      <w:r w:rsidRPr="00225D4D">
        <w:t>offentlege</w:t>
      </w:r>
      <w:proofErr w:type="spellEnd"/>
      <w:r w:rsidRPr="00225D4D">
        <w:t xml:space="preserve"> </w:t>
      </w:r>
      <w:proofErr w:type="spellStart"/>
      <w:r w:rsidRPr="00225D4D">
        <w:t>verksemder</w:t>
      </w:r>
      <w:proofErr w:type="spellEnd"/>
      <w:r w:rsidRPr="00225D4D">
        <w:t>.</w:t>
      </w:r>
    </w:p>
    <w:p w14:paraId="44D5CFA4" w14:textId="77777777" w:rsidR="00D60186" w:rsidRPr="00225D4D" w:rsidRDefault="00D60186" w:rsidP="00225D4D">
      <w:r w:rsidRPr="00225D4D">
        <w:t xml:space="preserve">I den nye nasjonale </w:t>
      </w:r>
      <w:proofErr w:type="spellStart"/>
      <w:r w:rsidRPr="00225D4D">
        <w:t>sikkerheitsplanen</w:t>
      </w:r>
      <w:proofErr w:type="spellEnd"/>
      <w:r w:rsidRPr="00225D4D">
        <w:t xml:space="preserve"> for digital infrastruktur som blei lagt fram i september 2025 har regjeringa prioritert arbeidet med råd om digital eigenberedskap. Regjeringa vil </w:t>
      </w:r>
      <w:proofErr w:type="spellStart"/>
      <w:r w:rsidRPr="00225D4D">
        <w:t>styrkje</w:t>
      </w:r>
      <w:proofErr w:type="spellEnd"/>
      <w:r w:rsidRPr="00225D4D">
        <w:t xml:space="preserve"> arbeidet med digital eigenberedskap for å vareta kommunikasjon og samhandling ved </w:t>
      </w:r>
      <w:proofErr w:type="spellStart"/>
      <w:r w:rsidRPr="00225D4D">
        <w:t>hendingar</w:t>
      </w:r>
      <w:proofErr w:type="spellEnd"/>
      <w:r w:rsidRPr="00225D4D">
        <w:t xml:space="preserve"> oppover i krisespennet, og utarbeide råd for digital eigenberedskap for </w:t>
      </w:r>
      <w:proofErr w:type="spellStart"/>
      <w:r w:rsidRPr="00225D4D">
        <w:t>offentlege</w:t>
      </w:r>
      <w:proofErr w:type="spellEnd"/>
      <w:r w:rsidRPr="00225D4D">
        <w:t xml:space="preserve"> og private </w:t>
      </w:r>
      <w:proofErr w:type="spellStart"/>
      <w:r w:rsidRPr="00225D4D">
        <w:t>verksemder</w:t>
      </w:r>
      <w:proofErr w:type="spellEnd"/>
      <w:r w:rsidRPr="00225D4D">
        <w:t xml:space="preserve">. Råda skal </w:t>
      </w:r>
      <w:proofErr w:type="spellStart"/>
      <w:r w:rsidRPr="00225D4D">
        <w:t>peike</w:t>
      </w:r>
      <w:proofErr w:type="spellEnd"/>
      <w:r w:rsidRPr="00225D4D">
        <w:t xml:space="preserve"> på </w:t>
      </w:r>
      <w:proofErr w:type="spellStart"/>
      <w:r w:rsidRPr="00225D4D">
        <w:t>moglege</w:t>
      </w:r>
      <w:proofErr w:type="spellEnd"/>
      <w:r w:rsidRPr="00225D4D">
        <w:t xml:space="preserve"> tiltak for å </w:t>
      </w:r>
      <w:proofErr w:type="spellStart"/>
      <w:r w:rsidRPr="00225D4D">
        <w:t>oppretthalde</w:t>
      </w:r>
      <w:proofErr w:type="spellEnd"/>
      <w:r w:rsidRPr="00225D4D">
        <w:t xml:space="preserve"> viktige og kritiske </w:t>
      </w:r>
      <w:proofErr w:type="spellStart"/>
      <w:r w:rsidRPr="00225D4D">
        <w:t>samfunnsfunksjonar</w:t>
      </w:r>
      <w:proofErr w:type="spellEnd"/>
      <w:r w:rsidRPr="00225D4D">
        <w:t xml:space="preserve"> og nødvendig kommunikasjons- og samhandlingsbehov ved </w:t>
      </w:r>
      <w:proofErr w:type="spellStart"/>
      <w:r w:rsidRPr="00225D4D">
        <w:t>hendingar</w:t>
      </w:r>
      <w:proofErr w:type="spellEnd"/>
      <w:r w:rsidRPr="00225D4D">
        <w:t>, i krise og i krig.</w:t>
      </w:r>
    </w:p>
    <w:p w14:paraId="598B9DDE" w14:textId="77777777" w:rsidR="00D60186" w:rsidRPr="00225D4D" w:rsidRDefault="00D60186" w:rsidP="00225D4D">
      <w:proofErr w:type="spellStart"/>
      <w:r w:rsidRPr="00225D4D">
        <w:t>Vidare</w:t>
      </w:r>
      <w:proofErr w:type="spellEnd"/>
      <w:r w:rsidRPr="00225D4D">
        <w:t xml:space="preserve"> </w:t>
      </w:r>
      <w:proofErr w:type="spellStart"/>
      <w:r w:rsidRPr="00225D4D">
        <w:t>inneheld</w:t>
      </w:r>
      <w:proofErr w:type="spellEnd"/>
      <w:r w:rsidRPr="00225D4D">
        <w:t xml:space="preserve"> </w:t>
      </w:r>
      <w:proofErr w:type="spellStart"/>
      <w:r w:rsidRPr="00225D4D">
        <w:t>sikkerheitsplanen</w:t>
      </w:r>
      <w:proofErr w:type="spellEnd"/>
      <w:r w:rsidRPr="00225D4D">
        <w:t xml:space="preserve"> tiltak knytt til reduksjon av </w:t>
      </w:r>
      <w:proofErr w:type="spellStart"/>
      <w:r w:rsidRPr="00225D4D">
        <w:t>sårbarheit</w:t>
      </w:r>
      <w:proofErr w:type="spellEnd"/>
      <w:r w:rsidRPr="00225D4D">
        <w:t xml:space="preserve"> ved bruk av </w:t>
      </w:r>
      <w:proofErr w:type="spellStart"/>
      <w:r w:rsidRPr="00225D4D">
        <w:t>reserveløysingar</w:t>
      </w:r>
      <w:proofErr w:type="spellEnd"/>
      <w:r w:rsidRPr="00225D4D">
        <w:t xml:space="preserve">. Mellom anna vil regjeringa at </w:t>
      </w:r>
      <w:proofErr w:type="spellStart"/>
      <w:r w:rsidRPr="00225D4D">
        <w:t>verksemder</w:t>
      </w:r>
      <w:proofErr w:type="spellEnd"/>
      <w:r w:rsidRPr="00225D4D">
        <w:t xml:space="preserve"> som har ansvar for eller </w:t>
      </w:r>
      <w:proofErr w:type="spellStart"/>
      <w:r w:rsidRPr="00225D4D">
        <w:t>understøttar</w:t>
      </w:r>
      <w:proofErr w:type="spellEnd"/>
      <w:r w:rsidRPr="00225D4D">
        <w:t xml:space="preserve"> kritiske </w:t>
      </w:r>
      <w:proofErr w:type="spellStart"/>
      <w:r w:rsidRPr="00225D4D">
        <w:t>samfunnsfunksjonar</w:t>
      </w:r>
      <w:proofErr w:type="spellEnd"/>
      <w:r w:rsidRPr="00225D4D">
        <w:t xml:space="preserve"> vurderer å skaffe satellittbaserte </w:t>
      </w:r>
      <w:proofErr w:type="spellStart"/>
      <w:r w:rsidRPr="00225D4D">
        <w:t>reserveløysingar</w:t>
      </w:r>
      <w:proofErr w:type="spellEnd"/>
      <w:r w:rsidRPr="00225D4D">
        <w:t xml:space="preserve"> for digital kommunikasjon i kriser og krig. Dette vil bli </w:t>
      </w:r>
      <w:proofErr w:type="spellStart"/>
      <w:r w:rsidRPr="00225D4D">
        <w:t>følgd</w:t>
      </w:r>
      <w:proofErr w:type="spellEnd"/>
      <w:r w:rsidRPr="00225D4D">
        <w:t xml:space="preserve"> opp </w:t>
      </w:r>
      <w:proofErr w:type="spellStart"/>
      <w:r w:rsidRPr="00225D4D">
        <w:t>vidare</w:t>
      </w:r>
      <w:proofErr w:type="spellEnd"/>
      <w:r w:rsidRPr="00225D4D">
        <w:t xml:space="preserve"> i gjennomføringa av </w:t>
      </w:r>
      <w:proofErr w:type="spellStart"/>
      <w:r w:rsidRPr="00225D4D">
        <w:t>sikkerheitsplanen</w:t>
      </w:r>
      <w:proofErr w:type="spellEnd"/>
      <w:r w:rsidRPr="00225D4D">
        <w:t>.</w:t>
      </w:r>
    </w:p>
    <w:p w14:paraId="5C343EF0"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5B5F6F9A" w14:textId="77777777" w:rsidR="00D60186" w:rsidRPr="00225D4D" w:rsidRDefault="00D60186" w:rsidP="00225D4D">
      <w:pPr>
        <w:pStyle w:val="avsnitt-tittel"/>
      </w:pPr>
      <w:r w:rsidRPr="00225D4D">
        <w:t xml:space="preserve">Gjennomgang av instruks om handtering av bygge- og </w:t>
      </w:r>
      <w:proofErr w:type="spellStart"/>
      <w:r w:rsidRPr="00225D4D">
        <w:t>leigesakar</w:t>
      </w:r>
      <w:proofErr w:type="spellEnd"/>
      <w:r w:rsidRPr="00225D4D">
        <w:t xml:space="preserve"> i </w:t>
      </w:r>
      <w:proofErr w:type="spellStart"/>
      <w:r w:rsidRPr="00225D4D">
        <w:t>statleg</w:t>
      </w:r>
      <w:proofErr w:type="spellEnd"/>
      <w:r w:rsidRPr="00225D4D">
        <w:t xml:space="preserve"> sivil sektor</w:t>
      </w:r>
    </w:p>
    <w:p w14:paraId="77494ECB" w14:textId="77777777" w:rsidR="00D60186" w:rsidRPr="00225D4D" w:rsidRDefault="00D60186" w:rsidP="00225D4D">
      <w:pPr>
        <w:pStyle w:val="avsnitt-undertittel"/>
      </w:pPr>
      <w:r w:rsidRPr="00225D4D">
        <w:t>Vedtak nr. 1087, 13. juni 2025</w:t>
      </w:r>
    </w:p>
    <w:p w14:paraId="5260B882" w14:textId="77777777" w:rsidR="00D60186" w:rsidRPr="00225D4D" w:rsidRDefault="00D60186" w:rsidP="00225D4D">
      <w:pPr>
        <w:pStyle w:val="blokksit"/>
        <w:rPr>
          <w:rStyle w:val="kursiv"/>
        </w:rPr>
      </w:pPr>
      <w:r w:rsidRPr="00225D4D">
        <w:rPr>
          <w:rStyle w:val="kursiv"/>
        </w:rPr>
        <w:t>«Stortinget ber regjeringen, på bakgrunn av Riksrevisjonens undersøkelse, jf. Dokument 3:8 (2024–2025), igangsette en gjennomgang av instruks om håndtering av bygge- og leiesaker i statlig sivil sektor for å redusere risikoen for at det inngås leieavtaler med ulovlige forpliktelser for staten.»</w:t>
      </w:r>
    </w:p>
    <w:p w14:paraId="63932951" w14:textId="77777777" w:rsidR="00D60186" w:rsidRPr="00225D4D" w:rsidRDefault="00D60186" w:rsidP="00225D4D">
      <w:r w:rsidRPr="00225D4D">
        <w:t xml:space="preserve">Dokumenta som ligg til grunn for vedtaket, er Dokument 3:8 (2024–2025) </w:t>
      </w:r>
      <w:r w:rsidRPr="00225D4D">
        <w:rPr>
          <w:rStyle w:val="kursiv"/>
        </w:rPr>
        <w:t>Riksrevisjonens undersøkelse av statlige virksomheters leieavtaler for lokaler i markedet</w:t>
      </w:r>
      <w:r w:rsidRPr="00225D4D">
        <w:t xml:space="preserve"> og </w:t>
      </w:r>
      <w:proofErr w:type="spellStart"/>
      <w:r w:rsidRPr="00225D4D">
        <w:t>Innst</w:t>
      </w:r>
      <w:proofErr w:type="spellEnd"/>
      <w:r w:rsidRPr="00225D4D">
        <w:t>. 494 S (2024–2025).</w:t>
      </w:r>
    </w:p>
    <w:p w14:paraId="1FA4FD51" w14:textId="77777777" w:rsidR="00D60186" w:rsidRPr="00225D4D" w:rsidRDefault="00D60186" w:rsidP="00225D4D">
      <w:r w:rsidRPr="00225D4D">
        <w:t xml:space="preserve">Med bakgrunn i saka om låneopptak hos Nasjonalt tryggingsorgan (NSM) har departementet starta prosessen med å gå gjennom bygge- og </w:t>
      </w:r>
      <w:proofErr w:type="spellStart"/>
      <w:r w:rsidRPr="00225D4D">
        <w:t>leigesaksinstruksen</w:t>
      </w:r>
      <w:proofErr w:type="spellEnd"/>
      <w:r w:rsidRPr="00225D4D">
        <w:t xml:space="preserve">. Av det som blir vurdert å ta inn i instruksen er at Statsbygg er obligatorisk </w:t>
      </w:r>
      <w:proofErr w:type="spellStart"/>
      <w:r w:rsidRPr="00225D4D">
        <w:t>rådgivar</w:t>
      </w:r>
      <w:proofErr w:type="spellEnd"/>
      <w:r w:rsidRPr="00225D4D">
        <w:t xml:space="preserve"> ved </w:t>
      </w:r>
      <w:proofErr w:type="spellStart"/>
      <w:r w:rsidRPr="00225D4D">
        <w:t>leige</w:t>
      </w:r>
      <w:proofErr w:type="spellEnd"/>
      <w:r w:rsidRPr="00225D4D">
        <w:t xml:space="preserve"> i </w:t>
      </w:r>
      <w:proofErr w:type="spellStart"/>
      <w:r w:rsidRPr="00225D4D">
        <w:t>marknaden</w:t>
      </w:r>
      <w:proofErr w:type="spellEnd"/>
      <w:r w:rsidRPr="00225D4D">
        <w:t xml:space="preserve">. Statsbygg har mellom anna etablert ei standard </w:t>
      </w:r>
      <w:proofErr w:type="spellStart"/>
      <w:r w:rsidRPr="00225D4D">
        <w:t>leigeavtale</w:t>
      </w:r>
      <w:proofErr w:type="spellEnd"/>
      <w:r w:rsidRPr="00225D4D">
        <w:t xml:space="preserve">, som vil redusere risikoen for </w:t>
      </w:r>
      <w:proofErr w:type="spellStart"/>
      <w:r w:rsidRPr="00225D4D">
        <w:t>ulovlege</w:t>
      </w:r>
      <w:proofErr w:type="spellEnd"/>
      <w:r w:rsidRPr="00225D4D">
        <w:t xml:space="preserve"> </w:t>
      </w:r>
      <w:proofErr w:type="spellStart"/>
      <w:r w:rsidRPr="00225D4D">
        <w:t>forpliktingar</w:t>
      </w:r>
      <w:proofErr w:type="spellEnd"/>
      <w:r w:rsidRPr="00225D4D">
        <w:t xml:space="preserve">. Statsbygg jobbar òg systematisk i </w:t>
      </w:r>
      <w:proofErr w:type="spellStart"/>
      <w:r w:rsidRPr="00225D4D">
        <w:t>leigemarknaden</w:t>
      </w:r>
      <w:proofErr w:type="spellEnd"/>
      <w:r w:rsidRPr="00225D4D">
        <w:t xml:space="preserve"> for å få til fleksible og økonomisk fordelaktige avtaler for staten. Det er viktig at departementa tar ansvaret </w:t>
      </w:r>
      <w:proofErr w:type="spellStart"/>
      <w:r w:rsidRPr="00225D4D">
        <w:t>dei</w:t>
      </w:r>
      <w:proofErr w:type="spellEnd"/>
      <w:r w:rsidRPr="00225D4D">
        <w:t xml:space="preserve"> har for </w:t>
      </w:r>
      <w:proofErr w:type="spellStart"/>
      <w:r w:rsidRPr="00225D4D">
        <w:t>leigeavtaler</w:t>
      </w:r>
      <w:proofErr w:type="spellEnd"/>
      <w:r w:rsidRPr="00225D4D">
        <w:t xml:space="preserve"> som </w:t>
      </w:r>
      <w:proofErr w:type="spellStart"/>
      <w:r w:rsidRPr="00225D4D">
        <w:t>underliggande</w:t>
      </w:r>
      <w:proofErr w:type="spellEnd"/>
      <w:r w:rsidRPr="00225D4D">
        <w:t xml:space="preserve"> </w:t>
      </w:r>
      <w:proofErr w:type="spellStart"/>
      <w:r w:rsidRPr="00225D4D">
        <w:t>verksemder</w:t>
      </w:r>
      <w:proofErr w:type="spellEnd"/>
      <w:r w:rsidRPr="00225D4D">
        <w:t xml:space="preserve"> inngår. Ei </w:t>
      </w:r>
      <w:proofErr w:type="spellStart"/>
      <w:r w:rsidRPr="00225D4D">
        <w:t>tydeliggjering</w:t>
      </w:r>
      <w:proofErr w:type="spellEnd"/>
      <w:r w:rsidRPr="00225D4D">
        <w:t xml:space="preserve"> av ansvaret vil bidra til </w:t>
      </w:r>
      <w:proofErr w:type="spellStart"/>
      <w:r w:rsidRPr="00225D4D">
        <w:t>betre</w:t>
      </w:r>
      <w:proofErr w:type="spellEnd"/>
      <w:r w:rsidRPr="00225D4D">
        <w:t xml:space="preserve"> kontroll med </w:t>
      </w:r>
      <w:proofErr w:type="spellStart"/>
      <w:r w:rsidRPr="00225D4D">
        <w:t>dei</w:t>
      </w:r>
      <w:proofErr w:type="spellEnd"/>
      <w:r w:rsidRPr="00225D4D">
        <w:t xml:space="preserve"> avtalene som blir inngått. Aktiv involvering </w:t>
      </w:r>
      <w:proofErr w:type="spellStart"/>
      <w:r w:rsidRPr="00225D4D">
        <w:t>frå</w:t>
      </w:r>
      <w:proofErr w:type="spellEnd"/>
      <w:r w:rsidRPr="00225D4D">
        <w:t xml:space="preserve"> departementa vil bidra til ei </w:t>
      </w:r>
      <w:proofErr w:type="gramStart"/>
      <w:r w:rsidRPr="00225D4D">
        <w:t>betre oversikt</w:t>
      </w:r>
      <w:proofErr w:type="gramEnd"/>
      <w:r w:rsidRPr="00225D4D">
        <w:t xml:space="preserve"> over lokalbruken og gi </w:t>
      </w:r>
      <w:proofErr w:type="spellStart"/>
      <w:r w:rsidRPr="00225D4D">
        <w:t>eit</w:t>
      </w:r>
      <w:proofErr w:type="spellEnd"/>
      <w:r w:rsidRPr="00225D4D">
        <w:t xml:space="preserve"> godt grunnlag for styring av </w:t>
      </w:r>
      <w:proofErr w:type="spellStart"/>
      <w:r w:rsidRPr="00225D4D">
        <w:t>verksemdene</w:t>
      </w:r>
      <w:proofErr w:type="spellEnd"/>
      <w:r w:rsidRPr="00225D4D">
        <w:t xml:space="preserve"> sin lokalbruk.</w:t>
      </w:r>
    </w:p>
    <w:p w14:paraId="1796CDB1"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0F5DBACC" w14:textId="77777777" w:rsidR="00D60186" w:rsidRPr="00225D4D" w:rsidRDefault="00D60186" w:rsidP="00225D4D">
      <w:pPr>
        <w:pStyle w:val="Overskrift2"/>
      </w:pPr>
      <w:r w:rsidRPr="00225D4D">
        <w:t>Stortingssesjon 2023–2024</w:t>
      </w:r>
    </w:p>
    <w:p w14:paraId="19D3E021" w14:textId="77777777" w:rsidR="00D60186" w:rsidRPr="00225D4D" w:rsidRDefault="00D60186" w:rsidP="00225D4D">
      <w:pPr>
        <w:pStyle w:val="avsnitt-tittel"/>
      </w:pPr>
      <w:proofErr w:type="spellStart"/>
      <w:r w:rsidRPr="00225D4D">
        <w:t>Forbod</w:t>
      </w:r>
      <w:proofErr w:type="spellEnd"/>
      <w:r w:rsidRPr="00225D4D">
        <w:t xml:space="preserve"> mot </w:t>
      </w:r>
      <w:proofErr w:type="spellStart"/>
      <w:r w:rsidRPr="00225D4D">
        <w:t>åtferdsbasert</w:t>
      </w:r>
      <w:proofErr w:type="spellEnd"/>
      <w:r w:rsidRPr="00225D4D">
        <w:t xml:space="preserve"> </w:t>
      </w:r>
      <w:proofErr w:type="spellStart"/>
      <w:r w:rsidRPr="00225D4D">
        <w:t>marknadsføring</w:t>
      </w:r>
      <w:proofErr w:type="spellEnd"/>
      <w:r w:rsidRPr="00225D4D">
        <w:t xml:space="preserve"> retta mot barn og unge</w:t>
      </w:r>
    </w:p>
    <w:p w14:paraId="704A186B" w14:textId="77777777" w:rsidR="00D60186" w:rsidRPr="00225D4D" w:rsidRDefault="00D60186" w:rsidP="00225D4D">
      <w:pPr>
        <w:pStyle w:val="avsnitt-undertittel"/>
      </w:pPr>
      <w:r w:rsidRPr="00225D4D">
        <w:t>Vedtak nr. 501, 5. mars 2024</w:t>
      </w:r>
    </w:p>
    <w:p w14:paraId="6597B72E" w14:textId="77777777" w:rsidR="00D60186" w:rsidRPr="00225D4D" w:rsidRDefault="00D60186" w:rsidP="00225D4D">
      <w:pPr>
        <w:pStyle w:val="blokksit"/>
        <w:rPr>
          <w:rStyle w:val="kursiv"/>
        </w:rPr>
      </w:pPr>
      <w:r w:rsidRPr="00225D4D">
        <w:rPr>
          <w:rStyle w:val="kursiv"/>
        </w:rPr>
        <w:t xml:space="preserve">«Stortinget ber regjeringen i forbindelse med implementering av forordningen om digitale tjenester om å sikre et forbud mot </w:t>
      </w:r>
      <w:proofErr w:type="spellStart"/>
      <w:r w:rsidRPr="00225D4D">
        <w:rPr>
          <w:rStyle w:val="kursiv"/>
        </w:rPr>
        <w:t>adferdsbasert</w:t>
      </w:r>
      <w:proofErr w:type="spellEnd"/>
      <w:r w:rsidRPr="00225D4D">
        <w:rPr>
          <w:rStyle w:val="kursiv"/>
        </w:rPr>
        <w:t xml:space="preserve"> markedsføring rettet mot barn og unge.»</w:t>
      </w:r>
    </w:p>
    <w:p w14:paraId="085B58B9"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Olaug </w:t>
      </w:r>
      <w:proofErr w:type="spellStart"/>
      <w:r w:rsidRPr="00225D4D">
        <w:t>Vervik</w:t>
      </w:r>
      <w:proofErr w:type="spellEnd"/>
      <w:r w:rsidRPr="00225D4D">
        <w:t xml:space="preserve"> Bollestad, Dag-Inge Ulstein og Kjell Ingolf Ropstad om ei verifiserbar aldersgrense for sosiale medium og regulering av </w:t>
      </w:r>
      <w:proofErr w:type="spellStart"/>
      <w:r w:rsidRPr="00225D4D">
        <w:t>innhald</w:t>
      </w:r>
      <w:proofErr w:type="spellEnd"/>
      <w:r w:rsidRPr="00225D4D">
        <w:t xml:space="preserve"> og reklame retta mot barn, jf. Dokument 8:247 S (2022–2023) og </w:t>
      </w:r>
      <w:proofErr w:type="spellStart"/>
      <w:r w:rsidRPr="00225D4D">
        <w:t>Innst</w:t>
      </w:r>
      <w:proofErr w:type="spellEnd"/>
      <w:r w:rsidRPr="00225D4D">
        <w:t>. 191 S (2023–2024).</w:t>
      </w:r>
    </w:p>
    <w:p w14:paraId="33677219" w14:textId="77777777" w:rsidR="00D60186" w:rsidRPr="00225D4D" w:rsidRDefault="00D60186" w:rsidP="00225D4D">
      <w:r w:rsidRPr="00225D4D">
        <w:t xml:space="preserve">Då Digital Services </w:t>
      </w:r>
      <w:proofErr w:type="spellStart"/>
      <w:r w:rsidRPr="00225D4D">
        <w:t>Act</w:t>
      </w:r>
      <w:proofErr w:type="spellEnd"/>
      <w:r w:rsidRPr="00225D4D">
        <w:t xml:space="preserve"> (DSA) var under utarbeiding i EU, </w:t>
      </w:r>
      <w:proofErr w:type="spellStart"/>
      <w:r w:rsidRPr="00225D4D">
        <w:t>fremja</w:t>
      </w:r>
      <w:proofErr w:type="spellEnd"/>
      <w:r w:rsidRPr="00225D4D">
        <w:t xml:space="preserve"> regjeringa </w:t>
      </w:r>
      <w:proofErr w:type="spellStart"/>
      <w:r w:rsidRPr="00225D4D">
        <w:t>ein</w:t>
      </w:r>
      <w:proofErr w:type="spellEnd"/>
      <w:r w:rsidRPr="00225D4D">
        <w:t xml:space="preserve"> posisjon </w:t>
      </w:r>
      <w:proofErr w:type="spellStart"/>
      <w:r w:rsidRPr="00225D4D">
        <w:t>frå</w:t>
      </w:r>
      <w:proofErr w:type="spellEnd"/>
      <w:r w:rsidRPr="00225D4D">
        <w:t xml:space="preserve"> </w:t>
      </w:r>
      <w:proofErr w:type="spellStart"/>
      <w:r w:rsidRPr="00225D4D">
        <w:t>Noreg</w:t>
      </w:r>
      <w:proofErr w:type="spellEnd"/>
      <w:r w:rsidRPr="00225D4D">
        <w:t xml:space="preserve"> der regjeringa mellom anna foreslo </w:t>
      </w:r>
      <w:proofErr w:type="spellStart"/>
      <w:r w:rsidRPr="00225D4D">
        <w:t>eit</w:t>
      </w:r>
      <w:proofErr w:type="spellEnd"/>
      <w:r w:rsidRPr="00225D4D">
        <w:t xml:space="preserve"> </w:t>
      </w:r>
      <w:proofErr w:type="spellStart"/>
      <w:r w:rsidRPr="00225D4D">
        <w:t>forbod</w:t>
      </w:r>
      <w:proofErr w:type="spellEnd"/>
      <w:r w:rsidRPr="00225D4D">
        <w:t xml:space="preserve"> mot </w:t>
      </w:r>
      <w:proofErr w:type="spellStart"/>
      <w:r w:rsidRPr="00225D4D">
        <w:t>åtferdsbasert</w:t>
      </w:r>
      <w:proofErr w:type="spellEnd"/>
      <w:r w:rsidRPr="00225D4D">
        <w:t xml:space="preserve"> </w:t>
      </w:r>
      <w:proofErr w:type="spellStart"/>
      <w:r w:rsidRPr="00225D4D">
        <w:t>marknadsføring</w:t>
      </w:r>
      <w:proofErr w:type="spellEnd"/>
      <w:r w:rsidRPr="00225D4D">
        <w:t xml:space="preserve"> retta mot barn og unge. I forordninga som er vedtatt i EU ligg det inne </w:t>
      </w:r>
      <w:proofErr w:type="spellStart"/>
      <w:r w:rsidRPr="00225D4D">
        <w:t>eit</w:t>
      </w:r>
      <w:proofErr w:type="spellEnd"/>
      <w:r w:rsidRPr="00225D4D">
        <w:t xml:space="preserve"> </w:t>
      </w:r>
      <w:proofErr w:type="spellStart"/>
      <w:r w:rsidRPr="00225D4D">
        <w:t>forbod</w:t>
      </w:r>
      <w:proofErr w:type="spellEnd"/>
      <w:r w:rsidRPr="00225D4D">
        <w:t xml:space="preserve"> mot </w:t>
      </w:r>
      <w:proofErr w:type="spellStart"/>
      <w:r w:rsidRPr="00225D4D">
        <w:t>åtferdsbasert</w:t>
      </w:r>
      <w:proofErr w:type="spellEnd"/>
      <w:r w:rsidRPr="00225D4D">
        <w:t xml:space="preserve"> reklame til mindreårige basert på profilering ved bruk av </w:t>
      </w:r>
      <w:proofErr w:type="spellStart"/>
      <w:r w:rsidRPr="00225D4D">
        <w:t>personopplysningane</w:t>
      </w:r>
      <w:proofErr w:type="spellEnd"/>
      <w:r w:rsidRPr="00225D4D">
        <w:t xml:space="preserve"> </w:t>
      </w:r>
      <w:proofErr w:type="spellStart"/>
      <w:r w:rsidRPr="00225D4D">
        <w:t>deira</w:t>
      </w:r>
      <w:proofErr w:type="spellEnd"/>
      <w:r w:rsidRPr="00225D4D">
        <w:t xml:space="preserve">, når plattforma med </w:t>
      </w:r>
      <w:proofErr w:type="spellStart"/>
      <w:r w:rsidRPr="00225D4D">
        <w:t>rimeleg</w:t>
      </w:r>
      <w:proofErr w:type="spellEnd"/>
      <w:r w:rsidRPr="00225D4D">
        <w:t xml:space="preserve"> </w:t>
      </w:r>
      <w:proofErr w:type="spellStart"/>
      <w:r w:rsidRPr="00225D4D">
        <w:t>sikkerheit</w:t>
      </w:r>
      <w:proofErr w:type="spellEnd"/>
      <w:r w:rsidRPr="00225D4D">
        <w:t xml:space="preserve"> kan fastslå at </w:t>
      </w:r>
      <w:proofErr w:type="spellStart"/>
      <w:r w:rsidRPr="00225D4D">
        <w:t>mottakaren</w:t>
      </w:r>
      <w:proofErr w:type="spellEnd"/>
      <w:r w:rsidRPr="00225D4D">
        <w:t xml:space="preserve"> av </w:t>
      </w:r>
      <w:proofErr w:type="spellStart"/>
      <w:r w:rsidRPr="00225D4D">
        <w:t>tenesta</w:t>
      </w:r>
      <w:proofErr w:type="spellEnd"/>
      <w:r w:rsidRPr="00225D4D">
        <w:t xml:space="preserve"> er mindreårig.</w:t>
      </w:r>
    </w:p>
    <w:p w14:paraId="2290E819" w14:textId="77777777" w:rsidR="00D60186" w:rsidRPr="00225D4D" w:rsidRDefault="00D60186" w:rsidP="00225D4D">
      <w:r w:rsidRPr="00225D4D">
        <w:t xml:space="preserve">DSA er ei indre </w:t>
      </w:r>
      <w:proofErr w:type="spellStart"/>
      <w:r w:rsidRPr="00225D4D">
        <w:t>marknadsregulering</w:t>
      </w:r>
      <w:proofErr w:type="spellEnd"/>
      <w:r w:rsidRPr="00225D4D">
        <w:t>, og er EØS-relevant og aktuell for innlemming i EØS-</w:t>
      </w:r>
      <w:proofErr w:type="spellStart"/>
      <w:r w:rsidRPr="00225D4D">
        <w:t>avtala</w:t>
      </w:r>
      <w:proofErr w:type="spellEnd"/>
      <w:r w:rsidRPr="00225D4D">
        <w:t xml:space="preserve">. Ei eventuell nasjonal gjennomføring av forordninga vil </w:t>
      </w:r>
      <w:proofErr w:type="spellStart"/>
      <w:r w:rsidRPr="00225D4D">
        <w:t>krevje</w:t>
      </w:r>
      <w:proofErr w:type="spellEnd"/>
      <w:r w:rsidRPr="00225D4D">
        <w:t xml:space="preserve"> lovendring. Digitaliserings- og forvaltningsdepartementet sende utkast til lov om digitale </w:t>
      </w:r>
      <w:proofErr w:type="spellStart"/>
      <w:r w:rsidRPr="00225D4D">
        <w:t>tenester</w:t>
      </w:r>
      <w:proofErr w:type="spellEnd"/>
      <w:r w:rsidRPr="00225D4D">
        <w:t xml:space="preserve"> på </w:t>
      </w:r>
      <w:proofErr w:type="spellStart"/>
      <w:r w:rsidRPr="00225D4D">
        <w:t>offentleg</w:t>
      </w:r>
      <w:proofErr w:type="spellEnd"/>
      <w:r w:rsidRPr="00225D4D">
        <w:t xml:space="preserve"> </w:t>
      </w:r>
      <w:proofErr w:type="spellStart"/>
      <w:r w:rsidRPr="00225D4D">
        <w:t>høyring</w:t>
      </w:r>
      <w:proofErr w:type="spellEnd"/>
      <w:r w:rsidRPr="00225D4D">
        <w:t xml:space="preserve"> i juli 2025, og dette </w:t>
      </w:r>
      <w:proofErr w:type="spellStart"/>
      <w:r w:rsidRPr="00225D4D">
        <w:t>legg</w:t>
      </w:r>
      <w:proofErr w:type="spellEnd"/>
      <w:r w:rsidRPr="00225D4D">
        <w:t xml:space="preserve"> til rette for at lova, inkludert </w:t>
      </w:r>
      <w:proofErr w:type="spellStart"/>
      <w:r w:rsidRPr="00225D4D">
        <w:t>eit</w:t>
      </w:r>
      <w:proofErr w:type="spellEnd"/>
      <w:r w:rsidRPr="00225D4D">
        <w:t xml:space="preserve"> </w:t>
      </w:r>
      <w:proofErr w:type="spellStart"/>
      <w:r w:rsidRPr="00225D4D">
        <w:t>forbod</w:t>
      </w:r>
      <w:proofErr w:type="spellEnd"/>
      <w:r w:rsidRPr="00225D4D">
        <w:t xml:space="preserve"> mot </w:t>
      </w:r>
      <w:proofErr w:type="spellStart"/>
      <w:r w:rsidRPr="00225D4D">
        <w:t>åtferdsbasert</w:t>
      </w:r>
      <w:proofErr w:type="spellEnd"/>
      <w:r w:rsidRPr="00225D4D">
        <w:t xml:space="preserve"> reklame mot mindreårige, kan tre i kraft og at DSA vil gjelde i </w:t>
      </w:r>
      <w:proofErr w:type="spellStart"/>
      <w:r w:rsidRPr="00225D4D">
        <w:t>Noreg</w:t>
      </w:r>
      <w:proofErr w:type="spellEnd"/>
      <w:r w:rsidRPr="00225D4D">
        <w:t xml:space="preserve"> </w:t>
      </w:r>
      <w:proofErr w:type="spellStart"/>
      <w:r w:rsidRPr="00225D4D">
        <w:t>frå</w:t>
      </w:r>
      <w:proofErr w:type="spellEnd"/>
      <w:r w:rsidRPr="00225D4D">
        <w:t xml:space="preserve"> </w:t>
      </w:r>
      <w:proofErr w:type="spellStart"/>
      <w:r w:rsidRPr="00225D4D">
        <w:t>sommaren</w:t>
      </w:r>
      <w:proofErr w:type="spellEnd"/>
      <w:r w:rsidRPr="00225D4D">
        <w:t xml:space="preserve"> 2026.</w:t>
      </w:r>
    </w:p>
    <w:p w14:paraId="2C24D7B5"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1C73FF51" w14:textId="77777777" w:rsidR="00D60186" w:rsidRPr="00225D4D" w:rsidRDefault="00D60186" w:rsidP="00225D4D">
      <w:pPr>
        <w:pStyle w:val="avsnitt-tittel"/>
      </w:pPr>
      <w:r w:rsidRPr="00225D4D">
        <w:t xml:space="preserve">Inkludere </w:t>
      </w:r>
      <w:proofErr w:type="spellStart"/>
      <w:r w:rsidRPr="00225D4D">
        <w:t>fleire</w:t>
      </w:r>
      <w:proofErr w:type="spellEnd"/>
      <w:r w:rsidRPr="00225D4D">
        <w:t xml:space="preserve"> med </w:t>
      </w:r>
      <w:proofErr w:type="spellStart"/>
      <w:r w:rsidRPr="00225D4D">
        <w:t>funksjonshindringar</w:t>
      </w:r>
      <w:proofErr w:type="spellEnd"/>
      <w:r w:rsidRPr="00225D4D">
        <w:t xml:space="preserve"> og hol i CV-en i arbeidslivet i staten</w:t>
      </w:r>
    </w:p>
    <w:p w14:paraId="2916819F" w14:textId="77777777" w:rsidR="00D60186" w:rsidRPr="00225D4D" w:rsidRDefault="00D60186" w:rsidP="00225D4D">
      <w:pPr>
        <w:pStyle w:val="avsnitt-undertittel"/>
      </w:pPr>
      <w:r w:rsidRPr="00225D4D">
        <w:t>Vedtak nr. 625, 7. mai 2024</w:t>
      </w:r>
    </w:p>
    <w:p w14:paraId="5F777745" w14:textId="77777777" w:rsidR="00D60186" w:rsidRPr="00225D4D" w:rsidRDefault="00D60186" w:rsidP="00225D4D">
      <w:pPr>
        <w:pStyle w:val="blokksit"/>
        <w:rPr>
          <w:rStyle w:val="kursiv"/>
        </w:rPr>
      </w:pPr>
      <w:r w:rsidRPr="00225D4D">
        <w:rPr>
          <w:rStyle w:val="kursiv"/>
        </w:rPr>
        <w:t>«Stortinget ber regjeringen igangsette et arbeid for å utrede ytterligere og sterkere tiltak for å inkludere flere mennesker med funksjonshindre og flere mennesker med hull i CV-en i arbeidslivet i staten, inkludert tiltak i statens arbeidsgiverpolitikk samt tiltak for å bygge ned samfunnskapte funksjonshindre og diskriminering, og komme tilbake til Stortinget med forslag innen utgangen av vårsesjonen 2025.»</w:t>
      </w:r>
    </w:p>
    <w:p w14:paraId="052768FD"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Henrik Asheim, Anna </w:t>
      </w:r>
      <w:proofErr w:type="spellStart"/>
      <w:r w:rsidRPr="00225D4D">
        <w:t>Molberg</w:t>
      </w:r>
      <w:proofErr w:type="spellEnd"/>
      <w:r w:rsidRPr="00225D4D">
        <w:t xml:space="preserve">, Aleksander </w:t>
      </w:r>
      <w:proofErr w:type="spellStart"/>
      <w:r w:rsidRPr="00225D4D">
        <w:t>Stokkebø</w:t>
      </w:r>
      <w:proofErr w:type="spellEnd"/>
      <w:r w:rsidRPr="00225D4D">
        <w:t xml:space="preserve">, </w:t>
      </w:r>
      <w:proofErr w:type="spellStart"/>
      <w:r w:rsidRPr="00225D4D">
        <w:t>Mudassar</w:t>
      </w:r>
      <w:proofErr w:type="spellEnd"/>
      <w:r w:rsidRPr="00225D4D">
        <w:t xml:space="preserve"> </w:t>
      </w:r>
      <w:proofErr w:type="spellStart"/>
      <w:r w:rsidRPr="00225D4D">
        <w:t>Kapur</w:t>
      </w:r>
      <w:proofErr w:type="spellEnd"/>
      <w:r w:rsidRPr="00225D4D">
        <w:t xml:space="preserve">, Sveinung Rotevatn og Dag-Inge Ulstein om å innføre inkluderingsmål i </w:t>
      </w:r>
      <w:proofErr w:type="spellStart"/>
      <w:r w:rsidRPr="00225D4D">
        <w:t>statleg</w:t>
      </w:r>
      <w:proofErr w:type="spellEnd"/>
      <w:r w:rsidRPr="00225D4D">
        <w:t xml:space="preserve"> og kommunalt arbeidsliv, jf. Dokument 8:105 S (2023–2024) og </w:t>
      </w:r>
      <w:proofErr w:type="spellStart"/>
      <w:r w:rsidRPr="00225D4D">
        <w:t>Innst</w:t>
      </w:r>
      <w:proofErr w:type="spellEnd"/>
      <w:r w:rsidRPr="00225D4D">
        <w:t>. 289 S (2023–2024).</w:t>
      </w:r>
    </w:p>
    <w:p w14:paraId="53F359FF" w14:textId="77777777" w:rsidR="00D60186" w:rsidRPr="00225D4D" w:rsidRDefault="00D60186" w:rsidP="00225D4D">
      <w:r w:rsidRPr="00225D4D">
        <w:t xml:space="preserve">Oppmodingsvedtaket er </w:t>
      </w:r>
      <w:proofErr w:type="spellStart"/>
      <w:r w:rsidRPr="00225D4D">
        <w:t>følgt</w:t>
      </w:r>
      <w:proofErr w:type="spellEnd"/>
      <w:r w:rsidRPr="00225D4D">
        <w:t xml:space="preserve"> opp i </w:t>
      </w:r>
      <w:proofErr w:type="spellStart"/>
      <w:r w:rsidRPr="00225D4D">
        <w:t>Prop</w:t>
      </w:r>
      <w:proofErr w:type="spellEnd"/>
      <w:r w:rsidRPr="00225D4D">
        <w:t xml:space="preserve">. 146 S (2024–205) </w:t>
      </w:r>
      <w:r w:rsidRPr="00225D4D">
        <w:rPr>
          <w:rStyle w:val="kursiv"/>
        </w:rPr>
        <w:t>Tilleggsbevilgninger og omprioriteringer i statsbudsjettet 2025</w:t>
      </w:r>
      <w:r w:rsidRPr="00225D4D">
        <w:t xml:space="preserve"> der regjeringa informerte om at arbeidet med å inkludere </w:t>
      </w:r>
      <w:proofErr w:type="spellStart"/>
      <w:r w:rsidRPr="00225D4D">
        <w:t>fleire</w:t>
      </w:r>
      <w:proofErr w:type="spellEnd"/>
      <w:r w:rsidRPr="00225D4D">
        <w:t xml:space="preserve"> </w:t>
      </w:r>
      <w:proofErr w:type="spellStart"/>
      <w:r w:rsidRPr="00225D4D">
        <w:t>personar</w:t>
      </w:r>
      <w:proofErr w:type="spellEnd"/>
      <w:r w:rsidRPr="00225D4D">
        <w:t xml:space="preserve"> med nedsett funksjonsevne og </w:t>
      </w:r>
      <w:proofErr w:type="spellStart"/>
      <w:r w:rsidRPr="00225D4D">
        <w:t>personar</w:t>
      </w:r>
      <w:proofErr w:type="spellEnd"/>
      <w:r w:rsidRPr="00225D4D">
        <w:t xml:space="preserve"> med hol i CV-en i arbeidslivet i staten skal </w:t>
      </w:r>
      <w:proofErr w:type="spellStart"/>
      <w:r w:rsidRPr="00225D4D">
        <w:t>styrkast</w:t>
      </w:r>
      <w:proofErr w:type="spellEnd"/>
      <w:r w:rsidRPr="00225D4D">
        <w:t xml:space="preserve"> gjennom aktiv formidling av </w:t>
      </w:r>
      <w:proofErr w:type="spellStart"/>
      <w:r w:rsidRPr="00225D4D">
        <w:t>dei</w:t>
      </w:r>
      <w:proofErr w:type="spellEnd"/>
      <w:r w:rsidRPr="00225D4D">
        <w:t xml:space="preserve"> </w:t>
      </w:r>
      <w:proofErr w:type="spellStart"/>
      <w:r w:rsidRPr="00225D4D">
        <w:t>moglegheitene</w:t>
      </w:r>
      <w:proofErr w:type="spellEnd"/>
      <w:r w:rsidRPr="00225D4D">
        <w:t xml:space="preserve"> </w:t>
      </w:r>
      <w:proofErr w:type="spellStart"/>
      <w:r w:rsidRPr="00225D4D">
        <w:t>statlege</w:t>
      </w:r>
      <w:proofErr w:type="spellEnd"/>
      <w:r w:rsidRPr="00225D4D">
        <w:t xml:space="preserve"> </w:t>
      </w:r>
      <w:proofErr w:type="spellStart"/>
      <w:r w:rsidRPr="00225D4D">
        <w:t>verksemder</w:t>
      </w:r>
      <w:proofErr w:type="spellEnd"/>
      <w:r w:rsidRPr="00225D4D">
        <w:t xml:space="preserve"> har til å føre </w:t>
      </w:r>
      <w:proofErr w:type="spellStart"/>
      <w:r w:rsidRPr="00225D4D">
        <w:t>ein</w:t>
      </w:r>
      <w:proofErr w:type="spellEnd"/>
      <w:r w:rsidRPr="00225D4D">
        <w:t xml:space="preserve"> </w:t>
      </w:r>
      <w:proofErr w:type="spellStart"/>
      <w:r w:rsidRPr="00225D4D">
        <w:t>inkluderande</w:t>
      </w:r>
      <w:proofErr w:type="spellEnd"/>
      <w:r w:rsidRPr="00225D4D">
        <w:t xml:space="preserve"> rekrutteringspraksis, og leite etter kompetanse i heile befolkninga.</w:t>
      </w:r>
    </w:p>
    <w:p w14:paraId="39D06C4B" w14:textId="77777777" w:rsidR="00D60186" w:rsidRPr="00225D4D" w:rsidRDefault="00D60186" w:rsidP="00225D4D">
      <w:r w:rsidRPr="00225D4D">
        <w:t xml:space="preserve">Regjeringa vil òg arbeide for at </w:t>
      </w:r>
      <w:proofErr w:type="spellStart"/>
      <w:r w:rsidRPr="00225D4D">
        <w:t>statlege</w:t>
      </w:r>
      <w:proofErr w:type="spellEnd"/>
      <w:r w:rsidRPr="00225D4D">
        <w:t xml:space="preserve"> </w:t>
      </w:r>
      <w:proofErr w:type="spellStart"/>
      <w:r w:rsidRPr="00225D4D">
        <w:t>verksemder</w:t>
      </w:r>
      <w:proofErr w:type="spellEnd"/>
      <w:r w:rsidRPr="00225D4D">
        <w:t xml:space="preserve"> i samband med utlysing av ledige </w:t>
      </w:r>
      <w:proofErr w:type="spellStart"/>
      <w:r w:rsidRPr="00225D4D">
        <w:t>stillingar</w:t>
      </w:r>
      <w:proofErr w:type="spellEnd"/>
      <w:r w:rsidRPr="00225D4D">
        <w:t xml:space="preserve"> går kritisk gjennom kva krav som blir stilte til </w:t>
      </w:r>
      <w:proofErr w:type="spellStart"/>
      <w:r w:rsidRPr="00225D4D">
        <w:t>kvalifikasjonar</w:t>
      </w:r>
      <w:proofErr w:type="spellEnd"/>
      <w:r w:rsidRPr="00225D4D">
        <w:t xml:space="preserve">. Regjeringa meiner det er viktig at </w:t>
      </w:r>
      <w:proofErr w:type="spellStart"/>
      <w:r w:rsidRPr="00225D4D">
        <w:t>verksemdene</w:t>
      </w:r>
      <w:proofErr w:type="spellEnd"/>
      <w:r w:rsidRPr="00225D4D">
        <w:t xml:space="preserve">, samstundes som </w:t>
      </w:r>
      <w:proofErr w:type="spellStart"/>
      <w:r w:rsidRPr="00225D4D">
        <w:t>dei</w:t>
      </w:r>
      <w:proofErr w:type="spellEnd"/>
      <w:r w:rsidRPr="00225D4D">
        <w:t xml:space="preserve"> skal </w:t>
      </w:r>
      <w:proofErr w:type="spellStart"/>
      <w:r w:rsidRPr="00225D4D">
        <w:t>søkje</w:t>
      </w:r>
      <w:proofErr w:type="spellEnd"/>
      <w:r w:rsidRPr="00225D4D">
        <w:t xml:space="preserve"> etter den kompetansen som er nødvendig for å løyse samfunnsoppdraget, </w:t>
      </w:r>
      <w:proofErr w:type="spellStart"/>
      <w:r w:rsidRPr="00225D4D">
        <w:t>ikkje</w:t>
      </w:r>
      <w:proofErr w:type="spellEnd"/>
      <w:r w:rsidRPr="00225D4D">
        <w:t xml:space="preserve"> stiller unødvendige krav som kan verke </w:t>
      </w:r>
      <w:proofErr w:type="spellStart"/>
      <w:r w:rsidRPr="00225D4D">
        <w:t>ekskluderande</w:t>
      </w:r>
      <w:proofErr w:type="spellEnd"/>
      <w:r w:rsidRPr="00225D4D">
        <w:t xml:space="preserve">, </w:t>
      </w:r>
      <w:proofErr w:type="spellStart"/>
      <w:r w:rsidRPr="00225D4D">
        <w:t>særleg</w:t>
      </w:r>
      <w:proofErr w:type="spellEnd"/>
      <w:r w:rsidRPr="00225D4D">
        <w:t xml:space="preserve"> for enkelte utsette grupper.</w:t>
      </w:r>
    </w:p>
    <w:p w14:paraId="0BD75F3A" w14:textId="77777777" w:rsidR="00D60186" w:rsidRPr="00225D4D" w:rsidRDefault="00D60186" w:rsidP="00225D4D">
      <w:r w:rsidRPr="00225D4D">
        <w:t xml:space="preserve">Regjeringa vil revitalisere </w:t>
      </w:r>
      <w:proofErr w:type="spellStart"/>
      <w:r w:rsidRPr="00225D4D">
        <w:t>traineeprogrammet</w:t>
      </w:r>
      <w:proofErr w:type="spellEnd"/>
      <w:r w:rsidRPr="00225D4D">
        <w:t xml:space="preserve"> gjennom aktiv promotering overfor </w:t>
      </w:r>
      <w:proofErr w:type="spellStart"/>
      <w:r w:rsidRPr="00225D4D">
        <w:t>dei</w:t>
      </w:r>
      <w:proofErr w:type="spellEnd"/>
      <w:r w:rsidRPr="00225D4D">
        <w:t xml:space="preserve"> </w:t>
      </w:r>
      <w:proofErr w:type="spellStart"/>
      <w:r w:rsidRPr="00225D4D">
        <w:t>statlege</w:t>
      </w:r>
      <w:proofErr w:type="spellEnd"/>
      <w:r w:rsidRPr="00225D4D">
        <w:t xml:space="preserve"> </w:t>
      </w:r>
      <w:proofErr w:type="spellStart"/>
      <w:r w:rsidRPr="00225D4D">
        <w:t>verksemdene</w:t>
      </w:r>
      <w:proofErr w:type="spellEnd"/>
      <w:r w:rsidRPr="00225D4D">
        <w:t xml:space="preserve"> for å </w:t>
      </w:r>
      <w:proofErr w:type="spellStart"/>
      <w:r w:rsidRPr="00225D4D">
        <w:t>gjere</w:t>
      </w:r>
      <w:proofErr w:type="spellEnd"/>
      <w:r w:rsidRPr="00225D4D">
        <w:t xml:space="preserve"> det betre kjent og </w:t>
      </w:r>
      <w:proofErr w:type="spellStart"/>
      <w:r w:rsidRPr="00225D4D">
        <w:t>auke</w:t>
      </w:r>
      <w:proofErr w:type="spellEnd"/>
      <w:r w:rsidRPr="00225D4D">
        <w:t xml:space="preserve"> bruken. </w:t>
      </w:r>
      <w:proofErr w:type="spellStart"/>
      <w:r w:rsidRPr="00225D4D">
        <w:t>Traineeordninga</w:t>
      </w:r>
      <w:proofErr w:type="spellEnd"/>
      <w:r w:rsidRPr="00225D4D">
        <w:t xml:space="preserve"> skal òg </w:t>
      </w:r>
      <w:proofErr w:type="spellStart"/>
      <w:r w:rsidRPr="00225D4D">
        <w:t>evaluerast</w:t>
      </w:r>
      <w:proofErr w:type="spellEnd"/>
      <w:r w:rsidRPr="00225D4D">
        <w:t xml:space="preserve">. Evalueringa skal munne ut i enkelte </w:t>
      </w:r>
      <w:proofErr w:type="spellStart"/>
      <w:r w:rsidRPr="00225D4D">
        <w:t>tilrådingar</w:t>
      </w:r>
      <w:proofErr w:type="spellEnd"/>
      <w:r w:rsidRPr="00225D4D">
        <w:t xml:space="preserve"> knytte til korleis programmet kan </w:t>
      </w:r>
      <w:proofErr w:type="spellStart"/>
      <w:r w:rsidRPr="00225D4D">
        <w:t>nyttast</w:t>
      </w:r>
      <w:proofErr w:type="spellEnd"/>
      <w:r w:rsidRPr="00225D4D">
        <w:t xml:space="preserve"> </w:t>
      </w:r>
      <w:proofErr w:type="spellStart"/>
      <w:r w:rsidRPr="00225D4D">
        <w:t>meir</w:t>
      </w:r>
      <w:proofErr w:type="spellEnd"/>
      <w:r w:rsidRPr="00225D4D">
        <w:t>.</w:t>
      </w:r>
    </w:p>
    <w:p w14:paraId="606CEFB6" w14:textId="77777777" w:rsidR="00D60186" w:rsidRPr="00225D4D" w:rsidRDefault="00D60186" w:rsidP="00225D4D">
      <w:proofErr w:type="spellStart"/>
      <w:r w:rsidRPr="00225D4D">
        <w:t>Sjølv</w:t>
      </w:r>
      <w:proofErr w:type="spellEnd"/>
      <w:r w:rsidRPr="00225D4D">
        <w:t xml:space="preserve"> om faste heile </w:t>
      </w:r>
      <w:proofErr w:type="spellStart"/>
      <w:r w:rsidRPr="00225D4D">
        <w:t>stillingar</w:t>
      </w:r>
      <w:proofErr w:type="spellEnd"/>
      <w:r w:rsidRPr="00225D4D">
        <w:t xml:space="preserve"> er </w:t>
      </w:r>
      <w:proofErr w:type="spellStart"/>
      <w:r w:rsidRPr="00225D4D">
        <w:t>eit</w:t>
      </w:r>
      <w:proofErr w:type="spellEnd"/>
      <w:r w:rsidRPr="00225D4D">
        <w:t xml:space="preserve"> viktig mål, vil Digitaliserings- og forvaltningsdepartementet </w:t>
      </w:r>
      <w:proofErr w:type="spellStart"/>
      <w:r w:rsidRPr="00225D4D">
        <w:t>undersøkje</w:t>
      </w:r>
      <w:proofErr w:type="spellEnd"/>
      <w:r w:rsidRPr="00225D4D">
        <w:t xml:space="preserve"> om utlysing av </w:t>
      </w:r>
      <w:proofErr w:type="spellStart"/>
      <w:r w:rsidRPr="00225D4D">
        <w:t>deltidsstillingar</w:t>
      </w:r>
      <w:proofErr w:type="spellEnd"/>
      <w:r w:rsidRPr="00225D4D">
        <w:t xml:space="preserve"> i større grad kan bidra til at menneske med nedsett funksjonsevne eller hol i CV-en kan bli tilsette i staten. Enkelte i målgruppa kan ha behov for dette. Dersom </w:t>
      </w:r>
      <w:proofErr w:type="spellStart"/>
      <w:r w:rsidRPr="00225D4D">
        <w:t>moglegheit</w:t>
      </w:r>
      <w:proofErr w:type="spellEnd"/>
      <w:r w:rsidRPr="00225D4D">
        <w:t xml:space="preserve"> for deltid blir </w:t>
      </w:r>
      <w:proofErr w:type="spellStart"/>
      <w:r w:rsidRPr="00225D4D">
        <w:t>synleggjort</w:t>
      </w:r>
      <w:proofErr w:type="spellEnd"/>
      <w:r w:rsidRPr="00225D4D">
        <w:t xml:space="preserve"> i utlysinga, vil departementet sjå om det kan bidra til at </w:t>
      </w:r>
      <w:proofErr w:type="spellStart"/>
      <w:r w:rsidRPr="00225D4D">
        <w:t>fleire</w:t>
      </w:r>
      <w:proofErr w:type="spellEnd"/>
      <w:r w:rsidRPr="00225D4D">
        <w:t xml:space="preserve"> i målgruppa </w:t>
      </w:r>
      <w:proofErr w:type="spellStart"/>
      <w:r w:rsidRPr="00225D4D">
        <w:t>søkjer</w:t>
      </w:r>
      <w:proofErr w:type="spellEnd"/>
      <w:r w:rsidRPr="00225D4D">
        <w:t xml:space="preserve"> og kan bli tilsette i staten.</w:t>
      </w:r>
    </w:p>
    <w:p w14:paraId="4E35096F"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63B7CBE0" w14:textId="77777777" w:rsidR="00D60186" w:rsidRPr="00225D4D" w:rsidRDefault="00D60186" w:rsidP="00225D4D">
      <w:pPr>
        <w:pStyle w:val="avsnitt-tittel"/>
      </w:pPr>
      <w:proofErr w:type="spellStart"/>
      <w:r w:rsidRPr="00225D4D">
        <w:t>Forbod</w:t>
      </w:r>
      <w:proofErr w:type="spellEnd"/>
      <w:r w:rsidRPr="00225D4D">
        <w:t xml:space="preserve"> mot utvinning av kryptovaluta</w:t>
      </w:r>
    </w:p>
    <w:p w14:paraId="1D154770" w14:textId="77777777" w:rsidR="00D60186" w:rsidRPr="00225D4D" w:rsidRDefault="00D60186" w:rsidP="00225D4D">
      <w:pPr>
        <w:pStyle w:val="avsnitt-undertittel"/>
      </w:pPr>
      <w:r w:rsidRPr="00225D4D">
        <w:t>Vedtak nr. 718, 6. juni 2024</w:t>
      </w:r>
    </w:p>
    <w:p w14:paraId="54625F37" w14:textId="77777777" w:rsidR="00D60186" w:rsidRPr="00225D4D" w:rsidRDefault="00D60186" w:rsidP="00225D4D">
      <w:pPr>
        <w:pStyle w:val="blokksit"/>
        <w:rPr>
          <w:rStyle w:val="kursiv"/>
        </w:rPr>
      </w:pPr>
      <w:r w:rsidRPr="00225D4D">
        <w:rPr>
          <w:rStyle w:val="kursiv"/>
        </w:rPr>
        <w:t>«Stortinget ber regjeringen utrede et forbud mot utvinning av kryptovaluta i Norge og komme tilbake til Stortinget senest i forbindelse med fremleggelsen av statsbudsjettet for 2025.»</w:t>
      </w:r>
    </w:p>
    <w:p w14:paraId="5CEB9E6A"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Birgit Oline Kjerstad og Lars Haltbrekken om konsesjon på datasentre, jf. Dokument 8:106 S (2023–2024) og </w:t>
      </w:r>
      <w:proofErr w:type="spellStart"/>
      <w:r w:rsidRPr="00225D4D">
        <w:t>Innst</w:t>
      </w:r>
      <w:proofErr w:type="spellEnd"/>
      <w:r w:rsidRPr="00225D4D">
        <w:t>. 383 S (2023–2024).</w:t>
      </w:r>
    </w:p>
    <w:p w14:paraId="562935C1" w14:textId="77777777" w:rsidR="00D60186" w:rsidRPr="00225D4D" w:rsidRDefault="00D60186" w:rsidP="00225D4D">
      <w:r w:rsidRPr="00225D4D">
        <w:t xml:space="preserve">I </w:t>
      </w:r>
      <w:proofErr w:type="spellStart"/>
      <w:r w:rsidRPr="00225D4D">
        <w:t>Prop</w:t>
      </w:r>
      <w:proofErr w:type="spellEnd"/>
      <w:r w:rsidRPr="00225D4D">
        <w:t xml:space="preserve">. 1 S (2024–2025) for Digitaliserings- og forvaltningsdepartementet blei det informert om at regjeringa har </w:t>
      </w:r>
      <w:proofErr w:type="spellStart"/>
      <w:r w:rsidRPr="00225D4D">
        <w:t>ein</w:t>
      </w:r>
      <w:proofErr w:type="spellEnd"/>
      <w:r w:rsidRPr="00225D4D">
        <w:t xml:space="preserve"> klar intensjon om å avgrense utvinning av kryptovaluta mest </w:t>
      </w:r>
      <w:proofErr w:type="spellStart"/>
      <w:r w:rsidRPr="00225D4D">
        <w:t>mogleg</w:t>
      </w:r>
      <w:proofErr w:type="spellEnd"/>
      <w:r w:rsidRPr="00225D4D">
        <w:t xml:space="preserve">, og at regjeringa har sett i gang </w:t>
      </w:r>
      <w:proofErr w:type="spellStart"/>
      <w:r w:rsidRPr="00225D4D">
        <w:t>eit</w:t>
      </w:r>
      <w:proofErr w:type="spellEnd"/>
      <w:r w:rsidRPr="00225D4D">
        <w:t xml:space="preserve"> arbeid for å vurdere handlingsrommet for korleis dette kan </w:t>
      </w:r>
      <w:proofErr w:type="spellStart"/>
      <w:r w:rsidRPr="00225D4D">
        <w:t>gjerast</w:t>
      </w:r>
      <w:proofErr w:type="spellEnd"/>
      <w:r w:rsidRPr="00225D4D">
        <w:t>.</w:t>
      </w:r>
    </w:p>
    <w:p w14:paraId="06000083" w14:textId="77777777" w:rsidR="00D60186" w:rsidRPr="00225D4D" w:rsidRDefault="00D60186" w:rsidP="00225D4D">
      <w:r w:rsidRPr="00225D4D">
        <w:t xml:space="preserve">Utvinning av kryptovaluta er </w:t>
      </w:r>
      <w:proofErr w:type="spellStart"/>
      <w:r w:rsidRPr="00225D4D">
        <w:t>kraftkrevjande</w:t>
      </w:r>
      <w:proofErr w:type="spellEnd"/>
      <w:r w:rsidRPr="00225D4D">
        <w:t xml:space="preserve">, og </w:t>
      </w:r>
      <w:proofErr w:type="spellStart"/>
      <w:r w:rsidRPr="00225D4D">
        <w:t>kastar</w:t>
      </w:r>
      <w:proofErr w:type="spellEnd"/>
      <w:r w:rsidRPr="00225D4D">
        <w:t xml:space="preserve"> lite av seg i lokalsamfunnet i form av </w:t>
      </w:r>
      <w:proofErr w:type="spellStart"/>
      <w:r w:rsidRPr="00225D4D">
        <w:t>arbeidsplassar</w:t>
      </w:r>
      <w:proofErr w:type="spellEnd"/>
      <w:r w:rsidRPr="00225D4D">
        <w:t xml:space="preserve"> og inntekter. </w:t>
      </w:r>
      <w:proofErr w:type="spellStart"/>
      <w:r w:rsidRPr="00225D4D">
        <w:t>Noreg</w:t>
      </w:r>
      <w:proofErr w:type="spellEnd"/>
      <w:r w:rsidRPr="00225D4D">
        <w:t xml:space="preserve"> er </w:t>
      </w:r>
      <w:proofErr w:type="spellStart"/>
      <w:r w:rsidRPr="00225D4D">
        <w:t>eit</w:t>
      </w:r>
      <w:proofErr w:type="spellEnd"/>
      <w:r w:rsidRPr="00225D4D">
        <w:t xml:space="preserve"> attraktivt land for utvinning av kryptovaluta på grunn av kombinasjonen av låge </w:t>
      </w:r>
      <w:proofErr w:type="spellStart"/>
      <w:r w:rsidRPr="00225D4D">
        <w:t>kraftprisar</w:t>
      </w:r>
      <w:proofErr w:type="spellEnd"/>
      <w:r w:rsidRPr="00225D4D">
        <w:t xml:space="preserve">, fornybar kraft, </w:t>
      </w:r>
      <w:proofErr w:type="spellStart"/>
      <w:r w:rsidRPr="00225D4D">
        <w:t>eit</w:t>
      </w:r>
      <w:proofErr w:type="spellEnd"/>
      <w:r w:rsidRPr="00225D4D">
        <w:t xml:space="preserve"> stabilt kraftsystem og </w:t>
      </w:r>
      <w:proofErr w:type="spellStart"/>
      <w:r w:rsidRPr="00225D4D">
        <w:t>eit</w:t>
      </w:r>
      <w:proofErr w:type="spellEnd"/>
      <w:r w:rsidRPr="00225D4D">
        <w:t xml:space="preserve"> kjølig klima, </w:t>
      </w:r>
      <w:proofErr w:type="spellStart"/>
      <w:r w:rsidRPr="00225D4D">
        <w:t>noko</w:t>
      </w:r>
      <w:proofErr w:type="spellEnd"/>
      <w:r w:rsidRPr="00225D4D">
        <w:t xml:space="preserve"> som betyr </w:t>
      </w:r>
      <w:proofErr w:type="spellStart"/>
      <w:r w:rsidRPr="00225D4D">
        <w:t>lågare</w:t>
      </w:r>
      <w:proofErr w:type="spellEnd"/>
      <w:r w:rsidRPr="00225D4D">
        <w:t xml:space="preserve"> </w:t>
      </w:r>
      <w:proofErr w:type="spellStart"/>
      <w:r w:rsidRPr="00225D4D">
        <w:t>kostnadar</w:t>
      </w:r>
      <w:proofErr w:type="spellEnd"/>
      <w:r w:rsidRPr="00225D4D">
        <w:t xml:space="preserve"> til kjøling. Kraftprisen er </w:t>
      </w:r>
      <w:proofErr w:type="spellStart"/>
      <w:r w:rsidRPr="00225D4D">
        <w:t>ein</w:t>
      </w:r>
      <w:proofErr w:type="spellEnd"/>
      <w:r w:rsidRPr="00225D4D">
        <w:t xml:space="preserve"> viktig lokaliseringsfaktor for </w:t>
      </w:r>
      <w:proofErr w:type="spellStart"/>
      <w:r w:rsidRPr="00225D4D">
        <w:t>kryptoaktørar</w:t>
      </w:r>
      <w:proofErr w:type="spellEnd"/>
      <w:r w:rsidRPr="00225D4D">
        <w:t>.</w:t>
      </w:r>
    </w:p>
    <w:p w14:paraId="49205B6F" w14:textId="77777777" w:rsidR="00D60186" w:rsidRPr="00225D4D" w:rsidRDefault="00D60186" w:rsidP="00225D4D">
      <w:r w:rsidRPr="00225D4D">
        <w:t xml:space="preserve">Regjeringa har fått gjort ei brei vurdering av handlingsrommet for regulering av utvinning av kryptovaluta, mellom anna </w:t>
      </w:r>
      <w:proofErr w:type="spellStart"/>
      <w:r w:rsidRPr="00225D4D">
        <w:t>eit</w:t>
      </w:r>
      <w:proofErr w:type="spellEnd"/>
      <w:r w:rsidRPr="00225D4D">
        <w:t xml:space="preserve"> generelt </w:t>
      </w:r>
      <w:proofErr w:type="spellStart"/>
      <w:r w:rsidRPr="00225D4D">
        <w:t>forbod</w:t>
      </w:r>
      <w:proofErr w:type="spellEnd"/>
      <w:r w:rsidRPr="00225D4D">
        <w:t xml:space="preserve"> mot utvinning av kryptovaluta. Basert på </w:t>
      </w:r>
      <w:proofErr w:type="spellStart"/>
      <w:r w:rsidRPr="00225D4D">
        <w:t>dei</w:t>
      </w:r>
      <w:proofErr w:type="spellEnd"/>
      <w:r w:rsidRPr="00225D4D">
        <w:t xml:space="preserve"> EØS-</w:t>
      </w:r>
      <w:proofErr w:type="spellStart"/>
      <w:r w:rsidRPr="00225D4D">
        <w:t>rettslege</w:t>
      </w:r>
      <w:proofErr w:type="spellEnd"/>
      <w:r w:rsidRPr="00225D4D">
        <w:t xml:space="preserve"> </w:t>
      </w:r>
      <w:proofErr w:type="spellStart"/>
      <w:r w:rsidRPr="00225D4D">
        <w:t>vurderingane</w:t>
      </w:r>
      <w:proofErr w:type="spellEnd"/>
      <w:r w:rsidRPr="00225D4D">
        <w:t xml:space="preserve">, meiner regjeringa at det er </w:t>
      </w:r>
      <w:proofErr w:type="spellStart"/>
      <w:r w:rsidRPr="00225D4D">
        <w:t>vanskeleg</w:t>
      </w:r>
      <w:proofErr w:type="spellEnd"/>
      <w:r w:rsidRPr="00225D4D">
        <w:t xml:space="preserve"> per </w:t>
      </w:r>
      <w:proofErr w:type="spellStart"/>
      <w:r w:rsidRPr="00225D4D">
        <w:t>no</w:t>
      </w:r>
      <w:proofErr w:type="spellEnd"/>
      <w:r w:rsidRPr="00225D4D">
        <w:t xml:space="preserve"> å sjå at grunnlaget for å innføre </w:t>
      </w:r>
      <w:proofErr w:type="spellStart"/>
      <w:r w:rsidRPr="00225D4D">
        <w:t>eit</w:t>
      </w:r>
      <w:proofErr w:type="spellEnd"/>
      <w:r w:rsidRPr="00225D4D">
        <w:t xml:space="preserve"> generelt </w:t>
      </w:r>
      <w:proofErr w:type="spellStart"/>
      <w:r w:rsidRPr="00225D4D">
        <w:t>forbod</w:t>
      </w:r>
      <w:proofErr w:type="spellEnd"/>
      <w:r w:rsidRPr="00225D4D">
        <w:t xml:space="preserve"> mot utvinning av kryptovaluta er til </w:t>
      </w:r>
      <w:proofErr w:type="spellStart"/>
      <w:r w:rsidRPr="00225D4D">
        <w:t>stades</w:t>
      </w:r>
      <w:proofErr w:type="spellEnd"/>
      <w:r w:rsidRPr="00225D4D">
        <w:t xml:space="preserve">. Mindre </w:t>
      </w:r>
      <w:proofErr w:type="spellStart"/>
      <w:r w:rsidRPr="00225D4D">
        <w:t>inngripande</w:t>
      </w:r>
      <w:proofErr w:type="spellEnd"/>
      <w:r w:rsidRPr="00225D4D">
        <w:t xml:space="preserve"> </w:t>
      </w:r>
      <w:proofErr w:type="spellStart"/>
      <w:r w:rsidRPr="00225D4D">
        <w:t>ordningar</w:t>
      </w:r>
      <w:proofErr w:type="spellEnd"/>
      <w:r w:rsidRPr="00225D4D">
        <w:t xml:space="preserve"> enn </w:t>
      </w:r>
      <w:proofErr w:type="spellStart"/>
      <w:r w:rsidRPr="00225D4D">
        <w:t>eit</w:t>
      </w:r>
      <w:proofErr w:type="spellEnd"/>
      <w:r w:rsidRPr="00225D4D">
        <w:t xml:space="preserve"> generelt </w:t>
      </w:r>
      <w:proofErr w:type="spellStart"/>
      <w:r w:rsidRPr="00225D4D">
        <w:t>forbod</w:t>
      </w:r>
      <w:proofErr w:type="spellEnd"/>
      <w:r w:rsidRPr="00225D4D">
        <w:t xml:space="preserve"> vil </w:t>
      </w:r>
      <w:proofErr w:type="spellStart"/>
      <w:r w:rsidRPr="00225D4D">
        <w:t>vere</w:t>
      </w:r>
      <w:proofErr w:type="spellEnd"/>
      <w:r w:rsidRPr="00225D4D">
        <w:t xml:space="preserve"> </w:t>
      </w:r>
      <w:proofErr w:type="spellStart"/>
      <w:r w:rsidRPr="00225D4D">
        <w:t>lettare</w:t>
      </w:r>
      <w:proofErr w:type="spellEnd"/>
      <w:r w:rsidRPr="00225D4D">
        <w:t xml:space="preserve"> </w:t>
      </w:r>
      <w:proofErr w:type="spellStart"/>
      <w:r w:rsidRPr="00225D4D">
        <w:t>foreinleg</w:t>
      </w:r>
      <w:proofErr w:type="spellEnd"/>
      <w:r w:rsidRPr="00225D4D">
        <w:t xml:space="preserve"> med </w:t>
      </w:r>
      <w:proofErr w:type="spellStart"/>
      <w:r w:rsidRPr="00225D4D">
        <w:t>Noreg</w:t>
      </w:r>
      <w:proofErr w:type="spellEnd"/>
      <w:r w:rsidRPr="00225D4D">
        <w:t xml:space="preserve"> sine EØS-</w:t>
      </w:r>
      <w:proofErr w:type="spellStart"/>
      <w:proofErr w:type="gramStart"/>
      <w:r w:rsidRPr="00225D4D">
        <w:t>rettslege</w:t>
      </w:r>
      <w:proofErr w:type="spellEnd"/>
      <w:r w:rsidRPr="00225D4D">
        <w:t xml:space="preserve"> plikter</w:t>
      </w:r>
      <w:proofErr w:type="gramEnd"/>
      <w:r w:rsidRPr="00225D4D">
        <w:t xml:space="preserve"> enn </w:t>
      </w:r>
      <w:proofErr w:type="spellStart"/>
      <w:r w:rsidRPr="00225D4D">
        <w:t>eit</w:t>
      </w:r>
      <w:proofErr w:type="spellEnd"/>
      <w:r w:rsidRPr="00225D4D">
        <w:t xml:space="preserve"> </w:t>
      </w:r>
      <w:proofErr w:type="spellStart"/>
      <w:r w:rsidRPr="00225D4D">
        <w:t>totalforbod</w:t>
      </w:r>
      <w:proofErr w:type="spellEnd"/>
      <w:r w:rsidRPr="00225D4D">
        <w:t>.</w:t>
      </w:r>
    </w:p>
    <w:p w14:paraId="796093DA" w14:textId="77777777" w:rsidR="00D60186" w:rsidRPr="00225D4D" w:rsidRDefault="00D60186" w:rsidP="00225D4D">
      <w:r w:rsidRPr="00225D4D">
        <w:t xml:space="preserve">Regjeringa har av den grunn i staden </w:t>
      </w:r>
      <w:proofErr w:type="spellStart"/>
      <w:r w:rsidRPr="00225D4D">
        <w:t>utgreia</w:t>
      </w:r>
      <w:proofErr w:type="spellEnd"/>
      <w:r w:rsidRPr="00225D4D">
        <w:t xml:space="preserve"> </w:t>
      </w:r>
      <w:proofErr w:type="spellStart"/>
      <w:r w:rsidRPr="00225D4D">
        <w:t>eit</w:t>
      </w:r>
      <w:proofErr w:type="spellEnd"/>
      <w:r w:rsidRPr="00225D4D">
        <w:t xml:space="preserve"> mindre </w:t>
      </w:r>
      <w:proofErr w:type="spellStart"/>
      <w:r w:rsidRPr="00225D4D">
        <w:t>inngripande</w:t>
      </w:r>
      <w:proofErr w:type="spellEnd"/>
      <w:r w:rsidRPr="00225D4D">
        <w:t xml:space="preserve"> tiltak i form av </w:t>
      </w:r>
      <w:proofErr w:type="spellStart"/>
      <w:r w:rsidRPr="00225D4D">
        <w:t>eit</w:t>
      </w:r>
      <w:proofErr w:type="spellEnd"/>
      <w:r w:rsidRPr="00225D4D">
        <w:t xml:space="preserve"> mellombels </w:t>
      </w:r>
      <w:proofErr w:type="spellStart"/>
      <w:r w:rsidRPr="00225D4D">
        <w:t>forbod</w:t>
      </w:r>
      <w:proofErr w:type="spellEnd"/>
      <w:r w:rsidRPr="00225D4D">
        <w:t xml:space="preserve"> mot lokalisering av datasenter som i all </w:t>
      </w:r>
      <w:proofErr w:type="spellStart"/>
      <w:r w:rsidRPr="00225D4D">
        <w:t>hovudsak</w:t>
      </w:r>
      <w:proofErr w:type="spellEnd"/>
      <w:r w:rsidRPr="00225D4D">
        <w:t xml:space="preserve"> driv med </w:t>
      </w:r>
      <w:proofErr w:type="spellStart"/>
      <w:r w:rsidRPr="00225D4D">
        <w:t>kraftkrevjande</w:t>
      </w:r>
      <w:proofErr w:type="spellEnd"/>
      <w:r w:rsidRPr="00225D4D">
        <w:t xml:space="preserve"> utvinning av kryptovaluta. Tiltaket, som blei presentert i regjeringa sin nye datasenterstrategi i juni 2025, vil </w:t>
      </w:r>
      <w:proofErr w:type="spellStart"/>
      <w:r w:rsidRPr="00225D4D">
        <w:t>vere</w:t>
      </w:r>
      <w:proofErr w:type="spellEnd"/>
      <w:r w:rsidRPr="00225D4D">
        <w:t xml:space="preserve"> ei </w:t>
      </w:r>
      <w:proofErr w:type="spellStart"/>
      <w:r w:rsidRPr="00225D4D">
        <w:t>statleg</w:t>
      </w:r>
      <w:proofErr w:type="spellEnd"/>
      <w:r w:rsidRPr="00225D4D">
        <w:t xml:space="preserve"> planforskrift heimla i plan- og bygningslova. Forskrifta vil kunne </w:t>
      </w:r>
      <w:proofErr w:type="spellStart"/>
      <w:r w:rsidRPr="00225D4D">
        <w:t>innrettast</w:t>
      </w:r>
      <w:proofErr w:type="spellEnd"/>
      <w:r w:rsidRPr="00225D4D">
        <w:t xml:space="preserve"> slik at den </w:t>
      </w:r>
      <w:proofErr w:type="spellStart"/>
      <w:r w:rsidRPr="00225D4D">
        <w:t>legg</w:t>
      </w:r>
      <w:proofErr w:type="spellEnd"/>
      <w:r w:rsidRPr="00225D4D">
        <w:t xml:space="preserve"> til rette for at slike datasenter enten må få godkjenning </w:t>
      </w:r>
      <w:proofErr w:type="spellStart"/>
      <w:r w:rsidRPr="00225D4D">
        <w:t>frå</w:t>
      </w:r>
      <w:proofErr w:type="spellEnd"/>
      <w:r w:rsidRPr="00225D4D">
        <w:t xml:space="preserve"> Kommunal- og </w:t>
      </w:r>
      <w:proofErr w:type="spellStart"/>
      <w:r w:rsidRPr="00225D4D">
        <w:t>distriktsdepartementet</w:t>
      </w:r>
      <w:proofErr w:type="spellEnd"/>
      <w:r w:rsidRPr="00225D4D">
        <w:t xml:space="preserve"> som </w:t>
      </w:r>
      <w:proofErr w:type="spellStart"/>
      <w:r w:rsidRPr="00225D4D">
        <w:t>øvste</w:t>
      </w:r>
      <w:proofErr w:type="spellEnd"/>
      <w:r w:rsidRPr="00225D4D">
        <w:t xml:space="preserve"> planmynde, eller at det </w:t>
      </w:r>
      <w:proofErr w:type="spellStart"/>
      <w:r w:rsidRPr="00225D4D">
        <w:t>berre</w:t>
      </w:r>
      <w:proofErr w:type="spellEnd"/>
      <w:r w:rsidRPr="00225D4D">
        <w:t xml:space="preserve"> kan </w:t>
      </w:r>
      <w:proofErr w:type="spellStart"/>
      <w:r w:rsidRPr="00225D4D">
        <w:t>byggast</w:t>
      </w:r>
      <w:proofErr w:type="spellEnd"/>
      <w:r w:rsidRPr="00225D4D">
        <w:t xml:space="preserve"> dersom </w:t>
      </w:r>
      <w:proofErr w:type="spellStart"/>
      <w:r w:rsidRPr="00225D4D">
        <w:t>ein</w:t>
      </w:r>
      <w:proofErr w:type="spellEnd"/>
      <w:r w:rsidRPr="00225D4D">
        <w:t xml:space="preserve"> </w:t>
      </w:r>
      <w:proofErr w:type="spellStart"/>
      <w:r w:rsidRPr="00225D4D">
        <w:t>godkjend</w:t>
      </w:r>
      <w:proofErr w:type="spellEnd"/>
      <w:r w:rsidRPr="00225D4D">
        <w:t xml:space="preserve"> kommunal arealplan </w:t>
      </w:r>
      <w:proofErr w:type="spellStart"/>
      <w:r w:rsidRPr="00225D4D">
        <w:t>opnar</w:t>
      </w:r>
      <w:proofErr w:type="spellEnd"/>
      <w:r w:rsidRPr="00225D4D">
        <w:t xml:space="preserve"> for det ut </w:t>
      </w:r>
      <w:proofErr w:type="spellStart"/>
      <w:r w:rsidRPr="00225D4D">
        <w:t>frå</w:t>
      </w:r>
      <w:proofErr w:type="spellEnd"/>
      <w:r w:rsidRPr="00225D4D">
        <w:t xml:space="preserve"> krav gitt i den </w:t>
      </w:r>
      <w:proofErr w:type="spellStart"/>
      <w:r w:rsidRPr="00225D4D">
        <w:t>statlege</w:t>
      </w:r>
      <w:proofErr w:type="spellEnd"/>
      <w:r w:rsidRPr="00225D4D">
        <w:t xml:space="preserve"> planforskrifta. </w:t>
      </w:r>
      <w:proofErr w:type="spellStart"/>
      <w:r w:rsidRPr="00225D4D">
        <w:t>Statlege</w:t>
      </w:r>
      <w:proofErr w:type="spellEnd"/>
      <w:r w:rsidRPr="00225D4D">
        <w:t xml:space="preserve"> planforskrifter er juridisk </w:t>
      </w:r>
      <w:proofErr w:type="spellStart"/>
      <w:r w:rsidRPr="00225D4D">
        <w:t>bindande</w:t>
      </w:r>
      <w:proofErr w:type="spellEnd"/>
      <w:r w:rsidRPr="00225D4D">
        <w:t xml:space="preserve"> </w:t>
      </w:r>
      <w:proofErr w:type="spellStart"/>
      <w:r w:rsidRPr="00225D4D">
        <w:t>reglar</w:t>
      </w:r>
      <w:proofErr w:type="spellEnd"/>
      <w:r w:rsidRPr="00225D4D">
        <w:t xml:space="preserve"> og blir </w:t>
      </w:r>
      <w:proofErr w:type="spellStart"/>
      <w:r w:rsidRPr="00225D4D">
        <w:t>vedtekne</w:t>
      </w:r>
      <w:proofErr w:type="spellEnd"/>
      <w:r w:rsidRPr="00225D4D">
        <w:t xml:space="preserve"> som </w:t>
      </w:r>
      <w:proofErr w:type="spellStart"/>
      <w:r w:rsidRPr="00225D4D">
        <w:t>kongelege</w:t>
      </w:r>
      <w:proofErr w:type="spellEnd"/>
      <w:r w:rsidRPr="00225D4D">
        <w:t xml:space="preserve"> </w:t>
      </w:r>
      <w:proofErr w:type="spellStart"/>
      <w:r w:rsidRPr="00225D4D">
        <w:t>resolusjonar</w:t>
      </w:r>
      <w:proofErr w:type="spellEnd"/>
      <w:r w:rsidRPr="00225D4D">
        <w:t xml:space="preserve">. Utforminga og </w:t>
      </w:r>
      <w:proofErr w:type="spellStart"/>
      <w:r w:rsidRPr="00225D4D">
        <w:t>effektane</w:t>
      </w:r>
      <w:proofErr w:type="spellEnd"/>
      <w:r w:rsidRPr="00225D4D">
        <w:t xml:space="preserve"> av ei slik ordning må </w:t>
      </w:r>
      <w:proofErr w:type="spellStart"/>
      <w:r w:rsidRPr="00225D4D">
        <w:t>utgreiast</w:t>
      </w:r>
      <w:proofErr w:type="spellEnd"/>
      <w:r w:rsidRPr="00225D4D">
        <w:t xml:space="preserve"> </w:t>
      </w:r>
      <w:proofErr w:type="spellStart"/>
      <w:r w:rsidRPr="00225D4D">
        <w:t>nærmare</w:t>
      </w:r>
      <w:proofErr w:type="spellEnd"/>
      <w:r w:rsidRPr="00225D4D">
        <w:t xml:space="preserve">. Det same gjeld forholdet til EØS-retten. Kommunal- og </w:t>
      </w:r>
      <w:proofErr w:type="spellStart"/>
      <w:r w:rsidRPr="00225D4D">
        <w:t>distriktsdepartementet</w:t>
      </w:r>
      <w:proofErr w:type="spellEnd"/>
      <w:r w:rsidRPr="00225D4D">
        <w:t xml:space="preserve"> vil utgreie </w:t>
      </w:r>
      <w:proofErr w:type="spellStart"/>
      <w:r w:rsidRPr="00225D4D">
        <w:t>eit</w:t>
      </w:r>
      <w:proofErr w:type="spellEnd"/>
      <w:r w:rsidRPr="00225D4D">
        <w:t xml:space="preserve"> slikt </w:t>
      </w:r>
      <w:proofErr w:type="spellStart"/>
      <w:r w:rsidRPr="00225D4D">
        <w:t>forbod</w:t>
      </w:r>
      <w:proofErr w:type="spellEnd"/>
      <w:r w:rsidRPr="00225D4D">
        <w:t>.</w:t>
      </w:r>
    </w:p>
    <w:p w14:paraId="09150CEE" w14:textId="77777777" w:rsidR="00D60186" w:rsidRPr="00225D4D" w:rsidRDefault="00D60186" w:rsidP="00225D4D">
      <w:r w:rsidRPr="00225D4D">
        <w:t xml:space="preserve">Målet med tiltaket er å </w:t>
      </w:r>
      <w:proofErr w:type="spellStart"/>
      <w:r w:rsidRPr="00225D4D">
        <w:t>frigjere</w:t>
      </w:r>
      <w:proofErr w:type="spellEnd"/>
      <w:r w:rsidRPr="00225D4D">
        <w:t xml:space="preserve"> kraft, nettkapasitet og areal til andre </w:t>
      </w:r>
      <w:proofErr w:type="spellStart"/>
      <w:r w:rsidRPr="00225D4D">
        <w:t>føremål</w:t>
      </w:r>
      <w:proofErr w:type="spellEnd"/>
      <w:r w:rsidRPr="00225D4D">
        <w:t xml:space="preserve">. Vi må sikre oss at tiltak er effektive og treff utvinning av kryptovaluta. På same tid må </w:t>
      </w:r>
      <w:proofErr w:type="spellStart"/>
      <w:r w:rsidRPr="00225D4D">
        <w:t>ikkje</w:t>
      </w:r>
      <w:proofErr w:type="spellEnd"/>
      <w:r w:rsidRPr="00225D4D">
        <w:t xml:space="preserve"> tiltaka råke datasenter som er nødvendige for den ønskte digitaliseringa av samfunnet. Det er </w:t>
      </w:r>
      <w:proofErr w:type="spellStart"/>
      <w:r w:rsidRPr="00225D4D">
        <w:t>avgjerande</w:t>
      </w:r>
      <w:proofErr w:type="spellEnd"/>
      <w:r w:rsidRPr="00225D4D">
        <w:t xml:space="preserve"> for næringa å ha </w:t>
      </w:r>
      <w:proofErr w:type="spellStart"/>
      <w:r w:rsidRPr="00225D4D">
        <w:t>føreseielege</w:t>
      </w:r>
      <w:proofErr w:type="spellEnd"/>
      <w:r w:rsidRPr="00225D4D">
        <w:t xml:space="preserve"> og hensiktsmessige rammevilkår. Datasenter er </w:t>
      </w:r>
      <w:proofErr w:type="spellStart"/>
      <w:r w:rsidRPr="00225D4D">
        <w:t>ein</w:t>
      </w:r>
      <w:proofErr w:type="spellEnd"/>
      <w:r w:rsidRPr="00225D4D">
        <w:t xml:space="preserve"> viktig del av den digitale infrastrukturen og </w:t>
      </w:r>
      <w:proofErr w:type="spellStart"/>
      <w:r w:rsidRPr="00225D4D">
        <w:t>ein</w:t>
      </w:r>
      <w:proofErr w:type="spellEnd"/>
      <w:r w:rsidRPr="00225D4D">
        <w:t xml:space="preserve"> kritisk </w:t>
      </w:r>
      <w:proofErr w:type="spellStart"/>
      <w:r w:rsidRPr="00225D4D">
        <w:t>føresetnad</w:t>
      </w:r>
      <w:proofErr w:type="spellEnd"/>
      <w:r w:rsidRPr="00225D4D">
        <w:t xml:space="preserve"> for all digitalisering. Det er usikkert kor stort omfanget av kryptoutvinning vil </w:t>
      </w:r>
      <w:proofErr w:type="spellStart"/>
      <w:r w:rsidRPr="00225D4D">
        <w:t>vere</w:t>
      </w:r>
      <w:proofErr w:type="spellEnd"/>
      <w:r w:rsidRPr="00225D4D">
        <w:t xml:space="preserve"> i </w:t>
      </w:r>
      <w:proofErr w:type="spellStart"/>
      <w:r w:rsidRPr="00225D4D">
        <w:t>Noreg</w:t>
      </w:r>
      <w:proofErr w:type="spellEnd"/>
      <w:r w:rsidRPr="00225D4D">
        <w:t xml:space="preserve"> framover. Registreringsplikta i den nye datasenterforskrifta skal </w:t>
      </w:r>
      <w:proofErr w:type="spellStart"/>
      <w:r w:rsidRPr="00225D4D">
        <w:t>gjere</w:t>
      </w:r>
      <w:proofErr w:type="spellEnd"/>
      <w:r w:rsidRPr="00225D4D">
        <w:t xml:space="preserve"> det </w:t>
      </w:r>
      <w:proofErr w:type="spellStart"/>
      <w:r w:rsidRPr="00225D4D">
        <w:t>enklare</w:t>
      </w:r>
      <w:proofErr w:type="spellEnd"/>
      <w:r w:rsidRPr="00225D4D">
        <w:t xml:space="preserve"> å få oversikt, </w:t>
      </w:r>
      <w:proofErr w:type="spellStart"/>
      <w:r w:rsidRPr="00225D4D">
        <w:t>følgje</w:t>
      </w:r>
      <w:proofErr w:type="spellEnd"/>
      <w:r w:rsidRPr="00225D4D">
        <w:t xml:space="preserve"> med på utviklinga og føre tilsyn med datasenter, </w:t>
      </w:r>
      <w:proofErr w:type="spellStart"/>
      <w:r w:rsidRPr="00225D4D">
        <w:t>medrekna</w:t>
      </w:r>
      <w:proofErr w:type="spellEnd"/>
      <w:r w:rsidRPr="00225D4D">
        <w:t xml:space="preserve"> </w:t>
      </w:r>
      <w:proofErr w:type="spellStart"/>
      <w:r w:rsidRPr="00225D4D">
        <w:t>dei</w:t>
      </w:r>
      <w:proofErr w:type="spellEnd"/>
      <w:r w:rsidRPr="00225D4D">
        <w:t xml:space="preserve"> som vinn ut kryptovaluta.</w:t>
      </w:r>
    </w:p>
    <w:p w14:paraId="079DCE52"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4C00DAAF" w14:textId="77777777" w:rsidR="00D60186" w:rsidRPr="00225D4D" w:rsidRDefault="00D60186" w:rsidP="00225D4D">
      <w:pPr>
        <w:pStyle w:val="Overskrift2"/>
      </w:pPr>
      <w:r w:rsidRPr="00225D4D">
        <w:t>Stortingssesjon 2022–2023</w:t>
      </w:r>
    </w:p>
    <w:p w14:paraId="57D23C92" w14:textId="77777777" w:rsidR="00D60186" w:rsidRPr="00225D4D" w:rsidRDefault="00D60186" w:rsidP="00225D4D">
      <w:pPr>
        <w:pStyle w:val="avsnitt-tittel"/>
      </w:pPr>
      <w:proofErr w:type="spellStart"/>
      <w:r w:rsidRPr="00225D4D">
        <w:t>Konsekvensar</w:t>
      </w:r>
      <w:proofErr w:type="spellEnd"/>
      <w:r w:rsidRPr="00225D4D">
        <w:t xml:space="preserve"> ved </w:t>
      </w:r>
      <w:proofErr w:type="spellStart"/>
      <w:r w:rsidRPr="00225D4D">
        <w:t>eit</w:t>
      </w:r>
      <w:proofErr w:type="spellEnd"/>
      <w:r w:rsidRPr="00225D4D">
        <w:t xml:space="preserve"> norsk </w:t>
      </w:r>
      <w:proofErr w:type="spellStart"/>
      <w:r w:rsidRPr="00225D4D">
        <w:t>forbod</w:t>
      </w:r>
      <w:proofErr w:type="spellEnd"/>
      <w:r w:rsidRPr="00225D4D">
        <w:t xml:space="preserve"> mot </w:t>
      </w:r>
      <w:proofErr w:type="spellStart"/>
      <w:r w:rsidRPr="00225D4D">
        <w:t>atferdsbasert</w:t>
      </w:r>
      <w:proofErr w:type="spellEnd"/>
      <w:r w:rsidRPr="00225D4D">
        <w:t xml:space="preserve"> reklame</w:t>
      </w:r>
    </w:p>
    <w:p w14:paraId="376A9471" w14:textId="77777777" w:rsidR="00D60186" w:rsidRPr="00225D4D" w:rsidRDefault="00D60186" w:rsidP="00225D4D">
      <w:pPr>
        <w:pStyle w:val="avsnitt-undertittel"/>
      </w:pPr>
      <w:r w:rsidRPr="00225D4D">
        <w:t>Vedtak nr. 196, 12. desember 2022</w:t>
      </w:r>
    </w:p>
    <w:p w14:paraId="0ECD8001" w14:textId="77777777" w:rsidR="00D60186" w:rsidRPr="00225D4D" w:rsidRDefault="00D60186" w:rsidP="00225D4D">
      <w:pPr>
        <w:pStyle w:val="blokksit"/>
        <w:rPr>
          <w:rStyle w:val="kursiv"/>
        </w:rPr>
      </w:pPr>
      <w:r w:rsidRPr="00225D4D">
        <w:rPr>
          <w:rStyle w:val="kursiv"/>
        </w:rPr>
        <w:t xml:space="preserve">«Stortinget ber regjeringen vurdere hvilket handlingsrom Norge har til å regulere digitale tjenester utover reguleringen i Digital Services </w:t>
      </w:r>
      <w:proofErr w:type="spellStart"/>
      <w:r w:rsidRPr="00225D4D">
        <w:rPr>
          <w:rStyle w:val="kursiv"/>
        </w:rPr>
        <w:t>Act</w:t>
      </w:r>
      <w:proofErr w:type="spellEnd"/>
      <w:r w:rsidRPr="00225D4D">
        <w:rPr>
          <w:rStyle w:val="kursiv"/>
        </w:rPr>
        <w:t xml:space="preserve"> og Digital Markets </w:t>
      </w:r>
      <w:proofErr w:type="spellStart"/>
      <w:r w:rsidRPr="00225D4D">
        <w:rPr>
          <w:rStyle w:val="kursiv"/>
        </w:rPr>
        <w:t>Act</w:t>
      </w:r>
      <w:proofErr w:type="spellEnd"/>
      <w:r w:rsidRPr="00225D4D">
        <w:rPr>
          <w:rStyle w:val="kursiv"/>
        </w:rPr>
        <w:t>, med tanke på å vurdere konsekvenser ved et norsk forbud mot reklame som er basert på masseinnsamling av personopplysninger, sporing og profilering av enkeltpersoner på digitale plattformer. Vurderingen skal omfatte både innhentingen, bruken og eventuelt salg/utlevering av personopplysningene.»</w:t>
      </w:r>
    </w:p>
    <w:p w14:paraId="7CB46EBE"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Guri Melby, Sveinung Rotevatn, Ingvild </w:t>
      </w:r>
      <w:proofErr w:type="spellStart"/>
      <w:r w:rsidRPr="00225D4D">
        <w:t>Wetrhus</w:t>
      </w:r>
      <w:proofErr w:type="spellEnd"/>
      <w:r w:rsidRPr="00225D4D">
        <w:t xml:space="preserve"> </w:t>
      </w:r>
      <w:proofErr w:type="spellStart"/>
      <w:r w:rsidRPr="00225D4D">
        <w:t>Thorsvik</w:t>
      </w:r>
      <w:proofErr w:type="spellEnd"/>
      <w:r w:rsidRPr="00225D4D">
        <w:t xml:space="preserve">, Grunde Almeland og Alfred Jens Bjørlo om betre personvern på sosiale media, jf. Dokument 8:167 S (2021–2022) og </w:t>
      </w:r>
      <w:proofErr w:type="spellStart"/>
      <w:r w:rsidRPr="00225D4D">
        <w:t>Innst</w:t>
      </w:r>
      <w:proofErr w:type="spellEnd"/>
      <w:r w:rsidRPr="00225D4D">
        <w:t>. 100 S (2022–2023).</w:t>
      </w:r>
    </w:p>
    <w:p w14:paraId="31095AB2" w14:textId="77777777" w:rsidR="00D60186" w:rsidRPr="00225D4D" w:rsidRDefault="00D60186" w:rsidP="00225D4D">
      <w:r w:rsidRPr="00225D4D">
        <w:t xml:space="preserve">Departementet er opptatt av </w:t>
      </w:r>
      <w:proofErr w:type="spellStart"/>
      <w:r w:rsidRPr="00225D4D">
        <w:t>ein</w:t>
      </w:r>
      <w:proofErr w:type="spellEnd"/>
      <w:r w:rsidRPr="00225D4D">
        <w:t xml:space="preserve"> god digitaliseringspolitikk som tar vare på både personvernet og næringsinteresser. Det pågår for tida </w:t>
      </w:r>
      <w:proofErr w:type="spellStart"/>
      <w:r w:rsidRPr="00225D4D">
        <w:t>eit</w:t>
      </w:r>
      <w:proofErr w:type="spellEnd"/>
      <w:r w:rsidRPr="00225D4D">
        <w:t xml:space="preserve"> arbeid med å gjennomføre både Digital Services </w:t>
      </w:r>
      <w:proofErr w:type="spellStart"/>
      <w:r w:rsidRPr="00225D4D">
        <w:t>Act</w:t>
      </w:r>
      <w:proofErr w:type="spellEnd"/>
      <w:r w:rsidRPr="00225D4D">
        <w:t xml:space="preserve"> (DSA) og Digital Markets </w:t>
      </w:r>
      <w:proofErr w:type="spellStart"/>
      <w:r w:rsidRPr="00225D4D">
        <w:t>Act</w:t>
      </w:r>
      <w:proofErr w:type="spellEnd"/>
      <w:r w:rsidRPr="00225D4D">
        <w:t xml:space="preserve"> (DMA) i norsk rett. Regjeringa prioriterer dette arbeidet høgt og tar sikte på å legge fram lovforslag våren 2026. DSA er </w:t>
      </w:r>
      <w:proofErr w:type="spellStart"/>
      <w:r w:rsidRPr="00225D4D">
        <w:t>totalharmoniserande</w:t>
      </w:r>
      <w:proofErr w:type="spellEnd"/>
      <w:r w:rsidRPr="00225D4D">
        <w:t xml:space="preserve"> </w:t>
      </w:r>
      <w:proofErr w:type="spellStart"/>
      <w:r w:rsidRPr="00225D4D">
        <w:t>innanfor</w:t>
      </w:r>
      <w:proofErr w:type="spellEnd"/>
      <w:r w:rsidRPr="00225D4D">
        <w:t xml:space="preserve"> sitt område. Dette </w:t>
      </w:r>
      <w:proofErr w:type="spellStart"/>
      <w:r w:rsidRPr="00225D4D">
        <w:t>inneber</w:t>
      </w:r>
      <w:proofErr w:type="spellEnd"/>
      <w:r w:rsidRPr="00225D4D">
        <w:t xml:space="preserve"> at landa </w:t>
      </w:r>
      <w:proofErr w:type="spellStart"/>
      <w:r w:rsidRPr="00225D4D">
        <w:t>ikkje</w:t>
      </w:r>
      <w:proofErr w:type="spellEnd"/>
      <w:r w:rsidRPr="00225D4D">
        <w:t xml:space="preserve"> kan fastsette </w:t>
      </w:r>
      <w:proofErr w:type="spellStart"/>
      <w:r w:rsidRPr="00225D4D">
        <w:t>strengare</w:t>
      </w:r>
      <w:proofErr w:type="spellEnd"/>
      <w:r w:rsidRPr="00225D4D">
        <w:t xml:space="preserve"> eller </w:t>
      </w:r>
      <w:proofErr w:type="spellStart"/>
      <w:r w:rsidRPr="00225D4D">
        <w:t>meir</w:t>
      </w:r>
      <w:proofErr w:type="spellEnd"/>
      <w:r w:rsidRPr="00225D4D">
        <w:t xml:space="preserve"> </w:t>
      </w:r>
      <w:proofErr w:type="spellStart"/>
      <w:r w:rsidRPr="00225D4D">
        <w:t>vidtgåande</w:t>
      </w:r>
      <w:proofErr w:type="spellEnd"/>
      <w:r w:rsidRPr="00225D4D">
        <w:t xml:space="preserve"> krav nasjonalt enn </w:t>
      </w:r>
      <w:proofErr w:type="spellStart"/>
      <w:r w:rsidRPr="00225D4D">
        <w:t>dei</w:t>
      </w:r>
      <w:proofErr w:type="spellEnd"/>
      <w:r w:rsidRPr="00225D4D">
        <w:t xml:space="preserve"> krava som følgjer av DSA, med mindre DSA sjølve, eller eventuelt andre EU-rettsakter, </w:t>
      </w:r>
      <w:proofErr w:type="spellStart"/>
      <w:r w:rsidRPr="00225D4D">
        <w:t>opnar</w:t>
      </w:r>
      <w:proofErr w:type="spellEnd"/>
      <w:r w:rsidRPr="00225D4D">
        <w:t xml:space="preserve"> for det. Det er svært usikkert om </w:t>
      </w:r>
      <w:proofErr w:type="spellStart"/>
      <w:r w:rsidRPr="00225D4D">
        <w:t>Noreg</w:t>
      </w:r>
      <w:proofErr w:type="spellEnd"/>
      <w:r w:rsidRPr="00225D4D">
        <w:t xml:space="preserve"> har høve til å regulere </w:t>
      </w:r>
      <w:proofErr w:type="spellStart"/>
      <w:r w:rsidRPr="00225D4D">
        <w:t>atferdsbasert</w:t>
      </w:r>
      <w:proofErr w:type="spellEnd"/>
      <w:r w:rsidRPr="00225D4D">
        <w:t xml:space="preserve"> </w:t>
      </w:r>
      <w:proofErr w:type="spellStart"/>
      <w:r w:rsidRPr="00225D4D">
        <w:t>marknadsføring</w:t>
      </w:r>
      <w:proofErr w:type="spellEnd"/>
      <w:r w:rsidRPr="00225D4D">
        <w:t xml:space="preserve"> ut over det som følgjer av DSA. Når DSA blir innlemma i EØS-</w:t>
      </w:r>
      <w:proofErr w:type="spellStart"/>
      <w:r w:rsidRPr="00225D4D">
        <w:t>avtala</w:t>
      </w:r>
      <w:proofErr w:type="spellEnd"/>
      <w:r w:rsidRPr="00225D4D">
        <w:t xml:space="preserve"> og gjennomført i norsk rett vil det gjelde </w:t>
      </w:r>
      <w:proofErr w:type="spellStart"/>
      <w:r w:rsidRPr="00225D4D">
        <w:t>strengare</w:t>
      </w:r>
      <w:proofErr w:type="spellEnd"/>
      <w:r w:rsidRPr="00225D4D">
        <w:t xml:space="preserve"> krav til </w:t>
      </w:r>
      <w:proofErr w:type="spellStart"/>
      <w:r w:rsidRPr="00225D4D">
        <w:t>atferdsbasert</w:t>
      </w:r>
      <w:proofErr w:type="spellEnd"/>
      <w:r w:rsidRPr="00225D4D">
        <w:t xml:space="preserve"> </w:t>
      </w:r>
      <w:proofErr w:type="spellStart"/>
      <w:r w:rsidRPr="00225D4D">
        <w:t>marknadsføring</w:t>
      </w:r>
      <w:proofErr w:type="spellEnd"/>
      <w:r w:rsidRPr="00225D4D">
        <w:t xml:space="preserve"> på nett. Det blir </w:t>
      </w:r>
      <w:proofErr w:type="spellStart"/>
      <w:r w:rsidRPr="00225D4D">
        <w:t>forbode</w:t>
      </w:r>
      <w:proofErr w:type="spellEnd"/>
      <w:r w:rsidRPr="00225D4D">
        <w:t xml:space="preserve"> å rette </w:t>
      </w:r>
      <w:proofErr w:type="spellStart"/>
      <w:r w:rsidRPr="00225D4D">
        <w:t>adferdsbasert</w:t>
      </w:r>
      <w:proofErr w:type="spellEnd"/>
      <w:r w:rsidRPr="00225D4D">
        <w:t xml:space="preserve">, eller målretta, reklame mot mindreårige. Regelverket legg </w:t>
      </w:r>
      <w:proofErr w:type="spellStart"/>
      <w:r w:rsidRPr="00225D4D">
        <w:t>særleg</w:t>
      </w:r>
      <w:proofErr w:type="spellEnd"/>
      <w:r w:rsidRPr="00225D4D">
        <w:t xml:space="preserve"> vekt på å verne barn og unge mot </w:t>
      </w:r>
      <w:proofErr w:type="spellStart"/>
      <w:r w:rsidRPr="00225D4D">
        <w:t>skadeleg</w:t>
      </w:r>
      <w:proofErr w:type="spellEnd"/>
      <w:r w:rsidRPr="00225D4D">
        <w:t xml:space="preserve"> </w:t>
      </w:r>
      <w:proofErr w:type="spellStart"/>
      <w:r w:rsidRPr="00225D4D">
        <w:t>innhald</w:t>
      </w:r>
      <w:proofErr w:type="spellEnd"/>
      <w:r w:rsidRPr="00225D4D">
        <w:t xml:space="preserve"> og å </w:t>
      </w:r>
      <w:proofErr w:type="spellStart"/>
      <w:r w:rsidRPr="00225D4D">
        <w:t>førebygge</w:t>
      </w:r>
      <w:proofErr w:type="spellEnd"/>
      <w:r w:rsidRPr="00225D4D">
        <w:t xml:space="preserve"> at barn </w:t>
      </w:r>
      <w:proofErr w:type="spellStart"/>
      <w:r w:rsidRPr="00225D4D">
        <w:t>utviklar</w:t>
      </w:r>
      <w:proofErr w:type="spellEnd"/>
      <w:r w:rsidRPr="00225D4D">
        <w:t xml:space="preserve"> </w:t>
      </w:r>
      <w:proofErr w:type="spellStart"/>
      <w:r w:rsidRPr="00225D4D">
        <w:t>avhengigheit</w:t>
      </w:r>
      <w:proofErr w:type="spellEnd"/>
      <w:r w:rsidRPr="00225D4D">
        <w:t xml:space="preserve">. I tillegg til </w:t>
      </w:r>
      <w:proofErr w:type="spellStart"/>
      <w:r w:rsidRPr="00225D4D">
        <w:t>eit</w:t>
      </w:r>
      <w:proofErr w:type="spellEnd"/>
      <w:r w:rsidRPr="00225D4D">
        <w:t xml:space="preserve"> </w:t>
      </w:r>
      <w:proofErr w:type="spellStart"/>
      <w:r w:rsidRPr="00225D4D">
        <w:t>forbod</w:t>
      </w:r>
      <w:proofErr w:type="spellEnd"/>
      <w:r w:rsidRPr="00225D4D">
        <w:t xml:space="preserve"> mot </w:t>
      </w:r>
      <w:proofErr w:type="spellStart"/>
      <w:r w:rsidRPr="00225D4D">
        <w:t>atferdsbasert</w:t>
      </w:r>
      <w:proofErr w:type="spellEnd"/>
      <w:r w:rsidRPr="00225D4D">
        <w:t xml:space="preserve"> </w:t>
      </w:r>
      <w:proofErr w:type="spellStart"/>
      <w:r w:rsidRPr="00225D4D">
        <w:t>marknadsføring</w:t>
      </w:r>
      <w:proofErr w:type="spellEnd"/>
      <w:r w:rsidRPr="00225D4D">
        <w:t xml:space="preserve"> retta mot barn, </w:t>
      </w:r>
      <w:proofErr w:type="spellStart"/>
      <w:r w:rsidRPr="00225D4D">
        <w:t>inneheld</w:t>
      </w:r>
      <w:proofErr w:type="spellEnd"/>
      <w:r w:rsidRPr="00225D4D">
        <w:t xml:space="preserve"> regelverket </w:t>
      </w:r>
      <w:proofErr w:type="spellStart"/>
      <w:r w:rsidRPr="00225D4D">
        <w:t>eit</w:t>
      </w:r>
      <w:proofErr w:type="spellEnd"/>
      <w:r w:rsidRPr="00225D4D">
        <w:t xml:space="preserve"> generelt </w:t>
      </w:r>
      <w:proofErr w:type="spellStart"/>
      <w:r w:rsidRPr="00225D4D">
        <w:t>forbod</w:t>
      </w:r>
      <w:proofErr w:type="spellEnd"/>
      <w:r w:rsidRPr="00225D4D">
        <w:t xml:space="preserve"> mot å vise </w:t>
      </w:r>
      <w:proofErr w:type="spellStart"/>
      <w:r w:rsidRPr="00225D4D">
        <w:t>atferdsbasert</w:t>
      </w:r>
      <w:proofErr w:type="spellEnd"/>
      <w:r w:rsidRPr="00225D4D">
        <w:t xml:space="preserve"> reklame basert på sensitive </w:t>
      </w:r>
      <w:proofErr w:type="spellStart"/>
      <w:r w:rsidRPr="00225D4D">
        <w:t>personopplysningar</w:t>
      </w:r>
      <w:proofErr w:type="spellEnd"/>
      <w:r w:rsidRPr="00225D4D">
        <w:t xml:space="preserve">, til dømes </w:t>
      </w:r>
      <w:proofErr w:type="spellStart"/>
      <w:r w:rsidRPr="00225D4D">
        <w:t>opplysningar</w:t>
      </w:r>
      <w:proofErr w:type="spellEnd"/>
      <w:r w:rsidRPr="00225D4D">
        <w:t xml:space="preserve"> om legning, etnisitet og religion. DSA </w:t>
      </w:r>
      <w:proofErr w:type="spellStart"/>
      <w:r w:rsidRPr="00225D4D">
        <w:t>inneheld</w:t>
      </w:r>
      <w:proofErr w:type="spellEnd"/>
      <w:r w:rsidRPr="00225D4D">
        <w:t xml:space="preserve"> òg </w:t>
      </w:r>
      <w:proofErr w:type="spellStart"/>
      <w:r w:rsidRPr="00225D4D">
        <w:t>reglar</w:t>
      </w:r>
      <w:proofErr w:type="spellEnd"/>
      <w:r w:rsidRPr="00225D4D">
        <w:t xml:space="preserve"> om at det skal </w:t>
      </w:r>
      <w:proofErr w:type="spellStart"/>
      <w:r w:rsidRPr="00225D4D">
        <w:t>vere</w:t>
      </w:r>
      <w:proofErr w:type="spellEnd"/>
      <w:r w:rsidRPr="00225D4D">
        <w:t xml:space="preserve"> </w:t>
      </w:r>
      <w:proofErr w:type="spellStart"/>
      <w:r w:rsidRPr="00225D4D">
        <w:t>mogleg</w:t>
      </w:r>
      <w:proofErr w:type="spellEnd"/>
      <w:r w:rsidRPr="00225D4D">
        <w:t xml:space="preserve"> for </w:t>
      </w:r>
      <w:proofErr w:type="spellStart"/>
      <w:r w:rsidRPr="00225D4D">
        <w:t>brukarane</w:t>
      </w:r>
      <w:proofErr w:type="spellEnd"/>
      <w:r w:rsidRPr="00225D4D">
        <w:t xml:space="preserve"> å kjenne att reklame når </w:t>
      </w:r>
      <w:proofErr w:type="spellStart"/>
      <w:r w:rsidRPr="00225D4D">
        <w:t>dei</w:t>
      </w:r>
      <w:proofErr w:type="spellEnd"/>
      <w:r w:rsidRPr="00225D4D">
        <w:t xml:space="preserve"> ser det, og at det skal </w:t>
      </w:r>
      <w:proofErr w:type="spellStart"/>
      <w:r w:rsidRPr="00225D4D">
        <w:t>opplysast</w:t>
      </w:r>
      <w:proofErr w:type="spellEnd"/>
      <w:r w:rsidRPr="00225D4D">
        <w:t xml:space="preserve"> om kven som står bak reklamen, kven som har betalt for han, og </w:t>
      </w:r>
      <w:proofErr w:type="spellStart"/>
      <w:r w:rsidRPr="00225D4D">
        <w:t>kvifor</w:t>
      </w:r>
      <w:proofErr w:type="spellEnd"/>
      <w:r w:rsidRPr="00225D4D">
        <w:t xml:space="preserve"> </w:t>
      </w:r>
      <w:proofErr w:type="spellStart"/>
      <w:r w:rsidRPr="00225D4D">
        <w:t>ein</w:t>
      </w:r>
      <w:proofErr w:type="spellEnd"/>
      <w:r w:rsidRPr="00225D4D">
        <w:t xml:space="preserve"> blir vist </w:t>
      </w:r>
      <w:proofErr w:type="spellStart"/>
      <w:r w:rsidRPr="00225D4D">
        <w:t>ein</w:t>
      </w:r>
      <w:proofErr w:type="spellEnd"/>
      <w:r w:rsidRPr="00225D4D">
        <w:t xml:space="preserve"> bestemt reklame.</w:t>
      </w:r>
    </w:p>
    <w:p w14:paraId="4EE93940" w14:textId="77777777" w:rsidR="00D60186" w:rsidRPr="00225D4D" w:rsidRDefault="00D60186" w:rsidP="00225D4D">
      <w:proofErr w:type="spellStart"/>
      <w:r w:rsidRPr="00225D4D">
        <w:t>Dessutan</w:t>
      </w:r>
      <w:proofErr w:type="spellEnd"/>
      <w:r w:rsidRPr="00225D4D">
        <w:t xml:space="preserve"> </w:t>
      </w:r>
      <w:proofErr w:type="spellStart"/>
      <w:r w:rsidRPr="00225D4D">
        <w:t>inneheld</w:t>
      </w:r>
      <w:proofErr w:type="spellEnd"/>
      <w:r w:rsidRPr="00225D4D">
        <w:t xml:space="preserve"> DSA </w:t>
      </w:r>
      <w:proofErr w:type="spellStart"/>
      <w:r w:rsidRPr="00225D4D">
        <w:t>eit</w:t>
      </w:r>
      <w:proofErr w:type="spellEnd"/>
      <w:r w:rsidRPr="00225D4D">
        <w:t xml:space="preserve"> </w:t>
      </w:r>
      <w:proofErr w:type="spellStart"/>
      <w:r w:rsidRPr="00225D4D">
        <w:t>forbod</w:t>
      </w:r>
      <w:proofErr w:type="spellEnd"/>
      <w:r w:rsidRPr="00225D4D">
        <w:t xml:space="preserve"> mot </w:t>
      </w:r>
      <w:proofErr w:type="spellStart"/>
      <w:r w:rsidRPr="00225D4D">
        <w:t>såkalla</w:t>
      </w:r>
      <w:proofErr w:type="spellEnd"/>
      <w:r w:rsidRPr="00225D4D">
        <w:t xml:space="preserve"> manipulativt design. Dette skal hindre at </w:t>
      </w:r>
      <w:proofErr w:type="spellStart"/>
      <w:r w:rsidRPr="00225D4D">
        <w:t>plattformar</w:t>
      </w:r>
      <w:proofErr w:type="spellEnd"/>
      <w:r w:rsidRPr="00225D4D">
        <w:t xml:space="preserve"> </w:t>
      </w:r>
      <w:proofErr w:type="spellStart"/>
      <w:r w:rsidRPr="00225D4D">
        <w:t>utformar</w:t>
      </w:r>
      <w:proofErr w:type="spellEnd"/>
      <w:r w:rsidRPr="00225D4D">
        <w:t xml:space="preserve"> nettsider slik at </w:t>
      </w:r>
      <w:proofErr w:type="spellStart"/>
      <w:r w:rsidRPr="00225D4D">
        <w:t>dei</w:t>
      </w:r>
      <w:proofErr w:type="spellEnd"/>
      <w:r w:rsidRPr="00225D4D">
        <w:t xml:space="preserve"> «lurer» </w:t>
      </w:r>
      <w:proofErr w:type="spellStart"/>
      <w:r w:rsidRPr="00225D4D">
        <w:t>brukarane</w:t>
      </w:r>
      <w:proofErr w:type="spellEnd"/>
      <w:r w:rsidRPr="00225D4D">
        <w:t xml:space="preserve"> til å samtykke til </w:t>
      </w:r>
      <w:proofErr w:type="spellStart"/>
      <w:r w:rsidRPr="00225D4D">
        <w:t>noko</w:t>
      </w:r>
      <w:proofErr w:type="spellEnd"/>
      <w:r w:rsidRPr="00225D4D">
        <w:t xml:space="preserve"> </w:t>
      </w:r>
      <w:proofErr w:type="spellStart"/>
      <w:r w:rsidRPr="00225D4D">
        <w:t>dei</w:t>
      </w:r>
      <w:proofErr w:type="spellEnd"/>
      <w:r w:rsidRPr="00225D4D">
        <w:t xml:space="preserve"> </w:t>
      </w:r>
      <w:proofErr w:type="spellStart"/>
      <w:r w:rsidRPr="00225D4D">
        <w:t>eigentleg</w:t>
      </w:r>
      <w:proofErr w:type="spellEnd"/>
      <w:r w:rsidRPr="00225D4D">
        <w:t xml:space="preserve"> </w:t>
      </w:r>
      <w:proofErr w:type="spellStart"/>
      <w:r w:rsidRPr="00225D4D">
        <w:t>ikkje</w:t>
      </w:r>
      <w:proofErr w:type="spellEnd"/>
      <w:r w:rsidRPr="00225D4D">
        <w:t xml:space="preserve"> vil.</w:t>
      </w:r>
    </w:p>
    <w:p w14:paraId="64463D3D" w14:textId="77777777" w:rsidR="00D60186" w:rsidRPr="00225D4D" w:rsidRDefault="00D60186" w:rsidP="00225D4D">
      <w:r w:rsidRPr="00225D4D">
        <w:t xml:space="preserve">Gjennomføring av DSA i norsk rett vil gi norske </w:t>
      </w:r>
      <w:proofErr w:type="spellStart"/>
      <w:r w:rsidRPr="00225D4D">
        <w:t>forbrukarar</w:t>
      </w:r>
      <w:proofErr w:type="spellEnd"/>
      <w:r w:rsidRPr="00225D4D">
        <w:t xml:space="preserve"> </w:t>
      </w:r>
      <w:proofErr w:type="spellStart"/>
      <w:r w:rsidRPr="00225D4D">
        <w:t>eit</w:t>
      </w:r>
      <w:proofErr w:type="spellEnd"/>
      <w:r w:rsidRPr="00225D4D">
        <w:t xml:space="preserve"> godt vern mot </w:t>
      </w:r>
      <w:proofErr w:type="spellStart"/>
      <w:r w:rsidRPr="00225D4D">
        <w:t>atferdsbasert</w:t>
      </w:r>
      <w:proofErr w:type="spellEnd"/>
      <w:r w:rsidRPr="00225D4D">
        <w:t xml:space="preserve"> reklame. Regjeringa meiner vi </w:t>
      </w:r>
      <w:proofErr w:type="spellStart"/>
      <w:r w:rsidRPr="00225D4D">
        <w:t>no</w:t>
      </w:r>
      <w:proofErr w:type="spellEnd"/>
      <w:r w:rsidRPr="00225D4D">
        <w:t xml:space="preserve"> må sjå effekten av </w:t>
      </w:r>
      <w:proofErr w:type="spellStart"/>
      <w:r w:rsidRPr="00225D4D">
        <w:t>desse</w:t>
      </w:r>
      <w:proofErr w:type="spellEnd"/>
      <w:r w:rsidRPr="00225D4D">
        <w:t xml:space="preserve"> tiltaka før vi vurderer </w:t>
      </w:r>
      <w:proofErr w:type="spellStart"/>
      <w:r w:rsidRPr="00225D4D">
        <w:t>ytterlegare</w:t>
      </w:r>
      <w:proofErr w:type="spellEnd"/>
      <w:r w:rsidRPr="00225D4D">
        <w:t xml:space="preserve"> tiltak.</w:t>
      </w:r>
    </w:p>
    <w:p w14:paraId="75A84A10"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542E4025" w14:textId="77777777" w:rsidR="00D60186" w:rsidRPr="00225D4D" w:rsidRDefault="00D60186" w:rsidP="00225D4D">
      <w:pPr>
        <w:pStyle w:val="avsnitt-tittel"/>
      </w:pPr>
      <w:r w:rsidRPr="00225D4D">
        <w:t xml:space="preserve">Lagring av biometriske data </w:t>
      </w:r>
      <w:proofErr w:type="spellStart"/>
      <w:r w:rsidRPr="00225D4D">
        <w:t>frå</w:t>
      </w:r>
      <w:proofErr w:type="spellEnd"/>
      <w:r w:rsidRPr="00225D4D">
        <w:t xml:space="preserve"> sosiale medieplattformer</w:t>
      </w:r>
    </w:p>
    <w:p w14:paraId="0D5FC0DC" w14:textId="77777777" w:rsidR="00D60186" w:rsidRPr="00225D4D" w:rsidRDefault="00D60186" w:rsidP="00225D4D">
      <w:pPr>
        <w:pStyle w:val="avsnitt-undertittel"/>
      </w:pPr>
      <w:r w:rsidRPr="00225D4D">
        <w:t>Vedtak nr. 197, 12. desember 2022</w:t>
      </w:r>
    </w:p>
    <w:p w14:paraId="2D765D3D" w14:textId="77777777" w:rsidR="00D60186" w:rsidRPr="00225D4D" w:rsidRDefault="00D60186" w:rsidP="00225D4D">
      <w:pPr>
        <w:pStyle w:val="blokksit"/>
        <w:rPr>
          <w:rStyle w:val="kursiv"/>
        </w:rPr>
      </w:pPr>
      <w:r w:rsidRPr="00225D4D">
        <w:rPr>
          <w:rStyle w:val="kursiv"/>
        </w:rPr>
        <w:t>«Stortinget ber regjeringen utrede omfanget av og utfordringene rundt lagring av biometriske data fra norske forbrukere på sosiale medieplattformer.»</w:t>
      </w:r>
    </w:p>
    <w:p w14:paraId="30E3B22C"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Guri Melby, Sveinung Rotevatn, Ingvild </w:t>
      </w:r>
      <w:proofErr w:type="spellStart"/>
      <w:r w:rsidRPr="00225D4D">
        <w:t>Wetrhus</w:t>
      </w:r>
      <w:proofErr w:type="spellEnd"/>
      <w:r w:rsidRPr="00225D4D">
        <w:t xml:space="preserve"> </w:t>
      </w:r>
      <w:proofErr w:type="spellStart"/>
      <w:r w:rsidRPr="00225D4D">
        <w:t>Thorsvik</w:t>
      </w:r>
      <w:proofErr w:type="spellEnd"/>
      <w:r w:rsidRPr="00225D4D">
        <w:t xml:space="preserve">, Grunde Almeland og Alfred Jens Bjørlo om betre personvern på sosiale media, jf. Dokument 8:167 S (2021–2022) og </w:t>
      </w:r>
      <w:proofErr w:type="spellStart"/>
      <w:r w:rsidRPr="00225D4D">
        <w:t>Innst</w:t>
      </w:r>
      <w:proofErr w:type="spellEnd"/>
      <w:r w:rsidRPr="00225D4D">
        <w:t>. 100 S (2022–2023).</w:t>
      </w:r>
    </w:p>
    <w:p w14:paraId="2A3700A0" w14:textId="77777777" w:rsidR="00D60186" w:rsidRPr="00225D4D" w:rsidRDefault="00D60186" w:rsidP="00225D4D">
      <w:r w:rsidRPr="00225D4D">
        <w:t xml:space="preserve">Biometriske data er i personvernforordninga art. 4 nr. 14 definert som «personopplysninger som stammer fra en særskilt teknisk behandling knyttet til en fysisk persons fysiske, fysiologiske eller atferdsmessige egenskaper, og som muliggjør eller bekrefter en entydig identifikasjon av nevnte fysiske person, f.eks. ansiktsbilder eller fingeravtrykksopplysninger». </w:t>
      </w:r>
      <w:proofErr w:type="spellStart"/>
      <w:r w:rsidRPr="00225D4D">
        <w:t>Personopplysningar</w:t>
      </w:r>
      <w:proofErr w:type="spellEnd"/>
      <w:r w:rsidRPr="00225D4D">
        <w:t xml:space="preserve"> om </w:t>
      </w:r>
      <w:proofErr w:type="spellStart"/>
      <w:r w:rsidRPr="00225D4D">
        <w:t>ein</w:t>
      </w:r>
      <w:proofErr w:type="spellEnd"/>
      <w:r w:rsidRPr="00225D4D">
        <w:t xml:space="preserve"> person sine fysiske, fysiologiske eller atferdsmessige </w:t>
      </w:r>
      <w:proofErr w:type="spellStart"/>
      <w:r w:rsidRPr="00225D4D">
        <w:t>eigenskapar</w:t>
      </w:r>
      <w:proofErr w:type="spellEnd"/>
      <w:r w:rsidRPr="00225D4D">
        <w:t xml:space="preserve">, til dømes </w:t>
      </w:r>
      <w:proofErr w:type="spellStart"/>
      <w:r w:rsidRPr="00225D4D">
        <w:t>eit</w:t>
      </w:r>
      <w:proofErr w:type="spellEnd"/>
      <w:r w:rsidRPr="00225D4D">
        <w:t xml:space="preserve"> </w:t>
      </w:r>
      <w:proofErr w:type="spellStart"/>
      <w:r w:rsidRPr="00225D4D">
        <w:t>bilete</w:t>
      </w:r>
      <w:proofErr w:type="spellEnd"/>
      <w:r w:rsidRPr="00225D4D">
        <w:t xml:space="preserve">, er i seg </w:t>
      </w:r>
      <w:proofErr w:type="spellStart"/>
      <w:r w:rsidRPr="00225D4D">
        <w:t>sjølv</w:t>
      </w:r>
      <w:proofErr w:type="spellEnd"/>
      <w:r w:rsidRPr="00225D4D">
        <w:t xml:space="preserve"> </w:t>
      </w:r>
      <w:proofErr w:type="spellStart"/>
      <w:r w:rsidRPr="00225D4D">
        <w:t>ikkje</w:t>
      </w:r>
      <w:proofErr w:type="spellEnd"/>
      <w:r w:rsidRPr="00225D4D">
        <w:t xml:space="preserve"> biometriske </w:t>
      </w:r>
      <w:proofErr w:type="spellStart"/>
      <w:r w:rsidRPr="00225D4D">
        <w:t>opplysningar</w:t>
      </w:r>
      <w:proofErr w:type="spellEnd"/>
      <w:r w:rsidRPr="00225D4D">
        <w:t xml:space="preserve">. For å falle inn under definisjonen, må </w:t>
      </w:r>
      <w:proofErr w:type="spellStart"/>
      <w:r w:rsidRPr="00225D4D">
        <w:t>opplysningane</w:t>
      </w:r>
      <w:proofErr w:type="spellEnd"/>
      <w:r w:rsidRPr="00225D4D">
        <w:t xml:space="preserve"> bli behandla slik at </w:t>
      </w:r>
      <w:proofErr w:type="spellStart"/>
      <w:r w:rsidRPr="00225D4D">
        <w:t>eigenskapane</w:t>
      </w:r>
      <w:proofErr w:type="spellEnd"/>
      <w:r w:rsidRPr="00225D4D">
        <w:t xml:space="preserve"> blir målt og kategorisert på </w:t>
      </w:r>
      <w:proofErr w:type="spellStart"/>
      <w:r w:rsidRPr="00225D4D">
        <w:t>ein</w:t>
      </w:r>
      <w:proofErr w:type="spellEnd"/>
      <w:r w:rsidRPr="00225D4D">
        <w:t xml:space="preserve"> måte som </w:t>
      </w:r>
      <w:proofErr w:type="spellStart"/>
      <w:r w:rsidRPr="00225D4D">
        <w:t>eintydig</w:t>
      </w:r>
      <w:proofErr w:type="spellEnd"/>
      <w:r w:rsidRPr="00225D4D">
        <w:t xml:space="preserve"> identifiserer personen.</w:t>
      </w:r>
    </w:p>
    <w:p w14:paraId="1B1FCE46" w14:textId="77777777" w:rsidR="00D60186" w:rsidRPr="00225D4D" w:rsidRDefault="00D60186" w:rsidP="00225D4D">
      <w:r w:rsidRPr="00225D4D">
        <w:t xml:space="preserve">Dei fleste </w:t>
      </w:r>
      <w:proofErr w:type="spellStart"/>
      <w:r w:rsidRPr="00225D4D">
        <w:t>tilbydarar</w:t>
      </w:r>
      <w:proofErr w:type="spellEnd"/>
      <w:r w:rsidRPr="00225D4D">
        <w:t xml:space="preserve"> av sosiale medieplattformer er etablerte </w:t>
      </w:r>
      <w:proofErr w:type="spellStart"/>
      <w:r w:rsidRPr="00225D4D">
        <w:t>utanfor</w:t>
      </w:r>
      <w:proofErr w:type="spellEnd"/>
      <w:r w:rsidRPr="00225D4D">
        <w:t xml:space="preserve"> </w:t>
      </w:r>
      <w:proofErr w:type="spellStart"/>
      <w:r w:rsidRPr="00225D4D">
        <w:t>Noreg</w:t>
      </w:r>
      <w:proofErr w:type="spellEnd"/>
      <w:r w:rsidRPr="00225D4D">
        <w:t xml:space="preserve">. Departementet har </w:t>
      </w:r>
      <w:proofErr w:type="spellStart"/>
      <w:r w:rsidRPr="00225D4D">
        <w:t>ikkje</w:t>
      </w:r>
      <w:proofErr w:type="spellEnd"/>
      <w:r w:rsidRPr="00225D4D">
        <w:t xml:space="preserve"> heimel til å pålegge </w:t>
      </w:r>
      <w:proofErr w:type="spellStart"/>
      <w:r w:rsidRPr="00225D4D">
        <w:t>desse</w:t>
      </w:r>
      <w:proofErr w:type="spellEnd"/>
      <w:r w:rsidRPr="00225D4D">
        <w:t xml:space="preserve"> selskapa å gi informasjon om </w:t>
      </w:r>
      <w:proofErr w:type="spellStart"/>
      <w:r w:rsidRPr="00225D4D">
        <w:t>si</w:t>
      </w:r>
      <w:proofErr w:type="spellEnd"/>
      <w:r w:rsidRPr="00225D4D">
        <w:t xml:space="preserve"> behandling av </w:t>
      </w:r>
      <w:proofErr w:type="spellStart"/>
      <w:r w:rsidRPr="00225D4D">
        <w:t>personopplysningar</w:t>
      </w:r>
      <w:proofErr w:type="spellEnd"/>
      <w:r w:rsidRPr="00225D4D">
        <w:t xml:space="preserve">. For å kunne svare på Stortinget sitt oppmodingsvedtak, bad departementet derfor Datatilsynet om bistand. Tilsynet blei bede om å hente informasjon om innsamling og behandling av biometriske data </w:t>
      </w:r>
      <w:proofErr w:type="spellStart"/>
      <w:r w:rsidRPr="00225D4D">
        <w:t>frå</w:t>
      </w:r>
      <w:proofErr w:type="spellEnd"/>
      <w:r w:rsidRPr="00225D4D">
        <w:t xml:space="preserve"> </w:t>
      </w:r>
      <w:proofErr w:type="spellStart"/>
      <w:r w:rsidRPr="00225D4D">
        <w:t>eit</w:t>
      </w:r>
      <w:proofErr w:type="spellEnd"/>
      <w:r w:rsidRPr="00225D4D">
        <w:t xml:space="preserve"> </w:t>
      </w:r>
      <w:proofErr w:type="spellStart"/>
      <w:r w:rsidRPr="00225D4D">
        <w:t>utval</w:t>
      </w:r>
      <w:proofErr w:type="spellEnd"/>
      <w:r w:rsidRPr="00225D4D">
        <w:t xml:space="preserve"> av </w:t>
      </w:r>
      <w:proofErr w:type="spellStart"/>
      <w:r w:rsidRPr="00225D4D">
        <w:t>dei</w:t>
      </w:r>
      <w:proofErr w:type="spellEnd"/>
      <w:r w:rsidRPr="00225D4D">
        <w:t xml:space="preserve"> mest brukte sosiale media. I tilbakemeldinga </w:t>
      </w:r>
      <w:proofErr w:type="spellStart"/>
      <w:r w:rsidRPr="00225D4D">
        <w:t>frå</w:t>
      </w:r>
      <w:proofErr w:type="spellEnd"/>
      <w:r w:rsidRPr="00225D4D">
        <w:t xml:space="preserve"> Datatilsynet </w:t>
      </w:r>
      <w:proofErr w:type="spellStart"/>
      <w:r w:rsidRPr="00225D4D">
        <w:t>gjer</w:t>
      </w:r>
      <w:proofErr w:type="spellEnd"/>
      <w:r w:rsidRPr="00225D4D">
        <w:t xml:space="preserve"> </w:t>
      </w:r>
      <w:proofErr w:type="spellStart"/>
      <w:r w:rsidRPr="00225D4D">
        <w:t>dei</w:t>
      </w:r>
      <w:proofErr w:type="spellEnd"/>
      <w:r w:rsidRPr="00225D4D">
        <w:t xml:space="preserve"> greie for at heller </w:t>
      </w:r>
      <w:proofErr w:type="spellStart"/>
      <w:r w:rsidRPr="00225D4D">
        <w:t>ikkje</w:t>
      </w:r>
      <w:proofErr w:type="spellEnd"/>
      <w:r w:rsidRPr="00225D4D">
        <w:t xml:space="preserve"> </w:t>
      </w:r>
      <w:proofErr w:type="spellStart"/>
      <w:r w:rsidRPr="00225D4D">
        <w:t>dei</w:t>
      </w:r>
      <w:proofErr w:type="spellEnd"/>
      <w:r w:rsidRPr="00225D4D">
        <w:t xml:space="preserve"> kan pålegge </w:t>
      </w:r>
      <w:proofErr w:type="spellStart"/>
      <w:r w:rsidRPr="00225D4D">
        <w:t>dei</w:t>
      </w:r>
      <w:proofErr w:type="spellEnd"/>
      <w:r w:rsidRPr="00225D4D">
        <w:t xml:space="preserve"> sosiale media etablert </w:t>
      </w:r>
      <w:proofErr w:type="spellStart"/>
      <w:r w:rsidRPr="00225D4D">
        <w:t>utanfor</w:t>
      </w:r>
      <w:proofErr w:type="spellEnd"/>
      <w:r w:rsidRPr="00225D4D">
        <w:t xml:space="preserve"> </w:t>
      </w:r>
      <w:proofErr w:type="spellStart"/>
      <w:r w:rsidRPr="00225D4D">
        <w:t>Noreg</w:t>
      </w:r>
      <w:proofErr w:type="spellEnd"/>
      <w:r w:rsidRPr="00225D4D">
        <w:t xml:space="preserve"> å gi informasjon </w:t>
      </w:r>
      <w:proofErr w:type="spellStart"/>
      <w:r w:rsidRPr="00225D4D">
        <w:t>utanom</w:t>
      </w:r>
      <w:proofErr w:type="spellEnd"/>
      <w:r w:rsidRPr="00225D4D">
        <w:t xml:space="preserve"> i tilsynssamanheng. Datatilsynet har likevel bidratt med den informasjonen </w:t>
      </w:r>
      <w:proofErr w:type="spellStart"/>
      <w:r w:rsidRPr="00225D4D">
        <w:t>dei</w:t>
      </w:r>
      <w:proofErr w:type="spellEnd"/>
      <w:r w:rsidRPr="00225D4D">
        <w:t xml:space="preserve"> har som kan kaste lys over saka.</w:t>
      </w:r>
    </w:p>
    <w:p w14:paraId="2E39063C" w14:textId="77777777" w:rsidR="00D60186" w:rsidRPr="00225D4D" w:rsidRDefault="00D60186" w:rsidP="00225D4D">
      <w:r w:rsidRPr="00225D4D">
        <w:t xml:space="preserve">Etter det Datatilsynet kjenner til, og ut </w:t>
      </w:r>
      <w:proofErr w:type="spellStart"/>
      <w:r w:rsidRPr="00225D4D">
        <w:t>frå</w:t>
      </w:r>
      <w:proofErr w:type="spellEnd"/>
      <w:r w:rsidRPr="00225D4D">
        <w:t xml:space="preserve"> </w:t>
      </w:r>
      <w:proofErr w:type="spellStart"/>
      <w:r w:rsidRPr="00225D4D">
        <w:t>personvernerklæringane</w:t>
      </w:r>
      <w:proofErr w:type="spellEnd"/>
      <w:r w:rsidRPr="00225D4D">
        <w:t xml:space="preserve"> til selskapa, </w:t>
      </w:r>
      <w:proofErr w:type="spellStart"/>
      <w:r w:rsidRPr="00225D4D">
        <w:t>behandlar</w:t>
      </w:r>
      <w:proofErr w:type="spellEnd"/>
      <w:r w:rsidRPr="00225D4D">
        <w:t xml:space="preserve"> verken </w:t>
      </w:r>
      <w:proofErr w:type="spellStart"/>
      <w:r w:rsidRPr="00225D4D">
        <w:t>TikTok</w:t>
      </w:r>
      <w:proofErr w:type="spellEnd"/>
      <w:r w:rsidRPr="00225D4D">
        <w:t xml:space="preserve">, </w:t>
      </w:r>
      <w:proofErr w:type="spellStart"/>
      <w:r w:rsidRPr="00225D4D">
        <w:t>Grindr</w:t>
      </w:r>
      <w:proofErr w:type="spellEnd"/>
      <w:r w:rsidRPr="00225D4D">
        <w:t xml:space="preserve"> eller Snapchat biometriske </w:t>
      </w:r>
      <w:proofErr w:type="spellStart"/>
      <w:r w:rsidRPr="00225D4D">
        <w:t>opplysningar</w:t>
      </w:r>
      <w:proofErr w:type="spellEnd"/>
      <w:r w:rsidRPr="00225D4D">
        <w:t xml:space="preserve">. Tinder kan behandle biometriske </w:t>
      </w:r>
      <w:proofErr w:type="spellStart"/>
      <w:r w:rsidRPr="00225D4D">
        <w:t>opplysningar</w:t>
      </w:r>
      <w:proofErr w:type="spellEnd"/>
      <w:r w:rsidRPr="00225D4D">
        <w:t xml:space="preserve"> til verifisering av </w:t>
      </w:r>
      <w:proofErr w:type="spellStart"/>
      <w:r w:rsidRPr="00225D4D">
        <w:t>bilete</w:t>
      </w:r>
      <w:proofErr w:type="spellEnd"/>
      <w:r w:rsidRPr="00225D4D">
        <w:t xml:space="preserve"> for å bekrefte at </w:t>
      </w:r>
      <w:proofErr w:type="spellStart"/>
      <w:r w:rsidRPr="00225D4D">
        <w:t>brukaren</w:t>
      </w:r>
      <w:proofErr w:type="spellEnd"/>
      <w:r w:rsidRPr="00225D4D">
        <w:t xml:space="preserve"> er den </w:t>
      </w:r>
      <w:proofErr w:type="spellStart"/>
      <w:r w:rsidRPr="00225D4D">
        <w:t>vedkomande</w:t>
      </w:r>
      <w:proofErr w:type="spellEnd"/>
      <w:r w:rsidRPr="00225D4D">
        <w:t xml:space="preserve"> gir seg ut for å </w:t>
      </w:r>
      <w:proofErr w:type="spellStart"/>
      <w:r w:rsidRPr="00225D4D">
        <w:t>vere</w:t>
      </w:r>
      <w:proofErr w:type="spellEnd"/>
      <w:r w:rsidRPr="00225D4D">
        <w:t xml:space="preserve">. Dette er ei </w:t>
      </w:r>
      <w:proofErr w:type="spellStart"/>
      <w:r w:rsidRPr="00225D4D">
        <w:t>valfri</w:t>
      </w:r>
      <w:proofErr w:type="spellEnd"/>
      <w:r w:rsidRPr="00225D4D">
        <w:t xml:space="preserve"> </w:t>
      </w:r>
      <w:proofErr w:type="spellStart"/>
      <w:r w:rsidRPr="00225D4D">
        <w:t>teneste</w:t>
      </w:r>
      <w:proofErr w:type="spellEnd"/>
      <w:r w:rsidRPr="00225D4D">
        <w:t xml:space="preserve"> som </w:t>
      </w:r>
      <w:proofErr w:type="spellStart"/>
      <w:r w:rsidRPr="00225D4D">
        <w:t>brukarane</w:t>
      </w:r>
      <w:proofErr w:type="spellEnd"/>
      <w:r w:rsidRPr="00225D4D">
        <w:t xml:space="preserve"> må samtykke til. Tilsynet opplyser </w:t>
      </w:r>
      <w:proofErr w:type="spellStart"/>
      <w:r w:rsidRPr="00225D4D">
        <w:t>vidare</w:t>
      </w:r>
      <w:proofErr w:type="spellEnd"/>
      <w:r w:rsidRPr="00225D4D">
        <w:t xml:space="preserve"> at Meta lar </w:t>
      </w:r>
      <w:proofErr w:type="spellStart"/>
      <w:r w:rsidRPr="00225D4D">
        <w:t>brukarar</w:t>
      </w:r>
      <w:proofErr w:type="spellEnd"/>
      <w:r w:rsidRPr="00225D4D">
        <w:t xml:space="preserve"> av </w:t>
      </w:r>
      <w:proofErr w:type="spellStart"/>
      <w:r w:rsidRPr="00225D4D">
        <w:t>deira</w:t>
      </w:r>
      <w:proofErr w:type="spellEnd"/>
      <w:r w:rsidRPr="00225D4D">
        <w:t xml:space="preserve"> </w:t>
      </w:r>
      <w:proofErr w:type="spellStart"/>
      <w:r w:rsidRPr="00225D4D">
        <w:t>teneste</w:t>
      </w:r>
      <w:proofErr w:type="spellEnd"/>
      <w:r w:rsidRPr="00225D4D">
        <w:t xml:space="preserve"> «Meta </w:t>
      </w:r>
      <w:proofErr w:type="spellStart"/>
      <w:r w:rsidRPr="00225D4D">
        <w:t>Verified</w:t>
      </w:r>
      <w:proofErr w:type="spellEnd"/>
      <w:r w:rsidRPr="00225D4D">
        <w:t xml:space="preserve">» slå på </w:t>
      </w:r>
      <w:proofErr w:type="spellStart"/>
      <w:r w:rsidRPr="00225D4D">
        <w:t>ein</w:t>
      </w:r>
      <w:proofErr w:type="spellEnd"/>
      <w:r w:rsidRPr="00225D4D">
        <w:t xml:space="preserve"> type profilovervaking som bruker biometriske </w:t>
      </w:r>
      <w:proofErr w:type="spellStart"/>
      <w:r w:rsidRPr="00225D4D">
        <w:t>opplysningar</w:t>
      </w:r>
      <w:proofErr w:type="spellEnd"/>
      <w:r w:rsidRPr="00225D4D">
        <w:t xml:space="preserve"> til å finne og fjerne falske </w:t>
      </w:r>
      <w:proofErr w:type="spellStart"/>
      <w:r w:rsidRPr="00225D4D">
        <w:t>profilar</w:t>
      </w:r>
      <w:proofErr w:type="spellEnd"/>
      <w:r w:rsidRPr="00225D4D">
        <w:t xml:space="preserve"> som bruker </w:t>
      </w:r>
      <w:proofErr w:type="spellStart"/>
      <w:r w:rsidRPr="00225D4D">
        <w:t>bileta</w:t>
      </w:r>
      <w:proofErr w:type="spellEnd"/>
      <w:r w:rsidRPr="00225D4D">
        <w:t xml:space="preserve"> </w:t>
      </w:r>
      <w:proofErr w:type="spellStart"/>
      <w:r w:rsidRPr="00225D4D">
        <w:t>deira</w:t>
      </w:r>
      <w:proofErr w:type="spellEnd"/>
      <w:r w:rsidRPr="00225D4D">
        <w:t xml:space="preserve"> til svindel. Dette er </w:t>
      </w:r>
      <w:proofErr w:type="spellStart"/>
      <w:r w:rsidRPr="00225D4D">
        <w:t>ein</w:t>
      </w:r>
      <w:proofErr w:type="spellEnd"/>
      <w:r w:rsidRPr="00225D4D">
        <w:t xml:space="preserve"> </w:t>
      </w:r>
      <w:proofErr w:type="spellStart"/>
      <w:r w:rsidRPr="00225D4D">
        <w:t>valfri</w:t>
      </w:r>
      <w:proofErr w:type="spellEnd"/>
      <w:r w:rsidRPr="00225D4D">
        <w:t xml:space="preserve"> </w:t>
      </w:r>
      <w:proofErr w:type="spellStart"/>
      <w:r w:rsidRPr="00225D4D">
        <w:t>teneste</w:t>
      </w:r>
      <w:proofErr w:type="spellEnd"/>
      <w:r w:rsidRPr="00225D4D">
        <w:t xml:space="preserve"> som alle kan betale for, men den er først og fremst retta mot </w:t>
      </w:r>
      <w:proofErr w:type="spellStart"/>
      <w:r w:rsidRPr="00225D4D">
        <w:t>influensarar</w:t>
      </w:r>
      <w:proofErr w:type="spellEnd"/>
      <w:r w:rsidRPr="00225D4D">
        <w:t xml:space="preserve"> og andre kjente </w:t>
      </w:r>
      <w:proofErr w:type="spellStart"/>
      <w:r w:rsidRPr="00225D4D">
        <w:t>personar</w:t>
      </w:r>
      <w:proofErr w:type="spellEnd"/>
      <w:r w:rsidRPr="00225D4D">
        <w:t xml:space="preserve">. Meta hadde </w:t>
      </w:r>
      <w:proofErr w:type="spellStart"/>
      <w:r w:rsidRPr="00225D4D">
        <w:t>tidlegare</w:t>
      </w:r>
      <w:proofErr w:type="spellEnd"/>
      <w:r w:rsidRPr="00225D4D">
        <w:t xml:space="preserve"> </w:t>
      </w:r>
      <w:proofErr w:type="spellStart"/>
      <w:r w:rsidRPr="00225D4D">
        <w:t>dessutan</w:t>
      </w:r>
      <w:proofErr w:type="spellEnd"/>
      <w:r w:rsidRPr="00225D4D">
        <w:t xml:space="preserve"> ei </w:t>
      </w:r>
      <w:proofErr w:type="spellStart"/>
      <w:r w:rsidRPr="00225D4D">
        <w:t>teneste</w:t>
      </w:r>
      <w:proofErr w:type="spellEnd"/>
      <w:r w:rsidRPr="00225D4D">
        <w:t xml:space="preserve"> som kunne kjenne att </w:t>
      </w:r>
      <w:proofErr w:type="spellStart"/>
      <w:r w:rsidRPr="00225D4D">
        <w:t>ansiktsbilete</w:t>
      </w:r>
      <w:proofErr w:type="spellEnd"/>
      <w:r w:rsidRPr="00225D4D">
        <w:t xml:space="preserve"> og foreslå kven som var avbilda på foto som blei lasta opp på Facebook, slik at </w:t>
      </w:r>
      <w:proofErr w:type="spellStart"/>
      <w:r w:rsidRPr="00225D4D">
        <w:t>ein</w:t>
      </w:r>
      <w:proofErr w:type="spellEnd"/>
      <w:r w:rsidRPr="00225D4D">
        <w:t xml:space="preserve"> kunne «tagge» </w:t>
      </w:r>
      <w:proofErr w:type="spellStart"/>
      <w:r w:rsidRPr="00225D4D">
        <w:t>dei</w:t>
      </w:r>
      <w:proofErr w:type="spellEnd"/>
      <w:r w:rsidRPr="00225D4D">
        <w:t xml:space="preserve"> i </w:t>
      </w:r>
      <w:proofErr w:type="spellStart"/>
      <w:r w:rsidRPr="00225D4D">
        <w:t>biletet</w:t>
      </w:r>
      <w:proofErr w:type="spellEnd"/>
      <w:r w:rsidRPr="00225D4D">
        <w:t xml:space="preserve">. Denne </w:t>
      </w:r>
      <w:proofErr w:type="spellStart"/>
      <w:r w:rsidRPr="00225D4D">
        <w:t>tenesta</w:t>
      </w:r>
      <w:proofErr w:type="spellEnd"/>
      <w:r w:rsidRPr="00225D4D">
        <w:t xml:space="preserve"> har Meta fjerna i EØS-landa. Ut over dette opplyser tilsynet at </w:t>
      </w:r>
      <w:proofErr w:type="spellStart"/>
      <w:r w:rsidRPr="00225D4D">
        <w:t>dei</w:t>
      </w:r>
      <w:proofErr w:type="spellEnd"/>
      <w:r w:rsidRPr="00225D4D">
        <w:t xml:space="preserve"> </w:t>
      </w:r>
      <w:proofErr w:type="spellStart"/>
      <w:r w:rsidRPr="00225D4D">
        <w:t>ikkje</w:t>
      </w:r>
      <w:proofErr w:type="spellEnd"/>
      <w:r w:rsidRPr="00225D4D">
        <w:t xml:space="preserve"> kjenner til at Meta </w:t>
      </w:r>
      <w:proofErr w:type="spellStart"/>
      <w:r w:rsidRPr="00225D4D">
        <w:t>behandlar</w:t>
      </w:r>
      <w:proofErr w:type="spellEnd"/>
      <w:r w:rsidRPr="00225D4D">
        <w:t xml:space="preserve"> biometriske </w:t>
      </w:r>
      <w:proofErr w:type="spellStart"/>
      <w:r w:rsidRPr="00225D4D">
        <w:t>opplysningar</w:t>
      </w:r>
      <w:proofErr w:type="spellEnd"/>
      <w:r w:rsidRPr="00225D4D">
        <w:t xml:space="preserve"> om sine </w:t>
      </w:r>
      <w:proofErr w:type="spellStart"/>
      <w:r w:rsidRPr="00225D4D">
        <w:t>brukarar</w:t>
      </w:r>
      <w:proofErr w:type="spellEnd"/>
      <w:r w:rsidRPr="00225D4D">
        <w:t>.</w:t>
      </w:r>
    </w:p>
    <w:p w14:paraId="5CB0E51E" w14:textId="77777777" w:rsidR="00D60186" w:rsidRPr="00225D4D" w:rsidRDefault="00D60186" w:rsidP="00225D4D">
      <w:r w:rsidRPr="00225D4D">
        <w:t xml:space="preserve">Med grunnlag i den informasjonen Datatilsynet har gitt til departementet i anledning oppmodingsvedtaket, meiner departementet det </w:t>
      </w:r>
      <w:proofErr w:type="spellStart"/>
      <w:r w:rsidRPr="00225D4D">
        <w:t>ikkje</w:t>
      </w:r>
      <w:proofErr w:type="spellEnd"/>
      <w:r w:rsidRPr="00225D4D">
        <w:t xml:space="preserve"> er grunn til å tru at </w:t>
      </w:r>
      <w:proofErr w:type="spellStart"/>
      <w:r w:rsidRPr="00225D4D">
        <w:t>dei</w:t>
      </w:r>
      <w:proofErr w:type="spellEnd"/>
      <w:r w:rsidRPr="00225D4D">
        <w:t xml:space="preserve"> sosiale medieplattformene </w:t>
      </w:r>
      <w:proofErr w:type="spellStart"/>
      <w:r w:rsidRPr="00225D4D">
        <w:t>behandlar</w:t>
      </w:r>
      <w:proofErr w:type="spellEnd"/>
      <w:r w:rsidRPr="00225D4D">
        <w:t xml:space="preserve"> biometriske data om norske </w:t>
      </w:r>
      <w:proofErr w:type="spellStart"/>
      <w:r w:rsidRPr="00225D4D">
        <w:t>forbrukarar</w:t>
      </w:r>
      <w:proofErr w:type="spellEnd"/>
      <w:r w:rsidRPr="00225D4D">
        <w:t xml:space="preserve">, slik dette er definert i personvernregelverket, i </w:t>
      </w:r>
      <w:proofErr w:type="spellStart"/>
      <w:r w:rsidRPr="00225D4D">
        <w:t>særleg</w:t>
      </w:r>
      <w:proofErr w:type="spellEnd"/>
      <w:r w:rsidRPr="00225D4D">
        <w:t xml:space="preserve"> monn. I den grad det skjer, er det all grunn til å tru at det skjer med grunnlag i samtykke </w:t>
      </w:r>
      <w:proofErr w:type="spellStart"/>
      <w:r w:rsidRPr="00225D4D">
        <w:t>frå</w:t>
      </w:r>
      <w:proofErr w:type="spellEnd"/>
      <w:r w:rsidRPr="00225D4D">
        <w:t xml:space="preserve"> </w:t>
      </w:r>
      <w:proofErr w:type="spellStart"/>
      <w:r w:rsidRPr="00225D4D">
        <w:t>brukarane</w:t>
      </w:r>
      <w:proofErr w:type="spellEnd"/>
      <w:r w:rsidRPr="00225D4D">
        <w:t xml:space="preserve"> sjølve. I lys av dette, er det departementet </w:t>
      </w:r>
      <w:proofErr w:type="spellStart"/>
      <w:r w:rsidRPr="00225D4D">
        <w:t>si</w:t>
      </w:r>
      <w:proofErr w:type="spellEnd"/>
      <w:r w:rsidRPr="00225D4D">
        <w:t xml:space="preserve"> vurdering at </w:t>
      </w:r>
      <w:proofErr w:type="spellStart"/>
      <w:r w:rsidRPr="00225D4D">
        <w:t>dei</w:t>
      </w:r>
      <w:proofErr w:type="spellEnd"/>
      <w:r w:rsidRPr="00225D4D">
        <w:t xml:space="preserve"> sosiale medieplattformene </w:t>
      </w:r>
      <w:proofErr w:type="spellStart"/>
      <w:r w:rsidRPr="00225D4D">
        <w:t>si</w:t>
      </w:r>
      <w:proofErr w:type="spellEnd"/>
      <w:r w:rsidRPr="00225D4D">
        <w:t xml:space="preserve"> behandling av biometrisk informasjon om norske </w:t>
      </w:r>
      <w:proofErr w:type="spellStart"/>
      <w:r w:rsidRPr="00225D4D">
        <w:t>forbrukarar</w:t>
      </w:r>
      <w:proofErr w:type="spellEnd"/>
      <w:r w:rsidRPr="00225D4D">
        <w:t xml:space="preserve"> </w:t>
      </w:r>
      <w:proofErr w:type="spellStart"/>
      <w:r w:rsidRPr="00225D4D">
        <w:t>ikkje</w:t>
      </w:r>
      <w:proofErr w:type="spellEnd"/>
      <w:r w:rsidRPr="00225D4D">
        <w:t xml:space="preserve"> </w:t>
      </w:r>
      <w:proofErr w:type="spellStart"/>
      <w:r w:rsidRPr="00225D4D">
        <w:t>utgjer</w:t>
      </w:r>
      <w:proofErr w:type="spellEnd"/>
      <w:r w:rsidRPr="00225D4D">
        <w:t xml:space="preserve"> </w:t>
      </w:r>
      <w:proofErr w:type="spellStart"/>
      <w:r w:rsidRPr="00225D4D">
        <w:t>nokon</w:t>
      </w:r>
      <w:proofErr w:type="spellEnd"/>
      <w:r w:rsidRPr="00225D4D">
        <w:t xml:space="preserve"> utfordring for </w:t>
      </w:r>
      <w:proofErr w:type="spellStart"/>
      <w:r w:rsidRPr="00225D4D">
        <w:t>brukarane</w:t>
      </w:r>
      <w:proofErr w:type="spellEnd"/>
      <w:r w:rsidRPr="00225D4D">
        <w:t xml:space="preserve"> sitt personvern.</w:t>
      </w:r>
    </w:p>
    <w:p w14:paraId="09528805" w14:textId="77777777" w:rsidR="00D60186" w:rsidRPr="00225D4D" w:rsidRDefault="00D60186" w:rsidP="00225D4D">
      <w:r w:rsidRPr="00225D4D">
        <w:t xml:space="preserve">Departementet har gjort </w:t>
      </w:r>
      <w:proofErr w:type="spellStart"/>
      <w:r w:rsidRPr="00225D4D">
        <w:t>nærare</w:t>
      </w:r>
      <w:proofErr w:type="spellEnd"/>
      <w:r w:rsidRPr="00225D4D">
        <w:t xml:space="preserve"> greie for oppfølginga av oppmodingsvedtaket i Meld. St. 34 (2024–2025) </w:t>
      </w:r>
      <w:r w:rsidRPr="00225D4D">
        <w:rPr>
          <w:rStyle w:val="kursiv"/>
        </w:rPr>
        <w:t xml:space="preserve">Datatilsynets og Personvernnemndas </w:t>
      </w:r>
      <w:proofErr w:type="spellStart"/>
      <w:r w:rsidRPr="00225D4D">
        <w:rPr>
          <w:rStyle w:val="kursiv"/>
        </w:rPr>
        <w:t>årsrapportar</w:t>
      </w:r>
      <w:proofErr w:type="spellEnd"/>
      <w:r w:rsidRPr="00225D4D">
        <w:rPr>
          <w:rStyle w:val="kursiv"/>
        </w:rPr>
        <w:t xml:space="preserve"> for 2024</w:t>
      </w:r>
      <w:r w:rsidRPr="00225D4D">
        <w:t xml:space="preserve">, og meiner med dette at oppmodingsvedtaket er </w:t>
      </w:r>
      <w:proofErr w:type="spellStart"/>
      <w:r w:rsidRPr="00225D4D">
        <w:t>følgt</w:t>
      </w:r>
      <w:proofErr w:type="spellEnd"/>
      <w:r w:rsidRPr="00225D4D">
        <w:t xml:space="preserve"> opp.</w:t>
      </w:r>
    </w:p>
    <w:p w14:paraId="3E38CC4F" w14:textId="77777777" w:rsidR="00D60186" w:rsidRPr="00225D4D" w:rsidRDefault="00D60186" w:rsidP="00225D4D">
      <w:pPr>
        <w:pStyle w:val="avsnitt-tittel"/>
      </w:pPr>
      <w:proofErr w:type="spellStart"/>
      <w:r w:rsidRPr="00225D4D">
        <w:t>Tilgjengeliggjering</w:t>
      </w:r>
      <w:proofErr w:type="spellEnd"/>
      <w:r w:rsidRPr="00225D4D">
        <w:t xml:space="preserve"> av data ved inngåing av </w:t>
      </w:r>
      <w:proofErr w:type="spellStart"/>
      <w:r w:rsidRPr="00225D4D">
        <w:t>offentlege</w:t>
      </w:r>
      <w:proofErr w:type="spellEnd"/>
      <w:r w:rsidRPr="00225D4D">
        <w:t xml:space="preserve"> </w:t>
      </w:r>
      <w:proofErr w:type="spellStart"/>
      <w:r w:rsidRPr="00225D4D">
        <w:t>kontraktar</w:t>
      </w:r>
      <w:proofErr w:type="spellEnd"/>
    </w:p>
    <w:p w14:paraId="2402B7C9" w14:textId="77777777" w:rsidR="00D60186" w:rsidRPr="00225D4D" w:rsidRDefault="00D60186" w:rsidP="00225D4D">
      <w:pPr>
        <w:pStyle w:val="avsnitt-undertittel"/>
      </w:pPr>
      <w:r w:rsidRPr="00225D4D">
        <w:t>Vedtak nr. 583, 13. april 2023</w:t>
      </w:r>
    </w:p>
    <w:p w14:paraId="17515FA1" w14:textId="77777777" w:rsidR="00D60186" w:rsidRPr="00225D4D" w:rsidRDefault="00D60186" w:rsidP="00225D4D">
      <w:pPr>
        <w:pStyle w:val="blokksit"/>
        <w:rPr>
          <w:rStyle w:val="kursiv"/>
        </w:rPr>
      </w:pPr>
      <w:r w:rsidRPr="00225D4D">
        <w:rPr>
          <w:rStyle w:val="kursiv"/>
        </w:rPr>
        <w:t>«Stortinget ber regjeringen stille krav om at data gjøres tilgjengelig ved inngåelse av offentlige kontrakter, der det vurderes hensiktsmessig.»</w:t>
      </w:r>
    </w:p>
    <w:p w14:paraId="27CE7383"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Linda Hofstad Helleland, Nikolai Astrup, Anne Kristine Linnestad og Heidi Nordby Lunde om datadreven industri, jf. Dokument 8:73 S (2022–2023) og </w:t>
      </w:r>
      <w:proofErr w:type="spellStart"/>
      <w:r w:rsidRPr="00225D4D">
        <w:t>Innst</w:t>
      </w:r>
      <w:proofErr w:type="spellEnd"/>
      <w:r w:rsidRPr="00225D4D">
        <w:t>. 238 S (2022–2023).</w:t>
      </w:r>
    </w:p>
    <w:p w14:paraId="36324221" w14:textId="77777777" w:rsidR="00D60186" w:rsidRPr="00225D4D" w:rsidRDefault="00D60186" w:rsidP="00225D4D">
      <w:r w:rsidRPr="00225D4D">
        <w:t xml:space="preserve">Statens standardavtaler (SSA) er </w:t>
      </w:r>
      <w:proofErr w:type="spellStart"/>
      <w:r w:rsidRPr="00225D4D">
        <w:t>dei</w:t>
      </w:r>
      <w:proofErr w:type="spellEnd"/>
      <w:r w:rsidRPr="00225D4D">
        <w:t xml:space="preserve"> mest brukte </w:t>
      </w:r>
      <w:proofErr w:type="spellStart"/>
      <w:r w:rsidRPr="00225D4D">
        <w:t>kontraktane</w:t>
      </w:r>
      <w:proofErr w:type="spellEnd"/>
      <w:r w:rsidRPr="00225D4D">
        <w:t xml:space="preserve"> når det </w:t>
      </w:r>
      <w:proofErr w:type="spellStart"/>
      <w:r w:rsidRPr="00225D4D">
        <w:t>offentlege</w:t>
      </w:r>
      <w:proofErr w:type="spellEnd"/>
      <w:r w:rsidRPr="00225D4D">
        <w:t xml:space="preserve"> inngår avtaler om kjøp av IT- og </w:t>
      </w:r>
      <w:proofErr w:type="spellStart"/>
      <w:r w:rsidRPr="00225D4D">
        <w:t>konsulenttenester</w:t>
      </w:r>
      <w:proofErr w:type="spellEnd"/>
      <w:r w:rsidRPr="00225D4D">
        <w:t xml:space="preserve">. Som </w:t>
      </w:r>
      <w:proofErr w:type="spellStart"/>
      <w:r w:rsidRPr="00225D4D">
        <w:t>ein</w:t>
      </w:r>
      <w:proofErr w:type="spellEnd"/>
      <w:r w:rsidRPr="00225D4D">
        <w:t xml:space="preserve"> del av oppfølginga av Meld. St. 22 (2020–2021) </w:t>
      </w:r>
      <w:r w:rsidRPr="00225D4D">
        <w:rPr>
          <w:rStyle w:val="kursiv"/>
        </w:rPr>
        <w:t>Data som ressurs – datadreven økonomi og innovasjon</w:t>
      </w:r>
      <w:r w:rsidRPr="00225D4D">
        <w:t xml:space="preserve">, </w:t>
      </w:r>
      <w:proofErr w:type="spellStart"/>
      <w:r w:rsidRPr="00225D4D">
        <w:t>fekk</w:t>
      </w:r>
      <w:proofErr w:type="spellEnd"/>
      <w:r w:rsidRPr="00225D4D">
        <w:t xml:space="preserve"> Direktoratet for forvaltning og økonomistyring i 2022 i oppdrag å vurdere om det var behov for </w:t>
      </w:r>
      <w:proofErr w:type="spellStart"/>
      <w:r w:rsidRPr="00225D4D">
        <w:t>endringar</w:t>
      </w:r>
      <w:proofErr w:type="spellEnd"/>
      <w:r w:rsidRPr="00225D4D">
        <w:t xml:space="preserve"> i SSA-ane for å legge </w:t>
      </w:r>
      <w:proofErr w:type="spellStart"/>
      <w:r w:rsidRPr="00225D4D">
        <w:t>betre</w:t>
      </w:r>
      <w:proofErr w:type="spellEnd"/>
      <w:r w:rsidRPr="00225D4D">
        <w:t xml:space="preserve"> til rette for deling og gjenbruk av data. Direktoratet for forvaltning og økonomistyring utarbeidde </w:t>
      </w:r>
      <w:proofErr w:type="spellStart"/>
      <w:r w:rsidRPr="00225D4D">
        <w:t>ein</w:t>
      </w:r>
      <w:proofErr w:type="spellEnd"/>
      <w:r w:rsidRPr="00225D4D">
        <w:t xml:space="preserve"> rapport med forslag til tiltak, som mellom anna </w:t>
      </w:r>
      <w:proofErr w:type="spellStart"/>
      <w:r w:rsidRPr="00225D4D">
        <w:t>inneheld</w:t>
      </w:r>
      <w:proofErr w:type="spellEnd"/>
      <w:r w:rsidRPr="00225D4D">
        <w:t xml:space="preserve"> forslag om </w:t>
      </w:r>
      <w:proofErr w:type="spellStart"/>
      <w:r w:rsidRPr="00225D4D">
        <w:t>endringar</w:t>
      </w:r>
      <w:proofErr w:type="spellEnd"/>
      <w:r w:rsidRPr="00225D4D">
        <w:t xml:space="preserve"> i enkelte </w:t>
      </w:r>
      <w:proofErr w:type="spellStart"/>
      <w:r w:rsidRPr="00225D4D">
        <w:t>kontraktsmalar</w:t>
      </w:r>
      <w:proofErr w:type="spellEnd"/>
      <w:r w:rsidRPr="00225D4D">
        <w:t xml:space="preserve">, kombinert med betre rettleiing i bruken av </w:t>
      </w:r>
      <w:proofErr w:type="spellStart"/>
      <w:r w:rsidRPr="00225D4D">
        <w:t>desse</w:t>
      </w:r>
      <w:proofErr w:type="spellEnd"/>
      <w:r w:rsidRPr="00225D4D">
        <w:t xml:space="preserve">. Det er komplekse </w:t>
      </w:r>
      <w:proofErr w:type="spellStart"/>
      <w:r w:rsidRPr="00225D4D">
        <w:t>problemstillingar</w:t>
      </w:r>
      <w:proofErr w:type="spellEnd"/>
      <w:r w:rsidRPr="00225D4D">
        <w:t xml:space="preserve"> knytte til gjennomføringa av </w:t>
      </w:r>
      <w:proofErr w:type="spellStart"/>
      <w:r w:rsidRPr="00225D4D">
        <w:t>dei</w:t>
      </w:r>
      <w:proofErr w:type="spellEnd"/>
      <w:r w:rsidRPr="00225D4D">
        <w:t xml:space="preserve"> nødvendige </w:t>
      </w:r>
      <w:proofErr w:type="spellStart"/>
      <w:r w:rsidRPr="00225D4D">
        <w:t>endringane</w:t>
      </w:r>
      <w:proofErr w:type="spellEnd"/>
      <w:r w:rsidRPr="00225D4D">
        <w:t xml:space="preserve"> i </w:t>
      </w:r>
      <w:proofErr w:type="spellStart"/>
      <w:r w:rsidRPr="00225D4D">
        <w:t>kontraktsmalane</w:t>
      </w:r>
      <w:proofErr w:type="spellEnd"/>
      <w:r w:rsidRPr="00225D4D">
        <w:t xml:space="preserve">, og arbeidet har derfor </w:t>
      </w:r>
      <w:proofErr w:type="spellStart"/>
      <w:r w:rsidRPr="00225D4D">
        <w:t>teke</w:t>
      </w:r>
      <w:proofErr w:type="spellEnd"/>
      <w:r w:rsidRPr="00225D4D">
        <w:t xml:space="preserve"> lengre tid enn først planlagt. I 2025 har Direktoratet for forvaltning og økonomistyring fått i oppdrag </w:t>
      </w:r>
      <w:proofErr w:type="gramStart"/>
      <w:r w:rsidRPr="00225D4D">
        <w:t xml:space="preserve">å </w:t>
      </w:r>
      <w:proofErr w:type="spellStart"/>
      <w:r w:rsidRPr="00225D4D">
        <w:t>følgje</w:t>
      </w:r>
      <w:proofErr w:type="spellEnd"/>
      <w:proofErr w:type="gramEnd"/>
      <w:r w:rsidRPr="00225D4D">
        <w:t xml:space="preserve"> opp forslaga </w:t>
      </w:r>
      <w:proofErr w:type="spellStart"/>
      <w:r w:rsidRPr="00225D4D">
        <w:t>frå</w:t>
      </w:r>
      <w:proofErr w:type="spellEnd"/>
      <w:r w:rsidRPr="00225D4D">
        <w:t xml:space="preserve"> den </w:t>
      </w:r>
      <w:proofErr w:type="spellStart"/>
      <w:r w:rsidRPr="00225D4D">
        <w:t>nemnde</w:t>
      </w:r>
      <w:proofErr w:type="spellEnd"/>
      <w:r w:rsidRPr="00225D4D">
        <w:t xml:space="preserve"> rapporten, og dette skal </w:t>
      </w:r>
      <w:proofErr w:type="spellStart"/>
      <w:r w:rsidRPr="00225D4D">
        <w:t>gjerast</w:t>
      </w:r>
      <w:proofErr w:type="spellEnd"/>
      <w:r w:rsidRPr="00225D4D">
        <w:t xml:space="preserve"> i </w:t>
      </w:r>
      <w:proofErr w:type="spellStart"/>
      <w:r w:rsidRPr="00225D4D">
        <w:t>samanheng</w:t>
      </w:r>
      <w:proofErr w:type="spellEnd"/>
      <w:r w:rsidRPr="00225D4D">
        <w:t xml:space="preserve"> med direktoratet si større gjennomgang og </w:t>
      </w:r>
      <w:proofErr w:type="spellStart"/>
      <w:r w:rsidRPr="00225D4D">
        <w:t>vidareutvikling</w:t>
      </w:r>
      <w:proofErr w:type="spellEnd"/>
      <w:r w:rsidRPr="00225D4D">
        <w:t xml:space="preserve"> av alle SSA-ane. </w:t>
      </w:r>
      <w:proofErr w:type="spellStart"/>
      <w:r w:rsidRPr="00225D4D">
        <w:t>Endringane</w:t>
      </w:r>
      <w:proofErr w:type="spellEnd"/>
      <w:r w:rsidRPr="00225D4D">
        <w:t xml:space="preserve"> skal </w:t>
      </w:r>
      <w:proofErr w:type="spellStart"/>
      <w:r w:rsidRPr="00225D4D">
        <w:t>vere</w:t>
      </w:r>
      <w:proofErr w:type="spellEnd"/>
      <w:r w:rsidRPr="00225D4D">
        <w:t xml:space="preserve"> gjennomførte </w:t>
      </w:r>
      <w:proofErr w:type="spellStart"/>
      <w:r w:rsidRPr="00225D4D">
        <w:t>innan</w:t>
      </w:r>
      <w:proofErr w:type="spellEnd"/>
      <w:r w:rsidRPr="00225D4D">
        <w:t xml:space="preserve"> utgangen av 2025.</w:t>
      </w:r>
    </w:p>
    <w:p w14:paraId="411FC826"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7B4E43AD" w14:textId="77777777" w:rsidR="00D60186" w:rsidRPr="00225D4D" w:rsidRDefault="00D60186" w:rsidP="00225D4D">
      <w:pPr>
        <w:pStyle w:val="Overskrift2"/>
      </w:pPr>
      <w:r w:rsidRPr="00225D4D">
        <w:t>Stortingssesjon 2021–2022</w:t>
      </w:r>
    </w:p>
    <w:p w14:paraId="048736F1" w14:textId="77777777" w:rsidR="00D60186" w:rsidRPr="00225D4D" w:rsidRDefault="00D60186" w:rsidP="00225D4D">
      <w:pPr>
        <w:pStyle w:val="avsnitt-tittel"/>
      </w:pPr>
      <w:proofErr w:type="spellStart"/>
      <w:r w:rsidRPr="00225D4D">
        <w:t>Auka</w:t>
      </w:r>
      <w:proofErr w:type="spellEnd"/>
      <w:r w:rsidRPr="00225D4D">
        <w:t xml:space="preserve"> </w:t>
      </w:r>
      <w:proofErr w:type="spellStart"/>
      <w:r w:rsidRPr="00225D4D">
        <w:t>openheit</w:t>
      </w:r>
      <w:proofErr w:type="spellEnd"/>
      <w:r w:rsidRPr="00225D4D">
        <w:t xml:space="preserve"> i </w:t>
      </w:r>
      <w:proofErr w:type="spellStart"/>
      <w:r w:rsidRPr="00225D4D">
        <w:t>verksemda</w:t>
      </w:r>
      <w:proofErr w:type="spellEnd"/>
      <w:r w:rsidRPr="00225D4D">
        <w:t xml:space="preserve"> til private </w:t>
      </w:r>
      <w:proofErr w:type="spellStart"/>
      <w:r w:rsidRPr="00225D4D">
        <w:t>tilbydarar</w:t>
      </w:r>
      <w:proofErr w:type="spellEnd"/>
      <w:r w:rsidRPr="00225D4D">
        <w:t xml:space="preserve"> av </w:t>
      </w:r>
      <w:proofErr w:type="spellStart"/>
      <w:r w:rsidRPr="00225D4D">
        <w:t>offentleg</w:t>
      </w:r>
      <w:proofErr w:type="spellEnd"/>
      <w:r w:rsidRPr="00225D4D">
        <w:t xml:space="preserve"> finansierte </w:t>
      </w:r>
      <w:proofErr w:type="spellStart"/>
      <w:r w:rsidRPr="00225D4D">
        <w:t>velferdstenester</w:t>
      </w:r>
      <w:proofErr w:type="spellEnd"/>
    </w:p>
    <w:p w14:paraId="52536F07" w14:textId="77777777" w:rsidR="00D60186" w:rsidRPr="00225D4D" w:rsidRDefault="00D60186" w:rsidP="00225D4D">
      <w:pPr>
        <w:pStyle w:val="avsnitt-undertittel"/>
      </w:pPr>
      <w:r w:rsidRPr="00225D4D">
        <w:t>Vedtak nr. 35 nr. 42, 2. desember 2021</w:t>
      </w:r>
    </w:p>
    <w:p w14:paraId="65D73136" w14:textId="77777777" w:rsidR="00D60186" w:rsidRPr="00225D4D" w:rsidRDefault="00D60186" w:rsidP="00225D4D">
      <w:pPr>
        <w:pStyle w:val="blokksit"/>
        <w:rPr>
          <w:rStyle w:val="kursiv"/>
        </w:rPr>
      </w:pPr>
      <w:r w:rsidRPr="00225D4D">
        <w:rPr>
          <w:rStyle w:val="kursiv"/>
        </w:rPr>
        <w:t>«Stortinget ber regjeringen fremme nødvendige tiltak for å sikre økt åpenhet og transparens i virksomheten til private tilbydere av offentlig finansierte velferdstjenester, herunder et offentlig register over alle private virksomheter som leverer offentlig finansierte velferdstjenester.»</w:t>
      </w:r>
    </w:p>
    <w:p w14:paraId="0B87E460" w14:textId="77777777" w:rsidR="00D60186" w:rsidRPr="00225D4D" w:rsidRDefault="00D60186" w:rsidP="00225D4D">
      <w:r w:rsidRPr="00225D4D">
        <w:t xml:space="preserve">Dokumenta som ligg til grunn for vedtaket, er Meld. St. 1 (2021–2022) </w:t>
      </w:r>
      <w:r w:rsidRPr="00225D4D">
        <w:rPr>
          <w:rStyle w:val="kursiv"/>
        </w:rPr>
        <w:t>Nasjonalbudsjettet 2022</w:t>
      </w:r>
      <w:r w:rsidRPr="00225D4D">
        <w:t xml:space="preserve"> og </w:t>
      </w:r>
      <w:proofErr w:type="spellStart"/>
      <w:r w:rsidRPr="00225D4D">
        <w:t>Innst</w:t>
      </w:r>
      <w:proofErr w:type="spellEnd"/>
      <w:r w:rsidRPr="00225D4D">
        <w:t>. 2 S (2021–2022).</w:t>
      </w:r>
    </w:p>
    <w:p w14:paraId="7750DEBC" w14:textId="77777777" w:rsidR="00D60186" w:rsidRPr="00225D4D" w:rsidRDefault="00D60186" w:rsidP="00225D4D">
      <w:proofErr w:type="spellStart"/>
      <w:r w:rsidRPr="00225D4D">
        <w:t>Problemstillingane</w:t>
      </w:r>
      <w:proofErr w:type="spellEnd"/>
      <w:r w:rsidRPr="00225D4D">
        <w:t xml:space="preserve"> har blitt </w:t>
      </w:r>
      <w:proofErr w:type="spellStart"/>
      <w:r w:rsidRPr="00225D4D">
        <w:t>utgreia</w:t>
      </w:r>
      <w:proofErr w:type="spellEnd"/>
      <w:r w:rsidRPr="00225D4D">
        <w:t xml:space="preserve"> som </w:t>
      </w:r>
      <w:proofErr w:type="spellStart"/>
      <w:r w:rsidRPr="00225D4D">
        <w:t>ein</w:t>
      </w:r>
      <w:proofErr w:type="spellEnd"/>
      <w:r w:rsidRPr="00225D4D">
        <w:t xml:space="preserve"> del av </w:t>
      </w:r>
      <w:proofErr w:type="spellStart"/>
      <w:r w:rsidRPr="00225D4D">
        <w:t>Støstad-utvalet</w:t>
      </w:r>
      <w:proofErr w:type="spellEnd"/>
      <w:r w:rsidRPr="00225D4D">
        <w:t xml:space="preserve"> sitt arbeid. </w:t>
      </w:r>
      <w:proofErr w:type="spellStart"/>
      <w:r w:rsidRPr="00225D4D">
        <w:t>Utvalet</w:t>
      </w:r>
      <w:proofErr w:type="spellEnd"/>
      <w:r w:rsidRPr="00225D4D">
        <w:t xml:space="preserve"> la fram delrapporten NOU 2024: 1 </w:t>
      </w:r>
      <w:r w:rsidRPr="00225D4D">
        <w:rPr>
          <w:rStyle w:val="kursiv"/>
        </w:rPr>
        <w:t>Definisjon og registrering av ideelle velferdsaktører</w:t>
      </w:r>
      <w:r w:rsidRPr="00225D4D">
        <w:t xml:space="preserve"> i januar 2024. Sluttrapporten, NOU 2024: 17 </w:t>
      </w:r>
      <w:r w:rsidRPr="00225D4D">
        <w:rPr>
          <w:rStyle w:val="kursiv"/>
        </w:rPr>
        <w:t>Kommersielle og ideelle aktørers rolle i fellesskapets velferdstjenester</w:t>
      </w:r>
      <w:r w:rsidRPr="00225D4D">
        <w:t xml:space="preserve">, blei levert i august 2024. Begge </w:t>
      </w:r>
      <w:proofErr w:type="spellStart"/>
      <w:r w:rsidRPr="00225D4D">
        <w:t>rapportar</w:t>
      </w:r>
      <w:proofErr w:type="spellEnd"/>
      <w:r w:rsidRPr="00225D4D">
        <w:t xml:space="preserve"> har </w:t>
      </w:r>
      <w:proofErr w:type="spellStart"/>
      <w:r w:rsidRPr="00225D4D">
        <w:t>vore</w:t>
      </w:r>
      <w:proofErr w:type="spellEnd"/>
      <w:r w:rsidRPr="00225D4D">
        <w:t xml:space="preserve"> på </w:t>
      </w:r>
      <w:proofErr w:type="spellStart"/>
      <w:r w:rsidRPr="00225D4D">
        <w:t>offentleg</w:t>
      </w:r>
      <w:proofErr w:type="spellEnd"/>
      <w:r w:rsidRPr="00225D4D">
        <w:t xml:space="preserve"> </w:t>
      </w:r>
      <w:proofErr w:type="spellStart"/>
      <w:r w:rsidRPr="00225D4D">
        <w:t>høyring</w:t>
      </w:r>
      <w:proofErr w:type="spellEnd"/>
      <w:r w:rsidRPr="00225D4D">
        <w:t xml:space="preserve"> og er </w:t>
      </w:r>
      <w:proofErr w:type="spellStart"/>
      <w:r w:rsidRPr="00225D4D">
        <w:t>no</w:t>
      </w:r>
      <w:proofErr w:type="spellEnd"/>
      <w:r w:rsidRPr="00225D4D">
        <w:t xml:space="preserve"> til oppfølging i Digitaliserings- og forvaltningsdepartementet. Departementet viser til rapportering på oppmodingsvedtak nr. 86, 5. desember 2024 og oppmodingsvedtak nr. 87, 5. desember 2024.</w:t>
      </w:r>
    </w:p>
    <w:p w14:paraId="747DC469"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17E4E290" w14:textId="77777777" w:rsidR="00D60186" w:rsidRPr="00225D4D" w:rsidRDefault="00D60186" w:rsidP="00225D4D">
      <w:pPr>
        <w:pStyle w:val="avsnitt-tittel"/>
      </w:pPr>
      <w:r w:rsidRPr="00225D4D">
        <w:t xml:space="preserve">Krav om organisering i sjølvstendig rettssubjekt for selskap som leverer </w:t>
      </w:r>
      <w:proofErr w:type="spellStart"/>
      <w:r w:rsidRPr="00225D4D">
        <w:t>offentleg</w:t>
      </w:r>
      <w:proofErr w:type="spellEnd"/>
      <w:r w:rsidRPr="00225D4D">
        <w:t xml:space="preserve"> finansierte </w:t>
      </w:r>
      <w:proofErr w:type="spellStart"/>
      <w:r w:rsidRPr="00225D4D">
        <w:t>velferdstenester</w:t>
      </w:r>
      <w:proofErr w:type="spellEnd"/>
    </w:p>
    <w:p w14:paraId="42D46FE0" w14:textId="77777777" w:rsidR="00D60186" w:rsidRPr="00225D4D" w:rsidRDefault="00D60186" w:rsidP="00225D4D">
      <w:pPr>
        <w:pStyle w:val="avsnitt-undertittel"/>
      </w:pPr>
      <w:r w:rsidRPr="00225D4D">
        <w:t>Vedtak nr. 35 nr. 43, 2. desember 2021</w:t>
      </w:r>
    </w:p>
    <w:p w14:paraId="6AD4BBBD" w14:textId="77777777" w:rsidR="00D60186" w:rsidRPr="00225D4D" w:rsidRDefault="00D60186" w:rsidP="00225D4D">
      <w:pPr>
        <w:pStyle w:val="blokksit"/>
        <w:rPr>
          <w:rStyle w:val="kursiv"/>
        </w:rPr>
      </w:pPr>
      <w:r w:rsidRPr="00225D4D">
        <w:rPr>
          <w:rStyle w:val="kursiv"/>
        </w:rPr>
        <w:t>«Stortinget ber regjeringen utrede forslag om å stille krav til at selskaper som leverer offentlig finansierte velferdstjenester, organiseres i egne rettssubjekter hvor det ikke er tillatt å drive annen virksomhet enn offentlig finansierte velferdstjenester.»</w:t>
      </w:r>
    </w:p>
    <w:p w14:paraId="7E3339EB" w14:textId="77777777" w:rsidR="00D60186" w:rsidRPr="00225D4D" w:rsidRDefault="00D60186" w:rsidP="00225D4D">
      <w:r w:rsidRPr="00225D4D">
        <w:t xml:space="preserve">Dokumenta som ligg til grunn for vedtaket, er Meld. St. 1 (2021–2022) </w:t>
      </w:r>
      <w:r w:rsidRPr="00225D4D">
        <w:rPr>
          <w:rStyle w:val="kursiv"/>
        </w:rPr>
        <w:t>Nasjonalbudsjettet 2022</w:t>
      </w:r>
      <w:r w:rsidRPr="00225D4D">
        <w:t xml:space="preserve"> og </w:t>
      </w:r>
      <w:proofErr w:type="spellStart"/>
      <w:r w:rsidRPr="00225D4D">
        <w:t>Innst</w:t>
      </w:r>
      <w:proofErr w:type="spellEnd"/>
      <w:r w:rsidRPr="00225D4D">
        <w:t>. 2 S (2021–2022).</w:t>
      </w:r>
    </w:p>
    <w:p w14:paraId="0E41DABE" w14:textId="77777777" w:rsidR="00D60186" w:rsidRPr="00225D4D" w:rsidRDefault="00D60186" w:rsidP="00225D4D">
      <w:proofErr w:type="spellStart"/>
      <w:r w:rsidRPr="00225D4D">
        <w:t>Støstad-utvalet</w:t>
      </w:r>
      <w:proofErr w:type="spellEnd"/>
      <w:r w:rsidRPr="00225D4D">
        <w:t xml:space="preserve"> har hatt som </w:t>
      </w:r>
      <w:proofErr w:type="spellStart"/>
      <w:r w:rsidRPr="00225D4D">
        <w:t>ein</w:t>
      </w:r>
      <w:proofErr w:type="spellEnd"/>
      <w:r w:rsidRPr="00225D4D">
        <w:t xml:space="preserve"> del av mandatet sitt å vurdere korleis kommersielle </w:t>
      </w:r>
      <w:proofErr w:type="spellStart"/>
      <w:r w:rsidRPr="00225D4D">
        <w:t>aktørar</w:t>
      </w:r>
      <w:proofErr w:type="spellEnd"/>
      <w:r w:rsidRPr="00225D4D">
        <w:t xml:space="preserve"> kan </w:t>
      </w:r>
      <w:proofErr w:type="spellStart"/>
      <w:r w:rsidRPr="00225D4D">
        <w:t>regulerast</w:t>
      </w:r>
      <w:proofErr w:type="spellEnd"/>
      <w:r w:rsidRPr="00225D4D">
        <w:t xml:space="preserve"> </w:t>
      </w:r>
      <w:proofErr w:type="spellStart"/>
      <w:r w:rsidRPr="00225D4D">
        <w:t>strengare</w:t>
      </w:r>
      <w:proofErr w:type="spellEnd"/>
      <w:r w:rsidRPr="00225D4D">
        <w:t xml:space="preserve">. </w:t>
      </w:r>
      <w:proofErr w:type="spellStart"/>
      <w:r w:rsidRPr="00225D4D">
        <w:t>Eit</w:t>
      </w:r>
      <w:proofErr w:type="spellEnd"/>
      <w:r w:rsidRPr="00225D4D">
        <w:t xml:space="preserve"> krav om organisering av slik </w:t>
      </w:r>
      <w:proofErr w:type="spellStart"/>
      <w:r w:rsidRPr="00225D4D">
        <w:t>verksemd</w:t>
      </w:r>
      <w:proofErr w:type="spellEnd"/>
      <w:r w:rsidRPr="00225D4D">
        <w:t xml:space="preserve"> som sjølvstendig rettssubjekt, er </w:t>
      </w:r>
      <w:proofErr w:type="spellStart"/>
      <w:r w:rsidRPr="00225D4D">
        <w:t>eitt</w:t>
      </w:r>
      <w:proofErr w:type="spellEnd"/>
      <w:r w:rsidRPr="00225D4D">
        <w:t xml:space="preserve"> av </w:t>
      </w:r>
      <w:proofErr w:type="spellStart"/>
      <w:r w:rsidRPr="00225D4D">
        <w:t>fleire</w:t>
      </w:r>
      <w:proofErr w:type="spellEnd"/>
      <w:r w:rsidRPr="00225D4D">
        <w:t xml:space="preserve"> døme på tiltak som </w:t>
      </w:r>
      <w:proofErr w:type="spellStart"/>
      <w:r w:rsidRPr="00225D4D">
        <w:t>utvalet</w:t>
      </w:r>
      <w:proofErr w:type="spellEnd"/>
      <w:r w:rsidRPr="00225D4D">
        <w:t xml:space="preserve"> har vurdert i NOU 2024: 17 </w:t>
      </w:r>
      <w:r w:rsidRPr="00225D4D">
        <w:rPr>
          <w:rStyle w:val="kursiv"/>
        </w:rPr>
        <w:t>Kommersielle og ideelle aktørers rolle i fellesskapets velferdstjenester.</w:t>
      </w:r>
      <w:r w:rsidRPr="00225D4D">
        <w:t xml:space="preserve"> Rapporten har </w:t>
      </w:r>
      <w:proofErr w:type="spellStart"/>
      <w:r w:rsidRPr="00225D4D">
        <w:t>vore</w:t>
      </w:r>
      <w:proofErr w:type="spellEnd"/>
      <w:r w:rsidRPr="00225D4D">
        <w:t xml:space="preserve"> på </w:t>
      </w:r>
      <w:proofErr w:type="spellStart"/>
      <w:r w:rsidRPr="00225D4D">
        <w:t>offentleg</w:t>
      </w:r>
      <w:proofErr w:type="spellEnd"/>
      <w:r w:rsidRPr="00225D4D">
        <w:t xml:space="preserve"> </w:t>
      </w:r>
      <w:proofErr w:type="spellStart"/>
      <w:r w:rsidRPr="00225D4D">
        <w:t>høyring</w:t>
      </w:r>
      <w:proofErr w:type="spellEnd"/>
      <w:r w:rsidRPr="00225D4D">
        <w:t xml:space="preserve"> og er til behandling i Digitaliserings- og forvaltningsdepartementet. Departementet viser til rapportering på oppmodingsvedtak nr. 86, 5. desember 2024 og oppmodingsvedtak nr. 87, 5. desember 2024.</w:t>
      </w:r>
    </w:p>
    <w:p w14:paraId="0F7173EF"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0E794130" w14:textId="77777777" w:rsidR="00D60186" w:rsidRPr="00225D4D" w:rsidRDefault="00D60186" w:rsidP="00225D4D">
      <w:pPr>
        <w:pStyle w:val="Overskrift1"/>
      </w:pPr>
      <w:r w:rsidRPr="00225D4D">
        <w:t>Energidepartementet</w:t>
      </w:r>
    </w:p>
    <w:p w14:paraId="5CC68C1A" w14:textId="77777777" w:rsidR="00D60186" w:rsidRPr="00225D4D" w:rsidRDefault="00D60186" w:rsidP="00225D4D">
      <w:proofErr w:type="spellStart"/>
      <w:r w:rsidRPr="00225D4D">
        <w:t>Nedanfor</w:t>
      </w:r>
      <w:proofErr w:type="spellEnd"/>
      <w:r w:rsidRPr="00225D4D">
        <w:t xml:space="preserve"> følger </w:t>
      </w:r>
      <w:proofErr w:type="gramStart"/>
      <w:r w:rsidRPr="00225D4D">
        <w:t>ei oversikt</w:t>
      </w:r>
      <w:proofErr w:type="gramEnd"/>
      <w:r w:rsidRPr="00225D4D">
        <w:t xml:space="preserve"> over oppfølginga av oppmodings- og utgreiingsvedtak under Energidepartementet. </w:t>
      </w:r>
      <w:proofErr w:type="spellStart"/>
      <w:r w:rsidRPr="00225D4D">
        <w:t>Oversikta</w:t>
      </w:r>
      <w:proofErr w:type="spellEnd"/>
      <w:r w:rsidRPr="00225D4D">
        <w:t xml:space="preserve"> </w:t>
      </w:r>
      <w:proofErr w:type="spellStart"/>
      <w:r w:rsidRPr="00225D4D">
        <w:t>omfattar</w:t>
      </w:r>
      <w:proofErr w:type="spellEnd"/>
      <w:r w:rsidRPr="00225D4D">
        <w:t xml:space="preserve"> alle vedtak </w:t>
      </w:r>
      <w:proofErr w:type="spellStart"/>
      <w:r w:rsidRPr="00225D4D">
        <w:t>frå</w:t>
      </w:r>
      <w:proofErr w:type="spellEnd"/>
      <w:r w:rsidRPr="00225D4D">
        <w:t xml:space="preserve"> stortingssesjonen 2024–2025 og </w:t>
      </w:r>
      <w:proofErr w:type="spellStart"/>
      <w:r w:rsidRPr="00225D4D">
        <w:t>dei</w:t>
      </w:r>
      <w:proofErr w:type="spellEnd"/>
      <w:r w:rsidRPr="00225D4D">
        <w:t xml:space="preserve"> vedtaka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stortingssesjonar</w:t>
      </w:r>
      <w:proofErr w:type="spellEnd"/>
      <w:r w:rsidRPr="00225D4D">
        <w:t xml:space="preserve"> som kontroll- og konstitusjonskomiteen i </w:t>
      </w:r>
      <w:proofErr w:type="spellStart"/>
      <w:r w:rsidRPr="00225D4D">
        <w:t>Innst</w:t>
      </w:r>
      <w:proofErr w:type="spellEnd"/>
      <w:r w:rsidRPr="00225D4D">
        <w:t xml:space="preserve">. 216 S (2024–2025), innstilling fra kontroll- og konstitusjonskomiteen om </w:t>
      </w:r>
      <w:proofErr w:type="spellStart"/>
      <w:r w:rsidRPr="00225D4D">
        <w:t>oppmodnings</w:t>
      </w:r>
      <w:proofErr w:type="spellEnd"/>
      <w:r w:rsidRPr="00225D4D">
        <w:t xml:space="preserve">- og utgreiingsvedtak i stortingssesjonen 2023–2024, har vurdert som </w:t>
      </w:r>
      <w:proofErr w:type="spellStart"/>
      <w:r w:rsidRPr="00225D4D">
        <w:t>ikkje</w:t>
      </w:r>
      <w:proofErr w:type="spellEnd"/>
      <w:r w:rsidRPr="00225D4D">
        <w:t xml:space="preserve"> kvitterte ut.</w:t>
      </w:r>
    </w:p>
    <w:p w14:paraId="47F9AE17" w14:textId="77777777" w:rsidR="00D60186" w:rsidRPr="00225D4D" w:rsidRDefault="00D60186" w:rsidP="00225D4D">
      <w:r w:rsidRPr="00225D4D">
        <w:t xml:space="preserve">I </w:t>
      </w:r>
      <w:proofErr w:type="spellStart"/>
      <w:r w:rsidRPr="00225D4D">
        <w:t>oversikta</w:t>
      </w:r>
      <w:proofErr w:type="spellEnd"/>
      <w:r w:rsidRPr="00225D4D">
        <w:t xml:space="preserve"> går det fram om departementet planlegg å avslutte rapporteringa knytt til det enkelte vedtaket </w:t>
      </w:r>
      <w:proofErr w:type="spellStart"/>
      <w:r w:rsidRPr="00225D4D">
        <w:t>no</w:t>
      </w:r>
      <w:proofErr w:type="spellEnd"/>
      <w:r w:rsidRPr="00225D4D">
        <w:t xml:space="preserve">, eller om departementet vil rapportere </w:t>
      </w:r>
      <w:proofErr w:type="spellStart"/>
      <w:r w:rsidRPr="00225D4D">
        <w:t>vidare</w:t>
      </w:r>
      <w:proofErr w:type="spellEnd"/>
      <w:r w:rsidRPr="00225D4D">
        <w:t xml:space="preserve"> på vedtaket i budsjettproposisjonen for neste år.</w:t>
      </w:r>
    </w:p>
    <w:p w14:paraId="3AB80AA1" w14:textId="417CA851" w:rsidR="00330F87" w:rsidRPr="00225D4D" w:rsidRDefault="00330F87" w:rsidP="00225D4D">
      <w:pPr>
        <w:pStyle w:val="tabell-tittel"/>
      </w:pPr>
      <w:r w:rsidRPr="00225D4D">
        <w:t>Oversikt over oppmodings- og utgreiingsvedtak, ordna etter sesjon og nummer</w:t>
      </w:r>
    </w:p>
    <w:p w14:paraId="509890BB" w14:textId="77777777" w:rsidR="00D60186" w:rsidRPr="00225D4D" w:rsidRDefault="00D60186" w:rsidP="00225D4D">
      <w:pPr>
        <w:pStyle w:val="Tabellnavn"/>
      </w:pPr>
      <w:r w:rsidRPr="00225D4D">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060"/>
        <w:gridCol w:w="5800"/>
        <w:gridCol w:w="1560"/>
      </w:tblGrid>
      <w:tr w:rsidR="00E76DC8" w:rsidRPr="00225D4D" w14:paraId="03815498" w14:textId="77777777">
        <w:trPr>
          <w:trHeight w:val="86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99DEA" w14:textId="77777777" w:rsidR="00D60186" w:rsidRPr="00815696" w:rsidRDefault="00D60186" w:rsidP="00225D4D">
            <w:pPr>
              <w:rPr>
                <w:sz w:val="21"/>
                <w:szCs w:val="21"/>
              </w:rPr>
            </w:pPr>
            <w:r w:rsidRPr="00815696">
              <w:rPr>
                <w:sz w:val="21"/>
                <w:szCs w:val="21"/>
              </w:rPr>
              <w:t>Sesjon</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5BED1A" w14:textId="77777777" w:rsidR="00D60186" w:rsidRPr="00815696" w:rsidRDefault="00D60186" w:rsidP="00815696">
            <w:pPr>
              <w:ind w:right="113"/>
              <w:jc w:val="right"/>
              <w:rPr>
                <w:sz w:val="21"/>
                <w:szCs w:val="21"/>
              </w:rPr>
            </w:pPr>
            <w:r w:rsidRPr="00815696">
              <w:rPr>
                <w:sz w:val="21"/>
                <w:szCs w:val="21"/>
              </w:rPr>
              <w:t>Vedtak</w:t>
            </w:r>
          </w:p>
        </w:tc>
        <w:tc>
          <w:tcPr>
            <w:tcW w:w="5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A3E926" w14:textId="77777777" w:rsidR="00D60186" w:rsidRPr="00815696" w:rsidRDefault="00D60186" w:rsidP="00225D4D">
            <w:pPr>
              <w:rPr>
                <w:sz w:val="21"/>
                <w:szCs w:val="21"/>
              </w:rPr>
            </w:pPr>
            <w:r w:rsidRPr="00815696">
              <w:rPr>
                <w:sz w:val="21"/>
                <w:szCs w:val="21"/>
              </w:rPr>
              <w:t>Stikkord</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33FD18" w14:textId="77777777" w:rsidR="00D60186" w:rsidRPr="00815696" w:rsidRDefault="00D60186" w:rsidP="00815696">
            <w:pPr>
              <w:jc w:val="right"/>
              <w:rPr>
                <w:sz w:val="21"/>
                <w:szCs w:val="21"/>
              </w:rPr>
            </w:pPr>
            <w:r w:rsidRPr="00815696">
              <w:rPr>
                <w:sz w:val="21"/>
                <w:szCs w:val="21"/>
              </w:rPr>
              <w:t xml:space="preserve">Rapporteringa blir avslutta </w:t>
            </w:r>
            <w:r w:rsidRPr="00815696">
              <w:rPr>
                <w:sz w:val="21"/>
                <w:szCs w:val="21"/>
              </w:rPr>
              <w:br/>
              <w:t>(ja/nei)</w:t>
            </w:r>
          </w:p>
        </w:tc>
      </w:tr>
      <w:tr w:rsidR="00E76DC8" w:rsidRPr="00225D4D" w14:paraId="58666E3E" w14:textId="77777777" w:rsidTr="00814879">
        <w:trPr>
          <w:trHeight w:val="20"/>
        </w:trPr>
        <w:tc>
          <w:tcPr>
            <w:tcW w:w="1120" w:type="dxa"/>
            <w:tcBorders>
              <w:top w:val="single" w:sz="4" w:space="0" w:color="000000"/>
              <w:left w:val="nil"/>
              <w:bottom w:val="nil"/>
              <w:right w:val="nil"/>
            </w:tcBorders>
            <w:tcMar>
              <w:top w:w="128" w:type="dxa"/>
              <w:left w:w="43" w:type="dxa"/>
              <w:bottom w:w="43" w:type="dxa"/>
              <w:right w:w="43" w:type="dxa"/>
            </w:tcMar>
          </w:tcPr>
          <w:p w14:paraId="1396FAA7" w14:textId="77777777" w:rsidR="00D60186" w:rsidRPr="00815696" w:rsidRDefault="00D60186" w:rsidP="00225D4D">
            <w:pPr>
              <w:rPr>
                <w:sz w:val="21"/>
                <w:szCs w:val="21"/>
              </w:rPr>
            </w:pPr>
            <w:r w:rsidRPr="00815696">
              <w:rPr>
                <w:sz w:val="21"/>
                <w:szCs w:val="21"/>
              </w:rPr>
              <w:t>2024–2025</w:t>
            </w:r>
          </w:p>
        </w:tc>
        <w:tc>
          <w:tcPr>
            <w:tcW w:w="1060" w:type="dxa"/>
            <w:tcBorders>
              <w:top w:val="single" w:sz="4" w:space="0" w:color="000000"/>
              <w:left w:val="nil"/>
              <w:bottom w:val="nil"/>
              <w:right w:val="nil"/>
            </w:tcBorders>
            <w:tcMar>
              <w:top w:w="128" w:type="dxa"/>
              <w:left w:w="43" w:type="dxa"/>
              <w:bottom w:w="43" w:type="dxa"/>
              <w:right w:w="43" w:type="dxa"/>
            </w:tcMar>
          </w:tcPr>
          <w:p w14:paraId="221A8B52" w14:textId="77777777" w:rsidR="00D60186" w:rsidRPr="00815696" w:rsidRDefault="00D60186" w:rsidP="00815696">
            <w:pPr>
              <w:ind w:right="113"/>
              <w:jc w:val="right"/>
              <w:rPr>
                <w:sz w:val="21"/>
                <w:szCs w:val="21"/>
              </w:rPr>
            </w:pPr>
            <w:r w:rsidRPr="00815696">
              <w:rPr>
                <w:sz w:val="21"/>
                <w:szCs w:val="21"/>
              </w:rPr>
              <w:t>78</w:t>
            </w:r>
          </w:p>
        </w:tc>
        <w:tc>
          <w:tcPr>
            <w:tcW w:w="5800" w:type="dxa"/>
            <w:tcBorders>
              <w:top w:val="single" w:sz="4" w:space="0" w:color="000000"/>
              <w:left w:val="nil"/>
              <w:bottom w:val="nil"/>
              <w:right w:val="nil"/>
            </w:tcBorders>
            <w:tcMar>
              <w:top w:w="128" w:type="dxa"/>
              <w:left w:w="43" w:type="dxa"/>
              <w:bottom w:w="43" w:type="dxa"/>
              <w:right w:w="43" w:type="dxa"/>
            </w:tcMar>
          </w:tcPr>
          <w:p w14:paraId="6F5F9A89" w14:textId="77777777" w:rsidR="00D60186" w:rsidRPr="00815696" w:rsidRDefault="00D60186" w:rsidP="00225D4D">
            <w:pPr>
              <w:rPr>
                <w:sz w:val="21"/>
                <w:szCs w:val="21"/>
              </w:rPr>
            </w:pPr>
            <w:proofErr w:type="spellStart"/>
            <w:r w:rsidRPr="00815696">
              <w:rPr>
                <w:sz w:val="21"/>
                <w:szCs w:val="21"/>
              </w:rPr>
              <w:t>Strengare</w:t>
            </w:r>
            <w:proofErr w:type="spellEnd"/>
            <w:r w:rsidRPr="00815696">
              <w:rPr>
                <w:sz w:val="21"/>
                <w:szCs w:val="21"/>
              </w:rPr>
              <w:t xml:space="preserve"> krav om utnytting av </w:t>
            </w:r>
            <w:proofErr w:type="spellStart"/>
            <w:r w:rsidRPr="00815696">
              <w:rPr>
                <w:sz w:val="21"/>
                <w:szCs w:val="21"/>
              </w:rPr>
              <w:t>spillvarme</w:t>
            </w:r>
            <w:proofErr w:type="spellEnd"/>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41B85A21" w14:textId="77777777" w:rsidR="00D60186" w:rsidRPr="00815696" w:rsidRDefault="00D60186" w:rsidP="00815696">
            <w:pPr>
              <w:jc w:val="right"/>
              <w:rPr>
                <w:sz w:val="21"/>
                <w:szCs w:val="21"/>
              </w:rPr>
            </w:pPr>
            <w:r w:rsidRPr="00815696">
              <w:rPr>
                <w:sz w:val="21"/>
                <w:szCs w:val="21"/>
              </w:rPr>
              <w:t>Ja</w:t>
            </w:r>
          </w:p>
        </w:tc>
      </w:tr>
      <w:tr w:rsidR="00E76DC8" w:rsidRPr="00225D4D" w14:paraId="6DEE2F9E"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6CA01A96"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5528D311" w14:textId="77777777" w:rsidR="00D60186" w:rsidRPr="00815696" w:rsidRDefault="00D60186" w:rsidP="00815696">
            <w:pPr>
              <w:ind w:right="113"/>
              <w:jc w:val="right"/>
              <w:rPr>
                <w:sz w:val="21"/>
                <w:szCs w:val="21"/>
              </w:rPr>
            </w:pPr>
            <w:r w:rsidRPr="00815696">
              <w:rPr>
                <w:sz w:val="21"/>
                <w:szCs w:val="21"/>
              </w:rPr>
              <w:t>90</w:t>
            </w:r>
          </w:p>
        </w:tc>
        <w:tc>
          <w:tcPr>
            <w:tcW w:w="5800" w:type="dxa"/>
            <w:tcBorders>
              <w:top w:val="nil"/>
              <w:left w:val="nil"/>
              <w:bottom w:val="nil"/>
              <w:right w:val="nil"/>
            </w:tcBorders>
            <w:tcMar>
              <w:top w:w="128" w:type="dxa"/>
              <w:left w:w="43" w:type="dxa"/>
              <w:bottom w:w="43" w:type="dxa"/>
              <w:right w:w="43" w:type="dxa"/>
            </w:tcMar>
          </w:tcPr>
          <w:p w14:paraId="1A3626A5" w14:textId="77777777" w:rsidR="00D60186" w:rsidRPr="00815696" w:rsidRDefault="00D60186" w:rsidP="00225D4D">
            <w:pPr>
              <w:rPr>
                <w:sz w:val="21"/>
                <w:szCs w:val="21"/>
              </w:rPr>
            </w:pPr>
            <w:r w:rsidRPr="00815696">
              <w:rPr>
                <w:sz w:val="21"/>
                <w:szCs w:val="21"/>
              </w:rPr>
              <w:t>Vegkart for CO</w:t>
            </w:r>
            <w:r w:rsidRPr="00815696">
              <w:rPr>
                <w:rStyle w:val="skrift-senket"/>
                <w:sz w:val="21"/>
                <w:szCs w:val="21"/>
              </w:rPr>
              <w:t>2</w:t>
            </w:r>
            <w:r w:rsidRPr="00815696">
              <w:rPr>
                <w:sz w:val="21"/>
                <w:szCs w:val="21"/>
              </w:rPr>
              <w:t xml:space="preserve">-handtering </w:t>
            </w:r>
            <w:proofErr w:type="spellStart"/>
            <w:r w:rsidRPr="00815696">
              <w:rPr>
                <w:sz w:val="21"/>
                <w:szCs w:val="21"/>
              </w:rPr>
              <w:t>frå</w:t>
            </w:r>
            <w:proofErr w:type="spellEnd"/>
            <w:r w:rsidRPr="00815696">
              <w:rPr>
                <w:sz w:val="21"/>
                <w:szCs w:val="21"/>
              </w:rPr>
              <w:t xml:space="preserve"> industri- og avfallshandtering</w:t>
            </w:r>
          </w:p>
        </w:tc>
        <w:tc>
          <w:tcPr>
            <w:tcW w:w="1560" w:type="dxa"/>
            <w:tcBorders>
              <w:top w:val="nil"/>
              <w:left w:val="nil"/>
              <w:bottom w:val="nil"/>
              <w:right w:val="nil"/>
            </w:tcBorders>
            <w:tcMar>
              <w:top w:w="128" w:type="dxa"/>
              <w:left w:w="43" w:type="dxa"/>
              <w:bottom w:w="43" w:type="dxa"/>
              <w:right w:w="43" w:type="dxa"/>
            </w:tcMar>
            <w:vAlign w:val="bottom"/>
          </w:tcPr>
          <w:p w14:paraId="2A7537E6" w14:textId="77777777" w:rsidR="00D60186" w:rsidRPr="00815696" w:rsidRDefault="00D60186" w:rsidP="00815696">
            <w:pPr>
              <w:jc w:val="right"/>
              <w:rPr>
                <w:sz w:val="21"/>
                <w:szCs w:val="21"/>
              </w:rPr>
            </w:pPr>
            <w:r w:rsidRPr="00815696">
              <w:rPr>
                <w:sz w:val="21"/>
                <w:szCs w:val="21"/>
              </w:rPr>
              <w:t>Ja</w:t>
            </w:r>
          </w:p>
        </w:tc>
      </w:tr>
      <w:tr w:rsidR="00E76DC8" w:rsidRPr="00225D4D" w14:paraId="21ED1ED8"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65A5C206"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23114350" w14:textId="77777777" w:rsidR="00D60186" w:rsidRPr="00815696" w:rsidRDefault="00D60186" w:rsidP="00815696">
            <w:pPr>
              <w:ind w:right="113"/>
              <w:jc w:val="right"/>
              <w:rPr>
                <w:sz w:val="21"/>
                <w:szCs w:val="21"/>
              </w:rPr>
            </w:pPr>
            <w:r w:rsidRPr="00815696">
              <w:rPr>
                <w:sz w:val="21"/>
                <w:szCs w:val="21"/>
              </w:rPr>
              <w:t>91</w:t>
            </w:r>
          </w:p>
        </w:tc>
        <w:tc>
          <w:tcPr>
            <w:tcW w:w="5800" w:type="dxa"/>
            <w:tcBorders>
              <w:top w:val="nil"/>
              <w:left w:val="nil"/>
              <w:bottom w:val="nil"/>
              <w:right w:val="nil"/>
            </w:tcBorders>
            <w:tcMar>
              <w:top w:w="128" w:type="dxa"/>
              <w:left w:w="43" w:type="dxa"/>
              <w:bottom w:w="43" w:type="dxa"/>
              <w:right w:w="43" w:type="dxa"/>
            </w:tcMar>
          </w:tcPr>
          <w:p w14:paraId="68501373" w14:textId="77777777" w:rsidR="00D60186" w:rsidRPr="00815696" w:rsidRDefault="00D60186" w:rsidP="00225D4D">
            <w:pPr>
              <w:rPr>
                <w:sz w:val="21"/>
                <w:szCs w:val="21"/>
              </w:rPr>
            </w:pPr>
            <w:r w:rsidRPr="00815696">
              <w:rPr>
                <w:sz w:val="21"/>
                <w:szCs w:val="21"/>
              </w:rPr>
              <w:t>Støtteprogram for å kutte CO</w:t>
            </w:r>
            <w:r w:rsidRPr="00815696">
              <w:rPr>
                <w:rStyle w:val="skrift-senket"/>
                <w:sz w:val="21"/>
                <w:szCs w:val="21"/>
              </w:rPr>
              <w:t>2</w:t>
            </w:r>
            <w:r w:rsidRPr="00815696">
              <w:rPr>
                <w:sz w:val="21"/>
                <w:szCs w:val="21"/>
              </w:rPr>
              <w:t xml:space="preserve">-utslepp </w:t>
            </w:r>
            <w:proofErr w:type="spellStart"/>
            <w:r w:rsidRPr="00815696">
              <w:rPr>
                <w:sz w:val="21"/>
                <w:szCs w:val="21"/>
              </w:rPr>
              <w:t>innanfor</w:t>
            </w:r>
            <w:proofErr w:type="spellEnd"/>
            <w:r w:rsidRPr="00815696">
              <w:rPr>
                <w:sz w:val="21"/>
                <w:szCs w:val="21"/>
              </w:rPr>
              <w:t xml:space="preserve"> industri og avfallshandtering</w:t>
            </w:r>
          </w:p>
        </w:tc>
        <w:tc>
          <w:tcPr>
            <w:tcW w:w="1560" w:type="dxa"/>
            <w:tcBorders>
              <w:top w:val="nil"/>
              <w:left w:val="nil"/>
              <w:bottom w:val="nil"/>
              <w:right w:val="nil"/>
            </w:tcBorders>
            <w:tcMar>
              <w:top w:w="128" w:type="dxa"/>
              <w:left w:w="43" w:type="dxa"/>
              <w:bottom w:w="43" w:type="dxa"/>
              <w:right w:w="43" w:type="dxa"/>
            </w:tcMar>
            <w:vAlign w:val="bottom"/>
          </w:tcPr>
          <w:p w14:paraId="6307163D" w14:textId="77777777" w:rsidR="00D60186" w:rsidRPr="00815696" w:rsidRDefault="00D60186" w:rsidP="00815696">
            <w:pPr>
              <w:jc w:val="right"/>
              <w:rPr>
                <w:sz w:val="21"/>
                <w:szCs w:val="21"/>
              </w:rPr>
            </w:pPr>
            <w:r w:rsidRPr="00815696">
              <w:rPr>
                <w:sz w:val="21"/>
                <w:szCs w:val="21"/>
              </w:rPr>
              <w:t>Ja</w:t>
            </w:r>
          </w:p>
        </w:tc>
      </w:tr>
      <w:tr w:rsidR="00E76DC8" w:rsidRPr="00225D4D" w14:paraId="1890C881"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20C5018A"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40D8C008" w14:textId="77777777" w:rsidR="00D60186" w:rsidRPr="00815696" w:rsidRDefault="00D60186" w:rsidP="00815696">
            <w:pPr>
              <w:ind w:right="113"/>
              <w:jc w:val="right"/>
              <w:rPr>
                <w:sz w:val="21"/>
                <w:szCs w:val="21"/>
              </w:rPr>
            </w:pPr>
            <w:r w:rsidRPr="00815696">
              <w:rPr>
                <w:sz w:val="21"/>
                <w:szCs w:val="21"/>
              </w:rPr>
              <w:t>98</w:t>
            </w:r>
          </w:p>
        </w:tc>
        <w:tc>
          <w:tcPr>
            <w:tcW w:w="5800" w:type="dxa"/>
            <w:tcBorders>
              <w:top w:val="nil"/>
              <w:left w:val="nil"/>
              <w:bottom w:val="nil"/>
              <w:right w:val="nil"/>
            </w:tcBorders>
            <w:tcMar>
              <w:top w:w="128" w:type="dxa"/>
              <w:left w:w="43" w:type="dxa"/>
              <w:bottom w:w="43" w:type="dxa"/>
              <w:right w:w="43" w:type="dxa"/>
            </w:tcMar>
          </w:tcPr>
          <w:p w14:paraId="564BD5E3" w14:textId="77777777" w:rsidR="00D60186" w:rsidRPr="00815696" w:rsidRDefault="00D60186" w:rsidP="00225D4D">
            <w:pPr>
              <w:rPr>
                <w:sz w:val="21"/>
                <w:szCs w:val="21"/>
              </w:rPr>
            </w:pPr>
            <w:r w:rsidRPr="00815696">
              <w:rPr>
                <w:sz w:val="21"/>
                <w:szCs w:val="21"/>
              </w:rPr>
              <w:t xml:space="preserve">Gruvedrift på havbotnen – ingen konsesjonsrunde </w:t>
            </w:r>
            <w:r w:rsidRPr="00815696">
              <w:rPr>
                <w:sz w:val="21"/>
                <w:szCs w:val="21"/>
              </w:rPr>
              <w:br/>
              <w:t>i 2024/2025</w:t>
            </w:r>
          </w:p>
        </w:tc>
        <w:tc>
          <w:tcPr>
            <w:tcW w:w="1560" w:type="dxa"/>
            <w:tcBorders>
              <w:top w:val="nil"/>
              <w:left w:val="nil"/>
              <w:bottom w:val="nil"/>
              <w:right w:val="nil"/>
            </w:tcBorders>
            <w:tcMar>
              <w:top w:w="128" w:type="dxa"/>
              <w:left w:w="43" w:type="dxa"/>
              <w:bottom w:w="43" w:type="dxa"/>
              <w:right w:w="43" w:type="dxa"/>
            </w:tcMar>
            <w:vAlign w:val="bottom"/>
          </w:tcPr>
          <w:p w14:paraId="36593D48" w14:textId="77777777" w:rsidR="00D60186" w:rsidRPr="00815696" w:rsidRDefault="00D60186" w:rsidP="00815696">
            <w:pPr>
              <w:jc w:val="right"/>
              <w:rPr>
                <w:sz w:val="21"/>
                <w:szCs w:val="21"/>
              </w:rPr>
            </w:pPr>
            <w:r w:rsidRPr="00815696">
              <w:rPr>
                <w:sz w:val="21"/>
                <w:szCs w:val="21"/>
              </w:rPr>
              <w:t>Ja</w:t>
            </w:r>
          </w:p>
        </w:tc>
      </w:tr>
      <w:tr w:rsidR="00E76DC8" w:rsidRPr="00225D4D" w14:paraId="0E4F52B2"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0568AC12"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B9DF2A7" w14:textId="77777777" w:rsidR="00D60186" w:rsidRPr="00815696" w:rsidRDefault="00D60186" w:rsidP="00815696">
            <w:pPr>
              <w:ind w:right="113"/>
              <w:jc w:val="right"/>
              <w:rPr>
                <w:sz w:val="21"/>
                <w:szCs w:val="21"/>
              </w:rPr>
            </w:pPr>
            <w:r w:rsidRPr="00815696">
              <w:rPr>
                <w:sz w:val="21"/>
                <w:szCs w:val="21"/>
              </w:rPr>
              <w:t>165</w:t>
            </w:r>
          </w:p>
        </w:tc>
        <w:tc>
          <w:tcPr>
            <w:tcW w:w="5800" w:type="dxa"/>
            <w:tcBorders>
              <w:top w:val="nil"/>
              <w:left w:val="nil"/>
              <w:bottom w:val="nil"/>
              <w:right w:val="nil"/>
            </w:tcBorders>
            <w:tcMar>
              <w:top w:w="128" w:type="dxa"/>
              <w:left w:w="43" w:type="dxa"/>
              <w:bottom w:w="43" w:type="dxa"/>
              <w:right w:w="43" w:type="dxa"/>
            </w:tcMar>
          </w:tcPr>
          <w:p w14:paraId="1572A86B" w14:textId="77777777" w:rsidR="00D60186" w:rsidRPr="00815696" w:rsidRDefault="00D60186" w:rsidP="00225D4D">
            <w:pPr>
              <w:rPr>
                <w:sz w:val="21"/>
                <w:szCs w:val="21"/>
              </w:rPr>
            </w:pPr>
            <w:r w:rsidRPr="00815696">
              <w:rPr>
                <w:sz w:val="21"/>
                <w:szCs w:val="21"/>
              </w:rPr>
              <w:t xml:space="preserve">Tiltak mot høge </w:t>
            </w:r>
            <w:proofErr w:type="spellStart"/>
            <w:r w:rsidRPr="00815696">
              <w:rPr>
                <w:sz w:val="21"/>
                <w:szCs w:val="21"/>
              </w:rPr>
              <w:t>straumprisar</w:t>
            </w:r>
            <w:proofErr w:type="spellEnd"/>
            <w:r w:rsidRPr="00815696">
              <w:rPr>
                <w:sz w:val="21"/>
                <w:szCs w:val="21"/>
              </w:rPr>
              <w:t xml:space="preserve"> i NO2</w:t>
            </w:r>
          </w:p>
        </w:tc>
        <w:tc>
          <w:tcPr>
            <w:tcW w:w="1560" w:type="dxa"/>
            <w:tcBorders>
              <w:top w:val="nil"/>
              <w:left w:val="nil"/>
              <w:bottom w:val="nil"/>
              <w:right w:val="nil"/>
            </w:tcBorders>
            <w:tcMar>
              <w:top w:w="128" w:type="dxa"/>
              <w:left w:w="43" w:type="dxa"/>
              <w:bottom w:w="43" w:type="dxa"/>
              <w:right w:w="43" w:type="dxa"/>
            </w:tcMar>
            <w:vAlign w:val="bottom"/>
          </w:tcPr>
          <w:p w14:paraId="6AB3C9BD" w14:textId="77777777" w:rsidR="00D60186" w:rsidRPr="00815696" w:rsidRDefault="00D60186" w:rsidP="00815696">
            <w:pPr>
              <w:jc w:val="right"/>
              <w:rPr>
                <w:sz w:val="21"/>
                <w:szCs w:val="21"/>
              </w:rPr>
            </w:pPr>
            <w:r w:rsidRPr="00815696">
              <w:rPr>
                <w:sz w:val="21"/>
                <w:szCs w:val="21"/>
              </w:rPr>
              <w:t>Ja</w:t>
            </w:r>
          </w:p>
        </w:tc>
      </w:tr>
      <w:tr w:rsidR="00E76DC8" w:rsidRPr="00225D4D" w14:paraId="32FC9035"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142433E2"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4BE727F0" w14:textId="77777777" w:rsidR="00D60186" w:rsidRPr="00815696" w:rsidRDefault="00D60186" w:rsidP="00815696">
            <w:pPr>
              <w:ind w:right="113"/>
              <w:jc w:val="right"/>
              <w:rPr>
                <w:sz w:val="21"/>
                <w:szCs w:val="21"/>
              </w:rPr>
            </w:pPr>
            <w:r w:rsidRPr="00815696">
              <w:rPr>
                <w:sz w:val="21"/>
                <w:szCs w:val="21"/>
              </w:rPr>
              <w:t>543</w:t>
            </w:r>
          </w:p>
        </w:tc>
        <w:tc>
          <w:tcPr>
            <w:tcW w:w="5800" w:type="dxa"/>
            <w:tcBorders>
              <w:top w:val="nil"/>
              <w:left w:val="nil"/>
              <w:bottom w:val="nil"/>
              <w:right w:val="nil"/>
            </w:tcBorders>
            <w:tcMar>
              <w:top w:w="128" w:type="dxa"/>
              <w:left w:w="43" w:type="dxa"/>
              <w:bottom w:w="43" w:type="dxa"/>
              <w:right w:w="43" w:type="dxa"/>
            </w:tcMar>
          </w:tcPr>
          <w:p w14:paraId="7DF3FCEC" w14:textId="77777777" w:rsidR="00D60186" w:rsidRPr="00815696" w:rsidRDefault="00D60186" w:rsidP="00225D4D">
            <w:pPr>
              <w:rPr>
                <w:sz w:val="21"/>
                <w:szCs w:val="21"/>
              </w:rPr>
            </w:pPr>
            <w:r w:rsidRPr="00815696">
              <w:rPr>
                <w:sz w:val="21"/>
                <w:szCs w:val="21"/>
              </w:rPr>
              <w:t xml:space="preserve">Gjennomgang av </w:t>
            </w:r>
            <w:proofErr w:type="spellStart"/>
            <w:r w:rsidRPr="00815696">
              <w:rPr>
                <w:sz w:val="21"/>
                <w:szCs w:val="21"/>
              </w:rPr>
              <w:t>Noregs</w:t>
            </w:r>
            <w:proofErr w:type="spellEnd"/>
            <w:r w:rsidRPr="00815696">
              <w:rPr>
                <w:sz w:val="21"/>
                <w:szCs w:val="21"/>
              </w:rPr>
              <w:t xml:space="preserve"> </w:t>
            </w:r>
            <w:proofErr w:type="spellStart"/>
            <w:r w:rsidRPr="00815696">
              <w:rPr>
                <w:sz w:val="21"/>
                <w:szCs w:val="21"/>
              </w:rPr>
              <w:t>føresetnader</w:t>
            </w:r>
            <w:proofErr w:type="spellEnd"/>
            <w:r w:rsidRPr="00815696">
              <w:rPr>
                <w:sz w:val="21"/>
                <w:szCs w:val="21"/>
              </w:rPr>
              <w:t xml:space="preserve"> for kjernekraft med IAEA</w:t>
            </w:r>
          </w:p>
        </w:tc>
        <w:tc>
          <w:tcPr>
            <w:tcW w:w="1560" w:type="dxa"/>
            <w:tcBorders>
              <w:top w:val="nil"/>
              <w:left w:val="nil"/>
              <w:bottom w:val="nil"/>
              <w:right w:val="nil"/>
            </w:tcBorders>
            <w:tcMar>
              <w:top w:w="128" w:type="dxa"/>
              <w:left w:w="43" w:type="dxa"/>
              <w:bottom w:w="43" w:type="dxa"/>
              <w:right w:w="43" w:type="dxa"/>
            </w:tcMar>
            <w:vAlign w:val="bottom"/>
          </w:tcPr>
          <w:p w14:paraId="143AE8AA" w14:textId="77777777" w:rsidR="00D60186" w:rsidRPr="00815696" w:rsidRDefault="00D60186" w:rsidP="00815696">
            <w:pPr>
              <w:jc w:val="right"/>
              <w:rPr>
                <w:sz w:val="21"/>
                <w:szCs w:val="21"/>
              </w:rPr>
            </w:pPr>
            <w:r w:rsidRPr="00815696">
              <w:rPr>
                <w:sz w:val="21"/>
                <w:szCs w:val="21"/>
              </w:rPr>
              <w:t>Ja</w:t>
            </w:r>
          </w:p>
        </w:tc>
      </w:tr>
      <w:tr w:rsidR="00E76DC8" w:rsidRPr="00225D4D" w14:paraId="31C2A3DF"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1E3521EA"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7762CD9E" w14:textId="77777777" w:rsidR="00D60186" w:rsidRPr="00815696" w:rsidRDefault="00D60186" w:rsidP="00815696">
            <w:pPr>
              <w:ind w:right="113"/>
              <w:jc w:val="right"/>
              <w:rPr>
                <w:sz w:val="21"/>
                <w:szCs w:val="21"/>
              </w:rPr>
            </w:pPr>
            <w:r w:rsidRPr="00815696">
              <w:rPr>
                <w:sz w:val="21"/>
                <w:szCs w:val="21"/>
              </w:rPr>
              <w:t>605</w:t>
            </w:r>
          </w:p>
        </w:tc>
        <w:tc>
          <w:tcPr>
            <w:tcW w:w="5800" w:type="dxa"/>
            <w:tcBorders>
              <w:top w:val="nil"/>
              <w:left w:val="nil"/>
              <w:bottom w:val="nil"/>
              <w:right w:val="nil"/>
            </w:tcBorders>
            <w:tcMar>
              <w:top w:w="128" w:type="dxa"/>
              <w:left w:w="43" w:type="dxa"/>
              <w:bottom w:w="43" w:type="dxa"/>
              <w:right w:w="43" w:type="dxa"/>
            </w:tcMar>
          </w:tcPr>
          <w:p w14:paraId="24772EC5" w14:textId="77777777" w:rsidR="00D60186" w:rsidRPr="00815696" w:rsidRDefault="00D60186" w:rsidP="00225D4D">
            <w:pPr>
              <w:rPr>
                <w:sz w:val="21"/>
                <w:szCs w:val="21"/>
              </w:rPr>
            </w:pPr>
            <w:r w:rsidRPr="00815696">
              <w:rPr>
                <w:sz w:val="21"/>
                <w:szCs w:val="21"/>
              </w:rPr>
              <w:t xml:space="preserve">Prioritering av nasjonale </w:t>
            </w:r>
            <w:proofErr w:type="spellStart"/>
            <w:r w:rsidRPr="00815696">
              <w:rPr>
                <w:sz w:val="21"/>
                <w:szCs w:val="21"/>
              </w:rPr>
              <w:t>sikkerheitsinteresser</w:t>
            </w:r>
            <w:proofErr w:type="spellEnd"/>
            <w:r w:rsidRPr="00815696">
              <w:rPr>
                <w:sz w:val="21"/>
                <w:szCs w:val="21"/>
              </w:rPr>
              <w:t xml:space="preserve"> i straumnettet</w:t>
            </w:r>
          </w:p>
        </w:tc>
        <w:tc>
          <w:tcPr>
            <w:tcW w:w="1560" w:type="dxa"/>
            <w:tcBorders>
              <w:top w:val="nil"/>
              <w:left w:val="nil"/>
              <w:bottom w:val="nil"/>
              <w:right w:val="nil"/>
            </w:tcBorders>
            <w:tcMar>
              <w:top w:w="128" w:type="dxa"/>
              <w:left w:w="43" w:type="dxa"/>
              <w:bottom w:w="43" w:type="dxa"/>
              <w:right w:w="43" w:type="dxa"/>
            </w:tcMar>
            <w:vAlign w:val="bottom"/>
          </w:tcPr>
          <w:p w14:paraId="0B4A0586" w14:textId="77777777" w:rsidR="00D60186" w:rsidRPr="00815696" w:rsidRDefault="00D60186" w:rsidP="00815696">
            <w:pPr>
              <w:jc w:val="right"/>
              <w:rPr>
                <w:sz w:val="21"/>
                <w:szCs w:val="21"/>
              </w:rPr>
            </w:pPr>
            <w:r w:rsidRPr="00815696">
              <w:rPr>
                <w:sz w:val="21"/>
                <w:szCs w:val="21"/>
              </w:rPr>
              <w:t>Ja</w:t>
            </w:r>
          </w:p>
        </w:tc>
      </w:tr>
      <w:tr w:rsidR="00E76DC8" w:rsidRPr="00225D4D" w14:paraId="094C7EA9"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131572B6"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8DE7BA5" w14:textId="77777777" w:rsidR="00D60186" w:rsidRPr="00815696" w:rsidRDefault="00D60186" w:rsidP="00815696">
            <w:pPr>
              <w:ind w:right="113"/>
              <w:jc w:val="right"/>
              <w:rPr>
                <w:sz w:val="21"/>
                <w:szCs w:val="21"/>
              </w:rPr>
            </w:pPr>
            <w:r w:rsidRPr="00815696">
              <w:rPr>
                <w:sz w:val="21"/>
                <w:szCs w:val="21"/>
              </w:rPr>
              <w:t>640</w:t>
            </w:r>
          </w:p>
        </w:tc>
        <w:tc>
          <w:tcPr>
            <w:tcW w:w="5800" w:type="dxa"/>
            <w:tcBorders>
              <w:top w:val="nil"/>
              <w:left w:val="nil"/>
              <w:bottom w:val="nil"/>
              <w:right w:val="nil"/>
            </w:tcBorders>
            <w:tcMar>
              <w:top w:w="128" w:type="dxa"/>
              <w:left w:w="43" w:type="dxa"/>
              <w:bottom w:w="43" w:type="dxa"/>
              <w:right w:w="43" w:type="dxa"/>
            </w:tcMar>
          </w:tcPr>
          <w:p w14:paraId="4A3A4660" w14:textId="77777777" w:rsidR="00D60186" w:rsidRPr="00815696" w:rsidRDefault="00D60186" w:rsidP="00225D4D">
            <w:pPr>
              <w:rPr>
                <w:sz w:val="21"/>
                <w:szCs w:val="21"/>
              </w:rPr>
            </w:pPr>
            <w:r w:rsidRPr="00815696">
              <w:rPr>
                <w:sz w:val="21"/>
                <w:szCs w:val="21"/>
              </w:rPr>
              <w:t xml:space="preserve">Forsterke samarbeidet mellom kraftsektoren og </w:t>
            </w:r>
            <w:proofErr w:type="spellStart"/>
            <w:r w:rsidRPr="00815696">
              <w:rPr>
                <w:sz w:val="21"/>
                <w:szCs w:val="21"/>
              </w:rPr>
              <w:t>ekomsektoren</w:t>
            </w:r>
            <w:proofErr w:type="spellEnd"/>
            <w:r w:rsidRPr="00815696">
              <w:rPr>
                <w:sz w:val="21"/>
                <w:szCs w:val="21"/>
              </w:rPr>
              <w:t xml:space="preserve"> når det gjelder beredskap og krisehandtering</w:t>
            </w:r>
          </w:p>
        </w:tc>
        <w:tc>
          <w:tcPr>
            <w:tcW w:w="1560" w:type="dxa"/>
            <w:tcBorders>
              <w:top w:val="nil"/>
              <w:left w:val="nil"/>
              <w:bottom w:val="nil"/>
              <w:right w:val="nil"/>
            </w:tcBorders>
            <w:tcMar>
              <w:top w:w="128" w:type="dxa"/>
              <w:left w:w="43" w:type="dxa"/>
              <w:bottom w:w="43" w:type="dxa"/>
              <w:right w:w="43" w:type="dxa"/>
            </w:tcMar>
            <w:vAlign w:val="bottom"/>
          </w:tcPr>
          <w:p w14:paraId="38AABE1F" w14:textId="77777777" w:rsidR="00D60186" w:rsidRPr="00815696" w:rsidRDefault="00D60186" w:rsidP="00815696">
            <w:pPr>
              <w:jc w:val="right"/>
              <w:rPr>
                <w:sz w:val="21"/>
                <w:szCs w:val="21"/>
              </w:rPr>
            </w:pPr>
            <w:r w:rsidRPr="00815696">
              <w:rPr>
                <w:sz w:val="21"/>
                <w:szCs w:val="21"/>
              </w:rPr>
              <w:t>Ja</w:t>
            </w:r>
          </w:p>
        </w:tc>
      </w:tr>
      <w:tr w:rsidR="00E76DC8" w:rsidRPr="00225D4D" w14:paraId="6A43CC1E"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56A3D33D"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5EBADB0" w14:textId="77777777" w:rsidR="00D60186" w:rsidRPr="00815696" w:rsidRDefault="00D60186" w:rsidP="00815696">
            <w:pPr>
              <w:ind w:right="113"/>
              <w:jc w:val="right"/>
              <w:rPr>
                <w:sz w:val="21"/>
                <w:szCs w:val="21"/>
              </w:rPr>
            </w:pPr>
            <w:r w:rsidRPr="00815696">
              <w:rPr>
                <w:sz w:val="21"/>
                <w:szCs w:val="21"/>
              </w:rPr>
              <w:t>647</w:t>
            </w:r>
          </w:p>
        </w:tc>
        <w:tc>
          <w:tcPr>
            <w:tcW w:w="5800" w:type="dxa"/>
            <w:tcBorders>
              <w:top w:val="nil"/>
              <w:left w:val="nil"/>
              <w:bottom w:val="nil"/>
              <w:right w:val="nil"/>
            </w:tcBorders>
            <w:tcMar>
              <w:top w:w="128" w:type="dxa"/>
              <w:left w:w="43" w:type="dxa"/>
              <w:bottom w:w="43" w:type="dxa"/>
              <w:right w:w="43" w:type="dxa"/>
            </w:tcMar>
          </w:tcPr>
          <w:p w14:paraId="1D7333AC" w14:textId="77777777" w:rsidR="00D60186" w:rsidRPr="00815696" w:rsidRDefault="00D60186" w:rsidP="00225D4D">
            <w:pPr>
              <w:rPr>
                <w:sz w:val="21"/>
                <w:szCs w:val="21"/>
              </w:rPr>
            </w:pPr>
            <w:r w:rsidRPr="00815696">
              <w:rPr>
                <w:sz w:val="21"/>
                <w:szCs w:val="21"/>
              </w:rPr>
              <w:t>Planar for styrkt beredskap i kraftsystemet</w:t>
            </w:r>
          </w:p>
        </w:tc>
        <w:tc>
          <w:tcPr>
            <w:tcW w:w="1560" w:type="dxa"/>
            <w:tcBorders>
              <w:top w:val="nil"/>
              <w:left w:val="nil"/>
              <w:bottom w:val="nil"/>
              <w:right w:val="nil"/>
            </w:tcBorders>
            <w:tcMar>
              <w:top w:w="128" w:type="dxa"/>
              <w:left w:w="43" w:type="dxa"/>
              <w:bottom w:w="43" w:type="dxa"/>
              <w:right w:w="43" w:type="dxa"/>
            </w:tcMar>
            <w:vAlign w:val="bottom"/>
          </w:tcPr>
          <w:p w14:paraId="67921530" w14:textId="77777777" w:rsidR="00D60186" w:rsidRPr="00815696" w:rsidRDefault="00D60186" w:rsidP="00815696">
            <w:pPr>
              <w:jc w:val="right"/>
              <w:rPr>
                <w:sz w:val="21"/>
                <w:szCs w:val="21"/>
              </w:rPr>
            </w:pPr>
            <w:r w:rsidRPr="00815696">
              <w:rPr>
                <w:sz w:val="21"/>
                <w:szCs w:val="21"/>
              </w:rPr>
              <w:t>Ja</w:t>
            </w:r>
          </w:p>
        </w:tc>
      </w:tr>
      <w:tr w:rsidR="00E76DC8" w:rsidRPr="00225D4D" w14:paraId="418DA9F9"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45FA9A80"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A060727" w14:textId="77777777" w:rsidR="00D60186" w:rsidRPr="00815696" w:rsidRDefault="00D60186" w:rsidP="00815696">
            <w:pPr>
              <w:ind w:right="113"/>
              <w:jc w:val="right"/>
              <w:rPr>
                <w:sz w:val="21"/>
                <w:szCs w:val="21"/>
              </w:rPr>
            </w:pPr>
            <w:r w:rsidRPr="00815696">
              <w:rPr>
                <w:sz w:val="21"/>
                <w:szCs w:val="21"/>
              </w:rPr>
              <w:t>654</w:t>
            </w:r>
          </w:p>
        </w:tc>
        <w:tc>
          <w:tcPr>
            <w:tcW w:w="5800" w:type="dxa"/>
            <w:tcBorders>
              <w:top w:val="nil"/>
              <w:left w:val="nil"/>
              <w:bottom w:val="nil"/>
              <w:right w:val="nil"/>
            </w:tcBorders>
            <w:tcMar>
              <w:top w:w="128" w:type="dxa"/>
              <w:left w:w="43" w:type="dxa"/>
              <w:bottom w:w="43" w:type="dxa"/>
              <w:right w:w="43" w:type="dxa"/>
            </w:tcMar>
          </w:tcPr>
          <w:p w14:paraId="144D372A" w14:textId="77777777" w:rsidR="00D60186" w:rsidRPr="00815696" w:rsidRDefault="00D60186" w:rsidP="00225D4D">
            <w:pPr>
              <w:rPr>
                <w:sz w:val="21"/>
                <w:szCs w:val="21"/>
              </w:rPr>
            </w:pPr>
            <w:r w:rsidRPr="00815696">
              <w:rPr>
                <w:sz w:val="21"/>
                <w:szCs w:val="21"/>
              </w:rPr>
              <w:t>Framdrift i prosjekt for kraft til Melkøya</w:t>
            </w:r>
          </w:p>
        </w:tc>
        <w:tc>
          <w:tcPr>
            <w:tcW w:w="1560" w:type="dxa"/>
            <w:tcBorders>
              <w:top w:val="nil"/>
              <w:left w:val="nil"/>
              <w:bottom w:val="nil"/>
              <w:right w:val="nil"/>
            </w:tcBorders>
            <w:tcMar>
              <w:top w:w="128" w:type="dxa"/>
              <w:left w:w="43" w:type="dxa"/>
              <w:bottom w:w="43" w:type="dxa"/>
              <w:right w:w="43" w:type="dxa"/>
            </w:tcMar>
            <w:vAlign w:val="bottom"/>
          </w:tcPr>
          <w:p w14:paraId="714A117C" w14:textId="77777777" w:rsidR="00D60186" w:rsidRPr="00815696" w:rsidRDefault="00D60186" w:rsidP="00815696">
            <w:pPr>
              <w:jc w:val="right"/>
              <w:rPr>
                <w:sz w:val="21"/>
                <w:szCs w:val="21"/>
              </w:rPr>
            </w:pPr>
            <w:r w:rsidRPr="00815696">
              <w:rPr>
                <w:sz w:val="21"/>
                <w:szCs w:val="21"/>
              </w:rPr>
              <w:t>Ja</w:t>
            </w:r>
          </w:p>
        </w:tc>
      </w:tr>
      <w:tr w:rsidR="00E76DC8" w:rsidRPr="00225D4D" w14:paraId="3180C7B8"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72BE8CE5"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3302C6C" w14:textId="77777777" w:rsidR="00D60186" w:rsidRPr="00815696" w:rsidRDefault="00D60186" w:rsidP="00815696">
            <w:pPr>
              <w:ind w:right="113"/>
              <w:jc w:val="right"/>
              <w:rPr>
                <w:sz w:val="21"/>
                <w:szCs w:val="21"/>
              </w:rPr>
            </w:pPr>
            <w:r w:rsidRPr="00815696">
              <w:rPr>
                <w:sz w:val="21"/>
                <w:szCs w:val="21"/>
              </w:rPr>
              <w:t>658</w:t>
            </w:r>
          </w:p>
        </w:tc>
        <w:tc>
          <w:tcPr>
            <w:tcW w:w="5800" w:type="dxa"/>
            <w:tcBorders>
              <w:top w:val="nil"/>
              <w:left w:val="nil"/>
              <w:bottom w:val="nil"/>
              <w:right w:val="nil"/>
            </w:tcBorders>
            <w:tcMar>
              <w:top w:w="128" w:type="dxa"/>
              <w:left w:w="43" w:type="dxa"/>
              <w:bottom w:w="43" w:type="dxa"/>
              <w:right w:w="43" w:type="dxa"/>
            </w:tcMar>
          </w:tcPr>
          <w:p w14:paraId="3A24EF32" w14:textId="77777777" w:rsidR="00D60186" w:rsidRPr="00815696" w:rsidRDefault="00D60186" w:rsidP="00225D4D">
            <w:pPr>
              <w:rPr>
                <w:sz w:val="21"/>
                <w:szCs w:val="21"/>
              </w:rPr>
            </w:pPr>
            <w:proofErr w:type="spellStart"/>
            <w:r w:rsidRPr="00815696">
              <w:rPr>
                <w:sz w:val="21"/>
                <w:szCs w:val="21"/>
              </w:rPr>
              <w:t>Førebuande</w:t>
            </w:r>
            <w:proofErr w:type="spellEnd"/>
            <w:r w:rsidRPr="00815696">
              <w:rPr>
                <w:sz w:val="21"/>
                <w:szCs w:val="21"/>
              </w:rPr>
              <w:t xml:space="preserve"> arbeid for 26. konsesjonsrunde</w:t>
            </w:r>
          </w:p>
        </w:tc>
        <w:tc>
          <w:tcPr>
            <w:tcW w:w="1560" w:type="dxa"/>
            <w:tcBorders>
              <w:top w:val="nil"/>
              <w:left w:val="nil"/>
              <w:bottom w:val="nil"/>
              <w:right w:val="nil"/>
            </w:tcBorders>
            <w:tcMar>
              <w:top w:w="128" w:type="dxa"/>
              <w:left w:w="43" w:type="dxa"/>
              <w:bottom w:w="43" w:type="dxa"/>
              <w:right w:w="43" w:type="dxa"/>
            </w:tcMar>
            <w:vAlign w:val="bottom"/>
          </w:tcPr>
          <w:p w14:paraId="35F92157" w14:textId="77777777" w:rsidR="00D60186" w:rsidRPr="00815696" w:rsidRDefault="00D60186" w:rsidP="00815696">
            <w:pPr>
              <w:jc w:val="right"/>
              <w:rPr>
                <w:sz w:val="21"/>
                <w:szCs w:val="21"/>
              </w:rPr>
            </w:pPr>
            <w:r w:rsidRPr="00815696">
              <w:rPr>
                <w:sz w:val="21"/>
                <w:szCs w:val="21"/>
              </w:rPr>
              <w:t>Ja</w:t>
            </w:r>
          </w:p>
        </w:tc>
      </w:tr>
      <w:tr w:rsidR="00E76DC8" w:rsidRPr="00225D4D" w14:paraId="0229376C"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347AB1C4"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2027076" w14:textId="77777777" w:rsidR="00D60186" w:rsidRPr="00815696" w:rsidRDefault="00D60186" w:rsidP="00815696">
            <w:pPr>
              <w:ind w:right="113"/>
              <w:jc w:val="right"/>
              <w:rPr>
                <w:sz w:val="21"/>
                <w:szCs w:val="21"/>
              </w:rPr>
            </w:pPr>
            <w:r w:rsidRPr="00815696">
              <w:rPr>
                <w:sz w:val="21"/>
                <w:szCs w:val="21"/>
              </w:rPr>
              <w:t>833</w:t>
            </w:r>
          </w:p>
        </w:tc>
        <w:tc>
          <w:tcPr>
            <w:tcW w:w="5800" w:type="dxa"/>
            <w:tcBorders>
              <w:top w:val="nil"/>
              <w:left w:val="nil"/>
              <w:bottom w:val="nil"/>
              <w:right w:val="nil"/>
            </w:tcBorders>
            <w:tcMar>
              <w:top w:w="128" w:type="dxa"/>
              <w:left w:w="43" w:type="dxa"/>
              <w:bottom w:w="43" w:type="dxa"/>
              <w:right w:w="43" w:type="dxa"/>
            </w:tcMar>
          </w:tcPr>
          <w:p w14:paraId="12A14AEB" w14:textId="77777777" w:rsidR="00D60186" w:rsidRPr="00815696" w:rsidRDefault="00D60186" w:rsidP="00225D4D">
            <w:pPr>
              <w:rPr>
                <w:sz w:val="21"/>
                <w:szCs w:val="21"/>
              </w:rPr>
            </w:pPr>
            <w:proofErr w:type="spellStart"/>
            <w:r w:rsidRPr="00815696">
              <w:rPr>
                <w:sz w:val="21"/>
                <w:szCs w:val="21"/>
              </w:rPr>
              <w:t>Frigjere</w:t>
            </w:r>
            <w:proofErr w:type="spellEnd"/>
            <w:r w:rsidRPr="00815696">
              <w:rPr>
                <w:sz w:val="21"/>
                <w:szCs w:val="21"/>
              </w:rPr>
              <w:t xml:space="preserve"> nettkapasitet til forsvarsindustrien</w:t>
            </w:r>
          </w:p>
        </w:tc>
        <w:tc>
          <w:tcPr>
            <w:tcW w:w="1560" w:type="dxa"/>
            <w:tcBorders>
              <w:top w:val="nil"/>
              <w:left w:val="nil"/>
              <w:bottom w:val="nil"/>
              <w:right w:val="nil"/>
            </w:tcBorders>
            <w:tcMar>
              <w:top w:w="128" w:type="dxa"/>
              <w:left w:w="43" w:type="dxa"/>
              <w:bottom w:w="43" w:type="dxa"/>
              <w:right w:w="43" w:type="dxa"/>
            </w:tcMar>
            <w:vAlign w:val="bottom"/>
          </w:tcPr>
          <w:p w14:paraId="50C3CA00" w14:textId="77777777" w:rsidR="00D60186" w:rsidRPr="00815696" w:rsidRDefault="00D60186" w:rsidP="00815696">
            <w:pPr>
              <w:jc w:val="right"/>
              <w:rPr>
                <w:sz w:val="21"/>
                <w:szCs w:val="21"/>
              </w:rPr>
            </w:pPr>
            <w:r w:rsidRPr="00815696">
              <w:rPr>
                <w:sz w:val="21"/>
                <w:szCs w:val="21"/>
              </w:rPr>
              <w:t xml:space="preserve">Ja </w:t>
            </w:r>
          </w:p>
        </w:tc>
      </w:tr>
      <w:tr w:rsidR="00E76DC8" w:rsidRPr="00225D4D" w14:paraId="7096DF68"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023FE069"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790DC22" w14:textId="77777777" w:rsidR="00D60186" w:rsidRPr="00815696" w:rsidRDefault="00D60186" w:rsidP="00815696">
            <w:pPr>
              <w:ind w:right="113"/>
              <w:jc w:val="right"/>
              <w:rPr>
                <w:sz w:val="21"/>
                <w:szCs w:val="21"/>
              </w:rPr>
            </w:pPr>
            <w:r w:rsidRPr="00815696">
              <w:rPr>
                <w:sz w:val="21"/>
                <w:szCs w:val="21"/>
              </w:rPr>
              <w:t>834</w:t>
            </w:r>
          </w:p>
        </w:tc>
        <w:tc>
          <w:tcPr>
            <w:tcW w:w="5800" w:type="dxa"/>
            <w:tcBorders>
              <w:top w:val="nil"/>
              <w:left w:val="nil"/>
              <w:bottom w:val="nil"/>
              <w:right w:val="nil"/>
            </w:tcBorders>
            <w:tcMar>
              <w:top w:w="128" w:type="dxa"/>
              <w:left w:w="43" w:type="dxa"/>
              <w:bottom w:w="43" w:type="dxa"/>
              <w:right w:w="43" w:type="dxa"/>
            </w:tcMar>
          </w:tcPr>
          <w:p w14:paraId="3B59F9D6" w14:textId="77777777" w:rsidR="00D60186" w:rsidRPr="00815696" w:rsidRDefault="00D60186" w:rsidP="00225D4D">
            <w:pPr>
              <w:rPr>
                <w:sz w:val="21"/>
                <w:szCs w:val="21"/>
              </w:rPr>
            </w:pPr>
            <w:proofErr w:type="spellStart"/>
            <w:r w:rsidRPr="00815696">
              <w:rPr>
                <w:sz w:val="21"/>
                <w:szCs w:val="21"/>
              </w:rPr>
              <w:t>Forbetre</w:t>
            </w:r>
            <w:proofErr w:type="spellEnd"/>
            <w:r w:rsidRPr="00815696">
              <w:rPr>
                <w:sz w:val="21"/>
                <w:szCs w:val="21"/>
              </w:rPr>
              <w:t xml:space="preserve"> tilgangen på </w:t>
            </w:r>
            <w:proofErr w:type="spellStart"/>
            <w:r w:rsidRPr="00815696">
              <w:rPr>
                <w:sz w:val="21"/>
                <w:szCs w:val="21"/>
              </w:rPr>
              <w:t>straum</w:t>
            </w:r>
            <w:proofErr w:type="spellEnd"/>
            <w:r w:rsidRPr="00815696">
              <w:rPr>
                <w:sz w:val="21"/>
                <w:szCs w:val="21"/>
              </w:rPr>
              <w:t xml:space="preserve"> for forsvarsindustrien</w:t>
            </w:r>
          </w:p>
        </w:tc>
        <w:tc>
          <w:tcPr>
            <w:tcW w:w="1560" w:type="dxa"/>
            <w:tcBorders>
              <w:top w:val="nil"/>
              <w:left w:val="nil"/>
              <w:bottom w:val="nil"/>
              <w:right w:val="nil"/>
            </w:tcBorders>
            <w:tcMar>
              <w:top w:w="128" w:type="dxa"/>
              <w:left w:w="43" w:type="dxa"/>
              <w:bottom w:w="43" w:type="dxa"/>
              <w:right w:w="43" w:type="dxa"/>
            </w:tcMar>
            <w:vAlign w:val="bottom"/>
          </w:tcPr>
          <w:p w14:paraId="05D251C0" w14:textId="77777777" w:rsidR="00D60186" w:rsidRPr="00815696" w:rsidRDefault="00D60186" w:rsidP="00815696">
            <w:pPr>
              <w:jc w:val="right"/>
              <w:rPr>
                <w:sz w:val="21"/>
                <w:szCs w:val="21"/>
              </w:rPr>
            </w:pPr>
            <w:r w:rsidRPr="00815696">
              <w:rPr>
                <w:sz w:val="21"/>
                <w:szCs w:val="21"/>
              </w:rPr>
              <w:t xml:space="preserve">Ja </w:t>
            </w:r>
          </w:p>
        </w:tc>
      </w:tr>
      <w:tr w:rsidR="00E76DC8" w:rsidRPr="00225D4D" w14:paraId="6680386A"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67057C82"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58867E70" w14:textId="77777777" w:rsidR="00D60186" w:rsidRPr="00815696" w:rsidRDefault="00D60186" w:rsidP="00815696">
            <w:pPr>
              <w:ind w:right="113"/>
              <w:jc w:val="right"/>
              <w:rPr>
                <w:sz w:val="21"/>
                <w:szCs w:val="21"/>
              </w:rPr>
            </w:pPr>
            <w:r w:rsidRPr="00815696">
              <w:rPr>
                <w:sz w:val="21"/>
                <w:szCs w:val="21"/>
              </w:rPr>
              <w:t>855</w:t>
            </w:r>
          </w:p>
        </w:tc>
        <w:tc>
          <w:tcPr>
            <w:tcW w:w="5800" w:type="dxa"/>
            <w:tcBorders>
              <w:top w:val="nil"/>
              <w:left w:val="nil"/>
              <w:bottom w:val="nil"/>
              <w:right w:val="nil"/>
            </w:tcBorders>
            <w:tcMar>
              <w:top w:w="128" w:type="dxa"/>
              <w:left w:w="43" w:type="dxa"/>
              <w:bottom w:w="43" w:type="dxa"/>
              <w:right w:w="43" w:type="dxa"/>
            </w:tcMar>
          </w:tcPr>
          <w:p w14:paraId="3AAD6827" w14:textId="77777777" w:rsidR="00D60186" w:rsidRPr="00815696" w:rsidRDefault="00D60186" w:rsidP="00225D4D">
            <w:pPr>
              <w:rPr>
                <w:sz w:val="21"/>
                <w:szCs w:val="21"/>
              </w:rPr>
            </w:pPr>
            <w:r w:rsidRPr="00815696">
              <w:rPr>
                <w:sz w:val="21"/>
                <w:szCs w:val="21"/>
              </w:rPr>
              <w:t>Analyse av fjernvarmepotensialet</w:t>
            </w:r>
          </w:p>
        </w:tc>
        <w:tc>
          <w:tcPr>
            <w:tcW w:w="1560" w:type="dxa"/>
            <w:tcBorders>
              <w:top w:val="nil"/>
              <w:left w:val="nil"/>
              <w:bottom w:val="nil"/>
              <w:right w:val="nil"/>
            </w:tcBorders>
            <w:tcMar>
              <w:top w:w="128" w:type="dxa"/>
              <w:left w:w="43" w:type="dxa"/>
              <w:bottom w:w="43" w:type="dxa"/>
              <w:right w:w="43" w:type="dxa"/>
            </w:tcMar>
            <w:vAlign w:val="bottom"/>
          </w:tcPr>
          <w:p w14:paraId="2981755D" w14:textId="77777777" w:rsidR="00D60186" w:rsidRPr="00815696" w:rsidRDefault="00D60186" w:rsidP="00815696">
            <w:pPr>
              <w:jc w:val="right"/>
              <w:rPr>
                <w:sz w:val="21"/>
                <w:szCs w:val="21"/>
              </w:rPr>
            </w:pPr>
            <w:r w:rsidRPr="00815696">
              <w:rPr>
                <w:sz w:val="21"/>
                <w:szCs w:val="21"/>
              </w:rPr>
              <w:t>Nei</w:t>
            </w:r>
          </w:p>
        </w:tc>
      </w:tr>
      <w:tr w:rsidR="00E76DC8" w:rsidRPr="00225D4D" w14:paraId="189D08DE"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60012D39"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2830C112" w14:textId="77777777" w:rsidR="00D60186" w:rsidRPr="00815696" w:rsidRDefault="00D60186" w:rsidP="00815696">
            <w:pPr>
              <w:ind w:right="113"/>
              <w:jc w:val="right"/>
              <w:rPr>
                <w:sz w:val="21"/>
                <w:szCs w:val="21"/>
              </w:rPr>
            </w:pPr>
            <w:r w:rsidRPr="00815696">
              <w:rPr>
                <w:sz w:val="21"/>
                <w:szCs w:val="21"/>
              </w:rPr>
              <w:t>856</w:t>
            </w:r>
          </w:p>
        </w:tc>
        <w:tc>
          <w:tcPr>
            <w:tcW w:w="5800" w:type="dxa"/>
            <w:tcBorders>
              <w:top w:val="nil"/>
              <w:left w:val="nil"/>
              <w:bottom w:val="nil"/>
              <w:right w:val="nil"/>
            </w:tcBorders>
            <w:tcMar>
              <w:top w:w="128" w:type="dxa"/>
              <w:left w:w="43" w:type="dxa"/>
              <w:bottom w:w="43" w:type="dxa"/>
              <w:right w:w="43" w:type="dxa"/>
            </w:tcMar>
          </w:tcPr>
          <w:p w14:paraId="716B8F73" w14:textId="77777777" w:rsidR="00D60186" w:rsidRPr="00815696" w:rsidRDefault="00D60186" w:rsidP="00225D4D">
            <w:pPr>
              <w:rPr>
                <w:sz w:val="21"/>
                <w:szCs w:val="21"/>
              </w:rPr>
            </w:pPr>
            <w:r w:rsidRPr="00815696">
              <w:rPr>
                <w:sz w:val="21"/>
                <w:szCs w:val="21"/>
              </w:rPr>
              <w:t>Avlaste kraftnettet ved bruk av fjernvarme</w:t>
            </w:r>
          </w:p>
        </w:tc>
        <w:tc>
          <w:tcPr>
            <w:tcW w:w="1560" w:type="dxa"/>
            <w:tcBorders>
              <w:top w:val="nil"/>
              <w:left w:val="nil"/>
              <w:bottom w:val="nil"/>
              <w:right w:val="nil"/>
            </w:tcBorders>
            <w:tcMar>
              <w:top w:w="128" w:type="dxa"/>
              <w:left w:w="43" w:type="dxa"/>
              <w:bottom w:w="43" w:type="dxa"/>
              <w:right w:w="43" w:type="dxa"/>
            </w:tcMar>
            <w:vAlign w:val="bottom"/>
          </w:tcPr>
          <w:p w14:paraId="466B2CA8" w14:textId="77777777" w:rsidR="00D60186" w:rsidRPr="00815696" w:rsidRDefault="00D60186" w:rsidP="00815696">
            <w:pPr>
              <w:jc w:val="right"/>
              <w:rPr>
                <w:sz w:val="21"/>
                <w:szCs w:val="21"/>
              </w:rPr>
            </w:pPr>
            <w:r w:rsidRPr="00815696">
              <w:rPr>
                <w:sz w:val="21"/>
                <w:szCs w:val="21"/>
              </w:rPr>
              <w:t>Nei</w:t>
            </w:r>
          </w:p>
        </w:tc>
      </w:tr>
      <w:tr w:rsidR="00E76DC8" w:rsidRPr="00225D4D" w14:paraId="275A49F9"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5B69EC56"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099C8838" w14:textId="77777777" w:rsidR="00D60186" w:rsidRPr="00815696" w:rsidRDefault="00D60186" w:rsidP="00815696">
            <w:pPr>
              <w:ind w:right="113"/>
              <w:jc w:val="right"/>
              <w:rPr>
                <w:sz w:val="21"/>
                <w:szCs w:val="21"/>
              </w:rPr>
            </w:pPr>
            <w:r w:rsidRPr="00815696">
              <w:rPr>
                <w:sz w:val="21"/>
                <w:szCs w:val="21"/>
              </w:rPr>
              <w:t>857</w:t>
            </w:r>
          </w:p>
        </w:tc>
        <w:tc>
          <w:tcPr>
            <w:tcW w:w="5800" w:type="dxa"/>
            <w:tcBorders>
              <w:top w:val="nil"/>
              <w:left w:val="nil"/>
              <w:bottom w:val="nil"/>
              <w:right w:val="nil"/>
            </w:tcBorders>
            <w:tcMar>
              <w:top w:w="128" w:type="dxa"/>
              <w:left w:w="43" w:type="dxa"/>
              <w:bottom w:w="43" w:type="dxa"/>
              <w:right w:w="43" w:type="dxa"/>
            </w:tcMar>
          </w:tcPr>
          <w:p w14:paraId="5522922D" w14:textId="77777777" w:rsidR="00D60186" w:rsidRPr="00815696" w:rsidRDefault="00D60186" w:rsidP="00225D4D">
            <w:pPr>
              <w:rPr>
                <w:sz w:val="21"/>
                <w:szCs w:val="21"/>
              </w:rPr>
            </w:pPr>
            <w:r w:rsidRPr="00815696">
              <w:rPr>
                <w:sz w:val="21"/>
                <w:szCs w:val="21"/>
              </w:rPr>
              <w:t>Havbotnmineral – balansert utvikling</w:t>
            </w:r>
          </w:p>
        </w:tc>
        <w:tc>
          <w:tcPr>
            <w:tcW w:w="1560" w:type="dxa"/>
            <w:tcBorders>
              <w:top w:val="nil"/>
              <w:left w:val="nil"/>
              <w:bottom w:val="nil"/>
              <w:right w:val="nil"/>
            </w:tcBorders>
            <w:tcMar>
              <w:top w:w="128" w:type="dxa"/>
              <w:left w:w="43" w:type="dxa"/>
              <w:bottom w:w="43" w:type="dxa"/>
              <w:right w:w="43" w:type="dxa"/>
            </w:tcMar>
            <w:vAlign w:val="bottom"/>
          </w:tcPr>
          <w:p w14:paraId="2A4EAD47" w14:textId="77777777" w:rsidR="00D60186" w:rsidRPr="00815696" w:rsidRDefault="00D60186" w:rsidP="00815696">
            <w:pPr>
              <w:jc w:val="right"/>
              <w:rPr>
                <w:sz w:val="21"/>
                <w:szCs w:val="21"/>
              </w:rPr>
            </w:pPr>
            <w:r w:rsidRPr="00815696">
              <w:rPr>
                <w:sz w:val="21"/>
                <w:szCs w:val="21"/>
              </w:rPr>
              <w:t>Ja</w:t>
            </w:r>
          </w:p>
        </w:tc>
      </w:tr>
      <w:tr w:rsidR="00E76DC8" w:rsidRPr="00225D4D" w14:paraId="5C39D5AA"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4DD48C61"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E1A448B" w14:textId="77777777" w:rsidR="00D60186" w:rsidRPr="00815696" w:rsidRDefault="00D60186" w:rsidP="00815696">
            <w:pPr>
              <w:ind w:right="113"/>
              <w:jc w:val="right"/>
              <w:rPr>
                <w:sz w:val="21"/>
                <w:szCs w:val="21"/>
              </w:rPr>
            </w:pPr>
            <w:r w:rsidRPr="00815696">
              <w:rPr>
                <w:sz w:val="21"/>
                <w:szCs w:val="21"/>
              </w:rPr>
              <w:t>858</w:t>
            </w:r>
          </w:p>
        </w:tc>
        <w:tc>
          <w:tcPr>
            <w:tcW w:w="5800" w:type="dxa"/>
            <w:tcBorders>
              <w:top w:val="nil"/>
              <w:left w:val="nil"/>
              <w:bottom w:val="nil"/>
              <w:right w:val="nil"/>
            </w:tcBorders>
            <w:tcMar>
              <w:top w:w="128" w:type="dxa"/>
              <w:left w:w="43" w:type="dxa"/>
              <w:bottom w:w="43" w:type="dxa"/>
              <w:right w:w="43" w:type="dxa"/>
            </w:tcMar>
          </w:tcPr>
          <w:p w14:paraId="00C48A80" w14:textId="77777777" w:rsidR="00D60186" w:rsidRPr="00815696" w:rsidRDefault="00D60186" w:rsidP="00225D4D">
            <w:pPr>
              <w:rPr>
                <w:sz w:val="21"/>
                <w:szCs w:val="21"/>
              </w:rPr>
            </w:pPr>
            <w:r w:rsidRPr="00815696">
              <w:rPr>
                <w:sz w:val="21"/>
                <w:szCs w:val="21"/>
              </w:rPr>
              <w:t>Havbotnmineral – regulering og tilsyn</w:t>
            </w:r>
          </w:p>
        </w:tc>
        <w:tc>
          <w:tcPr>
            <w:tcW w:w="1560" w:type="dxa"/>
            <w:tcBorders>
              <w:top w:val="nil"/>
              <w:left w:val="nil"/>
              <w:bottom w:val="nil"/>
              <w:right w:val="nil"/>
            </w:tcBorders>
            <w:tcMar>
              <w:top w:w="128" w:type="dxa"/>
              <w:left w:w="43" w:type="dxa"/>
              <w:bottom w:w="43" w:type="dxa"/>
              <w:right w:w="43" w:type="dxa"/>
            </w:tcMar>
            <w:vAlign w:val="bottom"/>
          </w:tcPr>
          <w:p w14:paraId="0F0209AC" w14:textId="77777777" w:rsidR="00D60186" w:rsidRPr="00815696" w:rsidRDefault="00D60186" w:rsidP="00815696">
            <w:pPr>
              <w:jc w:val="right"/>
              <w:rPr>
                <w:sz w:val="21"/>
                <w:szCs w:val="21"/>
              </w:rPr>
            </w:pPr>
            <w:r w:rsidRPr="00815696">
              <w:rPr>
                <w:sz w:val="21"/>
                <w:szCs w:val="21"/>
              </w:rPr>
              <w:t>Ja</w:t>
            </w:r>
          </w:p>
        </w:tc>
      </w:tr>
      <w:tr w:rsidR="00E76DC8" w:rsidRPr="00225D4D" w14:paraId="5462E2A4"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31C6B95B"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2FC1AB15" w14:textId="77777777" w:rsidR="00D60186" w:rsidRPr="00815696" w:rsidRDefault="00D60186" w:rsidP="00815696">
            <w:pPr>
              <w:ind w:right="113"/>
              <w:jc w:val="right"/>
              <w:rPr>
                <w:sz w:val="21"/>
                <w:szCs w:val="21"/>
              </w:rPr>
            </w:pPr>
            <w:r w:rsidRPr="00815696">
              <w:rPr>
                <w:sz w:val="21"/>
                <w:szCs w:val="21"/>
              </w:rPr>
              <w:t>917</w:t>
            </w:r>
          </w:p>
        </w:tc>
        <w:tc>
          <w:tcPr>
            <w:tcW w:w="5800" w:type="dxa"/>
            <w:tcBorders>
              <w:top w:val="nil"/>
              <w:left w:val="nil"/>
              <w:bottom w:val="nil"/>
              <w:right w:val="nil"/>
            </w:tcBorders>
            <w:tcMar>
              <w:top w:w="128" w:type="dxa"/>
              <w:left w:w="43" w:type="dxa"/>
              <w:bottom w:w="43" w:type="dxa"/>
              <w:right w:w="43" w:type="dxa"/>
            </w:tcMar>
          </w:tcPr>
          <w:p w14:paraId="33CD01FF" w14:textId="77777777" w:rsidR="00D60186" w:rsidRPr="00815696" w:rsidRDefault="00D60186" w:rsidP="00225D4D">
            <w:pPr>
              <w:rPr>
                <w:sz w:val="21"/>
                <w:szCs w:val="21"/>
              </w:rPr>
            </w:pPr>
            <w:r w:rsidRPr="00815696">
              <w:rPr>
                <w:sz w:val="21"/>
                <w:szCs w:val="21"/>
              </w:rPr>
              <w:t>Alexander L. Kielland-ulykka – etablere ei kompensasjonsordning</w:t>
            </w:r>
          </w:p>
        </w:tc>
        <w:tc>
          <w:tcPr>
            <w:tcW w:w="1560" w:type="dxa"/>
            <w:tcBorders>
              <w:top w:val="nil"/>
              <w:left w:val="nil"/>
              <w:bottom w:val="nil"/>
              <w:right w:val="nil"/>
            </w:tcBorders>
            <w:tcMar>
              <w:top w:w="128" w:type="dxa"/>
              <w:left w:w="43" w:type="dxa"/>
              <w:bottom w:w="43" w:type="dxa"/>
              <w:right w:w="43" w:type="dxa"/>
            </w:tcMar>
            <w:vAlign w:val="bottom"/>
          </w:tcPr>
          <w:p w14:paraId="5AD26468" w14:textId="77777777" w:rsidR="00D60186" w:rsidRPr="00815696" w:rsidRDefault="00D60186" w:rsidP="00815696">
            <w:pPr>
              <w:jc w:val="right"/>
              <w:rPr>
                <w:sz w:val="21"/>
                <w:szCs w:val="21"/>
              </w:rPr>
            </w:pPr>
            <w:r w:rsidRPr="00815696">
              <w:rPr>
                <w:sz w:val="21"/>
                <w:szCs w:val="21"/>
              </w:rPr>
              <w:t>Nei</w:t>
            </w:r>
          </w:p>
        </w:tc>
      </w:tr>
      <w:tr w:rsidR="00E76DC8" w:rsidRPr="00225D4D" w14:paraId="5D2C705C"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709D86E4"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64CC672" w14:textId="77777777" w:rsidR="00D60186" w:rsidRPr="00815696" w:rsidRDefault="00D60186" w:rsidP="00815696">
            <w:pPr>
              <w:ind w:right="113"/>
              <w:jc w:val="right"/>
              <w:rPr>
                <w:sz w:val="21"/>
                <w:szCs w:val="21"/>
              </w:rPr>
            </w:pPr>
            <w:r w:rsidRPr="00815696">
              <w:rPr>
                <w:sz w:val="21"/>
                <w:szCs w:val="21"/>
              </w:rPr>
              <w:t>983</w:t>
            </w:r>
          </w:p>
        </w:tc>
        <w:tc>
          <w:tcPr>
            <w:tcW w:w="5800" w:type="dxa"/>
            <w:tcBorders>
              <w:top w:val="nil"/>
              <w:left w:val="nil"/>
              <w:bottom w:val="nil"/>
              <w:right w:val="nil"/>
            </w:tcBorders>
            <w:tcMar>
              <w:top w:w="128" w:type="dxa"/>
              <w:left w:w="43" w:type="dxa"/>
              <w:bottom w:w="43" w:type="dxa"/>
              <w:right w:w="43" w:type="dxa"/>
            </w:tcMar>
          </w:tcPr>
          <w:p w14:paraId="2A65F9BA" w14:textId="77777777" w:rsidR="00D60186" w:rsidRPr="00815696" w:rsidRDefault="00D60186" w:rsidP="00225D4D">
            <w:pPr>
              <w:rPr>
                <w:sz w:val="21"/>
                <w:szCs w:val="21"/>
              </w:rPr>
            </w:pPr>
            <w:r w:rsidRPr="00815696">
              <w:rPr>
                <w:sz w:val="21"/>
                <w:szCs w:val="21"/>
              </w:rPr>
              <w:t xml:space="preserve">Gjenbruk av </w:t>
            </w:r>
            <w:proofErr w:type="spellStart"/>
            <w:r w:rsidRPr="00815696">
              <w:rPr>
                <w:sz w:val="21"/>
                <w:szCs w:val="21"/>
              </w:rPr>
              <w:t>spillvarme</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52A2725" w14:textId="77777777" w:rsidR="00D60186" w:rsidRPr="00815696" w:rsidRDefault="00D60186" w:rsidP="00815696">
            <w:pPr>
              <w:jc w:val="right"/>
              <w:rPr>
                <w:sz w:val="21"/>
                <w:szCs w:val="21"/>
              </w:rPr>
            </w:pPr>
            <w:r w:rsidRPr="00815696">
              <w:rPr>
                <w:sz w:val="21"/>
                <w:szCs w:val="21"/>
              </w:rPr>
              <w:t>Ja</w:t>
            </w:r>
          </w:p>
        </w:tc>
      </w:tr>
      <w:tr w:rsidR="00E76DC8" w:rsidRPr="00225D4D" w14:paraId="385CD142"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0CDF62ED"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70E2C7FB" w14:textId="77777777" w:rsidR="00D60186" w:rsidRPr="00815696" w:rsidRDefault="00D60186" w:rsidP="00815696">
            <w:pPr>
              <w:ind w:right="113"/>
              <w:jc w:val="right"/>
              <w:rPr>
                <w:sz w:val="21"/>
                <w:szCs w:val="21"/>
              </w:rPr>
            </w:pPr>
            <w:r w:rsidRPr="00815696">
              <w:rPr>
                <w:sz w:val="21"/>
                <w:szCs w:val="21"/>
              </w:rPr>
              <w:t>1077</w:t>
            </w:r>
          </w:p>
        </w:tc>
        <w:tc>
          <w:tcPr>
            <w:tcW w:w="5800" w:type="dxa"/>
            <w:tcBorders>
              <w:top w:val="nil"/>
              <w:left w:val="nil"/>
              <w:bottom w:val="nil"/>
              <w:right w:val="nil"/>
            </w:tcBorders>
            <w:tcMar>
              <w:top w:w="128" w:type="dxa"/>
              <w:left w:w="43" w:type="dxa"/>
              <w:bottom w:w="43" w:type="dxa"/>
              <w:right w:w="43" w:type="dxa"/>
            </w:tcMar>
          </w:tcPr>
          <w:p w14:paraId="471ED6A1" w14:textId="77777777" w:rsidR="00D60186" w:rsidRPr="00815696" w:rsidRDefault="00D60186" w:rsidP="00225D4D">
            <w:pPr>
              <w:rPr>
                <w:sz w:val="21"/>
                <w:szCs w:val="21"/>
              </w:rPr>
            </w:pPr>
            <w:r w:rsidRPr="00815696">
              <w:rPr>
                <w:sz w:val="21"/>
                <w:szCs w:val="21"/>
              </w:rPr>
              <w:t xml:space="preserve">Eksportløysing for gass </w:t>
            </w:r>
            <w:proofErr w:type="spellStart"/>
            <w:r w:rsidRPr="00815696">
              <w:rPr>
                <w:sz w:val="21"/>
                <w:szCs w:val="21"/>
              </w:rPr>
              <w:t>frå</w:t>
            </w:r>
            <w:proofErr w:type="spellEnd"/>
            <w:r w:rsidRPr="00815696">
              <w:rPr>
                <w:sz w:val="21"/>
                <w:szCs w:val="21"/>
              </w:rPr>
              <w:t xml:space="preserve"> Barentshavet</w:t>
            </w:r>
          </w:p>
        </w:tc>
        <w:tc>
          <w:tcPr>
            <w:tcW w:w="1560" w:type="dxa"/>
            <w:tcBorders>
              <w:top w:val="nil"/>
              <w:left w:val="nil"/>
              <w:bottom w:val="nil"/>
              <w:right w:val="nil"/>
            </w:tcBorders>
            <w:tcMar>
              <w:top w:w="128" w:type="dxa"/>
              <w:left w:w="43" w:type="dxa"/>
              <w:bottom w:w="43" w:type="dxa"/>
              <w:right w:w="43" w:type="dxa"/>
            </w:tcMar>
            <w:vAlign w:val="bottom"/>
          </w:tcPr>
          <w:p w14:paraId="051CAE71" w14:textId="77777777" w:rsidR="00D60186" w:rsidRPr="00815696" w:rsidRDefault="00D60186" w:rsidP="00815696">
            <w:pPr>
              <w:jc w:val="right"/>
              <w:rPr>
                <w:sz w:val="21"/>
                <w:szCs w:val="21"/>
              </w:rPr>
            </w:pPr>
            <w:r w:rsidRPr="00815696">
              <w:rPr>
                <w:sz w:val="21"/>
                <w:szCs w:val="21"/>
              </w:rPr>
              <w:t>Ja</w:t>
            </w:r>
          </w:p>
        </w:tc>
      </w:tr>
      <w:tr w:rsidR="00E76DC8" w:rsidRPr="00225D4D" w14:paraId="3E563410"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5BD4B142"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09A11A7B" w14:textId="77777777" w:rsidR="00D60186" w:rsidRPr="00815696" w:rsidRDefault="00D60186" w:rsidP="00815696">
            <w:pPr>
              <w:ind w:right="113"/>
              <w:jc w:val="right"/>
              <w:rPr>
                <w:sz w:val="21"/>
                <w:szCs w:val="21"/>
              </w:rPr>
            </w:pPr>
            <w:r w:rsidRPr="00815696">
              <w:rPr>
                <w:sz w:val="21"/>
                <w:szCs w:val="21"/>
              </w:rPr>
              <w:t>1078</w:t>
            </w:r>
          </w:p>
        </w:tc>
        <w:tc>
          <w:tcPr>
            <w:tcW w:w="5800" w:type="dxa"/>
            <w:tcBorders>
              <w:top w:val="nil"/>
              <w:left w:val="nil"/>
              <w:bottom w:val="nil"/>
              <w:right w:val="nil"/>
            </w:tcBorders>
            <w:tcMar>
              <w:top w:w="128" w:type="dxa"/>
              <w:left w:w="43" w:type="dxa"/>
              <w:bottom w:w="43" w:type="dxa"/>
              <w:right w:w="43" w:type="dxa"/>
            </w:tcMar>
          </w:tcPr>
          <w:p w14:paraId="04818A93" w14:textId="77777777" w:rsidR="00D60186" w:rsidRPr="00815696" w:rsidRDefault="00D60186" w:rsidP="00225D4D">
            <w:pPr>
              <w:rPr>
                <w:sz w:val="21"/>
                <w:szCs w:val="21"/>
              </w:rPr>
            </w:pPr>
            <w:r w:rsidRPr="00815696">
              <w:rPr>
                <w:sz w:val="21"/>
                <w:szCs w:val="21"/>
              </w:rPr>
              <w:t xml:space="preserve">Status for og vurdering av NZIA-forordninga </w:t>
            </w:r>
            <w:proofErr w:type="spellStart"/>
            <w:r w:rsidRPr="00815696">
              <w:rPr>
                <w:sz w:val="21"/>
                <w:szCs w:val="21"/>
              </w:rPr>
              <w:t>frå</w:t>
            </w:r>
            <w:proofErr w:type="spellEnd"/>
            <w:r w:rsidRPr="00815696">
              <w:rPr>
                <w:sz w:val="21"/>
                <w:szCs w:val="21"/>
              </w:rPr>
              <w:t xml:space="preserve"> EU</w:t>
            </w:r>
          </w:p>
        </w:tc>
        <w:tc>
          <w:tcPr>
            <w:tcW w:w="1560" w:type="dxa"/>
            <w:tcBorders>
              <w:top w:val="nil"/>
              <w:left w:val="nil"/>
              <w:bottom w:val="nil"/>
              <w:right w:val="nil"/>
            </w:tcBorders>
            <w:tcMar>
              <w:top w:w="128" w:type="dxa"/>
              <w:left w:w="43" w:type="dxa"/>
              <w:bottom w:w="43" w:type="dxa"/>
              <w:right w:w="43" w:type="dxa"/>
            </w:tcMar>
            <w:vAlign w:val="bottom"/>
          </w:tcPr>
          <w:p w14:paraId="78ADCB1E" w14:textId="77777777" w:rsidR="00D60186" w:rsidRPr="00815696" w:rsidRDefault="00D60186" w:rsidP="00815696">
            <w:pPr>
              <w:jc w:val="right"/>
              <w:rPr>
                <w:sz w:val="21"/>
                <w:szCs w:val="21"/>
              </w:rPr>
            </w:pPr>
            <w:r w:rsidRPr="00815696">
              <w:rPr>
                <w:sz w:val="21"/>
                <w:szCs w:val="21"/>
              </w:rPr>
              <w:t>Nei</w:t>
            </w:r>
          </w:p>
        </w:tc>
      </w:tr>
      <w:tr w:rsidR="00E76DC8" w:rsidRPr="00225D4D" w14:paraId="59945CFB"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0C180E86"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1F1F3D0" w14:textId="77777777" w:rsidR="00D60186" w:rsidRPr="00815696" w:rsidRDefault="00D60186" w:rsidP="00815696">
            <w:pPr>
              <w:ind w:right="113"/>
              <w:jc w:val="right"/>
              <w:rPr>
                <w:sz w:val="21"/>
                <w:szCs w:val="21"/>
              </w:rPr>
            </w:pPr>
            <w:r w:rsidRPr="00815696">
              <w:rPr>
                <w:sz w:val="21"/>
                <w:szCs w:val="21"/>
              </w:rPr>
              <w:t>1079</w:t>
            </w:r>
          </w:p>
        </w:tc>
        <w:tc>
          <w:tcPr>
            <w:tcW w:w="5800" w:type="dxa"/>
            <w:tcBorders>
              <w:top w:val="nil"/>
              <w:left w:val="nil"/>
              <w:bottom w:val="nil"/>
              <w:right w:val="nil"/>
            </w:tcBorders>
            <w:tcMar>
              <w:top w:w="128" w:type="dxa"/>
              <w:left w:w="43" w:type="dxa"/>
              <w:bottom w:w="43" w:type="dxa"/>
              <w:right w:w="43" w:type="dxa"/>
            </w:tcMar>
          </w:tcPr>
          <w:p w14:paraId="0A2330D5" w14:textId="77777777" w:rsidR="00D60186" w:rsidRPr="00815696" w:rsidRDefault="00D60186" w:rsidP="00225D4D">
            <w:pPr>
              <w:rPr>
                <w:sz w:val="21"/>
                <w:szCs w:val="21"/>
              </w:rPr>
            </w:pPr>
            <w:r w:rsidRPr="00815696">
              <w:rPr>
                <w:sz w:val="21"/>
                <w:szCs w:val="21"/>
              </w:rPr>
              <w:t>Reform av nettreguleringa</w:t>
            </w:r>
          </w:p>
        </w:tc>
        <w:tc>
          <w:tcPr>
            <w:tcW w:w="1560" w:type="dxa"/>
            <w:tcBorders>
              <w:top w:val="nil"/>
              <w:left w:val="nil"/>
              <w:bottom w:val="nil"/>
              <w:right w:val="nil"/>
            </w:tcBorders>
            <w:tcMar>
              <w:top w:w="128" w:type="dxa"/>
              <w:left w:w="43" w:type="dxa"/>
              <w:bottom w:w="43" w:type="dxa"/>
              <w:right w:w="43" w:type="dxa"/>
            </w:tcMar>
            <w:vAlign w:val="bottom"/>
          </w:tcPr>
          <w:p w14:paraId="03150CB0" w14:textId="77777777" w:rsidR="00D60186" w:rsidRPr="00815696" w:rsidRDefault="00D60186" w:rsidP="00815696">
            <w:pPr>
              <w:jc w:val="right"/>
              <w:rPr>
                <w:sz w:val="21"/>
                <w:szCs w:val="21"/>
              </w:rPr>
            </w:pPr>
            <w:r w:rsidRPr="00815696">
              <w:rPr>
                <w:sz w:val="21"/>
                <w:szCs w:val="21"/>
              </w:rPr>
              <w:t>Ja</w:t>
            </w:r>
          </w:p>
        </w:tc>
      </w:tr>
      <w:tr w:rsidR="00E76DC8" w:rsidRPr="00225D4D" w14:paraId="53E7B546"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2BBFE6FF"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7C0D9EFF" w14:textId="77777777" w:rsidR="00D60186" w:rsidRPr="00815696" w:rsidRDefault="00D60186" w:rsidP="00815696">
            <w:pPr>
              <w:ind w:right="113"/>
              <w:jc w:val="right"/>
              <w:rPr>
                <w:sz w:val="21"/>
                <w:szCs w:val="21"/>
              </w:rPr>
            </w:pPr>
            <w:r w:rsidRPr="00815696">
              <w:rPr>
                <w:sz w:val="21"/>
                <w:szCs w:val="21"/>
              </w:rPr>
              <w:t>1080</w:t>
            </w:r>
          </w:p>
        </w:tc>
        <w:tc>
          <w:tcPr>
            <w:tcW w:w="5800" w:type="dxa"/>
            <w:tcBorders>
              <w:top w:val="nil"/>
              <w:left w:val="nil"/>
              <w:bottom w:val="nil"/>
              <w:right w:val="nil"/>
            </w:tcBorders>
            <w:tcMar>
              <w:top w:w="128" w:type="dxa"/>
              <w:left w:w="43" w:type="dxa"/>
              <w:bottom w:w="43" w:type="dxa"/>
              <w:right w:w="43" w:type="dxa"/>
            </w:tcMar>
          </w:tcPr>
          <w:p w14:paraId="31999F17" w14:textId="77777777" w:rsidR="00D60186" w:rsidRPr="00815696" w:rsidRDefault="00D60186" w:rsidP="00225D4D">
            <w:pPr>
              <w:rPr>
                <w:sz w:val="21"/>
                <w:szCs w:val="21"/>
              </w:rPr>
            </w:pPr>
            <w:proofErr w:type="spellStart"/>
            <w:r w:rsidRPr="00815696">
              <w:rPr>
                <w:sz w:val="21"/>
                <w:szCs w:val="21"/>
              </w:rPr>
              <w:t>Endringar</w:t>
            </w:r>
            <w:proofErr w:type="spellEnd"/>
            <w:r w:rsidRPr="00815696">
              <w:rPr>
                <w:sz w:val="21"/>
                <w:szCs w:val="21"/>
              </w:rPr>
              <w:t xml:space="preserve"> i energilova for </w:t>
            </w:r>
            <w:proofErr w:type="spellStart"/>
            <w:r w:rsidRPr="00815696">
              <w:rPr>
                <w:sz w:val="21"/>
                <w:szCs w:val="21"/>
              </w:rPr>
              <w:t>tidlegare</w:t>
            </w:r>
            <w:proofErr w:type="spellEnd"/>
            <w:r w:rsidRPr="00815696">
              <w:rPr>
                <w:sz w:val="21"/>
                <w:szCs w:val="21"/>
              </w:rPr>
              <w:t xml:space="preserve"> planlegging av </w:t>
            </w:r>
            <w:r w:rsidRPr="00815696">
              <w:rPr>
                <w:sz w:val="21"/>
                <w:szCs w:val="21"/>
              </w:rPr>
              <w:br/>
              <w:t>nytt nett m.m.</w:t>
            </w:r>
          </w:p>
        </w:tc>
        <w:tc>
          <w:tcPr>
            <w:tcW w:w="1560" w:type="dxa"/>
            <w:tcBorders>
              <w:top w:val="nil"/>
              <w:left w:val="nil"/>
              <w:bottom w:val="nil"/>
              <w:right w:val="nil"/>
            </w:tcBorders>
            <w:tcMar>
              <w:top w:w="128" w:type="dxa"/>
              <w:left w:w="43" w:type="dxa"/>
              <w:bottom w:w="43" w:type="dxa"/>
              <w:right w:w="43" w:type="dxa"/>
            </w:tcMar>
            <w:vAlign w:val="bottom"/>
          </w:tcPr>
          <w:p w14:paraId="6D78F1F8" w14:textId="77777777" w:rsidR="00D60186" w:rsidRPr="00815696" w:rsidRDefault="00D60186" w:rsidP="00815696">
            <w:pPr>
              <w:jc w:val="right"/>
              <w:rPr>
                <w:sz w:val="21"/>
                <w:szCs w:val="21"/>
              </w:rPr>
            </w:pPr>
            <w:r w:rsidRPr="00815696">
              <w:rPr>
                <w:sz w:val="21"/>
                <w:szCs w:val="21"/>
              </w:rPr>
              <w:t>Ja</w:t>
            </w:r>
          </w:p>
        </w:tc>
      </w:tr>
      <w:tr w:rsidR="00E76DC8" w:rsidRPr="00225D4D" w14:paraId="50E83BAC"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7B2213C5"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655D687F" w14:textId="77777777" w:rsidR="00D60186" w:rsidRPr="00815696" w:rsidRDefault="00D60186" w:rsidP="00815696">
            <w:pPr>
              <w:ind w:right="113"/>
              <w:jc w:val="right"/>
              <w:rPr>
                <w:sz w:val="21"/>
                <w:szCs w:val="21"/>
              </w:rPr>
            </w:pPr>
            <w:r w:rsidRPr="00815696">
              <w:rPr>
                <w:sz w:val="21"/>
                <w:szCs w:val="21"/>
              </w:rPr>
              <w:t>1090</w:t>
            </w:r>
          </w:p>
        </w:tc>
        <w:tc>
          <w:tcPr>
            <w:tcW w:w="5800" w:type="dxa"/>
            <w:tcBorders>
              <w:top w:val="nil"/>
              <w:left w:val="nil"/>
              <w:bottom w:val="nil"/>
              <w:right w:val="nil"/>
            </w:tcBorders>
            <w:tcMar>
              <w:top w:w="128" w:type="dxa"/>
              <w:left w:w="43" w:type="dxa"/>
              <w:bottom w:w="43" w:type="dxa"/>
              <w:right w:w="43" w:type="dxa"/>
            </w:tcMar>
          </w:tcPr>
          <w:p w14:paraId="4B7EBAC2" w14:textId="77777777" w:rsidR="00D60186" w:rsidRPr="00815696" w:rsidRDefault="00D60186" w:rsidP="00225D4D">
            <w:pPr>
              <w:rPr>
                <w:sz w:val="21"/>
                <w:szCs w:val="21"/>
              </w:rPr>
            </w:pPr>
            <w:r w:rsidRPr="00815696">
              <w:rPr>
                <w:sz w:val="21"/>
                <w:szCs w:val="21"/>
              </w:rPr>
              <w:t xml:space="preserve">Forbrukstak for </w:t>
            </w:r>
            <w:proofErr w:type="spellStart"/>
            <w:r w:rsidRPr="00815696">
              <w:rPr>
                <w:sz w:val="21"/>
                <w:szCs w:val="21"/>
              </w:rPr>
              <w:t>Noregspris</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57CF9086" w14:textId="77777777" w:rsidR="00D60186" w:rsidRPr="00815696" w:rsidRDefault="00D60186" w:rsidP="00815696">
            <w:pPr>
              <w:jc w:val="right"/>
              <w:rPr>
                <w:sz w:val="21"/>
                <w:szCs w:val="21"/>
              </w:rPr>
            </w:pPr>
            <w:r w:rsidRPr="00815696">
              <w:rPr>
                <w:sz w:val="21"/>
                <w:szCs w:val="21"/>
              </w:rPr>
              <w:t>Ja</w:t>
            </w:r>
          </w:p>
        </w:tc>
      </w:tr>
      <w:tr w:rsidR="00E76DC8" w:rsidRPr="00225D4D" w14:paraId="44C5FD94"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78460AE6"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21D1C75" w14:textId="77777777" w:rsidR="00D60186" w:rsidRPr="00815696" w:rsidRDefault="00D60186" w:rsidP="00815696">
            <w:pPr>
              <w:ind w:right="113"/>
              <w:jc w:val="right"/>
              <w:rPr>
                <w:sz w:val="21"/>
                <w:szCs w:val="21"/>
              </w:rPr>
            </w:pPr>
            <w:r w:rsidRPr="00815696">
              <w:rPr>
                <w:sz w:val="21"/>
                <w:szCs w:val="21"/>
              </w:rPr>
              <w:t>1091</w:t>
            </w:r>
          </w:p>
        </w:tc>
        <w:tc>
          <w:tcPr>
            <w:tcW w:w="5800" w:type="dxa"/>
            <w:tcBorders>
              <w:top w:val="nil"/>
              <w:left w:val="nil"/>
              <w:bottom w:val="nil"/>
              <w:right w:val="nil"/>
            </w:tcBorders>
            <w:tcMar>
              <w:top w:w="128" w:type="dxa"/>
              <w:left w:w="43" w:type="dxa"/>
              <w:bottom w:w="43" w:type="dxa"/>
              <w:right w:w="43" w:type="dxa"/>
            </w:tcMar>
          </w:tcPr>
          <w:p w14:paraId="21D97492" w14:textId="77777777" w:rsidR="00D60186" w:rsidRPr="00815696" w:rsidRDefault="00D60186" w:rsidP="00225D4D">
            <w:pPr>
              <w:rPr>
                <w:sz w:val="21"/>
                <w:szCs w:val="21"/>
              </w:rPr>
            </w:pPr>
            <w:r w:rsidRPr="00815696">
              <w:rPr>
                <w:sz w:val="21"/>
                <w:szCs w:val="21"/>
              </w:rPr>
              <w:t>Forbrukstak for straumstønad</w:t>
            </w:r>
          </w:p>
        </w:tc>
        <w:tc>
          <w:tcPr>
            <w:tcW w:w="1560" w:type="dxa"/>
            <w:tcBorders>
              <w:top w:val="nil"/>
              <w:left w:val="nil"/>
              <w:bottom w:val="nil"/>
              <w:right w:val="nil"/>
            </w:tcBorders>
            <w:tcMar>
              <w:top w:w="128" w:type="dxa"/>
              <w:left w:w="43" w:type="dxa"/>
              <w:bottom w:w="43" w:type="dxa"/>
              <w:right w:w="43" w:type="dxa"/>
            </w:tcMar>
            <w:vAlign w:val="bottom"/>
          </w:tcPr>
          <w:p w14:paraId="2E59C421" w14:textId="77777777" w:rsidR="00D60186" w:rsidRPr="00815696" w:rsidRDefault="00D60186" w:rsidP="00815696">
            <w:pPr>
              <w:jc w:val="right"/>
              <w:rPr>
                <w:sz w:val="21"/>
                <w:szCs w:val="21"/>
              </w:rPr>
            </w:pPr>
            <w:r w:rsidRPr="00815696">
              <w:rPr>
                <w:sz w:val="21"/>
                <w:szCs w:val="21"/>
              </w:rPr>
              <w:t>Ja</w:t>
            </w:r>
          </w:p>
        </w:tc>
      </w:tr>
      <w:tr w:rsidR="00E76DC8" w:rsidRPr="00225D4D" w14:paraId="18EC0EF8"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7A9DFD90"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1A15859C" w14:textId="77777777" w:rsidR="00D60186" w:rsidRPr="00815696" w:rsidRDefault="00D60186" w:rsidP="00815696">
            <w:pPr>
              <w:ind w:right="113"/>
              <w:jc w:val="right"/>
              <w:rPr>
                <w:sz w:val="21"/>
                <w:szCs w:val="21"/>
              </w:rPr>
            </w:pPr>
            <w:r w:rsidRPr="00815696">
              <w:rPr>
                <w:sz w:val="21"/>
                <w:szCs w:val="21"/>
              </w:rPr>
              <w:t>1096</w:t>
            </w:r>
          </w:p>
        </w:tc>
        <w:tc>
          <w:tcPr>
            <w:tcW w:w="5800" w:type="dxa"/>
            <w:tcBorders>
              <w:top w:val="nil"/>
              <w:left w:val="nil"/>
              <w:bottom w:val="nil"/>
              <w:right w:val="nil"/>
            </w:tcBorders>
            <w:tcMar>
              <w:top w:w="128" w:type="dxa"/>
              <w:left w:w="43" w:type="dxa"/>
              <w:bottom w:w="43" w:type="dxa"/>
              <w:right w:w="43" w:type="dxa"/>
            </w:tcMar>
          </w:tcPr>
          <w:p w14:paraId="46B374BC" w14:textId="77777777" w:rsidR="00D60186" w:rsidRPr="00815696" w:rsidRDefault="00D60186" w:rsidP="00225D4D">
            <w:pPr>
              <w:rPr>
                <w:sz w:val="21"/>
                <w:szCs w:val="21"/>
              </w:rPr>
            </w:pPr>
            <w:r w:rsidRPr="00815696">
              <w:rPr>
                <w:sz w:val="21"/>
                <w:szCs w:val="21"/>
              </w:rPr>
              <w:t xml:space="preserve">Tiltak for </w:t>
            </w:r>
            <w:proofErr w:type="spellStart"/>
            <w:r w:rsidRPr="00815696">
              <w:rPr>
                <w:sz w:val="21"/>
                <w:szCs w:val="21"/>
              </w:rPr>
              <w:t>lågare</w:t>
            </w:r>
            <w:proofErr w:type="spellEnd"/>
            <w:r w:rsidRPr="00815696">
              <w:rPr>
                <w:sz w:val="21"/>
                <w:szCs w:val="21"/>
              </w:rPr>
              <w:t xml:space="preserve"> og </w:t>
            </w:r>
            <w:proofErr w:type="spellStart"/>
            <w:r w:rsidRPr="00815696">
              <w:rPr>
                <w:sz w:val="21"/>
                <w:szCs w:val="21"/>
              </w:rPr>
              <w:t>meir</w:t>
            </w:r>
            <w:proofErr w:type="spellEnd"/>
            <w:r w:rsidRPr="00815696">
              <w:rPr>
                <w:sz w:val="21"/>
                <w:szCs w:val="21"/>
              </w:rPr>
              <w:t xml:space="preserve"> stabile </w:t>
            </w:r>
            <w:proofErr w:type="spellStart"/>
            <w:r w:rsidRPr="00815696">
              <w:rPr>
                <w:sz w:val="21"/>
                <w:szCs w:val="21"/>
              </w:rPr>
              <w:t>straumprisar</w:t>
            </w:r>
            <w:proofErr w:type="spellEnd"/>
            <w:r w:rsidRPr="00815696">
              <w:rPr>
                <w:sz w:val="21"/>
                <w:szCs w:val="21"/>
              </w:rPr>
              <w:t xml:space="preserve"> i NO2</w:t>
            </w:r>
          </w:p>
        </w:tc>
        <w:tc>
          <w:tcPr>
            <w:tcW w:w="1560" w:type="dxa"/>
            <w:tcBorders>
              <w:top w:val="nil"/>
              <w:left w:val="nil"/>
              <w:bottom w:val="nil"/>
              <w:right w:val="nil"/>
            </w:tcBorders>
            <w:tcMar>
              <w:top w:w="128" w:type="dxa"/>
              <w:left w:w="43" w:type="dxa"/>
              <w:bottom w:w="43" w:type="dxa"/>
              <w:right w:w="43" w:type="dxa"/>
            </w:tcMar>
            <w:vAlign w:val="bottom"/>
          </w:tcPr>
          <w:p w14:paraId="6D921993" w14:textId="77777777" w:rsidR="00D60186" w:rsidRPr="00815696" w:rsidRDefault="00D60186" w:rsidP="00815696">
            <w:pPr>
              <w:jc w:val="right"/>
              <w:rPr>
                <w:sz w:val="21"/>
                <w:szCs w:val="21"/>
              </w:rPr>
            </w:pPr>
            <w:r w:rsidRPr="00815696">
              <w:rPr>
                <w:sz w:val="21"/>
                <w:szCs w:val="21"/>
              </w:rPr>
              <w:t>Ja</w:t>
            </w:r>
          </w:p>
        </w:tc>
      </w:tr>
      <w:tr w:rsidR="00E76DC8" w:rsidRPr="00225D4D" w14:paraId="2F3B8AE6"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33070F98"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30EE0958" w14:textId="77777777" w:rsidR="00D60186" w:rsidRPr="00815696" w:rsidRDefault="00D60186" w:rsidP="00815696">
            <w:pPr>
              <w:ind w:right="113"/>
              <w:jc w:val="right"/>
              <w:rPr>
                <w:sz w:val="21"/>
                <w:szCs w:val="21"/>
              </w:rPr>
            </w:pPr>
            <w:r w:rsidRPr="00815696">
              <w:rPr>
                <w:sz w:val="21"/>
                <w:szCs w:val="21"/>
              </w:rPr>
              <w:t>1213</w:t>
            </w:r>
          </w:p>
        </w:tc>
        <w:tc>
          <w:tcPr>
            <w:tcW w:w="5800" w:type="dxa"/>
            <w:tcBorders>
              <w:top w:val="nil"/>
              <w:left w:val="nil"/>
              <w:bottom w:val="nil"/>
              <w:right w:val="nil"/>
            </w:tcBorders>
            <w:tcMar>
              <w:top w:w="128" w:type="dxa"/>
              <w:left w:w="43" w:type="dxa"/>
              <w:bottom w:w="43" w:type="dxa"/>
              <w:right w:w="43" w:type="dxa"/>
            </w:tcMar>
          </w:tcPr>
          <w:p w14:paraId="36E9479E" w14:textId="77777777" w:rsidR="00D60186" w:rsidRPr="00815696" w:rsidRDefault="00D60186" w:rsidP="00225D4D">
            <w:pPr>
              <w:rPr>
                <w:sz w:val="21"/>
                <w:szCs w:val="21"/>
              </w:rPr>
            </w:pPr>
            <w:r w:rsidRPr="00815696">
              <w:rPr>
                <w:sz w:val="21"/>
                <w:szCs w:val="21"/>
              </w:rPr>
              <w:t xml:space="preserve">Utnytting av </w:t>
            </w:r>
            <w:proofErr w:type="spellStart"/>
            <w:r w:rsidRPr="00815696">
              <w:rPr>
                <w:sz w:val="21"/>
                <w:szCs w:val="21"/>
              </w:rPr>
              <w:t>overskotsvarme</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E6D394A" w14:textId="77777777" w:rsidR="00D60186" w:rsidRPr="00815696" w:rsidRDefault="00D60186" w:rsidP="00815696">
            <w:pPr>
              <w:jc w:val="right"/>
              <w:rPr>
                <w:sz w:val="21"/>
                <w:szCs w:val="21"/>
              </w:rPr>
            </w:pPr>
            <w:r w:rsidRPr="00815696">
              <w:rPr>
                <w:sz w:val="21"/>
                <w:szCs w:val="21"/>
              </w:rPr>
              <w:t>Ja</w:t>
            </w:r>
          </w:p>
        </w:tc>
      </w:tr>
      <w:tr w:rsidR="00E76DC8" w:rsidRPr="00225D4D" w14:paraId="4304B845"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1A4C6A2E"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00922B46" w14:textId="77777777" w:rsidR="00D60186" w:rsidRPr="00815696" w:rsidRDefault="00D60186" w:rsidP="00815696">
            <w:pPr>
              <w:ind w:right="113"/>
              <w:jc w:val="right"/>
              <w:rPr>
                <w:sz w:val="21"/>
                <w:szCs w:val="21"/>
              </w:rPr>
            </w:pPr>
            <w:r w:rsidRPr="00815696">
              <w:rPr>
                <w:sz w:val="21"/>
                <w:szCs w:val="21"/>
              </w:rPr>
              <w:t>1256</w:t>
            </w:r>
          </w:p>
        </w:tc>
        <w:tc>
          <w:tcPr>
            <w:tcW w:w="5800" w:type="dxa"/>
            <w:tcBorders>
              <w:top w:val="nil"/>
              <w:left w:val="nil"/>
              <w:bottom w:val="nil"/>
              <w:right w:val="nil"/>
            </w:tcBorders>
            <w:tcMar>
              <w:top w:w="128" w:type="dxa"/>
              <w:left w:w="43" w:type="dxa"/>
              <w:bottom w:w="43" w:type="dxa"/>
              <w:right w:w="43" w:type="dxa"/>
            </w:tcMar>
          </w:tcPr>
          <w:p w14:paraId="0292D7A1" w14:textId="77777777" w:rsidR="00D60186" w:rsidRPr="00815696" w:rsidRDefault="00D60186" w:rsidP="00225D4D">
            <w:pPr>
              <w:rPr>
                <w:sz w:val="21"/>
                <w:szCs w:val="21"/>
              </w:rPr>
            </w:pPr>
            <w:r w:rsidRPr="00815696">
              <w:rPr>
                <w:sz w:val="21"/>
                <w:szCs w:val="21"/>
              </w:rPr>
              <w:t xml:space="preserve">Sikre </w:t>
            </w:r>
            <w:proofErr w:type="spellStart"/>
            <w:r w:rsidRPr="00815696">
              <w:rPr>
                <w:sz w:val="21"/>
                <w:szCs w:val="21"/>
              </w:rPr>
              <w:t>tilstrekkeleg</w:t>
            </w:r>
            <w:proofErr w:type="spellEnd"/>
            <w:r w:rsidRPr="00815696">
              <w:rPr>
                <w:sz w:val="21"/>
                <w:szCs w:val="21"/>
              </w:rPr>
              <w:t xml:space="preserve"> krafttilgang i heile Finnmark</w:t>
            </w:r>
          </w:p>
        </w:tc>
        <w:tc>
          <w:tcPr>
            <w:tcW w:w="1560" w:type="dxa"/>
            <w:tcBorders>
              <w:top w:val="nil"/>
              <w:left w:val="nil"/>
              <w:bottom w:val="nil"/>
              <w:right w:val="nil"/>
            </w:tcBorders>
            <w:tcMar>
              <w:top w:w="128" w:type="dxa"/>
              <w:left w:w="43" w:type="dxa"/>
              <w:bottom w:w="43" w:type="dxa"/>
              <w:right w:w="43" w:type="dxa"/>
            </w:tcMar>
            <w:vAlign w:val="bottom"/>
          </w:tcPr>
          <w:p w14:paraId="5666DBA2" w14:textId="77777777" w:rsidR="00D60186" w:rsidRPr="00815696" w:rsidRDefault="00D60186" w:rsidP="00815696">
            <w:pPr>
              <w:jc w:val="right"/>
              <w:rPr>
                <w:sz w:val="21"/>
                <w:szCs w:val="21"/>
              </w:rPr>
            </w:pPr>
            <w:r w:rsidRPr="00815696">
              <w:rPr>
                <w:sz w:val="21"/>
                <w:szCs w:val="21"/>
              </w:rPr>
              <w:t>Ja</w:t>
            </w:r>
          </w:p>
        </w:tc>
      </w:tr>
      <w:tr w:rsidR="00E76DC8" w:rsidRPr="00225D4D" w14:paraId="2731AA0F"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271DF533" w14:textId="77777777" w:rsidR="00D60186" w:rsidRPr="00815696" w:rsidRDefault="00D60186" w:rsidP="00225D4D">
            <w:pPr>
              <w:rPr>
                <w:sz w:val="21"/>
                <w:szCs w:val="21"/>
              </w:rPr>
            </w:pPr>
            <w:r w:rsidRPr="00815696">
              <w:rPr>
                <w:sz w:val="21"/>
                <w:szCs w:val="21"/>
              </w:rPr>
              <w:t>2024–2025</w:t>
            </w:r>
          </w:p>
        </w:tc>
        <w:tc>
          <w:tcPr>
            <w:tcW w:w="1060" w:type="dxa"/>
            <w:tcBorders>
              <w:top w:val="nil"/>
              <w:left w:val="nil"/>
              <w:bottom w:val="nil"/>
              <w:right w:val="nil"/>
            </w:tcBorders>
            <w:tcMar>
              <w:top w:w="128" w:type="dxa"/>
              <w:left w:w="43" w:type="dxa"/>
              <w:bottom w:w="43" w:type="dxa"/>
              <w:right w:w="43" w:type="dxa"/>
            </w:tcMar>
          </w:tcPr>
          <w:p w14:paraId="43547FF7" w14:textId="77777777" w:rsidR="00D60186" w:rsidRPr="00815696" w:rsidRDefault="00D60186" w:rsidP="00815696">
            <w:pPr>
              <w:ind w:right="113"/>
              <w:jc w:val="right"/>
              <w:rPr>
                <w:sz w:val="21"/>
                <w:szCs w:val="21"/>
              </w:rPr>
            </w:pPr>
            <w:r w:rsidRPr="00815696">
              <w:rPr>
                <w:sz w:val="21"/>
                <w:szCs w:val="21"/>
              </w:rPr>
              <w:t>1257</w:t>
            </w:r>
          </w:p>
        </w:tc>
        <w:tc>
          <w:tcPr>
            <w:tcW w:w="5800" w:type="dxa"/>
            <w:tcBorders>
              <w:top w:val="nil"/>
              <w:left w:val="nil"/>
              <w:bottom w:val="nil"/>
              <w:right w:val="nil"/>
            </w:tcBorders>
            <w:tcMar>
              <w:top w:w="128" w:type="dxa"/>
              <w:left w:w="43" w:type="dxa"/>
              <w:bottom w:w="43" w:type="dxa"/>
              <w:right w:w="43" w:type="dxa"/>
            </w:tcMar>
          </w:tcPr>
          <w:p w14:paraId="1BBE09CA" w14:textId="77777777" w:rsidR="00D60186" w:rsidRPr="00815696" w:rsidRDefault="00D60186" w:rsidP="00225D4D">
            <w:pPr>
              <w:rPr>
                <w:sz w:val="21"/>
                <w:szCs w:val="21"/>
              </w:rPr>
            </w:pPr>
            <w:r w:rsidRPr="00815696">
              <w:rPr>
                <w:sz w:val="21"/>
                <w:szCs w:val="21"/>
              </w:rPr>
              <w:t xml:space="preserve">Rask saksbehandling av søknaden om utbygging av </w:t>
            </w:r>
            <w:r w:rsidRPr="00815696">
              <w:rPr>
                <w:sz w:val="21"/>
                <w:szCs w:val="21"/>
              </w:rPr>
              <w:br/>
              <w:t>transmisjonsnettet Skaidi–Lebesby–Varangerbotn</w:t>
            </w:r>
          </w:p>
        </w:tc>
        <w:tc>
          <w:tcPr>
            <w:tcW w:w="1560" w:type="dxa"/>
            <w:tcBorders>
              <w:top w:val="nil"/>
              <w:left w:val="nil"/>
              <w:bottom w:val="nil"/>
              <w:right w:val="nil"/>
            </w:tcBorders>
            <w:tcMar>
              <w:top w:w="128" w:type="dxa"/>
              <w:left w:w="43" w:type="dxa"/>
              <w:bottom w:w="43" w:type="dxa"/>
              <w:right w:w="43" w:type="dxa"/>
            </w:tcMar>
            <w:vAlign w:val="bottom"/>
          </w:tcPr>
          <w:p w14:paraId="648A42CD" w14:textId="77777777" w:rsidR="00D60186" w:rsidRPr="00815696" w:rsidRDefault="00D60186" w:rsidP="00815696">
            <w:pPr>
              <w:jc w:val="right"/>
              <w:rPr>
                <w:sz w:val="21"/>
                <w:szCs w:val="21"/>
              </w:rPr>
            </w:pPr>
            <w:r w:rsidRPr="00815696">
              <w:rPr>
                <w:sz w:val="21"/>
                <w:szCs w:val="21"/>
              </w:rPr>
              <w:t>Ja</w:t>
            </w:r>
          </w:p>
        </w:tc>
      </w:tr>
      <w:tr w:rsidR="00E76DC8" w:rsidRPr="00225D4D" w14:paraId="7E3E3CCB"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3755D765" w14:textId="77777777" w:rsidR="00D60186" w:rsidRPr="00815696" w:rsidRDefault="00D60186" w:rsidP="00225D4D">
            <w:pPr>
              <w:rPr>
                <w:sz w:val="21"/>
                <w:szCs w:val="21"/>
              </w:rPr>
            </w:pPr>
            <w:r w:rsidRPr="00815696">
              <w:rPr>
                <w:sz w:val="21"/>
                <w:szCs w:val="21"/>
              </w:rPr>
              <w:t>2023–2024</w:t>
            </w:r>
          </w:p>
        </w:tc>
        <w:tc>
          <w:tcPr>
            <w:tcW w:w="1060" w:type="dxa"/>
            <w:tcBorders>
              <w:top w:val="nil"/>
              <w:left w:val="nil"/>
              <w:bottom w:val="nil"/>
              <w:right w:val="nil"/>
            </w:tcBorders>
            <w:tcMar>
              <w:top w:w="128" w:type="dxa"/>
              <w:left w:w="43" w:type="dxa"/>
              <w:bottom w:w="43" w:type="dxa"/>
              <w:right w:w="43" w:type="dxa"/>
            </w:tcMar>
          </w:tcPr>
          <w:p w14:paraId="7334FE47" w14:textId="77777777" w:rsidR="00D60186" w:rsidRPr="00815696" w:rsidRDefault="00D60186" w:rsidP="00815696">
            <w:pPr>
              <w:ind w:right="113"/>
              <w:jc w:val="right"/>
              <w:rPr>
                <w:sz w:val="21"/>
                <w:szCs w:val="21"/>
              </w:rPr>
            </w:pPr>
            <w:r w:rsidRPr="00815696">
              <w:rPr>
                <w:sz w:val="21"/>
                <w:szCs w:val="21"/>
              </w:rPr>
              <w:t>96</w:t>
            </w:r>
          </w:p>
        </w:tc>
        <w:tc>
          <w:tcPr>
            <w:tcW w:w="5800" w:type="dxa"/>
            <w:tcBorders>
              <w:top w:val="nil"/>
              <w:left w:val="nil"/>
              <w:bottom w:val="nil"/>
              <w:right w:val="nil"/>
            </w:tcBorders>
            <w:tcMar>
              <w:top w:w="128" w:type="dxa"/>
              <w:left w:w="43" w:type="dxa"/>
              <w:bottom w:w="43" w:type="dxa"/>
              <w:right w:w="43" w:type="dxa"/>
            </w:tcMar>
          </w:tcPr>
          <w:p w14:paraId="530BD9A9" w14:textId="77777777" w:rsidR="00D60186" w:rsidRPr="00815696" w:rsidRDefault="00D60186" w:rsidP="00225D4D">
            <w:pPr>
              <w:rPr>
                <w:sz w:val="21"/>
                <w:szCs w:val="21"/>
              </w:rPr>
            </w:pPr>
            <w:r w:rsidRPr="00815696">
              <w:rPr>
                <w:sz w:val="21"/>
                <w:szCs w:val="21"/>
              </w:rPr>
              <w:t xml:space="preserve">Havvind – </w:t>
            </w:r>
            <w:proofErr w:type="spellStart"/>
            <w:r w:rsidRPr="00815696">
              <w:rPr>
                <w:sz w:val="21"/>
                <w:szCs w:val="21"/>
              </w:rPr>
              <w:t>opne</w:t>
            </w:r>
            <w:proofErr w:type="spellEnd"/>
            <w:r w:rsidRPr="00815696">
              <w:rPr>
                <w:sz w:val="21"/>
                <w:szCs w:val="21"/>
              </w:rPr>
              <w:t xml:space="preserve"> </w:t>
            </w:r>
            <w:proofErr w:type="spellStart"/>
            <w:r w:rsidRPr="00815696">
              <w:rPr>
                <w:sz w:val="21"/>
                <w:szCs w:val="21"/>
              </w:rPr>
              <w:t>eit</w:t>
            </w:r>
            <w:proofErr w:type="spellEnd"/>
            <w:r w:rsidRPr="00815696">
              <w:rPr>
                <w:sz w:val="21"/>
                <w:szCs w:val="21"/>
              </w:rPr>
              <w:t xml:space="preserve"> område i nord</w:t>
            </w:r>
          </w:p>
        </w:tc>
        <w:tc>
          <w:tcPr>
            <w:tcW w:w="1560" w:type="dxa"/>
            <w:tcBorders>
              <w:top w:val="nil"/>
              <w:left w:val="nil"/>
              <w:bottom w:val="nil"/>
              <w:right w:val="nil"/>
            </w:tcBorders>
            <w:tcMar>
              <w:top w:w="128" w:type="dxa"/>
              <w:left w:w="43" w:type="dxa"/>
              <w:bottom w:w="43" w:type="dxa"/>
              <w:right w:w="43" w:type="dxa"/>
            </w:tcMar>
            <w:vAlign w:val="bottom"/>
          </w:tcPr>
          <w:p w14:paraId="08AA0995" w14:textId="77777777" w:rsidR="00D60186" w:rsidRPr="00815696" w:rsidRDefault="00D60186" w:rsidP="00815696">
            <w:pPr>
              <w:jc w:val="right"/>
              <w:rPr>
                <w:sz w:val="21"/>
                <w:szCs w:val="21"/>
              </w:rPr>
            </w:pPr>
            <w:r w:rsidRPr="00815696">
              <w:rPr>
                <w:sz w:val="21"/>
                <w:szCs w:val="21"/>
              </w:rPr>
              <w:t>Nei</w:t>
            </w:r>
          </w:p>
        </w:tc>
      </w:tr>
      <w:tr w:rsidR="00E76DC8" w:rsidRPr="00225D4D" w14:paraId="40A7DF72"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34AF2345" w14:textId="77777777" w:rsidR="00D60186" w:rsidRPr="00815696" w:rsidRDefault="00D60186" w:rsidP="00225D4D">
            <w:pPr>
              <w:rPr>
                <w:sz w:val="21"/>
                <w:szCs w:val="21"/>
              </w:rPr>
            </w:pPr>
            <w:r w:rsidRPr="00815696">
              <w:rPr>
                <w:sz w:val="21"/>
                <w:szCs w:val="21"/>
              </w:rPr>
              <w:t>2023–2024</w:t>
            </w:r>
          </w:p>
        </w:tc>
        <w:tc>
          <w:tcPr>
            <w:tcW w:w="1060" w:type="dxa"/>
            <w:tcBorders>
              <w:top w:val="nil"/>
              <w:left w:val="nil"/>
              <w:bottom w:val="nil"/>
              <w:right w:val="nil"/>
            </w:tcBorders>
            <w:tcMar>
              <w:top w:w="128" w:type="dxa"/>
              <w:left w:w="43" w:type="dxa"/>
              <w:bottom w:w="43" w:type="dxa"/>
              <w:right w:w="43" w:type="dxa"/>
            </w:tcMar>
          </w:tcPr>
          <w:p w14:paraId="3DE8DAB8" w14:textId="77777777" w:rsidR="00D60186" w:rsidRPr="00815696" w:rsidRDefault="00D60186" w:rsidP="00815696">
            <w:pPr>
              <w:ind w:right="113"/>
              <w:jc w:val="right"/>
              <w:rPr>
                <w:sz w:val="21"/>
                <w:szCs w:val="21"/>
              </w:rPr>
            </w:pPr>
            <w:r w:rsidRPr="00815696">
              <w:rPr>
                <w:sz w:val="21"/>
                <w:szCs w:val="21"/>
              </w:rPr>
              <w:t>717</w:t>
            </w:r>
          </w:p>
        </w:tc>
        <w:tc>
          <w:tcPr>
            <w:tcW w:w="5800" w:type="dxa"/>
            <w:tcBorders>
              <w:top w:val="nil"/>
              <w:left w:val="nil"/>
              <w:bottom w:val="nil"/>
              <w:right w:val="nil"/>
            </w:tcBorders>
            <w:tcMar>
              <w:top w:w="128" w:type="dxa"/>
              <w:left w:w="43" w:type="dxa"/>
              <w:bottom w:w="43" w:type="dxa"/>
              <w:right w:w="43" w:type="dxa"/>
            </w:tcMar>
          </w:tcPr>
          <w:p w14:paraId="291B97B7" w14:textId="77777777" w:rsidR="00D60186" w:rsidRPr="00815696" w:rsidRDefault="00D60186" w:rsidP="00225D4D">
            <w:pPr>
              <w:rPr>
                <w:sz w:val="21"/>
                <w:szCs w:val="21"/>
              </w:rPr>
            </w:pPr>
            <w:r w:rsidRPr="00815696">
              <w:rPr>
                <w:sz w:val="21"/>
                <w:szCs w:val="21"/>
              </w:rPr>
              <w:t xml:space="preserve">Nye datasenter – utnytting av </w:t>
            </w:r>
            <w:proofErr w:type="spellStart"/>
            <w:r w:rsidRPr="00815696">
              <w:rPr>
                <w:sz w:val="21"/>
                <w:szCs w:val="21"/>
              </w:rPr>
              <w:t>spillvarme</w:t>
            </w:r>
            <w:proofErr w:type="spellEnd"/>
            <w:r w:rsidRPr="00815696">
              <w:rPr>
                <w:sz w:val="21"/>
                <w:szCs w:val="21"/>
              </w:rPr>
              <w:t xml:space="preserve"> og </w:t>
            </w:r>
            <w:proofErr w:type="spellStart"/>
            <w:r w:rsidRPr="00815696">
              <w:rPr>
                <w:sz w:val="21"/>
                <w:szCs w:val="21"/>
              </w:rPr>
              <w:t>eigenproduksjon</w:t>
            </w:r>
            <w:proofErr w:type="spellEnd"/>
            <w:r w:rsidRPr="00815696">
              <w:rPr>
                <w:sz w:val="21"/>
                <w:szCs w:val="21"/>
              </w:rPr>
              <w:t xml:space="preserve"> av energi- og </w:t>
            </w:r>
            <w:proofErr w:type="spellStart"/>
            <w:r w:rsidRPr="00815696">
              <w:rPr>
                <w:sz w:val="21"/>
                <w:szCs w:val="21"/>
              </w:rPr>
              <w:t>energilagringsløysingar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2981D47" w14:textId="77777777" w:rsidR="00D60186" w:rsidRPr="00815696" w:rsidRDefault="00D60186" w:rsidP="00815696">
            <w:pPr>
              <w:jc w:val="right"/>
              <w:rPr>
                <w:sz w:val="21"/>
                <w:szCs w:val="21"/>
              </w:rPr>
            </w:pPr>
            <w:r w:rsidRPr="00815696">
              <w:rPr>
                <w:sz w:val="21"/>
                <w:szCs w:val="21"/>
              </w:rPr>
              <w:t>Ja</w:t>
            </w:r>
          </w:p>
        </w:tc>
      </w:tr>
      <w:tr w:rsidR="00E76DC8" w:rsidRPr="00225D4D" w14:paraId="5C6CD935"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0333EA2A" w14:textId="77777777" w:rsidR="00D60186" w:rsidRPr="00815696" w:rsidRDefault="00D60186" w:rsidP="00225D4D">
            <w:pPr>
              <w:rPr>
                <w:sz w:val="21"/>
                <w:szCs w:val="21"/>
              </w:rPr>
            </w:pPr>
            <w:r w:rsidRPr="00815696">
              <w:rPr>
                <w:sz w:val="21"/>
                <w:szCs w:val="21"/>
              </w:rPr>
              <w:t>2023–2024</w:t>
            </w:r>
          </w:p>
        </w:tc>
        <w:tc>
          <w:tcPr>
            <w:tcW w:w="1060" w:type="dxa"/>
            <w:tcBorders>
              <w:top w:val="nil"/>
              <w:left w:val="nil"/>
              <w:bottom w:val="nil"/>
              <w:right w:val="nil"/>
            </w:tcBorders>
            <w:tcMar>
              <w:top w:w="128" w:type="dxa"/>
              <w:left w:w="43" w:type="dxa"/>
              <w:bottom w:w="43" w:type="dxa"/>
              <w:right w:w="43" w:type="dxa"/>
            </w:tcMar>
          </w:tcPr>
          <w:p w14:paraId="79AB0740" w14:textId="77777777" w:rsidR="00D60186" w:rsidRPr="00815696" w:rsidRDefault="00D60186" w:rsidP="00815696">
            <w:pPr>
              <w:ind w:right="113"/>
              <w:jc w:val="right"/>
              <w:rPr>
                <w:sz w:val="21"/>
                <w:szCs w:val="21"/>
              </w:rPr>
            </w:pPr>
            <w:r w:rsidRPr="00815696">
              <w:rPr>
                <w:sz w:val="21"/>
                <w:szCs w:val="21"/>
              </w:rPr>
              <w:t>910</w:t>
            </w:r>
          </w:p>
        </w:tc>
        <w:tc>
          <w:tcPr>
            <w:tcW w:w="5800" w:type="dxa"/>
            <w:tcBorders>
              <w:top w:val="nil"/>
              <w:left w:val="nil"/>
              <w:bottom w:val="nil"/>
              <w:right w:val="nil"/>
            </w:tcBorders>
            <w:tcMar>
              <w:top w:w="128" w:type="dxa"/>
              <w:left w:w="43" w:type="dxa"/>
              <w:bottom w:w="43" w:type="dxa"/>
              <w:right w:w="43" w:type="dxa"/>
            </w:tcMar>
          </w:tcPr>
          <w:p w14:paraId="314212B9" w14:textId="77777777" w:rsidR="00D60186" w:rsidRPr="00815696" w:rsidRDefault="00D60186" w:rsidP="00225D4D">
            <w:pPr>
              <w:rPr>
                <w:sz w:val="21"/>
                <w:szCs w:val="21"/>
              </w:rPr>
            </w:pPr>
            <w:proofErr w:type="spellStart"/>
            <w:r w:rsidRPr="00815696">
              <w:rPr>
                <w:sz w:val="21"/>
                <w:szCs w:val="21"/>
              </w:rPr>
              <w:t>Energipartnarskap</w:t>
            </w:r>
            <w:proofErr w:type="spellEnd"/>
            <w:r w:rsidRPr="00815696">
              <w:rPr>
                <w:sz w:val="21"/>
                <w:szCs w:val="21"/>
              </w:rPr>
              <w:t xml:space="preserve"> med olje- og gassnæringa</w:t>
            </w:r>
          </w:p>
        </w:tc>
        <w:tc>
          <w:tcPr>
            <w:tcW w:w="1560" w:type="dxa"/>
            <w:tcBorders>
              <w:top w:val="nil"/>
              <w:left w:val="nil"/>
              <w:bottom w:val="nil"/>
              <w:right w:val="nil"/>
            </w:tcBorders>
            <w:tcMar>
              <w:top w:w="128" w:type="dxa"/>
              <w:left w:w="43" w:type="dxa"/>
              <w:bottom w:w="43" w:type="dxa"/>
              <w:right w:w="43" w:type="dxa"/>
            </w:tcMar>
            <w:vAlign w:val="bottom"/>
          </w:tcPr>
          <w:p w14:paraId="4ED4FFF9" w14:textId="77777777" w:rsidR="00D60186" w:rsidRPr="00815696" w:rsidRDefault="00D60186" w:rsidP="00815696">
            <w:pPr>
              <w:jc w:val="right"/>
              <w:rPr>
                <w:sz w:val="21"/>
                <w:szCs w:val="21"/>
              </w:rPr>
            </w:pPr>
            <w:r w:rsidRPr="00815696">
              <w:rPr>
                <w:sz w:val="21"/>
                <w:szCs w:val="21"/>
              </w:rPr>
              <w:t>Ja</w:t>
            </w:r>
          </w:p>
        </w:tc>
      </w:tr>
      <w:tr w:rsidR="00E76DC8" w:rsidRPr="00225D4D" w14:paraId="220562A4"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56D5B9B8" w14:textId="77777777" w:rsidR="00D60186" w:rsidRPr="00815696" w:rsidRDefault="00D60186" w:rsidP="00225D4D">
            <w:pPr>
              <w:rPr>
                <w:sz w:val="21"/>
                <w:szCs w:val="21"/>
              </w:rPr>
            </w:pPr>
            <w:r w:rsidRPr="00815696">
              <w:rPr>
                <w:sz w:val="21"/>
                <w:szCs w:val="21"/>
              </w:rPr>
              <w:t>2023–2024</w:t>
            </w:r>
          </w:p>
        </w:tc>
        <w:tc>
          <w:tcPr>
            <w:tcW w:w="1060" w:type="dxa"/>
            <w:tcBorders>
              <w:top w:val="nil"/>
              <w:left w:val="nil"/>
              <w:bottom w:val="nil"/>
              <w:right w:val="nil"/>
            </w:tcBorders>
            <w:tcMar>
              <w:top w:w="128" w:type="dxa"/>
              <w:left w:w="43" w:type="dxa"/>
              <w:bottom w:w="43" w:type="dxa"/>
              <w:right w:w="43" w:type="dxa"/>
            </w:tcMar>
          </w:tcPr>
          <w:p w14:paraId="60429E29" w14:textId="77777777" w:rsidR="00D60186" w:rsidRPr="00815696" w:rsidRDefault="00D60186" w:rsidP="00815696">
            <w:pPr>
              <w:ind w:right="113"/>
              <w:jc w:val="right"/>
              <w:rPr>
                <w:sz w:val="21"/>
                <w:szCs w:val="21"/>
              </w:rPr>
            </w:pPr>
            <w:r w:rsidRPr="00815696">
              <w:rPr>
                <w:sz w:val="21"/>
                <w:szCs w:val="21"/>
              </w:rPr>
              <w:t>913</w:t>
            </w:r>
          </w:p>
        </w:tc>
        <w:tc>
          <w:tcPr>
            <w:tcW w:w="5800" w:type="dxa"/>
            <w:tcBorders>
              <w:top w:val="nil"/>
              <w:left w:val="nil"/>
              <w:bottom w:val="nil"/>
              <w:right w:val="nil"/>
            </w:tcBorders>
            <w:tcMar>
              <w:top w:w="128" w:type="dxa"/>
              <w:left w:w="43" w:type="dxa"/>
              <w:bottom w:w="43" w:type="dxa"/>
              <w:right w:w="43" w:type="dxa"/>
            </w:tcMar>
          </w:tcPr>
          <w:p w14:paraId="76BA6E52" w14:textId="77777777" w:rsidR="00D60186" w:rsidRPr="00815696" w:rsidRDefault="00D60186" w:rsidP="00225D4D">
            <w:pPr>
              <w:rPr>
                <w:sz w:val="21"/>
                <w:szCs w:val="21"/>
              </w:rPr>
            </w:pPr>
            <w:r w:rsidRPr="00815696">
              <w:rPr>
                <w:sz w:val="21"/>
                <w:szCs w:val="21"/>
              </w:rPr>
              <w:t xml:space="preserve">Fjerne konsesjonsplikt for </w:t>
            </w:r>
            <w:proofErr w:type="spellStart"/>
            <w:r w:rsidRPr="00815696">
              <w:rPr>
                <w:sz w:val="21"/>
                <w:szCs w:val="21"/>
              </w:rPr>
              <w:t>solparkar</w:t>
            </w:r>
            <w:proofErr w:type="spellEnd"/>
            <w:r w:rsidRPr="00815696">
              <w:rPr>
                <w:sz w:val="21"/>
                <w:szCs w:val="21"/>
              </w:rPr>
              <w:t xml:space="preserve"> opp til 10 MW</w:t>
            </w:r>
          </w:p>
        </w:tc>
        <w:tc>
          <w:tcPr>
            <w:tcW w:w="1560" w:type="dxa"/>
            <w:tcBorders>
              <w:top w:val="nil"/>
              <w:left w:val="nil"/>
              <w:bottom w:val="nil"/>
              <w:right w:val="nil"/>
            </w:tcBorders>
            <w:tcMar>
              <w:top w:w="128" w:type="dxa"/>
              <w:left w:w="43" w:type="dxa"/>
              <w:bottom w:w="43" w:type="dxa"/>
              <w:right w:w="43" w:type="dxa"/>
            </w:tcMar>
            <w:vAlign w:val="bottom"/>
          </w:tcPr>
          <w:p w14:paraId="6927416A" w14:textId="77777777" w:rsidR="00D60186" w:rsidRPr="00815696" w:rsidRDefault="00D60186" w:rsidP="00815696">
            <w:pPr>
              <w:jc w:val="right"/>
              <w:rPr>
                <w:sz w:val="21"/>
                <w:szCs w:val="21"/>
              </w:rPr>
            </w:pPr>
            <w:r w:rsidRPr="00815696">
              <w:rPr>
                <w:sz w:val="21"/>
                <w:szCs w:val="21"/>
              </w:rPr>
              <w:t>Ja</w:t>
            </w:r>
          </w:p>
        </w:tc>
      </w:tr>
      <w:tr w:rsidR="00E76DC8" w:rsidRPr="00225D4D" w14:paraId="2EF370CD"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43A5ECF8" w14:textId="77777777" w:rsidR="00D60186" w:rsidRPr="00815696" w:rsidRDefault="00D60186" w:rsidP="00225D4D">
            <w:pPr>
              <w:rPr>
                <w:sz w:val="21"/>
                <w:szCs w:val="21"/>
              </w:rPr>
            </w:pPr>
            <w:r w:rsidRPr="00815696">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4F80B332" w14:textId="77777777" w:rsidR="00D60186" w:rsidRPr="00815696" w:rsidRDefault="00D60186" w:rsidP="00815696">
            <w:pPr>
              <w:ind w:right="113"/>
              <w:jc w:val="right"/>
              <w:rPr>
                <w:sz w:val="21"/>
                <w:szCs w:val="21"/>
              </w:rPr>
            </w:pPr>
            <w:r w:rsidRPr="00815696">
              <w:rPr>
                <w:sz w:val="21"/>
                <w:szCs w:val="21"/>
              </w:rPr>
              <w:t>813</w:t>
            </w:r>
          </w:p>
        </w:tc>
        <w:tc>
          <w:tcPr>
            <w:tcW w:w="5800" w:type="dxa"/>
            <w:tcBorders>
              <w:top w:val="nil"/>
              <w:left w:val="nil"/>
              <w:bottom w:val="nil"/>
              <w:right w:val="nil"/>
            </w:tcBorders>
            <w:tcMar>
              <w:top w:w="128" w:type="dxa"/>
              <w:left w:w="43" w:type="dxa"/>
              <w:bottom w:w="43" w:type="dxa"/>
              <w:right w:w="43" w:type="dxa"/>
            </w:tcMar>
          </w:tcPr>
          <w:p w14:paraId="17675B7C" w14:textId="77777777" w:rsidR="00D60186" w:rsidRPr="00815696" w:rsidRDefault="00D60186" w:rsidP="00225D4D">
            <w:pPr>
              <w:rPr>
                <w:sz w:val="21"/>
                <w:szCs w:val="21"/>
              </w:rPr>
            </w:pPr>
            <w:r w:rsidRPr="00815696">
              <w:rPr>
                <w:sz w:val="21"/>
                <w:szCs w:val="21"/>
              </w:rPr>
              <w:t>Inkludere bakkemonterte solenergianlegg i plan- og bygningslova</w:t>
            </w:r>
          </w:p>
        </w:tc>
        <w:tc>
          <w:tcPr>
            <w:tcW w:w="1560" w:type="dxa"/>
            <w:tcBorders>
              <w:top w:val="nil"/>
              <w:left w:val="nil"/>
              <w:bottom w:val="nil"/>
              <w:right w:val="nil"/>
            </w:tcBorders>
            <w:tcMar>
              <w:top w:w="128" w:type="dxa"/>
              <w:left w:w="43" w:type="dxa"/>
              <w:bottom w:w="43" w:type="dxa"/>
              <w:right w:w="43" w:type="dxa"/>
            </w:tcMar>
            <w:vAlign w:val="bottom"/>
          </w:tcPr>
          <w:p w14:paraId="732D611C" w14:textId="77777777" w:rsidR="00D60186" w:rsidRPr="00815696" w:rsidRDefault="00D60186" w:rsidP="00815696">
            <w:pPr>
              <w:jc w:val="right"/>
              <w:rPr>
                <w:sz w:val="21"/>
                <w:szCs w:val="21"/>
              </w:rPr>
            </w:pPr>
            <w:r w:rsidRPr="00815696">
              <w:rPr>
                <w:sz w:val="21"/>
                <w:szCs w:val="21"/>
              </w:rPr>
              <w:t>Ja</w:t>
            </w:r>
          </w:p>
        </w:tc>
      </w:tr>
      <w:tr w:rsidR="00E76DC8" w:rsidRPr="00225D4D" w14:paraId="1A9D36D8"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4C3B253D" w14:textId="77777777" w:rsidR="00D60186" w:rsidRPr="00815696" w:rsidRDefault="00D60186" w:rsidP="00225D4D">
            <w:pPr>
              <w:rPr>
                <w:sz w:val="21"/>
                <w:szCs w:val="21"/>
              </w:rPr>
            </w:pPr>
            <w:r w:rsidRPr="00815696">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14107AEA" w14:textId="77777777" w:rsidR="00D60186" w:rsidRPr="00815696" w:rsidRDefault="00D60186" w:rsidP="00815696">
            <w:pPr>
              <w:ind w:right="113"/>
              <w:jc w:val="right"/>
              <w:rPr>
                <w:sz w:val="21"/>
                <w:szCs w:val="21"/>
              </w:rPr>
            </w:pPr>
            <w:r w:rsidRPr="00815696">
              <w:rPr>
                <w:sz w:val="21"/>
                <w:szCs w:val="21"/>
              </w:rPr>
              <w:t>841</w:t>
            </w:r>
          </w:p>
        </w:tc>
        <w:tc>
          <w:tcPr>
            <w:tcW w:w="5800" w:type="dxa"/>
            <w:tcBorders>
              <w:top w:val="nil"/>
              <w:left w:val="nil"/>
              <w:bottom w:val="nil"/>
              <w:right w:val="nil"/>
            </w:tcBorders>
            <w:tcMar>
              <w:top w:w="128" w:type="dxa"/>
              <w:left w:w="43" w:type="dxa"/>
              <w:bottom w:w="43" w:type="dxa"/>
              <w:right w:w="43" w:type="dxa"/>
            </w:tcMar>
          </w:tcPr>
          <w:p w14:paraId="5748301C" w14:textId="77777777" w:rsidR="00D60186" w:rsidRPr="00815696" w:rsidRDefault="00D60186" w:rsidP="00225D4D">
            <w:pPr>
              <w:rPr>
                <w:sz w:val="21"/>
                <w:szCs w:val="21"/>
              </w:rPr>
            </w:pPr>
            <w:r w:rsidRPr="00815696">
              <w:rPr>
                <w:sz w:val="21"/>
                <w:szCs w:val="21"/>
              </w:rPr>
              <w:t xml:space="preserve">Havvind – </w:t>
            </w:r>
            <w:proofErr w:type="spellStart"/>
            <w:r w:rsidRPr="00815696">
              <w:rPr>
                <w:sz w:val="21"/>
                <w:szCs w:val="21"/>
              </w:rPr>
              <w:t>auka</w:t>
            </w:r>
            <w:proofErr w:type="spellEnd"/>
            <w:r w:rsidRPr="00815696">
              <w:rPr>
                <w:sz w:val="21"/>
                <w:szCs w:val="21"/>
              </w:rPr>
              <w:t xml:space="preserve"> vekting av </w:t>
            </w:r>
            <w:proofErr w:type="spellStart"/>
            <w:r w:rsidRPr="00815696">
              <w:rPr>
                <w:sz w:val="21"/>
                <w:szCs w:val="21"/>
              </w:rPr>
              <w:t>berekraftskriteria</w:t>
            </w:r>
            <w:proofErr w:type="spellEnd"/>
            <w:r w:rsidRPr="00815696">
              <w:rPr>
                <w:sz w:val="21"/>
                <w:szCs w:val="21"/>
              </w:rPr>
              <w:t xml:space="preserve"> og positive lokale ringverknader</w:t>
            </w:r>
          </w:p>
        </w:tc>
        <w:tc>
          <w:tcPr>
            <w:tcW w:w="1560" w:type="dxa"/>
            <w:tcBorders>
              <w:top w:val="nil"/>
              <w:left w:val="nil"/>
              <w:bottom w:val="nil"/>
              <w:right w:val="nil"/>
            </w:tcBorders>
            <w:tcMar>
              <w:top w:w="128" w:type="dxa"/>
              <w:left w:w="43" w:type="dxa"/>
              <w:bottom w:w="43" w:type="dxa"/>
              <w:right w:w="43" w:type="dxa"/>
            </w:tcMar>
            <w:vAlign w:val="bottom"/>
          </w:tcPr>
          <w:p w14:paraId="076A787E" w14:textId="77777777" w:rsidR="00D60186" w:rsidRPr="00815696" w:rsidRDefault="00D60186" w:rsidP="00815696">
            <w:pPr>
              <w:jc w:val="right"/>
              <w:rPr>
                <w:sz w:val="21"/>
                <w:szCs w:val="21"/>
              </w:rPr>
            </w:pPr>
            <w:r w:rsidRPr="00815696">
              <w:rPr>
                <w:sz w:val="21"/>
                <w:szCs w:val="21"/>
              </w:rPr>
              <w:t>Ja</w:t>
            </w:r>
          </w:p>
        </w:tc>
      </w:tr>
      <w:tr w:rsidR="00E76DC8" w:rsidRPr="00225D4D" w14:paraId="22BB4D48"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1C4DB15F" w14:textId="77777777" w:rsidR="00D60186" w:rsidRPr="00815696" w:rsidRDefault="00D60186" w:rsidP="00225D4D">
            <w:pPr>
              <w:rPr>
                <w:sz w:val="21"/>
                <w:szCs w:val="21"/>
              </w:rPr>
            </w:pPr>
            <w:r w:rsidRPr="00815696">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6B9A4620" w14:textId="77777777" w:rsidR="00D60186" w:rsidRPr="00815696" w:rsidRDefault="00D60186" w:rsidP="00815696">
            <w:pPr>
              <w:ind w:right="113"/>
              <w:jc w:val="right"/>
              <w:rPr>
                <w:sz w:val="21"/>
                <w:szCs w:val="21"/>
              </w:rPr>
            </w:pPr>
            <w:r w:rsidRPr="00815696">
              <w:rPr>
                <w:sz w:val="21"/>
                <w:szCs w:val="21"/>
              </w:rPr>
              <w:t>923</w:t>
            </w:r>
          </w:p>
        </w:tc>
        <w:tc>
          <w:tcPr>
            <w:tcW w:w="5800" w:type="dxa"/>
            <w:tcBorders>
              <w:top w:val="nil"/>
              <w:left w:val="nil"/>
              <w:bottom w:val="nil"/>
              <w:right w:val="nil"/>
            </w:tcBorders>
            <w:tcMar>
              <w:top w:w="128" w:type="dxa"/>
              <w:left w:w="43" w:type="dxa"/>
              <w:bottom w:w="43" w:type="dxa"/>
              <w:right w:w="43" w:type="dxa"/>
            </w:tcMar>
          </w:tcPr>
          <w:p w14:paraId="188137CF" w14:textId="77777777" w:rsidR="00D60186" w:rsidRPr="00815696" w:rsidRDefault="00D60186" w:rsidP="00225D4D">
            <w:pPr>
              <w:rPr>
                <w:sz w:val="21"/>
                <w:szCs w:val="21"/>
              </w:rPr>
            </w:pPr>
            <w:r w:rsidRPr="00815696">
              <w:rPr>
                <w:sz w:val="21"/>
                <w:szCs w:val="21"/>
              </w:rPr>
              <w:t xml:space="preserve">Solenergi – mål om 8 </w:t>
            </w:r>
            <w:proofErr w:type="spellStart"/>
            <w:r w:rsidRPr="00815696">
              <w:rPr>
                <w:sz w:val="21"/>
                <w:szCs w:val="21"/>
              </w:rPr>
              <w:t>TWh</w:t>
            </w:r>
            <w:proofErr w:type="spellEnd"/>
            <w:r w:rsidRPr="00815696">
              <w:rPr>
                <w:sz w:val="21"/>
                <w:szCs w:val="21"/>
              </w:rPr>
              <w:t xml:space="preserve"> </w:t>
            </w:r>
            <w:proofErr w:type="spellStart"/>
            <w:r w:rsidRPr="00815696">
              <w:rPr>
                <w:sz w:val="21"/>
                <w:szCs w:val="21"/>
              </w:rPr>
              <w:t>innan</w:t>
            </w:r>
            <w:proofErr w:type="spellEnd"/>
            <w:r w:rsidRPr="00815696">
              <w:rPr>
                <w:sz w:val="21"/>
                <w:szCs w:val="21"/>
              </w:rPr>
              <w:t xml:space="preserve"> 2030</w:t>
            </w:r>
          </w:p>
        </w:tc>
        <w:tc>
          <w:tcPr>
            <w:tcW w:w="1560" w:type="dxa"/>
            <w:tcBorders>
              <w:top w:val="nil"/>
              <w:left w:val="nil"/>
              <w:bottom w:val="nil"/>
              <w:right w:val="nil"/>
            </w:tcBorders>
            <w:tcMar>
              <w:top w:w="128" w:type="dxa"/>
              <w:left w:w="43" w:type="dxa"/>
              <w:bottom w:w="43" w:type="dxa"/>
              <w:right w:w="43" w:type="dxa"/>
            </w:tcMar>
            <w:vAlign w:val="bottom"/>
          </w:tcPr>
          <w:p w14:paraId="3046AF2E" w14:textId="77777777" w:rsidR="00D60186" w:rsidRPr="00815696" w:rsidRDefault="00D60186" w:rsidP="00815696">
            <w:pPr>
              <w:jc w:val="right"/>
              <w:rPr>
                <w:sz w:val="21"/>
                <w:szCs w:val="21"/>
              </w:rPr>
            </w:pPr>
            <w:r w:rsidRPr="00815696">
              <w:rPr>
                <w:sz w:val="21"/>
                <w:szCs w:val="21"/>
              </w:rPr>
              <w:t>Ja</w:t>
            </w:r>
          </w:p>
        </w:tc>
      </w:tr>
      <w:tr w:rsidR="00E76DC8" w:rsidRPr="00225D4D" w14:paraId="30BDFAD2"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06908745" w14:textId="77777777" w:rsidR="00D60186" w:rsidRPr="00815696" w:rsidRDefault="00D60186" w:rsidP="00225D4D">
            <w:pPr>
              <w:rPr>
                <w:sz w:val="21"/>
                <w:szCs w:val="21"/>
              </w:rPr>
            </w:pPr>
            <w:r w:rsidRPr="00815696">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71A219CF" w14:textId="77777777" w:rsidR="00D60186" w:rsidRPr="00815696" w:rsidRDefault="00D60186" w:rsidP="00815696">
            <w:pPr>
              <w:ind w:right="113"/>
              <w:jc w:val="right"/>
              <w:rPr>
                <w:sz w:val="21"/>
                <w:szCs w:val="21"/>
              </w:rPr>
            </w:pPr>
            <w:r w:rsidRPr="00815696">
              <w:rPr>
                <w:sz w:val="21"/>
                <w:szCs w:val="21"/>
              </w:rPr>
              <w:t>924</w:t>
            </w:r>
          </w:p>
        </w:tc>
        <w:tc>
          <w:tcPr>
            <w:tcW w:w="5800" w:type="dxa"/>
            <w:tcBorders>
              <w:top w:val="nil"/>
              <w:left w:val="nil"/>
              <w:bottom w:val="nil"/>
              <w:right w:val="nil"/>
            </w:tcBorders>
            <w:tcMar>
              <w:top w:w="128" w:type="dxa"/>
              <w:left w:w="43" w:type="dxa"/>
              <w:bottom w:w="43" w:type="dxa"/>
              <w:right w:w="43" w:type="dxa"/>
            </w:tcMar>
          </w:tcPr>
          <w:p w14:paraId="72C51FCB" w14:textId="77777777" w:rsidR="00D60186" w:rsidRPr="00815696" w:rsidRDefault="00D60186" w:rsidP="00225D4D">
            <w:pPr>
              <w:rPr>
                <w:sz w:val="21"/>
                <w:szCs w:val="21"/>
              </w:rPr>
            </w:pPr>
            <w:r w:rsidRPr="00815696">
              <w:rPr>
                <w:sz w:val="21"/>
                <w:szCs w:val="21"/>
              </w:rPr>
              <w:t xml:space="preserve">Solkraft – deling med </w:t>
            </w:r>
            <w:proofErr w:type="spellStart"/>
            <w:r w:rsidRPr="00815696">
              <w:rPr>
                <w:sz w:val="21"/>
                <w:szCs w:val="21"/>
              </w:rPr>
              <w:t>høgare</w:t>
            </w:r>
            <w:proofErr w:type="spellEnd"/>
            <w:r w:rsidRPr="00815696">
              <w:rPr>
                <w:sz w:val="21"/>
                <w:szCs w:val="21"/>
              </w:rPr>
              <w:t xml:space="preserve"> grense enn 1 MW</w:t>
            </w:r>
          </w:p>
        </w:tc>
        <w:tc>
          <w:tcPr>
            <w:tcW w:w="1560" w:type="dxa"/>
            <w:tcBorders>
              <w:top w:val="nil"/>
              <w:left w:val="nil"/>
              <w:bottom w:val="nil"/>
              <w:right w:val="nil"/>
            </w:tcBorders>
            <w:tcMar>
              <w:top w:w="128" w:type="dxa"/>
              <w:left w:w="43" w:type="dxa"/>
              <w:bottom w:w="43" w:type="dxa"/>
              <w:right w:w="43" w:type="dxa"/>
            </w:tcMar>
            <w:vAlign w:val="bottom"/>
          </w:tcPr>
          <w:p w14:paraId="0F61A9DB" w14:textId="77777777" w:rsidR="00D60186" w:rsidRPr="00815696" w:rsidRDefault="00D60186" w:rsidP="00815696">
            <w:pPr>
              <w:jc w:val="right"/>
              <w:rPr>
                <w:sz w:val="21"/>
                <w:szCs w:val="21"/>
              </w:rPr>
            </w:pPr>
            <w:r w:rsidRPr="00815696">
              <w:rPr>
                <w:sz w:val="21"/>
                <w:szCs w:val="21"/>
              </w:rPr>
              <w:t>Ja</w:t>
            </w:r>
          </w:p>
        </w:tc>
      </w:tr>
      <w:tr w:rsidR="00E76DC8" w:rsidRPr="00225D4D" w14:paraId="2D173EAE"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034C0FFA" w14:textId="77777777" w:rsidR="00D60186" w:rsidRPr="00815696" w:rsidRDefault="00D60186" w:rsidP="00225D4D">
            <w:pPr>
              <w:rPr>
                <w:sz w:val="21"/>
                <w:szCs w:val="21"/>
              </w:rPr>
            </w:pPr>
            <w:r w:rsidRPr="00815696">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180D9A74" w14:textId="77777777" w:rsidR="00D60186" w:rsidRPr="00815696" w:rsidRDefault="00D60186" w:rsidP="00815696">
            <w:pPr>
              <w:ind w:right="113"/>
              <w:jc w:val="right"/>
              <w:rPr>
                <w:sz w:val="21"/>
                <w:szCs w:val="21"/>
              </w:rPr>
            </w:pPr>
            <w:r w:rsidRPr="00815696">
              <w:rPr>
                <w:sz w:val="21"/>
                <w:szCs w:val="21"/>
              </w:rPr>
              <w:t>925</w:t>
            </w:r>
          </w:p>
        </w:tc>
        <w:tc>
          <w:tcPr>
            <w:tcW w:w="5800" w:type="dxa"/>
            <w:tcBorders>
              <w:top w:val="nil"/>
              <w:left w:val="nil"/>
              <w:bottom w:val="nil"/>
              <w:right w:val="nil"/>
            </w:tcBorders>
            <w:tcMar>
              <w:top w:w="128" w:type="dxa"/>
              <w:left w:w="43" w:type="dxa"/>
              <w:bottom w:w="43" w:type="dxa"/>
              <w:right w:w="43" w:type="dxa"/>
            </w:tcMar>
          </w:tcPr>
          <w:p w14:paraId="5CEB0332" w14:textId="77777777" w:rsidR="00D60186" w:rsidRPr="00815696" w:rsidRDefault="00D60186" w:rsidP="00225D4D">
            <w:pPr>
              <w:rPr>
                <w:sz w:val="21"/>
                <w:szCs w:val="21"/>
              </w:rPr>
            </w:pPr>
            <w:proofErr w:type="spellStart"/>
            <w:r w:rsidRPr="00815696">
              <w:rPr>
                <w:sz w:val="21"/>
                <w:szCs w:val="21"/>
              </w:rPr>
              <w:t>Solenergiparkar</w:t>
            </w:r>
            <w:proofErr w:type="spellEnd"/>
            <w:r w:rsidRPr="00815696">
              <w:rPr>
                <w:sz w:val="21"/>
                <w:szCs w:val="21"/>
              </w:rPr>
              <w:t xml:space="preserve"> – fjerne konsesjonsplikt for enkeltprosjekt med lågt konfliktnivå</w:t>
            </w:r>
          </w:p>
        </w:tc>
        <w:tc>
          <w:tcPr>
            <w:tcW w:w="1560" w:type="dxa"/>
            <w:tcBorders>
              <w:top w:val="nil"/>
              <w:left w:val="nil"/>
              <w:bottom w:val="nil"/>
              <w:right w:val="nil"/>
            </w:tcBorders>
            <w:tcMar>
              <w:top w:w="128" w:type="dxa"/>
              <w:left w:w="43" w:type="dxa"/>
              <w:bottom w:w="43" w:type="dxa"/>
              <w:right w:w="43" w:type="dxa"/>
            </w:tcMar>
            <w:vAlign w:val="bottom"/>
          </w:tcPr>
          <w:p w14:paraId="3EE688B4" w14:textId="77777777" w:rsidR="00D60186" w:rsidRPr="00815696" w:rsidRDefault="00D60186" w:rsidP="00815696">
            <w:pPr>
              <w:jc w:val="right"/>
              <w:rPr>
                <w:sz w:val="21"/>
                <w:szCs w:val="21"/>
              </w:rPr>
            </w:pPr>
            <w:r w:rsidRPr="00815696">
              <w:rPr>
                <w:sz w:val="21"/>
                <w:szCs w:val="21"/>
              </w:rPr>
              <w:t>Ja</w:t>
            </w:r>
          </w:p>
        </w:tc>
      </w:tr>
      <w:tr w:rsidR="00E76DC8" w:rsidRPr="00225D4D" w14:paraId="591D8E36"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6FCC5227" w14:textId="77777777" w:rsidR="00D60186" w:rsidRPr="00815696" w:rsidRDefault="00D60186" w:rsidP="00225D4D">
            <w:pPr>
              <w:rPr>
                <w:sz w:val="21"/>
                <w:szCs w:val="21"/>
              </w:rPr>
            </w:pPr>
            <w:r w:rsidRPr="00815696">
              <w:rPr>
                <w:sz w:val="21"/>
                <w:szCs w:val="21"/>
              </w:rPr>
              <w:t>2022–2023</w:t>
            </w:r>
          </w:p>
        </w:tc>
        <w:tc>
          <w:tcPr>
            <w:tcW w:w="1060" w:type="dxa"/>
            <w:tcBorders>
              <w:top w:val="nil"/>
              <w:left w:val="nil"/>
              <w:bottom w:val="nil"/>
              <w:right w:val="nil"/>
            </w:tcBorders>
            <w:tcMar>
              <w:top w:w="128" w:type="dxa"/>
              <w:left w:w="43" w:type="dxa"/>
              <w:bottom w:w="43" w:type="dxa"/>
              <w:right w:w="43" w:type="dxa"/>
            </w:tcMar>
          </w:tcPr>
          <w:p w14:paraId="0C78A42C" w14:textId="77777777" w:rsidR="00D60186" w:rsidRPr="00815696" w:rsidRDefault="00D60186" w:rsidP="00815696">
            <w:pPr>
              <w:ind w:right="113"/>
              <w:jc w:val="right"/>
              <w:rPr>
                <w:sz w:val="21"/>
                <w:szCs w:val="21"/>
              </w:rPr>
            </w:pPr>
            <w:r w:rsidRPr="00815696">
              <w:rPr>
                <w:sz w:val="21"/>
                <w:szCs w:val="21"/>
              </w:rPr>
              <w:t>926</w:t>
            </w:r>
          </w:p>
        </w:tc>
        <w:tc>
          <w:tcPr>
            <w:tcW w:w="5800" w:type="dxa"/>
            <w:tcBorders>
              <w:top w:val="nil"/>
              <w:left w:val="nil"/>
              <w:bottom w:val="nil"/>
              <w:right w:val="nil"/>
            </w:tcBorders>
            <w:tcMar>
              <w:top w:w="128" w:type="dxa"/>
              <w:left w:w="43" w:type="dxa"/>
              <w:bottom w:w="43" w:type="dxa"/>
              <w:right w:w="43" w:type="dxa"/>
            </w:tcMar>
          </w:tcPr>
          <w:p w14:paraId="0B3EE529" w14:textId="77777777" w:rsidR="00D60186" w:rsidRPr="00815696" w:rsidRDefault="00D60186" w:rsidP="00225D4D">
            <w:pPr>
              <w:rPr>
                <w:sz w:val="21"/>
                <w:szCs w:val="21"/>
              </w:rPr>
            </w:pPr>
            <w:proofErr w:type="spellStart"/>
            <w:r w:rsidRPr="00815696">
              <w:rPr>
                <w:sz w:val="21"/>
                <w:szCs w:val="21"/>
              </w:rPr>
              <w:t>Solenergiparkar</w:t>
            </w:r>
            <w:proofErr w:type="spellEnd"/>
            <w:r w:rsidRPr="00815696">
              <w:rPr>
                <w:sz w:val="21"/>
                <w:szCs w:val="21"/>
              </w:rPr>
              <w:t xml:space="preserve"> – fjerne konsesjonsplikt opp til 1 MW</w:t>
            </w:r>
          </w:p>
        </w:tc>
        <w:tc>
          <w:tcPr>
            <w:tcW w:w="1560" w:type="dxa"/>
            <w:tcBorders>
              <w:top w:val="nil"/>
              <w:left w:val="nil"/>
              <w:bottom w:val="nil"/>
              <w:right w:val="nil"/>
            </w:tcBorders>
            <w:tcMar>
              <w:top w:w="128" w:type="dxa"/>
              <w:left w:w="43" w:type="dxa"/>
              <w:bottom w:w="43" w:type="dxa"/>
              <w:right w:w="43" w:type="dxa"/>
            </w:tcMar>
            <w:vAlign w:val="bottom"/>
          </w:tcPr>
          <w:p w14:paraId="06E9F9B7" w14:textId="77777777" w:rsidR="00D60186" w:rsidRPr="00815696" w:rsidRDefault="00D60186" w:rsidP="00815696">
            <w:pPr>
              <w:jc w:val="right"/>
              <w:rPr>
                <w:sz w:val="21"/>
                <w:szCs w:val="21"/>
              </w:rPr>
            </w:pPr>
            <w:r w:rsidRPr="00815696">
              <w:rPr>
                <w:sz w:val="21"/>
                <w:szCs w:val="21"/>
              </w:rPr>
              <w:t>Ja</w:t>
            </w:r>
          </w:p>
        </w:tc>
      </w:tr>
      <w:tr w:rsidR="00E76DC8" w:rsidRPr="00225D4D" w14:paraId="16B5423F"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5DE59850" w14:textId="77777777" w:rsidR="00D60186" w:rsidRPr="00815696" w:rsidRDefault="00D60186" w:rsidP="00225D4D">
            <w:pPr>
              <w:rPr>
                <w:sz w:val="21"/>
                <w:szCs w:val="21"/>
              </w:rPr>
            </w:pPr>
            <w:r w:rsidRPr="00815696">
              <w:rPr>
                <w:sz w:val="21"/>
                <w:szCs w:val="21"/>
              </w:rPr>
              <w:t>2021–2022</w:t>
            </w:r>
          </w:p>
        </w:tc>
        <w:tc>
          <w:tcPr>
            <w:tcW w:w="1060" w:type="dxa"/>
            <w:tcBorders>
              <w:top w:val="nil"/>
              <w:left w:val="nil"/>
              <w:bottom w:val="nil"/>
              <w:right w:val="nil"/>
            </w:tcBorders>
            <w:tcMar>
              <w:top w:w="128" w:type="dxa"/>
              <w:left w:w="43" w:type="dxa"/>
              <w:bottom w:w="43" w:type="dxa"/>
              <w:right w:w="43" w:type="dxa"/>
            </w:tcMar>
          </w:tcPr>
          <w:p w14:paraId="4C112814" w14:textId="77777777" w:rsidR="00D60186" w:rsidRPr="00815696" w:rsidRDefault="00D60186" w:rsidP="00815696">
            <w:pPr>
              <w:ind w:right="113"/>
              <w:jc w:val="right"/>
              <w:rPr>
                <w:sz w:val="21"/>
                <w:szCs w:val="21"/>
              </w:rPr>
            </w:pPr>
            <w:r w:rsidRPr="00815696">
              <w:rPr>
                <w:sz w:val="21"/>
                <w:szCs w:val="21"/>
              </w:rPr>
              <w:t>703</w:t>
            </w:r>
          </w:p>
        </w:tc>
        <w:tc>
          <w:tcPr>
            <w:tcW w:w="5800" w:type="dxa"/>
            <w:tcBorders>
              <w:top w:val="nil"/>
              <w:left w:val="nil"/>
              <w:bottom w:val="nil"/>
              <w:right w:val="nil"/>
            </w:tcBorders>
            <w:tcMar>
              <w:top w:w="128" w:type="dxa"/>
              <w:left w:w="43" w:type="dxa"/>
              <w:bottom w:w="43" w:type="dxa"/>
              <w:right w:w="43" w:type="dxa"/>
            </w:tcMar>
          </w:tcPr>
          <w:p w14:paraId="493B5A23" w14:textId="77777777" w:rsidR="00D60186" w:rsidRPr="00815696" w:rsidRDefault="00D60186" w:rsidP="00225D4D">
            <w:pPr>
              <w:rPr>
                <w:sz w:val="21"/>
                <w:szCs w:val="21"/>
              </w:rPr>
            </w:pPr>
            <w:r w:rsidRPr="00815696">
              <w:rPr>
                <w:sz w:val="21"/>
                <w:szCs w:val="21"/>
              </w:rPr>
              <w:t>Havvind – tildeling av areal</w:t>
            </w:r>
          </w:p>
        </w:tc>
        <w:tc>
          <w:tcPr>
            <w:tcW w:w="1560" w:type="dxa"/>
            <w:tcBorders>
              <w:top w:val="nil"/>
              <w:left w:val="nil"/>
              <w:bottom w:val="nil"/>
              <w:right w:val="nil"/>
            </w:tcBorders>
            <w:tcMar>
              <w:top w:w="128" w:type="dxa"/>
              <w:left w:w="43" w:type="dxa"/>
              <w:bottom w:w="43" w:type="dxa"/>
              <w:right w:w="43" w:type="dxa"/>
            </w:tcMar>
            <w:vAlign w:val="bottom"/>
          </w:tcPr>
          <w:p w14:paraId="04FDC683" w14:textId="77777777" w:rsidR="00D60186" w:rsidRPr="00815696" w:rsidRDefault="00D60186" w:rsidP="00815696">
            <w:pPr>
              <w:jc w:val="right"/>
              <w:rPr>
                <w:sz w:val="21"/>
                <w:szCs w:val="21"/>
              </w:rPr>
            </w:pPr>
            <w:r w:rsidRPr="00815696">
              <w:rPr>
                <w:sz w:val="21"/>
                <w:szCs w:val="21"/>
              </w:rPr>
              <w:t>Ja</w:t>
            </w:r>
          </w:p>
        </w:tc>
      </w:tr>
      <w:tr w:rsidR="00E76DC8" w:rsidRPr="00225D4D" w14:paraId="4A94A7C6" w14:textId="77777777" w:rsidTr="00814879">
        <w:trPr>
          <w:trHeight w:val="20"/>
        </w:trPr>
        <w:tc>
          <w:tcPr>
            <w:tcW w:w="1120" w:type="dxa"/>
            <w:tcBorders>
              <w:top w:val="nil"/>
              <w:left w:val="nil"/>
              <w:bottom w:val="nil"/>
              <w:right w:val="nil"/>
            </w:tcBorders>
            <w:tcMar>
              <w:top w:w="128" w:type="dxa"/>
              <w:left w:w="43" w:type="dxa"/>
              <w:bottom w:w="43" w:type="dxa"/>
              <w:right w:w="43" w:type="dxa"/>
            </w:tcMar>
          </w:tcPr>
          <w:p w14:paraId="42BB1645" w14:textId="77777777" w:rsidR="00D60186" w:rsidRPr="00815696" w:rsidRDefault="00D60186" w:rsidP="00225D4D">
            <w:pPr>
              <w:rPr>
                <w:sz w:val="21"/>
                <w:szCs w:val="21"/>
              </w:rPr>
            </w:pPr>
            <w:r w:rsidRPr="00815696">
              <w:rPr>
                <w:sz w:val="21"/>
                <w:szCs w:val="21"/>
              </w:rPr>
              <w:t>2021–2022</w:t>
            </w:r>
          </w:p>
        </w:tc>
        <w:tc>
          <w:tcPr>
            <w:tcW w:w="1060" w:type="dxa"/>
            <w:tcBorders>
              <w:top w:val="nil"/>
              <w:left w:val="nil"/>
              <w:bottom w:val="nil"/>
              <w:right w:val="nil"/>
            </w:tcBorders>
            <w:tcMar>
              <w:top w:w="128" w:type="dxa"/>
              <w:left w:w="43" w:type="dxa"/>
              <w:bottom w:w="43" w:type="dxa"/>
              <w:right w:w="43" w:type="dxa"/>
            </w:tcMar>
          </w:tcPr>
          <w:p w14:paraId="1E52356D" w14:textId="77777777" w:rsidR="00D60186" w:rsidRPr="00815696" w:rsidRDefault="00D60186" w:rsidP="00815696">
            <w:pPr>
              <w:ind w:right="113"/>
              <w:jc w:val="right"/>
              <w:rPr>
                <w:sz w:val="21"/>
                <w:szCs w:val="21"/>
              </w:rPr>
            </w:pPr>
            <w:r w:rsidRPr="00815696">
              <w:rPr>
                <w:sz w:val="21"/>
                <w:szCs w:val="21"/>
              </w:rPr>
              <w:t>716</w:t>
            </w:r>
          </w:p>
        </w:tc>
        <w:tc>
          <w:tcPr>
            <w:tcW w:w="5800" w:type="dxa"/>
            <w:tcBorders>
              <w:top w:val="nil"/>
              <w:left w:val="nil"/>
              <w:bottom w:val="nil"/>
              <w:right w:val="nil"/>
            </w:tcBorders>
            <w:tcMar>
              <w:top w:w="128" w:type="dxa"/>
              <w:left w:w="43" w:type="dxa"/>
              <w:bottom w:w="43" w:type="dxa"/>
              <w:right w:w="43" w:type="dxa"/>
            </w:tcMar>
          </w:tcPr>
          <w:p w14:paraId="52D860B3" w14:textId="77777777" w:rsidR="00D60186" w:rsidRPr="00815696" w:rsidRDefault="00D60186" w:rsidP="00225D4D">
            <w:pPr>
              <w:rPr>
                <w:sz w:val="21"/>
                <w:szCs w:val="21"/>
              </w:rPr>
            </w:pPr>
            <w:r w:rsidRPr="00815696">
              <w:rPr>
                <w:sz w:val="21"/>
                <w:szCs w:val="21"/>
              </w:rPr>
              <w:t xml:space="preserve">Havvind – vurdere å fastsette delmål for arealtildeling </w:t>
            </w:r>
            <w:proofErr w:type="spellStart"/>
            <w:r w:rsidRPr="00815696">
              <w:rPr>
                <w:sz w:val="21"/>
                <w:szCs w:val="21"/>
              </w:rPr>
              <w:t>innan</w:t>
            </w:r>
            <w:proofErr w:type="spellEnd"/>
            <w:r w:rsidRPr="00815696">
              <w:rPr>
                <w:sz w:val="21"/>
                <w:szCs w:val="21"/>
              </w:rPr>
              <w:t xml:space="preserve"> 2030</w:t>
            </w:r>
          </w:p>
        </w:tc>
        <w:tc>
          <w:tcPr>
            <w:tcW w:w="1560" w:type="dxa"/>
            <w:tcBorders>
              <w:top w:val="nil"/>
              <w:left w:val="nil"/>
              <w:bottom w:val="nil"/>
              <w:right w:val="nil"/>
            </w:tcBorders>
            <w:tcMar>
              <w:top w:w="128" w:type="dxa"/>
              <w:left w:w="43" w:type="dxa"/>
              <w:bottom w:w="43" w:type="dxa"/>
              <w:right w:w="43" w:type="dxa"/>
            </w:tcMar>
            <w:vAlign w:val="bottom"/>
          </w:tcPr>
          <w:p w14:paraId="5202A584" w14:textId="77777777" w:rsidR="00D60186" w:rsidRPr="00815696" w:rsidRDefault="00D60186" w:rsidP="00815696">
            <w:pPr>
              <w:jc w:val="right"/>
              <w:rPr>
                <w:sz w:val="21"/>
                <w:szCs w:val="21"/>
              </w:rPr>
            </w:pPr>
            <w:r w:rsidRPr="00815696">
              <w:rPr>
                <w:sz w:val="21"/>
                <w:szCs w:val="21"/>
              </w:rPr>
              <w:t>Ja</w:t>
            </w:r>
          </w:p>
        </w:tc>
      </w:tr>
      <w:tr w:rsidR="00E76DC8" w:rsidRPr="00225D4D" w14:paraId="05881CD2" w14:textId="77777777" w:rsidTr="00814879">
        <w:trPr>
          <w:trHeight w:val="20"/>
        </w:trPr>
        <w:tc>
          <w:tcPr>
            <w:tcW w:w="1120" w:type="dxa"/>
            <w:tcBorders>
              <w:top w:val="nil"/>
              <w:left w:val="nil"/>
              <w:bottom w:val="single" w:sz="4" w:space="0" w:color="000000"/>
              <w:right w:val="nil"/>
            </w:tcBorders>
            <w:tcMar>
              <w:top w:w="128" w:type="dxa"/>
              <w:left w:w="43" w:type="dxa"/>
              <w:bottom w:w="43" w:type="dxa"/>
              <w:right w:w="43" w:type="dxa"/>
            </w:tcMar>
          </w:tcPr>
          <w:p w14:paraId="43F52335" w14:textId="77777777" w:rsidR="00D60186" w:rsidRPr="00815696" w:rsidRDefault="00D60186" w:rsidP="00225D4D">
            <w:pPr>
              <w:rPr>
                <w:sz w:val="21"/>
                <w:szCs w:val="21"/>
              </w:rPr>
            </w:pPr>
            <w:r w:rsidRPr="00815696">
              <w:rPr>
                <w:sz w:val="21"/>
                <w:szCs w:val="21"/>
              </w:rPr>
              <w:t>2021–2022</w:t>
            </w:r>
          </w:p>
        </w:tc>
        <w:tc>
          <w:tcPr>
            <w:tcW w:w="1060" w:type="dxa"/>
            <w:tcBorders>
              <w:top w:val="nil"/>
              <w:left w:val="nil"/>
              <w:bottom w:val="single" w:sz="4" w:space="0" w:color="000000"/>
              <w:right w:val="nil"/>
            </w:tcBorders>
            <w:tcMar>
              <w:top w:w="128" w:type="dxa"/>
              <w:left w:w="43" w:type="dxa"/>
              <w:bottom w:w="43" w:type="dxa"/>
              <w:right w:w="43" w:type="dxa"/>
            </w:tcMar>
          </w:tcPr>
          <w:p w14:paraId="2E547EA6" w14:textId="77777777" w:rsidR="00D60186" w:rsidRPr="00815696" w:rsidRDefault="00D60186" w:rsidP="00815696">
            <w:pPr>
              <w:ind w:right="113"/>
              <w:jc w:val="right"/>
              <w:rPr>
                <w:sz w:val="21"/>
                <w:szCs w:val="21"/>
              </w:rPr>
            </w:pPr>
            <w:r w:rsidRPr="00815696">
              <w:rPr>
                <w:sz w:val="21"/>
                <w:szCs w:val="21"/>
              </w:rPr>
              <w:t>727</w:t>
            </w:r>
          </w:p>
        </w:tc>
        <w:tc>
          <w:tcPr>
            <w:tcW w:w="5800" w:type="dxa"/>
            <w:tcBorders>
              <w:top w:val="nil"/>
              <w:left w:val="nil"/>
              <w:bottom w:val="single" w:sz="4" w:space="0" w:color="000000"/>
              <w:right w:val="nil"/>
            </w:tcBorders>
            <w:tcMar>
              <w:top w:w="128" w:type="dxa"/>
              <w:left w:w="43" w:type="dxa"/>
              <w:bottom w:w="43" w:type="dxa"/>
              <w:right w:w="43" w:type="dxa"/>
            </w:tcMar>
          </w:tcPr>
          <w:p w14:paraId="7A8B6A56" w14:textId="77777777" w:rsidR="00D60186" w:rsidRPr="00815696" w:rsidRDefault="00D60186" w:rsidP="00225D4D">
            <w:pPr>
              <w:rPr>
                <w:sz w:val="21"/>
                <w:szCs w:val="21"/>
              </w:rPr>
            </w:pPr>
            <w:r w:rsidRPr="00815696">
              <w:rPr>
                <w:sz w:val="21"/>
                <w:szCs w:val="21"/>
              </w:rPr>
              <w:t xml:space="preserve">Mål om </w:t>
            </w:r>
            <w:proofErr w:type="spellStart"/>
            <w:r w:rsidRPr="00815696">
              <w:rPr>
                <w:sz w:val="21"/>
                <w:szCs w:val="21"/>
              </w:rPr>
              <w:t>auka</w:t>
            </w:r>
            <w:proofErr w:type="spellEnd"/>
            <w:r w:rsidRPr="00815696">
              <w:rPr>
                <w:sz w:val="21"/>
                <w:szCs w:val="21"/>
              </w:rPr>
              <w:t xml:space="preserve"> energisparing – greie ut ulike </w:t>
            </w:r>
            <w:proofErr w:type="spellStart"/>
            <w:r w:rsidRPr="00815696">
              <w:rPr>
                <w:sz w:val="21"/>
                <w:szCs w:val="21"/>
              </w:rPr>
              <w:t>ordningar</w:t>
            </w:r>
            <w:proofErr w:type="spellEnd"/>
            <w:r w:rsidRPr="00815696">
              <w:rPr>
                <w:sz w:val="21"/>
                <w:szCs w:val="21"/>
              </w:rPr>
              <w:t xml:space="preserve"> med </w:t>
            </w:r>
            <w:r w:rsidRPr="00815696">
              <w:rPr>
                <w:sz w:val="21"/>
                <w:szCs w:val="21"/>
              </w:rPr>
              <w:br/>
              <w:t>energisparesertifikat</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517B62BF" w14:textId="77777777" w:rsidR="00D60186" w:rsidRPr="00815696" w:rsidRDefault="00D60186" w:rsidP="00815696">
            <w:pPr>
              <w:jc w:val="right"/>
              <w:rPr>
                <w:sz w:val="21"/>
                <w:szCs w:val="21"/>
              </w:rPr>
            </w:pPr>
            <w:r w:rsidRPr="00815696">
              <w:rPr>
                <w:sz w:val="21"/>
                <w:szCs w:val="21"/>
              </w:rPr>
              <w:t>Ja</w:t>
            </w:r>
          </w:p>
        </w:tc>
      </w:tr>
    </w:tbl>
    <w:p w14:paraId="4158696B" w14:textId="77777777" w:rsidR="00D60186" w:rsidRPr="00225D4D" w:rsidRDefault="00D60186" w:rsidP="00815696">
      <w:pPr>
        <w:pStyle w:val="Overskrift2"/>
        <w:numPr>
          <w:ilvl w:val="1"/>
          <w:numId w:val="30"/>
        </w:numPr>
      </w:pPr>
      <w:r w:rsidRPr="00225D4D">
        <w:t>Stortingssesjon 2024–2025</w:t>
      </w:r>
    </w:p>
    <w:p w14:paraId="77D105AF" w14:textId="77777777" w:rsidR="00D60186" w:rsidRPr="00225D4D" w:rsidRDefault="00D60186" w:rsidP="00225D4D">
      <w:pPr>
        <w:pStyle w:val="avsnitt-tittel"/>
      </w:pPr>
      <w:proofErr w:type="spellStart"/>
      <w:r w:rsidRPr="00225D4D">
        <w:t>Strengare</w:t>
      </w:r>
      <w:proofErr w:type="spellEnd"/>
      <w:r w:rsidRPr="00225D4D">
        <w:t xml:space="preserve"> krav om utnytting av </w:t>
      </w:r>
      <w:proofErr w:type="spellStart"/>
      <w:r w:rsidRPr="00225D4D">
        <w:t>spillvarme</w:t>
      </w:r>
      <w:proofErr w:type="spellEnd"/>
    </w:p>
    <w:p w14:paraId="28D40648" w14:textId="77777777" w:rsidR="00D60186" w:rsidRPr="00225D4D" w:rsidRDefault="00D60186" w:rsidP="00225D4D">
      <w:pPr>
        <w:pStyle w:val="avsnitt-undertittel"/>
      </w:pPr>
      <w:r w:rsidRPr="00225D4D">
        <w:t>Vedtak 78, 5. desember 2024</w:t>
      </w:r>
    </w:p>
    <w:p w14:paraId="6901CDCC" w14:textId="77777777" w:rsidR="00D60186" w:rsidRPr="00225D4D" w:rsidRDefault="00D60186" w:rsidP="00225D4D">
      <w:pPr>
        <w:pStyle w:val="blokksit"/>
      </w:pPr>
      <w:r w:rsidRPr="00225D4D">
        <w:t>«</w:t>
      </w:r>
      <w:r w:rsidRPr="00225D4D">
        <w:rPr>
          <w:rStyle w:val="kursiv"/>
        </w:rPr>
        <w:t xml:space="preserve">Stortinget ber regjeringen stille strengere krav om at </w:t>
      </w:r>
      <w:proofErr w:type="spellStart"/>
      <w:r w:rsidRPr="00225D4D">
        <w:rPr>
          <w:rStyle w:val="kursiv"/>
        </w:rPr>
        <w:t>spillvarme</w:t>
      </w:r>
      <w:proofErr w:type="spellEnd"/>
      <w:r w:rsidRPr="00225D4D">
        <w:rPr>
          <w:rStyle w:val="kursiv"/>
        </w:rPr>
        <w:t xml:space="preserve"> utnyttes fra prosesser som </w:t>
      </w:r>
      <w:proofErr w:type="gramStart"/>
      <w:r w:rsidRPr="00225D4D">
        <w:rPr>
          <w:rStyle w:val="kursiv"/>
        </w:rPr>
        <w:t>avgir</w:t>
      </w:r>
      <w:proofErr w:type="gramEnd"/>
      <w:r w:rsidRPr="00225D4D">
        <w:rPr>
          <w:rStyle w:val="kursiv"/>
        </w:rPr>
        <w:t xml:space="preserve"> mye varme, for eksempel fra industrianlegg, avfallsforbrenning, datasentre, hydrogenproduksjon og energiproduksjonsanlegg der det ligger til rette for dette, og komme tilbake til Stortinget så raskt som mulig.</w:t>
      </w:r>
      <w:r w:rsidRPr="00225D4D">
        <w:t>»</w:t>
      </w:r>
    </w:p>
    <w:p w14:paraId="0540FC8E" w14:textId="77777777" w:rsidR="00D60186" w:rsidRPr="00225D4D" w:rsidRDefault="00D60186" w:rsidP="00225D4D">
      <w:r w:rsidRPr="00225D4D">
        <w:t xml:space="preserve">Dokumenta som ligg til grunn for vedtaket er Dokument 8:176 S (2023–2024) og </w:t>
      </w:r>
      <w:proofErr w:type="spellStart"/>
      <w:r w:rsidRPr="00225D4D">
        <w:t>Innst</w:t>
      </w:r>
      <w:proofErr w:type="spellEnd"/>
      <w:r w:rsidRPr="00225D4D">
        <w:t>. 64 S (2024–2025).</w:t>
      </w:r>
    </w:p>
    <w:p w14:paraId="29258737" w14:textId="77777777" w:rsidR="00D60186" w:rsidRPr="00225D4D" w:rsidRDefault="00D60186" w:rsidP="00225D4D">
      <w:r w:rsidRPr="00225D4D">
        <w:t xml:space="preserve">I 2023 blei det fastsett krav i energilova om å gjennomføre kost-nytteanalyse for </w:t>
      </w:r>
      <w:proofErr w:type="spellStart"/>
      <w:r w:rsidRPr="00225D4D">
        <w:t>aktørar</w:t>
      </w:r>
      <w:proofErr w:type="spellEnd"/>
      <w:r w:rsidRPr="00225D4D">
        <w:t xml:space="preserve"> som bygger eller oppgraderer anlegg med stort energibehov, med sikte på å utnytte </w:t>
      </w:r>
      <w:proofErr w:type="spellStart"/>
      <w:r w:rsidRPr="00225D4D">
        <w:t>overskotsvarme</w:t>
      </w:r>
      <w:proofErr w:type="spellEnd"/>
      <w:r w:rsidRPr="00225D4D">
        <w:t xml:space="preserve">. Departementet har konkretisert </w:t>
      </w:r>
      <w:proofErr w:type="spellStart"/>
      <w:r w:rsidRPr="00225D4D">
        <w:t>reglane</w:t>
      </w:r>
      <w:proofErr w:type="spellEnd"/>
      <w:r w:rsidRPr="00225D4D">
        <w:t xml:space="preserve"> i </w:t>
      </w:r>
      <w:r w:rsidRPr="00225D4D">
        <w:rPr>
          <w:rStyle w:val="kursiv"/>
        </w:rPr>
        <w:t>forskrift om kost-nytteanalyse av mulighetene for å utnytte overskuddsvarme</w:t>
      </w:r>
      <w:r w:rsidRPr="00225D4D">
        <w:t xml:space="preserve"> (forskrift om </w:t>
      </w:r>
      <w:proofErr w:type="spellStart"/>
      <w:r w:rsidRPr="00225D4D">
        <w:t>overskotsvarme</w:t>
      </w:r>
      <w:proofErr w:type="spellEnd"/>
      <w:r w:rsidRPr="00225D4D">
        <w:t xml:space="preserve">), som </w:t>
      </w:r>
      <w:proofErr w:type="gramStart"/>
      <w:r w:rsidRPr="00225D4D">
        <w:t>trådde</w:t>
      </w:r>
      <w:proofErr w:type="gramEnd"/>
      <w:r w:rsidRPr="00225D4D">
        <w:t xml:space="preserve"> i kraft 1. april 2025. Forskrifta </w:t>
      </w:r>
      <w:proofErr w:type="spellStart"/>
      <w:r w:rsidRPr="00225D4D">
        <w:t>omfattar</w:t>
      </w:r>
      <w:proofErr w:type="spellEnd"/>
      <w:r w:rsidRPr="00225D4D">
        <w:t xml:space="preserve"> mellom anna industrianlegg og anlegg for energiproduksjon med over 20 MW tilført varmeeffekt, datasenter med over 2 MW tilført elektrisk effekt, og andre anlegg med tilført elektrisk effekt på over 20 MW. Etter </w:t>
      </w:r>
      <w:proofErr w:type="spellStart"/>
      <w:r w:rsidRPr="00225D4D">
        <w:t>gjeldande</w:t>
      </w:r>
      <w:proofErr w:type="spellEnd"/>
      <w:r w:rsidRPr="00225D4D">
        <w:t xml:space="preserve"> regelverk kan NVE – for </w:t>
      </w:r>
      <w:proofErr w:type="spellStart"/>
      <w:r w:rsidRPr="00225D4D">
        <w:t>utvalde</w:t>
      </w:r>
      <w:proofErr w:type="spellEnd"/>
      <w:r w:rsidRPr="00225D4D">
        <w:t xml:space="preserve"> anlegg – </w:t>
      </w:r>
      <w:proofErr w:type="spellStart"/>
      <w:r w:rsidRPr="00225D4D">
        <w:t>gjere</w:t>
      </w:r>
      <w:proofErr w:type="spellEnd"/>
      <w:r w:rsidRPr="00225D4D">
        <w:t xml:space="preserve"> enkeltvedtak om at </w:t>
      </w:r>
      <w:proofErr w:type="spellStart"/>
      <w:r w:rsidRPr="00225D4D">
        <w:t>eit</w:t>
      </w:r>
      <w:proofErr w:type="spellEnd"/>
      <w:r w:rsidRPr="00225D4D">
        <w:t xml:space="preserve"> anlegg </w:t>
      </w:r>
      <w:proofErr w:type="spellStart"/>
      <w:r w:rsidRPr="00225D4D">
        <w:t>ikkje</w:t>
      </w:r>
      <w:proofErr w:type="spellEnd"/>
      <w:r w:rsidRPr="00225D4D">
        <w:t xml:space="preserve"> kan </w:t>
      </w:r>
      <w:proofErr w:type="spellStart"/>
      <w:r w:rsidRPr="00225D4D">
        <w:t>byggast</w:t>
      </w:r>
      <w:proofErr w:type="spellEnd"/>
      <w:r w:rsidRPr="00225D4D">
        <w:t xml:space="preserve"> eller </w:t>
      </w:r>
      <w:proofErr w:type="spellStart"/>
      <w:r w:rsidRPr="00225D4D">
        <w:t>oppgraderast</w:t>
      </w:r>
      <w:proofErr w:type="spellEnd"/>
      <w:r w:rsidRPr="00225D4D">
        <w:t xml:space="preserve"> </w:t>
      </w:r>
      <w:proofErr w:type="spellStart"/>
      <w:r w:rsidRPr="00225D4D">
        <w:t>utan</w:t>
      </w:r>
      <w:proofErr w:type="spellEnd"/>
      <w:r w:rsidRPr="00225D4D">
        <w:t xml:space="preserve"> at </w:t>
      </w:r>
      <w:proofErr w:type="spellStart"/>
      <w:r w:rsidRPr="00225D4D">
        <w:t>overskotsvarmen</w:t>
      </w:r>
      <w:proofErr w:type="spellEnd"/>
      <w:r w:rsidRPr="00225D4D">
        <w:t xml:space="preserve"> blir utnytta.</w:t>
      </w:r>
    </w:p>
    <w:p w14:paraId="1FC1023A" w14:textId="77777777" w:rsidR="00D60186" w:rsidRPr="00225D4D" w:rsidRDefault="00D60186" w:rsidP="00225D4D">
      <w:r w:rsidRPr="00225D4D">
        <w:t xml:space="preserve">Departementet har også greidd ut om det er grunnlag for å stille </w:t>
      </w:r>
      <w:proofErr w:type="spellStart"/>
      <w:r w:rsidRPr="00225D4D">
        <w:t>strengare</w:t>
      </w:r>
      <w:proofErr w:type="spellEnd"/>
      <w:r w:rsidRPr="00225D4D">
        <w:t xml:space="preserve"> krav til utnytting av </w:t>
      </w:r>
      <w:proofErr w:type="spellStart"/>
      <w:r w:rsidRPr="00225D4D">
        <w:t>overskotsvarme</w:t>
      </w:r>
      <w:proofErr w:type="spellEnd"/>
      <w:r w:rsidRPr="00225D4D">
        <w:t xml:space="preserve">. I september 2025 sende departementet ut </w:t>
      </w:r>
      <w:proofErr w:type="spellStart"/>
      <w:r w:rsidRPr="00225D4D">
        <w:t>eit</w:t>
      </w:r>
      <w:proofErr w:type="spellEnd"/>
      <w:r w:rsidRPr="00225D4D">
        <w:t xml:space="preserve"> </w:t>
      </w:r>
      <w:proofErr w:type="spellStart"/>
      <w:r w:rsidRPr="00225D4D">
        <w:t>høyringsforslag</w:t>
      </w:r>
      <w:proofErr w:type="spellEnd"/>
      <w:r w:rsidRPr="00225D4D">
        <w:t xml:space="preserve"> om </w:t>
      </w:r>
      <w:proofErr w:type="spellStart"/>
      <w:r w:rsidRPr="00225D4D">
        <w:t>endringar</w:t>
      </w:r>
      <w:proofErr w:type="spellEnd"/>
      <w:r w:rsidRPr="00225D4D">
        <w:t xml:space="preserve"> i energilova §§ 7-2 til 7-4 som </w:t>
      </w:r>
      <w:proofErr w:type="spellStart"/>
      <w:r w:rsidRPr="00225D4D">
        <w:t>skjerpar</w:t>
      </w:r>
      <w:proofErr w:type="spellEnd"/>
      <w:r w:rsidRPr="00225D4D">
        <w:t xml:space="preserve"> krava til utnytting av </w:t>
      </w:r>
      <w:proofErr w:type="spellStart"/>
      <w:r w:rsidRPr="00225D4D">
        <w:t>overskotsvarme</w:t>
      </w:r>
      <w:proofErr w:type="spellEnd"/>
      <w:r w:rsidRPr="00225D4D">
        <w:t>.</w:t>
      </w:r>
    </w:p>
    <w:p w14:paraId="4A7F3C38" w14:textId="77777777" w:rsidR="00D60186" w:rsidRPr="00225D4D" w:rsidRDefault="00D60186" w:rsidP="00225D4D">
      <w:r w:rsidRPr="00225D4D">
        <w:t xml:space="preserve">Departementet meiner at det ligg til rette for å utnytte </w:t>
      </w:r>
      <w:proofErr w:type="spellStart"/>
      <w:r w:rsidRPr="00225D4D">
        <w:t>overskotsvarme</w:t>
      </w:r>
      <w:proofErr w:type="spellEnd"/>
      <w:r w:rsidRPr="00225D4D">
        <w:t xml:space="preserve"> dersom </w:t>
      </w:r>
      <w:proofErr w:type="spellStart"/>
      <w:r w:rsidRPr="00225D4D">
        <w:t>fordelane</w:t>
      </w:r>
      <w:proofErr w:type="spellEnd"/>
      <w:r w:rsidRPr="00225D4D">
        <w:t xml:space="preserve"> er større enn kostnadene, og foreslår å innføre </w:t>
      </w:r>
      <w:proofErr w:type="spellStart"/>
      <w:r w:rsidRPr="00225D4D">
        <w:t>ein</w:t>
      </w:r>
      <w:proofErr w:type="spellEnd"/>
      <w:r w:rsidRPr="00225D4D">
        <w:t xml:space="preserve"> </w:t>
      </w:r>
      <w:proofErr w:type="spellStart"/>
      <w:r w:rsidRPr="00225D4D">
        <w:t>hovudregel</w:t>
      </w:r>
      <w:proofErr w:type="spellEnd"/>
      <w:r w:rsidRPr="00225D4D">
        <w:t xml:space="preserve"> om at </w:t>
      </w:r>
      <w:proofErr w:type="spellStart"/>
      <w:r w:rsidRPr="00225D4D">
        <w:t>overskotsvarmen</w:t>
      </w:r>
      <w:proofErr w:type="spellEnd"/>
      <w:r w:rsidRPr="00225D4D">
        <w:t xml:space="preserve"> skal </w:t>
      </w:r>
      <w:proofErr w:type="spellStart"/>
      <w:r w:rsidRPr="00225D4D">
        <w:t>utnyttast</w:t>
      </w:r>
      <w:proofErr w:type="spellEnd"/>
      <w:r w:rsidRPr="00225D4D">
        <w:t xml:space="preserve"> i slike tilfelle. I dag kan NVE pålegge utnytting for </w:t>
      </w:r>
      <w:proofErr w:type="spellStart"/>
      <w:r w:rsidRPr="00225D4D">
        <w:t>utvalde</w:t>
      </w:r>
      <w:proofErr w:type="spellEnd"/>
      <w:r w:rsidRPr="00225D4D">
        <w:t xml:space="preserve"> anlegg, men </w:t>
      </w:r>
      <w:proofErr w:type="spellStart"/>
      <w:r w:rsidRPr="00225D4D">
        <w:t>ikkje</w:t>
      </w:r>
      <w:proofErr w:type="spellEnd"/>
      <w:r w:rsidRPr="00225D4D">
        <w:t xml:space="preserve"> for datasenter og andre anlegg med tilført elektrisk effekt. I tillegg foreslår departementet å senke effektgrensene for </w:t>
      </w:r>
      <w:proofErr w:type="spellStart"/>
      <w:r w:rsidRPr="00225D4D">
        <w:t>kva</w:t>
      </w:r>
      <w:proofErr w:type="spellEnd"/>
      <w:r w:rsidRPr="00225D4D">
        <w:t xml:space="preserve"> anlegg som blir omfatta av </w:t>
      </w:r>
      <w:proofErr w:type="spellStart"/>
      <w:r w:rsidRPr="00225D4D">
        <w:t>reglane</w:t>
      </w:r>
      <w:proofErr w:type="spellEnd"/>
      <w:r w:rsidRPr="00225D4D">
        <w:t xml:space="preserve">. Departementet foreslår å senke grensa </w:t>
      </w:r>
      <w:proofErr w:type="spellStart"/>
      <w:r w:rsidRPr="00225D4D">
        <w:t>frå</w:t>
      </w:r>
      <w:proofErr w:type="spellEnd"/>
      <w:r w:rsidRPr="00225D4D">
        <w:t xml:space="preserve"> 20 MW til 10 MW for termiske kraftverk, </w:t>
      </w:r>
      <w:proofErr w:type="spellStart"/>
      <w:r w:rsidRPr="00225D4D">
        <w:t>frå</w:t>
      </w:r>
      <w:proofErr w:type="spellEnd"/>
      <w:r w:rsidRPr="00225D4D">
        <w:t xml:space="preserve"> 20 MW til 8 MW for industrianlegg, </w:t>
      </w:r>
      <w:proofErr w:type="spellStart"/>
      <w:r w:rsidRPr="00225D4D">
        <w:t>frå</w:t>
      </w:r>
      <w:proofErr w:type="spellEnd"/>
      <w:r w:rsidRPr="00225D4D">
        <w:t xml:space="preserve"> 2 MW til 1 MW for datasenter og </w:t>
      </w:r>
      <w:proofErr w:type="spellStart"/>
      <w:r w:rsidRPr="00225D4D">
        <w:t>frå</w:t>
      </w:r>
      <w:proofErr w:type="spellEnd"/>
      <w:r w:rsidRPr="00225D4D">
        <w:t xml:space="preserve"> 20 MW til 7 MW for andre anlegg. </w:t>
      </w:r>
      <w:proofErr w:type="spellStart"/>
      <w:r w:rsidRPr="00225D4D">
        <w:t>Vidare</w:t>
      </w:r>
      <w:proofErr w:type="spellEnd"/>
      <w:r w:rsidRPr="00225D4D">
        <w:t xml:space="preserve"> foreslår departementet at kost-nytteanalysen også skal omfatte ei vurdering av å dekke eige varmebehov med </w:t>
      </w:r>
      <w:proofErr w:type="spellStart"/>
      <w:r w:rsidRPr="00225D4D">
        <w:t>overskotsvarme</w:t>
      </w:r>
      <w:proofErr w:type="spellEnd"/>
      <w:r w:rsidRPr="00225D4D">
        <w:t xml:space="preserve"> </w:t>
      </w:r>
      <w:proofErr w:type="spellStart"/>
      <w:r w:rsidRPr="00225D4D">
        <w:t>frå</w:t>
      </w:r>
      <w:proofErr w:type="spellEnd"/>
      <w:r w:rsidRPr="00225D4D">
        <w:t xml:space="preserve"> eiga </w:t>
      </w:r>
      <w:proofErr w:type="spellStart"/>
      <w:r w:rsidRPr="00225D4D">
        <w:t>verksemd</w:t>
      </w:r>
      <w:proofErr w:type="spellEnd"/>
      <w:r w:rsidRPr="00225D4D">
        <w:t xml:space="preserve"> og </w:t>
      </w:r>
      <w:proofErr w:type="spellStart"/>
      <w:r w:rsidRPr="00225D4D">
        <w:t>frå</w:t>
      </w:r>
      <w:proofErr w:type="spellEnd"/>
      <w:r w:rsidRPr="00225D4D">
        <w:t xml:space="preserve"> </w:t>
      </w:r>
      <w:proofErr w:type="spellStart"/>
      <w:r w:rsidRPr="00225D4D">
        <w:t>nærliggande</w:t>
      </w:r>
      <w:proofErr w:type="spellEnd"/>
      <w:r w:rsidRPr="00225D4D">
        <w:t xml:space="preserve"> anlegg og datasenter.</w:t>
      </w:r>
    </w:p>
    <w:p w14:paraId="0E35FF52" w14:textId="77777777" w:rsidR="00D60186" w:rsidRPr="00225D4D" w:rsidRDefault="00D60186" w:rsidP="00225D4D">
      <w:r w:rsidRPr="00225D4D">
        <w:t xml:space="preserve">Forslaga til </w:t>
      </w:r>
      <w:proofErr w:type="spellStart"/>
      <w:r w:rsidRPr="00225D4D">
        <w:t>endringar</w:t>
      </w:r>
      <w:proofErr w:type="spellEnd"/>
      <w:r w:rsidRPr="00225D4D">
        <w:t xml:space="preserve"> </w:t>
      </w:r>
      <w:proofErr w:type="spellStart"/>
      <w:r w:rsidRPr="00225D4D">
        <w:t>inneber</w:t>
      </w:r>
      <w:proofErr w:type="spellEnd"/>
      <w:r w:rsidRPr="00225D4D">
        <w:t xml:space="preserve"> at </w:t>
      </w:r>
      <w:proofErr w:type="spellStart"/>
      <w:r w:rsidRPr="00225D4D">
        <w:t>fleire</w:t>
      </w:r>
      <w:proofErr w:type="spellEnd"/>
      <w:r w:rsidRPr="00225D4D">
        <w:t xml:space="preserve"> anlegg fell inn under krava, og at ulike energikjelder blir </w:t>
      </w:r>
      <w:proofErr w:type="spellStart"/>
      <w:r w:rsidRPr="00225D4D">
        <w:t>meir</w:t>
      </w:r>
      <w:proofErr w:type="spellEnd"/>
      <w:r w:rsidRPr="00225D4D">
        <w:t xml:space="preserve"> likestilte enn </w:t>
      </w:r>
      <w:proofErr w:type="spellStart"/>
      <w:r w:rsidRPr="00225D4D">
        <w:t>dei</w:t>
      </w:r>
      <w:proofErr w:type="spellEnd"/>
      <w:r w:rsidRPr="00225D4D">
        <w:t xml:space="preserve"> er i dag. </w:t>
      </w:r>
      <w:proofErr w:type="spellStart"/>
      <w:r w:rsidRPr="00225D4D">
        <w:t>Høyringsforslaget</w:t>
      </w:r>
      <w:proofErr w:type="spellEnd"/>
      <w:r w:rsidRPr="00225D4D">
        <w:t xml:space="preserve"> om utnytting av </w:t>
      </w:r>
      <w:proofErr w:type="spellStart"/>
      <w:r w:rsidRPr="00225D4D">
        <w:t>overskotsvarme</w:t>
      </w:r>
      <w:proofErr w:type="spellEnd"/>
      <w:r w:rsidRPr="00225D4D">
        <w:t xml:space="preserve"> er </w:t>
      </w:r>
      <w:proofErr w:type="spellStart"/>
      <w:r w:rsidRPr="00225D4D">
        <w:t>nærmare</w:t>
      </w:r>
      <w:proofErr w:type="spellEnd"/>
      <w:r w:rsidRPr="00225D4D">
        <w:t xml:space="preserve"> omtalt i kapittel 10.2 </w:t>
      </w:r>
      <w:proofErr w:type="spellStart"/>
      <w:r w:rsidRPr="00225D4D">
        <w:t>Verkemiddel</w:t>
      </w:r>
      <w:proofErr w:type="spellEnd"/>
      <w:r w:rsidRPr="00225D4D">
        <w:t xml:space="preserve"> retta mot industri, næringsliv og det </w:t>
      </w:r>
      <w:proofErr w:type="spellStart"/>
      <w:r w:rsidRPr="00225D4D">
        <w:t>offentlege</w:t>
      </w:r>
      <w:proofErr w:type="spellEnd"/>
      <w:r w:rsidRPr="00225D4D">
        <w:t xml:space="preserve"> i del III av proposisjonen.</w:t>
      </w:r>
    </w:p>
    <w:p w14:paraId="4890B180" w14:textId="77777777" w:rsidR="00D60186" w:rsidRPr="00225D4D" w:rsidRDefault="00D60186" w:rsidP="00225D4D">
      <w:r w:rsidRPr="00225D4D">
        <w:t xml:space="preserve">Departementet </w:t>
      </w:r>
      <w:proofErr w:type="spellStart"/>
      <w:r w:rsidRPr="00225D4D">
        <w:t>reknar</w:t>
      </w:r>
      <w:proofErr w:type="spellEnd"/>
      <w:r w:rsidRPr="00225D4D">
        <w:t xml:space="preserve"> rapporteringa på dette oppmodingsvedtaket som avslutta.</w:t>
      </w:r>
    </w:p>
    <w:p w14:paraId="71F644A1" w14:textId="77777777" w:rsidR="00D60186" w:rsidRPr="00225D4D" w:rsidRDefault="00D60186" w:rsidP="00225D4D">
      <w:pPr>
        <w:pStyle w:val="avsnitt-tittel"/>
      </w:pPr>
      <w:r w:rsidRPr="00225D4D">
        <w:t>Vegkart for CO</w:t>
      </w:r>
      <w:r w:rsidRPr="00225D4D">
        <w:rPr>
          <w:rStyle w:val="skrift-senket"/>
        </w:rPr>
        <w:t>2</w:t>
      </w:r>
      <w:r w:rsidRPr="00225D4D">
        <w:t xml:space="preserve">-handtering </w:t>
      </w:r>
      <w:proofErr w:type="spellStart"/>
      <w:r w:rsidRPr="00225D4D">
        <w:t>frå</w:t>
      </w:r>
      <w:proofErr w:type="spellEnd"/>
      <w:r w:rsidRPr="00225D4D">
        <w:t xml:space="preserve"> industri- og avfallshandtering</w:t>
      </w:r>
    </w:p>
    <w:p w14:paraId="0FB3B91F" w14:textId="77777777" w:rsidR="00D60186" w:rsidRPr="00225D4D" w:rsidRDefault="00D60186" w:rsidP="00225D4D">
      <w:pPr>
        <w:pStyle w:val="avsnitt-undertittel"/>
      </w:pPr>
      <w:r w:rsidRPr="00225D4D">
        <w:t>Vedtak 90, 5. desember 2024</w:t>
      </w:r>
    </w:p>
    <w:p w14:paraId="7CD18BA3" w14:textId="77777777" w:rsidR="00D60186" w:rsidRPr="00225D4D" w:rsidRDefault="00D60186" w:rsidP="00225D4D">
      <w:pPr>
        <w:pStyle w:val="blokksit"/>
      </w:pPr>
      <w:r w:rsidRPr="00225D4D">
        <w:t>«</w:t>
      </w:r>
      <w:r w:rsidRPr="00225D4D">
        <w:rPr>
          <w:rStyle w:val="kursiv"/>
        </w:rPr>
        <w:t>Stortinget ber regjeringen gi Gassnova et tilleggsoppdrag til det pågående arbeidet med et veikart for CO</w:t>
      </w:r>
      <w:r w:rsidRPr="00225D4D">
        <w:rPr>
          <w:rStyle w:val="skrift-senket"/>
        </w:rPr>
        <w:t>2</w:t>
      </w:r>
      <w:r w:rsidRPr="00225D4D">
        <w:rPr>
          <w:rStyle w:val="kursiv"/>
        </w:rPr>
        <w:t>-håndtering fra industri- og avfallshåndtering. Tilleggsoppdraget skal legge opp til at Gassnova, sammen med Siva og andre aktuelle virkemiddelaktører, innen juni 2025 utreder barrierer og legger frem en plan for utvikling av regionale industriklynger med fellesløsninger for fangst, transport og lagring av CO</w:t>
      </w:r>
      <w:r w:rsidRPr="00225D4D">
        <w:rPr>
          <w:rStyle w:val="skrift-senket"/>
        </w:rPr>
        <w:t>2</w:t>
      </w:r>
      <w:r w:rsidRPr="00225D4D">
        <w:rPr>
          <w:rStyle w:val="kursiv"/>
        </w:rPr>
        <w:t>. Det skal vurderes om det er behov for statlig koordinert anskaffelse av transport- og lagertjenester for å få tilstrekkelig volum til å kunne utløse flere norske prosjekter for fangst av CO</w:t>
      </w:r>
      <w:r w:rsidRPr="00225D4D">
        <w:rPr>
          <w:rStyle w:val="skrift-senket"/>
        </w:rPr>
        <w:t>2</w:t>
      </w:r>
      <w:r w:rsidRPr="00225D4D">
        <w:rPr>
          <w:rStyle w:val="kursiv"/>
        </w:rPr>
        <w:t>. Regjeringen bes videre om å legge frem forslag til tiltak og virkemidler som oppfølging av dette arbeidet i forbindelse med statsbudsjettet 2026.</w:t>
      </w:r>
      <w:r w:rsidRPr="00225D4D">
        <w:t>»</w:t>
      </w:r>
    </w:p>
    <w:p w14:paraId="0DE6E0F5"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 S (2024–2025) og </w:t>
      </w:r>
      <w:proofErr w:type="spellStart"/>
      <w:r w:rsidRPr="00225D4D">
        <w:t>Innst</w:t>
      </w:r>
      <w:proofErr w:type="spellEnd"/>
      <w:r w:rsidRPr="00225D4D">
        <w:t>. 2 S (2024–2025).</w:t>
      </w:r>
    </w:p>
    <w:p w14:paraId="6D50CA7A" w14:textId="77777777" w:rsidR="00D60186" w:rsidRPr="00225D4D" w:rsidRDefault="00D60186" w:rsidP="00225D4D">
      <w:r w:rsidRPr="00225D4D">
        <w:t xml:space="preserve">I 2024 </w:t>
      </w:r>
      <w:proofErr w:type="spellStart"/>
      <w:r w:rsidRPr="00225D4D">
        <w:t>fekk</w:t>
      </w:r>
      <w:proofErr w:type="spellEnd"/>
      <w:r w:rsidRPr="00225D4D">
        <w:t xml:space="preserve"> Gassnova SF i oppdrag </w:t>
      </w:r>
      <w:proofErr w:type="spellStart"/>
      <w:r w:rsidRPr="00225D4D">
        <w:t>frå</w:t>
      </w:r>
      <w:proofErr w:type="spellEnd"/>
      <w:r w:rsidRPr="00225D4D">
        <w:t xml:space="preserve"> Energidepartementet å utarbeide </w:t>
      </w:r>
      <w:proofErr w:type="spellStart"/>
      <w:r w:rsidRPr="00225D4D">
        <w:t>eit</w:t>
      </w:r>
      <w:proofErr w:type="spellEnd"/>
      <w:r w:rsidRPr="00225D4D">
        <w:t xml:space="preserve"> vegkart for korleis CO</w:t>
      </w:r>
      <w:r w:rsidRPr="00225D4D">
        <w:rPr>
          <w:rStyle w:val="skrift-senket"/>
        </w:rPr>
        <w:t>2</w:t>
      </w:r>
      <w:r w:rsidRPr="00225D4D">
        <w:t xml:space="preserve">-handtering kan bidra til å redusere utslepp </w:t>
      </w:r>
      <w:proofErr w:type="spellStart"/>
      <w:r w:rsidRPr="00225D4D">
        <w:t>frå</w:t>
      </w:r>
      <w:proofErr w:type="spellEnd"/>
      <w:r w:rsidRPr="00225D4D">
        <w:t xml:space="preserve"> landbasert industri og avfallsforbrenning fram mot 2050. Gassnova planlegg å ferdigstille arbeidet med vegkartet </w:t>
      </w:r>
      <w:proofErr w:type="spellStart"/>
      <w:r w:rsidRPr="00225D4D">
        <w:t>hausten</w:t>
      </w:r>
      <w:proofErr w:type="spellEnd"/>
      <w:r w:rsidRPr="00225D4D">
        <w:t xml:space="preserve"> 2025.</w:t>
      </w:r>
    </w:p>
    <w:p w14:paraId="4F74A25B" w14:textId="77777777" w:rsidR="00D60186" w:rsidRPr="00225D4D" w:rsidRDefault="00D60186" w:rsidP="00225D4D">
      <w:r w:rsidRPr="00225D4D">
        <w:t xml:space="preserve">Arbeidet heng </w:t>
      </w:r>
      <w:proofErr w:type="spellStart"/>
      <w:r w:rsidRPr="00225D4D">
        <w:t>saman</w:t>
      </w:r>
      <w:proofErr w:type="spellEnd"/>
      <w:r w:rsidRPr="00225D4D">
        <w:t xml:space="preserve"> med </w:t>
      </w:r>
      <w:proofErr w:type="spellStart"/>
      <w:r w:rsidRPr="00225D4D">
        <w:t>eit</w:t>
      </w:r>
      <w:proofErr w:type="spellEnd"/>
      <w:r w:rsidRPr="00225D4D">
        <w:t xml:space="preserve"> tilleggsoppdrag </w:t>
      </w:r>
      <w:proofErr w:type="spellStart"/>
      <w:r w:rsidRPr="00225D4D">
        <w:t>frå</w:t>
      </w:r>
      <w:proofErr w:type="spellEnd"/>
      <w:r w:rsidRPr="00225D4D">
        <w:t xml:space="preserve"> Energidepartementet og Klima- og miljødepartementet til Gassnova, </w:t>
      </w:r>
      <w:proofErr w:type="spellStart"/>
      <w:r w:rsidRPr="00225D4D">
        <w:t>Enova</w:t>
      </w:r>
      <w:proofErr w:type="spellEnd"/>
      <w:r w:rsidRPr="00225D4D">
        <w:t xml:space="preserve"> og Miljødirektoratet om å greie ut </w:t>
      </w:r>
      <w:proofErr w:type="spellStart"/>
      <w:r w:rsidRPr="00225D4D">
        <w:t>mellombelse</w:t>
      </w:r>
      <w:proofErr w:type="spellEnd"/>
      <w:r w:rsidRPr="00225D4D">
        <w:t xml:space="preserve"> </w:t>
      </w:r>
      <w:proofErr w:type="spellStart"/>
      <w:r w:rsidRPr="00225D4D">
        <w:t>verkemiddel</w:t>
      </w:r>
      <w:proofErr w:type="spellEnd"/>
      <w:r w:rsidRPr="00225D4D">
        <w:t xml:space="preserve"> for å redusere </w:t>
      </w:r>
      <w:proofErr w:type="spellStart"/>
      <w:r w:rsidRPr="00225D4D">
        <w:t>barrierar</w:t>
      </w:r>
      <w:proofErr w:type="spellEnd"/>
      <w:r w:rsidRPr="00225D4D">
        <w:t xml:space="preserve"> og </w:t>
      </w:r>
      <w:proofErr w:type="spellStart"/>
      <w:r w:rsidRPr="00225D4D">
        <w:t>marknadssvikt</w:t>
      </w:r>
      <w:proofErr w:type="spellEnd"/>
      <w:r w:rsidRPr="00225D4D">
        <w:t xml:space="preserve"> i CCS-</w:t>
      </w:r>
      <w:proofErr w:type="spellStart"/>
      <w:r w:rsidRPr="00225D4D">
        <w:t>verdikjeda</w:t>
      </w:r>
      <w:proofErr w:type="spellEnd"/>
      <w:r w:rsidRPr="00225D4D">
        <w:t xml:space="preserve">. Tilleggsoppdraget til arbeidet med vegkartet blei gitt 20. desember 2024, og med det blei også Siva inkludert i arbeidet. Utgreiinga av </w:t>
      </w:r>
      <w:proofErr w:type="spellStart"/>
      <w:r w:rsidRPr="00225D4D">
        <w:t>moglege</w:t>
      </w:r>
      <w:proofErr w:type="spellEnd"/>
      <w:r w:rsidRPr="00225D4D">
        <w:t xml:space="preserve"> </w:t>
      </w:r>
      <w:proofErr w:type="spellStart"/>
      <w:r w:rsidRPr="00225D4D">
        <w:t>mellombelse</w:t>
      </w:r>
      <w:proofErr w:type="spellEnd"/>
      <w:r w:rsidRPr="00225D4D">
        <w:t xml:space="preserve"> </w:t>
      </w:r>
      <w:proofErr w:type="spellStart"/>
      <w:r w:rsidRPr="00225D4D">
        <w:t>verkemiddel</w:t>
      </w:r>
      <w:proofErr w:type="spellEnd"/>
      <w:r w:rsidRPr="00225D4D">
        <w:t xml:space="preserve"> blei levert 20. juni 2025. Som del av utgreiinga er det kartlagt </w:t>
      </w:r>
      <w:proofErr w:type="spellStart"/>
      <w:r w:rsidRPr="00225D4D">
        <w:t>kva</w:t>
      </w:r>
      <w:proofErr w:type="spellEnd"/>
      <w:r w:rsidRPr="00225D4D">
        <w:t xml:space="preserve"> som kan </w:t>
      </w:r>
      <w:proofErr w:type="spellStart"/>
      <w:r w:rsidRPr="00225D4D">
        <w:t>vere</w:t>
      </w:r>
      <w:proofErr w:type="spellEnd"/>
      <w:r w:rsidRPr="00225D4D">
        <w:t xml:space="preserve"> </w:t>
      </w:r>
      <w:proofErr w:type="spellStart"/>
      <w:r w:rsidRPr="00225D4D">
        <w:t>barrierar</w:t>
      </w:r>
      <w:proofErr w:type="spellEnd"/>
      <w:r w:rsidRPr="00225D4D">
        <w:t xml:space="preserve"> for utvikling av regionale industriklynger med felles CO</w:t>
      </w:r>
      <w:r w:rsidRPr="00225D4D">
        <w:rPr>
          <w:rStyle w:val="skrift-senket"/>
        </w:rPr>
        <w:t>2</w:t>
      </w:r>
      <w:r w:rsidRPr="00225D4D">
        <w:t>-løysingar.</w:t>
      </w:r>
    </w:p>
    <w:p w14:paraId="48855699" w14:textId="77777777" w:rsidR="00D60186" w:rsidRPr="00225D4D" w:rsidRDefault="00D60186" w:rsidP="00225D4D">
      <w:r w:rsidRPr="00225D4D">
        <w:t xml:space="preserve">Samordna </w:t>
      </w:r>
      <w:proofErr w:type="spellStart"/>
      <w:r w:rsidRPr="00225D4D">
        <w:t>transportløysingar</w:t>
      </w:r>
      <w:proofErr w:type="spellEnd"/>
      <w:r w:rsidRPr="00225D4D">
        <w:t xml:space="preserve"> kan utløyse </w:t>
      </w:r>
      <w:proofErr w:type="spellStart"/>
      <w:r w:rsidRPr="00225D4D">
        <w:t>fleire</w:t>
      </w:r>
      <w:proofErr w:type="spellEnd"/>
      <w:r w:rsidRPr="00225D4D">
        <w:t xml:space="preserve"> mindre prosjekt fram mot 2040, og </w:t>
      </w:r>
      <w:proofErr w:type="spellStart"/>
      <w:r w:rsidRPr="00225D4D">
        <w:t>tidleg</w:t>
      </w:r>
      <w:proofErr w:type="spellEnd"/>
      <w:r w:rsidRPr="00225D4D">
        <w:t xml:space="preserve"> investering i felles infrastruktur kan gi </w:t>
      </w:r>
      <w:proofErr w:type="spellStart"/>
      <w:r w:rsidRPr="00225D4D">
        <w:t>skalafordelar</w:t>
      </w:r>
      <w:proofErr w:type="spellEnd"/>
      <w:r w:rsidRPr="00225D4D">
        <w:t xml:space="preserve">. Stor geografisk spreiing av utsleppspunkt i </w:t>
      </w:r>
      <w:proofErr w:type="spellStart"/>
      <w:r w:rsidRPr="00225D4D">
        <w:t>Noreg</w:t>
      </w:r>
      <w:proofErr w:type="spellEnd"/>
      <w:r w:rsidRPr="00225D4D">
        <w:t xml:space="preserve"> </w:t>
      </w:r>
      <w:proofErr w:type="spellStart"/>
      <w:r w:rsidRPr="00225D4D">
        <w:t>gjer</w:t>
      </w:r>
      <w:proofErr w:type="spellEnd"/>
      <w:r w:rsidRPr="00225D4D">
        <w:t xml:space="preserve"> det svært </w:t>
      </w:r>
      <w:proofErr w:type="spellStart"/>
      <w:r w:rsidRPr="00225D4D">
        <w:t>krevjande</w:t>
      </w:r>
      <w:proofErr w:type="spellEnd"/>
      <w:r w:rsidRPr="00225D4D">
        <w:t xml:space="preserve"> å utløyse samfunnsøkonomiske </w:t>
      </w:r>
      <w:proofErr w:type="spellStart"/>
      <w:r w:rsidRPr="00225D4D">
        <w:t>gevinstar</w:t>
      </w:r>
      <w:proofErr w:type="spellEnd"/>
      <w:r w:rsidRPr="00225D4D">
        <w:t xml:space="preserve"> gjennom etablering av felles infrastruktur. </w:t>
      </w:r>
      <w:proofErr w:type="spellStart"/>
      <w:r w:rsidRPr="00225D4D">
        <w:t>Investeringar</w:t>
      </w:r>
      <w:proofErr w:type="spellEnd"/>
      <w:r w:rsidRPr="00225D4D">
        <w:t xml:space="preserve"> i overkapasitet er kostbare og </w:t>
      </w:r>
      <w:proofErr w:type="spellStart"/>
      <w:r w:rsidRPr="00225D4D">
        <w:t>inneber</w:t>
      </w:r>
      <w:proofErr w:type="spellEnd"/>
      <w:r w:rsidRPr="00225D4D">
        <w:t xml:space="preserve"> risiko.</w:t>
      </w:r>
    </w:p>
    <w:p w14:paraId="3E5807BF" w14:textId="77777777" w:rsidR="00D60186" w:rsidRPr="00225D4D" w:rsidRDefault="00D60186" w:rsidP="00225D4D">
      <w:r w:rsidRPr="00225D4D">
        <w:t xml:space="preserve">Regjeringa vil arbeide </w:t>
      </w:r>
      <w:proofErr w:type="spellStart"/>
      <w:r w:rsidRPr="00225D4D">
        <w:t>vidare</w:t>
      </w:r>
      <w:proofErr w:type="spellEnd"/>
      <w:r w:rsidRPr="00225D4D">
        <w:t xml:space="preserve"> med </w:t>
      </w:r>
      <w:proofErr w:type="spellStart"/>
      <w:r w:rsidRPr="00225D4D">
        <w:t>støtteordningar</w:t>
      </w:r>
      <w:proofErr w:type="spellEnd"/>
      <w:r w:rsidRPr="00225D4D">
        <w:t xml:space="preserve"> for CO</w:t>
      </w:r>
      <w:r w:rsidRPr="00225D4D">
        <w:rPr>
          <w:rStyle w:val="skrift-senket"/>
        </w:rPr>
        <w:t>2</w:t>
      </w:r>
      <w:r w:rsidRPr="00225D4D">
        <w:t xml:space="preserve">-handtering og tar sikte på å legge fram forslag i statsbudsjettet for 2027 om ei ordning som gir rett til </w:t>
      </w:r>
      <w:proofErr w:type="spellStart"/>
      <w:r w:rsidRPr="00225D4D">
        <w:t>eit</w:t>
      </w:r>
      <w:proofErr w:type="spellEnd"/>
      <w:r w:rsidRPr="00225D4D">
        <w:t xml:space="preserve"> fast </w:t>
      </w:r>
      <w:proofErr w:type="spellStart"/>
      <w:r w:rsidRPr="00225D4D">
        <w:t>tilskot</w:t>
      </w:r>
      <w:proofErr w:type="spellEnd"/>
      <w:r w:rsidRPr="00225D4D">
        <w:t xml:space="preserve"> per tonn CO</w:t>
      </w:r>
      <w:r w:rsidRPr="00225D4D">
        <w:rPr>
          <w:rStyle w:val="skrift-senket"/>
        </w:rPr>
        <w:t>2</w:t>
      </w:r>
      <w:r w:rsidRPr="00225D4D">
        <w:t xml:space="preserve"> for negative utslepp. Negative utslepp </w:t>
      </w:r>
      <w:proofErr w:type="spellStart"/>
      <w:r w:rsidRPr="00225D4D">
        <w:t>omfattar</w:t>
      </w:r>
      <w:proofErr w:type="spellEnd"/>
      <w:r w:rsidRPr="00225D4D">
        <w:t xml:space="preserve"> fangst av </w:t>
      </w:r>
      <w:proofErr w:type="spellStart"/>
      <w:r w:rsidRPr="00225D4D">
        <w:t>biogene</w:t>
      </w:r>
      <w:proofErr w:type="spellEnd"/>
      <w:r w:rsidRPr="00225D4D">
        <w:t xml:space="preserve"> utslepp eller fangst av CO</w:t>
      </w:r>
      <w:r w:rsidRPr="00225D4D">
        <w:rPr>
          <w:rStyle w:val="skrift-senket"/>
        </w:rPr>
        <w:t>2</w:t>
      </w:r>
      <w:r w:rsidRPr="00225D4D">
        <w:t xml:space="preserve"> direkte </w:t>
      </w:r>
      <w:proofErr w:type="spellStart"/>
      <w:r w:rsidRPr="00225D4D">
        <w:t>frå</w:t>
      </w:r>
      <w:proofErr w:type="spellEnd"/>
      <w:r w:rsidRPr="00225D4D">
        <w:t xml:space="preserve"> atmosfæren. I motsetning til fossile utslepp, som i dag er omfatta av EUs </w:t>
      </w:r>
      <w:proofErr w:type="spellStart"/>
      <w:r w:rsidRPr="00225D4D">
        <w:t>kvotemarknad</w:t>
      </w:r>
      <w:proofErr w:type="spellEnd"/>
      <w:r w:rsidRPr="00225D4D">
        <w:t xml:space="preserve"> og CO</w:t>
      </w:r>
      <w:r w:rsidRPr="00225D4D">
        <w:rPr>
          <w:rStyle w:val="skrift-senket"/>
        </w:rPr>
        <w:t>2</w:t>
      </w:r>
      <w:r w:rsidRPr="00225D4D">
        <w:t xml:space="preserve">-avgift, </w:t>
      </w:r>
      <w:proofErr w:type="spellStart"/>
      <w:r w:rsidRPr="00225D4D">
        <w:t>finst</w:t>
      </w:r>
      <w:proofErr w:type="spellEnd"/>
      <w:r w:rsidRPr="00225D4D">
        <w:t xml:space="preserve"> det </w:t>
      </w:r>
      <w:proofErr w:type="spellStart"/>
      <w:r w:rsidRPr="00225D4D">
        <w:t>ikkje</w:t>
      </w:r>
      <w:proofErr w:type="spellEnd"/>
      <w:r w:rsidRPr="00225D4D">
        <w:t xml:space="preserve"> </w:t>
      </w:r>
      <w:proofErr w:type="spellStart"/>
      <w:r w:rsidRPr="00225D4D">
        <w:t>prisar</w:t>
      </w:r>
      <w:proofErr w:type="spellEnd"/>
      <w:r w:rsidRPr="00225D4D">
        <w:t xml:space="preserve"> for negative utslepp. Ei ordning med </w:t>
      </w:r>
      <w:proofErr w:type="spellStart"/>
      <w:r w:rsidRPr="00225D4D">
        <w:t>tilskot</w:t>
      </w:r>
      <w:proofErr w:type="spellEnd"/>
      <w:r w:rsidRPr="00225D4D">
        <w:t xml:space="preserve"> per tonn CO</w:t>
      </w:r>
      <w:r w:rsidRPr="00225D4D">
        <w:rPr>
          <w:rStyle w:val="skrift-senket"/>
        </w:rPr>
        <w:t>2</w:t>
      </w:r>
      <w:r w:rsidRPr="00225D4D">
        <w:t xml:space="preserve"> for negative utslepp vil bidra til at fangst av alle </w:t>
      </w:r>
      <w:proofErr w:type="spellStart"/>
      <w:r w:rsidRPr="00225D4D">
        <w:t>typar</w:t>
      </w:r>
      <w:proofErr w:type="spellEnd"/>
      <w:r w:rsidRPr="00225D4D">
        <w:t xml:space="preserve"> CO</w:t>
      </w:r>
      <w:r w:rsidRPr="00225D4D">
        <w:rPr>
          <w:rStyle w:val="skrift-senket"/>
        </w:rPr>
        <w:t>2</w:t>
      </w:r>
      <w:r w:rsidRPr="00225D4D">
        <w:t xml:space="preserve">-utslepp blir prisa. Å sette </w:t>
      </w:r>
      <w:proofErr w:type="spellStart"/>
      <w:r w:rsidRPr="00225D4D">
        <w:t>ein</w:t>
      </w:r>
      <w:proofErr w:type="spellEnd"/>
      <w:r w:rsidRPr="00225D4D">
        <w:t xml:space="preserve"> pris på </w:t>
      </w:r>
      <w:proofErr w:type="spellStart"/>
      <w:r w:rsidRPr="00225D4D">
        <w:t>dei</w:t>
      </w:r>
      <w:proofErr w:type="spellEnd"/>
      <w:r w:rsidRPr="00225D4D">
        <w:t xml:space="preserve"> negative utsleppa vil </w:t>
      </w:r>
      <w:proofErr w:type="spellStart"/>
      <w:r w:rsidRPr="00225D4D">
        <w:t>vere</w:t>
      </w:r>
      <w:proofErr w:type="spellEnd"/>
      <w:r w:rsidRPr="00225D4D">
        <w:t xml:space="preserve"> den mest effektive måten å handtere </w:t>
      </w:r>
      <w:proofErr w:type="spellStart"/>
      <w:r w:rsidRPr="00225D4D">
        <w:t>ein</w:t>
      </w:r>
      <w:proofErr w:type="spellEnd"/>
      <w:r w:rsidRPr="00225D4D">
        <w:t xml:space="preserve"> </w:t>
      </w:r>
      <w:proofErr w:type="spellStart"/>
      <w:r w:rsidRPr="00225D4D">
        <w:t>marknadssvikt</w:t>
      </w:r>
      <w:proofErr w:type="spellEnd"/>
      <w:r w:rsidRPr="00225D4D">
        <w:t xml:space="preserve"> knytt til </w:t>
      </w:r>
      <w:proofErr w:type="spellStart"/>
      <w:r w:rsidRPr="00225D4D">
        <w:t>fråvær</w:t>
      </w:r>
      <w:proofErr w:type="spellEnd"/>
      <w:r w:rsidRPr="00225D4D">
        <w:t xml:space="preserve"> av priser. Ei slik ordning kan </w:t>
      </w:r>
      <w:proofErr w:type="spellStart"/>
      <w:r w:rsidRPr="00225D4D">
        <w:t>dessutan</w:t>
      </w:r>
      <w:proofErr w:type="spellEnd"/>
      <w:r w:rsidRPr="00225D4D">
        <w:t xml:space="preserve"> </w:t>
      </w:r>
      <w:proofErr w:type="spellStart"/>
      <w:r w:rsidRPr="00225D4D">
        <w:t>vere</w:t>
      </w:r>
      <w:proofErr w:type="spellEnd"/>
      <w:r w:rsidRPr="00225D4D">
        <w:t xml:space="preserve"> administrativt effektiv, for både staten og for </w:t>
      </w:r>
      <w:proofErr w:type="spellStart"/>
      <w:r w:rsidRPr="00225D4D">
        <w:t>støttemottakarane</w:t>
      </w:r>
      <w:proofErr w:type="spellEnd"/>
      <w:r w:rsidRPr="00225D4D">
        <w:t>.</w:t>
      </w:r>
    </w:p>
    <w:p w14:paraId="522DEDE5" w14:textId="77777777" w:rsidR="00D60186" w:rsidRPr="00225D4D" w:rsidRDefault="00D60186" w:rsidP="00225D4D">
      <w:r w:rsidRPr="00225D4D">
        <w:t xml:space="preserve">Ordninga vil bli tilpassa EUs kvotesystem dersom dette på sikt </w:t>
      </w:r>
      <w:proofErr w:type="spellStart"/>
      <w:r w:rsidRPr="00225D4D">
        <w:t>opnar</w:t>
      </w:r>
      <w:proofErr w:type="spellEnd"/>
      <w:r w:rsidRPr="00225D4D">
        <w:t xml:space="preserve"> for å inkludere negative utslepp. Departementet vil gå i dialog med ESA for å avklare spørsmål om statsstøtte. Departementet tar sikte på å komme tilbake med forslag til ei ordning som gir rett til </w:t>
      </w:r>
      <w:proofErr w:type="spellStart"/>
      <w:r w:rsidRPr="00225D4D">
        <w:t>eit</w:t>
      </w:r>
      <w:proofErr w:type="spellEnd"/>
      <w:r w:rsidRPr="00225D4D">
        <w:t xml:space="preserve"> fast </w:t>
      </w:r>
      <w:proofErr w:type="spellStart"/>
      <w:r w:rsidRPr="00225D4D">
        <w:t>tilskot</w:t>
      </w:r>
      <w:proofErr w:type="spellEnd"/>
      <w:r w:rsidRPr="00225D4D">
        <w:t xml:space="preserve"> per tonn CO</w:t>
      </w:r>
      <w:r w:rsidRPr="00225D4D">
        <w:rPr>
          <w:rStyle w:val="skrift-senket"/>
        </w:rPr>
        <w:t>2</w:t>
      </w:r>
      <w:r w:rsidRPr="00225D4D">
        <w:t xml:space="preserve"> for negative utslepp i statsbudsjettet for 2027.</w:t>
      </w:r>
    </w:p>
    <w:p w14:paraId="470C5D48" w14:textId="77777777" w:rsidR="00D60186" w:rsidRPr="00225D4D" w:rsidRDefault="00D60186" w:rsidP="00225D4D">
      <w:r w:rsidRPr="00225D4D">
        <w:t xml:space="preserve">Departementet </w:t>
      </w:r>
      <w:proofErr w:type="spellStart"/>
      <w:r w:rsidRPr="00225D4D">
        <w:t>reknar</w:t>
      </w:r>
      <w:proofErr w:type="spellEnd"/>
      <w:r w:rsidRPr="00225D4D">
        <w:t xml:space="preserve"> rapporteringa på dette oppmodingsvedtaket som avslutta.</w:t>
      </w:r>
    </w:p>
    <w:p w14:paraId="40636CFF" w14:textId="77777777" w:rsidR="00D60186" w:rsidRPr="00225D4D" w:rsidRDefault="00D60186" w:rsidP="00225D4D">
      <w:pPr>
        <w:pStyle w:val="avsnitt-tittel"/>
      </w:pPr>
      <w:r w:rsidRPr="00225D4D">
        <w:t>Støtteprogram for å kutte CO</w:t>
      </w:r>
      <w:r w:rsidRPr="00225D4D">
        <w:rPr>
          <w:rStyle w:val="skrift-senket"/>
        </w:rPr>
        <w:t>2</w:t>
      </w:r>
      <w:r w:rsidRPr="00225D4D">
        <w:t xml:space="preserve">-utslepp </w:t>
      </w:r>
      <w:proofErr w:type="spellStart"/>
      <w:r w:rsidRPr="00225D4D">
        <w:t>innan</w:t>
      </w:r>
      <w:proofErr w:type="spellEnd"/>
      <w:r w:rsidRPr="00225D4D">
        <w:t xml:space="preserve"> industri og avfallshandtering</w:t>
      </w:r>
    </w:p>
    <w:p w14:paraId="4159444F" w14:textId="77777777" w:rsidR="00D60186" w:rsidRPr="00225D4D" w:rsidRDefault="00D60186" w:rsidP="00225D4D">
      <w:pPr>
        <w:pStyle w:val="avsnitt-undertittel"/>
      </w:pPr>
      <w:r w:rsidRPr="00225D4D">
        <w:t>Vedtak 91, 5. desember 2024</w:t>
      </w:r>
    </w:p>
    <w:p w14:paraId="189E6417" w14:textId="77777777" w:rsidR="00D60186" w:rsidRPr="00225D4D" w:rsidRDefault="00D60186" w:rsidP="00225D4D">
      <w:pPr>
        <w:pStyle w:val="blokksit"/>
      </w:pPr>
      <w:r w:rsidRPr="00225D4D">
        <w:t>«</w:t>
      </w:r>
      <w:r w:rsidRPr="00225D4D">
        <w:rPr>
          <w:rStyle w:val="kursiv"/>
        </w:rPr>
        <w:t>Stortinget ber regjeringen utforme et støtteprogram som en serie med auksjoner for å kutte store utslipp og oppnå negative CO</w:t>
      </w:r>
      <w:r w:rsidRPr="00225D4D">
        <w:rPr>
          <w:rStyle w:val="skrift-senket"/>
        </w:rPr>
        <w:t>2</w:t>
      </w:r>
      <w:r w:rsidRPr="00225D4D">
        <w:rPr>
          <w:rStyle w:val="kursiv"/>
        </w:rPr>
        <w:t xml:space="preserve">-utslipp innen industri og avfallshåndtering og komme tilbake til dette i statsbudsjettet for 2026. Stortinget ber regjeringen se hen til auksjonsmodellene i Danmark, Sverige, Tyskland, Nederland og Frankrike i arbeidet med å utvikle </w:t>
      </w:r>
      <w:proofErr w:type="spellStart"/>
      <w:r w:rsidRPr="00225D4D">
        <w:rPr>
          <w:rStyle w:val="kursiv"/>
        </w:rPr>
        <w:t>auksjonsprogrammet</w:t>
      </w:r>
      <w:proofErr w:type="spellEnd"/>
      <w:r w:rsidRPr="00225D4D">
        <w:rPr>
          <w:rStyle w:val="kursiv"/>
        </w:rPr>
        <w:t>.</w:t>
      </w:r>
      <w:r w:rsidRPr="00225D4D">
        <w:t>»</w:t>
      </w:r>
    </w:p>
    <w:p w14:paraId="0F729495"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 S (2024–2025) og </w:t>
      </w:r>
      <w:proofErr w:type="spellStart"/>
      <w:r w:rsidRPr="00225D4D">
        <w:t>Innst</w:t>
      </w:r>
      <w:proofErr w:type="spellEnd"/>
      <w:r w:rsidRPr="00225D4D">
        <w:t>. 2 S (2024–2025).</w:t>
      </w:r>
    </w:p>
    <w:p w14:paraId="39BAE3E2" w14:textId="77777777" w:rsidR="00D60186" w:rsidRPr="00225D4D" w:rsidRDefault="00D60186" w:rsidP="00225D4D">
      <w:proofErr w:type="spellStart"/>
      <w:r w:rsidRPr="00225D4D">
        <w:t>Noreg</w:t>
      </w:r>
      <w:proofErr w:type="spellEnd"/>
      <w:r w:rsidRPr="00225D4D">
        <w:t xml:space="preserve"> har gjennom mange år fremma CO</w:t>
      </w:r>
      <w:r w:rsidRPr="00225D4D">
        <w:rPr>
          <w:rStyle w:val="skrift-senket"/>
        </w:rPr>
        <w:t>2</w:t>
      </w:r>
      <w:r w:rsidRPr="00225D4D">
        <w:t>-handtering, mellom anna gjennom støtte til forsking, teknologiutvikling og internasjonalt samarbeid. Vi har lang erfaring med trygg lagring av CO</w:t>
      </w:r>
      <w:r w:rsidRPr="00225D4D">
        <w:rPr>
          <w:rStyle w:val="skrift-senket"/>
        </w:rPr>
        <w:t>2</w:t>
      </w:r>
      <w:r w:rsidRPr="00225D4D">
        <w:t xml:space="preserve"> </w:t>
      </w:r>
      <w:proofErr w:type="spellStart"/>
      <w:r w:rsidRPr="00225D4D">
        <w:t>frå</w:t>
      </w:r>
      <w:proofErr w:type="spellEnd"/>
      <w:r w:rsidRPr="00225D4D">
        <w:t xml:space="preserve"> Sleipner og Snøhvit, og med Langskip viser vi ei komplett og sikker verdikjede </w:t>
      </w:r>
      <w:proofErr w:type="spellStart"/>
      <w:r w:rsidRPr="00225D4D">
        <w:t>frå</w:t>
      </w:r>
      <w:proofErr w:type="spellEnd"/>
      <w:r w:rsidRPr="00225D4D">
        <w:t xml:space="preserve"> fangst til lagring. Dette har gitt viktig læring og </w:t>
      </w:r>
      <w:proofErr w:type="spellStart"/>
      <w:r w:rsidRPr="00225D4D">
        <w:t>legg</w:t>
      </w:r>
      <w:proofErr w:type="spellEnd"/>
      <w:r w:rsidRPr="00225D4D">
        <w:t xml:space="preserve"> til rette for </w:t>
      </w:r>
      <w:proofErr w:type="spellStart"/>
      <w:r w:rsidRPr="00225D4D">
        <w:t>vidare</w:t>
      </w:r>
      <w:proofErr w:type="spellEnd"/>
      <w:r w:rsidRPr="00225D4D">
        <w:t xml:space="preserve"> utbygging av CO</w:t>
      </w:r>
      <w:r w:rsidRPr="00225D4D">
        <w:rPr>
          <w:rStyle w:val="skrift-senket"/>
        </w:rPr>
        <w:t>2</w:t>
      </w:r>
      <w:r w:rsidRPr="00225D4D">
        <w:t xml:space="preserve">-handteringsprosjekt i Europa og globalt. </w:t>
      </w:r>
      <w:proofErr w:type="spellStart"/>
      <w:r w:rsidRPr="00225D4D">
        <w:t>Vidare</w:t>
      </w:r>
      <w:proofErr w:type="spellEnd"/>
      <w:r w:rsidRPr="00225D4D">
        <w:t xml:space="preserve"> utbygging globalt er </w:t>
      </w:r>
      <w:proofErr w:type="spellStart"/>
      <w:r w:rsidRPr="00225D4D">
        <w:t>avgjerande</w:t>
      </w:r>
      <w:proofErr w:type="spellEnd"/>
      <w:r w:rsidRPr="00225D4D">
        <w:t xml:space="preserve"> for at CO</w:t>
      </w:r>
      <w:r w:rsidRPr="00225D4D">
        <w:rPr>
          <w:rStyle w:val="skrift-senket"/>
        </w:rPr>
        <w:t>2</w:t>
      </w:r>
      <w:r w:rsidRPr="00225D4D">
        <w:t xml:space="preserve">-handtering skal bli </w:t>
      </w:r>
      <w:proofErr w:type="spellStart"/>
      <w:r w:rsidRPr="00225D4D">
        <w:t>eit</w:t>
      </w:r>
      <w:proofErr w:type="spellEnd"/>
      <w:r w:rsidRPr="00225D4D">
        <w:t xml:space="preserve"> effektivt klimatiltak.</w:t>
      </w:r>
    </w:p>
    <w:p w14:paraId="51C52114" w14:textId="77777777" w:rsidR="00D60186" w:rsidRPr="00225D4D" w:rsidRDefault="00D60186" w:rsidP="00225D4D">
      <w:r w:rsidRPr="00225D4D">
        <w:t xml:space="preserve">I 2024 </w:t>
      </w:r>
      <w:proofErr w:type="spellStart"/>
      <w:r w:rsidRPr="00225D4D">
        <w:t>fekk</w:t>
      </w:r>
      <w:proofErr w:type="spellEnd"/>
      <w:r w:rsidRPr="00225D4D">
        <w:t xml:space="preserve"> Gassnova SF i oppdrag </w:t>
      </w:r>
      <w:proofErr w:type="spellStart"/>
      <w:r w:rsidRPr="00225D4D">
        <w:t>frå</w:t>
      </w:r>
      <w:proofErr w:type="spellEnd"/>
      <w:r w:rsidRPr="00225D4D">
        <w:t xml:space="preserve"> Energidepartementet og Klima- og miljødepartementet å greie ut </w:t>
      </w:r>
      <w:proofErr w:type="spellStart"/>
      <w:r w:rsidRPr="00225D4D">
        <w:t>verkemiddel</w:t>
      </w:r>
      <w:proofErr w:type="spellEnd"/>
      <w:r w:rsidRPr="00225D4D">
        <w:t xml:space="preserve"> for å fremme utvikling og bruk av CO</w:t>
      </w:r>
      <w:r w:rsidRPr="00225D4D">
        <w:rPr>
          <w:rStyle w:val="skrift-senket"/>
        </w:rPr>
        <w:t>2</w:t>
      </w:r>
      <w:r w:rsidRPr="00225D4D">
        <w:t xml:space="preserve">-handtering i </w:t>
      </w:r>
      <w:proofErr w:type="spellStart"/>
      <w:r w:rsidRPr="00225D4D">
        <w:t>Noreg</w:t>
      </w:r>
      <w:proofErr w:type="spellEnd"/>
      <w:r w:rsidRPr="00225D4D">
        <w:t xml:space="preserve">. </w:t>
      </w:r>
      <w:proofErr w:type="spellStart"/>
      <w:r w:rsidRPr="00225D4D">
        <w:t>Enova</w:t>
      </w:r>
      <w:proofErr w:type="spellEnd"/>
      <w:r w:rsidRPr="00225D4D">
        <w:t xml:space="preserve">, Miljødirektoratet og andre relevante </w:t>
      </w:r>
      <w:proofErr w:type="spellStart"/>
      <w:r w:rsidRPr="00225D4D">
        <w:t>statlege</w:t>
      </w:r>
      <w:proofErr w:type="spellEnd"/>
      <w:r w:rsidRPr="00225D4D">
        <w:t xml:space="preserve"> </w:t>
      </w:r>
      <w:proofErr w:type="spellStart"/>
      <w:r w:rsidRPr="00225D4D">
        <w:t>aktørar</w:t>
      </w:r>
      <w:proofErr w:type="spellEnd"/>
      <w:r w:rsidRPr="00225D4D">
        <w:t xml:space="preserve"> skulle </w:t>
      </w:r>
      <w:proofErr w:type="spellStart"/>
      <w:r w:rsidRPr="00225D4D">
        <w:t>involverast</w:t>
      </w:r>
      <w:proofErr w:type="spellEnd"/>
      <w:r w:rsidRPr="00225D4D">
        <w:t xml:space="preserve"> i arbeidet. Våren 2025 presiserte departementa at utgreiinga skal prioritere fangst og lagring av negative utslepp, det vil </w:t>
      </w:r>
      <w:proofErr w:type="spellStart"/>
      <w:r w:rsidRPr="00225D4D">
        <w:t>seie</w:t>
      </w:r>
      <w:proofErr w:type="spellEnd"/>
      <w:r w:rsidRPr="00225D4D">
        <w:t xml:space="preserve"> fjerning av </w:t>
      </w:r>
      <w:proofErr w:type="spellStart"/>
      <w:r w:rsidRPr="00225D4D">
        <w:t>biogen</w:t>
      </w:r>
      <w:proofErr w:type="spellEnd"/>
      <w:r w:rsidRPr="00225D4D">
        <w:t xml:space="preserve"> CO</w:t>
      </w:r>
      <w:r w:rsidRPr="00225D4D">
        <w:rPr>
          <w:rStyle w:val="skrift-senket"/>
        </w:rPr>
        <w:t>2</w:t>
      </w:r>
      <w:r w:rsidRPr="00225D4D">
        <w:t xml:space="preserve"> eller CO</w:t>
      </w:r>
      <w:r w:rsidRPr="00225D4D">
        <w:rPr>
          <w:rStyle w:val="skrift-senket"/>
        </w:rPr>
        <w:t>2</w:t>
      </w:r>
      <w:r w:rsidRPr="00225D4D">
        <w:t xml:space="preserve"> </w:t>
      </w:r>
      <w:proofErr w:type="spellStart"/>
      <w:r w:rsidRPr="00225D4D">
        <w:t>frå</w:t>
      </w:r>
      <w:proofErr w:type="spellEnd"/>
      <w:r w:rsidRPr="00225D4D">
        <w:t xml:space="preserve"> lufta (DACCS).</w:t>
      </w:r>
    </w:p>
    <w:p w14:paraId="1292DD27" w14:textId="77777777" w:rsidR="00D60186" w:rsidRPr="00225D4D" w:rsidRDefault="00D60186" w:rsidP="00225D4D">
      <w:r w:rsidRPr="00225D4D">
        <w:t xml:space="preserve">Det heng </w:t>
      </w:r>
      <w:proofErr w:type="spellStart"/>
      <w:r w:rsidRPr="00225D4D">
        <w:t>saman</w:t>
      </w:r>
      <w:proofErr w:type="spellEnd"/>
      <w:r w:rsidRPr="00225D4D">
        <w:t xml:space="preserve"> med at negative utslepp i dag </w:t>
      </w:r>
      <w:proofErr w:type="spellStart"/>
      <w:r w:rsidRPr="00225D4D">
        <w:t>ikkje</w:t>
      </w:r>
      <w:proofErr w:type="spellEnd"/>
      <w:r w:rsidRPr="00225D4D">
        <w:t xml:space="preserve"> er omfatta av </w:t>
      </w:r>
      <w:proofErr w:type="spellStart"/>
      <w:r w:rsidRPr="00225D4D">
        <w:t>reguleringar</w:t>
      </w:r>
      <w:proofErr w:type="spellEnd"/>
      <w:r w:rsidRPr="00225D4D">
        <w:t xml:space="preserve"> som reflekterer </w:t>
      </w:r>
      <w:proofErr w:type="spellStart"/>
      <w:r w:rsidRPr="00225D4D">
        <w:t>samfunnsnytta</w:t>
      </w:r>
      <w:proofErr w:type="spellEnd"/>
      <w:r w:rsidRPr="00225D4D">
        <w:t xml:space="preserve"> ved å fjerne CO</w:t>
      </w:r>
      <w:r w:rsidRPr="00225D4D">
        <w:rPr>
          <w:rStyle w:val="skrift-senket"/>
        </w:rPr>
        <w:t>2</w:t>
      </w:r>
      <w:r w:rsidRPr="00225D4D">
        <w:t xml:space="preserve"> </w:t>
      </w:r>
      <w:proofErr w:type="spellStart"/>
      <w:r w:rsidRPr="00225D4D">
        <w:t>frå</w:t>
      </w:r>
      <w:proofErr w:type="spellEnd"/>
      <w:r w:rsidRPr="00225D4D">
        <w:t xml:space="preserve"> karbonkrinsløpet, </w:t>
      </w:r>
      <w:proofErr w:type="spellStart"/>
      <w:r w:rsidRPr="00225D4D">
        <w:t>sjølv</w:t>
      </w:r>
      <w:proofErr w:type="spellEnd"/>
      <w:r w:rsidRPr="00225D4D">
        <w:t xml:space="preserve"> om klimaeffekten er den same som ved fossile utslepp, som er </w:t>
      </w:r>
      <w:proofErr w:type="spellStart"/>
      <w:r w:rsidRPr="00225D4D">
        <w:t>prissett</w:t>
      </w:r>
      <w:proofErr w:type="spellEnd"/>
      <w:r w:rsidRPr="00225D4D">
        <w:t xml:space="preserve"> gjennom EUs </w:t>
      </w:r>
      <w:proofErr w:type="spellStart"/>
      <w:r w:rsidRPr="00225D4D">
        <w:t>kvotemarknad</w:t>
      </w:r>
      <w:proofErr w:type="spellEnd"/>
      <w:r w:rsidRPr="00225D4D">
        <w:t xml:space="preserve"> og CO</w:t>
      </w:r>
      <w:r w:rsidRPr="00225D4D">
        <w:rPr>
          <w:rStyle w:val="skrift-senket"/>
        </w:rPr>
        <w:t>2</w:t>
      </w:r>
      <w:r w:rsidRPr="00225D4D">
        <w:t xml:space="preserve">-avgifta. Negative utslepp kan </w:t>
      </w:r>
      <w:proofErr w:type="spellStart"/>
      <w:r w:rsidRPr="00225D4D">
        <w:t>reknast</w:t>
      </w:r>
      <w:proofErr w:type="spellEnd"/>
      <w:r w:rsidRPr="00225D4D">
        <w:t xml:space="preserve"> med i måloppnåinga til </w:t>
      </w:r>
      <w:proofErr w:type="spellStart"/>
      <w:r w:rsidRPr="00225D4D">
        <w:t>Noreg</w:t>
      </w:r>
      <w:proofErr w:type="spellEnd"/>
      <w:r w:rsidRPr="00225D4D">
        <w:t xml:space="preserve"> under Parisavtalen, men er førebels </w:t>
      </w:r>
      <w:proofErr w:type="spellStart"/>
      <w:r w:rsidRPr="00225D4D">
        <w:t>ikkje</w:t>
      </w:r>
      <w:proofErr w:type="spellEnd"/>
      <w:r w:rsidRPr="00225D4D">
        <w:t xml:space="preserve"> inkluderte i klimaavtalen med EU. Dermed </w:t>
      </w:r>
      <w:proofErr w:type="spellStart"/>
      <w:r w:rsidRPr="00225D4D">
        <w:t>finst</w:t>
      </w:r>
      <w:proofErr w:type="spellEnd"/>
      <w:r w:rsidRPr="00225D4D">
        <w:t xml:space="preserve"> det ingen pris på negative utslepp i dag, med unntak av prising gjennom </w:t>
      </w:r>
      <w:proofErr w:type="spellStart"/>
      <w:r w:rsidRPr="00225D4D">
        <w:t>ein</w:t>
      </w:r>
      <w:proofErr w:type="spellEnd"/>
      <w:r w:rsidRPr="00225D4D">
        <w:t xml:space="preserve"> liten, frivillig </w:t>
      </w:r>
      <w:proofErr w:type="spellStart"/>
      <w:r w:rsidRPr="00225D4D">
        <w:t>marknad</w:t>
      </w:r>
      <w:proofErr w:type="spellEnd"/>
      <w:r w:rsidRPr="00225D4D">
        <w:t xml:space="preserve"> for </w:t>
      </w:r>
      <w:proofErr w:type="spellStart"/>
      <w:r w:rsidRPr="00225D4D">
        <w:t>karbonkredittar</w:t>
      </w:r>
      <w:proofErr w:type="spellEnd"/>
      <w:r w:rsidRPr="00225D4D">
        <w:t xml:space="preserve">. Slik </w:t>
      </w:r>
      <w:proofErr w:type="spellStart"/>
      <w:r w:rsidRPr="00225D4D">
        <w:t>manglande</w:t>
      </w:r>
      <w:proofErr w:type="spellEnd"/>
      <w:r w:rsidRPr="00225D4D">
        <w:t xml:space="preserve"> prising </w:t>
      </w:r>
      <w:proofErr w:type="spellStart"/>
      <w:r w:rsidRPr="00225D4D">
        <w:t>utgjer</w:t>
      </w:r>
      <w:proofErr w:type="spellEnd"/>
      <w:r w:rsidRPr="00225D4D">
        <w:t xml:space="preserve"> derfor </w:t>
      </w:r>
      <w:proofErr w:type="spellStart"/>
      <w:r w:rsidRPr="00225D4D">
        <w:t>ein</w:t>
      </w:r>
      <w:proofErr w:type="spellEnd"/>
      <w:r w:rsidRPr="00225D4D">
        <w:t xml:space="preserve"> </w:t>
      </w:r>
      <w:proofErr w:type="spellStart"/>
      <w:r w:rsidRPr="00225D4D">
        <w:t>marknadssvikt</w:t>
      </w:r>
      <w:proofErr w:type="spellEnd"/>
      <w:r w:rsidRPr="00225D4D">
        <w:t>.</w:t>
      </w:r>
    </w:p>
    <w:p w14:paraId="273ACF53" w14:textId="77777777" w:rsidR="00D60186" w:rsidRPr="00225D4D" w:rsidRDefault="00D60186" w:rsidP="00225D4D">
      <w:r w:rsidRPr="00225D4D">
        <w:t>Det er anslått at det er potensial for å fjerne om lag 500 000 tonn CO</w:t>
      </w:r>
      <w:r w:rsidRPr="00225D4D">
        <w:rPr>
          <w:rStyle w:val="skrift-senket"/>
        </w:rPr>
        <w:t>2</w:t>
      </w:r>
      <w:r w:rsidRPr="00225D4D">
        <w:t xml:space="preserve"> </w:t>
      </w:r>
      <w:proofErr w:type="spellStart"/>
      <w:r w:rsidRPr="00225D4D">
        <w:t>frå</w:t>
      </w:r>
      <w:proofErr w:type="spellEnd"/>
      <w:r w:rsidRPr="00225D4D">
        <w:t xml:space="preserve"> </w:t>
      </w:r>
      <w:proofErr w:type="spellStart"/>
      <w:r w:rsidRPr="00225D4D">
        <w:t>eksisterande</w:t>
      </w:r>
      <w:proofErr w:type="spellEnd"/>
      <w:r w:rsidRPr="00225D4D">
        <w:t xml:space="preserve"> anlegg med </w:t>
      </w:r>
      <w:proofErr w:type="spellStart"/>
      <w:r w:rsidRPr="00225D4D">
        <w:t>berre</w:t>
      </w:r>
      <w:proofErr w:type="spellEnd"/>
      <w:r w:rsidRPr="00225D4D">
        <w:t xml:space="preserve"> </w:t>
      </w:r>
      <w:proofErr w:type="spellStart"/>
      <w:r w:rsidRPr="00225D4D">
        <w:t>biogene</w:t>
      </w:r>
      <w:proofErr w:type="spellEnd"/>
      <w:r w:rsidRPr="00225D4D">
        <w:t xml:space="preserve"> utslepp </w:t>
      </w:r>
      <w:proofErr w:type="spellStart"/>
      <w:r w:rsidRPr="00225D4D">
        <w:t>innan</w:t>
      </w:r>
      <w:proofErr w:type="spellEnd"/>
      <w:r w:rsidRPr="00225D4D">
        <w:t xml:space="preserve"> 2035, med </w:t>
      </w:r>
      <w:proofErr w:type="spellStart"/>
      <w:r w:rsidRPr="00225D4D">
        <w:t>tilsvarande</w:t>
      </w:r>
      <w:proofErr w:type="spellEnd"/>
      <w:r w:rsidRPr="00225D4D">
        <w:t xml:space="preserve"> potensial i framtidige anlegg. I tillegg kan direkte fangst </w:t>
      </w:r>
      <w:proofErr w:type="spellStart"/>
      <w:r w:rsidRPr="00225D4D">
        <w:t>frå</w:t>
      </w:r>
      <w:proofErr w:type="spellEnd"/>
      <w:r w:rsidRPr="00225D4D">
        <w:t xml:space="preserve"> lufta bli aktuelt. Prosjekt med blanda utslepp, det vil </w:t>
      </w:r>
      <w:proofErr w:type="spellStart"/>
      <w:r w:rsidRPr="00225D4D">
        <w:t>seie</w:t>
      </w:r>
      <w:proofErr w:type="spellEnd"/>
      <w:r w:rsidRPr="00225D4D">
        <w:t xml:space="preserve"> både fossile og </w:t>
      </w:r>
      <w:proofErr w:type="spellStart"/>
      <w:r w:rsidRPr="00225D4D">
        <w:t>biogene</w:t>
      </w:r>
      <w:proofErr w:type="spellEnd"/>
      <w:r w:rsidRPr="00225D4D">
        <w:t xml:space="preserve">, som avfallsforbrenning og produksjon av ferrolegering, har potensial til </w:t>
      </w:r>
      <w:proofErr w:type="spellStart"/>
      <w:r w:rsidRPr="00225D4D">
        <w:t>ein</w:t>
      </w:r>
      <w:proofErr w:type="spellEnd"/>
      <w:r w:rsidRPr="00225D4D">
        <w:t xml:space="preserve"> </w:t>
      </w:r>
      <w:proofErr w:type="spellStart"/>
      <w:r w:rsidRPr="00225D4D">
        <w:t>utsleppsreduksjon</w:t>
      </w:r>
      <w:proofErr w:type="spellEnd"/>
      <w:r w:rsidRPr="00225D4D">
        <w:t xml:space="preserve"> på 5 </w:t>
      </w:r>
      <w:proofErr w:type="spellStart"/>
      <w:r w:rsidRPr="00225D4D">
        <w:t>millionar</w:t>
      </w:r>
      <w:proofErr w:type="spellEnd"/>
      <w:r w:rsidRPr="00225D4D">
        <w:t xml:space="preserve"> tonn </w:t>
      </w:r>
      <w:proofErr w:type="spellStart"/>
      <w:r w:rsidRPr="00225D4D">
        <w:t>årleg</w:t>
      </w:r>
      <w:proofErr w:type="spellEnd"/>
      <w:r w:rsidRPr="00225D4D">
        <w:t xml:space="preserve"> </w:t>
      </w:r>
      <w:proofErr w:type="spellStart"/>
      <w:r w:rsidRPr="00225D4D">
        <w:t>innan</w:t>
      </w:r>
      <w:proofErr w:type="spellEnd"/>
      <w:r w:rsidRPr="00225D4D">
        <w:t xml:space="preserve"> 2035.</w:t>
      </w:r>
    </w:p>
    <w:p w14:paraId="163078CC" w14:textId="77777777" w:rsidR="00D60186" w:rsidRPr="00225D4D" w:rsidRDefault="00D60186" w:rsidP="00225D4D">
      <w:r w:rsidRPr="00225D4D">
        <w:t xml:space="preserve">Å sette </w:t>
      </w:r>
      <w:proofErr w:type="spellStart"/>
      <w:r w:rsidRPr="00225D4D">
        <w:t>ein</w:t>
      </w:r>
      <w:proofErr w:type="spellEnd"/>
      <w:r w:rsidRPr="00225D4D">
        <w:t xml:space="preserve"> pris på </w:t>
      </w:r>
      <w:proofErr w:type="spellStart"/>
      <w:r w:rsidRPr="00225D4D">
        <w:t>dei</w:t>
      </w:r>
      <w:proofErr w:type="spellEnd"/>
      <w:r w:rsidRPr="00225D4D">
        <w:t xml:space="preserve"> negative utsleppa vil </w:t>
      </w:r>
      <w:proofErr w:type="spellStart"/>
      <w:r w:rsidRPr="00225D4D">
        <w:t>vere</w:t>
      </w:r>
      <w:proofErr w:type="spellEnd"/>
      <w:r w:rsidRPr="00225D4D">
        <w:t xml:space="preserve"> den mest effektive måten å handtere </w:t>
      </w:r>
      <w:proofErr w:type="spellStart"/>
      <w:r w:rsidRPr="00225D4D">
        <w:t>ein</w:t>
      </w:r>
      <w:proofErr w:type="spellEnd"/>
      <w:r w:rsidRPr="00225D4D">
        <w:t xml:space="preserve"> </w:t>
      </w:r>
      <w:proofErr w:type="spellStart"/>
      <w:r w:rsidRPr="00225D4D">
        <w:t>marknadssvikt</w:t>
      </w:r>
      <w:proofErr w:type="spellEnd"/>
      <w:r w:rsidRPr="00225D4D">
        <w:t xml:space="preserve"> knytt til </w:t>
      </w:r>
      <w:proofErr w:type="spellStart"/>
      <w:r w:rsidRPr="00225D4D">
        <w:t>fråvær</w:t>
      </w:r>
      <w:proofErr w:type="spellEnd"/>
      <w:r w:rsidRPr="00225D4D">
        <w:t xml:space="preserve"> av </w:t>
      </w:r>
      <w:proofErr w:type="spellStart"/>
      <w:r w:rsidRPr="00225D4D">
        <w:t>prisar</w:t>
      </w:r>
      <w:proofErr w:type="spellEnd"/>
      <w:r w:rsidRPr="00225D4D">
        <w:t xml:space="preserve">. Regjeringa tar derfor sikte på å legge fram forslag i statsbudsjettet for 2027 om ei ordning som gir rett til </w:t>
      </w:r>
      <w:proofErr w:type="spellStart"/>
      <w:r w:rsidRPr="00225D4D">
        <w:t>eit</w:t>
      </w:r>
      <w:proofErr w:type="spellEnd"/>
      <w:r w:rsidRPr="00225D4D">
        <w:t xml:space="preserve"> fast </w:t>
      </w:r>
      <w:proofErr w:type="spellStart"/>
      <w:r w:rsidRPr="00225D4D">
        <w:t>tilskot</w:t>
      </w:r>
      <w:proofErr w:type="spellEnd"/>
      <w:r w:rsidRPr="00225D4D">
        <w:t xml:space="preserve"> per tonn CO</w:t>
      </w:r>
      <w:r w:rsidRPr="00225D4D">
        <w:rPr>
          <w:rStyle w:val="skrift-senket"/>
        </w:rPr>
        <w:t>2</w:t>
      </w:r>
      <w:r w:rsidRPr="00225D4D">
        <w:t xml:space="preserve"> for negative utslepp, det vil </w:t>
      </w:r>
      <w:proofErr w:type="spellStart"/>
      <w:r w:rsidRPr="00225D4D">
        <w:t>seie</w:t>
      </w:r>
      <w:proofErr w:type="spellEnd"/>
      <w:r w:rsidRPr="00225D4D">
        <w:t xml:space="preserve"> fangst av </w:t>
      </w:r>
      <w:proofErr w:type="spellStart"/>
      <w:r w:rsidRPr="00225D4D">
        <w:t>biogene</w:t>
      </w:r>
      <w:proofErr w:type="spellEnd"/>
      <w:r w:rsidRPr="00225D4D">
        <w:t xml:space="preserve"> utslepp eller fangst av CO</w:t>
      </w:r>
      <w:r w:rsidRPr="00225D4D">
        <w:rPr>
          <w:rStyle w:val="skrift-senket"/>
        </w:rPr>
        <w:t>2</w:t>
      </w:r>
      <w:r w:rsidRPr="00225D4D">
        <w:t xml:space="preserve"> direkte </w:t>
      </w:r>
      <w:proofErr w:type="spellStart"/>
      <w:r w:rsidRPr="00225D4D">
        <w:t>frå</w:t>
      </w:r>
      <w:proofErr w:type="spellEnd"/>
      <w:r w:rsidRPr="00225D4D">
        <w:t xml:space="preserve"> atmosfæren.</w:t>
      </w:r>
    </w:p>
    <w:p w14:paraId="5C96F530" w14:textId="77777777" w:rsidR="00D60186" w:rsidRPr="00225D4D" w:rsidRDefault="00D60186" w:rsidP="00225D4D">
      <w:r w:rsidRPr="00225D4D">
        <w:t xml:space="preserve">Ei slik ordning, ofte kalla «omvend avgift», </w:t>
      </w:r>
      <w:proofErr w:type="spellStart"/>
      <w:r w:rsidRPr="00225D4D">
        <w:t>inneber</w:t>
      </w:r>
      <w:proofErr w:type="spellEnd"/>
      <w:r w:rsidRPr="00225D4D">
        <w:t xml:space="preserve"> at alle kvalifiserte </w:t>
      </w:r>
      <w:proofErr w:type="spellStart"/>
      <w:r w:rsidRPr="00225D4D">
        <w:t>aktørar</w:t>
      </w:r>
      <w:proofErr w:type="spellEnd"/>
      <w:r w:rsidRPr="00225D4D">
        <w:t xml:space="preserve"> får </w:t>
      </w:r>
      <w:proofErr w:type="spellStart"/>
      <w:r w:rsidRPr="00225D4D">
        <w:t>eit</w:t>
      </w:r>
      <w:proofErr w:type="spellEnd"/>
      <w:r w:rsidRPr="00225D4D">
        <w:t xml:space="preserve"> fast beløp per tonn </w:t>
      </w:r>
      <w:proofErr w:type="spellStart"/>
      <w:r w:rsidRPr="00225D4D">
        <w:t>biogen</w:t>
      </w:r>
      <w:proofErr w:type="spellEnd"/>
      <w:r w:rsidRPr="00225D4D">
        <w:t xml:space="preserve"> CO</w:t>
      </w:r>
      <w:r w:rsidRPr="00225D4D">
        <w:rPr>
          <w:rStyle w:val="skrift-senket"/>
        </w:rPr>
        <w:t>2</w:t>
      </w:r>
      <w:r w:rsidRPr="00225D4D">
        <w:t xml:space="preserve"> som blir fanga og lagra, </w:t>
      </w:r>
      <w:proofErr w:type="spellStart"/>
      <w:r w:rsidRPr="00225D4D">
        <w:t>tilsvarande</w:t>
      </w:r>
      <w:proofErr w:type="spellEnd"/>
      <w:r w:rsidRPr="00225D4D">
        <w:t xml:space="preserve"> for eksempel CO</w:t>
      </w:r>
      <w:r w:rsidRPr="00225D4D">
        <w:rPr>
          <w:rStyle w:val="skrift-senket"/>
        </w:rPr>
        <w:t>2</w:t>
      </w:r>
      <w:r w:rsidRPr="00225D4D">
        <w:t xml:space="preserve">-avgift eller kvotepris. Dette sørger for at det også blir insentiv for reduksjon av </w:t>
      </w:r>
      <w:proofErr w:type="spellStart"/>
      <w:r w:rsidRPr="00225D4D">
        <w:t>biogene</w:t>
      </w:r>
      <w:proofErr w:type="spellEnd"/>
      <w:r w:rsidRPr="00225D4D">
        <w:t xml:space="preserve"> utslepp. I tillegg kan den </w:t>
      </w:r>
      <w:proofErr w:type="spellStart"/>
      <w:r w:rsidRPr="00225D4D">
        <w:t>vere</w:t>
      </w:r>
      <w:proofErr w:type="spellEnd"/>
      <w:r w:rsidRPr="00225D4D">
        <w:t xml:space="preserve"> administrativt effektiv for både staten og </w:t>
      </w:r>
      <w:proofErr w:type="spellStart"/>
      <w:r w:rsidRPr="00225D4D">
        <w:t>støttemottakarar</w:t>
      </w:r>
      <w:proofErr w:type="spellEnd"/>
      <w:r w:rsidRPr="00225D4D">
        <w:t xml:space="preserve">. Ordninga gir ei </w:t>
      </w:r>
      <w:proofErr w:type="spellStart"/>
      <w:r w:rsidRPr="00225D4D">
        <w:t>føreseieleg</w:t>
      </w:r>
      <w:proofErr w:type="spellEnd"/>
      <w:r w:rsidRPr="00225D4D">
        <w:t xml:space="preserve"> støtte som </w:t>
      </w:r>
      <w:proofErr w:type="spellStart"/>
      <w:r w:rsidRPr="00225D4D">
        <w:t>legg</w:t>
      </w:r>
      <w:proofErr w:type="spellEnd"/>
      <w:r w:rsidRPr="00225D4D">
        <w:t xml:space="preserve"> til rette for </w:t>
      </w:r>
      <w:proofErr w:type="spellStart"/>
      <w:r w:rsidRPr="00225D4D">
        <w:t>eit</w:t>
      </w:r>
      <w:proofErr w:type="spellEnd"/>
      <w:r w:rsidRPr="00225D4D">
        <w:t xml:space="preserve"> normalt prosjektmodningsløp, og vil kunne utløyse samfunnsøkonomisk effektive prosjekt.</w:t>
      </w:r>
    </w:p>
    <w:p w14:paraId="26490C6E" w14:textId="77777777" w:rsidR="00D60186" w:rsidRPr="00225D4D" w:rsidRDefault="00D60186" w:rsidP="00225D4D">
      <w:r w:rsidRPr="00225D4D">
        <w:t xml:space="preserve">Ei ordning som gir rett til </w:t>
      </w:r>
      <w:proofErr w:type="spellStart"/>
      <w:r w:rsidRPr="00225D4D">
        <w:t>eit</w:t>
      </w:r>
      <w:proofErr w:type="spellEnd"/>
      <w:r w:rsidRPr="00225D4D">
        <w:t xml:space="preserve"> fast </w:t>
      </w:r>
      <w:proofErr w:type="spellStart"/>
      <w:r w:rsidRPr="00225D4D">
        <w:t>tilskot</w:t>
      </w:r>
      <w:proofErr w:type="spellEnd"/>
      <w:r w:rsidRPr="00225D4D">
        <w:t xml:space="preserve"> per tonn CO</w:t>
      </w:r>
      <w:r w:rsidRPr="00225D4D">
        <w:rPr>
          <w:rStyle w:val="skrift-senket"/>
        </w:rPr>
        <w:t>2</w:t>
      </w:r>
      <w:r w:rsidRPr="00225D4D">
        <w:t xml:space="preserve"> for negative utslepp, vil </w:t>
      </w:r>
      <w:proofErr w:type="spellStart"/>
      <w:r w:rsidRPr="00225D4D">
        <w:t>vere</w:t>
      </w:r>
      <w:proofErr w:type="spellEnd"/>
      <w:r w:rsidRPr="00225D4D">
        <w:t xml:space="preserve"> </w:t>
      </w:r>
      <w:proofErr w:type="spellStart"/>
      <w:r w:rsidRPr="00225D4D">
        <w:t>eit</w:t>
      </w:r>
      <w:proofErr w:type="spellEnd"/>
      <w:r w:rsidRPr="00225D4D">
        <w:t xml:space="preserve"> tillegg til EUs </w:t>
      </w:r>
      <w:proofErr w:type="spellStart"/>
      <w:r w:rsidRPr="00225D4D">
        <w:t>kvotemarknad</w:t>
      </w:r>
      <w:proofErr w:type="spellEnd"/>
      <w:r w:rsidRPr="00225D4D">
        <w:t xml:space="preserve"> og CO</w:t>
      </w:r>
      <w:r w:rsidRPr="00225D4D">
        <w:rPr>
          <w:rStyle w:val="skrift-senket"/>
        </w:rPr>
        <w:t>2</w:t>
      </w:r>
      <w:r w:rsidRPr="00225D4D">
        <w:t xml:space="preserve">-avgifta. Ordninga vil bli tilpassa EUs kvotesystem dersom dette på sikt </w:t>
      </w:r>
      <w:proofErr w:type="spellStart"/>
      <w:r w:rsidRPr="00225D4D">
        <w:t>opnar</w:t>
      </w:r>
      <w:proofErr w:type="spellEnd"/>
      <w:r w:rsidRPr="00225D4D">
        <w:t xml:space="preserve"> for å inkludere negative utslepp. Departementet vil gå i dialog med ESA for å avklare spørsmål om statsstøtte.</w:t>
      </w:r>
    </w:p>
    <w:p w14:paraId="5B6E9134" w14:textId="77777777" w:rsidR="00D60186" w:rsidRPr="00225D4D" w:rsidRDefault="00D60186" w:rsidP="00225D4D">
      <w:r w:rsidRPr="00225D4D">
        <w:t xml:space="preserve">Departementet </w:t>
      </w:r>
      <w:proofErr w:type="spellStart"/>
      <w:r w:rsidRPr="00225D4D">
        <w:t>reknar</w:t>
      </w:r>
      <w:proofErr w:type="spellEnd"/>
      <w:r w:rsidRPr="00225D4D">
        <w:t xml:space="preserve"> rapporteringa på dette oppmodingsvedtaket som avslutta.</w:t>
      </w:r>
    </w:p>
    <w:p w14:paraId="3BC56F67" w14:textId="77777777" w:rsidR="00D60186" w:rsidRPr="00225D4D" w:rsidRDefault="00D60186" w:rsidP="00225D4D">
      <w:pPr>
        <w:pStyle w:val="avsnitt-tittel"/>
      </w:pPr>
      <w:r w:rsidRPr="00225D4D">
        <w:t>Gruvedrift på havbotnen – ingen konsesjonsrunde i 2024/2025</w:t>
      </w:r>
    </w:p>
    <w:p w14:paraId="204F9165" w14:textId="77777777" w:rsidR="00D60186" w:rsidRPr="00225D4D" w:rsidRDefault="00D60186" w:rsidP="00225D4D">
      <w:pPr>
        <w:pStyle w:val="avsnitt-undertittel"/>
      </w:pPr>
      <w:r w:rsidRPr="00225D4D">
        <w:t>Vedtak 98, 5. desember 2024</w:t>
      </w:r>
    </w:p>
    <w:p w14:paraId="27899467" w14:textId="77777777" w:rsidR="00D60186" w:rsidRPr="00225D4D" w:rsidRDefault="00D60186" w:rsidP="00225D4D">
      <w:pPr>
        <w:pStyle w:val="blokksit"/>
      </w:pPr>
      <w:r w:rsidRPr="00225D4D">
        <w:t>«</w:t>
      </w:r>
      <w:r w:rsidRPr="00225D4D">
        <w:rPr>
          <w:rStyle w:val="kursiv"/>
        </w:rPr>
        <w:t>Stortinget ber regjeringen om å ikke lyse ut første konsesjonsrunde for gruvedrift på havbunnen i 2024/2025.</w:t>
      </w:r>
      <w:r w:rsidRPr="00225D4D">
        <w:t>»</w:t>
      </w:r>
    </w:p>
    <w:p w14:paraId="640EFC8C"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 S (2024–2025) og </w:t>
      </w:r>
      <w:proofErr w:type="spellStart"/>
      <w:r w:rsidRPr="00225D4D">
        <w:t>Innst</w:t>
      </w:r>
      <w:proofErr w:type="spellEnd"/>
      <w:r w:rsidRPr="00225D4D">
        <w:t>. 2 S (2024–2025).</w:t>
      </w:r>
    </w:p>
    <w:p w14:paraId="2DFB6B7D" w14:textId="77777777" w:rsidR="00D60186" w:rsidRPr="00225D4D" w:rsidRDefault="00D60186" w:rsidP="00225D4D">
      <w:r w:rsidRPr="00225D4D">
        <w:t xml:space="preserve">Etter at areal på norsk kontinentalsokkel blei </w:t>
      </w:r>
      <w:proofErr w:type="spellStart"/>
      <w:r w:rsidRPr="00225D4D">
        <w:t>opna</w:t>
      </w:r>
      <w:proofErr w:type="spellEnd"/>
      <w:r w:rsidRPr="00225D4D">
        <w:t xml:space="preserve"> for </w:t>
      </w:r>
      <w:proofErr w:type="spellStart"/>
      <w:r w:rsidRPr="00225D4D">
        <w:t>mineralverksemd</w:t>
      </w:r>
      <w:proofErr w:type="spellEnd"/>
      <w:r w:rsidRPr="00225D4D">
        <w:t xml:space="preserve"> i april 2024, starta departementet arbeidet med første konsesjonsrunde. Departementet har mellom anna hatt forslag til areal på </w:t>
      </w:r>
      <w:proofErr w:type="spellStart"/>
      <w:r w:rsidRPr="00225D4D">
        <w:t>offentleg</w:t>
      </w:r>
      <w:proofErr w:type="spellEnd"/>
      <w:r w:rsidRPr="00225D4D">
        <w:t xml:space="preserve"> </w:t>
      </w:r>
      <w:proofErr w:type="spellStart"/>
      <w:r w:rsidRPr="00225D4D">
        <w:t>høyring</w:t>
      </w:r>
      <w:proofErr w:type="spellEnd"/>
      <w:r w:rsidRPr="00225D4D">
        <w:t xml:space="preserve">. Som følge av </w:t>
      </w:r>
      <w:proofErr w:type="spellStart"/>
      <w:r w:rsidRPr="00225D4D">
        <w:t>einigheita</w:t>
      </w:r>
      <w:proofErr w:type="spellEnd"/>
      <w:r w:rsidRPr="00225D4D">
        <w:t xml:space="preserve"> om statsbudsjettet for 2025 blei </w:t>
      </w:r>
      <w:proofErr w:type="spellStart"/>
      <w:r w:rsidRPr="00225D4D">
        <w:t>ikkje</w:t>
      </w:r>
      <w:proofErr w:type="spellEnd"/>
      <w:r w:rsidRPr="00225D4D">
        <w:t xml:space="preserve"> konsesjonsrunden lyst ut i </w:t>
      </w:r>
      <w:proofErr w:type="spellStart"/>
      <w:r w:rsidRPr="00225D4D">
        <w:t>førre</w:t>
      </w:r>
      <w:proofErr w:type="spellEnd"/>
      <w:r w:rsidRPr="00225D4D">
        <w:t xml:space="preserve"> stortingsperiode.</w:t>
      </w:r>
    </w:p>
    <w:p w14:paraId="21577214"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32C030AC" w14:textId="77777777" w:rsidR="00D60186" w:rsidRPr="00225D4D" w:rsidRDefault="00D60186" w:rsidP="00225D4D">
      <w:pPr>
        <w:pStyle w:val="avsnitt-tittel"/>
      </w:pPr>
      <w:r w:rsidRPr="00225D4D">
        <w:t xml:space="preserve">Tiltak mot høge </w:t>
      </w:r>
      <w:proofErr w:type="spellStart"/>
      <w:r w:rsidRPr="00225D4D">
        <w:t>straumprisar</w:t>
      </w:r>
      <w:proofErr w:type="spellEnd"/>
      <w:r w:rsidRPr="00225D4D">
        <w:t xml:space="preserve"> i NO2</w:t>
      </w:r>
    </w:p>
    <w:p w14:paraId="1218144C" w14:textId="77777777" w:rsidR="00D60186" w:rsidRPr="00225D4D" w:rsidRDefault="00D60186" w:rsidP="00225D4D">
      <w:pPr>
        <w:pStyle w:val="avsnitt-undertittel"/>
      </w:pPr>
      <w:r w:rsidRPr="00225D4D">
        <w:t>Vedtak 165, 13. desember 2024</w:t>
      </w:r>
    </w:p>
    <w:p w14:paraId="40CF6AF8" w14:textId="77777777" w:rsidR="00D60186" w:rsidRPr="00225D4D" w:rsidRDefault="00D60186" w:rsidP="00225D4D">
      <w:pPr>
        <w:pStyle w:val="blokksit"/>
      </w:pPr>
      <w:r w:rsidRPr="00225D4D">
        <w:t>«</w:t>
      </w:r>
      <w:r w:rsidRPr="00225D4D">
        <w:rPr>
          <w:rStyle w:val="kursiv"/>
        </w:rPr>
        <w:t>Stortinget ber regjeringen komme tilbake til Stortinget med ekstraordinære tiltak som kan innføres i NO2 (for eksempel bruk av flaskehalsinntekter) for å kompensere for ekstraordinært høye strømpriser i dette prisområdet.</w:t>
      </w:r>
      <w:r w:rsidRPr="00225D4D">
        <w:t>»</w:t>
      </w:r>
    </w:p>
    <w:p w14:paraId="7047913F"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9 L (2024–2025), </w:t>
      </w:r>
      <w:proofErr w:type="spellStart"/>
      <w:r w:rsidRPr="00225D4D">
        <w:t>Innst</w:t>
      </w:r>
      <w:proofErr w:type="spellEnd"/>
      <w:r w:rsidRPr="00225D4D">
        <w:t>. 78 L (2024–2025) og Lovvedtak 28 (2024–2025).</w:t>
      </w:r>
    </w:p>
    <w:p w14:paraId="049BFFF9" w14:textId="77777777" w:rsidR="00D60186" w:rsidRPr="00225D4D" w:rsidRDefault="00D60186" w:rsidP="00225D4D">
      <w:r w:rsidRPr="00225D4D">
        <w:t xml:space="preserve">Regjeringa har </w:t>
      </w:r>
      <w:proofErr w:type="spellStart"/>
      <w:r w:rsidRPr="00225D4D">
        <w:t>eit</w:t>
      </w:r>
      <w:proofErr w:type="spellEnd"/>
      <w:r w:rsidRPr="00225D4D">
        <w:t xml:space="preserve"> klart mål om at vi skal ha </w:t>
      </w:r>
      <w:proofErr w:type="spellStart"/>
      <w:r w:rsidRPr="00225D4D">
        <w:t>rikeleg</w:t>
      </w:r>
      <w:proofErr w:type="spellEnd"/>
      <w:r w:rsidRPr="00225D4D">
        <w:t xml:space="preserve"> tilgang på rein og </w:t>
      </w:r>
      <w:proofErr w:type="spellStart"/>
      <w:r w:rsidRPr="00225D4D">
        <w:t>rimeleg</w:t>
      </w:r>
      <w:proofErr w:type="spellEnd"/>
      <w:r w:rsidRPr="00225D4D">
        <w:t xml:space="preserve"> energi over heile landet, og at det </w:t>
      </w:r>
      <w:proofErr w:type="spellStart"/>
      <w:r w:rsidRPr="00225D4D">
        <w:t>ikkje</w:t>
      </w:r>
      <w:proofErr w:type="spellEnd"/>
      <w:r w:rsidRPr="00225D4D">
        <w:t xml:space="preserve"> skal </w:t>
      </w:r>
      <w:proofErr w:type="spellStart"/>
      <w:r w:rsidRPr="00225D4D">
        <w:t>vere</w:t>
      </w:r>
      <w:proofErr w:type="spellEnd"/>
      <w:r w:rsidRPr="00225D4D">
        <w:t xml:space="preserve"> store og langvarige </w:t>
      </w:r>
      <w:proofErr w:type="spellStart"/>
      <w:r w:rsidRPr="00225D4D">
        <w:t>prisforskjellar</w:t>
      </w:r>
      <w:proofErr w:type="spellEnd"/>
      <w:r w:rsidRPr="00225D4D">
        <w:t xml:space="preserve"> mellom ulike </w:t>
      </w:r>
      <w:proofErr w:type="spellStart"/>
      <w:r w:rsidRPr="00225D4D">
        <w:t>bodområde</w:t>
      </w:r>
      <w:proofErr w:type="spellEnd"/>
      <w:r w:rsidRPr="00225D4D">
        <w:t>.</w:t>
      </w:r>
    </w:p>
    <w:p w14:paraId="6FB79E17" w14:textId="77777777" w:rsidR="00D60186" w:rsidRPr="00225D4D" w:rsidRDefault="00D60186" w:rsidP="00225D4D">
      <w:r w:rsidRPr="00225D4D">
        <w:t xml:space="preserve">Regjeringa innfører </w:t>
      </w:r>
      <w:proofErr w:type="spellStart"/>
      <w:r w:rsidRPr="00225D4D">
        <w:t>Noregspris</w:t>
      </w:r>
      <w:proofErr w:type="spellEnd"/>
      <w:r w:rsidRPr="00225D4D">
        <w:t xml:space="preserve">. Med </w:t>
      </w:r>
      <w:proofErr w:type="spellStart"/>
      <w:r w:rsidRPr="00225D4D">
        <w:t>Noregspris</w:t>
      </w:r>
      <w:proofErr w:type="spellEnd"/>
      <w:r w:rsidRPr="00225D4D">
        <w:t xml:space="preserve"> kan folk </w:t>
      </w:r>
      <w:proofErr w:type="spellStart"/>
      <w:r w:rsidRPr="00225D4D">
        <w:t>velje</w:t>
      </w:r>
      <w:proofErr w:type="spellEnd"/>
      <w:r w:rsidRPr="00225D4D">
        <w:t xml:space="preserve"> </w:t>
      </w:r>
      <w:proofErr w:type="spellStart"/>
      <w:r w:rsidRPr="00225D4D">
        <w:t>ein</w:t>
      </w:r>
      <w:proofErr w:type="spellEnd"/>
      <w:r w:rsidRPr="00225D4D">
        <w:t xml:space="preserve"> fast pris på </w:t>
      </w:r>
      <w:proofErr w:type="spellStart"/>
      <w:r w:rsidRPr="00225D4D">
        <w:t>straum</w:t>
      </w:r>
      <w:proofErr w:type="spellEnd"/>
      <w:r w:rsidRPr="00225D4D">
        <w:t xml:space="preserve"> på 40 øre per kWh </w:t>
      </w:r>
      <w:proofErr w:type="spellStart"/>
      <w:r w:rsidRPr="00225D4D">
        <w:t>ekslusiv</w:t>
      </w:r>
      <w:proofErr w:type="spellEnd"/>
      <w:r w:rsidRPr="00225D4D">
        <w:t xml:space="preserve"> </w:t>
      </w:r>
      <w:proofErr w:type="spellStart"/>
      <w:r w:rsidRPr="00225D4D">
        <w:t>meirverdigavgift</w:t>
      </w:r>
      <w:proofErr w:type="spellEnd"/>
      <w:r w:rsidRPr="00225D4D">
        <w:t xml:space="preserve">, heime og på hytta. Dei som </w:t>
      </w:r>
      <w:proofErr w:type="spellStart"/>
      <w:r w:rsidRPr="00225D4D">
        <w:t>ikkje</w:t>
      </w:r>
      <w:proofErr w:type="spellEnd"/>
      <w:r w:rsidRPr="00225D4D">
        <w:t xml:space="preserve"> vel </w:t>
      </w:r>
      <w:proofErr w:type="spellStart"/>
      <w:r w:rsidRPr="00225D4D">
        <w:t>Noregspris</w:t>
      </w:r>
      <w:proofErr w:type="spellEnd"/>
      <w:r w:rsidRPr="00225D4D">
        <w:t xml:space="preserve"> heime, vil </w:t>
      </w:r>
      <w:proofErr w:type="spellStart"/>
      <w:r w:rsidRPr="00225D4D">
        <w:t>framleis</w:t>
      </w:r>
      <w:proofErr w:type="spellEnd"/>
      <w:r w:rsidRPr="00225D4D">
        <w:t xml:space="preserve"> få straumstønad. Det er også lagt til rette for </w:t>
      </w:r>
      <w:proofErr w:type="spellStart"/>
      <w:r w:rsidRPr="00225D4D">
        <w:t>fastprisavtalar</w:t>
      </w:r>
      <w:proofErr w:type="spellEnd"/>
      <w:r w:rsidRPr="00225D4D">
        <w:t xml:space="preserve"> for næringslivet gjennom </w:t>
      </w:r>
      <w:proofErr w:type="spellStart"/>
      <w:r w:rsidRPr="00225D4D">
        <w:t>eit</w:t>
      </w:r>
      <w:proofErr w:type="spellEnd"/>
      <w:r w:rsidRPr="00225D4D">
        <w:t xml:space="preserve"> kontraktsunntak for standardiserte </w:t>
      </w:r>
      <w:proofErr w:type="spellStart"/>
      <w:r w:rsidRPr="00225D4D">
        <w:t>fastprisavtalar</w:t>
      </w:r>
      <w:proofErr w:type="spellEnd"/>
      <w:r w:rsidRPr="00225D4D">
        <w:t xml:space="preserve"> i grunnrenteskatten for vasskraft. Dermed kan også bedrifter </w:t>
      </w:r>
      <w:proofErr w:type="spellStart"/>
      <w:r w:rsidRPr="00225D4D">
        <w:t>enklare</w:t>
      </w:r>
      <w:proofErr w:type="spellEnd"/>
      <w:r w:rsidRPr="00225D4D">
        <w:t xml:space="preserve"> sikre seg </w:t>
      </w:r>
      <w:proofErr w:type="spellStart"/>
      <w:r w:rsidRPr="00225D4D">
        <w:t>føreseielege</w:t>
      </w:r>
      <w:proofErr w:type="spellEnd"/>
      <w:r w:rsidRPr="00225D4D">
        <w:t xml:space="preserve"> </w:t>
      </w:r>
      <w:proofErr w:type="spellStart"/>
      <w:r w:rsidRPr="00225D4D">
        <w:t>straumprisar</w:t>
      </w:r>
      <w:proofErr w:type="spellEnd"/>
      <w:r w:rsidRPr="00225D4D">
        <w:t>. I august 2025 kunne bedrifter i NO2 (Sør) inngå fastprisavtale ned mot 69 øre per kWh.</w:t>
      </w:r>
    </w:p>
    <w:p w14:paraId="7238BFC1" w14:textId="77777777" w:rsidR="00D60186" w:rsidRPr="00225D4D" w:rsidRDefault="00D60186" w:rsidP="00225D4D">
      <w:r w:rsidRPr="00225D4D">
        <w:t xml:space="preserve">Regjeringa har også innført tiltak for </w:t>
      </w:r>
      <w:proofErr w:type="spellStart"/>
      <w:r w:rsidRPr="00225D4D">
        <w:t>lågare</w:t>
      </w:r>
      <w:proofErr w:type="spellEnd"/>
      <w:r w:rsidRPr="00225D4D">
        <w:t xml:space="preserve"> </w:t>
      </w:r>
      <w:proofErr w:type="spellStart"/>
      <w:r w:rsidRPr="00225D4D">
        <w:t>nettleiga</w:t>
      </w:r>
      <w:proofErr w:type="spellEnd"/>
      <w:r w:rsidRPr="00225D4D">
        <w:t xml:space="preserve">. </w:t>
      </w:r>
      <w:proofErr w:type="spellStart"/>
      <w:r w:rsidRPr="00225D4D">
        <w:t>Frå</w:t>
      </w:r>
      <w:proofErr w:type="spellEnd"/>
      <w:r w:rsidRPr="00225D4D">
        <w:t xml:space="preserve"> 1. oktober 2025 blei elavgifta </w:t>
      </w:r>
      <w:proofErr w:type="spellStart"/>
      <w:r w:rsidRPr="00225D4D">
        <w:t>ytterlegare</w:t>
      </w:r>
      <w:proofErr w:type="spellEnd"/>
      <w:r w:rsidRPr="00225D4D">
        <w:t xml:space="preserve"> redusert, </w:t>
      </w:r>
      <w:proofErr w:type="spellStart"/>
      <w:r w:rsidRPr="00225D4D">
        <w:t>noko</w:t>
      </w:r>
      <w:proofErr w:type="spellEnd"/>
      <w:r w:rsidRPr="00225D4D">
        <w:t xml:space="preserve"> som gir </w:t>
      </w:r>
      <w:proofErr w:type="spellStart"/>
      <w:r w:rsidRPr="00225D4D">
        <w:t>eit</w:t>
      </w:r>
      <w:proofErr w:type="spellEnd"/>
      <w:r w:rsidRPr="00225D4D">
        <w:t xml:space="preserve"> </w:t>
      </w:r>
      <w:proofErr w:type="spellStart"/>
      <w:r w:rsidRPr="00225D4D">
        <w:t>årleg</w:t>
      </w:r>
      <w:proofErr w:type="spellEnd"/>
      <w:r w:rsidRPr="00225D4D">
        <w:t xml:space="preserve"> avgiftskutt på om lag 3 </w:t>
      </w:r>
      <w:proofErr w:type="spellStart"/>
      <w:r w:rsidRPr="00225D4D">
        <w:t>milliardar</w:t>
      </w:r>
      <w:proofErr w:type="spellEnd"/>
      <w:r w:rsidRPr="00225D4D">
        <w:t xml:space="preserve"> kroner for folk og næringsliv i heile landet. I statsbudsjettet for 2026 foreslår regjeringa å innføre </w:t>
      </w:r>
      <w:proofErr w:type="spellStart"/>
      <w:r w:rsidRPr="00225D4D">
        <w:t>ein</w:t>
      </w:r>
      <w:proofErr w:type="spellEnd"/>
      <w:r w:rsidRPr="00225D4D">
        <w:t xml:space="preserve"> felles sats på 4,18 øre per kWh i elavgift, </w:t>
      </w:r>
      <w:proofErr w:type="spellStart"/>
      <w:r w:rsidRPr="00225D4D">
        <w:t>noko</w:t>
      </w:r>
      <w:proofErr w:type="spellEnd"/>
      <w:r w:rsidRPr="00225D4D">
        <w:t xml:space="preserve"> som </w:t>
      </w:r>
      <w:proofErr w:type="spellStart"/>
      <w:r w:rsidRPr="00225D4D">
        <w:t>kuttar</w:t>
      </w:r>
      <w:proofErr w:type="spellEnd"/>
      <w:r w:rsidRPr="00225D4D">
        <w:t xml:space="preserve"> avgiftene med om lag 4 </w:t>
      </w:r>
      <w:proofErr w:type="spellStart"/>
      <w:r w:rsidRPr="00225D4D">
        <w:t>milliardar</w:t>
      </w:r>
      <w:proofErr w:type="spellEnd"/>
      <w:r w:rsidRPr="00225D4D">
        <w:t xml:space="preserve"> kroner til. Samtidig blir flaskehalsinntekter brukte til å </w:t>
      </w:r>
      <w:proofErr w:type="spellStart"/>
      <w:r w:rsidRPr="00225D4D">
        <w:t>halde</w:t>
      </w:r>
      <w:proofErr w:type="spellEnd"/>
      <w:r w:rsidRPr="00225D4D">
        <w:t xml:space="preserve"> </w:t>
      </w:r>
      <w:proofErr w:type="spellStart"/>
      <w:r w:rsidRPr="00225D4D">
        <w:t>nettleiga</w:t>
      </w:r>
      <w:proofErr w:type="spellEnd"/>
      <w:r w:rsidRPr="00225D4D">
        <w:t xml:space="preserve"> nede i område med høge </w:t>
      </w:r>
      <w:proofErr w:type="spellStart"/>
      <w:r w:rsidRPr="00225D4D">
        <w:t>kraftprisar</w:t>
      </w:r>
      <w:proofErr w:type="spellEnd"/>
      <w:r w:rsidRPr="00225D4D">
        <w:t xml:space="preserve">. </w:t>
      </w:r>
      <w:proofErr w:type="spellStart"/>
      <w:r w:rsidRPr="00225D4D">
        <w:t>Sidan</w:t>
      </w:r>
      <w:proofErr w:type="spellEnd"/>
      <w:r w:rsidRPr="00225D4D">
        <w:t xml:space="preserve"> ordninga kom på plass, er det utbetalt om lag 10 </w:t>
      </w:r>
      <w:proofErr w:type="spellStart"/>
      <w:r w:rsidRPr="00225D4D">
        <w:t>milliardar</w:t>
      </w:r>
      <w:proofErr w:type="spellEnd"/>
      <w:r w:rsidRPr="00225D4D">
        <w:t xml:space="preserve"> kroner til redusert </w:t>
      </w:r>
      <w:proofErr w:type="spellStart"/>
      <w:r w:rsidRPr="00225D4D">
        <w:t>nettleige</w:t>
      </w:r>
      <w:proofErr w:type="spellEnd"/>
      <w:r w:rsidRPr="00225D4D">
        <w:t xml:space="preserve">. Ordninga er knytt til prisnivået i </w:t>
      </w:r>
      <w:proofErr w:type="spellStart"/>
      <w:r w:rsidRPr="00225D4D">
        <w:t>dei</w:t>
      </w:r>
      <w:proofErr w:type="spellEnd"/>
      <w:r w:rsidRPr="00225D4D">
        <w:t xml:space="preserve"> enkelte prisområda, og det </w:t>
      </w:r>
      <w:proofErr w:type="spellStart"/>
      <w:r w:rsidRPr="00225D4D">
        <w:t>inneber</w:t>
      </w:r>
      <w:proofErr w:type="spellEnd"/>
      <w:r w:rsidRPr="00225D4D">
        <w:t xml:space="preserve"> at det er </w:t>
      </w:r>
      <w:proofErr w:type="spellStart"/>
      <w:r w:rsidRPr="00225D4D">
        <w:t>nettkundane</w:t>
      </w:r>
      <w:proofErr w:type="spellEnd"/>
      <w:r w:rsidRPr="00225D4D">
        <w:t xml:space="preserve"> som har </w:t>
      </w:r>
      <w:proofErr w:type="spellStart"/>
      <w:r w:rsidRPr="00225D4D">
        <w:t>dei</w:t>
      </w:r>
      <w:proofErr w:type="spellEnd"/>
      <w:r w:rsidRPr="00225D4D">
        <w:t xml:space="preserve"> </w:t>
      </w:r>
      <w:proofErr w:type="spellStart"/>
      <w:r w:rsidRPr="00225D4D">
        <w:t>høgaste</w:t>
      </w:r>
      <w:proofErr w:type="spellEnd"/>
      <w:r w:rsidRPr="00225D4D">
        <w:t xml:space="preserve"> kostnadene knytte til sitt kraftforbruk som får </w:t>
      </w:r>
      <w:proofErr w:type="spellStart"/>
      <w:r w:rsidRPr="00225D4D">
        <w:t>dei</w:t>
      </w:r>
      <w:proofErr w:type="spellEnd"/>
      <w:r w:rsidRPr="00225D4D">
        <w:t xml:space="preserve"> største </w:t>
      </w:r>
      <w:proofErr w:type="spellStart"/>
      <w:r w:rsidRPr="00225D4D">
        <w:t>overføringane</w:t>
      </w:r>
      <w:proofErr w:type="spellEnd"/>
      <w:r w:rsidRPr="00225D4D">
        <w:t xml:space="preserve"> </w:t>
      </w:r>
      <w:proofErr w:type="spellStart"/>
      <w:r w:rsidRPr="00225D4D">
        <w:t>frå</w:t>
      </w:r>
      <w:proofErr w:type="spellEnd"/>
      <w:r w:rsidRPr="00225D4D">
        <w:t xml:space="preserve"> ordninga. </w:t>
      </w:r>
      <w:proofErr w:type="spellStart"/>
      <w:r w:rsidRPr="00225D4D">
        <w:t>Følgeleg</w:t>
      </w:r>
      <w:proofErr w:type="spellEnd"/>
      <w:r w:rsidRPr="00225D4D">
        <w:t xml:space="preserve"> er det </w:t>
      </w:r>
      <w:proofErr w:type="spellStart"/>
      <w:r w:rsidRPr="00225D4D">
        <w:t>kundane</w:t>
      </w:r>
      <w:proofErr w:type="spellEnd"/>
      <w:r w:rsidRPr="00225D4D">
        <w:t xml:space="preserve"> i prisområde NO2 (Sør) som har blitt mest kompensert.</w:t>
      </w:r>
    </w:p>
    <w:p w14:paraId="0621426F" w14:textId="77777777" w:rsidR="00D60186" w:rsidRPr="00225D4D" w:rsidRDefault="00D60186" w:rsidP="00225D4D">
      <w:r w:rsidRPr="00225D4D">
        <w:t xml:space="preserve">Det </w:t>
      </w:r>
      <w:proofErr w:type="spellStart"/>
      <w:r w:rsidRPr="00225D4D">
        <w:t>viktigaste</w:t>
      </w:r>
      <w:proofErr w:type="spellEnd"/>
      <w:r w:rsidRPr="00225D4D">
        <w:t xml:space="preserve"> tiltaket for å redusere </w:t>
      </w:r>
      <w:proofErr w:type="spellStart"/>
      <w:r w:rsidRPr="00225D4D">
        <w:t>prisforskjellane</w:t>
      </w:r>
      <w:proofErr w:type="spellEnd"/>
      <w:r w:rsidRPr="00225D4D">
        <w:t xml:space="preserve"> på lang sikt er å sikre </w:t>
      </w:r>
      <w:proofErr w:type="spellStart"/>
      <w:r w:rsidRPr="00225D4D">
        <w:t>meir</w:t>
      </w:r>
      <w:proofErr w:type="spellEnd"/>
      <w:r w:rsidRPr="00225D4D">
        <w:t xml:space="preserve"> kraftproduksjon, betre nettkapasitet og </w:t>
      </w:r>
      <w:proofErr w:type="spellStart"/>
      <w:r w:rsidRPr="00225D4D">
        <w:t>meir</w:t>
      </w:r>
      <w:proofErr w:type="spellEnd"/>
      <w:r w:rsidRPr="00225D4D">
        <w:t xml:space="preserve"> effektiv bruk av det </w:t>
      </w:r>
      <w:proofErr w:type="spellStart"/>
      <w:r w:rsidRPr="00225D4D">
        <w:t>eksisterande</w:t>
      </w:r>
      <w:proofErr w:type="spellEnd"/>
      <w:r w:rsidRPr="00225D4D">
        <w:t xml:space="preserve"> nettet. Det er regjeringa godt i gang med å gjennomføre.</w:t>
      </w:r>
    </w:p>
    <w:p w14:paraId="44FE3E6B"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68AD5B25" w14:textId="77777777" w:rsidR="00D60186" w:rsidRPr="00225D4D" w:rsidRDefault="00D60186" w:rsidP="00225D4D">
      <w:pPr>
        <w:pStyle w:val="avsnitt-tittel"/>
      </w:pPr>
      <w:r w:rsidRPr="00225D4D">
        <w:t xml:space="preserve">Gjennomgang av </w:t>
      </w:r>
      <w:proofErr w:type="spellStart"/>
      <w:r w:rsidRPr="00225D4D">
        <w:t>Noregs</w:t>
      </w:r>
      <w:proofErr w:type="spellEnd"/>
      <w:r w:rsidRPr="00225D4D">
        <w:t xml:space="preserve"> </w:t>
      </w:r>
      <w:proofErr w:type="spellStart"/>
      <w:r w:rsidRPr="00225D4D">
        <w:t>føresetnader</w:t>
      </w:r>
      <w:proofErr w:type="spellEnd"/>
      <w:r w:rsidRPr="00225D4D">
        <w:t xml:space="preserve"> for kjernekraft med IAEA</w:t>
      </w:r>
    </w:p>
    <w:p w14:paraId="5D8E9732" w14:textId="77777777" w:rsidR="00D60186" w:rsidRPr="00225D4D" w:rsidRDefault="00D60186" w:rsidP="00225D4D">
      <w:pPr>
        <w:pStyle w:val="avsnitt-undertittel"/>
      </w:pPr>
      <w:r w:rsidRPr="00225D4D">
        <w:t>Vedtak 543, 1. april 2025</w:t>
      </w:r>
    </w:p>
    <w:p w14:paraId="424B4390" w14:textId="77777777" w:rsidR="00D60186" w:rsidRPr="00225D4D" w:rsidRDefault="00D60186" w:rsidP="00225D4D">
      <w:pPr>
        <w:pStyle w:val="blokksit"/>
      </w:pPr>
      <w:r w:rsidRPr="00225D4D">
        <w:t>«</w:t>
      </w:r>
      <w:r w:rsidRPr="00225D4D">
        <w:rPr>
          <w:rStyle w:val="kursiv"/>
        </w:rPr>
        <w:t>Stortinget ber regjeringen i oppfølgingen av Kjernekraftutvalgets rapport vurdere å sende en forespørsel til IAEA om å foreta en gjennomgang av Norges forutsetninger for å etablere kjernekraft (en INIR-revisjon).</w:t>
      </w:r>
      <w:r w:rsidRPr="00225D4D">
        <w:t>»</w:t>
      </w:r>
    </w:p>
    <w:p w14:paraId="5C6BC274" w14:textId="77777777" w:rsidR="00D60186" w:rsidRPr="00225D4D" w:rsidRDefault="00D60186" w:rsidP="00225D4D">
      <w:r w:rsidRPr="00225D4D">
        <w:t xml:space="preserve">Dokumenta som ligg til grunn for vedtaket er Dokument 8:57 S (2024–2025) og </w:t>
      </w:r>
      <w:proofErr w:type="spellStart"/>
      <w:r w:rsidRPr="00225D4D">
        <w:t>Innst</w:t>
      </w:r>
      <w:proofErr w:type="spellEnd"/>
      <w:r w:rsidRPr="00225D4D">
        <w:t>. 185 S (2024–2025).</w:t>
      </w:r>
    </w:p>
    <w:p w14:paraId="2D0FBF7F" w14:textId="77777777" w:rsidR="00D60186" w:rsidRPr="00225D4D" w:rsidRDefault="00D60186" w:rsidP="00225D4D">
      <w:r w:rsidRPr="00225D4D">
        <w:t xml:space="preserve">Ved </w:t>
      </w:r>
      <w:proofErr w:type="spellStart"/>
      <w:r w:rsidRPr="00225D4D">
        <w:t>kongeleg</w:t>
      </w:r>
      <w:proofErr w:type="spellEnd"/>
      <w:r w:rsidRPr="00225D4D">
        <w:t xml:space="preserve"> resolusjon 21. juni 2024 blei det </w:t>
      </w:r>
      <w:proofErr w:type="spellStart"/>
      <w:r w:rsidRPr="00225D4D">
        <w:t>oppnemnt</w:t>
      </w:r>
      <w:proofErr w:type="spellEnd"/>
      <w:r w:rsidRPr="00225D4D">
        <w:t xml:space="preserve"> </w:t>
      </w:r>
      <w:proofErr w:type="spellStart"/>
      <w:r w:rsidRPr="00225D4D">
        <w:t>eit</w:t>
      </w:r>
      <w:proofErr w:type="spellEnd"/>
      <w:r w:rsidRPr="00225D4D">
        <w:t xml:space="preserve"> </w:t>
      </w:r>
      <w:proofErr w:type="spellStart"/>
      <w:r w:rsidRPr="00225D4D">
        <w:t>utval</w:t>
      </w:r>
      <w:proofErr w:type="spellEnd"/>
      <w:r w:rsidRPr="00225D4D">
        <w:t xml:space="preserve"> som skal greie ut kjernekraft som ei </w:t>
      </w:r>
      <w:proofErr w:type="spellStart"/>
      <w:r w:rsidRPr="00225D4D">
        <w:t>mogleg</w:t>
      </w:r>
      <w:proofErr w:type="spellEnd"/>
      <w:r w:rsidRPr="00225D4D">
        <w:t xml:space="preserve"> kraftkjelde i </w:t>
      </w:r>
      <w:proofErr w:type="spellStart"/>
      <w:r w:rsidRPr="00225D4D">
        <w:t>Noreg</w:t>
      </w:r>
      <w:proofErr w:type="spellEnd"/>
      <w:r w:rsidRPr="00225D4D">
        <w:t xml:space="preserve">. </w:t>
      </w:r>
      <w:proofErr w:type="spellStart"/>
      <w:r w:rsidRPr="00225D4D">
        <w:t>Utvalet</w:t>
      </w:r>
      <w:proofErr w:type="spellEnd"/>
      <w:r w:rsidRPr="00225D4D">
        <w:t xml:space="preserve"> skal levere rapport </w:t>
      </w:r>
      <w:proofErr w:type="spellStart"/>
      <w:r w:rsidRPr="00225D4D">
        <w:t>innan</w:t>
      </w:r>
      <w:proofErr w:type="spellEnd"/>
      <w:r w:rsidRPr="00225D4D">
        <w:t xml:space="preserve"> 1. april 2026. Deretter vil departementet vurdere å sende </w:t>
      </w:r>
      <w:proofErr w:type="spellStart"/>
      <w:r w:rsidRPr="00225D4D">
        <w:t>ein</w:t>
      </w:r>
      <w:proofErr w:type="spellEnd"/>
      <w:r w:rsidRPr="00225D4D">
        <w:t xml:space="preserve"> </w:t>
      </w:r>
      <w:proofErr w:type="spellStart"/>
      <w:r w:rsidRPr="00225D4D">
        <w:t>førespurnad</w:t>
      </w:r>
      <w:proofErr w:type="spellEnd"/>
      <w:r w:rsidRPr="00225D4D">
        <w:t xml:space="preserve"> til IAEA om å gå gjennom </w:t>
      </w:r>
      <w:proofErr w:type="spellStart"/>
      <w:r w:rsidRPr="00225D4D">
        <w:t>Noregs</w:t>
      </w:r>
      <w:proofErr w:type="spellEnd"/>
      <w:r w:rsidRPr="00225D4D">
        <w:t xml:space="preserve"> </w:t>
      </w:r>
      <w:proofErr w:type="spellStart"/>
      <w:r w:rsidRPr="00225D4D">
        <w:t>føresetnader</w:t>
      </w:r>
      <w:proofErr w:type="spellEnd"/>
      <w:r w:rsidRPr="00225D4D">
        <w:t xml:space="preserve"> for å etablere kjernekraft.</w:t>
      </w:r>
    </w:p>
    <w:p w14:paraId="50323F6E" w14:textId="77777777" w:rsidR="00D60186" w:rsidRPr="00225D4D" w:rsidRDefault="00D60186" w:rsidP="00225D4D">
      <w:r w:rsidRPr="00225D4D">
        <w:t xml:space="preserve">Departementet </w:t>
      </w:r>
      <w:proofErr w:type="spellStart"/>
      <w:r w:rsidRPr="00225D4D">
        <w:t>reknar</w:t>
      </w:r>
      <w:proofErr w:type="spellEnd"/>
      <w:r w:rsidRPr="00225D4D">
        <w:t xml:space="preserve"> rapporteringa på dette oppmodingsvedtaket som avslutta.</w:t>
      </w:r>
    </w:p>
    <w:p w14:paraId="32B84610" w14:textId="77777777" w:rsidR="00D60186" w:rsidRPr="00225D4D" w:rsidRDefault="00D60186" w:rsidP="00225D4D">
      <w:pPr>
        <w:pStyle w:val="avsnitt-tittel"/>
      </w:pPr>
      <w:r w:rsidRPr="00225D4D">
        <w:t xml:space="preserve">Prioritering av nasjonale </w:t>
      </w:r>
      <w:proofErr w:type="spellStart"/>
      <w:r w:rsidRPr="00225D4D">
        <w:t>sikkerheitsinteresser</w:t>
      </w:r>
      <w:proofErr w:type="spellEnd"/>
      <w:r w:rsidRPr="00225D4D">
        <w:t xml:space="preserve"> i straumnettet</w:t>
      </w:r>
    </w:p>
    <w:p w14:paraId="6264AB41" w14:textId="77777777" w:rsidR="00D60186" w:rsidRPr="00225D4D" w:rsidRDefault="00D60186" w:rsidP="00225D4D">
      <w:pPr>
        <w:pStyle w:val="avsnitt-undertittel"/>
      </w:pPr>
      <w:r w:rsidRPr="00225D4D">
        <w:t>Vedtak 605, 6. mai 2025</w:t>
      </w:r>
    </w:p>
    <w:p w14:paraId="4B0AB57A" w14:textId="77777777" w:rsidR="00D60186" w:rsidRPr="00225D4D" w:rsidRDefault="00D60186" w:rsidP="00225D4D">
      <w:pPr>
        <w:pStyle w:val="blokksit"/>
      </w:pPr>
      <w:r w:rsidRPr="00225D4D">
        <w:t>«</w:t>
      </w:r>
      <w:r w:rsidRPr="00225D4D">
        <w:rPr>
          <w:rStyle w:val="kursiv"/>
        </w:rPr>
        <w:t>Stortinget ber regjeringen iverksette nødvendige tiltak for at forsvarsindustrien og andre kritiske samfunnsfunksjoner med betydning for nasjonale sikkerhetsinteresser kan gis særskilt prioritering av strømnett. Dersom dette ikke er mulig med dagens lovgivning, bes regjeringen om å fremme nødvendige forslag slik at slik prioritering lar seg gjøre, og komme tilbake til Stortinget på egnet måte.</w:t>
      </w:r>
      <w:r w:rsidRPr="00225D4D">
        <w:t>»</w:t>
      </w:r>
    </w:p>
    <w:p w14:paraId="74E0F37E" w14:textId="77777777" w:rsidR="00D60186" w:rsidRPr="00225D4D" w:rsidRDefault="00D60186" w:rsidP="00225D4D">
      <w:r w:rsidRPr="00225D4D">
        <w:t xml:space="preserve">Dokumenta som ligg til grunn for vedtaket er Dokument 8:106 S (2024–2025) og </w:t>
      </w:r>
      <w:proofErr w:type="spellStart"/>
      <w:r w:rsidRPr="00225D4D">
        <w:t>Innst</w:t>
      </w:r>
      <w:proofErr w:type="spellEnd"/>
      <w:r w:rsidRPr="00225D4D">
        <w:t>. 224 S (2024–2025).</w:t>
      </w:r>
    </w:p>
    <w:p w14:paraId="74EA115F" w14:textId="77777777" w:rsidR="00D60186" w:rsidRPr="00225D4D" w:rsidRDefault="00D60186" w:rsidP="00225D4D">
      <w:r w:rsidRPr="00225D4D">
        <w:t xml:space="preserve">Energidepartementet har </w:t>
      </w:r>
      <w:proofErr w:type="spellStart"/>
      <w:r w:rsidRPr="00225D4D">
        <w:t>nyleg</w:t>
      </w:r>
      <w:proofErr w:type="spellEnd"/>
      <w:r w:rsidRPr="00225D4D">
        <w:t xml:space="preserve"> hatt på </w:t>
      </w:r>
      <w:proofErr w:type="spellStart"/>
      <w:r w:rsidRPr="00225D4D">
        <w:t>høyring</w:t>
      </w:r>
      <w:proofErr w:type="spellEnd"/>
      <w:r w:rsidRPr="00225D4D">
        <w:t xml:space="preserve"> </w:t>
      </w:r>
      <w:proofErr w:type="spellStart"/>
      <w:r w:rsidRPr="00225D4D">
        <w:t>eit</w:t>
      </w:r>
      <w:proofErr w:type="spellEnd"/>
      <w:r w:rsidRPr="00225D4D">
        <w:t xml:space="preserve"> forslag til </w:t>
      </w:r>
      <w:proofErr w:type="spellStart"/>
      <w:r w:rsidRPr="00225D4D">
        <w:t>endringar</w:t>
      </w:r>
      <w:proofErr w:type="spellEnd"/>
      <w:r w:rsidRPr="00225D4D">
        <w:t xml:space="preserve"> i energilova som </w:t>
      </w:r>
      <w:proofErr w:type="spellStart"/>
      <w:r w:rsidRPr="00225D4D">
        <w:t>opnar</w:t>
      </w:r>
      <w:proofErr w:type="spellEnd"/>
      <w:r w:rsidRPr="00225D4D">
        <w:t xml:space="preserve"> for å prioritere nasjonale </w:t>
      </w:r>
      <w:proofErr w:type="spellStart"/>
      <w:r w:rsidRPr="00225D4D">
        <w:t>sikkerheitsinteresser</w:t>
      </w:r>
      <w:proofErr w:type="spellEnd"/>
      <w:r w:rsidRPr="00225D4D">
        <w:t xml:space="preserve"> ved </w:t>
      </w:r>
      <w:proofErr w:type="spellStart"/>
      <w:r w:rsidRPr="00225D4D">
        <w:t>tilknyting</w:t>
      </w:r>
      <w:proofErr w:type="spellEnd"/>
      <w:r w:rsidRPr="00225D4D">
        <w:t xml:space="preserve"> til straumnettet. Forslaget </w:t>
      </w:r>
      <w:proofErr w:type="spellStart"/>
      <w:r w:rsidRPr="00225D4D">
        <w:t>inneber</w:t>
      </w:r>
      <w:proofErr w:type="spellEnd"/>
      <w:r w:rsidRPr="00225D4D">
        <w:t xml:space="preserve"> at Kongen kan </w:t>
      </w:r>
      <w:proofErr w:type="spellStart"/>
      <w:r w:rsidRPr="00225D4D">
        <w:t>gjere</w:t>
      </w:r>
      <w:proofErr w:type="spellEnd"/>
      <w:r w:rsidRPr="00225D4D">
        <w:t xml:space="preserve"> vedtak overfor nettselskapa om å prioritere </w:t>
      </w:r>
      <w:proofErr w:type="spellStart"/>
      <w:r w:rsidRPr="00225D4D">
        <w:t>ein</w:t>
      </w:r>
      <w:proofErr w:type="spellEnd"/>
      <w:r w:rsidRPr="00225D4D">
        <w:t xml:space="preserve"> bestemt uttakskunde når det er nødvendig av omsyn til nasjonale </w:t>
      </w:r>
      <w:proofErr w:type="spellStart"/>
      <w:r w:rsidRPr="00225D4D">
        <w:t>sikkerheitsinteresser</w:t>
      </w:r>
      <w:proofErr w:type="spellEnd"/>
      <w:r w:rsidRPr="00225D4D">
        <w:t xml:space="preserve">. Departementet har foreslått at definisjonen av nasjonale </w:t>
      </w:r>
      <w:proofErr w:type="spellStart"/>
      <w:r w:rsidRPr="00225D4D">
        <w:t>sikkerheitsinteresser</w:t>
      </w:r>
      <w:proofErr w:type="spellEnd"/>
      <w:r w:rsidRPr="00225D4D">
        <w:t xml:space="preserve"> i </w:t>
      </w:r>
      <w:proofErr w:type="spellStart"/>
      <w:r w:rsidRPr="00225D4D">
        <w:t>sikkerheitslova</w:t>
      </w:r>
      <w:proofErr w:type="spellEnd"/>
      <w:r w:rsidRPr="00225D4D">
        <w:t xml:space="preserve"> skal </w:t>
      </w:r>
      <w:proofErr w:type="spellStart"/>
      <w:r w:rsidRPr="00225D4D">
        <w:t>leggast</w:t>
      </w:r>
      <w:proofErr w:type="spellEnd"/>
      <w:r w:rsidRPr="00225D4D">
        <w:t xml:space="preserve"> til grunn. Forslaget </w:t>
      </w:r>
      <w:proofErr w:type="spellStart"/>
      <w:r w:rsidRPr="00225D4D">
        <w:t>rammar</w:t>
      </w:r>
      <w:proofErr w:type="spellEnd"/>
      <w:r w:rsidRPr="00225D4D">
        <w:t xml:space="preserve"> inn </w:t>
      </w:r>
      <w:proofErr w:type="spellStart"/>
      <w:r w:rsidRPr="00225D4D">
        <w:t>moglegheita</w:t>
      </w:r>
      <w:proofErr w:type="spellEnd"/>
      <w:r w:rsidRPr="00225D4D">
        <w:t xml:space="preserve"> til å prioritere, samtidig som det i størst </w:t>
      </w:r>
      <w:proofErr w:type="spellStart"/>
      <w:r w:rsidRPr="00225D4D">
        <w:t>mogleg</w:t>
      </w:r>
      <w:proofErr w:type="spellEnd"/>
      <w:r w:rsidRPr="00225D4D">
        <w:t xml:space="preserve"> grad </w:t>
      </w:r>
      <w:proofErr w:type="spellStart"/>
      <w:r w:rsidRPr="00225D4D">
        <w:t>opprettheld</w:t>
      </w:r>
      <w:proofErr w:type="spellEnd"/>
      <w:r w:rsidRPr="00225D4D">
        <w:t xml:space="preserve"> </w:t>
      </w:r>
      <w:proofErr w:type="spellStart"/>
      <w:r w:rsidRPr="00225D4D">
        <w:t>grunnleggande</w:t>
      </w:r>
      <w:proofErr w:type="spellEnd"/>
      <w:r w:rsidRPr="00225D4D">
        <w:t xml:space="preserve"> prinsipp i energilova om at nettselskapa skal opptre objektivt og </w:t>
      </w:r>
      <w:proofErr w:type="spellStart"/>
      <w:r w:rsidRPr="00225D4D">
        <w:t>ikkje-diskriminerande</w:t>
      </w:r>
      <w:proofErr w:type="spellEnd"/>
      <w:r w:rsidRPr="00225D4D">
        <w:t xml:space="preserve">. Energidepartementet går </w:t>
      </w:r>
      <w:proofErr w:type="spellStart"/>
      <w:r w:rsidRPr="00225D4D">
        <w:t>no</w:t>
      </w:r>
      <w:proofErr w:type="spellEnd"/>
      <w:r w:rsidRPr="00225D4D">
        <w:t xml:space="preserve"> gjennom </w:t>
      </w:r>
      <w:proofErr w:type="spellStart"/>
      <w:r w:rsidRPr="00225D4D">
        <w:t>høyringsinnspela</w:t>
      </w:r>
      <w:proofErr w:type="spellEnd"/>
      <w:r w:rsidRPr="00225D4D">
        <w:t xml:space="preserve"> og tar sikte på å sende </w:t>
      </w:r>
      <w:proofErr w:type="spellStart"/>
      <w:r w:rsidRPr="00225D4D">
        <w:t>ein</w:t>
      </w:r>
      <w:proofErr w:type="spellEnd"/>
      <w:r w:rsidRPr="00225D4D">
        <w:t xml:space="preserve"> lovproposisjon om </w:t>
      </w:r>
      <w:proofErr w:type="spellStart"/>
      <w:r w:rsidRPr="00225D4D">
        <w:t>endringane</w:t>
      </w:r>
      <w:proofErr w:type="spellEnd"/>
      <w:r w:rsidRPr="00225D4D">
        <w:t xml:space="preserve"> til Stortinget så snart som </w:t>
      </w:r>
      <w:proofErr w:type="spellStart"/>
      <w:r w:rsidRPr="00225D4D">
        <w:t>mogleg</w:t>
      </w:r>
      <w:proofErr w:type="spellEnd"/>
      <w:r w:rsidRPr="00225D4D">
        <w:t>.</w:t>
      </w:r>
    </w:p>
    <w:p w14:paraId="52A9593B" w14:textId="77777777" w:rsidR="00D60186" w:rsidRPr="00225D4D" w:rsidRDefault="00D60186" w:rsidP="00225D4D">
      <w:r w:rsidRPr="00225D4D">
        <w:t xml:space="preserve">Departementet </w:t>
      </w:r>
      <w:proofErr w:type="spellStart"/>
      <w:r w:rsidRPr="00225D4D">
        <w:t>reknar</w:t>
      </w:r>
      <w:proofErr w:type="spellEnd"/>
      <w:r w:rsidRPr="00225D4D">
        <w:t xml:space="preserve"> rapporteringa på dette oppmodingsvedtaket som avslutta.</w:t>
      </w:r>
    </w:p>
    <w:p w14:paraId="45D0FFAE" w14:textId="77777777" w:rsidR="00D60186" w:rsidRPr="00225D4D" w:rsidRDefault="00D60186" w:rsidP="00225D4D">
      <w:pPr>
        <w:pStyle w:val="avsnitt-tittel"/>
      </w:pPr>
      <w:r w:rsidRPr="00225D4D">
        <w:t xml:space="preserve">Forsterke samarbeidet mellom kraftsektoren og </w:t>
      </w:r>
      <w:proofErr w:type="spellStart"/>
      <w:r w:rsidRPr="00225D4D">
        <w:t>ekomsektoren</w:t>
      </w:r>
      <w:proofErr w:type="spellEnd"/>
      <w:r w:rsidRPr="00225D4D">
        <w:t xml:space="preserve"> når det </w:t>
      </w:r>
      <w:proofErr w:type="spellStart"/>
      <w:r w:rsidRPr="00225D4D">
        <w:t>gjeld</w:t>
      </w:r>
      <w:proofErr w:type="spellEnd"/>
      <w:r w:rsidRPr="00225D4D">
        <w:t xml:space="preserve"> beredskap og krisehandtering</w:t>
      </w:r>
    </w:p>
    <w:p w14:paraId="7DED887B" w14:textId="77777777" w:rsidR="00D60186" w:rsidRPr="00225D4D" w:rsidRDefault="00D60186" w:rsidP="00225D4D">
      <w:pPr>
        <w:pStyle w:val="avsnitt-undertittel"/>
      </w:pPr>
      <w:r w:rsidRPr="00225D4D">
        <w:t>Vedtak 640, 6. mai 2025</w:t>
      </w:r>
    </w:p>
    <w:p w14:paraId="1C99C175" w14:textId="77777777" w:rsidR="00D60186" w:rsidRPr="00225D4D" w:rsidRDefault="00D60186" w:rsidP="00225D4D">
      <w:pPr>
        <w:pStyle w:val="blokksit"/>
      </w:pPr>
      <w:r w:rsidRPr="00225D4D">
        <w:t>«</w:t>
      </w:r>
      <w:r w:rsidRPr="00225D4D">
        <w:rPr>
          <w:rStyle w:val="kursiv"/>
        </w:rPr>
        <w:t xml:space="preserve">Stortinget ber regjeringen forsterke samarbeidet mellom infrastruktureiere og tilbydere i kraftsektoren og </w:t>
      </w:r>
      <w:proofErr w:type="spellStart"/>
      <w:r w:rsidRPr="00225D4D">
        <w:rPr>
          <w:rStyle w:val="kursiv"/>
        </w:rPr>
        <w:t>ekomsektoren</w:t>
      </w:r>
      <w:proofErr w:type="spellEnd"/>
      <w:r w:rsidRPr="00225D4D">
        <w:rPr>
          <w:rStyle w:val="kursiv"/>
        </w:rPr>
        <w:t xml:space="preserve"> når det gjelder beredskap og krisehåndtering.</w:t>
      </w:r>
      <w:r w:rsidRPr="00225D4D">
        <w:t>»</w:t>
      </w:r>
    </w:p>
    <w:p w14:paraId="519F7933"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6DF96F3E" w14:textId="77777777" w:rsidR="00D60186" w:rsidRPr="00225D4D" w:rsidRDefault="00D60186" w:rsidP="00225D4D">
      <w:r w:rsidRPr="00225D4D">
        <w:t xml:space="preserve">Øving og samarbeid er </w:t>
      </w:r>
      <w:proofErr w:type="spellStart"/>
      <w:r w:rsidRPr="00225D4D">
        <w:t>avgjerande</w:t>
      </w:r>
      <w:proofErr w:type="spellEnd"/>
      <w:r w:rsidRPr="00225D4D">
        <w:t xml:space="preserve"> for å styrke </w:t>
      </w:r>
      <w:proofErr w:type="spellStart"/>
      <w:r w:rsidRPr="00225D4D">
        <w:t>sikkerheita</w:t>
      </w:r>
      <w:proofErr w:type="spellEnd"/>
      <w:r w:rsidRPr="00225D4D">
        <w:t xml:space="preserve"> og beredskapen i åra som kjem, jf. den nasjonale digitaliseringsstrategien «Fremtidens digitale Norge» </w:t>
      </w:r>
      <w:proofErr w:type="spellStart"/>
      <w:r w:rsidRPr="00225D4D">
        <w:t>frå</w:t>
      </w:r>
      <w:proofErr w:type="spellEnd"/>
      <w:r w:rsidRPr="00225D4D">
        <w:t xml:space="preserve"> 2024.</w:t>
      </w:r>
    </w:p>
    <w:p w14:paraId="152D95F0" w14:textId="77777777" w:rsidR="00D60186" w:rsidRPr="00225D4D" w:rsidRDefault="00D60186" w:rsidP="00225D4D">
      <w:r w:rsidRPr="00225D4D">
        <w:t xml:space="preserve">Som del av oppfølginga av </w:t>
      </w:r>
      <w:proofErr w:type="spellStart"/>
      <w:r w:rsidRPr="00225D4D">
        <w:t>ein</w:t>
      </w:r>
      <w:proofErr w:type="spellEnd"/>
      <w:r w:rsidRPr="00225D4D">
        <w:t xml:space="preserve"> rapport om styrkt samarbeid om beredskap mellom </w:t>
      </w:r>
      <w:proofErr w:type="spellStart"/>
      <w:r w:rsidRPr="00225D4D">
        <w:t>ekom</w:t>
      </w:r>
      <w:proofErr w:type="spellEnd"/>
      <w:r w:rsidRPr="00225D4D">
        <w:t xml:space="preserve">- og kraftsektoren </w:t>
      </w:r>
      <w:proofErr w:type="spellStart"/>
      <w:r w:rsidRPr="00225D4D">
        <w:t>frå</w:t>
      </w:r>
      <w:proofErr w:type="spellEnd"/>
      <w:r w:rsidRPr="00225D4D">
        <w:t xml:space="preserve"> 2022, har det mellom anna blitt arrangert </w:t>
      </w:r>
      <w:proofErr w:type="spellStart"/>
      <w:r w:rsidRPr="00225D4D">
        <w:t>fagdagar</w:t>
      </w:r>
      <w:proofErr w:type="spellEnd"/>
      <w:r w:rsidRPr="00225D4D">
        <w:t xml:space="preserve"> for </w:t>
      </w:r>
      <w:proofErr w:type="spellStart"/>
      <w:r w:rsidRPr="00225D4D">
        <w:t>dei</w:t>
      </w:r>
      <w:proofErr w:type="spellEnd"/>
      <w:r w:rsidRPr="00225D4D">
        <w:t xml:space="preserve"> to </w:t>
      </w:r>
      <w:proofErr w:type="spellStart"/>
      <w:r w:rsidRPr="00225D4D">
        <w:t>sektorane</w:t>
      </w:r>
      <w:proofErr w:type="spellEnd"/>
      <w:r w:rsidRPr="00225D4D">
        <w:t xml:space="preserve">. I tillegg blei det gjennomført </w:t>
      </w:r>
      <w:proofErr w:type="spellStart"/>
      <w:r w:rsidRPr="00225D4D">
        <w:t>EkomKraft-øvingar</w:t>
      </w:r>
      <w:proofErr w:type="spellEnd"/>
      <w:r w:rsidRPr="00225D4D">
        <w:t xml:space="preserve"> i både 2024 og 2025. Her var mellom anna informasjonsdeling mellom </w:t>
      </w:r>
      <w:proofErr w:type="spellStart"/>
      <w:r w:rsidRPr="00225D4D">
        <w:t>sektorane</w:t>
      </w:r>
      <w:proofErr w:type="spellEnd"/>
      <w:r w:rsidRPr="00225D4D">
        <w:t xml:space="preserve"> tema. Det er også gjennomført </w:t>
      </w:r>
      <w:proofErr w:type="spellStart"/>
      <w:r w:rsidRPr="00225D4D">
        <w:t>eit</w:t>
      </w:r>
      <w:proofErr w:type="spellEnd"/>
      <w:r w:rsidRPr="00225D4D">
        <w:t xml:space="preserve"> pilotprosjekt om standardiserte </w:t>
      </w:r>
      <w:proofErr w:type="spellStart"/>
      <w:r w:rsidRPr="00225D4D">
        <w:t>statusvarslingar</w:t>
      </w:r>
      <w:proofErr w:type="spellEnd"/>
      <w:r w:rsidRPr="00225D4D">
        <w:t xml:space="preserve"> ved </w:t>
      </w:r>
      <w:proofErr w:type="spellStart"/>
      <w:r w:rsidRPr="00225D4D">
        <w:t>straumbrot</w:t>
      </w:r>
      <w:proofErr w:type="spellEnd"/>
      <w:r w:rsidRPr="00225D4D">
        <w:t xml:space="preserve">. </w:t>
      </w:r>
      <w:proofErr w:type="spellStart"/>
      <w:r w:rsidRPr="00225D4D">
        <w:t>Fleire</w:t>
      </w:r>
      <w:proofErr w:type="spellEnd"/>
      <w:r w:rsidRPr="00225D4D">
        <w:t xml:space="preserve"> anbefalte tiltak i rapporten vil bli </w:t>
      </w:r>
      <w:proofErr w:type="spellStart"/>
      <w:r w:rsidRPr="00225D4D">
        <w:t>følgde</w:t>
      </w:r>
      <w:proofErr w:type="spellEnd"/>
      <w:r w:rsidRPr="00225D4D">
        <w:t xml:space="preserve"> opp framover.</w:t>
      </w:r>
    </w:p>
    <w:p w14:paraId="10DDC7C5" w14:textId="77777777" w:rsidR="00D60186" w:rsidRPr="00225D4D" w:rsidRDefault="00D60186" w:rsidP="00225D4D">
      <w:r w:rsidRPr="00225D4D">
        <w:t xml:space="preserve">Energidepartementet og Digitaliserings- og forvaltningsdepartementet vil involvere </w:t>
      </w:r>
      <w:proofErr w:type="spellStart"/>
      <w:r w:rsidRPr="00225D4D">
        <w:t>underliggande</w:t>
      </w:r>
      <w:proofErr w:type="spellEnd"/>
      <w:r w:rsidRPr="00225D4D">
        <w:t xml:space="preserve"> </w:t>
      </w:r>
      <w:proofErr w:type="spellStart"/>
      <w:r w:rsidRPr="00225D4D">
        <w:t>etatar</w:t>
      </w:r>
      <w:proofErr w:type="spellEnd"/>
      <w:r w:rsidRPr="00225D4D">
        <w:t xml:space="preserve"> og forsterke </w:t>
      </w:r>
      <w:proofErr w:type="spellStart"/>
      <w:r w:rsidRPr="00225D4D">
        <w:t>eksisterande</w:t>
      </w:r>
      <w:proofErr w:type="spellEnd"/>
      <w:r w:rsidRPr="00225D4D">
        <w:t xml:space="preserve"> samarbeid om beredskap mellom </w:t>
      </w:r>
      <w:proofErr w:type="spellStart"/>
      <w:r w:rsidRPr="00225D4D">
        <w:t>sektorane</w:t>
      </w:r>
      <w:proofErr w:type="spellEnd"/>
      <w:r w:rsidRPr="00225D4D">
        <w:t xml:space="preserve">. Det er også viktig at </w:t>
      </w:r>
      <w:proofErr w:type="spellStart"/>
      <w:r w:rsidRPr="00225D4D">
        <w:t>dei</w:t>
      </w:r>
      <w:proofErr w:type="spellEnd"/>
      <w:r w:rsidRPr="00225D4D">
        <w:t xml:space="preserve"> to </w:t>
      </w:r>
      <w:proofErr w:type="spellStart"/>
      <w:r w:rsidRPr="00225D4D">
        <w:t>sektorane</w:t>
      </w:r>
      <w:proofErr w:type="spellEnd"/>
      <w:r w:rsidRPr="00225D4D">
        <w:t xml:space="preserve"> styrker eigenberedskapen sin, for eksempel ved å sette inn tiltak som </w:t>
      </w:r>
      <w:proofErr w:type="spellStart"/>
      <w:r w:rsidRPr="00225D4D">
        <w:t>gjer</w:t>
      </w:r>
      <w:proofErr w:type="spellEnd"/>
      <w:r w:rsidRPr="00225D4D">
        <w:t xml:space="preserve"> at kraftforsyninga kan fungere så lenge som </w:t>
      </w:r>
      <w:proofErr w:type="spellStart"/>
      <w:r w:rsidRPr="00225D4D">
        <w:t>mogleg</w:t>
      </w:r>
      <w:proofErr w:type="spellEnd"/>
      <w:r w:rsidRPr="00225D4D">
        <w:t xml:space="preserve"> uavhengig av kommersiell </w:t>
      </w:r>
      <w:proofErr w:type="spellStart"/>
      <w:r w:rsidRPr="00225D4D">
        <w:t>ekom</w:t>
      </w:r>
      <w:proofErr w:type="spellEnd"/>
      <w:r w:rsidRPr="00225D4D">
        <w:t xml:space="preserve"> (jf. krav i kraftberedskapsforskrifta), og at </w:t>
      </w:r>
      <w:proofErr w:type="spellStart"/>
      <w:r w:rsidRPr="00225D4D">
        <w:t>ekom</w:t>
      </w:r>
      <w:proofErr w:type="spellEnd"/>
      <w:r w:rsidRPr="00225D4D">
        <w:t xml:space="preserve"> kan fungere så lenge som </w:t>
      </w:r>
      <w:proofErr w:type="spellStart"/>
      <w:r w:rsidRPr="00225D4D">
        <w:t>mogleg</w:t>
      </w:r>
      <w:proofErr w:type="spellEnd"/>
      <w:r w:rsidRPr="00225D4D">
        <w:t xml:space="preserve"> ved </w:t>
      </w:r>
      <w:proofErr w:type="spellStart"/>
      <w:r w:rsidRPr="00225D4D">
        <w:t>brot</w:t>
      </w:r>
      <w:proofErr w:type="spellEnd"/>
      <w:r w:rsidRPr="00225D4D">
        <w:t xml:space="preserve"> i straumforsyninga.</w:t>
      </w:r>
    </w:p>
    <w:p w14:paraId="27459128"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32DE7509" w14:textId="77777777" w:rsidR="00D60186" w:rsidRPr="00225D4D" w:rsidRDefault="00D60186" w:rsidP="00225D4D">
      <w:pPr>
        <w:pStyle w:val="avsnitt-tittel"/>
      </w:pPr>
      <w:r w:rsidRPr="00225D4D">
        <w:t>Planar for styrkt beredskap i kraftsystemet</w:t>
      </w:r>
    </w:p>
    <w:p w14:paraId="1B3CBB61" w14:textId="77777777" w:rsidR="00D60186" w:rsidRPr="00225D4D" w:rsidRDefault="00D60186" w:rsidP="00225D4D">
      <w:pPr>
        <w:pStyle w:val="avsnitt-undertittel"/>
      </w:pPr>
      <w:r w:rsidRPr="00225D4D">
        <w:t>Vedtak 647, 6. mai 2025</w:t>
      </w:r>
    </w:p>
    <w:p w14:paraId="03ED3B4E" w14:textId="77777777" w:rsidR="00D60186" w:rsidRPr="00225D4D" w:rsidRDefault="00D60186" w:rsidP="00225D4D">
      <w:pPr>
        <w:pStyle w:val="blokksit"/>
      </w:pPr>
      <w:r w:rsidRPr="00225D4D">
        <w:t>«</w:t>
      </w:r>
      <w:r w:rsidRPr="00225D4D">
        <w:rPr>
          <w:rStyle w:val="kursiv"/>
        </w:rPr>
        <w:t>Stortinget ber regjeringen utarbeide planer for styrket beredskap i kraftsystemet og komme tilbake til Stortinget på egnet måte.</w:t>
      </w:r>
      <w:r w:rsidRPr="00225D4D">
        <w:t>»</w:t>
      </w:r>
    </w:p>
    <w:p w14:paraId="3F08C241"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4E1103D1" w14:textId="77777777" w:rsidR="00D60186" w:rsidRPr="00225D4D" w:rsidRDefault="00D60186" w:rsidP="00225D4D">
      <w:r w:rsidRPr="00225D4D">
        <w:t xml:space="preserve">I Meld. St. 9 (2024–2025) </w:t>
      </w:r>
      <w:r w:rsidRPr="00225D4D">
        <w:rPr>
          <w:rStyle w:val="kursiv"/>
        </w:rPr>
        <w:t>Totalberedskapsmeldinga – forberedt på kriser og krig</w:t>
      </w:r>
      <w:r w:rsidRPr="00225D4D">
        <w:t xml:space="preserve">, </w:t>
      </w:r>
      <w:proofErr w:type="spellStart"/>
      <w:r w:rsidRPr="00225D4D">
        <w:t>peikar</w:t>
      </w:r>
      <w:proofErr w:type="spellEnd"/>
      <w:r w:rsidRPr="00225D4D">
        <w:t xml:space="preserve"> regjeringa på at alle sivile </w:t>
      </w:r>
      <w:proofErr w:type="spellStart"/>
      <w:r w:rsidRPr="00225D4D">
        <w:t>sektorar</w:t>
      </w:r>
      <w:proofErr w:type="spellEnd"/>
      <w:r w:rsidRPr="00225D4D">
        <w:t xml:space="preserve"> må </w:t>
      </w:r>
      <w:proofErr w:type="spellStart"/>
      <w:r w:rsidRPr="00225D4D">
        <w:t>vere</w:t>
      </w:r>
      <w:proofErr w:type="spellEnd"/>
      <w:r w:rsidRPr="00225D4D">
        <w:t xml:space="preserve"> førebudde på </w:t>
      </w:r>
      <w:proofErr w:type="spellStart"/>
      <w:r w:rsidRPr="00225D4D">
        <w:t>situasjonar</w:t>
      </w:r>
      <w:proofErr w:type="spellEnd"/>
      <w:r w:rsidRPr="00225D4D">
        <w:t xml:space="preserve"> som ligg høgt i krisespekteret, inklusiv væpna konflikt og i verste fall krig. Dette </w:t>
      </w:r>
      <w:proofErr w:type="spellStart"/>
      <w:r w:rsidRPr="00225D4D">
        <w:t>gjeld</w:t>
      </w:r>
      <w:proofErr w:type="spellEnd"/>
      <w:r w:rsidRPr="00225D4D">
        <w:t xml:space="preserve"> også kraftsektoren. Departementet har i brev til NVE </w:t>
      </w:r>
      <w:proofErr w:type="spellStart"/>
      <w:r w:rsidRPr="00225D4D">
        <w:t>tydeleggjort</w:t>
      </w:r>
      <w:proofErr w:type="spellEnd"/>
      <w:r w:rsidRPr="00225D4D">
        <w:t xml:space="preserve"> at totalberedskapsmeldinga </w:t>
      </w:r>
      <w:proofErr w:type="spellStart"/>
      <w:r w:rsidRPr="00225D4D">
        <w:t>set</w:t>
      </w:r>
      <w:proofErr w:type="spellEnd"/>
      <w:r w:rsidRPr="00225D4D">
        <w:t xml:space="preserve"> ei ny og </w:t>
      </w:r>
      <w:proofErr w:type="spellStart"/>
      <w:r w:rsidRPr="00225D4D">
        <w:t>tydeleg</w:t>
      </w:r>
      <w:proofErr w:type="spellEnd"/>
      <w:r w:rsidRPr="00225D4D">
        <w:t xml:space="preserve"> retning for beredskapsfokuset i alle </w:t>
      </w:r>
      <w:proofErr w:type="spellStart"/>
      <w:r w:rsidRPr="00225D4D">
        <w:t>sektorar</w:t>
      </w:r>
      <w:proofErr w:type="spellEnd"/>
      <w:r w:rsidRPr="00225D4D">
        <w:t xml:space="preserve">, også kraftsektoren. Sivile </w:t>
      </w:r>
      <w:proofErr w:type="spellStart"/>
      <w:r w:rsidRPr="00225D4D">
        <w:t>sektorar</w:t>
      </w:r>
      <w:proofErr w:type="spellEnd"/>
      <w:r w:rsidRPr="00225D4D">
        <w:t xml:space="preserve">, mellom </w:t>
      </w:r>
      <w:proofErr w:type="spellStart"/>
      <w:r w:rsidRPr="00225D4D">
        <w:t>dei</w:t>
      </w:r>
      <w:proofErr w:type="spellEnd"/>
      <w:r w:rsidRPr="00225D4D">
        <w:t xml:space="preserve"> kraftsektoren som </w:t>
      </w:r>
      <w:proofErr w:type="spellStart"/>
      <w:r w:rsidRPr="00225D4D">
        <w:t>ein</w:t>
      </w:r>
      <w:proofErr w:type="spellEnd"/>
      <w:r w:rsidRPr="00225D4D">
        <w:t xml:space="preserve"> viktig del av totalforsvaret, må førebu seg på </w:t>
      </w:r>
      <w:proofErr w:type="spellStart"/>
      <w:r w:rsidRPr="00225D4D">
        <w:t>situasjonar</w:t>
      </w:r>
      <w:proofErr w:type="spellEnd"/>
      <w:r w:rsidRPr="00225D4D">
        <w:t xml:space="preserve"> høgt i krisespekteret. Departementet har gitt NVE i oppdrag å følge opp totalberedskapsmeldinga og den nasjonale </w:t>
      </w:r>
      <w:proofErr w:type="spellStart"/>
      <w:r w:rsidRPr="00225D4D">
        <w:t>sikkerheitsstrategien</w:t>
      </w:r>
      <w:proofErr w:type="spellEnd"/>
      <w:r w:rsidRPr="00225D4D">
        <w:t xml:space="preserve"> til regjeringa. Her har departementet mellom anna bedt NVE om å </w:t>
      </w:r>
      <w:proofErr w:type="spellStart"/>
      <w:r w:rsidRPr="00225D4D">
        <w:t>gjere</w:t>
      </w:r>
      <w:proofErr w:type="spellEnd"/>
      <w:r w:rsidRPr="00225D4D">
        <w:t xml:space="preserve"> </w:t>
      </w:r>
      <w:proofErr w:type="spellStart"/>
      <w:r w:rsidRPr="00225D4D">
        <w:t>bodskapen</w:t>
      </w:r>
      <w:proofErr w:type="spellEnd"/>
      <w:r w:rsidRPr="00225D4D">
        <w:t xml:space="preserve"> </w:t>
      </w:r>
      <w:proofErr w:type="spellStart"/>
      <w:r w:rsidRPr="00225D4D">
        <w:t>frå</w:t>
      </w:r>
      <w:proofErr w:type="spellEnd"/>
      <w:r w:rsidRPr="00225D4D">
        <w:t xml:space="preserve"> meldinga og strategien </w:t>
      </w:r>
      <w:proofErr w:type="spellStart"/>
      <w:r w:rsidRPr="00225D4D">
        <w:t>kjend</w:t>
      </w:r>
      <w:proofErr w:type="spellEnd"/>
      <w:r w:rsidRPr="00225D4D">
        <w:t xml:space="preserve"> i sektoren.</w:t>
      </w:r>
    </w:p>
    <w:p w14:paraId="7DCC3859" w14:textId="77777777" w:rsidR="00D60186" w:rsidRPr="00225D4D" w:rsidRDefault="00D60186" w:rsidP="00225D4D">
      <w:r w:rsidRPr="00225D4D">
        <w:t xml:space="preserve">Arbeidet med </w:t>
      </w:r>
      <w:proofErr w:type="spellStart"/>
      <w:r w:rsidRPr="00225D4D">
        <w:t>sikkerheit</w:t>
      </w:r>
      <w:proofErr w:type="spellEnd"/>
      <w:r w:rsidRPr="00225D4D">
        <w:t xml:space="preserve"> og beredskap i kraftforsyninga er høgt prioritert, og beredskapen i kraftforsyninga er god. Samtidig kan </w:t>
      </w:r>
      <w:proofErr w:type="spellStart"/>
      <w:r w:rsidRPr="00225D4D">
        <w:t>ho</w:t>
      </w:r>
      <w:proofErr w:type="spellEnd"/>
      <w:r w:rsidRPr="00225D4D">
        <w:t xml:space="preserve"> alltid bli betre. </w:t>
      </w:r>
      <w:proofErr w:type="spellStart"/>
      <w:r w:rsidRPr="00225D4D">
        <w:t>Sjølv</w:t>
      </w:r>
      <w:proofErr w:type="spellEnd"/>
      <w:r w:rsidRPr="00225D4D">
        <w:t xml:space="preserve"> om beredskapsarbeidet etter den kalde krigen har </w:t>
      </w:r>
      <w:proofErr w:type="spellStart"/>
      <w:r w:rsidRPr="00225D4D">
        <w:t>vore</w:t>
      </w:r>
      <w:proofErr w:type="spellEnd"/>
      <w:r w:rsidRPr="00225D4D">
        <w:t xml:space="preserve"> </w:t>
      </w:r>
      <w:proofErr w:type="spellStart"/>
      <w:r w:rsidRPr="00225D4D">
        <w:t>meir</w:t>
      </w:r>
      <w:proofErr w:type="spellEnd"/>
      <w:r w:rsidRPr="00225D4D">
        <w:t xml:space="preserve"> retta mot </w:t>
      </w:r>
      <w:proofErr w:type="spellStart"/>
      <w:r w:rsidRPr="00225D4D">
        <w:t>hendingar</w:t>
      </w:r>
      <w:proofErr w:type="spellEnd"/>
      <w:r w:rsidRPr="00225D4D">
        <w:t xml:space="preserve"> som for eksempel ekstremvær og teknisk svikt, kan </w:t>
      </w:r>
      <w:proofErr w:type="spellStart"/>
      <w:r w:rsidRPr="00225D4D">
        <w:t>beredskapsplanane</w:t>
      </w:r>
      <w:proofErr w:type="spellEnd"/>
      <w:r w:rsidRPr="00225D4D">
        <w:t xml:space="preserve"> som selskapa </w:t>
      </w:r>
      <w:proofErr w:type="spellStart"/>
      <w:r w:rsidRPr="00225D4D">
        <w:t>pliktar</w:t>
      </w:r>
      <w:proofErr w:type="spellEnd"/>
      <w:r w:rsidRPr="00225D4D">
        <w:t xml:space="preserve"> å ha, også </w:t>
      </w:r>
      <w:proofErr w:type="spellStart"/>
      <w:r w:rsidRPr="00225D4D">
        <w:t>vere</w:t>
      </w:r>
      <w:proofErr w:type="spellEnd"/>
      <w:r w:rsidRPr="00225D4D">
        <w:t xml:space="preserve"> </w:t>
      </w:r>
      <w:proofErr w:type="spellStart"/>
      <w:r w:rsidRPr="00225D4D">
        <w:t>anvendelege</w:t>
      </w:r>
      <w:proofErr w:type="spellEnd"/>
      <w:r w:rsidRPr="00225D4D">
        <w:t xml:space="preserve"> i </w:t>
      </w:r>
      <w:proofErr w:type="spellStart"/>
      <w:r w:rsidRPr="00225D4D">
        <w:t>situasjonar</w:t>
      </w:r>
      <w:proofErr w:type="spellEnd"/>
      <w:r w:rsidRPr="00225D4D">
        <w:t xml:space="preserve"> </w:t>
      </w:r>
      <w:proofErr w:type="spellStart"/>
      <w:r w:rsidRPr="00225D4D">
        <w:t>høgare</w:t>
      </w:r>
      <w:proofErr w:type="spellEnd"/>
      <w:r w:rsidRPr="00225D4D">
        <w:t xml:space="preserve"> opp i krisespekteret. Bakgrunnen for det er mellom anna at regelverket stiller krav om risiko- og </w:t>
      </w:r>
      <w:proofErr w:type="spellStart"/>
      <w:r w:rsidRPr="00225D4D">
        <w:t>sårbarheitsanalysar</w:t>
      </w:r>
      <w:proofErr w:type="spellEnd"/>
      <w:r w:rsidRPr="00225D4D">
        <w:t xml:space="preserve">, beredskapsplanverk, reparasjonsberedskap, </w:t>
      </w:r>
      <w:proofErr w:type="spellStart"/>
      <w:r w:rsidRPr="00225D4D">
        <w:t>øvingar</w:t>
      </w:r>
      <w:proofErr w:type="spellEnd"/>
      <w:r w:rsidRPr="00225D4D">
        <w:t xml:space="preserve"> m.m. Samtidig </w:t>
      </w:r>
      <w:proofErr w:type="spellStart"/>
      <w:r w:rsidRPr="00225D4D">
        <w:t>gjer</w:t>
      </w:r>
      <w:proofErr w:type="spellEnd"/>
      <w:r w:rsidRPr="00225D4D">
        <w:t xml:space="preserve"> dagens </w:t>
      </w:r>
      <w:proofErr w:type="spellStart"/>
      <w:r w:rsidRPr="00225D4D">
        <w:t>alvorlege</w:t>
      </w:r>
      <w:proofErr w:type="spellEnd"/>
      <w:r w:rsidRPr="00225D4D">
        <w:t xml:space="preserve"> </w:t>
      </w:r>
      <w:proofErr w:type="spellStart"/>
      <w:r w:rsidRPr="00225D4D">
        <w:t>sikkerheitspolitiske</w:t>
      </w:r>
      <w:proofErr w:type="spellEnd"/>
      <w:r w:rsidRPr="00225D4D">
        <w:t xml:space="preserve"> situasjon det nødvendig å </w:t>
      </w:r>
      <w:proofErr w:type="spellStart"/>
      <w:r w:rsidRPr="00225D4D">
        <w:t>gjere</w:t>
      </w:r>
      <w:proofErr w:type="spellEnd"/>
      <w:r w:rsidRPr="00225D4D">
        <w:t xml:space="preserve"> nye og grundige </w:t>
      </w:r>
      <w:proofErr w:type="spellStart"/>
      <w:r w:rsidRPr="00225D4D">
        <w:t>vurderingar</w:t>
      </w:r>
      <w:proofErr w:type="spellEnd"/>
      <w:r w:rsidRPr="00225D4D">
        <w:t>.</w:t>
      </w:r>
    </w:p>
    <w:p w14:paraId="1E9A9CDB" w14:textId="77777777" w:rsidR="00D60186" w:rsidRPr="00225D4D" w:rsidRDefault="00D60186" w:rsidP="00225D4D">
      <w:r w:rsidRPr="00225D4D">
        <w:t xml:space="preserve">Både departementet og </w:t>
      </w:r>
      <w:proofErr w:type="spellStart"/>
      <w:r w:rsidRPr="00225D4D">
        <w:t>særleg</w:t>
      </w:r>
      <w:proofErr w:type="spellEnd"/>
      <w:r w:rsidRPr="00225D4D">
        <w:t xml:space="preserve"> NVE har tett kontakt med bransjen når det </w:t>
      </w:r>
      <w:proofErr w:type="spellStart"/>
      <w:r w:rsidRPr="00225D4D">
        <w:t>gjeld</w:t>
      </w:r>
      <w:proofErr w:type="spellEnd"/>
      <w:r w:rsidRPr="00225D4D">
        <w:t xml:space="preserve"> </w:t>
      </w:r>
      <w:proofErr w:type="spellStart"/>
      <w:r w:rsidRPr="00225D4D">
        <w:t>sikkerheit</w:t>
      </w:r>
      <w:proofErr w:type="spellEnd"/>
      <w:r w:rsidRPr="00225D4D">
        <w:t xml:space="preserve"> og beredskap i kraftsektoren. NVE skal kartlegge den samla reparasjonsberedskapen i kraftforsyninga, sjå på mandatet til </w:t>
      </w:r>
      <w:proofErr w:type="spellStart"/>
      <w:r w:rsidRPr="00225D4D">
        <w:t>distriktssjefane</w:t>
      </w:r>
      <w:proofErr w:type="spellEnd"/>
      <w:r w:rsidRPr="00225D4D">
        <w:t xml:space="preserve"> i kraftforsyninga (KDS) og vurdere krava til fysisk sikring av kraftanlegg.</w:t>
      </w:r>
    </w:p>
    <w:p w14:paraId="2C802E0A" w14:textId="77777777" w:rsidR="00D60186" w:rsidRPr="00225D4D" w:rsidRDefault="00D60186" w:rsidP="00225D4D">
      <w:r w:rsidRPr="00225D4D">
        <w:t xml:space="preserve">Departementet vil komme tilbake til Stortinget på eigna måte med resultata </w:t>
      </w:r>
      <w:proofErr w:type="spellStart"/>
      <w:r w:rsidRPr="00225D4D">
        <w:t>frå</w:t>
      </w:r>
      <w:proofErr w:type="spellEnd"/>
      <w:r w:rsidRPr="00225D4D">
        <w:t xml:space="preserve"> arbeidet. Departementet </w:t>
      </w:r>
      <w:proofErr w:type="spellStart"/>
      <w:r w:rsidRPr="00225D4D">
        <w:t>reknar</w:t>
      </w:r>
      <w:proofErr w:type="spellEnd"/>
      <w:r w:rsidRPr="00225D4D">
        <w:t xml:space="preserve"> rapporteringa på dette oppmodingsvedtaket som avslutta.</w:t>
      </w:r>
    </w:p>
    <w:p w14:paraId="4C72FD1D" w14:textId="77777777" w:rsidR="00D60186" w:rsidRPr="00225D4D" w:rsidRDefault="00D60186" w:rsidP="00225D4D">
      <w:pPr>
        <w:pStyle w:val="avsnitt-tittel"/>
      </w:pPr>
      <w:r w:rsidRPr="00225D4D">
        <w:t>Framdrift i prosjekt for kraft til Melkøya</w:t>
      </w:r>
    </w:p>
    <w:p w14:paraId="72652650" w14:textId="77777777" w:rsidR="00D60186" w:rsidRPr="00225D4D" w:rsidRDefault="00D60186" w:rsidP="00225D4D">
      <w:pPr>
        <w:pStyle w:val="avsnitt-undertittel"/>
      </w:pPr>
      <w:r w:rsidRPr="00225D4D">
        <w:t>Vedtak 654, 6. mai 2025</w:t>
      </w:r>
    </w:p>
    <w:p w14:paraId="2D7BB0AB" w14:textId="77777777" w:rsidR="00D60186" w:rsidRPr="00225D4D" w:rsidRDefault="00D60186" w:rsidP="00225D4D">
      <w:pPr>
        <w:pStyle w:val="blokksit"/>
      </w:pPr>
      <w:r w:rsidRPr="00225D4D">
        <w:t>«</w:t>
      </w:r>
      <w:r w:rsidRPr="00225D4D">
        <w:rPr>
          <w:rStyle w:val="kursiv"/>
        </w:rPr>
        <w:t xml:space="preserve">Stortinget ber regjeringen sørge for at omsøkte prosjekter som kan gi tilstrekkelig kraft til Melkøya sikres fremdrift og deretter realitetsbehandling, slik at de </w:t>
      </w:r>
      <w:proofErr w:type="gramStart"/>
      <w:r w:rsidRPr="00225D4D">
        <w:rPr>
          <w:rStyle w:val="kursiv"/>
        </w:rPr>
        <w:t>potensielt</w:t>
      </w:r>
      <w:proofErr w:type="gramEnd"/>
      <w:r w:rsidRPr="00225D4D">
        <w:rPr>
          <w:rStyle w:val="kursiv"/>
        </w:rPr>
        <w:t xml:space="preserve"> kan være i drift innen 2030, og øke tempoet for realisering av kraftløftet.</w:t>
      </w:r>
      <w:r w:rsidRPr="00225D4D">
        <w:t>»</w:t>
      </w:r>
    </w:p>
    <w:p w14:paraId="7D354F48"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 S (2024–2025) og </w:t>
      </w:r>
      <w:proofErr w:type="spellStart"/>
      <w:r w:rsidRPr="00225D4D">
        <w:t>Innst</w:t>
      </w:r>
      <w:proofErr w:type="spellEnd"/>
      <w:r w:rsidRPr="00225D4D">
        <w:t>. 221 S (2024–2025).</w:t>
      </w:r>
    </w:p>
    <w:p w14:paraId="012F8215" w14:textId="77777777" w:rsidR="00D60186" w:rsidRPr="00225D4D" w:rsidRDefault="00D60186" w:rsidP="00225D4D">
      <w:r w:rsidRPr="00225D4D">
        <w:t xml:space="preserve">Departementet er </w:t>
      </w:r>
      <w:proofErr w:type="spellStart"/>
      <w:r w:rsidRPr="00225D4D">
        <w:t>ikkje</w:t>
      </w:r>
      <w:proofErr w:type="spellEnd"/>
      <w:r w:rsidRPr="00225D4D">
        <w:t xml:space="preserve"> kjent med at det er søkt om konsesjon til andre vindkraftprosjekt i Finnmark enn </w:t>
      </w:r>
      <w:proofErr w:type="spellStart"/>
      <w:r w:rsidRPr="00225D4D">
        <w:t>Davvi</w:t>
      </w:r>
      <w:proofErr w:type="spellEnd"/>
      <w:r w:rsidRPr="00225D4D">
        <w:t xml:space="preserve"> vindkraftverk, men </w:t>
      </w:r>
      <w:proofErr w:type="spellStart"/>
      <w:r w:rsidRPr="00225D4D">
        <w:t>fleire</w:t>
      </w:r>
      <w:proofErr w:type="spellEnd"/>
      <w:r w:rsidRPr="00225D4D">
        <w:t xml:space="preserve"> prosjekt har sendt inn melding. Statkraft Energi AS planlegg </w:t>
      </w:r>
      <w:proofErr w:type="spellStart"/>
      <w:r w:rsidRPr="00225D4D">
        <w:t>eit</w:t>
      </w:r>
      <w:proofErr w:type="spellEnd"/>
      <w:r w:rsidRPr="00225D4D">
        <w:t xml:space="preserve"> nytt aggregat 3 i Alta kraftverk og sendte søknad til NVE i september 2025. Tiltaket vil kunne </w:t>
      </w:r>
      <w:proofErr w:type="spellStart"/>
      <w:r w:rsidRPr="00225D4D">
        <w:t>auke</w:t>
      </w:r>
      <w:proofErr w:type="spellEnd"/>
      <w:r w:rsidRPr="00225D4D">
        <w:t xml:space="preserve"> den installerte effekten med om lag 120 MW og den </w:t>
      </w:r>
      <w:proofErr w:type="spellStart"/>
      <w:r w:rsidRPr="00225D4D">
        <w:t>årlege</w:t>
      </w:r>
      <w:proofErr w:type="spellEnd"/>
      <w:r w:rsidRPr="00225D4D">
        <w:t xml:space="preserve"> produksjonen med mellom 100 og 150 GWh.</w:t>
      </w:r>
    </w:p>
    <w:p w14:paraId="169E1C19" w14:textId="77777777" w:rsidR="00D60186" w:rsidRPr="00225D4D" w:rsidRDefault="00D60186" w:rsidP="00225D4D">
      <w:r w:rsidRPr="00225D4D">
        <w:t xml:space="preserve">Departementet viser til svar på </w:t>
      </w:r>
      <w:proofErr w:type="spellStart"/>
      <w:r w:rsidRPr="00225D4D">
        <w:t>skriftleg</w:t>
      </w:r>
      <w:proofErr w:type="spellEnd"/>
      <w:r w:rsidRPr="00225D4D">
        <w:t xml:space="preserve"> spørsmål nr. 2651 (2024–2025). I svaret er det vist til at departementet 26. juni 2025 sende </w:t>
      </w:r>
      <w:proofErr w:type="spellStart"/>
      <w:r w:rsidRPr="00225D4D">
        <w:t>eit</w:t>
      </w:r>
      <w:proofErr w:type="spellEnd"/>
      <w:r w:rsidRPr="00225D4D">
        <w:t xml:space="preserve"> felles brev til Grenselandet DA og Folkeaksjonen mot </w:t>
      </w:r>
      <w:proofErr w:type="spellStart"/>
      <w:r w:rsidRPr="00225D4D">
        <w:t>Davvi</w:t>
      </w:r>
      <w:proofErr w:type="spellEnd"/>
      <w:r w:rsidRPr="00225D4D">
        <w:t xml:space="preserve"> vindkraftverk, med kopi til både NVE og Lebesby kommune. Brevet svarer på </w:t>
      </w:r>
      <w:proofErr w:type="spellStart"/>
      <w:r w:rsidRPr="00225D4D">
        <w:t>førespurnader</w:t>
      </w:r>
      <w:proofErr w:type="spellEnd"/>
      <w:r w:rsidRPr="00225D4D">
        <w:t xml:space="preserve"> og brev som kom på bakgrunn av oppmodingsvedtaket.</w:t>
      </w:r>
    </w:p>
    <w:p w14:paraId="4AA8B4F6"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NVE vil behandle konsesjonssøknaden for </w:t>
      </w:r>
      <w:proofErr w:type="spellStart"/>
      <w:r w:rsidRPr="00225D4D">
        <w:t>Davvi</w:t>
      </w:r>
      <w:proofErr w:type="spellEnd"/>
      <w:r w:rsidRPr="00225D4D">
        <w:t xml:space="preserve"> vindkraftverk i tråd med </w:t>
      </w:r>
      <w:proofErr w:type="spellStart"/>
      <w:r w:rsidRPr="00225D4D">
        <w:t>gjeldande</w:t>
      </w:r>
      <w:proofErr w:type="spellEnd"/>
      <w:r w:rsidRPr="00225D4D">
        <w:t xml:space="preserve"> rett, slik som forvaltningslova § 11 a første ledd. NVE må vurdere om konsesjonssøknaden slik han ligg føre, er godt nok opplyst, eller om det </w:t>
      </w:r>
      <w:proofErr w:type="spellStart"/>
      <w:r w:rsidRPr="00225D4D">
        <w:t>trengst</w:t>
      </w:r>
      <w:proofErr w:type="spellEnd"/>
      <w:r w:rsidRPr="00225D4D">
        <w:t xml:space="preserve"> </w:t>
      </w:r>
      <w:proofErr w:type="spellStart"/>
      <w:r w:rsidRPr="00225D4D">
        <w:t>ytterlegare</w:t>
      </w:r>
      <w:proofErr w:type="spellEnd"/>
      <w:r w:rsidRPr="00225D4D">
        <w:t xml:space="preserve"> utgreiing eller </w:t>
      </w:r>
      <w:proofErr w:type="spellStart"/>
      <w:r w:rsidRPr="00225D4D">
        <w:t>høyring</w:t>
      </w:r>
      <w:proofErr w:type="spellEnd"/>
      <w:r w:rsidRPr="00225D4D">
        <w:t xml:space="preserve"> av saka før NVE kan </w:t>
      </w:r>
      <w:proofErr w:type="spellStart"/>
      <w:r w:rsidRPr="00225D4D">
        <w:t>gjere</w:t>
      </w:r>
      <w:proofErr w:type="spellEnd"/>
      <w:r w:rsidRPr="00225D4D">
        <w:t xml:space="preserve"> vedtak. Samtidig må NVE sjå den </w:t>
      </w:r>
      <w:proofErr w:type="spellStart"/>
      <w:r w:rsidRPr="00225D4D">
        <w:t>vidare</w:t>
      </w:r>
      <w:proofErr w:type="spellEnd"/>
      <w:r w:rsidRPr="00225D4D">
        <w:t xml:space="preserve"> behandlinga av </w:t>
      </w:r>
      <w:proofErr w:type="spellStart"/>
      <w:r w:rsidRPr="00225D4D">
        <w:t>Davvi</w:t>
      </w:r>
      <w:proofErr w:type="spellEnd"/>
      <w:r w:rsidRPr="00225D4D">
        <w:t xml:space="preserve"> vindkraftverk i lys av den samla behandlinga av nett- og vindkraftprosjekt i Finnmark. Den </w:t>
      </w:r>
      <w:proofErr w:type="spellStart"/>
      <w:r w:rsidRPr="00225D4D">
        <w:t>nærmare</w:t>
      </w:r>
      <w:proofErr w:type="spellEnd"/>
      <w:r w:rsidRPr="00225D4D">
        <w:t xml:space="preserve"> oppfølginga av denne saka ligg til NVE.</w:t>
      </w:r>
    </w:p>
    <w:p w14:paraId="45332A74" w14:textId="77777777" w:rsidR="00D60186" w:rsidRPr="00225D4D" w:rsidRDefault="00D60186" w:rsidP="00225D4D">
      <w:r w:rsidRPr="00225D4D">
        <w:t xml:space="preserve">I statsråd 15. august 2025 </w:t>
      </w:r>
      <w:proofErr w:type="spellStart"/>
      <w:r w:rsidRPr="00225D4D">
        <w:t>fekk</w:t>
      </w:r>
      <w:proofErr w:type="spellEnd"/>
      <w:r w:rsidRPr="00225D4D">
        <w:t xml:space="preserve"> Statnett løyve etter energilova og oreigningslova til å bygge, eige og drive ny 420 kV-</w:t>
      </w:r>
      <w:proofErr w:type="spellStart"/>
      <w:r w:rsidRPr="00225D4D">
        <w:t>leidning</w:t>
      </w:r>
      <w:proofErr w:type="spellEnd"/>
      <w:r w:rsidRPr="00225D4D">
        <w:t xml:space="preserve"> </w:t>
      </w:r>
      <w:proofErr w:type="spellStart"/>
      <w:r w:rsidRPr="00225D4D">
        <w:t>frå</w:t>
      </w:r>
      <w:proofErr w:type="spellEnd"/>
      <w:r w:rsidRPr="00225D4D">
        <w:t xml:space="preserve"> Skaidi til Lebesby og det blei gitt løyve til å bygge nye Lebesby transformatorstasjon. Den nye </w:t>
      </w:r>
      <w:proofErr w:type="spellStart"/>
      <w:r w:rsidRPr="00225D4D">
        <w:t>leidninga</w:t>
      </w:r>
      <w:proofErr w:type="spellEnd"/>
      <w:r w:rsidRPr="00225D4D">
        <w:t xml:space="preserve"> vil styrke </w:t>
      </w:r>
      <w:proofErr w:type="spellStart"/>
      <w:r w:rsidRPr="00225D4D">
        <w:t>forsyningssikkerheita</w:t>
      </w:r>
      <w:proofErr w:type="spellEnd"/>
      <w:r w:rsidRPr="00225D4D">
        <w:t xml:space="preserve"> til Aust-Finnmark. Tiltaket </w:t>
      </w:r>
      <w:proofErr w:type="spellStart"/>
      <w:r w:rsidRPr="00225D4D">
        <w:t>legg</w:t>
      </w:r>
      <w:proofErr w:type="spellEnd"/>
      <w:r w:rsidRPr="00225D4D">
        <w:t xml:space="preserve"> også til rette for </w:t>
      </w:r>
      <w:proofErr w:type="spellStart"/>
      <w:r w:rsidRPr="00225D4D">
        <w:t>auka</w:t>
      </w:r>
      <w:proofErr w:type="spellEnd"/>
      <w:r w:rsidRPr="00225D4D">
        <w:t xml:space="preserve"> kraftproduksjon som kan </w:t>
      </w:r>
      <w:proofErr w:type="spellStart"/>
      <w:r w:rsidRPr="00225D4D">
        <w:t>knytast</w:t>
      </w:r>
      <w:proofErr w:type="spellEnd"/>
      <w:r w:rsidRPr="00225D4D">
        <w:t xml:space="preserve"> til nye Lebesby stasjon. Saman med andre </w:t>
      </w:r>
      <w:proofErr w:type="spellStart"/>
      <w:r w:rsidRPr="00225D4D">
        <w:t>investeringar</w:t>
      </w:r>
      <w:proofErr w:type="spellEnd"/>
      <w:r w:rsidRPr="00225D4D">
        <w:t xml:space="preserve">, kan tiltaket også legge til rette for </w:t>
      </w:r>
      <w:proofErr w:type="spellStart"/>
      <w:r w:rsidRPr="00225D4D">
        <w:t>auka</w:t>
      </w:r>
      <w:proofErr w:type="spellEnd"/>
      <w:r w:rsidRPr="00225D4D">
        <w:t xml:space="preserve"> forbruk i Aust-Finnmark. Same dag som Statnett </w:t>
      </w:r>
      <w:proofErr w:type="spellStart"/>
      <w:r w:rsidRPr="00225D4D">
        <w:t>fekk</w:t>
      </w:r>
      <w:proofErr w:type="spellEnd"/>
      <w:r w:rsidRPr="00225D4D">
        <w:t xml:space="preserve"> konsesjon til tiltaket Skaidi-Lebesby, bad departementet NVE og Statnett om å lage </w:t>
      </w:r>
      <w:proofErr w:type="spellStart"/>
      <w:r w:rsidRPr="00225D4D">
        <w:t>ein</w:t>
      </w:r>
      <w:proofErr w:type="spellEnd"/>
      <w:r w:rsidRPr="00225D4D">
        <w:t xml:space="preserve"> felles framdriftsplan for </w:t>
      </w:r>
      <w:proofErr w:type="spellStart"/>
      <w:r w:rsidRPr="00225D4D">
        <w:t>behandlinga</w:t>
      </w:r>
      <w:proofErr w:type="spellEnd"/>
      <w:r w:rsidRPr="00225D4D">
        <w:t xml:space="preserve"> av konsesjonssøknaden om ny 420 kV </w:t>
      </w:r>
      <w:proofErr w:type="spellStart"/>
      <w:r w:rsidRPr="00225D4D">
        <w:t>kraftleidning</w:t>
      </w:r>
      <w:proofErr w:type="spellEnd"/>
      <w:r w:rsidRPr="00225D4D">
        <w:t xml:space="preserve"> </w:t>
      </w:r>
      <w:proofErr w:type="spellStart"/>
      <w:r w:rsidRPr="00225D4D">
        <w:t>vidare</w:t>
      </w:r>
      <w:proofErr w:type="spellEnd"/>
      <w:r w:rsidRPr="00225D4D">
        <w:t xml:space="preserve"> </w:t>
      </w:r>
      <w:proofErr w:type="spellStart"/>
      <w:r w:rsidRPr="00225D4D">
        <w:t>austover</w:t>
      </w:r>
      <w:proofErr w:type="spellEnd"/>
      <w:r w:rsidRPr="00225D4D">
        <w:t xml:space="preserve"> i Finnmark, </w:t>
      </w:r>
      <w:proofErr w:type="spellStart"/>
      <w:r w:rsidRPr="00225D4D">
        <w:t>frå</w:t>
      </w:r>
      <w:proofErr w:type="spellEnd"/>
      <w:r w:rsidRPr="00225D4D">
        <w:t xml:space="preserve"> Lebesby til </w:t>
      </w:r>
      <w:proofErr w:type="spellStart"/>
      <w:r w:rsidRPr="00225D4D">
        <w:t>Seidafjellet</w:t>
      </w:r>
      <w:proofErr w:type="spellEnd"/>
      <w:r w:rsidRPr="00225D4D">
        <w:t xml:space="preserve">, med ny </w:t>
      </w:r>
      <w:proofErr w:type="spellStart"/>
      <w:r w:rsidRPr="00225D4D">
        <w:t>Seidafjellet</w:t>
      </w:r>
      <w:proofErr w:type="spellEnd"/>
      <w:r w:rsidRPr="00225D4D">
        <w:t xml:space="preserve"> stasjon. Framdriftsplanen skal mellom anna </w:t>
      </w:r>
      <w:proofErr w:type="spellStart"/>
      <w:r w:rsidRPr="00225D4D">
        <w:t>synleggjere</w:t>
      </w:r>
      <w:proofErr w:type="spellEnd"/>
      <w:r w:rsidRPr="00225D4D">
        <w:t xml:space="preserve"> </w:t>
      </w:r>
      <w:proofErr w:type="spellStart"/>
      <w:r w:rsidRPr="00225D4D">
        <w:t>moglegheitsrom</w:t>
      </w:r>
      <w:proofErr w:type="spellEnd"/>
      <w:r w:rsidRPr="00225D4D">
        <w:t xml:space="preserve"> og </w:t>
      </w:r>
      <w:proofErr w:type="spellStart"/>
      <w:r w:rsidRPr="00225D4D">
        <w:t>barrierar</w:t>
      </w:r>
      <w:proofErr w:type="spellEnd"/>
      <w:r w:rsidRPr="00225D4D">
        <w:t xml:space="preserve"> for å kunne sette ei eventuell ny </w:t>
      </w:r>
      <w:proofErr w:type="spellStart"/>
      <w:r w:rsidRPr="00225D4D">
        <w:t>leidning</w:t>
      </w:r>
      <w:proofErr w:type="spellEnd"/>
      <w:r w:rsidRPr="00225D4D">
        <w:t xml:space="preserve"> i drift i 2032, </w:t>
      </w:r>
      <w:proofErr w:type="spellStart"/>
      <w:r w:rsidRPr="00225D4D">
        <w:t>utan</w:t>
      </w:r>
      <w:proofErr w:type="spellEnd"/>
      <w:r w:rsidRPr="00225D4D">
        <w:t xml:space="preserve"> å foregripe vurderinga av spørsmålet om konsesjon eller legge </w:t>
      </w:r>
      <w:proofErr w:type="spellStart"/>
      <w:r w:rsidRPr="00225D4D">
        <w:t>føringar</w:t>
      </w:r>
      <w:proofErr w:type="spellEnd"/>
      <w:r w:rsidRPr="00225D4D">
        <w:t xml:space="preserve"> for NVEs </w:t>
      </w:r>
      <w:proofErr w:type="spellStart"/>
      <w:r w:rsidRPr="00225D4D">
        <w:t>vurderingar</w:t>
      </w:r>
      <w:proofErr w:type="spellEnd"/>
      <w:r w:rsidRPr="00225D4D">
        <w:t xml:space="preserve"> av den samla </w:t>
      </w:r>
      <w:proofErr w:type="spellStart"/>
      <w:r w:rsidRPr="00225D4D">
        <w:t>samfunnsnytta</w:t>
      </w:r>
      <w:proofErr w:type="spellEnd"/>
      <w:r w:rsidRPr="00225D4D">
        <w:t xml:space="preserve"> til prosjektet. Statnett prioriterer også arbeidet med utgreiing, søknad og eventuell etablering av ei ny styringseining som </w:t>
      </w:r>
      <w:proofErr w:type="spellStart"/>
      <w:r w:rsidRPr="00225D4D">
        <w:t>gjer</w:t>
      </w:r>
      <w:proofErr w:type="spellEnd"/>
      <w:r w:rsidRPr="00225D4D">
        <w:t xml:space="preserve"> det </w:t>
      </w:r>
      <w:proofErr w:type="spellStart"/>
      <w:r w:rsidRPr="00225D4D">
        <w:t>mogleg</w:t>
      </w:r>
      <w:proofErr w:type="spellEnd"/>
      <w:r w:rsidRPr="00225D4D">
        <w:t xml:space="preserve"> å utnytte den </w:t>
      </w:r>
      <w:proofErr w:type="spellStart"/>
      <w:r w:rsidRPr="00225D4D">
        <w:t>eksisterande</w:t>
      </w:r>
      <w:proofErr w:type="spellEnd"/>
      <w:r w:rsidRPr="00225D4D">
        <w:t xml:space="preserve"> 220 kV </w:t>
      </w:r>
      <w:proofErr w:type="spellStart"/>
      <w:r w:rsidRPr="00225D4D">
        <w:t>leidningen</w:t>
      </w:r>
      <w:proofErr w:type="spellEnd"/>
      <w:r w:rsidRPr="00225D4D">
        <w:t xml:space="preserve"> mellom Aust-Finnmark og Finland betre. Dette tiltaket </w:t>
      </w:r>
      <w:proofErr w:type="spellStart"/>
      <w:r w:rsidRPr="00225D4D">
        <w:t>legg</w:t>
      </w:r>
      <w:proofErr w:type="spellEnd"/>
      <w:r w:rsidRPr="00225D4D">
        <w:t xml:space="preserve"> til rette for nytt og </w:t>
      </w:r>
      <w:proofErr w:type="spellStart"/>
      <w:r w:rsidRPr="00225D4D">
        <w:t>auka</w:t>
      </w:r>
      <w:proofErr w:type="spellEnd"/>
      <w:r w:rsidRPr="00225D4D">
        <w:t xml:space="preserve"> forbruk i Aust-Finnmark.</w:t>
      </w:r>
    </w:p>
    <w:p w14:paraId="56F087A5"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6490A72C" w14:textId="77777777" w:rsidR="00D60186" w:rsidRPr="00225D4D" w:rsidRDefault="00D60186" w:rsidP="00225D4D">
      <w:pPr>
        <w:pStyle w:val="avsnitt-tittel"/>
      </w:pPr>
      <w:proofErr w:type="spellStart"/>
      <w:r w:rsidRPr="00225D4D">
        <w:t>Førebuande</w:t>
      </w:r>
      <w:proofErr w:type="spellEnd"/>
      <w:r w:rsidRPr="00225D4D">
        <w:t xml:space="preserve"> arbeid for 26. konsesjonsrunde</w:t>
      </w:r>
    </w:p>
    <w:p w14:paraId="1C6A21D9" w14:textId="77777777" w:rsidR="00D60186" w:rsidRPr="00225D4D" w:rsidRDefault="00D60186" w:rsidP="00225D4D">
      <w:pPr>
        <w:pStyle w:val="avsnitt-undertittel"/>
      </w:pPr>
      <w:r w:rsidRPr="00225D4D">
        <w:t>Vedtak 658, 6. mai 2025</w:t>
      </w:r>
    </w:p>
    <w:p w14:paraId="2EA133A9" w14:textId="77777777" w:rsidR="00D60186" w:rsidRPr="00225D4D" w:rsidRDefault="00D60186" w:rsidP="00225D4D">
      <w:pPr>
        <w:pStyle w:val="blokksit"/>
      </w:pPr>
      <w:r w:rsidRPr="00225D4D">
        <w:t>«</w:t>
      </w:r>
      <w:r w:rsidRPr="00225D4D">
        <w:rPr>
          <w:rStyle w:val="kursiv"/>
        </w:rPr>
        <w:t xml:space="preserve">Stortinget ber regjeringa </w:t>
      </w:r>
      <w:proofErr w:type="spellStart"/>
      <w:r w:rsidRPr="00225D4D">
        <w:rPr>
          <w:rStyle w:val="kursiv"/>
        </w:rPr>
        <w:t>setje</w:t>
      </w:r>
      <w:proofErr w:type="spellEnd"/>
      <w:r w:rsidRPr="00225D4D">
        <w:rPr>
          <w:rStyle w:val="kursiv"/>
        </w:rPr>
        <w:t xml:space="preserve"> i verk </w:t>
      </w:r>
      <w:proofErr w:type="spellStart"/>
      <w:r w:rsidRPr="00225D4D">
        <w:rPr>
          <w:rStyle w:val="kursiv"/>
        </w:rPr>
        <w:t>førebuande</w:t>
      </w:r>
      <w:proofErr w:type="spellEnd"/>
      <w:r w:rsidRPr="00225D4D">
        <w:rPr>
          <w:rStyle w:val="kursiv"/>
        </w:rPr>
        <w:t xml:space="preserve"> arbeid for 26. konsesjonsrunde med sikte på ei </w:t>
      </w:r>
      <w:proofErr w:type="spellStart"/>
      <w:r w:rsidRPr="00225D4D">
        <w:rPr>
          <w:rStyle w:val="kursiv"/>
        </w:rPr>
        <w:t>mogleg</w:t>
      </w:r>
      <w:proofErr w:type="spellEnd"/>
      <w:r w:rsidRPr="00225D4D">
        <w:rPr>
          <w:rStyle w:val="kursiv"/>
        </w:rPr>
        <w:t xml:space="preserve"> utlysing av runden </w:t>
      </w:r>
      <w:proofErr w:type="spellStart"/>
      <w:r w:rsidRPr="00225D4D">
        <w:rPr>
          <w:rStyle w:val="kursiv"/>
        </w:rPr>
        <w:t>tidleg</w:t>
      </w:r>
      <w:proofErr w:type="spellEnd"/>
      <w:r w:rsidRPr="00225D4D">
        <w:rPr>
          <w:rStyle w:val="kursiv"/>
        </w:rPr>
        <w:t xml:space="preserve"> i 2026.</w:t>
      </w:r>
      <w:r w:rsidRPr="00225D4D">
        <w:t>»</w:t>
      </w:r>
    </w:p>
    <w:p w14:paraId="7947AC37"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 S (2024–2025) og </w:t>
      </w:r>
      <w:proofErr w:type="spellStart"/>
      <w:r w:rsidRPr="00225D4D">
        <w:t>Innst</w:t>
      </w:r>
      <w:proofErr w:type="spellEnd"/>
      <w:r w:rsidRPr="00225D4D">
        <w:t>. 237 S (2024–2025).</w:t>
      </w:r>
    </w:p>
    <w:p w14:paraId="4DA6A14E" w14:textId="77777777" w:rsidR="00D60186" w:rsidRPr="00225D4D" w:rsidRDefault="00D60186" w:rsidP="00225D4D">
      <w:r w:rsidRPr="00225D4D">
        <w:t xml:space="preserve">Den 8. august 2025 gav Energidepartementet Sokkeldirektoratet i oppdrag å gjennomføre </w:t>
      </w:r>
      <w:proofErr w:type="spellStart"/>
      <w:r w:rsidRPr="00225D4D">
        <w:t>ein</w:t>
      </w:r>
      <w:proofErr w:type="spellEnd"/>
      <w:r w:rsidRPr="00225D4D">
        <w:t xml:space="preserve"> nominasjonsprosess for </w:t>
      </w:r>
      <w:proofErr w:type="spellStart"/>
      <w:r w:rsidRPr="00225D4D">
        <w:t>ein</w:t>
      </w:r>
      <w:proofErr w:type="spellEnd"/>
      <w:r w:rsidRPr="00225D4D">
        <w:t xml:space="preserve"> 26. konsesjonsrunde. Nominasjonsprosessen </w:t>
      </w:r>
      <w:proofErr w:type="spellStart"/>
      <w:r w:rsidRPr="00225D4D">
        <w:t>dannar</w:t>
      </w:r>
      <w:proofErr w:type="spellEnd"/>
      <w:r w:rsidRPr="00225D4D">
        <w:t xml:space="preserve"> grunnlag for ei </w:t>
      </w:r>
      <w:proofErr w:type="spellStart"/>
      <w:r w:rsidRPr="00225D4D">
        <w:t>mogleg</w:t>
      </w:r>
      <w:proofErr w:type="spellEnd"/>
      <w:r w:rsidRPr="00225D4D">
        <w:t xml:space="preserve"> utlysing av 26. konsesjonsrunde.</w:t>
      </w:r>
    </w:p>
    <w:p w14:paraId="0C8719C3"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35F3FAF3" w14:textId="77777777" w:rsidR="00D60186" w:rsidRPr="00225D4D" w:rsidRDefault="00D60186" w:rsidP="00225D4D">
      <w:pPr>
        <w:pStyle w:val="avsnitt-tittel"/>
      </w:pPr>
      <w:proofErr w:type="spellStart"/>
      <w:r w:rsidRPr="00225D4D">
        <w:t>Frigjere</w:t>
      </w:r>
      <w:proofErr w:type="spellEnd"/>
      <w:r w:rsidRPr="00225D4D">
        <w:t xml:space="preserve"> nettkapasitet til forsvarsindustrien</w:t>
      </w:r>
    </w:p>
    <w:p w14:paraId="6BEEFD17" w14:textId="77777777" w:rsidR="00D60186" w:rsidRPr="00225D4D" w:rsidRDefault="00D60186" w:rsidP="00225D4D">
      <w:pPr>
        <w:pStyle w:val="avsnitt-undertittel"/>
      </w:pPr>
      <w:r w:rsidRPr="00225D4D">
        <w:t>Vedtak 833, 2. juni 2025</w:t>
      </w:r>
    </w:p>
    <w:p w14:paraId="4A7039C4" w14:textId="77777777" w:rsidR="00D60186" w:rsidRPr="00225D4D" w:rsidRDefault="00D60186" w:rsidP="00225D4D">
      <w:pPr>
        <w:pStyle w:val="blokksit"/>
      </w:pPr>
      <w:r w:rsidRPr="00225D4D">
        <w:t>«</w:t>
      </w:r>
      <w:r w:rsidRPr="00225D4D">
        <w:rPr>
          <w:rStyle w:val="kursiv"/>
        </w:rPr>
        <w:t>Stortinget ber regjeringen gå i dialog med både nye og eksisterende aktører som har reservert stor nettkapasitet i områder hvor det også skal bygges ut forsvarsindustri, for å undersøke om de har umiddelbart behov for all kapasiteten de har reservert, eller har mulighet til å frigjøre noe kapasitet til forsvarsindustrien midlertidig inntil mer kraft og nett er på plass.</w:t>
      </w:r>
      <w:r w:rsidRPr="00225D4D">
        <w:t>»</w:t>
      </w:r>
    </w:p>
    <w:p w14:paraId="4E64E8F2" w14:textId="77777777" w:rsidR="00D60186" w:rsidRPr="00225D4D" w:rsidRDefault="00D60186" w:rsidP="00225D4D">
      <w:r w:rsidRPr="00225D4D">
        <w:t xml:space="preserve">Dokumenta som ligg til grunn for vedtaket er Dokument 8:132 S (2024–2025) og </w:t>
      </w:r>
      <w:proofErr w:type="spellStart"/>
      <w:r w:rsidRPr="00225D4D">
        <w:t>Innst</w:t>
      </w:r>
      <w:proofErr w:type="spellEnd"/>
      <w:r w:rsidRPr="00225D4D">
        <w:t>. 251 S (2024–2025).</w:t>
      </w:r>
    </w:p>
    <w:p w14:paraId="10497677" w14:textId="77777777" w:rsidR="00D60186" w:rsidRPr="00225D4D" w:rsidRDefault="00D60186" w:rsidP="00225D4D">
      <w:r w:rsidRPr="00225D4D">
        <w:t xml:space="preserve">Etter energilova er nettselskapa </w:t>
      </w:r>
      <w:proofErr w:type="spellStart"/>
      <w:r w:rsidRPr="00225D4D">
        <w:t>ansvarlege</w:t>
      </w:r>
      <w:proofErr w:type="spellEnd"/>
      <w:r w:rsidRPr="00225D4D">
        <w:t xml:space="preserve"> for å utvikle straumnettet slik at samfunnet har tilgang til nødvendige </w:t>
      </w:r>
      <w:proofErr w:type="spellStart"/>
      <w:r w:rsidRPr="00225D4D">
        <w:t>nettenester</w:t>
      </w:r>
      <w:proofErr w:type="spellEnd"/>
      <w:r w:rsidRPr="00225D4D">
        <w:t xml:space="preserve">. Det er også nettselskapa som følger opp både </w:t>
      </w:r>
      <w:proofErr w:type="spellStart"/>
      <w:r w:rsidRPr="00225D4D">
        <w:t>eksisterande</w:t>
      </w:r>
      <w:proofErr w:type="spellEnd"/>
      <w:r w:rsidRPr="00225D4D">
        <w:t xml:space="preserve"> og nye </w:t>
      </w:r>
      <w:proofErr w:type="spellStart"/>
      <w:r w:rsidRPr="00225D4D">
        <w:t>straumkundar</w:t>
      </w:r>
      <w:proofErr w:type="spellEnd"/>
      <w:r w:rsidRPr="00225D4D">
        <w:t xml:space="preserve">. I </w:t>
      </w:r>
      <w:proofErr w:type="spellStart"/>
      <w:r w:rsidRPr="00225D4D">
        <w:t>ein</w:t>
      </w:r>
      <w:proofErr w:type="spellEnd"/>
      <w:r w:rsidRPr="00225D4D">
        <w:t xml:space="preserve"> situasjon der </w:t>
      </w:r>
      <w:proofErr w:type="spellStart"/>
      <w:r w:rsidRPr="00225D4D">
        <w:t>kundane</w:t>
      </w:r>
      <w:proofErr w:type="spellEnd"/>
      <w:r w:rsidRPr="00225D4D">
        <w:t xml:space="preserve"> har bedt om </w:t>
      </w:r>
      <w:proofErr w:type="spellStart"/>
      <w:r w:rsidRPr="00225D4D">
        <w:t>meir</w:t>
      </w:r>
      <w:proofErr w:type="spellEnd"/>
      <w:r w:rsidRPr="00225D4D">
        <w:t xml:space="preserve"> kapasitet enn det </w:t>
      </w:r>
      <w:proofErr w:type="spellStart"/>
      <w:r w:rsidRPr="00225D4D">
        <w:t>finst</w:t>
      </w:r>
      <w:proofErr w:type="spellEnd"/>
      <w:r w:rsidRPr="00225D4D">
        <w:t xml:space="preserve"> </w:t>
      </w:r>
      <w:proofErr w:type="spellStart"/>
      <w:r w:rsidRPr="00225D4D">
        <w:t>tilgjengeleg</w:t>
      </w:r>
      <w:proofErr w:type="spellEnd"/>
      <w:r w:rsidRPr="00225D4D">
        <w:t xml:space="preserve"> mange </w:t>
      </w:r>
      <w:proofErr w:type="spellStart"/>
      <w:r w:rsidRPr="00225D4D">
        <w:t>plassar</w:t>
      </w:r>
      <w:proofErr w:type="spellEnd"/>
      <w:r w:rsidRPr="00225D4D">
        <w:t xml:space="preserve">, har regjeringa prioritert å legge til rette for at det skal gå </w:t>
      </w:r>
      <w:proofErr w:type="spellStart"/>
      <w:r w:rsidRPr="00225D4D">
        <w:t>raskare</w:t>
      </w:r>
      <w:proofErr w:type="spellEnd"/>
      <w:r w:rsidRPr="00225D4D">
        <w:t xml:space="preserve"> å etablere nettanlegg i framtida, og at nettkapasiteten skal </w:t>
      </w:r>
      <w:proofErr w:type="spellStart"/>
      <w:r w:rsidRPr="00225D4D">
        <w:t>utnyttast</w:t>
      </w:r>
      <w:proofErr w:type="spellEnd"/>
      <w:r w:rsidRPr="00225D4D">
        <w:t xml:space="preserve"> mest </w:t>
      </w:r>
      <w:proofErr w:type="spellStart"/>
      <w:r w:rsidRPr="00225D4D">
        <w:t>mogleg</w:t>
      </w:r>
      <w:proofErr w:type="spellEnd"/>
      <w:r w:rsidRPr="00225D4D">
        <w:t xml:space="preserve"> effektivt. </w:t>
      </w:r>
      <w:r w:rsidRPr="00225D4D">
        <w:rPr>
          <w:rStyle w:val="kursiv"/>
        </w:rPr>
        <w:t>Regjeringens handlingsplan for raskere nettutbygging og bedre utnyttelse av strømnettet</w:t>
      </w:r>
      <w:r w:rsidRPr="00225D4D">
        <w:t xml:space="preserve"> </w:t>
      </w:r>
      <w:proofErr w:type="spellStart"/>
      <w:r w:rsidRPr="00225D4D">
        <w:t>frå</w:t>
      </w:r>
      <w:proofErr w:type="spellEnd"/>
      <w:r w:rsidRPr="00225D4D">
        <w:t xml:space="preserve"> 2023 </w:t>
      </w:r>
      <w:proofErr w:type="spellStart"/>
      <w:r w:rsidRPr="00225D4D">
        <w:t>understrekar</w:t>
      </w:r>
      <w:proofErr w:type="spellEnd"/>
      <w:r w:rsidRPr="00225D4D">
        <w:t xml:space="preserve"> at nettselskapa bør forvalte kapasiteten i straumnettet aktivt, slik at kapasiteten til nytt og </w:t>
      </w:r>
      <w:proofErr w:type="spellStart"/>
      <w:r w:rsidRPr="00225D4D">
        <w:t>auka</w:t>
      </w:r>
      <w:proofErr w:type="spellEnd"/>
      <w:r w:rsidRPr="00225D4D">
        <w:t xml:space="preserve"> forbruk er så stor som råd. Nettselskapa bør </w:t>
      </w:r>
      <w:proofErr w:type="spellStart"/>
      <w:r w:rsidRPr="00225D4D">
        <w:t>ikkje</w:t>
      </w:r>
      <w:proofErr w:type="spellEnd"/>
      <w:r w:rsidRPr="00225D4D">
        <w:t xml:space="preserve"> reservere eller tildele </w:t>
      </w:r>
      <w:proofErr w:type="spellStart"/>
      <w:r w:rsidRPr="00225D4D">
        <w:t>meir</w:t>
      </w:r>
      <w:proofErr w:type="spellEnd"/>
      <w:r w:rsidRPr="00225D4D">
        <w:t xml:space="preserve"> kapasitet enn det </w:t>
      </w:r>
      <w:proofErr w:type="spellStart"/>
      <w:r w:rsidRPr="00225D4D">
        <w:t>kundane</w:t>
      </w:r>
      <w:proofErr w:type="spellEnd"/>
      <w:r w:rsidRPr="00225D4D">
        <w:t xml:space="preserve"> faktisk har bruk for. </w:t>
      </w:r>
      <w:proofErr w:type="spellStart"/>
      <w:r w:rsidRPr="00225D4D">
        <w:t>Frå</w:t>
      </w:r>
      <w:proofErr w:type="spellEnd"/>
      <w:r w:rsidRPr="00225D4D">
        <w:t xml:space="preserve"> 1. januar 2025, </w:t>
      </w:r>
      <w:proofErr w:type="spellStart"/>
      <w:r w:rsidRPr="00225D4D">
        <w:t>pliktar</w:t>
      </w:r>
      <w:proofErr w:type="spellEnd"/>
      <w:r w:rsidRPr="00225D4D">
        <w:t xml:space="preserve"> nettselskapa å vurdere om </w:t>
      </w:r>
      <w:proofErr w:type="spellStart"/>
      <w:r w:rsidRPr="00225D4D">
        <w:t>eit</w:t>
      </w:r>
      <w:proofErr w:type="spellEnd"/>
      <w:r w:rsidRPr="00225D4D">
        <w:t xml:space="preserve"> prosjekt er </w:t>
      </w:r>
      <w:proofErr w:type="spellStart"/>
      <w:r w:rsidRPr="00225D4D">
        <w:t>tilstrekkeleg</w:t>
      </w:r>
      <w:proofErr w:type="spellEnd"/>
      <w:r w:rsidRPr="00225D4D">
        <w:t xml:space="preserve"> modent før det får reservere kapasitet i nettet.</w:t>
      </w:r>
    </w:p>
    <w:p w14:paraId="6D5271F1" w14:textId="77777777" w:rsidR="00D60186" w:rsidRPr="00225D4D" w:rsidRDefault="00D60186" w:rsidP="00225D4D">
      <w:r w:rsidRPr="00225D4D">
        <w:t xml:space="preserve">Dersom prosjekt i </w:t>
      </w:r>
      <w:proofErr w:type="spellStart"/>
      <w:r w:rsidRPr="00225D4D">
        <w:t>forsvarindustrien</w:t>
      </w:r>
      <w:proofErr w:type="spellEnd"/>
      <w:r w:rsidRPr="00225D4D">
        <w:t xml:space="preserve"> har behov for </w:t>
      </w:r>
      <w:proofErr w:type="spellStart"/>
      <w:r w:rsidRPr="00225D4D">
        <w:t>straum</w:t>
      </w:r>
      <w:proofErr w:type="spellEnd"/>
      <w:r w:rsidRPr="00225D4D">
        <w:t xml:space="preserve"> </w:t>
      </w:r>
      <w:proofErr w:type="spellStart"/>
      <w:r w:rsidRPr="00225D4D">
        <w:t>raskare</w:t>
      </w:r>
      <w:proofErr w:type="spellEnd"/>
      <w:r w:rsidRPr="00225D4D">
        <w:t xml:space="preserve"> enn det nettselskapet i utgangspunktet kan tilby, er det viktig at </w:t>
      </w:r>
      <w:proofErr w:type="spellStart"/>
      <w:r w:rsidRPr="00225D4D">
        <w:t>dei</w:t>
      </w:r>
      <w:proofErr w:type="spellEnd"/>
      <w:r w:rsidRPr="00225D4D">
        <w:t xml:space="preserve"> går i dialog med nettselskapet for å finne </w:t>
      </w:r>
      <w:proofErr w:type="spellStart"/>
      <w:r w:rsidRPr="00225D4D">
        <w:t>løysingar</w:t>
      </w:r>
      <w:proofErr w:type="spellEnd"/>
      <w:r w:rsidRPr="00225D4D">
        <w:t xml:space="preserve">. Det kan for eksempel </w:t>
      </w:r>
      <w:proofErr w:type="spellStart"/>
      <w:r w:rsidRPr="00225D4D">
        <w:t>vere</w:t>
      </w:r>
      <w:proofErr w:type="spellEnd"/>
      <w:r w:rsidRPr="00225D4D">
        <w:t xml:space="preserve"> aktuelt å kontakte andre </w:t>
      </w:r>
      <w:proofErr w:type="spellStart"/>
      <w:r w:rsidRPr="00225D4D">
        <w:t>kundar</w:t>
      </w:r>
      <w:proofErr w:type="spellEnd"/>
      <w:r w:rsidRPr="00225D4D">
        <w:t xml:space="preserve"> som har fått reservere kapasitet. Nettselskapet </w:t>
      </w:r>
      <w:proofErr w:type="spellStart"/>
      <w:r w:rsidRPr="00225D4D">
        <w:t>pliktar</w:t>
      </w:r>
      <w:proofErr w:type="spellEnd"/>
      <w:r w:rsidRPr="00225D4D">
        <w:t xml:space="preserve"> uansett å følge opp prosjekt som har fått reservere kapasitet. Prosjekt som </w:t>
      </w:r>
      <w:proofErr w:type="spellStart"/>
      <w:r w:rsidRPr="00225D4D">
        <w:t>ikkje</w:t>
      </w:r>
      <w:proofErr w:type="spellEnd"/>
      <w:r w:rsidRPr="00225D4D">
        <w:t xml:space="preserve"> </w:t>
      </w:r>
      <w:proofErr w:type="spellStart"/>
      <w:r w:rsidRPr="00225D4D">
        <w:t>opprettheld</w:t>
      </w:r>
      <w:proofErr w:type="spellEnd"/>
      <w:r w:rsidRPr="00225D4D">
        <w:t xml:space="preserve"> </w:t>
      </w:r>
      <w:proofErr w:type="spellStart"/>
      <w:r w:rsidRPr="00225D4D">
        <w:t>tilstrekkeleg</w:t>
      </w:r>
      <w:proofErr w:type="spellEnd"/>
      <w:r w:rsidRPr="00225D4D">
        <w:t xml:space="preserve"> framdrift, kan miste heile eller </w:t>
      </w:r>
      <w:proofErr w:type="spellStart"/>
      <w:r w:rsidRPr="00225D4D">
        <w:t>delar</w:t>
      </w:r>
      <w:proofErr w:type="spellEnd"/>
      <w:r w:rsidRPr="00225D4D">
        <w:t xml:space="preserve"> av den reserverte kapasiteten sin, og denne kan i staden </w:t>
      </w:r>
      <w:proofErr w:type="spellStart"/>
      <w:r w:rsidRPr="00225D4D">
        <w:t>fordelast</w:t>
      </w:r>
      <w:proofErr w:type="spellEnd"/>
      <w:r w:rsidRPr="00225D4D">
        <w:t xml:space="preserve"> til andre, </w:t>
      </w:r>
      <w:proofErr w:type="spellStart"/>
      <w:r w:rsidRPr="00225D4D">
        <w:t>meir</w:t>
      </w:r>
      <w:proofErr w:type="spellEnd"/>
      <w:r w:rsidRPr="00225D4D">
        <w:t xml:space="preserve"> modne prosjekt. Dette er </w:t>
      </w:r>
      <w:proofErr w:type="spellStart"/>
      <w:r w:rsidRPr="00225D4D">
        <w:t>særleg</w:t>
      </w:r>
      <w:proofErr w:type="spellEnd"/>
      <w:r w:rsidRPr="00225D4D">
        <w:t xml:space="preserve"> viktig i område der det står mange </w:t>
      </w:r>
      <w:proofErr w:type="spellStart"/>
      <w:r w:rsidRPr="00225D4D">
        <w:t>aktørar</w:t>
      </w:r>
      <w:proofErr w:type="spellEnd"/>
      <w:r w:rsidRPr="00225D4D">
        <w:t xml:space="preserve"> i kø og det vil ta lang tid å </w:t>
      </w:r>
      <w:proofErr w:type="spellStart"/>
      <w:r w:rsidRPr="00225D4D">
        <w:t>auke</w:t>
      </w:r>
      <w:proofErr w:type="spellEnd"/>
      <w:r w:rsidRPr="00225D4D">
        <w:t xml:space="preserve"> nettkapasiteten.</w:t>
      </w:r>
    </w:p>
    <w:p w14:paraId="0EEA2C08" w14:textId="77777777" w:rsidR="00D60186" w:rsidRPr="00225D4D" w:rsidRDefault="00D60186" w:rsidP="00225D4D">
      <w:r w:rsidRPr="00225D4D">
        <w:t xml:space="preserve">Energidepartementet har også </w:t>
      </w:r>
      <w:proofErr w:type="spellStart"/>
      <w:r w:rsidRPr="00225D4D">
        <w:t>nyleg</w:t>
      </w:r>
      <w:proofErr w:type="spellEnd"/>
      <w:r w:rsidRPr="00225D4D">
        <w:t xml:space="preserve"> hatt på </w:t>
      </w:r>
      <w:proofErr w:type="spellStart"/>
      <w:r w:rsidRPr="00225D4D">
        <w:t>høyring</w:t>
      </w:r>
      <w:proofErr w:type="spellEnd"/>
      <w:r w:rsidRPr="00225D4D">
        <w:t xml:space="preserve"> </w:t>
      </w:r>
      <w:proofErr w:type="spellStart"/>
      <w:r w:rsidRPr="00225D4D">
        <w:t>eit</w:t>
      </w:r>
      <w:proofErr w:type="spellEnd"/>
      <w:r w:rsidRPr="00225D4D">
        <w:t xml:space="preserve"> forslag til </w:t>
      </w:r>
      <w:proofErr w:type="spellStart"/>
      <w:r w:rsidRPr="00225D4D">
        <w:t>endringar</w:t>
      </w:r>
      <w:proofErr w:type="spellEnd"/>
      <w:r w:rsidRPr="00225D4D">
        <w:t xml:space="preserve"> i energilova som </w:t>
      </w:r>
      <w:proofErr w:type="spellStart"/>
      <w:r w:rsidRPr="00225D4D">
        <w:t>opnar</w:t>
      </w:r>
      <w:proofErr w:type="spellEnd"/>
      <w:r w:rsidRPr="00225D4D">
        <w:t xml:space="preserve"> for å prioritere nasjonale </w:t>
      </w:r>
      <w:proofErr w:type="spellStart"/>
      <w:r w:rsidRPr="00225D4D">
        <w:t>sikkerheitsinteresser</w:t>
      </w:r>
      <w:proofErr w:type="spellEnd"/>
      <w:r w:rsidRPr="00225D4D">
        <w:t xml:space="preserve"> ved </w:t>
      </w:r>
      <w:proofErr w:type="spellStart"/>
      <w:r w:rsidRPr="00225D4D">
        <w:t>tilknyting</w:t>
      </w:r>
      <w:proofErr w:type="spellEnd"/>
      <w:r w:rsidRPr="00225D4D">
        <w:t xml:space="preserve"> til straumnettet. Forslaget </w:t>
      </w:r>
      <w:proofErr w:type="spellStart"/>
      <w:r w:rsidRPr="00225D4D">
        <w:t>inneber</w:t>
      </w:r>
      <w:proofErr w:type="spellEnd"/>
      <w:r w:rsidRPr="00225D4D">
        <w:t xml:space="preserve"> at Kongen kan </w:t>
      </w:r>
      <w:proofErr w:type="spellStart"/>
      <w:r w:rsidRPr="00225D4D">
        <w:t>gjere</w:t>
      </w:r>
      <w:proofErr w:type="spellEnd"/>
      <w:r w:rsidRPr="00225D4D">
        <w:t xml:space="preserve"> vedtak overfor nettselskapa om å prioritere </w:t>
      </w:r>
      <w:proofErr w:type="spellStart"/>
      <w:r w:rsidRPr="00225D4D">
        <w:t>ein</w:t>
      </w:r>
      <w:proofErr w:type="spellEnd"/>
      <w:r w:rsidRPr="00225D4D">
        <w:t xml:space="preserve"> bestemt uttakskunde når det er nødvendig av omsyn til nasjonale </w:t>
      </w:r>
      <w:proofErr w:type="spellStart"/>
      <w:r w:rsidRPr="00225D4D">
        <w:t>sikkerheitsinteresser</w:t>
      </w:r>
      <w:proofErr w:type="spellEnd"/>
      <w:r w:rsidRPr="00225D4D">
        <w:t xml:space="preserve">, som forsvarsindustri og kritiske </w:t>
      </w:r>
      <w:proofErr w:type="spellStart"/>
      <w:r w:rsidRPr="00225D4D">
        <w:t>samfunnsfunksjonar</w:t>
      </w:r>
      <w:proofErr w:type="spellEnd"/>
      <w:r w:rsidRPr="00225D4D">
        <w:t xml:space="preserve">. Energidepartementet går </w:t>
      </w:r>
      <w:proofErr w:type="spellStart"/>
      <w:r w:rsidRPr="00225D4D">
        <w:t>no</w:t>
      </w:r>
      <w:proofErr w:type="spellEnd"/>
      <w:r w:rsidRPr="00225D4D">
        <w:t xml:space="preserve"> gjennom </w:t>
      </w:r>
      <w:proofErr w:type="spellStart"/>
      <w:r w:rsidRPr="00225D4D">
        <w:t>høyringsinnspela</w:t>
      </w:r>
      <w:proofErr w:type="spellEnd"/>
      <w:r w:rsidRPr="00225D4D">
        <w:t xml:space="preserve"> og tar sikte på å sende </w:t>
      </w:r>
      <w:proofErr w:type="spellStart"/>
      <w:r w:rsidRPr="00225D4D">
        <w:t>ein</w:t>
      </w:r>
      <w:proofErr w:type="spellEnd"/>
      <w:r w:rsidRPr="00225D4D">
        <w:t xml:space="preserve"> lovproposisjon om </w:t>
      </w:r>
      <w:proofErr w:type="spellStart"/>
      <w:r w:rsidRPr="00225D4D">
        <w:t>endringane</w:t>
      </w:r>
      <w:proofErr w:type="spellEnd"/>
      <w:r w:rsidRPr="00225D4D">
        <w:t xml:space="preserve"> til Stortinget så snart som </w:t>
      </w:r>
      <w:proofErr w:type="spellStart"/>
      <w:r w:rsidRPr="00225D4D">
        <w:t>mogleg</w:t>
      </w:r>
      <w:proofErr w:type="spellEnd"/>
      <w:r w:rsidRPr="00225D4D">
        <w:t>.</w:t>
      </w:r>
    </w:p>
    <w:p w14:paraId="48A7DD96"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6AECA38C" w14:textId="77777777" w:rsidR="00D60186" w:rsidRPr="00225D4D" w:rsidRDefault="00D60186" w:rsidP="00225D4D">
      <w:pPr>
        <w:pStyle w:val="avsnitt-tittel"/>
      </w:pPr>
      <w:proofErr w:type="spellStart"/>
      <w:r w:rsidRPr="00225D4D">
        <w:t>Forbetre</w:t>
      </w:r>
      <w:proofErr w:type="spellEnd"/>
      <w:r w:rsidRPr="00225D4D">
        <w:t xml:space="preserve"> tilgangen på </w:t>
      </w:r>
      <w:proofErr w:type="spellStart"/>
      <w:r w:rsidRPr="00225D4D">
        <w:t>straum</w:t>
      </w:r>
      <w:proofErr w:type="spellEnd"/>
      <w:r w:rsidRPr="00225D4D">
        <w:t xml:space="preserve"> for forsvarsindustrien</w:t>
      </w:r>
    </w:p>
    <w:p w14:paraId="134B2CD2" w14:textId="77777777" w:rsidR="00D60186" w:rsidRPr="00225D4D" w:rsidRDefault="00D60186" w:rsidP="00225D4D">
      <w:pPr>
        <w:pStyle w:val="avsnitt-undertittel"/>
      </w:pPr>
      <w:r w:rsidRPr="00225D4D">
        <w:t>Vedtak 834, 2. juni 2025</w:t>
      </w:r>
    </w:p>
    <w:p w14:paraId="46032A9D" w14:textId="77777777" w:rsidR="00D60186" w:rsidRPr="00225D4D" w:rsidRDefault="00D60186" w:rsidP="00225D4D">
      <w:pPr>
        <w:pStyle w:val="blokksit"/>
      </w:pPr>
      <w:r w:rsidRPr="00225D4D">
        <w:t>«</w:t>
      </w:r>
      <w:r w:rsidRPr="00225D4D">
        <w:rPr>
          <w:rStyle w:val="kursiv"/>
        </w:rPr>
        <w:t>Stortinget ber regjeringen forbedre forsvarsindustriens tilgang på strøm, for eksempel ved å la sikkerhetspolitiske hensyn overgå modenhetskriteriet ved forespørsel om nettilknytning, eller ved å definere forsvarsindustri som del av såkalt «vanlig forbruk» til nødvendige samfunnsfunksjoner.</w:t>
      </w:r>
      <w:r w:rsidRPr="00225D4D">
        <w:t>»</w:t>
      </w:r>
    </w:p>
    <w:p w14:paraId="028696F7" w14:textId="77777777" w:rsidR="00D60186" w:rsidRPr="00225D4D" w:rsidRDefault="00D60186" w:rsidP="00225D4D">
      <w:r w:rsidRPr="00225D4D">
        <w:t xml:space="preserve">Dokumenta som ligg til grunn for vedtaket er Dokument 8:132 S (2024–2025) og </w:t>
      </w:r>
      <w:proofErr w:type="spellStart"/>
      <w:r w:rsidRPr="00225D4D">
        <w:t>Innst</w:t>
      </w:r>
      <w:proofErr w:type="spellEnd"/>
      <w:r w:rsidRPr="00225D4D">
        <w:t>. 251 S (2024–2025).</w:t>
      </w:r>
    </w:p>
    <w:p w14:paraId="005A319D" w14:textId="77777777" w:rsidR="00D60186" w:rsidRPr="00225D4D" w:rsidRDefault="00D60186" w:rsidP="00225D4D">
      <w:r w:rsidRPr="00225D4D">
        <w:t xml:space="preserve">Energidepartementet har </w:t>
      </w:r>
      <w:proofErr w:type="spellStart"/>
      <w:r w:rsidRPr="00225D4D">
        <w:t>nyleg</w:t>
      </w:r>
      <w:proofErr w:type="spellEnd"/>
      <w:r w:rsidRPr="00225D4D">
        <w:t xml:space="preserve"> hatt på </w:t>
      </w:r>
      <w:proofErr w:type="spellStart"/>
      <w:r w:rsidRPr="00225D4D">
        <w:t>høyring</w:t>
      </w:r>
      <w:proofErr w:type="spellEnd"/>
      <w:r w:rsidRPr="00225D4D">
        <w:t xml:space="preserve"> </w:t>
      </w:r>
      <w:proofErr w:type="spellStart"/>
      <w:r w:rsidRPr="00225D4D">
        <w:t>eit</w:t>
      </w:r>
      <w:proofErr w:type="spellEnd"/>
      <w:r w:rsidRPr="00225D4D">
        <w:t xml:space="preserve"> forslag til </w:t>
      </w:r>
      <w:proofErr w:type="spellStart"/>
      <w:r w:rsidRPr="00225D4D">
        <w:t>endringar</w:t>
      </w:r>
      <w:proofErr w:type="spellEnd"/>
      <w:r w:rsidRPr="00225D4D">
        <w:t xml:space="preserve"> i energilova som </w:t>
      </w:r>
      <w:proofErr w:type="spellStart"/>
      <w:r w:rsidRPr="00225D4D">
        <w:t>opnar</w:t>
      </w:r>
      <w:proofErr w:type="spellEnd"/>
      <w:r w:rsidRPr="00225D4D">
        <w:t xml:space="preserve"> for å prioritere nasjonale </w:t>
      </w:r>
      <w:proofErr w:type="spellStart"/>
      <w:r w:rsidRPr="00225D4D">
        <w:t>sikkerheitsinteresser</w:t>
      </w:r>
      <w:proofErr w:type="spellEnd"/>
      <w:r w:rsidRPr="00225D4D">
        <w:t xml:space="preserve"> ved </w:t>
      </w:r>
      <w:proofErr w:type="spellStart"/>
      <w:r w:rsidRPr="00225D4D">
        <w:t>tilknyting</w:t>
      </w:r>
      <w:proofErr w:type="spellEnd"/>
      <w:r w:rsidRPr="00225D4D">
        <w:t xml:space="preserve"> til straumnettet. Forslaget </w:t>
      </w:r>
      <w:proofErr w:type="spellStart"/>
      <w:r w:rsidRPr="00225D4D">
        <w:t>inneber</w:t>
      </w:r>
      <w:proofErr w:type="spellEnd"/>
      <w:r w:rsidRPr="00225D4D">
        <w:t xml:space="preserve"> at Kongen kan </w:t>
      </w:r>
      <w:proofErr w:type="spellStart"/>
      <w:r w:rsidRPr="00225D4D">
        <w:t>gjere</w:t>
      </w:r>
      <w:proofErr w:type="spellEnd"/>
      <w:r w:rsidRPr="00225D4D">
        <w:t xml:space="preserve"> vedtak overfor nettselskapa om å prioritere </w:t>
      </w:r>
      <w:proofErr w:type="spellStart"/>
      <w:r w:rsidRPr="00225D4D">
        <w:t>ein</w:t>
      </w:r>
      <w:proofErr w:type="spellEnd"/>
      <w:r w:rsidRPr="00225D4D">
        <w:t xml:space="preserve"> bestemt uttakskunde når det er nødvendig av omsyn til nasjonale </w:t>
      </w:r>
      <w:proofErr w:type="spellStart"/>
      <w:r w:rsidRPr="00225D4D">
        <w:t>sikkerheitsinteresser</w:t>
      </w:r>
      <w:proofErr w:type="spellEnd"/>
      <w:r w:rsidRPr="00225D4D">
        <w:t xml:space="preserve">. Departementet har foreslått at definisjonen av nasjonale </w:t>
      </w:r>
      <w:proofErr w:type="spellStart"/>
      <w:r w:rsidRPr="00225D4D">
        <w:t>sikkerheitsinteresser</w:t>
      </w:r>
      <w:proofErr w:type="spellEnd"/>
      <w:r w:rsidRPr="00225D4D">
        <w:t xml:space="preserve"> i </w:t>
      </w:r>
      <w:proofErr w:type="spellStart"/>
      <w:r w:rsidRPr="00225D4D">
        <w:t>sikkerheitslova</w:t>
      </w:r>
      <w:proofErr w:type="spellEnd"/>
      <w:r w:rsidRPr="00225D4D">
        <w:t xml:space="preserve"> skal </w:t>
      </w:r>
      <w:proofErr w:type="spellStart"/>
      <w:r w:rsidRPr="00225D4D">
        <w:t>leggast</w:t>
      </w:r>
      <w:proofErr w:type="spellEnd"/>
      <w:r w:rsidRPr="00225D4D">
        <w:t xml:space="preserve"> til grunn. Forslaget </w:t>
      </w:r>
      <w:proofErr w:type="spellStart"/>
      <w:r w:rsidRPr="00225D4D">
        <w:t>rammar</w:t>
      </w:r>
      <w:proofErr w:type="spellEnd"/>
      <w:r w:rsidRPr="00225D4D">
        <w:t xml:space="preserve"> inn </w:t>
      </w:r>
      <w:proofErr w:type="spellStart"/>
      <w:r w:rsidRPr="00225D4D">
        <w:t>moglegheita</w:t>
      </w:r>
      <w:proofErr w:type="spellEnd"/>
      <w:r w:rsidRPr="00225D4D">
        <w:t xml:space="preserve"> til å prioritere, samtidig som det i størst </w:t>
      </w:r>
      <w:proofErr w:type="spellStart"/>
      <w:r w:rsidRPr="00225D4D">
        <w:t>mogleg</w:t>
      </w:r>
      <w:proofErr w:type="spellEnd"/>
      <w:r w:rsidRPr="00225D4D">
        <w:t xml:space="preserve"> grad </w:t>
      </w:r>
      <w:proofErr w:type="spellStart"/>
      <w:r w:rsidRPr="00225D4D">
        <w:t>opprettheld</w:t>
      </w:r>
      <w:proofErr w:type="spellEnd"/>
      <w:r w:rsidRPr="00225D4D">
        <w:t xml:space="preserve"> </w:t>
      </w:r>
      <w:proofErr w:type="spellStart"/>
      <w:r w:rsidRPr="00225D4D">
        <w:t>grunnleggande</w:t>
      </w:r>
      <w:proofErr w:type="spellEnd"/>
      <w:r w:rsidRPr="00225D4D">
        <w:t xml:space="preserve"> prinsipp i energilova om at nettselskapa skal opptre objektivt og </w:t>
      </w:r>
      <w:proofErr w:type="spellStart"/>
      <w:r w:rsidRPr="00225D4D">
        <w:t>ikkje-diskriminerande</w:t>
      </w:r>
      <w:proofErr w:type="spellEnd"/>
      <w:r w:rsidRPr="00225D4D">
        <w:t xml:space="preserve">. Energidepartementet går </w:t>
      </w:r>
      <w:proofErr w:type="spellStart"/>
      <w:r w:rsidRPr="00225D4D">
        <w:t>no</w:t>
      </w:r>
      <w:proofErr w:type="spellEnd"/>
      <w:r w:rsidRPr="00225D4D">
        <w:t xml:space="preserve"> gjennom </w:t>
      </w:r>
      <w:proofErr w:type="spellStart"/>
      <w:r w:rsidRPr="00225D4D">
        <w:t>høyringsinnspela</w:t>
      </w:r>
      <w:proofErr w:type="spellEnd"/>
      <w:r w:rsidRPr="00225D4D">
        <w:t xml:space="preserve"> og tar sikte på å sende </w:t>
      </w:r>
      <w:proofErr w:type="spellStart"/>
      <w:r w:rsidRPr="00225D4D">
        <w:t>ein</w:t>
      </w:r>
      <w:proofErr w:type="spellEnd"/>
      <w:r w:rsidRPr="00225D4D">
        <w:t xml:space="preserve"> lovproposisjon om </w:t>
      </w:r>
      <w:proofErr w:type="spellStart"/>
      <w:r w:rsidRPr="00225D4D">
        <w:t>endringane</w:t>
      </w:r>
      <w:proofErr w:type="spellEnd"/>
      <w:r w:rsidRPr="00225D4D">
        <w:t xml:space="preserve"> til Stortinget så snart som </w:t>
      </w:r>
      <w:proofErr w:type="spellStart"/>
      <w:r w:rsidRPr="00225D4D">
        <w:t>mogleg</w:t>
      </w:r>
      <w:proofErr w:type="spellEnd"/>
      <w:r w:rsidRPr="00225D4D">
        <w:t>.</w:t>
      </w:r>
    </w:p>
    <w:p w14:paraId="1F2E0A23" w14:textId="77777777" w:rsidR="00D60186" w:rsidRPr="00225D4D" w:rsidRDefault="00D60186" w:rsidP="00225D4D">
      <w:proofErr w:type="spellStart"/>
      <w:r w:rsidRPr="00225D4D">
        <w:t>Frå</w:t>
      </w:r>
      <w:proofErr w:type="spellEnd"/>
      <w:r w:rsidRPr="00225D4D">
        <w:t xml:space="preserve"> 1. juli 2025 </w:t>
      </w:r>
      <w:proofErr w:type="spellStart"/>
      <w:r w:rsidRPr="00225D4D">
        <w:t>pliktar</w:t>
      </w:r>
      <w:proofErr w:type="spellEnd"/>
      <w:r w:rsidRPr="00225D4D">
        <w:t xml:space="preserve"> også nettselskapa å </w:t>
      </w:r>
      <w:proofErr w:type="spellStart"/>
      <w:r w:rsidRPr="00225D4D">
        <w:t>halde</w:t>
      </w:r>
      <w:proofErr w:type="spellEnd"/>
      <w:r w:rsidRPr="00225D4D">
        <w:t xml:space="preserve"> av kapasitet i regional- og transmisjonsnettet til </w:t>
      </w:r>
      <w:proofErr w:type="spellStart"/>
      <w:r w:rsidRPr="00225D4D">
        <w:t>kundar</w:t>
      </w:r>
      <w:proofErr w:type="spellEnd"/>
      <w:r w:rsidRPr="00225D4D">
        <w:t xml:space="preserve"> med </w:t>
      </w:r>
      <w:proofErr w:type="spellStart"/>
      <w:r w:rsidRPr="00225D4D">
        <w:t>eit</w:t>
      </w:r>
      <w:proofErr w:type="spellEnd"/>
      <w:r w:rsidRPr="00225D4D">
        <w:t xml:space="preserve"> samla maksimalt effektuttak under gitte </w:t>
      </w:r>
      <w:proofErr w:type="spellStart"/>
      <w:r w:rsidRPr="00225D4D">
        <w:t>terskelverdiar</w:t>
      </w:r>
      <w:proofErr w:type="spellEnd"/>
      <w:r w:rsidRPr="00225D4D">
        <w:t xml:space="preserve">, </w:t>
      </w:r>
      <w:proofErr w:type="spellStart"/>
      <w:r w:rsidRPr="00225D4D">
        <w:t>såkalla</w:t>
      </w:r>
      <w:proofErr w:type="spellEnd"/>
      <w:r w:rsidRPr="00225D4D">
        <w:t xml:space="preserve"> </w:t>
      </w:r>
      <w:proofErr w:type="spellStart"/>
      <w:r w:rsidRPr="00225D4D">
        <w:t>vanleg</w:t>
      </w:r>
      <w:proofErr w:type="spellEnd"/>
      <w:r w:rsidRPr="00225D4D">
        <w:t xml:space="preserve"> forbruk. I regionalnettet er terskelverdien 1 MW, </w:t>
      </w:r>
      <w:proofErr w:type="spellStart"/>
      <w:r w:rsidRPr="00225D4D">
        <w:t>medan</w:t>
      </w:r>
      <w:proofErr w:type="spellEnd"/>
      <w:r w:rsidRPr="00225D4D">
        <w:t xml:space="preserve"> han i transmisjonsnettet er 5 MW og 20 GWh per år. Formålet med å </w:t>
      </w:r>
      <w:proofErr w:type="spellStart"/>
      <w:r w:rsidRPr="00225D4D">
        <w:t>halde</w:t>
      </w:r>
      <w:proofErr w:type="spellEnd"/>
      <w:r w:rsidRPr="00225D4D">
        <w:t xml:space="preserve"> av kapasitet til </w:t>
      </w:r>
      <w:proofErr w:type="spellStart"/>
      <w:r w:rsidRPr="00225D4D">
        <w:t>vanleg</w:t>
      </w:r>
      <w:proofErr w:type="spellEnd"/>
      <w:r w:rsidRPr="00225D4D">
        <w:t xml:space="preserve"> forbruk er at </w:t>
      </w:r>
      <w:proofErr w:type="spellStart"/>
      <w:r w:rsidRPr="00225D4D">
        <w:t>hushald</w:t>
      </w:r>
      <w:proofErr w:type="spellEnd"/>
      <w:r w:rsidRPr="00225D4D">
        <w:t xml:space="preserve">, mindre </w:t>
      </w:r>
      <w:proofErr w:type="spellStart"/>
      <w:r w:rsidRPr="00225D4D">
        <w:t>næringar</w:t>
      </w:r>
      <w:proofErr w:type="spellEnd"/>
      <w:r w:rsidRPr="00225D4D">
        <w:t xml:space="preserve"> og </w:t>
      </w:r>
      <w:proofErr w:type="spellStart"/>
      <w:r w:rsidRPr="00225D4D">
        <w:t>tenester</w:t>
      </w:r>
      <w:proofErr w:type="spellEnd"/>
      <w:r w:rsidRPr="00225D4D">
        <w:t xml:space="preserve"> som er nødvendige for at </w:t>
      </w:r>
      <w:proofErr w:type="spellStart"/>
      <w:r w:rsidRPr="00225D4D">
        <w:t>eit</w:t>
      </w:r>
      <w:proofErr w:type="spellEnd"/>
      <w:r w:rsidRPr="00225D4D">
        <w:t xml:space="preserve"> samfunn skal fungere, </w:t>
      </w:r>
      <w:proofErr w:type="spellStart"/>
      <w:r w:rsidRPr="00225D4D">
        <w:t>ikkje</w:t>
      </w:r>
      <w:proofErr w:type="spellEnd"/>
      <w:r w:rsidRPr="00225D4D">
        <w:t xml:space="preserve"> skal måtte vente på </w:t>
      </w:r>
      <w:proofErr w:type="spellStart"/>
      <w:r w:rsidRPr="00225D4D">
        <w:t>tilknyting</w:t>
      </w:r>
      <w:proofErr w:type="spellEnd"/>
      <w:r w:rsidRPr="00225D4D">
        <w:t xml:space="preserve"> som følge av </w:t>
      </w:r>
      <w:proofErr w:type="spellStart"/>
      <w:r w:rsidRPr="00225D4D">
        <w:t>manglande</w:t>
      </w:r>
      <w:proofErr w:type="spellEnd"/>
      <w:r w:rsidRPr="00225D4D">
        <w:t xml:space="preserve"> kapasitet i regional- og transmisjonsnettet. Plikta til å </w:t>
      </w:r>
      <w:proofErr w:type="spellStart"/>
      <w:r w:rsidRPr="00225D4D">
        <w:t>halde</w:t>
      </w:r>
      <w:proofErr w:type="spellEnd"/>
      <w:r w:rsidRPr="00225D4D">
        <w:t xml:space="preserve"> av kapasitet til </w:t>
      </w:r>
      <w:proofErr w:type="spellStart"/>
      <w:r w:rsidRPr="00225D4D">
        <w:t>vanleg</w:t>
      </w:r>
      <w:proofErr w:type="spellEnd"/>
      <w:r w:rsidRPr="00225D4D">
        <w:t xml:space="preserve"> forbruk varetar også mange kritiske </w:t>
      </w:r>
      <w:proofErr w:type="spellStart"/>
      <w:r w:rsidRPr="00225D4D">
        <w:t>samfunnsfunksjonar</w:t>
      </w:r>
      <w:proofErr w:type="spellEnd"/>
      <w:r w:rsidRPr="00225D4D">
        <w:t xml:space="preserve"> med betydning for nasjonale </w:t>
      </w:r>
      <w:proofErr w:type="spellStart"/>
      <w:r w:rsidRPr="00225D4D">
        <w:t>sikkerheitsinteresser</w:t>
      </w:r>
      <w:proofErr w:type="spellEnd"/>
      <w:r w:rsidRPr="00225D4D">
        <w:t>.</w:t>
      </w:r>
    </w:p>
    <w:p w14:paraId="4447B0BC"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0D53E595" w14:textId="77777777" w:rsidR="00D60186" w:rsidRPr="00225D4D" w:rsidRDefault="00D60186" w:rsidP="00225D4D">
      <w:pPr>
        <w:pStyle w:val="avsnitt-tittel"/>
      </w:pPr>
      <w:r w:rsidRPr="00225D4D">
        <w:t>Analyse av fjernvarmepotensialet</w:t>
      </w:r>
    </w:p>
    <w:p w14:paraId="669B2AF7" w14:textId="77777777" w:rsidR="00D60186" w:rsidRPr="00225D4D" w:rsidRDefault="00D60186" w:rsidP="00225D4D">
      <w:pPr>
        <w:pStyle w:val="avsnitt-undertittel"/>
      </w:pPr>
      <w:r w:rsidRPr="00225D4D">
        <w:t>Vedtak 855, 3. juni 2025</w:t>
      </w:r>
    </w:p>
    <w:p w14:paraId="69CC3B84" w14:textId="77777777" w:rsidR="00D60186" w:rsidRPr="00225D4D" w:rsidRDefault="00D60186" w:rsidP="00225D4D">
      <w:pPr>
        <w:pStyle w:val="blokksit"/>
      </w:pPr>
      <w:r w:rsidRPr="00225D4D">
        <w:t>«</w:t>
      </w:r>
      <w:r w:rsidRPr="00225D4D">
        <w:rPr>
          <w:rStyle w:val="kursiv"/>
        </w:rPr>
        <w:t>Stortinget ber regjeringen komme tilbake til Stortinget med en analyse av fjernvarmepotensialet, som innebærer foreslåtte lokasjoner, og av energikilder som anses å ha størst potensial.</w:t>
      </w:r>
      <w:r w:rsidRPr="00225D4D">
        <w:t>»</w:t>
      </w:r>
    </w:p>
    <w:p w14:paraId="5B142579" w14:textId="77777777" w:rsidR="00D60186" w:rsidRPr="00225D4D" w:rsidRDefault="00D60186" w:rsidP="00225D4D">
      <w:r w:rsidRPr="00225D4D">
        <w:t xml:space="preserve">Dokumenta som ligg til grunn for vedtaket er Dokument 8:164 S (2024–2025) og </w:t>
      </w:r>
      <w:proofErr w:type="spellStart"/>
      <w:r w:rsidRPr="00225D4D">
        <w:t>Innst</w:t>
      </w:r>
      <w:proofErr w:type="spellEnd"/>
      <w:r w:rsidRPr="00225D4D">
        <w:t>. 387 S (2024–2025).</w:t>
      </w:r>
    </w:p>
    <w:p w14:paraId="2EEE69BA" w14:textId="77777777" w:rsidR="00D60186" w:rsidRPr="00225D4D" w:rsidRDefault="00D60186" w:rsidP="00225D4D">
      <w:r w:rsidRPr="00225D4D">
        <w:t xml:space="preserve">Som oppfølging av vedtaket vil departementet </w:t>
      </w:r>
      <w:proofErr w:type="spellStart"/>
      <w:r w:rsidRPr="00225D4D">
        <w:t>gjere</w:t>
      </w:r>
      <w:proofErr w:type="spellEnd"/>
      <w:r w:rsidRPr="00225D4D">
        <w:t xml:space="preserve"> ei utgreiing. Det er venta at utgreiingsarbeidet blir ferdigstilt i løpet av 2026.</w:t>
      </w:r>
    </w:p>
    <w:p w14:paraId="0B5AC516" w14:textId="77777777" w:rsidR="00D60186" w:rsidRPr="00225D4D" w:rsidRDefault="00D60186" w:rsidP="00225D4D">
      <w:r w:rsidRPr="00225D4D">
        <w:t>Departementet vil komme tilbake til Stortinget på eigna måte.</w:t>
      </w:r>
    </w:p>
    <w:p w14:paraId="34479F88" w14:textId="77777777" w:rsidR="00D60186" w:rsidRPr="00225D4D" w:rsidRDefault="00D60186" w:rsidP="00225D4D">
      <w:pPr>
        <w:pStyle w:val="avsnitt-tittel"/>
      </w:pPr>
      <w:r w:rsidRPr="00225D4D">
        <w:t>Avlaste kraftnettet ved bruk av fjernvarme</w:t>
      </w:r>
    </w:p>
    <w:p w14:paraId="3ABFE346" w14:textId="77777777" w:rsidR="00D60186" w:rsidRPr="00225D4D" w:rsidRDefault="00D60186" w:rsidP="00225D4D">
      <w:pPr>
        <w:pStyle w:val="avsnitt-undertittel"/>
      </w:pPr>
      <w:r w:rsidRPr="00225D4D">
        <w:t>Vedtak 856, 3. juni 2025</w:t>
      </w:r>
    </w:p>
    <w:p w14:paraId="6E7EB71D" w14:textId="77777777" w:rsidR="00D60186" w:rsidRPr="00225D4D" w:rsidRDefault="00D60186" w:rsidP="00225D4D">
      <w:pPr>
        <w:pStyle w:val="blokksit"/>
      </w:pPr>
      <w:r w:rsidRPr="00225D4D">
        <w:t>«</w:t>
      </w:r>
      <w:r w:rsidRPr="00225D4D">
        <w:rPr>
          <w:rStyle w:val="kursiv"/>
        </w:rPr>
        <w:t>Stortinget ber regjeringen komme tilbake til Stortinget med en utredning av hvordan Norge kan avlaste kraftnettet ved bruk av fjernvarme, samt utrede hvor stor avlastning man kan oppnå, og hvilke besparelser dette kan resultere i for strømnettinvesteringer.</w:t>
      </w:r>
      <w:r w:rsidRPr="00225D4D">
        <w:t>»</w:t>
      </w:r>
    </w:p>
    <w:p w14:paraId="0E43C6B4" w14:textId="77777777" w:rsidR="00D60186" w:rsidRPr="00225D4D" w:rsidRDefault="00D60186" w:rsidP="00225D4D">
      <w:r w:rsidRPr="00225D4D">
        <w:t xml:space="preserve">Dokumenta som ligg til grunn for vedtaket er Dokument 8:164 S (2024–2025) og </w:t>
      </w:r>
      <w:proofErr w:type="spellStart"/>
      <w:r w:rsidRPr="00225D4D">
        <w:t>Innst</w:t>
      </w:r>
      <w:proofErr w:type="spellEnd"/>
      <w:r w:rsidRPr="00225D4D">
        <w:t>. 387 S (2024–2025).</w:t>
      </w:r>
    </w:p>
    <w:p w14:paraId="592AA1E9" w14:textId="77777777" w:rsidR="00D60186" w:rsidRPr="00225D4D" w:rsidRDefault="00D60186" w:rsidP="00225D4D">
      <w:r w:rsidRPr="00225D4D">
        <w:t xml:space="preserve">Som oppfølging av vedtaket vil departementet </w:t>
      </w:r>
      <w:proofErr w:type="spellStart"/>
      <w:r w:rsidRPr="00225D4D">
        <w:t>gjere</w:t>
      </w:r>
      <w:proofErr w:type="spellEnd"/>
      <w:r w:rsidRPr="00225D4D">
        <w:t xml:space="preserve"> ei utgreiing. Det er venta at utgreiingsarbeidet blir ferdigstilt i løpet av 2026.</w:t>
      </w:r>
    </w:p>
    <w:p w14:paraId="53923C2A" w14:textId="77777777" w:rsidR="00D60186" w:rsidRPr="00225D4D" w:rsidRDefault="00D60186" w:rsidP="00225D4D">
      <w:r w:rsidRPr="00225D4D">
        <w:t>Departementet vil komme tilbake til Stortinget på eigna måte.</w:t>
      </w:r>
    </w:p>
    <w:p w14:paraId="2C1AECE7" w14:textId="77777777" w:rsidR="00D60186" w:rsidRPr="00225D4D" w:rsidRDefault="00D60186" w:rsidP="00225D4D">
      <w:pPr>
        <w:pStyle w:val="avsnitt-tittel"/>
      </w:pPr>
      <w:r w:rsidRPr="00225D4D">
        <w:t>Havbotnmineral – balansert utvikling</w:t>
      </w:r>
    </w:p>
    <w:p w14:paraId="1FFF2500" w14:textId="77777777" w:rsidR="00D60186" w:rsidRPr="00225D4D" w:rsidRDefault="00D60186" w:rsidP="00225D4D">
      <w:pPr>
        <w:pStyle w:val="avsnitt-undertittel"/>
      </w:pPr>
      <w:r w:rsidRPr="00225D4D">
        <w:t>Vedtak 857, 3. juni 2025</w:t>
      </w:r>
    </w:p>
    <w:p w14:paraId="1A3B24A1" w14:textId="77777777" w:rsidR="00D60186" w:rsidRPr="00225D4D" w:rsidRDefault="00D60186" w:rsidP="00225D4D">
      <w:pPr>
        <w:pStyle w:val="blokksit"/>
      </w:pPr>
      <w:r w:rsidRPr="00225D4D">
        <w:t>«</w:t>
      </w:r>
      <w:r w:rsidRPr="00225D4D">
        <w:rPr>
          <w:rStyle w:val="kursiv"/>
        </w:rPr>
        <w:t>Stortinget ber regjeringen sikre at konsesjonsprosessen for leting etter og eventuell utvinning av havbunnsmineraler på norsk kontinentalsokkel legger til rette for en balansert utvikling av næringen, hvor det stilles tilstrekkelige krav til bærekraft, miljøhensyn og teknologisk innovasjon.</w:t>
      </w:r>
      <w:r w:rsidRPr="00225D4D">
        <w:t>»</w:t>
      </w:r>
    </w:p>
    <w:p w14:paraId="69F8EDBB" w14:textId="77777777" w:rsidR="00D60186" w:rsidRPr="00225D4D" w:rsidRDefault="00D60186" w:rsidP="00225D4D">
      <w:r w:rsidRPr="00225D4D">
        <w:t xml:space="preserve">Dokumenta som ligg til grunn for vedtaket er Dokument 8:206 S (2024–2025) og </w:t>
      </w:r>
      <w:proofErr w:type="spellStart"/>
      <w:r w:rsidRPr="00225D4D">
        <w:t>Innst</w:t>
      </w:r>
      <w:proofErr w:type="spellEnd"/>
      <w:r w:rsidRPr="00225D4D">
        <w:t>. 354 S (2024–2025).</w:t>
      </w:r>
    </w:p>
    <w:p w14:paraId="0DC51673" w14:textId="77777777" w:rsidR="00D60186" w:rsidRPr="00225D4D" w:rsidRDefault="00D60186" w:rsidP="00225D4D">
      <w:r w:rsidRPr="00225D4D">
        <w:t xml:space="preserve">I konsesjonsrunden som skal </w:t>
      </w:r>
      <w:proofErr w:type="spellStart"/>
      <w:r w:rsidRPr="00225D4D">
        <w:t>lysast</w:t>
      </w:r>
      <w:proofErr w:type="spellEnd"/>
      <w:r w:rsidRPr="00225D4D">
        <w:t xml:space="preserve"> ut i neste stortingsperiode, vil det bli lagt til rette for leiting etter og </w:t>
      </w:r>
      <w:proofErr w:type="spellStart"/>
      <w:r w:rsidRPr="00225D4D">
        <w:t>mogleg</w:t>
      </w:r>
      <w:proofErr w:type="spellEnd"/>
      <w:r w:rsidRPr="00225D4D">
        <w:t xml:space="preserve"> utvinning av havbotnmineral samtidig som omsynet til miljøet blir varetatt i alle </w:t>
      </w:r>
      <w:proofErr w:type="spellStart"/>
      <w:r w:rsidRPr="00225D4D">
        <w:t>fasane</w:t>
      </w:r>
      <w:proofErr w:type="spellEnd"/>
      <w:r w:rsidRPr="00225D4D">
        <w:t xml:space="preserve"> av </w:t>
      </w:r>
      <w:proofErr w:type="spellStart"/>
      <w:r w:rsidRPr="00225D4D">
        <w:t>verksemda</w:t>
      </w:r>
      <w:proofErr w:type="spellEnd"/>
      <w:r w:rsidRPr="00225D4D">
        <w:t xml:space="preserve">. Utvinning vil </w:t>
      </w:r>
      <w:proofErr w:type="spellStart"/>
      <w:r w:rsidRPr="00225D4D">
        <w:t>berre</w:t>
      </w:r>
      <w:proofErr w:type="spellEnd"/>
      <w:r w:rsidRPr="00225D4D">
        <w:t xml:space="preserve"> bli </w:t>
      </w:r>
      <w:proofErr w:type="spellStart"/>
      <w:r w:rsidRPr="00225D4D">
        <w:t>godkjend</w:t>
      </w:r>
      <w:proofErr w:type="spellEnd"/>
      <w:r w:rsidRPr="00225D4D">
        <w:t xml:space="preserve"> dersom </w:t>
      </w:r>
      <w:proofErr w:type="spellStart"/>
      <w:r w:rsidRPr="00225D4D">
        <w:t>rettshavaren</w:t>
      </w:r>
      <w:proofErr w:type="spellEnd"/>
      <w:r w:rsidRPr="00225D4D">
        <w:t xml:space="preserve"> har </w:t>
      </w:r>
      <w:proofErr w:type="spellStart"/>
      <w:r w:rsidRPr="00225D4D">
        <w:t>ein</w:t>
      </w:r>
      <w:proofErr w:type="spellEnd"/>
      <w:r w:rsidRPr="00225D4D">
        <w:t xml:space="preserve"> utvinningsplan som dokumenterer at den </w:t>
      </w:r>
      <w:proofErr w:type="spellStart"/>
      <w:r w:rsidRPr="00225D4D">
        <w:t>planlagde</w:t>
      </w:r>
      <w:proofErr w:type="spellEnd"/>
      <w:r w:rsidRPr="00225D4D">
        <w:t xml:space="preserve"> utvinninga kan skje på </w:t>
      </w:r>
      <w:proofErr w:type="spellStart"/>
      <w:r w:rsidRPr="00225D4D">
        <w:t>berekraftig</w:t>
      </w:r>
      <w:proofErr w:type="spellEnd"/>
      <w:r w:rsidRPr="00225D4D">
        <w:t xml:space="preserve"> og </w:t>
      </w:r>
      <w:proofErr w:type="spellStart"/>
      <w:r w:rsidRPr="00225D4D">
        <w:t>forsvarleg</w:t>
      </w:r>
      <w:proofErr w:type="spellEnd"/>
      <w:r w:rsidRPr="00225D4D">
        <w:t xml:space="preserve"> vis. Dei første eventuelle </w:t>
      </w:r>
      <w:proofErr w:type="spellStart"/>
      <w:r w:rsidRPr="00225D4D">
        <w:t>planane</w:t>
      </w:r>
      <w:proofErr w:type="spellEnd"/>
      <w:r w:rsidRPr="00225D4D">
        <w:t xml:space="preserve"> for utvinning vil bli lagde fram for Stortinget.</w:t>
      </w:r>
    </w:p>
    <w:p w14:paraId="5CFAE263"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1FCBDB0A" w14:textId="77777777" w:rsidR="00D60186" w:rsidRPr="00225D4D" w:rsidRDefault="00D60186" w:rsidP="00225D4D">
      <w:pPr>
        <w:pStyle w:val="avsnitt-tittel"/>
      </w:pPr>
      <w:r w:rsidRPr="00225D4D">
        <w:t>Havbotnmineral – regulering og tilsyn</w:t>
      </w:r>
    </w:p>
    <w:p w14:paraId="6A9ED7C3" w14:textId="77777777" w:rsidR="00D60186" w:rsidRPr="00225D4D" w:rsidRDefault="00D60186" w:rsidP="00225D4D">
      <w:pPr>
        <w:pStyle w:val="avsnitt-undertittel"/>
      </w:pPr>
      <w:r w:rsidRPr="00225D4D">
        <w:t>Vedtak 858, 3. juni 2025</w:t>
      </w:r>
    </w:p>
    <w:p w14:paraId="6AC83877" w14:textId="77777777" w:rsidR="00D60186" w:rsidRPr="00225D4D" w:rsidRDefault="00D60186" w:rsidP="00225D4D">
      <w:pPr>
        <w:pStyle w:val="blokksit"/>
      </w:pPr>
      <w:r w:rsidRPr="00225D4D">
        <w:t>«</w:t>
      </w:r>
      <w:r w:rsidRPr="00225D4D">
        <w:rPr>
          <w:rStyle w:val="kursiv"/>
        </w:rPr>
        <w:t>Stortinget ber regjeringen vurdere behovet for ytterligere regulering og tilsynsordninger for å sikre at utvinning av havbunnsmineraler skjer i tråd med internasjonale miljøstandarder og Norges forpliktelser til bærekraftig havforvaltning.</w:t>
      </w:r>
      <w:r w:rsidRPr="00225D4D">
        <w:t>»</w:t>
      </w:r>
    </w:p>
    <w:p w14:paraId="1E2B2B43" w14:textId="77777777" w:rsidR="00D60186" w:rsidRPr="00225D4D" w:rsidRDefault="00D60186" w:rsidP="00225D4D">
      <w:r w:rsidRPr="00225D4D">
        <w:t xml:space="preserve">Dokumenta som ligg til grunn for vedtaket er Dokument 8:206 S (2024–2025) og </w:t>
      </w:r>
      <w:proofErr w:type="spellStart"/>
      <w:r w:rsidRPr="00225D4D">
        <w:t>Innst</w:t>
      </w:r>
      <w:proofErr w:type="spellEnd"/>
      <w:r w:rsidRPr="00225D4D">
        <w:t>. 354 S (2024–2025).</w:t>
      </w:r>
    </w:p>
    <w:p w14:paraId="792770E5" w14:textId="77777777" w:rsidR="00D60186" w:rsidRPr="00225D4D" w:rsidRDefault="00D60186" w:rsidP="00225D4D">
      <w:r w:rsidRPr="00225D4D">
        <w:t xml:space="preserve">Havbotnminerallova </w:t>
      </w:r>
      <w:proofErr w:type="gramStart"/>
      <w:r w:rsidRPr="00225D4D">
        <w:t>trådde</w:t>
      </w:r>
      <w:proofErr w:type="gramEnd"/>
      <w:r w:rsidRPr="00225D4D">
        <w:t xml:space="preserve"> i kraft 1. juli 2019 og er ei </w:t>
      </w:r>
      <w:proofErr w:type="spellStart"/>
      <w:r w:rsidRPr="00225D4D">
        <w:t>omfattande</w:t>
      </w:r>
      <w:proofErr w:type="spellEnd"/>
      <w:r w:rsidRPr="00225D4D">
        <w:t xml:space="preserve"> og </w:t>
      </w:r>
      <w:proofErr w:type="spellStart"/>
      <w:r w:rsidRPr="00225D4D">
        <w:t>heilskapleg</w:t>
      </w:r>
      <w:proofErr w:type="spellEnd"/>
      <w:r w:rsidRPr="00225D4D">
        <w:t xml:space="preserve"> lov for </w:t>
      </w:r>
      <w:proofErr w:type="spellStart"/>
      <w:r w:rsidRPr="00225D4D">
        <w:t>havbotnmineralverksemd</w:t>
      </w:r>
      <w:proofErr w:type="spellEnd"/>
      <w:r w:rsidRPr="00225D4D">
        <w:t xml:space="preserve">. </w:t>
      </w:r>
      <w:proofErr w:type="spellStart"/>
      <w:r w:rsidRPr="00225D4D">
        <w:t>Havbotnmineralverksemd</w:t>
      </w:r>
      <w:proofErr w:type="spellEnd"/>
      <w:r w:rsidRPr="00225D4D">
        <w:t xml:space="preserve"> på norsk kontinentalsokkel under havbotnminerallova vil til kvar tid bli gjennomført </w:t>
      </w:r>
      <w:proofErr w:type="spellStart"/>
      <w:r w:rsidRPr="00225D4D">
        <w:t>innanfor</w:t>
      </w:r>
      <w:proofErr w:type="spellEnd"/>
      <w:r w:rsidRPr="00225D4D">
        <w:t xml:space="preserve"> relevante internasjonale </w:t>
      </w:r>
      <w:proofErr w:type="spellStart"/>
      <w:r w:rsidRPr="00225D4D">
        <w:t>forpliktingar</w:t>
      </w:r>
      <w:proofErr w:type="spellEnd"/>
      <w:r w:rsidRPr="00225D4D">
        <w:t xml:space="preserve"> som </w:t>
      </w:r>
      <w:proofErr w:type="spellStart"/>
      <w:r w:rsidRPr="00225D4D">
        <w:t>Noreg</w:t>
      </w:r>
      <w:proofErr w:type="spellEnd"/>
      <w:r w:rsidRPr="00225D4D">
        <w:t xml:space="preserve"> har </w:t>
      </w:r>
      <w:proofErr w:type="spellStart"/>
      <w:r w:rsidRPr="00225D4D">
        <w:t>slutta</w:t>
      </w:r>
      <w:proofErr w:type="spellEnd"/>
      <w:r w:rsidRPr="00225D4D">
        <w:t xml:space="preserve"> seg til.</w:t>
      </w:r>
    </w:p>
    <w:p w14:paraId="7922ECEF" w14:textId="77777777" w:rsidR="00D60186" w:rsidRPr="00225D4D" w:rsidRDefault="00D60186" w:rsidP="00225D4D">
      <w:r w:rsidRPr="00225D4D">
        <w:t xml:space="preserve">Departementet har utarbeidd tre forskrifter under havbotnminerallova. Sokkeldirektoratet, som har fått delegert </w:t>
      </w:r>
      <w:proofErr w:type="spellStart"/>
      <w:r w:rsidRPr="00225D4D">
        <w:t>myndigheit</w:t>
      </w:r>
      <w:proofErr w:type="spellEnd"/>
      <w:r w:rsidRPr="00225D4D">
        <w:t xml:space="preserve"> til å gi </w:t>
      </w:r>
      <w:proofErr w:type="spellStart"/>
      <w:r w:rsidRPr="00225D4D">
        <w:t>meir</w:t>
      </w:r>
      <w:proofErr w:type="spellEnd"/>
      <w:r w:rsidRPr="00225D4D">
        <w:t xml:space="preserve"> detaljerte forskrifter </w:t>
      </w:r>
      <w:proofErr w:type="spellStart"/>
      <w:r w:rsidRPr="00225D4D">
        <w:t>innanfor</w:t>
      </w:r>
      <w:proofErr w:type="spellEnd"/>
      <w:r w:rsidRPr="00225D4D">
        <w:t xml:space="preserve"> enkelte område, har også utarbeidd ei forskrift. Alle forskriftene </w:t>
      </w:r>
      <w:proofErr w:type="gramStart"/>
      <w:r w:rsidRPr="00225D4D">
        <w:t>trådde</w:t>
      </w:r>
      <w:proofErr w:type="gramEnd"/>
      <w:r w:rsidRPr="00225D4D">
        <w:t xml:space="preserve"> i kraft 1. september 2025.</w:t>
      </w:r>
    </w:p>
    <w:p w14:paraId="4BE894D2" w14:textId="77777777" w:rsidR="00D60186" w:rsidRPr="00225D4D" w:rsidRDefault="00D60186" w:rsidP="00225D4D">
      <w:r w:rsidRPr="00225D4D">
        <w:t xml:space="preserve">Havindustritilsynet, som har fått delegert </w:t>
      </w:r>
      <w:proofErr w:type="spellStart"/>
      <w:r w:rsidRPr="00225D4D">
        <w:t>myndigheit</w:t>
      </w:r>
      <w:proofErr w:type="spellEnd"/>
      <w:r w:rsidRPr="00225D4D">
        <w:t xml:space="preserve"> etter havbotnminerallova til å gi forskrifter om </w:t>
      </w:r>
      <w:proofErr w:type="spellStart"/>
      <w:r w:rsidRPr="00225D4D">
        <w:t>sikkerheit</w:t>
      </w:r>
      <w:proofErr w:type="spellEnd"/>
      <w:r w:rsidRPr="00225D4D">
        <w:t xml:space="preserve">, helse og arbeidsmiljø, arbeider med ei forskrift </w:t>
      </w:r>
      <w:proofErr w:type="spellStart"/>
      <w:r w:rsidRPr="00225D4D">
        <w:t>innanfor</w:t>
      </w:r>
      <w:proofErr w:type="spellEnd"/>
      <w:r w:rsidRPr="00225D4D">
        <w:t xml:space="preserve"> sitt ansvarsområde. Havindustritilsynet er </w:t>
      </w:r>
      <w:proofErr w:type="spellStart"/>
      <w:r w:rsidRPr="00225D4D">
        <w:t>peikt</w:t>
      </w:r>
      <w:proofErr w:type="spellEnd"/>
      <w:r w:rsidRPr="00225D4D">
        <w:t xml:space="preserve"> ut til å </w:t>
      </w:r>
      <w:proofErr w:type="spellStart"/>
      <w:r w:rsidRPr="00225D4D">
        <w:t>vere</w:t>
      </w:r>
      <w:proofErr w:type="spellEnd"/>
      <w:r w:rsidRPr="00225D4D">
        <w:t xml:space="preserve"> </w:t>
      </w:r>
      <w:proofErr w:type="spellStart"/>
      <w:r w:rsidRPr="00225D4D">
        <w:t>tilsynsmyndigheit</w:t>
      </w:r>
      <w:proofErr w:type="spellEnd"/>
      <w:r w:rsidRPr="00225D4D">
        <w:t xml:space="preserve">, slik </w:t>
      </w:r>
      <w:proofErr w:type="spellStart"/>
      <w:r w:rsidRPr="00225D4D">
        <w:t>dei</w:t>
      </w:r>
      <w:proofErr w:type="spellEnd"/>
      <w:r w:rsidRPr="00225D4D">
        <w:t xml:space="preserve"> også er for </w:t>
      </w:r>
      <w:proofErr w:type="spellStart"/>
      <w:r w:rsidRPr="00225D4D">
        <w:t>petroleumsverksemd</w:t>
      </w:r>
      <w:proofErr w:type="spellEnd"/>
      <w:r w:rsidRPr="00225D4D">
        <w:t>, havvind og CO</w:t>
      </w:r>
      <w:r w:rsidRPr="00225D4D">
        <w:rPr>
          <w:rStyle w:val="skrift-senket"/>
        </w:rPr>
        <w:t>2</w:t>
      </w:r>
      <w:r w:rsidRPr="00225D4D">
        <w:t xml:space="preserve">-lagring på kontinentalsokkelen. Miljødirektoratet følger opp </w:t>
      </w:r>
      <w:proofErr w:type="spellStart"/>
      <w:r w:rsidRPr="00225D4D">
        <w:t>forureiningslova</w:t>
      </w:r>
      <w:proofErr w:type="spellEnd"/>
      <w:r w:rsidRPr="00225D4D">
        <w:t xml:space="preserve"> og relevante regler overfor </w:t>
      </w:r>
      <w:proofErr w:type="spellStart"/>
      <w:r w:rsidRPr="00225D4D">
        <w:t>aktørane</w:t>
      </w:r>
      <w:proofErr w:type="spellEnd"/>
      <w:r w:rsidRPr="00225D4D">
        <w:t xml:space="preserve"> på </w:t>
      </w:r>
      <w:proofErr w:type="spellStart"/>
      <w:r w:rsidRPr="00225D4D">
        <w:t>vanleg</w:t>
      </w:r>
      <w:proofErr w:type="spellEnd"/>
      <w:r w:rsidRPr="00225D4D">
        <w:t xml:space="preserve"> måte.</w:t>
      </w:r>
    </w:p>
    <w:p w14:paraId="34A209D7"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476056DF" w14:textId="77777777" w:rsidR="00D60186" w:rsidRPr="00225D4D" w:rsidRDefault="00D60186" w:rsidP="00225D4D">
      <w:pPr>
        <w:pStyle w:val="avsnitt-tittel"/>
      </w:pPr>
      <w:r w:rsidRPr="00225D4D">
        <w:t>Alexander L. Kielland-ulykka – etablere ei kompensasjonsordning</w:t>
      </w:r>
    </w:p>
    <w:p w14:paraId="55F173B7" w14:textId="77777777" w:rsidR="00D60186" w:rsidRPr="00225D4D" w:rsidRDefault="00D60186" w:rsidP="00225D4D">
      <w:pPr>
        <w:pStyle w:val="avsnitt-undertittel"/>
      </w:pPr>
      <w:r w:rsidRPr="00225D4D">
        <w:t>Vedtak 917, 5. juni 2025</w:t>
      </w:r>
    </w:p>
    <w:p w14:paraId="2AF110FE" w14:textId="77777777" w:rsidR="00D60186" w:rsidRPr="00225D4D" w:rsidRDefault="00D60186" w:rsidP="00225D4D">
      <w:pPr>
        <w:pStyle w:val="blokksit"/>
      </w:pPr>
      <w:r w:rsidRPr="00225D4D">
        <w:t>«</w:t>
      </w:r>
      <w:r w:rsidRPr="00225D4D">
        <w:rPr>
          <w:rStyle w:val="kursiv"/>
        </w:rPr>
        <w:t>Stortinget ber regjeringen etablere en særskilt kompensasjonsordning for de overlevende og etterlatte etter Alexander L. Kielland-ulykken. På bakgrunn av rapportene «Studie om overlevende og pårørende etter Alexander L. Kielland-ulykken» og «Empirisk undersøkelse av myndighetenes oppfølging av ansvar etter Alexander L. Kielland-ulykken» må Riksrevisjonen avklare myndighetenes ansvar for at ulykken kunne skje, og myndighetenes manglende oppfølging av overlevende og etterlatte. Riksrevisjonens nye undersøkelse skal gjennomføres og fremlegges innen utgangen av 2025.</w:t>
      </w:r>
      <w:r w:rsidRPr="00225D4D">
        <w:t>»</w:t>
      </w:r>
    </w:p>
    <w:p w14:paraId="7D25AE1F" w14:textId="77777777" w:rsidR="00D60186" w:rsidRPr="00225D4D" w:rsidRDefault="00D60186" w:rsidP="00225D4D">
      <w:r w:rsidRPr="00225D4D">
        <w:t xml:space="preserve">Dokumenta som ligg til grunn for vedtaket er Dokument 8:162 S (2024–2025) og </w:t>
      </w:r>
      <w:proofErr w:type="spellStart"/>
      <w:r w:rsidRPr="00225D4D">
        <w:t>Innst</w:t>
      </w:r>
      <w:proofErr w:type="spellEnd"/>
      <w:r w:rsidRPr="00225D4D">
        <w:t>. 417 S (2024–2025).</w:t>
      </w:r>
    </w:p>
    <w:p w14:paraId="2995D0E7" w14:textId="77777777" w:rsidR="00D60186" w:rsidRPr="00225D4D" w:rsidRDefault="00D60186" w:rsidP="00225D4D">
      <w:r w:rsidRPr="00225D4D">
        <w:t xml:space="preserve">Som oppfølging av vedtaket har Riksrevisjonen i brev datert 17. juni 2025 informert departementet om at </w:t>
      </w:r>
      <w:proofErr w:type="spellStart"/>
      <w:r w:rsidRPr="00225D4D">
        <w:t>dei</w:t>
      </w:r>
      <w:proofErr w:type="spellEnd"/>
      <w:r w:rsidRPr="00225D4D">
        <w:t xml:space="preserve"> er i gang med å planlegge undersøkinga.</w:t>
      </w:r>
    </w:p>
    <w:p w14:paraId="737BE849" w14:textId="77777777" w:rsidR="00D60186" w:rsidRPr="00225D4D" w:rsidRDefault="00D60186" w:rsidP="00225D4D">
      <w:r w:rsidRPr="00225D4D">
        <w:t xml:space="preserve">Når det gjelder etablering av en særskilt kompensasjonsordning for </w:t>
      </w:r>
      <w:proofErr w:type="spellStart"/>
      <w:r w:rsidRPr="00225D4D">
        <w:t>dei</w:t>
      </w:r>
      <w:proofErr w:type="spellEnd"/>
      <w:r w:rsidRPr="00225D4D">
        <w:t xml:space="preserve"> </w:t>
      </w:r>
      <w:proofErr w:type="spellStart"/>
      <w:r w:rsidRPr="00225D4D">
        <w:t>overlevande</w:t>
      </w:r>
      <w:proofErr w:type="spellEnd"/>
      <w:r w:rsidRPr="00225D4D">
        <w:t xml:space="preserve"> og </w:t>
      </w:r>
      <w:proofErr w:type="spellStart"/>
      <w:r w:rsidRPr="00225D4D">
        <w:t>etterlatne</w:t>
      </w:r>
      <w:proofErr w:type="spellEnd"/>
      <w:r w:rsidRPr="00225D4D">
        <w:t xml:space="preserve"> etter Alexander L. Kielland-ulykka, vil departementet komme tilbake til Stortinget på eigna måte.</w:t>
      </w:r>
    </w:p>
    <w:p w14:paraId="738B2576" w14:textId="77777777" w:rsidR="00D60186" w:rsidRPr="00225D4D" w:rsidRDefault="00D60186" w:rsidP="00225D4D">
      <w:pPr>
        <w:pStyle w:val="avsnitt-tittel"/>
      </w:pPr>
      <w:r w:rsidRPr="00225D4D">
        <w:t xml:space="preserve">Gjenbruk av </w:t>
      </w:r>
      <w:proofErr w:type="spellStart"/>
      <w:r w:rsidRPr="00225D4D">
        <w:t>spillvarme</w:t>
      </w:r>
      <w:proofErr w:type="spellEnd"/>
    </w:p>
    <w:p w14:paraId="3C292444" w14:textId="77777777" w:rsidR="00D60186" w:rsidRPr="00225D4D" w:rsidRDefault="00D60186" w:rsidP="00225D4D">
      <w:pPr>
        <w:pStyle w:val="avsnitt-undertittel"/>
      </w:pPr>
      <w:r w:rsidRPr="00225D4D">
        <w:t>Vedtak 983, 11. juni 2025</w:t>
      </w:r>
    </w:p>
    <w:p w14:paraId="11611D0C" w14:textId="77777777" w:rsidR="00D60186" w:rsidRPr="00225D4D" w:rsidRDefault="00D60186" w:rsidP="00225D4D">
      <w:pPr>
        <w:pStyle w:val="blokksit"/>
      </w:pPr>
      <w:r w:rsidRPr="00225D4D">
        <w:t>«</w:t>
      </w:r>
      <w:r w:rsidRPr="00225D4D">
        <w:rPr>
          <w:rStyle w:val="kursiv"/>
        </w:rPr>
        <w:t xml:space="preserve">Stortinget ber regjeringen vurdere hvordan man kan stille krav til gjenbruk av </w:t>
      </w:r>
      <w:proofErr w:type="spellStart"/>
      <w:r w:rsidRPr="00225D4D">
        <w:rPr>
          <w:rStyle w:val="kursiv"/>
        </w:rPr>
        <w:t>spillvarme</w:t>
      </w:r>
      <w:proofErr w:type="spellEnd"/>
      <w:r w:rsidRPr="00225D4D">
        <w:rPr>
          <w:rStyle w:val="kursiv"/>
        </w:rPr>
        <w:t xml:space="preserve"> fra industri, avfallsforbrenning, datasentre og hydrogenproduksjon der det ligger til rette for dette.</w:t>
      </w:r>
      <w:r w:rsidRPr="00225D4D">
        <w:t>»</w:t>
      </w:r>
    </w:p>
    <w:p w14:paraId="55A40EC1" w14:textId="77777777" w:rsidR="00D60186" w:rsidRPr="00225D4D" w:rsidRDefault="00D60186" w:rsidP="00225D4D">
      <w:r w:rsidRPr="00225D4D">
        <w:t xml:space="preserve">Dokumenta som ligg til grunn for vedtaket er Meld. St. 25 (2024–2025) og </w:t>
      </w:r>
      <w:proofErr w:type="spellStart"/>
      <w:r w:rsidRPr="00225D4D">
        <w:t>Innst</w:t>
      </w:r>
      <w:proofErr w:type="spellEnd"/>
      <w:r w:rsidRPr="00225D4D">
        <w:t>. 520 S (2024–2025).</w:t>
      </w:r>
    </w:p>
    <w:p w14:paraId="11D6E133" w14:textId="77777777" w:rsidR="00D60186" w:rsidRPr="00225D4D" w:rsidRDefault="00D60186" w:rsidP="00225D4D">
      <w:r w:rsidRPr="00225D4D">
        <w:t xml:space="preserve">Departementet har vurdert korleis </w:t>
      </w:r>
      <w:proofErr w:type="spellStart"/>
      <w:r w:rsidRPr="00225D4D">
        <w:t>ein</w:t>
      </w:r>
      <w:proofErr w:type="spellEnd"/>
      <w:r w:rsidRPr="00225D4D">
        <w:t xml:space="preserve"> kan stille krav til gjenbruk av </w:t>
      </w:r>
      <w:proofErr w:type="spellStart"/>
      <w:r w:rsidRPr="00225D4D">
        <w:t>spillvarme</w:t>
      </w:r>
      <w:proofErr w:type="spellEnd"/>
      <w:r w:rsidRPr="00225D4D">
        <w:t xml:space="preserve">, jf. oppfølging av oppmodingsvedtak 78 av 5. desember 2024, vedtak 1213 av 20. juni 2025 og </w:t>
      </w:r>
      <w:proofErr w:type="spellStart"/>
      <w:r w:rsidRPr="00225D4D">
        <w:t>nærmare</w:t>
      </w:r>
      <w:proofErr w:type="spellEnd"/>
      <w:r w:rsidRPr="00225D4D">
        <w:t xml:space="preserve"> omtale i kapittel 10.2 </w:t>
      </w:r>
      <w:proofErr w:type="spellStart"/>
      <w:r w:rsidRPr="00225D4D">
        <w:t>Verkemiddel</w:t>
      </w:r>
      <w:proofErr w:type="spellEnd"/>
      <w:r w:rsidRPr="00225D4D">
        <w:t xml:space="preserve"> retta mot industri, næringsliv og det </w:t>
      </w:r>
      <w:proofErr w:type="spellStart"/>
      <w:r w:rsidRPr="00225D4D">
        <w:t>offentlege</w:t>
      </w:r>
      <w:proofErr w:type="spellEnd"/>
      <w:r w:rsidRPr="00225D4D">
        <w:t xml:space="preserve"> i del III av proposisjonen. I september 2025 sende departementet ut </w:t>
      </w:r>
      <w:proofErr w:type="spellStart"/>
      <w:r w:rsidRPr="00225D4D">
        <w:t>eit</w:t>
      </w:r>
      <w:proofErr w:type="spellEnd"/>
      <w:r w:rsidRPr="00225D4D">
        <w:t xml:space="preserve"> </w:t>
      </w:r>
      <w:proofErr w:type="spellStart"/>
      <w:r w:rsidRPr="00225D4D">
        <w:t>høyringsforslag</w:t>
      </w:r>
      <w:proofErr w:type="spellEnd"/>
      <w:r w:rsidRPr="00225D4D">
        <w:t xml:space="preserve"> om </w:t>
      </w:r>
      <w:proofErr w:type="spellStart"/>
      <w:r w:rsidRPr="00225D4D">
        <w:t>endringar</w:t>
      </w:r>
      <w:proofErr w:type="spellEnd"/>
      <w:r w:rsidRPr="00225D4D">
        <w:t xml:space="preserve"> i energilova §§ 7-2 til 7-4 som </w:t>
      </w:r>
      <w:proofErr w:type="spellStart"/>
      <w:r w:rsidRPr="00225D4D">
        <w:t>skjerpar</w:t>
      </w:r>
      <w:proofErr w:type="spellEnd"/>
      <w:r w:rsidRPr="00225D4D">
        <w:t xml:space="preserve"> krava til utnytting av </w:t>
      </w:r>
      <w:proofErr w:type="spellStart"/>
      <w:r w:rsidRPr="00225D4D">
        <w:t>overskotsvarme</w:t>
      </w:r>
      <w:proofErr w:type="spellEnd"/>
      <w:r w:rsidRPr="00225D4D">
        <w:t xml:space="preserve">. Departementet meiner at det ligg til rette for å utnytte </w:t>
      </w:r>
      <w:proofErr w:type="spellStart"/>
      <w:r w:rsidRPr="00225D4D">
        <w:t>overskotsvarme</w:t>
      </w:r>
      <w:proofErr w:type="spellEnd"/>
      <w:r w:rsidRPr="00225D4D">
        <w:t xml:space="preserve"> dersom </w:t>
      </w:r>
      <w:proofErr w:type="spellStart"/>
      <w:r w:rsidRPr="00225D4D">
        <w:t>fordelane</w:t>
      </w:r>
      <w:proofErr w:type="spellEnd"/>
      <w:r w:rsidRPr="00225D4D">
        <w:t xml:space="preserve"> er større enn kostnadene, og foreslår å innføre </w:t>
      </w:r>
      <w:proofErr w:type="spellStart"/>
      <w:r w:rsidRPr="00225D4D">
        <w:t>ein</w:t>
      </w:r>
      <w:proofErr w:type="spellEnd"/>
      <w:r w:rsidRPr="00225D4D">
        <w:t xml:space="preserve"> </w:t>
      </w:r>
      <w:proofErr w:type="spellStart"/>
      <w:r w:rsidRPr="00225D4D">
        <w:t>hovudregel</w:t>
      </w:r>
      <w:proofErr w:type="spellEnd"/>
      <w:r w:rsidRPr="00225D4D">
        <w:t xml:space="preserve"> om at </w:t>
      </w:r>
      <w:proofErr w:type="spellStart"/>
      <w:r w:rsidRPr="00225D4D">
        <w:t>overskotsvarmen</w:t>
      </w:r>
      <w:proofErr w:type="spellEnd"/>
      <w:r w:rsidRPr="00225D4D">
        <w:t xml:space="preserve"> skal </w:t>
      </w:r>
      <w:proofErr w:type="spellStart"/>
      <w:r w:rsidRPr="00225D4D">
        <w:t>utnyttast</w:t>
      </w:r>
      <w:proofErr w:type="spellEnd"/>
      <w:r w:rsidRPr="00225D4D">
        <w:t xml:space="preserve"> i slike tilfelle.</w:t>
      </w:r>
    </w:p>
    <w:p w14:paraId="7B8A2842"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7E3757CB" w14:textId="77777777" w:rsidR="00D60186" w:rsidRPr="00225D4D" w:rsidRDefault="00D60186" w:rsidP="00225D4D">
      <w:pPr>
        <w:pStyle w:val="avsnitt-tittel"/>
      </w:pPr>
      <w:r w:rsidRPr="00225D4D">
        <w:t xml:space="preserve">Eksportløysing for gass </w:t>
      </w:r>
      <w:proofErr w:type="spellStart"/>
      <w:r w:rsidRPr="00225D4D">
        <w:t>frå</w:t>
      </w:r>
      <w:proofErr w:type="spellEnd"/>
      <w:r w:rsidRPr="00225D4D">
        <w:t xml:space="preserve"> Barentshavet</w:t>
      </w:r>
    </w:p>
    <w:p w14:paraId="2C3015A3" w14:textId="77777777" w:rsidR="00D60186" w:rsidRPr="00225D4D" w:rsidRDefault="00D60186" w:rsidP="00225D4D">
      <w:pPr>
        <w:pStyle w:val="avsnitt-undertittel"/>
      </w:pPr>
      <w:r w:rsidRPr="00225D4D">
        <w:t>Vedtak 1077, 13. juni 2025</w:t>
      </w:r>
    </w:p>
    <w:p w14:paraId="4BBAD0AD" w14:textId="77777777" w:rsidR="00D60186" w:rsidRPr="00225D4D" w:rsidRDefault="00D60186" w:rsidP="00225D4D">
      <w:pPr>
        <w:pStyle w:val="blokksit"/>
      </w:pPr>
      <w:r w:rsidRPr="00225D4D">
        <w:t>«</w:t>
      </w:r>
      <w:r w:rsidRPr="00225D4D">
        <w:rPr>
          <w:rStyle w:val="kursiv"/>
        </w:rPr>
        <w:t>Stortinget ber regjeringen fremskynde arbeidet med å utarbeide en eksportløsning for gass fra Barentshavet for å legge til rette for økt gasseksport fra området.</w:t>
      </w:r>
      <w:r w:rsidRPr="00225D4D">
        <w:t>»</w:t>
      </w:r>
    </w:p>
    <w:p w14:paraId="58E45B1B" w14:textId="77777777" w:rsidR="00D60186" w:rsidRPr="00225D4D" w:rsidRDefault="00D60186" w:rsidP="00225D4D">
      <w:r w:rsidRPr="00225D4D">
        <w:t xml:space="preserve">Dokumenta som ligg til grunn for vedtaket er Dokument 8:270 S (2024–2025) og </w:t>
      </w:r>
      <w:proofErr w:type="spellStart"/>
      <w:r w:rsidRPr="00225D4D">
        <w:t>Innst</w:t>
      </w:r>
      <w:proofErr w:type="spellEnd"/>
      <w:r w:rsidRPr="00225D4D">
        <w:t>. 504 S (2024–2025).</w:t>
      </w:r>
    </w:p>
    <w:p w14:paraId="4B8807FB" w14:textId="77777777" w:rsidR="00D60186" w:rsidRPr="00225D4D" w:rsidRDefault="00D60186" w:rsidP="00225D4D">
      <w:r w:rsidRPr="00225D4D">
        <w:t xml:space="preserve">Det følger av den etablerte ansvars- og rollefordelinga mellom stat og næringsliv at petroleumsprosjekt skal </w:t>
      </w:r>
      <w:proofErr w:type="spellStart"/>
      <w:r w:rsidRPr="00225D4D">
        <w:t>drivast</w:t>
      </w:r>
      <w:proofErr w:type="spellEnd"/>
      <w:r w:rsidRPr="00225D4D">
        <w:t xml:space="preserve"> fram av selskapa, med utgangspunkt i kommersielle </w:t>
      </w:r>
      <w:proofErr w:type="spellStart"/>
      <w:r w:rsidRPr="00225D4D">
        <w:t>vurderingar</w:t>
      </w:r>
      <w:proofErr w:type="spellEnd"/>
      <w:r w:rsidRPr="00225D4D">
        <w:t>.</w:t>
      </w:r>
    </w:p>
    <w:p w14:paraId="3CA6F49C" w14:textId="77777777" w:rsidR="00D60186" w:rsidRPr="00225D4D" w:rsidRDefault="00D60186" w:rsidP="00225D4D">
      <w:proofErr w:type="spellStart"/>
      <w:r w:rsidRPr="00225D4D">
        <w:t>Gassco</w:t>
      </w:r>
      <w:proofErr w:type="spellEnd"/>
      <w:r w:rsidRPr="00225D4D">
        <w:t xml:space="preserve"> har mellom anna i </w:t>
      </w:r>
      <w:proofErr w:type="spellStart"/>
      <w:r w:rsidRPr="00225D4D">
        <w:t>oppgåve</w:t>
      </w:r>
      <w:proofErr w:type="spellEnd"/>
      <w:r w:rsidRPr="00225D4D">
        <w:t xml:space="preserve"> å vurdere </w:t>
      </w:r>
      <w:proofErr w:type="spellStart"/>
      <w:r w:rsidRPr="00225D4D">
        <w:t>vidareutvikling</w:t>
      </w:r>
      <w:proofErr w:type="spellEnd"/>
      <w:r w:rsidRPr="00225D4D">
        <w:t xml:space="preserve"> av </w:t>
      </w:r>
      <w:proofErr w:type="spellStart"/>
      <w:r w:rsidRPr="00225D4D">
        <w:t>oppstraums</w:t>
      </w:r>
      <w:proofErr w:type="spellEnd"/>
      <w:r w:rsidRPr="00225D4D">
        <w:t xml:space="preserve"> </w:t>
      </w:r>
      <w:proofErr w:type="spellStart"/>
      <w:r w:rsidRPr="00225D4D">
        <w:t>gassrøyrleidningsnett</w:t>
      </w:r>
      <w:proofErr w:type="spellEnd"/>
      <w:r w:rsidRPr="00225D4D">
        <w:t xml:space="preserve"> og tilknytte anlegg med sikte på å oppnå </w:t>
      </w:r>
      <w:proofErr w:type="spellStart"/>
      <w:r w:rsidRPr="00225D4D">
        <w:t>heilskaplege</w:t>
      </w:r>
      <w:proofErr w:type="spellEnd"/>
      <w:r w:rsidRPr="00225D4D">
        <w:t xml:space="preserve"> transport- og </w:t>
      </w:r>
      <w:proofErr w:type="spellStart"/>
      <w:r w:rsidRPr="00225D4D">
        <w:t>behandlingsløysingar</w:t>
      </w:r>
      <w:proofErr w:type="spellEnd"/>
      <w:r w:rsidRPr="00225D4D">
        <w:t xml:space="preserve"> for </w:t>
      </w:r>
      <w:proofErr w:type="spellStart"/>
      <w:r w:rsidRPr="00225D4D">
        <w:t>petroleumsverksemda</w:t>
      </w:r>
      <w:proofErr w:type="spellEnd"/>
      <w:r w:rsidRPr="00225D4D">
        <w:t xml:space="preserve"> («arkitektrolla» til </w:t>
      </w:r>
      <w:proofErr w:type="spellStart"/>
      <w:r w:rsidRPr="00225D4D">
        <w:t>Gassco</w:t>
      </w:r>
      <w:proofErr w:type="spellEnd"/>
      <w:r w:rsidRPr="00225D4D">
        <w:t xml:space="preserve">). Selskapet leverte i 2023 ei vurdering til departementet som viste at det, med gitte </w:t>
      </w:r>
      <w:proofErr w:type="spellStart"/>
      <w:r w:rsidRPr="00225D4D">
        <w:t>føresetnader</w:t>
      </w:r>
      <w:proofErr w:type="spellEnd"/>
      <w:r w:rsidRPr="00225D4D">
        <w:t xml:space="preserve">, kan </w:t>
      </w:r>
      <w:proofErr w:type="spellStart"/>
      <w:r w:rsidRPr="00225D4D">
        <w:t>vere</w:t>
      </w:r>
      <w:proofErr w:type="spellEnd"/>
      <w:r w:rsidRPr="00225D4D">
        <w:t xml:space="preserve"> </w:t>
      </w:r>
      <w:proofErr w:type="spellStart"/>
      <w:r w:rsidRPr="00225D4D">
        <w:t>lønnsamt</w:t>
      </w:r>
      <w:proofErr w:type="spellEnd"/>
      <w:r w:rsidRPr="00225D4D">
        <w:t xml:space="preserve"> å </w:t>
      </w:r>
      <w:proofErr w:type="spellStart"/>
      <w:r w:rsidRPr="00225D4D">
        <w:t>auke</w:t>
      </w:r>
      <w:proofErr w:type="spellEnd"/>
      <w:r w:rsidRPr="00225D4D">
        <w:t xml:space="preserve"> kapasiteten for gasseksport </w:t>
      </w:r>
      <w:proofErr w:type="spellStart"/>
      <w:r w:rsidRPr="00225D4D">
        <w:t>frå</w:t>
      </w:r>
      <w:proofErr w:type="spellEnd"/>
      <w:r w:rsidRPr="00225D4D">
        <w:t xml:space="preserve"> Barentshavet.</w:t>
      </w:r>
    </w:p>
    <w:p w14:paraId="6C02E900" w14:textId="77777777" w:rsidR="00D60186" w:rsidRPr="00225D4D" w:rsidRDefault="00D60186" w:rsidP="00225D4D">
      <w:r w:rsidRPr="00225D4D">
        <w:t xml:space="preserve">Etter at vurderinga blei levert, har </w:t>
      </w:r>
      <w:proofErr w:type="spellStart"/>
      <w:r w:rsidRPr="00225D4D">
        <w:t>Gassco</w:t>
      </w:r>
      <w:proofErr w:type="spellEnd"/>
      <w:r w:rsidRPr="00225D4D">
        <w:t xml:space="preserve"> og selskapa som har </w:t>
      </w:r>
      <w:proofErr w:type="spellStart"/>
      <w:r w:rsidRPr="00225D4D">
        <w:t>ressursar</w:t>
      </w:r>
      <w:proofErr w:type="spellEnd"/>
      <w:r w:rsidRPr="00225D4D">
        <w:t xml:space="preserve"> i området, sett på </w:t>
      </w:r>
      <w:proofErr w:type="spellStart"/>
      <w:r w:rsidRPr="00225D4D">
        <w:t>moglegheitene</w:t>
      </w:r>
      <w:proofErr w:type="spellEnd"/>
      <w:r w:rsidRPr="00225D4D">
        <w:t xml:space="preserve"> for å gå </w:t>
      </w:r>
      <w:proofErr w:type="spellStart"/>
      <w:r w:rsidRPr="00225D4D">
        <w:t>vidare</w:t>
      </w:r>
      <w:proofErr w:type="spellEnd"/>
      <w:r w:rsidRPr="00225D4D">
        <w:t xml:space="preserve"> med konkret modning av </w:t>
      </w:r>
      <w:proofErr w:type="spellStart"/>
      <w:r w:rsidRPr="00225D4D">
        <w:t>eit</w:t>
      </w:r>
      <w:proofErr w:type="spellEnd"/>
      <w:r w:rsidRPr="00225D4D">
        <w:t xml:space="preserve"> prosjekt for </w:t>
      </w:r>
      <w:proofErr w:type="spellStart"/>
      <w:r w:rsidRPr="00225D4D">
        <w:t>auka</w:t>
      </w:r>
      <w:proofErr w:type="spellEnd"/>
      <w:r w:rsidRPr="00225D4D">
        <w:t xml:space="preserve"> gasseksportkapasitet. Å planlegge og forprosjektere store infrastrukturprosjekt </w:t>
      </w:r>
      <w:proofErr w:type="spellStart"/>
      <w:r w:rsidRPr="00225D4D">
        <w:t>kostar</w:t>
      </w:r>
      <w:proofErr w:type="spellEnd"/>
      <w:r w:rsidRPr="00225D4D">
        <w:t xml:space="preserve"> </w:t>
      </w:r>
      <w:proofErr w:type="spellStart"/>
      <w:r w:rsidRPr="00225D4D">
        <w:t>fleire</w:t>
      </w:r>
      <w:proofErr w:type="spellEnd"/>
      <w:r w:rsidRPr="00225D4D">
        <w:t xml:space="preserve"> hundre </w:t>
      </w:r>
      <w:proofErr w:type="spellStart"/>
      <w:r w:rsidRPr="00225D4D">
        <w:t>millionar</w:t>
      </w:r>
      <w:proofErr w:type="spellEnd"/>
      <w:r w:rsidRPr="00225D4D">
        <w:t xml:space="preserve"> kroner. Skal </w:t>
      </w:r>
      <w:proofErr w:type="spellStart"/>
      <w:r w:rsidRPr="00225D4D">
        <w:t>eit</w:t>
      </w:r>
      <w:proofErr w:type="spellEnd"/>
      <w:r w:rsidRPr="00225D4D">
        <w:t xml:space="preserve"> slikt prosjekt </w:t>
      </w:r>
      <w:proofErr w:type="spellStart"/>
      <w:r w:rsidRPr="00225D4D">
        <w:t>utviklast</w:t>
      </w:r>
      <w:proofErr w:type="spellEnd"/>
      <w:r w:rsidRPr="00225D4D">
        <w:t xml:space="preserve"> </w:t>
      </w:r>
      <w:proofErr w:type="spellStart"/>
      <w:r w:rsidRPr="00225D4D">
        <w:t>vidare</w:t>
      </w:r>
      <w:proofErr w:type="spellEnd"/>
      <w:r w:rsidRPr="00225D4D">
        <w:t xml:space="preserve">, må det derfor </w:t>
      </w:r>
      <w:proofErr w:type="spellStart"/>
      <w:r w:rsidRPr="00225D4D">
        <w:t>drivast</w:t>
      </w:r>
      <w:proofErr w:type="spellEnd"/>
      <w:r w:rsidRPr="00225D4D">
        <w:t xml:space="preserve"> fram av kommersielle selskap med behov for gasstransport.</w:t>
      </w:r>
    </w:p>
    <w:p w14:paraId="46B18728" w14:textId="77777777" w:rsidR="00D60186" w:rsidRPr="00225D4D" w:rsidRDefault="00D60186" w:rsidP="00225D4D">
      <w:r w:rsidRPr="00225D4D">
        <w:t xml:space="preserve">Til </w:t>
      </w:r>
      <w:proofErr w:type="spellStart"/>
      <w:r w:rsidRPr="00225D4D">
        <w:t>no</w:t>
      </w:r>
      <w:proofErr w:type="spellEnd"/>
      <w:r w:rsidRPr="00225D4D">
        <w:t xml:space="preserve"> har det </w:t>
      </w:r>
      <w:proofErr w:type="spellStart"/>
      <w:r w:rsidRPr="00225D4D">
        <w:t>ikkje</w:t>
      </w:r>
      <w:proofErr w:type="spellEnd"/>
      <w:r w:rsidRPr="00225D4D">
        <w:t xml:space="preserve"> </w:t>
      </w:r>
      <w:proofErr w:type="spellStart"/>
      <w:r w:rsidRPr="00225D4D">
        <w:t>vore</w:t>
      </w:r>
      <w:proofErr w:type="spellEnd"/>
      <w:r w:rsidRPr="00225D4D">
        <w:t xml:space="preserve"> stor nok interesse blant selskapa for å gå </w:t>
      </w:r>
      <w:proofErr w:type="spellStart"/>
      <w:r w:rsidRPr="00225D4D">
        <w:t>vidare</w:t>
      </w:r>
      <w:proofErr w:type="spellEnd"/>
      <w:r w:rsidRPr="00225D4D">
        <w:t xml:space="preserve"> med </w:t>
      </w:r>
      <w:proofErr w:type="spellStart"/>
      <w:r w:rsidRPr="00225D4D">
        <w:t>ein</w:t>
      </w:r>
      <w:proofErr w:type="spellEnd"/>
      <w:r w:rsidRPr="00225D4D">
        <w:t xml:space="preserve"> slik prosess. Det er viktig å vite kor store </w:t>
      </w:r>
      <w:proofErr w:type="spellStart"/>
      <w:r w:rsidRPr="00225D4D">
        <w:t>gassressursar</w:t>
      </w:r>
      <w:proofErr w:type="spellEnd"/>
      <w:r w:rsidRPr="00225D4D">
        <w:t xml:space="preserve"> som treng eksportløysinga. Derfor </w:t>
      </w:r>
      <w:proofErr w:type="spellStart"/>
      <w:r w:rsidRPr="00225D4D">
        <w:t>satsar</w:t>
      </w:r>
      <w:proofErr w:type="spellEnd"/>
      <w:r w:rsidRPr="00225D4D">
        <w:t xml:space="preserve"> næringa </w:t>
      </w:r>
      <w:proofErr w:type="spellStart"/>
      <w:r w:rsidRPr="00225D4D">
        <w:t>no</w:t>
      </w:r>
      <w:proofErr w:type="spellEnd"/>
      <w:r w:rsidRPr="00225D4D">
        <w:t xml:space="preserve"> på å få </w:t>
      </w:r>
      <w:proofErr w:type="spellStart"/>
      <w:r w:rsidRPr="00225D4D">
        <w:t>meir</w:t>
      </w:r>
      <w:proofErr w:type="spellEnd"/>
      <w:r w:rsidRPr="00225D4D">
        <w:t xml:space="preserve"> informasjon om dette gjennom boring av </w:t>
      </w:r>
      <w:proofErr w:type="spellStart"/>
      <w:r w:rsidRPr="00225D4D">
        <w:t>leitebrønnar</w:t>
      </w:r>
      <w:proofErr w:type="spellEnd"/>
      <w:r w:rsidRPr="00225D4D">
        <w:t>.</w:t>
      </w:r>
    </w:p>
    <w:p w14:paraId="239AE193" w14:textId="77777777" w:rsidR="00D60186" w:rsidRPr="00225D4D" w:rsidRDefault="00D60186" w:rsidP="00225D4D">
      <w:r w:rsidRPr="00225D4D">
        <w:t xml:space="preserve">Regjeringa </w:t>
      </w:r>
      <w:proofErr w:type="spellStart"/>
      <w:r w:rsidRPr="00225D4D">
        <w:t>legg</w:t>
      </w:r>
      <w:proofErr w:type="spellEnd"/>
      <w:r w:rsidRPr="00225D4D">
        <w:t xml:space="preserve"> til rette for dette arbeidet ved å tildele prospektivt </w:t>
      </w:r>
      <w:proofErr w:type="spellStart"/>
      <w:r w:rsidRPr="00225D4D">
        <w:t>leiteareal</w:t>
      </w:r>
      <w:proofErr w:type="spellEnd"/>
      <w:r w:rsidRPr="00225D4D">
        <w:t xml:space="preserve"> gjennom </w:t>
      </w:r>
      <w:proofErr w:type="spellStart"/>
      <w:r w:rsidRPr="00225D4D">
        <w:t>konsesjonsrundar</w:t>
      </w:r>
      <w:proofErr w:type="spellEnd"/>
      <w:r w:rsidRPr="00225D4D">
        <w:t xml:space="preserve">. Dei </w:t>
      </w:r>
      <w:proofErr w:type="spellStart"/>
      <w:r w:rsidRPr="00225D4D">
        <w:t>årlege</w:t>
      </w:r>
      <w:proofErr w:type="spellEnd"/>
      <w:r w:rsidRPr="00225D4D">
        <w:t xml:space="preserve"> TFO-</w:t>
      </w:r>
      <w:proofErr w:type="spellStart"/>
      <w:r w:rsidRPr="00225D4D">
        <w:t>rundane</w:t>
      </w:r>
      <w:proofErr w:type="spellEnd"/>
      <w:r w:rsidRPr="00225D4D">
        <w:t xml:space="preserve"> </w:t>
      </w:r>
      <w:proofErr w:type="spellStart"/>
      <w:r w:rsidRPr="00225D4D">
        <w:t>omfattar</w:t>
      </w:r>
      <w:proofErr w:type="spellEnd"/>
      <w:r w:rsidRPr="00225D4D">
        <w:t xml:space="preserve"> i dag størstedelen av det </w:t>
      </w:r>
      <w:proofErr w:type="spellStart"/>
      <w:r w:rsidRPr="00225D4D">
        <w:t>opne</w:t>
      </w:r>
      <w:proofErr w:type="spellEnd"/>
      <w:r w:rsidRPr="00225D4D">
        <w:t xml:space="preserve">, </w:t>
      </w:r>
      <w:proofErr w:type="spellStart"/>
      <w:r w:rsidRPr="00225D4D">
        <w:t>tilgjengelege</w:t>
      </w:r>
      <w:proofErr w:type="spellEnd"/>
      <w:r w:rsidRPr="00225D4D">
        <w:t xml:space="preserve"> arealet for tildeling av utvinningsløyve, inkludert store område i Barentshavet. Som del av den breie satsinga for å påvise </w:t>
      </w:r>
      <w:proofErr w:type="spellStart"/>
      <w:r w:rsidRPr="00225D4D">
        <w:t>ytterlegare</w:t>
      </w:r>
      <w:proofErr w:type="spellEnd"/>
      <w:r w:rsidRPr="00225D4D">
        <w:t xml:space="preserve"> </w:t>
      </w:r>
      <w:proofErr w:type="spellStart"/>
      <w:r w:rsidRPr="00225D4D">
        <w:t>petroleumsressursar</w:t>
      </w:r>
      <w:proofErr w:type="spellEnd"/>
      <w:r w:rsidRPr="00225D4D">
        <w:t xml:space="preserve"> har departementet også starta arbeidet med utlysinga av den 26. konsesjonsrunden. Alt areal som er </w:t>
      </w:r>
      <w:proofErr w:type="spellStart"/>
      <w:r w:rsidRPr="00225D4D">
        <w:t>ope</w:t>
      </w:r>
      <w:proofErr w:type="spellEnd"/>
      <w:r w:rsidRPr="00225D4D">
        <w:t xml:space="preserve"> og </w:t>
      </w:r>
      <w:proofErr w:type="spellStart"/>
      <w:r w:rsidRPr="00225D4D">
        <w:t>tilgjengeleg</w:t>
      </w:r>
      <w:proofErr w:type="spellEnd"/>
      <w:r w:rsidRPr="00225D4D">
        <w:t xml:space="preserve"> for tildeling av utvinningsløyve på kontinentalsokkelen og </w:t>
      </w:r>
      <w:proofErr w:type="spellStart"/>
      <w:r w:rsidRPr="00225D4D">
        <w:t>ikkje</w:t>
      </w:r>
      <w:proofErr w:type="spellEnd"/>
      <w:r w:rsidRPr="00225D4D">
        <w:t xml:space="preserve"> inngår i TFO-området, kan </w:t>
      </w:r>
      <w:proofErr w:type="spellStart"/>
      <w:r w:rsidRPr="00225D4D">
        <w:t>nominerast</w:t>
      </w:r>
      <w:proofErr w:type="spellEnd"/>
      <w:r w:rsidRPr="00225D4D">
        <w:t>.</w:t>
      </w:r>
    </w:p>
    <w:p w14:paraId="07CC884B" w14:textId="77777777" w:rsidR="00D60186" w:rsidRPr="00225D4D" w:rsidRDefault="00D60186" w:rsidP="00225D4D">
      <w:r w:rsidRPr="00225D4D">
        <w:t xml:space="preserve">Framtidige leiteresultat vil </w:t>
      </w:r>
      <w:proofErr w:type="spellStart"/>
      <w:r w:rsidRPr="00225D4D">
        <w:t>vere</w:t>
      </w:r>
      <w:proofErr w:type="spellEnd"/>
      <w:r w:rsidRPr="00225D4D">
        <w:t xml:space="preserve"> </w:t>
      </w:r>
      <w:proofErr w:type="spellStart"/>
      <w:r w:rsidRPr="00225D4D">
        <w:t>éin</w:t>
      </w:r>
      <w:proofErr w:type="spellEnd"/>
      <w:r w:rsidRPr="00225D4D">
        <w:t xml:space="preserve"> av </w:t>
      </w:r>
      <w:proofErr w:type="spellStart"/>
      <w:r w:rsidRPr="00225D4D">
        <w:t>fleire</w:t>
      </w:r>
      <w:proofErr w:type="spellEnd"/>
      <w:r w:rsidRPr="00225D4D">
        <w:t xml:space="preserve"> </w:t>
      </w:r>
      <w:proofErr w:type="spellStart"/>
      <w:r w:rsidRPr="00225D4D">
        <w:t>faktorar</w:t>
      </w:r>
      <w:proofErr w:type="spellEnd"/>
      <w:r w:rsidRPr="00225D4D">
        <w:t xml:space="preserve"> som </w:t>
      </w:r>
      <w:proofErr w:type="spellStart"/>
      <w:r w:rsidRPr="00225D4D">
        <w:t>avgjer</w:t>
      </w:r>
      <w:proofErr w:type="spellEnd"/>
      <w:r w:rsidRPr="00225D4D">
        <w:t xml:space="preserve"> om </w:t>
      </w:r>
      <w:proofErr w:type="spellStart"/>
      <w:r w:rsidRPr="00225D4D">
        <w:t>auka</w:t>
      </w:r>
      <w:proofErr w:type="spellEnd"/>
      <w:r w:rsidRPr="00225D4D">
        <w:t xml:space="preserve"> gasseksportkapasitet i Barentshavet kan </w:t>
      </w:r>
      <w:proofErr w:type="spellStart"/>
      <w:r w:rsidRPr="00225D4D">
        <w:t>realiserast</w:t>
      </w:r>
      <w:proofErr w:type="spellEnd"/>
      <w:r w:rsidRPr="00225D4D">
        <w:t xml:space="preserve">. Det er næringa </w:t>
      </w:r>
      <w:proofErr w:type="spellStart"/>
      <w:r w:rsidRPr="00225D4D">
        <w:t>sjølv</w:t>
      </w:r>
      <w:proofErr w:type="spellEnd"/>
      <w:r w:rsidRPr="00225D4D">
        <w:t xml:space="preserve"> som må vedta boring av </w:t>
      </w:r>
      <w:proofErr w:type="spellStart"/>
      <w:r w:rsidRPr="00225D4D">
        <w:t>leitebrønnar</w:t>
      </w:r>
      <w:proofErr w:type="spellEnd"/>
      <w:r w:rsidRPr="00225D4D">
        <w:t xml:space="preserve">, kva funn som skal </w:t>
      </w:r>
      <w:proofErr w:type="spellStart"/>
      <w:r w:rsidRPr="00225D4D">
        <w:t>utviklast</w:t>
      </w:r>
      <w:proofErr w:type="spellEnd"/>
      <w:r w:rsidRPr="00225D4D">
        <w:t xml:space="preserve">, og eventuelle prosjekt for etablering av ny infrastruktur. Ved å gjennomføre </w:t>
      </w:r>
      <w:proofErr w:type="spellStart"/>
      <w:r w:rsidRPr="00225D4D">
        <w:t>konsesjonsrundar</w:t>
      </w:r>
      <w:proofErr w:type="spellEnd"/>
      <w:r w:rsidRPr="00225D4D">
        <w:t xml:space="preserve"> legg regjeringa til rette for at lønnsame </w:t>
      </w:r>
      <w:proofErr w:type="spellStart"/>
      <w:r w:rsidRPr="00225D4D">
        <w:t>ressursar</w:t>
      </w:r>
      <w:proofErr w:type="spellEnd"/>
      <w:r w:rsidRPr="00225D4D">
        <w:t xml:space="preserve"> kan </w:t>
      </w:r>
      <w:proofErr w:type="spellStart"/>
      <w:r w:rsidRPr="00225D4D">
        <w:t>påvisast</w:t>
      </w:r>
      <w:proofErr w:type="spellEnd"/>
      <w:r w:rsidRPr="00225D4D">
        <w:t xml:space="preserve"> og </w:t>
      </w:r>
      <w:proofErr w:type="spellStart"/>
      <w:r w:rsidRPr="00225D4D">
        <w:t>vinnast</w:t>
      </w:r>
      <w:proofErr w:type="spellEnd"/>
      <w:r w:rsidRPr="00225D4D">
        <w:t xml:space="preserve"> ut, og gjennom arkitektrolla til </w:t>
      </w:r>
      <w:proofErr w:type="spellStart"/>
      <w:r w:rsidRPr="00225D4D">
        <w:t>Gassco</w:t>
      </w:r>
      <w:proofErr w:type="spellEnd"/>
      <w:r w:rsidRPr="00225D4D">
        <w:t xml:space="preserve"> er det etablert rammer for ei tidsriktig utvikling av ei eventuell løysing for </w:t>
      </w:r>
      <w:proofErr w:type="spellStart"/>
      <w:r w:rsidRPr="00225D4D">
        <w:t>auka</w:t>
      </w:r>
      <w:proofErr w:type="spellEnd"/>
      <w:r w:rsidRPr="00225D4D">
        <w:t xml:space="preserve"> gasseksport </w:t>
      </w:r>
      <w:proofErr w:type="spellStart"/>
      <w:r w:rsidRPr="00225D4D">
        <w:t>frå</w:t>
      </w:r>
      <w:proofErr w:type="spellEnd"/>
      <w:r w:rsidRPr="00225D4D">
        <w:t xml:space="preserve"> Barentshavet.</w:t>
      </w:r>
    </w:p>
    <w:p w14:paraId="4C954816"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15FB5F98" w14:textId="77777777" w:rsidR="00D60186" w:rsidRPr="00225D4D" w:rsidRDefault="00D60186" w:rsidP="00225D4D">
      <w:pPr>
        <w:pStyle w:val="avsnitt-tittel"/>
      </w:pPr>
      <w:r w:rsidRPr="00225D4D">
        <w:t xml:space="preserve">Status for og vurdering av NZIA-forordninga </w:t>
      </w:r>
      <w:proofErr w:type="spellStart"/>
      <w:r w:rsidRPr="00225D4D">
        <w:t>frå</w:t>
      </w:r>
      <w:proofErr w:type="spellEnd"/>
      <w:r w:rsidRPr="00225D4D">
        <w:t xml:space="preserve"> EU</w:t>
      </w:r>
    </w:p>
    <w:p w14:paraId="678EF766" w14:textId="77777777" w:rsidR="00D60186" w:rsidRPr="00225D4D" w:rsidRDefault="00D60186" w:rsidP="00225D4D">
      <w:pPr>
        <w:pStyle w:val="avsnitt-undertittel"/>
      </w:pPr>
      <w:r w:rsidRPr="00225D4D">
        <w:t>Vedtak 1078, 13. juni 2025</w:t>
      </w:r>
    </w:p>
    <w:p w14:paraId="72B5F232" w14:textId="77777777" w:rsidR="00D60186" w:rsidRPr="00225D4D" w:rsidRDefault="00D60186" w:rsidP="00225D4D">
      <w:pPr>
        <w:pStyle w:val="blokksit"/>
      </w:pPr>
      <w:r w:rsidRPr="00225D4D">
        <w:t>«</w:t>
      </w:r>
      <w:r w:rsidRPr="00225D4D">
        <w:rPr>
          <w:rStyle w:val="kursiv"/>
        </w:rPr>
        <w:t>Stortinget ber regjeringen komme tilbake til Stortinget med en redegjørelse for status og vurdering av NZIA-direktivet fra EU angående pålegget om CCS-lagre samt redegjøre for regjeringens intensjoner i videre behandling og dialog med EU.</w:t>
      </w:r>
      <w:r w:rsidRPr="00225D4D">
        <w:t>»</w:t>
      </w:r>
    </w:p>
    <w:p w14:paraId="491968D1" w14:textId="77777777" w:rsidR="00D60186" w:rsidRPr="00225D4D" w:rsidRDefault="00D60186" w:rsidP="00225D4D">
      <w:r w:rsidRPr="00225D4D">
        <w:t xml:space="preserve">Dokumenta som ligg til grunn for vedtaket er Dokument 8:270 S (2024–2025) og </w:t>
      </w:r>
      <w:proofErr w:type="spellStart"/>
      <w:r w:rsidRPr="00225D4D">
        <w:t>Innst</w:t>
      </w:r>
      <w:proofErr w:type="spellEnd"/>
      <w:r w:rsidRPr="00225D4D">
        <w:t>. 504 S (2024–2025).</w:t>
      </w:r>
    </w:p>
    <w:p w14:paraId="6ED6EF1E" w14:textId="77777777" w:rsidR="00D60186" w:rsidRPr="00225D4D" w:rsidRDefault="00D60186" w:rsidP="00225D4D">
      <w:r w:rsidRPr="00225D4D">
        <w:t xml:space="preserve">Regjeringa vurderer </w:t>
      </w:r>
      <w:proofErr w:type="spellStart"/>
      <w:r w:rsidRPr="00225D4D">
        <w:t>no</w:t>
      </w:r>
      <w:proofErr w:type="spellEnd"/>
      <w:r w:rsidRPr="00225D4D">
        <w:t xml:space="preserve"> om NZIA-forordninga bør </w:t>
      </w:r>
      <w:proofErr w:type="spellStart"/>
      <w:r w:rsidRPr="00225D4D">
        <w:t>innlemmast</w:t>
      </w:r>
      <w:proofErr w:type="spellEnd"/>
      <w:r w:rsidRPr="00225D4D">
        <w:t xml:space="preserve"> i EØS-avtalen. I den </w:t>
      </w:r>
      <w:proofErr w:type="spellStart"/>
      <w:r w:rsidRPr="00225D4D">
        <w:t>samanhengen</w:t>
      </w:r>
      <w:proofErr w:type="spellEnd"/>
      <w:r w:rsidRPr="00225D4D">
        <w:t xml:space="preserve"> arbeider departementet med å avklare korleis </w:t>
      </w:r>
      <w:proofErr w:type="spellStart"/>
      <w:r w:rsidRPr="00225D4D">
        <w:t>Noreg</w:t>
      </w:r>
      <w:proofErr w:type="spellEnd"/>
      <w:r w:rsidRPr="00225D4D">
        <w:t xml:space="preserve"> skal stille seg til føresegnene om CO</w:t>
      </w:r>
      <w:r w:rsidRPr="00225D4D">
        <w:rPr>
          <w:rStyle w:val="skrift-senket"/>
        </w:rPr>
        <w:t>2</w:t>
      </w:r>
      <w:r w:rsidRPr="00225D4D">
        <w:t>-lagring. I dialogen med EU er departementet opptatt av å vareta norske interesser.</w:t>
      </w:r>
    </w:p>
    <w:p w14:paraId="46A03FE5" w14:textId="77777777" w:rsidR="00D60186" w:rsidRPr="00225D4D" w:rsidRDefault="00D60186" w:rsidP="00225D4D">
      <w:r w:rsidRPr="00225D4D">
        <w:t>Departementet vil komme tilbake til Stortinget på eigna måte.</w:t>
      </w:r>
    </w:p>
    <w:p w14:paraId="0CC0008C" w14:textId="77777777" w:rsidR="00D60186" w:rsidRPr="00225D4D" w:rsidRDefault="00D60186" w:rsidP="00225D4D">
      <w:pPr>
        <w:pStyle w:val="avsnitt-tittel"/>
      </w:pPr>
      <w:r w:rsidRPr="00225D4D">
        <w:t>Reform av nettreguleringa</w:t>
      </w:r>
    </w:p>
    <w:p w14:paraId="3CE1B1DB" w14:textId="77777777" w:rsidR="00D60186" w:rsidRPr="00225D4D" w:rsidRDefault="00D60186" w:rsidP="00225D4D">
      <w:pPr>
        <w:pStyle w:val="avsnitt-undertittel"/>
      </w:pPr>
      <w:r w:rsidRPr="00225D4D">
        <w:t>Vedtak 1079, 13. juni 2025</w:t>
      </w:r>
    </w:p>
    <w:p w14:paraId="397104D6" w14:textId="77777777" w:rsidR="00D60186" w:rsidRPr="00225D4D" w:rsidRDefault="00D60186" w:rsidP="00225D4D">
      <w:pPr>
        <w:pStyle w:val="blokksit"/>
      </w:pPr>
      <w:r w:rsidRPr="00225D4D">
        <w:t>«</w:t>
      </w:r>
      <w:r w:rsidRPr="00225D4D">
        <w:rPr>
          <w:rStyle w:val="kursiv"/>
        </w:rPr>
        <w:t>Stortinget ber regjeringen igangsette arbeidet med en reform av nettreguleringen som skal sikre mer nett raskere, økt kapasitet i nettet og at man raskere får tilgang på økt kapasitet, og komme tilbake til Stortinget med en sak om hvordan man skal oppnå dette.</w:t>
      </w:r>
      <w:r w:rsidRPr="00225D4D">
        <w:t>»</w:t>
      </w:r>
    </w:p>
    <w:p w14:paraId="3FD35D42" w14:textId="77777777" w:rsidR="00D60186" w:rsidRPr="00225D4D" w:rsidRDefault="00D60186" w:rsidP="00225D4D">
      <w:r w:rsidRPr="00225D4D">
        <w:t xml:space="preserve">Dokumenta som ligg til grunn for vedtaket er Dokument 8:208 S (2024–2025) og </w:t>
      </w:r>
      <w:proofErr w:type="spellStart"/>
      <w:r w:rsidRPr="00225D4D">
        <w:t>Innst</w:t>
      </w:r>
      <w:proofErr w:type="spellEnd"/>
      <w:r w:rsidRPr="00225D4D">
        <w:t>. 503 S (2024–2025).</w:t>
      </w:r>
    </w:p>
    <w:p w14:paraId="2AAD8CD0" w14:textId="77777777" w:rsidR="00D60186" w:rsidRPr="00225D4D" w:rsidRDefault="00D60186" w:rsidP="00225D4D">
      <w:r w:rsidRPr="00225D4D">
        <w:t xml:space="preserve">Regjeringa har sett i verk </w:t>
      </w:r>
      <w:proofErr w:type="spellStart"/>
      <w:r w:rsidRPr="00225D4D">
        <w:t>fleire</w:t>
      </w:r>
      <w:proofErr w:type="spellEnd"/>
      <w:r w:rsidRPr="00225D4D">
        <w:t xml:space="preserve"> tiltak for å møte behovet for </w:t>
      </w:r>
      <w:proofErr w:type="spellStart"/>
      <w:r w:rsidRPr="00225D4D">
        <w:t>raskare</w:t>
      </w:r>
      <w:proofErr w:type="spellEnd"/>
      <w:r w:rsidRPr="00225D4D">
        <w:t xml:space="preserve"> nettutbygging, </w:t>
      </w:r>
      <w:proofErr w:type="spellStart"/>
      <w:r w:rsidRPr="00225D4D">
        <w:t>raskare</w:t>
      </w:r>
      <w:proofErr w:type="spellEnd"/>
      <w:r w:rsidRPr="00225D4D">
        <w:t xml:space="preserve"> tilgang til kapasitet og </w:t>
      </w:r>
      <w:proofErr w:type="spellStart"/>
      <w:r w:rsidRPr="00225D4D">
        <w:t>meir</w:t>
      </w:r>
      <w:proofErr w:type="spellEnd"/>
      <w:r w:rsidRPr="00225D4D">
        <w:t xml:space="preserve"> effektiv utnytting av straumnettet. Arbeidet er </w:t>
      </w:r>
      <w:proofErr w:type="spellStart"/>
      <w:r w:rsidRPr="00225D4D">
        <w:t>følgt</w:t>
      </w:r>
      <w:proofErr w:type="spellEnd"/>
      <w:r w:rsidRPr="00225D4D">
        <w:t xml:space="preserve"> opp både gjennom </w:t>
      </w:r>
      <w:proofErr w:type="spellStart"/>
      <w:r w:rsidRPr="00225D4D">
        <w:t>endringar</w:t>
      </w:r>
      <w:proofErr w:type="spellEnd"/>
      <w:r w:rsidRPr="00225D4D">
        <w:t xml:space="preserve"> i reguleringa og styrking av kapasiteten hos </w:t>
      </w:r>
      <w:proofErr w:type="spellStart"/>
      <w:r w:rsidRPr="00225D4D">
        <w:t>energimyndigheitene</w:t>
      </w:r>
      <w:proofErr w:type="spellEnd"/>
      <w:r w:rsidRPr="00225D4D">
        <w:t>.</w:t>
      </w:r>
    </w:p>
    <w:p w14:paraId="5EFFC740" w14:textId="77777777" w:rsidR="00D60186" w:rsidRPr="00225D4D" w:rsidRDefault="00D60186" w:rsidP="00225D4D">
      <w:proofErr w:type="spellStart"/>
      <w:r w:rsidRPr="00225D4D">
        <w:t>Reguleringsmyndigheita</w:t>
      </w:r>
      <w:proofErr w:type="spellEnd"/>
      <w:r w:rsidRPr="00225D4D">
        <w:t xml:space="preserve"> for energi (RME) har endra inntektsreguleringa for å legge til rette for </w:t>
      </w:r>
      <w:proofErr w:type="spellStart"/>
      <w:r w:rsidRPr="00225D4D">
        <w:t>raskare</w:t>
      </w:r>
      <w:proofErr w:type="spellEnd"/>
      <w:r w:rsidRPr="00225D4D">
        <w:t xml:space="preserve"> </w:t>
      </w:r>
      <w:proofErr w:type="spellStart"/>
      <w:r w:rsidRPr="00225D4D">
        <w:t>tilknyting</w:t>
      </w:r>
      <w:proofErr w:type="spellEnd"/>
      <w:r w:rsidRPr="00225D4D">
        <w:t xml:space="preserve"> av </w:t>
      </w:r>
      <w:proofErr w:type="spellStart"/>
      <w:r w:rsidRPr="00225D4D">
        <w:t>kundar</w:t>
      </w:r>
      <w:proofErr w:type="spellEnd"/>
      <w:r w:rsidRPr="00225D4D">
        <w:t xml:space="preserve">. </w:t>
      </w:r>
      <w:proofErr w:type="spellStart"/>
      <w:r w:rsidRPr="00225D4D">
        <w:t>Endringane</w:t>
      </w:r>
      <w:proofErr w:type="spellEnd"/>
      <w:r w:rsidRPr="00225D4D">
        <w:t xml:space="preserve"> </w:t>
      </w:r>
      <w:proofErr w:type="spellStart"/>
      <w:r w:rsidRPr="00225D4D">
        <w:t>inneber</w:t>
      </w:r>
      <w:proofErr w:type="spellEnd"/>
      <w:r w:rsidRPr="00225D4D">
        <w:t xml:space="preserve"> at nettselskapa får dekt utgreiingskostnader i </w:t>
      </w:r>
      <w:proofErr w:type="spellStart"/>
      <w:r w:rsidRPr="00225D4D">
        <w:t>ein</w:t>
      </w:r>
      <w:proofErr w:type="spellEnd"/>
      <w:r w:rsidRPr="00225D4D">
        <w:t xml:space="preserve"> </w:t>
      </w:r>
      <w:proofErr w:type="spellStart"/>
      <w:r w:rsidRPr="00225D4D">
        <w:t>tidleg</w:t>
      </w:r>
      <w:proofErr w:type="spellEnd"/>
      <w:r w:rsidRPr="00225D4D">
        <w:t xml:space="preserve"> fase av </w:t>
      </w:r>
      <w:proofErr w:type="spellStart"/>
      <w:r w:rsidRPr="00225D4D">
        <w:t>tilknytingsprosessen</w:t>
      </w:r>
      <w:proofErr w:type="spellEnd"/>
      <w:r w:rsidRPr="00225D4D">
        <w:t xml:space="preserve">, og at inntektsramma kan </w:t>
      </w:r>
      <w:proofErr w:type="spellStart"/>
      <w:r w:rsidRPr="00225D4D">
        <w:t>aukast</w:t>
      </w:r>
      <w:proofErr w:type="spellEnd"/>
      <w:r w:rsidRPr="00225D4D">
        <w:t xml:space="preserve"> når </w:t>
      </w:r>
      <w:proofErr w:type="spellStart"/>
      <w:r w:rsidRPr="00225D4D">
        <w:t>kundar</w:t>
      </w:r>
      <w:proofErr w:type="spellEnd"/>
      <w:r w:rsidRPr="00225D4D">
        <w:t xml:space="preserve"> blir tilknytte og selskapa tilbyr </w:t>
      </w:r>
      <w:proofErr w:type="spellStart"/>
      <w:r w:rsidRPr="00225D4D">
        <w:t>meir</w:t>
      </w:r>
      <w:proofErr w:type="spellEnd"/>
      <w:r w:rsidRPr="00225D4D">
        <w:t xml:space="preserve"> kapasitet. Tiltaka skal bidra til </w:t>
      </w:r>
      <w:proofErr w:type="spellStart"/>
      <w:r w:rsidRPr="00225D4D">
        <w:t>raskare</w:t>
      </w:r>
      <w:proofErr w:type="spellEnd"/>
      <w:r w:rsidRPr="00225D4D">
        <w:t xml:space="preserve"> tilgang til nettkapasitet og betre utnytting av </w:t>
      </w:r>
      <w:proofErr w:type="spellStart"/>
      <w:r w:rsidRPr="00225D4D">
        <w:t>eksisterande</w:t>
      </w:r>
      <w:proofErr w:type="spellEnd"/>
      <w:r w:rsidRPr="00225D4D">
        <w:t xml:space="preserve"> nett.</w:t>
      </w:r>
    </w:p>
    <w:p w14:paraId="158BCB3A" w14:textId="77777777" w:rsidR="00D60186" w:rsidRPr="00225D4D" w:rsidRDefault="00D60186" w:rsidP="00225D4D">
      <w:r w:rsidRPr="00225D4D">
        <w:t xml:space="preserve">Stortinget har vedtatt </w:t>
      </w:r>
      <w:proofErr w:type="spellStart"/>
      <w:r w:rsidRPr="00225D4D">
        <w:t>endringar</w:t>
      </w:r>
      <w:proofErr w:type="spellEnd"/>
      <w:r w:rsidRPr="00225D4D">
        <w:t xml:space="preserve"> i energilova som regjeringa har fremt for å effektivisere og modernisere konsesjonsbehandlinga. </w:t>
      </w:r>
      <w:proofErr w:type="spellStart"/>
      <w:r w:rsidRPr="00225D4D">
        <w:t>Endringane</w:t>
      </w:r>
      <w:proofErr w:type="spellEnd"/>
      <w:r w:rsidRPr="00225D4D">
        <w:t xml:space="preserve"> </w:t>
      </w:r>
      <w:proofErr w:type="spellStart"/>
      <w:r w:rsidRPr="00225D4D">
        <w:t>inneber</w:t>
      </w:r>
      <w:proofErr w:type="spellEnd"/>
      <w:r w:rsidRPr="00225D4D">
        <w:t xml:space="preserve"> mellom anna at NVE får heimel til å avslutte </w:t>
      </w:r>
      <w:proofErr w:type="spellStart"/>
      <w:r w:rsidRPr="00225D4D">
        <w:t>behandlinga</w:t>
      </w:r>
      <w:proofErr w:type="spellEnd"/>
      <w:r w:rsidRPr="00225D4D">
        <w:t xml:space="preserve"> av </w:t>
      </w:r>
      <w:proofErr w:type="spellStart"/>
      <w:r w:rsidRPr="00225D4D">
        <w:t>eit</w:t>
      </w:r>
      <w:proofErr w:type="spellEnd"/>
      <w:r w:rsidRPr="00225D4D">
        <w:t xml:space="preserve"> prosjekt på </w:t>
      </w:r>
      <w:proofErr w:type="spellStart"/>
      <w:r w:rsidRPr="00225D4D">
        <w:t>eit</w:t>
      </w:r>
      <w:proofErr w:type="spellEnd"/>
      <w:r w:rsidRPr="00225D4D">
        <w:t xml:space="preserve"> </w:t>
      </w:r>
      <w:proofErr w:type="spellStart"/>
      <w:r w:rsidRPr="00225D4D">
        <w:t>tidleg</w:t>
      </w:r>
      <w:proofErr w:type="spellEnd"/>
      <w:r w:rsidRPr="00225D4D">
        <w:t xml:space="preserve"> stadium dersom det er </w:t>
      </w:r>
      <w:proofErr w:type="spellStart"/>
      <w:r w:rsidRPr="00225D4D">
        <w:t>openbert</w:t>
      </w:r>
      <w:proofErr w:type="spellEnd"/>
      <w:r w:rsidRPr="00225D4D">
        <w:t xml:space="preserve"> at prosjektet </w:t>
      </w:r>
      <w:proofErr w:type="spellStart"/>
      <w:r w:rsidRPr="00225D4D">
        <w:t>ikkje</w:t>
      </w:r>
      <w:proofErr w:type="spellEnd"/>
      <w:r w:rsidRPr="00225D4D">
        <w:t xml:space="preserve"> vil få konsesjon. Det er innført henteplikt for </w:t>
      </w:r>
      <w:proofErr w:type="spellStart"/>
      <w:r w:rsidRPr="00225D4D">
        <w:t>områdekonsesjonærar</w:t>
      </w:r>
      <w:proofErr w:type="spellEnd"/>
      <w:r w:rsidRPr="00225D4D">
        <w:t xml:space="preserve"> ved </w:t>
      </w:r>
      <w:proofErr w:type="spellStart"/>
      <w:r w:rsidRPr="00225D4D">
        <w:t>tilknyting</w:t>
      </w:r>
      <w:proofErr w:type="spellEnd"/>
      <w:r w:rsidRPr="00225D4D">
        <w:t xml:space="preserve"> opp til og med 22 kV</w:t>
      </w:r>
      <w:r w:rsidRPr="00225D4D">
        <w:rPr>
          <w:rStyle w:val="Fotnotereferanse"/>
        </w:rPr>
        <w:footnoteReference w:id="1"/>
      </w:r>
      <w:r w:rsidRPr="00225D4D">
        <w:t xml:space="preserve">, og maksimal </w:t>
      </w:r>
      <w:proofErr w:type="spellStart"/>
      <w:r w:rsidRPr="00225D4D">
        <w:t>varigheit</w:t>
      </w:r>
      <w:proofErr w:type="spellEnd"/>
      <w:r w:rsidRPr="00225D4D">
        <w:t xml:space="preserve"> for nye </w:t>
      </w:r>
      <w:proofErr w:type="spellStart"/>
      <w:r w:rsidRPr="00225D4D">
        <w:t>anleggskonsesjonar</w:t>
      </w:r>
      <w:proofErr w:type="spellEnd"/>
      <w:r w:rsidRPr="00225D4D">
        <w:t xml:space="preserve"> er utvida </w:t>
      </w:r>
      <w:proofErr w:type="spellStart"/>
      <w:r w:rsidRPr="00225D4D">
        <w:t>frå</w:t>
      </w:r>
      <w:proofErr w:type="spellEnd"/>
      <w:r w:rsidRPr="00225D4D">
        <w:t xml:space="preserve"> 30 til 50 år. Det er også gjort </w:t>
      </w:r>
      <w:proofErr w:type="spellStart"/>
      <w:r w:rsidRPr="00225D4D">
        <w:t>endringar</w:t>
      </w:r>
      <w:proofErr w:type="spellEnd"/>
      <w:r w:rsidRPr="00225D4D">
        <w:t xml:space="preserve"> i søknads- og </w:t>
      </w:r>
      <w:proofErr w:type="spellStart"/>
      <w:r w:rsidRPr="00225D4D">
        <w:t>kunngjeringsreglane</w:t>
      </w:r>
      <w:proofErr w:type="spellEnd"/>
      <w:r w:rsidRPr="00225D4D">
        <w:t xml:space="preserve">, og detaljplanfasen er lovfesta. </w:t>
      </w:r>
      <w:proofErr w:type="spellStart"/>
      <w:r w:rsidRPr="00225D4D">
        <w:t>Endringane</w:t>
      </w:r>
      <w:proofErr w:type="spellEnd"/>
      <w:r w:rsidRPr="00225D4D">
        <w:t xml:space="preserve"> skal bidra til </w:t>
      </w:r>
      <w:proofErr w:type="spellStart"/>
      <w:r w:rsidRPr="00225D4D">
        <w:t>raskare</w:t>
      </w:r>
      <w:proofErr w:type="spellEnd"/>
      <w:r w:rsidRPr="00225D4D">
        <w:t xml:space="preserve"> framdrift i viktige prosjekt og betre ressursutnytting i </w:t>
      </w:r>
      <w:proofErr w:type="spellStart"/>
      <w:r w:rsidRPr="00225D4D">
        <w:t>konsesjonsprosessane</w:t>
      </w:r>
      <w:proofErr w:type="spellEnd"/>
      <w:r w:rsidRPr="00225D4D">
        <w:t>.</w:t>
      </w:r>
    </w:p>
    <w:p w14:paraId="2F0035E8" w14:textId="77777777" w:rsidR="00D60186" w:rsidRPr="00225D4D" w:rsidRDefault="00D60186" w:rsidP="00225D4D">
      <w:r w:rsidRPr="00225D4D">
        <w:t xml:space="preserve">Departementet har gjennomført </w:t>
      </w:r>
      <w:proofErr w:type="spellStart"/>
      <w:r w:rsidRPr="00225D4D">
        <w:t>ein</w:t>
      </w:r>
      <w:proofErr w:type="spellEnd"/>
      <w:r w:rsidRPr="00225D4D">
        <w:t xml:space="preserve"> møteserie med RME, </w:t>
      </w:r>
      <w:proofErr w:type="spellStart"/>
      <w:r w:rsidRPr="00225D4D">
        <w:t>bransjeorganisasjonar</w:t>
      </w:r>
      <w:proofErr w:type="spellEnd"/>
      <w:r w:rsidRPr="00225D4D">
        <w:t xml:space="preserve"> og nettselskap, der </w:t>
      </w:r>
      <w:proofErr w:type="spellStart"/>
      <w:r w:rsidRPr="00225D4D">
        <w:t>temaa</w:t>
      </w:r>
      <w:proofErr w:type="spellEnd"/>
      <w:r w:rsidRPr="00225D4D">
        <w:t xml:space="preserve"> har </w:t>
      </w:r>
      <w:proofErr w:type="spellStart"/>
      <w:r w:rsidRPr="00225D4D">
        <w:t>vore</w:t>
      </w:r>
      <w:proofErr w:type="spellEnd"/>
      <w:r w:rsidRPr="00225D4D">
        <w:t xml:space="preserve"> korleis inntektsreguleringa kan bidra til </w:t>
      </w:r>
      <w:proofErr w:type="spellStart"/>
      <w:r w:rsidRPr="00225D4D">
        <w:t>meir</w:t>
      </w:r>
      <w:proofErr w:type="spellEnd"/>
      <w:r w:rsidRPr="00225D4D">
        <w:t xml:space="preserve"> effektiv utnytting av nettet, og kva insentiv nettselskapa har til å bygge ut nytt nett. RME vurderer </w:t>
      </w:r>
      <w:proofErr w:type="spellStart"/>
      <w:r w:rsidRPr="00225D4D">
        <w:t>jamleg</w:t>
      </w:r>
      <w:proofErr w:type="spellEnd"/>
      <w:r w:rsidRPr="00225D4D">
        <w:t xml:space="preserve"> om det er </w:t>
      </w:r>
      <w:proofErr w:type="spellStart"/>
      <w:r w:rsidRPr="00225D4D">
        <w:t>formålstenleg</w:t>
      </w:r>
      <w:proofErr w:type="spellEnd"/>
      <w:r w:rsidRPr="00225D4D">
        <w:t xml:space="preserve"> å justere reguleringa for å styrke insentiva til effektiv drift og utnytting av nettet. Som del av oppfølginga av handlingsplanen for </w:t>
      </w:r>
      <w:proofErr w:type="spellStart"/>
      <w:r w:rsidRPr="00225D4D">
        <w:t>raskare</w:t>
      </w:r>
      <w:proofErr w:type="spellEnd"/>
      <w:r w:rsidRPr="00225D4D">
        <w:t xml:space="preserve"> nettutbygging og betre utnytting av nettet held departementet </w:t>
      </w:r>
      <w:proofErr w:type="spellStart"/>
      <w:r w:rsidRPr="00225D4D">
        <w:t>halvårlege</w:t>
      </w:r>
      <w:proofErr w:type="spellEnd"/>
      <w:r w:rsidRPr="00225D4D">
        <w:t xml:space="preserve"> statusmøte med </w:t>
      </w:r>
      <w:proofErr w:type="spellStart"/>
      <w:r w:rsidRPr="00225D4D">
        <w:t>representantar</w:t>
      </w:r>
      <w:proofErr w:type="spellEnd"/>
      <w:r w:rsidRPr="00225D4D">
        <w:t xml:space="preserve"> for nettbransjen. </w:t>
      </w:r>
      <w:proofErr w:type="spellStart"/>
      <w:r w:rsidRPr="00225D4D">
        <w:t>Eit</w:t>
      </w:r>
      <w:proofErr w:type="spellEnd"/>
      <w:r w:rsidRPr="00225D4D">
        <w:t xml:space="preserve"> </w:t>
      </w:r>
      <w:proofErr w:type="spellStart"/>
      <w:r w:rsidRPr="00225D4D">
        <w:t>naturleg</w:t>
      </w:r>
      <w:proofErr w:type="spellEnd"/>
      <w:r w:rsidRPr="00225D4D">
        <w:t xml:space="preserve"> tema i </w:t>
      </w:r>
      <w:proofErr w:type="spellStart"/>
      <w:r w:rsidRPr="00225D4D">
        <w:t>desse</w:t>
      </w:r>
      <w:proofErr w:type="spellEnd"/>
      <w:r w:rsidRPr="00225D4D">
        <w:t xml:space="preserve"> møta er tiltak som kan bidra til betre utnytting av nettinfrastrukturen.</w:t>
      </w:r>
    </w:p>
    <w:p w14:paraId="3620C3D9" w14:textId="77777777" w:rsidR="00D60186" w:rsidRPr="00225D4D" w:rsidRDefault="00D60186" w:rsidP="00225D4D">
      <w:r w:rsidRPr="00225D4D">
        <w:t xml:space="preserve">Departementet har også nettopp fastsett ei forskriftsendring som skal sikre at </w:t>
      </w:r>
      <w:proofErr w:type="spellStart"/>
      <w:r w:rsidRPr="00225D4D">
        <w:t>vanleg</w:t>
      </w:r>
      <w:proofErr w:type="spellEnd"/>
      <w:r w:rsidRPr="00225D4D">
        <w:t xml:space="preserve"> straumforbruk </w:t>
      </w:r>
      <w:proofErr w:type="spellStart"/>
      <w:r w:rsidRPr="00225D4D">
        <w:t>ikkje</w:t>
      </w:r>
      <w:proofErr w:type="spellEnd"/>
      <w:r w:rsidRPr="00225D4D">
        <w:t xml:space="preserve"> må vente på </w:t>
      </w:r>
      <w:proofErr w:type="spellStart"/>
      <w:r w:rsidRPr="00225D4D">
        <w:t>nettinvesteringar</w:t>
      </w:r>
      <w:proofErr w:type="spellEnd"/>
      <w:r w:rsidRPr="00225D4D">
        <w:t xml:space="preserve">. Tiltaket </w:t>
      </w:r>
      <w:proofErr w:type="spellStart"/>
      <w:r w:rsidRPr="00225D4D">
        <w:t>inneber</w:t>
      </w:r>
      <w:proofErr w:type="spellEnd"/>
      <w:r w:rsidRPr="00225D4D">
        <w:t xml:space="preserve"> at nettselskapa skal </w:t>
      </w:r>
      <w:proofErr w:type="spellStart"/>
      <w:r w:rsidRPr="00225D4D">
        <w:t>halde</w:t>
      </w:r>
      <w:proofErr w:type="spellEnd"/>
      <w:r w:rsidRPr="00225D4D">
        <w:t xml:space="preserve"> av kapasitet i regionalnettet til </w:t>
      </w:r>
      <w:proofErr w:type="spellStart"/>
      <w:r w:rsidRPr="00225D4D">
        <w:t>kundar</w:t>
      </w:r>
      <w:proofErr w:type="spellEnd"/>
      <w:r w:rsidRPr="00225D4D">
        <w:t xml:space="preserve"> med effektuttak under 1 MW</w:t>
      </w:r>
      <w:r w:rsidRPr="00225D4D">
        <w:rPr>
          <w:rStyle w:val="Fotnotereferanse"/>
        </w:rPr>
        <w:footnoteReference w:id="2"/>
      </w:r>
      <w:r w:rsidRPr="00225D4D">
        <w:t xml:space="preserve">, og i transmisjonsnettet til </w:t>
      </w:r>
      <w:proofErr w:type="spellStart"/>
      <w:r w:rsidRPr="00225D4D">
        <w:t>kundar</w:t>
      </w:r>
      <w:proofErr w:type="spellEnd"/>
      <w:r w:rsidRPr="00225D4D">
        <w:t xml:space="preserve"> med effektuttak under 5 MW og </w:t>
      </w:r>
      <w:proofErr w:type="spellStart"/>
      <w:r w:rsidRPr="00225D4D">
        <w:t>eit</w:t>
      </w:r>
      <w:proofErr w:type="spellEnd"/>
      <w:r w:rsidRPr="00225D4D">
        <w:t xml:space="preserve"> </w:t>
      </w:r>
      <w:proofErr w:type="spellStart"/>
      <w:r w:rsidRPr="00225D4D">
        <w:t>årleg</w:t>
      </w:r>
      <w:proofErr w:type="spellEnd"/>
      <w:r w:rsidRPr="00225D4D">
        <w:t xml:space="preserve"> forbruk under 20 GWh</w:t>
      </w:r>
      <w:r w:rsidRPr="00225D4D">
        <w:rPr>
          <w:rStyle w:val="Fotnotereferanse"/>
        </w:rPr>
        <w:footnoteReference w:id="3"/>
      </w:r>
      <w:r w:rsidRPr="00225D4D">
        <w:t xml:space="preserve">. Formålet med endringa er å sikre at </w:t>
      </w:r>
      <w:proofErr w:type="spellStart"/>
      <w:r w:rsidRPr="00225D4D">
        <w:t>hushald</w:t>
      </w:r>
      <w:proofErr w:type="spellEnd"/>
      <w:r w:rsidRPr="00225D4D">
        <w:t xml:space="preserve">, mindre </w:t>
      </w:r>
      <w:proofErr w:type="spellStart"/>
      <w:r w:rsidRPr="00225D4D">
        <w:t>verksemder</w:t>
      </w:r>
      <w:proofErr w:type="spellEnd"/>
      <w:r w:rsidRPr="00225D4D">
        <w:t xml:space="preserve"> og nødvendige </w:t>
      </w:r>
      <w:proofErr w:type="spellStart"/>
      <w:r w:rsidRPr="00225D4D">
        <w:t>samfunnsfunksjonar</w:t>
      </w:r>
      <w:proofErr w:type="spellEnd"/>
      <w:r w:rsidRPr="00225D4D">
        <w:t xml:space="preserve"> skal sleppe å stå i </w:t>
      </w:r>
      <w:proofErr w:type="spellStart"/>
      <w:r w:rsidRPr="00225D4D">
        <w:t>tilknytingskø</w:t>
      </w:r>
      <w:proofErr w:type="spellEnd"/>
      <w:r w:rsidRPr="00225D4D">
        <w:t xml:space="preserve">, og få </w:t>
      </w:r>
      <w:proofErr w:type="spellStart"/>
      <w:r w:rsidRPr="00225D4D">
        <w:t>raskare</w:t>
      </w:r>
      <w:proofErr w:type="spellEnd"/>
      <w:r w:rsidRPr="00225D4D">
        <w:t xml:space="preserve"> tilgang til straumnettet.</w:t>
      </w:r>
    </w:p>
    <w:p w14:paraId="22062903" w14:textId="77777777" w:rsidR="00D60186" w:rsidRPr="00225D4D" w:rsidRDefault="00D60186" w:rsidP="00225D4D">
      <w:r w:rsidRPr="00225D4D">
        <w:t xml:space="preserve">Departementet har også vedtatt </w:t>
      </w:r>
      <w:proofErr w:type="spellStart"/>
      <w:r w:rsidRPr="00225D4D">
        <w:t>forskriftsendringar</w:t>
      </w:r>
      <w:proofErr w:type="spellEnd"/>
      <w:r w:rsidRPr="00225D4D">
        <w:t xml:space="preserve"> som skal sikre at nettselskapa er </w:t>
      </w:r>
      <w:proofErr w:type="spellStart"/>
      <w:r w:rsidRPr="00225D4D">
        <w:t>opne</w:t>
      </w:r>
      <w:proofErr w:type="spellEnd"/>
      <w:r w:rsidRPr="00225D4D">
        <w:t xml:space="preserve"> om </w:t>
      </w:r>
      <w:proofErr w:type="spellStart"/>
      <w:r w:rsidRPr="00225D4D">
        <w:t>vurderingane</w:t>
      </w:r>
      <w:proofErr w:type="spellEnd"/>
      <w:r w:rsidRPr="00225D4D">
        <w:t xml:space="preserve"> </w:t>
      </w:r>
      <w:proofErr w:type="spellStart"/>
      <w:r w:rsidRPr="00225D4D">
        <w:t>dei</w:t>
      </w:r>
      <w:proofErr w:type="spellEnd"/>
      <w:r w:rsidRPr="00225D4D">
        <w:t xml:space="preserve"> </w:t>
      </w:r>
      <w:proofErr w:type="spellStart"/>
      <w:r w:rsidRPr="00225D4D">
        <w:t>gjer</w:t>
      </w:r>
      <w:proofErr w:type="spellEnd"/>
      <w:r w:rsidRPr="00225D4D">
        <w:t xml:space="preserve"> når </w:t>
      </w:r>
      <w:proofErr w:type="spellStart"/>
      <w:r w:rsidRPr="00225D4D">
        <w:t>dei</w:t>
      </w:r>
      <w:proofErr w:type="spellEnd"/>
      <w:r w:rsidRPr="00225D4D">
        <w:t xml:space="preserve"> skal </w:t>
      </w:r>
      <w:proofErr w:type="spellStart"/>
      <w:r w:rsidRPr="00225D4D">
        <w:t>avgjere</w:t>
      </w:r>
      <w:proofErr w:type="spellEnd"/>
      <w:r w:rsidRPr="00225D4D">
        <w:t xml:space="preserve"> om det er driftsmessig </w:t>
      </w:r>
      <w:proofErr w:type="spellStart"/>
      <w:r w:rsidRPr="00225D4D">
        <w:t>forsvarleg</w:t>
      </w:r>
      <w:proofErr w:type="spellEnd"/>
      <w:r w:rsidRPr="00225D4D">
        <w:t xml:space="preserve"> å gi </w:t>
      </w:r>
      <w:proofErr w:type="spellStart"/>
      <w:r w:rsidRPr="00225D4D">
        <w:t>tilknyting</w:t>
      </w:r>
      <w:proofErr w:type="spellEnd"/>
      <w:r w:rsidRPr="00225D4D">
        <w:t xml:space="preserve">. </w:t>
      </w:r>
      <w:proofErr w:type="spellStart"/>
      <w:r w:rsidRPr="00225D4D">
        <w:t>Endringane</w:t>
      </w:r>
      <w:proofErr w:type="spellEnd"/>
      <w:r w:rsidRPr="00225D4D">
        <w:t xml:space="preserve"> gir også nettselskapa </w:t>
      </w:r>
      <w:proofErr w:type="spellStart"/>
      <w:r w:rsidRPr="00225D4D">
        <w:t>moglegheit</w:t>
      </w:r>
      <w:proofErr w:type="spellEnd"/>
      <w:r w:rsidRPr="00225D4D">
        <w:t xml:space="preserve"> til å redusere det maksimalt </w:t>
      </w:r>
      <w:proofErr w:type="spellStart"/>
      <w:r w:rsidRPr="00225D4D">
        <w:t>tillatne</w:t>
      </w:r>
      <w:proofErr w:type="spellEnd"/>
      <w:r w:rsidRPr="00225D4D">
        <w:t xml:space="preserve"> effektuttaket for </w:t>
      </w:r>
      <w:proofErr w:type="spellStart"/>
      <w:r w:rsidRPr="00225D4D">
        <w:t>ein</w:t>
      </w:r>
      <w:proofErr w:type="spellEnd"/>
      <w:r w:rsidRPr="00225D4D">
        <w:t xml:space="preserve"> kunde i </w:t>
      </w:r>
      <w:proofErr w:type="spellStart"/>
      <w:r w:rsidRPr="00225D4D">
        <w:t>særlege</w:t>
      </w:r>
      <w:proofErr w:type="spellEnd"/>
      <w:r w:rsidRPr="00225D4D">
        <w:t xml:space="preserve"> tilfelle. </w:t>
      </w:r>
      <w:proofErr w:type="spellStart"/>
      <w:r w:rsidRPr="00225D4D">
        <w:t>Desse</w:t>
      </w:r>
      <w:proofErr w:type="spellEnd"/>
      <w:r w:rsidRPr="00225D4D">
        <w:t xml:space="preserve"> </w:t>
      </w:r>
      <w:proofErr w:type="spellStart"/>
      <w:r w:rsidRPr="00225D4D">
        <w:t>endringane</w:t>
      </w:r>
      <w:proofErr w:type="spellEnd"/>
      <w:r w:rsidRPr="00225D4D">
        <w:t xml:space="preserve"> skal bidra til betre utnytting av straumnettet.</w:t>
      </w:r>
    </w:p>
    <w:p w14:paraId="61600F03" w14:textId="77777777" w:rsidR="00D60186" w:rsidRPr="00225D4D" w:rsidRDefault="00D60186" w:rsidP="00225D4D">
      <w:r w:rsidRPr="00225D4D">
        <w:t xml:space="preserve">Regjeringa har også styrkt </w:t>
      </w:r>
      <w:proofErr w:type="spellStart"/>
      <w:r w:rsidRPr="00225D4D">
        <w:t>energimyndigheitene</w:t>
      </w:r>
      <w:proofErr w:type="spellEnd"/>
      <w:r w:rsidRPr="00225D4D">
        <w:t xml:space="preserve"> med </w:t>
      </w:r>
      <w:proofErr w:type="spellStart"/>
      <w:r w:rsidRPr="00225D4D">
        <w:t>auka</w:t>
      </w:r>
      <w:proofErr w:type="spellEnd"/>
      <w:r w:rsidRPr="00225D4D">
        <w:t xml:space="preserve"> </w:t>
      </w:r>
      <w:proofErr w:type="spellStart"/>
      <w:r w:rsidRPr="00225D4D">
        <w:t>ressursar</w:t>
      </w:r>
      <w:proofErr w:type="spellEnd"/>
      <w:r w:rsidRPr="00225D4D">
        <w:t xml:space="preserve">, og </w:t>
      </w:r>
      <w:proofErr w:type="spellStart"/>
      <w:r w:rsidRPr="00225D4D">
        <w:t>satsar</w:t>
      </w:r>
      <w:proofErr w:type="spellEnd"/>
      <w:r w:rsidRPr="00225D4D">
        <w:t xml:space="preserve"> på digitalisering for å effektivisere konsesjonsbehandling og reguleringsarbeid. Dette skal bidra til </w:t>
      </w:r>
      <w:proofErr w:type="spellStart"/>
      <w:r w:rsidRPr="00225D4D">
        <w:t>raskare</w:t>
      </w:r>
      <w:proofErr w:type="spellEnd"/>
      <w:r w:rsidRPr="00225D4D">
        <w:t xml:space="preserve"> saksbehandling og betre koordinering mellom </w:t>
      </w:r>
      <w:proofErr w:type="spellStart"/>
      <w:r w:rsidRPr="00225D4D">
        <w:t>aktørane</w:t>
      </w:r>
      <w:proofErr w:type="spellEnd"/>
      <w:r w:rsidRPr="00225D4D">
        <w:t xml:space="preserve"> i kraftsystemet.</w:t>
      </w:r>
    </w:p>
    <w:p w14:paraId="3D2CC566" w14:textId="77777777" w:rsidR="00D60186" w:rsidRPr="00225D4D" w:rsidRDefault="00D60186" w:rsidP="00225D4D">
      <w:r w:rsidRPr="00225D4D">
        <w:t xml:space="preserve">Nettselskapa planlegg </w:t>
      </w:r>
      <w:proofErr w:type="spellStart"/>
      <w:r w:rsidRPr="00225D4D">
        <w:t>investeringar</w:t>
      </w:r>
      <w:proofErr w:type="spellEnd"/>
      <w:r w:rsidRPr="00225D4D">
        <w:t xml:space="preserve"> i straumnettet på om lag 170 </w:t>
      </w:r>
      <w:proofErr w:type="spellStart"/>
      <w:r w:rsidRPr="00225D4D">
        <w:t>milliardar</w:t>
      </w:r>
      <w:proofErr w:type="spellEnd"/>
      <w:r w:rsidRPr="00225D4D">
        <w:t xml:space="preserve"> kroner i perioden 2024–2030. Dette reflekterer </w:t>
      </w:r>
      <w:proofErr w:type="spellStart"/>
      <w:r w:rsidRPr="00225D4D">
        <w:t>eit</w:t>
      </w:r>
      <w:proofErr w:type="spellEnd"/>
      <w:r w:rsidRPr="00225D4D">
        <w:t xml:space="preserve"> </w:t>
      </w:r>
      <w:proofErr w:type="spellStart"/>
      <w:r w:rsidRPr="00225D4D">
        <w:t>betydeleg</w:t>
      </w:r>
      <w:proofErr w:type="spellEnd"/>
      <w:r w:rsidRPr="00225D4D">
        <w:t xml:space="preserve"> løft i kapasiteten og utbyggingstakten og vil </w:t>
      </w:r>
      <w:proofErr w:type="spellStart"/>
      <w:r w:rsidRPr="00225D4D">
        <w:t>truleg</w:t>
      </w:r>
      <w:proofErr w:type="spellEnd"/>
      <w:r w:rsidRPr="00225D4D">
        <w:t xml:space="preserve"> bidra til å møte </w:t>
      </w:r>
      <w:proofErr w:type="spellStart"/>
      <w:r w:rsidRPr="00225D4D">
        <w:t>auka</w:t>
      </w:r>
      <w:proofErr w:type="spellEnd"/>
      <w:r w:rsidRPr="00225D4D">
        <w:t xml:space="preserve"> etterspørsel og sikre </w:t>
      </w:r>
      <w:proofErr w:type="spellStart"/>
      <w:r w:rsidRPr="00225D4D">
        <w:t>tilstrekkeleg</w:t>
      </w:r>
      <w:proofErr w:type="spellEnd"/>
      <w:r w:rsidRPr="00225D4D">
        <w:t xml:space="preserve"> kapasitet i kraftsystemet.</w:t>
      </w:r>
    </w:p>
    <w:p w14:paraId="799DB5B0" w14:textId="77777777" w:rsidR="00D60186" w:rsidRPr="00225D4D" w:rsidRDefault="00D60186" w:rsidP="00225D4D">
      <w:r w:rsidRPr="00225D4D">
        <w:t xml:space="preserve">RME har også innført nye krav til </w:t>
      </w:r>
      <w:proofErr w:type="spellStart"/>
      <w:r w:rsidRPr="00225D4D">
        <w:t>tilknyting</w:t>
      </w:r>
      <w:proofErr w:type="spellEnd"/>
      <w:r w:rsidRPr="00225D4D">
        <w:t xml:space="preserve"> og bruk av nettet, </w:t>
      </w:r>
      <w:proofErr w:type="spellStart"/>
      <w:r w:rsidRPr="00225D4D">
        <w:t>gjeldande</w:t>
      </w:r>
      <w:proofErr w:type="spellEnd"/>
      <w:r w:rsidRPr="00225D4D">
        <w:t xml:space="preserve"> </w:t>
      </w:r>
      <w:proofErr w:type="spellStart"/>
      <w:r w:rsidRPr="00225D4D">
        <w:t>frå</w:t>
      </w:r>
      <w:proofErr w:type="spellEnd"/>
      <w:r w:rsidRPr="00225D4D">
        <w:t xml:space="preserve"> 1. juli 2025. </w:t>
      </w:r>
      <w:proofErr w:type="spellStart"/>
      <w:r w:rsidRPr="00225D4D">
        <w:t>Desse</w:t>
      </w:r>
      <w:proofErr w:type="spellEnd"/>
      <w:r w:rsidRPr="00225D4D">
        <w:t xml:space="preserve"> krava </w:t>
      </w:r>
      <w:proofErr w:type="spellStart"/>
      <w:r w:rsidRPr="00225D4D">
        <w:t>inneber</w:t>
      </w:r>
      <w:proofErr w:type="spellEnd"/>
      <w:r w:rsidRPr="00225D4D">
        <w:t xml:space="preserve"> mellom anna at nettselskapa skal </w:t>
      </w:r>
      <w:proofErr w:type="spellStart"/>
      <w:r w:rsidRPr="00225D4D">
        <w:t>halde</w:t>
      </w:r>
      <w:proofErr w:type="spellEnd"/>
      <w:r w:rsidRPr="00225D4D">
        <w:t xml:space="preserve"> av kapasitet til mindre </w:t>
      </w:r>
      <w:proofErr w:type="spellStart"/>
      <w:r w:rsidRPr="00225D4D">
        <w:t>kundar</w:t>
      </w:r>
      <w:proofErr w:type="spellEnd"/>
      <w:r w:rsidRPr="00225D4D">
        <w:t xml:space="preserve"> i regional- og transmisjonsnettet. Formålet er å sikre at også mindre </w:t>
      </w:r>
      <w:proofErr w:type="spellStart"/>
      <w:r w:rsidRPr="00225D4D">
        <w:t>aktørar</w:t>
      </w:r>
      <w:proofErr w:type="spellEnd"/>
      <w:r w:rsidRPr="00225D4D">
        <w:t xml:space="preserve"> får tilgang til nettet på </w:t>
      </w:r>
      <w:proofErr w:type="spellStart"/>
      <w:r w:rsidRPr="00225D4D">
        <w:t>ein</w:t>
      </w:r>
      <w:proofErr w:type="spellEnd"/>
      <w:r w:rsidRPr="00225D4D">
        <w:t xml:space="preserve"> effektiv og </w:t>
      </w:r>
      <w:proofErr w:type="spellStart"/>
      <w:r w:rsidRPr="00225D4D">
        <w:t>føreseieleg</w:t>
      </w:r>
      <w:proofErr w:type="spellEnd"/>
      <w:r w:rsidRPr="00225D4D">
        <w:t xml:space="preserve"> måte.</w:t>
      </w:r>
    </w:p>
    <w:p w14:paraId="325026C3" w14:textId="77777777" w:rsidR="00D60186" w:rsidRPr="00225D4D" w:rsidRDefault="00D60186" w:rsidP="00225D4D">
      <w:r w:rsidRPr="00225D4D">
        <w:t xml:space="preserve">Departementet vil </w:t>
      </w:r>
      <w:proofErr w:type="spellStart"/>
      <w:r w:rsidRPr="00225D4D">
        <w:t>halde</w:t>
      </w:r>
      <w:proofErr w:type="spellEnd"/>
      <w:r w:rsidRPr="00225D4D">
        <w:t xml:space="preserve"> fram arbeidet med å vurdere tiltak og eventuelle </w:t>
      </w:r>
      <w:proofErr w:type="spellStart"/>
      <w:r w:rsidRPr="00225D4D">
        <w:t>regelverksendringar</w:t>
      </w:r>
      <w:proofErr w:type="spellEnd"/>
      <w:r w:rsidRPr="00225D4D">
        <w:t xml:space="preserve"> som kan føre til </w:t>
      </w:r>
      <w:proofErr w:type="spellStart"/>
      <w:r w:rsidRPr="00225D4D">
        <w:t>raskare</w:t>
      </w:r>
      <w:proofErr w:type="spellEnd"/>
      <w:r w:rsidRPr="00225D4D">
        <w:t xml:space="preserve"> nettutbygging, betre tilgang til kapasitet og </w:t>
      </w:r>
      <w:proofErr w:type="spellStart"/>
      <w:r w:rsidRPr="00225D4D">
        <w:t>meir</w:t>
      </w:r>
      <w:proofErr w:type="spellEnd"/>
      <w:r w:rsidRPr="00225D4D">
        <w:t xml:space="preserve"> effektiv utnytting av straumnettet.</w:t>
      </w:r>
    </w:p>
    <w:p w14:paraId="47EBCA33"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3BB8EBAE" w14:textId="77777777" w:rsidR="00D60186" w:rsidRPr="00225D4D" w:rsidRDefault="00D60186" w:rsidP="00225D4D">
      <w:pPr>
        <w:pStyle w:val="avsnitt-tittel"/>
      </w:pPr>
      <w:proofErr w:type="spellStart"/>
      <w:r w:rsidRPr="00225D4D">
        <w:t>Endringar</w:t>
      </w:r>
      <w:proofErr w:type="spellEnd"/>
      <w:r w:rsidRPr="00225D4D">
        <w:t xml:space="preserve"> i energilova for </w:t>
      </w:r>
      <w:proofErr w:type="spellStart"/>
      <w:r w:rsidRPr="00225D4D">
        <w:t>tidlegare</w:t>
      </w:r>
      <w:proofErr w:type="spellEnd"/>
      <w:r w:rsidRPr="00225D4D">
        <w:t xml:space="preserve"> planlegging av nytt nett m.m.</w:t>
      </w:r>
    </w:p>
    <w:p w14:paraId="4036544B" w14:textId="77777777" w:rsidR="00D60186" w:rsidRPr="00225D4D" w:rsidRDefault="00D60186" w:rsidP="00225D4D">
      <w:pPr>
        <w:pStyle w:val="avsnitt-undertittel"/>
      </w:pPr>
      <w:r w:rsidRPr="00225D4D">
        <w:t>Vedtak 1080, 13. juni 2025</w:t>
      </w:r>
    </w:p>
    <w:p w14:paraId="7F4C922A" w14:textId="77777777" w:rsidR="00D60186" w:rsidRPr="00225D4D" w:rsidRDefault="00D60186" w:rsidP="00225D4D">
      <w:pPr>
        <w:pStyle w:val="blokksit"/>
      </w:pPr>
      <w:r w:rsidRPr="00225D4D">
        <w:t>«</w:t>
      </w:r>
      <w:r w:rsidRPr="00225D4D">
        <w:rPr>
          <w:rStyle w:val="kursiv"/>
        </w:rPr>
        <w:t>Stortinget ber regjeringen fremme forslag til nødvendige endringer i energiloven og gjøre endringer i tilhørende forskrifter slik at nettselskapene kan utrede og planlegge for nytt nett tidligere og starte konsesjonsbehandlingen for å få innvilget betinget konsesjon i områder hvor det er stor sannsynlighet for etablering av nytt forbruk.</w:t>
      </w:r>
      <w:r w:rsidRPr="00225D4D">
        <w:t>»</w:t>
      </w:r>
    </w:p>
    <w:p w14:paraId="37905C0E" w14:textId="77777777" w:rsidR="00D60186" w:rsidRPr="00225D4D" w:rsidRDefault="00D60186" w:rsidP="00225D4D">
      <w:r w:rsidRPr="00225D4D">
        <w:t xml:space="preserve">Dokumenta som ligg til grunn for vedtaket er Dokument 8:208 S (2024–2025) og </w:t>
      </w:r>
      <w:proofErr w:type="spellStart"/>
      <w:r w:rsidRPr="00225D4D">
        <w:t>Innst</w:t>
      </w:r>
      <w:proofErr w:type="spellEnd"/>
      <w:r w:rsidRPr="00225D4D">
        <w:t>. 503 S (2024–2025).</w:t>
      </w:r>
    </w:p>
    <w:p w14:paraId="3828563C" w14:textId="77777777" w:rsidR="00D60186" w:rsidRPr="00225D4D" w:rsidRDefault="00D60186" w:rsidP="00225D4D">
      <w:r w:rsidRPr="00225D4D">
        <w:t xml:space="preserve">Det er ingenting i dagens energiregelverk som </w:t>
      </w:r>
      <w:proofErr w:type="spellStart"/>
      <w:r w:rsidRPr="00225D4D">
        <w:t>hindrar</w:t>
      </w:r>
      <w:proofErr w:type="spellEnd"/>
      <w:r w:rsidRPr="00225D4D">
        <w:t xml:space="preserve"> nettselskapa i å ligge i forkant med nettplanlegging. </w:t>
      </w:r>
      <w:r w:rsidRPr="00225D4D">
        <w:rPr>
          <w:rStyle w:val="kursiv"/>
        </w:rPr>
        <w:t>Regjeringens handlingsplan for raskere nettutbygging og bedre utnyttelse av nettet</w:t>
      </w:r>
      <w:r w:rsidRPr="00225D4D">
        <w:t xml:space="preserve"> </w:t>
      </w:r>
      <w:proofErr w:type="spellStart"/>
      <w:r w:rsidRPr="00225D4D">
        <w:t>frå</w:t>
      </w:r>
      <w:proofErr w:type="spellEnd"/>
      <w:r w:rsidRPr="00225D4D">
        <w:t xml:space="preserve"> 2023 </w:t>
      </w:r>
      <w:proofErr w:type="spellStart"/>
      <w:r w:rsidRPr="00225D4D">
        <w:t>oppmodar</w:t>
      </w:r>
      <w:proofErr w:type="spellEnd"/>
      <w:r w:rsidRPr="00225D4D">
        <w:t xml:space="preserve"> også nettselskapa om å </w:t>
      </w:r>
      <w:proofErr w:type="spellStart"/>
      <w:r w:rsidRPr="00225D4D">
        <w:t>vere</w:t>
      </w:r>
      <w:proofErr w:type="spellEnd"/>
      <w:r w:rsidRPr="00225D4D">
        <w:t xml:space="preserve"> i forkant med å greie ut og søke konsesjon for tiltak når det er </w:t>
      </w:r>
      <w:proofErr w:type="spellStart"/>
      <w:r w:rsidRPr="00225D4D">
        <w:t>formålstenleg</w:t>
      </w:r>
      <w:proofErr w:type="spellEnd"/>
      <w:r w:rsidRPr="00225D4D">
        <w:t xml:space="preserve"> og nettselskapa har kapasitet til det. Handlingsplanen understreka også at nettselskapa både kan og bør søke om </w:t>
      </w:r>
      <w:proofErr w:type="spellStart"/>
      <w:r w:rsidRPr="00225D4D">
        <w:t>såkalla</w:t>
      </w:r>
      <w:proofErr w:type="spellEnd"/>
      <w:r w:rsidRPr="00225D4D">
        <w:t xml:space="preserve"> vilkårsbunden konsesjon når det er </w:t>
      </w:r>
      <w:proofErr w:type="spellStart"/>
      <w:r w:rsidRPr="00225D4D">
        <w:t>formålstenleg</w:t>
      </w:r>
      <w:proofErr w:type="spellEnd"/>
      <w:r w:rsidRPr="00225D4D">
        <w:t xml:space="preserve">, og vurdere </w:t>
      </w:r>
      <w:proofErr w:type="spellStart"/>
      <w:r w:rsidRPr="00225D4D">
        <w:t>moglegheitene</w:t>
      </w:r>
      <w:proofErr w:type="spellEnd"/>
      <w:r w:rsidRPr="00225D4D">
        <w:t xml:space="preserve"> for trinnvise </w:t>
      </w:r>
      <w:proofErr w:type="spellStart"/>
      <w:r w:rsidRPr="00225D4D">
        <w:t>utbyggingar</w:t>
      </w:r>
      <w:proofErr w:type="spellEnd"/>
      <w:r w:rsidRPr="00225D4D">
        <w:t xml:space="preserve"> når </w:t>
      </w:r>
      <w:proofErr w:type="spellStart"/>
      <w:r w:rsidRPr="00225D4D">
        <w:t>dei</w:t>
      </w:r>
      <w:proofErr w:type="spellEnd"/>
      <w:r w:rsidRPr="00225D4D">
        <w:t xml:space="preserve"> planlegg tiltak i straumnettet.</w:t>
      </w:r>
    </w:p>
    <w:p w14:paraId="7E810AC5" w14:textId="77777777" w:rsidR="00D60186" w:rsidRPr="00225D4D" w:rsidRDefault="00D60186" w:rsidP="00225D4D">
      <w:r w:rsidRPr="00225D4D">
        <w:t xml:space="preserve">I statsråd 29. september 2023 </w:t>
      </w:r>
      <w:proofErr w:type="spellStart"/>
      <w:r w:rsidRPr="00225D4D">
        <w:t>fekk</w:t>
      </w:r>
      <w:proofErr w:type="spellEnd"/>
      <w:r w:rsidRPr="00225D4D">
        <w:t xml:space="preserve"> Statnett konsesjon til å bygge, eige og drive </w:t>
      </w:r>
      <w:proofErr w:type="spellStart"/>
      <w:r w:rsidRPr="00225D4D">
        <w:t>ein</w:t>
      </w:r>
      <w:proofErr w:type="spellEnd"/>
      <w:r w:rsidRPr="00225D4D">
        <w:t xml:space="preserve"> ny 420 kilovolts </w:t>
      </w:r>
      <w:proofErr w:type="spellStart"/>
      <w:r w:rsidRPr="00225D4D">
        <w:t>leidning</w:t>
      </w:r>
      <w:proofErr w:type="spellEnd"/>
      <w:r w:rsidRPr="00225D4D">
        <w:t xml:space="preserve"> mellom </w:t>
      </w:r>
      <w:proofErr w:type="spellStart"/>
      <w:r w:rsidRPr="00225D4D">
        <w:t>Blåfalli</w:t>
      </w:r>
      <w:proofErr w:type="spellEnd"/>
      <w:r w:rsidRPr="00225D4D">
        <w:t xml:space="preserve"> og Gismarvik i </w:t>
      </w:r>
      <w:proofErr w:type="spellStart"/>
      <w:r w:rsidRPr="00225D4D">
        <w:t>Vestland</w:t>
      </w:r>
      <w:proofErr w:type="spellEnd"/>
      <w:r w:rsidRPr="00225D4D">
        <w:t xml:space="preserve"> og Rogaland fylke. Konsesjonen blei gitt med vilkår om at Statnett måtte ha signert avtale om anleggsbidrag med minst </w:t>
      </w:r>
      <w:proofErr w:type="spellStart"/>
      <w:r w:rsidRPr="00225D4D">
        <w:t>éin</w:t>
      </w:r>
      <w:proofErr w:type="spellEnd"/>
      <w:r w:rsidRPr="00225D4D">
        <w:t xml:space="preserve"> stor kunde før </w:t>
      </w:r>
      <w:proofErr w:type="spellStart"/>
      <w:r w:rsidRPr="00225D4D">
        <w:t>føretaket</w:t>
      </w:r>
      <w:proofErr w:type="spellEnd"/>
      <w:r w:rsidRPr="00225D4D">
        <w:t xml:space="preserve"> kunne begynne å bygge </w:t>
      </w:r>
      <w:proofErr w:type="spellStart"/>
      <w:r w:rsidRPr="00225D4D">
        <w:t>leidningen</w:t>
      </w:r>
      <w:proofErr w:type="spellEnd"/>
      <w:r w:rsidRPr="00225D4D">
        <w:t>.</w:t>
      </w:r>
    </w:p>
    <w:p w14:paraId="378712A4" w14:textId="77777777" w:rsidR="00D60186" w:rsidRPr="00225D4D" w:rsidRDefault="00D60186" w:rsidP="00225D4D">
      <w:r w:rsidRPr="00225D4D">
        <w:t xml:space="preserve">I statsråd 15. august 2025 </w:t>
      </w:r>
      <w:proofErr w:type="spellStart"/>
      <w:r w:rsidRPr="00225D4D">
        <w:t>fekk</w:t>
      </w:r>
      <w:proofErr w:type="spellEnd"/>
      <w:r w:rsidRPr="00225D4D">
        <w:t xml:space="preserve"> Statnett konsesjon til å bygge, eige og drive </w:t>
      </w:r>
      <w:proofErr w:type="spellStart"/>
      <w:r w:rsidRPr="00225D4D">
        <w:t>ein</w:t>
      </w:r>
      <w:proofErr w:type="spellEnd"/>
      <w:r w:rsidRPr="00225D4D">
        <w:t xml:space="preserve"> ny 420 kilovolts </w:t>
      </w:r>
      <w:proofErr w:type="spellStart"/>
      <w:r w:rsidRPr="00225D4D">
        <w:t>leidning</w:t>
      </w:r>
      <w:proofErr w:type="spellEnd"/>
      <w:r w:rsidRPr="00225D4D">
        <w:t xml:space="preserve"> mellom Skaidi og Lebesby i Finnmark fylke. I denne konsesjonen blei det presisert at tiltaket kan </w:t>
      </w:r>
      <w:proofErr w:type="spellStart"/>
      <w:r w:rsidRPr="00225D4D">
        <w:t>byggast</w:t>
      </w:r>
      <w:proofErr w:type="spellEnd"/>
      <w:r w:rsidRPr="00225D4D">
        <w:t xml:space="preserve"> ut trinnvis, ved at heile eller </w:t>
      </w:r>
      <w:proofErr w:type="spellStart"/>
      <w:r w:rsidRPr="00225D4D">
        <w:t>delar</w:t>
      </w:r>
      <w:proofErr w:type="spellEnd"/>
      <w:r w:rsidRPr="00225D4D">
        <w:t xml:space="preserve"> av anlegget kan </w:t>
      </w:r>
      <w:proofErr w:type="spellStart"/>
      <w:r w:rsidRPr="00225D4D">
        <w:t>driftast</w:t>
      </w:r>
      <w:proofErr w:type="spellEnd"/>
      <w:r w:rsidRPr="00225D4D">
        <w:t xml:space="preserve"> på 132 kilovolt i </w:t>
      </w:r>
      <w:proofErr w:type="spellStart"/>
      <w:r w:rsidRPr="00225D4D">
        <w:t>ein</w:t>
      </w:r>
      <w:proofErr w:type="spellEnd"/>
      <w:r w:rsidRPr="00225D4D">
        <w:t xml:space="preserve"> avgrensa periode, dersom Statnett vurderer det som rasjonelt. Slike grep </w:t>
      </w:r>
      <w:proofErr w:type="spellStart"/>
      <w:r w:rsidRPr="00225D4D">
        <w:t>gjer</w:t>
      </w:r>
      <w:proofErr w:type="spellEnd"/>
      <w:r w:rsidRPr="00225D4D">
        <w:t xml:space="preserve"> at nødvendige nettanlegg kan </w:t>
      </w:r>
      <w:proofErr w:type="spellStart"/>
      <w:r w:rsidRPr="00225D4D">
        <w:t>etablerast</w:t>
      </w:r>
      <w:proofErr w:type="spellEnd"/>
      <w:r w:rsidRPr="00225D4D">
        <w:t xml:space="preserve"> raskt når behovet oppstår, men </w:t>
      </w:r>
      <w:proofErr w:type="spellStart"/>
      <w:r w:rsidRPr="00225D4D">
        <w:t>sikrar</w:t>
      </w:r>
      <w:proofErr w:type="spellEnd"/>
      <w:r w:rsidRPr="00225D4D">
        <w:t xml:space="preserve"> samtidig at det </w:t>
      </w:r>
      <w:proofErr w:type="spellStart"/>
      <w:r w:rsidRPr="00225D4D">
        <w:t>ikkje</w:t>
      </w:r>
      <w:proofErr w:type="spellEnd"/>
      <w:r w:rsidRPr="00225D4D">
        <w:t xml:space="preserve"> blir etablert nettanlegg som det </w:t>
      </w:r>
      <w:proofErr w:type="spellStart"/>
      <w:r w:rsidRPr="00225D4D">
        <w:t>ikkje</w:t>
      </w:r>
      <w:proofErr w:type="spellEnd"/>
      <w:r w:rsidRPr="00225D4D">
        <w:t xml:space="preserve"> er behov for.</w:t>
      </w:r>
    </w:p>
    <w:p w14:paraId="53E2E6C8" w14:textId="77777777" w:rsidR="00D60186" w:rsidRPr="00225D4D" w:rsidRDefault="00D60186" w:rsidP="00225D4D">
      <w:r w:rsidRPr="00225D4D">
        <w:t xml:space="preserve">RME har også gjort </w:t>
      </w:r>
      <w:proofErr w:type="spellStart"/>
      <w:r w:rsidRPr="00225D4D">
        <w:t>endringar</w:t>
      </w:r>
      <w:proofErr w:type="spellEnd"/>
      <w:r w:rsidRPr="00225D4D">
        <w:t xml:space="preserve"> i inntektsreguleringa av nettselskapa som </w:t>
      </w:r>
      <w:proofErr w:type="spellStart"/>
      <w:r w:rsidRPr="00225D4D">
        <w:t>legg</w:t>
      </w:r>
      <w:proofErr w:type="spellEnd"/>
      <w:r w:rsidRPr="00225D4D">
        <w:t xml:space="preserve"> til rette for at selskapa kan ligge i forkant med nettplanlegginga. </w:t>
      </w:r>
      <w:proofErr w:type="spellStart"/>
      <w:r w:rsidRPr="00225D4D">
        <w:t>Frå</w:t>
      </w:r>
      <w:proofErr w:type="spellEnd"/>
      <w:r w:rsidRPr="00225D4D">
        <w:t xml:space="preserve"> og med </w:t>
      </w:r>
      <w:proofErr w:type="spellStart"/>
      <w:r w:rsidRPr="00225D4D">
        <w:t>rekneskapsåret</w:t>
      </w:r>
      <w:proofErr w:type="spellEnd"/>
      <w:r w:rsidRPr="00225D4D">
        <w:t xml:space="preserve"> 2024 får nettselskap dekt kostnader til </w:t>
      </w:r>
      <w:proofErr w:type="spellStart"/>
      <w:r w:rsidRPr="00225D4D">
        <w:t>tidlege</w:t>
      </w:r>
      <w:proofErr w:type="spellEnd"/>
      <w:r w:rsidRPr="00225D4D">
        <w:t xml:space="preserve"> </w:t>
      </w:r>
      <w:proofErr w:type="spellStart"/>
      <w:r w:rsidRPr="00225D4D">
        <w:t>nettutgreiingar</w:t>
      </w:r>
      <w:proofErr w:type="spellEnd"/>
      <w:r w:rsidRPr="00225D4D">
        <w:t xml:space="preserve"> i regional- og transmisjonsnettet.</w:t>
      </w:r>
    </w:p>
    <w:p w14:paraId="42BC7241"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5277FB28" w14:textId="77777777" w:rsidR="00D60186" w:rsidRPr="00225D4D" w:rsidRDefault="00D60186" w:rsidP="00225D4D">
      <w:pPr>
        <w:pStyle w:val="avsnitt-tittel"/>
      </w:pPr>
      <w:r w:rsidRPr="00225D4D">
        <w:t xml:space="preserve">Forbrukstak for </w:t>
      </w:r>
      <w:proofErr w:type="spellStart"/>
      <w:r w:rsidRPr="00225D4D">
        <w:t>Noregspris</w:t>
      </w:r>
      <w:proofErr w:type="spellEnd"/>
    </w:p>
    <w:p w14:paraId="5FEB1BAD" w14:textId="77777777" w:rsidR="00D60186" w:rsidRPr="00225D4D" w:rsidRDefault="00D60186" w:rsidP="00225D4D">
      <w:pPr>
        <w:pStyle w:val="avsnitt-undertittel"/>
      </w:pPr>
      <w:r w:rsidRPr="00225D4D">
        <w:t>Vedtak 1090, 16. juni 2025</w:t>
      </w:r>
    </w:p>
    <w:p w14:paraId="59919623" w14:textId="77777777" w:rsidR="00D60186" w:rsidRPr="00225D4D" w:rsidRDefault="00D60186" w:rsidP="00225D4D">
      <w:pPr>
        <w:pStyle w:val="blokksit"/>
      </w:pPr>
      <w:r w:rsidRPr="00225D4D">
        <w:t>«</w:t>
      </w:r>
      <w:r w:rsidRPr="00225D4D">
        <w:rPr>
          <w:rStyle w:val="kursiv"/>
        </w:rPr>
        <w:t>Stortinget ber regjeringen sette forbrukstaket for Norgespris til 5000 kWh for husholdninger i måneden og 1000 kWh for fritidsboliger i måneden.</w:t>
      </w:r>
      <w:r w:rsidRPr="00225D4D">
        <w:t>»</w:t>
      </w:r>
    </w:p>
    <w:p w14:paraId="413991D5"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148 L (2024–2025), </w:t>
      </w:r>
      <w:proofErr w:type="spellStart"/>
      <w:r w:rsidRPr="00225D4D">
        <w:t>Innst</w:t>
      </w:r>
      <w:proofErr w:type="spellEnd"/>
      <w:r w:rsidRPr="00225D4D">
        <w:t>. 535 L (2024–2025) og Lovvedtak 135 (2024–2025).</w:t>
      </w:r>
    </w:p>
    <w:p w14:paraId="589C7F67" w14:textId="77777777" w:rsidR="00D60186" w:rsidRPr="00225D4D" w:rsidRDefault="00D60186" w:rsidP="00225D4D">
      <w:r w:rsidRPr="00225D4D">
        <w:t xml:space="preserve">Departementet viser til at </w:t>
      </w:r>
      <w:proofErr w:type="spellStart"/>
      <w:r w:rsidRPr="00225D4D">
        <w:t>Noregspris</w:t>
      </w:r>
      <w:proofErr w:type="spellEnd"/>
      <w:r w:rsidRPr="00225D4D">
        <w:t xml:space="preserve"> er innført med </w:t>
      </w:r>
      <w:proofErr w:type="spellStart"/>
      <w:r w:rsidRPr="00225D4D">
        <w:t>eit</w:t>
      </w:r>
      <w:proofErr w:type="spellEnd"/>
      <w:r w:rsidRPr="00225D4D">
        <w:t xml:space="preserve"> forbrukstak på 5 000 kWh per </w:t>
      </w:r>
      <w:proofErr w:type="spellStart"/>
      <w:r w:rsidRPr="00225D4D">
        <w:t>månad</w:t>
      </w:r>
      <w:proofErr w:type="spellEnd"/>
      <w:r w:rsidRPr="00225D4D">
        <w:t xml:space="preserve"> per målepunkt for </w:t>
      </w:r>
      <w:proofErr w:type="spellStart"/>
      <w:r w:rsidRPr="00225D4D">
        <w:t>hushald</w:t>
      </w:r>
      <w:proofErr w:type="spellEnd"/>
      <w:r w:rsidRPr="00225D4D">
        <w:t xml:space="preserve"> og 1 000 kWh per </w:t>
      </w:r>
      <w:proofErr w:type="spellStart"/>
      <w:r w:rsidRPr="00225D4D">
        <w:t>månad</w:t>
      </w:r>
      <w:proofErr w:type="spellEnd"/>
      <w:r w:rsidRPr="00225D4D">
        <w:t xml:space="preserve"> per målepunkt for </w:t>
      </w:r>
      <w:proofErr w:type="spellStart"/>
      <w:r w:rsidRPr="00225D4D">
        <w:t>fritidsbustadar</w:t>
      </w:r>
      <w:proofErr w:type="spellEnd"/>
      <w:r w:rsidRPr="00225D4D">
        <w:t xml:space="preserve"> i statsbudsjettet for 2025, og at </w:t>
      </w:r>
      <w:proofErr w:type="spellStart"/>
      <w:r w:rsidRPr="00225D4D">
        <w:t>desse</w:t>
      </w:r>
      <w:proofErr w:type="spellEnd"/>
      <w:r w:rsidRPr="00225D4D">
        <w:t xml:space="preserve"> grensene blir </w:t>
      </w:r>
      <w:proofErr w:type="spellStart"/>
      <w:r w:rsidRPr="00225D4D">
        <w:t>vidareførte</w:t>
      </w:r>
      <w:proofErr w:type="spellEnd"/>
      <w:r w:rsidRPr="00225D4D">
        <w:t xml:space="preserve"> i statsbudsjettet for 2026, jf. </w:t>
      </w:r>
      <w:r w:rsidRPr="00225D4D">
        <w:rPr>
          <w:rStyle w:val="kursiv"/>
        </w:rPr>
        <w:t>forskrift om Norgespris</w:t>
      </w:r>
      <w:r w:rsidRPr="00225D4D">
        <w:t>.</w:t>
      </w:r>
    </w:p>
    <w:p w14:paraId="06D08942"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092E5F9A" w14:textId="77777777" w:rsidR="00D60186" w:rsidRPr="00225D4D" w:rsidRDefault="00D60186" w:rsidP="00225D4D">
      <w:pPr>
        <w:pStyle w:val="avsnitt-tittel"/>
      </w:pPr>
      <w:r w:rsidRPr="00225D4D">
        <w:t>Forbrukstak for straumstønad</w:t>
      </w:r>
    </w:p>
    <w:p w14:paraId="53165A61" w14:textId="77777777" w:rsidR="00D60186" w:rsidRPr="00225D4D" w:rsidRDefault="00D60186" w:rsidP="00225D4D">
      <w:pPr>
        <w:pStyle w:val="avsnitt-undertittel"/>
      </w:pPr>
      <w:r w:rsidRPr="00225D4D">
        <w:t>Vedtak 1091, 16. juni 2025</w:t>
      </w:r>
    </w:p>
    <w:p w14:paraId="1B96275D" w14:textId="77777777" w:rsidR="00D60186" w:rsidRPr="00225D4D" w:rsidRDefault="00D60186" w:rsidP="00225D4D">
      <w:pPr>
        <w:pStyle w:val="blokksit"/>
      </w:pPr>
      <w:r w:rsidRPr="00225D4D">
        <w:t>«</w:t>
      </w:r>
      <w:r w:rsidRPr="00225D4D">
        <w:rPr>
          <w:rStyle w:val="kursiv"/>
        </w:rPr>
        <w:t>Stortinget ber regjeringen sette forbrukstaket for strømstøtten til 5000 kWh i måneden.</w:t>
      </w:r>
      <w:r w:rsidRPr="00225D4D">
        <w:t>»</w:t>
      </w:r>
    </w:p>
    <w:p w14:paraId="6A70D261"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148 L (2024–2025), </w:t>
      </w:r>
      <w:proofErr w:type="spellStart"/>
      <w:r w:rsidRPr="00225D4D">
        <w:t>Innst</w:t>
      </w:r>
      <w:proofErr w:type="spellEnd"/>
      <w:r w:rsidRPr="00225D4D">
        <w:t>. 535 L (2024–2025) og Lovvedtak 135 (2024–2025).</w:t>
      </w:r>
    </w:p>
    <w:p w14:paraId="0543CAE7" w14:textId="77777777" w:rsidR="00D60186" w:rsidRPr="00225D4D" w:rsidRDefault="00D60186" w:rsidP="00225D4D">
      <w:r w:rsidRPr="00225D4D">
        <w:t xml:space="preserve">Departementet viser til at forbrukstaket for straumstønadsordninga på 5 000 kWh per </w:t>
      </w:r>
      <w:proofErr w:type="spellStart"/>
      <w:r w:rsidRPr="00225D4D">
        <w:t>månad</w:t>
      </w:r>
      <w:proofErr w:type="spellEnd"/>
      <w:r w:rsidRPr="00225D4D">
        <w:t xml:space="preserve"> per målepunkt er </w:t>
      </w:r>
      <w:proofErr w:type="spellStart"/>
      <w:r w:rsidRPr="00225D4D">
        <w:t>vidareført</w:t>
      </w:r>
      <w:proofErr w:type="spellEnd"/>
      <w:r w:rsidRPr="00225D4D">
        <w:t xml:space="preserve"> i statsbudsjettet for 2025 og i statsbudsjettet for 2026, jf. </w:t>
      </w:r>
      <w:r w:rsidRPr="00225D4D">
        <w:rPr>
          <w:rStyle w:val="kursiv"/>
        </w:rPr>
        <w:t>forskrift om strømstønad</w:t>
      </w:r>
      <w:r w:rsidRPr="00225D4D">
        <w:t>.</w:t>
      </w:r>
    </w:p>
    <w:p w14:paraId="14CBB678"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6623D60F" w14:textId="77777777" w:rsidR="00D60186" w:rsidRPr="00225D4D" w:rsidRDefault="00D60186" w:rsidP="00225D4D">
      <w:pPr>
        <w:pStyle w:val="avsnitt-tittel"/>
      </w:pPr>
      <w:r w:rsidRPr="00225D4D">
        <w:t xml:space="preserve">Tiltak for </w:t>
      </w:r>
      <w:proofErr w:type="spellStart"/>
      <w:r w:rsidRPr="00225D4D">
        <w:t>lågare</w:t>
      </w:r>
      <w:proofErr w:type="spellEnd"/>
      <w:r w:rsidRPr="00225D4D">
        <w:t xml:space="preserve"> og </w:t>
      </w:r>
      <w:proofErr w:type="spellStart"/>
      <w:r w:rsidRPr="00225D4D">
        <w:t>meir</w:t>
      </w:r>
      <w:proofErr w:type="spellEnd"/>
      <w:r w:rsidRPr="00225D4D">
        <w:t xml:space="preserve"> stabile </w:t>
      </w:r>
      <w:proofErr w:type="spellStart"/>
      <w:r w:rsidRPr="00225D4D">
        <w:t>straumprisar</w:t>
      </w:r>
      <w:proofErr w:type="spellEnd"/>
      <w:r w:rsidRPr="00225D4D">
        <w:t xml:space="preserve"> i NO2</w:t>
      </w:r>
    </w:p>
    <w:p w14:paraId="07D7EDB2" w14:textId="77777777" w:rsidR="00D60186" w:rsidRPr="00225D4D" w:rsidRDefault="00D60186" w:rsidP="00225D4D">
      <w:pPr>
        <w:pStyle w:val="avsnitt-undertittel"/>
      </w:pPr>
      <w:r w:rsidRPr="00225D4D">
        <w:t>Vedtak 1096, 16. juni 2025</w:t>
      </w:r>
    </w:p>
    <w:p w14:paraId="01C67CE4" w14:textId="77777777" w:rsidR="00D60186" w:rsidRPr="00225D4D" w:rsidRDefault="00D60186" w:rsidP="00225D4D">
      <w:pPr>
        <w:pStyle w:val="blokksit"/>
      </w:pPr>
      <w:r w:rsidRPr="00225D4D">
        <w:t>«</w:t>
      </w:r>
      <w:r w:rsidRPr="00225D4D">
        <w:rPr>
          <w:rStyle w:val="kursiv"/>
        </w:rPr>
        <w:t>Stortinget ber regjeringen med bakgrunn i den krevende situasjonen for Agder, Rogaland og deler av Telemark utrede konkrete tiltak med mål om å sikre lavere og mer stabile strømpriser i NO2.</w:t>
      </w:r>
      <w:r w:rsidRPr="00225D4D">
        <w:t>»</w:t>
      </w:r>
    </w:p>
    <w:p w14:paraId="36B1E549"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148 L (2024–2025), </w:t>
      </w:r>
      <w:proofErr w:type="spellStart"/>
      <w:r w:rsidRPr="00225D4D">
        <w:t>Innst</w:t>
      </w:r>
      <w:proofErr w:type="spellEnd"/>
      <w:r w:rsidRPr="00225D4D">
        <w:t>. 535 L (2024–2025) og Lovvedtak 135 (2024–2025).</w:t>
      </w:r>
    </w:p>
    <w:p w14:paraId="61B5ECAC" w14:textId="77777777" w:rsidR="00D60186" w:rsidRPr="00225D4D" w:rsidRDefault="00D60186" w:rsidP="00225D4D">
      <w:r w:rsidRPr="00225D4D">
        <w:t xml:space="preserve">Regjeringa har </w:t>
      </w:r>
      <w:proofErr w:type="spellStart"/>
      <w:r w:rsidRPr="00225D4D">
        <w:t>eit</w:t>
      </w:r>
      <w:proofErr w:type="spellEnd"/>
      <w:r w:rsidRPr="00225D4D">
        <w:t xml:space="preserve"> klart mål om at vi skal ha </w:t>
      </w:r>
      <w:proofErr w:type="spellStart"/>
      <w:r w:rsidRPr="00225D4D">
        <w:t>rikeleg</w:t>
      </w:r>
      <w:proofErr w:type="spellEnd"/>
      <w:r w:rsidRPr="00225D4D">
        <w:t xml:space="preserve"> tilgang på rein og </w:t>
      </w:r>
      <w:proofErr w:type="spellStart"/>
      <w:r w:rsidRPr="00225D4D">
        <w:t>rimeleg</w:t>
      </w:r>
      <w:proofErr w:type="spellEnd"/>
      <w:r w:rsidRPr="00225D4D">
        <w:t xml:space="preserve"> energi over heile landet, og at det skal </w:t>
      </w:r>
      <w:proofErr w:type="spellStart"/>
      <w:r w:rsidRPr="00225D4D">
        <w:t>vere</w:t>
      </w:r>
      <w:proofErr w:type="spellEnd"/>
      <w:r w:rsidRPr="00225D4D">
        <w:t xml:space="preserve"> </w:t>
      </w:r>
      <w:proofErr w:type="spellStart"/>
      <w:r w:rsidRPr="00225D4D">
        <w:t>tilstrekkeleg</w:t>
      </w:r>
      <w:proofErr w:type="spellEnd"/>
      <w:r w:rsidRPr="00225D4D">
        <w:t xml:space="preserve"> overføringskapasitet mellom </w:t>
      </w:r>
      <w:proofErr w:type="spellStart"/>
      <w:r w:rsidRPr="00225D4D">
        <w:t>regionar</w:t>
      </w:r>
      <w:proofErr w:type="spellEnd"/>
      <w:r w:rsidRPr="00225D4D">
        <w:t xml:space="preserve"> slik at det </w:t>
      </w:r>
      <w:proofErr w:type="spellStart"/>
      <w:r w:rsidRPr="00225D4D">
        <w:t>ikkje</w:t>
      </w:r>
      <w:proofErr w:type="spellEnd"/>
      <w:r w:rsidRPr="00225D4D">
        <w:t xml:space="preserve"> blir langvarige store </w:t>
      </w:r>
      <w:proofErr w:type="spellStart"/>
      <w:r w:rsidRPr="00225D4D">
        <w:t>prisforskjellar</w:t>
      </w:r>
      <w:proofErr w:type="spellEnd"/>
      <w:r w:rsidRPr="00225D4D">
        <w:t xml:space="preserve"> mellom ulike </w:t>
      </w:r>
      <w:proofErr w:type="spellStart"/>
      <w:r w:rsidRPr="00225D4D">
        <w:t>bodområde</w:t>
      </w:r>
      <w:proofErr w:type="spellEnd"/>
      <w:r w:rsidRPr="00225D4D">
        <w:t>.</w:t>
      </w:r>
    </w:p>
    <w:p w14:paraId="1B457A72" w14:textId="77777777" w:rsidR="00D60186" w:rsidRPr="00225D4D" w:rsidRDefault="00D60186" w:rsidP="00225D4D">
      <w:proofErr w:type="spellStart"/>
      <w:r w:rsidRPr="00225D4D">
        <w:t>Straumprisutvalet</w:t>
      </w:r>
      <w:proofErr w:type="spellEnd"/>
      <w:r w:rsidRPr="00225D4D">
        <w:t xml:space="preserve"> vurderte ei rekke tiltak for </w:t>
      </w:r>
      <w:proofErr w:type="spellStart"/>
      <w:r w:rsidRPr="00225D4D">
        <w:t>lågare</w:t>
      </w:r>
      <w:proofErr w:type="spellEnd"/>
      <w:r w:rsidRPr="00225D4D">
        <w:t xml:space="preserve"> og </w:t>
      </w:r>
      <w:proofErr w:type="spellStart"/>
      <w:r w:rsidRPr="00225D4D">
        <w:t>meir</w:t>
      </w:r>
      <w:proofErr w:type="spellEnd"/>
      <w:r w:rsidRPr="00225D4D">
        <w:t xml:space="preserve"> stabile </w:t>
      </w:r>
      <w:proofErr w:type="spellStart"/>
      <w:r w:rsidRPr="00225D4D">
        <w:t>kraftprisar</w:t>
      </w:r>
      <w:proofErr w:type="spellEnd"/>
      <w:r w:rsidRPr="00225D4D">
        <w:t xml:space="preserve">. </w:t>
      </w:r>
      <w:proofErr w:type="spellStart"/>
      <w:r w:rsidRPr="00225D4D">
        <w:t>Utvalet</w:t>
      </w:r>
      <w:proofErr w:type="spellEnd"/>
      <w:r w:rsidRPr="00225D4D">
        <w:t xml:space="preserve"> leverte rapporten sin, </w:t>
      </w:r>
      <w:r w:rsidRPr="00225D4D">
        <w:rPr>
          <w:rStyle w:val="kursiv"/>
        </w:rPr>
        <w:t>Balansekunst</w:t>
      </w:r>
      <w:r w:rsidRPr="00225D4D">
        <w:t xml:space="preserve">, i oktober 2023. </w:t>
      </w:r>
      <w:proofErr w:type="spellStart"/>
      <w:r w:rsidRPr="00225D4D">
        <w:t>Ein</w:t>
      </w:r>
      <w:proofErr w:type="spellEnd"/>
      <w:r w:rsidRPr="00225D4D">
        <w:t xml:space="preserve"> </w:t>
      </w:r>
      <w:proofErr w:type="spellStart"/>
      <w:r w:rsidRPr="00225D4D">
        <w:t>hovudkonklusjon</w:t>
      </w:r>
      <w:proofErr w:type="spellEnd"/>
      <w:r w:rsidRPr="00225D4D">
        <w:t xml:space="preserve"> </w:t>
      </w:r>
      <w:proofErr w:type="spellStart"/>
      <w:r w:rsidRPr="00225D4D">
        <w:t>frå</w:t>
      </w:r>
      <w:proofErr w:type="spellEnd"/>
      <w:r w:rsidRPr="00225D4D">
        <w:t xml:space="preserve"> </w:t>
      </w:r>
      <w:proofErr w:type="spellStart"/>
      <w:r w:rsidRPr="00225D4D">
        <w:t>utvalet</w:t>
      </w:r>
      <w:proofErr w:type="spellEnd"/>
      <w:r w:rsidRPr="00225D4D">
        <w:t xml:space="preserve"> var at alternativ til dagens </w:t>
      </w:r>
      <w:proofErr w:type="spellStart"/>
      <w:r w:rsidRPr="00225D4D">
        <w:t>marknadsmodell</w:t>
      </w:r>
      <w:proofErr w:type="spellEnd"/>
      <w:r w:rsidRPr="00225D4D">
        <w:t xml:space="preserve"> </w:t>
      </w:r>
      <w:proofErr w:type="spellStart"/>
      <w:r w:rsidRPr="00225D4D">
        <w:t>ikkje</w:t>
      </w:r>
      <w:proofErr w:type="spellEnd"/>
      <w:r w:rsidRPr="00225D4D">
        <w:t xml:space="preserve"> ser ut til å gi betre ressursutnytting eller større samfunnsøkonomisk </w:t>
      </w:r>
      <w:proofErr w:type="spellStart"/>
      <w:r w:rsidRPr="00225D4D">
        <w:t>overskot</w:t>
      </w:r>
      <w:proofErr w:type="spellEnd"/>
      <w:r w:rsidRPr="00225D4D">
        <w:t xml:space="preserve">. </w:t>
      </w:r>
      <w:proofErr w:type="spellStart"/>
      <w:r w:rsidRPr="00225D4D">
        <w:t>Utvalet</w:t>
      </w:r>
      <w:proofErr w:type="spellEnd"/>
      <w:r w:rsidRPr="00225D4D">
        <w:t xml:space="preserve"> kom også fram til at tiltak for omfordeling bør </w:t>
      </w:r>
      <w:proofErr w:type="spellStart"/>
      <w:r w:rsidRPr="00225D4D">
        <w:t>settast</w:t>
      </w:r>
      <w:proofErr w:type="spellEnd"/>
      <w:r w:rsidRPr="00225D4D">
        <w:t xml:space="preserve"> inn i </w:t>
      </w:r>
      <w:proofErr w:type="spellStart"/>
      <w:r w:rsidRPr="00225D4D">
        <w:t>sluttbrukarmarknaden</w:t>
      </w:r>
      <w:proofErr w:type="spellEnd"/>
      <w:r w:rsidRPr="00225D4D">
        <w:t xml:space="preserve"> framfor i </w:t>
      </w:r>
      <w:proofErr w:type="spellStart"/>
      <w:r w:rsidRPr="00225D4D">
        <w:t>engrosmarknaden</w:t>
      </w:r>
      <w:proofErr w:type="spellEnd"/>
      <w:r w:rsidRPr="00225D4D">
        <w:t>.</w:t>
      </w:r>
    </w:p>
    <w:p w14:paraId="537739D6" w14:textId="77777777" w:rsidR="00D60186" w:rsidRPr="00225D4D" w:rsidRDefault="00D60186" w:rsidP="00225D4D">
      <w:r w:rsidRPr="00225D4D">
        <w:t xml:space="preserve">På bakgrunn av utgreiinga </w:t>
      </w:r>
      <w:proofErr w:type="spellStart"/>
      <w:r w:rsidRPr="00225D4D">
        <w:t>frå</w:t>
      </w:r>
      <w:proofErr w:type="spellEnd"/>
      <w:r w:rsidRPr="00225D4D">
        <w:t xml:space="preserve"> </w:t>
      </w:r>
      <w:proofErr w:type="spellStart"/>
      <w:r w:rsidRPr="00225D4D">
        <w:t>Straumprisutvalet</w:t>
      </w:r>
      <w:proofErr w:type="spellEnd"/>
      <w:r w:rsidRPr="00225D4D">
        <w:t xml:space="preserve"> har regjeringa lagt vekt på tiltak i </w:t>
      </w:r>
      <w:proofErr w:type="spellStart"/>
      <w:r w:rsidRPr="00225D4D">
        <w:t>sluttbrukarmarknaden</w:t>
      </w:r>
      <w:proofErr w:type="spellEnd"/>
      <w:r w:rsidRPr="00225D4D">
        <w:t xml:space="preserve">. Regjeringa har innført ei rekke tiltak for å sikre </w:t>
      </w:r>
      <w:proofErr w:type="spellStart"/>
      <w:r w:rsidRPr="00225D4D">
        <w:t>hushald</w:t>
      </w:r>
      <w:proofErr w:type="spellEnd"/>
      <w:r w:rsidRPr="00225D4D">
        <w:t xml:space="preserve"> og næringsliv </w:t>
      </w:r>
      <w:proofErr w:type="spellStart"/>
      <w:r w:rsidRPr="00225D4D">
        <w:t>lågare</w:t>
      </w:r>
      <w:proofErr w:type="spellEnd"/>
      <w:r w:rsidRPr="00225D4D">
        <w:t xml:space="preserve"> og </w:t>
      </w:r>
      <w:proofErr w:type="spellStart"/>
      <w:r w:rsidRPr="00225D4D">
        <w:t>meir</w:t>
      </w:r>
      <w:proofErr w:type="spellEnd"/>
      <w:r w:rsidRPr="00225D4D">
        <w:t xml:space="preserve"> stabile straumkostnader. Regjeringa har etablert ei straumstønadsordning for </w:t>
      </w:r>
      <w:proofErr w:type="spellStart"/>
      <w:r w:rsidRPr="00225D4D">
        <w:t>hushald</w:t>
      </w:r>
      <w:proofErr w:type="spellEnd"/>
      <w:r w:rsidRPr="00225D4D">
        <w:t xml:space="preserve"> for å sikre </w:t>
      </w:r>
      <w:proofErr w:type="spellStart"/>
      <w:r w:rsidRPr="00225D4D">
        <w:t>dei</w:t>
      </w:r>
      <w:proofErr w:type="spellEnd"/>
      <w:r w:rsidRPr="00225D4D">
        <w:t xml:space="preserve"> mot høge </w:t>
      </w:r>
      <w:proofErr w:type="spellStart"/>
      <w:r w:rsidRPr="00225D4D">
        <w:t>straumprisar</w:t>
      </w:r>
      <w:proofErr w:type="spellEnd"/>
      <w:r w:rsidRPr="00225D4D">
        <w:t xml:space="preserve">. Regjeringa har også etablert </w:t>
      </w:r>
      <w:proofErr w:type="spellStart"/>
      <w:r w:rsidRPr="00225D4D">
        <w:t>Noregspris</w:t>
      </w:r>
      <w:proofErr w:type="spellEnd"/>
      <w:r w:rsidRPr="00225D4D">
        <w:t xml:space="preserve"> på </w:t>
      </w:r>
      <w:proofErr w:type="spellStart"/>
      <w:r w:rsidRPr="00225D4D">
        <w:t>straum</w:t>
      </w:r>
      <w:proofErr w:type="spellEnd"/>
      <w:r w:rsidRPr="00225D4D">
        <w:t xml:space="preserve">, som gir </w:t>
      </w:r>
      <w:proofErr w:type="spellStart"/>
      <w:r w:rsidRPr="00225D4D">
        <w:t>hushald</w:t>
      </w:r>
      <w:proofErr w:type="spellEnd"/>
      <w:r w:rsidRPr="00225D4D">
        <w:t xml:space="preserve"> </w:t>
      </w:r>
      <w:proofErr w:type="spellStart"/>
      <w:r w:rsidRPr="00225D4D">
        <w:t>moglegheit</w:t>
      </w:r>
      <w:proofErr w:type="spellEnd"/>
      <w:r w:rsidRPr="00225D4D">
        <w:t xml:space="preserve"> til å </w:t>
      </w:r>
      <w:proofErr w:type="spellStart"/>
      <w:r w:rsidRPr="00225D4D">
        <w:t>velje</w:t>
      </w:r>
      <w:proofErr w:type="spellEnd"/>
      <w:r w:rsidRPr="00225D4D">
        <w:t xml:space="preserve"> </w:t>
      </w:r>
      <w:proofErr w:type="spellStart"/>
      <w:r w:rsidRPr="00225D4D">
        <w:t>ein</w:t>
      </w:r>
      <w:proofErr w:type="spellEnd"/>
      <w:r w:rsidRPr="00225D4D">
        <w:t xml:space="preserve"> fast pris per kWh som </w:t>
      </w:r>
      <w:proofErr w:type="spellStart"/>
      <w:r w:rsidRPr="00225D4D">
        <w:t>eit</w:t>
      </w:r>
      <w:proofErr w:type="spellEnd"/>
      <w:r w:rsidRPr="00225D4D">
        <w:t xml:space="preserve"> alternativ til straumstønadsordninga. Det er også lagt til rette for </w:t>
      </w:r>
      <w:proofErr w:type="spellStart"/>
      <w:r w:rsidRPr="00225D4D">
        <w:t>fastprisavtalar</w:t>
      </w:r>
      <w:proofErr w:type="spellEnd"/>
      <w:r w:rsidRPr="00225D4D">
        <w:t xml:space="preserve"> for næringslivet gjennom </w:t>
      </w:r>
      <w:proofErr w:type="spellStart"/>
      <w:r w:rsidRPr="00225D4D">
        <w:t>eit</w:t>
      </w:r>
      <w:proofErr w:type="spellEnd"/>
      <w:r w:rsidRPr="00225D4D">
        <w:t xml:space="preserve"> kontraktsunntak for standardiserte </w:t>
      </w:r>
      <w:proofErr w:type="spellStart"/>
      <w:r w:rsidRPr="00225D4D">
        <w:t>fastprisavtalar</w:t>
      </w:r>
      <w:proofErr w:type="spellEnd"/>
      <w:r w:rsidRPr="00225D4D">
        <w:t xml:space="preserve"> i grunnrenteskatten for vasskraft. Dermed kan også bedrifter </w:t>
      </w:r>
      <w:proofErr w:type="spellStart"/>
      <w:r w:rsidRPr="00225D4D">
        <w:t>enklare</w:t>
      </w:r>
      <w:proofErr w:type="spellEnd"/>
      <w:r w:rsidRPr="00225D4D">
        <w:t xml:space="preserve"> sikre seg </w:t>
      </w:r>
      <w:proofErr w:type="spellStart"/>
      <w:r w:rsidRPr="00225D4D">
        <w:t>føreseielege</w:t>
      </w:r>
      <w:proofErr w:type="spellEnd"/>
      <w:r w:rsidRPr="00225D4D">
        <w:t xml:space="preserve"> </w:t>
      </w:r>
      <w:proofErr w:type="spellStart"/>
      <w:r w:rsidRPr="00225D4D">
        <w:t>straumprisar</w:t>
      </w:r>
      <w:proofErr w:type="spellEnd"/>
      <w:r w:rsidRPr="00225D4D">
        <w:t>. I august 2025 kunne bedrifter i NO2 inngå fastprisavtale ned mot 69 øre per kWh.</w:t>
      </w:r>
    </w:p>
    <w:p w14:paraId="1FF29917" w14:textId="77777777" w:rsidR="00D60186" w:rsidRPr="00225D4D" w:rsidRDefault="00D60186" w:rsidP="00225D4D">
      <w:r w:rsidRPr="00225D4D">
        <w:t xml:space="preserve">Regjeringa har også innført tiltak for </w:t>
      </w:r>
      <w:proofErr w:type="spellStart"/>
      <w:r w:rsidRPr="00225D4D">
        <w:t>lågare</w:t>
      </w:r>
      <w:proofErr w:type="spellEnd"/>
      <w:r w:rsidRPr="00225D4D">
        <w:t xml:space="preserve"> </w:t>
      </w:r>
      <w:proofErr w:type="spellStart"/>
      <w:r w:rsidRPr="00225D4D">
        <w:t>nettleige</w:t>
      </w:r>
      <w:proofErr w:type="spellEnd"/>
      <w:r w:rsidRPr="00225D4D">
        <w:t xml:space="preserve">. </w:t>
      </w:r>
      <w:proofErr w:type="spellStart"/>
      <w:r w:rsidRPr="00225D4D">
        <w:t>Frå</w:t>
      </w:r>
      <w:proofErr w:type="spellEnd"/>
      <w:r w:rsidRPr="00225D4D">
        <w:t xml:space="preserve"> 1. oktober 2025 blei elavgifta redusert </w:t>
      </w:r>
      <w:proofErr w:type="spellStart"/>
      <w:r w:rsidRPr="00225D4D">
        <w:t>ytterlegare</w:t>
      </w:r>
      <w:proofErr w:type="spellEnd"/>
      <w:r w:rsidRPr="00225D4D">
        <w:t xml:space="preserve">, </w:t>
      </w:r>
      <w:proofErr w:type="spellStart"/>
      <w:r w:rsidRPr="00225D4D">
        <w:t>noko</w:t>
      </w:r>
      <w:proofErr w:type="spellEnd"/>
      <w:r w:rsidRPr="00225D4D">
        <w:t xml:space="preserve"> som gir </w:t>
      </w:r>
      <w:proofErr w:type="spellStart"/>
      <w:r w:rsidRPr="00225D4D">
        <w:t>eit</w:t>
      </w:r>
      <w:proofErr w:type="spellEnd"/>
      <w:r w:rsidRPr="00225D4D">
        <w:t xml:space="preserve"> </w:t>
      </w:r>
      <w:proofErr w:type="spellStart"/>
      <w:r w:rsidRPr="00225D4D">
        <w:t>årleg</w:t>
      </w:r>
      <w:proofErr w:type="spellEnd"/>
      <w:r w:rsidRPr="00225D4D">
        <w:t xml:space="preserve"> avgiftskutt på om lag 3 </w:t>
      </w:r>
      <w:proofErr w:type="spellStart"/>
      <w:r w:rsidRPr="00225D4D">
        <w:t>milliardar</w:t>
      </w:r>
      <w:proofErr w:type="spellEnd"/>
      <w:r w:rsidRPr="00225D4D">
        <w:t xml:space="preserve"> kroner for folk og næringsliv over heile landet. I budsjettet for 2026 foreslår regjeringa å innføre </w:t>
      </w:r>
      <w:proofErr w:type="spellStart"/>
      <w:r w:rsidRPr="00225D4D">
        <w:t>ein</w:t>
      </w:r>
      <w:proofErr w:type="spellEnd"/>
      <w:r w:rsidRPr="00225D4D">
        <w:t xml:space="preserve"> felles sats på 4,18 øre per kWh i elavgift, </w:t>
      </w:r>
      <w:proofErr w:type="spellStart"/>
      <w:r w:rsidRPr="00225D4D">
        <w:t>noko</w:t>
      </w:r>
      <w:proofErr w:type="spellEnd"/>
      <w:r w:rsidRPr="00225D4D">
        <w:t xml:space="preserve"> som </w:t>
      </w:r>
      <w:proofErr w:type="spellStart"/>
      <w:r w:rsidRPr="00225D4D">
        <w:t>kuttar</w:t>
      </w:r>
      <w:proofErr w:type="spellEnd"/>
      <w:r w:rsidRPr="00225D4D">
        <w:t xml:space="preserve"> avgiftene med om lag 4 </w:t>
      </w:r>
      <w:proofErr w:type="spellStart"/>
      <w:r w:rsidRPr="00225D4D">
        <w:t>milliardar</w:t>
      </w:r>
      <w:proofErr w:type="spellEnd"/>
      <w:r w:rsidRPr="00225D4D">
        <w:t xml:space="preserve"> kroner til. Samtidig blir flaskehalsinntekter brukte til å </w:t>
      </w:r>
      <w:proofErr w:type="spellStart"/>
      <w:r w:rsidRPr="00225D4D">
        <w:t>halde</w:t>
      </w:r>
      <w:proofErr w:type="spellEnd"/>
      <w:r w:rsidRPr="00225D4D">
        <w:t xml:space="preserve"> </w:t>
      </w:r>
      <w:proofErr w:type="spellStart"/>
      <w:r w:rsidRPr="00225D4D">
        <w:t>nettleiga</w:t>
      </w:r>
      <w:proofErr w:type="spellEnd"/>
      <w:r w:rsidRPr="00225D4D">
        <w:t xml:space="preserve"> nede i område med høge </w:t>
      </w:r>
      <w:proofErr w:type="spellStart"/>
      <w:r w:rsidRPr="00225D4D">
        <w:t>kraftprisar</w:t>
      </w:r>
      <w:proofErr w:type="spellEnd"/>
      <w:r w:rsidRPr="00225D4D">
        <w:t xml:space="preserve">. </w:t>
      </w:r>
      <w:proofErr w:type="spellStart"/>
      <w:r w:rsidRPr="00225D4D">
        <w:t>Sidan</w:t>
      </w:r>
      <w:proofErr w:type="spellEnd"/>
      <w:r w:rsidRPr="00225D4D">
        <w:t xml:space="preserve"> ordninga kom på plass, er det utbetalt om lag 10 </w:t>
      </w:r>
      <w:proofErr w:type="spellStart"/>
      <w:r w:rsidRPr="00225D4D">
        <w:t>milliardar</w:t>
      </w:r>
      <w:proofErr w:type="spellEnd"/>
      <w:r w:rsidRPr="00225D4D">
        <w:t xml:space="preserve"> kroner til redusert </w:t>
      </w:r>
      <w:proofErr w:type="spellStart"/>
      <w:r w:rsidRPr="00225D4D">
        <w:t>nettleige</w:t>
      </w:r>
      <w:proofErr w:type="spellEnd"/>
      <w:r w:rsidRPr="00225D4D">
        <w:t>.</w:t>
      </w:r>
    </w:p>
    <w:p w14:paraId="38E7D2BC" w14:textId="77777777" w:rsidR="00D60186" w:rsidRPr="00225D4D" w:rsidRDefault="00D60186" w:rsidP="00225D4D">
      <w:r w:rsidRPr="00225D4D">
        <w:t xml:space="preserve">Det </w:t>
      </w:r>
      <w:proofErr w:type="spellStart"/>
      <w:r w:rsidRPr="00225D4D">
        <w:t>viktigaste</w:t>
      </w:r>
      <w:proofErr w:type="spellEnd"/>
      <w:r w:rsidRPr="00225D4D">
        <w:t xml:space="preserve"> vi kan </w:t>
      </w:r>
      <w:proofErr w:type="spellStart"/>
      <w:r w:rsidRPr="00225D4D">
        <w:t>gjere</w:t>
      </w:r>
      <w:proofErr w:type="spellEnd"/>
      <w:r w:rsidRPr="00225D4D">
        <w:t xml:space="preserve"> for å redusere </w:t>
      </w:r>
      <w:proofErr w:type="spellStart"/>
      <w:r w:rsidRPr="00225D4D">
        <w:t>prisforskjellane</w:t>
      </w:r>
      <w:proofErr w:type="spellEnd"/>
      <w:r w:rsidRPr="00225D4D">
        <w:t xml:space="preserve"> på lang sikt, er å sørge for </w:t>
      </w:r>
      <w:proofErr w:type="spellStart"/>
      <w:r w:rsidRPr="00225D4D">
        <w:t>meir</w:t>
      </w:r>
      <w:proofErr w:type="spellEnd"/>
      <w:r w:rsidRPr="00225D4D">
        <w:t xml:space="preserve"> kraft, </w:t>
      </w:r>
      <w:proofErr w:type="spellStart"/>
      <w:r w:rsidRPr="00225D4D">
        <w:t>meir</w:t>
      </w:r>
      <w:proofErr w:type="spellEnd"/>
      <w:r w:rsidRPr="00225D4D">
        <w:t xml:space="preserve"> nett og </w:t>
      </w:r>
      <w:proofErr w:type="spellStart"/>
      <w:r w:rsidRPr="00225D4D">
        <w:t>meir</w:t>
      </w:r>
      <w:proofErr w:type="spellEnd"/>
      <w:r w:rsidRPr="00225D4D">
        <w:t xml:space="preserve"> effektiv bruk av det </w:t>
      </w:r>
      <w:proofErr w:type="spellStart"/>
      <w:r w:rsidRPr="00225D4D">
        <w:t>eksisterande</w:t>
      </w:r>
      <w:proofErr w:type="spellEnd"/>
      <w:r w:rsidRPr="00225D4D">
        <w:t xml:space="preserve"> nettet. Det er regjeringa godt i gang med.</w:t>
      </w:r>
    </w:p>
    <w:p w14:paraId="308C45CC"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105E723D" w14:textId="77777777" w:rsidR="00D60186" w:rsidRPr="00225D4D" w:rsidRDefault="00D60186" w:rsidP="00225D4D">
      <w:pPr>
        <w:pStyle w:val="avsnitt-tittel"/>
      </w:pPr>
      <w:r w:rsidRPr="00225D4D">
        <w:t xml:space="preserve">Utnytting av </w:t>
      </w:r>
      <w:proofErr w:type="spellStart"/>
      <w:r w:rsidRPr="00225D4D">
        <w:t>overskotsvarme</w:t>
      </w:r>
      <w:proofErr w:type="spellEnd"/>
    </w:p>
    <w:p w14:paraId="12513A72" w14:textId="77777777" w:rsidR="00D60186" w:rsidRPr="00225D4D" w:rsidRDefault="00D60186" w:rsidP="00225D4D">
      <w:pPr>
        <w:pStyle w:val="avsnitt-undertittel"/>
      </w:pPr>
      <w:r w:rsidRPr="00225D4D">
        <w:t>Vedtak 1213, 20. juni 2025</w:t>
      </w:r>
    </w:p>
    <w:p w14:paraId="513BE84D" w14:textId="77777777" w:rsidR="00D60186" w:rsidRPr="00225D4D" w:rsidRDefault="00D60186" w:rsidP="00225D4D">
      <w:pPr>
        <w:pStyle w:val="blokksit"/>
      </w:pPr>
      <w:r w:rsidRPr="00225D4D">
        <w:t>«</w:t>
      </w:r>
      <w:r w:rsidRPr="00225D4D">
        <w:rPr>
          <w:rStyle w:val="kursiv"/>
        </w:rPr>
        <w:t>Stortinget ber regjeringen komme tilbake til Stortinget våren 2026 med forslag om krav til utnyttelse av overskuddsvarme i industrien, datasenter og nye virksomheter.</w:t>
      </w:r>
      <w:r w:rsidRPr="00225D4D">
        <w:t>»</w:t>
      </w:r>
    </w:p>
    <w:p w14:paraId="024BB75B" w14:textId="77777777" w:rsidR="00D60186" w:rsidRPr="00225D4D" w:rsidRDefault="00D60186" w:rsidP="00225D4D">
      <w:r w:rsidRPr="00225D4D">
        <w:t xml:space="preserve">Dokumenta som ligg til grunn for vedtaket er Meld. St. 2 (2024–2025) og </w:t>
      </w:r>
      <w:proofErr w:type="spellStart"/>
      <w:r w:rsidRPr="00225D4D">
        <w:t>Innst</w:t>
      </w:r>
      <w:proofErr w:type="spellEnd"/>
      <w:r w:rsidRPr="00225D4D">
        <w:t>. 540 L (2024–2025).</w:t>
      </w:r>
    </w:p>
    <w:p w14:paraId="2DC5C852" w14:textId="77777777" w:rsidR="00D60186" w:rsidRPr="00225D4D" w:rsidRDefault="00D60186" w:rsidP="00225D4D">
      <w:r w:rsidRPr="00225D4D">
        <w:t xml:space="preserve">Departementet viser til oppfølginga av oppmodingsvedtak 78 </w:t>
      </w:r>
      <w:proofErr w:type="spellStart"/>
      <w:r w:rsidRPr="00225D4D">
        <w:t>frå</w:t>
      </w:r>
      <w:proofErr w:type="spellEnd"/>
      <w:r w:rsidRPr="00225D4D">
        <w:t xml:space="preserve"> 5. desember 2024 og oppmodingsvedtak 983 </w:t>
      </w:r>
      <w:proofErr w:type="spellStart"/>
      <w:r w:rsidRPr="00225D4D">
        <w:t>frå</w:t>
      </w:r>
      <w:proofErr w:type="spellEnd"/>
      <w:r w:rsidRPr="00225D4D">
        <w:t xml:space="preserve"> 11. juni 2025, og </w:t>
      </w:r>
      <w:proofErr w:type="spellStart"/>
      <w:r w:rsidRPr="00225D4D">
        <w:t>nærmare</w:t>
      </w:r>
      <w:proofErr w:type="spellEnd"/>
      <w:r w:rsidRPr="00225D4D">
        <w:t xml:space="preserve"> omtale av </w:t>
      </w:r>
      <w:proofErr w:type="spellStart"/>
      <w:r w:rsidRPr="00225D4D">
        <w:t>overskotsvarme</w:t>
      </w:r>
      <w:proofErr w:type="spellEnd"/>
      <w:r w:rsidRPr="00225D4D">
        <w:t xml:space="preserve"> i kapittel 10.2 </w:t>
      </w:r>
      <w:proofErr w:type="spellStart"/>
      <w:r w:rsidRPr="00225D4D">
        <w:t>Verkemiddel</w:t>
      </w:r>
      <w:proofErr w:type="spellEnd"/>
      <w:r w:rsidRPr="00225D4D">
        <w:t xml:space="preserve"> retta mot industri, næringsliv og det </w:t>
      </w:r>
      <w:proofErr w:type="spellStart"/>
      <w:r w:rsidRPr="00225D4D">
        <w:t>offentlege</w:t>
      </w:r>
      <w:proofErr w:type="spellEnd"/>
      <w:r w:rsidRPr="00225D4D">
        <w:t xml:space="preserve"> i del III av proposisjonen.</w:t>
      </w:r>
    </w:p>
    <w:p w14:paraId="17A2B65B" w14:textId="77777777" w:rsidR="00D60186" w:rsidRPr="00225D4D" w:rsidRDefault="00D60186" w:rsidP="00225D4D">
      <w:r w:rsidRPr="00225D4D">
        <w:t xml:space="preserve">Departementet </w:t>
      </w:r>
      <w:proofErr w:type="spellStart"/>
      <w:r w:rsidRPr="00225D4D">
        <w:t>reknar</w:t>
      </w:r>
      <w:proofErr w:type="spellEnd"/>
      <w:r w:rsidRPr="00225D4D">
        <w:t xml:space="preserve"> rapporteringa på dette oppmodingsvedtaket som avslutta.</w:t>
      </w:r>
    </w:p>
    <w:p w14:paraId="583A6CE4" w14:textId="77777777" w:rsidR="00D60186" w:rsidRPr="00225D4D" w:rsidRDefault="00D60186" w:rsidP="00225D4D">
      <w:pPr>
        <w:pStyle w:val="avsnitt-tittel"/>
      </w:pPr>
      <w:r w:rsidRPr="00225D4D">
        <w:t xml:space="preserve">Sikre </w:t>
      </w:r>
      <w:proofErr w:type="spellStart"/>
      <w:r w:rsidRPr="00225D4D">
        <w:t>tilstrekkeleg</w:t>
      </w:r>
      <w:proofErr w:type="spellEnd"/>
      <w:r w:rsidRPr="00225D4D">
        <w:t xml:space="preserve"> krafttilgang i heile Finnmark</w:t>
      </w:r>
    </w:p>
    <w:p w14:paraId="54704AA2" w14:textId="77777777" w:rsidR="00D60186" w:rsidRPr="00225D4D" w:rsidRDefault="00D60186" w:rsidP="00225D4D">
      <w:pPr>
        <w:pStyle w:val="avsnitt-undertittel"/>
      </w:pPr>
      <w:r w:rsidRPr="00225D4D">
        <w:t>Vedtak 1256, 20. juni 2025</w:t>
      </w:r>
    </w:p>
    <w:p w14:paraId="72EC0097" w14:textId="77777777" w:rsidR="00D60186" w:rsidRPr="00225D4D" w:rsidRDefault="00D60186" w:rsidP="00225D4D">
      <w:pPr>
        <w:pStyle w:val="blokksit"/>
      </w:pPr>
      <w:r w:rsidRPr="00225D4D">
        <w:t>«</w:t>
      </w:r>
      <w:r w:rsidRPr="00225D4D">
        <w:rPr>
          <w:rStyle w:val="kursiv"/>
        </w:rPr>
        <w:t>Stortinget ber regjeringen gjøre tiltak for sikre tilstrekkelig krafttilgang til hele Finnmark, herunder også å oppgradere og utvide produksjonen i eksisterende vannkraftverk.</w:t>
      </w:r>
      <w:r w:rsidRPr="00225D4D">
        <w:t>»</w:t>
      </w:r>
    </w:p>
    <w:p w14:paraId="62DF9598" w14:textId="77777777" w:rsidR="00D60186" w:rsidRPr="00225D4D" w:rsidRDefault="00D60186" w:rsidP="00225D4D">
      <w:r w:rsidRPr="00225D4D">
        <w:t xml:space="preserve">Dokumenta som ligg til grunn for vedtaket er Dokument 8:175 S (2024–2025) og </w:t>
      </w:r>
      <w:proofErr w:type="spellStart"/>
      <w:r w:rsidRPr="00225D4D">
        <w:t>Innst</w:t>
      </w:r>
      <w:proofErr w:type="spellEnd"/>
      <w:r w:rsidRPr="00225D4D">
        <w:t>. 541 S (2024–2025).</w:t>
      </w:r>
    </w:p>
    <w:p w14:paraId="367AC20F" w14:textId="77777777" w:rsidR="00D60186" w:rsidRPr="00225D4D" w:rsidRDefault="00D60186" w:rsidP="00225D4D">
      <w:r w:rsidRPr="00225D4D">
        <w:t xml:space="preserve">Regjeringa er opptatt av god framdrift og </w:t>
      </w:r>
      <w:proofErr w:type="spellStart"/>
      <w:r w:rsidRPr="00225D4D">
        <w:t>høg</w:t>
      </w:r>
      <w:proofErr w:type="spellEnd"/>
      <w:r w:rsidRPr="00225D4D">
        <w:t xml:space="preserve"> kvalitet i arbeidet med ny kraftproduksjon og nytt kraftnett i Finnmark, mellom anna i lys av kraft- og industriløftet for Finnmark. Høg prioritering av søknader om nett og ny produksjon i Finnmark er framheva som ei </w:t>
      </w:r>
      <w:proofErr w:type="spellStart"/>
      <w:r w:rsidRPr="00225D4D">
        <w:t>særskild</w:t>
      </w:r>
      <w:proofErr w:type="spellEnd"/>
      <w:r w:rsidRPr="00225D4D">
        <w:t xml:space="preserve"> </w:t>
      </w:r>
      <w:proofErr w:type="spellStart"/>
      <w:r w:rsidRPr="00225D4D">
        <w:t>oppgåve</w:t>
      </w:r>
      <w:proofErr w:type="spellEnd"/>
      <w:r w:rsidRPr="00225D4D">
        <w:t xml:space="preserve"> for NVE i tildelingsbrevet for 2025.</w:t>
      </w:r>
    </w:p>
    <w:p w14:paraId="1E738B20" w14:textId="77777777" w:rsidR="00D60186" w:rsidRPr="00225D4D" w:rsidRDefault="00D60186" w:rsidP="00225D4D">
      <w:r w:rsidRPr="00225D4D">
        <w:t xml:space="preserve">NVE gjennomførte </w:t>
      </w:r>
      <w:proofErr w:type="spellStart"/>
      <w:r w:rsidRPr="00225D4D">
        <w:t>fleire</w:t>
      </w:r>
      <w:proofErr w:type="spellEnd"/>
      <w:r w:rsidRPr="00225D4D">
        <w:t xml:space="preserve"> informasjons- og folkemøte om </w:t>
      </w:r>
      <w:proofErr w:type="spellStart"/>
      <w:r w:rsidRPr="00225D4D">
        <w:t>konsesjonsprosessane</w:t>
      </w:r>
      <w:proofErr w:type="spellEnd"/>
      <w:r w:rsidRPr="00225D4D">
        <w:t xml:space="preserve"> i Finnmark i 2024. Den 24. april 2024 fastsette NVE konsekvensutgreiingsprogram for elleve vindkraftprosjekt i Finnmark. Den 25. juni 2025 fastsette NVE krav om utgreiing av </w:t>
      </w:r>
      <w:proofErr w:type="spellStart"/>
      <w:r w:rsidRPr="00225D4D">
        <w:t>konsekvensar</w:t>
      </w:r>
      <w:proofErr w:type="spellEnd"/>
      <w:r w:rsidRPr="00225D4D">
        <w:t xml:space="preserve"> for reindrift for </w:t>
      </w:r>
      <w:proofErr w:type="spellStart"/>
      <w:r w:rsidRPr="00225D4D">
        <w:t>dei</w:t>
      </w:r>
      <w:proofErr w:type="spellEnd"/>
      <w:r w:rsidRPr="00225D4D">
        <w:t xml:space="preserve"> same elleve vindkraftprosjekta, og utgreiingsprogram for </w:t>
      </w:r>
      <w:proofErr w:type="spellStart"/>
      <w:r w:rsidRPr="00225D4D">
        <w:t>dei</w:t>
      </w:r>
      <w:proofErr w:type="spellEnd"/>
      <w:r w:rsidRPr="00225D4D">
        <w:t xml:space="preserve"> to 132 kV-</w:t>
      </w:r>
      <w:proofErr w:type="spellStart"/>
      <w:r w:rsidRPr="00225D4D">
        <w:t>kraftleidningane</w:t>
      </w:r>
      <w:proofErr w:type="spellEnd"/>
      <w:r w:rsidRPr="00225D4D">
        <w:t xml:space="preserve"> Skaidi–Smørfjord–Honningsvåg og </w:t>
      </w:r>
      <w:proofErr w:type="spellStart"/>
      <w:r w:rsidRPr="00225D4D">
        <w:t>Adamselv</w:t>
      </w:r>
      <w:proofErr w:type="spellEnd"/>
      <w:r w:rsidRPr="00225D4D">
        <w:t xml:space="preserve">–Kjøllefjord–Mehamn. </w:t>
      </w:r>
      <w:proofErr w:type="spellStart"/>
      <w:r w:rsidRPr="00225D4D">
        <w:t>Tiltakshavarane</w:t>
      </w:r>
      <w:proofErr w:type="spellEnd"/>
      <w:r w:rsidRPr="00225D4D">
        <w:t xml:space="preserve"> har </w:t>
      </w:r>
      <w:proofErr w:type="spellStart"/>
      <w:r w:rsidRPr="00225D4D">
        <w:t>no</w:t>
      </w:r>
      <w:proofErr w:type="spellEnd"/>
      <w:r w:rsidRPr="00225D4D">
        <w:t xml:space="preserve"> ansvar for å gjennomføre </w:t>
      </w:r>
      <w:proofErr w:type="spellStart"/>
      <w:r w:rsidRPr="00225D4D">
        <w:t>utgreiingar</w:t>
      </w:r>
      <w:proofErr w:type="spellEnd"/>
      <w:r w:rsidRPr="00225D4D">
        <w:t xml:space="preserve"> i tråd med programma, og </w:t>
      </w:r>
      <w:proofErr w:type="spellStart"/>
      <w:r w:rsidRPr="00225D4D">
        <w:t>desse</w:t>
      </w:r>
      <w:proofErr w:type="spellEnd"/>
      <w:r w:rsidRPr="00225D4D">
        <w:t xml:space="preserve"> blir </w:t>
      </w:r>
      <w:proofErr w:type="spellStart"/>
      <w:r w:rsidRPr="00225D4D">
        <w:t>eit</w:t>
      </w:r>
      <w:proofErr w:type="spellEnd"/>
      <w:r w:rsidRPr="00225D4D">
        <w:t xml:space="preserve"> viktig underlag for framtidige konsesjonssøknader.</w:t>
      </w:r>
    </w:p>
    <w:p w14:paraId="51ACFDA7" w14:textId="77777777" w:rsidR="00D60186" w:rsidRPr="00225D4D" w:rsidRDefault="00D60186" w:rsidP="00225D4D">
      <w:r w:rsidRPr="00225D4D">
        <w:t xml:space="preserve">Statkraft Energi AS planlegg </w:t>
      </w:r>
      <w:proofErr w:type="spellStart"/>
      <w:r w:rsidRPr="00225D4D">
        <w:t>eit</w:t>
      </w:r>
      <w:proofErr w:type="spellEnd"/>
      <w:r w:rsidRPr="00225D4D">
        <w:t xml:space="preserve"> nytt aggregat 3 i Alta kraftverk og sendte søknad til NVE i september 2025. Tiltaket vil kunne </w:t>
      </w:r>
      <w:proofErr w:type="spellStart"/>
      <w:r w:rsidRPr="00225D4D">
        <w:t>auke</w:t>
      </w:r>
      <w:proofErr w:type="spellEnd"/>
      <w:r w:rsidRPr="00225D4D">
        <w:t xml:space="preserve"> den installerte effekten med om lag 120 MW og den </w:t>
      </w:r>
      <w:proofErr w:type="spellStart"/>
      <w:r w:rsidRPr="00225D4D">
        <w:t>årlege</w:t>
      </w:r>
      <w:proofErr w:type="spellEnd"/>
      <w:r w:rsidRPr="00225D4D">
        <w:t xml:space="preserve"> produksjonen med mellom 100 og 150 GWh.</w:t>
      </w:r>
    </w:p>
    <w:p w14:paraId="748BBDE4" w14:textId="77777777" w:rsidR="00D60186" w:rsidRPr="00225D4D" w:rsidRDefault="00D60186" w:rsidP="00225D4D">
      <w:r w:rsidRPr="00225D4D">
        <w:t xml:space="preserve">I statsråd 15. august 2025 </w:t>
      </w:r>
      <w:proofErr w:type="spellStart"/>
      <w:r w:rsidRPr="00225D4D">
        <w:t>fekk</w:t>
      </w:r>
      <w:proofErr w:type="spellEnd"/>
      <w:r w:rsidRPr="00225D4D">
        <w:t xml:space="preserve"> Statnett løyve etter energilova og oreigningslova til å bygge, eige og drive </w:t>
      </w:r>
      <w:proofErr w:type="spellStart"/>
      <w:r w:rsidRPr="00225D4D">
        <w:t>ein</w:t>
      </w:r>
      <w:proofErr w:type="spellEnd"/>
      <w:r w:rsidRPr="00225D4D">
        <w:t xml:space="preserve"> ny 420 kV-</w:t>
      </w:r>
      <w:proofErr w:type="spellStart"/>
      <w:r w:rsidRPr="00225D4D">
        <w:t>leidning</w:t>
      </w:r>
      <w:proofErr w:type="spellEnd"/>
      <w:r w:rsidRPr="00225D4D">
        <w:t xml:space="preserve"> </w:t>
      </w:r>
      <w:proofErr w:type="spellStart"/>
      <w:r w:rsidRPr="00225D4D">
        <w:t>frå</w:t>
      </w:r>
      <w:proofErr w:type="spellEnd"/>
      <w:r w:rsidRPr="00225D4D">
        <w:t xml:space="preserve"> Skaidi til Lebesby og løyve til å bygge nye Lebesby transformatorstasjon. Den nye </w:t>
      </w:r>
      <w:proofErr w:type="spellStart"/>
      <w:r w:rsidRPr="00225D4D">
        <w:t>leidningen</w:t>
      </w:r>
      <w:proofErr w:type="spellEnd"/>
      <w:r w:rsidRPr="00225D4D">
        <w:t xml:space="preserve"> vil styrke </w:t>
      </w:r>
      <w:proofErr w:type="spellStart"/>
      <w:r w:rsidRPr="00225D4D">
        <w:t>forsyningssikkerheita</w:t>
      </w:r>
      <w:proofErr w:type="spellEnd"/>
      <w:r w:rsidRPr="00225D4D">
        <w:t xml:space="preserve"> i Aust-Finnmark. Tiltaket </w:t>
      </w:r>
      <w:proofErr w:type="spellStart"/>
      <w:r w:rsidRPr="00225D4D">
        <w:t>legg</w:t>
      </w:r>
      <w:proofErr w:type="spellEnd"/>
      <w:r w:rsidRPr="00225D4D">
        <w:t xml:space="preserve"> også til rette for </w:t>
      </w:r>
      <w:proofErr w:type="spellStart"/>
      <w:r w:rsidRPr="00225D4D">
        <w:t>auka</w:t>
      </w:r>
      <w:proofErr w:type="spellEnd"/>
      <w:r w:rsidRPr="00225D4D">
        <w:t xml:space="preserve"> kraftproduksjon som kan </w:t>
      </w:r>
      <w:proofErr w:type="spellStart"/>
      <w:r w:rsidRPr="00225D4D">
        <w:t>knytast</w:t>
      </w:r>
      <w:proofErr w:type="spellEnd"/>
      <w:r w:rsidRPr="00225D4D">
        <w:t xml:space="preserve"> til nye Lebesby stasjon. Saman med andre </w:t>
      </w:r>
      <w:proofErr w:type="spellStart"/>
      <w:r w:rsidRPr="00225D4D">
        <w:t>investeringar</w:t>
      </w:r>
      <w:proofErr w:type="spellEnd"/>
      <w:r w:rsidRPr="00225D4D">
        <w:t xml:space="preserve"> kan tiltaket også legge til rette for </w:t>
      </w:r>
      <w:proofErr w:type="spellStart"/>
      <w:r w:rsidRPr="00225D4D">
        <w:t>auka</w:t>
      </w:r>
      <w:proofErr w:type="spellEnd"/>
      <w:r w:rsidRPr="00225D4D">
        <w:t xml:space="preserve"> forbruk i Aust-Finnmark. Same dag som Statnett </w:t>
      </w:r>
      <w:proofErr w:type="spellStart"/>
      <w:r w:rsidRPr="00225D4D">
        <w:t>fekk</w:t>
      </w:r>
      <w:proofErr w:type="spellEnd"/>
      <w:r w:rsidRPr="00225D4D">
        <w:t xml:space="preserve"> konsesjon til tiltaket Skaidi–Lebesby, bad departementet NVE og Statnett om å lage </w:t>
      </w:r>
      <w:proofErr w:type="spellStart"/>
      <w:r w:rsidRPr="00225D4D">
        <w:t>ein</w:t>
      </w:r>
      <w:proofErr w:type="spellEnd"/>
      <w:r w:rsidRPr="00225D4D">
        <w:t xml:space="preserve"> felles framdriftsplan for </w:t>
      </w:r>
      <w:proofErr w:type="spellStart"/>
      <w:r w:rsidRPr="00225D4D">
        <w:t>behandlinga</w:t>
      </w:r>
      <w:proofErr w:type="spellEnd"/>
      <w:r w:rsidRPr="00225D4D">
        <w:t xml:space="preserve"> av konsesjonssøknaden om </w:t>
      </w:r>
      <w:proofErr w:type="spellStart"/>
      <w:r w:rsidRPr="00225D4D">
        <w:t>ein</w:t>
      </w:r>
      <w:proofErr w:type="spellEnd"/>
      <w:r w:rsidRPr="00225D4D">
        <w:t xml:space="preserve"> ny 420 kV-</w:t>
      </w:r>
      <w:proofErr w:type="spellStart"/>
      <w:r w:rsidRPr="00225D4D">
        <w:t>kraftleidning</w:t>
      </w:r>
      <w:proofErr w:type="spellEnd"/>
      <w:r w:rsidRPr="00225D4D">
        <w:t xml:space="preserve"> </w:t>
      </w:r>
      <w:proofErr w:type="spellStart"/>
      <w:r w:rsidRPr="00225D4D">
        <w:t>vidare</w:t>
      </w:r>
      <w:proofErr w:type="spellEnd"/>
      <w:r w:rsidRPr="00225D4D">
        <w:t xml:space="preserve"> </w:t>
      </w:r>
      <w:proofErr w:type="spellStart"/>
      <w:r w:rsidRPr="00225D4D">
        <w:t>austover</w:t>
      </w:r>
      <w:proofErr w:type="spellEnd"/>
      <w:r w:rsidRPr="00225D4D">
        <w:t xml:space="preserve"> i Finnmark, </w:t>
      </w:r>
      <w:proofErr w:type="spellStart"/>
      <w:r w:rsidRPr="00225D4D">
        <w:t>frå</w:t>
      </w:r>
      <w:proofErr w:type="spellEnd"/>
      <w:r w:rsidRPr="00225D4D">
        <w:t xml:space="preserve"> Lebesby til </w:t>
      </w:r>
      <w:proofErr w:type="spellStart"/>
      <w:r w:rsidRPr="00225D4D">
        <w:t>Seidafjellet</w:t>
      </w:r>
      <w:proofErr w:type="spellEnd"/>
      <w:r w:rsidRPr="00225D4D">
        <w:t xml:space="preserve">, med </w:t>
      </w:r>
      <w:proofErr w:type="spellStart"/>
      <w:r w:rsidRPr="00225D4D">
        <w:t>ein</w:t>
      </w:r>
      <w:proofErr w:type="spellEnd"/>
      <w:r w:rsidRPr="00225D4D">
        <w:t xml:space="preserve"> ny stasjon på </w:t>
      </w:r>
      <w:proofErr w:type="spellStart"/>
      <w:r w:rsidRPr="00225D4D">
        <w:t>Seidafjellet</w:t>
      </w:r>
      <w:proofErr w:type="spellEnd"/>
      <w:r w:rsidRPr="00225D4D">
        <w:t xml:space="preserve">. Framdriftsplanen skal mellom anna </w:t>
      </w:r>
      <w:proofErr w:type="spellStart"/>
      <w:r w:rsidRPr="00225D4D">
        <w:t>synleggjere</w:t>
      </w:r>
      <w:proofErr w:type="spellEnd"/>
      <w:r w:rsidRPr="00225D4D">
        <w:t xml:space="preserve"> </w:t>
      </w:r>
      <w:proofErr w:type="spellStart"/>
      <w:r w:rsidRPr="00225D4D">
        <w:t>moglegheiter</w:t>
      </w:r>
      <w:proofErr w:type="spellEnd"/>
      <w:r w:rsidRPr="00225D4D">
        <w:t xml:space="preserve"> og </w:t>
      </w:r>
      <w:proofErr w:type="spellStart"/>
      <w:r w:rsidRPr="00225D4D">
        <w:t>barrierar</w:t>
      </w:r>
      <w:proofErr w:type="spellEnd"/>
      <w:r w:rsidRPr="00225D4D">
        <w:t xml:space="preserve"> for å kunne sette </w:t>
      </w:r>
      <w:proofErr w:type="spellStart"/>
      <w:r w:rsidRPr="00225D4D">
        <w:t>ein</w:t>
      </w:r>
      <w:proofErr w:type="spellEnd"/>
      <w:r w:rsidRPr="00225D4D">
        <w:t xml:space="preserve"> ny </w:t>
      </w:r>
      <w:proofErr w:type="spellStart"/>
      <w:r w:rsidRPr="00225D4D">
        <w:t>leidning</w:t>
      </w:r>
      <w:proofErr w:type="spellEnd"/>
      <w:r w:rsidRPr="00225D4D">
        <w:t xml:space="preserve"> i drift i 2032, </w:t>
      </w:r>
      <w:proofErr w:type="spellStart"/>
      <w:r w:rsidRPr="00225D4D">
        <w:t>utan</w:t>
      </w:r>
      <w:proofErr w:type="spellEnd"/>
      <w:r w:rsidRPr="00225D4D">
        <w:t xml:space="preserve"> å </w:t>
      </w:r>
      <w:proofErr w:type="spellStart"/>
      <w:r w:rsidRPr="00225D4D">
        <w:t>føregripe</w:t>
      </w:r>
      <w:proofErr w:type="spellEnd"/>
      <w:r w:rsidRPr="00225D4D">
        <w:t xml:space="preserve"> vurderinga av spørsmålet om konsesjon eller legge </w:t>
      </w:r>
      <w:proofErr w:type="spellStart"/>
      <w:r w:rsidRPr="00225D4D">
        <w:t>føringar</w:t>
      </w:r>
      <w:proofErr w:type="spellEnd"/>
      <w:r w:rsidRPr="00225D4D">
        <w:t xml:space="preserve"> for NVE sine </w:t>
      </w:r>
      <w:proofErr w:type="spellStart"/>
      <w:r w:rsidRPr="00225D4D">
        <w:t>vurderingar</w:t>
      </w:r>
      <w:proofErr w:type="spellEnd"/>
      <w:r w:rsidRPr="00225D4D">
        <w:t xml:space="preserve"> av den samla </w:t>
      </w:r>
      <w:proofErr w:type="spellStart"/>
      <w:r w:rsidRPr="00225D4D">
        <w:t>samfunnsnytta</w:t>
      </w:r>
      <w:proofErr w:type="spellEnd"/>
      <w:r w:rsidRPr="00225D4D">
        <w:t xml:space="preserve"> til prosjektet. Statnett prioriterer også arbeidet med å greie ut, søke om og eventuelt etablere ei ny styringseining som </w:t>
      </w:r>
      <w:proofErr w:type="spellStart"/>
      <w:r w:rsidRPr="00225D4D">
        <w:t>gjer</w:t>
      </w:r>
      <w:proofErr w:type="spellEnd"/>
      <w:r w:rsidRPr="00225D4D">
        <w:t xml:space="preserve"> det </w:t>
      </w:r>
      <w:proofErr w:type="spellStart"/>
      <w:r w:rsidRPr="00225D4D">
        <w:t>mogleg</w:t>
      </w:r>
      <w:proofErr w:type="spellEnd"/>
      <w:r w:rsidRPr="00225D4D">
        <w:t xml:space="preserve"> å utnytte den </w:t>
      </w:r>
      <w:proofErr w:type="spellStart"/>
      <w:r w:rsidRPr="00225D4D">
        <w:t>eksisterande</w:t>
      </w:r>
      <w:proofErr w:type="spellEnd"/>
      <w:r w:rsidRPr="00225D4D">
        <w:t xml:space="preserve"> 220 kV-</w:t>
      </w:r>
      <w:proofErr w:type="spellStart"/>
      <w:r w:rsidRPr="00225D4D">
        <w:t>leidningen</w:t>
      </w:r>
      <w:proofErr w:type="spellEnd"/>
      <w:r w:rsidRPr="00225D4D">
        <w:t xml:space="preserve"> mellom Aust-Finnmark og Finland betre. Dette tiltaket </w:t>
      </w:r>
      <w:proofErr w:type="spellStart"/>
      <w:r w:rsidRPr="00225D4D">
        <w:t>legg</w:t>
      </w:r>
      <w:proofErr w:type="spellEnd"/>
      <w:r w:rsidRPr="00225D4D">
        <w:t xml:space="preserve"> til rette for nytt og </w:t>
      </w:r>
      <w:proofErr w:type="spellStart"/>
      <w:r w:rsidRPr="00225D4D">
        <w:t>auka</w:t>
      </w:r>
      <w:proofErr w:type="spellEnd"/>
      <w:r w:rsidRPr="00225D4D">
        <w:t xml:space="preserve"> forbruk i Aust-Finnmark.</w:t>
      </w:r>
    </w:p>
    <w:p w14:paraId="3000C5F2"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28B6A0F8" w14:textId="77777777" w:rsidR="00D60186" w:rsidRPr="00225D4D" w:rsidRDefault="00D60186" w:rsidP="00225D4D">
      <w:pPr>
        <w:pStyle w:val="avsnitt-tittel"/>
      </w:pPr>
      <w:r w:rsidRPr="00225D4D">
        <w:t>Rask saksbehandling av søknaden om utbygging av transmisjonsnettet Skaidi–Lebesby–Varangerbotn</w:t>
      </w:r>
    </w:p>
    <w:p w14:paraId="014A0B96" w14:textId="77777777" w:rsidR="00D60186" w:rsidRPr="00225D4D" w:rsidRDefault="00D60186" w:rsidP="00225D4D">
      <w:pPr>
        <w:pStyle w:val="avsnitt-undertittel"/>
      </w:pPr>
      <w:r w:rsidRPr="00225D4D">
        <w:t>Vedtak 1257, 20. juni 2025</w:t>
      </w:r>
    </w:p>
    <w:p w14:paraId="10AB2388" w14:textId="77777777" w:rsidR="00D60186" w:rsidRPr="00225D4D" w:rsidRDefault="00D60186" w:rsidP="00225D4D">
      <w:pPr>
        <w:pStyle w:val="blokksit"/>
      </w:pPr>
      <w:r w:rsidRPr="00225D4D">
        <w:t>«</w:t>
      </w:r>
      <w:r w:rsidRPr="00225D4D">
        <w:rPr>
          <w:rStyle w:val="kursiv"/>
        </w:rPr>
        <w:t>Stortinget ber regjeringen prioritere rask saksbehandling av søknaden om utbygging av transmisjonsnettet fra Skaidi til Lebesby og videre til Varangerbotn for å styrke nettkapasiteten og energisikkerheten.</w:t>
      </w:r>
      <w:r w:rsidRPr="00225D4D">
        <w:t>»</w:t>
      </w:r>
    </w:p>
    <w:p w14:paraId="107EC811" w14:textId="77777777" w:rsidR="00D60186" w:rsidRPr="00225D4D" w:rsidRDefault="00D60186" w:rsidP="00225D4D">
      <w:r w:rsidRPr="00225D4D">
        <w:t xml:space="preserve">Dokumenta som ligg til grunn for vedtaket er Dokument 8:175 S (2024–2025) og </w:t>
      </w:r>
      <w:proofErr w:type="spellStart"/>
      <w:r w:rsidRPr="00225D4D">
        <w:t>Innst</w:t>
      </w:r>
      <w:proofErr w:type="spellEnd"/>
      <w:r w:rsidRPr="00225D4D">
        <w:t>. 541 S (2024–2025).</w:t>
      </w:r>
    </w:p>
    <w:p w14:paraId="6ACDE0DE" w14:textId="77777777" w:rsidR="00D60186" w:rsidRPr="00225D4D" w:rsidRDefault="00D60186" w:rsidP="00225D4D">
      <w:r w:rsidRPr="00225D4D">
        <w:t xml:space="preserve">I statsråd 15. august 2025 </w:t>
      </w:r>
      <w:proofErr w:type="spellStart"/>
      <w:r w:rsidRPr="00225D4D">
        <w:t>fekk</w:t>
      </w:r>
      <w:proofErr w:type="spellEnd"/>
      <w:r w:rsidRPr="00225D4D">
        <w:t xml:space="preserve"> Statnett løyve etter energilova og oreigningslova til å bygge, eige og drive </w:t>
      </w:r>
      <w:proofErr w:type="spellStart"/>
      <w:r w:rsidRPr="00225D4D">
        <w:t>ein</w:t>
      </w:r>
      <w:proofErr w:type="spellEnd"/>
      <w:r w:rsidRPr="00225D4D">
        <w:t xml:space="preserve"> ny 420 kV-</w:t>
      </w:r>
      <w:proofErr w:type="spellStart"/>
      <w:r w:rsidRPr="00225D4D">
        <w:t>leidning</w:t>
      </w:r>
      <w:proofErr w:type="spellEnd"/>
      <w:r w:rsidRPr="00225D4D">
        <w:t xml:space="preserve"> </w:t>
      </w:r>
      <w:proofErr w:type="spellStart"/>
      <w:r w:rsidRPr="00225D4D">
        <w:t>frå</w:t>
      </w:r>
      <w:proofErr w:type="spellEnd"/>
      <w:r w:rsidRPr="00225D4D">
        <w:t xml:space="preserve"> Skaidi til Lebesby og løyve til å bygge nye Lebesby transformatorstasjon. Den nye </w:t>
      </w:r>
      <w:proofErr w:type="spellStart"/>
      <w:r w:rsidRPr="00225D4D">
        <w:t>leidningen</w:t>
      </w:r>
      <w:proofErr w:type="spellEnd"/>
      <w:r w:rsidRPr="00225D4D">
        <w:t xml:space="preserve"> vil styrke </w:t>
      </w:r>
      <w:proofErr w:type="spellStart"/>
      <w:r w:rsidRPr="00225D4D">
        <w:t>forsyningssikkerheita</w:t>
      </w:r>
      <w:proofErr w:type="spellEnd"/>
      <w:r w:rsidRPr="00225D4D">
        <w:t xml:space="preserve"> i Aust-Finnmark. Tiltaket </w:t>
      </w:r>
      <w:proofErr w:type="spellStart"/>
      <w:r w:rsidRPr="00225D4D">
        <w:t>legg</w:t>
      </w:r>
      <w:proofErr w:type="spellEnd"/>
      <w:r w:rsidRPr="00225D4D">
        <w:t xml:space="preserve"> også til rette for </w:t>
      </w:r>
      <w:proofErr w:type="spellStart"/>
      <w:r w:rsidRPr="00225D4D">
        <w:t>auka</w:t>
      </w:r>
      <w:proofErr w:type="spellEnd"/>
      <w:r w:rsidRPr="00225D4D">
        <w:t xml:space="preserve"> kraftproduksjon som kan </w:t>
      </w:r>
      <w:proofErr w:type="spellStart"/>
      <w:r w:rsidRPr="00225D4D">
        <w:t>knytast</w:t>
      </w:r>
      <w:proofErr w:type="spellEnd"/>
      <w:r w:rsidRPr="00225D4D">
        <w:t xml:space="preserve"> til nye Lebesby stasjon. Saman med andre </w:t>
      </w:r>
      <w:proofErr w:type="spellStart"/>
      <w:r w:rsidRPr="00225D4D">
        <w:t>investeringar</w:t>
      </w:r>
      <w:proofErr w:type="spellEnd"/>
      <w:r w:rsidRPr="00225D4D">
        <w:t xml:space="preserve"> kan tiltaket også legge til rette for </w:t>
      </w:r>
      <w:proofErr w:type="spellStart"/>
      <w:r w:rsidRPr="00225D4D">
        <w:t>auka</w:t>
      </w:r>
      <w:proofErr w:type="spellEnd"/>
      <w:r w:rsidRPr="00225D4D">
        <w:t xml:space="preserve"> forbruk i Aust-Finnmark.</w:t>
      </w:r>
    </w:p>
    <w:p w14:paraId="77389F0A" w14:textId="77777777" w:rsidR="00D60186" w:rsidRPr="00225D4D" w:rsidRDefault="00D60186" w:rsidP="00225D4D">
      <w:r w:rsidRPr="00225D4D">
        <w:t xml:space="preserve">Høg prioritering av søknader om mellom anna nett i Finnmark er framheva som ei </w:t>
      </w:r>
      <w:proofErr w:type="spellStart"/>
      <w:r w:rsidRPr="00225D4D">
        <w:t>særskild</w:t>
      </w:r>
      <w:proofErr w:type="spellEnd"/>
      <w:r w:rsidRPr="00225D4D">
        <w:t xml:space="preserve"> </w:t>
      </w:r>
      <w:proofErr w:type="spellStart"/>
      <w:r w:rsidRPr="00225D4D">
        <w:t>oppgåve</w:t>
      </w:r>
      <w:proofErr w:type="spellEnd"/>
      <w:r w:rsidRPr="00225D4D">
        <w:t xml:space="preserve"> for NVE i tildelingsbrevet for 2025. Same dag som Statnett </w:t>
      </w:r>
      <w:proofErr w:type="spellStart"/>
      <w:r w:rsidRPr="00225D4D">
        <w:t>fekk</w:t>
      </w:r>
      <w:proofErr w:type="spellEnd"/>
      <w:r w:rsidRPr="00225D4D">
        <w:t xml:space="preserve"> konsesjon til tiltaket Skaidi–Lebesby, bad departementet NVE og Statnett om å lage </w:t>
      </w:r>
      <w:proofErr w:type="spellStart"/>
      <w:r w:rsidRPr="00225D4D">
        <w:t>ein</w:t>
      </w:r>
      <w:proofErr w:type="spellEnd"/>
      <w:r w:rsidRPr="00225D4D">
        <w:t xml:space="preserve"> felles framdriftsplan for </w:t>
      </w:r>
      <w:proofErr w:type="spellStart"/>
      <w:r w:rsidRPr="00225D4D">
        <w:t>behandlinga</w:t>
      </w:r>
      <w:proofErr w:type="spellEnd"/>
      <w:r w:rsidRPr="00225D4D">
        <w:t xml:space="preserve"> av konsesjonssøknaden om </w:t>
      </w:r>
      <w:proofErr w:type="spellStart"/>
      <w:r w:rsidRPr="00225D4D">
        <w:t>ein</w:t>
      </w:r>
      <w:proofErr w:type="spellEnd"/>
      <w:r w:rsidRPr="00225D4D">
        <w:t xml:space="preserve"> ny 420 kV-</w:t>
      </w:r>
      <w:proofErr w:type="spellStart"/>
      <w:r w:rsidRPr="00225D4D">
        <w:t>kraftleidning</w:t>
      </w:r>
      <w:proofErr w:type="spellEnd"/>
      <w:r w:rsidRPr="00225D4D">
        <w:t xml:space="preserve"> </w:t>
      </w:r>
      <w:proofErr w:type="spellStart"/>
      <w:r w:rsidRPr="00225D4D">
        <w:t>vidare</w:t>
      </w:r>
      <w:proofErr w:type="spellEnd"/>
      <w:r w:rsidRPr="00225D4D">
        <w:t xml:space="preserve"> </w:t>
      </w:r>
      <w:proofErr w:type="spellStart"/>
      <w:r w:rsidRPr="00225D4D">
        <w:t>austover</w:t>
      </w:r>
      <w:proofErr w:type="spellEnd"/>
      <w:r w:rsidRPr="00225D4D">
        <w:t xml:space="preserve"> i Finnmark, </w:t>
      </w:r>
      <w:proofErr w:type="spellStart"/>
      <w:r w:rsidRPr="00225D4D">
        <w:t>frå</w:t>
      </w:r>
      <w:proofErr w:type="spellEnd"/>
      <w:r w:rsidRPr="00225D4D">
        <w:t xml:space="preserve"> Lebesby til </w:t>
      </w:r>
      <w:proofErr w:type="spellStart"/>
      <w:r w:rsidRPr="00225D4D">
        <w:t>Seidafjellet</w:t>
      </w:r>
      <w:proofErr w:type="spellEnd"/>
      <w:r w:rsidRPr="00225D4D">
        <w:t xml:space="preserve">, med </w:t>
      </w:r>
      <w:proofErr w:type="spellStart"/>
      <w:r w:rsidRPr="00225D4D">
        <w:t>ein</w:t>
      </w:r>
      <w:proofErr w:type="spellEnd"/>
      <w:r w:rsidRPr="00225D4D">
        <w:t xml:space="preserve"> ny stasjon på </w:t>
      </w:r>
      <w:proofErr w:type="spellStart"/>
      <w:r w:rsidRPr="00225D4D">
        <w:t>Seidafjellet</w:t>
      </w:r>
      <w:proofErr w:type="spellEnd"/>
      <w:r w:rsidRPr="00225D4D">
        <w:t xml:space="preserve">. Framdriftsplanen skal mellom anna </w:t>
      </w:r>
      <w:proofErr w:type="spellStart"/>
      <w:r w:rsidRPr="00225D4D">
        <w:t>synleggjere</w:t>
      </w:r>
      <w:proofErr w:type="spellEnd"/>
      <w:r w:rsidRPr="00225D4D">
        <w:t xml:space="preserve"> </w:t>
      </w:r>
      <w:proofErr w:type="spellStart"/>
      <w:r w:rsidRPr="00225D4D">
        <w:t>moglegheiter</w:t>
      </w:r>
      <w:proofErr w:type="spellEnd"/>
      <w:r w:rsidRPr="00225D4D">
        <w:t xml:space="preserve"> og </w:t>
      </w:r>
      <w:proofErr w:type="spellStart"/>
      <w:r w:rsidRPr="00225D4D">
        <w:t>barrierar</w:t>
      </w:r>
      <w:proofErr w:type="spellEnd"/>
      <w:r w:rsidRPr="00225D4D">
        <w:t xml:space="preserve"> for å kunne sette </w:t>
      </w:r>
      <w:proofErr w:type="spellStart"/>
      <w:r w:rsidRPr="00225D4D">
        <w:t>ein</w:t>
      </w:r>
      <w:proofErr w:type="spellEnd"/>
      <w:r w:rsidRPr="00225D4D">
        <w:t xml:space="preserve"> ny </w:t>
      </w:r>
      <w:proofErr w:type="spellStart"/>
      <w:r w:rsidRPr="00225D4D">
        <w:t>leidning</w:t>
      </w:r>
      <w:proofErr w:type="spellEnd"/>
      <w:r w:rsidRPr="00225D4D">
        <w:t xml:space="preserve"> i drift i 2032, </w:t>
      </w:r>
      <w:proofErr w:type="spellStart"/>
      <w:r w:rsidRPr="00225D4D">
        <w:t>utan</w:t>
      </w:r>
      <w:proofErr w:type="spellEnd"/>
      <w:r w:rsidRPr="00225D4D">
        <w:t xml:space="preserve"> å </w:t>
      </w:r>
      <w:proofErr w:type="spellStart"/>
      <w:r w:rsidRPr="00225D4D">
        <w:t>føregripe</w:t>
      </w:r>
      <w:proofErr w:type="spellEnd"/>
      <w:r w:rsidRPr="00225D4D">
        <w:t xml:space="preserve"> vurderinga av spørsmålet om konsesjon eller legge </w:t>
      </w:r>
      <w:proofErr w:type="spellStart"/>
      <w:r w:rsidRPr="00225D4D">
        <w:t>føringar</w:t>
      </w:r>
      <w:proofErr w:type="spellEnd"/>
      <w:r w:rsidRPr="00225D4D">
        <w:t xml:space="preserve"> for NVE sine </w:t>
      </w:r>
      <w:proofErr w:type="spellStart"/>
      <w:r w:rsidRPr="00225D4D">
        <w:t>vurderingar</w:t>
      </w:r>
      <w:proofErr w:type="spellEnd"/>
      <w:r w:rsidRPr="00225D4D">
        <w:t xml:space="preserve"> av den samla </w:t>
      </w:r>
      <w:proofErr w:type="spellStart"/>
      <w:r w:rsidRPr="00225D4D">
        <w:t>samfunnsnytta</w:t>
      </w:r>
      <w:proofErr w:type="spellEnd"/>
      <w:r w:rsidRPr="00225D4D">
        <w:t xml:space="preserve"> til prosjektet. Statnett prioriterer også arbeidet med å greie ut, søke om og eventuelt etablere ei ny styringseining som </w:t>
      </w:r>
      <w:proofErr w:type="spellStart"/>
      <w:r w:rsidRPr="00225D4D">
        <w:t>gjer</w:t>
      </w:r>
      <w:proofErr w:type="spellEnd"/>
      <w:r w:rsidRPr="00225D4D">
        <w:t xml:space="preserve"> det </w:t>
      </w:r>
      <w:proofErr w:type="spellStart"/>
      <w:r w:rsidRPr="00225D4D">
        <w:t>mogleg</w:t>
      </w:r>
      <w:proofErr w:type="spellEnd"/>
      <w:r w:rsidRPr="00225D4D">
        <w:t xml:space="preserve"> å utnytte den </w:t>
      </w:r>
      <w:proofErr w:type="spellStart"/>
      <w:r w:rsidRPr="00225D4D">
        <w:t>eksisterande</w:t>
      </w:r>
      <w:proofErr w:type="spellEnd"/>
      <w:r w:rsidRPr="00225D4D">
        <w:t xml:space="preserve"> 220 kV-</w:t>
      </w:r>
      <w:proofErr w:type="spellStart"/>
      <w:r w:rsidRPr="00225D4D">
        <w:t>leidningen</w:t>
      </w:r>
      <w:proofErr w:type="spellEnd"/>
      <w:r w:rsidRPr="00225D4D">
        <w:t xml:space="preserve"> mellom Aust-Finnmark og Finland betre. Dette tiltaket </w:t>
      </w:r>
      <w:proofErr w:type="spellStart"/>
      <w:r w:rsidRPr="00225D4D">
        <w:t>legg</w:t>
      </w:r>
      <w:proofErr w:type="spellEnd"/>
      <w:r w:rsidRPr="00225D4D">
        <w:t xml:space="preserve"> til rette for nytt og </w:t>
      </w:r>
      <w:proofErr w:type="spellStart"/>
      <w:r w:rsidRPr="00225D4D">
        <w:t>auka</w:t>
      </w:r>
      <w:proofErr w:type="spellEnd"/>
      <w:r w:rsidRPr="00225D4D">
        <w:t xml:space="preserve"> forbruk i Aust-Finnmark.</w:t>
      </w:r>
    </w:p>
    <w:p w14:paraId="523A4AED"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21594F86" w14:textId="77777777" w:rsidR="00D60186" w:rsidRPr="00225D4D" w:rsidRDefault="00D60186" w:rsidP="00225D4D">
      <w:pPr>
        <w:pStyle w:val="Overskrift2"/>
      </w:pPr>
      <w:r w:rsidRPr="00225D4D">
        <w:t>Stortingssesjon 2023–2024</w:t>
      </w:r>
    </w:p>
    <w:p w14:paraId="7A4C90F5" w14:textId="77777777" w:rsidR="00D60186" w:rsidRPr="00225D4D" w:rsidRDefault="00D60186" w:rsidP="00225D4D">
      <w:pPr>
        <w:pStyle w:val="avsnitt-tittel"/>
      </w:pPr>
      <w:r w:rsidRPr="00225D4D">
        <w:t xml:space="preserve">Havvind – </w:t>
      </w:r>
      <w:proofErr w:type="spellStart"/>
      <w:r w:rsidRPr="00225D4D">
        <w:t>opne</w:t>
      </w:r>
      <w:proofErr w:type="spellEnd"/>
      <w:r w:rsidRPr="00225D4D">
        <w:t xml:space="preserve"> </w:t>
      </w:r>
      <w:proofErr w:type="spellStart"/>
      <w:r w:rsidRPr="00225D4D">
        <w:t>eit</w:t>
      </w:r>
      <w:proofErr w:type="spellEnd"/>
      <w:r w:rsidRPr="00225D4D">
        <w:t xml:space="preserve"> område i nord</w:t>
      </w:r>
    </w:p>
    <w:p w14:paraId="6661F991" w14:textId="77777777" w:rsidR="00D60186" w:rsidRPr="00225D4D" w:rsidRDefault="00D60186" w:rsidP="00225D4D">
      <w:pPr>
        <w:pStyle w:val="avsnitt-undertittel"/>
      </w:pPr>
      <w:r w:rsidRPr="00225D4D">
        <w:t>Vedtak 96, 4. desember 2023</w:t>
      </w:r>
    </w:p>
    <w:p w14:paraId="57B02589" w14:textId="77777777" w:rsidR="00D60186" w:rsidRPr="00225D4D" w:rsidRDefault="00D60186" w:rsidP="00225D4D">
      <w:pPr>
        <w:pStyle w:val="blokksit"/>
      </w:pPr>
      <w:r w:rsidRPr="00225D4D">
        <w:t>«</w:t>
      </w:r>
      <w:r w:rsidRPr="00225D4D">
        <w:rPr>
          <w:rStyle w:val="kursiv"/>
        </w:rPr>
        <w:t>Stortinget ber regjeringen åpne et område i nord for havvind som kan utlyses senest i 2027, og der det skal legges vekt på at konsekvensene for sameksistens med fiskeri, natur og miljø kan ivaretas på en god måte.</w:t>
      </w:r>
      <w:r w:rsidRPr="00225D4D">
        <w:t>»</w:t>
      </w:r>
    </w:p>
    <w:p w14:paraId="1B9CEE42" w14:textId="77777777" w:rsidR="00D60186" w:rsidRPr="00225D4D" w:rsidRDefault="00D60186" w:rsidP="00225D4D">
      <w:r w:rsidRPr="00225D4D">
        <w:t xml:space="preserve">Dokumenta som ligg til grunn for vedtaket er Meld. St. 1 (2023–2024) og </w:t>
      </w:r>
      <w:proofErr w:type="spellStart"/>
      <w:r w:rsidRPr="00225D4D">
        <w:t>Innst</w:t>
      </w:r>
      <w:proofErr w:type="spellEnd"/>
      <w:r w:rsidRPr="00225D4D">
        <w:t>. 2 S (2023–2024).</w:t>
      </w:r>
    </w:p>
    <w:p w14:paraId="6E6D2C9F" w14:textId="77777777" w:rsidR="00D60186" w:rsidRPr="00225D4D" w:rsidRDefault="00D60186" w:rsidP="00225D4D">
      <w:r w:rsidRPr="00225D4D">
        <w:t xml:space="preserve">Før </w:t>
      </w:r>
      <w:proofErr w:type="spellStart"/>
      <w:r w:rsidRPr="00225D4D">
        <w:t>eit</w:t>
      </w:r>
      <w:proofErr w:type="spellEnd"/>
      <w:r w:rsidRPr="00225D4D">
        <w:t xml:space="preserve"> område kan </w:t>
      </w:r>
      <w:proofErr w:type="spellStart"/>
      <w:r w:rsidRPr="00225D4D">
        <w:t>opnast</w:t>
      </w:r>
      <w:proofErr w:type="spellEnd"/>
      <w:r w:rsidRPr="00225D4D">
        <w:t xml:space="preserve">, må det </w:t>
      </w:r>
      <w:proofErr w:type="spellStart"/>
      <w:r w:rsidRPr="00225D4D">
        <w:t>gjennomførast</w:t>
      </w:r>
      <w:proofErr w:type="spellEnd"/>
      <w:r w:rsidRPr="00225D4D">
        <w:t xml:space="preserve"> ei strategisk konsekvensutgreiing. NVE leverte strategiske </w:t>
      </w:r>
      <w:proofErr w:type="spellStart"/>
      <w:r w:rsidRPr="00225D4D">
        <w:t>konsekvensutgreiingar</w:t>
      </w:r>
      <w:proofErr w:type="spellEnd"/>
      <w:r w:rsidRPr="00225D4D">
        <w:t xml:space="preserve"> for områda som er aktuelle for utlysing framover, inkludert </w:t>
      </w:r>
      <w:proofErr w:type="spellStart"/>
      <w:r w:rsidRPr="00225D4D">
        <w:t>fleire</w:t>
      </w:r>
      <w:proofErr w:type="spellEnd"/>
      <w:r w:rsidRPr="00225D4D">
        <w:t xml:space="preserve"> område i nord, i juni 2025. </w:t>
      </w:r>
      <w:proofErr w:type="spellStart"/>
      <w:r w:rsidRPr="00225D4D">
        <w:t>Utgreiingane</w:t>
      </w:r>
      <w:proofErr w:type="spellEnd"/>
      <w:r w:rsidRPr="00225D4D">
        <w:t xml:space="preserve"> vurderer mellom anna sameksistensen med andre </w:t>
      </w:r>
      <w:proofErr w:type="spellStart"/>
      <w:r w:rsidRPr="00225D4D">
        <w:t>næringar</w:t>
      </w:r>
      <w:proofErr w:type="spellEnd"/>
      <w:r w:rsidRPr="00225D4D">
        <w:t xml:space="preserve"> og omsynet til natur og miljø, og gir viktig informasjon for avgjerder om framtidige </w:t>
      </w:r>
      <w:proofErr w:type="spellStart"/>
      <w:r w:rsidRPr="00225D4D">
        <w:t>opningar</w:t>
      </w:r>
      <w:proofErr w:type="spellEnd"/>
      <w:r w:rsidRPr="00225D4D">
        <w:t xml:space="preserve"> og </w:t>
      </w:r>
      <w:proofErr w:type="spellStart"/>
      <w:r w:rsidRPr="00225D4D">
        <w:t>utlysingar</w:t>
      </w:r>
      <w:proofErr w:type="spellEnd"/>
      <w:r w:rsidRPr="00225D4D">
        <w:t>.</w:t>
      </w:r>
    </w:p>
    <w:p w14:paraId="6D55B703" w14:textId="77777777" w:rsidR="00D60186" w:rsidRPr="00225D4D" w:rsidRDefault="00D60186" w:rsidP="00225D4D">
      <w:proofErr w:type="spellStart"/>
      <w:r w:rsidRPr="00225D4D">
        <w:t>Utgreiingane</w:t>
      </w:r>
      <w:proofErr w:type="spellEnd"/>
      <w:r w:rsidRPr="00225D4D">
        <w:t xml:space="preserve"> er sende på </w:t>
      </w:r>
      <w:proofErr w:type="spellStart"/>
      <w:r w:rsidRPr="00225D4D">
        <w:t>høyring</w:t>
      </w:r>
      <w:proofErr w:type="spellEnd"/>
      <w:r w:rsidRPr="00225D4D">
        <w:t xml:space="preserve"> med frist 1. oktober. Departementet vil utarbeide </w:t>
      </w:r>
      <w:proofErr w:type="spellStart"/>
      <w:r w:rsidRPr="00225D4D">
        <w:t>ein</w:t>
      </w:r>
      <w:proofErr w:type="spellEnd"/>
      <w:r w:rsidRPr="00225D4D">
        <w:t xml:space="preserve"> plan for vegen </w:t>
      </w:r>
      <w:proofErr w:type="spellStart"/>
      <w:r w:rsidRPr="00225D4D">
        <w:t>vidare</w:t>
      </w:r>
      <w:proofErr w:type="spellEnd"/>
      <w:r w:rsidRPr="00225D4D">
        <w:t xml:space="preserve"> for havvind, mellom anna basert på </w:t>
      </w:r>
      <w:proofErr w:type="spellStart"/>
      <w:r w:rsidRPr="00225D4D">
        <w:t>utgreiingane</w:t>
      </w:r>
      <w:proofErr w:type="spellEnd"/>
      <w:r w:rsidRPr="00225D4D">
        <w:t xml:space="preserve"> og </w:t>
      </w:r>
      <w:proofErr w:type="spellStart"/>
      <w:r w:rsidRPr="00225D4D">
        <w:t>høyringsinnspela</w:t>
      </w:r>
      <w:proofErr w:type="spellEnd"/>
      <w:r w:rsidRPr="00225D4D">
        <w:t xml:space="preserve">. Departementet planlegg å lyse ut nye område for havvind </w:t>
      </w:r>
      <w:proofErr w:type="spellStart"/>
      <w:r w:rsidRPr="00225D4D">
        <w:t>jamleg</w:t>
      </w:r>
      <w:proofErr w:type="spellEnd"/>
      <w:r w:rsidRPr="00225D4D">
        <w:t xml:space="preserve"> framover.</w:t>
      </w:r>
    </w:p>
    <w:p w14:paraId="0C5AD39F" w14:textId="77777777" w:rsidR="00D60186" w:rsidRPr="00225D4D" w:rsidRDefault="00D60186" w:rsidP="00225D4D">
      <w:r w:rsidRPr="00225D4D">
        <w:t>Departementet vil komme tilbake til Stortinget på eigna måte.</w:t>
      </w:r>
    </w:p>
    <w:p w14:paraId="13753309" w14:textId="77777777" w:rsidR="00D60186" w:rsidRPr="00225D4D" w:rsidRDefault="00D60186" w:rsidP="00225D4D">
      <w:pPr>
        <w:pStyle w:val="avsnitt-tittel"/>
      </w:pPr>
      <w:r w:rsidRPr="00225D4D">
        <w:t xml:space="preserve">Nye datasenter – utnytting av </w:t>
      </w:r>
      <w:proofErr w:type="spellStart"/>
      <w:r w:rsidRPr="00225D4D">
        <w:t>spillvarme</w:t>
      </w:r>
      <w:proofErr w:type="spellEnd"/>
      <w:r w:rsidRPr="00225D4D">
        <w:t xml:space="preserve"> og </w:t>
      </w:r>
      <w:proofErr w:type="spellStart"/>
      <w:r w:rsidRPr="00225D4D">
        <w:t>eigenproduksjon</w:t>
      </w:r>
      <w:proofErr w:type="spellEnd"/>
      <w:r w:rsidRPr="00225D4D">
        <w:t xml:space="preserve"> av energi- og </w:t>
      </w:r>
      <w:proofErr w:type="spellStart"/>
      <w:r w:rsidRPr="00225D4D">
        <w:t>energilagringsløysingar</w:t>
      </w:r>
      <w:proofErr w:type="spellEnd"/>
    </w:p>
    <w:p w14:paraId="1233A38F" w14:textId="77777777" w:rsidR="00D60186" w:rsidRPr="00225D4D" w:rsidRDefault="00D60186" w:rsidP="00225D4D">
      <w:pPr>
        <w:pStyle w:val="avsnitt-undertittel"/>
      </w:pPr>
      <w:r w:rsidRPr="00225D4D">
        <w:t>Vedtak 717, 6. juni 2024</w:t>
      </w:r>
    </w:p>
    <w:p w14:paraId="62165CC5" w14:textId="77777777" w:rsidR="00D60186" w:rsidRPr="00225D4D" w:rsidRDefault="00D60186" w:rsidP="00225D4D">
      <w:pPr>
        <w:pStyle w:val="blokksit"/>
      </w:pPr>
      <w:r w:rsidRPr="00225D4D">
        <w:t>«</w:t>
      </w:r>
      <w:r w:rsidRPr="00225D4D">
        <w:rPr>
          <w:rStyle w:val="kursiv"/>
        </w:rPr>
        <w:t xml:space="preserve">Stortinget ber regjeringen utarbeide krav til nye datasentre som omhandler utnyttelse av </w:t>
      </w:r>
      <w:proofErr w:type="spellStart"/>
      <w:r w:rsidRPr="00225D4D">
        <w:rPr>
          <w:rStyle w:val="kursiv"/>
        </w:rPr>
        <w:t>spillvarme</w:t>
      </w:r>
      <w:proofErr w:type="spellEnd"/>
      <w:r w:rsidRPr="00225D4D">
        <w:rPr>
          <w:rStyle w:val="kursiv"/>
        </w:rPr>
        <w:t xml:space="preserve"> og egenproduksjon av energi- og energilagringsløsninger der det ligger til rette for dette.</w:t>
      </w:r>
      <w:r w:rsidRPr="00225D4D">
        <w:t>»</w:t>
      </w:r>
    </w:p>
    <w:p w14:paraId="0EF1D7C6" w14:textId="77777777" w:rsidR="00D60186" w:rsidRPr="00225D4D" w:rsidRDefault="00D60186" w:rsidP="00225D4D">
      <w:r w:rsidRPr="00225D4D">
        <w:t xml:space="preserve">I 2023 blei det fastsett krav i energilova om å gjennomføre kost-nytteanalyse av </w:t>
      </w:r>
      <w:proofErr w:type="spellStart"/>
      <w:r w:rsidRPr="00225D4D">
        <w:t>moglegheitene</w:t>
      </w:r>
      <w:proofErr w:type="spellEnd"/>
      <w:r w:rsidRPr="00225D4D">
        <w:t xml:space="preserve"> for å utnytte </w:t>
      </w:r>
      <w:proofErr w:type="spellStart"/>
      <w:r w:rsidRPr="00225D4D">
        <w:t>overskotsvarme</w:t>
      </w:r>
      <w:proofErr w:type="spellEnd"/>
      <w:r w:rsidRPr="00225D4D">
        <w:t xml:space="preserve"> for </w:t>
      </w:r>
      <w:proofErr w:type="spellStart"/>
      <w:r w:rsidRPr="00225D4D">
        <w:t>aktørar</w:t>
      </w:r>
      <w:proofErr w:type="spellEnd"/>
      <w:r w:rsidRPr="00225D4D">
        <w:t xml:space="preserve"> som bygger eller oppgraderer anlegg med stort energibehov. Departementet har konkretisert </w:t>
      </w:r>
      <w:proofErr w:type="spellStart"/>
      <w:r w:rsidRPr="00225D4D">
        <w:t>reglane</w:t>
      </w:r>
      <w:proofErr w:type="spellEnd"/>
      <w:r w:rsidRPr="00225D4D">
        <w:t xml:space="preserve"> i </w:t>
      </w:r>
      <w:r w:rsidRPr="00225D4D">
        <w:rPr>
          <w:rStyle w:val="kursiv"/>
        </w:rPr>
        <w:t>forskrift om kost-nytteanalyse av mulighetene for å utnytte overskuddsvarme</w:t>
      </w:r>
      <w:r w:rsidRPr="00225D4D">
        <w:t xml:space="preserve"> (forskrift om </w:t>
      </w:r>
      <w:proofErr w:type="spellStart"/>
      <w:r w:rsidRPr="00225D4D">
        <w:t>overskotsvarme</w:t>
      </w:r>
      <w:proofErr w:type="spellEnd"/>
      <w:r w:rsidRPr="00225D4D">
        <w:t xml:space="preserve">). Forskrifta </w:t>
      </w:r>
      <w:proofErr w:type="gramStart"/>
      <w:r w:rsidRPr="00225D4D">
        <w:t>trådde</w:t>
      </w:r>
      <w:proofErr w:type="gramEnd"/>
      <w:r w:rsidRPr="00225D4D">
        <w:t xml:space="preserve"> i kraft 1. april 2025. Krava </w:t>
      </w:r>
      <w:proofErr w:type="spellStart"/>
      <w:r w:rsidRPr="00225D4D">
        <w:t>omfattar</w:t>
      </w:r>
      <w:proofErr w:type="spellEnd"/>
      <w:r w:rsidRPr="00225D4D">
        <w:t xml:space="preserve"> mellom anna oppføring av datasenter med over 2 MW tilført elektrisk effekt. Etter dagens regelverk kan NVE – for </w:t>
      </w:r>
      <w:proofErr w:type="spellStart"/>
      <w:r w:rsidRPr="00225D4D">
        <w:t>utvalde</w:t>
      </w:r>
      <w:proofErr w:type="spellEnd"/>
      <w:r w:rsidRPr="00225D4D">
        <w:t xml:space="preserve"> anlegg – </w:t>
      </w:r>
      <w:proofErr w:type="spellStart"/>
      <w:r w:rsidRPr="00225D4D">
        <w:t>gjere</w:t>
      </w:r>
      <w:proofErr w:type="spellEnd"/>
      <w:r w:rsidRPr="00225D4D">
        <w:t xml:space="preserve"> enkeltvedtak om at </w:t>
      </w:r>
      <w:proofErr w:type="spellStart"/>
      <w:r w:rsidRPr="00225D4D">
        <w:t>eit</w:t>
      </w:r>
      <w:proofErr w:type="spellEnd"/>
      <w:r w:rsidRPr="00225D4D">
        <w:t xml:space="preserve"> anlegg </w:t>
      </w:r>
      <w:proofErr w:type="spellStart"/>
      <w:r w:rsidRPr="00225D4D">
        <w:t>ikkje</w:t>
      </w:r>
      <w:proofErr w:type="spellEnd"/>
      <w:r w:rsidRPr="00225D4D">
        <w:t xml:space="preserve"> kan </w:t>
      </w:r>
      <w:proofErr w:type="spellStart"/>
      <w:r w:rsidRPr="00225D4D">
        <w:t>byggast</w:t>
      </w:r>
      <w:proofErr w:type="spellEnd"/>
      <w:r w:rsidRPr="00225D4D">
        <w:t xml:space="preserve"> eller </w:t>
      </w:r>
      <w:proofErr w:type="spellStart"/>
      <w:r w:rsidRPr="00225D4D">
        <w:t>oppgraderast</w:t>
      </w:r>
      <w:proofErr w:type="spellEnd"/>
      <w:r w:rsidRPr="00225D4D">
        <w:t xml:space="preserve"> </w:t>
      </w:r>
      <w:proofErr w:type="spellStart"/>
      <w:r w:rsidRPr="00225D4D">
        <w:t>utan</w:t>
      </w:r>
      <w:proofErr w:type="spellEnd"/>
      <w:r w:rsidRPr="00225D4D">
        <w:t xml:space="preserve"> at </w:t>
      </w:r>
      <w:proofErr w:type="spellStart"/>
      <w:r w:rsidRPr="00225D4D">
        <w:t>overskotsvarmen</w:t>
      </w:r>
      <w:proofErr w:type="spellEnd"/>
      <w:r w:rsidRPr="00225D4D">
        <w:t xml:space="preserve"> blir utnytta.</w:t>
      </w:r>
    </w:p>
    <w:p w14:paraId="6EEF711D" w14:textId="77777777" w:rsidR="00D60186" w:rsidRPr="00225D4D" w:rsidRDefault="00D60186" w:rsidP="00225D4D">
      <w:r w:rsidRPr="00225D4D">
        <w:t xml:space="preserve">Departementet har også greidd ut om det er grunnlag for å stille </w:t>
      </w:r>
      <w:proofErr w:type="spellStart"/>
      <w:r w:rsidRPr="00225D4D">
        <w:t>strengare</w:t>
      </w:r>
      <w:proofErr w:type="spellEnd"/>
      <w:r w:rsidRPr="00225D4D">
        <w:t xml:space="preserve"> krav til utnytting av </w:t>
      </w:r>
      <w:proofErr w:type="spellStart"/>
      <w:r w:rsidRPr="00225D4D">
        <w:t>overskotsvarme</w:t>
      </w:r>
      <w:proofErr w:type="spellEnd"/>
      <w:r w:rsidRPr="00225D4D">
        <w:t xml:space="preserve">. I september 2025 sende departementet ut </w:t>
      </w:r>
      <w:proofErr w:type="spellStart"/>
      <w:r w:rsidRPr="00225D4D">
        <w:t>eit</w:t>
      </w:r>
      <w:proofErr w:type="spellEnd"/>
      <w:r w:rsidRPr="00225D4D">
        <w:t xml:space="preserve"> </w:t>
      </w:r>
      <w:proofErr w:type="spellStart"/>
      <w:r w:rsidRPr="00225D4D">
        <w:t>høyringsforslag</w:t>
      </w:r>
      <w:proofErr w:type="spellEnd"/>
      <w:r w:rsidRPr="00225D4D">
        <w:t xml:space="preserve"> om </w:t>
      </w:r>
      <w:proofErr w:type="spellStart"/>
      <w:r w:rsidRPr="00225D4D">
        <w:t>endringar</w:t>
      </w:r>
      <w:proofErr w:type="spellEnd"/>
      <w:r w:rsidRPr="00225D4D">
        <w:t xml:space="preserve"> i energilova §§ 7-2 til 7-4 som </w:t>
      </w:r>
      <w:proofErr w:type="spellStart"/>
      <w:r w:rsidRPr="00225D4D">
        <w:t>skjerpar</w:t>
      </w:r>
      <w:proofErr w:type="spellEnd"/>
      <w:r w:rsidRPr="00225D4D">
        <w:t xml:space="preserve"> krava til utnytting av </w:t>
      </w:r>
      <w:proofErr w:type="spellStart"/>
      <w:r w:rsidRPr="00225D4D">
        <w:t>overskotsvarme</w:t>
      </w:r>
      <w:proofErr w:type="spellEnd"/>
      <w:r w:rsidRPr="00225D4D">
        <w:t>.</w:t>
      </w:r>
    </w:p>
    <w:p w14:paraId="72D3497D" w14:textId="77777777" w:rsidR="00D60186" w:rsidRPr="00225D4D" w:rsidRDefault="00D60186" w:rsidP="00225D4D">
      <w:r w:rsidRPr="00225D4D">
        <w:t xml:space="preserve">Departementet meiner at det ligg til rette for å utnytte </w:t>
      </w:r>
      <w:proofErr w:type="spellStart"/>
      <w:r w:rsidRPr="00225D4D">
        <w:t>overskotsvarme</w:t>
      </w:r>
      <w:proofErr w:type="spellEnd"/>
      <w:r w:rsidRPr="00225D4D">
        <w:t xml:space="preserve"> dersom </w:t>
      </w:r>
      <w:proofErr w:type="spellStart"/>
      <w:r w:rsidRPr="00225D4D">
        <w:t>fordelane</w:t>
      </w:r>
      <w:proofErr w:type="spellEnd"/>
      <w:r w:rsidRPr="00225D4D">
        <w:t xml:space="preserve"> er større enn kostnadene, og foreslår å innføre </w:t>
      </w:r>
      <w:proofErr w:type="spellStart"/>
      <w:r w:rsidRPr="00225D4D">
        <w:t>ein</w:t>
      </w:r>
      <w:proofErr w:type="spellEnd"/>
      <w:r w:rsidRPr="00225D4D">
        <w:t xml:space="preserve"> </w:t>
      </w:r>
      <w:proofErr w:type="spellStart"/>
      <w:r w:rsidRPr="00225D4D">
        <w:t>hovudregel</w:t>
      </w:r>
      <w:proofErr w:type="spellEnd"/>
      <w:r w:rsidRPr="00225D4D">
        <w:t xml:space="preserve"> om at </w:t>
      </w:r>
      <w:proofErr w:type="spellStart"/>
      <w:r w:rsidRPr="00225D4D">
        <w:t>overskotsvarmen</w:t>
      </w:r>
      <w:proofErr w:type="spellEnd"/>
      <w:r w:rsidRPr="00225D4D">
        <w:t xml:space="preserve"> skal </w:t>
      </w:r>
      <w:proofErr w:type="spellStart"/>
      <w:r w:rsidRPr="00225D4D">
        <w:t>utnyttast</w:t>
      </w:r>
      <w:proofErr w:type="spellEnd"/>
      <w:r w:rsidRPr="00225D4D">
        <w:t xml:space="preserve"> i slike tilfelle. I tillegg foreslår departementet å senke effektgrensene for </w:t>
      </w:r>
      <w:proofErr w:type="spellStart"/>
      <w:r w:rsidRPr="00225D4D">
        <w:t>kva</w:t>
      </w:r>
      <w:proofErr w:type="spellEnd"/>
      <w:r w:rsidRPr="00225D4D">
        <w:t xml:space="preserve"> anlegg som blir omfatta av </w:t>
      </w:r>
      <w:proofErr w:type="spellStart"/>
      <w:r w:rsidRPr="00225D4D">
        <w:t>reglane</w:t>
      </w:r>
      <w:proofErr w:type="spellEnd"/>
      <w:r w:rsidRPr="00225D4D">
        <w:t xml:space="preserve">. For datasenter foreslår regjeringa å senke grensa </w:t>
      </w:r>
      <w:proofErr w:type="spellStart"/>
      <w:r w:rsidRPr="00225D4D">
        <w:t>frå</w:t>
      </w:r>
      <w:proofErr w:type="spellEnd"/>
      <w:r w:rsidRPr="00225D4D">
        <w:t xml:space="preserve"> 2 MW til 1 MW. Plikta til å gjennomføre kost-nytteanalyse ved oppgradering vil departementet utvide til å inkludere mellom anna datasenter. </w:t>
      </w:r>
      <w:proofErr w:type="spellStart"/>
      <w:r w:rsidRPr="00225D4D">
        <w:t>Høyringsforslaget</w:t>
      </w:r>
      <w:proofErr w:type="spellEnd"/>
      <w:r w:rsidRPr="00225D4D">
        <w:t xml:space="preserve"> om utnytting av </w:t>
      </w:r>
      <w:proofErr w:type="spellStart"/>
      <w:r w:rsidRPr="00225D4D">
        <w:t>overskotsvarme</w:t>
      </w:r>
      <w:proofErr w:type="spellEnd"/>
      <w:r w:rsidRPr="00225D4D">
        <w:t xml:space="preserve"> er </w:t>
      </w:r>
      <w:proofErr w:type="spellStart"/>
      <w:r w:rsidRPr="00225D4D">
        <w:t>nærmare</w:t>
      </w:r>
      <w:proofErr w:type="spellEnd"/>
      <w:r w:rsidRPr="00225D4D">
        <w:t xml:space="preserve"> omtalt i kapittel 10.2 </w:t>
      </w:r>
      <w:proofErr w:type="spellStart"/>
      <w:r w:rsidRPr="00225D4D">
        <w:t>Verkemiddel</w:t>
      </w:r>
      <w:proofErr w:type="spellEnd"/>
      <w:r w:rsidRPr="00225D4D">
        <w:t xml:space="preserve"> retta mot industri, næringsliv og det </w:t>
      </w:r>
      <w:proofErr w:type="spellStart"/>
      <w:r w:rsidRPr="00225D4D">
        <w:t>offentlege</w:t>
      </w:r>
      <w:proofErr w:type="spellEnd"/>
      <w:r w:rsidRPr="00225D4D">
        <w:t xml:space="preserve"> i del III av proposisjonen.</w:t>
      </w:r>
    </w:p>
    <w:p w14:paraId="2EB7263D" w14:textId="77777777" w:rsidR="00D60186" w:rsidRPr="00225D4D" w:rsidRDefault="00D60186" w:rsidP="00225D4D">
      <w:proofErr w:type="spellStart"/>
      <w:r w:rsidRPr="00225D4D">
        <w:t>Eigenproduksjon</w:t>
      </w:r>
      <w:proofErr w:type="spellEnd"/>
      <w:r w:rsidRPr="00225D4D">
        <w:t xml:space="preserve"> av energi og energilagring er begge </w:t>
      </w:r>
      <w:proofErr w:type="gramStart"/>
      <w:r w:rsidRPr="00225D4D">
        <w:t>potensielle</w:t>
      </w:r>
      <w:proofErr w:type="gramEnd"/>
      <w:r w:rsidRPr="00225D4D">
        <w:t xml:space="preserve"> etterspørselspunkt for </w:t>
      </w:r>
      <w:proofErr w:type="spellStart"/>
      <w:r w:rsidRPr="00225D4D">
        <w:t>overskotsvarmen</w:t>
      </w:r>
      <w:proofErr w:type="spellEnd"/>
      <w:r w:rsidRPr="00225D4D">
        <w:t xml:space="preserve">. Blir krava til utnyttinga av </w:t>
      </w:r>
      <w:proofErr w:type="spellStart"/>
      <w:r w:rsidRPr="00225D4D">
        <w:t>overskotsvarme</w:t>
      </w:r>
      <w:proofErr w:type="spellEnd"/>
      <w:r w:rsidRPr="00225D4D">
        <w:t xml:space="preserve"> skjerpa, vil det resultere i at </w:t>
      </w:r>
      <w:proofErr w:type="gramStart"/>
      <w:r w:rsidRPr="00225D4D">
        <w:t>potensielle</w:t>
      </w:r>
      <w:proofErr w:type="gramEnd"/>
      <w:r w:rsidRPr="00225D4D">
        <w:t xml:space="preserve"> etterspørselspunkt, slik som </w:t>
      </w:r>
      <w:proofErr w:type="spellStart"/>
      <w:r w:rsidRPr="00225D4D">
        <w:t>eigenproduksjon</w:t>
      </w:r>
      <w:proofErr w:type="spellEnd"/>
      <w:r w:rsidRPr="00225D4D">
        <w:t xml:space="preserve"> og energilagring, også blir vurderte. I tillegg har det etter oppmodingsvedtaket komme </w:t>
      </w:r>
      <w:proofErr w:type="spellStart"/>
      <w:r w:rsidRPr="00225D4D">
        <w:t>fleire</w:t>
      </w:r>
      <w:proofErr w:type="spellEnd"/>
      <w:r w:rsidRPr="00225D4D">
        <w:t xml:space="preserve"> nye føresegner i norsk regelverk som </w:t>
      </w:r>
      <w:proofErr w:type="spellStart"/>
      <w:r w:rsidRPr="00225D4D">
        <w:t>legg</w:t>
      </w:r>
      <w:proofErr w:type="spellEnd"/>
      <w:r w:rsidRPr="00225D4D">
        <w:t xml:space="preserve"> til rette for </w:t>
      </w:r>
      <w:proofErr w:type="spellStart"/>
      <w:r w:rsidRPr="00225D4D">
        <w:t>eigenproduksjon</w:t>
      </w:r>
      <w:proofErr w:type="spellEnd"/>
      <w:r w:rsidRPr="00225D4D">
        <w:t xml:space="preserve"> av energi og energilagring. Etter forskrift om </w:t>
      </w:r>
      <w:proofErr w:type="spellStart"/>
      <w:r w:rsidRPr="00225D4D">
        <w:t>overskotsvarme</w:t>
      </w:r>
      <w:proofErr w:type="spellEnd"/>
      <w:r w:rsidRPr="00225D4D">
        <w:t xml:space="preserve">, som </w:t>
      </w:r>
      <w:proofErr w:type="gramStart"/>
      <w:r w:rsidRPr="00225D4D">
        <w:t>trådde</w:t>
      </w:r>
      <w:proofErr w:type="gramEnd"/>
      <w:r w:rsidRPr="00225D4D">
        <w:t xml:space="preserve"> i kraft 1. april 2025, skal energilagring </w:t>
      </w:r>
      <w:proofErr w:type="spellStart"/>
      <w:r w:rsidRPr="00225D4D">
        <w:t>vurderast</w:t>
      </w:r>
      <w:proofErr w:type="spellEnd"/>
      <w:r w:rsidRPr="00225D4D">
        <w:t xml:space="preserve"> som </w:t>
      </w:r>
      <w:proofErr w:type="spellStart"/>
      <w:r w:rsidRPr="00225D4D">
        <w:t>avtakar</w:t>
      </w:r>
      <w:proofErr w:type="spellEnd"/>
      <w:r w:rsidRPr="00225D4D">
        <w:t xml:space="preserve"> av </w:t>
      </w:r>
      <w:proofErr w:type="spellStart"/>
      <w:r w:rsidRPr="00225D4D">
        <w:t>overskotsvarmen</w:t>
      </w:r>
      <w:proofErr w:type="spellEnd"/>
      <w:r w:rsidRPr="00225D4D">
        <w:t xml:space="preserve">. Her seier § 9 at kost-nytteanalysen skal ta omsyn til «[…] alle aktuelle eksisterende eller </w:t>
      </w:r>
      <w:proofErr w:type="gramStart"/>
      <w:r w:rsidRPr="00225D4D">
        <w:t>potensielle</w:t>
      </w:r>
      <w:proofErr w:type="gramEnd"/>
      <w:r w:rsidRPr="00225D4D">
        <w:t xml:space="preserve"> etterspørselspunkter for varme som kan forsynes fra anlegget». </w:t>
      </w:r>
      <w:proofErr w:type="spellStart"/>
      <w:r w:rsidRPr="00225D4D">
        <w:t>Vidare</w:t>
      </w:r>
      <w:proofErr w:type="spellEnd"/>
      <w:r w:rsidRPr="00225D4D">
        <w:t xml:space="preserve"> skal det i kost-nytteanalysen «[…] gjøres en vurdering av om kraftproduksjon er en aktuell mulighet, og eventuelt beskrive lønnsomheten i dette». </w:t>
      </w:r>
      <w:r w:rsidRPr="00225D4D">
        <w:rPr>
          <w:rStyle w:val="kursiv"/>
        </w:rPr>
        <w:t>Forskrift om energikartlegging</w:t>
      </w:r>
      <w:r w:rsidRPr="00225D4D">
        <w:t xml:space="preserve">, som </w:t>
      </w:r>
      <w:proofErr w:type="gramStart"/>
      <w:r w:rsidRPr="00225D4D">
        <w:t>trådde</w:t>
      </w:r>
      <w:proofErr w:type="gramEnd"/>
      <w:r w:rsidRPr="00225D4D">
        <w:t xml:space="preserve"> i kraft 1. oktober 2024, stiller krav om at alle </w:t>
      </w:r>
      <w:proofErr w:type="spellStart"/>
      <w:r w:rsidRPr="00225D4D">
        <w:t>føretak</w:t>
      </w:r>
      <w:proofErr w:type="spellEnd"/>
      <w:r w:rsidRPr="00225D4D">
        <w:t xml:space="preserve"> med </w:t>
      </w:r>
      <w:proofErr w:type="spellStart"/>
      <w:r w:rsidRPr="00225D4D">
        <w:t>eit</w:t>
      </w:r>
      <w:proofErr w:type="spellEnd"/>
      <w:r w:rsidRPr="00225D4D">
        <w:t xml:space="preserve"> </w:t>
      </w:r>
      <w:proofErr w:type="spellStart"/>
      <w:r w:rsidRPr="00225D4D">
        <w:t>årleg</w:t>
      </w:r>
      <w:proofErr w:type="spellEnd"/>
      <w:r w:rsidRPr="00225D4D">
        <w:t xml:space="preserve"> </w:t>
      </w:r>
      <w:proofErr w:type="spellStart"/>
      <w:r w:rsidRPr="00225D4D">
        <w:t>gjennomsnittleg</w:t>
      </w:r>
      <w:proofErr w:type="spellEnd"/>
      <w:r w:rsidRPr="00225D4D">
        <w:t xml:space="preserve"> energibruk i </w:t>
      </w:r>
      <w:proofErr w:type="spellStart"/>
      <w:r w:rsidRPr="00225D4D">
        <w:t>Noreg</w:t>
      </w:r>
      <w:proofErr w:type="spellEnd"/>
      <w:r w:rsidRPr="00225D4D">
        <w:t xml:space="preserve"> på minst 2,5 GWh skal gjennomføre regelmessige </w:t>
      </w:r>
      <w:proofErr w:type="spellStart"/>
      <w:r w:rsidRPr="00225D4D">
        <w:t>energikartleggingar</w:t>
      </w:r>
      <w:proofErr w:type="spellEnd"/>
      <w:r w:rsidRPr="00225D4D">
        <w:t>. Etter energikartleggingsforskrifta § 4 skal kartlegginga identifisere «[…] muligheter for kostnadseffektiv produksjon av fornybar energi».</w:t>
      </w:r>
    </w:p>
    <w:p w14:paraId="4342C64E" w14:textId="77777777" w:rsidR="00D60186" w:rsidRPr="00225D4D" w:rsidRDefault="00D60186" w:rsidP="00225D4D">
      <w:r w:rsidRPr="00225D4D">
        <w:t xml:space="preserve">Departementet viser også til oppfølginga av oppmodingsvedtak 78 av 5. desember 2024, -vedtak 983 av 11. juni 2025, -vedtak 1213 av 20. juni 2025 og </w:t>
      </w:r>
      <w:proofErr w:type="spellStart"/>
      <w:r w:rsidRPr="00225D4D">
        <w:t>nærmare</w:t>
      </w:r>
      <w:proofErr w:type="spellEnd"/>
      <w:r w:rsidRPr="00225D4D">
        <w:t xml:space="preserve"> omtale i kapittel 10.2 </w:t>
      </w:r>
      <w:proofErr w:type="spellStart"/>
      <w:r w:rsidRPr="00225D4D">
        <w:t>Verkemiddel</w:t>
      </w:r>
      <w:proofErr w:type="spellEnd"/>
      <w:r w:rsidRPr="00225D4D">
        <w:t xml:space="preserve"> retta mot industri, næringsliv og det </w:t>
      </w:r>
      <w:proofErr w:type="spellStart"/>
      <w:r w:rsidRPr="00225D4D">
        <w:t>offentlege</w:t>
      </w:r>
      <w:proofErr w:type="spellEnd"/>
      <w:r w:rsidRPr="00225D4D">
        <w:t xml:space="preserve"> i del III av proposisjonen.</w:t>
      </w:r>
    </w:p>
    <w:p w14:paraId="73BE777F"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6CFB492E" w14:textId="77777777" w:rsidR="00D60186" w:rsidRPr="00225D4D" w:rsidRDefault="00D60186" w:rsidP="00225D4D">
      <w:pPr>
        <w:pStyle w:val="avsnitt-tittel"/>
      </w:pPr>
      <w:proofErr w:type="spellStart"/>
      <w:r w:rsidRPr="00225D4D">
        <w:t>Energipartnarskap</w:t>
      </w:r>
      <w:proofErr w:type="spellEnd"/>
      <w:r w:rsidRPr="00225D4D">
        <w:t xml:space="preserve"> med olje- og gassnæringa</w:t>
      </w:r>
    </w:p>
    <w:p w14:paraId="7F336843" w14:textId="77777777" w:rsidR="00D60186" w:rsidRPr="00225D4D" w:rsidRDefault="00D60186" w:rsidP="00225D4D">
      <w:pPr>
        <w:pStyle w:val="avsnitt-undertittel"/>
      </w:pPr>
      <w:r w:rsidRPr="00225D4D">
        <w:t>Vedtak 910, 21. juni 2024</w:t>
      </w:r>
    </w:p>
    <w:p w14:paraId="7233CA99" w14:textId="77777777" w:rsidR="00D60186" w:rsidRPr="00225D4D" w:rsidRDefault="00D60186" w:rsidP="00225D4D">
      <w:pPr>
        <w:pStyle w:val="blokksit"/>
      </w:pPr>
      <w:r w:rsidRPr="00225D4D">
        <w:t>«</w:t>
      </w:r>
      <w:r w:rsidRPr="00225D4D">
        <w:rPr>
          <w:rStyle w:val="kursiv"/>
        </w:rPr>
        <w:t>Stortinget ber regjeringen videreføre dialogen og konkretisere innholdet i et energipartnerskap med olje- og gassnæringen, vedtatt i forbindelse med oljeskattepakken, i tråd med omtalen i Revidert nasjonalbudsjett 2024, med sikte på fortsatte utslippsreduksjoner i næringen for å bidra til å nå klimamålet i 2030. Et viktig premiss for partnerskapet er at olje- og gassnæringen innenfor det finanspolitiske rammeverket skal bidra mer til finansieringen av flytende havvind enn de gjør i dag, ved at CO</w:t>
      </w:r>
      <w:r w:rsidRPr="00225D4D">
        <w:rPr>
          <w:rStyle w:val="skrift-senket"/>
        </w:rPr>
        <w:t>2</w:t>
      </w:r>
      <w:r w:rsidRPr="00225D4D">
        <w:rPr>
          <w:rStyle w:val="kursiv"/>
        </w:rPr>
        <w:t>-avgiften på sokkelen skal økes frem mot 2030.</w:t>
      </w:r>
      <w:r w:rsidRPr="00225D4D">
        <w:t>»</w:t>
      </w:r>
    </w:p>
    <w:p w14:paraId="47F03DF4" w14:textId="77777777" w:rsidR="00D60186" w:rsidRPr="00225D4D" w:rsidRDefault="00D60186" w:rsidP="00225D4D">
      <w:r w:rsidRPr="00225D4D">
        <w:t xml:space="preserve">Dokumenta som ligg til grunn for vedtaket er Meld. St. 2 (2023–2024) og </w:t>
      </w:r>
      <w:proofErr w:type="spellStart"/>
      <w:r w:rsidRPr="00225D4D">
        <w:t>Innst</w:t>
      </w:r>
      <w:proofErr w:type="spellEnd"/>
      <w:r w:rsidRPr="00225D4D">
        <w:t>. 447 S (2023–2024).</w:t>
      </w:r>
    </w:p>
    <w:p w14:paraId="6685828B" w14:textId="77777777" w:rsidR="00D60186" w:rsidRPr="00225D4D" w:rsidRDefault="00D60186" w:rsidP="00225D4D">
      <w:r w:rsidRPr="00225D4D">
        <w:t xml:space="preserve">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ei fråsegn </w:t>
      </w:r>
      <w:proofErr w:type="spellStart"/>
      <w:r w:rsidRPr="00225D4D">
        <w:t>frå</w:t>
      </w:r>
      <w:proofErr w:type="spellEnd"/>
      <w:r w:rsidRPr="00225D4D">
        <w:t xml:space="preserve"> </w:t>
      </w:r>
      <w:proofErr w:type="spellStart"/>
      <w:r w:rsidRPr="00225D4D">
        <w:t>fleirtalet</w:t>
      </w:r>
      <w:proofErr w:type="spellEnd"/>
      <w:r w:rsidRPr="00225D4D">
        <w:t xml:space="preserve"> i energi- og miljøkomiteen, som viser til omtalen av vedtaket i Meld. St. 4 (2024–2025). </w:t>
      </w:r>
      <w:proofErr w:type="spellStart"/>
      <w:r w:rsidRPr="00225D4D">
        <w:t>Fleirtalet</w:t>
      </w:r>
      <w:proofErr w:type="spellEnd"/>
      <w:r w:rsidRPr="00225D4D">
        <w:t xml:space="preserve"> er </w:t>
      </w:r>
      <w:proofErr w:type="spellStart"/>
      <w:r w:rsidRPr="00225D4D">
        <w:t>einige</w:t>
      </w:r>
      <w:proofErr w:type="spellEnd"/>
      <w:r w:rsidRPr="00225D4D">
        <w:t xml:space="preserve"> om at rapporteringa på vedtaket </w:t>
      </w:r>
      <w:proofErr w:type="spellStart"/>
      <w:r w:rsidRPr="00225D4D">
        <w:t>ikkje</w:t>
      </w:r>
      <w:proofErr w:type="spellEnd"/>
      <w:r w:rsidRPr="00225D4D">
        <w:t xml:space="preserve"> kan </w:t>
      </w:r>
      <w:proofErr w:type="spellStart"/>
      <w:r w:rsidRPr="00225D4D">
        <w:t>avsluttast</w:t>
      </w:r>
      <w:proofErr w:type="spellEnd"/>
      <w:r w:rsidRPr="00225D4D">
        <w:t xml:space="preserve"> no.</w:t>
      </w:r>
    </w:p>
    <w:p w14:paraId="2AEE0496" w14:textId="77777777" w:rsidR="00D60186" w:rsidRPr="00225D4D" w:rsidRDefault="00D60186" w:rsidP="00225D4D">
      <w:r w:rsidRPr="00225D4D">
        <w:t xml:space="preserve">Departementet har gjort greie for oppfølginga av oppmodingsvedtaket i kapittel 6.3 Status for utsleppsutviklinga i </w:t>
      </w:r>
      <w:proofErr w:type="spellStart"/>
      <w:r w:rsidRPr="00225D4D">
        <w:t>petroleumsverksemda</w:t>
      </w:r>
      <w:proofErr w:type="spellEnd"/>
      <w:r w:rsidRPr="00225D4D">
        <w:t xml:space="preserve"> i del III av proposisjonen.</w:t>
      </w:r>
    </w:p>
    <w:p w14:paraId="0832AC29"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1B03672E" w14:textId="77777777" w:rsidR="00D60186" w:rsidRPr="00225D4D" w:rsidRDefault="00D60186" w:rsidP="00225D4D">
      <w:pPr>
        <w:pStyle w:val="avsnitt-tittel"/>
      </w:pPr>
      <w:r w:rsidRPr="00225D4D">
        <w:t xml:space="preserve">Fjerne konsesjonsplikt for </w:t>
      </w:r>
      <w:proofErr w:type="spellStart"/>
      <w:r w:rsidRPr="00225D4D">
        <w:t>solparkar</w:t>
      </w:r>
      <w:proofErr w:type="spellEnd"/>
      <w:r w:rsidRPr="00225D4D">
        <w:t xml:space="preserve"> opp til 10 MW</w:t>
      </w:r>
    </w:p>
    <w:p w14:paraId="6C9A11B8" w14:textId="77777777" w:rsidR="00D60186" w:rsidRPr="00225D4D" w:rsidRDefault="00D60186" w:rsidP="00225D4D">
      <w:pPr>
        <w:pStyle w:val="avsnitt-undertittel"/>
      </w:pPr>
      <w:r w:rsidRPr="00225D4D">
        <w:t>Vedtak 913, 21. juni 2024</w:t>
      </w:r>
    </w:p>
    <w:p w14:paraId="6DA6C105" w14:textId="77777777" w:rsidR="00D60186" w:rsidRPr="00225D4D" w:rsidRDefault="00D60186" w:rsidP="00225D4D">
      <w:pPr>
        <w:pStyle w:val="blokksit"/>
      </w:pPr>
      <w:r w:rsidRPr="00225D4D">
        <w:t>«</w:t>
      </w:r>
      <w:r w:rsidRPr="00225D4D">
        <w:rPr>
          <w:rStyle w:val="kursiv"/>
        </w:rPr>
        <w:t>Stortinget ber regjeringen i løpet av vårsesjonen 2025 fjerne konsesjonsplikt for solparker opp til 10 MW lokalisert på industritomter, næringsarealer, flystriper eller lignende, slik at tillatelser gis av kommunene etter plan- og bygningsloven.</w:t>
      </w:r>
      <w:r w:rsidRPr="00225D4D">
        <w:t>»</w:t>
      </w:r>
    </w:p>
    <w:p w14:paraId="3147BC5A" w14:textId="77777777" w:rsidR="00D60186" w:rsidRPr="00225D4D" w:rsidRDefault="00D60186" w:rsidP="00225D4D">
      <w:r w:rsidRPr="00225D4D">
        <w:t xml:space="preserve">Dokumenta som ligg til grunn for vedtaket er Meld. St. 2 (2023–2024) og </w:t>
      </w:r>
      <w:proofErr w:type="spellStart"/>
      <w:r w:rsidRPr="00225D4D">
        <w:t>Innst</w:t>
      </w:r>
      <w:proofErr w:type="spellEnd"/>
      <w:r w:rsidRPr="00225D4D">
        <w:t>. 447 S (2023–2024).</w:t>
      </w:r>
    </w:p>
    <w:p w14:paraId="281192F3" w14:textId="77777777" w:rsidR="00D60186" w:rsidRPr="00225D4D" w:rsidRDefault="00D60186" w:rsidP="00225D4D">
      <w:r w:rsidRPr="00225D4D">
        <w:t xml:space="preserve">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ei fråsegn </w:t>
      </w:r>
      <w:proofErr w:type="spellStart"/>
      <w:r w:rsidRPr="00225D4D">
        <w:t>frå</w:t>
      </w:r>
      <w:proofErr w:type="spellEnd"/>
      <w:r w:rsidRPr="00225D4D">
        <w:t xml:space="preserve"> </w:t>
      </w:r>
      <w:proofErr w:type="spellStart"/>
      <w:r w:rsidRPr="00225D4D">
        <w:t>fleirtalet</w:t>
      </w:r>
      <w:proofErr w:type="spellEnd"/>
      <w:r w:rsidRPr="00225D4D">
        <w:t xml:space="preserve"> i energi- og miljøkomiteen, som viser til at forslaget har </w:t>
      </w:r>
      <w:proofErr w:type="spellStart"/>
      <w:r w:rsidRPr="00225D4D">
        <w:t>vore</w:t>
      </w:r>
      <w:proofErr w:type="spellEnd"/>
      <w:r w:rsidRPr="00225D4D">
        <w:t xml:space="preserve"> på </w:t>
      </w:r>
      <w:proofErr w:type="spellStart"/>
      <w:r w:rsidRPr="00225D4D">
        <w:t>høyring</w:t>
      </w:r>
      <w:proofErr w:type="spellEnd"/>
      <w:r w:rsidRPr="00225D4D">
        <w:t xml:space="preserve">, men meiner at vedtaket </w:t>
      </w:r>
      <w:proofErr w:type="spellStart"/>
      <w:r w:rsidRPr="00225D4D">
        <w:t>ikkje</w:t>
      </w:r>
      <w:proofErr w:type="spellEnd"/>
      <w:r w:rsidRPr="00225D4D">
        <w:t xml:space="preserve"> kan kvitterast ut før konsesjonsplikta for </w:t>
      </w:r>
      <w:proofErr w:type="spellStart"/>
      <w:r w:rsidRPr="00225D4D">
        <w:t>solparkar</w:t>
      </w:r>
      <w:proofErr w:type="spellEnd"/>
      <w:r w:rsidRPr="00225D4D">
        <w:t xml:space="preserve"> opp til 10 MW lokalisert på industritomter, næringsareal, flystriper eller </w:t>
      </w:r>
      <w:proofErr w:type="spellStart"/>
      <w:r w:rsidRPr="00225D4D">
        <w:t>liknande</w:t>
      </w:r>
      <w:proofErr w:type="spellEnd"/>
      <w:r w:rsidRPr="00225D4D">
        <w:t xml:space="preserve"> er fjerna, slik at løyve blir gitt av </w:t>
      </w:r>
      <w:proofErr w:type="spellStart"/>
      <w:r w:rsidRPr="00225D4D">
        <w:t>kommunane</w:t>
      </w:r>
      <w:proofErr w:type="spellEnd"/>
      <w:r w:rsidRPr="00225D4D">
        <w:t xml:space="preserve"> etter plan- og bygningslova.</w:t>
      </w:r>
    </w:p>
    <w:p w14:paraId="453F4E57" w14:textId="77777777" w:rsidR="00D60186" w:rsidRPr="00225D4D" w:rsidRDefault="00D60186" w:rsidP="00225D4D">
      <w:r w:rsidRPr="00225D4D">
        <w:t xml:space="preserve">Departementet har fastsett ei effektgrense på 10 MW for konsesjonsplikt for solkraftanlegg. Solkraftanlegg med installert effekt på 10 MW eller mindre treng </w:t>
      </w:r>
      <w:proofErr w:type="spellStart"/>
      <w:r w:rsidRPr="00225D4D">
        <w:t>ikkje</w:t>
      </w:r>
      <w:proofErr w:type="spellEnd"/>
      <w:r w:rsidRPr="00225D4D">
        <w:t xml:space="preserve"> konsesjon etter energilova. Denne effektgrensa gjeld generelt for alle solkraftanlegg, også </w:t>
      </w:r>
      <w:proofErr w:type="spellStart"/>
      <w:r w:rsidRPr="00225D4D">
        <w:t>såkalla</w:t>
      </w:r>
      <w:proofErr w:type="spellEnd"/>
      <w:r w:rsidRPr="00225D4D">
        <w:t xml:space="preserve"> grå areal. Regelendringa blei sett i kraft 1. juli 2025.</w:t>
      </w:r>
    </w:p>
    <w:p w14:paraId="28AD462F"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1A6A461A" w14:textId="77777777" w:rsidR="00D60186" w:rsidRPr="00225D4D" w:rsidRDefault="00D60186" w:rsidP="00225D4D">
      <w:pPr>
        <w:pStyle w:val="Overskrift2"/>
      </w:pPr>
      <w:r w:rsidRPr="00225D4D">
        <w:t>Stortingssesjon 2022–2023</w:t>
      </w:r>
    </w:p>
    <w:p w14:paraId="7A1022CB" w14:textId="77777777" w:rsidR="00D60186" w:rsidRPr="00225D4D" w:rsidRDefault="00D60186" w:rsidP="00225D4D">
      <w:pPr>
        <w:pStyle w:val="avsnitt-tittel"/>
      </w:pPr>
      <w:r w:rsidRPr="00225D4D">
        <w:t>Inkludere bakkemonterte solenergianlegg i plan- og bygningslova</w:t>
      </w:r>
    </w:p>
    <w:p w14:paraId="5813AD4C" w14:textId="77777777" w:rsidR="00D60186" w:rsidRPr="00225D4D" w:rsidRDefault="00D60186" w:rsidP="00225D4D">
      <w:pPr>
        <w:pStyle w:val="avsnitt-undertittel"/>
      </w:pPr>
      <w:r w:rsidRPr="00225D4D">
        <w:t>Vedtak 813, 9. juni 2023</w:t>
      </w:r>
    </w:p>
    <w:p w14:paraId="05EC17A7" w14:textId="77777777" w:rsidR="00D60186" w:rsidRPr="00225D4D" w:rsidRDefault="00D60186" w:rsidP="00225D4D">
      <w:pPr>
        <w:pStyle w:val="blokksit"/>
      </w:pPr>
      <w:r w:rsidRPr="00225D4D">
        <w:t>«</w:t>
      </w:r>
      <w:r w:rsidRPr="00225D4D">
        <w:rPr>
          <w:rStyle w:val="kursiv"/>
        </w:rPr>
        <w:t>Stortinget ber regjeringen fremme et forslag til hvordan bakkemonterte solenergianlegg kan inkluderes i plan- og bygningsloven, senest innen utgangen av 2023.</w:t>
      </w:r>
      <w:r w:rsidRPr="00225D4D">
        <w:t>»</w:t>
      </w:r>
    </w:p>
    <w:p w14:paraId="4D540961"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111 L (2022–2023), </w:t>
      </w:r>
      <w:proofErr w:type="spellStart"/>
      <w:r w:rsidRPr="00225D4D">
        <w:t>Innst</w:t>
      </w:r>
      <w:proofErr w:type="spellEnd"/>
      <w:r w:rsidRPr="00225D4D">
        <w:t>. 483 L (2022–2023) og Lovvedtak 120 (2022–2023).</w:t>
      </w:r>
    </w:p>
    <w:p w14:paraId="2BF8B26B" w14:textId="77777777" w:rsidR="00D60186" w:rsidRPr="00225D4D" w:rsidRDefault="00D60186" w:rsidP="00225D4D">
      <w:r w:rsidRPr="00225D4D">
        <w:t xml:space="preserve">Energidepartementet, i samråd med Kommunal- og </w:t>
      </w:r>
      <w:proofErr w:type="spellStart"/>
      <w:r w:rsidRPr="00225D4D">
        <w:t>distriktsdepartementet</w:t>
      </w:r>
      <w:proofErr w:type="spellEnd"/>
      <w:r w:rsidRPr="00225D4D">
        <w:t xml:space="preserve">, hadde ved årsskiftet 2023/2024 på </w:t>
      </w:r>
      <w:proofErr w:type="spellStart"/>
      <w:r w:rsidRPr="00225D4D">
        <w:t>høyring</w:t>
      </w:r>
      <w:proofErr w:type="spellEnd"/>
      <w:r w:rsidRPr="00225D4D">
        <w:t xml:space="preserve"> </w:t>
      </w:r>
      <w:proofErr w:type="spellStart"/>
      <w:r w:rsidRPr="00225D4D">
        <w:t>eit</w:t>
      </w:r>
      <w:proofErr w:type="spellEnd"/>
      <w:r w:rsidRPr="00225D4D">
        <w:t xml:space="preserve"> forslag om å </w:t>
      </w:r>
      <w:proofErr w:type="spellStart"/>
      <w:r w:rsidRPr="00225D4D">
        <w:t>krevje</w:t>
      </w:r>
      <w:proofErr w:type="spellEnd"/>
      <w:r w:rsidRPr="00225D4D">
        <w:t xml:space="preserve"> områdereguleringsplan etter plan- og bygningslova for konsesjonspliktige solkraftanlegg. Det er </w:t>
      </w:r>
      <w:proofErr w:type="spellStart"/>
      <w:r w:rsidRPr="00225D4D">
        <w:t>no</w:t>
      </w:r>
      <w:proofErr w:type="spellEnd"/>
      <w:r w:rsidRPr="00225D4D">
        <w:t xml:space="preserve"> fastsett ei effektbasert konsesjonspliktgrense på 10 MW for solkraftanlegg etter energilova, og regjeringa meiner denne endringa gir </w:t>
      </w:r>
      <w:proofErr w:type="spellStart"/>
      <w:r w:rsidRPr="00225D4D">
        <w:t>ein</w:t>
      </w:r>
      <w:proofErr w:type="spellEnd"/>
      <w:r w:rsidRPr="00225D4D">
        <w:t xml:space="preserve"> god balanse og varetar omsyna til både </w:t>
      </w:r>
      <w:proofErr w:type="spellStart"/>
      <w:r w:rsidRPr="00225D4D">
        <w:t>kommunane</w:t>
      </w:r>
      <w:proofErr w:type="spellEnd"/>
      <w:r w:rsidRPr="00225D4D">
        <w:t xml:space="preserve"> og NVE. Solkraftanlegg med installert effekt på 10 MW eller mindre skal </w:t>
      </w:r>
      <w:proofErr w:type="spellStart"/>
      <w:r w:rsidRPr="00225D4D">
        <w:t>ikkje</w:t>
      </w:r>
      <w:proofErr w:type="spellEnd"/>
      <w:r w:rsidRPr="00225D4D">
        <w:t xml:space="preserve"> </w:t>
      </w:r>
      <w:proofErr w:type="spellStart"/>
      <w:r w:rsidRPr="00225D4D">
        <w:t>behandlast</w:t>
      </w:r>
      <w:proofErr w:type="spellEnd"/>
      <w:r w:rsidRPr="00225D4D">
        <w:t xml:space="preserve"> av NVE og treng </w:t>
      </w:r>
      <w:proofErr w:type="spellStart"/>
      <w:r w:rsidRPr="00225D4D">
        <w:t>berre</w:t>
      </w:r>
      <w:proofErr w:type="spellEnd"/>
      <w:r w:rsidRPr="00225D4D">
        <w:t xml:space="preserve"> løyve </w:t>
      </w:r>
      <w:proofErr w:type="spellStart"/>
      <w:r w:rsidRPr="00225D4D">
        <w:t>frå</w:t>
      </w:r>
      <w:proofErr w:type="spellEnd"/>
      <w:r w:rsidRPr="00225D4D">
        <w:t xml:space="preserve"> </w:t>
      </w:r>
      <w:proofErr w:type="spellStart"/>
      <w:r w:rsidRPr="00225D4D">
        <w:t>kommunane</w:t>
      </w:r>
      <w:proofErr w:type="spellEnd"/>
      <w:r w:rsidRPr="00225D4D">
        <w:t xml:space="preserve"> etter plan- og bygningslova. Regjeringa har derfor annonsert at </w:t>
      </w:r>
      <w:proofErr w:type="spellStart"/>
      <w:r w:rsidRPr="00225D4D">
        <w:t>ein</w:t>
      </w:r>
      <w:proofErr w:type="spellEnd"/>
      <w:r w:rsidRPr="00225D4D">
        <w:t xml:space="preserve"> </w:t>
      </w:r>
      <w:proofErr w:type="spellStart"/>
      <w:r w:rsidRPr="00225D4D">
        <w:t>ikkje</w:t>
      </w:r>
      <w:proofErr w:type="spellEnd"/>
      <w:r w:rsidRPr="00225D4D">
        <w:t xml:space="preserve"> vil gå </w:t>
      </w:r>
      <w:proofErr w:type="spellStart"/>
      <w:r w:rsidRPr="00225D4D">
        <w:t>vidare</w:t>
      </w:r>
      <w:proofErr w:type="spellEnd"/>
      <w:r w:rsidRPr="00225D4D">
        <w:t xml:space="preserve"> med forslaget om krav om områdereguleringsplan etter plan- og bygningslova for konsesjonspliktige solkraftanlegg.</w:t>
      </w:r>
    </w:p>
    <w:p w14:paraId="7EE18716"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2D085D7D" w14:textId="77777777" w:rsidR="00D60186" w:rsidRPr="00225D4D" w:rsidRDefault="00D60186" w:rsidP="00225D4D">
      <w:pPr>
        <w:pStyle w:val="avsnitt-tittel"/>
      </w:pPr>
      <w:r w:rsidRPr="00225D4D">
        <w:t xml:space="preserve">Havvind – </w:t>
      </w:r>
      <w:proofErr w:type="spellStart"/>
      <w:r w:rsidRPr="00225D4D">
        <w:t>auka</w:t>
      </w:r>
      <w:proofErr w:type="spellEnd"/>
      <w:r w:rsidRPr="00225D4D">
        <w:t xml:space="preserve"> vekting av </w:t>
      </w:r>
      <w:proofErr w:type="spellStart"/>
      <w:r w:rsidRPr="00225D4D">
        <w:t>berekraftskriteria</w:t>
      </w:r>
      <w:proofErr w:type="spellEnd"/>
      <w:r w:rsidRPr="00225D4D">
        <w:t xml:space="preserve"> og positive lokale ringverknader</w:t>
      </w:r>
    </w:p>
    <w:p w14:paraId="34F7600C" w14:textId="77777777" w:rsidR="00D60186" w:rsidRPr="00225D4D" w:rsidRDefault="00D60186" w:rsidP="00225D4D">
      <w:pPr>
        <w:pStyle w:val="avsnitt-undertittel"/>
      </w:pPr>
      <w:r w:rsidRPr="00225D4D">
        <w:t>Vedtak 841, 14. juni 2023</w:t>
      </w:r>
    </w:p>
    <w:p w14:paraId="112C8BD2" w14:textId="77777777" w:rsidR="00D60186" w:rsidRPr="00225D4D" w:rsidRDefault="00D60186" w:rsidP="00225D4D">
      <w:pPr>
        <w:pStyle w:val="blokksit"/>
      </w:pPr>
      <w:r w:rsidRPr="00225D4D">
        <w:t>«</w:t>
      </w:r>
      <w:r w:rsidRPr="00225D4D">
        <w:rPr>
          <w:rStyle w:val="kursiv"/>
        </w:rPr>
        <w:t xml:space="preserve">Stortinget ber regjeringen vurdere økt vekting av </w:t>
      </w:r>
      <w:proofErr w:type="spellStart"/>
      <w:r w:rsidRPr="00225D4D">
        <w:rPr>
          <w:rStyle w:val="kursiv"/>
        </w:rPr>
        <w:t>bærekraftskriteriene</w:t>
      </w:r>
      <w:proofErr w:type="spellEnd"/>
      <w:r w:rsidRPr="00225D4D">
        <w:rPr>
          <w:rStyle w:val="kursiv"/>
        </w:rPr>
        <w:t xml:space="preserve"> og positive lokale ringvirkninger ved framtidige havvindutbygginger og rapportere tilbake til Stortinget på egnet vis.</w:t>
      </w:r>
      <w:r w:rsidRPr="00225D4D">
        <w:t>»</w:t>
      </w:r>
    </w:p>
    <w:p w14:paraId="74FCBA7F"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93 S (2022–2023) og </w:t>
      </w:r>
      <w:proofErr w:type="spellStart"/>
      <w:r w:rsidRPr="00225D4D">
        <w:t>Innst</w:t>
      </w:r>
      <w:proofErr w:type="spellEnd"/>
      <w:r w:rsidRPr="00225D4D">
        <w:t>. 496 S (2022–2023).</w:t>
      </w:r>
    </w:p>
    <w:p w14:paraId="1E8B97B8" w14:textId="77777777" w:rsidR="00D60186" w:rsidRPr="00225D4D" w:rsidRDefault="00D60186" w:rsidP="00225D4D">
      <w:r w:rsidRPr="00225D4D">
        <w:t xml:space="preserve">I mai 2025 lyste departementet ut Utsira Nord for </w:t>
      </w:r>
      <w:proofErr w:type="spellStart"/>
      <w:r w:rsidRPr="00225D4D">
        <w:t>flytande</w:t>
      </w:r>
      <w:proofErr w:type="spellEnd"/>
      <w:r w:rsidRPr="00225D4D">
        <w:t xml:space="preserve"> havvind. Utsira Nord består av </w:t>
      </w:r>
      <w:proofErr w:type="gramStart"/>
      <w:r w:rsidRPr="00225D4D">
        <w:t>tre prosjektområde</w:t>
      </w:r>
      <w:proofErr w:type="gramEnd"/>
      <w:r w:rsidRPr="00225D4D">
        <w:t xml:space="preserve"> på 500 MW kvar. </w:t>
      </w:r>
      <w:proofErr w:type="spellStart"/>
      <w:r w:rsidRPr="00225D4D">
        <w:t>Søkarar</w:t>
      </w:r>
      <w:proofErr w:type="spellEnd"/>
      <w:r w:rsidRPr="00225D4D">
        <w:t xml:space="preserve"> i konkurransen om tildeling av område blir vurderte ut </w:t>
      </w:r>
      <w:proofErr w:type="spellStart"/>
      <w:r w:rsidRPr="00225D4D">
        <w:t>frå</w:t>
      </w:r>
      <w:proofErr w:type="spellEnd"/>
      <w:r w:rsidRPr="00225D4D">
        <w:t xml:space="preserve"> fem kvalitative kriterium: 1) kostnadsnivå, realisme og modenskap, 2) innovasjon og teknologiutvikling, 3) gjennomføringsevne, 4) </w:t>
      </w:r>
      <w:proofErr w:type="spellStart"/>
      <w:r w:rsidRPr="00225D4D">
        <w:t>berekraft</w:t>
      </w:r>
      <w:proofErr w:type="spellEnd"/>
      <w:r w:rsidRPr="00225D4D">
        <w:t xml:space="preserve"> og 5) positive ringverknader. Dei kvalitative kriteria </w:t>
      </w:r>
      <w:proofErr w:type="spellStart"/>
      <w:r w:rsidRPr="00225D4D">
        <w:t>legg</w:t>
      </w:r>
      <w:proofErr w:type="spellEnd"/>
      <w:r w:rsidRPr="00225D4D">
        <w:t xml:space="preserve"> til rette for at prosjektområde blir tildelte </w:t>
      </w:r>
      <w:proofErr w:type="spellStart"/>
      <w:r w:rsidRPr="00225D4D">
        <w:t>aktørar</w:t>
      </w:r>
      <w:proofErr w:type="spellEnd"/>
      <w:r w:rsidRPr="00225D4D">
        <w:t xml:space="preserve"> som er godt eigna til å realisere </w:t>
      </w:r>
      <w:proofErr w:type="spellStart"/>
      <w:r w:rsidRPr="00225D4D">
        <w:t>flytande</w:t>
      </w:r>
      <w:proofErr w:type="spellEnd"/>
      <w:r w:rsidRPr="00225D4D">
        <w:t xml:space="preserve"> havvind til </w:t>
      </w:r>
      <w:proofErr w:type="spellStart"/>
      <w:r w:rsidRPr="00225D4D">
        <w:t>lågast</w:t>
      </w:r>
      <w:proofErr w:type="spellEnd"/>
      <w:r w:rsidRPr="00225D4D">
        <w:t xml:space="preserve"> </w:t>
      </w:r>
      <w:proofErr w:type="spellStart"/>
      <w:r w:rsidRPr="00225D4D">
        <w:t>mogleg</w:t>
      </w:r>
      <w:proofErr w:type="spellEnd"/>
      <w:r w:rsidRPr="00225D4D">
        <w:t xml:space="preserve"> kostnad, og bidrar til at vi når </w:t>
      </w:r>
      <w:proofErr w:type="spellStart"/>
      <w:r w:rsidRPr="00225D4D">
        <w:t>dei</w:t>
      </w:r>
      <w:proofErr w:type="spellEnd"/>
      <w:r w:rsidRPr="00225D4D">
        <w:t xml:space="preserve"> måla vi har sett for havvindsatsinga.</w:t>
      </w:r>
    </w:p>
    <w:p w14:paraId="6C4831CD" w14:textId="77777777" w:rsidR="00D60186" w:rsidRPr="00225D4D" w:rsidRDefault="00D60186" w:rsidP="00225D4D">
      <w:r w:rsidRPr="00225D4D">
        <w:t xml:space="preserve">Dette er første gongen prosjektområde blir tildelte basert på kvalitative kriterium i </w:t>
      </w:r>
      <w:proofErr w:type="spellStart"/>
      <w:r w:rsidRPr="00225D4D">
        <w:t>Noreg</w:t>
      </w:r>
      <w:proofErr w:type="spellEnd"/>
      <w:r w:rsidRPr="00225D4D">
        <w:t xml:space="preserve">. Det </w:t>
      </w:r>
      <w:proofErr w:type="spellStart"/>
      <w:r w:rsidRPr="00225D4D">
        <w:t>viktigaste</w:t>
      </w:r>
      <w:proofErr w:type="spellEnd"/>
      <w:r w:rsidRPr="00225D4D">
        <w:t xml:space="preserve"> verktøyet for å sikre </w:t>
      </w:r>
      <w:proofErr w:type="spellStart"/>
      <w:r w:rsidRPr="00225D4D">
        <w:t>berekraft</w:t>
      </w:r>
      <w:proofErr w:type="spellEnd"/>
      <w:r w:rsidRPr="00225D4D">
        <w:t xml:space="preserve"> er likevel konsekvensutgreiinga og den </w:t>
      </w:r>
      <w:proofErr w:type="spellStart"/>
      <w:r w:rsidRPr="00225D4D">
        <w:t>vidare</w:t>
      </w:r>
      <w:proofErr w:type="spellEnd"/>
      <w:r w:rsidRPr="00225D4D">
        <w:t xml:space="preserve"> konsesjonsbehandlinga. Departementet vil vurdere kriteria og </w:t>
      </w:r>
      <w:proofErr w:type="spellStart"/>
      <w:r w:rsidRPr="00225D4D">
        <w:t>ein</w:t>
      </w:r>
      <w:proofErr w:type="spellEnd"/>
      <w:r w:rsidRPr="00225D4D">
        <w:t xml:space="preserve"> modell for framtidige </w:t>
      </w:r>
      <w:proofErr w:type="spellStart"/>
      <w:r w:rsidRPr="00225D4D">
        <w:t>utlysingar</w:t>
      </w:r>
      <w:proofErr w:type="spellEnd"/>
      <w:r w:rsidRPr="00225D4D">
        <w:t xml:space="preserve"> av område for havvind for kvar enkelt utlysing.</w:t>
      </w:r>
    </w:p>
    <w:p w14:paraId="28AB7C03"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55C1405A" w14:textId="77777777" w:rsidR="00D60186" w:rsidRPr="00225D4D" w:rsidRDefault="00D60186" w:rsidP="00225D4D">
      <w:pPr>
        <w:pStyle w:val="avsnitt-tittel"/>
      </w:pPr>
      <w:r w:rsidRPr="00225D4D">
        <w:t xml:space="preserve">Solenergi – mål om 8 </w:t>
      </w:r>
      <w:proofErr w:type="spellStart"/>
      <w:r w:rsidRPr="00225D4D">
        <w:t>TWh</w:t>
      </w:r>
      <w:proofErr w:type="spellEnd"/>
      <w:r w:rsidRPr="00225D4D">
        <w:t xml:space="preserve"> </w:t>
      </w:r>
      <w:proofErr w:type="spellStart"/>
      <w:r w:rsidRPr="00225D4D">
        <w:t>innan</w:t>
      </w:r>
      <w:proofErr w:type="spellEnd"/>
      <w:r w:rsidRPr="00225D4D">
        <w:t xml:space="preserve"> 2030</w:t>
      </w:r>
    </w:p>
    <w:p w14:paraId="71CE9E8D" w14:textId="77777777" w:rsidR="00D60186" w:rsidRPr="00225D4D" w:rsidRDefault="00D60186" w:rsidP="00225D4D">
      <w:pPr>
        <w:pStyle w:val="avsnitt-undertittel"/>
      </w:pPr>
      <w:r w:rsidRPr="00225D4D">
        <w:t>Vedtak 923, 16. juni 2023</w:t>
      </w:r>
    </w:p>
    <w:p w14:paraId="1EA5699B" w14:textId="77777777" w:rsidR="00D60186" w:rsidRPr="00225D4D" w:rsidRDefault="00D60186" w:rsidP="00225D4D">
      <w:pPr>
        <w:pStyle w:val="blokksit"/>
      </w:pPr>
      <w:r w:rsidRPr="00225D4D">
        <w:t>«</w:t>
      </w:r>
      <w:r w:rsidRPr="00225D4D">
        <w:rPr>
          <w:rStyle w:val="kursiv"/>
        </w:rPr>
        <w:t xml:space="preserve">Stortinget ber regjeringen sette et mål for ny solenergi på 8 </w:t>
      </w:r>
      <w:proofErr w:type="spellStart"/>
      <w:r w:rsidRPr="00225D4D">
        <w:rPr>
          <w:rStyle w:val="kursiv"/>
        </w:rPr>
        <w:t>TWh</w:t>
      </w:r>
      <w:proofErr w:type="spellEnd"/>
      <w:r w:rsidRPr="00225D4D">
        <w:rPr>
          <w:rStyle w:val="kursiv"/>
        </w:rPr>
        <w:t xml:space="preserve"> innen 2030 og utarbeide en konkret handlingsplan som gjør det mulig å realisere målet innen revidert nasjonalbudsjett i 2024. Tiltak og virkemidler skal ikke være til hinder for rasjonell nettutvikling.</w:t>
      </w:r>
      <w:r w:rsidRPr="00225D4D">
        <w:t>»</w:t>
      </w:r>
    </w:p>
    <w:p w14:paraId="4AD125D1" w14:textId="77777777" w:rsidR="00D60186" w:rsidRPr="00225D4D" w:rsidRDefault="00D60186" w:rsidP="00225D4D">
      <w:r w:rsidRPr="00225D4D">
        <w:t xml:space="preserve">Dokumenta som ligg til grunn for vedtaket er Meld. St. 2 (2022–2023) og </w:t>
      </w:r>
      <w:proofErr w:type="spellStart"/>
      <w:r w:rsidRPr="00225D4D">
        <w:t>Innst</w:t>
      </w:r>
      <w:proofErr w:type="spellEnd"/>
      <w:r w:rsidRPr="00225D4D">
        <w:t>. 490 S (2022–2023).</w:t>
      </w:r>
    </w:p>
    <w:p w14:paraId="54A499D7" w14:textId="77777777" w:rsidR="00D60186" w:rsidRPr="00225D4D" w:rsidRDefault="00D60186" w:rsidP="00225D4D">
      <w:r w:rsidRPr="00225D4D">
        <w:t xml:space="preserve">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Meld. St. 4 (2024–2025) og til merknad i </w:t>
      </w:r>
      <w:proofErr w:type="spellStart"/>
      <w:r w:rsidRPr="00225D4D">
        <w:t>Innst</w:t>
      </w:r>
      <w:proofErr w:type="spellEnd"/>
      <w:r w:rsidRPr="00225D4D">
        <w:t xml:space="preserve">. 447 S (2023–2024), som </w:t>
      </w:r>
      <w:proofErr w:type="spellStart"/>
      <w:r w:rsidRPr="00225D4D">
        <w:t>seier</w:t>
      </w:r>
      <w:proofErr w:type="spellEnd"/>
      <w:r w:rsidRPr="00225D4D">
        <w:t xml:space="preserve"> at regjeringa har levert ei løypemelding om korleis </w:t>
      </w:r>
      <w:proofErr w:type="spellStart"/>
      <w:r w:rsidRPr="00225D4D">
        <w:t>ein</w:t>
      </w:r>
      <w:proofErr w:type="spellEnd"/>
      <w:r w:rsidRPr="00225D4D">
        <w:t xml:space="preserve"> skal nå målet om 8 </w:t>
      </w:r>
      <w:proofErr w:type="spellStart"/>
      <w:r w:rsidRPr="00225D4D">
        <w:t>TWh</w:t>
      </w:r>
      <w:proofErr w:type="spellEnd"/>
      <w:r w:rsidRPr="00225D4D">
        <w:t xml:space="preserve"> solenergi. </w:t>
      </w:r>
      <w:proofErr w:type="spellStart"/>
      <w:r w:rsidRPr="00225D4D">
        <w:t>Fleirtalet</w:t>
      </w:r>
      <w:proofErr w:type="spellEnd"/>
      <w:r w:rsidRPr="00225D4D">
        <w:t xml:space="preserve"> meiner </w:t>
      </w:r>
      <w:proofErr w:type="spellStart"/>
      <w:r w:rsidRPr="00225D4D">
        <w:t>eit</w:t>
      </w:r>
      <w:proofErr w:type="spellEnd"/>
      <w:r w:rsidRPr="00225D4D">
        <w:t xml:space="preserve"> mål om 8 </w:t>
      </w:r>
      <w:proofErr w:type="spellStart"/>
      <w:r w:rsidRPr="00225D4D">
        <w:t>TWh</w:t>
      </w:r>
      <w:proofErr w:type="spellEnd"/>
      <w:r w:rsidRPr="00225D4D">
        <w:t xml:space="preserve"> solenergi </w:t>
      </w:r>
      <w:proofErr w:type="spellStart"/>
      <w:r w:rsidRPr="00225D4D">
        <w:t>innan</w:t>
      </w:r>
      <w:proofErr w:type="spellEnd"/>
      <w:r w:rsidRPr="00225D4D">
        <w:t xml:space="preserve"> 2030 krev konkrete tiltak og </w:t>
      </w:r>
      <w:proofErr w:type="spellStart"/>
      <w:r w:rsidRPr="00225D4D">
        <w:t>verkemiddel</w:t>
      </w:r>
      <w:proofErr w:type="spellEnd"/>
      <w:r w:rsidRPr="00225D4D">
        <w:t xml:space="preserve">. </w:t>
      </w:r>
      <w:proofErr w:type="spellStart"/>
      <w:r w:rsidRPr="00225D4D">
        <w:t>Fleirtalet</w:t>
      </w:r>
      <w:proofErr w:type="spellEnd"/>
      <w:r w:rsidRPr="00225D4D">
        <w:t xml:space="preserve"> ber regjeringa i løpet av våren 2025 rapportere om statusen for arbeidet med konkrete tiltak og </w:t>
      </w:r>
      <w:proofErr w:type="spellStart"/>
      <w:r w:rsidRPr="00225D4D">
        <w:t>verkemiddel</w:t>
      </w:r>
      <w:proofErr w:type="spellEnd"/>
      <w:r w:rsidRPr="00225D4D">
        <w:t xml:space="preserve"> for å styrke solkraftproduksjonen.</w:t>
      </w:r>
    </w:p>
    <w:p w14:paraId="49AEC1EB" w14:textId="77777777" w:rsidR="00D60186" w:rsidRPr="00225D4D" w:rsidRDefault="00D60186" w:rsidP="00225D4D">
      <w:r w:rsidRPr="00225D4D">
        <w:t xml:space="preserve">På bakgrunn av </w:t>
      </w:r>
      <w:proofErr w:type="spellStart"/>
      <w:r w:rsidRPr="00225D4D">
        <w:t>eit</w:t>
      </w:r>
      <w:proofErr w:type="spellEnd"/>
      <w:r w:rsidRPr="00225D4D">
        <w:t xml:space="preserve"> </w:t>
      </w:r>
      <w:proofErr w:type="spellStart"/>
      <w:r w:rsidRPr="00225D4D">
        <w:t>skriftleg</w:t>
      </w:r>
      <w:proofErr w:type="spellEnd"/>
      <w:r w:rsidRPr="00225D4D">
        <w:t xml:space="preserve"> spørsmål </w:t>
      </w:r>
      <w:proofErr w:type="spellStart"/>
      <w:r w:rsidRPr="00225D4D">
        <w:t>frå</w:t>
      </w:r>
      <w:proofErr w:type="spellEnd"/>
      <w:r w:rsidRPr="00225D4D">
        <w:t xml:space="preserve"> Stortinget rapporterte energiministeren i juni 2025 om statusen på målet for solkraft. I rapporteringa viste ministeren til at den installerte solkraftkapasiteten har </w:t>
      </w:r>
      <w:proofErr w:type="spellStart"/>
      <w:r w:rsidRPr="00225D4D">
        <w:t>auka</w:t>
      </w:r>
      <w:proofErr w:type="spellEnd"/>
      <w:r w:rsidRPr="00225D4D">
        <w:t xml:space="preserve"> </w:t>
      </w:r>
      <w:proofErr w:type="spellStart"/>
      <w:r w:rsidRPr="00225D4D">
        <w:t>dei</w:t>
      </w:r>
      <w:proofErr w:type="spellEnd"/>
      <w:r w:rsidRPr="00225D4D">
        <w:t xml:space="preserve"> siste åra, og at det kjem stadig </w:t>
      </w:r>
      <w:proofErr w:type="spellStart"/>
      <w:r w:rsidRPr="00225D4D">
        <w:t>fleire</w:t>
      </w:r>
      <w:proofErr w:type="spellEnd"/>
      <w:r w:rsidRPr="00225D4D">
        <w:t xml:space="preserve"> søknader om bakkemontert solkraft.</w:t>
      </w:r>
    </w:p>
    <w:p w14:paraId="50523507" w14:textId="77777777" w:rsidR="00D60186" w:rsidRPr="00225D4D" w:rsidRDefault="00D60186" w:rsidP="00225D4D">
      <w:r w:rsidRPr="00225D4D">
        <w:t xml:space="preserve">Regjeringa ønsker å bidra til at </w:t>
      </w:r>
      <w:proofErr w:type="spellStart"/>
      <w:r w:rsidRPr="00225D4D">
        <w:t>fleire</w:t>
      </w:r>
      <w:proofErr w:type="spellEnd"/>
      <w:r w:rsidRPr="00225D4D">
        <w:t xml:space="preserve"> </w:t>
      </w:r>
      <w:proofErr w:type="spellStart"/>
      <w:r w:rsidRPr="00225D4D">
        <w:t>byggeigarar</w:t>
      </w:r>
      <w:proofErr w:type="spellEnd"/>
      <w:r w:rsidRPr="00225D4D">
        <w:t xml:space="preserve"> vel å installere solenergianlegg, og </w:t>
      </w:r>
      <w:proofErr w:type="spellStart"/>
      <w:r w:rsidRPr="00225D4D">
        <w:t>tilskotsordningar</w:t>
      </w:r>
      <w:proofErr w:type="spellEnd"/>
      <w:r w:rsidRPr="00225D4D">
        <w:t xml:space="preserve"> for solenergi gjennom </w:t>
      </w:r>
      <w:proofErr w:type="spellStart"/>
      <w:r w:rsidRPr="00225D4D">
        <w:t>Enova</w:t>
      </w:r>
      <w:proofErr w:type="spellEnd"/>
      <w:r w:rsidRPr="00225D4D">
        <w:t xml:space="preserve"> og Husbanken er viktige i dette arbeidet. Støtteordninga gjennom Husbanken blei etablert av regjeringa i 2023 og Husbanken har per august gitt 237 </w:t>
      </w:r>
      <w:proofErr w:type="spellStart"/>
      <w:r w:rsidRPr="00225D4D">
        <w:t>millionar</w:t>
      </w:r>
      <w:proofErr w:type="spellEnd"/>
      <w:r w:rsidRPr="00225D4D">
        <w:t xml:space="preserve"> kroner i støtte til solceller og </w:t>
      </w:r>
      <w:proofErr w:type="spellStart"/>
      <w:r w:rsidRPr="00225D4D">
        <w:t>solvarmekollektorar</w:t>
      </w:r>
      <w:proofErr w:type="spellEnd"/>
      <w:r w:rsidRPr="00225D4D">
        <w:t xml:space="preserve">. I same periode har </w:t>
      </w:r>
      <w:proofErr w:type="spellStart"/>
      <w:r w:rsidRPr="00225D4D">
        <w:t>Enova</w:t>
      </w:r>
      <w:proofErr w:type="spellEnd"/>
      <w:r w:rsidRPr="00225D4D">
        <w:t xml:space="preserve"> gitt 408 </w:t>
      </w:r>
      <w:proofErr w:type="spellStart"/>
      <w:r w:rsidRPr="00225D4D">
        <w:t>millionar</w:t>
      </w:r>
      <w:proofErr w:type="spellEnd"/>
      <w:r w:rsidRPr="00225D4D">
        <w:t xml:space="preserve"> kroner i støtte til bygningsmonterte solcelleanlegg. </w:t>
      </w:r>
      <w:proofErr w:type="spellStart"/>
      <w:r w:rsidRPr="00225D4D">
        <w:t>Enova</w:t>
      </w:r>
      <w:proofErr w:type="spellEnd"/>
      <w:r w:rsidRPr="00225D4D">
        <w:t xml:space="preserve"> har også gitt 420 </w:t>
      </w:r>
      <w:proofErr w:type="spellStart"/>
      <w:r w:rsidRPr="00225D4D">
        <w:t>millionar</w:t>
      </w:r>
      <w:proofErr w:type="spellEnd"/>
      <w:r w:rsidRPr="00225D4D">
        <w:t xml:space="preserve"> kroner i støtte til energitiltak i bygg som har inkludert solkraft.</w:t>
      </w:r>
    </w:p>
    <w:p w14:paraId="7CC93384" w14:textId="77777777" w:rsidR="00D60186" w:rsidRPr="00225D4D" w:rsidRDefault="00D60186" w:rsidP="00225D4D">
      <w:r w:rsidRPr="00225D4D">
        <w:t xml:space="preserve">Regjeringa har også fastsett ei delingsordning for lokal fornybar energiproduksjon tilpassa næringsområde som vil gi </w:t>
      </w:r>
      <w:proofErr w:type="spellStart"/>
      <w:r w:rsidRPr="00225D4D">
        <w:t>aktørar</w:t>
      </w:r>
      <w:proofErr w:type="spellEnd"/>
      <w:r w:rsidRPr="00225D4D">
        <w:t xml:space="preserve"> større insentiv til å investere i fornybar kraft på utbygd areal. </w:t>
      </w:r>
      <w:proofErr w:type="spellStart"/>
      <w:r w:rsidRPr="00225D4D">
        <w:t>Ein</w:t>
      </w:r>
      <w:proofErr w:type="spellEnd"/>
      <w:r w:rsidRPr="00225D4D">
        <w:t xml:space="preserve"> tar sikte på at ordninga trer i kraft 1. januar 2026. </w:t>
      </w:r>
      <w:proofErr w:type="spellStart"/>
      <w:r w:rsidRPr="00225D4D">
        <w:t>Vidare</w:t>
      </w:r>
      <w:proofErr w:type="spellEnd"/>
      <w:r w:rsidRPr="00225D4D">
        <w:t xml:space="preserve"> er det fastsett ei effektgrense for </w:t>
      </w:r>
      <w:proofErr w:type="spellStart"/>
      <w:r w:rsidRPr="00225D4D">
        <w:t>kva</w:t>
      </w:r>
      <w:proofErr w:type="spellEnd"/>
      <w:r w:rsidRPr="00225D4D">
        <w:t xml:space="preserve"> solkraftanlegg som krev konsesjon etter energilova. Denne effektgrensa blei innført 1. juli 2025. Solkraftanlegg med installert effekt på 10 MW eller mindre treng </w:t>
      </w:r>
      <w:proofErr w:type="spellStart"/>
      <w:r w:rsidRPr="00225D4D">
        <w:t>no</w:t>
      </w:r>
      <w:proofErr w:type="spellEnd"/>
      <w:r w:rsidRPr="00225D4D">
        <w:t xml:space="preserve"> </w:t>
      </w:r>
      <w:proofErr w:type="spellStart"/>
      <w:r w:rsidRPr="00225D4D">
        <w:t>berre</w:t>
      </w:r>
      <w:proofErr w:type="spellEnd"/>
      <w:r w:rsidRPr="00225D4D">
        <w:t xml:space="preserve"> ei avklaring av kommunen etter plan- og bygningslova og krev </w:t>
      </w:r>
      <w:proofErr w:type="spellStart"/>
      <w:r w:rsidRPr="00225D4D">
        <w:t>ikkje</w:t>
      </w:r>
      <w:proofErr w:type="spellEnd"/>
      <w:r w:rsidRPr="00225D4D">
        <w:t xml:space="preserve"> lenger konsesjon </w:t>
      </w:r>
      <w:proofErr w:type="spellStart"/>
      <w:r w:rsidRPr="00225D4D">
        <w:t>frå</w:t>
      </w:r>
      <w:proofErr w:type="spellEnd"/>
      <w:r w:rsidRPr="00225D4D">
        <w:t xml:space="preserve"> NVE.</w:t>
      </w:r>
    </w:p>
    <w:p w14:paraId="4DCA5752" w14:textId="77777777" w:rsidR="00D60186" w:rsidRPr="00225D4D" w:rsidRDefault="00D60186" w:rsidP="00225D4D">
      <w:r w:rsidRPr="00225D4D">
        <w:t xml:space="preserve">Departementet viser til «Plan for tiltak for økt utbygging av solenergi og lokal energiproduksjon», som blei lagd fram i </w:t>
      </w:r>
      <w:proofErr w:type="spellStart"/>
      <w:r w:rsidRPr="00225D4D">
        <w:t>Prop</w:t>
      </w:r>
      <w:proofErr w:type="spellEnd"/>
      <w:r w:rsidRPr="00225D4D">
        <w:t xml:space="preserve">. 104 S (2023–2024) </w:t>
      </w:r>
      <w:r w:rsidRPr="00225D4D">
        <w:rPr>
          <w:rStyle w:val="kursiv"/>
        </w:rPr>
        <w:t>Tilleggsbevilgninger og omprioriteringer i statsbudsjettet 2024</w:t>
      </w:r>
      <w:r w:rsidRPr="00225D4D">
        <w:t xml:space="preserve">, punkt 2.16 Energidepartementet, Andre saker, side 145–149. Her går det fram at regjeringa vil legge ambisjonen om 8 </w:t>
      </w:r>
      <w:proofErr w:type="spellStart"/>
      <w:r w:rsidRPr="00225D4D">
        <w:t>TWh</w:t>
      </w:r>
      <w:proofErr w:type="spellEnd"/>
      <w:r w:rsidRPr="00225D4D">
        <w:t xml:space="preserve"> ny solenergi </w:t>
      </w:r>
      <w:proofErr w:type="spellStart"/>
      <w:r w:rsidRPr="00225D4D">
        <w:t>innan</w:t>
      </w:r>
      <w:proofErr w:type="spellEnd"/>
      <w:r w:rsidRPr="00225D4D">
        <w:t xml:space="preserve"> 2030 til grunn for </w:t>
      </w:r>
      <w:proofErr w:type="spellStart"/>
      <w:r w:rsidRPr="00225D4D">
        <w:t>vidare</w:t>
      </w:r>
      <w:proofErr w:type="spellEnd"/>
      <w:r w:rsidRPr="00225D4D">
        <w:t xml:space="preserve"> arbeid, men at </w:t>
      </w:r>
      <w:proofErr w:type="spellStart"/>
      <w:r w:rsidRPr="00225D4D">
        <w:t>fordelar</w:t>
      </w:r>
      <w:proofErr w:type="spellEnd"/>
      <w:r w:rsidRPr="00225D4D">
        <w:t xml:space="preserve"> og ulemper ved tiltak og </w:t>
      </w:r>
      <w:proofErr w:type="spellStart"/>
      <w:r w:rsidRPr="00225D4D">
        <w:t>verkemiddel</w:t>
      </w:r>
      <w:proofErr w:type="spellEnd"/>
      <w:r w:rsidRPr="00225D4D">
        <w:t xml:space="preserve"> som blir sette i verk, må </w:t>
      </w:r>
      <w:proofErr w:type="spellStart"/>
      <w:r w:rsidRPr="00225D4D">
        <w:t>vegast</w:t>
      </w:r>
      <w:proofErr w:type="spellEnd"/>
      <w:r w:rsidRPr="00225D4D">
        <w:t xml:space="preserve"> opp mot andre samfunnsomsyn.</w:t>
      </w:r>
    </w:p>
    <w:p w14:paraId="6684D51B" w14:textId="77777777" w:rsidR="00D60186" w:rsidRPr="00225D4D" w:rsidRDefault="00D60186" w:rsidP="00225D4D">
      <w:r w:rsidRPr="00225D4D">
        <w:t xml:space="preserve">I kapittel 8 Regjeringa si oppfølging av Energikommisjonen og </w:t>
      </w:r>
      <w:proofErr w:type="spellStart"/>
      <w:r w:rsidRPr="00225D4D">
        <w:t>Straumprisutvalet</w:t>
      </w:r>
      <w:proofErr w:type="spellEnd"/>
      <w:r w:rsidRPr="00225D4D">
        <w:t xml:space="preserve"> med </w:t>
      </w:r>
      <w:proofErr w:type="spellStart"/>
      <w:r w:rsidRPr="00225D4D">
        <w:t>meir</w:t>
      </w:r>
      <w:proofErr w:type="spellEnd"/>
      <w:r w:rsidRPr="00225D4D">
        <w:t xml:space="preserve">, i del III av </w:t>
      </w:r>
      <w:proofErr w:type="spellStart"/>
      <w:r w:rsidRPr="00225D4D">
        <w:t>Prop</w:t>
      </w:r>
      <w:proofErr w:type="spellEnd"/>
      <w:r w:rsidRPr="00225D4D">
        <w:t xml:space="preserve">. 1 S (2024–2025), er det gitt ei samla framstilling av korleis regjeringa har </w:t>
      </w:r>
      <w:proofErr w:type="spellStart"/>
      <w:r w:rsidRPr="00225D4D">
        <w:t>følgt</w:t>
      </w:r>
      <w:proofErr w:type="spellEnd"/>
      <w:r w:rsidRPr="00225D4D">
        <w:t xml:space="preserve"> opp forslaga </w:t>
      </w:r>
      <w:proofErr w:type="spellStart"/>
      <w:r w:rsidRPr="00225D4D">
        <w:t>frå</w:t>
      </w:r>
      <w:proofErr w:type="spellEnd"/>
      <w:r w:rsidRPr="00225D4D">
        <w:t xml:space="preserve"> og </w:t>
      </w:r>
      <w:proofErr w:type="spellStart"/>
      <w:r w:rsidRPr="00225D4D">
        <w:t>høyringa</w:t>
      </w:r>
      <w:proofErr w:type="spellEnd"/>
      <w:r w:rsidRPr="00225D4D">
        <w:t xml:space="preserve"> av Energikommisjonen og </w:t>
      </w:r>
      <w:proofErr w:type="spellStart"/>
      <w:r w:rsidRPr="00225D4D">
        <w:t>Straumprisutvalet</w:t>
      </w:r>
      <w:proofErr w:type="spellEnd"/>
      <w:r w:rsidRPr="00225D4D">
        <w:t>, mellom anna solkraft.</w:t>
      </w:r>
    </w:p>
    <w:p w14:paraId="10F0515E"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6E6E2D7B" w14:textId="77777777" w:rsidR="00D60186" w:rsidRPr="00225D4D" w:rsidRDefault="00D60186" w:rsidP="00225D4D">
      <w:pPr>
        <w:pStyle w:val="avsnitt-tittel"/>
      </w:pPr>
      <w:r w:rsidRPr="00225D4D">
        <w:t xml:space="preserve">Solkraft – deling med </w:t>
      </w:r>
      <w:proofErr w:type="spellStart"/>
      <w:r w:rsidRPr="00225D4D">
        <w:t>høgare</w:t>
      </w:r>
      <w:proofErr w:type="spellEnd"/>
      <w:r w:rsidRPr="00225D4D">
        <w:t xml:space="preserve"> grense enn 1 MW</w:t>
      </w:r>
    </w:p>
    <w:p w14:paraId="13D3B994" w14:textId="77777777" w:rsidR="00D60186" w:rsidRPr="00225D4D" w:rsidRDefault="00D60186" w:rsidP="00225D4D">
      <w:pPr>
        <w:pStyle w:val="avsnitt-undertittel"/>
      </w:pPr>
      <w:r w:rsidRPr="00225D4D">
        <w:t>Vedtak 924, 16. juni 2023</w:t>
      </w:r>
    </w:p>
    <w:p w14:paraId="3C8319D7" w14:textId="77777777" w:rsidR="00D60186" w:rsidRPr="00225D4D" w:rsidRDefault="00D60186" w:rsidP="00225D4D">
      <w:pPr>
        <w:pStyle w:val="blokksit"/>
      </w:pPr>
      <w:r w:rsidRPr="00225D4D">
        <w:t>«</w:t>
      </w:r>
      <w:r w:rsidRPr="00225D4D">
        <w:rPr>
          <w:rStyle w:val="kursiv"/>
        </w:rPr>
        <w:t>Stortinget ber regjeringen lage en delingsordning tilpasset næringsområder som muliggjør deling av solkraft med høyere grense enn 1 MW.</w:t>
      </w:r>
      <w:r w:rsidRPr="00225D4D">
        <w:t>»</w:t>
      </w:r>
    </w:p>
    <w:p w14:paraId="0C8313FE" w14:textId="77777777" w:rsidR="00D60186" w:rsidRPr="00225D4D" w:rsidRDefault="00D60186" w:rsidP="00225D4D">
      <w:r w:rsidRPr="00225D4D">
        <w:t xml:space="preserve">Dokumenta som ligg til grunn for vedtaket er Meld. St. 2 (2022–2023) og </w:t>
      </w:r>
      <w:proofErr w:type="spellStart"/>
      <w:r w:rsidRPr="00225D4D">
        <w:t>Innst</w:t>
      </w:r>
      <w:proofErr w:type="spellEnd"/>
      <w:r w:rsidRPr="00225D4D">
        <w:t>. 490 S (2022–2023).</w:t>
      </w:r>
    </w:p>
    <w:p w14:paraId="1BA2A44F" w14:textId="77777777" w:rsidR="00D60186" w:rsidRPr="00225D4D" w:rsidRDefault="00D60186" w:rsidP="00225D4D">
      <w:r w:rsidRPr="00225D4D">
        <w:t xml:space="preserve">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ei fråsegn </w:t>
      </w:r>
      <w:proofErr w:type="spellStart"/>
      <w:r w:rsidRPr="00225D4D">
        <w:t>frå</w:t>
      </w:r>
      <w:proofErr w:type="spellEnd"/>
      <w:r w:rsidRPr="00225D4D">
        <w:t xml:space="preserve"> </w:t>
      </w:r>
      <w:proofErr w:type="spellStart"/>
      <w:r w:rsidRPr="00225D4D">
        <w:t>fleirtalet</w:t>
      </w:r>
      <w:proofErr w:type="spellEnd"/>
      <w:r w:rsidRPr="00225D4D">
        <w:t xml:space="preserve"> i energi- og miljøkomiteen, som er positive til at grensa blir heva til 5 MW, men meiner at vedtaket </w:t>
      </w:r>
      <w:proofErr w:type="spellStart"/>
      <w:r w:rsidRPr="00225D4D">
        <w:t>ikkje</w:t>
      </w:r>
      <w:proofErr w:type="spellEnd"/>
      <w:r w:rsidRPr="00225D4D">
        <w:t xml:space="preserve"> kan kvitterast ut før delingsordninga er innført.</w:t>
      </w:r>
    </w:p>
    <w:p w14:paraId="4986248B" w14:textId="77777777" w:rsidR="00D60186" w:rsidRPr="00225D4D" w:rsidRDefault="00D60186" w:rsidP="00225D4D">
      <w:r w:rsidRPr="00225D4D">
        <w:t xml:space="preserve">Den 1. juli 2025 fastsette Energidepartementet og Finansdepartementet </w:t>
      </w:r>
      <w:proofErr w:type="spellStart"/>
      <w:r w:rsidRPr="00225D4D">
        <w:t>forskriftsendringar</w:t>
      </w:r>
      <w:proofErr w:type="spellEnd"/>
      <w:r w:rsidRPr="00225D4D">
        <w:t xml:space="preserve"> som </w:t>
      </w:r>
      <w:proofErr w:type="spellStart"/>
      <w:r w:rsidRPr="00225D4D">
        <w:t>gjer</w:t>
      </w:r>
      <w:proofErr w:type="spellEnd"/>
      <w:r w:rsidRPr="00225D4D">
        <w:t xml:space="preserve"> det </w:t>
      </w:r>
      <w:proofErr w:type="spellStart"/>
      <w:r w:rsidRPr="00225D4D">
        <w:t>mogleg</w:t>
      </w:r>
      <w:proofErr w:type="spellEnd"/>
      <w:r w:rsidRPr="00225D4D">
        <w:t xml:space="preserve"> å dele </w:t>
      </w:r>
      <w:proofErr w:type="spellStart"/>
      <w:r w:rsidRPr="00225D4D">
        <w:t>overskotsproduksjon</w:t>
      </w:r>
      <w:proofErr w:type="spellEnd"/>
      <w:r w:rsidRPr="00225D4D">
        <w:t xml:space="preserve"> av fornybar </w:t>
      </w:r>
      <w:proofErr w:type="spellStart"/>
      <w:r w:rsidRPr="00225D4D">
        <w:t>straum</w:t>
      </w:r>
      <w:proofErr w:type="spellEnd"/>
      <w:r w:rsidRPr="00225D4D">
        <w:t xml:space="preserve"> </w:t>
      </w:r>
      <w:proofErr w:type="spellStart"/>
      <w:r w:rsidRPr="00225D4D">
        <w:t>frå</w:t>
      </w:r>
      <w:proofErr w:type="spellEnd"/>
      <w:r w:rsidRPr="00225D4D">
        <w:t xml:space="preserve"> anlegg på inntil 5 MW </w:t>
      </w:r>
      <w:proofErr w:type="spellStart"/>
      <w:r w:rsidRPr="00225D4D">
        <w:t>innanfor</w:t>
      </w:r>
      <w:proofErr w:type="spellEnd"/>
      <w:r w:rsidRPr="00225D4D">
        <w:t xml:space="preserve"> </w:t>
      </w:r>
      <w:proofErr w:type="spellStart"/>
      <w:r w:rsidRPr="00225D4D">
        <w:t>eit</w:t>
      </w:r>
      <w:proofErr w:type="spellEnd"/>
      <w:r w:rsidRPr="00225D4D">
        <w:t xml:space="preserve"> næringsområde. Ordninga vil stimulere til ny fornybar kraftproduksjon </w:t>
      </w:r>
      <w:proofErr w:type="spellStart"/>
      <w:r w:rsidRPr="00225D4D">
        <w:t>utan</w:t>
      </w:r>
      <w:proofErr w:type="spellEnd"/>
      <w:r w:rsidRPr="00225D4D">
        <w:t xml:space="preserve"> naturinngrep og kan hjelpe </w:t>
      </w:r>
      <w:proofErr w:type="spellStart"/>
      <w:r w:rsidRPr="00225D4D">
        <w:t>næringsaktørar</w:t>
      </w:r>
      <w:proofErr w:type="spellEnd"/>
      <w:r w:rsidRPr="00225D4D">
        <w:t xml:space="preserve"> med å få ned straumrekninga si. </w:t>
      </w:r>
      <w:proofErr w:type="spellStart"/>
      <w:r w:rsidRPr="00225D4D">
        <w:t>Ein</w:t>
      </w:r>
      <w:proofErr w:type="spellEnd"/>
      <w:r w:rsidRPr="00225D4D">
        <w:t xml:space="preserve"> tar sikte på at delingsordninga for fornybar </w:t>
      </w:r>
      <w:proofErr w:type="spellStart"/>
      <w:r w:rsidRPr="00225D4D">
        <w:t>straum</w:t>
      </w:r>
      <w:proofErr w:type="spellEnd"/>
      <w:r w:rsidRPr="00225D4D">
        <w:t xml:space="preserve"> tilpassa næringsområde trer i kraft 1. januar 2026.</w:t>
      </w:r>
    </w:p>
    <w:p w14:paraId="3A34CB07"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165D9FEA" w14:textId="77777777" w:rsidR="00D60186" w:rsidRPr="00225D4D" w:rsidRDefault="00D60186" w:rsidP="00225D4D">
      <w:pPr>
        <w:pStyle w:val="avsnitt-tittel"/>
      </w:pPr>
      <w:proofErr w:type="spellStart"/>
      <w:r w:rsidRPr="00225D4D">
        <w:t>Solenergiparkar</w:t>
      </w:r>
      <w:proofErr w:type="spellEnd"/>
      <w:r w:rsidRPr="00225D4D">
        <w:t xml:space="preserve"> – fjerne konsesjonsplikt for enkeltprosjekt med lågt konfliktnivå</w:t>
      </w:r>
    </w:p>
    <w:p w14:paraId="20CC9BB7" w14:textId="77777777" w:rsidR="00D60186" w:rsidRPr="00225D4D" w:rsidRDefault="00D60186" w:rsidP="00225D4D">
      <w:pPr>
        <w:pStyle w:val="avsnitt-undertittel"/>
      </w:pPr>
      <w:r w:rsidRPr="00225D4D">
        <w:t>Vedtak 925, 16. juni 2023</w:t>
      </w:r>
    </w:p>
    <w:p w14:paraId="647E8ECD" w14:textId="77777777" w:rsidR="00D60186" w:rsidRPr="00225D4D" w:rsidRDefault="00D60186" w:rsidP="00225D4D">
      <w:pPr>
        <w:pStyle w:val="blokksit"/>
      </w:pPr>
      <w:r w:rsidRPr="00225D4D">
        <w:t>«</w:t>
      </w:r>
      <w:r w:rsidRPr="00225D4D">
        <w:rPr>
          <w:rStyle w:val="kursiv"/>
        </w:rPr>
        <w:t>Stortinget ber regjeringen gi NVE mulighet til å unnta enkeltprosjekter med solparker med lavt konfliktnivå i grå areal fra konsesjonsplikt, slik at tillatelser kan gis av kommunene etter plan- og bygningsloven.</w:t>
      </w:r>
      <w:r w:rsidRPr="00225D4D">
        <w:t>»</w:t>
      </w:r>
    </w:p>
    <w:p w14:paraId="663927B6" w14:textId="77777777" w:rsidR="00D60186" w:rsidRPr="00225D4D" w:rsidRDefault="00D60186" w:rsidP="00225D4D">
      <w:r w:rsidRPr="00225D4D">
        <w:t xml:space="preserve">Dokumenta som ligg til grunn for vedtaket er Meld. St. 2 (2022–2023) og </w:t>
      </w:r>
      <w:proofErr w:type="spellStart"/>
      <w:r w:rsidRPr="00225D4D">
        <w:t>Innst</w:t>
      </w:r>
      <w:proofErr w:type="spellEnd"/>
      <w:r w:rsidRPr="00225D4D">
        <w:t>. 490 S (2022–2023).</w:t>
      </w:r>
    </w:p>
    <w:p w14:paraId="39B557C5" w14:textId="77777777" w:rsidR="00D60186" w:rsidRPr="00225D4D" w:rsidRDefault="00D60186" w:rsidP="00225D4D">
      <w:r w:rsidRPr="00225D4D">
        <w:t xml:space="preserve">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ei fråsegn </w:t>
      </w:r>
      <w:proofErr w:type="spellStart"/>
      <w:r w:rsidRPr="00225D4D">
        <w:t>frå</w:t>
      </w:r>
      <w:proofErr w:type="spellEnd"/>
      <w:r w:rsidRPr="00225D4D">
        <w:t xml:space="preserve"> </w:t>
      </w:r>
      <w:proofErr w:type="spellStart"/>
      <w:r w:rsidRPr="00225D4D">
        <w:t>fleirtalet</w:t>
      </w:r>
      <w:proofErr w:type="spellEnd"/>
      <w:r w:rsidRPr="00225D4D">
        <w:t xml:space="preserve"> i energi- og miljøkomiteen, som gir uttrykk for at vedtaket </w:t>
      </w:r>
      <w:proofErr w:type="spellStart"/>
      <w:r w:rsidRPr="00225D4D">
        <w:t>ikkje</w:t>
      </w:r>
      <w:proofErr w:type="spellEnd"/>
      <w:r w:rsidRPr="00225D4D">
        <w:t xml:space="preserve"> kan kvitterast ut før NVE har høve til å frita enkeltprosjekt med </w:t>
      </w:r>
      <w:proofErr w:type="spellStart"/>
      <w:r w:rsidRPr="00225D4D">
        <w:t>solparkar</w:t>
      </w:r>
      <w:proofErr w:type="spellEnd"/>
      <w:r w:rsidRPr="00225D4D">
        <w:t xml:space="preserve"> med lågt konfliktnivå i grå areal </w:t>
      </w:r>
      <w:proofErr w:type="spellStart"/>
      <w:r w:rsidRPr="00225D4D">
        <w:t>frå</w:t>
      </w:r>
      <w:proofErr w:type="spellEnd"/>
      <w:r w:rsidRPr="00225D4D">
        <w:t xml:space="preserve"> konsesjonsplikt. Rapporteringa blir derfor </w:t>
      </w:r>
      <w:proofErr w:type="spellStart"/>
      <w:r w:rsidRPr="00225D4D">
        <w:t>ikkje</w:t>
      </w:r>
      <w:proofErr w:type="spellEnd"/>
      <w:r w:rsidRPr="00225D4D">
        <w:t xml:space="preserve"> avslutta.</w:t>
      </w:r>
    </w:p>
    <w:p w14:paraId="7CF4F48F" w14:textId="77777777" w:rsidR="00D60186" w:rsidRPr="00225D4D" w:rsidRDefault="00D60186" w:rsidP="00225D4D">
      <w:r w:rsidRPr="00225D4D">
        <w:t xml:space="preserve">Departementet har fastsett ei effektgrense på 10 MW for konsesjonsplikt for solkraftanlegg. Solkraftanlegg med installert effekt på 10 MW eller mindre treng </w:t>
      </w:r>
      <w:proofErr w:type="spellStart"/>
      <w:r w:rsidRPr="00225D4D">
        <w:t>ikkje</w:t>
      </w:r>
      <w:proofErr w:type="spellEnd"/>
      <w:r w:rsidRPr="00225D4D">
        <w:t xml:space="preserve"> konsesjon etter energilova. Denne effektgrensa gjeld generelt for alle solkraftanlegg og er </w:t>
      </w:r>
      <w:proofErr w:type="spellStart"/>
      <w:r w:rsidRPr="00225D4D">
        <w:t>ikkje</w:t>
      </w:r>
      <w:proofErr w:type="spellEnd"/>
      <w:r w:rsidRPr="00225D4D">
        <w:t xml:space="preserve"> avgrensa til </w:t>
      </w:r>
      <w:proofErr w:type="spellStart"/>
      <w:r w:rsidRPr="00225D4D">
        <w:t>såkalla</w:t>
      </w:r>
      <w:proofErr w:type="spellEnd"/>
      <w:r w:rsidRPr="00225D4D">
        <w:t xml:space="preserve"> grå areal. Regelendringa blei sett i kraft 1. juli 2025.</w:t>
      </w:r>
    </w:p>
    <w:p w14:paraId="5C57038A"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112FAD10" w14:textId="77777777" w:rsidR="00D60186" w:rsidRPr="00225D4D" w:rsidRDefault="00D60186" w:rsidP="00225D4D">
      <w:pPr>
        <w:pStyle w:val="avsnitt-tittel"/>
      </w:pPr>
      <w:proofErr w:type="spellStart"/>
      <w:r w:rsidRPr="00225D4D">
        <w:t>Solenergiparkar</w:t>
      </w:r>
      <w:proofErr w:type="spellEnd"/>
      <w:r w:rsidRPr="00225D4D">
        <w:t xml:space="preserve"> – fjerne konsesjonsplikt opp til 1 MW</w:t>
      </w:r>
    </w:p>
    <w:p w14:paraId="6D0EEFD0" w14:textId="77777777" w:rsidR="00D60186" w:rsidRPr="00225D4D" w:rsidRDefault="00D60186" w:rsidP="00225D4D">
      <w:pPr>
        <w:pStyle w:val="avsnitt-undertittel"/>
      </w:pPr>
      <w:r w:rsidRPr="00225D4D">
        <w:t>Vedtak 926, 16. juni 2023</w:t>
      </w:r>
    </w:p>
    <w:p w14:paraId="7112F6D2" w14:textId="77777777" w:rsidR="00D60186" w:rsidRPr="00225D4D" w:rsidRDefault="00D60186" w:rsidP="00225D4D">
      <w:pPr>
        <w:pStyle w:val="blokksit"/>
      </w:pPr>
      <w:r w:rsidRPr="00225D4D">
        <w:t>«</w:t>
      </w:r>
      <w:r w:rsidRPr="00225D4D">
        <w:rPr>
          <w:rStyle w:val="kursiv"/>
        </w:rPr>
        <w:t>Stortinget ber regjeringen i løpet av 2023 fjerne konsesjonsplikt for solparker opp til 1 MW på grå areal, slik at tillatelser gis av kommunene etter plan- og bygningsloven.</w:t>
      </w:r>
      <w:r w:rsidRPr="00225D4D">
        <w:t>»</w:t>
      </w:r>
    </w:p>
    <w:p w14:paraId="7F93C4A8" w14:textId="77777777" w:rsidR="00D60186" w:rsidRPr="00225D4D" w:rsidRDefault="00D60186" w:rsidP="00225D4D">
      <w:r w:rsidRPr="00225D4D">
        <w:t xml:space="preserve">Dokumenta som ligg til grunn for vedtaket er Meld. St. 2 (2022–2023) og </w:t>
      </w:r>
      <w:proofErr w:type="spellStart"/>
      <w:r w:rsidRPr="00225D4D">
        <w:t>Innst</w:t>
      </w:r>
      <w:proofErr w:type="spellEnd"/>
      <w:r w:rsidRPr="00225D4D">
        <w:t>. 490 S (2022–2023).</w:t>
      </w:r>
    </w:p>
    <w:p w14:paraId="62EC504C" w14:textId="77777777" w:rsidR="00D60186" w:rsidRPr="00225D4D" w:rsidRDefault="00D60186" w:rsidP="00225D4D">
      <w:r w:rsidRPr="00225D4D">
        <w:t xml:space="preserve">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ei fråsegn </w:t>
      </w:r>
      <w:proofErr w:type="spellStart"/>
      <w:r w:rsidRPr="00225D4D">
        <w:t>frå</w:t>
      </w:r>
      <w:proofErr w:type="spellEnd"/>
      <w:r w:rsidRPr="00225D4D">
        <w:t xml:space="preserve"> </w:t>
      </w:r>
      <w:proofErr w:type="spellStart"/>
      <w:r w:rsidRPr="00225D4D">
        <w:t>fleirtalet</w:t>
      </w:r>
      <w:proofErr w:type="spellEnd"/>
      <w:r w:rsidRPr="00225D4D">
        <w:t xml:space="preserve"> i energi- og miljøkomiteen, som viser til at regjeringa har hatt på </w:t>
      </w:r>
      <w:proofErr w:type="spellStart"/>
      <w:r w:rsidRPr="00225D4D">
        <w:t>høyring</w:t>
      </w:r>
      <w:proofErr w:type="spellEnd"/>
      <w:r w:rsidRPr="00225D4D">
        <w:t xml:space="preserve"> </w:t>
      </w:r>
      <w:proofErr w:type="spellStart"/>
      <w:r w:rsidRPr="00225D4D">
        <w:t>eit</w:t>
      </w:r>
      <w:proofErr w:type="spellEnd"/>
      <w:r w:rsidRPr="00225D4D">
        <w:t xml:space="preserve"> forslag om å innføre ei effektgrense for konsesjonsplikt for solkraftanlegg, og at regjeringa arbeider med ei endringsforskrift. </w:t>
      </w:r>
      <w:proofErr w:type="spellStart"/>
      <w:r w:rsidRPr="00225D4D">
        <w:t>Fleirtalet</w:t>
      </w:r>
      <w:proofErr w:type="spellEnd"/>
      <w:r w:rsidRPr="00225D4D">
        <w:t xml:space="preserve"> meiner at rapporteringa </w:t>
      </w:r>
      <w:proofErr w:type="spellStart"/>
      <w:r w:rsidRPr="00225D4D">
        <w:t>ikkje</w:t>
      </w:r>
      <w:proofErr w:type="spellEnd"/>
      <w:r w:rsidRPr="00225D4D">
        <w:t xml:space="preserve"> kan </w:t>
      </w:r>
      <w:proofErr w:type="spellStart"/>
      <w:r w:rsidRPr="00225D4D">
        <w:t>avsluttast</w:t>
      </w:r>
      <w:proofErr w:type="spellEnd"/>
      <w:r w:rsidRPr="00225D4D">
        <w:t xml:space="preserve"> før forskrifta er lagd fram.</w:t>
      </w:r>
    </w:p>
    <w:p w14:paraId="1ED169C6" w14:textId="77777777" w:rsidR="00D60186" w:rsidRPr="00225D4D" w:rsidRDefault="00D60186" w:rsidP="00225D4D">
      <w:r w:rsidRPr="00225D4D">
        <w:t xml:space="preserve">Departementet har fastsett ei effektgrense på 10 MW for konsesjonsplikt for solkraftanlegg. Solkraftanlegg med installert effekt på 10 MW eller mindre treng </w:t>
      </w:r>
      <w:proofErr w:type="spellStart"/>
      <w:r w:rsidRPr="00225D4D">
        <w:t>ikkje</w:t>
      </w:r>
      <w:proofErr w:type="spellEnd"/>
      <w:r w:rsidRPr="00225D4D">
        <w:t xml:space="preserve"> konsesjon etter energilova. Denne effektgrensa gjeld generelt for alle solkraftanlegg, også </w:t>
      </w:r>
      <w:proofErr w:type="spellStart"/>
      <w:r w:rsidRPr="00225D4D">
        <w:t>såkalla</w:t>
      </w:r>
      <w:proofErr w:type="spellEnd"/>
      <w:r w:rsidRPr="00225D4D">
        <w:t xml:space="preserve"> grå areal. Regelendringa blei sett i kraft 1. juli 2025.</w:t>
      </w:r>
    </w:p>
    <w:p w14:paraId="62D39590"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6A1D9DD6" w14:textId="77777777" w:rsidR="00D60186" w:rsidRPr="00225D4D" w:rsidRDefault="00D60186" w:rsidP="00225D4D">
      <w:pPr>
        <w:pStyle w:val="Overskrift2"/>
      </w:pPr>
      <w:r w:rsidRPr="00225D4D">
        <w:t>Stortingssesjon 2021–2022</w:t>
      </w:r>
    </w:p>
    <w:p w14:paraId="0D3D037F" w14:textId="77777777" w:rsidR="00D60186" w:rsidRPr="00225D4D" w:rsidRDefault="00D60186" w:rsidP="00225D4D">
      <w:pPr>
        <w:pStyle w:val="avsnitt-tittel"/>
      </w:pPr>
      <w:r w:rsidRPr="00225D4D">
        <w:t>Havvind – tildeling av areal</w:t>
      </w:r>
    </w:p>
    <w:p w14:paraId="78BBD010" w14:textId="77777777" w:rsidR="00D60186" w:rsidRPr="00225D4D" w:rsidRDefault="00D60186" w:rsidP="00225D4D">
      <w:pPr>
        <w:pStyle w:val="avsnitt-undertittel"/>
      </w:pPr>
      <w:r w:rsidRPr="00225D4D">
        <w:t>Vedtak 703, 10. juni 2022</w:t>
      </w:r>
    </w:p>
    <w:p w14:paraId="5829E71A" w14:textId="77777777" w:rsidR="00D60186" w:rsidRPr="00225D4D" w:rsidRDefault="00D60186" w:rsidP="00225D4D">
      <w:pPr>
        <w:pStyle w:val="blokksit"/>
      </w:pPr>
      <w:r w:rsidRPr="00225D4D">
        <w:t>«</w:t>
      </w:r>
      <w:r w:rsidRPr="00225D4D">
        <w:rPr>
          <w:rStyle w:val="kursiv"/>
        </w:rPr>
        <w:t xml:space="preserve">Stortinget ber regjeringen sørge for at neste tildeling av havvindareal etter Sørlige </w:t>
      </w:r>
      <w:proofErr w:type="spellStart"/>
      <w:r w:rsidRPr="00225D4D">
        <w:rPr>
          <w:rStyle w:val="kursiv"/>
        </w:rPr>
        <w:t>Nordsjø</w:t>
      </w:r>
      <w:proofErr w:type="spellEnd"/>
      <w:r w:rsidRPr="00225D4D">
        <w:rPr>
          <w:rStyle w:val="kursiv"/>
        </w:rPr>
        <w:t xml:space="preserve"> II og Utsira Nord i nye områder skjer senest i løpet av 2025. Stortinget ber om at dette er en større utlysning som legger til rette for skalering og teknologiutvikling og nye industrielle muligheter og at utlysningen sikrer god sameksistens og tar hensyn til viktige naturverdier.</w:t>
      </w:r>
      <w:r w:rsidRPr="00225D4D">
        <w:t>»</w:t>
      </w:r>
    </w:p>
    <w:p w14:paraId="5A93C2DC" w14:textId="77777777" w:rsidR="00D60186" w:rsidRPr="00225D4D" w:rsidRDefault="00D60186" w:rsidP="00225D4D">
      <w:r w:rsidRPr="00225D4D">
        <w:t xml:space="preserve">Dokumenta som ligg til grunn for vedtaket er Meld. St. 36 (2020–2021), Meld. St. 11 (2021–2022) og </w:t>
      </w:r>
      <w:proofErr w:type="spellStart"/>
      <w:r w:rsidRPr="00225D4D">
        <w:t>Innst</w:t>
      </w:r>
      <w:proofErr w:type="spellEnd"/>
      <w:r w:rsidRPr="00225D4D">
        <w:t>. 446 S (2021–2022).</w:t>
      </w:r>
    </w:p>
    <w:p w14:paraId="71A759C5" w14:textId="77777777" w:rsidR="00D60186" w:rsidRPr="00225D4D" w:rsidRDefault="00D60186" w:rsidP="00225D4D">
      <w:r w:rsidRPr="00225D4D">
        <w:t xml:space="preserve">I 2023 lyste departementet ut området </w:t>
      </w:r>
      <w:proofErr w:type="spellStart"/>
      <w:r w:rsidRPr="00225D4D">
        <w:t>Sørlege</w:t>
      </w:r>
      <w:proofErr w:type="spellEnd"/>
      <w:r w:rsidRPr="00225D4D">
        <w:t xml:space="preserve"> </w:t>
      </w:r>
      <w:proofErr w:type="spellStart"/>
      <w:r w:rsidRPr="00225D4D">
        <w:t>Nordsjø</w:t>
      </w:r>
      <w:proofErr w:type="spellEnd"/>
      <w:r w:rsidRPr="00225D4D">
        <w:t xml:space="preserve"> II, og området blei tildelt </w:t>
      </w:r>
      <w:proofErr w:type="spellStart"/>
      <w:r w:rsidRPr="00225D4D">
        <w:t>Ventyr</w:t>
      </w:r>
      <w:proofErr w:type="spellEnd"/>
      <w:r w:rsidRPr="00225D4D">
        <w:t xml:space="preserve"> SN II AS i april 2024. </w:t>
      </w:r>
      <w:proofErr w:type="spellStart"/>
      <w:r w:rsidRPr="00225D4D">
        <w:t>Ventyr</w:t>
      </w:r>
      <w:proofErr w:type="spellEnd"/>
      <w:r w:rsidRPr="00225D4D">
        <w:t xml:space="preserve"> er </w:t>
      </w:r>
      <w:proofErr w:type="spellStart"/>
      <w:r w:rsidRPr="00225D4D">
        <w:t>no</w:t>
      </w:r>
      <w:proofErr w:type="spellEnd"/>
      <w:r w:rsidRPr="00225D4D">
        <w:t xml:space="preserve"> i gang med </w:t>
      </w:r>
      <w:proofErr w:type="spellStart"/>
      <w:r w:rsidRPr="00225D4D">
        <w:t>si</w:t>
      </w:r>
      <w:proofErr w:type="spellEnd"/>
      <w:r w:rsidRPr="00225D4D">
        <w:t xml:space="preserve"> prosjektspesifikke konsekvensutgreiing for det 1 500 MW store prosjektet.</w:t>
      </w:r>
    </w:p>
    <w:p w14:paraId="3C2BD154" w14:textId="77777777" w:rsidR="00D60186" w:rsidRPr="00225D4D" w:rsidRDefault="00D60186" w:rsidP="00225D4D">
      <w:r w:rsidRPr="00225D4D">
        <w:t xml:space="preserve">I mai 2025 lyste departementet ut tre prosjektområde på 500 MW for </w:t>
      </w:r>
      <w:proofErr w:type="spellStart"/>
      <w:r w:rsidRPr="00225D4D">
        <w:t>flytande</w:t>
      </w:r>
      <w:proofErr w:type="spellEnd"/>
      <w:r w:rsidRPr="00225D4D">
        <w:t xml:space="preserve"> havvind i Utsira Nord. Utsira Nord </w:t>
      </w:r>
      <w:proofErr w:type="spellStart"/>
      <w:r w:rsidRPr="00225D4D">
        <w:t>legg</w:t>
      </w:r>
      <w:proofErr w:type="spellEnd"/>
      <w:r w:rsidRPr="00225D4D">
        <w:t xml:space="preserve"> til rette for </w:t>
      </w:r>
      <w:proofErr w:type="spellStart"/>
      <w:r w:rsidRPr="00225D4D">
        <w:t>auka</w:t>
      </w:r>
      <w:proofErr w:type="spellEnd"/>
      <w:r w:rsidRPr="00225D4D">
        <w:t xml:space="preserve"> fornybar kraftproduksjon og teknologiutvikling, og </w:t>
      </w:r>
      <w:proofErr w:type="spellStart"/>
      <w:r w:rsidRPr="00225D4D">
        <w:t>opnar</w:t>
      </w:r>
      <w:proofErr w:type="spellEnd"/>
      <w:r w:rsidRPr="00225D4D">
        <w:t xml:space="preserve"> nye </w:t>
      </w:r>
      <w:proofErr w:type="spellStart"/>
      <w:r w:rsidRPr="00225D4D">
        <w:t>moglegheiter</w:t>
      </w:r>
      <w:proofErr w:type="spellEnd"/>
      <w:r w:rsidRPr="00225D4D">
        <w:t xml:space="preserve"> for leverandørindustrien.</w:t>
      </w:r>
    </w:p>
    <w:p w14:paraId="780A599B" w14:textId="77777777" w:rsidR="00D60186" w:rsidRPr="00225D4D" w:rsidRDefault="00D60186" w:rsidP="00225D4D">
      <w:r w:rsidRPr="00225D4D">
        <w:t xml:space="preserve">I juni 2025 </w:t>
      </w:r>
      <w:proofErr w:type="spellStart"/>
      <w:r w:rsidRPr="00225D4D">
        <w:t>fekk</w:t>
      </w:r>
      <w:proofErr w:type="spellEnd"/>
      <w:r w:rsidRPr="00225D4D">
        <w:t xml:space="preserve"> departement ei strategisk konsekvensutgreiing av område som er aktuelle for havvind </w:t>
      </w:r>
      <w:proofErr w:type="spellStart"/>
      <w:r w:rsidRPr="00225D4D">
        <w:t>frå</w:t>
      </w:r>
      <w:proofErr w:type="spellEnd"/>
      <w:r w:rsidRPr="00225D4D">
        <w:t xml:space="preserve"> NVE. Utgreiinga er send på </w:t>
      </w:r>
      <w:proofErr w:type="spellStart"/>
      <w:r w:rsidRPr="00225D4D">
        <w:t>høyring</w:t>
      </w:r>
      <w:proofErr w:type="spellEnd"/>
      <w:r w:rsidRPr="00225D4D">
        <w:t xml:space="preserve">, og departementet vil – mellom anna basert på utgreiinga og </w:t>
      </w:r>
      <w:proofErr w:type="spellStart"/>
      <w:r w:rsidRPr="00225D4D">
        <w:t>høyringsinnspela</w:t>
      </w:r>
      <w:proofErr w:type="spellEnd"/>
      <w:r w:rsidRPr="00225D4D">
        <w:t xml:space="preserve"> – utarbeide </w:t>
      </w:r>
      <w:proofErr w:type="spellStart"/>
      <w:r w:rsidRPr="00225D4D">
        <w:t>ein</w:t>
      </w:r>
      <w:proofErr w:type="spellEnd"/>
      <w:r w:rsidRPr="00225D4D">
        <w:t xml:space="preserve"> plan for vegen </w:t>
      </w:r>
      <w:proofErr w:type="spellStart"/>
      <w:r w:rsidRPr="00225D4D">
        <w:t>vidare</w:t>
      </w:r>
      <w:proofErr w:type="spellEnd"/>
      <w:r w:rsidRPr="00225D4D">
        <w:t xml:space="preserve"> for havvind i </w:t>
      </w:r>
      <w:proofErr w:type="spellStart"/>
      <w:r w:rsidRPr="00225D4D">
        <w:t>Noreg</w:t>
      </w:r>
      <w:proofErr w:type="spellEnd"/>
      <w:r w:rsidRPr="00225D4D">
        <w:t xml:space="preserve">. Regjeringa planlegg å lyse ut nye område for havvind </w:t>
      </w:r>
      <w:proofErr w:type="spellStart"/>
      <w:r w:rsidRPr="00225D4D">
        <w:t>jamleg</w:t>
      </w:r>
      <w:proofErr w:type="spellEnd"/>
      <w:r w:rsidRPr="00225D4D">
        <w:t xml:space="preserve"> framover.</w:t>
      </w:r>
    </w:p>
    <w:p w14:paraId="401C8432" w14:textId="77777777" w:rsidR="00D60186" w:rsidRPr="00225D4D" w:rsidRDefault="00D60186" w:rsidP="00225D4D">
      <w:r w:rsidRPr="00225D4D">
        <w:t xml:space="preserve">Departementet </w:t>
      </w:r>
      <w:proofErr w:type="spellStart"/>
      <w:r w:rsidRPr="00225D4D">
        <w:t>reknar</w:t>
      </w:r>
      <w:proofErr w:type="spellEnd"/>
      <w:r w:rsidRPr="00225D4D">
        <w:t xml:space="preserve"> dette oppmodingsvedtaket som </w:t>
      </w:r>
      <w:proofErr w:type="spellStart"/>
      <w:r w:rsidRPr="00225D4D">
        <w:t>følgt</w:t>
      </w:r>
      <w:proofErr w:type="spellEnd"/>
      <w:r w:rsidRPr="00225D4D">
        <w:t xml:space="preserve"> opp.</w:t>
      </w:r>
    </w:p>
    <w:p w14:paraId="210859CB" w14:textId="77777777" w:rsidR="00D60186" w:rsidRPr="00225D4D" w:rsidRDefault="00D60186" w:rsidP="00225D4D">
      <w:pPr>
        <w:pStyle w:val="avsnitt-tittel"/>
      </w:pPr>
      <w:r w:rsidRPr="00225D4D">
        <w:t xml:space="preserve">Havvind – vurdere å fastsette delmål for arealtildeling </w:t>
      </w:r>
      <w:proofErr w:type="spellStart"/>
      <w:r w:rsidRPr="00225D4D">
        <w:t>innan</w:t>
      </w:r>
      <w:proofErr w:type="spellEnd"/>
      <w:r w:rsidRPr="00225D4D">
        <w:t xml:space="preserve"> 2030</w:t>
      </w:r>
    </w:p>
    <w:p w14:paraId="58697C3D" w14:textId="77777777" w:rsidR="00D60186" w:rsidRPr="00225D4D" w:rsidRDefault="00D60186" w:rsidP="00225D4D">
      <w:pPr>
        <w:pStyle w:val="avsnitt-undertittel"/>
      </w:pPr>
      <w:r w:rsidRPr="00225D4D">
        <w:t>Vedtak 716, 10. juni 2022</w:t>
      </w:r>
    </w:p>
    <w:p w14:paraId="61D0128A" w14:textId="77777777" w:rsidR="00D60186" w:rsidRPr="00225D4D" w:rsidRDefault="00D60186" w:rsidP="00225D4D">
      <w:pPr>
        <w:pStyle w:val="blokksit"/>
      </w:pPr>
      <w:r w:rsidRPr="00225D4D">
        <w:t>«</w:t>
      </w:r>
      <w:r w:rsidRPr="00225D4D">
        <w:rPr>
          <w:rStyle w:val="kursiv"/>
        </w:rPr>
        <w:t>Stortinget ber regjeringen i lys av erfaringer og evalueringen som gjøres fra de første tildelingene, vurdere å fastsette et delmål for arealtildeling innen 2030.</w:t>
      </w:r>
      <w:r w:rsidRPr="00225D4D">
        <w:t>»</w:t>
      </w:r>
    </w:p>
    <w:p w14:paraId="066424EF" w14:textId="77777777" w:rsidR="00D60186" w:rsidRPr="00225D4D" w:rsidRDefault="00D60186" w:rsidP="00225D4D">
      <w:r w:rsidRPr="00225D4D">
        <w:t xml:space="preserve">Dokumenta som ligg til grunn for vedtaket er Meld. St. 36 (2020–2021), Meld. St. 11 (2021–2022) og </w:t>
      </w:r>
      <w:proofErr w:type="spellStart"/>
      <w:r w:rsidRPr="00225D4D">
        <w:t>Innst</w:t>
      </w:r>
      <w:proofErr w:type="spellEnd"/>
      <w:r w:rsidRPr="00225D4D">
        <w:t>. 446 S (2021–2022).</w:t>
      </w:r>
    </w:p>
    <w:p w14:paraId="4AE98E69" w14:textId="77777777" w:rsidR="00D60186" w:rsidRPr="00225D4D" w:rsidRDefault="00D60186" w:rsidP="00225D4D">
      <w:r w:rsidRPr="00225D4D">
        <w:t xml:space="preserve">I juni 2025 leverte NVE ei strategisk konsekvensutgreiing av område som er aktuelle for havvind, til departementet. Utgreiinga er send på </w:t>
      </w:r>
      <w:proofErr w:type="spellStart"/>
      <w:r w:rsidRPr="00225D4D">
        <w:t>høyring</w:t>
      </w:r>
      <w:proofErr w:type="spellEnd"/>
      <w:r w:rsidRPr="00225D4D">
        <w:t xml:space="preserve"> med frist 1. oktober. Departementet vil i 2026 utarbeide </w:t>
      </w:r>
      <w:proofErr w:type="spellStart"/>
      <w:r w:rsidRPr="00225D4D">
        <w:t>ein</w:t>
      </w:r>
      <w:proofErr w:type="spellEnd"/>
      <w:r w:rsidRPr="00225D4D">
        <w:t xml:space="preserve"> plan for den framtidige utviklinga av havvind i </w:t>
      </w:r>
      <w:proofErr w:type="spellStart"/>
      <w:r w:rsidRPr="00225D4D">
        <w:t>Noreg</w:t>
      </w:r>
      <w:proofErr w:type="spellEnd"/>
      <w:r w:rsidRPr="00225D4D">
        <w:t xml:space="preserve">, mellom anna basert på utgreiinga og </w:t>
      </w:r>
      <w:proofErr w:type="spellStart"/>
      <w:r w:rsidRPr="00225D4D">
        <w:t>høyringsinnspela</w:t>
      </w:r>
      <w:proofErr w:type="spellEnd"/>
      <w:r w:rsidRPr="00225D4D">
        <w:t xml:space="preserve">. Målet er å etablere </w:t>
      </w:r>
      <w:proofErr w:type="spellStart"/>
      <w:r w:rsidRPr="00225D4D">
        <w:t>eit</w:t>
      </w:r>
      <w:proofErr w:type="spellEnd"/>
      <w:r w:rsidRPr="00225D4D">
        <w:t xml:space="preserve"> godt grunnlag for </w:t>
      </w:r>
      <w:proofErr w:type="spellStart"/>
      <w:r w:rsidRPr="00225D4D">
        <w:t>vidare</w:t>
      </w:r>
      <w:proofErr w:type="spellEnd"/>
      <w:r w:rsidRPr="00225D4D">
        <w:t xml:space="preserve"> </w:t>
      </w:r>
      <w:proofErr w:type="spellStart"/>
      <w:r w:rsidRPr="00225D4D">
        <w:t>områdeutpeiking</w:t>
      </w:r>
      <w:proofErr w:type="spellEnd"/>
      <w:r w:rsidRPr="00225D4D">
        <w:t xml:space="preserve"> og </w:t>
      </w:r>
      <w:proofErr w:type="spellStart"/>
      <w:r w:rsidRPr="00225D4D">
        <w:t>utlysingar</w:t>
      </w:r>
      <w:proofErr w:type="spellEnd"/>
      <w:r w:rsidRPr="00225D4D">
        <w:t xml:space="preserve">. </w:t>
      </w:r>
      <w:proofErr w:type="spellStart"/>
      <w:r w:rsidRPr="00225D4D">
        <w:t>Noreg</w:t>
      </w:r>
      <w:proofErr w:type="spellEnd"/>
      <w:r w:rsidRPr="00225D4D">
        <w:t xml:space="preserve"> har </w:t>
      </w:r>
      <w:proofErr w:type="spellStart"/>
      <w:r w:rsidRPr="00225D4D">
        <w:t>ein</w:t>
      </w:r>
      <w:proofErr w:type="spellEnd"/>
      <w:r w:rsidRPr="00225D4D">
        <w:t xml:space="preserve"> ambisjon om at det </w:t>
      </w:r>
      <w:proofErr w:type="spellStart"/>
      <w:r w:rsidRPr="00225D4D">
        <w:t>innan</w:t>
      </w:r>
      <w:proofErr w:type="spellEnd"/>
      <w:r w:rsidRPr="00225D4D">
        <w:t xml:space="preserve"> 2040 skal tildelast område for 30 000 MW havvindproduksjon. Departementet </w:t>
      </w:r>
      <w:proofErr w:type="spellStart"/>
      <w:r w:rsidRPr="00225D4D">
        <w:t>legg</w:t>
      </w:r>
      <w:proofErr w:type="spellEnd"/>
      <w:r w:rsidRPr="00225D4D">
        <w:t xml:space="preserve"> opp til å lyse ut nye område for havvind </w:t>
      </w:r>
      <w:proofErr w:type="spellStart"/>
      <w:r w:rsidRPr="00225D4D">
        <w:t>jamleg</w:t>
      </w:r>
      <w:proofErr w:type="spellEnd"/>
      <w:r w:rsidRPr="00225D4D">
        <w:t xml:space="preserve"> framover.</w:t>
      </w:r>
    </w:p>
    <w:p w14:paraId="7D0924B6" w14:textId="77777777" w:rsidR="00D60186" w:rsidRPr="00225D4D" w:rsidRDefault="00D60186" w:rsidP="00225D4D">
      <w:r w:rsidRPr="00225D4D">
        <w:t xml:space="preserve">Departementet </w:t>
      </w:r>
      <w:proofErr w:type="spellStart"/>
      <w:r w:rsidRPr="00225D4D">
        <w:t>reknar</w:t>
      </w:r>
      <w:proofErr w:type="spellEnd"/>
      <w:r w:rsidRPr="00225D4D">
        <w:t xml:space="preserve"> rapporteringa på dette oppmodingsvedtaket som avslutta.</w:t>
      </w:r>
    </w:p>
    <w:p w14:paraId="62D260C3" w14:textId="77777777" w:rsidR="00D60186" w:rsidRPr="00225D4D" w:rsidRDefault="00D60186" w:rsidP="00225D4D">
      <w:pPr>
        <w:pStyle w:val="avsnitt-tittel"/>
      </w:pPr>
      <w:r w:rsidRPr="00225D4D">
        <w:t xml:space="preserve">Mål om </w:t>
      </w:r>
      <w:proofErr w:type="spellStart"/>
      <w:r w:rsidRPr="00225D4D">
        <w:t>auka</w:t>
      </w:r>
      <w:proofErr w:type="spellEnd"/>
      <w:r w:rsidRPr="00225D4D">
        <w:t xml:space="preserve"> energisparing – greie ut ulike </w:t>
      </w:r>
      <w:proofErr w:type="spellStart"/>
      <w:r w:rsidRPr="00225D4D">
        <w:t>ordningar</w:t>
      </w:r>
      <w:proofErr w:type="spellEnd"/>
      <w:r w:rsidRPr="00225D4D">
        <w:t xml:space="preserve"> med energisparesertifikat</w:t>
      </w:r>
    </w:p>
    <w:p w14:paraId="3BD7026A" w14:textId="77777777" w:rsidR="00D60186" w:rsidRPr="00225D4D" w:rsidRDefault="00D60186" w:rsidP="00225D4D">
      <w:pPr>
        <w:pStyle w:val="avsnitt-undertittel"/>
      </w:pPr>
      <w:r w:rsidRPr="00225D4D">
        <w:t>Vedtak 727, 10. juni 2022</w:t>
      </w:r>
    </w:p>
    <w:p w14:paraId="428473B9" w14:textId="77777777" w:rsidR="00D60186" w:rsidRPr="00225D4D" w:rsidRDefault="00D60186" w:rsidP="00225D4D">
      <w:pPr>
        <w:pStyle w:val="blokksit"/>
      </w:pPr>
      <w:r w:rsidRPr="00225D4D">
        <w:t>«</w:t>
      </w:r>
      <w:r w:rsidRPr="00225D4D">
        <w:rPr>
          <w:rStyle w:val="kursiv"/>
        </w:rPr>
        <w:t>Stortinget ber regjeringen utrede ulike ordninger med energisparesertifikater for å utløse mål om økt energisparing med mest mulig effekt.</w:t>
      </w:r>
      <w:r w:rsidRPr="00225D4D">
        <w:t>»</w:t>
      </w:r>
    </w:p>
    <w:p w14:paraId="6E586A87" w14:textId="77777777" w:rsidR="00D60186" w:rsidRPr="00225D4D" w:rsidRDefault="00D60186" w:rsidP="00225D4D">
      <w:r w:rsidRPr="00225D4D">
        <w:t xml:space="preserve">Dokumenta som ligg til grunn for vedtaket er Meld. St. 36 (2020–2021), Meld. St. 11 (2021–2022) og </w:t>
      </w:r>
      <w:proofErr w:type="spellStart"/>
      <w:r w:rsidRPr="00225D4D">
        <w:t>Innst</w:t>
      </w:r>
      <w:proofErr w:type="spellEnd"/>
      <w:r w:rsidRPr="00225D4D">
        <w:t>. 446 S (2021–2022).</w:t>
      </w:r>
    </w:p>
    <w:p w14:paraId="50FBB394" w14:textId="77777777" w:rsidR="00D60186" w:rsidRPr="00225D4D" w:rsidRDefault="00D60186" w:rsidP="00225D4D">
      <w:r w:rsidRPr="00225D4D">
        <w:t xml:space="preserve">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ei fråsegn </w:t>
      </w:r>
      <w:proofErr w:type="spellStart"/>
      <w:r w:rsidRPr="00225D4D">
        <w:t>frå</w:t>
      </w:r>
      <w:proofErr w:type="spellEnd"/>
      <w:r w:rsidRPr="00225D4D">
        <w:t xml:space="preserve"> </w:t>
      </w:r>
      <w:proofErr w:type="spellStart"/>
      <w:r w:rsidRPr="00225D4D">
        <w:t>fleirtalet</w:t>
      </w:r>
      <w:proofErr w:type="spellEnd"/>
      <w:r w:rsidRPr="00225D4D">
        <w:t xml:space="preserve"> i energi- og miljøkomiteen om at oppmodingsvedtak 727 (2021–2022) </w:t>
      </w:r>
      <w:proofErr w:type="spellStart"/>
      <w:r w:rsidRPr="00225D4D">
        <w:t>ikkje</w:t>
      </w:r>
      <w:proofErr w:type="spellEnd"/>
      <w:r w:rsidRPr="00225D4D">
        <w:t xml:space="preserve"> er gjennomført, og at rapporteringa derfor </w:t>
      </w:r>
      <w:proofErr w:type="spellStart"/>
      <w:r w:rsidRPr="00225D4D">
        <w:t>ikkje</w:t>
      </w:r>
      <w:proofErr w:type="spellEnd"/>
      <w:r w:rsidRPr="00225D4D">
        <w:t xml:space="preserve"> kan </w:t>
      </w:r>
      <w:proofErr w:type="spellStart"/>
      <w:r w:rsidRPr="00225D4D">
        <w:t>avsluttast</w:t>
      </w:r>
      <w:proofErr w:type="spellEnd"/>
      <w:r w:rsidRPr="00225D4D">
        <w:t>.</w:t>
      </w:r>
    </w:p>
    <w:p w14:paraId="63251C64" w14:textId="77777777" w:rsidR="00D60186" w:rsidRPr="00225D4D" w:rsidRDefault="00D60186" w:rsidP="00225D4D">
      <w:r w:rsidRPr="00225D4D">
        <w:t xml:space="preserve">Energidepartementet har vurdert </w:t>
      </w:r>
      <w:proofErr w:type="spellStart"/>
      <w:r w:rsidRPr="00225D4D">
        <w:t>ordningar</w:t>
      </w:r>
      <w:proofErr w:type="spellEnd"/>
      <w:r w:rsidRPr="00225D4D">
        <w:t xml:space="preserve"> med energisparesertifikat for å utløyse mål om </w:t>
      </w:r>
      <w:proofErr w:type="spellStart"/>
      <w:r w:rsidRPr="00225D4D">
        <w:t>auka</w:t>
      </w:r>
      <w:proofErr w:type="spellEnd"/>
      <w:r w:rsidRPr="00225D4D">
        <w:t xml:space="preserve"> energisparing. Energisparesertifikat kan minne om ETS-systemet for </w:t>
      </w:r>
      <w:proofErr w:type="spellStart"/>
      <w:r w:rsidRPr="00225D4D">
        <w:t>klimakvotar</w:t>
      </w:r>
      <w:proofErr w:type="spellEnd"/>
      <w:r w:rsidRPr="00225D4D">
        <w:t xml:space="preserve">, der </w:t>
      </w:r>
      <w:proofErr w:type="spellStart"/>
      <w:r w:rsidRPr="00225D4D">
        <w:t>aktørar</w:t>
      </w:r>
      <w:proofErr w:type="spellEnd"/>
      <w:r w:rsidRPr="00225D4D">
        <w:t xml:space="preserve"> blir pålagde å redusere forbruket eller dekke opp </w:t>
      </w:r>
      <w:proofErr w:type="spellStart"/>
      <w:r w:rsidRPr="00225D4D">
        <w:t>forpliktingane</w:t>
      </w:r>
      <w:proofErr w:type="spellEnd"/>
      <w:r w:rsidRPr="00225D4D">
        <w:t xml:space="preserve"> sine med sertifikat. Det er </w:t>
      </w:r>
      <w:proofErr w:type="spellStart"/>
      <w:r w:rsidRPr="00225D4D">
        <w:t>fleire</w:t>
      </w:r>
      <w:proofErr w:type="spellEnd"/>
      <w:r w:rsidRPr="00225D4D">
        <w:t xml:space="preserve"> </w:t>
      </w:r>
      <w:proofErr w:type="spellStart"/>
      <w:r w:rsidRPr="00225D4D">
        <w:t>måtar</w:t>
      </w:r>
      <w:proofErr w:type="spellEnd"/>
      <w:r w:rsidRPr="00225D4D">
        <w:t xml:space="preserve"> å innretta ei ordning for energisparesertifikat på, men det er </w:t>
      </w:r>
      <w:proofErr w:type="spellStart"/>
      <w:r w:rsidRPr="00225D4D">
        <w:t>vanleg</w:t>
      </w:r>
      <w:proofErr w:type="spellEnd"/>
      <w:r w:rsidRPr="00225D4D">
        <w:t xml:space="preserve"> at kraftselskap eller nettselskap får plikt til å sette i verk </w:t>
      </w:r>
      <w:proofErr w:type="spellStart"/>
      <w:r w:rsidRPr="00225D4D">
        <w:t>årlege</w:t>
      </w:r>
      <w:proofErr w:type="spellEnd"/>
      <w:r w:rsidRPr="00225D4D">
        <w:t xml:space="preserve"> energisparetiltak </w:t>
      </w:r>
      <w:proofErr w:type="spellStart"/>
      <w:r w:rsidRPr="00225D4D">
        <w:t>tilsvarande</w:t>
      </w:r>
      <w:proofErr w:type="spellEnd"/>
      <w:r w:rsidRPr="00225D4D">
        <w:t xml:space="preserve"> </w:t>
      </w:r>
      <w:proofErr w:type="spellStart"/>
      <w:r w:rsidRPr="00225D4D">
        <w:t>ein</w:t>
      </w:r>
      <w:proofErr w:type="spellEnd"/>
      <w:r w:rsidRPr="00225D4D">
        <w:t xml:space="preserve"> viss prosent av den totale energileveransen sin. Kraft- eller nettselskapa blir pålagde å kjøpe sertifikat </w:t>
      </w:r>
      <w:proofErr w:type="spellStart"/>
      <w:r w:rsidRPr="00225D4D">
        <w:t>tilsvarande</w:t>
      </w:r>
      <w:proofErr w:type="spellEnd"/>
      <w:r w:rsidRPr="00225D4D">
        <w:t xml:space="preserve"> </w:t>
      </w:r>
      <w:proofErr w:type="spellStart"/>
      <w:r w:rsidRPr="00225D4D">
        <w:t>dei</w:t>
      </w:r>
      <w:proofErr w:type="spellEnd"/>
      <w:r w:rsidRPr="00225D4D">
        <w:t xml:space="preserve"> pålagde </w:t>
      </w:r>
      <w:proofErr w:type="spellStart"/>
      <w:r w:rsidRPr="00225D4D">
        <w:t>energispareforpliktingane</w:t>
      </w:r>
      <w:proofErr w:type="spellEnd"/>
      <w:r w:rsidRPr="00225D4D">
        <w:t xml:space="preserve"> sine. Kostnadene ved å kjøpe sertifikata blir så fordelte på </w:t>
      </w:r>
      <w:proofErr w:type="spellStart"/>
      <w:r w:rsidRPr="00225D4D">
        <w:t>kundane</w:t>
      </w:r>
      <w:proofErr w:type="spellEnd"/>
      <w:r w:rsidRPr="00225D4D">
        <w:t xml:space="preserve">, enten gjennom </w:t>
      </w:r>
      <w:proofErr w:type="spellStart"/>
      <w:r w:rsidRPr="00225D4D">
        <w:t>høgare</w:t>
      </w:r>
      <w:proofErr w:type="spellEnd"/>
      <w:r w:rsidRPr="00225D4D">
        <w:t xml:space="preserve"> </w:t>
      </w:r>
      <w:proofErr w:type="spellStart"/>
      <w:r w:rsidRPr="00225D4D">
        <w:t>nettleige</w:t>
      </w:r>
      <w:proofErr w:type="spellEnd"/>
      <w:r w:rsidRPr="00225D4D">
        <w:t xml:space="preserve"> eller gjennom </w:t>
      </w:r>
      <w:proofErr w:type="spellStart"/>
      <w:r w:rsidRPr="00225D4D">
        <w:t>høgare</w:t>
      </w:r>
      <w:proofErr w:type="spellEnd"/>
      <w:r w:rsidRPr="00225D4D">
        <w:t xml:space="preserve"> straumpris. </w:t>
      </w:r>
      <w:proofErr w:type="spellStart"/>
      <w:r w:rsidRPr="00225D4D">
        <w:t>Ein</w:t>
      </w:r>
      <w:proofErr w:type="spellEnd"/>
      <w:r w:rsidRPr="00225D4D">
        <w:t xml:space="preserve"> pålegg også private nett- eller kraftselskap ei administrativ byrde som i utgangspunktet fell </w:t>
      </w:r>
      <w:proofErr w:type="spellStart"/>
      <w:r w:rsidRPr="00225D4D">
        <w:t>utanfor</w:t>
      </w:r>
      <w:proofErr w:type="spellEnd"/>
      <w:r w:rsidRPr="00225D4D">
        <w:t xml:space="preserve"> </w:t>
      </w:r>
      <w:proofErr w:type="spellStart"/>
      <w:r w:rsidRPr="00225D4D">
        <w:t>kjerneverksemda</w:t>
      </w:r>
      <w:proofErr w:type="spellEnd"/>
      <w:r w:rsidRPr="00225D4D">
        <w:t xml:space="preserve"> </w:t>
      </w:r>
      <w:proofErr w:type="spellStart"/>
      <w:r w:rsidRPr="00225D4D">
        <w:t>deira</w:t>
      </w:r>
      <w:proofErr w:type="spellEnd"/>
      <w:r w:rsidRPr="00225D4D">
        <w:t>.</w:t>
      </w:r>
    </w:p>
    <w:p w14:paraId="21BF0A30" w14:textId="77777777" w:rsidR="00D60186" w:rsidRPr="00225D4D" w:rsidRDefault="00D60186" w:rsidP="00225D4D">
      <w:proofErr w:type="spellStart"/>
      <w:r w:rsidRPr="00225D4D">
        <w:t>Ordningar</w:t>
      </w:r>
      <w:proofErr w:type="spellEnd"/>
      <w:r w:rsidRPr="00225D4D">
        <w:t xml:space="preserve"> med energisparesertifikat krev svært </w:t>
      </w:r>
      <w:proofErr w:type="spellStart"/>
      <w:r w:rsidRPr="00225D4D">
        <w:t>mykje</w:t>
      </w:r>
      <w:proofErr w:type="spellEnd"/>
      <w:r w:rsidRPr="00225D4D">
        <w:t xml:space="preserve"> administrasjon. Det må </w:t>
      </w:r>
      <w:proofErr w:type="spellStart"/>
      <w:r w:rsidRPr="00225D4D">
        <w:t>utarbeidast</w:t>
      </w:r>
      <w:proofErr w:type="spellEnd"/>
      <w:r w:rsidRPr="00225D4D">
        <w:t xml:space="preserve"> ei </w:t>
      </w:r>
      <w:proofErr w:type="spellStart"/>
      <w:r w:rsidRPr="00225D4D">
        <w:t>omfattande</w:t>
      </w:r>
      <w:proofErr w:type="spellEnd"/>
      <w:r w:rsidRPr="00225D4D">
        <w:t xml:space="preserve"> predefinert liste over tiltak som kvalifiserer til å få utskrive sertifikat. Det må også </w:t>
      </w:r>
      <w:proofErr w:type="spellStart"/>
      <w:r w:rsidRPr="00225D4D">
        <w:t>fastsettast</w:t>
      </w:r>
      <w:proofErr w:type="spellEnd"/>
      <w:r w:rsidRPr="00225D4D">
        <w:t xml:space="preserve"> kor mange sertifikat kvart tiltak klassifiserer til. Det vil </w:t>
      </w:r>
      <w:proofErr w:type="spellStart"/>
      <w:r w:rsidRPr="00225D4D">
        <w:t>vere</w:t>
      </w:r>
      <w:proofErr w:type="spellEnd"/>
      <w:r w:rsidRPr="00225D4D">
        <w:t xml:space="preserve"> </w:t>
      </w:r>
      <w:proofErr w:type="spellStart"/>
      <w:r w:rsidRPr="00225D4D">
        <w:t>utfordrande</w:t>
      </w:r>
      <w:proofErr w:type="spellEnd"/>
      <w:r w:rsidRPr="00225D4D">
        <w:t xml:space="preserve"> å komme fram til generelle </w:t>
      </w:r>
      <w:proofErr w:type="spellStart"/>
      <w:r w:rsidRPr="00225D4D">
        <w:t>energiinnsparingar</w:t>
      </w:r>
      <w:proofErr w:type="spellEnd"/>
      <w:r w:rsidRPr="00225D4D">
        <w:t xml:space="preserve"> knytte til </w:t>
      </w:r>
      <w:proofErr w:type="spellStart"/>
      <w:r w:rsidRPr="00225D4D">
        <w:t>eit</w:t>
      </w:r>
      <w:proofErr w:type="spellEnd"/>
      <w:r w:rsidRPr="00225D4D">
        <w:t xml:space="preserve"> bestemt tiltak. Det same tiltaket kan gi ulike </w:t>
      </w:r>
      <w:proofErr w:type="spellStart"/>
      <w:r w:rsidRPr="00225D4D">
        <w:t>energiinnsparingar</w:t>
      </w:r>
      <w:proofErr w:type="spellEnd"/>
      <w:r w:rsidRPr="00225D4D">
        <w:t xml:space="preserve"> avhengig av kvar og korleis det blir gjennomført.</w:t>
      </w:r>
    </w:p>
    <w:p w14:paraId="38F68F75" w14:textId="77777777" w:rsidR="00D60186" w:rsidRPr="00225D4D" w:rsidRDefault="00D60186" w:rsidP="00225D4D">
      <w:r w:rsidRPr="00225D4D">
        <w:t xml:space="preserve">Formålet med ei ordning med energisparesertifikat er å stimulere til </w:t>
      </w:r>
      <w:proofErr w:type="spellStart"/>
      <w:r w:rsidRPr="00225D4D">
        <w:t>auka</w:t>
      </w:r>
      <w:proofErr w:type="spellEnd"/>
      <w:r w:rsidRPr="00225D4D">
        <w:t xml:space="preserve"> energieffektivisering. Regjeringa har lagt fram </w:t>
      </w:r>
      <w:proofErr w:type="spellStart"/>
      <w:r w:rsidRPr="00225D4D">
        <w:t>ein</w:t>
      </w:r>
      <w:proofErr w:type="spellEnd"/>
      <w:r w:rsidRPr="00225D4D">
        <w:t xml:space="preserve"> handlingsplan for energieffektivisering i alle </w:t>
      </w:r>
      <w:proofErr w:type="spellStart"/>
      <w:r w:rsidRPr="00225D4D">
        <w:t>delar</w:t>
      </w:r>
      <w:proofErr w:type="spellEnd"/>
      <w:r w:rsidRPr="00225D4D">
        <w:t xml:space="preserve"> av norsk økonomi og har styrkt arbeidet med energieffektivisering </w:t>
      </w:r>
      <w:proofErr w:type="spellStart"/>
      <w:r w:rsidRPr="00225D4D">
        <w:t>dei</w:t>
      </w:r>
      <w:proofErr w:type="spellEnd"/>
      <w:r w:rsidRPr="00225D4D">
        <w:t xml:space="preserve"> siste åra. Departementet </w:t>
      </w:r>
      <w:proofErr w:type="spellStart"/>
      <w:r w:rsidRPr="00225D4D">
        <w:t>reknar</w:t>
      </w:r>
      <w:proofErr w:type="spellEnd"/>
      <w:r w:rsidRPr="00225D4D">
        <w:t xml:space="preserve"> det </w:t>
      </w:r>
      <w:proofErr w:type="spellStart"/>
      <w:r w:rsidRPr="00225D4D">
        <w:t>ikkje</w:t>
      </w:r>
      <w:proofErr w:type="spellEnd"/>
      <w:r w:rsidRPr="00225D4D">
        <w:t xml:space="preserve"> som </w:t>
      </w:r>
      <w:proofErr w:type="spellStart"/>
      <w:r w:rsidRPr="00225D4D">
        <w:t>formålstenleg</w:t>
      </w:r>
      <w:proofErr w:type="spellEnd"/>
      <w:r w:rsidRPr="00225D4D">
        <w:t xml:space="preserve"> å greie ut ulike </w:t>
      </w:r>
      <w:proofErr w:type="spellStart"/>
      <w:r w:rsidRPr="00225D4D">
        <w:t>ordningar</w:t>
      </w:r>
      <w:proofErr w:type="spellEnd"/>
      <w:r w:rsidRPr="00225D4D">
        <w:t xml:space="preserve"> for energisparesertifikat </w:t>
      </w:r>
      <w:proofErr w:type="spellStart"/>
      <w:r w:rsidRPr="00225D4D">
        <w:t>vidare</w:t>
      </w:r>
      <w:proofErr w:type="spellEnd"/>
      <w:r w:rsidRPr="00225D4D">
        <w:t xml:space="preserve">, </w:t>
      </w:r>
      <w:proofErr w:type="spellStart"/>
      <w:r w:rsidRPr="00225D4D">
        <w:t>sidan</w:t>
      </w:r>
      <w:proofErr w:type="spellEnd"/>
      <w:r w:rsidRPr="00225D4D">
        <w:t xml:space="preserve"> det er </w:t>
      </w:r>
      <w:proofErr w:type="spellStart"/>
      <w:r w:rsidRPr="00225D4D">
        <w:t>ein</w:t>
      </w:r>
      <w:proofErr w:type="spellEnd"/>
      <w:r w:rsidRPr="00225D4D">
        <w:t xml:space="preserve"> type støtteordning som i stor grad </w:t>
      </w:r>
      <w:proofErr w:type="spellStart"/>
      <w:r w:rsidRPr="00225D4D">
        <w:t>overlappar</w:t>
      </w:r>
      <w:proofErr w:type="spellEnd"/>
      <w:r w:rsidRPr="00225D4D">
        <w:t xml:space="preserve"> med </w:t>
      </w:r>
      <w:proofErr w:type="spellStart"/>
      <w:r w:rsidRPr="00225D4D">
        <w:t>dei</w:t>
      </w:r>
      <w:proofErr w:type="spellEnd"/>
      <w:r w:rsidRPr="00225D4D">
        <w:t xml:space="preserve"> </w:t>
      </w:r>
      <w:proofErr w:type="spellStart"/>
      <w:r w:rsidRPr="00225D4D">
        <w:t>eksisterande</w:t>
      </w:r>
      <w:proofErr w:type="spellEnd"/>
      <w:r w:rsidRPr="00225D4D">
        <w:t xml:space="preserve"> </w:t>
      </w:r>
      <w:proofErr w:type="spellStart"/>
      <w:r w:rsidRPr="00225D4D">
        <w:t>verkemidla</w:t>
      </w:r>
      <w:proofErr w:type="spellEnd"/>
      <w:r w:rsidRPr="00225D4D">
        <w:t xml:space="preserve"> på området.</w:t>
      </w:r>
    </w:p>
    <w:p w14:paraId="65EA41EF" w14:textId="77777777" w:rsidR="00D60186" w:rsidRPr="00225D4D" w:rsidRDefault="00D60186" w:rsidP="00225D4D">
      <w:r w:rsidRPr="00225D4D">
        <w:t xml:space="preserve">Departementet </w:t>
      </w:r>
      <w:proofErr w:type="spellStart"/>
      <w:r w:rsidRPr="00225D4D">
        <w:t>reknar</w:t>
      </w:r>
      <w:proofErr w:type="spellEnd"/>
      <w:r w:rsidRPr="00225D4D">
        <w:t xml:space="preserve"> rapporteringa på dette oppmodingsvedtaket som avslutta.</w:t>
      </w:r>
    </w:p>
    <w:p w14:paraId="66F06422" w14:textId="77777777" w:rsidR="00D60186" w:rsidRPr="00225D4D" w:rsidRDefault="00D60186" w:rsidP="00225D4D">
      <w:pPr>
        <w:pStyle w:val="Overskrift1"/>
      </w:pPr>
      <w:r w:rsidRPr="00225D4D">
        <w:t>Finansdepartementet</w:t>
      </w:r>
    </w:p>
    <w:p w14:paraId="2F3E654A" w14:textId="77777777" w:rsidR="00D60186" w:rsidRPr="00225D4D" w:rsidRDefault="00D60186" w:rsidP="00225D4D">
      <w:proofErr w:type="spellStart"/>
      <w:r w:rsidRPr="00225D4D">
        <w:t>Nedanfor</w:t>
      </w:r>
      <w:proofErr w:type="spellEnd"/>
      <w:r w:rsidRPr="00225D4D">
        <w:t xml:space="preserve"> er </w:t>
      </w:r>
      <w:proofErr w:type="gramStart"/>
      <w:r w:rsidRPr="00225D4D">
        <w:t>ei oversikt</w:t>
      </w:r>
      <w:proofErr w:type="gramEnd"/>
      <w:r w:rsidRPr="00225D4D">
        <w:t xml:space="preserve"> over oppfølging av oppmodingsvedtak under Finansdepartementet. </w:t>
      </w:r>
      <w:proofErr w:type="spellStart"/>
      <w:r w:rsidRPr="00225D4D">
        <w:t>Oversikta</w:t>
      </w:r>
      <w:proofErr w:type="spellEnd"/>
      <w:r w:rsidRPr="00225D4D">
        <w:t xml:space="preserve"> </w:t>
      </w:r>
      <w:proofErr w:type="spellStart"/>
      <w:r w:rsidRPr="00225D4D">
        <w:t>omfattar</w:t>
      </w:r>
      <w:proofErr w:type="spellEnd"/>
      <w:r w:rsidRPr="00225D4D">
        <w:t xml:space="preserve"> alle vedtak </w:t>
      </w:r>
      <w:proofErr w:type="spellStart"/>
      <w:r w:rsidRPr="00225D4D">
        <w:t>frå</w:t>
      </w:r>
      <w:proofErr w:type="spellEnd"/>
      <w:r w:rsidRPr="00225D4D">
        <w:t xml:space="preserve"> stortingssesjonen 2024–2025 og alle vedtak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sesjonar</w:t>
      </w:r>
      <w:proofErr w:type="spellEnd"/>
      <w:r w:rsidRPr="00225D4D">
        <w:t xml:space="preserve"> som kontroll- og konstitusjonskomiteen i </w:t>
      </w:r>
      <w:proofErr w:type="spellStart"/>
      <w:r w:rsidRPr="00225D4D">
        <w:t>Innst</w:t>
      </w:r>
      <w:proofErr w:type="spellEnd"/>
      <w:r w:rsidRPr="00225D4D">
        <w:t xml:space="preserve">. 216 S (2024–2025) meinte </w:t>
      </w:r>
      <w:proofErr w:type="spellStart"/>
      <w:r w:rsidRPr="00225D4D">
        <w:t>ikkje</w:t>
      </w:r>
      <w:proofErr w:type="spellEnd"/>
      <w:r w:rsidRPr="00225D4D">
        <w:t xml:space="preserve"> var kvittert ut. I </w:t>
      </w:r>
      <w:proofErr w:type="spellStart"/>
      <w:r w:rsidRPr="00225D4D">
        <w:t>nokre</w:t>
      </w:r>
      <w:proofErr w:type="spellEnd"/>
      <w:r w:rsidRPr="00225D4D">
        <w:t xml:space="preserve"> tilfelle er det samstundes med rapporteringa her gjeve ei </w:t>
      </w:r>
      <w:proofErr w:type="spellStart"/>
      <w:r w:rsidRPr="00225D4D">
        <w:t>meir</w:t>
      </w:r>
      <w:proofErr w:type="spellEnd"/>
      <w:r w:rsidRPr="00225D4D">
        <w:t xml:space="preserve"> </w:t>
      </w:r>
      <w:proofErr w:type="spellStart"/>
      <w:r w:rsidRPr="00225D4D">
        <w:t>omfattande</w:t>
      </w:r>
      <w:proofErr w:type="spellEnd"/>
      <w:r w:rsidRPr="00225D4D">
        <w:t xml:space="preserve"> framstilling av oppfølginga i </w:t>
      </w:r>
      <w:proofErr w:type="spellStart"/>
      <w:r w:rsidRPr="00225D4D">
        <w:t>Prop</w:t>
      </w:r>
      <w:proofErr w:type="spellEnd"/>
      <w:r w:rsidRPr="00225D4D">
        <w:t xml:space="preserve">. 1 LS (2025–2026) </w:t>
      </w:r>
      <w:r w:rsidRPr="00225D4D">
        <w:rPr>
          <w:rStyle w:val="kursiv"/>
        </w:rPr>
        <w:t>Skatter og avgifter 2026</w:t>
      </w:r>
      <w:r w:rsidRPr="00225D4D">
        <w:t xml:space="preserve"> eller i Meld. St. 1 (2025–2026) </w:t>
      </w:r>
      <w:r w:rsidRPr="00225D4D">
        <w:rPr>
          <w:rStyle w:val="kursiv"/>
        </w:rPr>
        <w:t>Nasjonalbudsjettet 2026</w:t>
      </w:r>
      <w:r w:rsidRPr="00225D4D">
        <w:t>.</w:t>
      </w:r>
    </w:p>
    <w:p w14:paraId="07C081CE" w14:textId="77777777" w:rsidR="00D60186" w:rsidRPr="00225D4D" w:rsidRDefault="00D60186" w:rsidP="00225D4D">
      <w:r w:rsidRPr="00225D4D">
        <w:t xml:space="preserve">I slike </w:t>
      </w:r>
      <w:proofErr w:type="spellStart"/>
      <w:r w:rsidRPr="00225D4D">
        <w:t>tilfelle</w:t>
      </w:r>
      <w:proofErr w:type="spellEnd"/>
      <w:r w:rsidRPr="00225D4D">
        <w:t xml:space="preserve"> er det vist til kor denne framstillinga </w:t>
      </w:r>
      <w:proofErr w:type="spellStart"/>
      <w:r w:rsidRPr="00225D4D">
        <w:t>finst</w:t>
      </w:r>
      <w:proofErr w:type="spellEnd"/>
      <w:r w:rsidRPr="00225D4D">
        <w:t xml:space="preserve"> i </w:t>
      </w:r>
      <w:proofErr w:type="spellStart"/>
      <w:r w:rsidRPr="00225D4D">
        <w:t>desse</w:t>
      </w:r>
      <w:proofErr w:type="spellEnd"/>
      <w:r w:rsidRPr="00225D4D">
        <w:t xml:space="preserve"> dokumenta. I tabellen </w:t>
      </w:r>
      <w:proofErr w:type="spellStart"/>
      <w:r w:rsidRPr="00225D4D">
        <w:t>nedanfor</w:t>
      </w:r>
      <w:proofErr w:type="spellEnd"/>
      <w:r w:rsidRPr="00225D4D">
        <w:t xml:space="preserve"> vert det òg opplyst om departementet planlegg at rapporteringa knytt til oppmodingsvedtaket </w:t>
      </w:r>
      <w:proofErr w:type="spellStart"/>
      <w:r w:rsidRPr="00225D4D">
        <w:t>no</w:t>
      </w:r>
      <w:proofErr w:type="spellEnd"/>
      <w:r w:rsidRPr="00225D4D">
        <w:t xml:space="preserve"> vert avslutta eller om departementet òg vil rapportere konkret på vedtaket i budsjettproposisjonen for neste år.</w:t>
      </w:r>
    </w:p>
    <w:p w14:paraId="55882FCD" w14:textId="649EA54F" w:rsidR="00330F87" w:rsidRPr="00225D4D" w:rsidRDefault="00330F87" w:rsidP="00225D4D">
      <w:pPr>
        <w:pStyle w:val="tabell-tittel"/>
      </w:pPr>
      <w:r w:rsidRPr="00225D4D">
        <w:t>Oversikt over oppmodingsvedtak, ordna etter sesjon og nummer.</w:t>
      </w:r>
    </w:p>
    <w:p w14:paraId="7F407EF8" w14:textId="77777777" w:rsidR="00D60186" w:rsidRPr="00225D4D" w:rsidRDefault="00D60186" w:rsidP="00225D4D">
      <w:pPr>
        <w:pStyle w:val="Tabellnavn"/>
      </w:pPr>
      <w:r w:rsidRPr="00225D4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280"/>
        <w:gridCol w:w="5600"/>
        <w:gridCol w:w="1560"/>
      </w:tblGrid>
      <w:tr w:rsidR="00E76DC8" w:rsidRPr="00225D4D" w14:paraId="3B5E0F36" w14:textId="77777777">
        <w:trPr>
          <w:trHeight w:val="60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A64269" w14:textId="77777777" w:rsidR="00D60186" w:rsidRPr="00815696" w:rsidRDefault="00D60186" w:rsidP="00225D4D">
            <w:pPr>
              <w:rPr>
                <w:sz w:val="21"/>
                <w:szCs w:val="21"/>
              </w:rPr>
            </w:pPr>
            <w:r w:rsidRPr="00815696">
              <w:rPr>
                <w:sz w:val="21"/>
                <w:szCs w:val="21"/>
              </w:rPr>
              <w:t>Sesjon</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4E9D2B" w14:textId="77777777" w:rsidR="00D60186" w:rsidRPr="00815696" w:rsidRDefault="00D60186" w:rsidP="00815696">
            <w:pPr>
              <w:ind w:right="113"/>
              <w:jc w:val="right"/>
              <w:rPr>
                <w:sz w:val="21"/>
                <w:szCs w:val="21"/>
              </w:rPr>
            </w:pPr>
            <w:r w:rsidRPr="00815696">
              <w:rPr>
                <w:sz w:val="21"/>
                <w:szCs w:val="21"/>
              </w:rPr>
              <w:t>Vedtak nr.</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F07176" w14:textId="77777777" w:rsidR="00D60186" w:rsidRPr="00815696" w:rsidRDefault="00D60186" w:rsidP="00225D4D">
            <w:pPr>
              <w:rPr>
                <w:sz w:val="21"/>
                <w:szCs w:val="21"/>
              </w:rPr>
            </w:pPr>
            <w:r w:rsidRPr="00815696">
              <w:rPr>
                <w:sz w:val="21"/>
                <w:szCs w:val="21"/>
              </w:rPr>
              <w:t>Stikkord</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3D727D" w14:textId="77777777" w:rsidR="00D60186" w:rsidRPr="00815696" w:rsidRDefault="00D60186" w:rsidP="00815696">
            <w:pPr>
              <w:jc w:val="right"/>
              <w:rPr>
                <w:sz w:val="21"/>
                <w:szCs w:val="21"/>
              </w:rPr>
            </w:pPr>
            <w:r w:rsidRPr="00815696">
              <w:rPr>
                <w:sz w:val="21"/>
                <w:szCs w:val="21"/>
              </w:rPr>
              <w:t>Rapportering blir avslutta (Ja/Nei)</w:t>
            </w:r>
          </w:p>
        </w:tc>
      </w:tr>
      <w:tr w:rsidR="00E76DC8" w:rsidRPr="00225D4D" w14:paraId="5569EE53" w14:textId="77777777">
        <w:trPr>
          <w:trHeight w:val="640"/>
        </w:trPr>
        <w:tc>
          <w:tcPr>
            <w:tcW w:w="1120" w:type="dxa"/>
            <w:tcBorders>
              <w:top w:val="nil"/>
              <w:left w:val="nil"/>
              <w:bottom w:val="nil"/>
              <w:right w:val="nil"/>
            </w:tcBorders>
            <w:tcMar>
              <w:top w:w="128" w:type="dxa"/>
              <w:left w:w="43" w:type="dxa"/>
              <w:bottom w:w="43" w:type="dxa"/>
              <w:right w:w="43" w:type="dxa"/>
            </w:tcMar>
          </w:tcPr>
          <w:p w14:paraId="227A5061"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96A50D6" w14:textId="77777777" w:rsidR="00D60186" w:rsidRPr="00815696" w:rsidRDefault="00D60186" w:rsidP="00815696">
            <w:pPr>
              <w:ind w:right="113"/>
              <w:jc w:val="right"/>
              <w:rPr>
                <w:sz w:val="21"/>
                <w:szCs w:val="21"/>
              </w:rPr>
            </w:pPr>
            <w:r w:rsidRPr="00815696">
              <w:rPr>
                <w:sz w:val="21"/>
                <w:szCs w:val="21"/>
              </w:rPr>
              <w:t>49</w:t>
            </w:r>
          </w:p>
        </w:tc>
        <w:tc>
          <w:tcPr>
            <w:tcW w:w="5600" w:type="dxa"/>
            <w:tcBorders>
              <w:top w:val="nil"/>
              <w:left w:val="nil"/>
              <w:bottom w:val="nil"/>
              <w:right w:val="nil"/>
            </w:tcBorders>
            <w:tcMar>
              <w:top w:w="128" w:type="dxa"/>
              <w:left w:w="43" w:type="dxa"/>
              <w:bottom w:w="43" w:type="dxa"/>
              <w:right w:w="43" w:type="dxa"/>
            </w:tcMar>
          </w:tcPr>
          <w:p w14:paraId="0EABF30B" w14:textId="77777777" w:rsidR="00D60186" w:rsidRPr="00815696" w:rsidRDefault="00D60186" w:rsidP="00225D4D">
            <w:pPr>
              <w:rPr>
                <w:sz w:val="21"/>
                <w:szCs w:val="21"/>
              </w:rPr>
            </w:pPr>
            <w:r w:rsidRPr="00815696">
              <w:rPr>
                <w:sz w:val="21"/>
                <w:szCs w:val="21"/>
              </w:rPr>
              <w:t xml:space="preserve">Nødvendige </w:t>
            </w:r>
            <w:proofErr w:type="spellStart"/>
            <w:r w:rsidRPr="00815696">
              <w:rPr>
                <w:sz w:val="21"/>
                <w:szCs w:val="21"/>
              </w:rPr>
              <w:t>lovendringar</w:t>
            </w:r>
            <w:proofErr w:type="spellEnd"/>
            <w:r w:rsidRPr="00815696">
              <w:rPr>
                <w:sz w:val="21"/>
                <w:szCs w:val="21"/>
              </w:rPr>
              <w:t xml:space="preserve"> som </w:t>
            </w:r>
            <w:proofErr w:type="spellStart"/>
            <w:r w:rsidRPr="00815696">
              <w:rPr>
                <w:sz w:val="21"/>
                <w:szCs w:val="21"/>
              </w:rPr>
              <w:t>følgje</w:t>
            </w:r>
            <w:proofErr w:type="spellEnd"/>
            <w:r w:rsidRPr="00815696">
              <w:rPr>
                <w:sz w:val="21"/>
                <w:szCs w:val="21"/>
              </w:rPr>
              <w:t xml:space="preserve"> av ny lov om </w:t>
            </w:r>
            <w:r w:rsidRPr="00815696">
              <w:rPr>
                <w:sz w:val="21"/>
                <w:szCs w:val="21"/>
              </w:rPr>
              <w:br/>
              <w:t>Riksrevisjonen</w:t>
            </w:r>
          </w:p>
        </w:tc>
        <w:tc>
          <w:tcPr>
            <w:tcW w:w="1560" w:type="dxa"/>
            <w:tcBorders>
              <w:top w:val="nil"/>
              <w:left w:val="nil"/>
              <w:bottom w:val="nil"/>
              <w:right w:val="nil"/>
            </w:tcBorders>
            <w:tcMar>
              <w:top w:w="128" w:type="dxa"/>
              <w:left w:w="43" w:type="dxa"/>
              <w:bottom w:w="43" w:type="dxa"/>
              <w:right w:w="43" w:type="dxa"/>
            </w:tcMar>
            <w:vAlign w:val="bottom"/>
          </w:tcPr>
          <w:p w14:paraId="7597A38A" w14:textId="77777777" w:rsidR="00D60186" w:rsidRPr="00815696" w:rsidRDefault="00D60186" w:rsidP="00815696">
            <w:pPr>
              <w:jc w:val="right"/>
              <w:rPr>
                <w:sz w:val="21"/>
                <w:szCs w:val="21"/>
              </w:rPr>
            </w:pPr>
            <w:r w:rsidRPr="00815696">
              <w:rPr>
                <w:sz w:val="21"/>
                <w:szCs w:val="21"/>
              </w:rPr>
              <w:t>Ja</w:t>
            </w:r>
          </w:p>
        </w:tc>
      </w:tr>
      <w:tr w:rsidR="00E76DC8" w:rsidRPr="00225D4D" w14:paraId="61D4A1C3" w14:textId="77777777">
        <w:trPr>
          <w:trHeight w:val="380"/>
        </w:trPr>
        <w:tc>
          <w:tcPr>
            <w:tcW w:w="1120" w:type="dxa"/>
            <w:tcBorders>
              <w:top w:val="nil"/>
              <w:left w:val="nil"/>
              <w:bottom w:val="nil"/>
              <w:right w:val="nil"/>
            </w:tcBorders>
            <w:tcMar>
              <w:top w:w="128" w:type="dxa"/>
              <w:left w:w="43" w:type="dxa"/>
              <w:bottom w:w="43" w:type="dxa"/>
              <w:right w:w="43" w:type="dxa"/>
            </w:tcMar>
          </w:tcPr>
          <w:p w14:paraId="5BE8D678"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0E789E27" w14:textId="77777777" w:rsidR="00D60186" w:rsidRPr="00815696" w:rsidRDefault="00D60186" w:rsidP="00815696">
            <w:pPr>
              <w:ind w:right="113"/>
              <w:jc w:val="right"/>
              <w:rPr>
                <w:sz w:val="21"/>
                <w:szCs w:val="21"/>
              </w:rPr>
            </w:pPr>
            <w:r w:rsidRPr="00815696">
              <w:rPr>
                <w:sz w:val="21"/>
                <w:szCs w:val="21"/>
              </w:rPr>
              <w:t>92</w:t>
            </w:r>
          </w:p>
        </w:tc>
        <w:tc>
          <w:tcPr>
            <w:tcW w:w="5600" w:type="dxa"/>
            <w:tcBorders>
              <w:top w:val="nil"/>
              <w:left w:val="nil"/>
              <w:bottom w:val="nil"/>
              <w:right w:val="nil"/>
            </w:tcBorders>
            <w:tcMar>
              <w:top w:w="128" w:type="dxa"/>
              <w:left w:w="43" w:type="dxa"/>
              <w:bottom w:w="43" w:type="dxa"/>
              <w:right w:w="43" w:type="dxa"/>
            </w:tcMar>
          </w:tcPr>
          <w:p w14:paraId="4457E881" w14:textId="77777777" w:rsidR="00D60186" w:rsidRPr="00815696" w:rsidRDefault="00D60186" w:rsidP="00225D4D">
            <w:pPr>
              <w:rPr>
                <w:sz w:val="21"/>
                <w:szCs w:val="21"/>
              </w:rPr>
            </w:pPr>
            <w:proofErr w:type="spellStart"/>
            <w:r w:rsidRPr="00815696">
              <w:rPr>
                <w:sz w:val="21"/>
                <w:szCs w:val="21"/>
              </w:rPr>
              <w:t>Offentleg</w:t>
            </w:r>
            <w:proofErr w:type="spellEnd"/>
            <w:r w:rsidRPr="00815696">
              <w:rPr>
                <w:sz w:val="21"/>
                <w:szCs w:val="21"/>
              </w:rPr>
              <w:t xml:space="preserve"> </w:t>
            </w:r>
            <w:proofErr w:type="spellStart"/>
            <w:r w:rsidRPr="00815696">
              <w:rPr>
                <w:sz w:val="21"/>
                <w:szCs w:val="21"/>
              </w:rPr>
              <w:t>utval</w:t>
            </w:r>
            <w:proofErr w:type="spellEnd"/>
            <w:r w:rsidRPr="00815696">
              <w:rPr>
                <w:sz w:val="21"/>
                <w:szCs w:val="21"/>
              </w:rPr>
              <w:t xml:space="preserve"> om omstillingsevne og konkurransekraft</w:t>
            </w:r>
          </w:p>
        </w:tc>
        <w:tc>
          <w:tcPr>
            <w:tcW w:w="1560" w:type="dxa"/>
            <w:tcBorders>
              <w:top w:val="nil"/>
              <w:left w:val="nil"/>
              <w:bottom w:val="nil"/>
              <w:right w:val="nil"/>
            </w:tcBorders>
            <w:tcMar>
              <w:top w:w="128" w:type="dxa"/>
              <w:left w:w="43" w:type="dxa"/>
              <w:bottom w:w="43" w:type="dxa"/>
              <w:right w:w="43" w:type="dxa"/>
            </w:tcMar>
            <w:vAlign w:val="bottom"/>
          </w:tcPr>
          <w:p w14:paraId="7B7F6863" w14:textId="77777777" w:rsidR="00D60186" w:rsidRPr="00815696" w:rsidRDefault="00D60186" w:rsidP="00815696">
            <w:pPr>
              <w:jc w:val="right"/>
              <w:rPr>
                <w:sz w:val="21"/>
                <w:szCs w:val="21"/>
              </w:rPr>
            </w:pPr>
            <w:r w:rsidRPr="00815696">
              <w:rPr>
                <w:sz w:val="21"/>
                <w:szCs w:val="21"/>
              </w:rPr>
              <w:t>Nei</w:t>
            </w:r>
          </w:p>
        </w:tc>
      </w:tr>
      <w:tr w:rsidR="00E76DC8" w:rsidRPr="00225D4D" w14:paraId="196159B2" w14:textId="77777777">
        <w:trPr>
          <w:trHeight w:val="380"/>
        </w:trPr>
        <w:tc>
          <w:tcPr>
            <w:tcW w:w="1120" w:type="dxa"/>
            <w:tcBorders>
              <w:top w:val="nil"/>
              <w:left w:val="nil"/>
              <w:bottom w:val="nil"/>
              <w:right w:val="nil"/>
            </w:tcBorders>
            <w:tcMar>
              <w:top w:w="128" w:type="dxa"/>
              <w:left w:w="43" w:type="dxa"/>
              <w:bottom w:w="43" w:type="dxa"/>
              <w:right w:w="43" w:type="dxa"/>
            </w:tcMar>
          </w:tcPr>
          <w:p w14:paraId="354EA329"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4D63643" w14:textId="77777777" w:rsidR="00D60186" w:rsidRPr="00815696" w:rsidRDefault="00D60186" w:rsidP="00815696">
            <w:pPr>
              <w:ind w:right="113"/>
              <w:jc w:val="right"/>
              <w:rPr>
                <w:sz w:val="21"/>
                <w:szCs w:val="21"/>
              </w:rPr>
            </w:pPr>
            <w:r w:rsidRPr="00815696">
              <w:rPr>
                <w:sz w:val="21"/>
                <w:szCs w:val="21"/>
              </w:rPr>
              <w:t>551</w:t>
            </w:r>
          </w:p>
        </w:tc>
        <w:tc>
          <w:tcPr>
            <w:tcW w:w="5600" w:type="dxa"/>
            <w:tcBorders>
              <w:top w:val="nil"/>
              <w:left w:val="nil"/>
              <w:bottom w:val="nil"/>
              <w:right w:val="nil"/>
            </w:tcBorders>
            <w:tcMar>
              <w:top w:w="128" w:type="dxa"/>
              <w:left w:w="43" w:type="dxa"/>
              <w:bottom w:w="43" w:type="dxa"/>
              <w:right w:w="43" w:type="dxa"/>
            </w:tcMar>
          </w:tcPr>
          <w:p w14:paraId="48EC5E10" w14:textId="77777777" w:rsidR="00D60186" w:rsidRPr="00815696" w:rsidRDefault="00D60186" w:rsidP="00225D4D">
            <w:pPr>
              <w:rPr>
                <w:sz w:val="21"/>
                <w:szCs w:val="21"/>
              </w:rPr>
            </w:pPr>
            <w:proofErr w:type="spellStart"/>
            <w:r w:rsidRPr="00815696">
              <w:rPr>
                <w:sz w:val="21"/>
                <w:szCs w:val="21"/>
              </w:rPr>
              <w:t>Heilskapleg</w:t>
            </w:r>
            <w:proofErr w:type="spellEnd"/>
            <w:r w:rsidRPr="00815696">
              <w:rPr>
                <w:sz w:val="21"/>
                <w:szCs w:val="21"/>
              </w:rPr>
              <w:t xml:space="preserve"> skattereform</w:t>
            </w:r>
          </w:p>
        </w:tc>
        <w:tc>
          <w:tcPr>
            <w:tcW w:w="1560" w:type="dxa"/>
            <w:tcBorders>
              <w:top w:val="nil"/>
              <w:left w:val="nil"/>
              <w:bottom w:val="nil"/>
              <w:right w:val="nil"/>
            </w:tcBorders>
            <w:tcMar>
              <w:top w:w="128" w:type="dxa"/>
              <w:left w:w="43" w:type="dxa"/>
              <w:bottom w:w="43" w:type="dxa"/>
              <w:right w:w="43" w:type="dxa"/>
            </w:tcMar>
            <w:vAlign w:val="bottom"/>
          </w:tcPr>
          <w:p w14:paraId="2EE16EB8" w14:textId="77777777" w:rsidR="00D60186" w:rsidRPr="00815696" w:rsidRDefault="00D60186" w:rsidP="00815696">
            <w:pPr>
              <w:jc w:val="right"/>
              <w:rPr>
                <w:sz w:val="21"/>
                <w:szCs w:val="21"/>
              </w:rPr>
            </w:pPr>
            <w:r w:rsidRPr="00815696">
              <w:rPr>
                <w:sz w:val="21"/>
                <w:szCs w:val="21"/>
              </w:rPr>
              <w:t>Nei</w:t>
            </w:r>
          </w:p>
        </w:tc>
      </w:tr>
      <w:tr w:rsidR="00E76DC8" w:rsidRPr="00225D4D" w14:paraId="72FF783E" w14:textId="77777777">
        <w:trPr>
          <w:trHeight w:val="380"/>
        </w:trPr>
        <w:tc>
          <w:tcPr>
            <w:tcW w:w="1120" w:type="dxa"/>
            <w:tcBorders>
              <w:top w:val="nil"/>
              <w:left w:val="nil"/>
              <w:bottom w:val="nil"/>
              <w:right w:val="nil"/>
            </w:tcBorders>
            <w:tcMar>
              <w:top w:w="128" w:type="dxa"/>
              <w:left w:w="43" w:type="dxa"/>
              <w:bottom w:w="43" w:type="dxa"/>
              <w:right w:w="43" w:type="dxa"/>
            </w:tcMar>
          </w:tcPr>
          <w:p w14:paraId="46BAB4C4"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03B59867" w14:textId="77777777" w:rsidR="00D60186" w:rsidRPr="00815696" w:rsidRDefault="00D60186" w:rsidP="00815696">
            <w:pPr>
              <w:ind w:right="113"/>
              <w:jc w:val="right"/>
              <w:rPr>
                <w:sz w:val="21"/>
                <w:szCs w:val="21"/>
              </w:rPr>
            </w:pPr>
            <w:r w:rsidRPr="00815696">
              <w:rPr>
                <w:sz w:val="21"/>
                <w:szCs w:val="21"/>
              </w:rPr>
              <w:t>648</w:t>
            </w:r>
          </w:p>
        </w:tc>
        <w:tc>
          <w:tcPr>
            <w:tcW w:w="5600" w:type="dxa"/>
            <w:tcBorders>
              <w:top w:val="nil"/>
              <w:left w:val="nil"/>
              <w:bottom w:val="nil"/>
              <w:right w:val="nil"/>
            </w:tcBorders>
            <w:tcMar>
              <w:top w:w="128" w:type="dxa"/>
              <w:left w:w="43" w:type="dxa"/>
              <w:bottom w:w="43" w:type="dxa"/>
              <w:right w:w="43" w:type="dxa"/>
            </w:tcMar>
          </w:tcPr>
          <w:p w14:paraId="68A448AF" w14:textId="77777777" w:rsidR="00D60186" w:rsidRPr="00815696" w:rsidRDefault="00D60186" w:rsidP="00225D4D">
            <w:pPr>
              <w:rPr>
                <w:sz w:val="21"/>
                <w:szCs w:val="21"/>
              </w:rPr>
            </w:pPr>
            <w:r w:rsidRPr="00815696">
              <w:rPr>
                <w:sz w:val="21"/>
                <w:szCs w:val="21"/>
              </w:rPr>
              <w:t>Finansiell beredskap og rammevilkår</w:t>
            </w:r>
          </w:p>
        </w:tc>
        <w:tc>
          <w:tcPr>
            <w:tcW w:w="1560" w:type="dxa"/>
            <w:tcBorders>
              <w:top w:val="nil"/>
              <w:left w:val="nil"/>
              <w:bottom w:val="nil"/>
              <w:right w:val="nil"/>
            </w:tcBorders>
            <w:tcMar>
              <w:top w:w="128" w:type="dxa"/>
              <w:left w:w="43" w:type="dxa"/>
              <w:bottom w:w="43" w:type="dxa"/>
              <w:right w:w="43" w:type="dxa"/>
            </w:tcMar>
            <w:vAlign w:val="bottom"/>
          </w:tcPr>
          <w:p w14:paraId="0185544B" w14:textId="77777777" w:rsidR="00D60186" w:rsidRPr="00815696" w:rsidRDefault="00D60186" w:rsidP="00815696">
            <w:pPr>
              <w:jc w:val="right"/>
              <w:rPr>
                <w:sz w:val="21"/>
                <w:szCs w:val="21"/>
              </w:rPr>
            </w:pPr>
            <w:r w:rsidRPr="00815696">
              <w:rPr>
                <w:sz w:val="21"/>
                <w:szCs w:val="21"/>
              </w:rPr>
              <w:t>Nei</w:t>
            </w:r>
          </w:p>
        </w:tc>
      </w:tr>
      <w:tr w:rsidR="00E76DC8" w:rsidRPr="00225D4D" w14:paraId="064BB84F" w14:textId="77777777">
        <w:trPr>
          <w:trHeight w:val="380"/>
        </w:trPr>
        <w:tc>
          <w:tcPr>
            <w:tcW w:w="1120" w:type="dxa"/>
            <w:tcBorders>
              <w:top w:val="nil"/>
              <w:left w:val="nil"/>
              <w:bottom w:val="nil"/>
              <w:right w:val="nil"/>
            </w:tcBorders>
            <w:tcMar>
              <w:top w:w="128" w:type="dxa"/>
              <w:left w:w="43" w:type="dxa"/>
              <w:bottom w:w="43" w:type="dxa"/>
              <w:right w:w="43" w:type="dxa"/>
            </w:tcMar>
          </w:tcPr>
          <w:p w14:paraId="4DB4C8CD"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B88439B" w14:textId="77777777" w:rsidR="00D60186" w:rsidRPr="00815696" w:rsidRDefault="00D60186" w:rsidP="00815696">
            <w:pPr>
              <w:ind w:right="113"/>
              <w:jc w:val="right"/>
              <w:rPr>
                <w:sz w:val="21"/>
                <w:szCs w:val="21"/>
              </w:rPr>
            </w:pPr>
            <w:r w:rsidRPr="00815696">
              <w:rPr>
                <w:sz w:val="21"/>
                <w:szCs w:val="21"/>
              </w:rPr>
              <w:t>780</w:t>
            </w:r>
          </w:p>
        </w:tc>
        <w:tc>
          <w:tcPr>
            <w:tcW w:w="5600" w:type="dxa"/>
            <w:tcBorders>
              <w:top w:val="nil"/>
              <w:left w:val="nil"/>
              <w:bottom w:val="nil"/>
              <w:right w:val="nil"/>
            </w:tcBorders>
            <w:tcMar>
              <w:top w:w="128" w:type="dxa"/>
              <w:left w:w="43" w:type="dxa"/>
              <w:bottom w:w="43" w:type="dxa"/>
              <w:right w:w="43" w:type="dxa"/>
            </w:tcMar>
          </w:tcPr>
          <w:p w14:paraId="259650B3" w14:textId="77777777" w:rsidR="00D60186" w:rsidRPr="00815696" w:rsidRDefault="00D60186" w:rsidP="00225D4D">
            <w:pPr>
              <w:rPr>
                <w:sz w:val="21"/>
                <w:szCs w:val="21"/>
              </w:rPr>
            </w:pPr>
            <w:r w:rsidRPr="00815696">
              <w:rPr>
                <w:sz w:val="21"/>
                <w:szCs w:val="21"/>
              </w:rPr>
              <w:t xml:space="preserve">Greie ut tiltak som kan betre registerkvaliteten </w:t>
            </w:r>
          </w:p>
        </w:tc>
        <w:tc>
          <w:tcPr>
            <w:tcW w:w="1560" w:type="dxa"/>
            <w:tcBorders>
              <w:top w:val="nil"/>
              <w:left w:val="nil"/>
              <w:bottom w:val="nil"/>
              <w:right w:val="nil"/>
            </w:tcBorders>
            <w:tcMar>
              <w:top w:w="128" w:type="dxa"/>
              <w:left w:w="43" w:type="dxa"/>
              <w:bottom w:w="43" w:type="dxa"/>
              <w:right w:w="43" w:type="dxa"/>
            </w:tcMar>
            <w:vAlign w:val="bottom"/>
          </w:tcPr>
          <w:p w14:paraId="12A2B022" w14:textId="77777777" w:rsidR="00D60186" w:rsidRPr="00815696" w:rsidRDefault="00D60186" w:rsidP="00815696">
            <w:pPr>
              <w:jc w:val="right"/>
              <w:rPr>
                <w:sz w:val="21"/>
                <w:szCs w:val="21"/>
              </w:rPr>
            </w:pPr>
            <w:r w:rsidRPr="00815696">
              <w:rPr>
                <w:sz w:val="21"/>
                <w:szCs w:val="21"/>
              </w:rPr>
              <w:t>Nei</w:t>
            </w:r>
          </w:p>
        </w:tc>
      </w:tr>
      <w:tr w:rsidR="00E76DC8" w:rsidRPr="00225D4D" w14:paraId="02BA3FAC" w14:textId="77777777">
        <w:trPr>
          <w:trHeight w:val="380"/>
        </w:trPr>
        <w:tc>
          <w:tcPr>
            <w:tcW w:w="1120" w:type="dxa"/>
            <w:tcBorders>
              <w:top w:val="nil"/>
              <w:left w:val="nil"/>
              <w:bottom w:val="nil"/>
              <w:right w:val="nil"/>
            </w:tcBorders>
            <w:tcMar>
              <w:top w:w="128" w:type="dxa"/>
              <w:left w:w="43" w:type="dxa"/>
              <w:bottom w:w="43" w:type="dxa"/>
              <w:right w:w="43" w:type="dxa"/>
            </w:tcMar>
          </w:tcPr>
          <w:p w14:paraId="21EA6BC5"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9351977" w14:textId="77777777" w:rsidR="00D60186" w:rsidRPr="00815696" w:rsidRDefault="00D60186" w:rsidP="00815696">
            <w:pPr>
              <w:ind w:right="113"/>
              <w:jc w:val="right"/>
              <w:rPr>
                <w:sz w:val="21"/>
                <w:szCs w:val="21"/>
              </w:rPr>
            </w:pPr>
            <w:r w:rsidRPr="00815696">
              <w:rPr>
                <w:sz w:val="21"/>
                <w:szCs w:val="21"/>
              </w:rPr>
              <w:t>781</w:t>
            </w:r>
          </w:p>
        </w:tc>
        <w:tc>
          <w:tcPr>
            <w:tcW w:w="5600" w:type="dxa"/>
            <w:tcBorders>
              <w:top w:val="nil"/>
              <w:left w:val="nil"/>
              <w:bottom w:val="nil"/>
              <w:right w:val="nil"/>
            </w:tcBorders>
            <w:tcMar>
              <w:top w:w="128" w:type="dxa"/>
              <w:left w:w="43" w:type="dxa"/>
              <w:bottom w:w="43" w:type="dxa"/>
              <w:right w:w="43" w:type="dxa"/>
            </w:tcMar>
          </w:tcPr>
          <w:p w14:paraId="451ECD36" w14:textId="77777777" w:rsidR="00D60186" w:rsidRPr="00815696" w:rsidRDefault="00D60186" w:rsidP="00225D4D">
            <w:pPr>
              <w:rPr>
                <w:sz w:val="21"/>
                <w:szCs w:val="21"/>
              </w:rPr>
            </w:pPr>
            <w:proofErr w:type="spellStart"/>
            <w:r w:rsidRPr="00815696">
              <w:rPr>
                <w:sz w:val="21"/>
                <w:szCs w:val="21"/>
              </w:rPr>
              <w:t>Eigedomsmeklarar</w:t>
            </w:r>
            <w:proofErr w:type="spellEnd"/>
            <w:r w:rsidRPr="00815696">
              <w:rPr>
                <w:sz w:val="21"/>
                <w:szCs w:val="21"/>
              </w:rPr>
              <w:t xml:space="preserve"> sin </w:t>
            </w:r>
            <w:proofErr w:type="spellStart"/>
            <w:r w:rsidRPr="00815696">
              <w:rPr>
                <w:sz w:val="21"/>
                <w:szCs w:val="21"/>
              </w:rPr>
              <w:t>tilgjenge</w:t>
            </w:r>
            <w:proofErr w:type="spellEnd"/>
            <w:r w:rsidRPr="00815696">
              <w:rPr>
                <w:sz w:val="21"/>
                <w:szCs w:val="21"/>
              </w:rPr>
              <w:t xml:space="preserve"> til Folkeregisteret</w:t>
            </w:r>
          </w:p>
        </w:tc>
        <w:tc>
          <w:tcPr>
            <w:tcW w:w="1560" w:type="dxa"/>
            <w:tcBorders>
              <w:top w:val="nil"/>
              <w:left w:val="nil"/>
              <w:bottom w:val="nil"/>
              <w:right w:val="nil"/>
            </w:tcBorders>
            <w:tcMar>
              <w:top w:w="128" w:type="dxa"/>
              <w:left w:w="43" w:type="dxa"/>
              <w:bottom w:w="43" w:type="dxa"/>
              <w:right w:w="43" w:type="dxa"/>
            </w:tcMar>
            <w:vAlign w:val="bottom"/>
          </w:tcPr>
          <w:p w14:paraId="49B3686F" w14:textId="77777777" w:rsidR="00D60186" w:rsidRPr="00815696" w:rsidRDefault="00D60186" w:rsidP="00815696">
            <w:pPr>
              <w:jc w:val="right"/>
              <w:rPr>
                <w:sz w:val="21"/>
                <w:szCs w:val="21"/>
              </w:rPr>
            </w:pPr>
            <w:r w:rsidRPr="00815696">
              <w:rPr>
                <w:sz w:val="21"/>
                <w:szCs w:val="21"/>
              </w:rPr>
              <w:t>Nei</w:t>
            </w:r>
          </w:p>
        </w:tc>
      </w:tr>
      <w:tr w:rsidR="00E76DC8" w:rsidRPr="00225D4D" w14:paraId="72E135EF" w14:textId="77777777">
        <w:trPr>
          <w:trHeight w:val="380"/>
        </w:trPr>
        <w:tc>
          <w:tcPr>
            <w:tcW w:w="1120" w:type="dxa"/>
            <w:tcBorders>
              <w:top w:val="nil"/>
              <w:left w:val="nil"/>
              <w:bottom w:val="nil"/>
              <w:right w:val="nil"/>
            </w:tcBorders>
            <w:tcMar>
              <w:top w:w="128" w:type="dxa"/>
              <w:left w:w="43" w:type="dxa"/>
              <w:bottom w:w="43" w:type="dxa"/>
              <w:right w:w="43" w:type="dxa"/>
            </w:tcMar>
          </w:tcPr>
          <w:p w14:paraId="3E2958B1"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33C4269" w14:textId="77777777" w:rsidR="00D60186" w:rsidRPr="00815696" w:rsidRDefault="00D60186" w:rsidP="00815696">
            <w:pPr>
              <w:ind w:right="113"/>
              <w:jc w:val="right"/>
              <w:rPr>
                <w:sz w:val="21"/>
                <w:szCs w:val="21"/>
              </w:rPr>
            </w:pPr>
            <w:r w:rsidRPr="00815696">
              <w:rPr>
                <w:sz w:val="21"/>
                <w:szCs w:val="21"/>
              </w:rPr>
              <w:t>993</w:t>
            </w:r>
          </w:p>
        </w:tc>
        <w:tc>
          <w:tcPr>
            <w:tcW w:w="5600" w:type="dxa"/>
            <w:tcBorders>
              <w:top w:val="nil"/>
              <w:left w:val="nil"/>
              <w:bottom w:val="nil"/>
              <w:right w:val="nil"/>
            </w:tcBorders>
            <w:tcMar>
              <w:top w:w="128" w:type="dxa"/>
              <w:left w:w="43" w:type="dxa"/>
              <w:bottom w:w="43" w:type="dxa"/>
              <w:right w:w="43" w:type="dxa"/>
            </w:tcMar>
          </w:tcPr>
          <w:p w14:paraId="49CCAB42" w14:textId="77777777" w:rsidR="00D60186" w:rsidRPr="00815696" w:rsidRDefault="00D60186" w:rsidP="00225D4D">
            <w:pPr>
              <w:rPr>
                <w:sz w:val="21"/>
                <w:szCs w:val="21"/>
              </w:rPr>
            </w:pPr>
            <w:proofErr w:type="spellStart"/>
            <w:r w:rsidRPr="00815696">
              <w:rPr>
                <w:sz w:val="21"/>
                <w:szCs w:val="21"/>
              </w:rPr>
              <w:t>Pendlarar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4BD2D925" w14:textId="77777777" w:rsidR="00D60186" w:rsidRPr="00815696" w:rsidRDefault="00D60186" w:rsidP="00815696">
            <w:pPr>
              <w:jc w:val="right"/>
              <w:rPr>
                <w:sz w:val="21"/>
                <w:szCs w:val="21"/>
              </w:rPr>
            </w:pPr>
            <w:r w:rsidRPr="00815696">
              <w:rPr>
                <w:sz w:val="21"/>
                <w:szCs w:val="21"/>
              </w:rPr>
              <w:t>Nei</w:t>
            </w:r>
          </w:p>
        </w:tc>
      </w:tr>
      <w:tr w:rsidR="00E76DC8" w:rsidRPr="00225D4D" w14:paraId="1C70A117" w14:textId="77777777">
        <w:trPr>
          <w:trHeight w:val="380"/>
        </w:trPr>
        <w:tc>
          <w:tcPr>
            <w:tcW w:w="1120" w:type="dxa"/>
            <w:tcBorders>
              <w:top w:val="nil"/>
              <w:left w:val="nil"/>
              <w:bottom w:val="nil"/>
              <w:right w:val="nil"/>
            </w:tcBorders>
            <w:tcMar>
              <w:top w:w="128" w:type="dxa"/>
              <w:left w:w="43" w:type="dxa"/>
              <w:bottom w:w="43" w:type="dxa"/>
              <w:right w:w="43" w:type="dxa"/>
            </w:tcMar>
          </w:tcPr>
          <w:p w14:paraId="44DEF554"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87679BF" w14:textId="77777777" w:rsidR="00D60186" w:rsidRPr="00815696" w:rsidRDefault="00D60186" w:rsidP="00815696">
            <w:pPr>
              <w:ind w:right="113"/>
              <w:jc w:val="right"/>
              <w:rPr>
                <w:sz w:val="21"/>
                <w:szCs w:val="21"/>
              </w:rPr>
            </w:pPr>
            <w:r w:rsidRPr="00815696">
              <w:rPr>
                <w:sz w:val="21"/>
                <w:szCs w:val="21"/>
              </w:rPr>
              <w:t>994</w:t>
            </w:r>
          </w:p>
        </w:tc>
        <w:tc>
          <w:tcPr>
            <w:tcW w:w="5600" w:type="dxa"/>
            <w:tcBorders>
              <w:top w:val="nil"/>
              <w:left w:val="nil"/>
              <w:bottom w:val="nil"/>
              <w:right w:val="nil"/>
            </w:tcBorders>
            <w:tcMar>
              <w:top w:w="128" w:type="dxa"/>
              <w:left w:w="43" w:type="dxa"/>
              <w:bottom w:w="43" w:type="dxa"/>
              <w:right w:w="43" w:type="dxa"/>
            </w:tcMar>
          </w:tcPr>
          <w:p w14:paraId="3429733F" w14:textId="77777777" w:rsidR="00D60186" w:rsidRPr="00815696" w:rsidRDefault="00D60186" w:rsidP="00225D4D">
            <w:pPr>
              <w:rPr>
                <w:sz w:val="21"/>
                <w:szCs w:val="21"/>
              </w:rPr>
            </w:pPr>
            <w:r w:rsidRPr="00815696">
              <w:rPr>
                <w:sz w:val="21"/>
                <w:szCs w:val="21"/>
              </w:rPr>
              <w:t>Finansnæringa sine rammevilkår</w:t>
            </w:r>
          </w:p>
        </w:tc>
        <w:tc>
          <w:tcPr>
            <w:tcW w:w="1560" w:type="dxa"/>
            <w:tcBorders>
              <w:top w:val="nil"/>
              <w:left w:val="nil"/>
              <w:bottom w:val="nil"/>
              <w:right w:val="nil"/>
            </w:tcBorders>
            <w:tcMar>
              <w:top w:w="128" w:type="dxa"/>
              <w:left w:w="43" w:type="dxa"/>
              <w:bottom w:w="43" w:type="dxa"/>
              <w:right w:w="43" w:type="dxa"/>
            </w:tcMar>
            <w:vAlign w:val="bottom"/>
          </w:tcPr>
          <w:p w14:paraId="35371014" w14:textId="77777777" w:rsidR="00D60186" w:rsidRPr="00815696" w:rsidRDefault="00D60186" w:rsidP="00815696">
            <w:pPr>
              <w:jc w:val="right"/>
              <w:rPr>
                <w:sz w:val="21"/>
                <w:szCs w:val="21"/>
              </w:rPr>
            </w:pPr>
            <w:r w:rsidRPr="00815696">
              <w:rPr>
                <w:sz w:val="21"/>
                <w:szCs w:val="21"/>
              </w:rPr>
              <w:t>Nei</w:t>
            </w:r>
          </w:p>
        </w:tc>
      </w:tr>
      <w:tr w:rsidR="00E76DC8" w:rsidRPr="00225D4D" w14:paraId="76773FE1" w14:textId="77777777">
        <w:trPr>
          <w:trHeight w:val="640"/>
        </w:trPr>
        <w:tc>
          <w:tcPr>
            <w:tcW w:w="1120" w:type="dxa"/>
            <w:tcBorders>
              <w:top w:val="nil"/>
              <w:left w:val="nil"/>
              <w:bottom w:val="nil"/>
              <w:right w:val="nil"/>
            </w:tcBorders>
            <w:tcMar>
              <w:top w:w="128" w:type="dxa"/>
              <w:left w:w="43" w:type="dxa"/>
              <w:bottom w:w="43" w:type="dxa"/>
              <w:right w:w="43" w:type="dxa"/>
            </w:tcMar>
          </w:tcPr>
          <w:p w14:paraId="27E0B052"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1D8FFC5" w14:textId="77777777" w:rsidR="00D60186" w:rsidRPr="00815696" w:rsidRDefault="00D60186" w:rsidP="00815696">
            <w:pPr>
              <w:ind w:right="113"/>
              <w:jc w:val="right"/>
              <w:rPr>
                <w:sz w:val="21"/>
                <w:szCs w:val="21"/>
              </w:rPr>
            </w:pPr>
            <w:r w:rsidRPr="00815696">
              <w:rPr>
                <w:sz w:val="21"/>
                <w:szCs w:val="21"/>
              </w:rPr>
              <w:t>995</w:t>
            </w:r>
          </w:p>
        </w:tc>
        <w:tc>
          <w:tcPr>
            <w:tcW w:w="5600" w:type="dxa"/>
            <w:tcBorders>
              <w:top w:val="nil"/>
              <w:left w:val="nil"/>
              <w:bottom w:val="nil"/>
              <w:right w:val="nil"/>
            </w:tcBorders>
            <w:tcMar>
              <w:top w:w="128" w:type="dxa"/>
              <w:left w:w="43" w:type="dxa"/>
              <w:bottom w:w="43" w:type="dxa"/>
              <w:right w:w="43" w:type="dxa"/>
            </w:tcMar>
          </w:tcPr>
          <w:p w14:paraId="2CD91B6F" w14:textId="77777777" w:rsidR="00D60186" w:rsidRPr="00815696" w:rsidRDefault="00D60186" w:rsidP="00225D4D">
            <w:pPr>
              <w:rPr>
                <w:sz w:val="21"/>
                <w:szCs w:val="21"/>
              </w:rPr>
            </w:pPr>
            <w:r w:rsidRPr="00815696">
              <w:rPr>
                <w:sz w:val="21"/>
                <w:szCs w:val="21"/>
              </w:rPr>
              <w:t xml:space="preserve">Oppfølging av </w:t>
            </w:r>
            <w:proofErr w:type="spellStart"/>
            <w:r w:rsidRPr="00815696">
              <w:rPr>
                <w:sz w:val="21"/>
                <w:szCs w:val="21"/>
              </w:rPr>
              <w:t>forskriftsendringar</w:t>
            </w:r>
            <w:proofErr w:type="spellEnd"/>
            <w:r w:rsidRPr="00815696">
              <w:rPr>
                <w:sz w:val="21"/>
                <w:szCs w:val="21"/>
              </w:rPr>
              <w:t xml:space="preserve"> om valutasikring av </w:t>
            </w:r>
            <w:r w:rsidRPr="00815696">
              <w:rPr>
                <w:sz w:val="21"/>
                <w:szCs w:val="21"/>
              </w:rPr>
              <w:br/>
            </w:r>
            <w:proofErr w:type="spellStart"/>
            <w:r w:rsidRPr="00815696">
              <w:rPr>
                <w:sz w:val="21"/>
                <w:szCs w:val="21"/>
              </w:rPr>
              <w:t>andelsklassar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1FFE3656" w14:textId="77777777" w:rsidR="00D60186" w:rsidRPr="00815696" w:rsidRDefault="00D60186" w:rsidP="00815696">
            <w:pPr>
              <w:jc w:val="right"/>
              <w:rPr>
                <w:sz w:val="21"/>
                <w:szCs w:val="21"/>
              </w:rPr>
            </w:pPr>
            <w:r w:rsidRPr="00815696">
              <w:rPr>
                <w:sz w:val="21"/>
                <w:szCs w:val="21"/>
              </w:rPr>
              <w:t>Nei</w:t>
            </w:r>
          </w:p>
        </w:tc>
      </w:tr>
      <w:tr w:rsidR="00E76DC8" w:rsidRPr="00225D4D" w14:paraId="4855E45A" w14:textId="77777777">
        <w:trPr>
          <w:trHeight w:val="380"/>
        </w:trPr>
        <w:tc>
          <w:tcPr>
            <w:tcW w:w="1120" w:type="dxa"/>
            <w:tcBorders>
              <w:top w:val="nil"/>
              <w:left w:val="nil"/>
              <w:bottom w:val="nil"/>
              <w:right w:val="nil"/>
            </w:tcBorders>
            <w:tcMar>
              <w:top w:w="128" w:type="dxa"/>
              <w:left w:w="43" w:type="dxa"/>
              <w:bottom w:w="43" w:type="dxa"/>
              <w:right w:w="43" w:type="dxa"/>
            </w:tcMar>
          </w:tcPr>
          <w:p w14:paraId="57DA953F"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79C6B20" w14:textId="77777777" w:rsidR="00D60186" w:rsidRPr="00815696" w:rsidRDefault="00D60186" w:rsidP="00815696">
            <w:pPr>
              <w:ind w:right="113"/>
              <w:jc w:val="right"/>
              <w:rPr>
                <w:sz w:val="21"/>
                <w:szCs w:val="21"/>
              </w:rPr>
            </w:pPr>
            <w:r w:rsidRPr="00815696">
              <w:rPr>
                <w:sz w:val="21"/>
                <w:szCs w:val="21"/>
              </w:rPr>
              <w:t>1224</w:t>
            </w:r>
          </w:p>
        </w:tc>
        <w:tc>
          <w:tcPr>
            <w:tcW w:w="5600" w:type="dxa"/>
            <w:tcBorders>
              <w:top w:val="nil"/>
              <w:left w:val="nil"/>
              <w:bottom w:val="nil"/>
              <w:right w:val="nil"/>
            </w:tcBorders>
            <w:tcMar>
              <w:top w:w="128" w:type="dxa"/>
              <w:left w:w="43" w:type="dxa"/>
              <w:bottom w:w="43" w:type="dxa"/>
              <w:right w:w="43" w:type="dxa"/>
            </w:tcMar>
          </w:tcPr>
          <w:p w14:paraId="46C69147" w14:textId="77777777" w:rsidR="00D60186" w:rsidRPr="00815696" w:rsidRDefault="00D60186" w:rsidP="00225D4D">
            <w:pPr>
              <w:rPr>
                <w:sz w:val="21"/>
                <w:szCs w:val="21"/>
              </w:rPr>
            </w:pPr>
            <w:proofErr w:type="spellStart"/>
            <w:r w:rsidRPr="00815696">
              <w:rPr>
                <w:sz w:val="21"/>
                <w:szCs w:val="21"/>
              </w:rPr>
              <w:t>Klargjere</w:t>
            </w:r>
            <w:proofErr w:type="spellEnd"/>
            <w:r w:rsidRPr="00815696">
              <w:rPr>
                <w:sz w:val="21"/>
                <w:szCs w:val="21"/>
              </w:rPr>
              <w:t xml:space="preserve"> </w:t>
            </w:r>
            <w:proofErr w:type="spellStart"/>
            <w:r w:rsidRPr="00815696">
              <w:rPr>
                <w:sz w:val="21"/>
                <w:szCs w:val="21"/>
              </w:rPr>
              <w:t>skattereglane</w:t>
            </w:r>
            <w:proofErr w:type="spellEnd"/>
            <w:r w:rsidRPr="00815696">
              <w:rPr>
                <w:sz w:val="21"/>
                <w:szCs w:val="21"/>
              </w:rPr>
              <w:t xml:space="preserve"> for elev- og ungdomsbedrifter</w:t>
            </w:r>
          </w:p>
        </w:tc>
        <w:tc>
          <w:tcPr>
            <w:tcW w:w="1560" w:type="dxa"/>
            <w:tcBorders>
              <w:top w:val="nil"/>
              <w:left w:val="nil"/>
              <w:bottom w:val="nil"/>
              <w:right w:val="nil"/>
            </w:tcBorders>
            <w:tcMar>
              <w:top w:w="128" w:type="dxa"/>
              <w:left w:w="43" w:type="dxa"/>
              <w:bottom w:w="43" w:type="dxa"/>
              <w:right w:w="43" w:type="dxa"/>
            </w:tcMar>
            <w:vAlign w:val="bottom"/>
          </w:tcPr>
          <w:p w14:paraId="4AC024F0" w14:textId="77777777" w:rsidR="00D60186" w:rsidRPr="00815696" w:rsidRDefault="00D60186" w:rsidP="00815696">
            <w:pPr>
              <w:jc w:val="right"/>
              <w:rPr>
                <w:sz w:val="21"/>
                <w:szCs w:val="21"/>
              </w:rPr>
            </w:pPr>
            <w:r w:rsidRPr="00815696">
              <w:rPr>
                <w:sz w:val="21"/>
                <w:szCs w:val="21"/>
              </w:rPr>
              <w:t>Ja</w:t>
            </w:r>
          </w:p>
        </w:tc>
      </w:tr>
      <w:tr w:rsidR="00E76DC8" w:rsidRPr="00225D4D" w14:paraId="4F3BC654" w14:textId="77777777">
        <w:trPr>
          <w:trHeight w:val="380"/>
        </w:trPr>
        <w:tc>
          <w:tcPr>
            <w:tcW w:w="1120" w:type="dxa"/>
            <w:tcBorders>
              <w:top w:val="nil"/>
              <w:left w:val="nil"/>
              <w:bottom w:val="nil"/>
              <w:right w:val="nil"/>
            </w:tcBorders>
            <w:tcMar>
              <w:top w:w="128" w:type="dxa"/>
              <w:left w:w="43" w:type="dxa"/>
              <w:bottom w:w="43" w:type="dxa"/>
              <w:right w:w="43" w:type="dxa"/>
            </w:tcMar>
          </w:tcPr>
          <w:p w14:paraId="22263062"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E1AD15B" w14:textId="77777777" w:rsidR="00D60186" w:rsidRPr="00815696" w:rsidRDefault="00D60186" w:rsidP="00815696">
            <w:pPr>
              <w:ind w:right="113"/>
              <w:jc w:val="right"/>
              <w:rPr>
                <w:sz w:val="21"/>
                <w:szCs w:val="21"/>
              </w:rPr>
            </w:pPr>
            <w:r w:rsidRPr="00815696">
              <w:rPr>
                <w:sz w:val="21"/>
                <w:szCs w:val="21"/>
              </w:rPr>
              <w:t>1232</w:t>
            </w:r>
          </w:p>
        </w:tc>
        <w:tc>
          <w:tcPr>
            <w:tcW w:w="5600" w:type="dxa"/>
            <w:tcBorders>
              <w:top w:val="nil"/>
              <w:left w:val="nil"/>
              <w:bottom w:val="nil"/>
              <w:right w:val="nil"/>
            </w:tcBorders>
            <w:tcMar>
              <w:top w:w="128" w:type="dxa"/>
              <w:left w:w="43" w:type="dxa"/>
              <w:bottom w:w="43" w:type="dxa"/>
              <w:right w:w="43" w:type="dxa"/>
            </w:tcMar>
          </w:tcPr>
          <w:p w14:paraId="55DE5AE9" w14:textId="77777777" w:rsidR="00D60186" w:rsidRPr="00815696" w:rsidRDefault="00D60186" w:rsidP="00225D4D">
            <w:pPr>
              <w:rPr>
                <w:sz w:val="21"/>
                <w:szCs w:val="21"/>
              </w:rPr>
            </w:pPr>
            <w:r w:rsidRPr="00815696">
              <w:rPr>
                <w:sz w:val="21"/>
                <w:szCs w:val="21"/>
              </w:rPr>
              <w:t>Førebu reduksjon i matmomsen</w:t>
            </w:r>
          </w:p>
        </w:tc>
        <w:tc>
          <w:tcPr>
            <w:tcW w:w="1560" w:type="dxa"/>
            <w:tcBorders>
              <w:top w:val="nil"/>
              <w:left w:val="nil"/>
              <w:bottom w:val="nil"/>
              <w:right w:val="nil"/>
            </w:tcBorders>
            <w:tcMar>
              <w:top w:w="128" w:type="dxa"/>
              <w:left w:w="43" w:type="dxa"/>
              <w:bottom w:w="43" w:type="dxa"/>
              <w:right w:w="43" w:type="dxa"/>
            </w:tcMar>
            <w:vAlign w:val="bottom"/>
          </w:tcPr>
          <w:p w14:paraId="4E528817" w14:textId="77777777" w:rsidR="00D60186" w:rsidRPr="00815696" w:rsidRDefault="00D60186" w:rsidP="00815696">
            <w:pPr>
              <w:jc w:val="right"/>
              <w:rPr>
                <w:sz w:val="21"/>
                <w:szCs w:val="21"/>
              </w:rPr>
            </w:pPr>
            <w:r w:rsidRPr="00815696">
              <w:rPr>
                <w:sz w:val="21"/>
                <w:szCs w:val="21"/>
              </w:rPr>
              <w:t>Ja</w:t>
            </w:r>
          </w:p>
        </w:tc>
      </w:tr>
      <w:tr w:rsidR="00E76DC8" w:rsidRPr="00225D4D" w14:paraId="2C9DBEA8" w14:textId="77777777">
        <w:trPr>
          <w:trHeight w:val="380"/>
        </w:trPr>
        <w:tc>
          <w:tcPr>
            <w:tcW w:w="1120" w:type="dxa"/>
            <w:tcBorders>
              <w:top w:val="nil"/>
              <w:left w:val="nil"/>
              <w:bottom w:val="nil"/>
              <w:right w:val="nil"/>
            </w:tcBorders>
            <w:tcMar>
              <w:top w:w="128" w:type="dxa"/>
              <w:left w:w="43" w:type="dxa"/>
              <w:bottom w:w="43" w:type="dxa"/>
              <w:right w:w="43" w:type="dxa"/>
            </w:tcMar>
          </w:tcPr>
          <w:p w14:paraId="4334548A"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99C0BAC" w14:textId="77777777" w:rsidR="00D60186" w:rsidRPr="00815696" w:rsidRDefault="00D60186" w:rsidP="00815696">
            <w:pPr>
              <w:ind w:right="113"/>
              <w:jc w:val="right"/>
              <w:rPr>
                <w:sz w:val="21"/>
                <w:szCs w:val="21"/>
              </w:rPr>
            </w:pPr>
            <w:r w:rsidRPr="00815696">
              <w:rPr>
                <w:sz w:val="21"/>
                <w:szCs w:val="21"/>
              </w:rPr>
              <w:t>1233</w:t>
            </w:r>
          </w:p>
        </w:tc>
        <w:tc>
          <w:tcPr>
            <w:tcW w:w="5600" w:type="dxa"/>
            <w:tcBorders>
              <w:top w:val="nil"/>
              <w:left w:val="nil"/>
              <w:bottom w:val="nil"/>
              <w:right w:val="nil"/>
            </w:tcBorders>
            <w:tcMar>
              <w:top w:w="128" w:type="dxa"/>
              <w:left w:w="43" w:type="dxa"/>
              <w:bottom w:w="43" w:type="dxa"/>
              <w:right w:w="43" w:type="dxa"/>
            </w:tcMar>
          </w:tcPr>
          <w:p w14:paraId="0278A1A6" w14:textId="77777777" w:rsidR="00D60186" w:rsidRPr="00815696" w:rsidRDefault="00D60186" w:rsidP="00225D4D">
            <w:pPr>
              <w:rPr>
                <w:sz w:val="21"/>
                <w:szCs w:val="21"/>
              </w:rPr>
            </w:pPr>
            <w:proofErr w:type="spellStart"/>
            <w:r w:rsidRPr="00815696">
              <w:rPr>
                <w:sz w:val="21"/>
                <w:szCs w:val="21"/>
              </w:rPr>
              <w:t>Virkningar</w:t>
            </w:r>
            <w:proofErr w:type="spellEnd"/>
            <w:r w:rsidRPr="00815696">
              <w:rPr>
                <w:sz w:val="21"/>
                <w:szCs w:val="21"/>
              </w:rPr>
              <w:t xml:space="preserve"> av redusert matmoms</w:t>
            </w:r>
          </w:p>
        </w:tc>
        <w:tc>
          <w:tcPr>
            <w:tcW w:w="1560" w:type="dxa"/>
            <w:tcBorders>
              <w:top w:val="nil"/>
              <w:left w:val="nil"/>
              <w:bottom w:val="nil"/>
              <w:right w:val="nil"/>
            </w:tcBorders>
            <w:tcMar>
              <w:top w:w="128" w:type="dxa"/>
              <w:left w:w="43" w:type="dxa"/>
              <w:bottom w:w="43" w:type="dxa"/>
              <w:right w:w="43" w:type="dxa"/>
            </w:tcMar>
            <w:vAlign w:val="bottom"/>
          </w:tcPr>
          <w:p w14:paraId="68DE20D0" w14:textId="77777777" w:rsidR="00D60186" w:rsidRPr="00815696" w:rsidRDefault="00D60186" w:rsidP="00815696">
            <w:pPr>
              <w:jc w:val="right"/>
              <w:rPr>
                <w:sz w:val="21"/>
                <w:szCs w:val="21"/>
              </w:rPr>
            </w:pPr>
            <w:r w:rsidRPr="00815696">
              <w:rPr>
                <w:sz w:val="21"/>
                <w:szCs w:val="21"/>
              </w:rPr>
              <w:t>Ja</w:t>
            </w:r>
          </w:p>
        </w:tc>
      </w:tr>
      <w:tr w:rsidR="00E76DC8" w:rsidRPr="00225D4D" w14:paraId="4548131D" w14:textId="77777777">
        <w:trPr>
          <w:trHeight w:val="380"/>
        </w:trPr>
        <w:tc>
          <w:tcPr>
            <w:tcW w:w="1120" w:type="dxa"/>
            <w:tcBorders>
              <w:top w:val="nil"/>
              <w:left w:val="nil"/>
              <w:bottom w:val="nil"/>
              <w:right w:val="nil"/>
            </w:tcBorders>
            <w:tcMar>
              <w:top w:w="128" w:type="dxa"/>
              <w:left w:w="43" w:type="dxa"/>
              <w:bottom w:w="43" w:type="dxa"/>
              <w:right w:w="43" w:type="dxa"/>
            </w:tcMar>
          </w:tcPr>
          <w:p w14:paraId="3AA7FD83"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9B55332" w14:textId="77777777" w:rsidR="00D60186" w:rsidRPr="00815696" w:rsidRDefault="00D60186" w:rsidP="00815696">
            <w:pPr>
              <w:ind w:right="113"/>
              <w:jc w:val="right"/>
              <w:rPr>
                <w:sz w:val="21"/>
                <w:szCs w:val="21"/>
              </w:rPr>
            </w:pPr>
            <w:r w:rsidRPr="00815696">
              <w:rPr>
                <w:sz w:val="21"/>
                <w:szCs w:val="21"/>
              </w:rPr>
              <w:t>1239</w:t>
            </w:r>
          </w:p>
        </w:tc>
        <w:tc>
          <w:tcPr>
            <w:tcW w:w="5600" w:type="dxa"/>
            <w:tcBorders>
              <w:top w:val="nil"/>
              <w:left w:val="nil"/>
              <w:bottom w:val="nil"/>
              <w:right w:val="nil"/>
            </w:tcBorders>
            <w:tcMar>
              <w:top w:w="128" w:type="dxa"/>
              <w:left w:w="43" w:type="dxa"/>
              <w:bottom w:w="43" w:type="dxa"/>
              <w:right w:w="43" w:type="dxa"/>
            </w:tcMar>
          </w:tcPr>
          <w:p w14:paraId="1C457F61" w14:textId="77777777" w:rsidR="00D60186" w:rsidRPr="00815696" w:rsidRDefault="00D60186" w:rsidP="00225D4D">
            <w:pPr>
              <w:rPr>
                <w:sz w:val="21"/>
                <w:szCs w:val="21"/>
              </w:rPr>
            </w:pPr>
            <w:r w:rsidRPr="00815696">
              <w:rPr>
                <w:sz w:val="21"/>
                <w:szCs w:val="21"/>
              </w:rPr>
              <w:t xml:space="preserve">Bevare </w:t>
            </w:r>
            <w:proofErr w:type="spellStart"/>
            <w:r w:rsidRPr="00815696">
              <w:rPr>
                <w:sz w:val="21"/>
                <w:szCs w:val="21"/>
              </w:rPr>
              <w:t>Enova</w:t>
            </w:r>
            <w:proofErr w:type="spellEnd"/>
            <w:r w:rsidRPr="00815696">
              <w:rPr>
                <w:sz w:val="21"/>
                <w:szCs w:val="21"/>
              </w:rPr>
              <w:t>-avgiften og redusere elavgiften</w:t>
            </w:r>
          </w:p>
        </w:tc>
        <w:tc>
          <w:tcPr>
            <w:tcW w:w="1560" w:type="dxa"/>
            <w:tcBorders>
              <w:top w:val="nil"/>
              <w:left w:val="nil"/>
              <w:bottom w:val="nil"/>
              <w:right w:val="nil"/>
            </w:tcBorders>
            <w:tcMar>
              <w:top w:w="128" w:type="dxa"/>
              <w:left w:w="43" w:type="dxa"/>
              <w:bottom w:w="43" w:type="dxa"/>
              <w:right w:w="43" w:type="dxa"/>
            </w:tcMar>
            <w:vAlign w:val="bottom"/>
          </w:tcPr>
          <w:p w14:paraId="31347A64" w14:textId="77777777" w:rsidR="00D60186" w:rsidRPr="00815696" w:rsidRDefault="00D60186" w:rsidP="00815696">
            <w:pPr>
              <w:jc w:val="right"/>
              <w:rPr>
                <w:sz w:val="21"/>
                <w:szCs w:val="21"/>
              </w:rPr>
            </w:pPr>
            <w:r w:rsidRPr="00815696">
              <w:rPr>
                <w:sz w:val="21"/>
                <w:szCs w:val="21"/>
              </w:rPr>
              <w:t>Ja</w:t>
            </w:r>
          </w:p>
        </w:tc>
      </w:tr>
      <w:tr w:rsidR="00E76DC8" w:rsidRPr="00225D4D" w14:paraId="3EA3481B" w14:textId="77777777">
        <w:trPr>
          <w:trHeight w:val="380"/>
        </w:trPr>
        <w:tc>
          <w:tcPr>
            <w:tcW w:w="1120" w:type="dxa"/>
            <w:tcBorders>
              <w:top w:val="nil"/>
              <w:left w:val="nil"/>
              <w:bottom w:val="nil"/>
              <w:right w:val="nil"/>
            </w:tcBorders>
            <w:tcMar>
              <w:top w:w="128" w:type="dxa"/>
              <w:left w:w="43" w:type="dxa"/>
              <w:bottom w:w="43" w:type="dxa"/>
              <w:right w:w="43" w:type="dxa"/>
            </w:tcMar>
          </w:tcPr>
          <w:p w14:paraId="79120FA1"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4EE9A5C" w14:textId="77777777" w:rsidR="00D60186" w:rsidRPr="00815696" w:rsidRDefault="00D60186" w:rsidP="00815696">
            <w:pPr>
              <w:ind w:right="113"/>
              <w:jc w:val="right"/>
              <w:rPr>
                <w:sz w:val="21"/>
                <w:szCs w:val="21"/>
              </w:rPr>
            </w:pPr>
            <w:r w:rsidRPr="00815696">
              <w:rPr>
                <w:sz w:val="21"/>
                <w:szCs w:val="21"/>
              </w:rPr>
              <w:t>1240</w:t>
            </w:r>
          </w:p>
        </w:tc>
        <w:tc>
          <w:tcPr>
            <w:tcW w:w="5600" w:type="dxa"/>
            <w:tcBorders>
              <w:top w:val="nil"/>
              <w:left w:val="nil"/>
              <w:bottom w:val="nil"/>
              <w:right w:val="nil"/>
            </w:tcBorders>
            <w:tcMar>
              <w:top w:w="128" w:type="dxa"/>
              <w:left w:w="43" w:type="dxa"/>
              <w:bottom w:w="43" w:type="dxa"/>
              <w:right w:w="43" w:type="dxa"/>
            </w:tcMar>
          </w:tcPr>
          <w:p w14:paraId="10A49377" w14:textId="77777777" w:rsidR="00D60186" w:rsidRPr="00815696" w:rsidRDefault="00D60186" w:rsidP="00225D4D">
            <w:pPr>
              <w:rPr>
                <w:sz w:val="21"/>
                <w:szCs w:val="21"/>
              </w:rPr>
            </w:pPr>
            <w:r w:rsidRPr="00815696">
              <w:rPr>
                <w:sz w:val="21"/>
                <w:szCs w:val="21"/>
              </w:rPr>
              <w:t>Jordbrukskonto</w:t>
            </w:r>
          </w:p>
        </w:tc>
        <w:tc>
          <w:tcPr>
            <w:tcW w:w="1560" w:type="dxa"/>
            <w:tcBorders>
              <w:top w:val="nil"/>
              <w:left w:val="nil"/>
              <w:bottom w:val="nil"/>
              <w:right w:val="nil"/>
            </w:tcBorders>
            <w:tcMar>
              <w:top w:w="128" w:type="dxa"/>
              <w:left w:w="43" w:type="dxa"/>
              <w:bottom w:w="43" w:type="dxa"/>
              <w:right w:w="43" w:type="dxa"/>
            </w:tcMar>
            <w:vAlign w:val="bottom"/>
          </w:tcPr>
          <w:p w14:paraId="14BA001E" w14:textId="77777777" w:rsidR="00D60186" w:rsidRPr="00815696" w:rsidRDefault="00D60186" w:rsidP="00815696">
            <w:pPr>
              <w:jc w:val="right"/>
              <w:rPr>
                <w:sz w:val="21"/>
                <w:szCs w:val="21"/>
              </w:rPr>
            </w:pPr>
            <w:r w:rsidRPr="00815696">
              <w:rPr>
                <w:sz w:val="21"/>
                <w:szCs w:val="21"/>
              </w:rPr>
              <w:t>Ja</w:t>
            </w:r>
          </w:p>
        </w:tc>
      </w:tr>
      <w:tr w:rsidR="00E76DC8" w:rsidRPr="00225D4D" w14:paraId="5487E2BF" w14:textId="77777777">
        <w:trPr>
          <w:trHeight w:val="380"/>
        </w:trPr>
        <w:tc>
          <w:tcPr>
            <w:tcW w:w="1120" w:type="dxa"/>
            <w:tcBorders>
              <w:top w:val="nil"/>
              <w:left w:val="nil"/>
              <w:bottom w:val="nil"/>
              <w:right w:val="nil"/>
            </w:tcBorders>
            <w:tcMar>
              <w:top w:w="128" w:type="dxa"/>
              <w:left w:w="43" w:type="dxa"/>
              <w:bottom w:w="43" w:type="dxa"/>
              <w:right w:w="43" w:type="dxa"/>
            </w:tcMar>
          </w:tcPr>
          <w:p w14:paraId="1911F90C" w14:textId="77777777" w:rsidR="00D60186" w:rsidRPr="00815696" w:rsidRDefault="00D60186" w:rsidP="00225D4D">
            <w:pPr>
              <w:rPr>
                <w:sz w:val="21"/>
                <w:szCs w:val="21"/>
              </w:rPr>
            </w:pPr>
            <w:r w:rsidRPr="00815696">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18BEE8A" w14:textId="77777777" w:rsidR="00D60186" w:rsidRPr="00815696" w:rsidRDefault="00D60186" w:rsidP="00815696">
            <w:pPr>
              <w:ind w:right="113"/>
              <w:jc w:val="right"/>
              <w:rPr>
                <w:sz w:val="21"/>
                <w:szCs w:val="21"/>
              </w:rPr>
            </w:pPr>
            <w:r w:rsidRPr="00815696">
              <w:rPr>
                <w:sz w:val="21"/>
                <w:szCs w:val="21"/>
              </w:rPr>
              <w:t>1254</w:t>
            </w:r>
          </w:p>
        </w:tc>
        <w:tc>
          <w:tcPr>
            <w:tcW w:w="5600" w:type="dxa"/>
            <w:tcBorders>
              <w:top w:val="nil"/>
              <w:left w:val="nil"/>
              <w:bottom w:val="nil"/>
              <w:right w:val="nil"/>
            </w:tcBorders>
            <w:tcMar>
              <w:top w:w="128" w:type="dxa"/>
              <w:left w:w="43" w:type="dxa"/>
              <w:bottom w:w="43" w:type="dxa"/>
              <w:right w:w="43" w:type="dxa"/>
            </w:tcMar>
          </w:tcPr>
          <w:p w14:paraId="504B1247" w14:textId="77777777" w:rsidR="00D60186" w:rsidRPr="00815696" w:rsidRDefault="00D60186" w:rsidP="00225D4D">
            <w:pPr>
              <w:rPr>
                <w:sz w:val="21"/>
                <w:szCs w:val="21"/>
              </w:rPr>
            </w:pPr>
            <w:r w:rsidRPr="00815696">
              <w:rPr>
                <w:sz w:val="21"/>
                <w:szCs w:val="21"/>
              </w:rPr>
              <w:t>Skattlegging av firmabil</w:t>
            </w:r>
          </w:p>
        </w:tc>
        <w:tc>
          <w:tcPr>
            <w:tcW w:w="1560" w:type="dxa"/>
            <w:tcBorders>
              <w:top w:val="nil"/>
              <w:left w:val="nil"/>
              <w:bottom w:val="nil"/>
              <w:right w:val="nil"/>
            </w:tcBorders>
            <w:tcMar>
              <w:top w:w="128" w:type="dxa"/>
              <w:left w:w="43" w:type="dxa"/>
              <w:bottom w:w="43" w:type="dxa"/>
              <w:right w:w="43" w:type="dxa"/>
            </w:tcMar>
            <w:vAlign w:val="bottom"/>
          </w:tcPr>
          <w:p w14:paraId="6B090814" w14:textId="77777777" w:rsidR="00D60186" w:rsidRPr="00815696" w:rsidRDefault="00D60186" w:rsidP="00815696">
            <w:pPr>
              <w:jc w:val="right"/>
              <w:rPr>
                <w:sz w:val="21"/>
                <w:szCs w:val="21"/>
              </w:rPr>
            </w:pPr>
            <w:r w:rsidRPr="00815696">
              <w:rPr>
                <w:sz w:val="21"/>
                <w:szCs w:val="21"/>
              </w:rPr>
              <w:t>Nei</w:t>
            </w:r>
          </w:p>
        </w:tc>
      </w:tr>
      <w:tr w:rsidR="00E76DC8" w:rsidRPr="00225D4D" w14:paraId="441E9BA5" w14:textId="77777777">
        <w:trPr>
          <w:trHeight w:val="380"/>
        </w:trPr>
        <w:tc>
          <w:tcPr>
            <w:tcW w:w="1120" w:type="dxa"/>
            <w:tcBorders>
              <w:top w:val="nil"/>
              <w:left w:val="nil"/>
              <w:bottom w:val="nil"/>
              <w:right w:val="nil"/>
            </w:tcBorders>
            <w:tcMar>
              <w:top w:w="128" w:type="dxa"/>
              <w:left w:w="43" w:type="dxa"/>
              <w:bottom w:w="43" w:type="dxa"/>
              <w:right w:w="43" w:type="dxa"/>
            </w:tcMar>
          </w:tcPr>
          <w:p w14:paraId="7C12A069"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71A0D2FA" w14:textId="77777777" w:rsidR="00D60186" w:rsidRPr="00815696" w:rsidRDefault="00D60186" w:rsidP="00815696">
            <w:pPr>
              <w:ind w:right="113"/>
              <w:jc w:val="right"/>
              <w:rPr>
                <w:sz w:val="21"/>
                <w:szCs w:val="21"/>
              </w:rPr>
            </w:pPr>
            <w:r w:rsidRPr="00815696">
              <w:rPr>
                <w:sz w:val="21"/>
                <w:szCs w:val="21"/>
              </w:rPr>
              <w:t>89</w:t>
            </w:r>
          </w:p>
        </w:tc>
        <w:tc>
          <w:tcPr>
            <w:tcW w:w="5600" w:type="dxa"/>
            <w:tcBorders>
              <w:top w:val="nil"/>
              <w:left w:val="nil"/>
              <w:bottom w:val="nil"/>
              <w:right w:val="nil"/>
            </w:tcBorders>
            <w:tcMar>
              <w:top w:w="128" w:type="dxa"/>
              <w:left w:w="43" w:type="dxa"/>
              <w:bottom w:w="43" w:type="dxa"/>
              <w:right w:w="43" w:type="dxa"/>
            </w:tcMar>
          </w:tcPr>
          <w:p w14:paraId="41CAC452" w14:textId="77777777" w:rsidR="00D60186" w:rsidRPr="00815696" w:rsidRDefault="00D60186" w:rsidP="00225D4D">
            <w:pPr>
              <w:rPr>
                <w:sz w:val="21"/>
                <w:szCs w:val="21"/>
              </w:rPr>
            </w:pPr>
            <w:proofErr w:type="spellStart"/>
            <w:r w:rsidRPr="00815696">
              <w:rPr>
                <w:sz w:val="21"/>
                <w:szCs w:val="21"/>
              </w:rPr>
              <w:t>Skjermingsfrådrag</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1ADA4F3D" w14:textId="77777777" w:rsidR="00D60186" w:rsidRPr="00815696" w:rsidRDefault="00D60186" w:rsidP="00815696">
            <w:pPr>
              <w:jc w:val="right"/>
              <w:rPr>
                <w:sz w:val="21"/>
                <w:szCs w:val="21"/>
              </w:rPr>
            </w:pPr>
            <w:r w:rsidRPr="00815696">
              <w:rPr>
                <w:sz w:val="21"/>
                <w:szCs w:val="21"/>
              </w:rPr>
              <w:t>Ja</w:t>
            </w:r>
          </w:p>
        </w:tc>
      </w:tr>
      <w:tr w:rsidR="00E76DC8" w:rsidRPr="00225D4D" w14:paraId="2BE955AC" w14:textId="77777777">
        <w:trPr>
          <w:trHeight w:val="380"/>
        </w:trPr>
        <w:tc>
          <w:tcPr>
            <w:tcW w:w="1120" w:type="dxa"/>
            <w:tcBorders>
              <w:top w:val="nil"/>
              <w:left w:val="nil"/>
              <w:bottom w:val="nil"/>
              <w:right w:val="nil"/>
            </w:tcBorders>
            <w:tcMar>
              <w:top w:w="128" w:type="dxa"/>
              <w:left w:w="43" w:type="dxa"/>
              <w:bottom w:w="43" w:type="dxa"/>
              <w:right w:w="43" w:type="dxa"/>
            </w:tcMar>
          </w:tcPr>
          <w:p w14:paraId="6545E387"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4536A309" w14:textId="77777777" w:rsidR="00D60186" w:rsidRPr="00815696" w:rsidRDefault="00D60186" w:rsidP="00815696">
            <w:pPr>
              <w:ind w:right="113"/>
              <w:jc w:val="right"/>
              <w:rPr>
                <w:sz w:val="21"/>
                <w:szCs w:val="21"/>
              </w:rPr>
            </w:pPr>
            <w:r w:rsidRPr="00815696">
              <w:rPr>
                <w:sz w:val="21"/>
                <w:szCs w:val="21"/>
              </w:rPr>
              <w:t>90</w:t>
            </w:r>
          </w:p>
        </w:tc>
        <w:tc>
          <w:tcPr>
            <w:tcW w:w="5600" w:type="dxa"/>
            <w:tcBorders>
              <w:top w:val="nil"/>
              <w:left w:val="nil"/>
              <w:bottom w:val="nil"/>
              <w:right w:val="nil"/>
            </w:tcBorders>
            <w:tcMar>
              <w:top w:w="128" w:type="dxa"/>
              <w:left w:w="43" w:type="dxa"/>
              <w:bottom w:w="43" w:type="dxa"/>
              <w:right w:w="43" w:type="dxa"/>
            </w:tcMar>
          </w:tcPr>
          <w:p w14:paraId="5C1966CF" w14:textId="77777777" w:rsidR="00D60186" w:rsidRPr="00815696" w:rsidRDefault="00D60186" w:rsidP="00225D4D">
            <w:pPr>
              <w:rPr>
                <w:sz w:val="21"/>
                <w:szCs w:val="21"/>
              </w:rPr>
            </w:pPr>
            <w:r w:rsidRPr="00815696">
              <w:rPr>
                <w:sz w:val="21"/>
                <w:szCs w:val="21"/>
              </w:rPr>
              <w:t xml:space="preserve">Nivået på </w:t>
            </w:r>
            <w:proofErr w:type="spellStart"/>
            <w:r w:rsidRPr="00815696">
              <w:rPr>
                <w:sz w:val="21"/>
                <w:szCs w:val="21"/>
              </w:rPr>
              <w:t>treprosentregelen</w:t>
            </w:r>
            <w:proofErr w:type="spellEnd"/>
            <w:r w:rsidRPr="00815696">
              <w:rPr>
                <w:sz w:val="21"/>
                <w:szCs w:val="21"/>
              </w:rPr>
              <w:t xml:space="preserve"> i fritaksmetoden</w:t>
            </w:r>
          </w:p>
        </w:tc>
        <w:tc>
          <w:tcPr>
            <w:tcW w:w="1560" w:type="dxa"/>
            <w:tcBorders>
              <w:top w:val="nil"/>
              <w:left w:val="nil"/>
              <w:bottom w:val="nil"/>
              <w:right w:val="nil"/>
            </w:tcBorders>
            <w:tcMar>
              <w:top w:w="128" w:type="dxa"/>
              <w:left w:w="43" w:type="dxa"/>
              <w:bottom w:w="43" w:type="dxa"/>
              <w:right w:w="43" w:type="dxa"/>
            </w:tcMar>
            <w:vAlign w:val="bottom"/>
          </w:tcPr>
          <w:p w14:paraId="558A0B88" w14:textId="77777777" w:rsidR="00D60186" w:rsidRPr="00815696" w:rsidRDefault="00D60186" w:rsidP="00815696">
            <w:pPr>
              <w:jc w:val="right"/>
              <w:rPr>
                <w:sz w:val="21"/>
                <w:szCs w:val="21"/>
              </w:rPr>
            </w:pPr>
            <w:r w:rsidRPr="00815696">
              <w:rPr>
                <w:sz w:val="21"/>
                <w:szCs w:val="21"/>
              </w:rPr>
              <w:t>Ja</w:t>
            </w:r>
          </w:p>
        </w:tc>
      </w:tr>
      <w:tr w:rsidR="00E76DC8" w:rsidRPr="00225D4D" w14:paraId="6312CD16" w14:textId="77777777">
        <w:trPr>
          <w:trHeight w:val="380"/>
        </w:trPr>
        <w:tc>
          <w:tcPr>
            <w:tcW w:w="1120" w:type="dxa"/>
            <w:tcBorders>
              <w:top w:val="nil"/>
              <w:left w:val="nil"/>
              <w:bottom w:val="nil"/>
              <w:right w:val="nil"/>
            </w:tcBorders>
            <w:tcMar>
              <w:top w:w="128" w:type="dxa"/>
              <w:left w:w="43" w:type="dxa"/>
              <w:bottom w:w="43" w:type="dxa"/>
              <w:right w:w="43" w:type="dxa"/>
            </w:tcMar>
          </w:tcPr>
          <w:p w14:paraId="3188653A"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58A02F52" w14:textId="77777777" w:rsidR="00D60186" w:rsidRPr="00815696" w:rsidRDefault="00D60186" w:rsidP="00815696">
            <w:pPr>
              <w:ind w:right="113"/>
              <w:jc w:val="right"/>
              <w:rPr>
                <w:sz w:val="21"/>
                <w:szCs w:val="21"/>
              </w:rPr>
            </w:pPr>
            <w:r w:rsidRPr="00815696">
              <w:rPr>
                <w:sz w:val="21"/>
                <w:szCs w:val="21"/>
              </w:rPr>
              <w:t>522</w:t>
            </w:r>
          </w:p>
        </w:tc>
        <w:tc>
          <w:tcPr>
            <w:tcW w:w="5600" w:type="dxa"/>
            <w:tcBorders>
              <w:top w:val="nil"/>
              <w:left w:val="nil"/>
              <w:bottom w:val="nil"/>
              <w:right w:val="nil"/>
            </w:tcBorders>
            <w:tcMar>
              <w:top w:w="128" w:type="dxa"/>
              <w:left w:w="43" w:type="dxa"/>
              <w:bottom w:w="43" w:type="dxa"/>
              <w:right w:w="43" w:type="dxa"/>
            </w:tcMar>
          </w:tcPr>
          <w:p w14:paraId="1444410C" w14:textId="77777777" w:rsidR="00D60186" w:rsidRPr="00815696" w:rsidRDefault="00D60186" w:rsidP="00225D4D">
            <w:pPr>
              <w:rPr>
                <w:sz w:val="21"/>
                <w:szCs w:val="21"/>
              </w:rPr>
            </w:pPr>
            <w:r w:rsidRPr="00815696">
              <w:rPr>
                <w:sz w:val="21"/>
                <w:szCs w:val="21"/>
              </w:rPr>
              <w:t xml:space="preserve">Register over reelle </w:t>
            </w:r>
            <w:proofErr w:type="spellStart"/>
            <w:r w:rsidRPr="00815696">
              <w:rPr>
                <w:sz w:val="21"/>
                <w:szCs w:val="21"/>
              </w:rPr>
              <w:t>rettshavarar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19801E30" w14:textId="77777777" w:rsidR="00D60186" w:rsidRPr="00815696" w:rsidRDefault="00D60186" w:rsidP="00815696">
            <w:pPr>
              <w:jc w:val="right"/>
              <w:rPr>
                <w:sz w:val="21"/>
                <w:szCs w:val="21"/>
              </w:rPr>
            </w:pPr>
            <w:r w:rsidRPr="00815696">
              <w:rPr>
                <w:sz w:val="21"/>
                <w:szCs w:val="21"/>
              </w:rPr>
              <w:t>Nei</w:t>
            </w:r>
          </w:p>
        </w:tc>
      </w:tr>
      <w:tr w:rsidR="00E76DC8" w:rsidRPr="00225D4D" w14:paraId="6B6A1BCB" w14:textId="77777777">
        <w:trPr>
          <w:trHeight w:val="380"/>
        </w:trPr>
        <w:tc>
          <w:tcPr>
            <w:tcW w:w="1120" w:type="dxa"/>
            <w:tcBorders>
              <w:top w:val="nil"/>
              <w:left w:val="nil"/>
              <w:bottom w:val="nil"/>
              <w:right w:val="nil"/>
            </w:tcBorders>
            <w:tcMar>
              <w:top w:w="128" w:type="dxa"/>
              <w:left w:w="43" w:type="dxa"/>
              <w:bottom w:w="43" w:type="dxa"/>
              <w:right w:w="43" w:type="dxa"/>
            </w:tcMar>
          </w:tcPr>
          <w:p w14:paraId="6352A0ED"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73F49F6D" w14:textId="77777777" w:rsidR="00D60186" w:rsidRPr="00815696" w:rsidRDefault="00D60186" w:rsidP="00815696">
            <w:pPr>
              <w:ind w:right="113"/>
              <w:jc w:val="right"/>
              <w:rPr>
                <w:sz w:val="21"/>
                <w:szCs w:val="21"/>
              </w:rPr>
            </w:pPr>
            <w:r w:rsidRPr="00815696">
              <w:rPr>
                <w:sz w:val="21"/>
                <w:szCs w:val="21"/>
              </w:rPr>
              <w:t>752</w:t>
            </w:r>
          </w:p>
        </w:tc>
        <w:tc>
          <w:tcPr>
            <w:tcW w:w="5600" w:type="dxa"/>
            <w:tcBorders>
              <w:top w:val="nil"/>
              <w:left w:val="nil"/>
              <w:bottom w:val="nil"/>
              <w:right w:val="nil"/>
            </w:tcBorders>
            <w:tcMar>
              <w:top w:w="128" w:type="dxa"/>
              <w:left w:w="43" w:type="dxa"/>
              <w:bottom w:w="43" w:type="dxa"/>
              <w:right w:w="43" w:type="dxa"/>
            </w:tcMar>
          </w:tcPr>
          <w:p w14:paraId="0A95180E" w14:textId="77777777" w:rsidR="00D60186" w:rsidRPr="00815696" w:rsidRDefault="00D60186" w:rsidP="00225D4D">
            <w:pPr>
              <w:rPr>
                <w:sz w:val="21"/>
                <w:szCs w:val="21"/>
              </w:rPr>
            </w:pPr>
            <w:r w:rsidRPr="00815696">
              <w:rPr>
                <w:sz w:val="21"/>
                <w:szCs w:val="21"/>
              </w:rPr>
              <w:t>Ny fakturaordning</w:t>
            </w:r>
          </w:p>
        </w:tc>
        <w:tc>
          <w:tcPr>
            <w:tcW w:w="1560" w:type="dxa"/>
            <w:tcBorders>
              <w:top w:val="nil"/>
              <w:left w:val="nil"/>
              <w:bottom w:val="nil"/>
              <w:right w:val="nil"/>
            </w:tcBorders>
            <w:tcMar>
              <w:top w:w="128" w:type="dxa"/>
              <w:left w:w="43" w:type="dxa"/>
              <w:bottom w:w="43" w:type="dxa"/>
              <w:right w:w="43" w:type="dxa"/>
            </w:tcMar>
            <w:vAlign w:val="bottom"/>
          </w:tcPr>
          <w:p w14:paraId="14C88384" w14:textId="77777777" w:rsidR="00D60186" w:rsidRPr="00815696" w:rsidRDefault="00D60186" w:rsidP="00815696">
            <w:pPr>
              <w:jc w:val="right"/>
              <w:rPr>
                <w:sz w:val="21"/>
                <w:szCs w:val="21"/>
              </w:rPr>
            </w:pPr>
            <w:r w:rsidRPr="00815696">
              <w:rPr>
                <w:sz w:val="21"/>
                <w:szCs w:val="21"/>
              </w:rPr>
              <w:t>Ja</w:t>
            </w:r>
          </w:p>
        </w:tc>
      </w:tr>
      <w:tr w:rsidR="00E76DC8" w:rsidRPr="00225D4D" w14:paraId="0616C85A" w14:textId="77777777">
        <w:trPr>
          <w:trHeight w:val="640"/>
        </w:trPr>
        <w:tc>
          <w:tcPr>
            <w:tcW w:w="1120" w:type="dxa"/>
            <w:tcBorders>
              <w:top w:val="nil"/>
              <w:left w:val="nil"/>
              <w:bottom w:val="nil"/>
              <w:right w:val="nil"/>
            </w:tcBorders>
            <w:tcMar>
              <w:top w:w="128" w:type="dxa"/>
              <w:left w:w="43" w:type="dxa"/>
              <w:bottom w:w="43" w:type="dxa"/>
              <w:right w:w="43" w:type="dxa"/>
            </w:tcMar>
          </w:tcPr>
          <w:p w14:paraId="60B92777"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3A2BEFA6" w14:textId="77777777" w:rsidR="00D60186" w:rsidRPr="00815696" w:rsidRDefault="00D60186" w:rsidP="00815696">
            <w:pPr>
              <w:ind w:right="113"/>
              <w:jc w:val="right"/>
              <w:rPr>
                <w:sz w:val="21"/>
                <w:szCs w:val="21"/>
              </w:rPr>
            </w:pPr>
            <w:r w:rsidRPr="00815696">
              <w:rPr>
                <w:sz w:val="21"/>
                <w:szCs w:val="21"/>
              </w:rPr>
              <w:t>759</w:t>
            </w:r>
          </w:p>
        </w:tc>
        <w:tc>
          <w:tcPr>
            <w:tcW w:w="5600" w:type="dxa"/>
            <w:tcBorders>
              <w:top w:val="nil"/>
              <w:left w:val="nil"/>
              <w:bottom w:val="nil"/>
              <w:right w:val="nil"/>
            </w:tcBorders>
            <w:tcMar>
              <w:top w:w="128" w:type="dxa"/>
              <w:left w:w="43" w:type="dxa"/>
              <w:bottom w:w="43" w:type="dxa"/>
              <w:right w:w="43" w:type="dxa"/>
            </w:tcMar>
          </w:tcPr>
          <w:p w14:paraId="429590F7" w14:textId="77777777" w:rsidR="00D60186" w:rsidRPr="00815696" w:rsidRDefault="00D60186" w:rsidP="00225D4D">
            <w:pPr>
              <w:rPr>
                <w:sz w:val="21"/>
                <w:szCs w:val="21"/>
              </w:rPr>
            </w:pPr>
            <w:proofErr w:type="spellStart"/>
            <w:r w:rsidRPr="00815696">
              <w:rPr>
                <w:sz w:val="21"/>
                <w:szCs w:val="21"/>
              </w:rPr>
              <w:t>Eigedomsmeklarar</w:t>
            </w:r>
            <w:proofErr w:type="spellEnd"/>
            <w:r w:rsidRPr="00815696">
              <w:rPr>
                <w:sz w:val="21"/>
                <w:szCs w:val="21"/>
              </w:rPr>
              <w:t xml:space="preserve"> sin </w:t>
            </w:r>
            <w:proofErr w:type="spellStart"/>
            <w:r w:rsidRPr="00815696">
              <w:rPr>
                <w:sz w:val="21"/>
                <w:szCs w:val="21"/>
              </w:rPr>
              <w:t>tilgjenge</w:t>
            </w:r>
            <w:proofErr w:type="spellEnd"/>
            <w:r w:rsidRPr="00815696">
              <w:rPr>
                <w:sz w:val="21"/>
                <w:szCs w:val="21"/>
              </w:rPr>
              <w:t xml:space="preserve"> til </w:t>
            </w:r>
            <w:proofErr w:type="spellStart"/>
            <w:r w:rsidRPr="00815696">
              <w:rPr>
                <w:sz w:val="21"/>
                <w:szCs w:val="21"/>
              </w:rPr>
              <w:t>offentlege</w:t>
            </w:r>
            <w:proofErr w:type="spellEnd"/>
            <w:r w:rsidRPr="00815696">
              <w:rPr>
                <w:sz w:val="21"/>
                <w:szCs w:val="21"/>
              </w:rPr>
              <w:t xml:space="preserve"> </w:t>
            </w:r>
            <w:proofErr w:type="spellStart"/>
            <w:r w:rsidRPr="00815696">
              <w:rPr>
                <w:sz w:val="21"/>
                <w:szCs w:val="21"/>
              </w:rPr>
              <w:t>databasar</w:t>
            </w:r>
            <w:proofErr w:type="spellEnd"/>
            <w:r w:rsidRPr="00815696">
              <w:rPr>
                <w:sz w:val="21"/>
                <w:szCs w:val="21"/>
              </w:rPr>
              <w:t>, mellom anna Folkeregisteret</w:t>
            </w:r>
          </w:p>
        </w:tc>
        <w:tc>
          <w:tcPr>
            <w:tcW w:w="1560" w:type="dxa"/>
            <w:tcBorders>
              <w:top w:val="nil"/>
              <w:left w:val="nil"/>
              <w:bottom w:val="nil"/>
              <w:right w:val="nil"/>
            </w:tcBorders>
            <w:tcMar>
              <w:top w:w="128" w:type="dxa"/>
              <w:left w:w="43" w:type="dxa"/>
              <w:bottom w:w="43" w:type="dxa"/>
              <w:right w:w="43" w:type="dxa"/>
            </w:tcMar>
            <w:vAlign w:val="bottom"/>
          </w:tcPr>
          <w:p w14:paraId="7EE72F84" w14:textId="77777777" w:rsidR="00D60186" w:rsidRPr="00815696" w:rsidRDefault="00D60186" w:rsidP="00815696">
            <w:pPr>
              <w:jc w:val="right"/>
              <w:rPr>
                <w:sz w:val="21"/>
                <w:szCs w:val="21"/>
              </w:rPr>
            </w:pPr>
            <w:r w:rsidRPr="00815696">
              <w:rPr>
                <w:sz w:val="21"/>
                <w:szCs w:val="21"/>
              </w:rPr>
              <w:t>Nei</w:t>
            </w:r>
          </w:p>
        </w:tc>
      </w:tr>
      <w:tr w:rsidR="00E76DC8" w:rsidRPr="00225D4D" w14:paraId="6A629F84" w14:textId="77777777">
        <w:trPr>
          <w:trHeight w:val="640"/>
        </w:trPr>
        <w:tc>
          <w:tcPr>
            <w:tcW w:w="1120" w:type="dxa"/>
            <w:tcBorders>
              <w:top w:val="nil"/>
              <w:left w:val="nil"/>
              <w:bottom w:val="nil"/>
              <w:right w:val="nil"/>
            </w:tcBorders>
            <w:tcMar>
              <w:top w:w="128" w:type="dxa"/>
              <w:left w:w="43" w:type="dxa"/>
              <w:bottom w:w="43" w:type="dxa"/>
              <w:right w:w="43" w:type="dxa"/>
            </w:tcMar>
          </w:tcPr>
          <w:p w14:paraId="3310DFAA"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296154BA" w14:textId="77777777" w:rsidR="00D60186" w:rsidRPr="00815696" w:rsidRDefault="00D60186" w:rsidP="00815696">
            <w:pPr>
              <w:ind w:right="113"/>
              <w:jc w:val="right"/>
              <w:rPr>
                <w:sz w:val="21"/>
                <w:szCs w:val="21"/>
              </w:rPr>
            </w:pPr>
            <w:r w:rsidRPr="00815696">
              <w:rPr>
                <w:sz w:val="21"/>
                <w:szCs w:val="21"/>
              </w:rPr>
              <w:t>760</w:t>
            </w:r>
          </w:p>
        </w:tc>
        <w:tc>
          <w:tcPr>
            <w:tcW w:w="5600" w:type="dxa"/>
            <w:tcBorders>
              <w:top w:val="nil"/>
              <w:left w:val="nil"/>
              <w:bottom w:val="nil"/>
              <w:right w:val="nil"/>
            </w:tcBorders>
            <w:tcMar>
              <w:top w:w="128" w:type="dxa"/>
              <w:left w:w="43" w:type="dxa"/>
              <w:bottom w:w="43" w:type="dxa"/>
              <w:right w:w="43" w:type="dxa"/>
            </w:tcMar>
          </w:tcPr>
          <w:p w14:paraId="15FC207D" w14:textId="77777777" w:rsidR="00D60186" w:rsidRPr="00815696" w:rsidRDefault="00D60186" w:rsidP="00225D4D">
            <w:pPr>
              <w:rPr>
                <w:sz w:val="21"/>
                <w:szCs w:val="21"/>
              </w:rPr>
            </w:pPr>
            <w:r w:rsidRPr="00815696">
              <w:rPr>
                <w:sz w:val="21"/>
                <w:szCs w:val="21"/>
              </w:rPr>
              <w:t xml:space="preserve">Utveksling av informasjon mellom </w:t>
            </w:r>
            <w:proofErr w:type="spellStart"/>
            <w:r w:rsidRPr="00815696">
              <w:rPr>
                <w:sz w:val="21"/>
                <w:szCs w:val="21"/>
              </w:rPr>
              <w:t>eigedomsmeklarar</w:t>
            </w:r>
            <w:proofErr w:type="spellEnd"/>
            <w:r w:rsidRPr="00815696">
              <w:rPr>
                <w:sz w:val="21"/>
                <w:szCs w:val="21"/>
              </w:rPr>
              <w:t xml:space="preserve"> </w:t>
            </w:r>
            <w:r w:rsidRPr="00815696">
              <w:rPr>
                <w:sz w:val="21"/>
                <w:szCs w:val="21"/>
              </w:rPr>
              <w:br/>
              <w:t xml:space="preserve">og </w:t>
            </w:r>
            <w:proofErr w:type="spellStart"/>
            <w:r w:rsidRPr="00815696">
              <w:rPr>
                <w:sz w:val="21"/>
                <w:szCs w:val="21"/>
              </w:rPr>
              <w:t>bankar</w:t>
            </w:r>
            <w:proofErr w:type="spellEnd"/>
            <w:r w:rsidRPr="00815696">
              <w:rPr>
                <w:sz w:val="21"/>
                <w:szCs w:val="21"/>
              </w:rPr>
              <w:t xml:space="preserve"> om </w:t>
            </w:r>
            <w:proofErr w:type="spellStart"/>
            <w:r w:rsidRPr="00815696">
              <w:rPr>
                <w:sz w:val="21"/>
                <w:szCs w:val="21"/>
              </w:rPr>
              <w:t>mistenkelege</w:t>
            </w:r>
            <w:proofErr w:type="spellEnd"/>
            <w:r w:rsidRPr="00815696">
              <w:rPr>
                <w:sz w:val="21"/>
                <w:szCs w:val="21"/>
              </w:rPr>
              <w:t xml:space="preserve"> forhold</w:t>
            </w:r>
          </w:p>
        </w:tc>
        <w:tc>
          <w:tcPr>
            <w:tcW w:w="1560" w:type="dxa"/>
            <w:tcBorders>
              <w:top w:val="nil"/>
              <w:left w:val="nil"/>
              <w:bottom w:val="nil"/>
              <w:right w:val="nil"/>
            </w:tcBorders>
            <w:tcMar>
              <w:top w:w="128" w:type="dxa"/>
              <w:left w:w="43" w:type="dxa"/>
              <w:bottom w:w="43" w:type="dxa"/>
              <w:right w:w="43" w:type="dxa"/>
            </w:tcMar>
            <w:vAlign w:val="bottom"/>
          </w:tcPr>
          <w:p w14:paraId="047728BD" w14:textId="77777777" w:rsidR="00D60186" w:rsidRPr="00815696" w:rsidRDefault="00D60186" w:rsidP="00815696">
            <w:pPr>
              <w:jc w:val="right"/>
              <w:rPr>
                <w:sz w:val="21"/>
                <w:szCs w:val="21"/>
              </w:rPr>
            </w:pPr>
            <w:r w:rsidRPr="00815696">
              <w:rPr>
                <w:sz w:val="21"/>
                <w:szCs w:val="21"/>
              </w:rPr>
              <w:t>Nei</w:t>
            </w:r>
          </w:p>
        </w:tc>
      </w:tr>
      <w:tr w:rsidR="00E76DC8" w:rsidRPr="00225D4D" w14:paraId="5671E1B3" w14:textId="77777777">
        <w:trPr>
          <w:trHeight w:val="380"/>
        </w:trPr>
        <w:tc>
          <w:tcPr>
            <w:tcW w:w="1120" w:type="dxa"/>
            <w:tcBorders>
              <w:top w:val="nil"/>
              <w:left w:val="nil"/>
              <w:bottom w:val="nil"/>
              <w:right w:val="nil"/>
            </w:tcBorders>
            <w:tcMar>
              <w:top w:w="128" w:type="dxa"/>
              <w:left w:w="43" w:type="dxa"/>
              <w:bottom w:w="43" w:type="dxa"/>
              <w:right w:w="43" w:type="dxa"/>
            </w:tcMar>
          </w:tcPr>
          <w:p w14:paraId="648E8862"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4B12F3FD" w14:textId="77777777" w:rsidR="00D60186" w:rsidRPr="00815696" w:rsidRDefault="00D60186" w:rsidP="00815696">
            <w:pPr>
              <w:ind w:right="113"/>
              <w:jc w:val="right"/>
              <w:rPr>
                <w:sz w:val="21"/>
                <w:szCs w:val="21"/>
              </w:rPr>
            </w:pPr>
            <w:r w:rsidRPr="00815696">
              <w:rPr>
                <w:sz w:val="21"/>
                <w:szCs w:val="21"/>
              </w:rPr>
              <w:t>812</w:t>
            </w:r>
          </w:p>
        </w:tc>
        <w:tc>
          <w:tcPr>
            <w:tcW w:w="5600" w:type="dxa"/>
            <w:tcBorders>
              <w:top w:val="nil"/>
              <w:left w:val="nil"/>
              <w:bottom w:val="nil"/>
              <w:right w:val="nil"/>
            </w:tcBorders>
            <w:tcMar>
              <w:top w:w="128" w:type="dxa"/>
              <w:left w:w="43" w:type="dxa"/>
              <w:bottom w:w="43" w:type="dxa"/>
              <w:right w:w="43" w:type="dxa"/>
            </w:tcMar>
          </w:tcPr>
          <w:p w14:paraId="31270954" w14:textId="77777777" w:rsidR="00D60186" w:rsidRPr="00815696" w:rsidRDefault="00D60186" w:rsidP="00225D4D">
            <w:pPr>
              <w:rPr>
                <w:sz w:val="21"/>
                <w:szCs w:val="21"/>
              </w:rPr>
            </w:pPr>
            <w:proofErr w:type="spellStart"/>
            <w:r w:rsidRPr="00815696">
              <w:rPr>
                <w:sz w:val="21"/>
                <w:szCs w:val="21"/>
              </w:rPr>
              <w:t>Eigedomsskatt</w:t>
            </w:r>
            <w:proofErr w:type="spellEnd"/>
            <w:r w:rsidRPr="00815696">
              <w:rPr>
                <w:sz w:val="21"/>
                <w:szCs w:val="21"/>
              </w:rPr>
              <w:t xml:space="preserve"> – differensierte </w:t>
            </w:r>
            <w:proofErr w:type="spellStart"/>
            <w:r w:rsidRPr="00815696">
              <w:rPr>
                <w:sz w:val="21"/>
                <w:szCs w:val="21"/>
              </w:rPr>
              <w:t>satsar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419D9BE1" w14:textId="77777777" w:rsidR="00D60186" w:rsidRPr="00815696" w:rsidRDefault="00D60186" w:rsidP="00815696">
            <w:pPr>
              <w:jc w:val="right"/>
              <w:rPr>
                <w:sz w:val="21"/>
                <w:szCs w:val="21"/>
              </w:rPr>
            </w:pPr>
            <w:r w:rsidRPr="00815696">
              <w:rPr>
                <w:sz w:val="21"/>
                <w:szCs w:val="21"/>
              </w:rPr>
              <w:t>Nei</w:t>
            </w:r>
          </w:p>
        </w:tc>
      </w:tr>
      <w:tr w:rsidR="00E76DC8" w:rsidRPr="00225D4D" w14:paraId="7C4B799D" w14:textId="77777777">
        <w:trPr>
          <w:trHeight w:val="380"/>
        </w:trPr>
        <w:tc>
          <w:tcPr>
            <w:tcW w:w="1120" w:type="dxa"/>
            <w:tcBorders>
              <w:top w:val="nil"/>
              <w:left w:val="nil"/>
              <w:bottom w:val="nil"/>
              <w:right w:val="nil"/>
            </w:tcBorders>
            <w:tcMar>
              <w:top w:w="128" w:type="dxa"/>
              <w:left w:w="43" w:type="dxa"/>
              <w:bottom w:w="43" w:type="dxa"/>
              <w:right w:w="43" w:type="dxa"/>
            </w:tcMar>
          </w:tcPr>
          <w:p w14:paraId="69EC7D7F"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30975970" w14:textId="77777777" w:rsidR="00D60186" w:rsidRPr="00815696" w:rsidRDefault="00D60186" w:rsidP="00815696">
            <w:pPr>
              <w:ind w:right="113"/>
              <w:jc w:val="right"/>
              <w:rPr>
                <w:sz w:val="21"/>
                <w:szCs w:val="21"/>
              </w:rPr>
            </w:pPr>
            <w:r w:rsidRPr="00815696">
              <w:rPr>
                <w:sz w:val="21"/>
                <w:szCs w:val="21"/>
              </w:rPr>
              <w:t>920</w:t>
            </w:r>
          </w:p>
        </w:tc>
        <w:tc>
          <w:tcPr>
            <w:tcW w:w="5600" w:type="dxa"/>
            <w:tcBorders>
              <w:top w:val="nil"/>
              <w:left w:val="nil"/>
              <w:bottom w:val="nil"/>
              <w:right w:val="nil"/>
            </w:tcBorders>
            <w:tcMar>
              <w:top w:w="128" w:type="dxa"/>
              <w:left w:w="43" w:type="dxa"/>
              <w:bottom w:w="43" w:type="dxa"/>
              <w:right w:w="43" w:type="dxa"/>
            </w:tcMar>
          </w:tcPr>
          <w:p w14:paraId="394EF188" w14:textId="77777777" w:rsidR="00D60186" w:rsidRPr="00815696" w:rsidRDefault="00D60186" w:rsidP="00225D4D">
            <w:pPr>
              <w:rPr>
                <w:sz w:val="21"/>
                <w:szCs w:val="21"/>
              </w:rPr>
            </w:pPr>
            <w:r w:rsidRPr="00815696">
              <w:rPr>
                <w:sz w:val="21"/>
                <w:szCs w:val="21"/>
              </w:rPr>
              <w:t xml:space="preserve">Evaluering av </w:t>
            </w:r>
            <w:proofErr w:type="spellStart"/>
            <w:r w:rsidRPr="00815696">
              <w:rPr>
                <w:sz w:val="21"/>
                <w:szCs w:val="21"/>
              </w:rPr>
              <w:t>renteavgrensningsreglane</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494D210" w14:textId="77777777" w:rsidR="00D60186" w:rsidRPr="00815696" w:rsidRDefault="00D60186" w:rsidP="00815696">
            <w:pPr>
              <w:jc w:val="right"/>
              <w:rPr>
                <w:sz w:val="21"/>
                <w:szCs w:val="21"/>
              </w:rPr>
            </w:pPr>
            <w:r w:rsidRPr="00815696">
              <w:rPr>
                <w:sz w:val="21"/>
                <w:szCs w:val="21"/>
              </w:rPr>
              <w:t>Nei</w:t>
            </w:r>
          </w:p>
        </w:tc>
      </w:tr>
      <w:tr w:rsidR="00E76DC8" w:rsidRPr="00225D4D" w14:paraId="47B06465" w14:textId="77777777">
        <w:trPr>
          <w:trHeight w:val="380"/>
        </w:trPr>
        <w:tc>
          <w:tcPr>
            <w:tcW w:w="1120" w:type="dxa"/>
            <w:tcBorders>
              <w:top w:val="nil"/>
              <w:left w:val="nil"/>
              <w:bottom w:val="nil"/>
              <w:right w:val="nil"/>
            </w:tcBorders>
            <w:tcMar>
              <w:top w:w="128" w:type="dxa"/>
              <w:left w:w="43" w:type="dxa"/>
              <w:bottom w:w="43" w:type="dxa"/>
              <w:right w:w="43" w:type="dxa"/>
            </w:tcMar>
          </w:tcPr>
          <w:p w14:paraId="76857903"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79806764" w14:textId="77777777" w:rsidR="00D60186" w:rsidRPr="00815696" w:rsidRDefault="00D60186" w:rsidP="00815696">
            <w:pPr>
              <w:ind w:right="113"/>
              <w:jc w:val="right"/>
              <w:rPr>
                <w:sz w:val="21"/>
                <w:szCs w:val="21"/>
              </w:rPr>
            </w:pPr>
            <w:r w:rsidRPr="00815696">
              <w:rPr>
                <w:sz w:val="21"/>
                <w:szCs w:val="21"/>
              </w:rPr>
              <w:t>921</w:t>
            </w:r>
          </w:p>
        </w:tc>
        <w:tc>
          <w:tcPr>
            <w:tcW w:w="5600" w:type="dxa"/>
            <w:tcBorders>
              <w:top w:val="nil"/>
              <w:left w:val="nil"/>
              <w:bottom w:val="nil"/>
              <w:right w:val="nil"/>
            </w:tcBorders>
            <w:tcMar>
              <w:top w:w="128" w:type="dxa"/>
              <w:left w:w="43" w:type="dxa"/>
              <w:bottom w:w="43" w:type="dxa"/>
              <w:right w:w="43" w:type="dxa"/>
            </w:tcMar>
          </w:tcPr>
          <w:p w14:paraId="4E0B588B" w14:textId="77777777" w:rsidR="00D60186" w:rsidRPr="00815696" w:rsidRDefault="00D60186" w:rsidP="00225D4D">
            <w:pPr>
              <w:rPr>
                <w:sz w:val="21"/>
                <w:szCs w:val="21"/>
              </w:rPr>
            </w:pPr>
            <w:r w:rsidRPr="00815696">
              <w:rPr>
                <w:sz w:val="21"/>
                <w:szCs w:val="21"/>
              </w:rPr>
              <w:t>Utviding av kjeldeskatt på renter og royalty mv.</w:t>
            </w:r>
          </w:p>
        </w:tc>
        <w:tc>
          <w:tcPr>
            <w:tcW w:w="1560" w:type="dxa"/>
            <w:tcBorders>
              <w:top w:val="nil"/>
              <w:left w:val="nil"/>
              <w:bottom w:val="nil"/>
              <w:right w:val="nil"/>
            </w:tcBorders>
            <w:tcMar>
              <w:top w:w="128" w:type="dxa"/>
              <w:left w:w="43" w:type="dxa"/>
              <w:bottom w:w="43" w:type="dxa"/>
              <w:right w:w="43" w:type="dxa"/>
            </w:tcMar>
            <w:vAlign w:val="bottom"/>
          </w:tcPr>
          <w:p w14:paraId="2450B805" w14:textId="77777777" w:rsidR="00D60186" w:rsidRPr="00815696" w:rsidRDefault="00D60186" w:rsidP="00815696">
            <w:pPr>
              <w:jc w:val="right"/>
              <w:rPr>
                <w:sz w:val="21"/>
                <w:szCs w:val="21"/>
              </w:rPr>
            </w:pPr>
            <w:r w:rsidRPr="00815696">
              <w:rPr>
                <w:sz w:val="21"/>
                <w:szCs w:val="21"/>
              </w:rPr>
              <w:t>Nei</w:t>
            </w:r>
          </w:p>
        </w:tc>
      </w:tr>
      <w:tr w:rsidR="00E76DC8" w:rsidRPr="00225D4D" w14:paraId="28A84B19" w14:textId="77777777">
        <w:trPr>
          <w:trHeight w:val="380"/>
        </w:trPr>
        <w:tc>
          <w:tcPr>
            <w:tcW w:w="1120" w:type="dxa"/>
            <w:tcBorders>
              <w:top w:val="nil"/>
              <w:left w:val="nil"/>
              <w:bottom w:val="nil"/>
              <w:right w:val="nil"/>
            </w:tcBorders>
            <w:tcMar>
              <w:top w:w="128" w:type="dxa"/>
              <w:left w:w="43" w:type="dxa"/>
              <w:bottom w:w="43" w:type="dxa"/>
              <w:right w:w="43" w:type="dxa"/>
            </w:tcMar>
          </w:tcPr>
          <w:p w14:paraId="55084298" w14:textId="77777777" w:rsidR="00D60186" w:rsidRPr="00815696" w:rsidRDefault="00D60186" w:rsidP="00225D4D">
            <w:pPr>
              <w:rPr>
                <w:sz w:val="21"/>
                <w:szCs w:val="21"/>
              </w:rPr>
            </w:pPr>
            <w:r w:rsidRPr="00815696">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38EF9B22" w14:textId="77777777" w:rsidR="00D60186" w:rsidRPr="00815696" w:rsidRDefault="00D60186" w:rsidP="00815696">
            <w:pPr>
              <w:ind w:right="113"/>
              <w:jc w:val="right"/>
              <w:rPr>
                <w:sz w:val="21"/>
                <w:szCs w:val="21"/>
              </w:rPr>
            </w:pPr>
            <w:r w:rsidRPr="00815696">
              <w:rPr>
                <w:sz w:val="21"/>
                <w:szCs w:val="21"/>
              </w:rPr>
              <w:t>922</w:t>
            </w:r>
          </w:p>
        </w:tc>
        <w:tc>
          <w:tcPr>
            <w:tcW w:w="5600" w:type="dxa"/>
            <w:tcBorders>
              <w:top w:val="nil"/>
              <w:left w:val="nil"/>
              <w:bottom w:val="nil"/>
              <w:right w:val="nil"/>
            </w:tcBorders>
            <w:tcMar>
              <w:top w:w="128" w:type="dxa"/>
              <w:left w:w="43" w:type="dxa"/>
              <w:bottom w:w="43" w:type="dxa"/>
              <w:right w:w="43" w:type="dxa"/>
            </w:tcMar>
          </w:tcPr>
          <w:p w14:paraId="5B1F3FFE" w14:textId="77777777" w:rsidR="00D60186" w:rsidRPr="00815696" w:rsidRDefault="00D60186" w:rsidP="00225D4D">
            <w:pPr>
              <w:rPr>
                <w:sz w:val="21"/>
                <w:szCs w:val="21"/>
              </w:rPr>
            </w:pPr>
            <w:r w:rsidRPr="00815696">
              <w:rPr>
                <w:sz w:val="21"/>
                <w:szCs w:val="21"/>
              </w:rPr>
              <w:t xml:space="preserve">Trafikkforsikringsavgift – fritak for lette elektriske </w:t>
            </w:r>
            <w:proofErr w:type="spellStart"/>
            <w:r w:rsidRPr="00815696">
              <w:rPr>
                <w:sz w:val="21"/>
                <w:szCs w:val="21"/>
              </w:rPr>
              <w:t>varebilar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58E6C88A" w14:textId="77777777" w:rsidR="00D60186" w:rsidRPr="00815696" w:rsidRDefault="00D60186" w:rsidP="00815696">
            <w:pPr>
              <w:jc w:val="right"/>
              <w:rPr>
                <w:sz w:val="21"/>
                <w:szCs w:val="21"/>
              </w:rPr>
            </w:pPr>
            <w:r w:rsidRPr="00815696">
              <w:rPr>
                <w:sz w:val="21"/>
                <w:szCs w:val="21"/>
              </w:rPr>
              <w:t>Ja</w:t>
            </w:r>
          </w:p>
        </w:tc>
      </w:tr>
      <w:tr w:rsidR="00E76DC8" w:rsidRPr="00225D4D" w14:paraId="3923D6A8" w14:textId="77777777">
        <w:trPr>
          <w:trHeight w:val="380"/>
        </w:trPr>
        <w:tc>
          <w:tcPr>
            <w:tcW w:w="1120" w:type="dxa"/>
            <w:tcBorders>
              <w:top w:val="nil"/>
              <w:left w:val="nil"/>
              <w:bottom w:val="nil"/>
              <w:right w:val="nil"/>
            </w:tcBorders>
            <w:tcMar>
              <w:top w:w="128" w:type="dxa"/>
              <w:left w:w="43" w:type="dxa"/>
              <w:bottom w:w="43" w:type="dxa"/>
              <w:right w:w="43" w:type="dxa"/>
            </w:tcMar>
          </w:tcPr>
          <w:p w14:paraId="5B55C650" w14:textId="77777777" w:rsidR="00D60186" w:rsidRPr="00815696" w:rsidRDefault="00D60186" w:rsidP="00225D4D">
            <w:pPr>
              <w:rPr>
                <w:sz w:val="21"/>
                <w:szCs w:val="21"/>
              </w:rPr>
            </w:pPr>
            <w:r w:rsidRPr="00815696">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04A5C8CD" w14:textId="77777777" w:rsidR="00D60186" w:rsidRPr="00815696" w:rsidRDefault="00D60186" w:rsidP="00815696">
            <w:pPr>
              <w:ind w:right="113"/>
              <w:jc w:val="right"/>
              <w:rPr>
                <w:sz w:val="21"/>
                <w:szCs w:val="21"/>
              </w:rPr>
            </w:pPr>
            <w:r w:rsidRPr="00815696">
              <w:rPr>
                <w:sz w:val="21"/>
                <w:szCs w:val="21"/>
              </w:rPr>
              <w:t>83</w:t>
            </w:r>
          </w:p>
        </w:tc>
        <w:tc>
          <w:tcPr>
            <w:tcW w:w="5600" w:type="dxa"/>
            <w:tcBorders>
              <w:top w:val="nil"/>
              <w:left w:val="nil"/>
              <w:bottom w:val="nil"/>
              <w:right w:val="nil"/>
            </w:tcBorders>
            <w:tcMar>
              <w:top w:w="128" w:type="dxa"/>
              <w:left w:w="43" w:type="dxa"/>
              <w:bottom w:w="43" w:type="dxa"/>
              <w:right w:w="43" w:type="dxa"/>
            </w:tcMar>
          </w:tcPr>
          <w:p w14:paraId="67151CDD" w14:textId="77777777" w:rsidR="00D60186" w:rsidRPr="00815696" w:rsidRDefault="00D60186" w:rsidP="00225D4D">
            <w:pPr>
              <w:rPr>
                <w:sz w:val="21"/>
                <w:szCs w:val="21"/>
              </w:rPr>
            </w:pPr>
            <w:r w:rsidRPr="00815696">
              <w:rPr>
                <w:sz w:val="21"/>
                <w:szCs w:val="21"/>
              </w:rPr>
              <w:t>Turistskatt</w:t>
            </w:r>
          </w:p>
        </w:tc>
        <w:tc>
          <w:tcPr>
            <w:tcW w:w="1560" w:type="dxa"/>
            <w:tcBorders>
              <w:top w:val="nil"/>
              <w:left w:val="nil"/>
              <w:bottom w:val="nil"/>
              <w:right w:val="nil"/>
            </w:tcBorders>
            <w:tcMar>
              <w:top w:w="128" w:type="dxa"/>
              <w:left w:w="43" w:type="dxa"/>
              <w:bottom w:w="43" w:type="dxa"/>
              <w:right w:w="43" w:type="dxa"/>
            </w:tcMar>
            <w:vAlign w:val="bottom"/>
          </w:tcPr>
          <w:p w14:paraId="30013390" w14:textId="77777777" w:rsidR="00D60186" w:rsidRPr="00815696" w:rsidRDefault="00D60186" w:rsidP="00815696">
            <w:pPr>
              <w:jc w:val="right"/>
              <w:rPr>
                <w:sz w:val="21"/>
                <w:szCs w:val="21"/>
              </w:rPr>
            </w:pPr>
            <w:r w:rsidRPr="00815696">
              <w:rPr>
                <w:sz w:val="21"/>
                <w:szCs w:val="21"/>
              </w:rPr>
              <w:t>Ja</w:t>
            </w:r>
          </w:p>
        </w:tc>
      </w:tr>
      <w:tr w:rsidR="00E76DC8" w:rsidRPr="00225D4D" w14:paraId="189C2F31" w14:textId="77777777">
        <w:trPr>
          <w:trHeight w:val="380"/>
        </w:trPr>
        <w:tc>
          <w:tcPr>
            <w:tcW w:w="1120" w:type="dxa"/>
            <w:tcBorders>
              <w:top w:val="nil"/>
              <w:left w:val="nil"/>
              <w:bottom w:val="nil"/>
              <w:right w:val="nil"/>
            </w:tcBorders>
            <w:tcMar>
              <w:top w:w="128" w:type="dxa"/>
              <w:left w:w="43" w:type="dxa"/>
              <w:bottom w:w="43" w:type="dxa"/>
              <w:right w:w="43" w:type="dxa"/>
            </w:tcMar>
          </w:tcPr>
          <w:p w14:paraId="2EEEBF7A" w14:textId="77777777" w:rsidR="00D60186" w:rsidRPr="00815696" w:rsidRDefault="00D60186" w:rsidP="00225D4D">
            <w:pPr>
              <w:rPr>
                <w:sz w:val="21"/>
                <w:szCs w:val="21"/>
              </w:rPr>
            </w:pPr>
            <w:r w:rsidRPr="00815696">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183479FF" w14:textId="77777777" w:rsidR="00D60186" w:rsidRPr="00815696" w:rsidRDefault="00D60186" w:rsidP="00815696">
            <w:pPr>
              <w:ind w:right="113"/>
              <w:jc w:val="right"/>
              <w:rPr>
                <w:sz w:val="21"/>
                <w:szCs w:val="21"/>
              </w:rPr>
            </w:pPr>
            <w:r w:rsidRPr="00815696">
              <w:rPr>
                <w:sz w:val="21"/>
                <w:szCs w:val="21"/>
              </w:rPr>
              <w:t>91</w:t>
            </w:r>
          </w:p>
        </w:tc>
        <w:tc>
          <w:tcPr>
            <w:tcW w:w="5600" w:type="dxa"/>
            <w:tcBorders>
              <w:top w:val="nil"/>
              <w:left w:val="nil"/>
              <w:bottom w:val="nil"/>
              <w:right w:val="nil"/>
            </w:tcBorders>
            <w:tcMar>
              <w:top w:w="128" w:type="dxa"/>
              <w:left w:w="43" w:type="dxa"/>
              <w:bottom w:w="43" w:type="dxa"/>
              <w:right w:w="43" w:type="dxa"/>
            </w:tcMar>
          </w:tcPr>
          <w:p w14:paraId="3038FAD6" w14:textId="77777777" w:rsidR="00D60186" w:rsidRPr="00815696" w:rsidRDefault="00D60186" w:rsidP="00225D4D">
            <w:pPr>
              <w:rPr>
                <w:sz w:val="21"/>
                <w:szCs w:val="21"/>
              </w:rPr>
            </w:pPr>
            <w:proofErr w:type="spellStart"/>
            <w:r w:rsidRPr="00815696">
              <w:rPr>
                <w:sz w:val="21"/>
                <w:szCs w:val="21"/>
              </w:rPr>
              <w:t>Eingongsavgift</w:t>
            </w:r>
            <w:proofErr w:type="spellEnd"/>
            <w:r w:rsidRPr="00815696">
              <w:rPr>
                <w:sz w:val="21"/>
                <w:szCs w:val="21"/>
              </w:rPr>
              <w:t xml:space="preserve"> på tunge </w:t>
            </w:r>
            <w:proofErr w:type="spellStart"/>
            <w:r w:rsidRPr="00815696">
              <w:rPr>
                <w:sz w:val="21"/>
                <w:szCs w:val="21"/>
              </w:rPr>
              <w:t>køyretøy</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14FBBD5C" w14:textId="77777777" w:rsidR="00D60186" w:rsidRPr="00815696" w:rsidRDefault="00D60186" w:rsidP="00815696">
            <w:pPr>
              <w:jc w:val="right"/>
              <w:rPr>
                <w:sz w:val="21"/>
                <w:szCs w:val="21"/>
              </w:rPr>
            </w:pPr>
            <w:r w:rsidRPr="00815696">
              <w:rPr>
                <w:sz w:val="21"/>
                <w:szCs w:val="21"/>
              </w:rPr>
              <w:t>Nei</w:t>
            </w:r>
          </w:p>
        </w:tc>
      </w:tr>
      <w:tr w:rsidR="00E76DC8" w:rsidRPr="00225D4D" w14:paraId="0B9C5B69" w14:textId="77777777">
        <w:trPr>
          <w:trHeight w:val="640"/>
        </w:trPr>
        <w:tc>
          <w:tcPr>
            <w:tcW w:w="1120" w:type="dxa"/>
            <w:tcBorders>
              <w:top w:val="nil"/>
              <w:left w:val="nil"/>
              <w:bottom w:val="nil"/>
              <w:right w:val="nil"/>
            </w:tcBorders>
            <w:tcMar>
              <w:top w:w="128" w:type="dxa"/>
              <w:left w:w="43" w:type="dxa"/>
              <w:bottom w:w="43" w:type="dxa"/>
              <w:right w:w="43" w:type="dxa"/>
            </w:tcMar>
          </w:tcPr>
          <w:p w14:paraId="3ACB2A31" w14:textId="77777777" w:rsidR="00D60186" w:rsidRPr="00815696" w:rsidRDefault="00D60186" w:rsidP="00225D4D">
            <w:pPr>
              <w:rPr>
                <w:sz w:val="21"/>
                <w:szCs w:val="21"/>
              </w:rPr>
            </w:pPr>
            <w:r w:rsidRPr="00815696">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1F1E66E8" w14:textId="77777777" w:rsidR="00D60186" w:rsidRPr="00815696" w:rsidRDefault="00D60186" w:rsidP="00815696">
            <w:pPr>
              <w:ind w:right="113"/>
              <w:jc w:val="right"/>
              <w:rPr>
                <w:sz w:val="21"/>
                <w:szCs w:val="21"/>
              </w:rPr>
            </w:pPr>
            <w:r w:rsidRPr="00815696">
              <w:rPr>
                <w:sz w:val="21"/>
                <w:szCs w:val="21"/>
              </w:rPr>
              <w:t>857</w:t>
            </w:r>
          </w:p>
        </w:tc>
        <w:tc>
          <w:tcPr>
            <w:tcW w:w="5600" w:type="dxa"/>
            <w:tcBorders>
              <w:top w:val="nil"/>
              <w:left w:val="nil"/>
              <w:bottom w:val="nil"/>
              <w:right w:val="nil"/>
            </w:tcBorders>
            <w:tcMar>
              <w:top w:w="128" w:type="dxa"/>
              <w:left w:w="43" w:type="dxa"/>
              <w:bottom w:w="43" w:type="dxa"/>
              <w:right w:w="43" w:type="dxa"/>
            </w:tcMar>
          </w:tcPr>
          <w:p w14:paraId="6C5E823C" w14:textId="77777777" w:rsidR="00D60186" w:rsidRPr="00815696" w:rsidRDefault="00D60186" w:rsidP="00225D4D">
            <w:pPr>
              <w:rPr>
                <w:sz w:val="21"/>
                <w:szCs w:val="21"/>
              </w:rPr>
            </w:pPr>
            <w:proofErr w:type="spellStart"/>
            <w:r w:rsidRPr="00815696">
              <w:rPr>
                <w:sz w:val="21"/>
                <w:szCs w:val="21"/>
              </w:rPr>
              <w:t>Representantordningsutvalet</w:t>
            </w:r>
            <w:proofErr w:type="spellEnd"/>
            <w:r w:rsidRPr="00815696">
              <w:rPr>
                <w:sz w:val="21"/>
                <w:szCs w:val="21"/>
              </w:rPr>
              <w:t xml:space="preserve">, folkeregisterlova, skattelova, Stortingets </w:t>
            </w:r>
            <w:proofErr w:type="spellStart"/>
            <w:r w:rsidRPr="00815696">
              <w:rPr>
                <w:sz w:val="21"/>
                <w:szCs w:val="21"/>
              </w:rPr>
              <w:t>pendlarbustadordning</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00B71B3B" w14:textId="77777777" w:rsidR="00D60186" w:rsidRPr="00815696" w:rsidRDefault="00D60186" w:rsidP="00815696">
            <w:pPr>
              <w:jc w:val="right"/>
              <w:rPr>
                <w:sz w:val="21"/>
                <w:szCs w:val="21"/>
              </w:rPr>
            </w:pPr>
            <w:r w:rsidRPr="00815696">
              <w:rPr>
                <w:sz w:val="21"/>
                <w:szCs w:val="21"/>
              </w:rPr>
              <w:t>Ja</w:t>
            </w:r>
          </w:p>
        </w:tc>
      </w:tr>
      <w:tr w:rsidR="00E76DC8" w:rsidRPr="00225D4D" w14:paraId="16BF9EF8" w14:textId="77777777">
        <w:trPr>
          <w:trHeight w:val="640"/>
        </w:trPr>
        <w:tc>
          <w:tcPr>
            <w:tcW w:w="1120" w:type="dxa"/>
            <w:tcBorders>
              <w:top w:val="nil"/>
              <w:left w:val="nil"/>
              <w:bottom w:val="nil"/>
              <w:right w:val="nil"/>
            </w:tcBorders>
            <w:tcMar>
              <w:top w:w="128" w:type="dxa"/>
              <w:left w:w="43" w:type="dxa"/>
              <w:bottom w:w="43" w:type="dxa"/>
              <w:right w:w="43" w:type="dxa"/>
            </w:tcMar>
          </w:tcPr>
          <w:p w14:paraId="086B8EBC" w14:textId="77777777" w:rsidR="00D60186" w:rsidRPr="00815696" w:rsidRDefault="00D60186" w:rsidP="00225D4D">
            <w:pPr>
              <w:rPr>
                <w:sz w:val="21"/>
                <w:szCs w:val="21"/>
              </w:rPr>
            </w:pPr>
            <w:r w:rsidRPr="00815696">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214F7B22" w14:textId="77777777" w:rsidR="00D60186" w:rsidRPr="00815696" w:rsidRDefault="00D60186" w:rsidP="00815696">
            <w:pPr>
              <w:ind w:right="113"/>
              <w:jc w:val="right"/>
              <w:rPr>
                <w:sz w:val="21"/>
                <w:szCs w:val="21"/>
              </w:rPr>
            </w:pPr>
            <w:r w:rsidRPr="00815696">
              <w:rPr>
                <w:sz w:val="21"/>
                <w:szCs w:val="21"/>
              </w:rPr>
              <w:t>939</w:t>
            </w:r>
          </w:p>
        </w:tc>
        <w:tc>
          <w:tcPr>
            <w:tcW w:w="5600" w:type="dxa"/>
            <w:tcBorders>
              <w:top w:val="nil"/>
              <w:left w:val="nil"/>
              <w:bottom w:val="nil"/>
              <w:right w:val="nil"/>
            </w:tcBorders>
            <w:tcMar>
              <w:top w:w="128" w:type="dxa"/>
              <w:left w:w="43" w:type="dxa"/>
              <w:bottom w:w="43" w:type="dxa"/>
              <w:right w:w="43" w:type="dxa"/>
            </w:tcMar>
          </w:tcPr>
          <w:p w14:paraId="0133855C" w14:textId="77777777" w:rsidR="00D60186" w:rsidRPr="00815696" w:rsidRDefault="00D60186" w:rsidP="00225D4D">
            <w:pPr>
              <w:rPr>
                <w:sz w:val="21"/>
                <w:szCs w:val="21"/>
              </w:rPr>
            </w:pPr>
            <w:r w:rsidRPr="00815696">
              <w:rPr>
                <w:sz w:val="21"/>
                <w:szCs w:val="21"/>
              </w:rPr>
              <w:t xml:space="preserve">Differensiert </w:t>
            </w:r>
            <w:proofErr w:type="spellStart"/>
            <w:r w:rsidRPr="00815696">
              <w:rPr>
                <w:sz w:val="21"/>
                <w:szCs w:val="21"/>
              </w:rPr>
              <w:t>verdsetjing</w:t>
            </w:r>
            <w:proofErr w:type="spellEnd"/>
            <w:r w:rsidRPr="00815696">
              <w:rPr>
                <w:sz w:val="21"/>
                <w:szCs w:val="21"/>
              </w:rPr>
              <w:t xml:space="preserve"> av </w:t>
            </w:r>
            <w:proofErr w:type="spellStart"/>
            <w:r w:rsidRPr="00815696">
              <w:rPr>
                <w:sz w:val="21"/>
                <w:szCs w:val="21"/>
              </w:rPr>
              <w:t>ikkje</w:t>
            </w:r>
            <w:proofErr w:type="spellEnd"/>
            <w:r w:rsidRPr="00815696">
              <w:rPr>
                <w:sz w:val="21"/>
                <w:szCs w:val="21"/>
              </w:rPr>
              <w:t xml:space="preserve">-børsnoterte </w:t>
            </w:r>
            <w:proofErr w:type="spellStart"/>
            <w:r w:rsidRPr="00815696">
              <w:rPr>
                <w:sz w:val="21"/>
                <w:szCs w:val="21"/>
              </w:rPr>
              <w:t>aksjar</w:t>
            </w:r>
            <w:proofErr w:type="spellEnd"/>
            <w:r w:rsidRPr="00815696">
              <w:rPr>
                <w:sz w:val="21"/>
                <w:szCs w:val="21"/>
              </w:rPr>
              <w:t xml:space="preserve"> </w:t>
            </w:r>
            <w:r w:rsidRPr="00815696">
              <w:rPr>
                <w:sz w:val="21"/>
                <w:szCs w:val="21"/>
              </w:rPr>
              <w:br/>
              <w:t>i formuesskatten</w:t>
            </w:r>
          </w:p>
        </w:tc>
        <w:tc>
          <w:tcPr>
            <w:tcW w:w="1560" w:type="dxa"/>
            <w:tcBorders>
              <w:top w:val="nil"/>
              <w:left w:val="nil"/>
              <w:bottom w:val="nil"/>
              <w:right w:val="nil"/>
            </w:tcBorders>
            <w:tcMar>
              <w:top w:w="128" w:type="dxa"/>
              <w:left w:w="43" w:type="dxa"/>
              <w:bottom w:w="43" w:type="dxa"/>
              <w:right w:w="43" w:type="dxa"/>
            </w:tcMar>
            <w:vAlign w:val="bottom"/>
          </w:tcPr>
          <w:p w14:paraId="308FC685" w14:textId="77777777" w:rsidR="00D60186" w:rsidRPr="00815696" w:rsidRDefault="00D60186" w:rsidP="00815696">
            <w:pPr>
              <w:jc w:val="right"/>
              <w:rPr>
                <w:sz w:val="21"/>
                <w:szCs w:val="21"/>
              </w:rPr>
            </w:pPr>
            <w:r w:rsidRPr="00815696">
              <w:rPr>
                <w:sz w:val="21"/>
                <w:szCs w:val="21"/>
              </w:rPr>
              <w:t>Ja</w:t>
            </w:r>
          </w:p>
        </w:tc>
      </w:tr>
      <w:tr w:rsidR="00E76DC8" w:rsidRPr="00225D4D" w14:paraId="1F9C37B6" w14:textId="77777777">
        <w:trPr>
          <w:trHeight w:val="380"/>
        </w:trPr>
        <w:tc>
          <w:tcPr>
            <w:tcW w:w="1120" w:type="dxa"/>
            <w:tcBorders>
              <w:top w:val="nil"/>
              <w:left w:val="nil"/>
              <w:bottom w:val="nil"/>
              <w:right w:val="nil"/>
            </w:tcBorders>
            <w:tcMar>
              <w:top w:w="128" w:type="dxa"/>
              <w:left w:w="43" w:type="dxa"/>
              <w:bottom w:w="43" w:type="dxa"/>
              <w:right w:w="43" w:type="dxa"/>
            </w:tcMar>
          </w:tcPr>
          <w:p w14:paraId="504251BB" w14:textId="77777777" w:rsidR="00D60186" w:rsidRPr="00815696" w:rsidRDefault="00D60186" w:rsidP="00225D4D">
            <w:pPr>
              <w:rPr>
                <w:sz w:val="21"/>
                <w:szCs w:val="21"/>
              </w:rPr>
            </w:pPr>
            <w:r w:rsidRPr="00815696">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1B465145" w14:textId="77777777" w:rsidR="00D60186" w:rsidRPr="00815696" w:rsidRDefault="00D60186" w:rsidP="00815696">
            <w:pPr>
              <w:ind w:right="113"/>
              <w:jc w:val="right"/>
              <w:rPr>
                <w:sz w:val="21"/>
                <w:szCs w:val="21"/>
              </w:rPr>
            </w:pPr>
            <w:r w:rsidRPr="00815696">
              <w:rPr>
                <w:sz w:val="21"/>
                <w:szCs w:val="21"/>
              </w:rPr>
              <w:t>35-31</w:t>
            </w:r>
          </w:p>
        </w:tc>
        <w:tc>
          <w:tcPr>
            <w:tcW w:w="5600" w:type="dxa"/>
            <w:tcBorders>
              <w:top w:val="nil"/>
              <w:left w:val="nil"/>
              <w:bottom w:val="nil"/>
              <w:right w:val="nil"/>
            </w:tcBorders>
            <w:tcMar>
              <w:top w:w="128" w:type="dxa"/>
              <w:left w:w="43" w:type="dxa"/>
              <w:bottom w:w="43" w:type="dxa"/>
              <w:right w:w="43" w:type="dxa"/>
            </w:tcMar>
          </w:tcPr>
          <w:p w14:paraId="73A891D7" w14:textId="77777777" w:rsidR="00D60186" w:rsidRPr="00815696" w:rsidRDefault="00D60186" w:rsidP="00225D4D">
            <w:pPr>
              <w:rPr>
                <w:sz w:val="21"/>
                <w:szCs w:val="21"/>
              </w:rPr>
            </w:pPr>
            <w:r w:rsidRPr="00815696">
              <w:rPr>
                <w:sz w:val="21"/>
                <w:szCs w:val="21"/>
              </w:rPr>
              <w:t>Evaluering av NOKUS-</w:t>
            </w:r>
            <w:proofErr w:type="spellStart"/>
            <w:r w:rsidRPr="00815696">
              <w:rPr>
                <w:sz w:val="21"/>
                <w:szCs w:val="21"/>
              </w:rPr>
              <w:t>reglane</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4EFD3C7" w14:textId="77777777" w:rsidR="00D60186" w:rsidRPr="00815696" w:rsidRDefault="00D60186" w:rsidP="00815696">
            <w:pPr>
              <w:jc w:val="right"/>
              <w:rPr>
                <w:sz w:val="21"/>
                <w:szCs w:val="21"/>
              </w:rPr>
            </w:pPr>
            <w:r w:rsidRPr="00815696">
              <w:rPr>
                <w:sz w:val="21"/>
                <w:szCs w:val="21"/>
              </w:rPr>
              <w:t>Nei</w:t>
            </w:r>
          </w:p>
        </w:tc>
      </w:tr>
      <w:tr w:rsidR="00E76DC8" w:rsidRPr="00225D4D" w14:paraId="0F0A3BCD" w14:textId="77777777">
        <w:trPr>
          <w:trHeight w:val="380"/>
        </w:trPr>
        <w:tc>
          <w:tcPr>
            <w:tcW w:w="1120" w:type="dxa"/>
            <w:tcBorders>
              <w:top w:val="nil"/>
              <w:left w:val="nil"/>
              <w:bottom w:val="nil"/>
              <w:right w:val="nil"/>
            </w:tcBorders>
            <w:tcMar>
              <w:top w:w="128" w:type="dxa"/>
              <w:left w:w="43" w:type="dxa"/>
              <w:bottom w:w="43" w:type="dxa"/>
              <w:right w:w="43" w:type="dxa"/>
            </w:tcMar>
          </w:tcPr>
          <w:p w14:paraId="4712005B" w14:textId="77777777" w:rsidR="00D60186" w:rsidRPr="00815696" w:rsidRDefault="00D60186" w:rsidP="00225D4D">
            <w:pPr>
              <w:rPr>
                <w:sz w:val="21"/>
                <w:szCs w:val="21"/>
              </w:rPr>
            </w:pPr>
            <w:r w:rsidRPr="00815696">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18A48897" w14:textId="77777777" w:rsidR="00D60186" w:rsidRPr="00815696" w:rsidRDefault="00D60186" w:rsidP="00815696">
            <w:pPr>
              <w:ind w:right="113"/>
              <w:jc w:val="right"/>
              <w:rPr>
                <w:sz w:val="21"/>
                <w:szCs w:val="21"/>
              </w:rPr>
            </w:pPr>
            <w:r w:rsidRPr="00815696">
              <w:rPr>
                <w:sz w:val="21"/>
                <w:szCs w:val="21"/>
              </w:rPr>
              <w:t>35-34</w:t>
            </w:r>
          </w:p>
        </w:tc>
        <w:tc>
          <w:tcPr>
            <w:tcW w:w="5600" w:type="dxa"/>
            <w:tcBorders>
              <w:top w:val="nil"/>
              <w:left w:val="nil"/>
              <w:bottom w:val="nil"/>
              <w:right w:val="nil"/>
            </w:tcBorders>
            <w:tcMar>
              <w:top w:w="128" w:type="dxa"/>
              <w:left w:w="43" w:type="dxa"/>
              <w:bottom w:w="43" w:type="dxa"/>
              <w:right w:w="43" w:type="dxa"/>
            </w:tcMar>
          </w:tcPr>
          <w:p w14:paraId="7B18C10C" w14:textId="77777777" w:rsidR="00D60186" w:rsidRPr="00815696" w:rsidRDefault="00D60186" w:rsidP="00225D4D">
            <w:pPr>
              <w:rPr>
                <w:sz w:val="21"/>
                <w:szCs w:val="21"/>
              </w:rPr>
            </w:pPr>
            <w:proofErr w:type="spellStart"/>
            <w:r w:rsidRPr="00815696">
              <w:rPr>
                <w:sz w:val="21"/>
                <w:szCs w:val="21"/>
              </w:rPr>
              <w:t>Verdsetjingsmetode</w:t>
            </w:r>
            <w:proofErr w:type="spellEnd"/>
            <w:r w:rsidRPr="00815696">
              <w:rPr>
                <w:sz w:val="21"/>
                <w:szCs w:val="21"/>
              </w:rPr>
              <w:t xml:space="preserve"> for </w:t>
            </w:r>
            <w:proofErr w:type="spellStart"/>
            <w:r w:rsidRPr="00815696">
              <w:rPr>
                <w:sz w:val="21"/>
                <w:szCs w:val="21"/>
              </w:rPr>
              <w:t>bustader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7FB2F266" w14:textId="77777777" w:rsidR="00D60186" w:rsidRPr="00815696" w:rsidRDefault="00D60186" w:rsidP="00815696">
            <w:pPr>
              <w:jc w:val="right"/>
              <w:rPr>
                <w:sz w:val="21"/>
                <w:szCs w:val="21"/>
              </w:rPr>
            </w:pPr>
            <w:r w:rsidRPr="00815696">
              <w:rPr>
                <w:sz w:val="21"/>
                <w:szCs w:val="21"/>
              </w:rPr>
              <w:t>Ja</w:t>
            </w:r>
          </w:p>
        </w:tc>
      </w:tr>
      <w:tr w:rsidR="00E76DC8" w:rsidRPr="00225D4D" w14:paraId="247883D0" w14:textId="77777777">
        <w:trPr>
          <w:trHeight w:val="640"/>
        </w:trPr>
        <w:tc>
          <w:tcPr>
            <w:tcW w:w="1120" w:type="dxa"/>
            <w:tcBorders>
              <w:top w:val="nil"/>
              <w:left w:val="nil"/>
              <w:bottom w:val="nil"/>
              <w:right w:val="nil"/>
            </w:tcBorders>
            <w:tcMar>
              <w:top w:w="128" w:type="dxa"/>
              <w:left w:w="43" w:type="dxa"/>
              <w:bottom w:w="43" w:type="dxa"/>
              <w:right w:w="43" w:type="dxa"/>
            </w:tcMar>
          </w:tcPr>
          <w:p w14:paraId="16A4EDFC" w14:textId="77777777" w:rsidR="00D60186" w:rsidRPr="00815696" w:rsidRDefault="00D60186" w:rsidP="00225D4D">
            <w:pPr>
              <w:rPr>
                <w:sz w:val="21"/>
                <w:szCs w:val="21"/>
              </w:rPr>
            </w:pPr>
            <w:r w:rsidRPr="00815696">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504A8D1A" w14:textId="77777777" w:rsidR="00D60186" w:rsidRPr="00815696" w:rsidRDefault="00D60186" w:rsidP="00815696">
            <w:pPr>
              <w:ind w:right="113"/>
              <w:jc w:val="right"/>
              <w:rPr>
                <w:sz w:val="21"/>
                <w:szCs w:val="21"/>
              </w:rPr>
            </w:pPr>
            <w:r w:rsidRPr="00815696">
              <w:rPr>
                <w:sz w:val="21"/>
                <w:szCs w:val="21"/>
              </w:rPr>
              <w:t>35-36</w:t>
            </w:r>
          </w:p>
        </w:tc>
        <w:tc>
          <w:tcPr>
            <w:tcW w:w="5600" w:type="dxa"/>
            <w:tcBorders>
              <w:top w:val="nil"/>
              <w:left w:val="nil"/>
              <w:bottom w:val="nil"/>
              <w:right w:val="nil"/>
            </w:tcBorders>
            <w:tcMar>
              <w:top w:w="128" w:type="dxa"/>
              <w:left w:w="43" w:type="dxa"/>
              <w:bottom w:w="43" w:type="dxa"/>
              <w:right w:w="43" w:type="dxa"/>
            </w:tcMar>
          </w:tcPr>
          <w:p w14:paraId="5713ECE5" w14:textId="77777777" w:rsidR="00D60186" w:rsidRPr="00815696" w:rsidRDefault="00D60186" w:rsidP="00225D4D">
            <w:pPr>
              <w:rPr>
                <w:sz w:val="21"/>
                <w:szCs w:val="21"/>
              </w:rPr>
            </w:pPr>
            <w:r w:rsidRPr="00815696">
              <w:rPr>
                <w:sz w:val="21"/>
                <w:szCs w:val="21"/>
              </w:rPr>
              <w:t xml:space="preserve">Utvida land-for-land-rapportering (LLR) etter </w:t>
            </w:r>
            <w:proofErr w:type="spellStart"/>
            <w:r w:rsidRPr="00815696">
              <w:rPr>
                <w:sz w:val="21"/>
                <w:szCs w:val="21"/>
              </w:rPr>
              <w:t>rekneskapslova</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3273EDDA" w14:textId="77777777" w:rsidR="00D60186" w:rsidRPr="00815696" w:rsidRDefault="00D60186" w:rsidP="00815696">
            <w:pPr>
              <w:jc w:val="right"/>
              <w:rPr>
                <w:sz w:val="21"/>
                <w:szCs w:val="21"/>
              </w:rPr>
            </w:pPr>
            <w:r w:rsidRPr="00815696">
              <w:rPr>
                <w:sz w:val="21"/>
                <w:szCs w:val="21"/>
              </w:rPr>
              <w:t>Nei</w:t>
            </w:r>
          </w:p>
        </w:tc>
      </w:tr>
      <w:tr w:rsidR="00E76DC8" w:rsidRPr="00225D4D" w14:paraId="6C636628" w14:textId="77777777">
        <w:trPr>
          <w:trHeight w:val="640"/>
        </w:trPr>
        <w:tc>
          <w:tcPr>
            <w:tcW w:w="1120" w:type="dxa"/>
            <w:tcBorders>
              <w:top w:val="nil"/>
              <w:left w:val="nil"/>
              <w:bottom w:val="nil"/>
              <w:right w:val="nil"/>
            </w:tcBorders>
            <w:tcMar>
              <w:top w:w="128" w:type="dxa"/>
              <w:left w:w="43" w:type="dxa"/>
              <w:bottom w:w="43" w:type="dxa"/>
              <w:right w:w="43" w:type="dxa"/>
            </w:tcMar>
          </w:tcPr>
          <w:p w14:paraId="3E657E35" w14:textId="77777777" w:rsidR="00D60186" w:rsidRPr="00815696" w:rsidRDefault="00D60186" w:rsidP="00225D4D">
            <w:pPr>
              <w:rPr>
                <w:sz w:val="21"/>
                <w:szCs w:val="21"/>
              </w:rPr>
            </w:pPr>
            <w:r w:rsidRPr="00815696">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56A78135" w14:textId="77777777" w:rsidR="00D60186" w:rsidRPr="00815696" w:rsidRDefault="00D60186" w:rsidP="00815696">
            <w:pPr>
              <w:ind w:right="113"/>
              <w:jc w:val="right"/>
              <w:rPr>
                <w:sz w:val="21"/>
                <w:szCs w:val="21"/>
              </w:rPr>
            </w:pPr>
            <w:r w:rsidRPr="00815696">
              <w:rPr>
                <w:sz w:val="21"/>
                <w:szCs w:val="21"/>
              </w:rPr>
              <w:t>782</w:t>
            </w:r>
          </w:p>
        </w:tc>
        <w:tc>
          <w:tcPr>
            <w:tcW w:w="5600" w:type="dxa"/>
            <w:tcBorders>
              <w:top w:val="nil"/>
              <w:left w:val="nil"/>
              <w:bottom w:val="nil"/>
              <w:right w:val="nil"/>
            </w:tcBorders>
            <w:tcMar>
              <w:top w:w="128" w:type="dxa"/>
              <w:left w:w="43" w:type="dxa"/>
              <w:bottom w:w="43" w:type="dxa"/>
              <w:right w:w="43" w:type="dxa"/>
            </w:tcMar>
          </w:tcPr>
          <w:p w14:paraId="7314B2CE" w14:textId="5F776D7A" w:rsidR="00D60186" w:rsidRPr="00815696" w:rsidRDefault="00D60186" w:rsidP="00225D4D">
            <w:pPr>
              <w:rPr>
                <w:sz w:val="21"/>
                <w:szCs w:val="21"/>
              </w:rPr>
            </w:pPr>
            <w:r w:rsidRPr="00815696">
              <w:rPr>
                <w:sz w:val="21"/>
                <w:szCs w:val="21"/>
              </w:rPr>
              <w:t xml:space="preserve">Vurdere kven som bør </w:t>
            </w:r>
            <w:proofErr w:type="spellStart"/>
            <w:r w:rsidRPr="00815696">
              <w:rPr>
                <w:sz w:val="21"/>
                <w:szCs w:val="21"/>
              </w:rPr>
              <w:t>vere</w:t>
            </w:r>
            <w:proofErr w:type="spellEnd"/>
            <w:r w:rsidRPr="00815696">
              <w:rPr>
                <w:sz w:val="21"/>
                <w:szCs w:val="21"/>
              </w:rPr>
              <w:t xml:space="preserve"> utelukka </w:t>
            </w:r>
            <w:proofErr w:type="spellStart"/>
            <w:r w:rsidRPr="00815696">
              <w:rPr>
                <w:sz w:val="21"/>
                <w:szCs w:val="21"/>
              </w:rPr>
              <w:t>frå</w:t>
            </w:r>
            <w:proofErr w:type="spellEnd"/>
            <w:r w:rsidRPr="00815696">
              <w:rPr>
                <w:sz w:val="21"/>
                <w:szCs w:val="21"/>
              </w:rPr>
              <w:t xml:space="preserve"> å </w:t>
            </w:r>
            <w:proofErr w:type="spellStart"/>
            <w:r w:rsidRPr="00815696">
              <w:rPr>
                <w:sz w:val="21"/>
                <w:szCs w:val="21"/>
              </w:rPr>
              <w:t>sitje</w:t>
            </w:r>
            <w:proofErr w:type="spellEnd"/>
            <w:r w:rsidRPr="00815696">
              <w:rPr>
                <w:sz w:val="21"/>
                <w:szCs w:val="21"/>
              </w:rPr>
              <w:t xml:space="preserve"> i </w:t>
            </w:r>
            <w:proofErr w:type="spellStart"/>
            <w:r w:rsidRPr="00815696">
              <w:rPr>
                <w:sz w:val="21"/>
                <w:szCs w:val="21"/>
              </w:rPr>
              <w:t>Noregs</w:t>
            </w:r>
            <w:proofErr w:type="spellEnd"/>
            <w:r w:rsidRPr="00815696">
              <w:rPr>
                <w:sz w:val="21"/>
                <w:szCs w:val="21"/>
              </w:rPr>
              <w:t xml:space="preserve"> Banks </w:t>
            </w:r>
            <w:proofErr w:type="spellStart"/>
            <w:r w:rsidRPr="00815696">
              <w:rPr>
                <w:sz w:val="21"/>
                <w:szCs w:val="21"/>
              </w:rPr>
              <w:t>styrande</w:t>
            </w:r>
            <w:proofErr w:type="spellEnd"/>
            <w:r w:rsidRPr="00815696">
              <w:rPr>
                <w:sz w:val="21"/>
                <w:szCs w:val="21"/>
              </w:rPr>
              <w:t xml:space="preserve"> organ</w:t>
            </w:r>
          </w:p>
        </w:tc>
        <w:tc>
          <w:tcPr>
            <w:tcW w:w="1560" w:type="dxa"/>
            <w:tcBorders>
              <w:top w:val="nil"/>
              <w:left w:val="nil"/>
              <w:bottom w:val="nil"/>
              <w:right w:val="nil"/>
            </w:tcBorders>
            <w:tcMar>
              <w:top w:w="128" w:type="dxa"/>
              <w:left w:w="43" w:type="dxa"/>
              <w:bottom w:w="43" w:type="dxa"/>
              <w:right w:w="43" w:type="dxa"/>
            </w:tcMar>
            <w:vAlign w:val="bottom"/>
          </w:tcPr>
          <w:p w14:paraId="7C1C7FE5" w14:textId="77777777" w:rsidR="00D60186" w:rsidRPr="00815696" w:rsidRDefault="00D60186" w:rsidP="00815696">
            <w:pPr>
              <w:jc w:val="right"/>
              <w:rPr>
                <w:sz w:val="21"/>
                <w:szCs w:val="21"/>
              </w:rPr>
            </w:pPr>
            <w:r w:rsidRPr="00815696">
              <w:rPr>
                <w:sz w:val="21"/>
                <w:szCs w:val="21"/>
              </w:rPr>
              <w:t>Nei</w:t>
            </w:r>
          </w:p>
        </w:tc>
      </w:tr>
      <w:tr w:rsidR="00E76DC8" w:rsidRPr="00225D4D" w14:paraId="4E9661DB" w14:textId="77777777">
        <w:trPr>
          <w:trHeight w:val="640"/>
        </w:trPr>
        <w:tc>
          <w:tcPr>
            <w:tcW w:w="1120" w:type="dxa"/>
            <w:tcBorders>
              <w:top w:val="nil"/>
              <w:left w:val="nil"/>
              <w:bottom w:val="nil"/>
              <w:right w:val="nil"/>
            </w:tcBorders>
            <w:tcMar>
              <w:top w:w="128" w:type="dxa"/>
              <w:left w:w="43" w:type="dxa"/>
              <w:bottom w:w="43" w:type="dxa"/>
              <w:right w:w="43" w:type="dxa"/>
            </w:tcMar>
          </w:tcPr>
          <w:p w14:paraId="3C52F103" w14:textId="77777777" w:rsidR="00D60186" w:rsidRPr="00815696" w:rsidRDefault="00D60186" w:rsidP="00225D4D">
            <w:pPr>
              <w:rPr>
                <w:sz w:val="21"/>
                <w:szCs w:val="21"/>
              </w:rPr>
            </w:pPr>
            <w:r w:rsidRPr="00815696">
              <w:rPr>
                <w:sz w:val="21"/>
                <w:szCs w:val="21"/>
              </w:rPr>
              <w:t>2020–2021</w:t>
            </w:r>
          </w:p>
        </w:tc>
        <w:tc>
          <w:tcPr>
            <w:tcW w:w="1280" w:type="dxa"/>
            <w:tcBorders>
              <w:top w:val="nil"/>
              <w:left w:val="nil"/>
              <w:bottom w:val="nil"/>
              <w:right w:val="nil"/>
            </w:tcBorders>
            <w:tcMar>
              <w:top w:w="128" w:type="dxa"/>
              <w:left w:w="43" w:type="dxa"/>
              <w:bottom w:w="43" w:type="dxa"/>
              <w:right w:w="43" w:type="dxa"/>
            </w:tcMar>
          </w:tcPr>
          <w:p w14:paraId="54F4C9E5" w14:textId="77777777" w:rsidR="00D60186" w:rsidRPr="00815696" w:rsidRDefault="00D60186" w:rsidP="00815696">
            <w:pPr>
              <w:ind w:right="113"/>
              <w:jc w:val="right"/>
              <w:rPr>
                <w:sz w:val="21"/>
                <w:szCs w:val="21"/>
              </w:rPr>
            </w:pPr>
            <w:r w:rsidRPr="00815696">
              <w:rPr>
                <w:sz w:val="21"/>
                <w:szCs w:val="21"/>
              </w:rPr>
              <w:t>1250</w:t>
            </w:r>
          </w:p>
        </w:tc>
        <w:tc>
          <w:tcPr>
            <w:tcW w:w="5600" w:type="dxa"/>
            <w:tcBorders>
              <w:top w:val="nil"/>
              <w:left w:val="nil"/>
              <w:bottom w:val="nil"/>
              <w:right w:val="nil"/>
            </w:tcBorders>
            <w:tcMar>
              <w:top w:w="128" w:type="dxa"/>
              <w:left w:w="43" w:type="dxa"/>
              <w:bottom w:w="43" w:type="dxa"/>
              <w:right w:w="43" w:type="dxa"/>
            </w:tcMar>
          </w:tcPr>
          <w:p w14:paraId="4DF22CCF" w14:textId="03AFD4DD" w:rsidR="00D60186" w:rsidRPr="00815696" w:rsidRDefault="00D60186" w:rsidP="00225D4D">
            <w:pPr>
              <w:rPr>
                <w:sz w:val="21"/>
                <w:szCs w:val="21"/>
              </w:rPr>
            </w:pPr>
            <w:proofErr w:type="spellStart"/>
            <w:r w:rsidRPr="00815696">
              <w:rPr>
                <w:sz w:val="21"/>
                <w:szCs w:val="21"/>
              </w:rPr>
              <w:t>Eigedomsskatt</w:t>
            </w:r>
            <w:proofErr w:type="spellEnd"/>
            <w:r w:rsidRPr="00815696">
              <w:rPr>
                <w:sz w:val="21"/>
                <w:szCs w:val="21"/>
              </w:rPr>
              <w:t xml:space="preserve">, utgreiing og vurdering av </w:t>
            </w:r>
            <w:proofErr w:type="spellStart"/>
            <w:r w:rsidRPr="00815696">
              <w:rPr>
                <w:sz w:val="21"/>
                <w:szCs w:val="21"/>
              </w:rPr>
              <w:t>eit</w:t>
            </w:r>
            <w:proofErr w:type="spellEnd"/>
            <w:r w:rsidRPr="00815696">
              <w:rPr>
                <w:sz w:val="21"/>
                <w:szCs w:val="21"/>
              </w:rPr>
              <w:t xml:space="preserve"> tak for </w:t>
            </w:r>
            <w:proofErr w:type="spellStart"/>
            <w:r w:rsidRPr="00815696">
              <w:rPr>
                <w:sz w:val="21"/>
                <w:szCs w:val="21"/>
              </w:rPr>
              <w:t>bustader</w:t>
            </w:r>
            <w:proofErr w:type="spellEnd"/>
            <w:r w:rsidRPr="00815696">
              <w:rPr>
                <w:sz w:val="21"/>
                <w:szCs w:val="21"/>
              </w:rPr>
              <w:t xml:space="preserve"> og </w:t>
            </w:r>
            <w:proofErr w:type="spellStart"/>
            <w:r w:rsidRPr="00815696">
              <w:rPr>
                <w:sz w:val="21"/>
                <w:szCs w:val="21"/>
              </w:rPr>
              <w:t>fritidsbustader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5EADDA23" w14:textId="77777777" w:rsidR="00D60186" w:rsidRPr="00815696" w:rsidRDefault="00D60186" w:rsidP="00815696">
            <w:pPr>
              <w:jc w:val="right"/>
              <w:rPr>
                <w:sz w:val="21"/>
                <w:szCs w:val="21"/>
              </w:rPr>
            </w:pPr>
            <w:r w:rsidRPr="00815696">
              <w:rPr>
                <w:sz w:val="21"/>
                <w:szCs w:val="21"/>
              </w:rPr>
              <w:t>Ja</w:t>
            </w:r>
          </w:p>
        </w:tc>
      </w:tr>
      <w:tr w:rsidR="00E76DC8" w:rsidRPr="00225D4D" w14:paraId="2BFE8A5F" w14:textId="77777777">
        <w:trPr>
          <w:trHeight w:val="640"/>
        </w:trPr>
        <w:tc>
          <w:tcPr>
            <w:tcW w:w="1120" w:type="dxa"/>
            <w:tcBorders>
              <w:top w:val="nil"/>
              <w:left w:val="nil"/>
              <w:bottom w:val="nil"/>
              <w:right w:val="nil"/>
            </w:tcBorders>
            <w:tcMar>
              <w:top w:w="128" w:type="dxa"/>
              <w:left w:w="43" w:type="dxa"/>
              <w:bottom w:w="43" w:type="dxa"/>
              <w:right w:w="43" w:type="dxa"/>
            </w:tcMar>
          </w:tcPr>
          <w:p w14:paraId="7A34F309" w14:textId="77777777" w:rsidR="00D60186" w:rsidRPr="00815696" w:rsidRDefault="00D60186" w:rsidP="00225D4D">
            <w:pPr>
              <w:rPr>
                <w:sz w:val="21"/>
                <w:szCs w:val="21"/>
              </w:rPr>
            </w:pPr>
            <w:r w:rsidRPr="00815696">
              <w:rPr>
                <w:sz w:val="21"/>
                <w:szCs w:val="21"/>
              </w:rPr>
              <w:t>2019–2020</w:t>
            </w:r>
          </w:p>
        </w:tc>
        <w:tc>
          <w:tcPr>
            <w:tcW w:w="1280" w:type="dxa"/>
            <w:tcBorders>
              <w:top w:val="nil"/>
              <w:left w:val="nil"/>
              <w:bottom w:val="nil"/>
              <w:right w:val="nil"/>
            </w:tcBorders>
            <w:tcMar>
              <w:top w:w="128" w:type="dxa"/>
              <w:left w:w="43" w:type="dxa"/>
              <w:bottom w:w="43" w:type="dxa"/>
              <w:right w:w="43" w:type="dxa"/>
            </w:tcMar>
          </w:tcPr>
          <w:p w14:paraId="5C5C905C" w14:textId="77777777" w:rsidR="00D60186" w:rsidRPr="00815696" w:rsidRDefault="00D60186" w:rsidP="00815696">
            <w:pPr>
              <w:ind w:right="113"/>
              <w:jc w:val="right"/>
              <w:rPr>
                <w:sz w:val="21"/>
                <w:szCs w:val="21"/>
              </w:rPr>
            </w:pPr>
            <w:r w:rsidRPr="00815696">
              <w:rPr>
                <w:sz w:val="21"/>
                <w:szCs w:val="21"/>
              </w:rPr>
              <w:t>707</w:t>
            </w:r>
          </w:p>
        </w:tc>
        <w:tc>
          <w:tcPr>
            <w:tcW w:w="5600" w:type="dxa"/>
            <w:tcBorders>
              <w:top w:val="nil"/>
              <w:left w:val="nil"/>
              <w:bottom w:val="nil"/>
              <w:right w:val="nil"/>
            </w:tcBorders>
            <w:tcMar>
              <w:top w:w="128" w:type="dxa"/>
              <w:left w:w="43" w:type="dxa"/>
              <w:bottom w:w="43" w:type="dxa"/>
              <w:right w:w="43" w:type="dxa"/>
            </w:tcMar>
          </w:tcPr>
          <w:p w14:paraId="661B0F6F" w14:textId="77777777" w:rsidR="00D60186" w:rsidRPr="00815696" w:rsidRDefault="00D60186" w:rsidP="00225D4D">
            <w:pPr>
              <w:rPr>
                <w:sz w:val="21"/>
                <w:szCs w:val="21"/>
              </w:rPr>
            </w:pPr>
            <w:r w:rsidRPr="00815696">
              <w:rPr>
                <w:sz w:val="21"/>
                <w:szCs w:val="21"/>
              </w:rPr>
              <w:t xml:space="preserve">Kulturmiljømeldinga – </w:t>
            </w:r>
            <w:proofErr w:type="spellStart"/>
            <w:r w:rsidRPr="00815696">
              <w:rPr>
                <w:sz w:val="21"/>
                <w:szCs w:val="21"/>
              </w:rPr>
              <w:t>vedlikehald</w:t>
            </w:r>
            <w:proofErr w:type="spellEnd"/>
            <w:r w:rsidRPr="00815696">
              <w:rPr>
                <w:sz w:val="21"/>
                <w:szCs w:val="21"/>
              </w:rPr>
              <w:t xml:space="preserve"> av </w:t>
            </w:r>
            <w:proofErr w:type="spellStart"/>
            <w:r w:rsidRPr="00815696">
              <w:rPr>
                <w:sz w:val="21"/>
                <w:szCs w:val="21"/>
              </w:rPr>
              <w:t>privateigde</w:t>
            </w:r>
            <w:proofErr w:type="spellEnd"/>
            <w:r w:rsidRPr="00815696">
              <w:rPr>
                <w:sz w:val="21"/>
                <w:szCs w:val="21"/>
              </w:rPr>
              <w:t xml:space="preserve"> kulturminne og kulturmiljø</w:t>
            </w:r>
          </w:p>
        </w:tc>
        <w:tc>
          <w:tcPr>
            <w:tcW w:w="1560" w:type="dxa"/>
            <w:tcBorders>
              <w:top w:val="nil"/>
              <w:left w:val="nil"/>
              <w:bottom w:val="nil"/>
              <w:right w:val="nil"/>
            </w:tcBorders>
            <w:tcMar>
              <w:top w:w="128" w:type="dxa"/>
              <w:left w:w="43" w:type="dxa"/>
              <w:bottom w:w="43" w:type="dxa"/>
              <w:right w:w="43" w:type="dxa"/>
            </w:tcMar>
            <w:vAlign w:val="bottom"/>
          </w:tcPr>
          <w:p w14:paraId="372BF263" w14:textId="77777777" w:rsidR="00D60186" w:rsidRPr="00815696" w:rsidRDefault="00D60186" w:rsidP="00815696">
            <w:pPr>
              <w:jc w:val="right"/>
              <w:rPr>
                <w:sz w:val="21"/>
                <w:szCs w:val="21"/>
              </w:rPr>
            </w:pPr>
            <w:r w:rsidRPr="00815696">
              <w:rPr>
                <w:sz w:val="21"/>
                <w:szCs w:val="21"/>
              </w:rPr>
              <w:t>Ja</w:t>
            </w:r>
          </w:p>
        </w:tc>
      </w:tr>
      <w:tr w:rsidR="00E76DC8" w:rsidRPr="00225D4D" w14:paraId="26BDC9FE" w14:textId="77777777">
        <w:trPr>
          <w:trHeight w:val="380"/>
        </w:trPr>
        <w:tc>
          <w:tcPr>
            <w:tcW w:w="1120" w:type="dxa"/>
            <w:tcBorders>
              <w:top w:val="nil"/>
              <w:left w:val="nil"/>
              <w:bottom w:val="nil"/>
              <w:right w:val="nil"/>
            </w:tcBorders>
            <w:tcMar>
              <w:top w:w="128" w:type="dxa"/>
              <w:left w:w="43" w:type="dxa"/>
              <w:bottom w:w="43" w:type="dxa"/>
              <w:right w:w="43" w:type="dxa"/>
            </w:tcMar>
          </w:tcPr>
          <w:p w14:paraId="5F0F2026" w14:textId="77777777" w:rsidR="00D60186" w:rsidRPr="00815696" w:rsidRDefault="00D60186" w:rsidP="00225D4D">
            <w:pPr>
              <w:rPr>
                <w:sz w:val="21"/>
                <w:szCs w:val="21"/>
              </w:rPr>
            </w:pPr>
            <w:r w:rsidRPr="00815696">
              <w:rPr>
                <w:sz w:val="21"/>
                <w:szCs w:val="21"/>
              </w:rPr>
              <w:t>2016–2017</w:t>
            </w:r>
          </w:p>
        </w:tc>
        <w:tc>
          <w:tcPr>
            <w:tcW w:w="1280" w:type="dxa"/>
            <w:tcBorders>
              <w:top w:val="nil"/>
              <w:left w:val="nil"/>
              <w:bottom w:val="nil"/>
              <w:right w:val="nil"/>
            </w:tcBorders>
            <w:tcMar>
              <w:top w:w="128" w:type="dxa"/>
              <w:left w:w="43" w:type="dxa"/>
              <w:bottom w:w="43" w:type="dxa"/>
              <w:right w:w="43" w:type="dxa"/>
            </w:tcMar>
          </w:tcPr>
          <w:p w14:paraId="62513023" w14:textId="77777777" w:rsidR="00D60186" w:rsidRPr="00815696" w:rsidRDefault="00D60186" w:rsidP="00815696">
            <w:pPr>
              <w:ind w:right="113"/>
              <w:jc w:val="right"/>
              <w:rPr>
                <w:sz w:val="21"/>
                <w:szCs w:val="21"/>
              </w:rPr>
            </w:pPr>
            <w:r w:rsidRPr="00815696">
              <w:rPr>
                <w:sz w:val="21"/>
                <w:szCs w:val="21"/>
              </w:rPr>
              <w:t>48</w:t>
            </w:r>
          </w:p>
        </w:tc>
        <w:tc>
          <w:tcPr>
            <w:tcW w:w="5600" w:type="dxa"/>
            <w:tcBorders>
              <w:top w:val="nil"/>
              <w:left w:val="nil"/>
              <w:bottom w:val="nil"/>
              <w:right w:val="nil"/>
            </w:tcBorders>
            <w:tcMar>
              <w:top w:w="128" w:type="dxa"/>
              <w:left w:w="43" w:type="dxa"/>
              <w:bottom w:w="43" w:type="dxa"/>
              <w:right w:w="43" w:type="dxa"/>
            </w:tcMar>
          </w:tcPr>
          <w:p w14:paraId="5FB0A2DA" w14:textId="77777777" w:rsidR="00D60186" w:rsidRPr="00815696" w:rsidRDefault="00D60186" w:rsidP="00225D4D">
            <w:pPr>
              <w:rPr>
                <w:sz w:val="21"/>
                <w:szCs w:val="21"/>
              </w:rPr>
            </w:pPr>
            <w:r w:rsidRPr="00815696">
              <w:rPr>
                <w:sz w:val="21"/>
                <w:szCs w:val="21"/>
              </w:rPr>
              <w:t>Land-for-land rapportering</w:t>
            </w:r>
          </w:p>
        </w:tc>
        <w:tc>
          <w:tcPr>
            <w:tcW w:w="1560" w:type="dxa"/>
            <w:tcBorders>
              <w:top w:val="nil"/>
              <w:left w:val="nil"/>
              <w:bottom w:val="nil"/>
              <w:right w:val="nil"/>
            </w:tcBorders>
            <w:tcMar>
              <w:top w:w="128" w:type="dxa"/>
              <w:left w:w="43" w:type="dxa"/>
              <w:bottom w:w="43" w:type="dxa"/>
              <w:right w:w="43" w:type="dxa"/>
            </w:tcMar>
            <w:vAlign w:val="bottom"/>
          </w:tcPr>
          <w:p w14:paraId="166473DE" w14:textId="77777777" w:rsidR="00D60186" w:rsidRPr="00815696" w:rsidRDefault="00D60186" w:rsidP="00815696">
            <w:pPr>
              <w:jc w:val="right"/>
              <w:rPr>
                <w:sz w:val="21"/>
                <w:szCs w:val="21"/>
              </w:rPr>
            </w:pPr>
            <w:r w:rsidRPr="00815696">
              <w:rPr>
                <w:sz w:val="21"/>
                <w:szCs w:val="21"/>
              </w:rPr>
              <w:t>Nei</w:t>
            </w:r>
          </w:p>
        </w:tc>
      </w:tr>
      <w:tr w:rsidR="00E76DC8" w:rsidRPr="00225D4D" w14:paraId="1D0D4B11" w14:textId="77777777">
        <w:trPr>
          <w:trHeight w:val="640"/>
        </w:trPr>
        <w:tc>
          <w:tcPr>
            <w:tcW w:w="1120" w:type="dxa"/>
            <w:tcBorders>
              <w:top w:val="nil"/>
              <w:left w:val="nil"/>
              <w:bottom w:val="single" w:sz="4" w:space="0" w:color="000000"/>
              <w:right w:val="nil"/>
            </w:tcBorders>
            <w:tcMar>
              <w:top w:w="128" w:type="dxa"/>
              <w:left w:w="43" w:type="dxa"/>
              <w:bottom w:w="43" w:type="dxa"/>
              <w:right w:w="43" w:type="dxa"/>
            </w:tcMar>
          </w:tcPr>
          <w:p w14:paraId="59FACD8B" w14:textId="77777777" w:rsidR="00D60186" w:rsidRPr="00815696" w:rsidRDefault="00D60186" w:rsidP="00225D4D">
            <w:pPr>
              <w:rPr>
                <w:sz w:val="21"/>
                <w:szCs w:val="21"/>
              </w:rPr>
            </w:pPr>
            <w:r w:rsidRPr="00815696">
              <w:rPr>
                <w:sz w:val="21"/>
                <w:szCs w:val="21"/>
              </w:rPr>
              <w:t>2016–2017</w:t>
            </w:r>
          </w:p>
        </w:tc>
        <w:tc>
          <w:tcPr>
            <w:tcW w:w="1280" w:type="dxa"/>
            <w:tcBorders>
              <w:top w:val="nil"/>
              <w:left w:val="nil"/>
              <w:bottom w:val="single" w:sz="4" w:space="0" w:color="000000"/>
              <w:right w:val="nil"/>
            </w:tcBorders>
            <w:tcMar>
              <w:top w:w="128" w:type="dxa"/>
              <w:left w:w="43" w:type="dxa"/>
              <w:bottom w:w="43" w:type="dxa"/>
              <w:right w:w="43" w:type="dxa"/>
            </w:tcMar>
          </w:tcPr>
          <w:p w14:paraId="05AC3726" w14:textId="77777777" w:rsidR="00D60186" w:rsidRPr="00815696" w:rsidRDefault="00D60186" w:rsidP="00815696">
            <w:pPr>
              <w:ind w:right="113"/>
              <w:jc w:val="right"/>
              <w:rPr>
                <w:sz w:val="21"/>
                <w:szCs w:val="21"/>
              </w:rPr>
            </w:pPr>
            <w:r w:rsidRPr="00815696">
              <w:rPr>
                <w:sz w:val="21"/>
                <w:szCs w:val="21"/>
              </w:rPr>
              <w:t>1040</w:t>
            </w:r>
          </w:p>
        </w:tc>
        <w:tc>
          <w:tcPr>
            <w:tcW w:w="5600" w:type="dxa"/>
            <w:tcBorders>
              <w:top w:val="nil"/>
              <w:left w:val="nil"/>
              <w:bottom w:val="single" w:sz="4" w:space="0" w:color="000000"/>
              <w:right w:val="nil"/>
            </w:tcBorders>
            <w:tcMar>
              <w:top w:w="128" w:type="dxa"/>
              <w:left w:w="43" w:type="dxa"/>
              <w:bottom w:w="43" w:type="dxa"/>
              <w:right w:w="43" w:type="dxa"/>
            </w:tcMar>
          </w:tcPr>
          <w:p w14:paraId="3ACC64A0" w14:textId="77777777" w:rsidR="00D60186" w:rsidRPr="00815696" w:rsidRDefault="00D60186" w:rsidP="00225D4D">
            <w:pPr>
              <w:rPr>
                <w:sz w:val="21"/>
                <w:szCs w:val="21"/>
              </w:rPr>
            </w:pPr>
            <w:r w:rsidRPr="00815696">
              <w:rPr>
                <w:sz w:val="21"/>
                <w:szCs w:val="21"/>
              </w:rPr>
              <w:t xml:space="preserve">Sikre behovet hos </w:t>
            </w:r>
            <w:proofErr w:type="spellStart"/>
            <w:r w:rsidRPr="00815696">
              <w:rPr>
                <w:sz w:val="21"/>
                <w:szCs w:val="21"/>
              </w:rPr>
              <w:t>bustadkjøpare</w:t>
            </w:r>
            <w:proofErr w:type="spellEnd"/>
            <w:r w:rsidRPr="00815696">
              <w:rPr>
                <w:sz w:val="21"/>
                <w:szCs w:val="21"/>
              </w:rPr>
              <w:t xml:space="preserve"> for </w:t>
            </w:r>
            <w:proofErr w:type="spellStart"/>
            <w:r w:rsidRPr="00815696">
              <w:rPr>
                <w:sz w:val="21"/>
                <w:szCs w:val="21"/>
              </w:rPr>
              <w:t>meir</w:t>
            </w:r>
            <w:proofErr w:type="spellEnd"/>
            <w:r w:rsidRPr="00815696">
              <w:rPr>
                <w:sz w:val="21"/>
                <w:szCs w:val="21"/>
              </w:rPr>
              <w:t xml:space="preserve"> tid </w:t>
            </w:r>
            <w:r w:rsidRPr="00815696">
              <w:rPr>
                <w:sz w:val="21"/>
                <w:szCs w:val="21"/>
              </w:rPr>
              <w:br/>
              <w:t>i bustadhandelen</w:t>
            </w:r>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4E3D3454" w14:textId="77777777" w:rsidR="00D60186" w:rsidRPr="00815696" w:rsidRDefault="00D60186" w:rsidP="00815696">
            <w:pPr>
              <w:jc w:val="right"/>
              <w:rPr>
                <w:sz w:val="21"/>
                <w:szCs w:val="21"/>
              </w:rPr>
            </w:pPr>
            <w:r w:rsidRPr="00815696">
              <w:rPr>
                <w:sz w:val="21"/>
                <w:szCs w:val="21"/>
              </w:rPr>
              <w:t>Nei</w:t>
            </w:r>
          </w:p>
        </w:tc>
      </w:tr>
    </w:tbl>
    <w:p w14:paraId="495CACE1" w14:textId="77777777" w:rsidR="00D60186" w:rsidRPr="00225D4D" w:rsidRDefault="00D60186" w:rsidP="00815696">
      <w:pPr>
        <w:pStyle w:val="Overskrift2"/>
        <w:numPr>
          <w:ilvl w:val="1"/>
          <w:numId w:val="31"/>
        </w:numPr>
      </w:pPr>
      <w:r w:rsidRPr="00225D4D">
        <w:t>Stortingssesjon 2024–2025</w:t>
      </w:r>
    </w:p>
    <w:p w14:paraId="0361203D" w14:textId="77777777" w:rsidR="00D60186" w:rsidRPr="00225D4D" w:rsidRDefault="00D60186" w:rsidP="00225D4D">
      <w:pPr>
        <w:pStyle w:val="avsnitt-tittel"/>
      </w:pPr>
      <w:r w:rsidRPr="00225D4D">
        <w:t xml:space="preserve">Nødvendige </w:t>
      </w:r>
      <w:proofErr w:type="spellStart"/>
      <w:r w:rsidRPr="00225D4D">
        <w:t>lovendringar</w:t>
      </w:r>
      <w:proofErr w:type="spellEnd"/>
      <w:r w:rsidRPr="00225D4D">
        <w:t xml:space="preserve"> som </w:t>
      </w:r>
      <w:proofErr w:type="spellStart"/>
      <w:r w:rsidRPr="00225D4D">
        <w:t>følgje</w:t>
      </w:r>
      <w:proofErr w:type="spellEnd"/>
      <w:r w:rsidRPr="00225D4D">
        <w:t xml:space="preserve"> av ny lov om Riksrevisjonen</w:t>
      </w:r>
    </w:p>
    <w:p w14:paraId="401E783C" w14:textId="77777777" w:rsidR="00D60186" w:rsidRPr="00225D4D" w:rsidRDefault="00D60186" w:rsidP="00225D4D">
      <w:pPr>
        <w:pStyle w:val="avsnitt-undertittel"/>
      </w:pPr>
      <w:r w:rsidRPr="00225D4D">
        <w:t>Vedtak nr. 49, 21. november 2024</w:t>
      </w:r>
    </w:p>
    <w:p w14:paraId="6BF778DA" w14:textId="77777777" w:rsidR="00D60186" w:rsidRPr="00225D4D" w:rsidRDefault="00D60186" w:rsidP="00225D4D">
      <w:pPr>
        <w:pStyle w:val="blokksit"/>
        <w:rPr>
          <w:rStyle w:val="kursiv"/>
        </w:rPr>
      </w:pPr>
      <w:r w:rsidRPr="00225D4D">
        <w:rPr>
          <w:rStyle w:val="kursiv"/>
        </w:rPr>
        <w:t>«Stortinget ber regjeringen så snart som mulig fremme forslag om nødvendige endringer i annen lovgivning som følge av ny lov om Riksrevisjonen.»</w:t>
      </w:r>
    </w:p>
    <w:p w14:paraId="0FE421FC"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Dokument 19 (2023–2024), jf. </w:t>
      </w:r>
      <w:proofErr w:type="spellStart"/>
      <w:r w:rsidRPr="00225D4D">
        <w:t>Innst</w:t>
      </w:r>
      <w:proofErr w:type="spellEnd"/>
      <w:r w:rsidRPr="00225D4D">
        <w:t xml:space="preserve">. 41 L (2024–2025). Departementet </w:t>
      </w:r>
      <w:proofErr w:type="spellStart"/>
      <w:r w:rsidRPr="00225D4D">
        <w:t>legg</w:t>
      </w:r>
      <w:proofErr w:type="spellEnd"/>
      <w:r w:rsidRPr="00225D4D">
        <w:t xml:space="preserve"> til grunn at oppmodingsvedtaket er </w:t>
      </w:r>
      <w:proofErr w:type="spellStart"/>
      <w:r w:rsidRPr="00225D4D">
        <w:t>følgt</w:t>
      </w:r>
      <w:proofErr w:type="spellEnd"/>
      <w:r w:rsidRPr="00225D4D">
        <w:t xml:space="preserve"> opp gjennom forslaga i </w:t>
      </w:r>
      <w:proofErr w:type="spellStart"/>
      <w:r w:rsidRPr="00225D4D">
        <w:t>Prop</w:t>
      </w:r>
      <w:proofErr w:type="spellEnd"/>
      <w:r w:rsidRPr="00225D4D">
        <w:t xml:space="preserve">. 91 L (2024–2025), jf. </w:t>
      </w:r>
      <w:proofErr w:type="spellStart"/>
      <w:r w:rsidRPr="00225D4D">
        <w:t>Innst</w:t>
      </w:r>
      <w:proofErr w:type="spellEnd"/>
      <w:r w:rsidRPr="00225D4D">
        <w:t xml:space="preserve">. 469 L (2024–2025). </w:t>
      </w:r>
      <w:proofErr w:type="spellStart"/>
      <w:r w:rsidRPr="00225D4D">
        <w:t>Lovendringane</w:t>
      </w:r>
      <w:proofErr w:type="spellEnd"/>
      <w:r w:rsidRPr="00225D4D">
        <w:t xml:space="preserve"> er vedtatte av Stortinget og har </w:t>
      </w:r>
      <w:proofErr w:type="gramStart"/>
      <w:r w:rsidRPr="00225D4D">
        <w:t>trådd</w:t>
      </w:r>
      <w:proofErr w:type="gramEnd"/>
      <w:r w:rsidRPr="00225D4D">
        <w:t xml:space="preserve"> i kraft.</w:t>
      </w:r>
    </w:p>
    <w:p w14:paraId="3DF86B7B" w14:textId="77777777" w:rsidR="00D60186" w:rsidRPr="00225D4D" w:rsidRDefault="00D60186" w:rsidP="00225D4D">
      <w:pPr>
        <w:pStyle w:val="avsnitt-tittel"/>
      </w:pPr>
      <w:proofErr w:type="spellStart"/>
      <w:r w:rsidRPr="00225D4D">
        <w:t>Offentleg</w:t>
      </w:r>
      <w:proofErr w:type="spellEnd"/>
      <w:r w:rsidRPr="00225D4D">
        <w:t xml:space="preserve"> </w:t>
      </w:r>
      <w:proofErr w:type="spellStart"/>
      <w:r w:rsidRPr="00225D4D">
        <w:t>utval</w:t>
      </w:r>
      <w:proofErr w:type="spellEnd"/>
      <w:r w:rsidRPr="00225D4D">
        <w:t xml:space="preserve"> om omstillingsevne og konkurransekraft</w:t>
      </w:r>
    </w:p>
    <w:p w14:paraId="7E402A97" w14:textId="77777777" w:rsidR="00D60186" w:rsidRPr="00225D4D" w:rsidRDefault="00D60186" w:rsidP="00225D4D">
      <w:pPr>
        <w:pStyle w:val="avsnitt-undertittel"/>
      </w:pPr>
      <w:r w:rsidRPr="00225D4D">
        <w:t>Vedtak nr. 92, 19. desember 2024</w:t>
      </w:r>
    </w:p>
    <w:p w14:paraId="7EAEEC0C" w14:textId="77777777" w:rsidR="00D60186" w:rsidRPr="00225D4D" w:rsidRDefault="00D60186" w:rsidP="00225D4D">
      <w:pPr>
        <w:pStyle w:val="blokksit"/>
        <w:rPr>
          <w:rStyle w:val="kursiv"/>
        </w:rPr>
      </w:pPr>
      <w:r w:rsidRPr="00225D4D">
        <w:rPr>
          <w:rStyle w:val="kursiv"/>
        </w:rPr>
        <w:t>«Stortinget ber regjeringen, i løpet av vårsesjonen 2025, sette ned et offentlig utvalg som skal utarbeide en strategi for å bedre økonomiens omstillingsevne, industriell utvikling og næringslivets konkurransekraft, særlig i lys av at produksjonen av olje og gass på sikt vil avta.»</w:t>
      </w:r>
    </w:p>
    <w:p w14:paraId="17A278AE"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statsbudsjettet for 2025 (</w:t>
      </w:r>
      <w:proofErr w:type="spellStart"/>
      <w:r w:rsidRPr="00225D4D">
        <w:t>Prop</w:t>
      </w:r>
      <w:proofErr w:type="spellEnd"/>
      <w:r w:rsidRPr="00225D4D">
        <w:t xml:space="preserve">. 1 S (2024–2025)), jf. </w:t>
      </w:r>
      <w:proofErr w:type="spellStart"/>
      <w:r w:rsidRPr="00225D4D">
        <w:t>Innst</w:t>
      </w:r>
      <w:proofErr w:type="spellEnd"/>
      <w:r w:rsidRPr="00225D4D">
        <w:t xml:space="preserve">. 540 S (2024–2025). Regjeringa </w:t>
      </w:r>
      <w:proofErr w:type="spellStart"/>
      <w:r w:rsidRPr="00225D4D">
        <w:t>legg</w:t>
      </w:r>
      <w:proofErr w:type="spellEnd"/>
      <w:r w:rsidRPr="00225D4D">
        <w:t xml:space="preserve"> opp til å </w:t>
      </w:r>
      <w:proofErr w:type="spellStart"/>
      <w:r w:rsidRPr="00225D4D">
        <w:t>følgje</w:t>
      </w:r>
      <w:proofErr w:type="spellEnd"/>
      <w:r w:rsidRPr="00225D4D">
        <w:t xml:space="preserve"> opp vedtaket i haustsesjonen 2025.</w:t>
      </w:r>
    </w:p>
    <w:p w14:paraId="4EFC697A" w14:textId="77777777" w:rsidR="00D60186" w:rsidRPr="00225D4D" w:rsidRDefault="00D60186" w:rsidP="00225D4D">
      <w:pPr>
        <w:pStyle w:val="avsnitt-tittel"/>
      </w:pPr>
      <w:proofErr w:type="spellStart"/>
      <w:r w:rsidRPr="00225D4D">
        <w:t>Heilskapleg</w:t>
      </w:r>
      <w:proofErr w:type="spellEnd"/>
      <w:r w:rsidRPr="00225D4D">
        <w:t xml:space="preserve"> skattereform</w:t>
      </w:r>
    </w:p>
    <w:p w14:paraId="446744FD" w14:textId="77777777" w:rsidR="00D60186" w:rsidRPr="00225D4D" w:rsidRDefault="00D60186" w:rsidP="00225D4D">
      <w:pPr>
        <w:pStyle w:val="avsnitt-undertittel"/>
      </w:pPr>
      <w:r w:rsidRPr="00225D4D">
        <w:t>Vedtak nr. 551, 8. april 2025</w:t>
      </w:r>
    </w:p>
    <w:p w14:paraId="48CE6551" w14:textId="77777777" w:rsidR="00D60186" w:rsidRPr="00225D4D" w:rsidRDefault="00D60186" w:rsidP="00225D4D">
      <w:pPr>
        <w:pStyle w:val="blokksit"/>
        <w:rPr>
          <w:rStyle w:val="kursiv"/>
        </w:rPr>
      </w:pPr>
      <w:r w:rsidRPr="00225D4D">
        <w:rPr>
          <w:rStyle w:val="kursiv"/>
        </w:rPr>
        <w:t>«Stortinget ber regjeringen i neste stortingsperiode legge frem en sak om helhetlig skattereform for å sørge for et konkurransedyktig skattenivå for norsk næringsliv.»</w:t>
      </w:r>
    </w:p>
    <w:p w14:paraId="3111B23D"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Meld. St. 31 (2024–2025) </w:t>
      </w:r>
      <w:r w:rsidRPr="00225D4D">
        <w:rPr>
          <w:rStyle w:val="kursiv"/>
        </w:rPr>
        <w:t>Perspektivmeldingen 2024</w:t>
      </w:r>
      <w:r w:rsidRPr="00225D4D">
        <w:t xml:space="preserve">, jf. </w:t>
      </w:r>
      <w:proofErr w:type="spellStart"/>
      <w:r w:rsidRPr="00225D4D">
        <w:t>Innst</w:t>
      </w:r>
      <w:proofErr w:type="spellEnd"/>
      <w:r w:rsidRPr="00225D4D">
        <w:t xml:space="preserve">. 180 S (2024–2025). Regjeringa vil vurdere korleis vedtaket skal </w:t>
      </w:r>
      <w:proofErr w:type="spellStart"/>
      <w:r w:rsidRPr="00225D4D">
        <w:t>følgjast</w:t>
      </w:r>
      <w:proofErr w:type="spellEnd"/>
      <w:r w:rsidRPr="00225D4D">
        <w:t xml:space="preserve"> opp og planlegg å </w:t>
      </w:r>
      <w:proofErr w:type="spellStart"/>
      <w:r w:rsidRPr="00225D4D">
        <w:t>kome</w:t>
      </w:r>
      <w:proofErr w:type="spellEnd"/>
      <w:r w:rsidRPr="00225D4D">
        <w:t xml:space="preserve"> tilbake til Stortinget ved </w:t>
      </w:r>
      <w:proofErr w:type="spellStart"/>
      <w:r w:rsidRPr="00225D4D">
        <w:t>eit</w:t>
      </w:r>
      <w:proofErr w:type="spellEnd"/>
      <w:r w:rsidRPr="00225D4D">
        <w:t xml:space="preserve"> </w:t>
      </w:r>
      <w:proofErr w:type="spellStart"/>
      <w:r w:rsidRPr="00225D4D">
        <w:t>passande</w:t>
      </w:r>
      <w:proofErr w:type="spellEnd"/>
      <w:r w:rsidRPr="00225D4D">
        <w:t xml:space="preserve"> høve.</w:t>
      </w:r>
    </w:p>
    <w:p w14:paraId="0EEF9186" w14:textId="77777777" w:rsidR="00D60186" w:rsidRPr="00225D4D" w:rsidRDefault="00D60186" w:rsidP="00225D4D">
      <w:pPr>
        <w:pStyle w:val="avsnitt-tittel"/>
      </w:pPr>
      <w:r w:rsidRPr="00225D4D">
        <w:t>Finansiell beredskap og rammevilkår</w:t>
      </w:r>
    </w:p>
    <w:p w14:paraId="17AE8079" w14:textId="77777777" w:rsidR="00D60186" w:rsidRPr="00225D4D" w:rsidRDefault="00D60186" w:rsidP="00225D4D">
      <w:pPr>
        <w:pStyle w:val="avsnitt-undertittel"/>
      </w:pPr>
      <w:r w:rsidRPr="00225D4D">
        <w:t>Vedtak nr. 648, 6. mai 2025</w:t>
      </w:r>
    </w:p>
    <w:p w14:paraId="1C835DAD" w14:textId="77777777" w:rsidR="00D60186" w:rsidRPr="00225D4D" w:rsidRDefault="00D60186" w:rsidP="00225D4D">
      <w:pPr>
        <w:pStyle w:val="blokksit"/>
        <w:rPr>
          <w:rStyle w:val="kursiv"/>
        </w:rPr>
      </w:pPr>
      <w:r w:rsidRPr="00225D4D">
        <w:rPr>
          <w:rStyle w:val="kursiv"/>
        </w:rPr>
        <w:t>«Stortinget ber regjeringen sørge for at det finnes tilstrekkelig finansiell beredskap, og særlig sørge for rammebetingelser som gjør at Norge har norskeide banker og finansinstitusjoner som betjener det norske markedet.»</w:t>
      </w:r>
    </w:p>
    <w:p w14:paraId="76AD86C4"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Meld. St. 9 (2024–2025) </w:t>
      </w:r>
      <w:r w:rsidRPr="00225D4D">
        <w:rPr>
          <w:rStyle w:val="kursiv"/>
        </w:rPr>
        <w:t>Totalberedskapsmeldingen</w:t>
      </w:r>
      <w:r w:rsidRPr="00225D4D">
        <w:t xml:space="preserve">, jf. </w:t>
      </w:r>
      <w:proofErr w:type="spellStart"/>
      <w:r w:rsidRPr="00225D4D">
        <w:t>Innst</w:t>
      </w:r>
      <w:proofErr w:type="spellEnd"/>
      <w:r w:rsidRPr="00225D4D">
        <w:t xml:space="preserve">. 242 S (2024–2025). Regjeringa vil vurdere korleis vedtaket skal </w:t>
      </w:r>
      <w:proofErr w:type="spellStart"/>
      <w:r w:rsidRPr="00225D4D">
        <w:t>følgjast</w:t>
      </w:r>
      <w:proofErr w:type="spellEnd"/>
      <w:r w:rsidRPr="00225D4D">
        <w:t xml:space="preserve"> opp og planlegg å </w:t>
      </w:r>
      <w:proofErr w:type="spellStart"/>
      <w:r w:rsidRPr="00225D4D">
        <w:t>kome</w:t>
      </w:r>
      <w:proofErr w:type="spellEnd"/>
      <w:r w:rsidRPr="00225D4D">
        <w:t xml:space="preserve"> tilbake til Stortinget i Finansmarkedsmeldingen 2026.</w:t>
      </w:r>
    </w:p>
    <w:p w14:paraId="7A1813FF" w14:textId="77777777" w:rsidR="00D60186" w:rsidRPr="00225D4D" w:rsidRDefault="00D60186" w:rsidP="00225D4D">
      <w:pPr>
        <w:pStyle w:val="avsnitt-tittel"/>
      </w:pPr>
      <w:r w:rsidRPr="00225D4D">
        <w:t>Greie ut tiltak som kan betre registerkvaliteten</w:t>
      </w:r>
    </w:p>
    <w:p w14:paraId="08C41527" w14:textId="77777777" w:rsidR="00D60186" w:rsidRPr="00225D4D" w:rsidRDefault="00D60186" w:rsidP="00225D4D">
      <w:pPr>
        <w:pStyle w:val="avsnitt-undertittel"/>
      </w:pPr>
      <w:r w:rsidRPr="00225D4D">
        <w:t>Vedtak nr. 780, 27. mai 2025</w:t>
      </w:r>
    </w:p>
    <w:p w14:paraId="656C21DA" w14:textId="77777777" w:rsidR="00D60186" w:rsidRPr="00225D4D" w:rsidRDefault="00D60186" w:rsidP="00225D4D">
      <w:pPr>
        <w:pStyle w:val="blokksit"/>
        <w:rPr>
          <w:rStyle w:val="kursiv"/>
        </w:rPr>
      </w:pPr>
      <w:r w:rsidRPr="00225D4D">
        <w:rPr>
          <w:rStyle w:val="kursiv"/>
        </w:rPr>
        <w:t>«Stortinget ber regjeringen utrede tiltak som kan forbedre registerkvaliteten, herunder om det i større grad skal gjennomføres kontroll av opplysninger som blir endret, og om registerenhetene skal kunne avvise offentliggjorte opplysninger når det er berettiget mistanke om feil.»</w:t>
      </w:r>
    </w:p>
    <w:p w14:paraId="005B9A3E"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Dokument 8:129 S (2024–2025), jf. </w:t>
      </w:r>
      <w:proofErr w:type="spellStart"/>
      <w:r w:rsidRPr="00225D4D">
        <w:t>Innst</w:t>
      </w:r>
      <w:proofErr w:type="spellEnd"/>
      <w:r w:rsidRPr="00225D4D">
        <w:t xml:space="preserve">. 364 S (2024–2025). Finansdepartementet gav i desember 2024 Skatteetaten, Helsedirektoratet, NAV og Brønnøysundregistrene i oppdrag å greie ut potensialet for misbruk i </w:t>
      </w:r>
      <w:proofErr w:type="spellStart"/>
      <w:r w:rsidRPr="00225D4D">
        <w:t>ordningar</w:t>
      </w:r>
      <w:proofErr w:type="spellEnd"/>
      <w:r w:rsidRPr="00225D4D">
        <w:t xml:space="preserve"> </w:t>
      </w:r>
      <w:proofErr w:type="spellStart"/>
      <w:r w:rsidRPr="00225D4D">
        <w:t>ein</w:t>
      </w:r>
      <w:proofErr w:type="spellEnd"/>
      <w:r w:rsidRPr="00225D4D">
        <w:t xml:space="preserve"> trur vert utnytta til økonomisk kriminalitet. Rapporten </w:t>
      </w:r>
      <w:proofErr w:type="spellStart"/>
      <w:r w:rsidRPr="00225D4D">
        <w:t>vart</w:t>
      </w:r>
      <w:proofErr w:type="spellEnd"/>
      <w:r w:rsidRPr="00225D4D">
        <w:t xml:space="preserve"> levert 30. mai 2025 og vert nå vurdert </w:t>
      </w:r>
      <w:proofErr w:type="spellStart"/>
      <w:r w:rsidRPr="00225D4D">
        <w:t>nærare</w:t>
      </w:r>
      <w:proofErr w:type="spellEnd"/>
      <w:r w:rsidRPr="00225D4D">
        <w:t xml:space="preserve"> av Finansdepartementet, i samarbeid med Arbeids- og inkluderingsdepartementet, Helse- og omsorgsdepartementet og Nærings- og fiskeridepartementet. Finansdepartementet </w:t>
      </w:r>
      <w:proofErr w:type="spellStart"/>
      <w:r w:rsidRPr="00225D4D">
        <w:t>tek</w:t>
      </w:r>
      <w:proofErr w:type="spellEnd"/>
      <w:r w:rsidRPr="00225D4D">
        <w:t xml:space="preserve"> sikte på å </w:t>
      </w:r>
      <w:proofErr w:type="spellStart"/>
      <w:r w:rsidRPr="00225D4D">
        <w:t>kome</w:t>
      </w:r>
      <w:proofErr w:type="spellEnd"/>
      <w:r w:rsidRPr="00225D4D">
        <w:t xml:space="preserve"> tilbake til Stortinget i statsbudsjettet for 2027.</w:t>
      </w:r>
    </w:p>
    <w:p w14:paraId="5538DB2B" w14:textId="77777777" w:rsidR="00D60186" w:rsidRPr="00225D4D" w:rsidRDefault="00D60186" w:rsidP="00225D4D">
      <w:pPr>
        <w:pStyle w:val="avsnitt-tittel"/>
      </w:pPr>
      <w:proofErr w:type="spellStart"/>
      <w:r w:rsidRPr="00225D4D">
        <w:t>Eigedomsmeklarar</w:t>
      </w:r>
      <w:proofErr w:type="spellEnd"/>
      <w:r w:rsidRPr="00225D4D">
        <w:t xml:space="preserve"> sin </w:t>
      </w:r>
      <w:proofErr w:type="spellStart"/>
      <w:r w:rsidRPr="00225D4D">
        <w:t>tilgjenge</w:t>
      </w:r>
      <w:proofErr w:type="spellEnd"/>
      <w:r w:rsidRPr="00225D4D">
        <w:t xml:space="preserve"> til Folkeregisteret</w:t>
      </w:r>
    </w:p>
    <w:p w14:paraId="013CE5A1" w14:textId="77777777" w:rsidR="00D60186" w:rsidRPr="00225D4D" w:rsidRDefault="00D60186" w:rsidP="00225D4D">
      <w:pPr>
        <w:pStyle w:val="avsnitt-undertittel"/>
      </w:pPr>
      <w:r w:rsidRPr="00225D4D">
        <w:t>Vedtak nr. 781, 27. mai 2025</w:t>
      </w:r>
    </w:p>
    <w:p w14:paraId="18420DA9" w14:textId="77777777" w:rsidR="00D60186" w:rsidRPr="00225D4D" w:rsidRDefault="00D60186" w:rsidP="00225D4D">
      <w:pPr>
        <w:pStyle w:val="blokksit"/>
        <w:rPr>
          <w:rStyle w:val="kursiv"/>
        </w:rPr>
      </w:pPr>
      <w:r w:rsidRPr="00225D4D">
        <w:rPr>
          <w:rStyle w:val="kursiv"/>
        </w:rPr>
        <w:t>«Stortinget ber regjeringen gjennomgå regelverket og sikre at eiendomsmeglere har tilgang til informasjon fra Folkeregisteret for å forebygge økonomisk kriminalitet.»</w:t>
      </w:r>
    </w:p>
    <w:p w14:paraId="3912BA67"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Dokument 8:129 S (2024–2025), jf. </w:t>
      </w:r>
      <w:proofErr w:type="spellStart"/>
      <w:r w:rsidRPr="00225D4D">
        <w:t>Innst</w:t>
      </w:r>
      <w:proofErr w:type="spellEnd"/>
      <w:r w:rsidRPr="00225D4D">
        <w:t xml:space="preserve">. 364 S (2024–2025). Vedtaket </w:t>
      </w:r>
      <w:proofErr w:type="spellStart"/>
      <w:r w:rsidRPr="00225D4D">
        <w:t>synest</w:t>
      </w:r>
      <w:proofErr w:type="spellEnd"/>
      <w:r w:rsidRPr="00225D4D">
        <w:t xml:space="preserve"> å gjelde det same som vedtak nr. 759 av 12. juni 2024, og departementet viser til omtalen der.</w:t>
      </w:r>
    </w:p>
    <w:p w14:paraId="1E85D4A1" w14:textId="77777777" w:rsidR="00D60186" w:rsidRPr="00225D4D" w:rsidRDefault="00D60186" w:rsidP="00225D4D">
      <w:pPr>
        <w:pStyle w:val="avsnitt-tittel"/>
      </w:pPr>
      <w:proofErr w:type="spellStart"/>
      <w:r w:rsidRPr="00225D4D">
        <w:t>Pendlarar</w:t>
      </w:r>
      <w:proofErr w:type="spellEnd"/>
    </w:p>
    <w:p w14:paraId="0F3AE022" w14:textId="77777777" w:rsidR="00D60186" w:rsidRPr="00225D4D" w:rsidRDefault="00D60186" w:rsidP="00225D4D">
      <w:pPr>
        <w:pStyle w:val="avsnitt-undertittel"/>
      </w:pPr>
      <w:r w:rsidRPr="00225D4D">
        <w:t>Vedtak nr. 993, 11. juni 2025</w:t>
      </w:r>
    </w:p>
    <w:p w14:paraId="60B5424E" w14:textId="77777777" w:rsidR="00D60186" w:rsidRPr="00225D4D" w:rsidRDefault="00D60186" w:rsidP="00225D4D">
      <w:pPr>
        <w:pStyle w:val="blokksit"/>
        <w:rPr>
          <w:rStyle w:val="kursiv"/>
        </w:rPr>
      </w:pPr>
      <w:r w:rsidRPr="00225D4D">
        <w:rPr>
          <w:rStyle w:val="kursiv"/>
        </w:rPr>
        <w:t>«Stortinget ber regjeringen gjennomgå de alminnelige skattereglene for pendlere og utrede forslag til forenkling og klargjøring av regelverket.»</w:t>
      </w:r>
    </w:p>
    <w:p w14:paraId="24BD8EE4"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Prop</w:t>
      </w:r>
      <w:proofErr w:type="spellEnd"/>
      <w:r w:rsidRPr="00225D4D">
        <w:t xml:space="preserve">. 62 L (2024–2025), jf. </w:t>
      </w:r>
      <w:proofErr w:type="spellStart"/>
      <w:r w:rsidRPr="00225D4D">
        <w:t>Innst</w:t>
      </w:r>
      <w:proofErr w:type="spellEnd"/>
      <w:r w:rsidRPr="00225D4D">
        <w:t xml:space="preserve">. 522 L (2024–2025). Departementet vil vurdere korleis vedtaket skal </w:t>
      </w:r>
      <w:proofErr w:type="spellStart"/>
      <w:r w:rsidRPr="00225D4D">
        <w:t>følgjast</w:t>
      </w:r>
      <w:proofErr w:type="spellEnd"/>
      <w:r w:rsidRPr="00225D4D">
        <w:t xml:space="preserve"> opp og </w:t>
      </w:r>
      <w:proofErr w:type="spellStart"/>
      <w:r w:rsidRPr="00225D4D">
        <w:t>tek</w:t>
      </w:r>
      <w:proofErr w:type="spellEnd"/>
      <w:r w:rsidRPr="00225D4D">
        <w:t xml:space="preserve"> sikte på å </w:t>
      </w:r>
      <w:proofErr w:type="spellStart"/>
      <w:r w:rsidRPr="00225D4D">
        <w:t>kome</w:t>
      </w:r>
      <w:proofErr w:type="spellEnd"/>
      <w:r w:rsidRPr="00225D4D">
        <w:t xml:space="preserve"> tilbake til Stortinget på egna måte.</w:t>
      </w:r>
    </w:p>
    <w:p w14:paraId="171F9187" w14:textId="77777777" w:rsidR="00D60186" w:rsidRPr="00225D4D" w:rsidRDefault="00D60186" w:rsidP="00225D4D">
      <w:pPr>
        <w:pStyle w:val="avsnitt-tittel"/>
      </w:pPr>
      <w:r w:rsidRPr="00225D4D">
        <w:t>Finansnæringa sine rammevilkår</w:t>
      </w:r>
    </w:p>
    <w:p w14:paraId="311EB392" w14:textId="77777777" w:rsidR="00D60186" w:rsidRPr="00225D4D" w:rsidRDefault="00D60186" w:rsidP="00225D4D">
      <w:pPr>
        <w:pStyle w:val="avsnitt-undertittel"/>
      </w:pPr>
      <w:r w:rsidRPr="00225D4D">
        <w:t>Vedtak nr. 994, 11. juni 2025</w:t>
      </w:r>
    </w:p>
    <w:p w14:paraId="01DBC57B" w14:textId="77777777" w:rsidR="00D60186" w:rsidRPr="00225D4D" w:rsidRDefault="00D60186" w:rsidP="00225D4D">
      <w:pPr>
        <w:pStyle w:val="blokksit"/>
        <w:rPr>
          <w:rStyle w:val="kursiv"/>
        </w:rPr>
      </w:pPr>
      <w:r w:rsidRPr="00225D4D">
        <w:rPr>
          <w:rStyle w:val="kursiv"/>
        </w:rPr>
        <w:t>«Stortinget ber regjeringen i forbindelse med Finansmarkedsmeldingen for 2026 foreta en helhetlig gjennomgang av rammevilkårene for finansnæringen i Norge og skissere eventuelle behov for å justere disse. Regjeringen skal innhente innspill fra og ha dialog med relevante aktører i næringa om hvilke områder det er hensiktsmessig å prioritere i en slik gjennomgang.»</w:t>
      </w:r>
    </w:p>
    <w:p w14:paraId="6733A033"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Meld. St. 26 (2024–2025) </w:t>
      </w:r>
      <w:r w:rsidRPr="00225D4D">
        <w:rPr>
          <w:rStyle w:val="kursiv"/>
        </w:rPr>
        <w:t>Finansmarkedsmeldingen 2025</w:t>
      </w:r>
      <w:r w:rsidRPr="00225D4D">
        <w:t xml:space="preserve">, jf. </w:t>
      </w:r>
      <w:proofErr w:type="spellStart"/>
      <w:r w:rsidRPr="00225D4D">
        <w:t>Innst</w:t>
      </w:r>
      <w:proofErr w:type="spellEnd"/>
      <w:r w:rsidRPr="00225D4D">
        <w:t xml:space="preserve">. 513 S (2024–2025). Regjeringa vil vurdere korleis vedtaket skal </w:t>
      </w:r>
      <w:proofErr w:type="spellStart"/>
      <w:r w:rsidRPr="00225D4D">
        <w:t>følgjast</w:t>
      </w:r>
      <w:proofErr w:type="spellEnd"/>
      <w:r w:rsidRPr="00225D4D">
        <w:t xml:space="preserve"> opp og planlegg å </w:t>
      </w:r>
      <w:proofErr w:type="spellStart"/>
      <w:r w:rsidRPr="00225D4D">
        <w:t>kome</w:t>
      </w:r>
      <w:proofErr w:type="spellEnd"/>
      <w:r w:rsidRPr="00225D4D">
        <w:t xml:space="preserve"> tilbake til Stortinget i Finansmarkedsmeldingen 2026.</w:t>
      </w:r>
    </w:p>
    <w:p w14:paraId="4295BE4A" w14:textId="77777777" w:rsidR="00D60186" w:rsidRPr="00225D4D" w:rsidRDefault="00D60186" w:rsidP="00225D4D">
      <w:pPr>
        <w:pStyle w:val="avsnitt-tittel"/>
      </w:pPr>
      <w:r w:rsidRPr="00225D4D">
        <w:t xml:space="preserve">Oppfølging av </w:t>
      </w:r>
      <w:proofErr w:type="spellStart"/>
      <w:r w:rsidRPr="00225D4D">
        <w:t>forskriftsendringar</w:t>
      </w:r>
      <w:proofErr w:type="spellEnd"/>
      <w:r w:rsidRPr="00225D4D">
        <w:t xml:space="preserve"> om valutasikring av </w:t>
      </w:r>
      <w:proofErr w:type="spellStart"/>
      <w:r w:rsidRPr="00225D4D">
        <w:t>andelsklassar</w:t>
      </w:r>
      <w:proofErr w:type="spellEnd"/>
    </w:p>
    <w:p w14:paraId="05B1EDBC" w14:textId="77777777" w:rsidR="00D60186" w:rsidRPr="00225D4D" w:rsidRDefault="00D60186" w:rsidP="00225D4D">
      <w:pPr>
        <w:pStyle w:val="avsnitt-undertittel"/>
      </w:pPr>
      <w:r w:rsidRPr="00225D4D">
        <w:t>Vedtak nr. 995, 11. juni 2025</w:t>
      </w:r>
    </w:p>
    <w:p w14:paraId="15F9F867" w14:textId="77777777" w:rsidR="00D60186" w:rsidRPr="00225D4D" w:rsidRDefault="00D60186" w:rsidP="00225D4D">
      <w:pPr>
        <w:pStyle w:val="blokksit"/>
        <w:rPr>
          <w:rStyle w:val="kursiv"/>
        </w:rPr>
      </w:pPr>
      <w:r w:rsidRPr="00225D4D">
        <w:rPr>
          <w:rStyle w:val="kursiv"/>
        </w:rPr>
        <w:t>«Stortinget ber regjeringen følge opp forskriftsendringene rundt valutasikring av andelsklasser og vurdere eventuelle endringer og rapportere tilbake til Stortinget om dette seinest i forbindelse med neste års finansmarkedsmelding.»</w:t>
      </w:r>
    </w:p>
    <w:p w14:paraId="31BB3640"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Meld. St. 26 (2024–2025) </w:t>
      </w:r>
      <w:r w:rsidRPr="00225D4D">
        <w:rPr>
          <w:rStyle w:val="kursiv"/>
        </w:rPr>
        <w:t>Finansmarkedsmeldingen 2025</w:t>
      </w:r>
      <w:r w:rsidRPr="00225D4D">
        <w:t xml:space="preserve">, jf. </w:t>
      </w:r>
      <w:proofErr w:type="spellStart"/>
      <w:r w:rsidRPr="00225D4D">
        <w:t>Innst</w:t>
      </w:r>
      <w:proofErr w:type="spellEnd"/>
      <w:r w:rsidRPr="00225D4D">
        <w:t xml:space="preserve">. 513 S (2024–2025). Regjeringa vil vurdere korleis vedtaket skal </w:t>
      </w:r>
      <w:proofErr w:type="spellStart"/>
      <w:r w:rsidRPr="00225D4D">
        <w:t>følgjast</w:t>
      </w:r>
      <w:proofErr w:type="spellEnd"/>
      <w:r w:rsidRPr="00225D4D">
        <w:t xml:space="preserve"> opp og planlegg å </w:t>
      </w:r>
      <w:proofErr w:type="spellStart"/>
      <w:r w:rsidRPr="00225D4D">
        <w:t>kome</w:t>
      </w:r>
      <w:proofErr w:type="spellEnd"/>
      <w:r w:rsidRPr="00225D4D">
        <w:t xml:space="preserve"> tilbake til Stortinget i Finansmarkedsmeldingen 2026.</w:t>
      </w:r>
    </w:p>
    <w:p w14:paraId="761CFCE1" w14:textId="77777777" w:rsidR="00D60186" w:rsidRPr="00225D4D" w:rsidRDefault="00D60186" w:rsidP="00225D4D">
      <w:pPr>
        <w:pStyle w:val="avsnitt-tittel"/>
      </w:pPr>
      <w:proofErr w:type="spellStart"/>
      <w:r w:rsidRPr="00225D4D">
        <w:t>Klargjere</w:t>
      </w:r>
      <w:proofErr w:type="spellEnd"/>
      <w:r w:rsidRPr="00225D4D">
        <w:t xml:space="preserve"> </w:t>
      </w:r>
      <w:proofErr w:type="spellStart"/>
      <w:r w:rsidRPr="00225D4D">
        <w:t>skattereglane</w:t>
      </w:r>
      <w:proofErr w:type="spellEnd"/>
      <w:r w:rsidRPr="00225D4D">
        <w:t xml:space="preserve"> for elev- og ungdomsbedrifter</w:t>
      </w:r>
    </w:p>
    <w:p w14:paraId="511E3674" w14:textId="77777777" w:rsidR="00D60186" w:rsidRPr="00225D4D" w:rsidRDefault="00D60186" w:rsidP="00225D4D">
      <w:pPr>
        <w:pStyle w:val="avsnitt-undertittel"/>
      </w:pPr>
      <w:r w:rsidRPr="00225D4D">
        <w:t>Vedtak nr. 1224, 20. juni 2025</w:t>
      </w:r>
    </w:p>
    <w:p w14:paraId="0F1BDD94" w14:textId="77777777" w:rsidR="00D60186" w:rsidRPr="00225D4D" w:rsidRDefault="00D60186" w:rsidP="00225D4D">
      <w:pPr>
        <w:pStyle w:val="blokksit"/>
        <w:rPr>
          <w:rStyle w:val="kursiv"/>
        </w:rPr>
      </w:pPr>
      <w:r w:rsidRPr="00225D4D">
        <w:rPr>
          <w:rStyle w:val="kursiv"/>
        </w:rPr>
        <w:t>«Stortinget ber regjeringen komme tilbake til Stortinget i statsbudsjettet for 2026 med en klargjøring av skattereglene for elev- og ungdomsbedrifter.»</w:t>
      </w:r>
    </w:p>
    <w:p w14:paraId="3B103DA6"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revidert nasjonalbudsjett 2025, jf. </w:t>
      </w:r>
      <w:proofErr w:type="spellStart"/>
      <w:r w:rsidRPr="00225D4D">
        <w:t>Innst</w:t>
      </w:r>
      <w:proofErr w:type="spellEnd"/>
      <w:r w:rsidRPr="00225D4D">
        <w:t xml:space="preserve">. 540 S (2024–2025). Departementet </w:t>
      </w:r>
      <w:proofErr w:type="spellStart"/>
      <w:r w:rsidRPr="00225D4D">
        <w:t>legg</w:t>
      </w:r>
      <w:proofErr w:type="spellEnd"/>
      <w:r w:rsidRPr="00225D4D">
        <w:t xml:space="preserve"> til grunn at oppmodingsvedtaket er </w:t>
      </w:r>
      <w:proofErr w:type="spellStart"/>
      <w:r w:rsidRPr="00225D4D">
        <w:t>følgt</w:t>
      </w:r>
      <w:proofErr w:type="spellEnd"/>
      <w:r w:rsidRPr="00225D4D">
        <w:t xml:space="preserve"> opp gjennom omtale i </w:t>
      </w:r>
      <w:proofErr w:type="spellStart"/>
      <w:r w:rsidRPr="00225D4D">
        <w:t>Prop</w:t>
      </w:r>
      <w:proofErr w:type="spellEnd"/>
      <w:r w:rsidRPr="00225D4D">
        <w:t>. 1 LS (2025–2026), kapittel 21.</w:t>
      </w:r>
    </w:p>
    <w:p w14:paraId="7919DCB2" w14:textId="77777777" w:rsidR="00D60186" w:rsidRPr="00225D4D" w:rsidRDefault="00D60186" w:rsidP="00225D4D">
      <w:pPr>
        <w:pStyle w:val="avsnitt-tittel"/>
      </w:pPr>
      <w:r w:rsidRPr="00225D4D">
        <w:t>Førebu reduksjon i matmomsen</w:t>
      </w:r>
    </w:p>
    <w:p w14:paraId="70349F3C" w14:textId="77777777" w:rsidR="00D60186" w:rsidRPr="00225D4D" w:rsidRDefault="00D60186" w:rsidP="00225D4D">
      <w:pPr>
        <w:pStyle w:val="avsnitt-undertittel"/>
      </w:pPr>
      <w:r w:rsidRPr="00225D4D">
        <w:t>Vedtak nr. 1232, 20. juni 2025</w:t>
      </w:r>
    </w:p>
    <w:p w14:paraId="2DCDA354" w14:textId="77777777" w:rsidR="00D60186" w:rsidRPr="00225D4D" w:rsidRDefault="00D60186" w:rsidP="00225D4D">
      <w:pPr>
        <w:pStyle w:val="blokksit"/>
        <w:rPr>
          <w:rStyle w:val="kursiv"/>
        </w:rPr>
      </w:pPr>
      <w:r w:rsidRPr="00225D4D">
        <w:rPr>
          <w:rStyle w:val="kursiv"/>
        </w:rPr>
        <w:t>«Stortinget ber regjeringen gjøre forberedelser slik at en reduksjon i matmomssatsen kan gjennomføres raskt dersom Stortinget vedtar det i forbindelse med statsbudsjettet for 2026.»</w:t>
      </w:r>
    </w:p>
    <w:p w14:paraId="44FFA1F6"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revidert nasjonalbudsjettet for 2025, jf. </w:t>
      </w:r>
      <w:proofErr w:type="spellStart"/>
      <w:r w:rsidRPr="00225D4D">
        <w:t>Innst</w:t>
      </w:r>
      <w:proofErr w:type="spellEnd"/>
      <w:r w:rsidRPr="00225D4D">
        <w:t xml:space="preserve">. 540 S (2024–2025). 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 gjennom omtale i </w:t>
      </w:r>
      <w:proofErr w:type="spellStart"/>
      <w:r w:rsidRPr="00225D4D">
        <w:t>Prop</w:t>
      </w:r>
      <w:proofErr w:type="spellEnd"/>
      <w:r w:rsidRPr="00225D4D">
        <w:t>. 1 LS (2025–2026), kapittel 27.</w:t>
      </w:r>
    </w:p>
    <w:p w14:paraId="1DF5290B" w14:textId="77777777" w:rsidR="00D60186" w:rsidRPr="00225D4D" w:rsidRDefault="00D60186" w:rsidP="00225D4D">
      <w:pPr>
        <w:pStyle w:val="avsnitt-tittel"/>
      </w:pPr>
      <w:proofErr w:type="spellStart"/>
      <w:r w:rsidRPr="00225D4D">
        <w:t>Virkningar</w:t>
      </w:r>
      <w:proofErr w:type="spellEnd"/>
      <w:r w:rsidRPr="00225D4D">
        <w:t xml:space="preserve"> av redusert matmoms</w:t>
      </w:r>
    </w:p>
    <w:p w14:paraId="61345A32" w14:textId="77777777" w:rsidR="00D60186" w:rsidRPr="00225D4D" w:rsidRDefault="00D60186" w:rsidP="00225D4D">
      <w:pPr>
        <w:pStyle w:val="avsnitt-undertittel"/>
      </w:pPr>
      <w:r w:rsidRPr="00225D4D">
        <w:t>Vedtak nr. 1233, 20. juni 2025</w:t>
      </w:r>
    </w:p>
    <w:p w14:paraId="307509C8" w14:textId="77777777" w:rsidR="00D60186" w:rsidRPr="00225D4D" w:rsidRDefault="00D60186" w:rsidP="00225D4D">
      <w:pPr>
        <w:pStyle w:val="blokksit"/>
        <w:rPr>
          <w:rStyle w:val="kursiv"/>
        </w:rPr>
      </w:pPr>
      <w:r w:rsidRPr="00225D4D">
        <w:rPr>
          <w:rStyle w:val="kursiv"/>
        </w:rPr>
        <w:t>«Stortinget ber regjeringen frem til 1. november 2025 utrede hvilken betydning en redusert sats for merverdiavgift på næringsmidler kan få for blant annet matvarepriser, grensehandel, grad av prisnedgang og fordelingseffekter av et slik tiltak. Utredningen skal også gi en oversikt over hvordan matvarer er avgiftsbelagt i andre land.»</w:t>
      </w:r>
    </w:p>
    <w:p w14:paraId="1504FA6D"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revidert nasjonalbudsjettet for 2025, jf. </w:t>
      </w:r>
      <w:proofErr w:type="spellStart"/>
      <w:r w:rsidRPr="00225D4D">
        <w:t>Innst</w:t>
      </w:r>
      <w:proofErr w:type="spellEnd"/>
      <w:r w:rsidRPr="00225D4D">
        <w:t xml:space="preserve">. 540 S (2024–2025). 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 gjennom omtale i </w:t>
      </w:r>
      <w:proofErr w:type="spellStart"/>
      <w:r w:rsidRPr="00225D4D">
        <w:t>Prop</w:t>
      </w:r>
      <w:proofErr w:type="spellEnd"/>
      <w:r w:rsidRPr="00225D4D">
        <w:t>. 1 LS (2025–2026), kapittel 27.</w:t>
      </w:r>
    </w:p>
    <w:p w14:paraId="7B07E6FC" w14:textId="77777777" w:rsidR="00D60186" w:rsidRPr="00225D4D" w:rsidRDefault="00D60186" w:rsidP="00225D4D">
      <w:pPr>
        <w:pStyle w:val="avsnitt-tittel"/>
      </w:pPr>
      <w:r w:rsidRPr="00225D4D">
        <w:t xml:space="preserve">Bevare </w:t>
      </w:r>
      <w:proofErr w:type="spellStart"/>
      <w:r w:rsidRPr="00225D4D">
        <w:t>Enova</w:t>
      </w:r>
      <w:proofErr w:type="spellEnd"/>
      <w:r w:rsidRPr="00225D4D">
        <w:t>-avgiften og redusere elavgiften</w:t>
      </w:r>
    </w:p>
    <w:p w14:paraId="79354502" w14:textId="77777777" w:rsidR="00D60186" w:rsidRPr="00225D4D" w:rsidRDefault="00D60186" w:rsidP="00225D4D">
      <w:pPr>
        <w:pStyle w:val="avsnitt-undertittel"/>
      </w:pPr>
      <w:r w:rsidRPr="00225D4D">
        <w:t>Vedtak nr. 1239, 20. juni 2025</w:t>
      </w:r>
    </w:p>
    <w:p w14:paraId="0BA55A7C" w14:textId="77777777" w:rsidR="00D60186" w:rsidRPr="00225D4D" w:rsidRDefault="00D60186" w:rsidP="00225D4D">
      <w:pPr>
        <w:pStyle w:val="blokksit"/>
        <w:rPr>
          <w:rStyle w:val="kursiv"/>
        </w:rPr>
      </w:pPr>
      <w:r w:rsidRPr="00225D4D">
        <w:rPr>
          <w:rStyle w:val="kursiv"/>
        </w:rPr>
        <w:t xml:space="preserve">«Stortinget ber regjeringen videreføre </w:t>
      </w:r>
      <w:proofErr w:type="spellStart"/>
      <w:r w:rsidRPr="00225D4D">
        <w:rPr>
          <w:rStyle w:val="kursiv"/>
        </w:rPr>
        <w:t>Enova</w:t>
      </w:r>
      <w:proofErr w:type="spellEnd"/>
      <w:r w:rsidRPr="00225D4D">
        <w:rPr>
          <w:rStyle w:val="kursiv"/>
        </w:rPr>
        <w:t xml:space="preserve">-avgiften og foreslå å redusere elavgiften med tilsvarende proveny som </w:t>
      </w:r>
      <w:proofErr w:type="spellStart"/>
      <w:r w:rsidRPr="00225D4D">
        <w:rPr>
          <w:rStyle w:val="kursiv"/>
        </w:rPr>
        <w:t>Enova</w:t>
      </w:r>
      <w:proofErr w:type="spellEnd"/>
      <w:r w:rsidRPr="00225D4D">
        <w:rPr>
          <w:rStyle w:val="kursiv"/>
        </w:rPr>
        <w:t>-avgiften i 2026.»</w:t>
      </w:r>
    </w:p>
    <w:p w14:paraId="618D0B28"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revidert nasjonalbudsjettet for 2025, jf. </w:t>
      </w:r>
      <w:proofErr w:type="spellStart"/>
      <w:r w:rsidRPr="00225D4D">
        <w:t>Innst</w:t>
      </w:r>
      <w:proofErr w:type="spellEnd"/>
      <w:r w:rsidRPr="00225D4D">
        <w:t xml:space="preserve">. 540 S (2024–2025). 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 gjennom omtale i </w:t>
      </w:r>
      <w:proofErr w:type="spellStart"/>
      <w:r w:rsidRPr="00225D4D">
        <w:t>Prop</w:t>
      </w:r>
      <w:proofErr w:type="spellEnd"/>
      <w:r w:rsidRPr="00225D4D">
        <w:t>. 1 LS (2025–2026), kapittel 13.</w:t>
      </w:r>
    </w:p>
    <w:p w14:paraId="7AF1DBA3" w14:textId="77777777" w:rsidR="00D60186" w:rsidRPr="00225D4D" w:rsidRDefault="00D60186" w:rsidP="00225D4D">
      <w:pPr>
        <w:pStyle w:val="avsnitt-tittel"/>
      </w:pPr>
      <w:r w:rsidRPr="00225D4D">
        <w:t>Jordbrukskonto</w:t>
      </w:r>
    </w:p>
    <w:p w14:paraId="2B8401D0" w14:textId="77777777" w:rsidR="00D60186" w:rsidRPr="00225D4D" w:rsidRDefault="00D60186" w:rsidP="00225D4D">
      <w:pPr>
        <w:pStyle w:val="avsnitt-undertittel"/>
      </w:pPr>
      <w:r w:rsidRPr="00225D4D">
        <w:t>Vedtak nr. 1240, 20. juni 2025</w:t>
      </w:r>
    </w:p>
    <w:p w14:paraId="02465D4F" w14:textId="77777777" w:rsidR="00D60186" w:rsidRPr="00225D4D" w:rsidRDefault="00D60186" w:rsidP="00225D4D">
      <w:pPr>
        <w:pStyle w:val="blokksit"/>
        <w:rPr>
          <w:rStyle w:val="kursiv"/>
        </w:rPr>
      </w:pPr>
      <w:r w:rsidRPr="00225D4D">
        <w:rPr>
          <w:rStyle w:val="kursiv"/>
        </w:rPr>
        <w:t>«Stortinget ber regjeringen redusere grensen for inntektsføring i jordbrukskonto fra 85 til 80 prosent fra 1. januar 2026.»</w:t>
      </w:r>
    </w:p>
    <w:p w14:paraId="607663E2"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revidert nasjonalbudsjett 2025, jf. </w:t>
      </w:r>
      <w:proofErr w:type="spellStart"/>
      <w:r w:rsidRPr="00225D4D">
        <w:t>Innst</w:t>
      </w:r>
      <w:proofErr w:type="spellEnd"/>
      <w:r w:rsidRPr="00225D4D">
        <w:t xml:space="preserve">. 540 S (2024–2025). Departementet </w:t>
      </w:r>
      <w:proofErr w:type="spellStart"/>
      <w:r w:rsidRPr="00225D4D">
        <w:t>legg</w:t>
      </w:r>
      <w:proofErr w:type="spellEnd"/>
      <w:r w:rsidRPr="00225D4D">
        <w:t xml:space="preserve"> til grunn at oppmodingsvedtaket er </w:t>
      </w:r>
      <w:proofErr w:type="spellStart"/>
      <w:r w:rsidRPr="00225D4D">
        <w:t>følgt</w:t>
      </w:r>
      <w:proofErr w:type="spellEnd"/>
      <w:r w:rsidRPr="00225D4D">
        <w:t xml:space="preserve"> opp gjennom omtale i </w:t>
      </w:r>
      <w:proofErr w:type="spellStart"/>
      <w:r w:rsidRPr="00225D4D">
        <w:t>Prop</w:t>
      </w:r>
      <w:proofErr w:type="spellEnd"/>
      <w:r w:rsidRPr="00225D4D">
        <w:t>. 1 LS (2025–2026), kapittel 10.</w:t>
      </w:r>
    </w:p>
    <w:p w14:paraId="38E2BA2F" w14:textId="77777777" w:rsidR="00D60186" w:rsidRPr="00225D4D" w:rsidRDefault="00D60186" w:rsidP="00225D4D">
      <w:pPr>
        <w:pStyle w:val="avsnitt-tittel"/>
      </w:pPr>
      <w:r w:rsidRPr="00225D4D">
        <w:t>Skattlegging av firmabil</w:t>
      </w:r>
    </w:p>
    <w:p w14:paraId="6D0D68D3" w14:textId="77777777" w:rsidR="00D60186" w:rsidRPr="00225D4D" w:rsidRDefault="00D60186" w:rsidP="00225D4D">
      <w:pPr>
        <w:pStyle w:val="avsnitt-undertittel"/>
      </w:pPr>
      <w:r w:rsidRPr="00225D4D">
        <w:t>Vedtak nr. 1254, 20. juni 2025</w:t>
      </w:r>
    </w:p>
    <w:p w14:paraId="367B58FE" w14:textId="77777777" w:rsidR="00D60186" w:rsidRPr="00225D4D" w:rsidRDefault="00D60186" w:rsidP="00225D4D">
      <w:pPr>
        <w:pStyle w:val="blokksit"/>
        <w:rPr>
          <w:rStyle w:val="kursiv"/>
        </w:rPr>
      </w:pPr>
      <w:r w:rsidRPr="00225D4D">
        <w:rPr>
          <w:rStyle w:val="kursiv"/>
        </w:rPr>
        <w:t>«Stortinget ber regjeringen foreta en full gjennomgang av firmabilbeskatningen for å sørge for at regelverket gir riktig fordelsbeskatning i tråd med skattelovens prinsipper.»</w:t>
      </w:r>
    </w:p>
    <w:p w14:paraId="3511E94E"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Dokument 8:150 S (2024–2025), jf. </w:t>
      </w:r>
      <w:proofErr w:type="spellStart"/>
      <w:r w:rsidRPr="00225D4D">
        <w:t>Innst</w:t>
      </w:r>
      <w:proofErr w:type="spellEnd"/>
      <w:r w:rsidRPr="00225D4D">
        <w:t xml:space="preserve">. 543 S (2024–2025). Oppmodingsvedtaket er førebels </w:t>
      </w:r>
      <w:proofErr w:type="spellStart"/>
      <w:r w:rsidRPr="00225D4D">
        <w:t>omtala</w:t>
      </w:r>
      <w:proofErr w:type="spellEnd"/>
      <w:r w:rsidRPr="00225D4D">
        <w:t xml:space="preserve"> i </w:t>
      </w:r>
      <w:proofErr w:type="spellStart"/>
      <w:r w:rsidRPr="00225D4D">
        <w:t>Prop</w:t>
      </w:r>
      <w:proofErr w:type="spellEnd"/>
      <w:r w:rsidRPr="00225D4D">
        <w:t>. 1 LS (2025–2026), kapittel 22.</w:t>
      </w:r>
    </w:p>
    <w:p w14:paraId="0B3037CC" w14:textId="77777777" w:rsidR="00D60186" w:rsidRPr="00225D4D" w:rsidRDefault="00D60186" w:rsidP="00225D4D">
      <w:pPr>
        <w:pStyle w:val="Overskrift2"/>
      </w:pPr>
      <w:r w:rsidRPr="00225D4D">
        <w:t>Stortingssesjon 2023–2024</w:t>
      </w:r>
    </w:p>
    <w:p w14:paraId="53D93425" w14:textId="77777777" w:rsidR="00D60186" w:rsidRPr="00225D4D" w:rsidRDefault="00D60186" w:rsidP="00225D4D">
      <w:pPr>
        <w:pStyle w:val="avsnitt-tittel"/>
      </w:pPr>
      <w:proofErr w:type="spellStart"/>
      <w:r w:rsidRPr="00225D4D">
        <w:t>Skjermingsfrådrag</w:t>
      </w:r>
      <w:proofErr w:type="spellEnd"/>
    </w:p>
    <w:p w14:paraId="4EB261A2" w14:textId="77777777" w:rsidR="00D60186" w:rsidRPr="00225D4D" w:rsidRDefault="00D60186" w:rsidP="00225D4D">
      <w:pPr>
        <w:pStyle w:val="avsnitt-undertittel"/>
      </w:pPr>
      <w:r w:rsidRPr="00225D4D">
        <w:t>Vedtak nr. 89, 4. desember 2023</w:t>
      </w:r>
    </w:p>
    <w:p w14:paraId="2C5856CC" w14:textId="77777777" w:rsidR="00D60186" w:rsidRPr="00225D4D" w:rsidRDefault="00D60186" w:rsidP="00225D4D">
      <w:pPr>
        <w:pStyle w:val="blokksit"/>
        <w:rPr>
          <w:rStyle w:val="kursiv"/>
        </w:rPr>
      </w:pPr>
      <w:r w:rsidRPr="00225D4D">
        <w:rPr>
          <w:rStyle w:val="kursiv"/>
        </w:rPr>
        <w:t>«Stortinget ber regjeringen utrede nivået på fastsettelsen av skjermingsfradraget, herunder påslaget, i aksjonærmodellen, jf. Skatteutvalget.»</w:t>
      </w:r>
    </w:p>
    <w:p w14:paraId="5406ACDF"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nasjonalbudsjettet for 2024 og framlegg til statsbudsjett for 2024, jf. </w:t>
      </w:r>
      <w:proofErr w:type="spellStart"/>
      <w:r w:rsidRPr="00225D4D">
        <w:t>Innst</w:t>
      </w:r>
      <w:proofErr w:type="spellEnd"/>
      <w:r w:rsidRPr="00225D4D">
        <w:t xml:space="preserve">. 2 S (2023–2024). Departementet </w:t>
      </w:r>
      <w:proofErr w:type="spellStart"/>
      <w:r w:rsidRPr="00225D4D">
        <w:t>legg</w:t>
      </w:r>
      <w:proofErr w:type="spellEnd"/>
      <w:r w:rsidRPr="00225D4D">
        <w:t xml:space="preserve"> til grunn at oppmodingsvedtaket er </w:t>
      </w:r>
      <w:proofErr w:type="spellStart"/>
      <w:r w:rsidRPr="00225D4D">
        <w:t>følgt</w:t>
      </w:r>
      <w:proofErr w:type="spellEnd"/>
      <w:r w:rsidRPr="00225D4D">
        <w:t xml:space="preserve"> opp gjennom omtale i </w:t>
      </w:r>
      <w:proofErr w:type="spellStart"/>
      <w:r w:rsidRPr="00225D4D">
        <w:t>Prop</w:t>
      </w:r>
      <w:proofErr w:type="spellEnd"/>
      <w:r w:rsidRPr="00225D4D">
        <w:t>. 145 LS (2024–2025), kapittel 11.3.</w:t>
      </w:r>
    </w:p>
    <w:p w14:paraId="1F22BBE8" w14:textId="77777777" w:rsidR="00D60186" w:rsidRPr="00225D4D" w:rsidRDefault="00D60186" w:rsidP="00225D4D">
      <w:pPr>
        <w:pStyle w:val="avsnitt-tittel"/>
      </w:pPr>
      <w:r w:rsidRPr="00225D4D">
        <w:t xml:space="preserve">Nivået på </w:t>
      </w:r>
      <w:proofErr w:type="spellStart"/>
      <w:r w:rsidRPr="00225D4D">
        <w:t>treprosentregelen</w:t>
      </w:r>
      <w:proofErr w:type="spellEnd"/>
      <w:r w:rsidRPr="00225D4D">
        <w:t xml:space="preserve"> i fritaksmetoden</w:t>
      </w:r>
    </w:p>
    <w:p w14:paraId="128F8568" w14:textId="77777777" w:rsidR="00D60186" w:rsidRPr="00225D4D" w:rsidRDefault="00D60186" w:rsidP="00225D4D">
      <w:pPr>
        <w:pStyle w:val="avsnitt-undertittel"/>
      </w:pPr>
      <w:r w:rsidRPr="00225D4D">
        <w:t>Vedtak nr. 90, 4. desember 2023</w:t>
      </w:r>
    </w:p>
    <w:p w14:paraId="26FD9D42" w14:textId="77777777" w:rsidR="00D60186" w:rsidRPr="00225D4D" w:rsidRDefault="00D60186" w:rsidP="00225D4D">
      <w:pPr>
        <w:pStyle w:val="blokksit"/>
        <w:rPr>
          <w:rStyle w:val="kursiv"/>
        </w:rPr>
      </w:pPr>
      <w:r w:rsidRPr="00225D4D">
        <w:rPr>
          <w:rStyle w:val="kursiv"/>
        </w:rPr>
        <w:t xml:space="preserve">«Stortinget ber regjeringen utrede nivået på </w:t>
      </w:r>
      <w:proofErr w:type="spellStart"/>
      <w:r w:rsidRPr="00225D4D">
        <w:rPr>
          <w:rStyle w:val="kursiv"/>
        </w:rPr>
        <w:t>treprosentregelen</w:t>
      </w:r>
      <w:proofErr w:type="spellEnd"/>
      <w:r w:rsidRPr="00225D4D">
        <w:rPr>
          <w:rStyle w:val="kursiv"/>
        </w:rPr>
        <w:t xml:space="preserve"> i fritaksmetoden, jf. Skatteutvalget.»</w:t>
      </w:r>
    </w:p>
    <w:p w14:paraId="6A86A279"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Meld. St. 1 (2023–2024). Departementet </w:t>
      </w:r>
      <w:proofErr w:type="spellStart"/>
      <w:r w:rsidRPr="00225D4D">
        <w:t>legg</w:t>
      </w:r>
      <w:proofErr w:type="spellEnd"/>
      <w:r w:rsidRPr="00225D4D">
        <w:t xml:space="preserve"> til grunn at oppmodingsvedtaket er </w:t>
      </w:r>
      <w:proofErr w:type="spellStart"/>
      <w:r w:rsidRPr="00225D4D">
        <w:t>følgt</w:t>
      </w:r>
      <w:proofErr w:type="spellEnd"/>
      <w:r w:rsidRPr="00225D4D">
        <w:t xml:space="preserve"> opp gjennom omtale i </w:t>
      </w:r>
      <w:proofErr w:type="spellStart"/>
      <w:r w:rsidRPr="00225D4D">
        <w:t>Prop</w:t>
      </w:r>
      <w:proofErr w:type="spellEnd"/>
      <w:r w:rsidRPr="00225D4D">
        <w:t>. 145 LS (2024–2025), kapittel 11.4.</w:t>
      </w:r>
    </w:p>
    <w:p w14:paraId="4A13F052" w14:textId="77777777" w:rsidR="00D60186" w:rsidRPr="00225D4D" w:rsidRDefault="00D60186" w:rsidP="00225D4D">
      <w:pPr>
        <w:pStyle w:val="avsnitt-tittel"/>
      </w:pPr>
      <w:r w:rsidRPr="00225D4D">
        <w:t xml:space="preserve">Register over reelle </w:t>
      </w:r>
      <w:proofErr w:type="spellStart"/>
      <w:r w:rsidRPr="00225D4D">
        <w:t>rettshavarar</w:t>
      </w:r>
      <w:proofErr w:type="spellEnd"/>
    </w:p>
    <w:p w14:paraId="79F756FF" w14:textId="77777777" w:rsidR="00D60186" w:rsidRPr="00225D4D" w:rsidRDefault="00D60186" w:rsidP="00225D4D">
      <w:pPr>
        <w:pStyle w:val="avsnitt-undertittel"/>
      </w:pPr>
      <w:r w:rsidRPr="00225D4D">
        <w:t>Vedtak nr. 522, 14. mars 2024</w:t>
      </w:r>
    </w:p>
    <w:p w14:paraId="20D17358" w14:textId="77777777" w:rsidR="00D60186" w:rsidRPr="00225D4D" w:rsidRDefault="00D60186" w:rsidP="00225D4D">
      <w:pPr>
        <w:pStyle w:val="blokksit"/>
        <w:rPr>
          <w:rStyle w:val="kursiv"/>
        </w:rPr>
      </w:pPr>
      <w:r w:rsidRPr="00225D4D">
        <w:rPr>
          <w:rStyle w:val="kursiv"/>
        </w:rPr>
        <w:t>«Stortinget ber regjeringen raskest mulig sluttføre arbeidet med et utvidet register over reelle rettighetshavere.»</w:t>
      </w:r>
    </w:p>
    <w:p w14:paraId="1E42B071"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Dokument 8:11 S (2023–2024), jf. </w:t>
      </w:r>
      <w:proofErr w:type="spellStart"/>
      <w:r w:rsidRPr="00225D4D">
        <w:t>Innst</w:t>
      </w:r>
      <w:proofErr w:type="spellEnd"/>
      <w:r w:rsidRPr="00225D4D">
        <w:t xml:space="preserve">. 211 S (2023–2024). Finansdepartementet sette i november 2024 ned ei arbeidsgruppe for å vurdere gjennomføringa av den nye antikvitvaskingspakka til EU, som </w:t>
      </w:r>
      <w:proofErr w:type="spellStart"/>
      <w:r w:rsidRPr="00225D4D">
        <w:t>vart</w:t>
      </w:r>
      <w:proofErr w:type="spellEnd"/>
      <w:r w:rsidRPr="00225D4D">
        <w:t xml:space="preserve"> vedtatt i juni 2024 og som inkluderer nye krav til mellom anna register over reelle </w:t>
      </w:r>
      <w:proofErr w:type="spellStart"/>
      <w:r w:rsidRPr="00225D4D">
        <w:t>rettshavarar</w:t>
      </w:r>
      <w:proofErr w:type="spellEnd"/>
      <w:r w:rsidRPr="00225D4D">
        <w:t xml:space="preserve">. Arbeidsgruppa har frist til 31. desember 2025 med å levere </w:t>
      </w:r>
      <w:proofErr w:type="spellStart"/>
      <w:r w:rsidRPr="00225D4D">
        <w:t>si</w:t>
      </w:r>
      <w:proofErr w:type="spellEnd"/>
      <w:r w:rsidRPr="00225D4D">
        <w:t xml:space="preserve"> vurdering. Departementet </w:t>
      </w:r>
      <w:proofErr w:type="spellStart"/>
      <w:r w:rsidRPr="00225D4D">
        <w:t>tek</w:t>
      </w:r>
      <w:proofErr w:type="spellEnd"/>
      <w:r w:rsidRPr="00225D4D">
        <w:t xml:space="preserve"> sikte på at vedtaket vil </w:t>
      </w:r>
      <w:proofErr w:type="spellStart"/>
      <w:r w:rsidRPr="00225D4D">
        <w:t>verte</w:t>
      </w:r>
      <w:proofErr w:type="spellEnd"/>
      <w:r w:rsidRPr="00225D4D">
        <w:t xml:space="preserve"> </w:t>
      </w:r>
      <w:proofErr w:type="spellStart"/>
      <w:r w:rsidRPr="00225D4D">
        <w:t>følgt</w:t>
      </w:r>
      <w:proofErr w:type="spellEnd"/>
      <w:r w:rsidRPr="00225D4D">
        <w:t xml:space="preserve"> opp i samband med oppfølging av arbeidsgruppa </w:t>
      </w:r>
      <w:proofErr w:type="spellStart"/>
      <w:r w:rsidRPr="00225D4D">
        <w:t>si</w:t>
      </w:r>
      <w:proofErr w:type="spellEnd"/>
      <w:r w:rsidRPr="00225D4D">
        <w:t xml:space="preserve"> rapport.</w:t>
      </w:r>
    </w:p>
    <w:p w14:paraId="7F779EBC" w14:textId="77777777" w:rsidR="00D60186" w:rsidRPr="00225D4D" w:rsidRDefault="00D60186" w:rsidP="00225D4D">
      <w:pPr>
        <w:pStyle w:val="avsnitt-tittel"/>
      </w:pPr>
      <w:r w:rsidRPr="00225D4D">
        <w:t>Ny fakturaordning</w:t>
      </w:r>
    </w:p>
    <w:p w14:paraId="2B11A1A3" w14:textId="77777777" w:rsidR="00D60186" w:rsidRPr="00225D4D" w:rsidRDefault="00D60186" w:rsidP="00225D4D">
      <w:pPr>
        <w:pStyle w:val="avsnitt-undertittel"/>
      </w:pPr>
      <w:r w:rsidRPr="00225D4D">
        <w:t>Vedtak nr. 752, 12. juni 2024</w:t>
      </w:r>
    </w:p>
    <w:p w14:paraId="5E72B01F" w14:textId="77777777" w:rsidR="00D60186" w:rsidRPr="00225D4D" w:rsidRDefault="00D60186" w:rsidP="00225D4D">
      <w:pPr>
        <w:pStyle w:val="blokksit"/>
        <w:rPr>
          <w:rStyle w:val="kursiv"/>
        </w:rPr>
      </w:pPr>
      <w:r w:rsidRPr="00225D4D">
        <w:rPr>
          <w:rStyle w:val="kursiv"/>
        </w:rPr>
        <w:t>«Stortinget ber regjeringen utrede en fakturaordning med QR-kode etter inspirasjon fra andre europeiske land, og komme tilbake til Stortinget senest innen revidert nasjonalbudsjett for 2025»</w:t>
      </w:r>
    </w:p>
    <w:p w14:paraId="70DB8128" w14:textId="77777777" w:rsidR="00D60186" w:rsidRPr="00225D4D" w:rsidRDefault="00D60186" w:rsidP="00225D4D">
      <w:r w:rsidRPr="00225D4D">
        <w:t xml:space="preserve">Vedtaket </w:t>
      </w:r>
      <w:proofErr w:type="spellStart"/>
      <w:r w:rsidRPr="00225D4D">
        <w:t>vart</w:t>
      </w:r>
      <w:proofErr w:type="spellEnd"/>
      <w:r w:rsidRPr="00225D4D">
        <w:t xml:space="preserve"> gjort 12. juni 2024 i </w:t>
      </w:r>
      <w:proofErr w:type="spellStart"/>
      <w:r w:rsidRPr="00225D4D">
        <w:t>medhald</w:t>
      </w:r>
      <w:proofErr w:type="spellEnd"/>
      <w:r w:rsidRPr="00225D4D">
        <w:t xml:space="preserve"> av Stortingets forretningsorden § 14, nr. 8, bokstav b samstundes med </w:t>
      </w:r>
      <w:proofErr w:type="spellStart"/>
      <w:r w:rsidRPr="00225D4D">
        <w:t>behandlinga</w:t>
      </w:r>
      <w:proofErr w:type="spellEnd"/>
      <w:r w:rsidRPr="00225D4D">
        <w:t xml:space="preserve"> av Meld. St. 15 (2023–2024), jf. </w:t>
      </w:r>
      <w:proofErr w:type="spellStart"/>
      <w:r w:rsidRPr="00225D4D">
        <w:t>Innst</w:t>
      </w:r>
      <w:proofErr w:type="spellEnd"/>
      <w:r w:rsidRPr="00225D4D">
        <w:t xml:space="preserve">. 412 S (2023–2024). 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 gjennom omtale i Meld. St. 1 (2025–2026) </w:t>
      </w:r>
      <w:r w:rsidRPr="00225D4D">
        <w:rPr>
          <w:rStyle w:val="kursiv"/>
        </w:rPr>
        <w:t>Nasjonalbudsjettet 2026</w:t>
      </w:r>
      <w:r w:rsidRPr="00225D4D">
        <w:t>, kapittel 4.</w:t>
      </w:r>
    </w:p>
    <w:p w14:paraId="2FF6CAF3" w14:textId="77777777" w:rsidR="00D60186" w:rsidRPr="00225D4D" w:rsidRDefault="00D60186" w:rsidP="00225D4D">
      <w:pPr>
        <w:pStyle w:val="avsnitt-tittel"/>
      </w:pPr>
      <w:proofErr w:type="spellStart"/>
      <w:r w:rsidRPr="00225D4D">
        <w:t>Eigedomsmeklarar</w:t>
      </w:r>
      <w:proofErr w:type="spellEnd"/>
      <w:r w:rsidRPr="00225D4D">
        <w:t xml:space="preserve"> sin </w:t>
      </w:r>
      <w:proofErr w:type="spellStart"/>
      <w:r w:rsidRPr="00225D4D">
        <w:t>tilgjenge</w:t>
      </w:r>
      <w:proofErr w:type="spellEnd"/>
      <w:r w:rsidRPr="00225D4D">
        <w:t xml:space="preserve"> til </w:t>
      </w:r>
      <w:proofErr w:type="spellStart"/>
      <w:r w:rsidRPr="00225D4D">
        <w:t>offentlege</w:t>
      </w:r>
      <w:proofErr w:type="spellEnd"/>
      <w:r w:rsidRPr="00225D4D">
        <w:t xml:space="preserve"> </w:t>
      </w:r>
      <w:proofErr w:type="spellStart"/>
      <w:r w:rsidRPr="00225D4D">
        <w:t>databasar</w:t>
      </w:r>
      <w:proofErr w:type="spellEnd"/>
      <w:r w:rsidRPr="00225D4D">
        <w:t>, mellom anna folkeregisteret</w:t>
      </w:r>
    </w:p>
    <w:p w14:paraId="29D4AA04" w14:textId="77777777" w:rsidR="00D60186" w:rsidRPr="00225D4D" w:rsidRDefault="00D60186" w:rsidP="00225D4D">
      <w:pPr>
        <w:pStyle w:val="avsnitt-undertittel"/>
      </w:pPr>
      <w:r w:rsidRPr="00225D4D">
        <w:t>Vedtak nr. 759, 12. juni 2024</w:t>
      </w:r>
    </w:p>
    <w:p w14:paraId="5E8B17D8" w14:textId="77777777" w:rsidR="00D60186" w:rsidRPr="00225D4D" w:rsidRDefault="00D60186" w:rsidP="00225D4D">
      <w:pPr>
        <w:pStyle w:val="blokksit"/>
        <w:rPr>
          <w:rStyle w:val="kursiv"/>
        </w:rPr>
      </w:pPr>
      <w:r w:rsidRPr="00225D4D">
        <w:rPr>
          <w:rStyle w:val="kursiv"/>
        </w:rPr>
        <w:t>«Stortinget ber regjeringen utrede om eiendomsmeklere bør gis tilgang til offentlige databaser, herunder folkeregisteret.»</w:t>
      </w:r>
    </w:p>
    <w:p w14:paraId="191EA2BF"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Meld. St. 15 (2023–2024), jf. </w:t>
      </w:r>
      <w:proofErr w:type="spellStart"/>
      <w:r w:rsidRPr="00225D4D">
        <w:t>Innst</w:t>
      </w:r>
      <w:proofErr w:type="spellEnd"/>
      <w:r w:rsidRPr="00225D4D">
        <w:t xml:space="preserve">. 412 S (2023–2024). Finansdepartementet gav i januar 2025 Finanstilsynet i oppdrag å utarbeide </w:t>
      </w:r>
      <w:proofErr w:type="spellStart"/>
      <w:r w:rsidRPr="00225D4D">
        <w:t>eit</w:t>
      </w:r>
      <w:proofErr w:type="spellEnd"/>
      <w:r w:rsidRPr="00225D4D">
        <w:t xml:space="preserve"> </w:t>
      </w:r>
      <w:proofErr w:type="spellStart"/>
      <w:r w:rsidRPr="00225D4D">
        <w:t>høyringsnotat</w:t>
      </w:r>
      <w:proofErr w:type="spellEnd"/>
      <w:r w:rsidRPr="00225D4D">
        <w:t xml:space="preserve"> som vurderer mellom anna om </w:t>
      </w:r>
      <w:proofErr w:type="spellStart"/>
      <w:r w:rsidRPr="00225D4D">
        <w:t>eigedomsmeklarar</w:t>
      </w:r>
      <w:proofErr w:type="spellEnd"/>
      <w:r w:rsidRPr="00225D4D">
        <w:t xml:space="preserve"> bør få tilgang til </w:t>
      </w:r>
      <w:proofErr w:type="spellStart"/>
      <w:r w:rsidRPr="00225D4D">
        <w:t>opplysningar</w:t>
      </w:r>
      <w:proofErr w:type="spellEnd"/>
      <w:r w:rsidRPr="00225D4D">
        <w:t xml:space="preserve"> </w:t>
      </w:r>
      <w:proofErr w:type="spellStart"/>
      <w:r w:rsidRPr="00225D4D">
        <w:t>frå</w:t>
      </w:r>
      <w:proofErr w:type="spellEnd"/>
      <w:r w:rsidRPr="00225D4D">
        <w:t xml:space="preserve"> Folkeregisteret. Departementet </w:t>
      </w:r>
      <w:proofErr w:type="spellStart"/>
      <w:r w:rsidRPr="00225D4D">
        <w:t>tek</w:t>
      </w:r>
      <w:proofErr w:type="spellEnd"/>
      <w:r w:rsidRPr="00225D4D">
        <w:t xml:space="preserve"> sikte på å sende det på </w:t>
      </w:r>
      <w:proofErr w:type="spellStart"/>
      <w:r w:rsidRPr="00225D4D">
        <w:t>høyring</w:t>
      </w:r>
      <w:proofErr w:type="spellEnd"/>
      <w:r w:rsidRPr="00225D4D">
        <w:t xml:space="preserve"> og deretter vurdere </w:t>
      </w:r>
      <w:proofErr w:type="spellStart"/>
      <w:r w:rsidRPr="00225D4D">
        <w:t>vidare</w:t>
      </w:r>
      <w:proofErr w:type="spellEnd"/>
      <w:r w:rsidRPr="00225D4D">
        <w:t xml:space="preserve"> oppfølging i lys av </w:t>
      </w:r>
      <w:proofErr w:type="spellStart"/>
      <w:r w:rsidRPr="00225D4D">
        <w:t>høyringa</w:t>
      </w:r>
      <w:proofErr w:type="spellEnd"/>
      <w:r w:rsidRPr="00225D4D">
        <w:t>.</w:t>
      </w:r>
    </w:p>
    <w:p w14:paraId="475634BB" w14:textId="77777777" w:rsidR="00D60186" w:rsidRPr="00225D4D" w:rsidRDefault="00D60186" w:rsidP="00225D4D">
      <w:pPr>
        <w:pStyle w:val="avsnitt-tittel"/>
      </w:pPr>
      <w:r w:rsidRPr="00225D4D">
        <w:t xml:space="preserve">Utveksling av informasjon mellom </w:t>
      </w:r>
      <w:proofErr w:type="spellStart"/>
      <w:r w:rsidRPr="00225D4D">
        <w:t>eigedomsmeklarar</w:t>
      </w:r>
      <w:proofErr w:type="spellEnd"/>
      <w:r w:rsidRPr="00225D4D">
        <w:t xml:space="preserve"> og </w:t>
      </w:r>
      <w:proofErr w:type="spellStart"/>
      <w:r w:rsidRPr="00225D4D">
        <w:t>bankar</w:t>
      </w:r>
      <w:proofErr w:type="spellEnd"/>
      <w:r w:rsidRPr="00225D4D">
        <w:t xml:space="preserve"> om </w:t>
      </w:r>
      <w:proofErr w:type="spellStart"/>
      <w:r w:rsidRPr="00225D4D">
        <w:t>mistenkelege</w:t>
      </w:r>
      <w:proofErr w:type="spellEnd"/>
      <w:r w:rsidRPr="00225D4D">
        <w:t xml:space="preserve"> forhold</w:t>
      </w:r>
    </w:p>
    <w:p w14:paraId="5131BE61" w14:textId="77777777" w:rsidR="00D60186" w:rsidRPr="00225D4D" w:rsidRDefault="00D60186" w:rsidP="00225D4D">
      <w:pPr>
        <w:pStyle w:val="avsnitt-undertittel"/>
      </w:pPr>
      <w:r w:rsidRPr="00225D4D">
        <w:t>Vedtak nr. 760, 12. juni 2024</w:t>
      </w:r>
    </w:p>
    <w:p w14:paraId="7C615DE9" w14:textId="77777777" w:rsidR="00D60186" w:rsidRPr="00225D4D" w:rsidRDefault="00D60186" w:rsidP="00225D4D">
      <w:pPr>
        <w:pStyle w:val="blokksit"/>
        <w:rPr>
          <w:rStyle w:val="kursiv"/>
        </w:rPr>
      </w:pPr>
      <w:r w:rsidRPr="00225D4D">
        <w:rPr>
          <w:rStyle w:val="kursiv"/>
        </w:rPr>
        <w:t>«Stortinget ber regjeringen utrede om eiendomsmeklere bør gis rett til å utveksle informasjon med banker om mistenkelige forhold.»</w:t>
      </w:r>
    </w:p>
    <w:p w14:paraId="3E5CA935"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Meld. St. 15 (2023–2024), jf. </w:t>
      </w:r>
      <w:proofErr w:type="spellStart"/>
      <w:r w:rsidRPr="00225D4D">
        <w:t>Innst</w:t>
      </w:r>
      <w:proofErr w:type="spellEnd"/>
      <w:r w:rsidRPr="00225D4D">
        <w:t xml:space="preserve">. 412 S (2023–2024). Finansdepartementet sette i november 2024 ned ei arbeidsgruppe for å vurdere gjennomføringa av den nye antikvitvaskingspakka til EU, som </w:t>
      </w:r>
      <w:proofErr w:type="spellStart"/>
      <w:r w:rsidRPr="00225D4D">
        <w:t>vart</w:t>
      </w:r>
      <w:proofErr w:type="spellEnd"/>
      <w:r w:rsidRPr="00225D4D">
        <w:t xml:space="preserve"> vedtatt i juni 2024 og som inkluderer mellom anna </w:t>
      </w:r>
      <w:proofErr w:type="spellStart"/>
      <w:r w:rsidRPr="00225D4D">
        <w:t>reglar</w:t>
      </w:r>
      <w:proofErr w:type="spellEnd"/>
      <w:r w:rsidRPr="00225D4D">
        <w:t xml:space="preserve"> om deling av </w:t>
      </w:r>
      <w:proofErr w:type="spellStart"/>
      <w:r w:rsidRPr="00225D4D">
        <w:t>opplysingar</w:t>
      </w:r>
      <w:proofErr w:type="spellEnd"/>
      <w:r w:rsidRPr="00225D4D">
        <w:t xml:space="preserve">. Arbeidsgruppa har frist til 31. desember 2025 med å levere </w:t>
      </w:r>
      <w:proofErr w:type="spellStart"/>
      <w:r w:rsidRPr="00225D4D">
        <w:t>si</w:t>
      </w:r>
      <w:proofErr w:type="spellEnd"/>
      <w:r w:rsidRPr="00225D4D">
        <w:t xml:space="preserve"> vurdering. Departementet </w:t>
      </w:r>
      <w:proofErr w:type="spellStart"/>
      <w:r w:rsidRPr="00225D4D">
        <w:t>tek</w:t>
      </w:r>
      <w:proofErr w:type="spellEnd"/>
      <w:r w:rsidRPr="00225D4D">
        <w:t xml:space="preserve"> sikte på at vedtaket vil </w:t>
      </w:r>
      <w:proofErr w:type="spellStart"/>
      <w:r w:rsidRPr="00225D4D">
        <w:t>verte</w:t>
      </w:r>
      <w:proofErr w:type="spellEnd"/>
      <w:r w:rsidRPr="00225D4D">
        <w:t xml:space="preserve"> </w:t>
      </w:r>
      <w:proofErr w:type="spellStart"/>
      <w:r w:rsidRPr="00225D4D">
        <w:t>følgt</w:t>
      </w:r>
      <w:proofErr w:type="spellEnd"/>
      <w:r w:rsidRPr="00225D4D">
        <w:t xml:space="preserve"> opp i samband med oppfølging av arbeidsgruppa </w:t>
      </w:r>
      <w:proofErr w:type="spellStart"/>
      <w:r w:rsidRPr="00225D4D">
        <w:t>si</w:t>
      </w:r>
      <w:proofErr w:type="spellEnd"/>
      <w:r w:rsidRPr="00225D4D">
        <w:t xml:space="preserve"> rapport.</w:t>
      </w:r>
    </w:p>
    <w:p w14:paraId="03D42FF2" w14:textId="77777777" w:rsidR="00D60186" w:rsidRPr="00225D4D" w:rsidRDefault="00D60186" w:rsidP="00225D4D">
      <w:pPr>
        <w:pStyle w:val="avsnitt-tittel"/>
      </w:pPr>
      <w:proofErr w:type="spellStart"/>
      <w:r w:rsidRPr="00225D4D">
        <w:t>Eigedomsskatt</w:t>
      </w:r>
      <w:proofErr w:type="spellEnd"/>
      <w:r w:rsidRPr="00225D4D">
        <w:t xml:space="preserve"> – differensierte </w:t>
      </w:r>
      <w:proofErr w:type="spellStart"/>
      <w:r w:rsidRPr="00225D4D">
        <w:t>satsar</w:t>
      </w:r>
      <w:proofErr w:type="spellEnd"/>
    </w:p>
    <w:p w14:paraId="7E401AA5" w14:textId="77777777" w:rsidR="00D60186" w:rsidRPr="00225D4D" w:rsidRDefault="00D60186" w:rsidP="00225D4D">
      <w:pPr>
        <w:pStyle w:val="avsnitt-undertittel"/>
      </w:pPr>
      <w:r w:rsidRPr="00225D4D">
        <w:t>Vedtak nr. 812, 19. juni 2024</w:t>
      </w:r>
    </w:p>
    <w:p w14:paraId="7C4B33EF" w14:textId="77777777" w:rsidR="00D60186" w:rsidRPr="00225D4D" w:rsidRDefault="00D60186" w:rsidP="00225D4D">
      <w:pPr>
        <w:pStyle w:val="blokksit"/>
        <w:rPr>
          <w:rStyle w:val="kursiv"/>
        </w:rPr>
      </w:pPr>
      <w:r w:rsidRPr="00225D4D">
        <w:rPr>
          <w:rStyle w:val="kursiv"/>
        </w:rPr>
        <w:t>«Stortinget ber regjeringen utrede endringer i regelverket slik at det blir mulig for kommunene å sette ulike skattesatser for sekundær-, fritids- og primærboliger.»</w:t>
      </w:r>
    </w:p>
    <w:p w14:paraId="6C144BBC"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Prop</w:t>
      </w:r>
      <w:proofErr w:type="spellEnd"/>
      <w:r w:rsidRPr="00225D4D">
        <w:t xml:space="preserve">. 102 S (2023–2024) </w:t>
      </w:r>
      <w:r w:rsidRPr="00225D4D">
        <w:rPr>
          <w:rStyle w:val="kursiv"/>
        </w:rPr>
        <w:t>Kommuneproposisjonen for 2025</w:t>
      </w:r>
      <w:r w:rsidRPr="00225D4D">
        <w:t xml:space="preserve">, jf. </w:t>
      </w:r>
      <w:proofErr w:type="spellStart"/>
      <w:r w:rsidRPr="00225D4D">
        <w:t>Innst</w:t>
      </w:r>
      <w:proofErr w:type="spellEnd"/>
      <w:r w:rsidRPr="00225D4D">
        <w:t xml:space="preserve">. 440 S (2023–2024). Regjeringa vil vurdere korleis vedtaket skal </w:t>
      </w:r>
      <w:proofErr w:type="spellStart"/>
      <w:r w:rsidRPr="00225D4D">
        <w:t>følgjast</w:t>
      </w:r>
      <w:proofErr w:type="spellEnd"/>
      <w:r w:rsidRPr="00225D4D">
        <w:t xml:space="preserve"> opp og </w:t>
      </w:r>
      <w:proofErr w:type="spellStart"/>
      <w:r w:rsidRPr="00225D4D">
        <w:t>tek</w:t>
      </w:r>
      <w:proofErr w:type="spellEnd"/>
      <w:r w:rsidRPr="00225D4D">
        <w:t xml:space="preserve"> sikte på å </w:t>
      </w:r>
      <w:proofErr w:type="spellStart"/>
      <w:r w:rsidRPr="00225D4D">
        <w:t>kome</w:t>
      </w:r>
      <w:proofErr w:type="spellEnd"/>
      <w:r w:rsidRPr="00225D4D">
        <w:t xml:space="preserve"> tilbake til Stortinget på egna måte.</w:t>
      </w:r>
    </w:p>
    <w:p w14:paraId="61AA6B7F" w14:textId="77777777" w:rsidR="00D60186" w:rsidRPr="00225D4D" w:rsidRDefault="00D60186" w:rsidP="00225D4D">
      <w:pPr>
        <w:pStyle w:val="avsnitt-tittel"/>
      </w:pPr>
      <w:r w:rsidRPr="00225D4D">
        <w:t xml:space="preserve">Evaluering av </w:t>
      </w:r>
      <w:proofErr w:type="spellStart"/>
      <w:r w:rsidRPr="00225D4D">
        <w:t>renteavgrensningsreglane</w:t>
      </w:r>
      <w:proofErr w:type="spellEnd"/>
    </w:p>
    <w:p w14:paraId="61EADF3F" w14:textId="77777777" w:rsidR="00D60186" w:rsidRPr="00225D4D" w:rsidRDefault="00D60186" w:rsidP="00225D4D">
      <w:pPr>
        <w:pStyle w:val="avsnitt-undertittel"/>
      </w:pPr>
      <w:r w:rsidRPr="00225D4D">
        <w:t>Vedtak nr. 920, 21. juni 2024</w:t>
      </w:r>
    </w:p>
    <w:p w14:paraId="0A835440" w14:textId="77777777" w:rsidR="00D60186" w:rsidRPr="00225D4D" w:rsidRDefault="00D60186" w:rsidP="00225D4D">
      <w:pPr>
        <w:pStyle w:val="blokksit"/>
        <w:rPr>
          <w:rStyle w:val="kursiv"/>
        </w:rPr>
      </w:pPr>
      <w:r w:rsidRPr="00225D4D">
        <w:rPr>
          <w:rStyle w:val="kursiv"/>
        </w:rPr>
        <w:t>«Stortinget ber regjeringen på egnet tidspunkt og senest i 2025 påbegynne en evaluering av hvordan rentebegrensningsreglene har fungert, i tråd med skatteutvalgets anbefalinger. Evalueringen skal inkludere skattemyndighetenes erfaringer og administrative kostnader knyttet til å skulle kontrollere unntaksbestemmelsen i praksis.»</w:t>
      </w:r>
    </w:p>
    <w:p w14:paraId="6B43BEFD"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revidert nasjonalbudsjett for 2024, jf. </w:t>
      </w:r>
      <w:proofErr w:type="spellStart"/>
      <w:r w:rsidRPr="00225D4D">
        <w:t>Innst</w:t>
      </w:r>
      <w:proofErr w:type="spellEnd"/>
      <w:r w:rsidRPr="00225D4D">
        <w:t xml:space="preserve">. 447 S (2023–2024). Regjeringa vil vurdere korleis vedtaket skal </w:t>
      </w:r>
      <w:proofErr w:type="spellStart"/>
      <w:r w:rsidRPr="00225D4D">
        <w:t>følgjast</w:t>
      </w:r>
      <w:proofErr w:type="spellEnd"/>
      <w:r w:rsidRPr="00225D4D">
        <w:t xml:space="preserve"> opp og </w:t>
      </w:r>
      <w:proofErr w:type="spellStart"/>
      <w:r w:rsidRPr="00225D4D">
        <w:t>tek</w:t>
      </w:r>
      <w:proofErr w:type="spellEnd"/>
      <w:r w:rsidRPr="00225D4D">
        <w:t xml:space="preserve"> sikte på å </w:t>
      </w:r>
      <w:proofErr w:type="spellStart"/>
      <w:r w:rsidRPr="00225D4D">
        <w:t>kome</w:t>
      </w:r>
      <w:proofErr w:type="spellEnd"/>
      <w:r w:rsidRPr="00225D4D">
        <w:t xml:space="preserve"> tilbake til Stortinget ved </w:t>
      </w:r>
      <w:proofErr w:type="spellStart"/>
      <w:r w:rsidRPr="00225D4D">
        <w:t>eit</w:t>
      </w:r>
      <w:proofErr w:type="spellEnd"/>
      <w:r w:rsidRPr="00225D4D">
        <w:t xml:space="preserve"> </w:t>
      </w:r>
      <w:proofErr w:type="spellStart"/>
      <w:r w:rsidRPr="00225D4D">
        <w:t>passande</w:t>
      </w:r>
      <w:proofErr w:type="spellEnd"/>
      <w:r w:rsidRPr="00225D4D">
        <w:t xml:space="preserve"> høve.</w:t>
      </w:r>
    </w:p>
    <w:p w14:paraId="2102E267" w14:textId="77777777" w:rsidR="00D60186" w:rsidRPr="00225D4D" w:rsidRDefault="00D60186" w:rsidP="00225D4D">
      <w:pPr>
        <w:pStyle w:val="avsnitt-tittel"/>
      </w:pPr>
      <w:r w:rsidRPr="00225D4D">
        <w:t>Utviding av kjeldeskatt på renter og royalty mv.</w:t>
      </w:r>
    </w:p>
    <w:p w14:paraId="06B451E1" w14:textId="77777777" w:rsidR="00D60186" w:rsidRPr="00225D4D" w:rsidRDefault="00D60186" w:rsidP="00225D4D">
      <w:pPr>
        <w:pStyle w:val="avsnitt-undertittel"/>
      </w:pPr>
      <w:r w:rsidRPr="00225D4D">
        <w:t>Vedtak nr. 921, 21. juni 2024</w:t>
      </w:r>
    </w:p>
    <w:p w14:paraId="4EB5CAA7" w14:textId="77777777" w:rsidR="00D60186" w:rsidRPr="00225D4D" w:rsidRDefault="00D60186" w:rsidP="00225D4D">
      <w:pPr>
        <w:pStyle w:val="blokksit"/>
        <w:rPr>
          <w:rStyle w:val="kursiv"/>
        </w:rPr>
      </w:pPr>
      <w:r w:rsidRPr="00225D4D">
        <w:rPr>
          <w:rStyle w:val="kursiv"/>
        </w:rPr>
        <w:t>«Stortinget ber regjeringen utrede en utvidelse av kildeskatten til også å gjelde betalinger til land som ikke regnes som lavskatteland.»</w:t>
      </w:r>
    </w:p>
    <w:p w14:paraId="2F2C3F10"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revidert nasjonalbudsjett for 2024, jf. </w:t>
      </w:r>
      <w:proofErr w:type="spellStart"/>
      <w:r w:rsidRPr="00225D4D">
        <w:t>Innst</w:t>
      </w:r>
      <w:proofErr w:type="spellEnd"/>
      <w:r w:rsidRPr="00225D4D">
        <w:t xml:space="preserve">. 447 S (2023–2024). Regjeringa vil greie ut om </w:t>
      </w:r>
      <w:proofErr w:type="spellStart"/>
      <w:r w:rsidRPr="00225D4D">
        <w:t>ein</w:t>
      </w:r>
      <w:proofErr w:type="spellEnd"/>
      <w:r w:rsidRPr="00225D4D">
        <w:t xml:space="preserve"> bør utvide kjeldeskatten til òg å gjelde </w:t>
      </w:r>
      <w:proofErr w:type="spellStart"/>
      <w:r w:rsidRPr="00225D4D">
        <w:t>betalingar</w:t>
      </w:r>
      <w:proofErr w:type="spellEnd"/>
      <w:r w:rsidRPr="00225D4D">
        <w:t xml:space="preserve"> til land som </w:t>
      </w:r>
      <w:proofErr w:type="spellStart"/>
      <w:r w:rsidRPr="00225D4D">
        <w:t>ikkje</w:t>
      </w:r>
      <w:proofErr w:type="spellEnd"/>
      <w:r w:rsidRPr="00225D4D">
        <w:t xml:space="preserve"> </w:t>
      </w:r>
      <w:proofErr w:type="spellStart"/>
      <w:r w:rsidRPr="00225D4D">
        <w:t>reknast</w:t>
      </w:r>
      <w:proofErr w:type="spellEnd"/>
      <w:r w:rsidRPr="00225D4D">
        <w:t xml:space="preserve"> som land med låg skatt. </w:t>
      </w:r>
      <w:proofErr w:type="spellStart"/>
      <w:r w:rsidRPr="00225D4D">
        <w:t>Ein</w:t>
      </w:r>
      <w:proofErr w:type="spellEnd"/>
      <w:r w:rsidRPr="00225D4D">
        <w:t xml:space="preserve"> </w:t>
      </w:r>
      <w:proofErr w:type="spellStart"/>
      <w:r w:rsidRPr="00225D4D">
        <w:t>tek</w:t>
      </w:r>
      <w:proofErr w:type="spellEnd"/>
      <w:r w:rsidRPr="00225D4D">
        <w:t xml:space="preserve"> sikte på å </w:t>
      </w:r>
      <w:proofErr w:type="spellStart"/>
      <w:r w:rsidRPr="00225D4D">
        <w:t>kome</w:t>
      </w:r>
      <w:proofErr w:type="spellEnd"/>
      <w:r w:rsidRPr="00225D4D">
        <w:t xml:space="preserve"> tilbake til Stortinget med ei vurdering.</w:t>
      </w:r>
    </w:p>
    <w:p w14:paraId="4F7C0CD9" w14:textId="77777777" w:rsidR="00D60186" w:rsidRPr="00225D4D" w:rsidRDefault="00D60186" w:rsidP="00225D4D">
      <w:pPr>
        <w:pStyle w:val="avsnitt-tittel"/>
      </w:pPr>
      <w:r w:rsidRPr="00225D4D">
        <w:t xml:space="preserve">Trafikkforsikringsavgift – fritak for lette elektriske </w:t>
      </w:r>
      <w:proofErr w:type="spellStart"/>
      <w:r w:rsidRPr="00225D4D">
        <w:t>varebilar</w:t>
      </w:r>
      <w:proofErr w:type="spellEnd"/>
    </w:p>
    <w:p w14:paraId="6505B7F9" w14:textId="77777777" w:rsidR="00D60186" w:rsidRPr="00225D4D" w:rsidRDefault="00D60186" w:rsidP="00225D4D">
      <w:pPr>
        <w:pStyle w:val="avsnitt-undertittel"/>
      </w:pPr>
      <w:r w:rsidRPr="00225D4D">
        <w:t>Vedtak nr. 922, 21. juni 2024</w:t>
      </w:r>
    </w:p>
    <w:p w14:paraId="276FAED0" w14:textId="77777777" w:rsidR="00D60186" w:rsidRPr="00225D4D" w:rsidRDefault="00D60186" w:rsidP="00225D4D">
      <w:pPr>
        <w:pStyle w:val="blokksit"/>
        <w:rPr>
          <w:rStyle w:val="kursiv"/>
        </w:rPr>
      </w:pPr>
      <w:r w:rsidRPr="00225D4D">
        <w:rPr>
          <w:rStyle w:val="kursiv"/>
        </w:rPr>
        <w:t>«Stortinget ber regjeringen i forbindelse med statsbudsjettet for 2025 foreslå å gi lette el-varebiler fritak for trafikkforsikringsavgift, med forbehold om notifisering og godkjenning av ESA.»</w:t>
      </w:r>
    </w:p>
    <w:p w14:paraId="029235DC"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Prop</w:t>
      </w:r>
      <w:proofErr w:type="spellEnd"/>
      <w:r w:rsidRPr="00225D4D">
        <w:t xml:space="preserve">. 103 LS (2023–2024) </w:t>
      </w:r>
      <w:proofErr w:type="spellStart"/>
      <w:r w:rsidRPr="00225D4D">
        <w:rPr>
          <w:rStyle w:val="kursiv"/>
        </w:rPr>
        <w:t>Endringar</w:t>
      </w:r>
      <w:proofErr w:type="spellEnd"/>
      <w:r w:rsidRPr="00225D4D">
        <w:rPr>
          <w:rStyle w:val="kursiv"/>
        </w:rPr>
        <w:t xml:space="preserve"> i skatte- og avgiftslovgivinga</w:t>
      </w:r>
      <w:r w:rsidRPr="00225D4D">
        <w:t xml:space="preserve">, jf. </w:t>
      </w:r>
      <w:proofErr w:type="spellStart"/>
      <w:r w:rsidRPr="00225D4D">
        <w:t>Innst</w:t>
      </w:r>
      <w:proofErr w:type="spellEnd"/>
      <w:r w:rsidRPr="00225D4D">
        <w:t xml:space="preserve">. 438 L (2023–2024). Regjeringa </w:t>
      </w:r>
      <w:proofErr w:type="spellStart"/>
      <w:r w:rsidRPr="00225D4D">
        <w:t>gjer</w:t>
      </w:r>
      <w:proofErr w:type="spellEnd"/>
      <w:r w:rsidRPr="00225D4D">
        <w:t xml:space="preserve"> i </w:t>
      </w:r>
      <w:proofErr w:type="spellStart"/>
      <w:proofErr w:type="gramStart"/>
      <w:r w:rsidRPr="00225D4D">
        <w:t>Prop</w:t>
      </w:r>
      <w:proofErr w:type="spellEnd"/>
      <w:r w:rsidRPr="00225D4D">
        <w:t xml:space="preserve"> .</w:t>
      </w:r>
      <w:proofErr w:type="gramEnd"/>
      <w:r w:rsidRPr="00225D4D">
        <w:t xml:space="preserve"> 1 LS (2025–2026) framlegg om å frita lette elektriske </w:t>
      </w:r>
      <w:proofErr w:type="spellStart"/>
      <w:r w:rsidRPr="00225D4D">
        <w:t>varebilar</w:t>
      </w:r>
      <w:proofErr w:type="spellEnd"/>
      <w:r w:rsidRPr="00225D4D">
        <w:t xml:space="preserve"> </w:t>
      </w:r>
      <w:proofErr w:type="spellStart"/>
      <w:r w:rsidRPr="00225D4D">
        <w:t>frå</w:t>
      </w:r>
      <w:proofErr w:type="spellEnd"/>
      <w:r w:rsidRPr="00225D4D">
        <w:t xml:space="preserve"> trafikkforsikringsavgift. Det er gitt </w:t>
      </w:r>
      <w:proofErr w:type="gramStart"/>
      <w:r w:rsidRPr="00225D4D">
        <w:t>ei omtale</w:t>
      </w:r>
      <w:proofErr w:type="gramEnd"/>
      <w:r w:rsidRPr="00225D4D">
        <w:t xml:space="preserve"> av saka i </w:t>
      </w:r>
      <w:proofErr w:type="spellStart"/>
      <w:r w:rsidRPr="00225D4D">
        <w:t>Prop</w:t>
      </w:r>
      <w:proofErr w:type="spellEnd"/>
      <w:r w:rsidRPr="00225D4D">
        <w:t>. 145 LS (2024–2025) kapittel 11.2.</w:t>
      </w:r>
    </w:p>
    <w:p w14:paraId="3E28F9A9" w14:textId="77777777" w:rsidR="00D60186" w:rsidRPr="00225D4D" w:rsidRDefault="00D60186" w:rsidP="00225D4D">
      <w:pPr>
        <w:pStyle w:val="Overskrift2"/>
      </w:pPr>
      <w:r w:rsidRPr="00225D4D">
        <w:t>Stortingssesjon 2022–2023</w:t>
      </w:r>
    </w:p>
    <w:p w14:paraId="44FE9FD7" w14:textId="77777777" w:rsidR="00D60186" w:rsidRPr="00225D4D" w:rsidRDefault="00D60186" w:rsidP="00225D4D">
      <w:pPr>
        <w:pStyle w:val="avsnitt-tittel"/>
      </w:pPr>
      <w:r w:rsidRPr="00225D4D">
        <w:t>Turistskatt</w:t>
      </w:r>
    </w:p>
    <w:p w14:paraId="7746C49B" w14:textId="77777777" w:rsidR="00D60186" w:rsidRPr="00225D4D" w:rsidRDefault="00D60186" w:rsidP="00225D4D">
      <w:pPr>
        <w:pStyle w:val="avsnitt-undertittel"/>
      </w:pPr>
      <w:r w:rsidRPr="00225D4D">
        <w:t>Vedtak nr. 83, 1. desember 2022</w:t>
      </w:r>
    </w:p>
    <w:p w14:paraId="70F175C7" w14:textId="77777777" w:rsidR="00D60186" w:rsidRPr="00225D4D" w:rsidRDefault="00D60186" w:rsidP="00225D4D">
      <w:pPr>
        <w:pStyle w:val="blokksit"/>
        <w:rPr>
          <w:rStyle w:val="kursiv"/>
        </w:rPr>
      </w:pPr>
      <w:r w:rsidRPr="00225D4D">
        <w:rPr>
          <w:rStyle w:val="kursiv"/>
        </w:rPr>
        <w:t>«Stortinget ber regjeringen fremme forslag om en kommunal/statlig turistskatt senest i forbindelse med statsbudsjettet for 2024.»</w:t>
      </w:r>
    </w:p>
    <w:p w14:paraId="7A403CB7"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endring av </w:t>
      </w:r>
      <w:proofErr w:type="spellStart"/>
      <w:r w:rsidRPr="00225D4D">
        <w:t>Prop</w:t>
      </w:r>
      <w:proofErr w:type="spellEnd"/>
      <w:r w:rsidRPr="00225D4D">
        <w:t xml:space="preserve">. 1 S (2022–2023) og </w:t>
      </w:r>
      <w:proofErr w:type="spellStart"/>
      <w:r w:rsidRPr="00225D4D">
        <w:t>Prop</w:t>
      </w:r>
      <w:proofErr w:type="spellEnd"/>
      <w:r w:rsidRPr="00225D4D">
        <w:t xml:space="preserve">. 1 LS (2022–2023), jf. </w:t>
      </w:r>
      <w:proofErr w:type="spellStart"/>
      <w:r w:rsidRPr="00225D4D">
        <w:t>Innst</w:t>
      </w:r>
      <w:proofErr w:type="spellEnd"/>
      <w:r w:rsidRPr="00225D4D">
        <w:t xml:space="preserve">. 5 S (2022–2023). Regjeringa har </w:t>
      </w:r>
      <w:proofErr w:type="spellStart"/>
      <w:r w:rsidRPr="00225D4D">
        <w:t>følgt</w:t>
      </w:r>
      <w:proofErr w:type="spellEnd"/>
      <w:r w:rsidRPr="00225D4D">
        <w:t xml:space="preserve"> opp </w:t>
      </w:r>
      <w:proofErr w:type="spellStart"/>
      <w:r w:rsidRPr="00225D4D">
        <w:t>oppmodningsvedtaket</w:t>
      </w:r>
      <w:proofErr w:type="spellEnd"/>
      <w:r w:rsidRPr="00225D4D">
        <w:t xml:space="preserve"> i </w:t>
      </w:r>
      <w:proofErr w:type="spellStart"/>
      <w:r w:rsidRPr="00225D4D">
        <w:t>Prop</w:t>
      </w:r>
      <w:proofErr w:type="spellEnd"/>
      <w:r w:rsidRPr="00225D4D">
        <w:t xml:space="preserve">. 96 L (2024–2025) </w:t>
      </w:r>
      <w:r w:rsidRPr="00225D4D">
        <w:rPr>
          <w:rStyle w:val="kursiv"/>
        </w:rPr>
        <w:t>Lov om besøksbidrag</w:t>
      </w:r>
      <w:r w:rsidRPr="00225D4D">
        <w:t xml:space="preserve">, jf. </w:t>
      </w:r>
      <w:proofErr w:type="spellStart"/>
      <w:r w:rsidRPr="00225D4D">
        <w:t>Innst</w:t>
      </w:r>
      <w:proofErr w:type="spellEnd"/>
      <w:r w:rsidRPr="00225D4D">
        <w:t>. 452 L (2024–2025).</w:t>
      </w:r>
    </w:p>
    <w:p w14:paraId="0D662834" w14:textId="77777777" w:rsidR="00D60186" w:rsidRPr="00225D4D" w:rsidRDefault="00D60186" w:rsidP="00225D4D">
      <w:pPr>
        <w:pStyle w:val="avsnitt-tittel"/>
      </w:pPr>
      <w:proofErr w:type="spellStart"/>
      <w:r w:rsidRPr="00225D4D">
        <w:t>Eingongsavgift</w:t>
      </w:r>
      <w:proofErr w:type="spellEnd"/>
      <w:r w:rsidRPr="00225D4D">
        <w:t xml:space="preserve"> på tunge </w:t>
      </w:r>
      <w:proofErr w:type="spellStart"/>
      <w:r w:rsidRPr="00225D4D">
        <w:t>køyretøy</w:t>
      </w:r>
      <w:proofErr w:type="spellEnd"/>
    </w:p>
    <w:p w14:paraId="2320FFC6" w14:textId="77777777" w:rsidR="00D60186" w:rsidRPr="00225D4D" w:rsidRDefault="00D60186" w:rsidP="00225D4D">
      <w:pPr>
        <w:pStyle w:val="avsnitt-undertittel"/>
      </w:pPr>
      <w:r w:rsidRPr="00225D4D">
        <w:t>Vedtak nr. 91, 1. desember 2022</w:t>
      </w:r>
    </w:p>
    <w:p w14:paraId="44012133" w14:textId="77777777" w:rsidR="00D60186" w:rsidRPr="00225D4D" w:rsidRDefault="00D60186" w:rsidP="00225D4D">
      <w:pPr>
        <w:pStyle w:val="blokksit"/>
        <w:rPr>
          <w:rStyle w:val="kursiv"/>
        </w:rPr>
      </w:pPr>
      <w:r w:rsidRPr="00225D4D">
        <w:rPr>
          <w:rStyle w:val="kursiv"/>
        </w:rPr>
        <w:t>«Stortinget ber regjeringen utrede engangsavgift på fossile lastebiler, busser og andre tunge kjøretøy i forbindelse med statsbudsjettet for 2024.»</w:t>
      </w:r>
    </w:p>
    <w:p w14:paraId="7A638C4C"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Prop</w:t>
      </w:r>
      <w:proofErr w:type="spellEnd"/>
      <w:r w:rsidRPr="00225D4D">
        <w:t xml:space="preserve">. 1 LS (2022–2023), jf. </w:t>
      </w:r>
      <w:proofErr w:type="spellStart"/>
      <w:r w:rsidRPr="00225D4D">
        <w:t>Innst</w:t>
      </w:r>
      <w:proofErr w:type="spellEnd"/>
      <w:r w:rsidRPr="00225D4D">
        <w:t xml:space="preserve">. 5 S (2022–2023). Vedtaket </w:t>
      </w:r>
      <w:proofErr w:type="spellStart"/>
      <w:r w:rsidRPr="00225D4D">
        <w:t>vart</w:t>
      </w:r>
      <w:proofErr w:type="spellEnd"/>
      <w:r w:rsidRPr="00225D4D">
        <w:t xml:space="preserve"> omtalt i </w:t>
      </w:r>
      <w:proofErr w:type="spellStart"/>
      <w:r w:rsidRPr="00225D4D">
        <w:t>Prop</w:t>
      </w:r>
      <w:proofErr w:type="spellEnd"/>
      <w:r w:rsidRPr="00225D4D">
        <w:t xml:space="preserve">. 1 LS (2024–2025) </w:t>
      </w:r>
      <w:r w:rsidRPr="00225D4D">
        <w:rPr>
          <w:rStyle w:val="kursiv"/>
        </w:rPr>
        <w:t>Skatter og avgifter 2025</w:t>
      </w:r>
      <w:r w:rsidRPr="00225D4D">
        <w:t xml:space="preserve">, der regjeringa har vurdert både </w:t>
      </w:r>
      <w:proofErr w:type="spellStart"/>
      <w:r w:rsidRPr="00225D4D">
        <w:t>moglegheiter</w:t>
      </w:r>
      <w:proofErr w:type="spellEnd"/>
      <w:r w:rsidRPr="00225D4D">
        <w:t xml:space="preserve"> og </w:t>
      </w:r>
      <w:proofErr w:type="spellStart"/>
      <w:r w:rsidRPr="00225D4D">
        <w:t>utfordringar</w:t>
      </w:r>
      <w:proofErr w:type="spellEnd"/>
      <w:r w:rsidRPr="00225D4D">
        <w:t xml:space="preserve"> ved å innføre </w:t>
      </w:r>
      <w:proofErr w:type="spellStart"/>
      <w:r w:rsidRPr="00225D4D">
        <w:t>eingongsavgift</w:t>
      </w:r>
      <w:proofErr w:type="spellEnd"/>
      <w:r w:rsidRPr="00225D4D">
        <w:t xml:space="preserve"> for tunge fossile </w:t>
      </w:r>
      <w:proofErr w:type="spellStart"/>
      <w:r w:rsidRPr="00225D4D">
        <w:t>køyretøy</w:t>
      </w:r>
      <w:proofErr w:type="spellEnd"/>
      <w:r w:rsidRPr="00225D4D">
        <w:t xml:space="preserve">. På kort sikt er det lagt til grunn at ei eventuell avgift må </w:t>
      </w:r>
      <w:proofErr w:type="spellStart"/>
      <w:r w:rsidRPr="00225D4D">
        <w:t>vere</w:t>
      </w:r>
      <w:proofErr w:type="spellEnd"/>
      <w:r w:rsidRPr="00225D4D">
        <w:t xml:space="preserve"> vektbasert. Dette heng </w:t>
      </w:r>
      <w:proofErr w:type="spellStart"/>
      <w:r w:rsidRPr="00225D4D">
        <w:t>saman</w:t>
      </w:r>
      <w:proofErr w:type="spellEnd"/>
      <w:r w:rsidRPr="00225D4D">
        <w:t xml:space="preserve"> med kvaliteten på </w:t>
      </w:r>
      <w:proofErr w:type="spellStart"/>
      <w:r w:rsidRPr="00225D4D">
        <w:t>dei</w:t>
      </w:r>
      <w:proofErr w:type="spellEnd"/>
      <w:r w:rsidRPr="00225D4D">
        <w:t xml:space="preserve"> </w:t>
      </w:r>
      <w:proofErr w:type="spellStart"/>
      <w:r w:rsidRPr="00225D4D">
        <w:t>tilgjengelege</w:t>
      </w:r>
      <w:proofErr w:type="spellEnd"/>
      <w:r w:rsidRPr="00225D4D">
        <w:t xml:space="preserve"> </w:t>
      </w:r>
      <w:proofErr w:type="spellStart"/>
      <w:r w:rsidRPr="00225D4D">
        <w:t>utsleppsverdiane</w:t>
      </w:r>
      <w:proofErr w:type="spellEnd"/>
      <w:r w:rsidRPr="00225D4D">
        <w:t xml:space="preserve"> for tunge </w:t>
      </w:r>
      <w:proofErr w:type="spellStart"/>
      <w:r w:rsidRPr="00225D4D">
        <w:t>køyretøy</w:t>
      </w:r>
      <w:proofErr w:type="spellEnd"/>
      <w:r w:rsidRPr="00225D4D">
        <w:t>. Dersom det vert innført krav om måling av CO</w:t>
      </w:r>
      <w:r w:rsidRPr="00225D4D">
        <w:rPr>
          <w:rStyle w:val="skrift-senket"/>
        </w:rPr>
        <w:t>2</w:t>
      </w:r>
      <w:r w:rsidRPr="00225D4D">
        <w:t xml:space="preserve">-utslepp for tunge </w:t>
      </w:r>
      <w:proofErr w:type="spellStart"/>
      <w:r w:rsidRPr="00225D4D">
        <w:t>køyretøy</w:t>
      </w:r>
      <w:proofErr w:type="spellEnd"/>
      <w:r w:rsidRPr="00225D4D">
        <w:t xml:space="preserve">, slik det er for lette </w:t>
      </w:r>
      <w:proofErr w:type="spellStart"/>
      <w:r w:rsidRPr="00225D4D">
        <w:t>køyretøy</w:t>
      </w:r>
      <w:proofErr w:type="spellEnd"/>
      <w:r w:rsidRPr="00225D4D">
        <w:t xml:space="preserve"> i dag, kan dette </w:t>
      </w:r>
      <w:proofErr w:type="spellStart"/>
      <w:r w:rsidRPr="00225D4D">
        <w:t>vere</w:t>
      </w:r>
      <w:proofErr w:type="spellEnd"/>
      <w:r w:rsidRPr="00225D4D">
        <w:t xml:space="preserve"> </w:t>
      </w:r>
      <w:proofErr w:type="spellStart"/>
      <w:r w:rsidRPr="00225D4D">
        <w:t>eit</w:t>
      </w:r>
      <w:proofErr w:type="spellEnd"/>
      <w:r w:rsidRPr="00225D4D">
        <w:t xml:space="preserve"> alternativ på sikt.</w:t>
      </w:r>
    </w:p>
    <w:p w14:paraId="580A3997" w14:textId="77777777" w:rsidR="00D60186" w:rsidRPr="00225D4D" w:rsidRDefault="00D60186" w:rsidP="00225D4D">
      <w:r w:rsidRPr="00225D4D">
        <w:t xml:space="preserve">Utgreiinga viser at ei slik avgift kan føre til utilsikta utslag og uheldige </w:t>
      </w:r>
      <w:proofErr w:type="spellStart"/>
      <w:r w:rsidRPr="00225D4D">
        <w:t>tilpassingar</w:t>
      </w:r>
      <w:proofErr w:type="spellEnd"/>
      <w:r w:rsidRPr="00225D4D">
        <w:t xml:space="preserve"> i transportnæringa. Det er òg </w:t>
      </w:r>
      <w:proofErr w:type="spellStart"/>
      <w:r w:rsidRPr="00225D4D">
        <w:t>peika</w:t>
      </w:r>
      <w:proofErr w:type="spellEnd"/>
      <w:r w:rsidRPr="00225D4D">
        <w:t xml:space="preserve"> på at CO</w:t>
      </w:r>
      <w:r w:rsidRPr="00225D4D">
        <w:rPr>
          <w:rStyle w:val="skrift-senket"/>
        </w:rPr>
        <w:t>2</w:t>
      </w:r>
      <w:r w:rsidRPr="00225D4D">
        <w:t xml:space="preserve">-utslepp </w:t>
      </w:r>
      <w:proofErr w:type="spellStart"/>
      <w:r w:rsidRPr="00225D4D">
        <w:t>frå</w:t>
      </w:r>
      <w:proofErr w:type="spellEnd"/>
      <w:r w:rsidRPr="00225D4D">
        <w:t xml:space="preserve"> vegtransport </w:t>
      </w:r>
      <w:proofErr w:type="spellStart"/>
      <w:r w:rsidRPr="00225D4D">
        <w:t>allereie</w:t>
      </w:r>
      <w:proofErr w:type="spellEnd"/>
      <w:r w:rsidRPr="00225D4D">
        <w:t xml:space="preserve"> er prislagt gjennom CO</w:t>
      </w:r>
      <w:r w:rsidRPr="00225D4D">
        <w:rPr>
          <w:rStyle w:val="skrift-senket"/>
        </w:rPr>
        <w:t>2</w:t>
      </w:r>
      <w:r w:rsidRPr="00225D4D">
        <w:t xml:space="preserve">-avgifta på drivstoff, og at elektriske </w:t>
      </w:r>
      <w:proofErr w:type="spellStart"/>
      <w:r w:rsidRPr="00225D4D">
        <w:t>tungbilar</w:t>
      </w:r>
      <w:proofErr w:type="spellEnd"/>
      <w:r w:rsidRPr="00225D4D">
        <w:t xml:space="preserve"> har </w:t>
      </w:r>
      <w:proofErr w:type="spellStart"/>
      <w:r w:rsidRPr="00225D4D">
        <w:t>fleire</w:t>
      </w:r>
      <w:proofErr w:type="spellEnd"/>
      <w:r w:rsidRPr="00225D4D">
        <w:t xml:space="preserve"> økonomiske </w:t>
      </w:r>
      <w:proofErr w:type="spellStart"/>
      <w:r w:rsidRPr="00225D4D">
        <w:t>fordelar</w:t>
      </w:r>
      <w:proofErr w:type="spellEnd"/>
      <w:r w:rsidRPr="00225D4D">
        <w:t xml:space="preserve">, som reduserte </w:t>
      </w:r>
      <w:proofErr w:type="spellStart"/>
      <w:r w:rsidRPr="00225D4D">
        <w:t>bompengar</w:t>
      </w:r>
      <w:proofErr w:type="spellEnd"/>
      <w:r w:rsidRPr="00225D4D">
        <w:t xml:space="preserve"> og støtte </w:t>
      </w:r>
      <w:proofErr w:type="spellStart"/>
      <w:r w:rsidRPr="00225D4D">
        <w:t>frå</w:t>
      </w:r>
      <w:proofErr w:type="spellEnd"/>
      <w:r w:rsidRPr="00225D4D">
        <w:t xml:space="preserve"> </w:t>
      </w:r>
      <w:proofErr w:type="spellStart"/>
      <w:r w:rsidRPr="00225D4D">
        <w:t>Enova</w:t>
      </w:r>
      <w:proofErr w:type="spellEnd"/>
      <w:r w:rsidRPr="00225D4D">
        <w:t xml:space="preserve">. Teknologisk utvikling, </w:t>
      </w:r>
      <w:proofErr w:type="spellStart"/>
      <w:r w:rsidRPr="00225D4D">
        <w:t>fallande</w:t>
      </w:r>
      <w:proofErr w:type="spellEnd"/>
      <w:r w:rsidRPr="00225D4D">
        <w:t xml:space="preserve"> </w:t>
      </w:r>
      <w:proofErr w:type="spellStart"/>
      <w:r w:rsidRPr="00225D4D">
        <w:t>batteriprisar</w:t>
      </w:r>
      <w:proofErr w:type="spellEnd"/>
      <w:r w:rsidRPr="00225D4D">
        <w:t xml:space="preserve"> og </w:t>
      </w:r>
      <w:proofErr w:type="spellStart"/>
      <w:r w:rsidRPr="00225D4D">
        <w:t>strengare</w:t>
      </w:r>
      <w:proofErr w:type="spellEnd"/>
      <w:r w:rsidRPr="00225D4D">
        <w:t xml:space="preserve"> EU-krav til utslepp </w:t>
      </w:r>
      <w:proofErr w:type="spellStart"/>
      <w:r w:rsidRPr="00225D4D">
        <w:t>frå</w:t>
      </w:r>
      <w:proofErr w:type="spellEnd"/>
      <w:r w:rsidRPr="00225D4D">
        <w:t xml:space="preserve"> nye </w:t>
      </w:r>
      <w:proofErr w:type="spellStart"/>
      <w:r w:rsidRPr="00225D4D">
        <w:t>lastebilar</w:t>
      </w:r>
      <w:proofErr w:type="spellEnd"/>
      <w:r w:rsidRPr="00225D4D">
        <w:t xml:space="preserve"> </w:t>
      </w:r>
      <w:proofErr w:type="spellStart"/>
      <w:r w:rsidRPr="00225D4D">
        <w:t>bidreg</w:t>
      </w:r>
      <w:proofErr w:type="spellEnd"/>
      <w:r w:rsidRPr="00225D4D">
        <w:t xml:space="preserve"> til rask omstilling til </w:t>
      </w:r>
      <w:proofErr w:type="spellStart"/>
      <w:r w:rsidRPr="00225D4D">
        <w:t>nullutsleppskøyretøy</w:t>
      </w:r>
      <w:proofErr w:type="spellEnd"/>
      <w:r w:rsidRPr="00225D4D">
        <w:t>.</w:t>
      </w:r>
    </w:p>
    <w:p w14:paraId="1B504AF9" w14:textId="77777777" w:rsidR="00D60186" w:rsidRPr="00225D4D" w:rsidRDefault="00D60186" w:rsidP="00225D4D">
      <w:r w:rsidRPr="00225D4D">
        <w:t xml:space="preserve">På dette grunnlaget konkluderte regjeringa med at det </w:t>
      </w:r>
      <w:proofErr w:type="spellStart"/>
      <w:r w:rsidRPr="00225D4D">
        <w:t>ikkje</w:t>
      </w:r>
      <w:proofErr w:type="spellEnd"/>
      <w:r w:rsidRPr="00225D4D">
        <w:t xml:space="preserve"> er </w:t>
      </w:r>
      <w:proofErr w:type="spellStart"/>
      <w:r w:rsidRPr="00225D4D">
        <w:t>føremålstenleg</w:t>
      </w:r>
      <w:proofErr w:type="spellEnd"/>
      <w:r w:rsidRPr="00225D4D">
        <w:t xml:space="preserve"> å innføre </w:t>
      </w:r>
      <w:proofErr w:type="spellStart"/>
      <w:r w:rsidRPr="00225D4D">
        <w:t>eingongsavgift</w:t>
      </w:r>
      <w:proofErr w:type="spellEnd"/>
      <w:r w:rsidRPr="00225D4D">
        <w:t xml:space="preserve"> på tunge fossile </w:t>
      </w:r>
      <w:proofErr w:type="spellStart"/>
      <w:r w:rsidRPr="00225D4D">
        <w:t>køyretøy</w:t>
      </w:r>
      <w:proofErr w:type="spellEnd"/>
      <w:r w:rsidRPr="00225D4D">
        <w:t xml:space="preserve"> no. Finanskomiteen tok vurderinga til orientering, jf. </w:t>
      </w:r>
      <w:proofErr w:type="spellStart"/>
      <w:r w:rsidRPr="00225D4D">
        <w:t>Innst</w:t>
      </w:r>
      <w:proofErr w:type="spellEnd"/>
      <w:r w:rsidRPr="00225D4D">
        <w:t xml:space="preserve">. 3 S (2024–2025). I Meld. St. 4 (2024–2025) la regjeringa til grunn at vedtaket var kvittert ut gjennom omtalen i </w:t>
      </w:r>
      <w:proofErr w:type="spellStart"/>
      <w:r w:rsidRPr="00225D4D">
        <w:t>Prop</w:t>
      </w:r>
      <w:proofErr w:type="spellEnd"/>
      <w:r w:rsidRPr="00225D4D">
        <w:t>. 1 LS (2024–2025).</w:t>
      </w:r>
    </w:p>
    <w:p w14:paraId="7258E242" w14:textId="77777777" w:rsidR="00D60186" w:rsidRPr="00225D4D" w:rsidRDefault="00D60186" w:rsidP="00225D4D">
      <w:r w:rsidRPr="00225D4D">
        <w:t xml:space="preserve">Kontroll- og konstitusjonskomiteen har ved </w:t>
      </w:r>
      <w:proofErr w:type="spellStart"/>
      <w:r w:rsidRPr="00225D4D">
        <w:t>behandlinga</w:t>
      </w:r>
      <w:proofErr w:type="spellEnd"/>
      <w:r w:rsidRPr="00225D4D">
        <w:t xml:space="preserve"> av Meld. St. 4 (2024–2025) </w:t>
      </w:r>
      <w:proofErr w:type="spellStart"/>
      <w:r w:rsidRPr="00225D4D">
        <w:t>peika</w:t>
      </w:r>
      <w:proofErr w:type="spellEnd"/>
      <w:r w:rsidRPr="00225D4D">
        <w:t xml:space="preserve"> på at EU framleis arbeider med nye krav som kan gi betre data om CO</w:t>
      </w:r>
      <w:r w:rsidRPr="00225D4D">
        <w:rPr>
          <w:rStyle w:val="skrift-senket"/>
        </w:rPr>
        <w:t>2</w:t>
      </w:r>
      <w:r w:rsidRPr="00225D4D">
        <w:t xml:space="preserve">-utslepp, og at rapporteringa </w:t>
      </w:r>
      <w:proofErr w:type="spellStart"/>
      <w:r w:rsidRPr="00225D4D">
        <w:t>difor</w:t>
      </w:r>
      <w:proofErr w:type="spellEnd"/>
      <w:r w:rsidRPr="00225D4D">
        <w:t xml:space="preserve"> </w:t>
      </w:r>
      <w:proofErr w:type="spellStart"/>
      <w:r w:rsidRPr="00225D4D">
        <w:t>ikkje</w:t>
      </w:r>
      <w:proofErr w:type="spellEnd"/>
      <w:r w:rsidRPr="00225D4D">
        <w:t xml:space="preserve"> kan </w:t>
      </w:r>
      <w:proofErr w:type="spellStart"/>
      <w:r w:rsidRPr="00225D4D">
        <w:t>avsluttast</w:t>
      </w:r>
      <w:proofErr w:type="spellEnd"/>
      <w:r w:rsidRPr="00225D4D">
        <w:t xml:space="preserve">. Denne utgreiinga pågår </w:t>
      </w:r>
      <w:proofErr w:type="spellStart"/>
      <w:r w:rsidRPr="00225D4D">
        <w:t>framleis</w:t>
      </w:r>
      <w:proofErr w:type="spellEnd"/>
      <w:r w:rsidRPr="00225D4D">
        <w:t>, og regjeringa følgjer med på utviklinga i EU.</w:t>
      </w:r>
    </w:p>
    <w:p w14:paraId="56ECF9D5" w14:textId="77777777" w:rsidR="00D60186" w:rsidRPr="00225D4D" w:rsidRDefault="00D60186" w:rsidP="00225D4D">
      <w:pPr>
        <w:pStyle w:val="avsnitt-tittel"/>
      </w:pPr>
      <w:proofErr w:type="spellStart"/>
      <w:r w:rsidRPr="00225D4D">
        <w:t>Representantordningsutvalet</w:t>
      </w:r>
      <w:proofErr w:type="spellEnd"/>
      <w:r w:rsidRPr="00225D4D">
        <w:t xml:space="preserve">, folkeregisterlova, skattelova, Stortingets </w:t>
      </w:r>
      <w:proofErr w:type="spellStart"/>
      <w:r w:rsidRPr="00225D4D">
        <w:t>pendlarbustadordning</w:t>
      </w:r>
      <w:proofErr w:type="spellEnd"/>
    </w:p>
    <w:p w14:paraId="5C3943F5" w14:textId="77777777" w:rsidR="00D60186" w:rsidRPr="00225D4D" w:rsidRDefault="00D60186" w:rsidP="00225D4D">
      <w:pPr>
        <w:pStyle w:val="avsnitt-undertittel"/>
      </w:pPr>
      <w:r w:rsidRPr="00225D4D">
        <w:t>Vedtak nr. 857, 15. juni 2023</w:t>
      </w:r>
    </w:p>
    <w:p w14:paraId="1BF0F735" w14:textId="77777777" w:rsidR="00D60186" w:rsidRPr="00225D4D" w:rsidRDefault="00D60186" w:rsidP="00225D4D">
      <w:pPr>
        <w:pStyle w:val="blokksit"/>
        <w:rPr>
          <w:rStyle w:val="kursiv"/>
        </w:rPr>
      </w:pPr>
      <w:r w:rsidRPr="00225D4D">
        <w:rPr>
          <w:rStyle w:val="kursiv"/>
        </w:rPr>
        <w:t>«Stortinget ber regjeringen vurdere Representantordningsutvalgets forslag til endring av folkeregisterloven § 5-4 og skatteloven § 3-1, herunder klargjøre aktuelle tolkningsspørsmål samt utrede forslag til regler for grupper som har særlige behov for unntak eller overgangsordninger.»</w:t>
      </w:r>
    </w:p>
    <w:p w14:paraId="064860A2"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Dokument 18 (2021–2022) og Dokument 18 (2022–2023), jf. </w:t>
      </w:r>
      <w:proofErr w:type="spellStart"/>
      <w:r w:rsidRPr="00225D4D">
        <w:t>Innst</w:t>
      </w:r>
      <w:proofErr w:type="spellEnd"/>
      <w:r w:rsidRPr="00225D4D">
        <w:t xml:space="preserve">. 499 S (2022–2023). Vedtaket er </w:t>
      </w:r>
      <w:proofErr w:type="spellStart"/>
      <w:r w:rsidRPr="00225D4D">
        <w:t>følgt</w:t>
      </w:r>
      <w:proofErr w:type="spellEnd"/>
      <w:r w:rsidRPr="00225D4D">
        <w:t xml:space="preserve"> opp gjennom forslag i </w:t>
      </w:r>
      <w:proofErr w:type="spellStart"/>
      <w:r w:rsidRPr="00225D4D">
        <w:t>Prop</w:t>
      </w:r>
      <w:proofErr w:type="spellEnd"/>
      <w:r w:rsidRPr="00225D4D">
        <w:t xml:space="preserve">. 62 L (2024–2025), jf. </w:t>
      </w:r>
      <w:proofErr w:type="spellStart"/>
      <w:r w:rsidRPr="00225D4D">
        <w:t>Innst</w:t>
      </w:r>
      <w:proofErr w:type="spellEnd"/>
      <w:r w:rsidRPr="00225D4D">
        <w:t>. 522 L (2024–2025).</w:t>
      </w:r>
    </w:p>
    <w:p w14:paraId="21AFD90E" w14:textId="77777777" w:rsidR="00D60186" w:rsidRPr="00225D4D" w:rsidRDefault="00D60186" w:rsidP="00225D4D">
      <w:pPr>
        <w:pStyle w:val="avsnitt-tittel"/>
      </w:pPr>
      <w:r w:rsidRPr="00225D4D">
        <w:t xml:space="preserve">Differensiert </w:t>
      </w:r>
      <w:proofErr w:type="spellStart"/>
      <w:r w:rsidRPr="00225D4D">
        <w:t>verdsetjing</w:t>
      </w:r>
      <w:proofErr w:type="spellEnd"/>
      <w:r w:rsidRPr="00225D4D">
        <w:t xml:space="preserve"> av </w:t>
      </w:r>
      <w:proofErr w:type="spellStart"/>
      <w:r w:rsidRPr="00225D4D">
        <w:t>ikkje</w:t>
      </w:r>
      <w:proofErr w:type="spellEnd"/>
      <w:r w:rsidRPr="00225D4D">
        <w:t xml:space="preserve">-børsnoterte </w:t>
      </w:r>
      <w:proofErr w:type="spellStart"/>
      <w:r w:rsidRPr="00225D4D">
        <w:t>aksjar</w:t>
      </w:r>
      <w:proofErr w:type="spellEnd"/>
      <w:r w:rsidRPr="00225D4D">
        <w:t xml:space="preserve"> i formuesskatten</w:t>
      </w:r>
    </w:p>
    <w:p w14:paraId="7226BC62" w14:textId="77777777" w:rsidR="00D60186" w:rsidRPr="00225D4D" w:rsidRDefault="00D60186" w:rsidP="00225D4D">
      <w:pPr>
        <w:pStyle w:val="avsnitt-undertittel"/>
      </w:pPr>
      <w:r w:rsidRPr="00225D4D">
        <w:t>Vedtak nr. 939, 16. juni 2023</w:t>
      </w:r>
    </w:p>
    <w:p w14:paraId="5315F4AF" w14:textId="77777777" w:rsidR="00D60186" w:rsidRPr="00225D4D" w:rsidRDefault="00D60186" w:rsidP="00225D4D">
      <w:pPr>
        <w:pStyle w:val="blokksit"/>
        <w:rPr>
          <w:rStyle w:val="kursiv"/>
        </w:rPr>
      </w:pPr>
      <w:r w:rsidRPr="00225D4D">
        <w:rPr>
          <w:rStyle w:val="kursiv"/>
        </w:rPr>
        <w:t>«Stortinget ber regjeringen utrede differensiert verdsetting av ikke-børsnoterte aksjer i formuesskatten på grunnlag av egenskaper ved de enkelte aksjer, f.eks. ulik stemme- og utbytterett, og slik at verdsettelsen av de enkelte aksjer i større grad samsvarer med reell markedsverdi.»</w:t>
      </w:r>
    </w:p>
    <w:p w14:paraId="0C58CBCC"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Prop</w:t>
      </w:r>
      <w:proofErr w:type="spellEnd"/>
      <w:r w:rsidRPr="00225D4D">
        <w:t xml:space="preserve">. 117 LS (2022–2023), jf. </w:t>
      </w:r>
      <w:proofErr w:type="spellStart"/>
      <w:r w:rsidRPr="00225D4D">
        <w:t>Innst</w:t>
      </w:r>
      <w:proofErr w:type="spellEnd"/>
      <w:r w:rsidRPr="00225D4D">
        <w:t xml:space="preserve">. 490 S (2022–2023). 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 gjennom omtale i </w:t>
      </w:r>
      <w:proofErr w:type="spellStart"/>
      <w:r w:rsidRPr="00225D4D">
        <w:t>Prop</w:t>
      </w:r>
      <w:proofErr w:type="spellEnd"/>
      <w:r w:rsidRPr="00225D4D">
        <w:t>. 1 LS (2025–2026), kapittel 20.</w:t>
      </w:r>
    </w:p>
    <w:p w14:paraId="458F0C01" w14:textId="77777777" w:rsidR="00D60186" w:rsidRPr="00225D4D" w:rsidRDefault="00D60186" w:rsidP="00225D4D">
      <w:pPr>
        <w:pStyle w:val="Overskrift2"/>
      </w:pPr>
      <w:r w:rsidRPr="00225D4D">
        <w:t>Stortingssesjon 2021–2022</w:t>
      </w:r>
    </w:p>
    <w:p w14:paraId="1BCC535D" w14:textId="77777777" w:rsidR="00D60186" w:rsidRPr="00225D4D" w:rsidRDefault="00D60186" w:rsidP="00225D4D">
      <w:pPr>
        <w:pStyle w:val="avsnitt-tittel"/>
      </w:pPr>
      <w:r w:rsidRPr="00225D4D">
        <w:t>Evaluering av NOKUS-</w:t>
      </w:r>
      <w:proofErr w:type="spellStart"/>
      <w:r w:rsidRPr="00225D4D">
        <w:t>reglane</w:t>
      </w:r>
      <w:proofErr w:type="spellEnd"/>
    </w:p>
    <w:p w14:paraId="08A6D7D4" w14:textId="77777777" w:rsidR="00D60186" w:rsidRPr="00225D4D" w:rsidRDefault="00D60186" w:rsidP="00225D4D">
      <w:pPr>
        <w:pStyle w:val="avsnitt-undertittel"/>
      </w:pPr>
      <w:r w:rsidRPr="00225D4D">
        <w:t>Vedtak nr. 35-31, 2. desember 2021</w:t>
      </w:r>
    </w:p>
    <w:p w14:paraId="03B2869C" w14:textId="77777777" w:rsidR="00D60186" w:rsidRPr="00225D4D" w:rsidRDefault="00D60186" w:rsidP="00225D4D">
      <w:pPr>
        <w:pStyle w:val="blokksit"/>
        <w:rPr>
          <w:rStyle w:val="kursiv"/>
        </w:rPr>
      </w:pPr>
      <w:r w:rsidRPr="00225D4D">
        <w:rPr>
          <w:rStyle w:val="kursiv"/>
        </w:rPr>
        <w:t>«Stortinget ber regjeringen om i løpet av 2022 å gjennomføre en grundig evaluering av dagens skatteordning for NOKUS-selskap, herunder også vurdere hvordan denne ordningen samvirker med kildeskatt»</w:t>
      </w:r>
    </w:p>
    <w:p w14:paraId="72E2B0B0"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Prop</w:t>
      </w:r>
      <w:proofErr w:type="spellEnd"/>
      <w:r w:rsidRPr="00225D4D">
        <w:t xml:space="preserve">. 1 LS (2021–2022), jf. </w:t>
      </w:r>
      <w:proofErr w:type="spellStart"/>
      <w:r w:rsidRPr="00225D4D">
        <w:t>Innst</w:t>
      </w:r>
      <w:proofErr w:type="spellEnd"/>
      <w:r w:rsidRPr="00225D4D">
        <w:t xml:space="preserve">. 2 S (2021–2022). Departementet planlegg å </w:t>
      </w:r>
      <w:proofErr w:type="spellStart"/>
      <w:r w:rsidRPr="00225D4D">
        <w:t>kome</w:t>
      </w:r>
      <w:proofErr w:type="spellEnd"/>
      <w:r w:rsidRPr="00225D4D">
        <w:t xml:space="preserve"> tilbake til ei vurdering av NOKUS-</w:t>
      </w:r>
      <w:proofErr w:type="spellStart"/>
      <w:r w:rsidRPr="00225D4D">
        <w:t>reglane</w:t>
      </w:r>
      <w:proofErr w:type="spellEnd"/>
      <w:r w:rsidRPr="00225D4D">
        <w:t xml:space="preserve"> når to-pilarløysinga for skattlegging av store multinasjonale konsern er innført i norsk rett. I revidert nasjonalbudsjett for 2025 er det uttalt at departementet har vurdert om det er </w:t>
      </w:r>
      <w:proofErr w:type="spellStart"/>
      <w:r w:rsidRPr="00225D4D">
        <w:t>mogleg</w:t>
      </w:r>
      <w:proofErr w:type="spellEnd"/>
      <w:r w:rsidRPr="00225D4D">
        <w:t xml:space="preserve"> å </w:t>
      </w:r>
      <w:proofErr w:type="spellStart"/>
      <w:r w:rsidRPr="00225D4D">
        <w:t>gjere</w:t>
      </w:r>
      <w:proofErr w:type="spellEnd"/>
      <w:r w:rsidRPr="00225D4D">
        <w:t xml:space="preserve"> mindre </w:t>
      </w:r>
      <w:proofErr w:type="spellStart"/>
      <w:r w:rsidRPr="00225D4D">
        <w:t>endringar</w:t>
      </w:r>
      <w:proofErr w:type="spellEnd"/>
      <w:r w:rsidRPr="00225D4D">
        <w:t xml:space="preserve"> i NOKUS-</w:t>
      </w:r>
      <w:proofErr w:type="spellStart"/>
      <w:r w:rsidRPr="00225D4D">
        <w:t>reglane</w:t>
      </w:r>
      <w:proofErr w:type="spellEnd"/>
      <w:r w:rsidRPr="00225D4D">
        <w:t xml:space="preserve"> på </w:t>
      </w:r>
      <w:proofErr w:type="spellStart"/>
      <w:r w:rsidRPr="00225D4D">
        <w:t>noko</w:t>
      </w:r>
      <w:proofErr w:type="spellEnd"/>
      <w:r w:rsidRPr="00225D4D">
        <w:t xml:space="preserve"> </w:t>
      </w:r>
      <w:proofErr w:type="spellStart"/>
      <w:r w:rsidRPr="00225D4D">
        <w:t>kortare</w:t>
      </w:r>
      <w:proofErr w:type="spellEnd"/>
      <w:r w:rsidRPr="00225D4D">
        <w:t xml:space="preserve"> sikt, og at departementet vil sjå </w:t>
      </w:r>
      <w:proofErr w:type="spellStart"/>
      <w:r w:rsidRPr="00225D4D">
        <w:t>nærare</w:t>
      </w:r>
      <w:proofErr w:type="spellEnd"/>
      <w:r w:rsidRPr="00225D4D">
        <w:t xml:space="preserve"> på to konkrete høve. Det fyrste høvet gjeld </w:t>
      </w:r>
      <w:proofErr w:type="spellStart"/>
      <w:r w:rsidRPr="00225D4D">
        <w:t>forenklingar</w:t>
      </w:r>
      <w:proofErr w:type="spellEnd"/>
      <w:r w:rsidRPr="00225D4D">
        <w:t xml:space="preserve"> for selskap som òg er omfatta av </w:t>
      </w:r>
      <w:proofErr w:type="spellStart"/>
      <w:r w:rsidRPr="00225D4D">
        <w:t>reglane</w:t>
      </w:r>
      <w:proofErr w:type="spellEnd"/>
      <w:r w:rsidRPr="00225D4D">
        <w:t xml:space="preserve"> om suppleringsskatt. Det andre gjeld unntaket </w:t>
      </w:r>
      <w:proofErr w:type="spellStart"/>
      <w:r w:rsidRPr="00225D4D">
        <w:t>frå</w:t>
      </w:r>
      <w:proofErr w:type="spellEnd"/>
      <w:r w:rsidRPr="00225D4D">
        <w:t xml:space="preserve"> NOKUS-</w:t>
      </w:r>
      <w:proofErr w:type="spellStart"/>
      <w:r w:rsidRPr="00225D4D">
        <w:t>reglane</w:t>
      </w:r>
      <w:proofErr w:type="spellEnd"/>
      <w:r w:rsidRPr="00225D4D">
        <w:t xml:space="preserve"> for aktive </w:t>
      </w:r>
      <w:proofErr w:type="spellStart"/>
      <w:r w:rsidRPr="00225D4D">
        <w:t>investeringar</w:t>
      </w:r>
      <w:proofErr w:type="spellEnd"/>
      <w:r w:rsidRPr="00225D4D">
        <w:t xml:space="preserve"> i selskap som er </w:t>
      </w:r>
      <w:proofErr w:type="spellStart"/>
      <w:r w:rsidRPr="00225D4D">
        <w:t>heimehøyrande</w:t>
      </w:r>
      <w:proofErr w:type="spellEnd"/>
      <w:r w:rsidRPr="00225D4D">
        <w:t xml:space="preserve"> i land som </w:t>
      </w:r>
      <w:proofErr w:type="spellStart"/>
      <w:r w:rsidRPr="00225D4D">
        <w:t>Noreg</w:t>
      </w:r>
      <w:proofErr w:type="spellEnd"/>
      <w:r w:rsidRPr="00225D4D">
        <w:t xml:space="preserve"> har inngått skatteavtale med.</w:t>
      </w:r>
    </w:p>
    <w:p w14:paraId="7DA13B9B" w14:textId="77777777" w:rsidR="00D60186" w:rsidRPr="00225D4D" w:rsidRDefault="00D60186" w:rsidP="00225D4D">
      <w:pPr>
        <w:pStyle w:val="avsnitt-tittel"/>
      </w:pPr>
      <w:proofErr w:type="spellStart"/>
      <w:r w:rsidRPr="00225D4D">
        <w:t>Verdsetjingsmetode</w:t>
      </w:r>
      <w:proofErr w:type="spellEnd"/>
      <w:r w:rsidRPr="00225D4D">
        <w:t xml:space="preserve"> for </w:t>
      </w:r>
      <w:proofErr w:type="spellStart"/>
      <w:r w:rsidRPr="00225D4D">
        <w:t>bustader</w:t>
      </w:r>
      <w:proofErr w:type="spellEnd"/>
    </w:p>
    <w:p w14:paraId="2D78AA43" w14:textId="77777777" w:rsidR="00D60186" w:rsidRPr="00225D4D" w:rsidRDefault="00D60186" w:rsidP="00225D4D">
      <w:pPr>
        <w:pStyle w:val="avsnitt-undertittel"/>
      </w:pPr>
      <w:r w:rsidRPr="00225D4D">
        <w:t>Vedtak nr. 35-34, 2. desember 2021</w:t>
      </w:r>
    </w:p>
    <w:p w14:paraId="0928970C" w14:textId="77777777" w:rsidR="00D60186" w:rsidRPr="00225D4D" w:rsidRDefault="00D60186" w:rsidP="00225D4D">
      <w:pPr>
        <w:pStyle w:val="blokksit"/>
        <w:rPr>
          <w:rStyle w:val="kursiv"/>
        </w:rPr>
      </w:pPr>
      <w:r w:rsidRPr="00225D4D">
        <w:rPr>
          <w:rStyle w:val="kursiv"/>
        </w:rPr>
        <w:t>«Stortinget ber regjeringen endre metoden for verdsetting av dyre boliger slik at verdsettingen bedre samsvarer med eiendommenes reelle markedsverdi»</w:t>
      </w:r>
    </w:p>
    <w:p w14:paraId="75375E81"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nasjonalbudsjettet for 2022 og framlegg til statsbudsjett for 2022, jf. </w:t>
      </w:r>
      <w:proofErr w:type="spellStart"/>
      <w:r w:rsidRPr="00225D4D">
        <w:t>Innst</w:t>
      </w:r>
      <w:proofErr w:type="spellEnd"/>
      <w:r w:rsidRPr="00225D4D">
        <w:t xml:space="preserve">. 2 S (2021–2022). 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 gjennom omtale i budsjettet for 2026, jf. </w:t>
      </w:r>
      <w:proofErr w:type="spellStart"/>
      <w:r w:rsidRPr="00225D4D">
        <w:t>Prop</w:t>
      </w:r>
      <w:proofErr w:type="spellEnd"/>
      <w:r w:rsidRPr="00225D4D">
        <w:t>. 1 LS (2025–2026), kapittel 5.</w:t>
      </w:r>
    </w:p>
    <w:p w14:paraId="68316F13" w14:textId="77777777" w:rsidR="00D60186" w:rsidRPr="00225D4D" w:rsidRDefault="00D60186" w:rsidP="00225D4D">
      <w:pPr>
        <w:pStyle w:val="avsnitt-tittel"/>
      </w:pPr>
      <w:r w:rsidRPr="00225D4D">
        <w:t xml:space="preserve">Utvida land-for-land-rapportering (LLR) etter </w:t>
      </w:r>
      <w:proofErr w:type="spellStart"/>
      <w:r w:rsidRPr="00225D4D">
        <w:t>rekneskapslova</w:t>
      </w:r>
      <w:proofErr w:type="spellEnd"/>
    </w:p>
    <w:p w14:paraId="4B7F219D" w14:textId="77777777" w:rsidR="00D60186" w:rsidRPr="00225D4D" w:rsidRDefault="00D60186" w:rsidP="00225D4D">
      <w:pPr>
        <w:pStyle w:val="avsnitt-undertittel"/>
      </w:pPr>
      <w:r w:rsidRPr="00225D4D">
        <w:t>Vedtak nr. 35-36, 2. desember 2021</w:t>
      </w:r>
    </w:p>
    <w:p w14:paraId="67396B96" w14:textId="77777777" w:rsidR="00D60186" w:rsidRPr="00225D4D" w:rsidRDefault="00D60186" w:rsidP="00225D4D">
      <w:pPr>
        <w:pStyle w:val="blokksit"/>
        <w:rPr>
          <w:rStyle w:val="kursiv"/>
        </w:rPr>
      </w:pPr>
      <w:r w:rsidRPr="00225D4D">
        <w:rPr>
          <w:rStyle w:val="kursiv"/>
        </w:rPr>
        <w:t xml:space="preserve">«Stortinget ber regjeringen om at en forskrift om utvidet land-for-land-rapportering blir utformet slik at selskaper blir pliktige til å opplyse om regnskapsstørrelser for alle land, inkludert </w:t>
      </w:r>
      <w:proofErr w:type="spellStart"/>
      <w:r w:rsidRPr="00225D4D">
        <w:rPr>
          <w:rStyle w:val="kursiv"/>
        </w:rPr>
        <w:t>støtteland</w:t>
      </w:r>
      <w:proofErr w:type="spellEnd"/>
      <w:r w:rsidRPr="00225D4D">
        <w:rPr>
          <w:rStyle w:val="kursiv"/>
        </w:rPr>
        <w:t xml:space="preserve"> hvor skatt ikke betales.»</w:t>
      </w:r>
    </w:p>
    <w:p w14:paraId="20E13462"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nasjonalbudsjettet for 2022 og framlegg til statsbudsjett for 2022, jf. </w:t>
      </w:r>
      <w:proofErr w:type="spellStart"/>
      <w:r w:rsidRPr="00225D4D">
        <w:t>Innst</w:t>
      </w:r>
      <w:proofErr w:type="spellEnd"/>
      <w:r w:rsidRPr="00225D4D">
        <w:t xml:space="preserve">. 2 S (2021–2022). Departementet </w:t>
      </w:r>
      <w:proofErr w:type="spellStart"/>
      <w:r w:rsidRPr="00225D4D">
        <w:t>tek</w:t>
      </w:r>
      <w:proofErr w:type="spellEnd"/>
      <w:r w:rsidRPr="00225D4D">
        <w:t xml:space="preserve"> sikte på å sende framlegg til </w:t>
      </w:r>
      <w:proofErr w:type="spellStart"/>
      <w:r w:rsidRPr="00225D4D">
        <w:t>lovendringar</w:t>
      </w:r>
      <w:proofErr w:type="spellEnd"/>
      <w:r w:rsidRPr="00225D4D">
        <w:t xml:space="preserve"> på </w:t>
      </w:r>
      <w:proofErr w:type="spellStart"/>
      <w:r w:rsidRPr="00225D4D">
        <w:t>høyring</w:t>
      </w:r>
      <w:proofErr w:type="spellEnd"/>
      <w:r w:rsidRPr="00225D4D">
        <w:t xml:space="preserve"> </w:t>
      </w:r>
      <w:proofErr w:type="spellStart"/>
      <w:r w:rsidRPr="00225D4D">
        <w:t>hausten</w:t>
      </w:r>
      <w:proofErr w:type="spellEnd"/>
      <w:r w:rsidRPr="00225D4D">
        <w:t xml:space="preserve"> 2025, med utgangspunkt i nye EU-</w:t>
      </w:r>
      <w:proofErr w:type="spellStart"/>
      <w:r w:rsidRPr="00225D4D">
        <w:t>reglar</w:t>
      </w:r>
      <w:proofErr w:type="spellEnd"/>
      <w:r w:rsidRPr="00225D4D">
        <w:t xml:space="preserve"> (direktiv (EU) 2021/2101). Oppfølginga av vedtaket vil </w:t>
      </w:r>
      <w:proofErr w:type="spellStart"/>
      <w:r w:rsidRPr="00225D4D">
        <w:t>verte</w:t>
      </w:r>
      <w:proofErr w:type="spellEnd"/>
      <w:r w:rsidRPr="00225D4D">
        <w:t xml:space="preserve"> vurdert i samband med vedtak nr. 48 av 15. november 2016.</w:t>
      </w:r>
    </w:p>
    <w:p w14:paraId="7AA353BD" w14:textId="77777777" w:rsidR="00D60186" w:rsidRPr="00225D4D" w:rsidRDefault="00D60186" w:rsidP="00225D4D">
      <w:pPr>
        <w:pStyle w:val="avsnitt-tittel"/>
      </w:pPr>
      <w:r w:rsidRPr="00225D4D">
        <w:t xml:space="preserve">Vurdere kven som bør </w:t>
      </w:r>
      <w:proofErr w:type="spellStart"/>
      <w:r w:rsidRPr="00225D4D">
        <w:t>vere</w:t>
      </w:r>
      <w:proofErr w:type="spellEnd"/>
      <w:r w:rsidRPr="00225D4D">
        <w:t xml:space="preserve"> utelukka </w:t>
      </w:r>
      <w:proofErr w:type="spellStart"/>
      <w:r w:rsidRPr="00225D4D">
        <w:t>frå</w:t>
      </w:r>
      <w:proofErr w:type="spellEnd"/>
      <w:r w:rsidRPr="00225D4D">
        <w:t xml:space="preserve"> å </w:t>
      </w:r>
      <w:proofErr w:type="spellStart"/>
      <w:r w:rsidRPr="00225D4D">
        <w:t>sitje</w:t>
      </w:r>
      <w:proofErr w:type="spellEnd"/>
      <w:r w:rsidRPr="00225D4D">
        <w:t xml:space="preserve"> i </w:t>
      </w:r>
      <w:proofErr w:type="spellStart"/>
      <w:r w:rsidRPr="00225D4D">
        <w:t>Noregs</w:t>
      </w:r>
      <w:proofErr w:type="spellEnd"/>
      <w:r w:rsidRPr="00225D4D">
        <w:t xml:space="preserve"> Banks </w:t>
      </w:r>
      <w:proofErr w:type="spellStart"/>
      <w:r w:rsidRPr="00225D4D">
        <w:t>styrande</w:t>
      </w:r>
      <w:proofErr w:type="spellEnd"/>
      <w:r w:rsidRPr="00225D4D">
        <w:t xml:space="preserve"> organ</w:t>
      </w:r>
    </w:p>
    <w:p w14:paraId="66D06614" w14:textId="77777777" w:rsidR="00D60186" w:rsidRPr="00225D4D" w:rsidRDefault="00D60186" w:rsidP="00225D4D">
      <w:pPr>
        <w:pStyle w:val="avsnitt-undertittel"/>
      </w:pPr>
      <w:r w:rsidRPr="00225D4D">
        <w:t>Vedtak nr. 782, 13. juni 2022</w:t>
      </w:r>
    </w:p>
    <w:p w14:paraId="63E9072C" w14:textId="77777777" w:rsidR="00D60186" w:rsidRPr="00225D4D" w:rsidRDefault="00D60186" w:rsidP="00225D4D">
      <w:pPr>
        <w:pStyle w:val="blokksit"/>
        <w:rPr>
          <w:rStyle w:val="kursiv"/>
        </w:rPr>
      </w:pPr>
      <w:r w:rsidRPr="00225D4D">
        <w:rPr>
          <w:rStyle w:val="kursiv"/>
        </w:rPr>
        <w:t>«Stortinget ber regjeringen på egnet måte komme tilbake til Stortinget med en vurdering av hvem som bør være utelukket fra å sitte i Norges Banks styrende organer, jf. sentralbankloven § 2-3 fjerde ledd og § 2-6 tredje ledd.»</w:t>
      </w:r>
    </w:p>
    <w:p w14:paraId="7DC51120"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eit</w:t>
      </w:r>
      <w:proofErr w:type="spellEnd"/>
      <w:r w:rsidRPr="00225D4D">
        <w:t xml:space="preserve">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Guri Melby, Sveinung Rotevatn og Sofie </w:t>
      </w:r>
      <w:proofErr w:type="spellStart"/>
      <w:r w:rsidRPr="00225D4D">
        <w:t>Høgestøl</w:t>
      </w:r>
      <w:proofErr w:type="spellEnd"/>
      <w:r w:rsidRPr="00225D4D">
        <w:t xml:space="preserve"> om å flytte </w:t>
      </w:r>
      <w:proofErr w:type="spellStart"/>
      <w:r w:rsidRPr="00225D4D">
        <w:t>Noregs</w:t>
      </w:r>
      <w:proofErr w:type="spellEnd"/>
      <w:r w:rsidRPr="00225D4D">
        <w:t xml:space="preserve"> Bank Investment Management (NBIM) ut av </w:t>
      </w:r>
      <w:proofErr w:type="spellStart"/>
      <w:r w:rsidRPr="00225D4D">
        <w:t>Noregs</w:t>
      </w:r>
      <w:proofErr w:type="spellEnd"/>
      <w:r w:rsidRPr="00225D4D">
        <w:t xml:space="preserve"> Bank og innføre </w:t>
      </w:r>
      <w:proofErr w:type="spellStart"/>
      <w:r w:rsidRPr="00225D4D">
        <w:t>strengare</w:t>
      </w:r>
      <w:proofErr w:type="spellEnd"/>
      <w:r w:rsidRPr="00225D4D">
        <w:t xml:space="preserve"> </w:t>
      </w:r>
      <w:proofErr w:type="spellStart"/>
      <w:r w:rsidRPr="00225D4D">
        <w:t>habilitetsreglar</w:t>
      </w:r>
      <w:proofErr w:type="spellEnd"/>
      <w:r w:rsidRPr="00225D4D">
        <w:t xml:space="preserve"> rundt </w:t>
      </w:r>
      <w:proofErr w:type="spellStart"/>
      <w:r w:rsidRPr="00225D4D">
        <w:t>utnemningar</w:t>
      </w:r>
      <w:proofErr w:type="spellEnd"/>
      <w:r w:rsidRPr="00225D4D">
        <w:t xml:space="preserve"> i banken, jf. Dokument 8:149 S (2021–2022) og </w:t>
      </w:r>
      <w:proofErr w:type="spellStart"/>
      <w:r w:rsidRPr="00225D4D">
        <w:t>Innst</w:t>
      </w:r>
      <w:proofErr w:type="spellEnd"/>
      <w:r w:rsidRPr="00225D4D">
        <w:t xml:space="preserve">. 353 S (2021–2022). Regjeringa </w:t>
      </w:r>
      <w:proofErr w:type="spellStart"/>
      <w:r w:rsidRPr="00225D4D">
        <w:t>tek</w:t>
      </w:r>
      <w:proofErr w:type="spellEnd"/>
      <w:r w:rsidRPr="00225D4D">
        <w:t xml:space="preserve"> sikte på å </w:t>
      </w:r>
      <w:proofErr w:type="spellStart"/>
      <w:r w:rsidRPr="00225D4D">
        <w:t>leggje</w:t>
      </w:r>
      <w:proofErr w:type="spellEnd"/>
      <w:r w:rsidRPr="00225D4D">
        <w:t xml:space="preserve"> fram </w:t>
      </w:r>
      <w:proofErr w:type="spellStart"/>
      <w:r w:rsidRPr="00225D4D">
        <w:t>ein</w:t>
      </w:r>
      <w:proofErr w:type="spellEnd"/>
      <w:r w:rsidRPr="00225D4D">
        <w:t xml:space="preserve"> lovproposisjon om </w:t>
      </w:r>
      <w:proofErr w:type="spellStart"/>
      <w:r w:rsidRPr="00225D4D">
        <w:t>endringar</w:t>
      </w:r>
      <w:proofErr w:type="spellEnd"/>
      <w:r w:rsidRPr="00225D4D">
        <w:t xml:space="preserve"> i sentralbanklova </w:t>
      </w:r>
      <w:proofErr w:type="spellStart"/>
      <w:r w:rsidRPr="00225D4D">
        <w:t>hausten</w:t>
      </w:r>
      <w:proofErr w:type="spellEnd"/>
      <w:r w:rsidRPr="00225D4D">
        <w:t xml:space="preserve"> 2025 som mellom anna vil </w:t>
      </w:r>
      <w:proofErr w:type="spellStart"/>
      <w:r w:rsidRPr="00225D4D">
        <w:t>følgje</w:t>
      </w:r>
      <w:proofErr w:type="spellEnd"/>
      <w:r w:rsidRPr="00225D4D">
        <w:t xml:space="preserve"> opp oppmodingsvedtaket.</w:t>
      </w:r>
    </w:p>
    <w:p w14:paraId="0C2EF948" w14:textId="77777777" w:rsidR="00D60186" w:rsidRPr="00225D4D" w:rsidRDefault="00D60186" w:rsidP="00225D4D">
      <w:pPr>
        <w:pStyle w:val="Overskrift2"/>
      </w:pPr>
      <w:r w:rsidRPr="00225D4D">
        <w:t>Stortingssesjon 2020–2021</w:t>
      </w:r>
    </w:p>
    <w:p w14:paraId="011DEDFE" w14:textId="77777777" w:rsidR="00D60186" w:rsidRPr="00225D4D" w:rsidRDefault="00D60186" w:rsidP="00225D4D">
      <w:pPr>
        <w:pStyle w:val="avsnitt-tittel"/>
      </w:pPr>
      <w:proofErr w:type="spellStart"/>
      <w:r w:rsidRPr="00225D4D">
        <w:t>Eigedomsskatt</w:t>
      </w:r>
      <w:proofErr w:type="spellEnd"/>
      <w:r w:rsidRPr="00225D4D">
        <w:t xml:space="preserve">, utgreiing og vurdering av </w:t>
      </w:r>
      <w:proofErr w:type="spellStart"/>
      <w:r w:rsidRPr="00225D4D">
        <w:t>eit</w:t>
      </w:r>
      <w:proofErr w:type="spellEnd"/>
      <w:r w:rsidRPr="00225D4D">
        <w:t xml:space="preserve"> tak for </w:t>
      </w:r>
      <w:proofErr w:type="spellStart"/>
      <w:r w:rsidRPr="00225D4D">
        <w:t>bustader</w:t>
      </w:r>
      <w:proofErr w:type="spellEnd"/>
      <w:r w:rsidRPr="00225D4D">
        <w:t xml:space="preserve"> og </w:t>
      </w:r>
      <w:proofErr w:type="spellStart"/>
      <w:r w:rsidRPr="00225D4D">
        <w:t>fritidsbustader</w:t>
      </w:r>
      <w:proofErr w:type="spellEnd"/>
    </w:p>
    <w:p w14:paraId="743FCA8A" w14:textId="77777777" w:rsidR="00D60186" w:rsidRPr="00225D4D" w:rsidRDefault="00D60186" w:rsidP="00225D4D">
      <w:pPr>
        <w:pStyle w:val="avsnitt-undertittel"/>
      </w:pPr>
      <w:r w:rsidRPr="00225D4D">
        <w:t>Vedtak nr. 1250, 16. juni 2021</w:t>
      </w:r>
    </w:p>
    <w:p w14:paraId="4E4A02D9" w14:textId="77777777" w:rsidR="00D60186" w:rsidRPr="00225D4D" w:rsidRDefault="00D60186" w:rsidP="00225D4D">
      <w:pPr>
        <w:pStyle w:val="blokksit"/>
        <w:rPr>
          <w:rStyle w:val="kursiv"/>
        </w:rPr>
      </w:pPr>
      <w:r w:rsidRPr="00225D4D">
        <w:rPr>
          <w:rStyle w:val="kursiv"/>
        </w:rPr>
        <w:t>«Stortinget ber regjeringen legge fram en helhetlig utredning om eiendomsskatten og herunder utrede et tak for eiendomsskatt på ordinære boliger og hytter, og komme tilbake til Stortinget på eigna måte.»</w:t>
      </w:r>
    </w:p>
    <w:p w14:paraId="085C27CF"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Prop</w:t>
      </w:r>
      <w:proofErr w:type="spellEnd"/>
      <w:r w:rsidRPr="00225D4D">
        <w:t xml:space="preserve">. 192 S (2020–2021) </w:t>
      </w:r>
      <w:r w:rsidRPr="00225D4D">
        <w:rPr>
          <w:rStyle w:val="kursiv"/>
        </w:rPr>
        <w:t>Kommuneproposisjonen for 2022,</w:t>
      </w:r>
      <w:r w:rsidRPr="00225D4D">
        <w:t xml:space="preserve"> jf. </w:t>
      </w:r>
      <w:proofErr w:type="spellStart"/>
      <w:r w:rsidRPr="00225D4D">
        <w:t>Innst</w:t>
      </w:r>
      <w:proofErr w:type="spellEnd"/>
      <w:r w:rsidRPr="00225D4D">
        <w:t xml:space="preserve">. 660 S (2020–2021). Departementet </w:t>
      </w:r>
      <w:proofErr w:type="spellStart"/>
      <w:r w:rsidRPr="00225D4D">
        <w:t>legg</w:t>
      </w:r>
      <w:proofErr w:type="spellEnd"/>
      <w:r w:rsidRPr="00225D4D">
        <w:t xml:space="preserve"> til grunn at oppmodingsvedtaket er </w:t>
      </w:r>
      <w:proofErr w:type="spellStart"/>
      <w:r w:rsidRPr="00225D4D">
        <w:t>følgt</w:t>
      </w:r>
      <w:proofErr w:type="spellEnd"/>
      <w:r w:rsidRPr="00225D4D">
        <w:t xml:space="preserve"> opp gjennom </w:t>
      </w:r>
      <w:proofErr w:type="spellStart"/>
      <w:r w:rsidRPr="00225D4D">
        <w:t>omtala</w:t>
      </w:r>
      <w:proofErr w:type="spellEnd"/>
      <w:r w:rsidRPr="00225D4D">
        <w:t xml:space="preserve"> i </w:t>
      </w:r>
      <w:proofErr w:type="spellStart"/>
      <w:r w:rsidRPr="00225D4D">
        <w:t>Prop</w:t>
      </w:r>
      <w:proofErr w:type="spellEnd"/>
      <w:r w:rsidRPr="00225D4D">
        <w:t>. 1 LS (2025–2026), kapittel 19.</w:t>
      </w:r>
    </w:p>
    <w:p w14:paraId="526FF608" w14:textId="77777777" w:rsidR="00D60186" w:rsidRPr="00225D4D" w:rsidRDefault="00D60186" w:rsidP="00225D4D">
      <w:pPr>
        <w:pStyle w:val="Overskrift2"/>
      </w:pPr>
      <w:r w:rsidRPr="00225D4D">
        <w:t>Stortingssesjon 2019–2020</w:t>
      </w:r>
    </w:p>
    <w:p w14:paraId="2C3E75D6" w14:textId="77777777" w:rsidR="00D60186" w:rsidRPr="00225D4D" w:rsidRDefault="00D60186" w:rsidP="00225D4D">
      <w:pPr>
        <w:pStyle w:val="avsnitt-tittel"/>
      </w:pPr>
      <w:r w:rsidRPr="00225D4D">
        <w:t xml:space="preserve">Kulturmiljømeldinga – </w:t>
      </w:r>
      <w:proofErr w:type="spellStart"/>
      <w:r w:rsidRPr="00225D4D">
        <w:t>vedlikehald</w:t>
      </w:r>
      <w:proofErr w:type="spellEnd"/>
      <w:r w:rsidRPr="00225D4D">
        <w:t xml:space="preserve"> av </w:t>
      </w:r>
      <w:proofErr w:type="spellStart"/>
      <w:r w:rsidRPr="00225D4D">
        <w:t>privateigde</w:t>
      </w:r>
      <w:proofErr w:type="spellEnd"/>
      <w:r w:rsidRPr="00225D4D">
        <w:t xml:space="preserve"> kulturminne og kulturmiljø</w:t>
      </w:r>
    </w:p>
    <w:p w14:paraId="733B5FEA" w14:textId="77777777" w:rsidR="00D60186" w:rsidRPr="00225D4D" w:rsidRDefault="00D60186" w:rsidP="00225D4D">
      <w:pPr>
        <w:pStyle w:val="avsnitt-undertittel"/>
      </w:pPr>
      <w:r w:rsidRPr="00225D4D">
        <w:t>Vedtak nr. 707, 16. juni 2020</w:t>
      </w:r>
    </w:p>
    <w:p w14:paraId="47DB97A8" w14:textId="77777777" w:rsidR="00D60186" w:rsidRPr="00225D4D" w:rsidRDefault="00D60186" w:rsidP="00225D4D">
      <w:pPr>
        <w:pStyle w:val="blokksit"/>
        <w:rPr>
          <w:rStyle w:val="kursiv"/>
        </w:rPr>
      </w:pPr>
      <w:r w:rsidRPr="00225D4D">
        <w:rPr>
          <w:rStyle w:val="kursiv"/>
        </w:rPr>
        <w:t xml:space="preserve">«Stortinget ber regjeringen i samband med bevaringsstrategiene, fremme forslag om hvordan staten kan stimulere private eiere av kulturminner og kulturmiljøer til jevnt, godt vedlikehold gjennom skatte- og </w:t>
      </w:r>
      <w:proofErr w:type="spellStart"/>
      <w:r w:rsidRPr="00225D4D">
        <w:rPr>
          <w:rStyle w:val="kursiv"/>
        </w:rPr>
        <w:t>avgiftsinsentiver</w:t>
      </w:r>
      <w:proofErr w:type="spellEnd"/>
      <w:r w:rsidRPr="00225D4D">
        <w:rPr>
          <w:rStyle w:val="kursiv"/>
        </w:rPr>
        <w:t>.»</w:t>
      </w:r>
    </w:p>
    <w:p w14:paraId="4E55E76A"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Meld. St. 16 (2019–2020) </w:t>
      </w:r>
      <w:r w:rsidRPr="00225D4D">
        <w:rPr>
          <w:rStyle w:val="kursiv"/>
        </w:rPr>
        <w:t>Nye mål i kulturpolitikken – Engasjement, bærekraft og mangfold</w:t>
      </w:r>
      <w:r w:rsidRPr="00225D4D">
        <w:t xml:space="preserve">, jf. </w:t>
      </w:r>
      <w:proofErr w:type="spellStart"/>
      <w:r w:rsidRPr="00225D4D">
        <w:t>Innst</w:t>
      </w:r>
      <w:proofErr w:type="spellEnd"/>
      <w:r w:rsidRPr="00225D4D">
        <w:t xml:space="preserve">. 379 S (2019–2020). 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 gjennom omtale i </w:t>
      </w:r>
      <w:proofErr w:type="spellStart"/>
      <w:r w:rsidRPr="00225D4D">
        <w:t>Prop</w:t>
      </w:r>
      <w:proofErr w:type="spellEnd"/>
      <w:r w:rsidRPr="00225D4D">
        <w:t>. 1 LS, kapittel 18.</w:t>
      </w:r>
    </w:p>
    <w:p w14:paraId="509BB01D" w14:textId="77777777" w:rsidR="00D60186" w:rsidRPr="00225D4D" w:rsidRDefault="00D60186" w:rsidP="00225D4D">
      <w:pPr>
        <w:pStyle w:val="Overskrift2"/>
      </w:pPr>
      <w:r w:rsidRPr="00225D4D">
        <w:t>Stortingssesjon 2016–2017</w:t>
      </w:r>
    </w:p>
    <w:p w14:paraId="7FC023DF" w14:textId="77777777" w:rsidR="00D60186" w:rsidRPr="00225D4D" w:rsidRDefault="00D60186" w:rsidP="00225D4D">
      <w:pPr>
        <w:pStyle w:val="avsnitt-tittel"/>
      </w:pPr>
      <w:r w:rsidRPr="00225D4D">
        <w:t>Land-for-land rapportering</w:t>
      </w:r>
    </w:p>
    <w:p w14:paraId="092D0BF7" w14:textId="77777777" w:rsidR="00D60186" w:rsidRPr="00225D4D" w:rsidRDefault="00D60186" w:rsidP="00225D4D">
      <w:pPr>
        <w:pStyle w:val="avsnitt-undertittel"/>
      </w:pPr>
      <w:r w:rsidRPr="00225D4D">
        <w:t>Vedtak nr. 48, 15. november 2016</w:t>
      </w:r>
    </w:p>
    <w:p w14:paraId="2030B037" w14:textId="77777777" w:rsidR="00D60186" w:rsidRPr="00225D4D" w:rsidRDefault="00D60186" w:rsidP="00225D4D">
      <w:pPr>
        <w:pStyle w:val="blokksit"/>
        <w:rPr>
          <w:rStyle w:val="kursiv"/>
        </w:rPr>
      </w:pPr>
      <w:r w:rsidRPr="00225D4D">
        <w:rPr>
          <w:rStyle w:val="kursiv"/>
        </w:rPr>
        <w:t>«Stortinget ber regjeringen sørge for at selskap som etter forslagene i land-for-land-rapportering til skattemyndighetene, også blir pliktige til å rapportere etter regnskaps- og verdipapirloven, og at selskapene skal rapportere betalt inntektsskatt og påløpt inntektsskatt, antall ansatte, akkumulert fortjeneste, resultat før skattekostnad, summen av inntekter fra transaksjoner med nærstående/ikke nærstående foretak og bokført egenkapital.»</w:t>
      </w:r>
    </w:p>
    <w:p w14:paraId="06E4EB47"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w:t>
      </w:r>
      <w:proofErr w:type="spellStart"/>
      <w:r w:rsidRPr="00225D4D">
        <w:t>Prop</w:t>
      </w:r>
      <w:proofErr w:type="spellEnd"/>
      <w:r w:rsidRPr="00225D4D">
        <w:t xml:space="preserve">. 120 L (2015–2016) </w:t>
      </w:r>
      <w:r w:rsidRPr="00225D4D">
        <w:rPr>
          <w:rStyle w:val="kursiv"/>
        </w:rPr>
        <w:t>Endringer i ligningsloven (land-for-land-rapportering til skattemyndighetene</w:t>
      </w:r>
      <w:r w:rsidRPr="00225D4D">
        <w:t xml:space="preserve">), jf. </w:t>
      </w:r>
      <w:proofErr w:type="spellStart"/>
      <w:r w:rsidRPr="00225D4D">
        <w:t>Innst</w:t>
      </w:r>
      <w:proofErr w:type="spellEnd"/>
      <w:r w:rsidRPr="00225D4D">
        <w:t xml:space="preserve">. 42 L (2016–2017). Departementet planlegg å sende framlegg til </w:t>
      </w:r>
      <w:proofErr w:type="spellStart"/>
      <w:r w:rsidRPr="00225D4D">
        <w:t>lovendringar</w:t>
      </w:r>
      <w:proofErr w:type="spellEnd"/>
      <w:r w:rsidRPr="00225D4D">
        <w:t xml:space="preserve"> på </w:t>
      </w:r>
      <w:proofErr w:type="spellStart"/>
      <w:r w:rsidRPr="00225D4D">
        <w:t>høyring</w:t>
      </w:r>
      <w:proofErr w:type="spellEnd"/>
      <w:r w:rsidRPr="00225D4D">
        <w:t xml:space="preserve"> </w:t>
      </w:r>
      <w:proofErr w:type="spellStart"/>
      <w:r w:rsidRPr="00225D4D">
        <w:t>hausten</w:t>
      </w:r>
      <w:proofErr w:type="spellEnd"/>
      <w:r w:rsidRPr="00225D4D">
        <w:t xml:space="preserve"> 2025, med utgangspunkt i nye EU-</w:t>
      </w:r>
      <w:proofErr w:type="spellStart"/>
      <w:r w:rsidRPr="00225D4D">
        <w:t>reglar</w:t>
      </w:r>
      <w:proofErr w:type="spellEnd"/>
      <w:r w:rsidRPr="00225D4D">
        <w:t xml:space="preserve"> (direktiv (EU) 2021/2101). Oppfølginga av vedtaket vil </w:t>
      </w:r>
      <w:proofErr w:type="spellStart"/>
      <w:r w:rsidRPr="00225D4D">
        <w:t>verte</w:t>
      </w:r>
      <w:proofErr w:type="spellEnd"/>
      <w:r w:rsidRPr="00225D4D">
        <w:t xml:space="preserve"> vurdert i samband med vedtak nr. 35-36 av 2. desember 2021.</w:t>
      </w:r>
    </w:p>
    <w:p w14:paraId="1722A63D" w14:textId="77777777" w:rsidR="00D60186" w:rsidRPr="00225D4D" w:rsidRDefault="00D60186" w:rsidP="00225D4D">
      <w:pPr>
        <w:pStyle w:val="avsnitt-tittel"/>
      </w:pPr>
      <w:r w:rsidRPr="00225D4D">
        <w:t xml:space="preserve">Sikre behovet hos </w:t>
      </w:r>
      <w:proofErr w:type="spellStart"/>
      <w:r w:rsidRPr="00225D4D">
        <w:t>bustadkjøparar</w:t>
      </w:r>
      <w:proofErr w:type="spellEnd"/>
      <w:r w:rsidRPr="00225D4D">
        <w:t xml:space="preserve"> for </w:t>
      </w:r>
      <w:proofErr w:type="spellStart"/>
      <w:r w:rsidRPr="00225D4D">
        <w:t>meir</w:t>
      </w:r>
      <w:proofErr w:type="spellEnd"/>
      <w:r w:rsidRPr="00225D4D">
        <w:t xml:space="preserve"> tid i bustadhandelen</w:t>
      </w:r>
    </w:p>
    <w:p w14:paraId="2750226A" w14:textId="77777777" w:rsidR="00D60186" w:rsidRPr="00225D4D" w:rsidRDefault="00D60186" w:rsidP="00225D4D">
      <w:pPr>
        <w:pStyle w:val="avsnitt-undertittel"/>
      </w:pPr>
      <w:r w:rsidRPr="00225D4D">
        <w:t>Vedtak nr. 1040, 20. juni 2017</w:t>
      </w:r>
    </w:p>
    <w:p w14:paraId="48451573" w14:textId="77777777" w:rsidR="00D60186" w:rsidRPr="00225D4D" w:rsidRDefault="00D60186" w:rsidP="00225D4D">
      <w:pPr>
        <w:pStyle w:val="blokksit"/>
        <w:rPr>
          <w:rStyle w:val="kursiv"/>
        </w:rPr>
      </w:pPr>
      <w:r w:rsidRPr="00225D4D">
        <w:rPr>
          <w:rStyle w:val="kursiv"/>
        </w:rPr>
        <w:t>«Stortinget ber regjeringen sikre boligkjøpernes behov for mer tid i bolighandelen gjennom forskriftene til eiendomsmeglingsloven eller ved å fremme forslag for Stortinget om endringer i avhendingsloven»</w:t>
      </w:r>
    </w:p>
    <w:p w14:paraId="1D54A78F" w14:textId="77777777" w:rsidR="00D60186" w:rsidRPr="00225D4D" w:rsidRDefault="00D60186" w:rsidP="00225D4D">
      <w:r w:rsidRPr="00225D4D">
        <w:t xml:space="preserve">Vedtaket </w:t>
      </w:r>
      <w:proofErr w:type="spellStart"/>
      <w:r w:rsidRPr="00225D4D">
        <w:t>vart</w:t>
      </w:r>
      <w:proofErr w:type="spellEnd"/>
      <w:r w:rsidRPr="00225D4D">
        <w:t xml:space="preserve"> gjort ved </w:t>
      </w:r>
      <w:proofErr w:type="spellStart"/>
      <w:r w:rsidRPr="00225D4D">
        <w:t>behandlinga</w:t>
      </w:r>
      <w:proofErr w:type="spellEnd"/>
      <w:r w:rsidRPr="00225D4D">
        <w:t xml:space="preserve"> av Dokument 8:123 S (2016–2017) </w:t>
      </w:r>
      <w:r w:rsidRPr="00225D4D">
        <w:rPr>
          <w:rStyle w:val="kursiv"/>
        </w:rPr>
        <w:t xml:space="preserve">Representantforslag fra stortingsrepresentantene Hans Olav Syversen, Line Henriette Hjemdal, Hans Fredrik </w:t>
      </w:r>
      <w:proofErr w:type="spellStart"/>
      <w:r w:rsidRPr="00225D4D">
        <w:rPr>
          <w:rStyle w:val="kursiv"/>
        </w:rPr>
        <w:t>Grøvan</w:t>
      </w:r>
      <w:proofErr w:type="spellEnd"/>
      <w:r w:rsidRPr="00225D4D">
        <w:rPr>
          <w:rStyle w:val="kursiv"/>
        </w:rPr>
        <w:t xml:space="preserve">, Kjell Ingolf Ropstad og Geir Sigbjørn </w:t>
      </w:r>
      <w:proofErr w:type="spellStart"/>
      <w:r w:rsidRPr="00225D4D">
        <w:rPr>
          <w:rStyle w:val="kursiv"/>
        </w:rPr>
        <w:t>Toskedal</w:t>
      </w:r>
      <w:proofErr w:type="spellEnd"/>
      <w:r w:rsidRPr="00225D4D">
        <w:rPr>
          <w:rStyle w:val="kursiv"/>
        </w:rPr>
        <w:t xml:space="preserve"> om tiltak for å styrke forbrukernes rettigheter i handel med bolig</w:t>
      </w:r>
      <w:r w:rsidRPr="00225D4D">
        <w:t xml:space="preserve">, jf. </w:t>
      </w:r>
      <w:proofErr w:type="spellStart"/>
      <w:r w:rsidRPr="00225D4D">
        <w:t>Innst</w:t>
      </w:r>
      <w:proofErr w:type="spellEnd"/>
      <w:r w:rsidRPr="00225D4D">
        <w:t xml:space="preserve">. 477 S (2016–2017). </w:t>
      </w:r>
      <w:proofErr w:type="spellStart"/>
      <w:r w:rsidRPr="00225D4D">
        <w:t>Eit</w:t>
      </w:r>
      <w:proofErr w:type="spellEnd"/>
      <w:r w:rsidRPr="00225D4D">
        <w:t xml:space="preserve"> </w:t>
      </w:r>
      <w:proofErr w:type="spellStart"/>
      <w:r w:rsidRPr="00225D4D">
        <w:t>utval</w:t>
      </w:r>
      <w:proofErr w:type="spellEnd"/>
      <w:r w:rsidRPr="00225D4D">
        <w:t xml:space="preserve"> vart sett ned 11. oktober 2019 for å revidere </w:t>
      </w:r>
      <w:proofErr w:type="spellStart"/>
      <w:r w:rsidRPr="00225D4D">
        <w:t>eigedomsmeklingslova</w:t>
      </w:r>
      <w:proofErr w:type="spellEnd"/>
      <w:r w:rsidRPr="00225D4D">
        <w:t xml:space="preserve">. </w:t>
      </w:r>
      <w:proofErr w:type="spellStart"/>
      <w:r w:rsidRPr="00225D4D">
        <w:t>Utvalet</w:t>
      </w:r>
      <w:proofErr w:type="spellEnd"/>
      <w:r w:rsidRPr="00225D4D">
        <w:t xml:space="preserve"> overleverte si utgreiing, NOU 2021: 7 </w:t>
      </w:r>
      <w:r w:rsidRPr="00225D4D">
        <w:rPr>
          <w:rStyle w:val="kursiv"/>
        </w:rPr>
        <w:t>Trygg og enkel eiendomsmegling – Evaluering av eiendomsmeglingsloven og forslag til en fremtidsrettet regulering</w:t>
      </w:r>
      <w:r w:rsidRPr="00225D4D">
        <w:t xml:space="preserve">, 4. juni 2021. Utgreiinga </w:t>
      </w:r>
      <w:proofErr w:type="spellStart"/>
      <w:r w:rsidRPr="00225D4D">
        <w:t>inneheld</w:t>
      </w:r>
      <w:proofErr w:type="spellEnd"/>
      <w:r w:rsidRPr="00225D4D">
        <w:t xml:space="preserve"> mellom anna framlegg til </w:t>
      </w:r>
      <w:proofErr w:type="spellStart"/>
      <w:r w:rsidRPr="00225D4D">
        <w:t>endringar</w:t>
      </w:r>
      <w:proofErr w:type="spellEnd"/>
      <w:r w:rsidRPr="00225D4D">
        <w:t xml:space="preserve"> som skal sikre </w:t>
      </w:r>
      <w:proofErr w:type="spellStart"/>
      <w:r w:rsidRPr="00225D4D">
        <w:t>forbrukarar</w:t>
      </w:r>
      <w:proofErr w:type="spellEnd"/>
      <w:r w:rsidRPr="00225D4D">
        <w:t xml:space="preserve"> </w:t>
      </w:r>
      <w:proofErr w:type="spellStart"/>
      <w:r w:rsidRPr="00225D4D">
        <w:t>meir</w:t>
      </w:r>
      <w:proofErr w:type="spellEnd"/>
      <w:r w:rsidRPr="00225D4D">
        <w:t xml:space="preserve"> tid i bustadhandelen.</w:t>
      </w:r>
    </w:p>
    <w:p w14:paraId="53ACD710" w14:textId="77777777" w:rsidR="00D60186" w:rsidRPr="00225D4D" w:rsidRDefault="00D60186" w:rsidP="00225D4D">
      <w:r w:rsidRPr="00225D4D">
        <w:t xml:space="preserve">Finansdepartementet foreslo i </w:t>
      </w:r>
      <w:proofErr w:type="spellStart"/>
      <w:r w:rsidRPr="00225D4D">
        <w:t>Prop</w:t>
      </w:r>
      <w:proofErr w:type="spellEnd"/>
      <w:r w:rsidRPr="00225D4D">
        <w:t xml:space="preserve">. 41 L (2024–2025) </w:t>
      </w:r>
      <w:r w:rsidRPr="00225D4D">
        <w:rPr>
          <w:rStyle w:val="kursiv"/>
        </w:rPr>
        <w:t>Endringer i eiendomsmeglingsloven (budgivning, egnethetskrav og sanksjoner mv.)</w:t>
      </w:r>
      <w:r w:rsidRPr="00225D4D">
        <w:t xml:space="preserve"> </w:t>
      </w:r>
      <w:proofErr w:type="spellStart"/>
      <w:r w:rsidRPr="00225D4D">
        <w:t>ein</w:t>
      </w:r>
      <w:proofErr w:type="spellEnd"/>
      <w:r w:rsidRPr="00225D4D">
        <w:t xml:space="preserve"> lovregel om at </w:t>
      </w:r>
      <w:proofErr w:type="spellStart"/>
      <w:r w:rsidRPr="00225D4D">
        <w:t>eigedomsmeklarar</w:t>
      </w:r>
      <w:proofErr w:type="spellEnd"/>
      <w:r w:rsidRPr="00225D4D">
        <w:t xml:space="preserve"> </w:t>
      </w:r>
      <w:proofErr w:type="spellStart"/>
      <w:r w:rsidRPr="00225D4D">
        <w:t>ikkje</w:t>
      </w:r>
      <w:proofErr w:type="spellEnd"/>
      <w:r w:rsidRPr="00225D4D">
        <w:t xml:space="preserve"> skal formidle bod med </w:t>
      </w:r>
      <w:proofErr w:type="spellStart"/>
      <w:r w:rsidRPr="00225D4D">
        <w:t>kortare</w:t>
      </w:r>
      <w:proofErr w:type="spellEnd"/>
      <w:r w:rsidRPr="00225D4D">
        <w:t xml:space="preserve"> akseptfrist enn det som er fastsett av Finansdepartementet i forskrift. Lovendringa tredde i kraft 1. juli 2025, jf. lov om endringer i eiendomsmeglingsloven (budgivning, egnethetskrav og sanksjoner mv.). Finansdepartementet ba 24. januar 2025 Finanstilsynet om å foreslå </w:t>
      </w:r>
      <w:proofErr w:type="spellStart"/>
      <w:r w:rsidRPr="00225D4D">
        <w:t>forskriftsreglar</w:t>
      </w:r>
      <w:proofErr w:type="spellEnd"/>
      <w:r w:rsidRPr="00225D4D">
        <w:t xml:space="preserve"> om minste akseptfrist </w:t>
      </w:r>
      <w:proofErr w:type="spellStart"/>
      <w:r w:rsidRPr="00225D4D">
        <w:t>innan</w:t>
      </w:r>
      <w:proofErr w:type="spellEnd"/>
      <w:r w:rsidRPr="00225D4D">
        <w:t xml:space="preserve"> 24. november 2025.</w:t>
      </w:r>
    </w:p>
    <w:p w14:paraId="28C370E8" w14:textId="77777777" w:rsidR="00D60186" w:rsidRPr="00225D4D" w:rsidRDefault="00D60186" w:rsidP="00225D4D">
      <w:pPr>
        <w:pStyle w:val="Overskrift1"/>
      </w:pPr>
      <w:r w:rsidRPr="00225D4D">
        <w:t>Forsvarsdepartementet</w:t>
      </w:r>
    </w:p>
    <w:p w14:paraId="6CCF43ED" w14:textId="77777777" w:rsidR="00D60186" w:rsidRPr="00225D4D" w:rsidRDefault="00D60186" w:rsidP="00225D4D">
      <w:pPr>
        <w:pStyle w:val="Overskrift2"/>
      </w:pPr>
      <w:r w:rsidRPr="00225D4D">
        <w:t>Oppfølging av oppmodings- og utgreiingsvedtak</w:t>
      </w:r>
    </w:p>
    <w:p w14:paraId="666DDE85" w14:textId="77777777" w:rsidR="00D60186" w:rsidRPr="00225D4D" w:rsidRDefault="00D60186" w:rsidP="00225D4D">
      <w:proofErr w:type="spellStart"/>
      <w:r w:rsidRPr="00225D4D">
        <w:t>Nedanfor</w:t>
      </w:r>
      <w:proofErr w:type="spellEnd"/>
      <w:r w:rsidRPr="00225D4D">
        <w:t xml:space="preserve"> er oversikt over oppfølging av oppmodingsvedtak under Forsvarsdepartementet. </w:t>
      </w:r>
      <w:proofErr w:type="spellStart"/>
      <w:r w:rsidRPr="00225D4D">
        <w:t>Oversikta</w:t>
      </w:r>
      <w:proofErr w:type="spellEnd"/>
      <w:r w:rsidRPr="00225D4D">
        <w:t xml:space="preserve"> inkluderer alle vedtak </w:t>
      </w:r>
      <w:proofErr w:type="spellStart"/>
      <w:r w:rsidRPr="00225D4D">
        <w:t>frå</w:t>
      </w:r>
      <w:proofErr w:type="spellEnd"/>
      <w:r w:rsidRPr="00225D4D">
        <w:t xml:space="preserve"> stortingssesjonen 2024–2025 og vedtak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stortingssesjonar</w:t>
      </w:r>
      <w:proofErr w:type="spellEnd"/>
      <w:r w:rsidRPr="00225D4D">
        <w:t xml:space="preserve"> som kontroll- og konstitusjonskomiteen i </w:t>
      </w:r>
      <w:proofErr w:type="spellStart"/>
      <w:r w:rsidRPr="00225D4D">
        <w:t>Innst</w:t>
      </w:r>
      <w:proofErr w:type="spellEnd"/>
      <w:r w:rsidRPr="00225D4D">
        <w:t xml:space="preserve">. 216 S (2024–2025) meinte </w:t>
      </w:r>
      <w:proofErr w:type="spellStart"/>
      <w:r w:rsidRPr="00225D4D">
        <w:t>ikkje</w:t>
      </w:r>
      <w:proofErr w:type="spellEnd"/>
      <w:r w:rsidRPr="00225D4D">
        <w:t xml:space="preserve"> var </w:t>
      </w:r>
      <w:proofErr w:type="spellStart"/>
      <w:r w:rsidRPr="00225D4D">
        <w:t>utkvitterte</w:t>
      </w:r>
      <w:proofErr w:type="spellEnd"/>
      <w:r w:rsidRPr="00225D4D">
        <w:t xml:space="preserve">. Om Forsvarsdepartementet </w:t>
      </w:r>
      <w:proofErr w:type="spellStart"/>
      <w:r w:rsidRPr="00225D4D">
        <w:t>reknar</w:t>
      </w:r>
      <w:proofErr w:type="spellEnd"/>
      <w:r w:rsidRPr="00225D4D">
        <w:t xml:space="preserve"> rapporteringa som avslutta, eller om Forsvarsdepartementet også vil </w:t>
      </w:r>
      <w:proofErr w:type="spellStart"/>
      <w:r w:rsidRPr="00225D4D">
        <w:t>rapportera</w:t>
      </w:r>
      <w:proofErr w:type="spellEnd"/>
      <w:r w:rsidRPr="00225D4D">
        <w:t xml:space="preserve"> konkret om vedtaket i budsjettforslaget neste år, er ført inn.</w:t>
      </w:r>
    </w:p>
    <w:p w14:paraId="3201C011" w14:textId="08322D36" w:rsidR="00330F87" w:rsidRPr="00225D4D" w:rsidRDefault="00330F87" w:rsidP="00225D4D">
      <w:pPr>
        <w:pStyle w:val="tabell-tittel"/>
      </w:pPr>
      <w:r w:rsidRPr="00225D4D">
        <w:t>Oversikt over oppmodings- og utgreiingsvedtak, ordna etter sesjon og nummer</w:t>
      </w:r>
    </w:p>
    <w:p w14:paraId="1FFE853C" w14:textId="77777777" w:rsidR="00D60186" w:rsidRPr="00225D4D" w:rsidRDefault="00D60186" w:rsidP="00225D4D">
      <w:pPr>
        <w:pStyle w:val="Tabellnavn"/>
      </w:pPr>
      <w:r w:rsidRPr="00225D4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80"/>
        <w:gridCol w:w="1180"/>
        <w:gridCol w:w="5760"/>
        <w:gridCol w:w="1360"/>
      </w:tblGrid>
      <w:tr w:rsidR="00E76DC8" w:rsidRPr="00225D4D" w14:paraId="407A1988" w14:textId="77777777">
        <w:trPr>
          <w:trHeight w:val="600"/>
        </w:trPr>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FD20D6" w14:textId="77777777" w:rsidR="00D60186" w:rsidRPr="00F85F1B" w:rsidRDefault="00D60186" w:rsidP="00225D4D">
            <w:pPr>
              <w:rPr>
                <w:sz w:val="21"/>
                <w:szCs w:val="21"/>
              </w:rPr>
            </w:pPr>
            <w:r w:rsidRPr="00F85F1B">
              <w:rPr>
                <w:sz w:val="21"/>
                <w:szCs w:val="21"/>
              </w:rPr>
              <w:t>Sesjon</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E18A15" w14:textId="77777777" w:rsidR="00D60186" w:rsidRPr="00F85F1B" w:rsidRDefault="00D60186" w:rsidP="00F85F1B">
            <w:pPr>
              <w:ind w:right="113"/>
              <w:jc w:val="right"/>
              <w:rPr>
                <w:sz w:val="21"/>
                <w:szCs w:val="21"/>
              </w:rPr>
            </w:pPr>
            <w:r w:rsidRPr="00F85F1B">
              <w:rPr>
                <w:sz w:val="21"/>
                <w:szCs w:val="21"/>
              </w:rPr>
              <w:t>Vedtak nr.</w:t>
            </w:r>
          </w:p>
        </w:tc>
        <w:tc>
          <w:tcPr>
            <w:tcW w:w="5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7B2762" w14:textId="77777777" w:rsidR="00D60186" w:rsidRPr="00F85F1B" w:rsidRDefault="00D60186" w:rsidP="00225D4D">
            <w:pPr>
              <w:rPr>
                <w:sz w:val="21"/>
                <w:szCs w:val="21"/>
              </w:rPr>
            </w:pPr>
            <w:r w:rsidRPr="00F85F1B">
              <w:rPr>
                <w:sz w:val="21"/>
                <w:szCs w:val="21"/>
              </w:rPr>
              <w:t>Stikkord</w:t>
            </w:r>
          </w:p>
        </w:tc>
        <w:tc>
          <w:tcPr>
            <w:tcW w:w="1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A2E00C" w14:textId="77777777" w:rsidR="00D60186" w:rsidRPr="00F85F1B" w:rsidRDefault="00D60186" w:rsidP="00F85F1B">
            <w:pPr>
              <w:jc w:val="right"/>
              <w:rPr>
                <w:sz w:val="21"/>
                <w:szCs w:val="21"/>
              </w:rPr>
            </w:pPr>
            <w:r w:rsidRPr="00F85F1B">
              <w:rPr>
                <w:sz w:val="21"/>
                <w:szCs w:val="21"/>
              </w:rPr>
              <w:t>Rapportering avslutta</w:t>
            </w:r>
          </w:p>
        </w:tc>
      </w:tr>
      <w:tr w:rsidR="00E76DC8" w:rsidRPr="00225D4D" w14:paraId="4B9A9415" w14:textId="77777777" w:rsidTr="00814879">
        <w:trPr>
          <w:trHeight w:val="20"/>
        </w:trPr>
        <w:tc>
          <w:tcPr>
            <w:tcW w:w="1280" w:type="dxa"/>
            <w:tcBorders>
              <w:top w:val="single" w:sz="4" w:space="0" w:color="000000"/>
              <w:left w:val="nil"/>
              <w:bottom w:val="nil"/>
              <w:right w:val="nil"/>
            </w:tcBorders>
            <w:tcMar>
              <w:top w:w="128" w:type="dxa"/>
              <w:left w:w="43" w:type="dxa"/>
              <w:bottom w:w="43" w:type="dxa"/>
              <w:right w:w="43" w:type="dxa"/>
            </w:tcMar>
          </w:tcPr>
          <w:p w14:paraId="273242D6" w14:textId="77777777" w:rsidR="00D60186" w:rsidRPr="00F85F1B" w:rsidRDefault="00D60186" w:rsidP="00225D4D">
            <w:pPr>
              <w:rPr>
                <w:sz w:val="21"/>
                <w:szCs w:val="21"/>
              </w:rPr>
            </w:pPr>
            <w:r w:rsidRPr="00F85F1B">
              <w:rPr>
                <w:sz w:val="21"/>
                <w:szCs w:val="21"/>
              </w:rPr>
              <w:t>2024–2025</w:t>
            </w:r>
          </w:p>
        </w:tc>
        <w:tc>
          <w:tcPr>
            <w:tcW w:w="1180" w:type="dxa"/>
            <w:tcBorders>
              <w:top w:val="single" w:sz="4" w:space="0" w:color="000000"/>
              <w:left w:val="nil"/>
              <w:bottom w:val="nil"/>
              <w:right w:val="nil"/>
            </w:tcBorders>
            <w:tcMar>
              <w:top w:w="128" w:type="dxa"/>
              <w:left w:w="43" w:type="dxa"/>
              <w:bottom w:w="43" w:type="dxa"/>
              <w:right w:w="43" w:type="dxa"/>
            </w:tcMar>
          </w:tcPr>
          <w:p w14:paraId="4E3AC9B5" w14:textId="77777777" w:rsidR="00D60186" w:rsidRPr="00F85F1B" w:rsidRDefault="00D60186" w:rsidP="00F85F1B">
            <w:pPr>
              <w:ind w:right="113"/>
              <w:jc w:val="right"/>
              <w:rPr>
                <w:sz w:val="21"/>
                <w:szCs w:val="21"/>
              </w:rPr>
            </w:pPr>
            <w:r w:rsidRPr="00F85F1B">
              <w:rPr>
                <w:sz w:val="21"/>
                <w:szCs w:val="21"/>
              </w:rPr>
              <w:t>839</w:t>
            </w:r>
          </w:p>
        </w:tc>
        <w:tc>
          <w:tcPr>
            <w:tcW w:w="5760" w:type="dxa"/>
            <w:tcBorders>
              <w:top w:val="single" w:sz="4" w:space="0" w:color="000000"/>
              <w:left w:val="nil"/>
              <w:bottom w:val="nil"/>
              <w:right w:val="nil"/>
            </w:tcBorders>
            <w:tcMar>
              <w:top w:w="128" w:type="dxa"/>
              <w:left w:w="43" w:type="dxa"/>
              <w:bottom w:w="43" w:type="dxa"/>
              <w:right w:w="43" w:type="dxa"/>
            </w:tcMar>
          </w:tcPr>
          <w:p w14:paraId="405906E9" w14:textId="77777777" w:rsidR="00D60186" w:rsidRPr="00F85F1B" w:rsidRDefault="00D60186" w:rsidP="00225D4D">
            <w:pPr>
              <w:rPr>
                <w:sz w:val="21"/>
                <w:szCs w:val="21"/>
              </w:rPr>
            </w:pPr>
            <w:proofErr w:type="spellStart"/>
            <w:r w:rsidRPr="00F85F1B">
              <w:rPr>
                <w:sz w:val="21"/>
                <w:szCs w:val="21"/>
              </w:rPr>
              <w:t>Moglegheit</w:t>
            </w:r>
            <w:proofErr w:type="spellEnd"/>
            <w:r w:rsidRPr="00F85F1B">
              <w:rPr>
                <w:sz w:val="21"/>
                <w:szCs w:val="21"/>
              </w:rPr>
              <w:t xml:space="preserve"> til å fly og testa </w:t>
            </w:r>
            <w:proofErr w:type="spellStart"/>
            <w:r w:rsidRPr="00F85F1B">
              <w:rPr>
                <w:sz w:val="21"/>
                <w:szCs w:val="21"/>
              </w:rPr>
              <w:t>dronar</w:t>
            </w:r>
            <w:proofErr w:type="spellEnd"/>
            <w:r w:rsidRPr="00F85F1B">
              <w:rPr>
                <w:sz w:val="21"/>
                <w:szCs w:val="21"/>
              </w:rPr>
              <w:t xml:space="preserve"> med våpen i våpentestområda</w:t>
            </w:r>
          </w:p>
        </w:tc>
        <w:tc>
          <w:tcPr>
            <w:tcW w:w="1360" w:type="dxa"/>
            <w:tcBorders>
              <w:top w:val="single" w:sz="4" w:space="0" w:color="000000"/>
              <w:left w:val="nil"/>
              <w:bottom w:val="nil"/>
              <w:right w:val="nil"/>
            </w:tcBorders>
            <w:tcMar>
              <w:top w:w="128" w:type="dxa"/>
              <w:left w:w="43" w:type="dxa"/>
              <w:bottom w:w="43" w:type="dxa"/>
              <w:right w:w="43" w:type="dxa"/>
            </w:tcMar>
          </w:tcPr>
          <w:p w14:paraId="326AF089" w14:textId="77777777" w:rsidR="00D60186" w:rsidRPr="00F85F1B" w:rsidRDefault="00D60186" w:rsidP="00F85F1B">
            <w:pPr>
              <w:jc w:val="right"/>
              <w:rPr>
                <w:sz w:val="21"/>
                <w:szCs w:val="21"/>
              </w:rPr>
            </w:pPr>
            <w:r w:rsidRPr="00F85F1B">
              <w:rPr>
                <w:sz w:val="21"/>
                <w:szCs w:val="21"/>
              </w:rPr>
              <w:t>Ja</w:t>
            </w:r>
          </w:p>
        </w:tc>
      </w:tr>
      <w:tr w:rsidR="00E76DC8" w:rsidRPr="00225D4D" w14:paraId="4799F257"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042FBB14" w14:textId="77777777" w:rsidR="00D60186" w:rsidRPr="00F85F1B" w:rsidRDefault="00D60186" w:rsidP="00225D4D">
            <w:pPr>
              <w:rPr>
                <w:sz w:val="21"/>
                <w:szCs w:val="21"/>
              </w:rPr>
            </w:pPr>
            <w:r w:rsidRPr="00F85F1B">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3628B2C0" w14:textId="77777777" w:rsidR="00D60186" w:rsidRPr="00F85F1B" w:rsidRDefault="00D60186" w:rsidP="00F85F1B">
            <w:pPr>
              <w:ind w:right="113"/>
              <w:jc w:val="right"/>
              <w:rPr>
                <w:sz w:val="21"/>
                <w:szCs w:val="21"/>
              </w:rPr>
            </w:pPr>
            <w:r w:rsidRPr="00F85F1B">
              <w:rPr>
                <w:sz w:val="21"/>
                <w:szCs w:val="21"/>
              </w:rPr>
              <w:t>840</w:t>
            </w:r>
          </w:p>
        </w:tc>
        <w:tc>
          <w:tcPr>
            <w:tcW w:w="5760" w:type="dxa"/>
            <w:tcBorders>
              <w:top w:val="nil"/>
              <w:left w:val="nil"/>
              <w:bottom w:val="nil"/>
              <w:right w:val="nil"/>
            </w:tcBorders>
            <w:tcMar>
              <w:top w:w="128" w:type="dxa"/>
              <w:left w:w="43" w:type="dxa"/>
              <w:bottom w:w="43" w:type="dxa"/>
              <w:right w:w="43" w:type="dxa"/>
            </w:tcMar>
          </w:tcPr>
          <w:p w14:paraId="525E4A56" w14:textId="77777777" w:rsidR="00D60186" w:rsidRPr="00F85F1B" w:rsidRDefault="00D60186" w:rsidP="00225D4D">
            <w:pPr>
              <w:rPr>
                <w:sz w:val="21"/>
                <w:szCs w:val="21"/>
              </w:rPr>
            </w:pPr>
            <w:proofErr w:type="spellStart"/>
            <w:r w:rsidRPr="00F85F1B">
              <w:rPr>
                <w:sz w:val="21"/>
                <w:szCs w:val="21"/>
              </w:rPr>
              <w:t>Anskaffingsrutinar</w:t>
            </w:r>
            <w:proofErr w:type="spellEnd"/>
            <w:r w:rsidRPr="00F85F1B">
              <w:rPr>
                <w:sz w:val="21"/>
                <w:szCs w:val="21"/>
              </w:rPr>
              <w:t xml:space="preserve"> legg vekt på </w:t>
            </w:r>
            <w:proofErr w:type="spellStart"/>
            <w:r w:rsidRPr="00F85F1B">
              <w:rPr>
                <w:sz w:val="21"/>
                <w:szCs w:val="21"/>
              </w:rPr>
              <w:t>sikkerheitsaspekta</w:t>
            </w:r>
            <w:proofErr w:type="spellEnd"/>
          </w:p>
        </w:tc>
        <w:tc>
          <w:tcPr>
            <w:tcW w:w="1360" w:type="dxa"/>
            <w:tcBorders>
              <w:top w:val="nil"/>
              <w:left w:val="nil"/>
              <w:bottom w:val="nil"/>
              <w:right w:val="nil"/>
            </w:tcBorders>
            <w:tcMar>
              <w:top w:w="128" w:type="dxa"/>
              <w:left w:w="43" w:type="dxa"/>
              <w:bottom w:w="43" w:type="dxa"/>
              <w:right w:w="43" w:type="dxa"/>
            </w:tcMar>
          </w:tcPr>
          <w:p w14:paraId="0656B63D" w14:textId="77777777" w:rsidR="00D60186" w:rsidRPr="00F85F1B" w:rsidRDefault="00D60186" w:rsidP="00F85F1B">
            <w:pPr>
              <w:jc w:val="right"/>
              <w:rPr>
                <w:sz w:val="21"/>
                <w:szCs w:val="21"/>
              </w:rPr>
            </w:pPr>
            <w:r w:rsidRPr="00F85F1B">
              <w:rPr>
                <w:sz w:val="21"/>
                <w:szCs w:val="21"/>
              </w:rPr>
              <w:t>Nei</w:t>
            </w:r>
          </w:p>
        </w:tc>
      </w:tr>
      <w:tr w:rsidR="00E76DC8" w:rsidRPr="00225D4D" w14:paraId="0BC4FAEB"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77F2C593" w14:textId="77777777" w:rsidR="00D60186" w:rsidRPr="00F85F1B" w:rsidRDefault="00D60186" w:rsidP="00225D4D">
            <w:pPr>
              <w:rPr>
                <w:sz w:val="21"/>
                <w:szCs w:val="21"/>
              </w:rPr>
            </w:pPr>
            <w:r w:rsidRPr="00F85F1B">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37928DAA" w14:textId="77777777" w:rsidR="00D60186" w:rsidRPr="00F85F1B" w:rsidRDefault="00D60186" w:rsidP="00F85F1B">
            <w:pPr>
              <w:ind w:right="113"/>
              <w:jc w:val="right"/>
              <w:rPr>
                <w:sz w:val="21"/>
                <w:szCs w:val="21"/>
              </w:rPr>
            </w:pPr>
            <w:r w:rsidRPr="00F85F1B">
              <w:rPr>
                <w:sz w:val="21"/>
                <w:szCs w:val="21"/>
              </w:rPr>
              <w:t>977</w:t>
            </w:r>
          </w:p>
        </w:tc>
        <w:tc>
          <w:tcPr>
            <w:tcW w:w="5760" w:type="dxa"/>
            <w:tcBorders>
              <w:top w:val="nil"/>
              <w:left w:val="nil"/>
              <w:bottom w:val="nil"/>
              <w:right w:val="nil"/>
            </w:tcBorders>
            <w:tcMar>
              <w:top w:w="128" w:type="dxa"/>
              <w:left w:w="43" w:type="dxa"/>
              <w:bottom w:w="43" w:type="dxa"/>
              <w:right w:w="43" w:type="dxa"/>
            </w:tcMar>
          </w:tcPr>
          <w:p w14:paraId="0C5196F1" w14:textId="77777777" w:rsidR="00D60186" w:rsidRPr="00F85F1B" w:rsidRDefault="00D60186" w:rsidP="00225D4D">
            <w:pPr>
              <w:rPr>
                <w:sz w:val="21"/>
                <w:szCs w:val="21"/>
              </w:rPr>
            </w:pPr>
            <w:r w:rsidRPr="00F85F1B">
              <w:rPr>
                <w:sz w:val="21"/>
                <w:szCs w:val="21"/>
              </w:rPr>
              <w:t xml:space="preserve">Styrka </w:t>
            </w:r>
            <w:proofErr w:type="spellStart"/>
            <w:r w:rsidRPr="00F85F1B">
              <w:rPr>
                <w:sz w:val="21"/>
                <w:szCs w:val="21"/>
              </w:rPr>
              <w:t>veterananes</w:t>
            </w:r>
            <w:proofErr w:type="spellEnd"/>
            <w:r w:rsidRPr="00F85F1B">
              <w:rPr>
                <w:sz w:val="21"/>
                <w:szCs w:val="21"/>
              </w:rPr>
              <w:t xml:space="preserve"> retter og </w:t>
            </w:r>
            <w:proofErr w:type="spellStart"/>
            <w:r w:rsidRPr="00F85F1B">
              <w:rPr>
                <w:sz w:val="21"/>
                <w:szCs w:val="21"/>
              </w:rPr>
              <w:t>innføra</w:t>
            </w:r>
            <w:proofErr w:type="spellEnd"/>
            <w:r w:rsidRPr="00F85F1B">
              <w:rPr>
                <w:sz w:val="21"/>
                <w:szCs w:val="21"/>
              </w:rPr>
              <w:t xml:space="preserve"> ei </w:t>
            </w:r>
            <w:proofErr w:type="spellStart"/>
            <w:r w:rsidRPr="00F85F1B">
              <w:rPr>
                <w:sz w:val="21"/>
                <w:szCs w:val="21"/>
              </w:rPr>
              <w:t>veteranlov</w:t>
            </w:r>
            <w:proofErr w:type="spellEnd"/>
            <w:r w:rsidRPr="00F85F1B">
              <w:rPr>
                <w:sz w:val="21"/>
                <w:szCs w:val="21"/>
              </w:rPr>
              <w:t xml:space="preserve"> i </w:t>
            </w:r>
            <w:proofErr w:type="spellStart"/>
            <w:r w:rsidRPr="00F85F1B">
              <w:rPr>
                <w:sz w:val="21"/>
                <w:szCs w:val="21"/>
              </w:rPr>
              <w:t>Noreg</w:t>
            </w:r>
            <w:proofErr w:type="spellEnd"/>
          </w:p>
        </w:tc>
        <w:tc>
          <w:tcPr>
            <w:tcW w:w="1360" w:type="dxa"/>
            <w:tcBorders>
              <w:top w:val="nil"/>
              <w:left w:val="nil"/>
              <w:bottom w:val="nil"/>
              <w:right w:val="nil"/>
            </w:tcBorders>
            <w:tcMar>
              <w:top w:w="128" w:type="dxa"/>
              <w:left w:w="43" w:type="dxa"/>
              <w:bottom w:w="43" w:type="dxa"/>
              <w:right w:w="43" w:type="dxa"/>
            </w:tcMar>
          </w:tcPr>
          <w:p w14:paraId="31184968" w14:textId="77777777" w:rsidR="00D60186" w:rsidRPr="00F85F1B" w:rsidRDefault="00D60186" w:rsidP="00F85F1B">
            <w:pPr>
              <w:jc w:val="right"/>
              <w:rPr>
                <w:sz w:val="21"/>
                <w:szCs w:val="21"/>
              </w:rPr>
            </w:pPr>
            <w:r w:rsidRPr="00F85F1B">
              <w:rPr>
                <w:sz w:val="21"/>
                <w:szCs w:val="21"/>
              </w:rPr>
              <w:t>Nei</w:t>
            </w:r>
          </w:p>
        </w:tc>
      </w:tr>
      <w:tr w:rsidR="00E76DC8" w:rsidRPr="00225D4D" w14:paraId="4AF72458"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1EDABE93" w14:textId="77777777" w:rsidR="00D60186" w:rsidRPr="00F85F1B" w:rsidRDefault="00D60186" w:rsidP="00225D4D">
            <w:pPr>
              <w:rPr>
                <w:sz w:val="21"/>
                <w:szCs w:val="21"/>
              </w:rPr>
            </w:pPr>
            <w:r w:rsidRPr="00F85F1B">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48CDBF87" w14:textId="77777777" w:rsidR="00D60186" w:rsidRPr="00F85F1B" w:rsidRDefault="00D60186" w:rsidP="00F85F1B">
            <w:pPr>
              <w:ind w:right="113"/>
              <w:jc w:val="right"/>
              <w:rPr>
                <w:sz w:val="21"/>
                <w:szCs w:val="21"/>
              </w:rPr>
            </w:pPr>
            <w:r w:rsidRPr="00F85F1B">
              <w:rPr>
                <w:sz w:val="21"/>
                <w:szCs w:val="21"/>
              </w:rPr>
              <w:t>1217</w:t>
            </w:r>
          </w:p>
        </w:tc>
        <w:tc>
          <w:tcPr>
            <w:tcW w:w="5760" w:type="dxa"/>
            <w:tcBorders>
              <w:top w:val="nil"/>
              <w:left w:val="nil"/>
              <w:bottom w:val="nil"/>
              <w:right w:val="nil"/>
            </w:tcBorders>
            <w:tcMar>
              <w:top w:w="128" w:type="dxa"/>
              <w:left w:w="43" w:type="dxa"/>
              <w:bottom w:w="43" w:type="dxa"/>
              <w:right w:w="43" w:type="dxa"/>
            </w:tcMar>
          </w:tcPr>
          <w:p w14:paraId="18398BBE" w14:textId="77777777" w:rsidR="00D60186" w:rsidRPr="00F85F1B" w:rsidRDefault="00D60186" w:rsidP="00225D4D">
            <w:pPr>
              <w:rPr>
                <w:sz w:val="21"/>
                <w:szCs w:val="21"/>
              </w:rPr>
            </w:pPr>
            <w:r w:rsidRPr="00F85F1B">
              <w:rPr>
                <w:sz w:val="21"/>
                <w:szCs w:val="21"/>
              </w:rPr>
              <w:t>Forsvarets nærvær på Sørreisa</w:t>
            </w:r>
          </w:p>
        </w:tc>
        <w:tc>
          <w:tcPr>
            <w:tcW w:w="1360" w:type="dxa"/>
            <w:tcBorders>
              <w:top w:val="nil"/>
              <w:left w:val="nil"/>
              <w:bottom w:val="nil"/>
              <w:right w:val="nil"/>
            </w:tcBorders>
            <w:tcMar>
              <w:top w:w="128" w:type="dxa"/>
              <w:left w:w="43" w:type="dxa"/>
              <w:bottom w:w="43" w:type="dxa"/>
              <w:right w:w="43" w:type="dxa"/>
            </w:tcMar>
          </w:tcPr>
          <w:p w14:paraId="72B2A880" w14:textId="77777777" w:rsidR="00D60186" w:rsidRPr="00F85F1B" w:rsidRDefault="00D60186" w:rsidP="00F85F1B">
            <w:pPr>
              <w:jc w:val="right"/>
              <w:rPr>
                <w:sz w:val="21"/>
                <w:szCs w:val="21"/>
              </w:rPr>
            </w:pPr>
            <w:r w:rsidRPr="00F85F1B">
              <w:rPr>
                <w:sz w:val="21"/>
                <w:szCs w:val="21"/>
              </w:rPr>
              <w:t>Nei</w:t>
            </w:r>
          </w:p>
        </w:tc>
      </w:tr>
      <w:tr w:rsidR="00E76DC8" w:rsidRPr="00225D4D" w14:paraId="76217EB0"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063A28E7" w14:textId="77777777" w:rsidR="00D60186" w:rsidRPr="00F85F1B" w:rsidRDefault="00D60186" w:rsidP="00225D4D">
            <w:pPr>
              <w:rPr>
                <w:sz w:val="21"/>
                <w:szCs w:val="21"/>
              </w:rPr>
            </w:pPr>
            <w:r w:rsidRPr="00F85F1B">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003FCCBC" w14:textId="77777777" w:rsidR="00D60186" w:rsidRPr="00F85F1B" w:rsidRDefault="00D60186" w:rsidP="00F85F1B">
            <w:pPr>
              <w:ind w:right="113"/>
              <w:jc w:val="right"/>
              <w:rPr>
                <w:sz w:val="21"/>
                <w:szCs w:val="21"/>
              </w:rPr>
            </w:pPr>
            <w:r w:rsidRPr="00F85F1B">
              <w:rPr>
                <w:sz w:val="21"/>
                <w:szCs w:val="21"/>
              </w:rPr>
              <w:t>1218</w:t>
            </w:r>
          </w:p>
        </w:tc>
        <w:tc>
          <w:tcPr>
            <w:tcW w:w="5760" w:type="dxa"/>
            <w:tcBorders>
              <w:top w:val="nil"/>
              <w:left w:val="nil"/>
              <w:bottom w:val="nil"/>
              <w:right w:val="nil"/>
            </w:tcBorders>
            <w:tcMar>
              <w:top w:w="128" w:type="dxa"/>
              <w:left w:w="43" w:type="dxa"/>
              <w:bottom w:w="43" w:type="dxa"/>
              <w:right w:w="43" w:type="dxa"/>
            </w:tcMar>
          </w:tcPr>
          <w:p w14:paraId="2A9DFF39" w14:textId="77777777" w:rsidR="00D60186" w:rsidRPr="00F85F1B" w:rsidRDefault="00D60186" w:rsidP="00225D4D">
            <w:pPr>
              <w:rPr>
                <w:sz w:val="21"/>
                <w:szCs w:val="21"/>
              </w:rPr>
            </w:pPr>
            <w:r w:rsidRPr="00F85F1B">
              <w:rPr>
                <w:sz w:val="21"/>
                <w:szCs w:val="21"/>
              </w:rPr>
              <w:t xml:space="preserve">Fagmiljø </w:t>
            </w:r>
            <w:proofErr w:type="spellStart"/>
            <w:r w:rsidRPr="00F85F1B">
              <w:rPr>
                <w:sz w:val="21"/>
                <w:szCs w:val="21"/>
              </w:rPr>
              <w:t>innan</w:t>
            </w:r>
            <w:proofErr w:type="spellEnd"/>
            <w:r w:rsidRPr="00F85F1B">
              <w:rPr>
                <w:sz w:val="21"/>
                <w:szCs w:val="21"/>
              </w:rPr>
              <w:t xml:space="preserve"> Cyberforsvaret ved Jørstadmoen</w:t>
            </w:r>
          </w:p>
        </w:tc>
        <w:tc>
          <w:tcPr>
            <w:tcW w:w="1360" w:type="dxa"/>
            <w:tcBorders>
              <w:top w:val="nil"/>
              <w:left w:val="nil"/>
              <w:bottom w:val="nil"/>
              <w:right w:val="nil"/>
            </w:tcBorders>
            <w:tcMar>
              <w:top w:w="128" w:type="dxa"/>
              <w:left w:w="43" w:type="dxa"/>
              <w:bottom w:w="43" w:type="dxa"/>
              <w:right w:w="43" w:type="dxa"/>
            </w:tcMar>
          </w:tcPr>
          <w:p w14:paraId="0A54E6A8" w14:textId="77777777" w:rsidR="00D60186" w:rsidRPr="00F85F1B" w:rsidRDefault="00D60186" w:rsidP="00F85F1B">
            <w:pPr>
              <w:jc w:val="right"/>
              <w:rPr>
                <w:sz w:val="21"/>
                <w:szCs w:val="21"/>
              </w:rPr>
            </w:pPr>
            <w:r w:rsidRPr="00F85F1B">
              <w:rPr>
                <w:sz w:val="21"/>
                <w:szCs w:val="21"/>
              </w:rPr>
              <w:t>Nei</w:t>
            </w:r>
          </w:p>
        </w:tc>
      </w:tr>
      <w:tr w:rsidR="00E76DC8" w:rsidRPr="00225D4D" w14:paraId="70FA3971"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7E0626F6" w14:textId="77777777" w:rsidR="00D60186" w:rsidRPr="00F85F1B" w:rsidRDefault="00D60186" w:rsidP="00225D4D">
            <w:pPr>
              <w:rPr>
                <w:sz w:val="21"/>
                <w:szCs w:val="21"/>
              </w:rPr>
            </w:pPr>
            <w:r w:rsidRPr="00F85F1B">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4D11A37A" w14:textId="77777777" w:rsidR="00D60186" w:rsidRPr="00F85F1B" w:rsidRDefault="00D60186" w:rsidP="00F85F1B">
            <w:pPr>
              <w:ind w:right="113"/>
              <w:jc w:val="right"/>
              <w:rPr>
                <w:sz w:val="21"/>
                <w:szCs w:val="21"/>
              </w:rPr>
            </w:pPr>
            <w:r w:rsidRPr="00F85F1B">
              <w:rPr>
                <w:sz w:val="21"/>
                <w:szCs w:val="21"/>
              </w:rPr>
              <w:t>1243</w:t>
            </w:r>
          </w:p>
        </w:tc>
        <w:tc>
          <w:tcPr>
            <w:tcW w:w="5760" w:type="dxa"/>
            <w:tcBorders>
              <w:top w:val="nil"/>
              <w:left w:val="nil"/>
              <w:bottom w:val="nil"/>
              <w:right w:val="nil"/>
            </w:tcBorders>
            <w:tcMar>
              <w:top w:w="128" w:type="dxa"/>
              <w:left w:w="43" w:type="dxa"/>
              <w:bottom w:w="43" w:type="dxa"/>
              <w:right w:w="43" w:type="dxa"/>
            </w:tcMar>
          </w:tcPr>
          <w:p w14:paraId="38B95FC1" w14:textId="77777777" w:rsidR="00D60186" w:rsidRPr="00F85F1B" w:rsidRDefault="00D60186" w:rsidP="00225D4D">
            <w:pPr>
              <w:rPr>
                <w:sz w:val="21"/>
                <w:szCs w:val="21"/>
              </w:rPr>
            </w:pPr>
            <w:r w:rsidRPr="00F85F1B">
              <w:rPr>
                <w:sz w:val="21"/>
                <w:szCs w:val="21"/>
              </w:rPr>
              <w:t xml:space="preserve">Administrative </w:t>
            </w:r>
            <w:proofErr w:type="spellStart"/>
            <w:r w:rsidRPr="00F85F1B">
              <w:rPr>
                <w:sz w:val="21"/>
                <w:szCs w:val="21"/>
              </w:rPr>
              <w:t>stillingar</w:t>
            </w:r>
            <w:proofErr w:type="spellEnd"/>
            <w:r w:rsidRPr="00F85F1B">
              <w:rPr>
                <w:sz w:val="21"/>
                <w:szCs w:val="21"/>
              </w:rPr>
              <w:t xml:space="preserve"> og </w:t>
            </w:r>
            <w:proofErr w:type="spellStart"/>
            <w:r w:rsidRPr="00F85F1B">
              <w:rPr>
                <w:sz w:val="21"/>
                <w:szCs w:val="21"/>
              </w:rPr>
              <w:t>leiarfunksjonar</w:t>
            </w:r>
            <w:proofErr w:type="spellEnd"/>
            <w:r w:rsidRPr="00F85F1B">
              <w:rPr>
                <w:sz w:val="21"/>
                <w:szCs w:val="21"/>
              </w:rPr>
              <w:t xml:space="preserve"> direkte knytte til operative </w:t>
            </w:r>
            <w:proofErr w:type="spellStart"/>
            <w:r w:rsidRPr="00F85F1B">
              <w:rPr>
                <w:sz w:val="21"/>
                <w:szCs w:val="21"/>
              </w:rPr>
              <w:t>einingar</w:t>
            </w:r>
            <w:proofErr w:type="spellEnd"/>
          </w:p>
        </w:tc>
        <w:tc>
          <w:tcPr>
            <w:tcW w:w="1360" w:type="dxa"/>
            <w:tcBorders>
              <w:top w:val="nil"/>
              <w:left w:val="nil"/>
              <w:bottom w:val="nil"/>
              <w:right w:val="nil"/>
            </w:tcBorders>
            <w:tcMar>
              <w:top w:w="128" w:type="dxa"/>
              <w:left w:w="43" w:type="dxa"/>
              <w:bottom w:w="43" w:type="dxa"/>
              <w:right w:w="43" w:type="dxa"/>
            </w:tcMar>
          </w:tcPr>
          <w:p w14:paraId="3A9B4030" w14:textId="77777777" w:rsidR="00D60186" w:rsidRPr="00F85F1B" w:rsidRDefault="00D60186" w:rsidP="00F85F1B">
            <w:pPr>
              <w:jc w:val="right"/>
              <w:rPr>
                <w:sz w:val="21"/>
                <w:szCs w:val="21"/>
              </w:rPr>
            </w:pPr>
            <w:r w:rsidRPr="00F85F1B">
              <w:rPr>
                <w:sz w:val="21"/>
                <w:szCs w:val="21"/>
              </w:rPr>
              <w:t>Ja</w:t>
            </w:r>
          </w:p>
        </w:tc>
      </w:tr>
      <w:tr w:rsidR="00E76DC8" w:rsidRPr="00225D4D" w14:paraId="268B9601"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4A7A933E"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5B6FA0A4" w14:textId="77777777" w:rsidR="00D60186" w:rsidRPr="00F85F1B" w:rsidRDefault="00D60186" w:rsidP="00F85F1B">
            <w:pPr>
              <w:ind w:right="113"/>
              <w:jc w:val="right"/>
              <w:rPr>
                <w:sz w:val="21"/>
                <w:szCs w:val="21"/>
              </w:rPr>
            </w:pPr>
            <w:r w:rsidRPr="00F85F1B">
              <w:rPr>
                <w:sz w:val="21"/>
                <w:szCs w:val="21"/>
              </w:rPr>
              <w:t>740</w:t>
            </w:r>
          </w:p>
        </w:tc>
        <w:tc>
          <w:tcPr>
            <w:tcW w:w="5760" w:type="dxa"/>
            <w:tcBorders>
              <w:top w:val="nil"/>
              <w:left w:val="nil"/>
              <w:bottom w:val="nil"/>
              <w:right w:val="nil"/>
            </w:tcBorders>
            <w:tcMar>
              <w:top w:w="128" w:type="dxa"/>
              <w:left w:w="43" w:type="dxa"/>
              <w:bottom w:w="43" w:type="dxa"/>
              <w:right w:w="43" w:type="dxa"/>
            </w:tcMar>
          </w:tcPr>
          <w:p w14:paraId="64729BBA" w14:textId="77777777" w:rsidR="00D60186" w:rsidRPr="00F85F1B" w:rsidRDefault="00D60186" w:rsidP="00225D4D">
            <w:pPr>
              <w:rPr>
                <w:sz w:val="21"/>
                <w:szCs w:val="21"/>
              </w:rPr>
            </w:pPr>
            <w:r w:rsidRPr="00F85F1B">
              <w:rPr>
                <w:sz w:val="21"/>
                <w:szCs w:val="21"/>
              </w:rPr>
              <w:t xml:space="preserve">Nye </w:t>
            </w:r>
            <w:proofErr w:type="spellStart"/>
            <w:r w:rsidRPr="00F85F1B">
              <w:rPr>
                <w:sz w:val="21"/>
                <w:szCs w:val="21"/>
              </w:rPr>
              <w:t>fregattar</w:t>
            </w:r>
            <w:proofErr w:type="spellEnd"/>
            <w:r w:rsidRPr="00F85F1B">
              <w:rPr>
                <w:sz w:val="21"/>
                <w:szCs w:val="21"/>
              </w:rPr>
              <w:t xml:space="preserve"> – val av strategisk </w:t>
            </w:r>
            <w:proofErr w:type="spellStart"/>
            <w:r w:rsidRPr="00F85F1B">
              <w:rPr>
                <w:sz w:val="21"/>
                <w:szCs w:val="21"/>
              </w:rPr>
              <w:t>partnar</w:t>
            </w:r>
            <w:proofErr w:type="spellEnd"/>
          </w:p>
        </w:tc>
        <w:tc>
          <w:tcPr>
            <w:tcW w:w="1360" w:type="dxa"/>
            <w:tcBorders>
              <w:top w:val="nil"/>
              <w:left w:val="nil"/>
              <w:bottom w:val="nil"/>
              <w:right w:val="nil"/>
            </w:tcBorders>
            <w:tcMar>
              <w:top w:w="128" w:type="dxa"/>
              <w:left w:w="43" w:type="dxa"/>
              <w:bottom w:w="43" w:type="dxa"/>
              <w:right w:w="43" w:type="dxa"/>
            </w:tcMar>
          </w:tcPr>
          <w:p w14:paraId="1BCD1AD8" w14:textId="77777777" w:rsidR="00D60186" w:rsidRPr="00F85F1B" w:rsidRDefault="00D60186" w:rsidP="00F85F1B">
            <w:pPr>
              <w:jc w:val="right"/>
              <w:rPr>
                <w:sz w:val="21"/>
                <w:szCs w:val="21"/>
              </w:rPr>
            </w:pPr>
            <w:r w:rsidRPr="00F85F1B">
              <w:rPr>
                <w:sz w:val="21"/>
                <w:szCs w:val="21"/>
              </w:rPr>
              <w:t>Ja</w:t>
            </w:r>
          </w:p>
        </w:tc>
      </w:tr>
      <w:tr w:rsidR="00E76DC8" w:rsidRPr="00225D4D" w14:paraId="4A2BD07F"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54066D6B"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15A07F89" w14:textId="77777777" w:rsidR="00D60186" w:rsidRPr="00F85F1B" w:rsidRDefault="00D60186" w:rsidP="00F85F1B">
            <w:pPr>
              <w:ind w:right="113"/>
              <w:jc w:val="right"/>
              <w:rPr>
                <w:sz w:val="21"/>
                <w:szCs w:val="21"/>
              </w:rPr>
            </w:pPr>
            <w:r w:rsidRPr="00F85F1B">
              <w:rPr>
                <w:sz w:val="21"/>
                <w:szCs w:val="21"/>
              </w:rPr>
              <w:t>741</w:t>
            </w:r>
          </w:p>
        </w:tc>
        <w:tc>
          <w:tcPr>
            <w:tcW w:w="5760" w:type="dxa"/>
            <w:tcBorders>
              <w:top w:val="nil"/>
              <w:left w:val="nil"/>
              <w:bottom w:val="nil"/>
              <w:right w:val="nil"/>
            </w:tcBorders>
            <w:tcMar>
              <w:top w:w="128" w:type="dxa"/>
              <w:left w:w="43" w:type="dxa"/>
              <w:bottom w:w="43" w:type="dxa"/>
              <w:right w:w="43" w:type="dxa"/>
            </w:tcMar>
          </w:tcPr>
          <w:p w14:paraId="49496031" w14:textId="77777777" w:rsidR="00D60186" w:rsidRPr="00F85F1B" w:rsidRDefault="00D60186" w:rsidP="00225D4D">
            <w:pPr>
              <w:rPr>
                <w:sz w:val="21"/>
                <w:szCs w:val="21"/>
              </w:rPr>
            </w:pPr>
            <w:proofErr w:type="spellStart"/>
            <w:r w:rsidRPr="00F85F1B">
              <w:rPr>
                <w:sz w:val="21"/>
                <w:szCs w:val="21"/>
              </w:rPr>
              <w:t>Framskaffing</w:t>
            </w:r>
            <w:proofErr w:type="spellEnd"/>
            <w:r w:rsidRPr="00F85F1B">
              <w:rPr>
                <w:sz w:val="21"/>
                <w:szCs w:val="21"/>
              </w:rPr>
              <w:t xml:space="preserve"> av nye </w:t>
            </w:r>
            <w:proofErr w:type="spellStart"/>
            <w:r w:rsidRPr="00F85F1B">
              <w:rPr>
                <w:sz w:val="21"/>
                <w:szCs w:val="21"/>
              </w:rPr>
              <w:t>ubåtar</w:t>
            </w:r>
            <w:proofErr w:type="spellEnd"/>
          </w:p>
        </w:tc>
        <w:tc>
          <w:tcPr>
            <w:tcW w:w="1360" w:type="dxa"/>
            <w:tcBorders>
              <w:top w:val="nil"/>
              <w:left w:val="nil"/>
              <w:bottom w:val="nil"/>
              <w:right w:val="nil"/>
            </w:tcBorders>
            <w:tcMar>
              <w:top w:w="128" w:type="dxa"/>
              <w:left w:w="43" w:type="dxa"/>
              <w:bottom w:w="43" w:type="dxa"/>
              <w:right w:w="43" w:type="dxa"/>
            </w:tcMar>
          </w:tcPr>
          <w:p w14:paraId="1EFC2533" w14:textId="77777777" w:rsidR="00D60186" w:rsidRPr="00F85F1B" w:rsidRDefault="00D60186" w:rsidP="00F85F1B">
            <w:pPr>
              <w:jc w:val="right"/>
              <w:rPr>
                <w:sz w:val="21"/>
                <w:szCs w:val="21"/>
              </w:rPr>
            </w:pPr>
            <w:r w:rsidRPr="00F85F1B">
              <w:rPr>
                <w:sz w:val="21"/>
                <w:szCs w:val="21"/>
              </w:rPr>
              <w:t>Nei</w:t>
            </w:r>
          </w:p>
        </w:tc>
      </w:tr>
      <w:tr w:rsidR="00E76DC8" w:rsidRPr="00225D4D" w14:paraId="5721E9A6"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0DEA701B"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75DB78B9" w14:textId="77777777" w:rsidR="00D60186" w:rsidRPr="00F85F1B" w:rsidRDefault="00D60186" w:rsidP="00F85F1B">
            <w:pPr>
              <w:ind w:right="113"/>
              <w:jc w:val="right"/>
              <w:rPr>
                <w:sz w:val="21"/>
                <w:szCs w:val="21"/>
              </w:rPr>
            </w:pPr>
            <w:r w:rsidRPr="00F85F1B">
              <w:rPr>
                <w:sz w:val="21"/>
                <w:szCs w:val="21"/>
              </w:rPr>
              <w:t>742</w:t>
            </w:r>
          </w:p>
        </w:tc>
        <w:tc>
          <w:tcPr>
            <w:tcW w:w="5760" w:type="dxa"/>
            <w:tcBorders>
              <w:top w:val="nil"/>
              <w:left w:val="nil"/>
              <w:bottom w:val="nil"/>
              <w:right w:val="nil"/>
            </w:tcBorders>
            <w:tcMar>
              <w:top w:w="128" w:type="dxa"/>
              <w:left w:w="43" w:type="dxa"/>
              <w:bottom w:w="43" w:type="dxa"/>
              <w:right w:w="43" w:type="dxa"/>
            </w:tcMar>
          </w:tcPr>
          <w:p w14:paraId="7FB344E5" w14:textId="77777777" w:rsidR="00D60186" w:rsidRPr="00F85F1B" w:rsidRDefault="00D60186" w:rsidP="00225D4D">
            <w:pPr>
              <w:rPr>
                <w:sz w:val="21"/>
                <w:szCs w:val="21"/>
              </w:rPr>
            </w:pPr>
            <w:proofErr w:type="spellStart"/>
            <w:r w:rsidRPr="00F85F1B">
              <w:rPr>
                <w:sz w:val="21"/>
                <w:szCs w:val="21"/>
              </w:rPr>
              <w:t>Langtrekkjande</w:t>
            </w:r>
            <w:proofErr w:type="spellEnd"/>
            <w:r w:rsidRPr="00F85F1B">
              <w:rPr>
                <w:sz w:val="21"/>
                <w:szCs w:val="21"/>
              </w:rPr>
              <w:t xml:space="preserve"> luftvern – austlandsområdet</w:t>
            </w:r>
          </w:p>
        </w:tc>
        <w:tc>
          <w:tcPr>
            <w:tcW w:w="1360" w:type="dxa"/>
            <w:tcBorders>
              <w:top w:val="nil"/>
              <w:left w:val="nil"/>
              <w:bottom w:val="nil"/>
              <w:right w:val="nil"/>
            </w:tcBorders>
            <w:tcMar>
              <w:top w:w="128" w:type="dxa"/>
              <w:left w:w="43" w:type="dxa"/>
              <w:bottom w:w="43" w:type="dxa"/>
              <w:right w:w="43" w:type="dxa"/>
            </w:tcMar>
          </w:tcPr>
          <w:p w14:paraId="1B66F06B" w14:textId="77777777" w:rsidR="00D60186" w:rsidRPr="00F85F1B" w:rsidRDefault="00D60186" w:rsidP="00F85F1B">
            <w:pPr>
              <w:jc w:val="right"/>
              <w:rPr>
                <w:sz w:val="21"/>
                <w:szCs w:val="21"/>
              </w:rPr>
            </w:pPr>
            <w:r w:rsidRPr="00F85F1B">
              <w:rPr>
                <w:sz w:val="21"/>
                <w:szCs w:val="21"/>
              </w:rPr>
              <w:t>Nei</w:t>
            </w:r>
          </w:p>
        </w:tc>
      </w:tr>
      <w:tr w:rsidR="00E76DC8" w:rsidRPr="00225D4D" w14:paraId="0071B6C6"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4B0D68A9"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5C74EFB0" w14:textId="77777777" w:rsidR="00D60186" w:rsidRPr="00F85F1B" w:rsidRDefault="00D60186" w:rsidP="00F85F1B">
            <w:pPr>
              <w:ind w:right="113"/>
              <w:jc w:val="right"/>
              <w:rPr>
                <w:sz w:val="21"/>
                <w:szCs w:val="21"/>
              </w:rPr>
            </w:pPr>
            <w:r w:rsidRPr="00F85F1B">
              <w:rPr>
                <w:sz w:val="21"/>
                <w:szCs w:val="21"/>
              </w:rPr>
              <w:t>743</w:t>
            </w:r>
          </w:p>
        </w:tc>
        <w:tc>
          <w:tcPr>
            <w:tcW w:w="5760" w:type="dxa"/>
            <w:tcBorders>
              <w:top w:val="nil"/>
              <w:left w:val="nil"/>
              <w:bottom w:val="nil"/>
              <w:right w:val="nil"/>
            </w:tcBorders>
            <w:tcMar>
              <w:top w:w="128" w:type="dxa"/>
              <w:left w:w="43" w:type="dxa"/>
              <w:bottom w:w="43" w:type="dxa"/>
              <w:right w:w="43" w:type="dxa"/>
            </w:tcMar>
          </w:tcPr>
          <w:p w14:paraId="0D1C1A0B" w14:textId="77777777" w:rsidR="00D60186" w:rsidRPr="00F85F1B" w:rsidRDefault="00D60186" w:rsidP="00225D4D">
            <w:pPr>
              <w:rPr>
                <w:sz w:val="21"/>
                <w:szCs w:val="21"/>
              </w:rPr>
            </w:pPr>
            <w:proofErr w:type="spellStart"/>
            <w:r w:rsidRPr="00F85F1B">
              <w:rPr>
                <w:sz w:val="21"/>
                <w:szCs w:val="21"/>
              </w:rPr>
              <w:t>Langtrekkjande</w:t>
            </w:r>
            <w:proofErr w:type="spellEnd"/>
            <w:r w:rsidRPr="00F85F1B">
              <w:rPr>
                <w:sz w:val="21"/>
                <w:szCs w:val="21"/>
              </w:rPr>
              <w:t xml:space="preserve"> luftvern – prosess for </w:t>
            </w:r>
            <w:proofErr w:type="spellStart"/>
            <w:r w:rsidRPr="00F85F1B">
              <w:rPr>
                <w:sz w:val="21"/>
                <w:szCs w:val="21"/>
              </w:rPr>
              <w:t>framskaffing</w:t>
            </w:r>
            <w:proofErr w:type="spellEnd"/>
          </w:p>
        </w:tc>
        <w:tc>
          <w:tcPr>
            <w:tcW w:w="1360" w:type="dxa"/>
            <w:tcBorders>
              <w:top w:val="nil"/>
              <w:left w:val="nil"/>
              <w:bottom w:val="nil"/>
              <w:right w:val="nil"/>
            </w:tcBorders>
            <w:tcMar>
              <w:top w:w="128" w:type="dxa"/>
              <w:left w:w="43" w:type="dxa"/>
              <w:bottom w:w="43" w:type="dxa"/>
              <w:right w:w="43" w:type="dxa"/>
            </w:tcMar>
          </w:tcPr>
          <w:p w14:paraId="0A1FC914" w14:textId="77777777" w:rsidR="00D60186" w:rsidRPr="00F85F1B" w:rsidRDefault="00D60186" w:rsidP="00F85F1B">
            <w:pPr>
              <w:jc w:val="right"/>
              <w:rPr>
                <w:sz w:val="21"/>
                <w:szCs w:val="21"/>
              </w:rPr>
            </w:pPr>
            <w:r w:rsidRPr="00F85F1B">
              <w:rPr>
                <w:sz w:val="21"/>
                <w:szCs w:val="21"/>
              </w:rPr>
              <w:t>Nei</w:t>
            </w:r>
          </w:p>
        </w:tc>
      </w:tr>
      <w:tr w:rsidR="00E76DC8" w:rsidRPr="00225D4D" w14:paraId="5CBF2045"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257D6761"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56F3B67A" w14:textId="77777777" w:rsidR="00D60186" w:rsidRPr="00F85F1B" w:rsidRDefault="00D60186" w:rsidP="00F85F1B">
            <w:pPr>
              <w:ind w:right="113"/>
              <w:jc w:val="right"/>
              <w:rPr>
                <w:sz w:val="21"/>
                <w:szCs w:val="21"/>
              </w:rPr>
            </w:pPr>
            <w:r w:rsidRPr="00F85F1B">
              <w:rPr>
                <w:sz w:val="21"/>
                <w:szCs w:val="21"/>
              </w:rPr>
              <w:t>744</w:t>
            </w:r>
          </w:p>
        </w:tc>
        <w:tc>
          <w:tcPr>
            <w:tcW w:w="5760" w:type="dxa"/>
            <w:tcBorders>
              <w:top w:val="nil"/>
              <w:left w:val="nil"/>
              <w:bottom w:val="nil"/>
              <w:right w:val="nil"/>
            </w:tcBorders>
            <w:tcMar>
              <w:top w:w="128" w:type="dxa"/>
              <w:left w:w="43" w:type="dxa"/>
              <w:bottom w:w="43" w:type="dxa"/>
              <w:right w:w="43" w:type="dxa"/>
            </w:tcMar>
          </w:tcPr>
          <w:p w14:paraId="5EAC3B2D" w14:textId="77777777" w:rsidR="00D60186" w:rsidRPr="00F85F1B" w:rsidRDefault="00D60186" w:rsidP="00225D4D">
            <w:pPr>
              <w:rPr>
                <w:sz w:val="21"/>
                <w:szCs w:val="21"/>
              </w:rPr>
            </w:pPr>
            <w:r w:rsidRPr="00F85F1B">
              <w:rPr>
                <w:sz w:val="21"/>
                <w:szCs w:val="21"/>
              </w:rPr>
              <w:t>Overordna dronestrategi for forsvarssektoren</w:t>
            </w:r>
          </w:p>
        </w:tc>
        <w:tc>
          <w:tcPr>
            <w:tcW w:w="1360" w:type="dxa"/>
            <w:tcBorders>
              <w:top w:val="nil"/>
              <w:left w:val="nil"/>
              <w:bottom w:val="nil"/>
              <w:right w:val="nil"/>
            </w:tcBorders>
            <w:tcMar>
              <w:top w:w="128" w:type="dxa"/>
              <w:left w:w="43" w:type="dxa"/>
              <w:bottom w:w="43" w:type="dxa"/>
              <w:right w:w="43" w:type="dxa"/>
            </w:tcMar>
          </w:tcPr>
          <w:p w14:paraId="10670F35" w14:textId="77777777" w:rsidR="00D60186" w:rsidRPr="00F85F1B" w:rsidRDefault="00D60186" w:rsidP="00F85F1B">
            <w:pPr>
              <w:jc w:val="right"/>
              <w:rPr>
                <w:sz w:val="21"/>
                <w:szCs w:val="21"/>
              </w:rPr>
            </w:pPr>
            <w:r w:rsidRPr="00F85F1B">
              <w:rPr>
                <w:sz w:val="21"/>
                <w:szCs w:val="21"/>
              </w:rPr>
              <w:t>Nei</w:t>
            </w:r>
          </w:p>
        </w:tc>
      </w:tr>
      <w:tr w:rsidR="00E76DC8" w:rsidRPr="00225D4D" w14:paraId="69560C75"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2B45E3DD"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3343653C" w14:textId="77777777" w:rsidR="00D60186" w:rsidRPr="00F85F1B" w:rsidRDefault="00D60186" w:rsidP="00F85F1B">
            <w:pPr>
              <w:ind w:right="113"/>
              <w:jc w:val="right"/>
              <w:rPr>
                <w:sz w:val="21"/>
                <w:szCs w:val="21"/>
              </w:rPr>
            </w:pPr>
            <w:r w:rsidRPr="00F85F1B">
              <w:rPr>
                <w:sz w:val="21"/>
                <w:szCs w:val="21"/>
              </w:rPr>
              <w:t>745</w:t>
            </w:r>
          </w:p>
        </w:tc>
        <w:tc>
          <w:tcPr>
            <w:tcW w:w="5760" w:type="dxa"/>
            <w:tcBorders>
              <w:top w:val="nil"/>
              <w:left w:val="nil"/>
              <w:bottom w:val="nil"/>
              <w:right w:val="nil"/>
            </w:tcBorders>
            <w:tcMar>
              <w:top w:w="128" w:type="dxa"/>
              <w:left w:w="43" w:type="dxa"/>
              <w:bottom w:w="43" w:type="dxa"/>
              <w:right w:w="43" w:type="dxa"/>
            </w:tcMar>
          </w:tcPr>
          <w:p w14:paraId="3B8F815E" w14:textId="77777777" w:rsidR="00D60186" w:rsidRPr="00F85F1B" w:rsidRDefault="00D60186" w:rsidP="00225D4D">
            <w:pPr>
              <w:rPr>
                <w:sz w:val="21"/>
                <w:szCs w:val="21"/>
              </w:rPr>
            </w:pPr>
            <w:r w:rsidRPr="00F85F1B">
              <w:rPr>
                <w:sz w:val="21"/>
                <w:szCs w:val="21"/>
              </w:rPr>
              <w:t xml:space="preserve">Ubemanna luftfartøy og </w:t>
            </w:r>
            <w:proofErr w:type="spellStart"/>
            <w:r w:rsidRPr="00F85F1B">
              <w:rPr>
                <w:sz w:val="21"/>
                <w:szCs w:val="21"/>
              </w:rPr>
              <w:t>dronar</w:t>
            </w:r>
            <w:proofErr w:type="spellEnd"/>
            <w:r w:rsidRPr="00F85F1B">
              <w:rPr>
                <w:sz w:val="21"/>
                <w:szCs w:val="21"/>
              </w:rPr>
              <w:t xml:space="preserve"> – føresegner</w:t>
            </w:r>
          </w:p>
        </w:tc>
        <w:tc>
          <w:tcPr>
            <w:tcW w:w="1360" w:type="dxa"/>
            <w:tcBorders>
              <w:top w:val="nil"/>
              <w:left w:val="nil"/>
              <w:bottom w:val="nil"/>
              <w:right w:val="nil"/>
            </w:tcBorders>
            <w:tcMar>
              <w:top w:w="128" w:type="dxa"/>
              <w:left w:w="43" w:type="dxa"/>
              <w:bottom w:w="43" w:type="dxa"/>
              <w:right w:w="43" w:type="dxa"/>
            </w:tcMar>
          </w:tcPr>
          <w:p w14:paraId="0B62D36F" w14:textId="77777777" w:rsidR="00D60186" w:rsidRPr="00F85F1B" w:rsidRDefault="00D60186" w:rsidP="00F85F1B">
            <w:pPr>
              <w:jc w:val="right"/>
              <w:rPr>
                <w:sz w:val="21"/>
                <w:szCs w:val="21"/>
              </w:rPr>
            </w:pPr>
            <w:r w:rsidRPr="00F85F1B">
              <w:rPr>
                <w:sz w:val="21"/>
                <w:szCs w:val="21"/>
              </w:rPr>
              <w:t>Ja</w:t>
            </w:r>
          </w:p>
        </w:tc>
      </w:tr>
      <w:tr w:rsidR="00E76DC8" w:rsidRPr="00225D4D" w14:paraId="03702A3D"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2528DB1E"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2B6AD5FB" w14:textId="77777777" w:rsidR="00D60186" w:rsidRPr="00F85F1B" w:rsidRDefault="00D60186" w:rsidP="00F85F1B">
            <w:pPr>
              <w:ind w:right="113"/>
              <w:jc w:val="right"/>
              <w:rPr>
                <w:sz w:val="21"/>
                <w:szCs w:val="21"/>
              </w:rPr>
            </w:pPr>
            <w:r w:rsidRPr="00F85F1B">
              <w:rPr>
                <w:sz w:val="21"/>
                <w:szCs w:val="21"/>
              </w:rPr>
              <w:t>746</w:t>
            </w:r>
          </w:p>
        </w:tc>
        <w:tc>
          <w:tcPr>
            <w:tcW w:w="5760" w:type="dxa"/>
            <w:tcBorders>
              <w:top w:val="nil"/>
              <w:left w:val="nil"/>
              <w:bottom w:val="nil"/>
              <w:right w:val="nil"/>
            </w:tcBorders>
            <w:tcMar>
              <w:top w:w="128" w:type="dxa"/>
              <w:left w:w="43" w:type="dxa"/>
              <w:bottom w:w="43" w:type="dxa"/>
              <w:right w:w="43" w:type="dxa"/>
            </w:tcMar>
          </w:tcPr>
          <w:p w14:paraId="3C9FCDFC" w14:textId="77777777" w:rsidR="00D60186" w:rsidRPr="00F85F1B" w:rsidRDefault="00D60186" w:rsidP="00225D4D">
            <w:pPr>
              <w:rPr>
                <w:sz w:val="21"/>
                <w:szCs w:val="21"/>
              </w:rPr>
            </w:pPr>
            <w:r w:rsidRPr="00F85F1B">
              <w:rPr>
                <w:sz w:val="21"/>
                <w:szCs w:val="21"/>
              </w:rPr>
              <w:t>Kapasitet for militær utdanning i Nord-</w:t>
            </w:r>
            <w:proofErr w:type="spellStart"/>
            <w:r w:rsidRPr="00F85F1B">
              <w:rPr>
                <w:sz w:val="21"/>
                <w:szCs w:val="21"/>
              </w:rPr>
              <w:t>Noreg</w:t>
            </w:r>
            <w:proofErr w:type="spellEnd"/>
          </w:p>
        </w:tc>
        <w:tc>
          <w:tcPr>
            <w:tcW w:w="1360" w:type="dxa"/>
            <w:tcBorders>
              <w:top w:val="nil"/>
              <w:left w:val="nil"/>
              <w:bottom w:val="nil"/>
              <w:right w:val="nil"/>
            </w:tcBorders>
            <w:tcMar>
              <w:top w:w="128" w:type="dxa"/>
              <w:left w:w="43" w:type="dxa"/>
              <w:bottom w:w="43" w:type="dxa"/>
              <w:right w:w="43" w:type="dxa"/>
            </w:tcMar>
          </w:tcPr>
          <w:p w14:paraId="59AE012E" w14:textId="77777777" w:rsidR="00D60186" w:rsidRPr="00F85F1B" w:rsidRDefault="00D60186" w:rsidP="00F85F1B">
            <w:pPr>
              <w:jc w:val="right"/>
              <w:rPr>
                <w:sz w:val="21"/>
                <w:szCs w:val="21"/>
              </w:rPr>
            </w:pPr>
            <w:r w:rsidRPr="00F85F1B">
              <w:rPr>
                <w:sz w:val="21"/>
                <w:szCs w:val="21"/>
              </w:rPr>
              <w:t>Nei</w:t>
            </w:r>
          </w:p>
        </w:tc>
      </w:tr>
      <w:tr w:rsidR="00E76DC8" w:rsidRPr="00225D4D" w14:paraId="573B7863"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0111288D"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0A4D5A28" w14:textId="77777777" w:rsidR="00D60186" w:rsidRPr="00F85F1B" w:rsidRDefault="00D60186" w:rsidP="00F85F1B">
            <w:pPr>
              <w:ind w:right="113"/>
              <w:jc w:val="right"/>
              <w:rPr>
                <w:sz w:val="21"/>
                <w:szCs w:val="21"/>
              </w:rPr>
            </w:pPr>
            <w:r w:rsidRPr="00F85F1B">
              <w:rPr>
                <w:sz w:val="21"/>
                <w:szCs w:val="21"/>
              </w:rPr>
              <w:t>747</w:t>
            </w:r>
          </w:p>
        </w:tc>
        <w:tc>
          <w:tcPr>
            <w:tcW w:w="5760" w:type="dxa"/>
            <w:tcBorders>
              <w:top w:val="nil"/>
              <w:left w:val="nil"/>
              <w:bottom w:val="nil"/>
              <w:right w:val="nil"/>
            </w:tcBorders>
            <w:tcMar>
              <w:top w:w="128" w:type="dxa"/>
              <w:left w:w="43" w:type="dxa"/>
              <w:bottom w:w="43" w:type="dxa"/>
              <w:right w:w="43" w:type="dxa"/>
            </w:tcMar>
          </w:tcPr>
          <w:p w14:paraId="54885519" w14:textId="77777777" w:rsidR="00D60186" w:rsidRPr="00F85F1B" w:rsidRDefault="00D60186" w:rsidP="00225D4D">
            <w:pPr>
              <w:rPr>
                <w:sz w:val="21"/>
                <w:szCs w:val="21"/>
              </w:rPr>
            </w:pPr>
            <w:r w:rsidRPr="00F85F1B">
              <w:rPr>
                <w:sz w:val="21"/>
                <w:szCs w:val="21"/>
              </w:rPr>
              <w:t xml:space="preserve">Lokale og regionale </w:t>
            </w:r>
            <w:proofErr w:type="spellStart"/>
            <w:r w:rsidRPr="00F85F1B">
              <w:rPr>
                <w:sz w:val="21"/>
                <w:szCs w:val="21"/>
              </w:rPr>
              <w:t>tilbydarar</w:t>
            </w:r>
            <w:proofErr w:type="spellEnd"/>
          </w:p>
        </w:tc>
        <w:tc>
          <w:tcPr>
            <w:tcW w:w="1360" w:type="dxa"/>
            <w:tcBorders>
              <w:top w:val="nil"/>
              <w:left w:val="nil"/>
              <w:bottom w:val="nil"/>
              <w:right w:val="nil"/>
            </w:tcBorders>
            <w:tcMar>
              <w:top w:w="128" w:type="dxa"/>
              <w:left w:w="43" w:type="dxa"/>
              <w:bottom w:w="43" w:type="dxa"/>
              <w:right w:w="43" w:type="dxa"/>
            </w:tcMar>
          </w:tcPr>
          <w:p w14:paraId="0D3577A4" w14:textId="77777777" w:rsidR="00D60186" w:rsidRPr="00F85F1B" w:rsidRDefault="00D60186" w:rsidP="00F85F1B">
            <w:pPr>
              <w:jc w:val="right"/>
              <w:rPr>
                <w:sz w:val="21"/>
                <w:szCs w:val="21"/>
              </w:rPr>
            </w:pPr>
            <w:r w:rsidRPr="00F85F1B">
              <w:rPr>
                <w:sz w:val="21"/>
                <w:szCs w:val="21"/>
              </w:rPr>
              <w:t>Ja</w:t>
            </w:r>
          </w:p>
        </w:tc>
      </w:tr>
      <w:tr w:rsidR="00E76DC8" w:rsidRPr="00225D4D" w14:paraId="4AF4CCE8"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1F865571" w14:textId="77777777" w:rsidR="00D60186" w:rsidRPr="00F85F1B" w:rsidRDefault="00D60186" w:rsidP="00225D4D">
            <w:pPr>
              <w:rPr>
                <w:sz w:val="21"/>
                <w:szCs w:val="21"/>
              </w:rPr>
            </w:pPr>
            <w:r w:rsidRPr="00F85F1B">
              <w:rPr>
                <w:sz w:val="21"/>
                <w:szCs w:val="21"/>
              </w:rPr>
              <w:t>2023–2024</w:t>
            </w:r>
          </w:p>
        </w:tc>
        <w:tc>
          <w:tcPr>
            <w:tcW w:w="1180" w:type="dxa"/>
            <w:tcBorders>
              <w:top w:val="nil"/>
              <w:left w:val="nil"/>
              <w:bottom w:val="nil"/>
              <w:right w:val="nil"/>
            </w:tcBorders>
            <w:tcMar>
              <w:top w:w="128" w:type="dxa"/>
              <w:left w:w="43" w:type="dxa"/>
              <w:bottom w:w="43" w:type="dxa"/>
              <w:right w:w="43" w:type="dxa"/>
            </w:tcMar>
          </w:tcPr>
          <w:p w14:paraId="7F88A3F8" w14:textId="77777777" w:rsidR="00D60186" w:rsidRPr="00F85F1B" w:rsidRDefault="00D60186" w:rsidP="00F85F1B">
            <w:pPr>
              <w:ind w:right="113"/>
              <w:jc w:val="right"/>
              <w:rPr>
                <w:sz w:val="21"/>
                <w:szCs w:val="21"/>
              </w:rPr>
            </w:pPr>
            <w:r w:rsidRPr="00F85F1B">
              <w:rPr>
                <w:sz w:val="21"/>
                <w:szCs w:val="21"/>
              </w:rPr>
              <w:t>748</w:t>
            </w:r>
          </w:p>
        </w:tc>
        <w:tc>
          <w:tcPr>
            <w:tcW w:w="5760" w:type="dxa"/>
            <w:tcBorders>
              <w:top w:val="nil"/>
              <w:left w:val="nil"/>
              <w:bottom w:val="nil"/>
              <w:right w:val="nil"/>
            </w:tcBorders>
            <w:tcMar>
              <w:top w:w="128" w:type="dxa"/>
              <w:left w:w="43" w:type="dxa"/>
              <w:bottom w:w="43" w:type="dxa"/>
              <w:right w:w="43" w:type="dxa"/>
            </w:tcMar>
          </w:tcPr>
          <w:p w14:paraId="38074BB8" w14:textId="77777777" w:rsidR="00D60186" w:rsidRPr="00F85F1B" w:rsidRDefault="00D60186" w:rsidP="00225D4D">
            <w:pPr>
              <w:rPr>
                <w:sz w:val="21"/>
                <w:szCs w:val="21"/>
              </w:rPr>
            </w:pPr>
            <w:proofErr w:type="spellStart"/>
            <w:r w:rsidRPr="00F85F1B">
              <w:rPr>
                <w:sz w:val="21"/>
                <w:szCs w:val="21"/>
              </w:rPr>
              <w:t>Pensjonsgjevande</w:t>
            </w:r>
            <w:proofErr w:type="spellEnd"/>
            <w:r w:rsidRPr="00F85F1B">
              <w:rPr>
                <w:sz w:val="21"/>
                <w:szCs w:val="21"/>
              </w:rPr>
              <w:t xml:space="preserve"> inntekter</w:t>
            </w:r>
          </w:p>
        </w:tc>
        <w:tc>
          <w:tcPr>
            <w:tcW w:w="1360" w:type="dxa"/>
            <w:tcBorders>
              <w:top w:val="nil"/>
              <w:left w:val="nil"/>
              <w:bottom w:val="nil"/>
              <w:right w:val="nil"/>
            </w:tcBorders>
            <w:tcMar>
              <w:top w:w="128" w:type="dxa"/>
              <w:left w:w="43" w:type="dxa"/>
              <w:bottom w:w="43" w:type="dxa"/>
              <w:right w:w="43" w:type="dxa"/>
            </w:tcMar>
          </w:tcPr>
          <w:p w14:paraId="0AF0979B" w14:textId="77777777" w:rsidR="00D60186" w:rsidRPr="00F85F1B" w:rsidRDefault="00D60186" w:rsidP="00F85F1B">
            <w:pPr>
              <w:jc w:val="right"/>
              <w:rPr>
                <w:sz w:val="21"/>
                <w:szCs w:val="21"/>
              </w:rPr>
            </w:pPr>
            <w:r w:rsidRPr="00F85F1B">
              <w:rPr>
                <w:sz w:val="21"/>
                <w:szCs w:val="21"/>
              </w:rPr>
              <w:t>Nei</w:t>
            </w:r>
          </w:p>
        </w:tc>
      </w:tr>
      <w:tr w:rsidR="00E76DC8" w:rsidRPr="00225D4D" w14:paraId="1503D2F2"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2C65B194" w14:textId="77777777" w:rsidR="00D60186" w:rsidRPr="00F85F1B" w:rsidRDefault="00D60186" w:rsidP="00225D4D">
            <w:pPr>
              <w:rPr>
                <w:sz w:val="21"/>
                <w:szCs w:val="21"/>
              </w:rPr>
            </w:pPr>
            <w:r w:rsidRPr="00F85F1B">
              <w:rPr>
                <w:sz w:val="21"/>
                <w:szCs w:val="21"/>
              </w:rPr>
              <w:t>2022–2023</w:t>
            </w:r>
          </w:p>
        </w:tc>
        <w:tc>
          <w:tcPr>
            <w:tcW w:w="1180" w:type="dxa"/>
            <w:tcBorders>
              <w:top w:val="nil"/>
              <w:left w:val="nil"/>
              <w:bottom w:val="nil"/>
              <w:right w:val="nil"/>
            </w:tcBorders>
            <w:tcMar>
              <w:top w:w="128" w:type="dxa"/>
              <w:left w:w="43" w:type="dxa"/>
              <w:bottom w:w="43" w:type="dxa"/>
              <w:right w:w="43" w:type="dxa"/>
            </w:tcMar>
          </w:tcPr>
          <w:p w14:paraId="545A57AD" w14:textId="77777777" w:rsidR="00D60186" w:rsidRPr="00F85F1B" w:rsidRDefault="00D60186" w:rsidP="00F85F1B">
            <w:pPr>
              <w:ind w:right="113"/>
              <w:jc w:val="right"/>
              <w:rPr>
                <w:sz w:val="21"/>
                <w:szCs w:val="21"/>
              </w:rPr>
            </w:pPr>
            <w:r w:rsidRPr="00F85F1B">
              <w:rPr>
                <w:sz w:val="21"/>
                <w:szCs w:val="21"/>
              </w:rPr>
              <w:t>154</w:t>
            </w:r>
          </w:p>
        </w:tc>
        <w:tc>
          <w:tcPr>
            <w:tcW w:w="5760" w:type="dxa"/>
            <w:tcBorders>
              <w:top w:val="nil"/>
              <w:left w:val="nil"/>
              <w:bottom w:val="nil"/>
              <w:right w:val="nil"/>
            </w:tcBorders>
            <w:tcMar>
              <w:top w:w="128" w:type="dxa"/>
              <w:left w:w="43" w:type="dxa"/>
              <w:bottom w:w="43" w:type="dxa"/>
              <w:right w:w="43" w:type="dxa"/>
            </w:tcMar>
          </w:tcPr>
          <w:p w14:paraId="28E26AAE" w14:textId="77777777" w:rsidR="00D60186" w:rsidRPr="00F85F1B" w:rsidRDefault="00D60186" w:rsidP="00225D4D">
            <w:pPr>
              <w:rPr>
                <w:sz w:val="21"/>
                <w:szCs w:val="21"/>
              </w:rPr>
            </w:pPr>
            <w:r w:rsidRPr="00F85F1B">
              <w:rPr>
                <w:sz w:val="21"/>
                <w:szCs w:val="21"/>
              </w:rPr>
              <w:t xml:space="preserve">Forsvarsloven – kontrakt om </w:t>
            </w:r>
            <w:proofErr w:type="spellStart"/>
            <w:r w:rsidRPr="00F85F1B">
              <w:rPr>
                <w:sz w:val="21"/>
                <w:szCs w:val="21"/>
              </w:rPr>
              <w:t>tenesteplikt</w:t>
            </w:r>
            <w:proofErr w:type="spellEnd"/>
          </w:p>
        </w:tc>
        <w:tc>
          <w:tcPr>
            <w:tcW w:w="1360" w:type="dxa"/>
            <w:tcBorders>
              <w:top w:val="nil"/>
              <w:left w:val="nil"/>
              <w:bottom w:val="nil"/>
              <w:right w:val="nil"/>
            </w:tcBorders>
            <w:tcMar>
              <w:top w:w="128" w:type="dxa"/>
              <w:left w:w="43" w:type="dxa"/>
              <w:bottom w:w="43" w:type="dxa"/>
              <w:right w:w="43" w:type="dxa"/>
            </w:tcMar>
          </w:tcPr>
          <w:p w14:paraId="11235F18" w14:textId="77777777" w:rsidR="00D60186" w:rsidRPr="00F85F1B" w:rsidRDefault="00D60186" w:rsidP="00F85F1B">
            <w:pPr>
              <w:jc w:val="right"/>
              <w:rPr>
                <w:sz w:val="21"/>
                <w:szCs w:val="21"/>
              </w:rPr>
            </w:pPr>
            <w:r w:rsidRPr="00F85F1B">
              <w:rPr>
                <w:sz w:val="21"/>
                <w:szCs w:val="21"/>
              </w:rPr>
              <w:t>Nei</w:t>
            </w:r>
          </w:p>
        </w:tc>
      </w:tr>
      <w:tr w:rsidR="00E76DC8" w:rsidRPr="00225D4D" w14:paraId="48008FB1"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4EC03C5E" w14:textId="77777777" w:rsidR="00D60186" w:rsidRPr="00F85F1B" w:rsidRDefault="00D60186" w:rsidP="00225D4D">
            <w:pPr>
              <w:rPr>
                <w:sz w:val="21"/>
                <w:szCs w:val="21"/>
              </w:rPr>
            </w:pPr>
            <w:r w:rsidRPr="00F85F1B">
              <w:rPr>
                <w:sz w:val="21"/>
                <w:szCs w:val="21"/>
              </w:rPr>
              <w:t>2020–2021</w:t>
            </w:r>
          </w:p>
        </w:tc>
        <w:tc>
          <w:tcPr>
            <w:tcW w:w="1180" w:type="dxa"/>
            <w:tcBorders>
              <w:top w:val="nil"/>
              <w:left w:val="nil"/>
              <w:bottom w:val="nil"/>
              <w:right w:val="nil"/>
            </w:tcBorders>
            <w:tcMar>
              <w:top w:w="128" w:type="dxa"/>
              <w:left w:w="43" w:type="dxa"/>
              <w:bottom w:w="43" w:type="dxa"/>
              <w:right w:w="43" w:type="dxa"/>
            </w:tcMar>
          </w:tcPr>
          <w:p w14:paraId="3FD8D3AA" w14:textId="77777777" w:rsidR="00D60186" w:rsidRPr="00F85F1B" w:rsidRDefault="00D60186" w:rsidP="00F85F1B">
            <w:pPr>
              <w:ind w:right="113"/>
              <w:jc w:val="right"/>
              <w:rPr>
                <w:sz w:val="21"/>
                <w:szCs w:val="21"/>
              </w:rPr>
            </w:pPr>
            <w:r w:rsidRPr="00F85F1B">
              <w:rPr>
                <w:sz w:val="21"/>
                <w:szCs w:val="21"/>
              </w:rPr>
              <w:t>1099</w:t>
            </w:r>
          </w:p>
        </w:tc>
        <w:tc>
          <w:tcPr>
            <w:tcW w:w="5760" w:type="dxa"/>
            <w:tcBorders>
              <w:top w:val="nil"/>
              <w:left w:val="nil"/>
              <w:bottom w:val="nil"/>
              <w:right w:val="nil"/>
            </w:tcBorders>
            <w:tcMar>
              <w:top w:w="128" w:type="dxa"/>
              <w:left w:w="43" w:type="dxa"/>
              <w:bottom w:w="43" w:type="dxa"/>
              <w:right w:w="43" w:type="dxa"/>
            </w:tcMar>
          </w:tcPr>
          <w:p w14:paraId="7C3D01B6" w14:textId="77777777" w:rsidR="00D60186" w:rsidRPr="00F85F1B" w:rsidRDefault="00D60186" w:rsidP="00225D4D">
            <w:pPr>
              <w:rPr>
                <w:sz w:val="21"/>
                <w:szCs w:val="21"/>
              </w:rPr>
            </w:pPr>
            <w:r w:rsidRPr="00F85F1B">
              <w:rPr>
                <w:sz w:val="21"/>
                <w:szCs w:val="21"/>
              </w:rPr>
              <w:t xml:space="preserve">Ivaretaking av </w:t>
            </w:r>
            <w:proofErr w:type="spellStart"/>
            <w:r w:rsidRPr="00F85F1B">
              <w:rPr>
                <w:sz w:val="21"/>
                <w:szCs w:val="21"/>
              </w:rPr>
              <w:t>dei</w:t>
            </w:r>
            <w:proofErr w:type="spellEnd"/>
            <w:r w:rsidRPr="00F85F1B">
              <w:rPr>
                <w:sz w:val="21"/>
                <w:szCs w:val="21"/>
              </w:rPr>
              <w:t xml:space="preserve"> nasjonale kulturhistoriske </w:t>
            </w:r>
            <w:proofErr w:type="spellStart"/>
            <w:r w:rsidRPr="00F85F1B">
              <w:rPr>
                <w:sz w:val="21"/>
                <w:szCs w:val="21"/>
              </w:rPr>
              <w:t>verdiane</w:t>
            </w:r>
            <w:proofErr w:type="spellEnd"/>
            <w:r w:rsidRPr="00F85F1B">
              <w:rPr>
                <w:sz w:val="21"/>
                <w:szCs w:val="21"/>
              </w:rPr>
              <w:t xml:space="preserve"> på Kjeller</w:t>
            </w:r>
          </w:p>
        </w:tc>
        <w:tc>
          <w:tcPr>
            <w:tcW w:w="1360" w:type="dxa"/>
            <w:tcBorders>
              <w:top w:val="nil"/>
              <w:left w:val="nil"/>
              <w:bottom w:val="nil"/>
              <w:right w:val="nil"/>
            </w:tcBorders>
            <w:tcMar>
              <w:top w:w="128" w:type="dxa"/>
              <w:left w:w="43" w:type="dxa"/>
              <w:bottom w:w="43" w:type="dxa"/>
              <w:right w:w="43" w:type="dxa"/>
            </w:tcMar>
          </w:tcPr>
          <w:p w14:paraId="4B77A4F8" w14:textId="77777777" w:rsidR="00D60186" w:rsidRPr="00F85F1B" w:rsidRDefault="00D60186" w:rsidP="00F85F1B">
            <w:pPr>
              <w:jc w:val="right"/>
              <w:rPr>
                <w:sz w:val="21"/>
                <w:szCs w:val="21"/>
              </w:rPr>
            </w:pPr>
            <w:r w:rsidRPr="00F85F1B">
              <w:rPr>
                <w:sz w:val="21"/>
                <w:szCs w:val="21"/>
              </w:rPr>
              <w:t>Nei</w:t>
            </w:r>
          </w:p>
        </w:tc>
      </w:tr>
      <w:tr w:rsidR="00E76DC8" w:rsidRPr="00225D4D" w14:paraId="4D03214C" w14:textId="77777777" w:rsidTr="00814879">
        <w:trPr>
          <w:trHeight w:val="20"/>
        </w:trPr>
        <w:tc>
          <w:tcPr>
            <w:tcW w:w="1280" w:type="dxa"/>
            <w:tcBorders>
              <w:top w:val="nil"/>
              <w:left w:val="nil"/>
              <w:bottom w:val="nil"/>
              <w:right w:val="nil"/>
            </w:tcBorders>
            <w:tcMar>
              <w:top w:w="128" w:type="dxa"/>
              <w:left w:w="43" w:type="dxa"/>
              <w:bottom w:w="43" w:type="dxa"/>
              <w:right w:w="43" w:type="dxa"/>
            </w:tcMar>
          </w:tcPr>
          <w:p w14:paraId="58954BB9" w14:textId="77777777" w:rsidR="00D60186" w:rsidRPr="00F85F1B" w:rsidRDefault="00D60186" w:rsidP="00225D4D">
            <w:pPr>
              <w:rPr>
                <w:sz w:val="21"/>
                <w:szCs w:val="21"/>
              </w:rPr>
            </w:pPr>
            <w:r w:rsidRPr="00F85F1B">
              <w:rPr>
                <w:sz w:val="21"/>
                <w:szCs w:val="21"/>
              </w:rPr>
              <w:t>2019–2020</w:t>
            </w:r>
          </w:p>
        </w:tc>
        <w:tc>
          <w:tcPr>
            <w:tcW w:w="1180" w:type="dxa"/>
            <w:tcBorders>
              <w:top w:val="nil"/>
              <w:left w:val="nil"/>
              <w:bottom w:val="nil"/>
              <w:right w:val="nil"/>
            </w:tcBorders>
            <w:tcMar>
              <w:top w:w="128" w:type="dxa"/>
              <w:left w:w="43" w:type="dxa"/>
              <w:bottom w:w="43" w:type="dxa"/>
              <w:right w:w="43" w:type="dxa"/>
            </w:tcMar>
          </w:tcPr>
          <w:p w14:paraId="7286CA8D" w14:textId="77777777" w:rsidR="00D60186" w:rsidRPr="00F85F1B" w:rsidRDefault="00D60186" w:rsidP="00F85F1B">
            <w:pPr>
              <w:ind w:right="113"/>
              <w:jc w:val="right"/>
              <w:rPr>
                <w:sz w:val="21"/>
                <w:szCs w:val="21"/>
              </w:rPr>
            </w:pPr>
            <w:r w:rsidRPr="00F85F1B">
              <w:rPr>
                <w:sz w:val="21"/>
                <w:szCs w:val="21"/>
              </w:rPr>
              <w:t>676</w:t>
            </w:r>
          </w:p>
        </w:tc>
        <w:tc>
          <w:tcPr>
            <w:tcW w:w="5760" w:type="dxa"/>
            <w:tcBorders>
              <w:top w:val="nil"/>
              <w:left w:val="nil"/>
              <w:bottom w:val="nil"/>
              <w:right w:val="nil"/>
            </w:tcBorders>
            <w:tcMar>
              <w:top w:w="128" w:type="dxa"/>
              <w:left w:w="43" w:type="dxa"/>
              <w:bottom w:w="43" w:type="dxa"/>
              <w:right w:w="43" w:type="dxa"/>
            </w:tcMar>
          </w:tcPr>
          <w:p w14:paraId="381574F7" w14:textId="77777777" w:rsidR="00D60186" w:rsidRPr="00F85F1B" w:rsidRDefault="00D60186" w:rsidP="00225D4D">
            <w:pPr>
              <w:rPr>
                <w:sz w:val="21"/>
                <w:szCs w:val="21"/>
              </w:rPr>
            </w:pPr>
            <w:r w:rsidRPr="00F85F1B">
              <w:rPr>
                <w:sz w:val="21"/>
                <w:szCs w:val="21"/>
              </w:rPr>
              <w:t xml:space="preserve">Evaluering av ny </w:t>
            </w:r>
            <w:proofErr w:type="spellStart"/>
            <w:r w:rsidRPr="00F85F1B">
              <w:rPr>
                <w:sz w:val="21"/>
                <w:szCs w:val="21"/>
              </w:rPr>
              <w:t>etterretningstenestelov</w:t>
            </w:r>
            <w:proofErr w:type="spellEnd"/>
          </w:p>
        </w:tc>
        <w:tc>
          <w:tcPr>
            <w:tcW w:w="1360" w:type="dxa"/>
            <w:tcBorders>
              <w:top w:val="nil"/>
              <w:left w:val="nil"/>
              <w:bottom w:val="nil"/>
              <w:right w:val="nil"/>
            </w:tcBorders>
            <w:tcMar>
              <w:top w:w="128" w:type="dxa"/>
              <w:left w:w="43" w:type="dxa"/>
              <w:bottom w:w="43" w:type="dxa"/>
              <w:right w:w="43" w:type="dxa"/>
            </w:tcMar>
          </w:tcPr>
          <w:p w14:paraId="2A34F762" w14:textId="77777777" w:rsidR="00D60186" w:rsidRPr="00F85F1B" w:rsidRDefault="00D60186" w:rsidP="00F85F1B">
            <w:pPr>
              <w:jc w:val="right"/>
              <w:rPr>
                <w:sz w:val="21"/>
                <w:szCs w:val="21"/>
              </w:rPr>
            </w:pPr>
            <w:r w:rsidRPr="00F85F1B">
              <w:rPr>
                <w:sz w:val="21"/>
                <w:szCs w:val="21"/>
              </w:rPr>
              <w:t>Nei</w:t>
            </w:r>
          </w:p>
        </w:tc>
      </w:tr>
      <w:tr w:rsidR="00E76DC8" w:rsidRPr="00225D4D" w14:paraId="221D9A5F" w14:textId="77777777" w:rsidTr="00814879">
        <w:trPr>
          <w:trHeight w:val="20"/>
        </w:trPr>
        <w:tc>
          <w:tcPr>
            <w:tcW w:w="1280" w:type="dxa"/>
            <w:tcBorders>
              <w:top w:val="nil"/>
              <w:left w:val="nil"/>
              <w:bottom w:val="single" w:sz="4" w:space="0" w:color="000000"/>
              <w:right w:val="nil"/>
            </w:tcBorders>
            <w:tcMar>
              <w:top w:w="128" w:type="dxa"/>
              <w:left w:w="43" w:type="dxa"/>
              <w:bottom w:w="43" w:type="dxa"/>
              <w:right w:w="43" w:type="dxa"/>
            </w:tcMar>
          </w:tcPr>
          <w:p w14:paraId="0C215161" w14:textId="77777777" w:rsidR="00D60186" w:rsidRPr="00F85F1B" w:rsidRDefault="00D60186" w:rsidP="00225D4D">
            <w:pPr>
              <w:rPr>
                <w:sz w:val="21"/>
                <w:szCs w:val="21"/>
              </w:rPr>
            </w:pPr>
            <w:r w:rsidRPr="00F85F1B">
              <w:rPr>
                <w:sz w:val="21"/>
                <w:szCs w:val="21"/>
              </w:rPr>
              <w:t>2016–2017</w:t>
            </w:r>
          </w:p>
        </w:tc>
        <w:tc>
          <w:tcPr>
            <w:tcW w:w="1180" w:type="dxa"/>
            <w:tcBorders>
              <w:top w:val="nil"/>
              <w:left w:val="nil"/>
              <w:bottom w:val="single" w:sz="4" w:space="0" w:color="000000"/>
              <w:right w:val="nil"/>
            </w:tcBorders>
            <w:tcMar>
              <w:top w:w="128" w:type="dxa"/>
              <w:left w:w="43" w:type="dxa"/>
              <w:bottom w:w="43" w:type="dxa"/>
              <w:right w:w="43" w:type="dxa"/>
            </w:tcMar>
          </w:tcPr>
          <w:p w14:paraId="753BB7DF" w14:textId="77777777" w:rsidR="00D60186" w:rsidRPr="00F85F1B" w:rsidRDefault="00D60186" w:rsidP="00F85F1B">
            <w:pPr>
              <w:ind w:right="113"/>
              <w:jc w:val="right"/>
              <w:rPr>
                <w:sz w:val="21"/>
                <w:szCs w:val="21"/>
              </w:rPr>
            </w:pPr>
            <w:r w:rsidRPr="00F85F1B">
              <w:rPr>
                <w:sz w:val="21"/>
                <w:szCs w:val="21"/>
              </w:rPr>
              <w:t>576</w:t>
            </w:r>
          </w:p>
        </w:tc>
        <w:tc>
          <w:tcPr>
            <w:tcW w:w="5760" w:type="dxa"/>
            <w:tcBorders>
              <w:top w:val="nil"/>
              <w:left w:val="nil"/>
              <w:bottom w:val="single" w:sz="4" w:space="0" w:color="000000"/>
              <w:right w:val="nil"/>
            </w:tcBorders>
            <w:tcMar>
              <w:top w:w="128" w:type="dxa"/>
              <w:left w:w="43" w:type="dxa"/>
              <w:bottom w:w="43" w:type="dxa"/>
              <w:right w:w="43" w:type="dxa"/>
            </w:tcMar>
          </w:tcPr>
          <w:p w14:paraId="0F09EAB7" w14:textId="77777777" w:rsidR="00D60186" w:rsidRPr="00F85F1B" w:rsidRDefault="00D60186" w:rsidP="00225D4D">
            <w:pPr>
              <w:rPr>
                <w:sz w:val="21"/>
                <w:szCs w:val="21"/>
              </w:rPr>
            </w:pPr>
            <w:r w:rsidRPr="00F85F1B">
              <w:rPr>
                <w:sz w:val="21"/>
                <w:szCs w:val="21"/>
              </w:rPr>
              <w:t xml:space="preserve">Lovheimel for å ivareta rettene for </w:t>
            </w:r>
            <w:proofErr w:type="spellStart"/>
            <w:r w:rsidRPr="00F85F1B">
              <w:rPr>
                <w:sz w:val="21"/>
                <w:szCs w:val="21"/>
              </w:rPr>
              <w:t>fangar</w:t>
            </w:r>
            <w:proofErr w:type="spellEnd"/>
          </w:p>
        </w:tc>
        <w:tc>
          <w:tcPr>
            <w:tcW w:w="1360" w:type="dxa"/>
            <w:tcBorders>
              <w:top w:val="nil"/>
              <w:left w:val="nil"/>
              <w:bottom w:val="single" w:sz="4" w:space="0" w:color="000000"/>
              <w:right w:val="nil"/>
            </w:tcBorders>
            <w:tcMar>
              <w:top w:w="128" w:type="dxa"/>
              <w:left w:w="43" w:type="dxa"/>
              <w:bottom w:w="43" w:type="dxa"/>
              <w:right w:w="43" w:type="dxa"/>
            </w:tcMar>
          </w:tcPr>
          <w:p w14:paraId="0A7E15F9" w14:textId="77777777" w:rsidR="00D60186" w:rsidRPr="00F85F1B" w:rsidRDefault="00D60186" w:rsidP="00F85F1B">
            <w:pPr>
              <w:jc w:val="right"/>
              <w:rPr>
                <w:sz w:val="21"/>
                <w:szCs w:val="21"/>
              </w:rPr>
            </w:pPr>
            <w:r w:rsidRPr="00F85F1B">
              <w:rPr>
                <w:sz w:val="21"/>
                <w:szCs w:val="21"/>
              </w:rPr>
              <w:t>Nei</w:t>
            </w:r>
          </w:p>
        </w:tc>
      </w:tr>
    </w:tbl>
    <w:p w14:paraId="7E682CF0" w14:textId="77777777" w:rsidR="00D60186" w:rsidRPr="00225D4D" w:rsidRDefault="00D60186" w:rsidP="00D4351A">
      <w:pPr>
        <w:pStyle w:val="Overskrift2"/>
      </w:pPr>
      <w:r w:rsidRPr="00225D4D">
        <w:t>Stortingssesjon 2024–2025</w:t>
      </w:r>
    </w:p>
    <w:p w14:paraId="7D90FFAD" w14:textId="77777777" w:rsidR="00D60186" w:rsidRPr="00225D4D" w:rsidRDefault="00D60186" w:rsidP="00225D4D">
      <w:pPr>
        <w:pStyle w:val="avsnitt-tittel"/>
      </w:pPr>
      <w:proofErr w:type="spellStart"/>
      <w:r w:rsidRPr="00225D4D">
        <w:t>Moglegheit</w:t>
      </w:r>
      <w:proofErr w:type="spellEnd"/>
      <w:r w:rsidRPr="00225D4D">
        <w:t xml:space="preserve"> til å fly og testa </w:t>
      </w:r>
      <w:proofErr w:type="spellStart"/>
      <w:r w:rsidRPr="00225D4D">
        <w:t>dronar</w:t>
      </w:r>
      <w:proofErr w:type="spellEnd"/>
      <w:r w:rsidRPr="00225D4D">
        <w:t xml:space="preserve"> med våpen i våpentestområda</w:t>
      </w:r>
    </w:p>
    <w:p w14:paraId="3EAD7FDE" w14:textId="77777777" w:rsidR="00D60186" w:rsidRPr="00225D4D" w:rsidRDefault="00D60186" w:rsidP="00225D4D">
      <w:pPr>
        <w:pStyle w:val="avsnitt-undertittel"/>
      </w:pPr>
      <w:r w:rsidRPr="00225D4D">
        <w:t>Vedtak nr. 839, 3. juni 2025</w:t>
      </w:r>
    </w:p>
    <w:p w14:paraId="210F3068" w14:textId="77777777" w:rsidR="00D60186" w:rsidRPr="00225D4D" w:rsidRDefault="00D60186" w:rsidP="00225D4D">
      <w:pPr>
        <w:pStyle w:val="blokksit"/>
        <w:rPr>
          <w:rStyle w:val="kursiv"/>
        </w:rPr>
      </w:pPr>
      <w:r w:rsidRPr="00225D4D">
        <w:rPr>
          <w:rStyle w:val="kursiv"/>
        </w:rPr>
        <w:t>«Stortinget ber regjeringen umiddelbart på egnet måte tilrettelegge for at norsk forsvarsindustri får mulighet til å fly og teste droner med våpen i sine våpentestområder.»</w:t>
      </w:r>
    </w:p>
    <w:p w14:paraId="5EC0C791"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386 S (2024–2025) til Meld. St. 15 (2024–2025) </w:t>
      </w:r>
      <w:r w:rsidRPr="00225D4D">
        <w:rPr>
          <w:rStyle w:val="kursiv"/>
        </w:rPr>
        <w:t>Droner og ny luftmobilitet</w:t>
      </w:r>
      <w:r w:rsidRPr="00225D4D">
        <w:t>.</w:t>
      </w:r>
    </w:p>
    <w:p w14:paraId="24B4F1F3" w14:textId="77777777" w:rsidR="00D60186" w:rsidRPr="00225D4D" w:rsidRDefault="00D60186" w:rsidP="00225D4D">
      <w:proofErr w:type="spellStart"/>
      <w:r w:rsidRPr="00225D4D">
        <w:t>Noreg</w:t>
      </w:r>
      <w:proofErr w:type="spellEnd"/>
      <w:r w:rsidRPr="00225D4D">
        <w:t xml:space="preserve"> har to luftfartsstyresmakter, for </w:t>
      </w:r>
      <w:proofErr w:type="spellStart"/>
      <w:r w:rsidRPr="00225D4D">
        <w:t>høvesvis</w:t>
      </w:r>
      <w:proofErr w:type="spellEnd"/>
      <w:r w:rsidRPr="00225D4D">
        <w:t xml:space="preserve"> sivil og militær luftfart. </w:t>
      </w:r>
    </w:p>
    <w:p w14:paraId="4CB2BCCF" w14:textId="77777777" w:rsidR="00D60186" w:rsidRPr="00225D4D" w:rsidRDefault="00D60186" w:rsidP="00225D4D">
      <w:r w:rsidRPr="00225D4D">
        <w:t xml:space="preserve">Den militære luftfartsstyresmakta har </w:t>
      </w:r>
      <w:proofErr w:type="gramStart"/>
      <w:r w:rsidRPr="00225D4D">
        <w:t>implementert</w:t>
      </w:r>
      <w:proofErr w:type="gramEnd"/>
      <w:r w:rsidRPr="00225D4D">
        <w:t xml:space="preserve"> European </w:t>
      </w:r>
      <w:proofErr w:type="spellStart"/>
      <w:r w:rsidRPr="00225D4D">
        <w:t>Military</w:t>
      </w:r>
      <w:proofErr w:type="spellEnd"/>
      <w:r w:rsidRPr="00225D4D">
        <w:t xml:space="preserve"> </w:t>
      </w:r>
      <w:proofErr w:type="spellStart"/>
      <w:r w:rsidRPr="00225D4D">
        <w:t>Airworthiness</w:t>
      </w:r>
      <w:proofErr w:type="spellEnd"/>
      <w:r w:rsidRPr="00225D4D">
        <w:t xml:space="preserve"> </w:t>
      </w:r>
      <w:proofErr w:type="spellStart"/>
      <w:r w:rsidRPr="00225D4D">
        <w:t>Requirements</w:t>
      </w:r>
      <w:proofErr w:type="spellEnd"/>
      <w:r w:rsidRPr="00225D4D">
        <w:t xml:space="preserve"> part 21 (EMAR 21). Dette er </w:t>
      </w:r>
      <w:proofErr w:type="spellStart"/>
      <w:r w:rsidRPr="00225D4D">
        <w:t>eit</w:t>
      </w:r>
      <w:proofErr w:type="spellEnd"/>
      <w:r w:rsidRPr="00225D4D">
        <w:t xml:space="preserve"> regelverk som regulerer militær </w:t>
      </w:r>
      <w:proofErr w:type="spellStart"/>
      <w:r w:rsidRPr="00225D4D">
        <w:t>luftdyktigheit</w:t>
      </w:r>
      <w:proofErr w:type="spellEnd"/>
      <w:r w:rsidRPr="00225D4D">
        <w:t xml:space="preserve"> og godkjenning av </w:t>
      </w:r>
      <w:proofErr w:type="spellStart"/>
      <w:r w:rsidRPr="00225D4D">
        <w:t>organisasjonar</w:t>
      </w:r>
      <w:proofErr w:type="spellEnd"/>
      <w:r w:rsidRPr="00225D4D">
        <w:t xml:space="preserve"> og </w:t>
      </w:r>
      <w:proofErr w:type="spellStart"/>
      <w:r w:rsidRPr="00225D4D">
        <w:t>prosessar</w:t>
      </w:r>
      <w:proofErr w:type="spellEnd"/>
      <w:r w:rsidRPr="00225D4D">
        <w:t xml:space="preserve"> knytte til design, produksjon og sertifisering av militære luftfartøy og </w:t>
      </w:r>
      <w:proofErr w:type="spellStart"/>
      <w:r w:rsidRPr="00225D4D">
        <w:t>komponentar</w:t>
      </w:r>
      <w:proofErr w:type="spellEnd"/>
      <w:r w:rsidRPr="00225D4D">
        <w:t xml:space="preserve">. Regelverket gjeld og for sivile </w:t>
      </w:r>
      <w:proofErr w:type="spellStart"/>
      <w:r w:rsidRPr="00225D4D">
        <w:t>aktørar</w:t>
      </w:r>
      <w:proofErr w:type="spellEnd"/>
      <w:r w:rsidRPr="00225D4D">
        <w:t xml:space="preserve"> i den grad </w:t>
      </w:r>
      <w:proofErr w:type="spellStart"/>
      <w:r w:rsidRPr="00225D4D">
        <w:t>dei</w:t>
      </w:r>
      <w:proofErr w:type="spellEnd"/>
      <w:r w:rsidRPr="00225D4D">
        <w:t xml:space="preserve"> driv militær luftfart. </w:t>
      </w:r>
    </w:p>
    <w:p w14:paraId="0002409F" w14:textId="77777777" w:rsidR="00D60186" w:rsidRPr="00225D4D" w:rsidRDefault="00D60186" w:rsidP="00225D4D">
      <w:r w:rsidRPr="00225D4D">
        <w:t xml:space="preserve">Saman med implementeringa av EMAR 21 har den militære luftfartsstyresmakta etablert </w:t>
      </w:r>
      <w:proofErr w:type="gramStart"/>
      <w:r w:rsidRPr="00225D4D">
        <w:t>ei prosedyre</w:t>
      </w:r>
      <w:proofErr w:type="gramEnd"/>
      <w:r w:rsidRPr="00225D4D">
        <w:t xml:space="preserve"> og system for organisasjonsgodkjenning. Den 27. juni 2025 </w:t>
      </w:r>
      <w:proofErr w:type="spellStart"/>
      <w:r w:rsidRPr="00225D4D">
        <w:t>fekk</w:t>
      </w:r>
      <w:proofErr w:type="spellEnd"/>
      <w:r w:rsidRPr="00225D4D">
        <w:t xml:space="preserve"> Forsvarets forskingsinstitutt (FFI) den aller første organisasjonsgodkjenninga etter EMAR-regelverket for design og testing av </w:t>
      </w:r>
      <w:proofErr w:type="spellStart"/>
      <w:r w:rsidRPr="00225D4D">
        <w:t>Military</w:t>
      </w:r>
      <w:proofErr w:type="spellEnd"/>
      <w:r w:rsidRPr="00225D4D">
        <w:t xml:space="preserve"> </w:t>
      </w:r>
      <w:proofErr w:type="spellStart"/>
      <w:r w:rsidRPr="00225D4D">
        <w:t>Unmanned</w:t>
      </w:r>
      <w:proofErr w:type="spellEnd"/>
      <w:r w:rsidRPr="00225D4D">
        <w:t xml:space="preserve"> </w:t>
      </w:r>
      <w:proofErr w:type="spellStart"/>
      <w:r w:rsidRPr="00225D4D">
        <w:t>Aerial</w:t>
      </w:r>
      <w:proofErr w:type="spellEnd"/>
      <w:r w:rsidRPr="00225D4D">
        <w:t xml:space="preserve"> Systems (MUAS). Denne godkjenninga </w:t>
      </w:r>
      <w:proofErr w:type="spellStart"/>
      <w:r w:rsidRPr="00225D4D">
        <w:t>gjer</w:t>
      </w:r>
      <w:proofErr w:type="spellEnd"/>
      <w:r w:rsidRPr="00225D4D">
        <w:t xml:space="preserve"> FFI i stand til å gjennomføre </w:t>
      </w:r>
      <w:proofErr w:type="spellStart"/>
      <w:r w:rsidRPr="00225D4D">
        <w:t>raskare</w:t>
      </w:r>
      <w:proofErr w:type="spellEnd"/>
      <w:r w:rsidRPr="00225D4D">
        <w:t xml:space="preserve"> teknologiutvikling og testing av </w:t>
      </w:r>
      <w:proofErr w:type="spellStart"/>
      <w:r w:rsidRPr="00225D4D">
        <w:t>dronar</w:t>
      </w:r>
      <w:proofErr w:type="spellEnd"/>
      <w:r w:rsidRPr="00225D4D">
        <w:t xml:space="preserve"> </w:t>
      </w:r>
      <w:proofErr w:type="spellStart"/>
      <w:r w:rsidRPr="00225D4D">
        <w:t>utan</w:t>
      </w:r>
      <w:proofErr w:type="spellEnd"/>
      <w:r w:rsidRPr="00225D4D">
        <w:t xml:space="preserve"> at den militære luftfartsstyresmakta eller andre </w:t>
      </w:r>
      <w:proofErr w:type="spellStart"/>
      <w:r w:rsidRPr="00225D4D">
        <w:t>utanforståande</w:t>
      </w:r>
      <w:proofErr w:type="spellEnd"/>
      <w:r w:rsidRPr="00225D4D">
        <w:t xml:space="preserve"> treng å godkjenne kvar variant eller kvar iterasjon.</w:t>
      </w:r>
    </w:p>
    <w:p w14:paraId="7175CB0E" w14:textId="77777777" w:rsidR="00D60186" w:rsidRPr="00225D4D" w:rsidRDefault="00D60186" w:rsidP="00225D4D">
      <w:r w:rsidRPr="00225D4D">
        <w:t xml:space="preserve">Norsk forsvarsindustri som </w:t>
      </w:r>
      <w:proofErr w:type="spellStart"/>
      <w:r w:rsidRPr="00225D4D">
        <w:t>ønskjer</w:t>
      </w:r>
      <w:proofErr w:type="spellEnd"/>
      <w:r w:rsidRPr="00225D4D">
        <w:t xml:space="preserve"> å fly og teste </w:t>
      </w:r>
      <w:proofErr w:type="spellStart"/>
      <w:r w:rsidRPr="00225D4D">
        <w:t>dronar</w:t>
      </w:r>
      <w:proofErr w:type="spellEnd"/>
      <w:r w:rsidRPr="00225D4D">
        <w:t xml:space="preserve"> som fell inn under ansvarsområdet til den militære luftfartsstyresmakta, kan </w:t>
      </w:r>
      <w:proofErr w:type="spellStart"/>
      <w:r w:rsidRPr="00225D4D">
        <w:t>søkje</w:t>
      </w:r>
      <w:proofErr w:type="spellEnd"/>
      <w:r w:rsidRPr="00225D4D">
        <w:t xml:space="preserve"> om organisasjonsgodkjenning gjennom </w:t>
      </w:r>
      <w:proofErr w:type="spellStart"/>
      <w:r w:rsidRPr="00225D4D">
        <w:t>dei</w:t>
      </w:r>
      <w:proofErr w:type="spellEnd"/>
      <w:r w:rsidRPr="00225D4D">
        <w:t xml:space="preserve"> etablerte </w:t>
      </w:r>
      <w:proofErr w:type="spellStart"/>
      <w:r w:rsidRPr="00225D4D">
        <w:t>prosedyrane</w:t>
      </w:r>
      <w:proofErr w:type="spellEnd"/>
      <w:r w:rsidRPr="00225D4D">
        <w:t>.</w:t>
      </w:r>
    </w:p>
    <w:p w14:paraId="4EFBDA3D" w14:textId="77777777" w:rsidR="00D60186" w:rsidRPr="00225D4D" w:rsidRDefault="00D60186" w:rsidP="00225D4D">
      <w:pPr>
        <w:pStyle w:val="avsnitt-tittel"/>
      </w:pPr>
      <w:proofErr w:type="spellStart"/>
      <w:r w:rsidRPr="00225D4D">
        <w:t>Anskaffingsrutinar</w:t>
      </w:r>
      <w:proofErr w:type="spellEnd"/>
      <w:r w:rsidRPr="00225D4D">
        <w:t xml:space="preserve"> legg vekt på </w:t>
      </w:r>
      <w:proofErr w:type="spellStart"/>
      <w:r w:rsidRPr="00225D4D">
        <w:t>sikkerheitsaspekta</w:t>
      </w:r>
      <w:proofErr w:type="spellEnd"/>
    </w:p>
    <w:p w14:paraId="2EF02B0E" w14:textId="77777777" w:rsidR="00D60186" w:rsidRPr="00225D4D" w:rsidRDefault="00D60186" w:rsidP="00225D4D">
      <w:pPr>
        <w:pStyle w:val="avsnitt-undertittel"/>
      </w:pPr>
      <w:r w:rsidRPr="00225D4D">
        <w:t>Vedtak nr. 840, 3. juni 2025</w:t>
      </w:r>
    </w:p>
    <w:p w14:paraId="4EB08A35" w14:textId="77777777" w:rsidR="00D60186" w:rsidRPr="00225D4D" w:rsidRDefault="00D60186" w:rsidP="00225D4D">
      <w:pPr>
        <w:pStyle w:val="blokksit"/>
        <w:rPr>
          <w:rStyle w:val="kursiv"/>
        </w:rPr>
      </w:pPr>
      <w:r w:rsidRPr="00225D4D">
        <w:rPr>
          <w:rStyle w:val="kursiv"/>
        </w:rPr>
        <w:t>«Stortinget ber regjeringen sørge for at staten i sine anskaffelsesrutiner legger vekt på sikkerhetsaspektene, og etablerer risikobaserte vurderingskriterier for anskaffelse av programvare og droneteknologi fra leverandører i land Norge ikke har sikkerhetspolitisk samarbeid med.»</w:t>
      </w:r>
    </w:p>
    <w:p w14:paraId="65B2F017"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386 S (2024–2025) til Meld. St. 15 (2024–2025) </w:t>
      </w:r>
      <w:r w:rsidRPr="00225D4D">
        <w:rPr>
          <w:rStyle w:val="kursiv"/>
        </w:rPr>
        <w:t>Droner og ny luftmobilitet</w:t>
      </w:r>
      <w:r w:rsidRPr="00225D4D">
        <w:t>.</w:t>
      </w:r>
    </w:p>
    <w:p w14:paraId="1CB17E38" w14:textId="77777777" w:rsidR="00D60186" w:rsidRPr="00225D4D" w:rsidRDefault="00D60186" w:rsidP="00225D4D">
      <w:r w:rsidRPr="00225D4D">
        <w:t xml:space="preserve">Regjeringa vil følgje opp </w:t>
      </w:r>
      <w:proofErr w:type="spellStart"/>
      <w:r w:rsidRPr="00225D4D">
        <w:t>tryggleiksaspekta</w:t>
      </w:r>
      <w:proofErr w:type="spellEnd"/>
      <w:r w:rsidRPr="00225D4D">
        <w:t xml:space="preserve"> ved staten sine </w:t>
      </w:r>
      <w:proofErr w:type="spellStart"/>
      <w:r w:rsidRPr="00225D4D">
        <w:t>rutinar</w:t>
      </w:r>
      <w:proofErr w:type="spellEnd"/>
      <w:r w:rsidRPr="00225D4D">
        <w:t xml:space="preserve"> for </w:t>
      </w:r>
      <w:proofErr w:type="spellStart"/>
      <w:r w:rsidRPr="00225D4D">
        <w:t>anskaffingar</w:t>
      </w:r>
      <w:proofErr w:type="spellEnd"/>
      <w:r w:rsidRPr="00225D4D">
        <w:t xml:space="preserve"> av droneteknologi og programvare. Regjeringa vil koma tilbake til Stortinget om dette.</w:t>
      </w:r>
    </w:p>
    <w:p w14:paraId="6043F858" w14:textId="77777777" w:rsidR="00D60186" w:rsidRPr="00225D4D" w:rsidRDefault="00D60186" w:rsidP="00225D4D">
      <w:pPr>
        <w:pStyle w:val="avsnitt-tittel"/>
      </w:pPr>
      <w:r w:rsidRPr="00225D4D">
        <w:t xml:space="preserve">Styrka </w:t>
      </w:r>
      <w:proofErr w:type="spellStart"/>
      <w:r w:rsidRPr="00225D4D">
        <w:t>veteranars</w:t>
      </w:r>
      <w:proofErr w:type="spellEnd"/>
      <w:r w:rsidRPr="00225D4D">
        <w:t xml:space="preserve"> </w:t>
      </w:r>
      <w:proofErr w:type="spellStart"/>
      <w:r w:rsidRPr="00225D4D">
        <w:t>rettar</w:t>
      </w:r>
      <w:proofErr w:type="spellEnd"/>
      <w:r w:rsidRPr="00225D4D">
        <w:t xml:space="preserve"> og </w:t>
      </w:r>
      <w:proofErr w:type="spellStart"/>
      <w:r w:rsidRPr="00225D4D">
        <w:t>innføra</w:t>
      </w:r>
      <w:proofErr w:type="spellEnd"/>
      <w:r w:rsidRPr="00225D4D">
        <w:t xml:space="preserve"> </w:t>
      </w:r>
      <w:proofErr w:type="spellStart"/>
      <w:r w:rsidRPr="00225D4D">
        <w:t>veteranlov</w:t>
      </w:r>
      <w:proofErr w:type="spellEnd"/>
    </w:p>
    <w:p w14:paraId="2A9B252E" w14:textId="77777777" w:rsidR="00D60186" w:rsidRPr="00225D4D" w:rsidRDefault="00D60186" w:rsidP="00225D4D">
      <w:pPr>
        <w:pStyle w:val="avsnitt-undertittel"/>
      </w:pPr>
      <w:r w:rsidRPr="00225D4D">
        <w:t>Vedtak nr. 977, 11. juni 2025</w:t>
      </w:r>
    </w:p>
    <w:p w14:paraId="1CEE2E0E" w14:textId="77777777" w:rsidR="00D60186" w:rsidRPr="00225D4D" w:rsidRDefault="00D60186" w:rsidP="00225D4D">
      <w:pPr>
        <w:pStyle w:val="blokksit"/>
        <w:rPr>
          <w:rStyle w:val="kursiv"/>
        </w:rPr>
      </w:pPr>
      <w:r w:rsidRPr="00225D4D">
        <w:rPr>
          <w:rStyle w:val="kursiv"/>
        </w:rPr>
        <w:t xml:space="preserve">«Stortinget ber regjeringen sette ned et utvalg med mandat til å utrede en egen </w:t>
      </w:r>
      <w:proofErr w:type="spellStart"/>
      <w:r w:rsidRPr="00225D4D">
        <w:rPr>
          <w:rStyle w:val="kursiv"/>
        </w:rPr>
        <w:t>veteranlov</w:t>
      </w:r>
      <w:proofErr w:type="spellEnd"/>
      <w:r w:rsidRPr="00225D4D">
        <w:rPr>
          <w:rStyle w:val="kursiv"/>
        </w:rPr>
        <w:t xml:space="preserve"> som styrker og lovfester rettighetene til veteranene og deres pårørende og etterlatte. Regjeringen bes komme tilbake til Stortinget med et forslag til en </w:t>
      </w:r>
      <w:proofErr w:type="spellStart"/>
      <w:r w:rsidRPr="00225D4D">
        <w:rPr>
          <w:rStyle w:val="kursiv"/>
        </w:rPr>
        <w:t>veteranlov</w:t>
      </w:r>
      <w:proofErr w:type="spellEnd"/>
      <w:r w:rsidRPr="00225D4D">
        <w:rPr>
          <w:rStyle w:val="kursiv"/>
        </w:rPr>
        <w:t>.»</w:t>
      </w:r>
    </w:p>
    <w:p w14:paraId="7869887A"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448 S (2024–2025) Representantforslag om å styrke veteranenes </w:t>
      </w:r>
      <w:proofErr w:type="spellStart"/>
      <w:r w:rsidRPr="00225D4D">
        <w:t>rettar</w:t>
      </w:r>
      <w:proofErr w:type="spellEnd"/>
      <w:r w:rsidRPr="00225D4D">
        <w:t xml:space="preserve"> og innføre en </w:t>
      </w:r>
      <w:proofErr w:type="spellStart"/>
      <w:r w:rsidRPr="00225D4D">
        <w:t>veteranlov</w:t>
      </w:r>
      <w:proofErr w:type="spellEnd"/>
      <w:r w:rsidRPr="00225D4D">
        <w:t xml:space="preserve"> i </w:t>
      </w:r>
      <w:proofErr w:type="spellStart"/>
      <w:r w:rsidRPr="00225D4D">
        <w:t>Noreg</w:t>
      </w:r>
      <w:proofErr w:type="spellEnd"/>
      <w:r w:rsidRPr="00225D4D">
        <w:t>.</w:t>
      </w:r>
    </w:p>
    <w:p w14:paraId="03A5B5C6" w14:textId="77777777" w:rsidR="00D60186" w:rsidRPr="00225D4D" w:rsidRDefault="00D60186" w:rsidP="00225D4D">
      <w:r w:rsidRPr="00225D4D">
        <w:t xml:space="preserve">Regjeringa vil </w:t>
      </w:r>
      <w:proofErr w:type="spellStart"/>
      <w:r w:rsidRPr="00225D4D">
        <w:t>setja</w:t>
      </w:r>
      <w:proofErr w:type="spellEnd"/>
      <w:r w:rsidRPr="00225D4D">
        <w:t xml:space="preserve"> ned </w:t>
      </w:r>
      <w:proofErr w:type="spellStart"/>
      <w:r w:rsidRPr="00225D4D">
        <w:t>eit</w:t>
      </w:r>
      <w:proofErr w:type="spellEnd"/>
      <w:r w:rsidRPr="00225D4D">
        <w:t xml:space="preserve"> </w:t>
      </w:r>
      <w:proofErr w:type="spellStart"/>
      <w:r w:rsidRPr="00225D4D">
        <w:t>utval</w:t>
      </w:r>
      <w:proofErr w:type="spellEnd"/>
      <w:r w:rsidRPr="00225D4D">
        <w:t xml:space="preserve"> for å greia ut ny </w:t>
      </w:r>
      <w:proofErr w:type="spellStart"/>
      <w:r w:rsidRPr="00225D4D">
        <w:t>veteranlov</w:t>
      </w:r>
      <w:proofErr w:type="spellEnd"/>
      <w:r w:rsidRPr="00225D4D">
        <w:t xml:space="preserve">. Arbeidet vil bli </w:t>
      </w:r>
      <w:proofErr w:type="spellStart"/>
      <w:r w:rsidRPr="00225D4D">
        <w:t>følgt</w:t>
      </w:r>
      <w:proofErr w:type="spellEnd"/>
      <w:r w:rsidRPr="00225D4D">
        <w:t xml:space="preserve"> opp i nært samarbeid med </w:t>
      </w:r>
      <w:proofErr w:type="spellStart"/>
      <w:r w:rsidRPr="00225D4D">
        <w:t>arbeidstakar</w:t>
      </w:r>
      <w:proofErr w:type="spellEnd"/>
      <w:r w:rsidRPr="00225D4D">
        <w:t xml:space="preserve">- og </w:t>
      </w:r>
      <w:proofErr w:type="spellStart"/>
      <w:r w:rsidRPr="00225D4D">
        <w:t>veteranorganisasjonane</w:t>
      </w:r>
      <w:proofErr w:type="spellEnd"/>
      <w:r w:rsidRPr="00225D4D">
        <w:t xml:space="preserve">. Regjeringa vil koma tilbake til Stortinget om dette. </w:t>
      </w:r>
    </w:p>
    <w:p w14:paraId="073B0D61" w14:textId="77777777" w:rsidR="00D60186" w:rsidRPr="00225D4D" w:rsidRDefault="00D60186" w:rsidP="00225D4D">
      <w:pPr>
        <w:pStyle w:val="avsnitt-tittel"/>
      </w:pPr>
      <w:r w:rsidRPr="00225D4D">
        <w:t>Forsvarets nærvær på Sørreisa</w:t>
      </w:r>
    </w:p>
    <w:p w14:paraId="7F7CE84C" w14:textId="77777777" w:rsidR="00D60186" w:rsidRPr="00225D4D" w:rsidRDefault="00D60186" w:rsidP="00225D4D">
      <w:pPr>
        <w:pStyle w:val="avsnitt-undertittel"/>
      </w:pPr>
      <w:r w:rsidRPr="00225D4D">
        <w:t>Vedtak nr. 1217, 20. juni 2025</w:t>
      </w:r>
    </w:p>
    <w:p w14:paraId="75E8B64C" w14:textId="77777777" w:rsidR="00D60186" w:rsidRPr="00225D4D" w:rsidRDefault="00D60186" w:rsidP="00225D4D">
      <w:pPr>
        <w:pStyle w:val="blokksit"/>
        <w:rPr>
          <w:rStyle w:val="kursiv"/>
        </w:rPr>
      </w:pPr>
      <w:r w:rsidRPr="00225D4D">
        <w:rPr>
          <w:rStyle w:val="kursiv"/>
        </w:rPr>
        <w:t>«Stortinget ber regjeringen videreutvikle Forsvarets tilstedeværelse på Sørreisa, og komme tilbake til Stortinget i forbindelse med rapporteringen på langtidsplanen våren 2026. Sørreisa skal fortsatt være en operativ lokasjon for Forsvaret også i fremtiden.»</w:t>
      </w:r>
    </w:p>
    <w:p w14:paraId="7BA68A33"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540 S (2024–2025) til Meld. St. 2 (2024–2025) </w:t>
      </w:r>
      <w:r w:rsidRPr="00225D4D">
        <w:rPr>
          <w:rStyle w:val="kursiv"/>
        </w:rPr>
        <w:t>Revidert nasjonalbudsjett 2025</w:t>
      </w:r>
      <w:r w:rsidRPr="00225D4D">
        <w:t>.</w:t>
      </w:r>
    </w:p>
    <w:p w14:paraId="3F10CBD3" w14:textId="77777777" w:rsidR="00D60186" w:rsidRPr="00225D4D" w:rsidRDefault="00D60186" w:rsidP="00225D4D">
      <w:r w:rsidRPr="00225D4D">
        <w:t xml:space="preserve">Som beskrive i Meld. St. 33 (2024–2025) Status fremdrift, utfordringer og risiko i gjennomføring av langtidsplanen for forsvarssektoren 2025–2026, vil regjeringa ha tett dialog med Stortinget om </w:t>
      </w:r>
      <w:proofErr w:type="spellStart"/>
      <w:r w:rsidRPr="00225D4D">
        <w:t>vidareutviklinga</w:t>
      </w:r>
      <w:proofErr w:type="spellEnd"/>
      <w:r w:rsidRPr="00225D4D">
        <w:t xml:space="preserve"> av langtidsplanen. Regjeringa vil </w:t>
      </w:r>
      <w:proofErr w:type="spellStart"/>
      <w:r w:rsidRPr="00225D4D">
        <w:t>kometilbake</w:t>
      </w:r>
      <w:proofErr w:type="spellEnd"/>
      <w:r w:rsidRPr="00225D4D">
        <w:t xml:space="preserve"> til Stortinget om Sørreisa sin funksjon som operativ lokasjon for Forsvaret, som del av den </w:t>
      </w:r>
      <w:proofErr w:type="spellStart"/>
      <w:r w:rsidRPr="00225D4D">
        <w:t>vidare</w:t>
      </w:r>
      <w:proofErr w:type="spellEnd"/>
      <w:r w:rsidRPr="00225D4D">
        <w:t xml:space="preserve"> operasjonaliseringa og utviklinga av langtidsplanen</w:t>
      </w:r>
    </w:p>
    <w:p w14:paraId="02683CE4" w14:textId="77777777" w:rsidR="00D60186" w:rsidRPr="00225D4D" w:rsidRDefault="00D60186" w:rsidP="00225D4D">
      <w:pPr>
        <w:pStyle w:val="avsnitt-tittel"/>
      </w:pPr>
      <w:r w:rsidRPr="00225D4D">
        <w:t xml:space="preserve">Fagmiljø </w:t>
      </w:r>
      <w:proofErr w:type="spellStart"/>
      <w:r w:rsidRPr="00225D4D">
        <w:t>innan</w:t>
      </w:r>
      <w:proofErr w:type="spellEnd"/>
      <w:r w:rsidRPr="00225D4D">
        <w:t xml:space="preserve"> Cyberforsvaret ved Jørstadmoen</w:t>
      </w:r>
    </w:p>
    <w:p w14:paraId="73F4A522" w14:textId="77777777" w:rsidR="00D60186" w:rsidRPr="00225D4D" w:rsidRDefault="00D60186" w:rsidP="00225D4D">
      <w:pPr>
        <w:pStyle w:val="avsnitt-undertittel"/>
      </w:pPr>
      <w:r w:rsidRPr="00225D4D">
        <w:t>Vedtak nr. 1218, 20. juni 2025</w:t>
      </w:r>
    </w:p>
    <w:p w14:paraId="0B6FECF0" w14:textId="77777777" w:rsidR="00D60186" w:rsidRPr="00225D4D" w:rsidRDefault="00D60186" w:rsidP="00225D4D">
      <w:pPr>
        <w:pStyle w:val="blokksit"/>
        <w:rPr>
          <w:rStyle w:val="kursiv"/>
        </w:rPr>
      </w:pPr>
      <w:r w:rsidRPr="00225D4D">
        <w:rPr>
          <w:rStyle w:val="kursiv"/>
        </w:rPr>
        <w:t>«Stortinget ber regjeringen sikre at kompetanse og etablerte fagmiljøer innen Cyberforsvaret styrkes ved Jørstadmoen. Det utredes hvordan Jørstadmoen kan styrkes og videreutvikles som hovedkvarter for Cyberforsvaret.»</w:t>
      </w:r>
    </w:p>
    <w:p w14:paraId="5FE166A9"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540 S (2024–2025) til Meld. St. 2 (2024–2025) </w:t>
      </w:r>
      <w:r w:rsidRPr="00225D4D">
        <w:rPr>
          <w:rStyle w:val="kursiv"/>
        </w:rPr>
        <w:t>Revidert nasjonalbudsjett 2025</w:t>
      </w:r>
      <w:r w:rsidRPr="00225D4D">
        <w:t>.</w:t>
      </w:r>
    </w:p>
    <w:p w14:paraId="652C596D" w14:textId="77777777" w:rsidR="00D60186" w:rsidRPr="00225D4D" w:rsidRDefault="00D60186" w:rsidP="00225D4D">
      <w:r w:rsidRPr="00225D4D">
        <w:t xml:space="preserve">Regjeringa vil </w:t>
      </w:r>
      <w:proofErr w:type="spellStart"/>
      <w:r w:rsidRPr="00225D4D">
        <w:t>setja</w:t>
      </w:r>
      <w:proofErr w:type="spellEnd"/>
      <w:r w:rsidRPr="00225D4D">
        <w:t xml:space="preserve"> i gang ei utgreiing av korleis Jørstadmoen kan </w:t>
      </w:r>
      <w:proofErr w:type="spellStart"/>
      <w:r w:rsidRPr="00225D4D">
        <w:t>styrkast</w:t>
      </w:r>
      <w:proofErr w:type="spellEnd"/>
      <w:r w:rsidRPr="00225D4D">
        <w:t xml:space="preserve"> og </w:t>
      </w:r>
      <w:proofErr w:type="spellStart"/>
      <w:r w:rsidRPr="00225D4D">
        <w:t>vidareutviklast</w:t>
      </w:r>
      <w:proofErr w:type="spellEnd"/>
      <w:r w:rsidRPr="00225D4D">
        <w:t xml:space="preserve"> som </w:t>
      </w:r>
      <w:proofErr w:type="spellStart"/>
      <w:r w:rsidRPr="00225D4D">
        <w:t>ein</w:t>
      </w:r>
      <w:proofErr w:type="spellEnd"/>
      <w:r w:rsidRPr="00225D4D">
        <w:t xml:space="preserve"> del av realiseringa av langtidsplanen for forsvarssektoren, og koma tilbake til Stortinget med resultata </w:t>
      </w:r>
      <w:proofErr w:type="spellStart"/>
      <w:r w:rsidRPr="00225D4D">
        <w:t>frå</w:t>
      </w:r>
      <w:proofErr w:type="spellEnd"/>
      <w:r w:rsidRPr="00225D4D">
        <w:t xml:space="preserve"> utgreiinga.</w:t>
      </w:r>
    </w:p>
    <w:p w14:paraId="716FAA59" w14:textId="77777777" w:rsidR="00D60186" w:rsidRPr="00225D4D" w:rsidRDefault="00D60186" w:rsidP="00225D4D">
      <w:pPr>
        <w:pStyle w:val="avsnitt-tittel"/>
      </w:pPr>
      <w:r w:rsidRPr="00225D4D">
        <w:t xml:space="preserve">Administrative </w:t>
      </w:r>
      <w:proofErr w:type="spellStart"/>
      <w:r w:rsidRPr="00225D4D">
        <w:t>stillingar</w:t>
      </w:r>
      <w:proofErr w:type="spellEnd"/>
      <w:r w:rsidRPr="00225D4D">
        <w:t xml:space="preserve"> og </w:t>
      </w:r>
      <w:proofErr w:type="spellStart"/>
      <w:r w:rsidRPr="00225D4D">
        <w:t>leiarfunksjonar</w:t>
      </w:r>
      <w:proofErr w:type="spellEnd"/>
      <w:r w:rsidRPr="00225D4D">
        <w:t xml:space="preserve"> direkte knytt til operative </w:t>
      </w:r>
      <w:proofErr w:type="spellStart"/>
      <w:r w:rsidRPr="00225D4D">
        <w:t>einingar</w:t>
      </w:r>
      <w:proofErr w:type="spellEnd"/>
    </w:p>
    <w:p w14:paraId="63E70CEB" w14:textId="77777777" w:rsidR="00D60186" w:rsidRPr="00225D4D" w:rsidRDefault="00D60186" w:rsidP="00225D4D">
      <w:pPr>
        <w:pStyle w:val="avsnitt-undertittel"/>
      </w:pPr>
      <w:r w:rsidRPr="00225D4D">
        <w:t>Vedtak nr. 1243, 20. juni 2025</w:t>
      </w:r>
    </w:p>
    <w:p w14:paraId="31E7857D" w14:textId="77777777" w:rsidR="00D60186" w:rsidRPr="00225D4D" w:rsidRDefault="00D60186" w:rsidP="00225D4D">
      <w:pPr>
        <w:pStyle w:val="blokksit"/>
        <w:rPr>
          <w:rStyle w:val="kursiv"/>
        </w:rPr>
      </w:pPr>
      <w:r w:rsidRPr="00225D4D">
        <w:rPr>
          <w:rStyle w:val="kursiv"/>
        </w:rPr>
        <w:t>«Stortinget ber regjeringen ta utgangspunkt i at administrative stillinger og lederfunksjoner med direkte tilknytning til operative enheter som hovedregel lokaliseres til relevante operative enheter rundt om i landet, med mindre det er særlige grunner til å lokalisere dem andre steder.»</w:t>
      </w:r>
    </w:p>
    <w:p w14:paraId="19F8D864"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540 S (2024–2025) til Meld. St. 2 (2024–2025) </w:t>
      </w:r>
      <w:r w:rsidRPr="00225D4D">
        <w:rPr>
          <w:rStyle w:val="kursiv"/>
        </w:rPr>
        <w:t>Revidert nasjonalbudsjett 2025</w:t>
      </w:r>
      <w:r w:rsidRPr="00225D4D">
        <w:t>.</w:t>
      </w:r>
    </w:p>
    <w:p w14:paraId="7A922ED8" w14:textId="04D2C47D" w:rsidR="00D60186" w:rsidRPr="00225D4D" w:rsidRDefault="00D60186" w:rsidP="00225D4D">
      <w:r w:rsidRPr="00225D4D">
        <w:t xml:space="preserve">Regjeringa vil sørga for at prinsippet om lokalisering av administrative </w:t>
      </w:r>
      <w:proofErr w:type="spellStart"/>
      <w:r w:rsidRPr="00225D4D">
        <w:t>stillingar</w:t>
      </w:r>
      <w:proofErr w:type="spellEnd"/>
      <w:r w:rsidRPr="00225D4D">
        <w:t xml:space="preserve"> og </w:t>
      </w:r>
      <w:proofErr w:type="spellStart"/>
      <w:r w:rsidRPr="00225D4D">
        <w:t>leiarfunksjonar</w:t>
      </w:r>
      <w:proofErr w:type="spellEnd"/>
      <w:r w:rsidRPr="00225D4D">
        <w:t xml:space="preserve"> direkte tilknytte operative </w:t>
      </w:r>
      <w:proofErr w:type="spellStart"/>
      <w:r w:rsidRPr="00225D4D">
        <w:t>einingar</w:t>
      </w:r>
      <w:proofErr w:type="spellEnd"/>
      <w:r w:rsidRPr="00225D4D">
        <w:t xml:space="preserve">, som </w:t>
      </w:r>
      <w:proofErr w:type="spellStart"/>
      <w:r w:rsidRPr="00225D4D">
        <w:t>hovudregel</w:t>
      </w:r>
      <w:proofErr w:type="spellEnd"/>
      <w:r w:rsidRPr="00225D4D">
        <w:t xml:space="preserve"> vert lagt til grunn ved framtidige </w:t>
      </w:r>
      <w:proofErr w:type="spellStart"/>
      <w:r w:rsidRPr="00225D4D">
        <w:t>utgreiingar</w:t>
      </w:r>
      <w:proofErr w:type="spellEnd"/>
      <w:r w:rsidRPr="00225D4D">
        <w:t xml:space="preserve"> og avgjersler om lokalisering som vert fatta i Forsvaret, Forsvarsdepartementet eller regjeringa. Overfor Forsvaret vil dette </w:t>
      </w:r>
      <w:proofErr w:type="spellStart"/>
      <w:r w:rsidRPr="00225D4D">
        <w:t>verte</w:t>
      </w:r>
      <w:proofErr w:type="spellEnd"/>
      <w:r w:rsidRPr="00225D4D">
        <w:t xml:space="preserve"> </w:t>
      </w:r>
      <w:proofErr w:type="spellStart"/>
      <w:r w:rsidRPr="00225D4D">
        <w:t>gjeven</w:t>
      </w:r>
      <w:proofErr w:type="spellEnd"/>
      <w:r w:rsidRPr="00225D4D">
        <w:t xml:space="preserve"> som styringssignal på eigna måte i etatsstyringsdialogen.</w:t>
      </w:r>
      <w:r w:rsidR="00225D4D">
        <w:t xml:space="preserve"> </w:t>
      </w:r>
      <w:r w:rsidRPr="00225D4D">
        <w:t>Departementet vurderer på dette grunnlaget at vedtaket er fulgt opp.</w:t>
      </w:r>
    </w:p>
    <w:p w14:paraId="551C0F5A" w14:textId="77777777" w:rsidR="00D60186" w:rsidRPr="00225D4D" w:rsidRDefault="00D60186" w:rsidP="00225D4D">
      <w:pPr>
        <w:pStyle w:val="Overskrift2"/>
      </w:pPr>
      <w:r w:rsidRPr="00225D4D">
        <w:t>Stortingssesjon 2023–2024</w:t>
      </w:r>
    </w:p>
    <w:p w14:paraId="3085C557" w14:textId="77777777" w:rsidR="00D60186" w:rsidRPr="00225D4D" w:rsidRDefault="00D60186" w:rsidP="00225D4D">
      <w:pPr>
        <w:pStyle w:val="avsnitt-tittel"/>
      </w:pPr>
      <w:r w:rsidRPr="00225D4D">
        <w:t xml:space="preserve">Nye </w:t>
      </w:r>
      <w:proofErr w:type="spellStart"/>
      <w:r w:rsidRPr="00225D4D">
        <w:t>fregattar</w:t>
      </w:r>
      <w:proofErr w:type="spellEnd"/>
      <w:r w:rsidRPr="00225D4D">
        <w:t xml:space="preserve"> – val av strategisk </w:t>
      </w:r>
      <w:proofErr w:type="spellStart"/>
      <w:r w:rsidRPr="00225D4D">
        <w:t>partnar</w:t>
      </w:r>
      <w:proofErr w:type="spellEnd"/>
    </w:p>
    <w:p w14:paraId="16F065B0" w14:textId="77777777" w:rsidR="00D60186" w:rsidRPr="00225D4D" w:rsidRDefault="00D60186" w:rsidP="00225D4D">
      <w:pPr>
        <w:pStyle w:val="avsnitt-undertittel"/>
      </w:pPr>
      <w:r w:rsidRPr="00225D4D">
        <w:t>Vedtak nr. 740, 11. juni 2024</w:t>
      </w:r>
    </w:p>
    <w:p w14:paraId="1F79C491" w14:textId="77777777" w:rsidR="00D60186" w:rsidRPr="00225D4D" w:rsidRDefault="00D60186" w:rsidP="00225D4D">
      <w:pPr>
        <w:pStyle w:val="blokksit"/>
        <w:rPr>
          <w:rStyle w:val="kursiv"/>
        </w:rPr>
      </w:pPr>
      <w:r w:rsidRPr="00225D4D">
        <w:rPr>
          <w:rStyle w:val="kursiv"/>
        </w:rPr>
        <w:t>«Stortinget ber regjeringen komme snarlig tilbake til Stortinget med en sak om valg av strategisk partner for anskaffelse av fem nye havgående fregatter, med opsjon på ytterligere én fregatt. Fregattene skal utrustes med maritime helikoptre med anti-ubåtkapasitet.»</w:t>
      </w:r>
    </w:p>
    <w:p w14:paraId="1D76A7EC"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behandling av </w:t>
      </w:r>
      <w:proofErr w:type="spellStart"/>
      <w:r w:rsidRPr="00225D4D">
        <w:t>Innst</w:t>
      </w:r>
      <w:proofErr w:type="spellEnd"/>
      <w:r w:rsidRPr="00225D4D">
        <w:t xml:space="preserve">. 426 S (2023–2024) til </w:t>
      </w:r>
      <w:proofErr w:type="spellStart"/>
      <w:r w:rsidRPr="00225D4D">
        <w:t>Prop</w:t>
      </w:r>
      <w:proofErr w:type="spellEnd"/>
      <w:r w:rsidRPr="00225D4D">
        <w:t xml:space="preserve">. 87 S (2023–2024) </w:t>
      </w:r>
      <w:r w:rsidRPr="00225D4D">
        <w:rPr>
          <w:rStyle w:val="kursiv"/>
        </w:rPr>
        <w:t>Forsvarsløftet – for Norges trygghet – Langtidsplan for forsvarssektoren 2025–2036</w:t>
      </w:r>
      <w:r w:rsidRPr="00225D4D">
        <w:t>.</w:t>
      </w:r>
    </w:p>
    <w:p w14:paraId="6C14D9E1" w14:textId="77777777" w:rsidR="00D60186" w:rsidRPr="00225D4D" w:rsidRDefault="00D60186" w:rsidP="00225D4D">
      <w:r w:rsidRPr="00225D4D">
        <w:t xml:space="preserve">Regjeringa gjorde </w:t>
      </w:r>
      <w:proofErr w:type="spellStart"/>
      <w:r w:rsidRPr="00225D4D">
        <w:t>hausten</w:t>
      </w:r>
      <w:proofErr w:type="spellEnd"/>
      <w:r w:rsidRPr="00225D4D">
        <w:t xml:space="preserve"> 2024 </w:t>
      </w:r>
      <w:proofErr w:type="spellStart"/>
      <w:r w:rsidRPr="00225D4D">
        <w:t>eit</w:t>
      </w:r>
      <w:proofErr w:type="spellEnd"/>
      <w:r w:rsidRPr="00225D4D">
        <w:t xml:space="preserve"> </w:t>
      </w:r>
      <w:proofErr w:type="spellStart"/>
      <w:r w:rsidRPr="00225D4D">
        <w:t>nedval</w:t>
      </w:r>
      <w:proofErr w:type="spellEnd"/>
      <w:r w:rsidRPr="00225D4D">
        <w:t xml:space="preserve"> </w:t>
      </w:r>
      <w:proofErr w:type="spellStart"/>
      <w:r w:rsidRPr="00225D4D">
        <w:t>frå</w:t>
      </w:r>
      <w:proofErr w:type="spellEnd"/>
      <w:r w:rsidRPr="00225D4D">
        <w:t xml:space="preserve"> elleve til fire aktuelle </w:t>
      </w:r>
      <w:proofErr w:type="spellStart"/>
      <w:r w:rsidRPr="00225D4D">
        <w:t>nasjonar</w:t>
      </w:r>
      <w:proofErr w:type="spellEnd"/>
      <w:r w:rsidRPr="00225D4D">
        <w:t xml:space="preserve">. Arbeidet med å få detaljert innsikt i </w:t>
      </w:r>
      <w:proofErr w:type="spellStart"/>
      <w:r w:rsidRPr="00225D4D">
        <w:t>dei</w:t>
      </w:r>
      <w:proofErr w:type="spellEnd"/>
      <w:r w:rsidRPr="00225D4D">
        <w:t xml:space="preserve"> ulike fregattalternativa og rammene for strategisk samarbeid som grunnlag for </w:t>
      </w:r>
      <w:proofErr w:type="spellStart"/>
      <w:r w:rsidRPr="00225D4D">
        <w:t>eit</w:t>
      </w:r>
      <w:proofErr w:type="spellEnd"/>
      <w:r w:rsidRPr="00225D4D">
        <w:t xml:space="preserve"> val av strategisk </w:t>
      </w:r>
      <w:proofErr w:type="spellStart"/>
      <w:r w:rsidRPr="00225D4D">
        <w:t>partnar</w:t>
      </w:r>
      <w:proofErr w:type="spellEnd"/>
      <w:r w:rsidRPr="00225D4D">
        <w:t xml:space="preserve"> er avslutta. Regjeringa konsulerte Stortinget om val av Storbritannia som strategisk </w:t>
      </w:r>
      <w:proofErr w:type="spellStart"/>
      <w:r w:rsidRPr="00225D4D">
        <w:t>partnar</w:t>
      </w:r>
      <w:proofErr w:type="spellEnd"/>
      <w:r w:rsidRPr="00225D4D">
        <w:t xml:space="preserve"> for </w:t>
      </w:r>
      <w:proofErr w:type="spellStart"/>
      <w:r w:rsidRPr="00225D4D">
        <w:t>fregattanskaffinga</w:t>
      </w:r>
      <w:proofErr w:type="spellEnd"/>
      <w:r w:rsidRPr="00225D4D">
        <w:t xml:space="preserve"> i august 2025. Arbeidet går </w:t>
      </w:r>
      <w:proofErr w:type="spellStart"/>
      <w:r w:rsidRPr="00225D4D">
        <w:t>no</w:t>
      </w:r>
      <w:proofErr w:type="spellEnd"/>
      <w:r w:rsidRPr="00225D4D">
        <w:t xml:space="preserve"> over i </w:t>
      </w:r>
      <w:proofErr w:type="gramStart"/>
      <w:r w:rsidRPr="00225D4D">
        <w:t>ei ny fase</w:t>
      </w:r>
      <w:proofErr w:type="gramEnd"/>
      <w:r w:rsidRPr="00225D4D">
        <w:t xml:space="preserve"> med blant anna </w:t>
      </w:r>
      <w:proofErr w:type="spellStart"/>
      <w:r w:rsidRPr="00225D4D">
        <w:t>kontraktsforhandlingar</w:t>
      </w:r>
      <w:proofErr w:type="spellEnd"/>
      <w:r w:rsidRPr="00225D4D">
        <w:t xml:space="preserve"> før regjeringa kjem tilbake til Stortinget med ei investeringsbeslutning og </w:t>
      </w:r>
      <w:proofErr w:type="spellStart"/>
      <w:r w:rsidRPr="00225D4D">
        <w:t>fastsetjing</w:t>
      </w:r>
      <w:proofErr w:type="spellEnd"/>
      <w:r w:rsidRPr="00225D4D">
        <w:t xml:space="preserve"> av kostnadsramme.</w:t>
      </w:r>
    </w:p>
    <w:p w14:paraId="76F78213" w14:textId="77777777" w:rsidR="00D60186" w:rsidRPr="00225D4D" w:rsidRDefault="00D60186" w:rsidP="00225D4D">
      <w:pPr>
        <w:pStyle w:val="avsnitt-tittel"/>
      </w:pPr>
      <w:proofErr w:type="spellStart"/>
      <w:r w:rsidRPr="00225D4D">
        <w:t>Framskaffing</w:t>
      </w:r>
      <w:proofErr w:type="spellEnd"/>
      <w:r w:rsidRPr="00225D4D">
        <w:t xml:space="preserve"> av nye </w:t>
      </w:r>
      <w:proofErr w:type="spellStart"/>
      <w:r w:rsidRPr="00225D4D">
        <w:t>ubåtar</w:t>
      </w:r>
      <w:proofErr w:type="spellEnd"/>
      <w:r w:rsidRPr="00225D4D">
        <w:t xml:space="preserve"> </w:t>
      </w:r>
    </w:p>
    <w:p w14:paraId="1045FE21" w14:textId="77777777" w:rsidR="00D60186" w:rsidRPr="00225D4D" w:rsidRDefault="00D60186" w:rsidP="00225D4D">
      <w:pPr>
        <w:pStyle w:val="avsnitt-undertittel"/>
      </w:pPr>
      <w:r w:rsidRPr="00225D4D">
        <w:t>Vedtak nr. 741, 11. juni 2024</w:t>
      </w:r>
    </w:p>
    <w:p w14:paraId="6832E8C4" w14:textId="77777777" w:rsidR="00D60186" w:rsidRPr="00225D4D" w:rsidRDefault="00D60186" w:rsidP="00225D4D">
      <w:pPr>
        <w:pStyle w:val="blokksit"/>
        <w:rPr>
          <w:rStyle w:val="kursiv"/>
        </w:rPr>
      </w:pPr>
      <w:r w:rsidRPr="00225D4D">
        <w:rPr>
          <w:rStyle w:val="kursiv"/>
        </w:rPr>
        <w:t>«Stortinget ber regjeringen utløse opsjonen på den sjette ubåten, slik at det anskaffes totalt seks nye ubåter.»</w:t>
      </w:r>
    </w:p>
    <w:p w14:paraId="04188A90"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426 S (2023–2024) til </w:t>
      </w:r>
      <w:proofErr w:type="spellStart"/>
      <w:r w:rsidRPr="00225D4D">
        <w:t>Prop</w:t>
      </w:r>
      <w:proofErr w:type="spellEnd"/>
      <w:r w:rsidRPr="00225D4D">
        <w:t xml:space="preserve">. 87 S (2023–2024) </w:t>
      </w:r>
      <w:r w:rsidRPr="00225D4D">
        <w:rPr>
          <w:rStyle w:val="kursiv"/>
        </w:rPr>
        <w:t>Forsvarsløftet – for Norges trygghet – Langtidsplan for forsvarssektoren 2025–2036</w:t>
      </w:r>
      <w:r w:rsidRPr="00225D4D">
        <w:t>.</w:t>
      </w:r>
    </w:p>
    <w:p w14:paraId="3C88643E" w14:textId="77777777" w:rsidR="00D60186" w:rsidRPr="00225D4D" w:rsidRDefault="00D60186" w:rsidP="00225D4D">
      <w:proofErr w:type="spellStart"/>
      <w:r w:rsidRPr="00225D4D">
        <w:t>Anskaffinga</w:t>
      </w:r>
      <w:proofErr w:type="spellEnd"/>
      <w:r w:rsidRPr="00225D4D">
        <w:t xml:space="preserve"> av </w:t>
      </w:r>
      <w:proofErr w:type="spellStart"/>
      <w:r w:rsidRPr="00225D4D">
        <w:t>dei</w:t>
      </w:r>
      <w:proofErr w:type="spellEnd"/>
      <w:r w:rsidRPr="00225D4D">
        <w:t xml:space="preserve"> fire første </w:t>
      </w:r>
      <w:proofErr w:type="spellStart"/>
      <w:r w:rsidRPr="00225D4D">
        <w:t>ubåtane</w:t>
      </w:r>
      <w:proofErr w:type="spellEnd"/>
      <w:r w:rsidRPr="00225D4D">
        <w:t xml:space="preserve"> er i gjennomføringsfasen. Det ligg føre </w:t>
      </w:r>
      <w:proofErr w:type="spellStart"/>
      <w:r w:rsidRPr="00225D4D">
        <w:t>eit</w:t>
      </w:r>
      <w:proofErr w:type="spellEnd"/>
      <w:r w:rsidRPr="00225D4D">
        <w:t xml:space="preserve"> </w:t>
      </w:r>
      <w:proofErr w:type="spellStart"/>
      <w:r w:rsidRPr="00225D4D">
        <w:t>tilbod</w:t>
      </w:r>
      <w:proofErr w:type="spellEnd"/>
      <w:r w:rsidRPr="00225D4D">
        <w:t xml:space="preserve"> for </w:t>
      </w:r>
      <w:proofErr w:type="spellStart"/>
      <w:r w:rsidRPr="00225D4D">
        <w:t>dei</w:t>
      </w:r>
      <w:proofErr w:type="spellEnd"/>
      <w:r w:rsidRPr="00225D4D">
        <w:t xml:space="preserve"> </w:t>
      </w:r>
      <w:proofErr w:type="spellStart"/>
      <w:r w:rsidRPr="00225D4D">
        <w:t>ytterlegare</w:t>
      </w:r>
      <w:proofErr w:type="spellEnd"/>
      <w:r w:rsidRPr="00225D4D">
        <w:t xml:space="preserve"> to </w:t>
      </w:r>
      <w:proofErr w:type="spellStart"/>
      <w:r w:rsidRPr="00225D4D">
        <w:t>ubåtane</w:t>
      </w:r>
      <w:proofErr w:type="spellEnd"/>
      <w:r w:rsidRPr="00225D4D">
        <w:t xml:space="preserve">, som vart framforhandla </w:t>
      </w:r>
      <w:proofErr w:type="spellStart"/>
      <w:r w:rsidRPr="00225D4D">
        <w:t>saman</w:t>
      </w:r>
      <w:proofErr w:type="spellEnd"/>
      <w:r w:rsidRPr="00225D4D">
        <w:t xml:space="preserve"> med Tyskland i 2024, som signerte kontrakt for sine fire </w:t>
      </w:r>
      <w:proofErr w:type="spellStart"/>
      <w:r w:rsidRPr="00225D4D">
        <w:t>ubåtar</w:t>
      </w:r>
      <w:proofErr w:type="spellEnd"/>
      <w:r w:rsidRPr="00225D4D">
        <w:t xml:space="preserve"> i desember same år. Det </w:t>
      </w:r>
      <w:proofErr w:type="spellStart"/>
      <w:r w:rsidRPr="00225D4D">
        <w:t>auka</w:t>
      </w:r>
      <w:proofErr w:type="spellEnd"/>
      <w:r w:rsidRPr="00225D4D">
        <w:t xml:space="preserve"> omfanget relatert til </w:t>
      </w:r>
      <w:proofErr w:type="spellStart"/>
      <w:r w:rsidRPr="00225D4D">
        <w:t>ubåtanskaffinga</w:t>
      </w:r>
      <w:proofErr w:type="spellEnd"/>
      <w:r w:rsidRPr="00225D4D">
        <w:t xml:space="preserve"> har </w:t>
      </w:r>
      <w:proofErr w:type="spellStart"/>
      <w:r w:rsidRPr="00225D4D">
        <w:t>høgare</w:t>
      </w:r>
      <w:proofErr w:type="spellEnd"/>
      <w:r w:rsidRPr="00225D4D">
        <w:t xml:space="preserve"> kostnad, og </w:t>
      </w:r>
      <w:proofErr w:type="spellStart"/>
      <w:r w:rsidRPr="00225D4D">
        <w:t>kostnadane</w:t>
      </w:r>
      <w:proofErr w:type="spellEnd"/>
      <w:r w:rsidRPr="00225D4D">
        <w:t xml:space="preserve"> kjem </w:t>
      </w:r>
      <w:proofErr w:type="spellStart"/>
      <w:r w:rsidRPr="00225D4D">
        <w:t>tidlegare</w:t>
      </w:r>
      <w:proofErr w:type="spellEnd"/>
      <w:r w:rsidRPr="00225D4D">
        <w:t xml:space="preserve"> enn det som </w:t>
      </w:r>
      <w:proofErr w:type="spellStart"/>
      <w:r w:rsidRPr="00225D4D">
        <w:t>vart</w:t>
      </w:r>
      <w:proofErr w:type="spellEnd"/>
      <w:r w:rsidRPr="00225D4D">
        <w:t xml:space="preserve"> lagt til grunn i langtidsplanen. Det vil </w:t>
      </w:r>
      <w:proofErr w:type="spellStart"/>
      <w:r w:rsidRPr="00225D4D">
        <w:t>verte</w:t>
      </w:r>
      <w:proofErr w:type="spellEnd"/>
      <w:r w:rsidRPr="00225D4D">
        <w:t xml:space="preserve"> gjennomført ei </w:t>
      </w:r>
      <w:proofErr w:type="spellStart"/>
      <w:r w:rsidRPr="00225D4D">
        <w:t>heilskapleg</w:t>
      </w:r>
      <w:proofErr w:type="spellEnd"/>
      <w:r w:rsidRPr="00225D4D">
        <w:t xml:space="preserve"> vurdering av </w:t>
      </w:r>
      <w:proofErr w:type="spellStart"/>
      <w:r w:rsidRPr="00225D4D">
        <w:t>konsekvensane</w:t>
      </w:r>
      <w:proofErr w:type="spellEnd"/>
      <w:r w:rsidRPr="00225D4D">
        <w:t xml:space="preserve"> av kostnadsauken for </w:t>
      </w:r>
      <w:proofErr w:type="spellStart"/>
      <w:r w:rsidRPr="00225D4D">
        <w:t>ubåtar</w:t>
      </w:r>
      <w:proofErr w:type="spellEnd"/>
      <w:r w:rsidRPr="00225D4D">
        <w:t xml:space="preserve">, og regjeringa vil koma tilbake til Stortinget i høve til saka. </w:t>
      </w:r>
      <w:proofErr w:type="spellStart"/>
      <w:r w:rsidRPr="00225D4D">
        <w:t>Eigedom</w:t>
      </w:r>
      <w:proofErr w:type="spellEnd"/>
      <w:r w:rsidRPr="00225D4D">
        <w:t xml:space="preserve">, bygg og anlegg relatert til </w:t>
      </w:r>
      <w:proofErr w:type="spellStart"/>
      <w:r w:rsidRPr="00225D4D">
        <w:t>vedlikehald</w:t>
      </w:r>
      <w:proofErr w:type="spellEnd"/>
      <w:r w:rsidRPr="00225D4D">
        <w:t xml:space="preserve"> av det utvida </w:t>
      </w:r>
      <w:proofErr w:type="spellStart"/>
      <w:r w:rsidRPr="00225D4D">
        <w:t>talet</w:t>
      </w:r>
      <w:proofErr w:type="spellEnd"/>
      <w:r w:rsidRPr="00225D4D">
        <w:t xml:space="preserve"> på norske og tyske </w:t>
      </w:r>
      <w:proofErr w:type="spellStart"/>
      <w:r w:rsidRPr="00225D4D">
        <w:t>ubåtar</w:t>
      </w:r>
      <w:proofErr w:type="spellEnd"/>
      <w:r w:rsidRPr="00225D4D">
        <w:t xml:space="preserve"> er omtalt i kapittel 3. </w:t>
      </w:r>
    </w:p>
    <w:p w14:paraId="577A85A0" w14:textId="77777777" w:rsidR="00D60186" w:rsidRPr="00225D4D" w:rsidRDefault="00D60186" w:rsidP="00225D4D">
      <w:pPr>
        <w:pStyle w:val="avsnitt-tittel"/>
      </w:pPr>
      <w:proofErr w:type="spellStart"/>
      <w:r w:rsidRPr="00225D4D">
        <w:t>Langtrekkjande</w:t>
      </w:r>
      <w:proofErr w:type="spellEnd"/>
      <w:r w:rsidRPr="00225D4D">
        <w:t xml:space="preserve"> luftvern – austlandsområdet</w:t>
      </w:r>
    </w:p>
    <w:p w14:paraId="12652292" w14:textId="77777777" w:rsidR="00D60186" w:rsidRPr="00225D4D" w:rsidRDefault="00D60186" w:rsidP="00225D4D">
      <w:pPr>
        <w:pStyle w:val="avsnitt-undertittel"/>
      </w:pPr>
      <w:r w:rsidRPr="00225D4D">
        <w:t>Vedtak nr. 742, 11. juni 2024</w:t>
      </w:r>
    </w:p>
    <w:p w14:paraId="4CEBED8A" w14:textId="77777777" w:rsidR="00D60186" w:rsidRPr="00225D4D" w:rsidRDefault="00D60186" w:rsidP="00225D4D">
      <w:pPr>
        <w:pStyle w:val="blokksit"/>
        <w:rPr>
          <w:rStyle w:val="kursiv"/>
        </w:rPr>
      </w:pPr>
      <w:r w:rsidRPr="00225D4D">
        <w:rPr>
          <w:rStyle w:val="kursiv"/>
        </w:rPr>
        <w:t>«Stortinget ber regjeringen anskaffe langtrekkende luftvern med evne til å permanent beskytte ytterligere ett geografisk område mot ballistiske missiler for å kunne legge til rette for beskyttelse av det sentrale østlandsområdet, inkludert hovedstaden.»</w:t>
      </w:r>
    </w:p>
    <w:p w14:paraId="1204B14F"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426 S (2023–2024) til </w:t>
      </w:r>
      <w:proofErr w:type="spellStart"/>
      <w:r w:rsidRPr="00225D4D">
        <w:t>Prop</w:t>
      </w:r>
      <w:proofErr w:type="spellEnd"/>
      <w:r w:rsidRPr="00225D4D">
        <w:t xml:space="preserve">. 87 S (2023–2024) </w:t>
      </w:r>
      <w:r w:rsidRPr="00225D4D">
        <w:rPr>
          <w:rStyle w:val="kursiv"/>
        </w:rPr>
        <w:t>Forsvarsløftet – for Norges trygghet – Langtidsplan for forsvarssektoren 2025–2036</w:t>
      </w:r>
      <w:r w:rsidRPr="00225D4D">
        <w:t>.</w:t>
      </w:r>
    </w:p>
    <w:p w14:paraId="5912E5EF" w14:textId="77777777" w:rsidR="00D60186" w:rsidRPr="00225D4D" w:rsidRDefault="00D60186" w:rsidP="00225D4D">
      <w:r w:rsidRPr="00225D4D">
        <w:t xml:space="preserve">Styrking av evna til vern mot </w:t>
      </w:r>
      <w:proofErr w:type="spellStart"/>
      <w:r w:rsidRPr="00225D4D">
        <w:t>lufttruslar</w:t>
      </w:r>
      <w:proofErr w:type="spellEnd"/>
      <w:r w:rsidRPr="00225D4D">
        <w:t xml:space="preserve"> er ei </w:t>
      </w:r>
      <w:proofErr w:type="spellStart"/>
      <w:r w:rsidRPr="00225D4D">
        <w:t>hovudprioritering</w:t>
      </w:r>
      <w:proofErr w:type="spellEnd"/>
      <w:r w:rsidRPr="00225D4D">
        <w:t xml:space="preserve"> i langtidsplanen. Det skal </w:t>
      </w:r>
      <w:proofErr w:type="spellStart"/>
      <w:r w:rsidRPr="00225D4D">
        <w:t>skaffast</w:t>
      </w:r>
      <w:proofErr w:type="spellEnd"/>
      <w:r w:rsidRPr="00225D4D">
        <w:t xml:space="preserve"> </w:t>
      </w:r>
      <w:proofErr w:type="spellStart"/>
      <w:r w:rsidRPr="00225D4D">
        <w:t>langtrekkjande</w:t>
      </w:r>
      <w:proofErr w:type="spellEnd"/>
      <w:r w:rsidRPr="00225D4D">
        <w:t xml:space="preserve"> luftvern med </w:t>
      </w:r>
      <w:proofErr w:type="spellStart"/>
      <w:r w:rsidRPr="00225D4D">
        <w:t>moglegheit</w:t>
      </w:r>
      <w:proofErr w:type="spellEnd"/>
      <w:r w:rsidRPr="00225D4D">
        <w:t xml:space="preserve"> for vern av </w:t>
      </w:r>
      <w:proofErr w:type="gramStart"/>
      <w:r w:rsidRPr="00225D4D">
        <w:t>to geografiske område</w:t>
      </w:r>
      <w:proofErr w:type="gramEnd"/>
      <w:r w:rsidRPr="00225D4D">
        <w:t xml:space="preserve"> mot ballistiske missil med kort </w:t>
      </w:r>
      <w:proofErr w:type="spellStart"/>
      <w:r w:rsidRPr="00225D4D">
        <w:t>rekkjevidd</w:t>
      </w:r>
      <w:proofErr w:type="spellEnd"/>
      <w:r w:rsidRPr="00225D4D">
        <w:t xml:space="preserve">. </w:t>
      </w:r>
      <w:proofErr w:type="spellStart"/>
      <w:r w:rsidRPr="00225D4D">
        <w:t>Eitt</w:t>
      </w:r>
      <w:proofErr w:type="spellEnd"/>
      <w:r w:rsidRPr="00225D4D">
        <w:t xml:space="preserve"> av </w:t>
      </w:r>
      <w:proofErr w:type="spellStart"/>
      <w:r w:rsidRPr="00225D4D">
        <w:t>desse</w:t>
      </w:r>
      <w:proofErr w:type="spellEnd"/>
      <w:r w:rsidRPr="00225D4D">
        <w:t xml:space="preserve"> geografiske områda vil </w:t>
      </w:r>
      <w:proofErr w:type="spellStart"/>
      <w:r w:rsidRPr="00225D4D">
        <w:t>vera</w:t>
      </w:r>
      <w:proofErr w:type="spellEnd"/>
      <w:r w:rsidRPr="00225D4D">
        <w:t xml:space="preserve"> det sentrale austlandsområdet. Utviklinga vil </w:t>
      </w:r>
      <w:proofErr w:type="spellStart"/>
      <w:r w:rsidRPr="00225D4D">
        <w:t>verta</w:t>
      </w:r>
      <w:proofErr w:type="spellEnd"/>
      <w:r w:rsidRPr="00225D4D">
        <w:t xml:space="preserve"> sett i </w:t>
      </w:r>
      <w:proofErr w:type="spellStart"/>
      <w:r w:rsidRPr="00225D4D">
        <w:t>samanheng</w:t>
      </w:r>
      <w:proofErr w:type="spellEnd"/>
      <w:r w:rsidRPr="00225D4D">
        <w:t xml:space="preserve"> med anna styrking av luftvern med kort- og mellomlang </w:t>
      </w:r>
      <w:proofErr w:type="spellStart"/>
      <w:r w:rsidRPr="00225D4D">
        <w:t>rekkjevidd</w:t>
      </w:r>
      <w:proofErr w:type="spellEnd"/>
      <w:r w:rsidRPr="00225D4D">
        <w:t xml:space="preserve"> i tillegg til antidronesystem. Det er sett i verk utgreiingsarbeid for å utleia </w:t>
      </w:r>
      <w:proofErr w:type="spellStart"/>
      <w:r w:rsidRPr="00225D4D">
        <w:t>moglege</w:t>
      </w:r>
      <w:proofErr w:type="spellEnd"/>
      <w:r w:rsidRPr="00225D4D">
        <w:t xml:space="preserve"> </w:t>
      </w:r>
      <w:proofErr w:type="spellStart"/>
      <w:r w:rsidRPr="00225D4D">
        <w:t>handlemåtar</w:t>
      </w:r>
      <w:proofErr w:type="spellEnd"/>
      <w:r w:rsidRPr="00225D4D">
        <w:t xml:space="preserve"> for etablering av ambisjonen. Regjeringa vil koma tilbake til Stortinget på </w:t>
      </w:r>
      <w:proofErr w:type="spellStart"/>
      <w:r w:rsidRPr="00225D4D">
        <w:t>vanleg</w:t>
      </w:r>
      <w:proofErr w:type="spellEnd"/>
      <w:r w:rsidRPr="00225D4D">
        <w:t xml:space="preserve"> måte for godkjenning av investeringa.</w:t>
      </w:r>
    </w:p>
    <w:p w14:paraId="450BF18B" w14:textId="77777777" w:rsidR="00D60186" w:rsidRPr="00225D4D" w:rsidRDefault="00D60186" w:rsidP="00225D4D">
      <w:pPr>
        <w:pStyle w:val="avsnitt-tittel"/>
      </w:pPr>
      <w:proofErr w:type="spellStart"/>
      <w:r w:rsidRPr="00225D4D">
        <w:t>Langtrekkjande</w:t>
      </w:r>
      <w:proofErr w:type="spellEnd"/>
      <w:r w:rsidRPr="00225D4D">
        <w:t xml:space="preserve"> luftvern – prosess for </w:t>
      </w:r>
      <w:proofErr w:type="spellStart"/>
      <w:r w:rsidRPr="00225D4D">
        <w:t>framskaffing</w:t>
      </w:r>
      <w:proofErr w:type="spellEnd"/>
    </w:p>
    <w:p w14:paraId="763E34AA" w14:textId="77777777" w:rsidR="00D60186" w:rsidRPr="00225D4D" w:rsidRDefault="00D60186" w:rsidP="00225D4D">
      <w:pPr>
        <w:pStyle w:val="avsnitt-undertittel"/>
      </w:pPr>
      <w:r w:rsidRPr="00225D4D">
        <w:t>Vedtak nr. 743, 11. juni 2024</w:t>
      </w:r>
    </w:p>
    <w:p w14:paraId="4B774F6C" w14:textId="77777777" w:rsidR="00D60186" w:rsidRPr="00225D4D" w:rsidRDefault="00D60186" w:rsidP="00225D4D">
      <w:pPr>
        <w:pStyle w:val="blokksit"/>
        <w:rPr>
          <w:rStyle w:val="kursiv"/>
        </w:rPr>
      </w:pPr>
      <w:r w:rsidRPr="00225D4D">
        <w:rPr>
          <w:rStyle w:val="kursiv"/>
        </w:rPr>
        <w:t>«Stortinget ber regjeringen komme tilbake til Stortinget med en anbefaling for den videre anskaffelsesprosessen for langtrekkende luftvern.»</w:t>
      </w:r>
      <w:r w:rsidRPr="00225D4D">
        <w:t xml:space="preserve"> </w:t>
      </w:r>
    </w:p>
    <w:p w14:paraId="3B2ED134"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426 S (2023–2024) til </w:t>
      </w:r>
      <w:proofErr w:type="spellStart"/>
      <w:r w:rsidRPr="00225D4D">
        <w:t>Prop</w:t>
      </w:r>
      <w:proofErr w:type="spellEnd"/>
      <w:r w:rsidRPr="00225D4D">
        <w:t xml:space="preserve">. 87 S (2023–2024) </w:t>
      </w:r>
      <w:r w:rsidRPr="00225D4D">
        <w:rPr>
          <w:rStyle w:val="kursiv"/>
        </w:rPr>
        <w:t>Forsvarsløftet – for Norges trygghet – Langtidsplan for forsvarssektoren 2025–2036</w:t>
      </w:r>
      <w:r w:rsidRPr="00225D4D">
        <w:t>.</w:t>
      </w:r>
    </w:p>
    <w:p w14:paraId="0E1C921C" w14:textId="77777777" w:rsidR="00D60186" w:rsidRPr="00225D4D" w:rsidRDefault="00D60186" w:rsidP="00225D4D">
      <w:r w:rsidRPr="00225D4D">
        <w:t xml:space="preserve">Det er sett i verk utgreiing for å utleia </w:t>
      </w:r>
      <w:proofErr w:type="spellStart"/>
      <w:r w:rsidRPr="00225D4D">
        <w:t>moglege</w:t>
      </w:r>
      <w:proofErr w:type="spellEnd"/>
      <w:r w:rsidRPr="00225D4D">
        <w:t xml:space="preserve"> </w:t>
      </w:r>
      <w:proofErr w:type="spellStart"/>
      <w:r w:rsidRPr="00225D4D">
        <w:t>handlemåtar</w:t>
      </w:r>
      <w:proofErr w:type="spellEnd"/>
      <w:r w:rsidRPr="00225D4D">
        <w:t xml:space="preserve"> for den </w:t>
      </w:r>
      <w:proofErr w:type="spellStart"/>
      <w:r w:rsidRPr="00225D4D">
        <w:t>vidare</w:t>
      </w:r>
      <w:proofErr w:type="spellEnd"/>
      <w:r w:rsidRPr="00225D4D">
        <w:t xml:space="preserve"> </w:t>
      </w:r>
      <w:proofErr w:type="spellStart"/>
      <w:r w:rsidRPr="00225D4D">
        <w:t>anskaffingsprosessen</w:t>
      </w:r>
      <w:proofErr w:type="spellEnd"/>
      <w:r w:rsidRPr="00225D4D">
        <w:t xml:space="preserve">. Regjeringa vil koma tilbake til Stortinget om dette på </w:t>
      </w:r>
      <w:proofErr w:type="spellStart"/>
      <w:r w:rsidRPr="00225D4D">
        <w:t>passeleg</w:t>
      </w:r>
      <w:proofErr w:type="spellEnd"/>
      <w:r w:rsidRPr="00225D4D">
        <w:t xml:space="preserve"> måte. </w:t>
      </w:r>
    </w:p>
    <w:p w14:paraId="791DE3F5" w14:textId="77777777" w:rsidR="00D60186" w:rsidRPr="00225D4D" w:rsidRDefault="00D60186" w:rsidP="00225D4D">
      <w:pPr>
        <w:pStyle w:val="avsnitt-tittel"/>
      </w:pPr>
      <w:r w:rsidRPr="00225D4D">
        <w:t>Overordna dronestrategi for forsvarssektoren</w:t>
      </w:r>
    </w:p>
    <w:p w14:paraId="0ABF1928" w14:textId="77777777" w:rsidR="00D60186" w:rsidRPr="00225D4D" w:rsidRDefault="00D60186" w:rsidP="00225D4D">
      <w:pPr>
        <w:pStyle w:val="avsnitt-undertittel"/>
      </w:pPr>
      <w:r w:rsidRPr="00225D4D">
        <w:t>Vedtak nr. 744, 11. juni 2024</w:t>
      </w:r>
    </w:p>
    <w:p w14:paraId="6034BD6A" w14:textId="77777777" w:rsidR="00D60186" w:rsidRPr="00225D4D" w:rsidRDefault="00D60186" w:rsidP="00225D4D">
      <w:pPr>
        <w:pStyle w:val="blokksit"/>
        <w:rPr>
          <w:rStyle w:val="kursiv"/>
        </w:rPr>
      </w:pPr>
      <w:r w:rsidRPr="00225D4D">
        <w:rPr>
          <w:rStyle w:val="kursiv"/>
        </w:rPr>
        <w:t>«Stortinget ber regjeringen utarbeide og iverksette en overordnet dronestrategi for forsvarssektoren, med konkrete forslag til hvordan forsvarssektoren og de ulike forsvarsgrenene kan ta i bruk droneteknologi i takt med den teknologiske utviklingen på feltet. Strategien skal også omhandle hvordan både sivilsamfunnet og Forsvarets avdelinger bedre kan beskyttes mot den samme teknologien.»</w:t>
      </w:r>
    </w:p>
    <w:p w14:paraId="625379F3"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426 S (2023–2024) til </w:t>
      </w:r>
      <w:proofErr w:type="spellStart"/>
      <w:r w:rsidRPr="00225D4D">
        <w:t>Prop</w:t>
      </w:r>
      <w:proofErr w:type="spellEnd"/>
      <w:r w:rsidRPr="00225D4D">
        <w:t>. 87 S (2023–2024) Forsvarsløftet – for Norges trygghet – Langtidsplan for forsvarssektoren 2025–2036.</w:t>
      </w:r>
    </w:p>
    <w:p w14:paraId="377A5571" w14:textId="77777777" w:rsidR="00D60186" w:rsidRPr="00225D4D" w:rsidRDefault="00D60186" w:rsidP="00225D4D">
      <w:r w:rsidRPr="00225D4D">
        <w:t xml:space="preserve">Forsvarsdepartementet følger opp vedtaket og har intensivert arbeidet med </w:t>
      </w:r>
      <w:proofErr w:type="spellStart"/>
      <w:r w:rsidRPr="00225D4D">
        <w:t>ein</w:t>
      </w:r>
      <w:proofErr w:type="spellEnd"/>
      <w:r w:rsidRPr="00225D4D">
        <w:t xml:space="preserve"> overordna dronestrategi for forsvarssektoren. Strategien er planlagt lagt fram i løpet av </w:t>
      </w:r>
      <w:proofErr w:type="spellStart"/>
      <w:r w:rsidRPr="00225D4D">
        <w:t>hausten</w:t>
      </w:r>
      <w:proofErr w:type="spellEnd"/>
      <w:r w:rsidRPr="00225D4D">
        <w:t xml:space="preserve"> 2025. Det </w:t>
      </w:r>
      <w:proofErr w:type="spellStart"/>
      <w:r w:rsidRPr="00225D4D">
        <w:t>pågåande</w:t>
      </w:r>
      <w:proofErr w:type="spellEnd"/>
      <w:r w:rsidRPr="00225D4D">
        <w:t xml:space="preserve"> arbeidet skal </w:t>
      </w:r>
      <w:proofErr w:type="spellStart"/>
      <w:r w:rsidRPr="00225D4D">
        <w:t>sjåast</w:t>
      </w:r>
      <w:proofErr w:type="spellEnd"/>
      <w:r w:rsidRPr="00225D4D">
        <w:t xml:space="preserve"> i </w:t>
      </w:r>
      <w:proofErr w:type="spellStart"/>
      <w:r w:rsidRPr="00225D4D">
        <w:t>samanheng</w:t>
      </w:r>
      <w:proofErr w:type="spellEnd"/>
      <w:r w:rsidRPr="00225D4D">
        <w:t xml:space="preserve"> med Meld. St. 15 (2024–2025) om </w:t>
      </w:r>
      <w:proofErr w:type="spellStart"/>
      <w:r w:rsidRPr="00225D4D">
        <w:rPr>
          <w:rStyle w:val="kursiv"/>
        </w:rPr>
        <w:t>Dronar</w:t>
      </w:r>
      <w:proofErr w:type="spellEnd"/>
      <w:r w:rsidRPr="00225D4D">
        <w:rPr>
          <w:rStyle w:val="kursiv"/>
        </w:rPr>
        <w:t xml:space="preserve"> og ny luftmobilitet </w:t>
      </w:r>
      <w:r w:rsidRPr="00225D4D">
        <w:t>som regjeringa la fram i mars 2025.</w:t>
      </w:r>
    </w:p>
    <w:p w14:paraId="6B2C94AF" w14:textId="77777777" w:rsidR="00D60186" w:rsidRPr="00225D4D" w:rsidRDefault="00D60186" w:rsidP="00225D4D">
      <w:pPr>
        <w:pStyle w:val="avsnitt-tittel"/>
      </w:pPr>
      <w:r w:rsidRPr="00225D4D">
        <w:t xml:space="preserve">Ubemanna luftfartøy og </w:t>
      </w:r>
      <w:proofErr w:type="spellStart"/>
      <w:r w:rsidRPr="00225D4D">
        <w:t>dronar</w:t>
      </w:r>
      <w:proofErr w:type="spellEnd"/>
      <w:r w:rsidRPr="00225D4D">
        <w:t xml:space="preserve"> – føresegner</w:t>
      </w:r>
    </w:p>
    <w:p w14:paraId="2850E61A" w14:textId="77777777" w:rsidR="00D60186" w:rsidRPr="00225D4D" w:rsidRDefault="00D60186" w:rsidP="00225D4D">
      <w:pPr>
        <w:pStyle w:val="avsnitt-undertittel"/>
      </w:pPr>
      <w:r w:rsidRPr="00225D4D">
        <w:t>Vedtak nr. 745, 11. juni 2024</w:t>
      </w:r>
    </w:p>
    <w:p w14:paraId="429835E8" w14:textId="77777777" w:rsidR="00D60186" w:rsidRPr="00225D4D" w:rsidRDefault="00D60186" w:rsidP="00225D4D">
      <w:pPr>
        <w:pStyle w:val="blokksit"/>
        <w:rPr>
          <w:rStyle w:val="kursiv"/>
        </w:rPr>
      </w:pPr>
      <w:r w:rsidRPr="00225D4D">
        <w:rPr>
          <w:rStyle w:val="kursiv"/>
        </w:rPr>
        <w:t>«Stortinget ber regjeringen revidere bestemmelsene om ubemannede luftfartøyer og droner i Forskrift om militær luftfartsmyndighet.»</w:t>
      </w:r>
    </w:p>
    <w:p w14:paraId="6458E38A"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426 S (2023–2024) til </w:t>
      </w:r>
      <w:proofErr w:type="spellStart"/>
      <w:r w:rsidRPr="00225D4D">
        <w:t>Prop</w:t>
      </w:r>
      <w:proofErr w:type="spellEnd"/>
      <w:r w:rsidRPr="00225D4D">
        <w:t xml:space="preserve">. 87 S (2023–2024) </w:t>
      </w:r>
      <w:r w:rsidRPr="00225D4D">
        <w:rPr>
          <w:rStyle w:val="kursiv"/>
        </w:rPr>
        <w:t>Forsvarsløftet – for Norges trygghet – Langtidsplan for forsvarssektoren 2025–2036</w:t>
      </w:r>
      <w:r w:rsidRPr="00225D4D">
        <w:t>.</w:t>
      </w:r>
    </w:p>
    <w:p w14:paraId="411E124E" w14:textId="77777777" w:rsidR="00D60186" w:rsidRPr="00225D4D" w:rsidRDefault="00D60186" w:rsidP="00225D4D">
      <w:r w:rsidRPr="00225D4D">
        <w:t xml:space="preserve">Vedtaket er </w:t>
      </w:r>
      <w:proofErr w:type="spellStart"/>
      <w:r w:rsidRPr="00225D4D">
        <w:t>følgt</w:t>
      </w:r>
      <w:proofErr w:type="spellEnd"/>
      <w:r w:rsidRPr="00225D4D">
        <w:t xml:space="preserve"> opp av Forsvarsdepartementet. Regjeringa har omtalt oppfølginga i Meld. St. 33 (2024–2025) </w:t>
      </w:r>
      <w:r w:rsidRPr="00225D4D">
        <w:rPr>
          <w:rStyle w:val="kursiv"/>
        </w:rPr>
        <w:t>Status, fremdrift, utfordringer og risiko i gjennomføring av langtidsplanen for forsvarssektoren 2025–2036</w:t>
      </w:r>
      <w:r w:rsidRPr="00225D4D">
        <w:t>.</w:t>
      </w:r>
    </w:p>
    <w:p w14:paraId="39B106C3" w14:textId="77777777" w:rsidR="00D60186" w:rsidRPr="00225D4D" w:rsidRDefault="00D60186" w:rsidP="00225D4D">
      <w:r w:rsidRPr="00225D4D">
        <w:t xml:space="preserve">Forskrift om militær </w:t>
      </w:r>
      <w:proofErr w:type="spellStart"/>
      <w:r w:rsidRPr="00225D4D">
        <w:t>luftfartsmyndigheit</w:t>
      </w:r>
      <w:proofErr w:type="spellEnd"/>
      <w:r w:rsidRPr="00225D4D">
        <w:t xml:space="preserve"> er ei rammeforskrift som </w:t>
      </w:r>
      <w:proofErr w:type="spellStart"/>
      <w:r w:rsidRPr="00225D4D">
        <w:t>fastset</w:t>
      </w:r>
      <w:proofErr w:type="spellEnd"/>
      <w:r w:rsidRPr="00225D4D">
        <w:t xml:space="preserve"> at forsvarssjefen, eller den forsvarssjefen gir </w:t>
      </w:r>
      <w:proofErr w:type="spellStart"/>
      <w:r w:rsidRPr="00225D4D">
        <w:t>myndigheit</w:t>
      </w:r>
      <w:proofErr w:type="spellEnd"/>
      <w:r w:rsidRPr="00225D4D">
        <w:t xml:space="preserve"> til, er militær </w:t>
      </w:r>
      <w:proofErr w:type="spellStart"/>
      <w:r w:rsidRPr="00225D4D">
        <w:t>luftfartsmyndigheit</w:t>
      </w:r>
      <w:proofErr w:type="spellEnd"/>
      <w:r w:rsidRPr="00225D4D">
        <w:t xml:space="preserve"> i </w:t>
      </w:r>
      <w:proofErr w:type="spellStart"/>
      <w:r w:rsidRPr="00225D4D">
        <w:t>Noreg</w:t>
      </w:r>
      <w:proofErr w:type="spellEnd"/>
      <w:r w:rsidRPr="00225D4D">
        <w:t xml:space="preserve">. Forskrifta § 1, andre ledd, slår fast at «forskriften her gjelder all luftfart med norske militære luftfartøy samt all militær luftfart i norsk territorium, herunder bruk av militære ubemannede luftfartøy systemer (UAS)». Det er inga </w:t>
      </w:r>
      <w:proofErr w:type="spellStart"/>
      <w:r w:rsidRPr="00225D4D">
        <w:t>nærare</w:t>
      </w:r>
      <w:proofErr w:type="spellEnd"/>
      <w:r w:rsidRPr="00225D4D">
        <w:t xml:space="preserve"> regulering av spesifikke luftfartøy eller system i forskrifta. Det betyr at ubemanna luftfartøy og </w:t>
      </w:r>
      <w:proofErr w:type="spellStart"/>
      <w:r w:rsidRPr="00225D4D">
        <w:t>dronar</w:t>
      </w:r>
      <w:proofErr w:type="spellEnd"/>
      <w:r w:rsidRPr="00225D4D">
        <w:t xml:space="preserve"> </w:t>
      </w:r>
      <w:proofErr w:type="spellStart"/>
      <w:r w:rsidRPr="00225D4D">
        <w:t>allereie</w:t>
      </w:r>
      <w:proofErr w:type="spellEnd"/>
      <w:r w:rsidRPr="00225D4D">
        <w:t xml:space="preserve"> er inkluderte i og omfatta av forskrift om militær </w:t>
      </w:r>
      <w:proofErr w:type="spellStart"/>
      <w:r w:rsidRPr="00225D4D">
        <w:t>luftfartsmyndigheit</w:t>
      </w:r>
      <w:proofErr w:type="spellEnd"/>
      <w:r w:rsidRPr="00225D4D">
        <w:t xml:space="preserve">. </w:t>
      </w:r>
    </w:p>
    <w:p w14:paraId="575D4B2B" w14:textId="77777777" w:rsidR="00D60186" w:rsidRPr="00225D4D" w:rsidRDefault="00D60186" w:rsidP="00225D4D">
      <w:r w:rsidRPr="00225D4D">
        <w:t xml:space="preserve">På bakgrunn av dette har Forsvarsdepartementet vurdert at det </w:t>
      </w:r>
      <w:proofErr w:type="spellStart"/>
      <w:r w:rsidRPr="00225D4D">
        <w:t>ikkje</w:t>
      </w:r>
      <w:proofErr w:type="spellEnd"/>
      <w:r w:rsidRPr="00225D4D">
        <w:t xml:space="preserve"> er behov for revisjon eller endring av forskrift om militær </w:t>
      </w:r>
      <w:proofErr w:type="spellStart"/>
      <w:proofErr w:type="gramStart"/>
      <w:r w:rsidRPr="00225D4D">
        <w:t>luftartsmyndigheit.Ved</w:t>
      </w:r>
      <w:proofErr w:type="spellEnd"/>
      <w:proofErr w:type="gramEnd"/>
      <w:r w:rsidRPr="00225D4D">
        <w:t xml:space="preserve"> framtidige </w:t>
      </w:r>
      <w:proofErr w:type="spellStart"/>
      <w:r w:rsidRPr="00225D4D">
        <w:t>forskriftsendringar</w:t>
      </w:r>
      <w:proofErr w:type="spellEnd"/>
      <w:r w:rsidRPr="00225D4D">
        <w:t xml:space="preserve"> vil Forsvarsdepartementet </w:t>
      </w:r>
      <w:proofErr w:type="spellStart"/>
      <w:r w:rsidRPr="00225D4D">
        <w:t>sørgja</w:t>
      </w:r>
      <w:proofErr w:type="spellEnd"/>
      <w:r w:rsidRPr="00225D4D">
        <w:t xml:space="preserve"> for at omsynet til ubemanna luftfartøy og </w:t>
      </w:r>
      <w:proofErr w:type="spellStart"/>
      <w:r w:rsidRPr="00225D4D">
        <w:t>dronar</w:t>
      </w:r>
      <w:proofErr w:type="spellEnd"/>
      <w:r w:rsidRPr="00225D4D">
        <w:t xml:space="preserve"> blir tatt høgde for og inkludert. </w:t>
      </w:r>
    </w:p>
    <w:p w14:paraId="311992C7" w14:textId="77777777" w:rsidR="00D60186" w:rsidRPr="00225D4D" w:rsidRDefault="00D60186" w:rsidP="00225D4D">
      <w:r w:rsidRPr="00225D4D">
        <w:t xml:space="preserve">Den militære luftfartsstyresmakta har </w:t>
      </w:r>
      <w:proofErr w:type="gramStart"/>
      <w:r w:rsidRPr="00225D4D">
        <w:t>implementert</w:t>
      </w:r>
      <w:proofErr w:type="gramEnd"/>
      <w:r w:rsidRPr="00225D4D">
        <w:t xml:space="preserve"> European </w:t>
      </w:r>
      <w:proofErr w:type="spellStart"/>
      <w:r w:rsidRPr="00225D4D">
        <w:t>Military</w:t>
      </w:r>
      <w:proofErr w:type="spellEnd"/>
      <w:r w:rsidRPr="00225D4D">
        <w:t xml:space="preserve"> </w:t>
      </w:r>
      <w:proofErr w:type="spellStart"/>
      <w:r w:rsidRPr="00225D4D">
        <w:t>Airworthiness</w:t>
      </w:r>
      <w:proofErr w:type="spellEnd"/>
      <w:r w:rsidRPr="00225D4D">
        <w:t xml:space="preserve"> </w:t>
      </w:r>
      <w:proofErr w:type="spellStart"/>
      <w:r w:rsidRPr="00225D4D">
        <w:t>Requirements</w:t>
      </w:r>
      <w:proofErr w:type="spellEnd"/>
      <w:r w:rsidRPr="00225D4D">
        <w:t xml:space="preserve"> part 21 (EMAR 21). Dette er </w:t>
      </w:r>
      <w:proofErr w:type="spellStart"/>
      <w:r w:rsidRPr="00225D4D">
        <w:t>eit</w:t>
      </w:r>
      <w:proofErr w:type="spellEnd"/>
      <w:r w:rsidRPr="00225D4D">
        <w:t xml:space="preserve"> regelverk som regulerer militær </w:t>
      </w:r>
      <w:proofErr w:type="spellStart"/>
      <w:r w:rsidRPr="00225D4D">
        <w:t>luftdyktigheit</w:t>
      </w:r>
      <w:proofErr w:type="spellEnd"/>
      <w:r w:rsidRPr="00225D4D">
        <w:t xml:space="preserve"> og godkjenning av </w:t>
      </w:r>
      <w:proofErr w:type="spellStart"/>
      <w:r w:rsidRPr="00225D4D">
        <w:t>organisasjonar</w:t>
      </w:r>
      <w:proofErr w:type="spellEnd"/>
      <w:r w:rsidRPr="00225D4D">
        <w:t xml:space="preserve"> og </w:t>
      </w:r>
      <w:proofErr w:type="spellStart"/>
      <w:r w:rsidRPr="00225D4D">
        <w:t>prosessar</w:t>
      </w:r>
      <w:proofErr w:type="spellEnd"/>
      <w:r w:rsidRPr="00225D4D">
        <w:t xml:space="preserve"> knytte til design, produksjon og sertifisering av militære luftfartøy og </w:t>
      </w:r>
      <w:proofErr w:type="spellStart"/>
      <w:r w:rsidRPr="00225D4D">
        <w:t>komponentar</w:t>
      </w:r>
      <w:proofErr w:type="spellEnd"/>
      <w:r w:rsidRPr="00225D4D">
        <w:t xml:space="preserve">. Regelverket gjeld og for sivile </w:t>
      </w:r>
      <w:proofErr w:type="spellStart"/>
      <w:r w:rsidRPr="00225D4D">
        <w:t>aktørar</w:t>
      </w:r>
      <w:proofErr w:type="spellEnd"/>
      <w:r w:rsidRPr="00225D4D">
        <w:t xml:space="preserve"> i den grad </w:t>
      </w:r>
      <w:proofErr w:type="spellStart"/>
      <w:r w:rsidRPr="00225D4D">
        <w:t>dei</w:t>
      </w:r>
      <w:proofErr w:type="spellEnd"/>
      <w:r w:rsidRPr="00225D4D">
        <w:t xml:space="preserve"> driv militær luftfart. </w:t>
      </w:r>
    </w:p>
    <w:p w14:paraId="3D20B42F" w14:textId="77777777" w:rsidR="00D60186" w:rsidRPr="00225D4D" w:rsidRDefault="00D60186" w:rsidP="00225D4D">
      <w:r w:rsidRPr="00225D4D">
        <w:t xml:space="preserve">Saman med implementeringa av EMAR 21 har den militære luftfartsstyresmakta etablert </w:t>
      </w:r>
      <w:proofErr w:type="gramStart"/>
      <w:r w:rsidRPr="00225D4D">
        <w:t>ei prosedyre</w:t>
      </w:r>
      <w:proofErr w:type="gramEnd"/>
      <w:r w:rsidRPr="00225D4D">
        <w:t xml:space="preserve"> og system for organisasjonsgodkjenning. Sjå mellom anna svar på </w:t>
      </w:r>
      <w:proofErr w:type="spellStart"/>
      <w:r w:rsidRPr="00225D4D">
        <w:t>oppmodningsvedtak</w:t>
      </w:r>
      <w:proofErr w:type="spellEnd"/>
      <w:r w:rsidRPr="00225D4D">
        <w:t xml:space="preserve"> nr. 839.</w:t>
      </w:r>
    </w:p>
    <w:p w14:paraId="2AAD4B63" w14:textId="77777777" w:rsidR="00D60186" w:rsidRPr="00225D4D" w:rsidRDefault="00D60186" w:rsidP="00225D4D">
      <w:pPr>
        <w:pStyle w:val="avsnitt-tittel"/>
      </w:pPr>
      <w:r w:rsidRPr="00225D4D">
        <w:t>Kapasitet for militær utdanning i Nord-</w:t>
      </w:r>
      <w:proofErr w:type="spellStart"/>
      <w:r w:rsidRPr="00225D4D">
        <w:t>Noreg</w:t>
      </w:r>
      <w:proofErr w:type="spellEnd"/>
    </w:p>
    <w:p w14:paraId="5531E669" w14:textId="77777777" w:rsidR="00D60186" w:rsidRPr="00225D4D" w:rsidRDefault="00D60186" w:rsidP="00225D4D">
      <w:pPr>
        <w:pStyle w:val="avsnitt-undertittel"/>
      </w:pPr>
      <w:r w:rsidRPr="00225D4D">
        <w:t>Vedtak nr. 746, 11. juni 2024</w:t>
      </w:r>
    </w:p>
    <w:p w14:paraId="766134FD" w14:textId="77777777" w:rsidR="00D60186" w:rsidRPr="00225D4D" w:rsidRDefault="00D60186" w:rsidP="00225D4D">
      <w:pPr>
        <w:pStyle w:val="blokksit"/>
        <w:rPr>
          <w:rStyle w:val="kursiv"/>
        </w:rPr>
      </w:pPr>
      <w:r w:rsidRPr="00225D4D">
        <w:rPr>
          <w:rStyle w:val="kursiv"/>
        </w:rPr>
        <w:t>«Stortinget ber regjeringen utrede hvordan økt militær utdanningskapasitet skal etableres i Nord-Norge og komme snarlig tilbake til Stortinget med et forslag til gjennomføring.»</w:t>
      </w:r>
    </w:p>
    <w:p w14:paraId="0A3ACEDE"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426 S (2023–2024) til </w:t>
      </w:r>
      <w:proofErr w:type="spellStart"/>
      <w:r w:rsidRPr="00225D4D">
        <w:t>Prop</w:t>
      </w:r>
      <w:proofErr w:type="spellEnd"/>
      <w:r w:rsidRPr="00225D4D">
        <w:t xml:space="preserve">. 87 S (2023–2024) </w:t>
      </w:r>
      <w:r w:rsidRPr="00225D4D">
        <w:rPr>
          <w:rStyle w:val="kursiv"/>
        </w:rPr>
        <w:t>Forsvarsløftet – for Norges trygghet – Langtidsplan for forsvarssektoren 2025–2036</w:t>
      </w:r>
      <w:r w:rsidRPr="00225D4D">
        <w:t>.</w:t>
      </w:r>
    </w:p>
    <w:p w14:paraId="0D1EBEFE" w14:textId="3D8B6DC1" w:rsidR="00D60186" w:rsidRPr="00225D4D" w:rsidRDefault="00D60186" w:rsidP="00225D4D">
      <w:r w:rsidRPr="00225D4D">
        <w:t xml:space="preserve">Regjeringa har gitt Forsvaret i oppdrag å iverksette </w:t>
      </w:r>
      <w:proofErr w:type="spellStart"/>
      <w:r w:rsidRPr="00225D4D">
        <w:t>ein</w:t>
      </w:r>
      <w:proofErr w:type="spellEnd"/>
      <w:r w:rsidRPr="00225D4D">
        <w:t xml:space="preserve"> pilot for lagførerutdanning ved Porsanger Garnison (GP) i regi av Heimevernet (HV). Utdanninga vil </w:t>
      </w:r>
      <w:proofErr w:type="spellStart"/>
      <w:r w:rsidRPr="00225D4D">
        <w:t>vera</w:t>
      </w:r>
      <w:proofErr w:type="spellEnd"/>
      <w:r w:rsidRPr="00225D4D">
        <w:t xml:space="preserve"> </w:t>
      </w:r>
      <w:proofErr w:type="spellStart"/>
      <w:r w:rsidRPr="00225D4D">
        <w:t>eittårig</w:t>
      </w:r>
      <w:proofErr w:type="spellEnd"/>
      <w:r w:rsidRPr="00225D4D">
        <w:t xml:space="preserve">, og vil </w:t>
      </w:r>
      <w:proofErr w:type="spellStart"/>
      <w:r w:rsidRPr="00225D4D">
        <w:t>hovudsakleg</w:t>
      </w:r>
      <w:proofErr w:type="spellEnd"/>
      <w:r w:rsidRPr="00225D4D">
        <w:t xml:space="preserve"> </w:t>
      </w:r>
      <w:proofErr w:type="spellStart"/>
      <w:r w:rsidRPr="00225D4D">
        <w:t>kunna</w:t>
      </w:r>
      <w:proofErr w:type="spellEnd"/>
      <w:r w:rsidRPr="00225D4D">
        <w:t xml:space="preserve"> </w:t>
      </w:r>
      <w:proofErr w:type="spellStart"/>
      <w:r w:rsidRPr="00225D4D">
        <w:t>gjennomførast</w:t>
      </w:r>
      <w:proofErr w:type="spellEnd"/>
      <w:r w:rsidRPr="00225D4D">
        <w:t xml:space="preserve"> i førstegongstenesta. Tiltaket </w:t>
      </w:r>
      <w:proofErr w:type="spellStart"/>
      <w:r w:rsidRPr="00225D4D">
        <w:t>inneber</w:t>
      </w:r>
      <w:proofErr w:type="spellEnd"/>
      <w:r w:rsidRPr="00225D4D">
        <w:t xml:space="preserve"> å </w:t>
      </w:r>
      <w:proofErr w:type="spellStart"/>
      <w:r w:rsidRPr="00225D4D">
        <w:t>setja</w:t>
      </w:r>
      <w:proofErr w:type="spellEnd"/>
      <w:r w:rsidRPr="00225D4D">
        <w:t xml:space="preserve"> i gang </w:t>
      </w:r>
      <w:proofErr w:type="spellStart"/>
      <w:r w:rsidRPr="00225D4D">
        <w:t>eit</w:t>
      </w:r>
      <w:proofErr w:type="spellEnd"/>
      <w:r w:rsidRPr="00225D4D">
        <w:t xml:space="preserve"> forsøk i 2025, for så å </w:t>
      </w:r>
      <w:proofErr w:type="spellStart"/>
      <w:r w:rsidRPr="00225D4D">
        <w:t>auka</w:t>
      </w:r>
      <w:proofErr w:type="spellEnd"/>
      <w:r w:rsidRPr="00225D4D">
        <w:t xml:space="preserve"> kapasiteten i 2026. Ei </w:t>
      </w:r>
      <w:proofErr w:type="spellStart"/>
      <w:r w:rsidRPr="00225D4D">
        <w:t>lagførarutdanning</w:t>
      </w:r>
      <w:proofErr w:type="spellEnd"/>
      <w:r w:rsidRPr="00225D4D">
        <w:t xml:space="preserve"> i Porsanger vil </w:t>
      </w:r>
      <w:proofErr w:type="spellStart"/>
      <w:r w:rsidRPr="00225D4D">
        <w:t>rekruttera</w:t>
      </w:r>
      <w:proofErr w:type="spellEnd"/>
      <w:r w:rsidRPr="00225D4D">
        <w:t xml:space="preserve"> </w:t>
      </w:r>
      <w:proofErr w:type="spellStart"/>
      <w:r w:rsidRPr="00225D4D">
        <w:t>frå</w:t>
      </w:r>
      <w:proofErr w:type="spellEnd"/>
      <w:r w:rsidRPr="00225D4D">
        <w:t xml:space="preserve"> nærområdet og vil bidra til at behov i Forsvaret vert dekt. Forsvaret vil greia ut </w:t>
      </w:r>
      <w:proofErr w:type="spellStart"/>
      <w:r w:rsidRPr="00225D4D">
        <w:t>ytterlegare</w:t>
      </w:r>
      <w:proofErr w:type="spellEnd"/>
      <w:r w:rsidRPr="00225D4D">
        <w:t xml:space="preserve"> tiltak på området. Regjeringa vil koma tilbake til Stortinget når slik utgreiing ligg føre.</w:t>
      </w:r>
      <w:r w:rsidR="00225D4D">
        <w:t xml:space="preserve"> </w:t>
      </w:r>
    </w:p>
    <w:p w14:paraId="6F91CD6B" w14:textId="77777777" w:rsidR="00D60186" w:rsidRPr="00225D4D" w:rsidRDefault="00D60186" w:rsidP="00225D4D">
      <w:pPr>
        <w:pStyle w:val="avsnitt-tittel"/>
      </w:pPr>
      <w:r w:rsidRPr="00225D4D">
        <w:t xml:space="preserve">Lokale og regionale </w:t>
      </w:r>
      <w:proofErr w:type="spellStart"/>
      <w:r w:rsidRPr="00225D4D">
        <w:t>tilbydarar</w:t>
      </w:r>
      <w:proofErr w:type="spellEnd"/>
    </w:p>
    <w:p w14:paraId="47827616" w14:textId="77777777" w:rsidR="00D60186" w:rsidRPr="00225D4D" w:rsidRDefault="00D60186" w:rsidP="00225D4D">
      <w:pPr>
        <w:pStyle w:val="avsnitt-undertittel"/>
      </w:pPr>
      <w:r w:rsidRPr="00225D4D">
        <w:t>Vedtak nr. 747, 11. juni 2024</w:t>
      </w:r>
    </w:p>
    <w:p w14:paraId="72F8F957" w14:textId="77777777" w:rsidR="00D60186" w:rsidRPr="00225D4D" w:rsidRDefault="00D60186" w:rsidP="00225D4D">
      <w:pPr>
        <w:pStyle w:val="blokksit"/>
        <w:rPr>
          <w:rStyle w:val="kursiv"/>
        </w:rPr>
      </w:pPr>
      <w:r w:rsidRPr="00225D4D">
        <w:rPr>
          <w:rStyle w:val="kursiv"/>
        </w:rPr>
        <w:t>«Stortinget ber regjeringen sikre at Forsvaret utnytter handlingsrommet, lover og reglement åpner for, slik at Forsvaret i større grad benytter lokale og regionale tilbydere.»</w:t>
      </w:r>
    </w:p>
    <w:p w14:paraId="54826628"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426 S (2023–2024) til </w:t>
      </w:r>
      <w:proofErr w:type="spellStart"/>
      <w:r w:rsidRPr="00225D4D">
        <w:t>Prop</w:t>
      </w:r>
      <w:proofErr w:type="spellEnd"/>
      <w:r w:rsidRPr="00225D4D">
        <w:t xml:space="preserve">. 87 S (2023–2024) </w:t>
      </w:r>
      <w:r w:rsidRPr="00225D4D">
        <w:rPr>
          <w:rStyle w:val="kursiv"/>
        </w:rPr>
        <w:t>Forsvarsløftet – for Norges trygghet – Langtidsplan for forsvarssektoren 2025–2036</w:t>
      </w:r>
      <w:r w:rsidRPr="00225D4D">
        <w:t>.</w:t>
      </w:r>
    </w:p>
    <w:p w14:paraId="2995E792" w14:textId="77777777" w:rsidR="00D60186" w:rsidRPr="00225D4D" w:rsidRDefault="00D60186" w:rsidP="00225D4D">
      <w:r w:rsidRPr="00225D4D">
        <w:t xml:space="preserve">Forsvarsdepartementet har satt i verk ei ekstern utgreiing av </w:t>
      </w:r>
      <w:proofErr w:type="spellStart"/>
      <w:r w:rsidRPr="00225D4D">
        <w:t>eit</w:t>
      </w:r>
      <w:proofErr w:type="spellEnd"/>
      <w:r w:rsidRPr="00225D4D">
        <w:t xml:space="preserve"> forslag til ei ny lov om forsvars- og </w:t>
      </w:r>
      <w:proofErr w:type="spellStart"/>
      <w:r w:rsidRPr="00225D4D">
        <w:t>tryggingsanskaffingar</w:t>
      </w:r>
      <w:proofErr w:type="spellEnd"/>
      <w:r w:rsidRPr="00225D4D">
        <w:t xml:space="preserve">. Arbeidsgruppa ble etablert 1. oktober 2024, og vart som en del av arbeidet bedt om å </w:t>
      </w:r>
      <w:proofErr w:type="spellStart"/>
      <w:r w:rsidRPr="00225D4D">
        <w:t>sørgja</w:t>
      </w:r>
      <w:proofErr w:type="spellEnd"/>
      <w:r w:rsidRPr="00225D4D">
        <w:t xml:space="preserve"> for at </w:t>
      </w:r>
      <w:proofErr w:type="spellStart"/>
      <w:r w:rsidRPr="00225D4D">
        <w:t>dei</w:t>
      </w:r>
      <w:proofErr w:type="spellEnd"/>
      <w:r w:rsidRPr="00225D4D">
        <w:t xml:space="preserve"> </w:t>
      </w:r>
      <w:proofErr w:type="spellStart"/>
      <w:r w:rsidRPr="00225D4D">
        <w:t>særlege</w:t>
      </w:r>
      <w:proofErr w:type="spellEnd"/>
      <w:r w:rsidRPr="00225D4D">
        <w:t xml:space="preserve"> tilhøva som </w:t>
      </w:r>
      <w:proofErr w:type="spellStart"/>
      <w:r w:rsidRPr="00225D4D">
        <w:t>gjeld</w:t>
      </w:r>
      <w:proofErr w:type="spellEnd"/>
      <w:r w:rsidRPr="00225D4D">
        <w:t xml:space="preserve"> for forsvars- og </w:t>
      </w:r>
      <w:proofErr w:type="spellStart"/>
      <w:r w:rsidRPr="00225D4D">
        <w:t>tryggingsanskaffingar</w:t>
      </w:r>
      <w:proofErr w:type="spellEnd"/>
      <w:r w:rsidRPr="00225D4D">
        <w:t xml:space="preserve">, vart </w:t>
      </w:r>
      <w:proofErr w:type="spellStart"/>
      <w:r w:rsidRPr="00225D4D">
        <w:t>varetekne</w:t>
      </w:r>
      <w:proofErr w:type="spellEnd"/>
      <w:r w:rsidRPr="00225D4D">
        <w:t xml:space="preserve"> i den nye forsvars- og </w:t>
      </w:r>
      <w:proofErr w:type="spellStart"/>
      <w:r w:rsidRPr="00225D4D">
        <w:t>tryggingsanskaffingslova</w:t>
      </w:r>
      <w:proofErr w:type="spellEnd"/>
      <w:r w:rsidRPr="00225D4D">
        <w:t xml:space="preserve"> </w:t>
      </w:r>
      <w:proofErr w:type="spellStart"/>
      <w:r w:rsidRPr="00225D4D">
        <w:t>innanfor</w:t>
      </w:r>
      <w:proofErr w:type="spellEnd"/>
      <w:r w:rsidRPr="00225D4D">
        <w:t xml:space="preserve"> rammene av EØS-retten og WTO-retten. </w:t>
      </w:r>
    </w:p>
    <w:p w14:paraId="76E19A1C" w14:textId="77777777" w:rsidR="00D60186" w:rsidRPr="00225D4D" w:rsidRDefault="00D60186" w:rsidP="00225D4D">
      <w:r w:rsidRPr="00225D4D">
        <w:t xml:space="preserve">Rapporten </w:t>
      </w:r>
      <w:proofErr w:type="spellStart"/>
      <w:r w:rsidRPr="00225D4D">
        <w:t>vart</w:t>
      </w:r>
      <w:proofErr w:type="spellEnd"/>
      <w:r w:rsidRPr="00225D4D">
        <w:t xml:space="preserve"> overlevert til Forsvarsdepartementet 5. september 2025. Rapporten bidrar til å </w:t>
      </w:r>
      <w:proofErr w:type="spellStart"/>
      <w:r w:rsidRPr="00225D4D">
        <w:t>belysa</w:t>
      </w:r>
      <w:proofErr w:type="spellEnd"/>
      <w:r w:rsidRPr="00225D4D">
        <w:t xml:space="preserve"> forholdet og det </w:t>
      </w:r>
      <w:proofErr w:type="spellStart"/>
      <w:r w:rsidRPr="00225D4D">
        <w:t>rettslege</w:t>
      </w:r>
      <w:proofErr w:type="spellEnd"/>
      <w:r w:rsidRPr="00225D4D">
        <w:t xml:space="preserve"> handlingsrommet i regelverket, som kan bidra til økt kompetanse hjå </w:t>
      </w:r>
      <w:proofErr w:type="spellStart"/>
      <w:r w:rsidRPr="00225D4D">
        <w:t>anskaffingsetatane</w:t>
      </w:r>
      <w:proofErr w:type="spellEnd"/>
      <w:r w:rsidRPr="00225D4D">
        <w:t xml:space="preserve"> og Forsvaret i </w:t>
      </w:r>
      <w:proofErr w:type="spellStart"/>
      <w:r w:rsidRPr="00225D4D">
        <w:t>anskaffingssakar</w:t>
      </w:r>
      <w:proofErr w:type="spellEnd"/>
      <w:r w:rsidRPr="00225D4D">
        <w:t xml:space="preserve">. </w:t>
      </w:r>
    </w:p>
    <w:p w14:paraId="47E22EB7" w14:textId="77777777" w:rsidR="00D60186" w:rsidRPr="00225D4D" w:rsidRDefault="00D60186" w:rsidP="00225D4D">
      <w:r w:rsidRPr="00225D4D">
        <w:t xml:space="preserve">Forsvarsdepartementet har gitt Forsvaret og </w:t>
      </w:r>
      <w:proofErr w:type="spellStart"/>
      <w:r w:rsidRPr="00225D4D">
        <w:t>anskaffingsetatane</w:t>
      </w:r>
      <w:proofErr w:type="spellEnd"/>
      <w:r w:rsidRPr="00225D4D">
        <w:t xml:space="preserve"> Forsvarsbygg og Forsvarsmateriell </w:t>
      </w:r>
      <w:proofErr w:type="spellStart"/>
      <w:r w:rsidRPr="00225D4D">
        <w:t>instruksar</w:t>
      </w:r>
      <w:proofErr w:type="spellEnd"/>
      <w:r w:rsidRPr="00225D4D">
        <w:t xml:space="preserve"> i tildelingsbreva i 2025 om å </w:t>
      </w:r>
      <w:proofErr w:type="spellStart"/>
      <w:r w:rsidRPr="00225D4D">
        <w:t>auka</w:t>
      </w:r>
      <w:proofErr w:type="spellEnd"/>
      <w:r w:rsidRPr="00225D4D">
        <w:t xml:space="preserve"> </w:t>
      </w:r>
      <w:proofErr w:type="spellStart"/>
      <w:r w:rsidRPr="00225D4D">
        <w:t>si</w:t>
      </w:r>
      <w:proofErr w:type="spellEnd"/>
      <w:r w:rsidRPr="00225D4D">
        <w:t xml:space="preserve"> involvering med små og mellomstore </w:t>
      </w:r>
      <w:proofErr w:type="spellStart"/>
      <w:r w:rsidRPr="00225D4D">
        <w:t>leverandørar</w:t>
      </w:r>
      <w:proofErr w:type="spellEnd"/>
      <w:r w:rsidRPr="00225D4D">
        <w:t xml:space="preserve"> der det støtter opp om forsvarssektoren sine mål og behov, og i større grad å nytta lokale og regionale </w:t>
      </w:r>
      <w:proofErr w:type="spellStart"/>
      <w:r w:rsidRPr="00225D4D">
        <w:t>leverandørar</w:t>
      </w:r>
      <w:proofErr w:type="spellEnd"/>
      <w:r w:rsidRPr="00225D4D">
        <w:t xml:space="preserve"> </w:t>
      </w:r>
      <w:proofErr w:type="spellStart"/>
      <w:r w:rsidRPr="00225D4D">
        <w:t>innanfor</w:t>
      </w:r>
      <w:proofErr w:type="spellEnd"/>
      <w:r w:rsidRPr="00225D4D">
        <w:t xml:space="preserve"> </w:t>
      </w:r>
      <w:proofErr w:type="spellStart"/>
      <w:r w:rsidRPr="00225D4D">
        <w:t>anskaffingsregelverket</w:t>
      </w:r>
      <w:proofErr w:type="spellEnd"/>
      <w:r w:rsidRPr="00225D4D">
        <w:t xml:space="preserve"> sine rammer.</w:t>
      </w:r>
    </w:p>
    <w:p w14:paraId="4B26F6C6" w14:textId="77777777" w:rsidR="00D60186" w:rsidRPr="00225D4D" w:rsidRDefault="00D60186" w:rsidP="00225D4D">
      <w:r w:rsidRPr="00225D4D">
        <w:t>Forsvarsdepartementet vil følge opp ovennevnte i fremtidig styringsdialog mot etatene. Forsvarsdepartementene anser på dette grunnlag vedtaket som fulgt opp.</w:t>
      </w:r>
    </w:p>
    <w:p w14:paraId="30D5F108" w14:textId="77777777" w:rsidR="00D60186" w:rsidRPr="00225D4D" w:rsidRDefault="00D60186" w:rsidP="00225D4D">
      <w:pPr>
        <w:pStyle w:val="avsnitt-tittel"/>
      </w:pPr>
      <w:proofErr w:type="spellStart"/>
      <w:r w:rsidRPr="00225D4D">
        <w:t>Pensjonsgjevande</w:t>
      </w:r>
      <w:proofErr w:type="spellEnd"/>
      <w:r w:rsidRPr="00225D4D">
        <w:t xml:space="preserve"> inntekter</w:t>
      </w:r>
    </w:p>
    <w:p w14:paraId="1A8C975A" w14:textId="77777777" w:rsidR="00D60186" w:rsidRPr="00225D4D" w:rsidRDefault="00D60186" w:rsidP="00225D4D">
      <w:pPr>
        <w:pStyle w:val="avsnitt-undertittel"/>
      </w:pPr>
      <w:r w:rsidRPr="00225D4D">
        <w:t>Vedtak nr. 748, 11. juni 2024</w:t>
      </w:r>
    </w:p>
    <w:p w14:paraId="1E970A33" w14:textId="77777777" w:rsidR="00D60186" w:rsidRPr="00225D4D" w:rsidRDefault="00D60186" w:rsidP="00225D4D">
      <w:pPr>
        <w:pStyle w:val="blokksit"/>
        <w:rPr>
          <w:rStyle w:val="kursiv"/>
        </w:rPr>
      </w:pPr>
      <w:r w:rsidRPr="00225D4D">
        <w:rPr>
          <w:rStyle w:val="kursiv"/>
        </w:rPr>
        <w:t>«Stortinget ber regjeringen legge til rette for at partene kan fremforhandle konkrete løsninger som gjør at en større del av personellets inntekter blir pensjonsgivende.»</w:t>
      </w:r>
    </w:p>
    <w:p w14:paraId="236F0A57"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426 S (2023–2024) til </w:t>
      </w:r>
      <w:proofErr w:type="spellStart"/>
      <w:r w:rsidRPr="00225D4D">
        <w:t>Prop</w:t>
      </w:r>
      <w:proofErr w:type="spellEnd"/>
      <w:r w:rsidRPr="00225D4D">
        <w:t xml:space="preserve">. 87 S (2023–2024) </w:t>
      </w:r>
      <w:r w:rsidRPr="00225D4D">
        <w:rPr>
          <w:rStyle w:val="kursiv"/>
        </w:rPr>
        <w:t>Forsvarsløftet – for Norges trygghet – Langtidsplan for forsvarssektoren 2025–2036</w:t>
      </w:r>
      <w:r w:rsidRPr="00225D4D">
        <w:t>.</w:t>
      </w:r>
    </w:p>
    <w:p w14:paraId="75EC6DD7" w14:textId="77777777" w:rsidR="00D60186" w:rsidRPr="00225D4D" w:rsidRDefault="00D60186" w:rsidP="00225D4D">
      <w:r w:rsidRPr="00225D4D">
        <w:t xml:space="preserve">Forsvarsdepartementet greia i 2024, </w:t>
      </w:r>
      <w:proofErr w:type="spellStart"/>
      <w:r w:rsidRPr="00225D4D">
        <w:t>saman</w:t>
      </w:r>
      <w:proofErr w:type="spellEnd"/>
      <w:r w:rsidRPr="00225D4D">
        <w:t xml:space="preserve"> med </w:t>
      </w:r>
      <w:proofErr w:type="spellStart"/>
      <w:r w:rsidRPr="00225D4D">
        <w:t>partane</w:t>
      </w:r>
      <w:proofErr w:type="spellEnd"/>
      <w:r w:rsidRPr="00225D4D">
        <w:t xml:space="preserve"> i forsvarssektoren, ut </w:t>
      </w:r>
      <w:proofErr w:type="spellStart"/>
      <w:r w:rsidRPr="00225D4D">
        <w:t>forbetringar</w:t>
      </w:r>
      <w:proofErr w:type="spellEnd"/>
      <w:r w:rsidRPr="00225D4D">
        <w:t xml:space="preserve"> i sektorens lønns- og insentivsystem. I ramma av dette vert det tilrådt ulike tiltak for å legga til rette for at systemet er </w:t>
      </w:r>
      <w:proofErr w:type="spellStart"/>
      <w:r w:rsidRPr="00225D4D">
        <w:t>føreseieleg</w:t>
      </w:r>
      <w:proofErr w:type="spellEnd"/>
      <w:r w:rsidRPr="00225D4D">
        <w:t xml:space="preserve"> for den enkelte, og at </w:t>
      </w:r>
      <w:proofErr w:type="spellStart"/>
      <w:r w:rsidRPr="00225D4D">
        <w:t>arbeidsgjevar</w:t>
      </w:r>
      <w:proofErr w:type="spellEnd"/>
      <w:r w:rsidRPr="00225D4D">
        <w:t xml:space="preserve"> </w:t>
      </w:r>
      <w:proofErr w:type="spellStart"/>
      <w:r w:rsidRPr="00225D4D">
        <w:t>strevar</w:t>
      </w:r>
      <w:proofErr w:type="spellEnd"/>
      <w:r w:rsidRPr="00225D4D">
        <w:t xml:space="preserve"> etter </w:t>
      </w:r>
      <w:proofErr w:type="spellStart"/>
      <w:r w:rsidRPr="00225D4D">
        <w:t>ein</w:t>
      </w:r>
      <w:proofErr w:type="spellEnd"/>
      <w:r w:rsidRPr="00225D4D">
        <w:t xml:space="preserve"> lengre horisont for planlegging av aktivitet. Det er også vurdert ulike </w:t>
      </w:r>
      <w:proofErr w:type="spellStart"/>
      <w:r w:rsidRPr="00225D4D">
        <w:t>måtar</w:t>
      </w:r>
      <w:proofErr w:type="spellEnd"/>
      <w:r w:rsidRPr="00225D4D">
        <w:t xml:space="preserve"> å </w:t>
      </w:r>
      <w:proofErr w:type="spellStart"/>
      <w:r w:rsidRPr="00225D4D">
        <w:t>godtgjera</w:t>
      </w:r>
      <w:proofErr w:type="spellEnd"/>
      <w:r w:rsidRPr="00225D4D">
        <w:t xml:space="preserve"> på i framtida, </w:t>
      </w:r>
      <w:proofErr w:type="spellStart"/>
      <w:r w:rsidRPr="00225D4D">
        <w:t>frå</w:t>
      </w:r>
      <w:proofErr w:type="spellEnd"/>
      <w:r w:rsidRPr="00225D4D">
        <w:t xml:space="preserve"> mindre </w:t>
      </w:r>
      <w:proofErr w:type="spellStart"/>
      <w:r w:rsidRPr="00225D4D">
        <w:t>justeringar</w:t>
      </w:r>
      <w:proofErr w:type="spellEnd"/>
      <w:r w:rsidRPr="00225D4D">
        <w:t xml:space="preserve"> av dagens ordning til større grad av faste tillegg. Det vert tilrådt at aktiviteten i større grad vert kompensert av faste og </w:t>
      </w:r>
      <w:proofErr w:type="spellStart"/>
      <w:r w:rsidRPr="00225D4D">
        <w:t>føreseielege</w:t>
      </w:r>
      <w:proofErr w:type="spellEnd"/>
      <w:r w:rsidRPr="00225D4D">
        <w:t xml:space="preserve"> tillegg for </w:t>
      </w:r>
      <w:proofErr w:type="spellStart"/>
      <w:r w:rsidRPr="00225D4D">
        <w:t>aktivitetar</w:t>
      </w:r>
      <w:proofErr w:type="spellEnd"/>
      <w:r w:rsidRPr="00225D4D">
        <w:t xml:space="preserve"> som vakt, øving og segling. </w:t>
      </w:r>
    </w:p>
    <w:p w14:paraId="0A3EC0D4" w14:textId="77777777" w:rsidR="00D60186" w:rsidRPr="00225D4D" w:rsidRDefault="00D60186" w:rsidP="00225D4D">
      <w:r w:rsidRPr="00225D4D">
        <w:t xml:space="preserve">Det går føre seg arbeid knytt til Høgsteretts dom av 2. april 2025 om pensjon på variable tillegg. Høgsterett kom til at vakt- og fartøytillegg i Kystvakta skal </w:t>
      </w:r>
      <w:proofErr w:type="spellStart"/>
      <w:r w:rsidRPr="00225D4D">
        <w:t>sjåast</w:t>
      </w:r>
      <w:proofErr w:type="spellEnd"/>
      <w:r w:rsidRPr="00225D4D">
        <w:t xml:space="preserve"> på som </w:t>
      </w:r>
      <w:proofErr w:type="spellStart"/>
      <w:r w:rsidRPr="00225D4D">
        <w:t>pensjonsgivande</w:t>
      </w:r>
      <w:proofErr w:type="spellEnd"/>
      <w:r w:rsidRPr="00225D4D">
        <w:t xml:space="preserve">. Forsvaret </w:t>
      </w:r>
      <w:proofErr w:type="spellStart"/>
      <w:r w:rsidRPr="00225D4D">
        <w:t>fekk</w:t>
      </w:r>
      <w:proofErr w:type="spellEnd"/>
      <w:r w:rsidRPr="00225D4D">
        <w:t xml:space="preserve"> i juni 2025 i oppdrag av Forsvarsdepartementet å </w:t>
      </w:r>
      <w:proofErr w:type="spellStart"/>
      <w:r w:rsidRPr="00225D4D">
        <w:t>kartlegga</w:t>
      </w:r>
      <w:proofErr w:type="spellEnd"/>
      <w:r w:rsidRPr="00225D4D">
        <w:t xml:space="preserve"> kva </w:t>
      </w:r>
      <w:proofErr w:type="spellStart"/>
      <w:r w:rsidRPr="00225D4D">
        <w:t>konsekvensar</w:t>
      </w:r>
      <w:proofErr w:type="spellEnd"/>
      <w:r w:rsidRPr="00225D4D">
        <w:t xml:space="preserve"> denne avgjerda vil </w:t>
      </w:r>
      <w:proofErr w:type="spellStart"/>
      <w:r w:rsidRPr="00225D4D">
        <w:t>kunna</w:t>
      </w:r>
      <w:proofErr w:type="spellEnd"/>
      <w:r w:rsidRPr="00225D4D">
        <w:t xml:space="preserve"> få for personell som utfører anna unntaksaktivitet som utløyser rett til variable tillegg. Oppdraget skal </w:t>
      </w:r>
      <w:proofErr w:type="spellStart"/>
      <w:r w:rsidRPr="00225D4D">
        <w:t>svarast</w:t>
      </w:r>
      <w:proofErr w:type="spellEnd"/>
      <w:r w:rsidRPr="00225D4D">
        <w:t xml:space="preserve"> ut før utgangen av september 2025. Resultatet av kartlegginga vil til sist kunne ha </w:t>
      </w:r>
      <w:proofErr w:type="spellStart"/>
      <w:r w:rsidRPr="00225D4D">
        <w:t>betyding</w:t>
      </w:r>
      <w:proofErr w:type="spellEnd"/>
      <w:r w:rsidRPr="00225D4D">
        <w:t xml:space="preserve"> for det </w:t>
      </w:r>
      <w:proofErr w:type="spellStart"/>
      <w:r w:rsidRPr="00225D4D">
        <w:t>vidare</w:t>
      </w:r>
      <w:proofErr w:type="spellEnd"/>
      <w:r w:rsidRPr="00225D4D">
        <w:t xml:space="preserve"> arbeidet som går føre seg mellom Forsvaret og </w:t>
      </w:r>
      <w:proofErr w:type="spellStart"/>
      <w:r w:rsidRPr="00225D4D">
        <w:t>arbeidstakarorganisasjonane</w:t>
      </w:r>
      <w:proofErr w:type="spellEnd"/>
      <w:r w:rsidRPr="00225D4D">
        <w:t xml:space="preserve"> når det gjeld </w:t>
      </w:r>
      <w:proofErr w:type="spellStart"/>
      <w:r w:rsidRPr="00225D4D">
        <w:t>forhandlingar</w:t>
      </w:r>
      <w:proofErr w:type="spellEnd"/>
      <w:r w:rsidRPr="00225D4D">
        <w:t xml:space="preserve"> om </w:t>
      </w:r>
      <w:proofErr w:type="spellStart"/>
      <w:r w:rsidRPr="00225D4D">
        <w:t>løysningar</w:t>
      </w:r>
      <w:proofErr w:type="spellEnd"/>
      <w:r w:rsidRPr="00225D4D">
        <w:t xml:space="preserve"> som skal sikra at </w:t>
      </w:r>
      <w:proofErr w:type="spellStart"/>
      <w:r w:rsidRPr="00225D4D">
        <w:t>ein</w:t>
      </w:r>
      <w:proofErr w:type="spellEnd"/>
      <w:r w:rsidRPr="00225D4D">
        <w:t xml:space="preserve"> større del av personellet sine inntekter vert </w:t>
      </w:r>
      <w:proofErr w:type="spellStart"/>
      <w:r w:rsidRPr="00225D4D">
        <w:t>pensjonsgivande</w:t>
      </w:r>
      <w:proofErr w:type="spellEnd"/>
      <w:r w:rsidRPr="00225D4D">
        <w:t xml:space="preserve">. Regjeringa vil legga Stortingets vedtak til grunn når </w:t>
      </w:r>
      <w:proofErr w:type="spellStart"/>
      <w:r w:rsidRPr="00225D4D">
        <w:t>ein</w:t>
      </w:r>
      <w:proofErr w:type="spellEnd"/>
      <w:r w:rsidRPr="00225D4D">
        <w:t xml:space="preserve"> ser på ei endra innretning på lønns- og insentivsystemet framover. </w:t>
      </w:r>
    </w:p>
    <w:p w14:paraId="247831E6" w14:textId="77777777" w:rsidR="00D60186" w:rsidRPr="00225D4D" w:rsidRDefault="00D60186" w:rsidP="00225D4D">
      <w:pPr>
        <w:pStyle w:val="Overskrift2"/>
      </w:pPr>
      <w:r w:rsidRPr="00225D4D">
        <w:t>Stortingssesjon 2022–2023</w:t>
      </w:r>
    </w:p>
    <w:p w14:paraId="321F16D4" w14:textId="77777777" w:rsidR="00D60186" w:rsidRPr="00225D4D" w:rsidRDefault="00D60186" w:rsidP="00225D4D">
      <w:pPr>
        <w:pStyle w:val="avsnitt-tittel"/>
      </w:pPr>
      <w:r w:rsidRPr="00225D4D">
        <w:t xml:space="preserve">Forsvarsloven – kontrakt om </w:t>
      </w:r>
      <w:proofErr w:type="spellStart"/>
      <w:r w:rsidRPr="00225D4D">
        <w:t>tenesteplikt</w:t>
      </w:r>
      <w:proofErr w:type="spellEnd"/>
    </w:p>
    <w:p w14:paraId="6DBB876C" w14:textId="77777777" w:rsidR="00D60186" w:rsidRPr="00225D4D" w:rsidRDefault="00D60186" w:rsidP="00225D4D">
      <w:pPr>
        <w:pStyle w:val="avsnitt-undertittel"/>
      </w:pPr>
      <w:r w:rsidRPr="00225D4D">
        <w:t>Vedtak nr. 154, 8. desember 2022</w:t>
      </w:r>
    </w:p>
    <w:p w14:paraId="4E473438" w14:textId="77777777" w:rsidR="00D60186" w:rsidRPr="00225D4D" w:rsidRDefault="00D60186" w:rsidP="00225D4D">
      <w:pPr>
        <w:pStyle w:val="blokksit"/>
        <w:rPr>
          <w:rStyle w:val="kursiv"/>
        </w:rPr>
      </w:pPr>
      <w:r w:rsidRPr="00225D4D">
        <w:rPr>
          <w:rStyle w:val="kursiv"/>
        </w:rPr>
        <w:t xml:space="preserve">«Stortinget ber regjeringen komme tilbake til Stortinget og på egnet vis innen utgangen av 2023 og innen utgangen av 2024, eksempelvis i budsjettproposisjonene for 2024 og 2025, og redegjøre om erfaringer med og konsekvensene av endringene i forsvarsloven, som vedtas ved behandlingen av </w:t>
      </w:r>
      <w:proofErr w:type="spellStart"/>
      <w:r w:rsidRPr="00225D4D">
        <w:rPr>
          <w:rStyle w:val="kursiv"/>
        </w:rPr>
        <w:t>Innst</w:t>
      </w:r>
      <w:proofErr w:type="spellEnd"/>
      <w:r w:rsidRPr="00225D4D">
        <w:rPr>
          <w:rStyle w:val="kursiv"/>
        </w:rPr>
        <w:t>. 74 L (2022–2023), for personell i Forsvaret, herunder omfanget av bruk av kontrakt om tjenesteplikt og hvilket personell i hvilke funksjoner som får kontrakt om tjenesteplikt.»</w:t>
      </w:r>
    </w:p>
    <w:p w14:paraId="1CAB1719"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74 L (2022–2023) til </w:t>
      </w:r>
      <w:proofErr w:type="spellStart"/>
      <w:r w:rsidRPr="00225D4D">
        <w:t>Prop</w:t>
      </w:r>
      <w:proofErr w:type="spellEnd"/>
      <w:r w:rsidRPr="00225D4D">
        <w:t xml:space="preserve">. 134 L (2022–2023) </w:t>
      </w:r>
      <w:r w:rsidRPr="00225D4D">
        <w:rPr>
          <w:rStyle w:val="kursiv"/>
        </w:rPr>
        <w:t>Endringer i forsvarsloven (utvidet adgang til å inngå kontrakt om tjenesteplikt mv.) og lovvedtak 20 (2022–2023)</w:t>
      </w:r>
      <w:r w:rsidRPr="00225D4D">
        <w:t>.</w:t>
      </w:r>
    </w:p>
    <w:p w14:paraId="6AA1C9E2" w14:textId="77777777" w:rsidR="00D60186" w:rsidRPr="00225D4D" w:rsidRDefault="00D60186" w:rsidP="00225D4D">
      <w:proofErr w:type="spellStart"/>
      <w:r w:rsidRPr="00225D4D">
        <w:t>Endringane</w:t>
      </w:r>
      <w:proofErr w:type="spellEnd"/>
      <w:r w:rsidRPr="00225D4D">
        <w:t xml:space="preserve"> i forsvarsloven, som </w:t>
      </w:r>
      <w:proofErr w:type="spellStart"/>
      <w:r w:rsidRPr="00225D4D">
        <w:t>vart</w:t>
      </w:r>
      <w:proofErr w:type="spellEnd"/>
      <w:r w:rsidRPr="00225D4D">
        <w:t xml:space="preserve"> vedtatt gjennom </w:t>
      </w:r>
      <w:proofErr w:type="spellStart"/>
      <w:r w:rsidRPr="00225D4D">
        <w:t>behandlinga</w:t>
      </w:r>
      <w:proofErr w:type="spellEnd"/>
      <w:r w:rsidRPr="00225D4D">
        <w:t xml:space="preserve"> av </w:t>
      </w:r>
      <w:proofErr w:type="spellStart"/>
      <w:r w:rsidRPr="00225D4D">
        <w:t>Innst</w:t>
      </w:r>
      <w:proofErr w:type="spellEnd"/>
      <w:r w:rsidRPr="00225D4D">
        <w:t xml:space="preserve">. 74 L (2022–2023), </w:t>
      </w:r>
      <w:proofErr w:type="spellStart"/>
      <w:r w:rsidRPr="00225D4D">
        <w:t>vart</w:t>
      </w:r>
      <w:proofErr w:type="spellEnd"/>
      <w:r w:rsidRPr="00225D4D">
        <w:t xml:space="preserve"> sett i kraft 1. januar 2024. Det er </w:t>
      </w:r>
      <w:proofErr w:type="spellStart"/>
      <w:r w:rsidRPr="00225D4D">
        <w:t>difor</w:t>
      </w:r>
      <w:proofErr w:type="spellEnd"/>
      <w:r w:rsidRPr="00225D4D">
        <w:t xml:space="preserve"> framleis </w:t>
      </w:r>
      <w:proofErr w:type="spellStart"/>
      <w:r w:rsidRPr="00225D4D">
        <w:t>tidleg</w:t>
      </w:r>
      <w:proofErr w:type="spellEnd"/>
      <w:r w:rsidRPr="00225D4D">
        <w:t xml:space="preserve"> å </w:t>
      </w:r>
      <w:proofErr w:type="spellStart"/>
      <w:r w:rsidRPr="00225D4D">
        <w:t>gjera</w:t>
      </w:r>
      <w:proofErr w:type="spellEnd"/>
      <w:r w:rsidRPr="00225D4D">
        <w:t xml:space="preserve"> greie for </w:t>
      </w:r>
      <w:proofErr w:type="spellStart"/>
      <w:r w:rsidRPr="00225D4D">
        <w:t>erfaringar</w:t>
      </w:r>
      <w:proofErr w:type="spellEnd"/>
      <w:r w:rsidRPr="00225D4D">
        <w:t xml:space="preserve"> og </w:t>
      </w:r>
      <w:proofErr w:type="spellStart"/>
      <w:r w:rsidRPr="00225D4D">
        <w:t>konsekvensar</w:t>
      </w:r>
      <w:proofErr w:type="spellEnd"/>
      <w:r w:rsidRPr="00225D4D">
        <w:t xml:space="preserve"> av </w:t>
      </w:r>
      <w:proofErr w:type="spellStart"/>
      <w:r w:rsidRPr="00225D4D">
        <w:t>endringane</w:t>
      </w:r>
      <w:proofErr w:type="spellEnd"/>
      <w:r w:rsidRPr="00225D4D">
        <w:t xml:space="preserve"> i forsvarsloven. </w:t>
      </w:r>
    </w:p>
    <w:p w14:paraId="5BCADEF5" w14:textId="77777777" w:rsidR="00D60186" w:rsidRPr="00225D4D" w:rsidRDefault="00D60186" w:rsidP="00225D4D">
      <w:r w:rsidRPr="00225D4D">
        <w:t xml:space="preserve">Forsvaret bruker i dag den utvida tilgangen til å inngå kontrakt om </w:t>
      </w:r>
      <w:proofErr w:type="spellStart"/>
      <w:r w:rsidRPr="00225D4D">
        <w:t>tenesteplikt</w:t>
      </w:r>
      <w:proofErr w:type="spellEnd"/>
      <w:r w:rsidRPr="00225D4D">
        <w:t xml:space="preserve"> med </w:t>
      </w:r>
      <w:proofErr w:type="spellStart"/>
      <w:r w:rsidRPr="00225D4D">
        <w:t>personar</w:t>
      </w:r>
      <w:proofErr w:type="spellEnd"/>
      <w:r w:rsidRPr="00225D4D">
        <w:t xml:space="preserve"> </w:t>
      </w:r>
      <w:proofErr w:type="spellStart"/>
      <w:r w:rsidRPr="00225D4D">
        <w:t>utan</w:t>
      </w:r>
      <w:proofErr w:type="spellEnd"/>
      <w:r w:rsidRPr="00225D4D">
        <w:t xml:space="preserve"> verneplikt og om utvida </w:t>
      </w:r>
      <w:proofErr w:type="spellStart"/>
      <w:r w:rsidRPr="00225D4D">
        <w:t>tenesteplikt</w:t>
      </w:r>
      <w:proofErr w:type="spellEnd"/>
      <w:r w:rsidRPr="00225D4D">
        <w:t xml:space="preserve"> for vernepliktige </w:t>
      </w:r>
      <w:proofErr w:type="spellStart"/>
      <w:r w:rsidRPr="00225D4D">
        <w:t>innanfor</w:t>
      </w:r>
      <w:proofErr w:type="spellEnd"/>
      <w:r w:rsidRPr="00225D4D">
        <w:t xml:space="preserve"> </w:t>
      </w:r>
      <w:proofErr w:type="spellStart"/>
      <w:r w:rsidRPr="00225D4D">
        <w:t>følgande</w:t>
      </w:r>
      <w:proofErr w:type="spellEnd"/>
      <w:r w:rsidRPr="00225D4D">
        <w:t xml:space="preserve"> område: </w:t>
      </w:r>
    </w:p>
    <w:p w14:paraId="10D84083" w14:textId="77777777" w:rsidR="00D60186" w:rsidRPr="00225D4D" w:rsidRDefault="00D60186" w:rsidP="00225D4D">
      <w:pPr>
        <w:pStyle w:val="Nummerertliste"/>
      </w:pPr>
      <w:r w:rsidRPr="00225D4D">
        <w:t xml:space="preserve">Kontrakt om </w:t>
      </w:r>
      <w:proofErr w:type="spellStart"/>
      <w:r w:rsidRPr="00225D4D">
        <w:t>tenesteplikt</w:t>
      </w:r>
      <w:proofErr w:type="spellEnd"/>
      <w:r w:rsidRPr="00225D4D">
        <w:t xml:space="preserve"> for </w:t>
      </w:r>
      <w:proofErr w:type="spellStart"/>
      <w:r w:rsidRPr="00225D4D">
        <w:t>personar</w:t>
      </w:r>
      <w:proofErr w:type="spellEnd"/>
      <w:r w:rsidRPr="00225D4D">
        <w:t xml:space="preserve"> </w:t>
      </w:r>
      <w:proofErr w:type="spellStart"/>
      <w:r w:rsidRPr="00225D4D">
        <w:t>utan</w:t>
      </w:r>
      <w:proofErr w:type="spellEnd"/>
      <w:r w:rsidRPr="00225D4D">
        <w:t xml:space="preserve"> verneplikt </w:t>
      </w:r>
    </w:p>
    <w:p w14:paraId="532F9D75" w14:textId="3F2F039A" w:rsidR="00D60186" w:rsidRPr="00225D4D" w:rsidRDefault="00D60186" w:rsidP="00225D4D">
      <w:pPr>
        <w:pStyle w:val="Nummerertliste"/>
      </w:pPr>
      <w:r w:rsidRPr="00225D4D">
        <w:t xml:space="preserve">Kontrakt om utvida førstegongsteneste og utvida </w:t>
      </w:r>
      <w:proofErr w:type="spellStart"/>
      <w:r w:rsidRPr="00225D4D">
        <w:t>tenesteplikt</w:t>
      </w:r>
      <w:proofErr w:type="spellEnd"/>
      <w:r w:rsidR="00225D4D">
        <w:t xml:space="preserve"> </w:t>
      </w:r>
    </w:p>
    <w:p w14:paraId="64B8705C" w14:textId="77777777" w:rsidR="00D60186" w:rsidRPr="00225D4D" w:rsidRDefault="00D60186" w:rsidP="00225D4D">
      <w:pPr>
        <w:pStyle w:val="Nummerertliste"/>
      </w:pPr>
      <w:r w:rsidRPr="00225D4D">
        <w:t xml:space="preserve">Kontrakt om utvida </w:t>
      </w:r>
      <w:proofErr w:type="spellStart"/>
      <w:r w:rsidRPr="00225D4D">
        <w:t>tenesteplikt</w:t>
      </w:r>
      <w:proofErr w:type="spellEnd"/>
      <w:r w:rsidRPr="00225D4D">
        <w:t xml:space="preserve"> for vernepliktige og </w:t>
      </w:r>
      <w:proofErr w:type="spellStart"/>
      <w:r w:rsidRPr="00225D4D">
        <w:t>personar</w:t>
      </w:r>
      <w:proofErr w:type="spellEnd"/>
      <w:r w:rsidRPr="00225D4D">
        <w:t xml:space="preserve"> med kontrakt om </w:t>
      </w:r>
      <w:proofErr w:type="spellStart"/>
      <w:r w:rsidRPr="00225D4D">
        <w:t>tenesteplikt</w:t>
      </w:r>
      <w:proofErr w:type="spellEnd"/>
      <w:r w:rsidRPr="00225D4D">
        <w:t xml:space="preserve">. </w:t>
      </w:r>
    </w:p>
    <w:p w14:paraId="12BB77FB" w14:textId="77777777" w:rsidR="00D60186" w:rsidRPr="00225D4D" w:rsidRDefault="00D60186" w:rsidP="00225D4D">
      <w:r w:rsidRPr="00225D4D">
        <w:t xml:space="preserve">I tillegg vil Forsvaret bruka den utvida tilgangen etter forsvarsloven § 25 a til å inngå kontrakt om </w:t>
      </w:r>
      <w:proofErr w:type="spellStart"/>
      <w:r w:rsidRPr="00225D4D">
        <w:t>tenesteplikt</w:t>
      </w:r>
      <w:proofErr w:type="spellEnd"/>
      <w:r w:rsidRPr="00225D4D">
        <w:t xml:space="preserve"> for sivilt tilsette i Forsvaret. Kontrakten skal </w:t>
      </w:r>
      <w:proofErr w:type="spellStart"/>
      <w:r w:rsidRPr="00225D4D">
        <w:t>nyttast</w:t>
      </w:r>
      <w:proofErr w:type="spellEnd"/>
      <w:r w:rsidRPr="00225D4D">
        <w:t xml:space="preserve"> for å </w:t>
      </w:r>
      <w:proofErr w:type="spellStart"/>
      <w:r w:rsidRPr="00225D4D">
        <w:t>klargjera</w:t>
      </w:r>
      <w:proofErr w:type="spellEnd"/>
      <w:r w:rsidRPr="00225D4D">
        <w:t xml:space="preserve"> </w:t>
      </w:r>
      <w:proofErr w:type="spellStart"/>
      <w:r w:rsidRPr="00225D4D">
        <w:t>tenesteplikta</w:t>
      </w:r>
      <w:proofErr w:type="spellEnd"/>
      <w:r w:rsidRPr="00225D4D">
        <w:t xml:space="preserve"> til sivilt tilsette i </w:t>
      </w:r>
      <w:proofErr w:type="spellStart"/>
      <w:r w:rsidRPr="00225D4D">
        <w:t>stillingar</w:t>
      </w:r>
      <w:proofErr w:type="spellEnd"/>
      <w:r w:rsidRPr="00225D4D">
        <w:t xml:space="preserve"> som inngår i Forsvarets styrkestruktur. Kontrakten vil </w:t>
      </w:r>
      <w:proofErr w:type="spellStart"/>
      <w:r w:rsidRPr="00225D4D">
        <w:t>innebera</w:t>
      </w:r>
      <w:proofErr w:type="spellEnd"/>
      <w:r w:rsidRPr="00225D4D">
        <w:t xml:space="preserve"> </w:t>
      </w:r>
      <w:proofErr w:type="spellStart"/>
      <w:r w:rsidRPr="00225D4D">
        <w:t>tenesteplikt</w:t>
      </w:r>
      <w:proofErr w:type="spellEnd"/>
      <w:r w:rsidRPr="00225D4D">
        <w:t xml:space="preserve"> i Forsvaret etter forsvarsloven § 2. </w:t>
      </w:r>
    </w:p>
    <w:p w14:paraId="3CF683A4" w14:textId="77777777" w:rsidR="00D60186" w:rsidRPr="00225D4D" w:rsidRDefault="00D60186" w:rsidP="00225D4D">
      <w:r w:rsidRPr="00225D4D">
        <w:t xml:space="preserve">Det framtidige omfanget av </w:t>
      </w:r>
      <w:proofErr w:type="spellStart"/>
      <w:r w:rsidRPr="00225D4D">
        <w:t>kontraktar</w:t>
      </w:r>
      <w:proofErr w:type="spellEnd"/>
      <w:r w:rsidRPr="00225D4D">
        <w:t xml:space="preserve"> om </w:t>
      </w:r>
      <w:proofErr w:type="spellStart"/>
      <w:r w:rsidRPr="00225D4D">
        <w:t>tenesteplikt</w:t>
      </w:r>
      <w:proofErr w:type="spellEnd"/>
      <w:r w:rsidRPr="00225D4D">
        <w:t xml:space="preserve"> vil </w:t>
      </w:r>
      <w:proofErr w:type="spellStart"/>
      <w:r w:rsidRPr="00225D4D">
        <w:t>avhenga</w:t>
      </w:r>
      <w:proofErr w:type="spellEnd"/>
      <w:r w:rsidRPr="00225D4D">
        <w:t xml:space="preserve"> av videre utvikling av Forsvaret, av styrkestrukturens framtidige storleik og Forsvarets kompetansebehov. </w:t>
      </w:r>
    </w:p>
    <w:p w14:paraId="582511E7" w14:textId="77777777" w:rsidR="00D60186" w:rsidRPr="00225D4D" w:rsidRDefault="00D60186" w:rsidP="00225D4D">
      <w:r w:rsidRPr="00225D4D">
        <w:t xml:space="preserve">Forsvarsdepartementet har på </w:t>
      </w:r>
      <w:proofErr w:type="spellStart"/>
      <w:r w:rsidRPr="00225D4D">
        <w:t>noverande</w:t>
      </w:r>
      <w:proofErr w:type="spellEnd"/>
      <w:r w:rsidRPr="00225D4D">
        <w:t xml:space="preserve"> tidspunkt </w:t>
      </w:r>
      <w:proofErr w:type="spellStart"/>
      <w:r w:rsidRPr="00225D4D">
        <w:t>ikkje</w:t>
      </w:r>
      <w:proofErr w:type="spellEnd"/>
      <w:r w:rsidRPr="00225D4D">
        <w:t xml:space="preserve"> erfaring med kor </w:t>
      </w:r>
      <w:proofErr w:type="spellStart"/>
      <w:r w:rsidRPr="00225D4D">
        <w:t>mykje</w:t>
      </w:r>
      <w:proofErr w:type="spellEnd"/>
      <w:r w:rsidRPr="00225D4D">
        <w:t xml:space="preserve"> omfanget av kontrakt om </w:t>
      </w:r>
      <w:proofErr w:type="spellStart"/>
      <w:r w:rsidRPr="00225D4D">
        <w:t>tenesteplikt</w:t>
      </w:r>
      <w:proofErr w:type="spellEnd"/>
      <w:r w:rsidRPr="00225D4D">
        <w:t xml:space="preserve"> vil </w:t>
      </w:r>
      <w:proofErr w:type="spellStart"/>
      <w:r w:rsidRPr="00225D4D">
        <w:t>auka</w:t>
      </w:r>
      <w:proofErr w:type="spellEnd"/>
      <w:r w:rsidRPr="00225D4D">
        <w:t xml:space="preserve">. Forsvarsdepartementet vil </w:t>
      </w:r>
      <w:proofErr w:type="spellStart"/>
      <w:r w:rsidRPr="00225D4D">
        <w:t>kunna</w:t>
      </w:r>
      <w:proofErr w:type="spellEnd"/>
      <w:r w:rsidRPr="00225D4D">
        <w:t xml:space="preserve"> </w:t>
      </w:r>
      <w:proofErr w:type="spellStart"/>
      <w:r w:rsidRPr="00225D4D">
        <w:t>gjera</w:t>
      </w:r>
      <w:proofErr w:type="spellEnd"/>
      <w:r w:rsidRPr="00225D4D">
        <w:t xml:space="preserve"> greie for </w:t>
      </w:r>
      <w:proofErr w:type="spellStart"/>
      <w:r w:rsidRPr="00225D4D">
        <w:t>erfaringar</w:t>
      </w:r>
      <w:proofErr w:type="spellEnd"/>
      <w:r w:rsidRPr="00225D4D">
        <w:t xml:space="preserve"> og </w:t>
      </w:r>
      <w:proofErr w:type="spellStart"/>
      <w:r w:rsidRPr="00225D4D">
        <w:t>konsekvensar</w:t>
      </w:r>
      <w:proofErr w:type="spellEnd"/>
      <w:r w:rsidRPr="00225D4D">
        <w:t xml:space="preserve"> av </w:t>
      </w:r>
      <w:proofErr w:type="spellStart"/>
      <w:r w:rsidRPr="00225D4D">
        <w:t>endringane</w:t>
      </w:r>
      <w:proofErr w:type="spellEnd"/>
      <w:r w:rsidRPr="00225D4D">
        <w:t xml:space="preserve"> i forsvarsloven når </w:t>
      </w:r>
      <w:proofErr w:type="spellStart"/>
      <w:r w:rsidRPr="00225D4D">
        <w:t>endringane</w:t>
      </w:r>
      <w:proofErr w:type="spellEnd"/>
      <w:r w:rsidRPr="00225D4D">
        <w:t xml:space="preserve"> har verka </w:t>
      </w:r>
      <w:proofErr w:type="spellStart"/>
      <w:r w:rsidRPr="00225D4D">
        <w:t>noko</w:t>
      </w:r>
      <w:proofErr w:type="spellEnd"/>
      <w:r w:rsidRPr="00225D4D">
        <w:t xml:space="preserve"> lengre.</w:t>
      </w:r>
    </w:p>
    <w:p w14:paraId="212CB744" w14:textId="77777777" w:rsidR="00D60186" w:rsidRPr="00225D4D" w:rsidRDefault="00D60186" w:rsidP="00225D4D">
      <w:pPr>
        <w:pStyle w:val="avsnitt-tittel"/>
      </w:pPr>
      <w:r w:rsidRPr="00225D4D">
        <w:t xml:space="preserve">Ivaretaking av </w:t>
      </w:r>
      <w:proofErr w:type="spellStart"/>
      <w:r w:rsidRPr="00225D4D">
        <w:t>dei</w:t>
      </w:r>
      <w:proofErr w:type="spellEnd"/>
      <w:r w:rsidRPr="00225D4D">
        <w:t xml:space="preserve"> nasjonale kulturhistoriske </w:t>
      </w:r>
      <w:proofErr w:type="spellStart"/>
      <w:r w:rsidRPr="00225D4D">
        <w:t>verdiane</w:t>
      </w:r>
      <w:proofErr w:type="spellEnd"/>
      <w:r w:rsidRPr="00225D4D">
        <w:t xml:space="preserve"> på Kjeller</w:t>
      </w:r>
    </w:p>
    <w:p w14:paraId="4B7F7834" w14:textId="77777777" w:rsidR="00D60186" w:rsidRPr="00225D4D" w:rsidRDefault="00D60186" w:rsidP="00225D4D">
      <w:pPr>
        <w:pStyle w:val="avsnitt-undertittel"/>
      </w:pPr>
      <w:r w:rsidRPr="00225D4D">
        <w:t>Vedtak nr. 1099, 2. juni 2021</w:t>
      </w:r>
    </w:p>
    <w:p w14:paraId="74334E2F" w14:textId="77777777" w:rsidR="00D60186" w:rsidRPr="00225D4D" w:rsidRDefault="00D60186" w:rsidP="00225D4D">
      <w:pPr>
        <w:pStyle w:val="blokksit"/>
        <w:rPr>
          <w:rStyle w:val="kursiv"/>
        </w:rPr>
      </w:pPr>
      <w:r w:rsidRPr="00225D4D">
        <w:rPr>
          <w:rStyle w:val="kursiv"/>
        </w:rPr>
        <w:t>«Stortinget ber regjeringen legge frem en sak for Stortinget med en plan for hvordan staten kan bidra til at de nasjonale kulturhistoriske verdiene på Kjeller blir ivaretatt.»</w:t>
      </w:r>
    </w:p>
    <w:p w14:paraId="6F4B6578"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543 S (2020–2021) til Dokument 8:241 S (2020–2021) </w:t>
      </w:r>
      <w:r w:rsidRPr="00225D4D">
        <w:rPr>
          <w:rStyle w:val="kursiv"/>
        </w:rPr>
        <w:t>Representantforslag om en permanent løsning for småflyaktiviteten i Oslo-området og luftfartøyvernsenter på Kjeller</w:t>
      </w:r>
      <w:r w:rsidRPr="00225D4D">
        <w:t>.</w:t>
      </w:r>
    </w:p>
    <w:p w14:paraId="3A80AB4C" w14:textId="77777777" w:rsidR="00D60186" w:rsidRPr="00225D4D" w:rsidRDefault="00D60186" w:rsidP="00225D4D">
      <w:r w:rsidRPr="00225D4D">
        <w:t xml:space="preserve">Stortinget vedtok ved </w:t>
      </w:r>
      <w:proofErr w:type="spellStart"/>
      <w:r w:rsidRPr="00225D4D">
        <w:t>Innst</w:t>
      </w:r>
      <w:proofErr w:type="spellEnd"/>
      <w:r w:rsidRPr="00225D4D">
        <w:t xml:space="preserve">. 62 S (2016–2017) til </w:t>
      </w:r>
      <w:proofErr w:type="spellStart"/>
      <w:r w:rsidRPr="00225D4D">
        <w:t>Prop</w:t>
      </w:r>
      <w:proofErr w:type="spellEnd"/>
      <w:r w:rsidRPr="00225D4D">
        <w:t xml:space="preserve">. 151 S (2015–2016) Kampkraft og </w:t>
      </w:r>
      <w:proofErr w:type="spellStart"/>
      <w:r w:rsidRPr="00225D4D">
        <w:t>berekraft</w:t>
      </w:r>
      <w:proofErr w:type="spellEnd"/>
      <w:r w:rsidRPr="00225D4D">
        <w:t xml:space="preserve">. Langtidsplan for forsvarssektoren å legga ned Forsvarets leir på Kjeller. Leiren </w:t>
      </w:r>
      <w:proofErr w:type="spellStart"/>
      <w:r w:rsidRPr="00225D4D">
        <w:t>inneheld</w:t>
      </w:r>
      <w:proofErr w:type="spellEnd"/>
      <w:r w:rsidRPr="00225D4D">
        <w:t xml:space="preserve"> nasjonale kulturhistoriske </w:t>
      </w:r>
      <w:proofErr w:type="spellStart"/>
      <w:r w:rsidRPr="00225D4D">
        <w:t>verdiar</w:t>
      </w:r>
      <w:proofErr w:type="spellEnd"/>
      <w:r w:rsidRPr="00225D4D">
        <w:t xml:space="preserve"> som må </w:t>
      </w:r>
      <w:proofErr w:type="spellStart"/>
      <w:r w:rsidRPr="00225D4D">
        <w:t>handterast</w:t>
      </w:r>
      <w:proofErr w:type="spellEnd"/>
      <w:r w:rsidRPr="00225D4D">
        <w:t xml:space="preserve"> i samband med avhendinga. For å legga til rette for at </w:t>
      </w:r>
      <w:proofErr w:type="spellStart"/>
      <w:r w:rsidRPr="00225D4D">
        <w:t>dei</w:t>
      </w:r>
      <w:proofErr w:type="spellEnd"/>
      <w:r w:rsidRPr="00225D4D">
        <w:t xml:space="preserve"> kulturhistoriske </w:t>
      </w:r>
      <w:proofErr w:type="spellStart"/>
      <w:r w:rsidRPr="00225D4D">
        <w:t>verdiane</w:t>
      </w:r>
      <w:proofErr w:type="spellEnd"/>
      <w:r w:rsidRPr="00225D4D">
        <w:t xml:space="preserve"> vert </w:t>
      </w:r>
      <w:proofErr w:type="spellStart"/>
      <w:r w:rsidRPr="00225D4D">
        <w:t>tekne</w:t>
      </w:r>
      <w:proofErr w:type="spellEnd"/>
      <w:r w:rsidRPr="00225D4D">
        <w:t xml:space="preserve"> vare på, er Riksantikvaren involvert i planprosessen til Lillestrøm kommune. Forsvarsdepartementet vil </w:t>
      </w:r>
      <w:proofErr w:type="spellStart"/>
      <w:r w:rsidRPr="00225D4D">
        <w:t>koordinera</w:t>
      </w:r>
      <w:proofErr w:type="spellEnd"/>
      <w:r w:rsidRPr="00225D4D">
        <w:t xml:space="preserve"> arbeidet med utflytting og avhending av basen opp mot dette. Framdrifta i planprosessen til Lillestrøm kommune tyder på at planen som skal danna grunnlag for etterbruk av Kjeller, </w:t>
      </w:r>
      <w:proofErr w:type="spellStart"/>
      <w:r w:rsidRPr="00225D4D">
        <w:t>ikkje</w:t>
      </w:r>
      <w:proofErr w:type="spellEnd"/>
      <w:r w:rsidRPr="00225D4D">
        <w:t xml:space="preserve"> vert ferdig behandla før om lag 2029–2030. Regjeringa vil koma tilbake til Stortinget med oppfølging av vedtaket i samband med informasjon om avhendinga av leiren, når denne prosessen er avslutta.</w:t>
      </w:r>
    </w:p>
    <w:p w14:paraId="75386271" w14:textId="77777777" w:rsidR="00D60186" w:rsidRPr="00225D4D" w:rsidRDefault="00D60186" w:rsidP="00225D4D">
      <w:pPr>
        <w:pStyle w:val="Overskrift2"/>
      </w:pPr>
      <w:r w:rsidRPr="00225D4D">
        <w:t>Stortingssesjon 2019–2020</w:t>
      </w:r>
    </w:p>
    <w:p w14:paraId="0F256F1B" w14:textId="77777777" w:rsidR="00D60186" w:rsidRPr="00225D4D" w:rsidRDefault="00D60186" w:rsidP="00225D4D">
      <w:pPr>
        <w:pStyle w:val="avsnitt-tittel"/>
      </w:pPr>
      <w:r w:rsidRPr="00225D4D">
        <w:t xml:space="preserve">Evaluering av ny </w:t>
      </w:r>
      <w:proofErr w:type="spellStart"/>
      <w:r w:rsidRPr="00225D4D">
        <w:t>etterretningstenestelov</w:t>
      </w:r>
      <w:proofErr w:type="spellEnd"/>
    </w:p>
    <w:p w14:paraId="2A242192" w14:textId="77777777" w:rsidR="00D60186" w:rsidRPr="00225D4D" w:rsidRDefault="00D60186" w:rsidP="00225D4D">
      <w:pPr>
        <w:pStyle w:val="avsnitt-undertittel"/>
      </w:pPr>
      <w:r w:rsidRPr="00225D4D">
        <w:t>Vedtak nr. 676, 11. juni 2020</w:t>
      </w:r>
    </w:p>
    <w:p w14:paraId="4728B1CF" w14:textId="77777777" w:rsidR="00D60186" w:rsidRPr="00225D4D" w:rsidRDefault="00D60186" w:rsidP="00225D4D">
      <w:pPr>
        <w:pStyle w:val="blokksit"/>
      </w:pPr>
      <w:r w:rsidRPr="00225D4D">
        <w:rPr>
          <w:rStyle w:val="kursiv"/>
        </w:rPr>
        <w:t>«Stortinget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bestemmelser, inkludert ressurssituasjonen, kompetanse og virkemidler hos EOS-</w:t>
      </w:r>
      <w:proofErr w:type="spellStart"/>
      <w:r w:rsidRPr="00225D4D">
        <w:rPr>
          <w:rStyle w:val="kursiv"/>
        </w:rPr>
        <w:t>utvalet</w:t>
      </w:r>
      <w:proofErr w:type="spellEnd"/>
      <w:r w:rsidRPr="00225D4D">
        <w:rPr>
          <w:rStyle w:val="kursiv"/>
        </w:rPr>
        <w:t xml:space="preserve"> og domstolene.»</w:t>
      </w:r>
    </w:p>
    <w:p w14:paraId="7F3A2EE2"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357 L (2019–2020) til </w:t>
      </w:r>
      <w:proofErr w:type="spellStart"/>
      <w:r w:rsidRPr="00225D4D">
        <w:t>Prop</w:t>
      </w:r>
      <w:proofErr w:type="spellEnd"/>
      <w:r w:rsidRPr="00225D4D">
        <w:t xml:space="preserve">. 80 L (2019–2020) </w:t>
      </w:r>
      <w:r w:rsidRPr="00225D4D">
        <w:rPr>
          <w:rStyle w:val="kursiv"/>
        </w:rPr>
        <w:t>Lov om Etterretningstjenesten (etterretningstjenesteloven)</w:t>
      </w:r>
      <w:r w:rsidRPr="00225D4D">
        <w:t xml:space="preserve"> og Lovvedtak 134 (2019–2020).</w:t>
      </w:r>
    </w:p>
    <w:p w14:paraId="76258863" w14:textId="77777777" w:rsidR="00D60186" w:rsidRPr="00225D4D" w:rsidRDefault="00D60186" w:rsidP="00225D4D">
      <w:r w:rsidRPr="00225D4D">
        <w:t xml:space="preserve">Vedtaket vert </w:t>
      </w:r>
      <w:proofErr w:type="spellStart"/>
      <w:r w:rsidRPr="00225D4D">
        <w:t>følgt</w:t>
      </w:r>
      <w:proofErr w:type="spellEnd"/>
      <w:r w:rsidRPr="00225D4D">
        <w:t xml:space="preserve"> opp av Forsvarsdepartementet. Ei uavhengig evaluering av </w:t>
      </w:r>
      <w:proofErr w:type="spellStart"/>
      <w:r w:rsidRPr="00225D4D">
        <w:t>etterretningstenestelova</w:t>
      </w:r>
      <w:proofErr w:type="spellEnd"/>
      <w:r w:rsidRPr="00225D4D">
        <w:t xml:space="preserve"> si virke i tråd med </w:t>
      </w:r>
      <w:proofErr w:type="spellStart"/>
      <w:r w:rsidRPr="00225D4D">
        <w:t>oppmodningsvedtaket</w:t>
      </w:r>
      <w:proofErr w:type="spellEnd"/>
      <w:r w:rsidRPr="00225D4D">
        <w:t xml:space="preserve"> starta opp i 2025. Evalueringa vil </w:t>
      </w:r>
      <w:proofErr w:type="spellStart"/>
      <w:r w:rsidRPr="00225D4D">
        <w:t>liggja</w:t>
      </w:r>
      <w:proofErr w:type="spellEnd"/>
      <w:r w:rsidRPr="00225D4D">
        <w:t xml:space="preserve"> føre </w:t>
      </w:r>
      <w:proofErr w:type="spellStart"/>
      <w:r w:rsidRPr="00225D4D">
        <w:t>seinast</w:t>
      </w:r>
      <w:proofErr w:type="spellEnd"/>
      <w:r w:rsidRPr="00225D4D">
        <w:t xml:space="preserve"> 2. september 2026.</w:t>
      </w:r>
    </w:p>
    <w:p w14:paraId="18EE3A93" w14:textId="77777777" w:rsidR="00D60186" w:rsidRPr="00225D4D" w:rsidRDefault="00D60186" w:rsidP="00225D4D">
      <w:pPr>
        <w:pStyle w:val="Overskrift2"/>
      </w:pPr>
      <w:r w:rsidRPr="00225D4D">
        <w:t>Stortingssesjon 2016–2017</w:t>
      </w:r>
    </w:p>
    <w:p w14:paraId="0649CF94" w14:textId="77777777" w:rsidR="00D60186" w:rsidRPr="00225D4D" w:rsidRDefault="00D60186" w:rsidP="00225D4D">
      <w:pPr>
        <w:pStyle w:val="avsnitt-tittel"/>
      </w:pPr>
      <w:r w:rsidRPr="00225D4D">
        <w:t xml:space="preserve">Lovheimel for å ivareta rettene for </w:t>
      </w:r>
      <w:proofErr w:type="spellStart"/>
      <w:r w:rsidRPr="00225D4D">
        <w:t>fangar</w:t>
      </w:r>
      <w:proofErr w:type="spellEnd"/>
    </w:p>
    <w:p w14:paraId="58AD20C1" w14:textId="77777777" w:rsidR="00D60186" w:rsidRPr="00225D4D" w:rsidRDefault="00D60186" w:rsidP="00225D4D">
      <w:pPr>
        <w:pStyle w:val="avsnitt-undertittel"/>
      </w:pPr>
      <w:r w:rsidRPr="00225D4D">
        <w:t>Vedtak nr. 576, 18. april 2017:</w:t>
      </w:r>
    </w:p>
    <w:p w14:paraId="04CE6A9A" w14:textId="77777777" w:rsidR="00D60186" w:rsidRPr="00225D4D" w:rsidRDefault="00D60186" w:rsidP="00225D4D">
      <w:pPr>
        <w:pStyle w:val="blokksit"/>
        <w:rPr>
          <w:rStyle w:val="kursiv"/>
        </w:rPr>
      </w:pPr>
      <w:r w:rsidRPr="00225D4D">
        <w:rPr>
          <w:rStyle w:val="kursiv"/>
        </w:rPr>
        <w:t>«Stortinget ber regjeringen utrede en egen lovhjemmel for å sikre at fanger som holdes av norske styrker i forbindelse med væpnet konflikt får ivaretatt sine rettigheter, samt hvordan rettighetene til personer som holdes fanget av norske soldater kan ivaretas i våre internasjonale operasjoner.»</w:t>
      </w:r>
    </w:p>
    <w:p w14:paraId="7DDC4B4A" w14:textId="77777777" w:rsidR="00D60186" w:rsidRPr="00225D4D" w:rsidRDefault="00D60186" w:rsidP="00225D4D">
      <w:r w:rsidRPr="00225D4D">
        <w:t xml:space="preserve">Vedtaket </w:t>
      </w:r>
      <w:proofErr w:type="spellStart"/>
      <w:r w:rsidRPr="00225D4D">
        <w:t>vart</w:t>
      </w:r>
      <w:proofErr w:type="spellEnd"/>
      <w:r w:rsidRPr="00225D4D">
        <w:t xml:space="preserve"> gjort i samband med </w:t>
      </w:r>
      <w:proofErr w:type="spellStart"/>
      <w:r w:rsidRPr="00225D4D">
        <w:t>behandlinga</w:t>
      </w:r>
      <w:proofErr w:type="spellEnd"/>
      <w:r w:rsidRPr="00225D4D">
        <w:t xml:space="preserve"> av </w:t>
      </w:r>
      <w:proofErr w:type="spellStart"/>
      <w:r w:rsidRPr="00225D4D">
        <w:t>Innst</w:t>
      </w:r>
      <w:proofErr w:type="spellEnd"/>
      <w:r w:rsidRPr="00225D4D">
        <w:t xml:space="preserve">. 248 S (2016–2017) om </w:t>
      </w:r>
      <w:r w:rsidRPr="00225D4D">
        <w:rPr>
          <w:rStyle w:val="kursiv"/>
        </w:rPr>
        <w:t>Redegjørelse av utenriksministeren og forsvarsministeren om Afghanistan, inkludert rapporten fra det regjeringsoppnevnte utvalget som har evaluert og trukket lærdommer av Norges sivile og militære innsats i Afghanistan for perioden 2001–2014</w:t>
      </w:r>
      <w:r w:rsidRPr="00225D4D">
        <w:t xml:space="preserve">. </w:t>
      </w:r>
    </w:p>
    <w:p w14:paraId="074162AD" w14:textId="77777777" w:rsidR="00D60186" w:rsidRPr="00225D4D" w:rsidRDefault="00D60186" w:rsidP="00225D4D">
      <w:r w:rsidRPr="00225D4D">
        <w:t xml:space="preserve">Forslaget </w:t>
      </w:r>
      <w:proofErr w:type="spellStart"/>
      <w:r w:rsidRPr="00225D4D">
        <w:t>vart</w:t>
      </w:r>
      <w:proofErr w:type="spellEnd"/>
      <w:r w:rsidRPr="00225D4D">
        <w:t xml:space="preserve"> fremma av Miljøpartiet De Grønne etter at innstillinga var fremma for Stortinget.</w:t>
      </w:r>
    </w:p>
    <w:p w14:paraId="72734602" w14:textId="77777777" w:rsidR="00D60186" w:rsidRPr="00225D4D" w:rsidRDefault="00D60186" w:rsidP="00225D4D">
      <w:r w:rsidRPr="00225D4D">
        <w:t xml:space="preserve">Forsvarsdepartementet har greia ut problemstillinga i dialog med Justis- og beredskapsdepartementet og </w:t>
      </w:r>
      <w:proofErr w:type="spellStart"/>
      <w:r w:rsidRPr="00225D4D">
        <w:t>Utanriksdepartementet</w:t>
      </w:r>
      <w:proofErr w:type="spellEnd"/>
      <w:r w:rsidRPr="00225D4D">
        <w:t xml:space="preserve">. Vedtaket reiser komplekse og prinsipielle spørsmål. Forsvarsdepartementet kjem tilbake til Stortinget om behovet for </w:t>
      </w:r>
      <w:proofErr w:type="spellStart"/>
      <w:r w:rsidRPr="00225D4D">
        <w:t>ein</w:t>
      </w:r>
      <w:proofErr w:type="spellEnd"/>
      <w:r w:rsidRPr="00225D4D">
        <w:t xml:space="preserve"> slik heimel </w:t>
      </w:r>
      <w:proofErr w:type="spellStart"/>
      <w:r w:rsidRPr="00225D4D">
        <w:t>innan</w:t>
      </w:r>
      <w:proofErr w:type="spellEnd"/>
      <w:r w:rsidRPr="00225D4D">
        <w:t xml:space="preserve"> utløpet av 2025.</w:t>
      </w:r>
    </w:p>
    <w:p w14:paraId="1A322623" w14:textId="77777777" w:rsidR="00D60186" w:rsidRPr="00225D4D" w:rsidRDefault="00D60186" w:rsidP="00225D4D">
      <w:pPr>
        <w:pStyle w:val="Overskrift1"/>
      </w:pPr>
      <w:r w:rsidRPr="00225D4D">
        <w:t>Helse- og omsorgsdepartementet</w:t>
      </w:r>
    </w:p>
    <w:p w14:paraId="10EDD699" w14:textId="77777777" w:rsidR="00D60186" w:rsidRPr="00225D4D" w:rsidRDefault="00D60186" w:rsidP="00225D4D">
      <w:r w:rsidRPr="00225D4D">
        <w:t xml:space="preserve">Nedenfor gis en oversikt over oppfølging av anmodnings- og utredningsvedtak under Helse- og omsorgsdepartementet. Oversikten inkluderer alle vedtak fra stortingssesjonen 2024–2025, samt de vedtakene fra tidligere stortingssesjoner som kontroll- og konstitusjonskomiteen i </w:t>
      </w:r>
      <w:proofErr w:type="spellStart"/>
      <w:r w:rsidRPr="00225D4D">
        <w:t>Innst</w:t>
      </w:r>
      <w:proofErr w:type="spellEnd"/>
      <w:r w:rsidRPr="00225D4D">
        <w:t>. 216 S (2024–2025) mente ikke var kvittert ut. I tabellen nedenfor angis det også hvorvidt departementet planlegger at rapporteringen knyttet til anmodningsvedtaket nå avsluttes eller om departementet vil rapportere konkret på vedtaket også i neste års budsjettproposisjon.</w:t>
      </w:r>
    </w:p>
    <w:p w14:paraId="7766C9A2" w14:textId="3D5251F9" w:rsidR="00330F87" w:rsidRPr="00225D4D" w:rsidRDefault="00330F87" w:rsidP="00225D4D">
      <w:pPr>
        <w:pStyle w:val="tabell-tittel"/>
      </w:pPr>
      <w:r w:rsidRPr="00225D4D">
        <w:t>Oversikt over anmodnings- og utredningsvedtak, ordnet etter sesjon og nummer</w:t>
      </w:r>
    </w:p>
    <w:p w14:paraId="0F4E62CF" w14:textId="77777777" w:rsidR="00D60186" w:rsidRPr="00225D4D" w:rsidRDefault="00D60186" w:rsidP="00225D4D">
      <w:pPr>
        <w:pStyle w:val="Tabellnavn"/>
      </w:pPr>
      <w:r w:rsidRPr="00225D4D">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40"/>
        <w:gridCol w:w="1120"/>
        <w:gridCol w:w="5220"/>
        <w:gridCol w:w="2120"/>
      </w:tblGrid>
      <w:tr w:rsidR="00E76DC8" w:rsidRPr="00225D4D" w14:paraId="68DC0132" w14:textId="77777777">
        <w:trPr>
          <w:trHeight w:val="600"/>
        </w:trPr>
        <w:tc>
          <w:tcPr>
            <w:tcW w:w="11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3D7909" w14:textId="77777777" w:rsidR="00D60186" w:rsidRPr="00D4351A" w:rsidRDefault="00D60186" w:rsidP="00225D4D">
            <w:pPr>
              <w:rPr>
                <w:sz w:val="21"/>
                <w:szCs w:val="21"/>
              </w:rPr>
            </w:pPr>
            <w:r w:rsidRPr="00D4351A">
              <w:rPr>
                <w:sz w:val="21"/>
                <w:szCs w:val="21"/>
              </w:rPr>
              <w:t xml:space="preserve">Sesjon </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59038B" w14:textId="77777777" w:rsidR="00D60186" w:rsidRPr="00D4351A" w:rsidRDefault="00D60186" w:rsidP="00D4351A">
            <w:pPr>
              <w:ind w:right="113"/>
              <w:jc w:val="right"/>
              <w:rPr>
                <w:sz w:val="21"/>
                <w:szCs w:val="21"/>
              </w:rPr>
            </w:pPr>
            <w:r w:rsidRPr="00D4351A">
              <w:rPr>
                <w:sz w:val="21"/>
                <w:szCs w:val="21"/>
              </w:rPr>
              <w:t>Vedtak nr.</w:t>
            </w:r>
          </w:p>
        </w:tc>
        <w:tc>
          <w:tcPr>
            <w:tcW w:w="5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E9CAF5" w14:textId="77777777" w:rsidR="00D60186" w:rsidRPr="00D4351A" w:rsidRDefault="00D60186" w:rsidP="00225D4D">
            <w:pPr>
              <w:rPr>
                <w:sz w:val="21"/>
                <w:szCs w:val="21"/>
              </w:rPr>
            </w:pPr>
            <w:r w:rsidRPr="00D4351A">
              <w:rPr>
                <w:sz w:val="21"/>
                <w:szCs w:val="21"/>
              </w:rPr>
              <w:t>Stikkord</w:t>
            </w:r>
          </w:p>
        </w:tc>
        <w:tc>
          <w:tcPr>
            <w:tcW w:w="2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1BDC38" w14:textId="77777777" w:rsidR="00D60186" w:rsidRPr="00D4351A" w:rsidRDefault="00D60186" w:rsidP="00D4351A">
            <w:pPr>
              <w:jc w:val="right"/>
              <w:rPr>
                <w:sz w:val="21"/>
                <w:szCs w:val="21"/>
              </w:rPr>
            </w:pPr>
            <w:r w:rsidRPr="00D4351A">
              <w:rPr>
                <w:sz w:val="21"/>
                <w:szCs w:val="21"/>
              </w:rPr>
              <w:t>Rapportering avsluttes (Ja/Nei)</w:t>
            </w:r>
          </w:p>
        </w:tc>
      </w:tr>
      <w:tr w:rsidR="00E76DC8" w:rsidRPr="00225D4D" w14:paraId="089D7091" w14:textId="77777777" w:rsidTr="00814879">
        <w:trPr>
          <w:trHeight w:val="20"/>
        </w:trPr>
        <w:tc>
          <w:tcPr>
            <w:tcW w:w="1140" w:type="dxa"/>
            <w:tcBorders>
              <w:top w:val="single" w:sz="4" w:space="0" w:color="000000"/>
              <w:left w:val="nil"/>
              <w:bottom w:val="nil"/>
              <w:right w:val="nil"/>
            </w:tcBorders>
            <w:tcMar>
              <w:top w:w="128" w:type="dxa"/>
              <w:left w:w="43" w:type="dxa"/>
              <w:bottom w:w="43" w:type="dxa"/>
              <w:right w:w="43" w:type="dxa"/>
            </w:tcMar>
          </w:tcPr>
          <w:p w14:paraId="5B26C57C" w14:textId="77777777" w:rsidR="00D60186" w:rsidRPr="00D4351A" w:rsidRDefault="00D60186" w:rsidP="00225D4D">
            <w:pPr>
              <w:rPr>
                <w:sz w:val="21"/>
                <w:szCs w:val="21"/>
              </w:rPr>
            </w:pPr>
            <w:r w:rsidRPr="00D4351A">
              <w:rPr>
                <w:sz w:val="21"/>
                <w:szCs w:val="21"/>
              </w:rPr>
              <w:t>2024–2025</w:t>
            </w:r>
          </w:p>
        </w:tc>
        <w:tc>
          <w:tcPr>
            <w:tcW w:w="1120" w:type="dxa"/>
            <w:tcBorders>
              <w:top w:val="single" w:sz="4" w:space="0" w:color="000000"/>
              <w:left w:val="nil"/>
              <w:bottom w:val="nil"/>
              <w:right w:val="nil"/>
            </w:tcBorders>
            <w:tcMar>
              <w:top w:w="128" w:type="dxa"/>
              <w:left w:w="43" w:type="dxa"/>
              <w:bottom w:w="43" w:type="dxa"/>
              <w:right w:w="43" w:type="dxa"/>
            </w:tcMar>
          </w:tcPr>
          <w:p w14:paraId="79731C95" w14:textId="77777777" w:rsidR="00D60186" w:rsidRPr="00D4351A" w:rsidRDefault="00D60186" w:rsidP="00D4351A">
            <w:pPr>
              <w:ind w:right="113"/>
              <w:jc w:val="right"/>
              <w:rPr>
                <w:sz w:val="21"/>
                <w:szCs w:val="21"/>
              </w:rPr>
            </w:pPr>
            <w:r w:rsidRPr="00D4351A">
              <w:rPr>
                <w:sz w:val="21"/>
                <w:szCs w:val="21"/>
              </w:rPr>
              <w:t>46</w:t>
            </w:r>
          </w:p>
        </w:tc>
        <w:tc>
          <w:tcPr>
            <w:tcW w:w="5220" w:type="dxa"/>
            <w:tcBorders>
              <w:top w:val="single" w:sz="4" w:space="0" w:color="000000"/>
              <w:left w:val="nil"/>
              <w:bottom w:val="nil"/>
              <w:right w:val="nil"/>
            </w:tcBorders>
            <w:tcMar>
              <w:top w:w="128" w:type="dxa"/>
              <w:left w:w="43" w:type="dxa"/>
              <w:bottom w:w="43" w:type="dxa"/>
              <w:right w:w="43" w:type="dxa"/>
            </w:tcMar>
          </w:tcPr>
          <w:p w14:paraId="501C679B" w14:textId="77777777" w:rsidR="00D60186" w:rsidRPr="00D4351A" w:rsidRDefault="00D60186" w:rsidP="00225D4D">
            <w:pPr>
              <w:rPr>
                <w:sz w:val="21"/>
                <w:szCs w:val="21"/>
              </w:rPr>
            </w:pPr>
            <w:r w:rsidRPr="00D4351A">
              <w:rPr>
                <w:sz w:val="21"/>
                <w:szCs w:val="21"/>
              </w:rPr>
              <w:t>Psykiske helsetilbud i Longyearbyen</w:t>
            </w:r>
          </w:p>
        </w:tc>
        <w:tc>
          <w:tcPr>
            <w:tcW w:w="2120" w:type="dxa"/>
            <w:tcBorders>
              <w:top w:val="single" w:sz="4" w:space="0" w:color="000000"/>
              <w:left w:val="nil"/>
              <w:bottom w:val="nil"/>
              <w:right w:val="nil"/>
            </w:tcBorders>
            <w:tcMar>
              <w:top w:w="128" w:type="dxa"/>
              <w:left w:w="43" w:type="dxa"/>
              <w:bottom w:w="43" w:type="dxa"/>
              <w:right w:w="43" w:type="dxa"/>
            </w:tcMar>
            <w:vAlign w:val="bottom"/>
          </w:tcPr>
          <w:p w14:paraId="6CBF794D" w14:textId="77777777" w:rsidR="00D60186" w:rsidRPr="00D4351A" w:rsidRDefault="00D60186" w:rsidP="00D4351A">
            <w:pPr>
              <w:jc w:val="right"/>
              <w:rPr>
                <w:sz w:val="21"/>
                <w:szCs w:val="21"/>
              </w:rPr>
            </w:pPr>
            <w:r w:rsidRPr="00D4351A">
              <w:rPr>
                <w:sz w:val="21"/>
                <w:szCs w:val="21"/>
              </w:rPr>
              <w:t>Ja</w:t>
            </w:r>
          </w:p>
        </w:tc>
      </w:tr>
      <w:tr w:rsidR="00E76DC8" w:rsidRPr="00225D4D" w14:paraId="3840C6E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AF42C3E"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451F787" w14:textId="77777777" w:rsidR="00D60186" w:rsidRPr="00D4351A" w:rsidRDefault="00D60186" w:rsidP="00D4351A">
            <w:pPr>
              <w:ind w:right="113"/>
              <w:jc w:val="right"/>
              <w:rPr>
                <w:sz w:val="21"/>
                <w:szCs w:val="21"/>
              </w:rPr>
            </w:pPr>
            <w:r w:rsidRPr="00D4351A">
              <w:rPr>
                <w:sz w:val="21"/>
                <w:szCs w:val="21"/>
              </w:rPr>
              <w:t>70</w:t>
            </w:r>
          </w:p>
        </w:tc>
        <w:tc>
          <w:tcPr>
            <w:tcW w:w="5220" w:type="dxa"/>
            <w:tcBorders>
              <w:top w:val="nil"/>
              <w:left w:val="nil"/>
              <w:bottom w:val="nil"/>
              <w:right w:val="nil"/>
            </w:tcBorders>
            <w:tcMar>
              <w:top w:w="128" w:type="dxa"/>
              <w:left w:w="43" w:type="dxa"/>
              <w:bottom w:w="43" w:type="dxa"/>
              <w:right w:w="43" w:type="dxa"/>
            </w:tcMar>
          </w:tcPr>
          <w:p w14:paraId="7791C7F0" w14:textId="77777777" w:rsidR="00D60186" w:rsidRPr="00D4351A" w:rsidRDefault="00D60186" w:rsidP="00225D4D">
            <w:pPr>
              <w:rPr>
                <w:sz w:val="21"/>
                <w:szCs w:val="21"/>
              </w:rPr>
            </w:pPr>
            <w:r w:rsidRPr="00D4351A">
              <w:rPr>
                <w:sz w:val="21"/>
                <w:szCs w:val="21"/>
              </w:rPr>
              <w:t>Rett til veiledning og oppfølgingssamtaler knyttet til abort</w:t>
            </w:r>
          </w:p>
        </w:tc>
        <w:tc>
          <w:tcPr>
            <w:tcW w:w="2120" w:type="dxa"/>
            <w:tcBorders>
              <w:top w:val="nil"/>
              <w:left w:val="nil"/>
              <w:bottom w:val="nil"/>
              <w:right w:val="nil"/>
            </w:tcBorders>
            <w:tcMar>
              <w:top w:w="128" w:type="dxa"/>
              <w:left w:w="43" w:type="dxa"/>
              <w:bottom w:w="43" w:type="dxa"/>
              <w:right w:w="43" w:type="dxa"/>
            </w:tcMar>
            <w:vAlign w:val="bottom"/>
          </w:tcPr>
          <w:p w14:paraId="2EB0307C" w14:textId="77777777" w:rsidR="00D60186" w:rsidRPr="00D4351A" w:rsidRDefault="00D60186" w:rsidP="00D4351A">
            <w:pPr>
              <w:jc w:val="right"/>
              <w:rPr>
                <w:sz w:val="21"/>
                <w:szCs w:val="21"/>
              </w:rPr>
            </w:pPr>
            <w:r w:rsidRPr="00D4351A">
              <w:rPr>
                <w:sz w:val="21"/>
                <w:szCs w:val="21"/>
              </w:rPr>
              <w:t>Nei</w:t>
            </w:r>
          </w:p>
        </w:tc>
      </w:tr>
      <w:tr w:rsidR="00E76DC8" w:rsidRPr="00225D4D" w14:paraId="368F5F1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81BA586"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7A9C718" w14:textId="77777777" w:rsidR="00D60186" w:rsidRPr="00D4351A" w:rsidRDefault="00D60186" w:rsidP="00D4351A">
            <w:pPr>
              <w:ind w:right="113"/>
              <w:jc w:val="right"/>
              <w:rPr>
                <w:sz w:val="21"/>
                <w:szCs w:val="21"/>
              </w:rPr>
            </w:pPr>
            <w:r w:rsidRPr="00D4351A">
              <w:rPr>
                <w:sz w:val="21"/>
                <w:szCs w:val="21"/>
              </w:rPr>
              <w:t>71</w:t>
            </w:r>
          </w:p>
        </w:tc>
        <w:tc>
          <w:tcPr>
            <w:tcW w:w="5220" w:type="dxa"/>
            <w:tcBorders>
              <w:top w:val="nil"/>
              <w:left w:val="nil"/>
              <w:bottom w:val="nil"/>
              <w:right w:val="nil"/>
            </w:tcBorders>
            <w:tcMar>
              <w:top w:w="128" w:type="dxa"/>
              <w:left w:w="43" w:type="dxa"/>
              <w:bottom w:w="43" w:type="dxa"/>
              <w:right w:w="43" w:type="dxa"/>
            </w:tcMar>
          </w:tcPr>
          <w:p w14:paraId="5747AD26" w14:textId="77777777" w:rsidR="00D60186" w:rsidRPr="00D4351A" w:rsidRDefault="00D60186" w:rsidP="00225D4D">
            <w:pPr>
              <w:rPr>
                <w:sz w:val="21"/>
                <w:szCs w:val="21"/>
              </w:rPr>
            </w:pPr>
            <w:r w:rsidRPr="00D4351A">
              <w:rPr>
                <w:sz w:val="21"/>
                <w:szCs w:val="21"/>
              </w:rPr>
              <w:t>Oppfølging etter avslag på abortsøknad</w:t>
            </w:r>
          </w:p>
        </w:tc>
        <w:tc>
          <w:tcPr>
            <w:tcW w:w="2120" w:type="dxa"/>
            <w:tcBorders>
              <w:top w:val="nil"/>
              <w:left w:val="nil"/>
              <w:bottom w:val="nil"/>
              <w:right w:val="nil"/>
            </w:tcBorders>
            <w:tcMar>
              <w:top w:w="128" w:type="dxa"/>
              <w:left w:w="43" w:type="dxa"/>
              <w:bottom w:w="43" w:type="dxa"/>
              <w:right w:w="43" w:type="dxa"/>
            </w:tcMar>
            <w:vAlign w:val="bottom"/>
          </w:tcPr>
          <w:p w14:paraId="73CA64F1" w14:textId="77777777" w:rsidR="00D60186" w:rsidRPr="00D4351A" w:rsidRDefault="00D60186" w:rsidP="00D4351A">
            <w:pPr>
              <w:jc w:val="right"/>
              <w:rPr>
                <w:sz w:val="21"/>
                <w:szCs w:val="21"/>
              </w:rPr>
            </w:pPr>
            <w:r w:rsidRPr="00D4351A">
              <w:rPr>
                <w:sz w:val="21"/>
                <w:szCs w:val="21"/>
              </w:rPr>
              <w:t>Ja</w:t>
            </w:r>
          </w:p>
        </w:tc>
      </w:tr>
      <w:tr w:rsidR="00E76DC8" w:rsidRPr="00225D4D" w14:paraId="2BAD7BA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5400B23"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4F81B5F" w14:textId="77777777" w:rsidR="00D60186" w:rsidRPr="00D4351A" w:rsidRDefault="00D60186" w:rsidP="00D4351A">
            <w:pPr>
              <w:ind w:right="113"/>
              <w:jc w:val="right"/>
              <w:rPr>
                <w:sz w:val="21"/>
                <w:szCs w:val="21"/>
              </w:rPr>
            </w:pPr>
            <w:r w:rsidRPr="00D4351A">
              <w:rPr>
                <w:sz w:val="21"/>
                <w:szCs w:val="21"/>
              </w:rPr>
              <w:t>72</w:t>
            </w:r>
          </w:p>
        </w:tc>
        <w:tc>
          <w:tcPr>
            <w:tcW w:w="5220" w:type="dxa"/>
            <w:tcBorders>
              <w:top w:val="nil"/>
              <w:left w:val="nil"/>
              <w:bottom w:val="nil"/>
              <w:right w:val="nil"/>
            </w:tcBorders>
            <w:tcMar>
              <w:top w:w="128" w:type="dxa"/>
              <w:left w:w="43" w:type="dxa"/>
              <w:bottom w:w="43" w:type="dxa"/>
              <w:right w:w="43" w:type="dxa"/>
            </w:tcMar>
          </w:tcPr>
          <w:p w14:paraId="6D3F0DA9" w14:textId="77777777" w:rsidR="00D60186" w:rsidRPr="00D4351A" w:rsidRDefault="00D60186" w:rsidP="00225D4D">
            <w:pPr>
              <w:rPr>
                <w:sz w:val="21"/>
                <w:szCs w:val="21"/>
              </w:rPr>
            </w:pPr>
            <w:r w:rsidRPr="00D4351A">
              <w:rPr>
                <w:sz w:val="21"/>
                <w:szCs w:val="21"/>
              </w:rPr>
              <w:t xml:space="preserve">Evaluering av abortnemnder </w:t>
            </w:r>
          </w:p>
        </w:tc>
        <w:tc>
          <w:tcPr>
            <w:tcW w:w="2120" w:type="dxa"/>
            <w:tcBorders>
              <w:top w:val="nil"/>
              <w:left w:val="nil"/>
              <w:bottom w:val="nil"/>
              <w:right w:val="nil"/>
            </w:tcBorders>
            <w:tcMar>
              <w:top w:w="128" w:type="dxa"/>
              <w:left w:w="43" w:type="dxa"/>
              <w:bottom w:w="43" w:type="dxa"/>
              <w:right w:w="43" w:type="dxa"/>
            </w:tcMar>
            <w:vAlign w:val="bottom"/>
          </w:tcPr>
          <w:p w14:paraId="26FBF9DE" w14:textId="77777777" w:rsidR="00D60186" w:rsidRPr="00D4351A" w:rsidRDefault="00D60186" w:rsidP="00D4351A">
            <w:pPr>
              <w:jc w:val="right"/>
              <w:rPr>
                <w:sz w:val="21"/>
                <w:szCs w:val="21"/>
              </w:rPr>
            </w:pPr>
            <w:r w:rsidRPr="00D4351A">
              <w:rPr>
                <w:sz w:val="21"/>
                <w:szCs w:val="21"/>
              </w:rPr>
              <w:t>Nei</w:t>
            </w:r>
          </w:p>
        </w:tc>
      </w:tr>
      <w:tr w:rsidR="00E76DC8" w:rsidRPr="00225D4D" w14:paraId="524C2F7A"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96DDD3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6CC19CA" w14:textId="77777777" w:rsidR="00D60186" w:rsidRPr="00D4351A" w:rsidRDefault="00D60186" w:rsidP="00D4351A">
            <w:pPr>
              <w:ind w:right="113"/>
              <w:jc w:val="right"/>
              <w:rPr>
                <w:sz w:val="21"/>
                <w:szCs w:val="21"/>
              </w:rPr>
            </w:pPr>
            <w:r w:rsidRPr="00D4351A">
              <w:rPr>
                <w:sz w:val="21"/>
                <w:szCs w:val="21"/>
              </w:rPr>
              <w:t>82</w:t>
            </w:r>
          </w:p>
        </w:tc>
        <w:tc>
          <w:tcPr>
            <w:tcW w:w="5220" w:type="dxa"/>
            <w:tcBorders>
              <w:top w:val="nil"/>
              <w:left w:val="nil"/>
              <w:bottom w:val="nil"/>
              <w:right w:val="nil"/>
            </w:tcBorders>
            <w:tcMar>
              <w:top w:w="128" w:type="dxa"/>
              <w:left w:w="43" w:type="dxa"/>
              <w:bottom w:w="43" w:type="dxa"/>
              <w:right w:w="43" w:type="dxa"/>
            </w:tcMar>
          </w:tcPr>
          <w:p w14:paraId="1F062490" w14:textId="77777777" w:rsidR="00D60186" w:rsidRPr="00D4351A" w:rsidRDefault="00D60186" w:rsidP="00225D4D">
            <w:pPr>
              <w:rPr>
                <w:sz w:val="21"/>
                <w:szCs w:val="21"/>
              </w:rPr>
            </w:pPr>
            <w:r w:rsidRPr="00D4351A">
              <w:rPr>
                <w:sz w:val="21"/>
                <w:szCs w:val="21"/>
              </w:rPr>
              <w:t>Tannhelserettigheter for 27- og 28-åringer</w:t>
            </w:r>
          </w:p>
        </w:tc>
        <w:tc>
          <w:tcPr>
            <w:tcW w:w="2120" w:type="dxa"/>
            <w:tcBorders>
              <w:top w:val="nil"/>
              <w:left w:val="nil"/>
              <w:bottom w:val="nil"/>
              <w:right w:val="nil"/>
            </w:tcBorders>
            <w:tcMar>
              <w:top w:w="128" w:type="dxa"/>
              <w:left w:w="43" w:type="dxa"/>
              <w:bottom w:w="43" w:type="dxa"/>
              <w:right w:w="43" w:type="dxa"/>
            </w:tcMar>
            <w:vAlign w:val="bottom"/>
          </w:tcPr>
          <w:p w14:paraId="49B57B68" w14:textId="77777777" w:rsidR="00D60186" w:rsidRPr="00D4351A" w:rsidRDefault="00D60186" w:rsidP="00D4351A">
            <w:pPr>
              <w:jc w:val="right"/>
              <w:rPr>
                <w:sz w:val="21"/>
                <w:szCs w:val="21"/>
              </w:rPr>
            </w:pPr>
            <w:r w:rsidRPr="00D4351A">
              <w:rPr>
                <w:sz w:val="21"/>
                <w:szCs w:val="21"/>
              </w:rPr>
              <w:t>Ja</w:t>
            </w:r>
          </w:p>
        </w:tc>
      </w:tr>
      <w:tr w:rsidR="00E76DC8" w:rsidRPr="00225D4D" w14:paraId="4543E02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FC64E56"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5B80C1E" w14:textId="77777777" w:rsidR="00D60186" w:rsidRPr="00D4351A" w:rsidRDefault="00D60186" w:rsidP="00D4351A">
            <w:pPr>
              <w:ind w:right="113"/>
              <w:jc w:val="right"/>
              <w:rPr>
                <w:sz w:val="21"/>
                <w:szCs w:val="21"/>
              </w:rPr>
            </w:pPr>
            <w:r w:rsidRPr="00D4351A">
              <w:rPr>
                <w:sz w:val="21"/>
                <w:szCs w:val="21"/>
              </w:rPr>
              <w:t>83</w:t>
            </w:r>
          </w:p>
        </w:tc>
        <w:tc>
          <w:tcPr>
            <w:tcW w:w="5220" w:type="dxa"/>
            <w:tcBorders>
              <w:top w:val="nil"/>
              <w:left w:val="nil"/>
              <w:bottom w:val="nil"/>
              <w:right w:val="nil"/>
            </w:tcBorders>
            <w:tcMar>
              <w:top w:w="128" w:type="dxa"/>
              <w:left w:w="43" w:type="dxa"/>
              <w:bottom w:w="43" w:type="dxa"/>
              <w:right w:w="43" w:type="dxa"/>
            </w:tcMar>
          </w:tcPr>
          <w:p w14:paraId="00B58A55" w14:textId="77777777" w:rsidR="00D60186" w:rsidRPr="00D4351A" w:rsidRDefault="00D60186" w:rsidP="00225D4D">
            <w:pPr>
              <w:rPr>
                <w:sz w:val="21"/>
                <w:szCs w:val="21"/>
              </w:rPr>
            </w:pPr>
            <w:r w:rsidRPr="00D4351A">
              <w:rPr>
                <w:sz w:val="21"/>
                <w:szCs w:val="21"/>
              </w:rPr>
              <w:t>Definere «nødvendig tannregulering» for barn og unge</w:t>
            </w:r>
          </w:p>
        </w:tc>
        <w:tc>
          <w:tcPr>
            <w:tcW w:w="2120" w:type="dxa"/>
            <w:tcBorders>
              <w:top w:val="nil"/>
              <w:left w:val="nil"/>
              <w:bottom w:val="nil"/>
              <w:right w:val="nil"/>
            </w:tcBorders>
            <w:tcMar>
              <w:top w:w="128" w:type="dxa"/>
              <w:left w:w="43" w:type="dxa"/>
              <w:bottom w:w="43" w:type="dxa"/>
              <w:right w:w="43" w:type="dxa"/>
            </w:tcMar>
            <w:vAlign w:val="bottom"/>
          </w:tcPr>
          <w:p w14:paraId="4F889188" w14:textId="77777777" w:rsidR="00D60186" w:rsidRPr="00D4351A" w:rsidRDefault="00D60186" w:rsidP="00D4351A">
            <w:pPr>
              <w:jc w:val="right"/>
              <w:rPr>
                <w:sz w:val="21"/>
                <w:szCs w:val="21"/>
              </w:rPr>
            </w:pPr>
            <w:r w:rsidRPr="00D4351A">
              <w:rPr>
                <w:sz w:val="21"/>
                <w:szCs w:val="21"/>
              </w:rPr>
              <w:t>Ja</w:t>
            </w:r>
          </w:p>
        </w:tc>
      </w:tr>
      <w:tr w:rsidR="00E76DC8" w:rsidRPr="00225D4D" w14:paraId="2096B8E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7FB23FD"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8A0895C" w14:textId="77777777" w:rsidR="00D60186" w:rsidRPr="00D4351A" w:rsidRDefault="00D60186" w:rsidP="00D4351A">
            <w:pPr>
              <w:ind w:right="113"/>
              <w:jc w:val="right"/>
              <w:rPr>
                <w:sz w:val="21"/>
                <w:szCs w:val="21"/>
              </w:rPr>
            </w:pPr>
            <w:r w:rsidRPr="00D4351A">
              <w:rPr>
                <w:sz w:val="21"/>
                <w:szCs w:val="21"/>
              </w:rPr>
              <w:t>84</w:t>
            </w:r>
          </w:p>
        </w:tc>
        <w:tc>
          <w:tcPr>
            <w:tcW w:w="5220" w:type="dxa"/>
            <w:tcBorders>
              <w:top w:val="nil"/>
              <w:left w:val="nil"/>
              <w:bottom w:val="nil"/>
              <w:right w:val="nil"/>
            </w:tcBorders>
            <w:tcMar>
              <w:top w:w="128" w:type="dxa"/>
              <w:left w:w="43" w:type="dxa"/>
              <w:bottom w:w="43" w:type="dxa"/>
              <w:right w:w="43" w:type="dxa"/>
            </w:tcMar>
          </w:tcPr>
          <w:p w14:paraId="21C27035" w14:textId="77777777" w:rsidR="00D60186" w:rsidRPr="00D4351A" w:rsidRDefault="00D60186" w:rsidP="00225D4D">
            <w:pPr>
              <w:rPr>
                <w:sz w:val="21"/>
                <w:szCs w:val="21"/>
              </w:rPr>
            </w:pPr>
            <w:r w:rsidRPr="00D4351A">
              <w:rPr>
                <w:sz w:val="21"/>
                <w:szCs w:val="21"/>
              </w:rPr>
              <w:t>Definere «nødvendige tannhelsetjenester»</w:t>
            </w:r>
          </w:p>
        </w:tc>
        <w:tc>
          <w:tcPr>
            <w:tcW w:w="2120" w:type="dxa"/>
            <w:tcBorders>
              <w:top w:val="nil"/>
              <w:left w:val="nil"/>
              <w:bottom w:val="nil"/>
              <w:right w:val="nil"/>
            </w:tcBorders>
            <w:tcMar>
              <w:top w:w="128" w:type="dxa"/>
              <w:left w:w="43" w:type="dxa"/>
              <w:bottom w:w="43" w:type="dxa"/>
              <w:right w:w="43" w:type="dxa"/>
            </w:tcMar>
            <w:vAlign w:val="bottom"/>
          </w:tcPr>
          <w:p w14:paraId="3B57564E" w14:textId="77777777" w:rsidR="00D60186" w:rsidRPr="00D4351A" w:rsidRDefault="00D60186" w:rsidP="00D4351A">
            <w:pPr>
              <w:jc w:val="right"/>
              <w:rPr>
                <w:sz w:val="21"/>
                <w:szCs w:val="21"/>
              </w:rPr>
            </w:pPr>
            <w:r w:rsidRPr="00D4351A">
              <w:rPr>
                <w:sz w:val="21"/>
                <w:szCs w:val="21"/>
              </w:rPr>
              <w:t>Ja</w:t>
            </w:r>
          </w:p>
        </w:tc>
      </w:tr>
      <w:tr w:rsidR="00E76DC8" w:rsidRPr="00225D4D" w14:paraId="0E0D01C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13FD26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8778F83" w14:textId="77777777" w:rsidR="00D60186" w:rsidRPr="00D4351A" w:rsidRDefault="00D60186" w:rsidP="00D4351A">
            <w:pPr>
              <w:ind w:right="113"/>
              <w:jc w:val="right"/>
              <w:rPr>
                <w:sz w:val="21"/>
                <w:szCs w:val="21"/>
              </w:rPr>
            </w:pPr>
            <w:r w:rsidRPr="00D4351A">
              <w:rPr>
                <w:sz w:val="21"/>
                <w:szCs w:val="21"/>
              </w:rPr>
              <w:t>85</w:t>
            </w:r>
          </w:p>
        </w:tc>
        <w:tc>
          <w:tcPr>
            <w:tcW w:w="5220" w:type="dxa"/>
            <w:tcBorders>
              <w:top w:val="nil"/>
              <w:left w:val="nil"/>
              <w:bottom w:val="nil"/>
              <w:right w:val="nil"/>
            </w:tcBorders>
            <w:tcMar>
              <w:top w:w="128" w:type="dxa"/>
              <w:left w:w="43" w:type="dxa"/>
              <w:bottom w:w="43" w:type="dxa"/>
              <w:right w:w="43" w:type="dxa"/>
            </w:tcMar>
          </w:tcPr>
          <w:p w14:paraId="3DC9631D" w14:textId="77777777" w:rsidR="00D60186" w:rsidRPr="00D4351A" w:rsidRDefault="00D60186" w:rsidP="00225D4D">
            <w:pPr>
              <w:rPr>
                <w:sz w:val="21"/>
                <w:szCs w:val="21"/>
              </w:rPr>
            </w:pPr>
            <w:r w:rsidRPr="00D4351A">
              <w:rPr>
                <w:sz w:val="21"/>
                <w:szCs w:val="21"/>
              </w:rPr>
              <w:t>Utvalg – Personer med innvandrer- eller minoritetsbakgrunn sin tilgang og bruk av helsetjenester</w:t>
            </w:r>
          </w:p>
        </w:tc>
        <w:tc>
          <w:tcPr>
            <w:tcW w:w="2120" w:type="dxa"/>
            <w:tcBorders>
              <w:top w:val="nil"/>
              <w:left w:val="nil"/>
              <w:bottom w:val="nil"/>
              <w:right w:val="nil"/>
            </w:tcBorders>
            <w:tcMar>
              <w:top w:w="128" w:type="dxa"/>
              <w:left w:w="43" w:type="dxa"/>
              <w:bottom w:w="43" w:type="dxa"/>
              <w:right w:w="43" w:type="dxa"/>
            </w:tcMar>
            <w:vAlign w:val="bottom"/>
          </w:tcPr>
          <w:p w14:paraId="71EC3729" w14:textId="77777777" w:rsidR="00D60186" w:rsidRPr="00D4351A" w:rsidRDefault="00D60186" w:rsidP="00D4351A">
            <w:pPr>
              <w:jc w:val="right"/>
              <w:rPr>
                <w:sz w:val="21"/>
                <w:szCs w:val="21"/>
              </w:rPr>
            </w:pPr>
            <w:r w:rsidRPr="00D4351A">
              <w:rPr>
                <w:sz w:val="21"/>
                <w:szCs w:val="21"/>
              </w:rPr>
              <w:t>Ja</w:t>
            </w:r>
          </w:p>
        </w:tc>
      </w:tr>
      <w:tr w:rsidR="00E76DC8" w:rsidRPr="00225D4D" w14:paraId="308CDDC8"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4090548"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91C6F87" w14:textId="77777777" w:rsidR="00D60186" w:rsidRPr="00D4351A" w:rsidRDefault="00D60186" w:rsidP="00D4351A">
            <w:pPr>
              <w:ind w:right="113"/>
              <w:jc w:val="right"/>
              <w:rPr>
                <w:sz w:val="21"/>
                <w:szCs w:val="21"/>
              </w:rPr>
            </w:pPr>
            <w:r w:rsidRPr="00D4351A">
              <w:rPr>
                <w:sz w:val="21"/>
                <w:szCs w:val="21"/>
              </w:rPr>
              <w:t>111</w:t>
            </w:r>
          </w:p>
        </w:tc>
        <w:tc>
          <w:tcPr>
            <w:tcW w:w="5220" w:type="dxa"/>
            <w:tcBorders>
              <w:top w:val="nil"/>
              <w:left w:val="nil"/>
              <w:bottom w:val="nil"/>
              <w:right w:val="nil"/>
            </w:tcBorders>
            <w:tcMar>
              <w:top w:w="128" w:type="dxa"/>
              <w:left w:w="43" w:type="dxa"/>
              <w:bottom w:w="43" w:type="dxa"/>
              <w:right w:w="43" w:type="dxa"/>
            </w:tcMar>
          </w:tcPr>
          <w:p w14:paraId="22EF55C0" w14:textId="77777777" w:rsidR="00D60186" w:rsidRPr="00D4351A" w:rsidRDefault="00D60186" w:rsidP="00225D4D">
            <w:pPr>
              <w:rPr>
                <w:sz w:val="21"/>
                <w:szCs w:val="21"/>
              </w:rPr>
            </w:pPr>
            <w:r w:rsidRPr="00D4351A">
              <w:rPr>
                <w:sz w:val="21"/>
                <w:szCs w:val="21"/>
              </w:rPr>
              <w:t>Utredning av utvidet salg av alkohol hos alkoholprodusenter</w:t>
            </w:r>
          </w:p>
        </w:tc>
        <w:tc>
          <w:tcPr>
            <w:tcW w:w="2120" w:type="dxa"/>
            <w:tcBorders>
              <w:top w:val="nil"/>
              <w:left w:val="nil"/>
              <w:bottom w:val="nil"/>
              <w:right w:val="nil"/>
            </w:tcBorders>
            <w:tcMar>
              <w:top w:w="128" w:type="dxa"/>
              <w:left w:w="43" w:type="dxa"/>
              <w:bottom w:w="43" w:type="dxa"/>
              <w:right w:w="43" w:type="dxa"/>
            </w:tcMar>
            <w:vAlign w:val="bottom"/>
          </w:tcPr>
          <w:p w14:paraId="52B97A12" w14:textId="77777777" w:rsidR="00D60186" w:rsidRPr="00D4351A" w:rsidRDefault="00D60186" w:rsidP="00D4351A">
            <w:pPr>
              <w:jc w:val="right"/>
              <w:rPr>
                <w:sz w:val="21"/>
                <w:szCs w:val="21"/>
              </w:rPr>
            </w:pPr>
            <w:r w:rsidRPr="00D4351A">
              <w:rPr>
                <w:sz w:val="21"/>
                <w:szCs w:val="21"/>
              </w:rPr>
              <w:t>Ja</w:t>
            </w:r>
          </w:p>
        </w:tc>
      </w:tr>
      <w:tr w:rsidR="00E76DC8" w:rsidRPr="00225D4D" w14:paraId="46D0F98E"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72501F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1C874E8" w14:textId="77777777" w:rsidR="00D60186" w:rsidRPr="00D4351A" w:rsidRDefault="00D60186" w:rsidP="00D4351A">
            <w:pPr>
              <w:ind w:right="113"/>
              <w:jc w:val="right"/>
              <w:rPr>
                <w:sz w:val="21"/>
                <w:szCs w:val="21"/>
              </w:rPr>
            </w:pPr>
            <w:r w:rsidRPr="00D4351A">
              <w:rPr>
                <w:sz w:val="21"/>
                <w:szCs w:val="21"/>
              </w:rPr>
              <w:t>468</w:t>
            </w:r>
          </w:p>
        </w:tc>
        <w:tc>
          <w:tcPr>
            <w:tcW w:w="5220" w:type="dxa"/>
            <w:tcBorders>
              <w:top w:val="nil"/>
              <w:left w:val="nil"/>
              <w:bottom w:val="nil"/>
              <w:right w:val="nil"/>
            </w:tcBorders>
            <w:tcMar>
              <w:top w:w="128" w:type="dxa"/>
              <w:left w:w="43" w:type="dxa"/>
              <w:bottom w:w="43" w:type="dxa"/>
              <w:right w:w="43" w:type="dxa"/>
            </w:tcMar>
          </w:tcPr>
          <w:p w14:paraId="1239D9E0" w14:textId="77777777" w:rsidR="00D60186" w:rsidRPr="00D4351A" w:rsidRDefault="00D60186" w:rsidP="00225D4D">
            <w:pPr>
              <w:rPr>
                <w:sz w:val="21"/>
                <w:szCs w:val="21"/>
              </w:rPr>
            </w:pPr>
            <w:r w:rsidRPr="00D4351A">
              <w:rPr>
                <w:sz w:val="21"/>
                <w:szCs w:val="21"/>
              </w:rPr>
              <w:t>Analyse av fordeler og ulemper ved Helseplattformen</w:t>
            </w:r>
          </w:p>
        </w:tc>
        <w:tc>
          <w:tcPr>
            <w:tcW w:w="2120" w:type="dxa"/>
            <w:tcBorders>
              <w:top w:val="nil"/>
              <w:left w:val="nil"/>
              <w:bottom w:val="nil"/>
              <w:right w:val="nil"/>
            </w:tcBorders>
            <w:tcMar>
              <w:top w:w="128" w:type="dxa"/>
              <w:left w:w="43" w:type="dxa"/>
              <w:bottom w:w="43" w:type="dxa"/>
              <w:right w:w="43" w:type="dxa"/>
            </w:tcMar>
            <w:vAlign w:val="bottom"/>
          </w:tcPr>
          <w:p w14:paraId="506827F0" w14:textId="77777777" w:rsidR="00D60186" w:rsidRPr="00D4351A" w:rsidRDefault="00D60186" w:rsidP="00D4351A">
            <w:pPr>
              <w:jc w:val="right"/>
              <w:rPr>
                <w:sz w:val="21"/>
                <w:szCs w:val="21"/>
              </w:rPr>
            </w:pPr>
            <w:r w:rsidRPr="00D4351A">
              <w:rPr>
                <w:sz w:val="21"/>
                <w:szCs w:val="21"/>
              </w:rPr>
              <w:t>Ja</w:t>
            </w:r>
          </w:p>
        </w:tc>
      </w:tr>
      <w:tr w:rsidR="00E76DC8" w:rsidRPr="00225D4D" w14:paraId="247DCB93"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A028E7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F20F2FB" w14:textId="77777777" w:rsidR="00D60186" w:rsidRPr="00D4351A" w:rsidRDefault="00D60186" w:rsidP="00D4351A">
            <w:pPr>
              <w:ind w:right="113"/>
              <w:jc w:val="right"/>
              <w:rPr>
                <w:sz w:val="21"/>
                <w:szCs w:val="21"/>
              </w:rPr>
            </w:pPr>
            <w:r w:rsidRPr="00D4351A">
              <w:rPr>
                <w:sz w:val="21"/>
                <w:szCs w:val="21"/>
              </w:rPr>
              <w:t>469</w:t>
            </w:r>
          </w:p>
        </w:tc>
        <w:tc>
          <w:tcPr>
            <w:tcW w:w="5220" w:type="dxa"/>
            <w:tcBorders>
              <w:top w:val="nil"/>
              <w:left w:val="nil"/>
              <w:bottom w:val="nil"/>
              <w:right w:val="nil"/>
            </w:tcBorders>
            <w:tcMar>
              <w:top w:w="128" w:type="dxa"/>
              <w:left w:w="43" w:type="dxa"/>
              <w:bottom w:w="43" w:type="dxa"/>
              <w:right w:w="43" w:type="dxa"/>
            </w:tcMar>
          </w:tcPr>
          <w:p w14:paraId="1E16490C" w14:textId="77777777" w:rsidR="00D60186" w:rsidRPr="00D4351A" w:rsidRDefault="00D60186" w:rsidP="00225D4D">
            <w:pPr>
              <w:rPr>
                <w:sz w:val="21"/>
                <w:szCs w:val="21"/>
              </w:rPr>
            </w:pPr>
            <w:r w:rsidRPr="00D4351A">
              <w:rPr>
                <w:sz w:val="21"/>
                <w:szCs w:val="21"/>
              </w:rPr>
              <w:t>Plan for oppfølging av Dokument 3:3 (2024–2025)</w:t>
            </w:r>
          </w:p>
        </w:tc>
        <w:tc>
          <w:tcPr>
            <w:tcW w:w="2120" w:type="dxa"/>
            <w:tcBorders>
              <w:top w:val="nil"/>
              <w:left w:val="nil"/>
              <w:bottom w:val="nil"/>
              <w:right w:val="nil"/>
            </w:tcBorders>
            <w:tcMar>
              <w:top w:w="128" w:type="dxa"/>
              <w:left w:w="43" w:type="dxa"/>
              <w:bottom w:w="43" w:type="dxa"/>
              <w:right w:w="43" w:type="dxa"/>
            </w:tcMar>
            <w:vAlign w:val="bottom"/>
          </w:tcPr>
          <w:p w14:paraId="57FD1E3C" w14:textId="77777777" w:rsidR="00D60186" w:rsidRPr="00D4351A" w:rsidRDefault="00D60186" w:rsidP="00D4351A">
            <w:pPr>
              <w:jc w:val="right"/>
              <w:rPr>
                <w:sz w:val="21"/>
                <w:szCs w:val="21"/>
              </w:rPr>
            </w:pPr>
            <w:r w:rsidRPr="00D4351A">
              <w:rPr>
                <w:sz w:val="21"/>
                <w:szCs w:val="21"/>
              </w:rPr>
              <w:t>Ja</w:t>
            </w:r>
          </w:p>
        </w:tc>
      </w:tr>
      <w:tr w:rsidR="00E76DC8" w:rsidRPr="00225D4D" w14:paraId="5F1ED58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8F78FD6"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C55B885" w14:textId="77777777" w:rsidR="00D60186" w:rsidRPr="00D4351A" w:rsidRDefault="00D60186" w:rsidP="00D4351A">
            <w:pPr>
              <w:ind w:right="113"/>
              <w:jc w:val="right"/>
              <w:rPr>
                <w:sz w:val="21"/>
                <w:szCs w:val="21"/>
              </w:rPr>
            </w:pPr>
            <w:r w:rsidRPr="00D4351A">
              <w:rPr>
                <w:sz w:val="21"/>
                <w:szCs w:val="21"/>
              </w:rPr>
              <w:t>501</w:t>
            </w:r>
          </w:p>
        </w:tc>
        <w:tc>
          <w:tcPr>
            <w:tcW w:w="5220" w:type="dxa"/>
            <w:tcBorders>
              <w:top w:val="nil"/>
              <w:left w:val="nil"/>
              <w:bottom w:val="nil"/>
              <w:right w:val="nil"/>
            </w:tcBorders>
            <w:tcMar>
              <w:top w:w="128" w:type="dxa"/>
              <w:left w:w="43" w:type="dxa"/>
              <w:bottom w:w="43" w:type="dxa"/>
              <w:right w:w="43" w:type="dxa"/>
            </w:tcMar>
          </w:tcPr>
          <w:p w14:paraId="1F948D80" w14:textId="77777777" w:rsidR="00D60186" w:rsidRPr="00D4351A" w:rsidRDefault="00D60186" w:rsidP="00225D4D">
            <w:pPr>
              <w:rPr>
                <w:sz w:val="21"/>
                <w:szCs w:val="21"/>
              </w:rPr>
            </w:pPr>
            <w:r w:rsidRPr="00D4351A">
              <w:rPr>
                <w:sz w:val="21"/>
                <w:szCs w:val="21"/>
              </w:rPr>
              <w:t>Oppfølging av personer med ubehandlet hepatitt C</w:t>
            </w:r>
          </w:p>
        </w:tc>
        <w:tc>
          <w:tcPr>
            <w:tcW w:w="2120" w:type="dxa"/>
            <w:tcBorders>
              <w:top w:val="nil"/>
              <w:left w:val="nil"/>
              <w:bottom w:val="nil"/>
              <w:right w:val="nil"/>
            </w:tcBorders>
            <w:tcMar>
              <w:top w:w="128" w:type="dxa"/>
              <w:left w:w="43" w:type="dxa"/>
              <w:bottom w:w="43" w:type="dxa"/>
              <w:right w:w="43" w:type="dxa"/>
            </w:tcMar>
            <w:vAlign w:val="bottom"/>
          </w:tcPr>
          <w:p w14:paraId="21053068" w14:textId="77777777" w:rsidR="00D60186" w:rsidRPr="00D4351A" w:rsidRDefault="00D60186" w:rsidP="00D4351A">
            <w:pPr>
              <w:jc w:val="right"/>
              <w:rPr>
                <w:sz w:val="21"/>
                <w:szCs w:val="21"/>
              </w:rPr>
            </w:pPr>
            <w:r w:rsidRPr="00D4351A">
              <w:rPr>
                <w:sz w:val="21"/>
                <w:szCs w:val="21"/>
              </w:rPr>
              <w:t>Ja</w:t>
            </w:r>
          </w:p>
        </w:tc>
      </w:tr>
      <w:tr w:rsidR="00E76DC8" w:rsidRPr="00225D4D" w14:paraId="484E76D6"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CF199E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BA9AC7A" w14:textId="77777777" w:rsidR="00D60186" w:rsidRPr="00D4351A" w:rsidRDefault="00D60186" w:rsidP="00D4351A">
            <w:pPr>
              <w:ind w:right="113"/>
              <w:jc w:val="right"/>
              <w:rPr>
                <w:sz w:val="21"/>
                <w:szCs w:val="21"/>
              </w:rPr>
            </w:pPr>
            <w:r w:rsidRPr="00D4351A">
              <w:rPr>
                <w:sz w:val="21"/>
                <w:szCs w:val="21"/>
              </w:rPr>
              <w:t>502</w:t>
            </w:r>
          </w:p>
        </w:tc>
        <w:tc>
          <w:tcPr>
            <w:tcW w:w="5220" w:type="dxa"/>
            <w:tcBorders>
              <w:top w:val="nil"/>
              <w:left w:val="nil"/>
              <w:bottom w:val="nil"/>
              <w:right w:val="nil"/>
            </w:tcBorders>
            <w:tcMar>
              <w:top w:w="128" w:type="dxa"/>
              <w:left w:w="43" w:type="dxa"/>
              <w:bottom w:w="43" w:type="dxa"/>
              <w:right w:w="43" w:type="dxa"/>
            </w:tcMar>
          </w:tcPr>
          <w:p w14:paraId="574A8655" w14:textId="77777777" w:rsidR="00D60186" w:rsidRPr="00D4351A" w:rsidRDefault="00D60186" w:rsidP="00225D4D">
            <w:pPr>
              <w:rPr>
                <w:sz w:val="21"/>
                <w:szCs w:val="21"/>
              </w:rPr>
            </w:pPr>
            <w:r w:rsidRPr="00D4351A">
              <w:rPr>
                <w:sz w:val="21"/>
                <w:szCs w:val="21"/>
              </w:rPr>
              <w:t xml:space="preserve">Gjøre </w:t>
            </w:r>
            <w:proofErr w:type="spellStart"/>
            <w:r w:rsidRPr="00D4351A">
              <w:rPr>
                <w:sz w:val="21"/>
                <w:szCs w:val="21"/>
              </w:rPr>
              <w:t>nalokson</w:t>
            </w:r>
            <w:proofErr w:type="spellEnd"/>
            <w:r w:rsidRPr="00D4351A">
              <w:rPr>
                <w:sz w:val="21"/>
                <w:szCs w:val="21"/>
              </w:rPr>
              <w:t xml:space="preserve"> tilgjengelig via apotek</w:t>
            </w:r>
          </w:p>
        </w:tc>
        <w:tc>
          <w:tcPr>
            <w:tcW w:w="2120" w:type="dxa"/>
            <w:tcBorders>
              <w:top w:val="nil"/>
              <w:left w:val="nil"/>
              <w:bottom w:val="nil"/>
              <w:right w:val="nil"/>
            </w:tcBorders>
            <w:tcMar>
              <w:top w:w="128" w:type="dxa"/>
              <w:left w:w="43" w:type="dxa"/>
              <w:bottom w:w="43" w:type="dxa"/>
              <w:right w:w="43" w:type="dxa"/>
            </w:tcMar>
            <w:vAlign w:val="bottom"/>
          </w:tcPr>
          <w:p w14:paraId="611045B1" w14:textId="77777777" w:rsidR="00D60186" w:rsidRPr="00D4351A" w:rsidRDefault="00D60186" w:rsidP="00D4351A">
            <w:pPr>
              <w:jc w:val="right"/>
              <w:rPr>
                <w:sz w:val="21"/>
                <w:szCs w:val="21"/>
              </w:rPr>
            </w:pPr>
            <w:r w:rsidRPr="00D4351A">
              <w:rPr>
                <w:sz w:val="21"/>
                <w:szCs w:val="21"/>
              </w:rPr>
              <w:t>Nei</w:t>
            </w:r>
          </w:p>
        </w:tc>
      </w:tr>
      <w:tr w:rsidR="00E76DC8" w:rsidRPr="00225D4D" w14:paraId="71E5004B"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531B9ED"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FB665D4" w14:textId="77777777" w:rsidR="00D60186" w:rsidRPr="00D4351A" w:rsidRDefault="00D60186" w:rsidP="00D4351A">
            <w:pPr>
              <w:ind w:right="113"/>
              <w:jc w:val="right"/>
              <w:rPr>
                <w:sz w:val="21"/>
                <w:szCs w:val="21"/>
              </w:rPr>
            </w:pPr>
            <w:r w:rsidRPr="00D4351A">
              <w:rPr>
                <w:sz w:val="21"/>
                <w:szCs w:val="21"/>
              </w:rPr>
              <w:t>503</w:t>
            </w:r>
          </w:p>
        </w:tc>
        <w:tc>
          <w:tcPr>
            <w:tcW w:w="5220" w:type="dxa"/>
            <w:tcBorders>
              <w:top w:val="nil"/>
              <w:left w:val="nil"/>
              <w:bottom w:val="nil"/>
              <w:right w:val="nil"/>
            </w:tcBorders>
            <w:tcMar>
              <w:top w:w="128" w:type="dxa"/>
              <w:left w:w="43" w:type="dxa"/>
              <w:bottom w:w="43" w:type="dxa"/>
              <w:right w:w="43" w:type="dxa"/>
            </w:tcMar>
          </w:tcPr>
          <w:p w14:paraId="736D60B6" w14:textId="77777777" w:rsidR="00D60186" w:rsidRPr="00D4351A" w:rsidRDefault="00D60186" w:rsidP="00225D4D">
            <w:pPr>
              <w:rPr>
                <w:sz w:val="21"/>
                <w:szCs w:val="21"/>
              </w:rPr>
            </w:pPr>
            <w:r w:rsidRPr="00D4351A">
              <w:rPr>
                <w:sz w:val="21"/>
                <w:szCs w:val="21"/>
              </w:rPr>
              <w:t>Rett til refusjon av reiseutgifter for barn som er pårørende</w:t>
            </w:r>
          </w:p>
        </w:tc>
        <w:tc>
          <w:tcPr>
            <w:tcW w:w="2120" w:type="dxa"/>
            <w:tcBorders>
              <w:top w:val="nil"/>
              <w:left w:val="nil"/>
              <w:bottom w:val="nil"/>
              <w:right w:val="nil"/>
            </w:tcBorders>
            <w:tcMar>
              <w:top w:w="128" w:type="dxa"/>
              <w:left w:w="43" w:type="dxa"/>
              <w:bottom w:w="43" w:type="dxa"/>
              <w:right w:w="43" w:type="dxa"/>
            </w:tcMar>
            <w:vAlign w:val="bottom"/>
          </w:tcPr>
          <w:p w14:paraId="46241922" w14:textId="77777777" w:rsidR="00D60186" w:rsidRPr="00D4351A" w:rsidRDefault="00D60186" w:rsidP="00D4351A">
            <w:pPr>
              <w:jc w:val="right"/>
              <w:rPr>
                <w:sz w:val="21"/>
                <w:szCs w:val="21"/>
              </w:rPr>
            </w:pPr>
            <w:r w:rsidRPr="00D4351A">
              <w:rPr>
                <w:sz w:val="21"/>
                <w:szCs w:val="21"/>
              </w:rPr>
              <w:t>Nei</w:t>
            </w:r>
          </w:p>
        </w:tc>
      </w:tr>
      <w:tr w:rsidR="00E76DC8" w:rsidRPr="00225D4D" w14:paraId="44189846"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949405E"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A37518F" w14:textId="77777777" w:rsidR="00D60186" w:rsidRPr="00D4351A" w:rsidRDefault="00D60186" w:rsidP="00D4351A">
            <w:pPr>
              <w:ind w:right="113"/>
              <w:jc w:val="right"/>
              <w:rPr>
                <w:sz w:val="21"/>
                <w:szCs w:val="21"/>
              </w:rPr>
            </w:pPr>
            <w:r w:rsidRPr="00D4351A">
              <w:rPr>
                <w:sz w:val="21"/>
                <w:szCs w:val="21"/>
              </w:rPr>
              <w:t>504</w:t>
            </w:r>
          </w:p>
        </w:tc>
        <w:tc>
          <w:tcPr>
            <w:tcW w:w="5220" w:type="dxa"/>
            <w:tcBorders>
              <w:top w:val="nil"/>
              <w:left w:val="nil"/>
              <w:bottom w:val="nil"/>
              <w:right w:val="nil"/>
            </w:tcBorders>
            <w:tcMar>
              <w:top w:w="128" w:type="dxa"/>
              <w:left w:w="43" w:type="dxa"/>
              <w:bottom w:w="43" w:type="dxa"/>
              <w:right w:w="43" w:type="dxa"/>
            </w:tcMar>
          </w:tcPr>
          <w:p w14:paraId="074094B9" w14:textId="77777777" w:rsidR="00D60186" w:rsidRPr="00D4351A" w:rsidRDefault="00D60186" w:rsidP="00225D4D">
            <w:pPr>
              <w:rPr>
                <w:sz w:val="21"/>
                <w:szCs w:val="21"/>
              </w:rPr>
            </w:pPr>
            <w:r w:rsidRPr="00D4351A">
              <w:rPr>
                <w:sz w:val="21"/>
                <w:szCs w:val="21"/>
              </w:rPr>
              <w:t>Styrke innsats overfor mennesker med ROP-lidelser</w:t>
            </w:r>
          </w:p>
        </w:tc>
        <w:tc>
          <w:tcPr>
            <w:tcW w:w="2120" w:type="dxa"/>
            <w:tcBorders>
              <w:top w:val="nil"/>
              <w:left w:val="nil"/>
              <w:bottom w:val="nil"/>
              <w:right w:val="nil"/>
            </w:tcBorders>
            <w:tcMar>
              <w:top w:w="128" w:type="dxa"/>
              <w:left w:w="43" w:type="dxa"/>
              <w:bottom w:w="43" w:type="dxa"/>
              <w:right w:w="43" w:type="dxa"/>
            </w:tcMar>
            <w:vAlign w:val="bottom"/>
          </w:tcPr>
          <w:p w14:paraId="53963268" w14:textId="77777777" w:rsidR="00D60186" w:rsidRPr="00D4351A" w:rsidRDefault="00D60186" w:rsidP="00D4351A">
            <w:pPr>
              <w:jc w:val="right"/>
              <w:rPr>
                <w:sz w:val="21"/>
                <w:szCs w:val="21"/>
              </w:rPr>
            </w:pPr>
            <w:r w:rsidRPr="00D4351A">
              <w:rPr>
                <w:sz w:val="21"/>
                <w:szCs w:val="21"/>
              </w:rPr>
              <w:t>Ja</w:t>
            </w:r>
          </w:p>
        </w:tc>
      </w:tr>
      <w:tr w:rsidR="00E76DC8" w:rsidRPr="00225D4D" w14:paraId="191D86A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E967CC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E3D1BAE" w14:textId="77777777" w:rsidR="00D60186" w:rsidRPr="00D4351A" w:rsidRDefault="00D60186" w:rsidP="00D4351A">
            <w:pPr>
              <w:ind w:right="113"/>
              <w:jc w:val="right"/>
              <w:rPr>
                <w:sz w:val="21"/>
                <w:szCs w:val="21"/>
              </w:rPr>
            </w:pPr>
            <w:r w:rsidRPr="00D4351A">
              <w:rPr>
                <w:sz w:val="21"/>
                <w:szCs w:val="21"/>
              </w:rPr>
              <w:t>505</w:t>
            </w:r>
          </w:p>
        </w:tc>
        <w:tc>
          <w:tcPr>
            <w:tcW w:w="5220" w:type="dxa"/>
            <w:tcBorders>
              <w:top w:val="nil"/>
              <w:left w:val="nil"/>
              <w:bottom w:val="nil"/>
              <w:right w:val="nil"/>
            </w:tcBorders>
            <w:tcMar>
              <w:top w:w="128" w:type="dxa"/>
              <w:left w:w="43" w:type="dxa"/>
              <w:bottom w:w="43" w:type="dxa"/>
              <w:right w:w="43" w:type="dxa"/>
            </w:tcMar>
          </w:tcPr>
          <w:p w14:paraId="395BD022" w14:textId="77777777" w:rsidR="00D60186" w:rsidRPr="00D4351A" w:rsidRDefault="00D60186" w:rsidP="00225D4D">
            <w:pPr>
              <w:rPr>
                <w:sz w:val="21"/>
                <w:szCs w:val="21"/>
              </w:rPr>
            </w:pPr>
            <w:r w:rsidRPr="00D4351A">
              <w:rPr>
                <w:sz w:val="21"/>
                <w:szCs w:val="21"/>
              </w:rPr>
              <w:t>Avslag grunnet rusmiddelproblemer</w:t>
            </w:r>
          </w:p>
        </w:tc>
        <w:tc>
          <w:tcPr>
            <w:tcW w:w="2120" w:type="dxa"/>
            <w:tcBorders>
              <w:top w:val="nil"/>
              <w:left w:val="nil"/>
              <w:bottom w:val="nil"/>
              <w:right w:val="nil"/>
            </w:tcBorders>
            <w:tcMar>
              <w:top w:w="128" w:type="dxa"/>
              <w:left w:w="43" w:type="dxa"/>
              <w:bottom w:w="43" w:type="dxa"/>
              <w:right w:w="43" w:type="dxa"/>
            </w:tcMar>
            <w:vAlign w:val="bottom"/>
          </w:tcPr>
          <w:p w14:paraId="124C6DD0" w14:textId="77777777" w:rsidR="00D60186" w:rsidRPr="00D4351A" w:rsidRDefault="00D60186" w:rsidP="00D4351A">
            <w:pPr>
              <w:jc w:val="right"/>
              <w:rPr>
                <w:sz w:val="21"/>
                <w:szCs w:val="21"/>
              </w:rPr>
            </w:pPr>
            <w:r w:rsidRPr="00D4351A">
              <w:rPr>
                <w:sz w:val="21"/>
                <w:szCs w:val="21"/>
              </w:rPr>
              <w:t>Ja</w:t>
            </w:r>
          </w:p>
        </w:tc>
      </w:tr>
      <w:tr w:rsidR="00E76DC8" w:rsidRPr="00225D4D" w14:paraId="087C6506"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CC3701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0AFD768" w14:textId="77777777" w:rsidR="00D60186" w:rsidRPr="00D4351A" w:rsidRDefault="00D60186" w:rsidP="00D4351A">
            <w:pPr>
              <w:ind w:right="113"/>
              <w:jc w:val="right"/>
              <w:rPr>
                <w:sz w:val="21"/>
                <w:szCs w:val="21"/>
              </w:rPr>
            </w:pPr>
            <w:r w:rsidRPr="00D4351A">
              <w:rPr>
                <w:sz w:val="21"/>
                <w:szCs w:val="21"/>
              </w:rPr>
              <w:t>506</w:t>
            </w:r>
          </w:p>
        </w:tc>
        <w:tc>
          <w:tcPr>
            <w:tcW w:w="5220" w:type="dxa"/>
            <w:tcBorders>
              <w:top w:val="nil"/>
              <w:left w:val="nil"/>
              <w:bottom w:val="nil"/>
              <w:right w:val="nil"/>
            </w:tcBorders>
            <w:tcMar>
              <w:top w:w="128" w:type="dxa"/>
              <w:left w:w="43" w:type="dxa"/>
              <w:bottom w:w="43" w:type="dxa"/>
              <w:right w:w="43" w:type="dxa"/>
            </w:tcMar>
          </w:tcPr>
          <w:p w14:paraId="44E77B56" w14:textId="77777777" w:rsidR="00D60186" w:rsidRPr="00D4351A" w:rsidRDefault="00D60186" w:rsidP="00225D4D">
            <w:pPr>
              <w:rPr>
                <w:sz w:val="21"/>
                <w:szCs w:val="21"/>
              </w:rPr>
            </w:pPr>
            <w:r w:rsidRPr="00D4351A">
              <w:rPr>
                <w:sz w:val="21"/>
                <w:szCs w:val="21"/>
              </w:rPr>
              <w:t>Revidere nasjonale retningslinjer og veiledere for ADHD</w:t>
            </w:r>
          </w:p>
        </w:tc>
        <w:tc>
          <w:tcPr>
            <w:tcW w:w="2120" w:type="dxa"/>
            <w:tcBorders>
              <w:top w:val="nil"/>
              <w:left w:val="nil"/>
              <w:bottom w:val="nil"/>
              <w:right w:val="nil"/>
            </w:tcBorders>
            <w:tcMar>
              <w:top w:w="128" w:type="dxa"/>
              <w:left w:w="43" w:type="dxa"/>
              <w:bottom w:w="43" w:type="dxa"/>
              <w:right w:w="43" w:type="dxa"/>
            </w:tcMar>
            <w:vAlign w:val="bottom"/>
          </w:tcPr>
          <w:p w14:paraId="7F7361D0" w14:textId="77777777" w:rsidR="00D60186" w:rsidRPr="00D4351A" w:rsidRDefault="00D60186" w:rsidP="00D4351A">
            <w:pPr>
              <w:jc w:val="right"/>
              <w:rPr>
                <w:sz w:val="21"/>
                <w:szCs w:val="21"/>
              </w:rPr>
            </w:pPr>
            <w:r w:rsidRPr="00D4351A">
              <w:rPr>
                <w:sz w:val="21"/>
                <w:szCs w:val="21"/>
              </w:rPr>
              <w:t>Ja</w:t>
            </w:r>
          </w:p>
        </w:tc>
      </w:tr>
      <w:tr w:rsidR="00E76DC8" w:rsidRPr="00225D4D" w14:paraId="7158A88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73C3F6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D59B41A" w14:textId="77777777" w:rsidR="00D60186" w:rsidRPr="00D4351A" w:rsidRDefault="00D60186" w:rsidP="00D4351A">
            <w:pPr>
              <w:ind w:right="113"/>
              <w:jc w:val="right"/>
              <w:rPr>
                <w:sz w:val="21"/>
                <w:szCs w:val="21"/>
              </w:rPr>
            </w:pPr>
            <w:r w:rsidRPr="00D4351A">
              <w:rPr>
                <w:sz w:val="21"/>
                <w:szCs w:val="21"/>
              </w:rPr>
              <w:t>507</w:t>
            </w:r>
          </w:p>
        </w:tc>
        <w:tc>
          <w:tcPr>
            <w:tcW w:w="5220" w:type="dxa"/>
            <w:tcBorders>
              <w:top w:val="nil"/>
              <w:left w:val="nil"/>
              <w:bottom w:val="nil"/>
              <w:right w:val="nil"/>
            </w:tcBorders>
            <w:tcMar>
              <w:top w:w="128" w:type="dxa"/>
              <w:left w:w="43" w:type="dxa"/>
              <w:bottom w:w="43" w:type="dxa"/>
              <w:right w:w="43" w:type="dxa"/>
            </w:tcMar>
          </w:tcPr>
          <w:p w14:paraId="055F272F" w14:textId="77777777" w:rsidR="00D60186" w:rsidRPr="00D4351A" w:rsidRDefault="00D60186" w:rsidP="00225D4D">
            <w:pPr>
              <w:rPr>
                <w:sz w:val="21"/>
                <w:szCs w:val="21"/>
              </w:rPr>
            </w:pPr>
            <w:r w:rsidRPr="00D4351A">
              <w:rPr>
                <w:sz w:val="21"/>
                <w:szCs w:val="21"/>
              </w:rPr>
              <w:t>Arbeid, sosial inkludering og ettervern som integrert del av rusbehandlingen</w:t>
            </w:r>
          </w:p>
        </w:tc>
        <w:tc>
          <w:tcPr>
            <w:tcW w:w="2120" w:type="dxa"/>
            <w:tcBorders>
              <w:top w:val="nil"/>
              <w:left w:val="nil"/>
              <w:bottom w:val="nil"/>
              <w:right w:val="nil"/>
            </w:tcBorders>
            <w:tcMar>
              <w:top w:w="128" w:type="dxa"/>
              <w:left w:w="43" w:type="dxa"/>
              <w:bottom w:w="43" w:type="dxa"/>
              <w:right w:w="43" w:type="dxa"/>
            </w:tcMar>
            <w:vAlign w:val="bottom"/>
          </w:tcPr>
          <w:p w14:paraId="2E6EF278" w14:textId="77777777" w:rsidR="00D60186" w:rsidRPr="00D4351A" w:rsidRDefault="00D60186" w:rsidP="00D4351A">
            <w:pPr>
              <w:jc w:val="right"/>
              <w:rPr>
                <w:sz w:val="21"/>
                <w:szCs w:val="21"/>
              </w:rPr>
            </w:pPr>
            <w:r w:rsidRPr="00D4351A">
              <w:rPr>
                <w:sz w:val="21"/>
                <w:szCs w:val="21"/>
              </w:rPr>
              <w:t>Ja</w:t>
            </w:r>
          </w:p>
        </w:tc>
      </w:tr>
      <w:tr w:rsidR="00E76DC8" w:rsidRPr="00225D4D" w14:paraId="2997237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1453E91"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87E3B7D" w14:textId="77777777" w:rsidR="00D60186" w:rsidRPr="00D4351A" w:rsidRDefault="00D60186" w:rsidP="00D4351A">
            <w:pPr>
              <w:ind w:right="113"/>
              <w:jc w:val="right"/>
              <w:rPr>
                <w:sz w:val="21"/>
                <w:szCs w:val="21"/>
              </w:rPr>
            </w:pPr>
            <w:r w:rsidRPr="00D4351A">
              <w:rPr>
                <w:sz w:val="21"/>
                <w:szCs w:val="21"/>
              </w:rPr>
              <w:t>519</w:t>
            </w:r>
          </w:p>
        </w:tc>
        <w:tc>
          <w:tcPr>
            <w:tcW w:w="5220" w:type="dxa"/>
            <w:tcBorders>
              <w:top w:val="nil"/>
              <w:left w:val="nil"/>
              <w:bottom w:val="nil"/>
              <w:right w:val="nil"/>
            </w:tcBorders>
            <w:tcMar>
              <w:top w:w="128" w:type="dxa"/>
              <w:left w:w="43" w:type="dxa"/>
              <w:bottom w:w="43" w:type="dxa"/>
              <w:right w:w="43" w:type="dxa"/>
            </w:tcMar>
          </w:tcPr>
          <w:p w14:paraId="6DBCD2CB" w14:textId="77777777" w:rsidR="00D60186" w:rsidRPr="00D4351A" w:rsidRDefault="00D60186" w:rsidP="00225D4D">
            <w:pPr>
              <w:rPr>
                <w:sz w:val="21"/>
                <w:szCs w:val="21"/>
              </w:rPr>
            </w:pPr>
            <w:r w:rsidRPr="00D4351A">
              <w:rPr>
                <w:sz w:val="21"/>
                <w:szCs w:val="21"/>
              </w:rPr>
              <w:t>Oversikt over behandlingstilbud for spilleavhengige</w:t>
            </w:r>
          </w:p>
        </w:tc>
        <w:tc>
          <w:tcPr>
            <w:tcW w:w="2120" w:type="dxa"/>
            <w:tcBorders>
              <w:top w:val="nil"/>
              <w:left w:val="nil"/>
              <w:bottom w:val="nil"/>
              <w:right w:val="nil"/>
            </w:tcBorders>
            <w:tcMar>
              <w:top w:w="128" w:type="dxa"/>
              <w:left w:w="43" w:type="dxa"/>
              <w:bottom w:w="43" w:type="dxa"/>
              <w:right w:w="43" w:type="dxa"/>
            </w:tcMar>
            <w:vAlign w:val="bottom"/>
          </w:tcPr>
          <w:p w14:paraId="7FEFB246" w14:textId="77777777" w:rsidR="00D60186" w:rsidRPr="00D4351A" w:rsidRDefault="00D60186" w:rsidP="00D4351A">
            <w:pPr>
              <w:jc w:val="right"/>
              <w:rPr>
                <w:sz w:val="21"/>
                <w:szCs w:val="21"/>
              </w:rPr>
            </w:pPr>
            <w:r w:rsidRPr="00D4351A">
              <w:rPr>
                <w:sz w:val="21"/>
                <w:szCs w:val="21"/>
              </w:rPr>
              <w:t>Nei</w:t>
            </w:r>
          </w:p>
        </w:tc>
      </w:tr>
      <w:tr w:rsidR="00E76DC8" w:rsidRPr="00225D4D" w14:paraId="21C4D29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6374AD8"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23EFB10" w14:textId="77777777" w:rsidR="00D60186" w:rsidRPr="00D4351A" w:rsidRDefault="00D60186" w:rsidP="00D4351A">
            <w:pPr>
              <w:ind w:right="113"/>
              <w:jc w:val="right"/>
              <w:rPr>
                <w:sz w:val="21"/>
                <w:szCs w:val="21"/>
              </w:rPr>
            </w:pPr>
            <w:r w:rsidRPr="00D4351A">
              <w:rPr>
                <w:sz w:val="21"/>
                <w:szCs w:val="21"/>
              </w:rPr>
              <w:t>521</w:t>
            </w:r>
          </w:p>
        </w:tc>
        <w:tc>
          <w:tcPr>
            <w:tcW w:w="5220" w:type="dxa"/>
            <w:tcBorders>
              <w:top w:val="nil"/>
              <w:left w:val="nil"/>
              <w:bottom w:val="nil"/>
              <w:right w:val="nil"/>
            </w:tcBorders>
            <w:tcMar>
              <w:top w:w="128" w:type="dxa"/>
              <w:left w:w="43" w:type="dxa"/>
              <w:bottom w:w="43" w:type="dxa"/>
              <w:right w:w="43" w:type="dxa"/>
            </w:tcMar>
          </w:tcPr>
          <w:p w14:paraId="3532704D" w14:textId="77777777" w:rsidR="00D60186" w:rsidRPr="00D4351A" w:rsidRDefault="00D60186" w:rsidP="00225D4D">
            <w:pPr>
              <w:rPr>
                <w:sz w:val="21"/>
                <w:szCs w:val="21"/>
              </w:rPr>
            </w:pPr>
            <w:r w:rsidRPr="00D4351A">
              <w:rPr>
                <w:sz w:val="21"/>
                <w:szCs w:val="21"/>
              </w:rPr>
              <w:t>Økt kapasitet innen behandlingstilbud for spilleproblemer</w:t>
            </w:r>
          </w:p>
        </w:tc>
        <w:tc>
          <w:tcPr>
            <w:tcW w:w="2120" w:type="dxa"/>
            <w:tcBorders>
              <w:top w:val="nil"/>
              <w:left w:val="nil"/>
              <w:bottom w:val="nil"/>
              <w:right w:val="nil"/>
            </w:tcBorders>
            <w:tcMar>
              <w:top w:w="128" w:type="dxa"/>
              <w:left w:w="43" w:type="dxa"/>
              <w:bottom w:w="43" w:type="dxa"/>
              <w:right w:w="43" w:type="dxa"/>
            </w:tcMar>
            <w:vAlign w:val="bottom"/>
          </w:tcPr>
          <w:p w14:paraId="6B0B0B7E" w14:textId="77777777" w:rsidR="00D60186" w:rsidRPr="00D4351A" w:rsidRDefault="00D60186" w:rsidP="00D4351A">
            <w:pPr>
              <w:jc w:val="right"/>
              <w:rPr>
                <w:sz w:val="21"/>
                <w:szCs w:val="21"/>
              </w:rPr>
            </w:pPr>
            <w:r w:rsidRPr="00D4351A">
              <w:rPr>
                <w:sz w:val="21"/>
                <w:szCs w:val="21"/>
              </w:rPr>
              <w:t>Nei</w:t>
            </w:r>
          </w:p>
        </w:tc>
      </w:tr>
      <w:tr w:rsidR="00E76DC8" w:rsidRPr="00225D4D" w14:paraId="53B27DC8"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6CFC16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B3B3807" w14:textId="77777777" w:rsidR="00D60186" w:rsidRPr="00D4351A" w:rsidRDefault="00D60186" w:rsidP="00D4351A">
            <w:pPr>
              <w:ind w:right="113"/>
              <w:jc w:val="right"/>
              <w:rPr>
                <w:sz w:val="21"/>
                <w:szCs w:val="21"/>
              </w:rPr>
            </w:pPr>
            <w:r w:rsidRPr="00D4351A">
              <w:rPr>
                <w:sz w:val="21"/>
                <w:szCs w:val="21"/>
              </w:rPr>
              <w:t>533</w:t>
            </w:r>
          </w:p>
        </w:tc>
        <w:tc>
          <w:tcPr>
            <w:tcW w:w="5220" w:type="dxa"/>
            <w:tcBorders>
              <w:top w:val="nil"/>
              <w:left w:val="nil"/>
              <w:bottom w:val="nil"/>
              <w:right w:val="nil"/>
            </w:tcBorders>
            <w:tcMar>
              <w:top w:w="128" w:type="dxa"/>
              <w:left w:w="43" w:type="dxa"/>
              <w:bottom w:w="43" w:type="dxa"/>
              <w:right w:w="43" w:type="dxa"/>
            </w:tcMar>
          </w:tcPr>
          <w:p w14:paraId="69E13371" w14:textId="77777777" w:rsidR="00D60186" w:rsidRPr="00D4351A" w:rsidRDefault="00D60186" w:rsidP="00225D4D">
            <w:pPr>
              <w:rPr>
                <w:sz w:val="21"/>
                <w:szCs w:val="21"/>
              </w:rPr>
            </w:pPr>
            <w:r w:rsidRPr="00D4351A">
              <w:rPr>
                <w:sz w:val="21"/>
                <w:szCs w:val="21"/>
              </w:rPr>
              <w:t xml:space="preserve">Evaluering av ny lovbestemmelse om bruk av </w:t>
            </w:r>
            <w:proofErr w:type="spellStart"/>
            <w:r w:rsidRPr="00D4351A">
              <w:rPr>
                <w:sz w:val="21"/>
                <w:szCs w:val="21"/>
              </w:rPr>
              <w:t>elektrokonvulsiv</w:t>
            </w:r>
            <w:proofErr w:type="spellEnd"/>
            <w:r w:rsidRPr="00D4351A">
              <w:rPr>
                <w:sz w:val="21"/>
                <w:szCs w:val="21"/>
              </w:rPr>
              <w:t xml:space="preserve"> behandling uten eget samtykke </w:t>
            </w:r>
          </w:p>
        </w:tc>
        <w:tc>
          <w:tcPr>
            <w:tcW w:w="2120" w:type="dxa"/>
            <w:tcBorders>
              <w:top w:val="nil"/>
              <w:left w:val="nil"/>
              <w:bottom w:val="nil"/>
              <w:right w:val="nil"/>
            </w:tcBorders>
            <w:tcMar>
              <w:top w:w="128" w:type="dxa"/>
              <w:left w:w="43" w:type="dxa"/>
              <w:bottom w:w="43" w:type="dxa"/>
              <w:right w:w="43" w:type="dxa"/>
            </w:tcMar>
            <w:vAlign w:val="bottom"/>
          </w:tcPr>
          <w:p w14:paraId="7F7F5A27" w14:textId="77777777" w:rsidR="00D60186" w:rsidRPr="00D4351A" w:rsidRDefault="00D60186" w:rsidP="00D4351A">
            <w:pPr>
              <w:jc w:val="right"/>
              <w:rPr>
                <w:sz w:val="21"/>
                <w:szCs w:val="21"/>
              </w:rPr>
            </w:pPr>
            <w:r w:rsidRPr="00D4351A">
              <w:rPr>
                <w:sz w:val="21"/>
                <w:szCs w:val="21"/>
              </w:rPr>
              <w:t>Nei</w:t>
            </w:r>
          </w:p>
        </w:tc>
      </w:tr>
      <w:tr w:rsidR="00E76DC8" w:rsidRPr="00225D4D" w14:paraId="2813FE2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19045FD"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6D9B6B5" w14:textId="77777777" w:rsidR="00D60186" w:rsidRPr="00D4351A" w:rsidRDefault="00D60186" w:rsidP="00D4351A">
            <w:pPr>
              <w:ind w:right="113"/>
              <w:jc w:val="right"/>
              <w:rPr>
                <w:sz w:val="21"/>
                <w:szCs w:val="21"/>
              </w:rPr>
            </w:pPr>
            <w:r w:rsidRPr="00D4351A">
              <w:rPr>
                <w:sz w:val="21"/>
                <w:szCs w:val="21"/>
              </w:rPr>
              <w:t>534</w:t>
            </w:r>
          </w:p>
        </w:tc>
        <w:tc>
          <w:tcPr>
            <w:tcW w:w="5220" w:type="dxa"/>
            <w:tcBorders>
              <w:top w:val="nil"/>
              <w:left w:val="nil"/>
              <w:bottom w:val="nil"/>
              <w:right w:val="nil"/>
            </w:tcBorders>
            <w:tcMar>
              <w:top w:w="128" w:type="dxa"/>
              <w:left w:w="43" w:type="dxa"/>
              <w:bottom w:w="43" w:type="dxa"/>
              <w:right w:w="43" w:type="dxa"/>
            </w:tcMar>
          </w:tcPr>
          <w:p w14:paraId="3942EF49" w14:textId="77777777" w:rsidR="00D60186" w:rsidRPr="00D4351A" w:rsidRDefault="00D60186" w:rsidP="00225D4D">
            <w:pPr>
              <w:rPr>
                <w:sz w:val="21"/>
                <w:szCs w:val="21"/>
              </w:rPr>
            </w:pPr>
            <w:r w:rsidRPr="00D4351A">
              <w:rPr>
                <w:sz w:val="21"/>
                <w:szCs w:val="21"/>
              </w:rPr>
              <w:t>Evaluering av tvangsbruk i helse- og omsorgstjenesten</w:t>
            </w:r>
          </w:p>
        </w:tc>
        <w:tc>
          <w:tcPr>
            <w:tcW w:w="2120" w:type="dxa"/>
            <w:tcBorders>
              <w:top w:val="nil"/>
              <w:left w:val="nil"/>
              <w:bottom w:val="nil"/>
              <w:right w:val="nil"/>
            </w:tcBorders>
            <w:tcMar>
              <w:top w:w="128" w:type="dxa"/>
              <w:left w:w="43" w:type="dxa"/>
              <w:bottom w:w="43" w:type="dxa"/>
              <w:right w:w="43" w:type="dxa"/>
            </w:tcMar>
            <w:vAlign w:val="bottom"/>
          </w:tcPr>
          <w:p w14:paraId="57E284F8" w14:textId="77777777" w:rsidR="00D60186" w:rsidRPr="00D4351A" w:rsidRDefault="00D60186" w:rsidP="00D4351A">
            <w:pPr>
              <w:jc w:val="right"/>
              <w:rPr>
                <w:sz w:val="21"/>
                <w:szCs w:val="21"/>
              </w:rPr>
            </w:pPr>
            <w:r w:rsidRPr="00D4351A">
              <w:rPr>
                <w:sz w:val="21"/>
                <w:szCs w:val="21"/>
              </w:rPr>
              <w:t>Nei</w:t>
            </w:r>
          </w:p>
        </w:tc>
      </w:tr>
      <w:tr w:rsidR="00E76DC8" w:rsidRPr="00225D4D" w14:paraId="4E88925F"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209F2C4"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2B2FF73" w14:textId="77777777" w:rsidR="00D60186" w:rsidRPr="00D4351A" w:rsidRDefault="00D60186" w:rsidP="00D4351A">
            <w:pPr>
              <w:ind w:right="113"/>
              <w:jc w:val="right"/>
              <w:rPr>
                <w:sz w:val="21"/>
                <w:szCs w:val="21"/>
              </w:rPr>
            </w:pPr>
            <w:r w:rsidRPr="00D4351A">
              <w:rPr>
                <w:sz w:val="21"/>
                <w:szCs w:val="21"/>
              </w:rPr>
              <w:t>576</w:t>
            </w:r>
          </w:p>
        </w:tc>
        <w:tc>
          <w:tcPr>
            <w:tcW w:w="5220" w:type="dxa"/>
            <w:tcBorders>
              <w:top w:val="nil"/>
              <w:left w:val="nil"/>
              <w:bottom w:val="nil"/>
              <w:right w:val="nil"/>
            </w:tcBorders>
            <w:tcMar>
              <w:top w:w="128" w:type="dxa"/>
              <w:left w:w="43" w:type="dxa"/>
              <w:bottom w:w="43" w:type="dxa"/>
              <w:right w:w="43" w:type="dxa"/>
            </w:tcMar>
          </w:tcPr>
          <w:p w14:paraId="57FECC19" w14:textId="77777777" w:rsidR="00D60186" w:rsidRPr="00D4351A" w:rsidRDefault="00D60186" w:rsidP="00225D4D">
            <w:pPr>
              <w:rPr>
                <w:sz w:val="21"/>
                <w:szCs w:val="21"/>
              </w:rPr>
            </w:pPr>
            <w:r w:rsidRPr="00D4351A">
              <w:rPr>
                <w:sz w:val="21"/>
                <w:szCs w:val="21"/>
              </w:rPr>
              <w:t>Revisjon av pasient- og brukerrettighetsloven</w:t>
            </w:r>
          </w:p>
        </w:tc>
        <w:tc>
          <w:tcPr>
            <w:tcW w:w="2120" w:type="dxa"/>
            <w:tcBorders>
              <w:top w:val="nil"/>
              <w:left w:val="nil"/>
              <w:bottom w:val="nil"/>
              <w:right w:val="nil"/>
            </w:tcBorders>
            <w:tcMar>
              <w:top w:w="128" w:type="dxa"/>
              <w:left w:w="43" w:type="dxa"/>
              <w:bottom w:w="43" w:type="dxa"/>
              <w:right w:w="43" w:type="dxa"/>
            </w:tcMar>
            <w:vAlign w:val="bottom"/>
          </w:tcPr>
          <w:p w14:paraId="64E8B585" w14:textId="77777777" w:rsidR="00D60186" w:rsidRPr="00D4351A" w:rsidRDefault="00D60186" w:rsidP="00D4351A">
            <w:pPr>
              <w:jc w:val="right"/>
              <w:rPr>
                <w:sz w:val="21"/>
                <w:szCs w:val="21"/>
              </w:rPr>
            </w:pPr>
            <w:r w:rsidRPr="00D4351A">
              <w:rPr>
                <w:sz w:val="21"/>
                <w:szCs w:val="21"/>
              </w:rPr>
              <w:t>Ja</w:t>
            </w:r>
          </w:p>
        </w:tc>
      </w:tr>
      <w:tr w:rsidR="00E76DC8" w:rsidRPr="00225D4D" w14:paraId="00CE7488"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864254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4F7A5D4" w14:textId="77777777" w:rsidR="00D60186" w:rsidRPr="00D4351A" w:rsidRDefault="00D60186" w:rsidP="00D4351A">
            <w:pPr>
              <w:ind w:right="113"/>
              <w:jc w:val="right"/>
              <w:rPr>
                <w:sz w:val="21"/>
                <w:szCs w:val="21"/>
              </w:rPr>
            </w:pPr>
            <w:r w:rsidRPr="00D4351A">
              <w:rPr>
                <w:sz w:val="21"/>
                <w:szCs w:val="21"/>
              </w:rPr>
              <w:t>577</w:t>
            </w:r>
          </w:p>
        </w:tc>
        <w:tc>
          <w:tcPr>
            <w:tcW w:w="5220" w:type="dxa"/>
            <w:tcBorders>
              <w:top w:val="nil"/>
              <w:left w:val="nil"/>
              <w:bottom w:val="nil"/>
              <w:right w:val="nil"/>
            </w:tcBorders>
            <w:tcMar>
              <w:top w:w="128" w:type="dxa"/>
              <w:left w:w="43" w:type="dxa"/>
              <w:bottom w:w="43" w:type="dxa"/>
              <w:right w:w="43" w:type="dxa"/>
            </w:tcMar>
          </w:tcPr>
          <w:p w14:paraId="0BA1B253" w14:textId="77777777" w:rsidR="00D60186" w:rsidRPr="00D4351A" w:rsidRDefault="00D60186" w:rsidP="00225D4D">
            <w:pPr>
              <w:rPr>
                <w:sz w:val="21"/>
                <w:szCs w:val="21"/>
              </w:rPr>
            </w:pPr>
            <w:r w:rsidRPr="00D4351A">
              <w:rPr>
                <w:sz w:val="21"/>
                <w:szCs w:val="21"/>
              </w:rPr>
              <w:t>Kostnader for bedøvelse til barn under 16 år</w:t>
            </w:r>
          </w:p>
        </w:tc>
        <w:tc>
          <w:tcPr>
            <w:tcW w:w="2120" w:type="dxa"/>
            <w:tcBorders>
              <w:top w:val="nil"/>
              <w:left w:val="nil"/>
              <w:bottom w:val="nil"/>
              <w:right w:val="nil"/>
            </w:tcBorders>
            <w:tcMar>
              <w:top w:w="128" w:type="dxa"/>
              <w:left w:w="43" w:type="dxa"/>
              <w:bottom w:w="43" w:type="dxa"/>
              <w:right w:w="43" w:type="dxa"/>
            </w:tcMar>
            <w:vAlign w:val="bottom"/>
          </w:tcPr>
          <w:p w14:paraId="5542DABD" w14:textId="77777777" w:rsidR="00D60186" w:rsidRPr="00D4351A" w:rsidRDefault="00D60186" w:rsidP="00D4351A">
            <w:pPr>
              <w:jc w:val="right"/>
              <w:rPr>
                <w:sz w:val="21"/>
                <w:szCs w:val="21"/>
              </w:rPr>
            </w:pPr>
            <w:r w:rsidRPr="00D4351A">
              <w:rPr>
                <w:sz w:val="21"/>
                <w:szCs w:val="21"/>
              </w:rPr>
              <w:t>Ja</w:t>
            </w:r>
          </w:p>
        </w:tc>
      </w:tr>
      <w:tr w:rsidR="00E76DC8" w:rsidRPr="00225D4D" w14:paraId="297A362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B59402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9FEDB3A" w14:textId="77777777" w:rsidR="00D60186" w:rsidRPr="00D4351A" w:rsidRDefault="00D60186" w:rsidP="00D4351A">
            <w:pPr>
              <w:ind w:right="113"/>
              <w:jc w:val="right"/>
              <w:rPr>
                <w:sz w:val="21"/>
                <w:szCs w:val="21"/>
              </w:rPr>
            </w:pPr>
            <w:r w:rsidRPr="00D4351A">
              <w:rPr>
                <w:sz w:val="21"/>
                <w:szCs w:val="21"/>
              </w:rPr>
              <w:t>629</w:t>
            </w:r>
          </w:p>
        </w:tc>
        <w:tc>
          <w:tcPr>
            <w:tcW w:w="5220" w:type="dxa"/>
            <w:tcBorders>
              <w:top w:val="nil"/>
              <w:left w:val="nil"/>
              <w:bottom w:val="nil"/>
              <w:right w:val="nil"/>
            </w:tcBorders>
            <w:tcMar>
              <w:top w:w="128" w:type="dxa"/>
              <w:left w:w="43" w:type="dxa"/>
              <w:bottom w:w="43" w:type="dxa"/>
              <w:right w:w="43" w:type="dxa"/>
            </w:tcMar>
          </w:tcPr>
          <w:p w14:paraId="412D3B37" w14:textId="77777777" w:rsidR="00D60186" w:rsidRPr="00D4351A" w:rsidRDefault="00D60186" w:rsidP="00225D4D">
            <w:pPr>
              <w:rPr>
                <w:sz w:val="21"/>
                <w:szCs w:val="21"/>
              </w:rPr>
            </w:pPr>
            <w:r w:rsidRPr="00D4351A">
              <w:rPr>
                <w:sz w:val="21"/>
                <w:szCs w:val="21"/>
              </w:rPr>
              <w:t>Styrke samarbeid og koordinering</w:t>
            </w:r>
          </w:p>
        </w:tc>
        <w:tc>
          <w:tcPr>
            <w:tcW w:w="2120" w:type="dxa"/>
            <w:tcBorders>
              <w:top w:val="nil"/>
              <w:left w:val="nil"/>
              <w:bottom w:val="nil"/>
              <w:right w:val="nil"/>
            </w:tcBorders>
            <w:tcMar>
              <w:top w:w="128" w:type="dxa"/>
              <w:left w:w="43" w:type="dxa"/>
              <w:bottom w:w="43" w:type="dxa"/>
              <w:right w:w="43" w:type="dxa"/>
            </w:tcMar>
            <w:vAlign w:val="bottom"/>
          </w:tcPr>
          <w:p w14:paraId="7F4587DD" w14:textId="77777777" w:rsidR="00D60186" w:rsidRPr="00D4351A" w:rsidRDefault="00D60186" w:rsidP="00D4351A">
            <w:pPr>
              <w:jc w:val="right"/>
              <w:rPr>
                <w:sz w:val="21"/>
                <w:szCs w:val="21"/>
              </w:rPr>
            </w:pPr>
            <w:r w:rsidRPr="00D4351A">
              <w:rPr>
                <w:sz w:val="21"/>
                <w:szCs w:val="21"/>
              </w:rPr>
              <w:t>Ja</w:t>
            </w:r>
          </w:p>
        </w:tc>
      </w:tr>
      <w:tr w:rsidR="00E76DC8" w:rsidRPr="00225D4D" w14:paraId="356454EB"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07C3C3A"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91F508A" w14:textId="77777777" w:rsidR="00D60186" w:rsidRPr="00D4351A" w:rsidRDefault="00D60186" w:rsidP="00D4351A">
            <w:pPr>
              <w:ind w:right="113"/>
              <w:jc w:val="right"/>
              <w:rPr>
                <w:sz w:val="21"/>
                <w:szCs w:val="21"/>
              </w:rPr>
            </w:pPr>
            <w:r w:rsidRPr="00D4351A">
              <w:rPr>
                <w:sz w:val="21"/>
                <w:szCs w:val="21"/>
              </w:rPr>
              <w:t>630</w:t>
            </w:r>
          </w:p>
        </w:tc>
        <w:tc>
          <w:tcPr>
            <w:tcW w:w="5220" w:type="dxa"/>
            <w:tcBorders>
              <w:top w:val="nil"/>
              <w:left w:val="nil"/>
              <w:bottom w:val="nil"/>
              <w:right w:val="nil"/>
            </w:tcBorders>
            <w:tcMar>
              <w:top w:w="128" w:type="dxa"/>
              <w:left w:w="43" w:type="dxa"/>
              <w:bottom w:w="43" w:type="dxa"/>
              <w:right w:w="43" w:type="dxa"/>
            </w:tcMar>
          </w:tcPr>
          <w:p w14:paraId="5161A54F" w14:textId="77777777" w:rsidR="00D60186" w:rsidRPr="00D4351A" w:rsidRDefault="00D60186" w:rsidP="00225D4D">
            <w:pPr>
              <w:rPr>
                <w:sz w:val="21"/>
                <w:szCs w:val="21"/>
              </w:rPr>
            </w:pPr>
            <w:r w:rsidRPr="00D4351A">
              <w:rPr>
                <w:sz w:val="21"/>
                <w:szCs w:val="21"/>
              </w:rPr>
              <w:t>Tilstrekkelig bemanning og ressurser i helsevesenet</w:t>
            </w:r>
          </w:p>
        </w:tc>
        <w:tc>
          <w:tcPr>
            <w:tcW w:w="2120" w:type="dxa"/>
            <w:tcBorders>
              <w:top w:val="nil"/>
              <w:left w:val="nil"/>
              <w:bottom w:val="nil"/>
              <w:right w:val="nil"/>
            </w:tcBorders>
            <w:tcMar>
              <w:top w:w="128" w:type="dxa"/>
              <w:left w:w="43" w:type="dxa"/>
              <w:bottom w:w="43" w:type="dxa"/>
              <w:right w:w="43" w:type="dxa"/>
            </w:tcMar>
            <w:vAlign w:val="bottom"/>
          </w:tcPr>
          <w:p w14:paraId="2A0FA61C" w14:textId="77777777" w:rsidR="00D60186" w:rsidRPr="00D4351A" w:rsidRDefault="00D60186" w:rsidP="00D4351A">
            <w:pPr>
              <w:jc w:val="right"/>
              <w:rPr>
                <w:sz w:val="21"/>
                <w:szCs w:val="21"/>
              </w:rPr>
            </w:pPr>
            <w:r w:rsidRPr="00D4351A">
              <w:rPr>
                <w:sz w:val="21"/>
                <w:szCs w:val="21"/>
              </w:rPr>
              <w:t>Ja</w:t>
            </w:r>
          </w:p>
        </w:tc>
      </w:tr>
      <w:tr w:rsidR="00E76DC8" w:rsidRPr="00225D4D" w14:paraId="333DB825"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51A7F8E"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49C4FAA" w14:textId="77777777" w:rsidR="00D60186" w:rsidRPr="00D4351A" w:rsidRDefault="00D60186" w:rsidP="00D4351A">
            <w:pPr>
              <w:ind w:right="113"/>
              <w:jc w:val="right"/>
              <w:rPr>
                <w:sz w:val="21"/>
                <w:szCs w:val="21"/>
              </w:rPr>
            </w:pPr>
            <w:r w:rsidRPr="00D4351A">
              <w:rPr>
                <w:sz w:val="21"/>
                <w:szCs w:val="21"/>
              </w:rPr>
              <w:t>631</w:t>
            </w:r>
          </w:p>
        </w:tc>
        <w:tc>
          <w:tcPr>
            <w:tcW w:w="5220" w:type="dxa"/>
            <w:tcBorders>
              <w:top w:val="nil"/>
              <w:left w:val="nil"/>
              <w:bottom w:val="nil"/>
              <w:right w:val="nil"/>
            </w:tcBorders>
            <w:tcMar>
              <w:top w:w="128" w:type="dxa"/>
              <w:left w:w="43" w:type="dxa"/>
              <w:bottom w:w="43" w:type="dxa"/>
              <w:right w:w="43" w:type="dxa"/>
            </w:tcMar>
          </w:tcPr>
          <w:p w14:paraId="3BA907DF" w14:textId="77777777" w:rsidR="00D60186" w:rsidRPr="00D4351A" w:rsidRDefault="00D60186" w:rsidP="00225D4D">
            <w:pPr>
              <w:rPr>
                <w:sz w:val="21"/>
                <w:szCs w:val="21"/>
              </w:rPr>
            </w:pPr>
            <w:r w:rsidRPr="00D4351A">
              <w:rPr>
                <w:sz w:val="21"/>
                <w:szCs w:val="21"/>
              </w:rPr>
              <w:t>Forebyggende tiltak</w:t>
            </w:r>
          </w:p>
        </w:tc>
        <w:tc>
          <w:tcPr>
            <w:tcW w:w="2120" w:type="dxa"/>
            <w:tcBorders>
              <w:top w:val="nil"/>
              <w:left w:val="nil"/>
              <w:bottom w:val="nil"/>
              <w:right w:val="nil"/>
            </w:tcBorders>
            <w:tcMar>
              <w:top w:w="128" w:type="dxa"/>
              <w:left w:w="43" w:type="dxa"/>
              <w:bottom w:w="43" w:type="dxa"/>
              <w:right w:w="43" w:type="dxa"/>
            </w:tcMar>
            <w:vAlign w:val="bottom"/>
          </w:tcPr>
          <w:p w14:paraId="5E9FCB0E" w14:textId="77777777" w:rsidR="00D60186" w:rsidRPr="00D4351A" w:rsidRDefault="00D60186" w:rsidP="00D4351A">
            <w:pPr>
              <w:jc w:val="right"/>
              <w:rPr>
                <w:sz w:val="21"/>
                <w:szCs w:val="21"/>
              </w:rPr>
            </w:pPr>
            <w:r w:rsidRPr="00D4351A">
              <w:rPr>
                <w:sz w:val="21"/>
                <w:szCs w:val="21"/>
              </w:rPr>
              <w:t>Ja</w:t>
            </w:r>
          </w:p>
        </w:tc>
      </w:tr>
      <w:tr w:rsidR="00E76DC8" w:rsidRPr="00225D4D" w14:paraId="31616AA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1CE3809"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F488DE2" w14:textId="77777777" w:rsidR="00D60186" w:rsidRPr="00D4351A" w:rsidRDefault="00D60186" w:rsidP="00D4351A">
            <w:pPr>
              <w:ind w:right="113"/>
              <w:jc w:val="right"/>
              <w:rPr>
                <w:sz w:val="21"/>
                <w:szCs w:val="21"/>
              </w:rPr>
            </w:pPr>
            <w:r w:rsidRPr="00D4351A">
              <w:rPr>
                <w:sz w:val="21"/>
                <w:szCs w:val="21"/>
              </w:rPr>
              <w:t>632</w:t>
            </w:r>
          </w:p>
        </w:tc>
        <w:tc>
          <w:tcPr>
            <w:tcW w:w="5220" w:type="dxa"/>
            <w:tcBorders>
              <w:top w:val="nil"/>
              <w:left w:val="nil"/>
              <w:bottom w:val="nil"/>
              <w:right w:val="nil"/>
            </w:tcBorders>
            <w:tcMar>
              <w:top w:w="128" w:type="dxa"/>
              <w:left w:w="43" w:type="dxa"/>
              <w:bottom w:w="43" w:type="dxa"/>
              <w:right w:w="43" w:type="dxa"/>
            </w:tcMar>
          </w:tcPr>
          <w:p w14:paraId="5D77DE0F" w14:textId="77777777" w:rsidR="00D60186" w:rsidRPr="00D4351A" w:rsidRDefault="00D60186" w:rsidP="00225D4D">
            <w:pPr>
              <w:rPr>
                <w:sz w:val="21"/>
                <w:szCs w:val="21"/>
              </w:rPr>
            </w:pPr>
            <w:r w:rsidRPr="00D4351A">
              <w:rPr>
                <w:sz w:val="21"/>
                <w:szCs w:val="21"/>
              </w:rPr>
              <w:t>Beredskapsavtaler mellom privat og offentlig helsetjeneste</w:t>
            </w:r>
          </w:p>
        </w:tc>
        <w:tc>
          <w:tcPr>
            <w:tcW w:w="2120" w:type="dxa"/>
            <w:tcBorders>
              <w:top w:val="nil"/>
              <w:left w:val="nil"/>
              <w:bottom w:val="nil"/>
              <w:right w:val="nil"/>
            </w:tcBorders>
            <w:tcMar>
              <w:top w:w="128" w:type="dxa"/>
              <w:left w:w="43" w:type="dxa"/>
              <w:bottom w:w="43" w:type="dxa"/>
              <w:right w:w="43" w:type="dxa"/>
            </w:tcMar>
            <w:vAlign w:val="bottom"/>
          </w:tcPr>
          <w:p w14:paraId="5A8EBFD0" w14:textId="77777777" w:rsidR="00D60186" w:rsidRPr="00D4351A" w:rsidRDefault="00D60186" w:rsidP="00D4351A">
            <w:pPr>
              <w:jc w:val="right"/>
              <w:rPr>
                <w:sz w:val="21"/>
                <w:szCs w:val="21"/>
              </w:rPr>
            </w:pPr>
            <w:r w:rsidRPr="00D4351A">
              <w:rPr>
                <w:sz w:val="21"/>
                <w:szCs w:val="21"/>
              </w:rPr>
              <w:t>Nei</w:t>
            </w:r>
          </w:p>
        </w:tc>
      </w:tr>
      <w:tr w:rsidR="00E76DC8" w:rsidRPr="00225D4D" w14:paraId="37EAE3C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145453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97CF977" w14:textId="77777777" w:rsidR="00D60186" w:rsidRPr="00D4351A" w:rsidRDefault="00D60186" w:rsidP="00D4351A">
            <w:pPr>
              <w:ind w:right="113"/>
              <w:jc w:val="right"/>
              <w:rPr>
                <w:sz w:val="21"/>
                <w:szCs w:val="21"/>
              </w:rPr>
            </w:pPr>
            <w:r w:rsidRPr="00D4351A">
              <w:rPr>
                <w:sz w:val="21"/>
                <w:szCs w:val="21"/>
              </w:rPr>
              <w:t>704</w:t>
            </w:r>
          </w:p>
        </w:tc>
        <w:tc>
          <w:tcPr>
            <w:tcW w:w="5220" w:type="dxa"/>
            <w:tcBorders>
              <w:top w:val="nil"/>
              <w:left w:val="nil"/>
              <w:bottom w:val="nil"/>
              <w:right w:val="nil"/>
            </w:tcBorders>
            <w:tcMar>
              <w:top w:w="128" w:type="dxa"/>
              <w:left w:w="43" w:type="dxa"/>
              <w:bottom w:w="43" w:type="dxa"/>
              <w:right w:w="43" w:type="dxa"/>
            </w:tcMar>
          </w:tcPr>
          <w:p w14:paraId="2A7B23B3" w14:textId="77777777" w:rsidR="00D60186" w:rsidRPr="00D4351A" w:rsidRDefault="00D60186" w:rsidP="00225D4D">
            <w:pPr>
              <w:rPr>
                <w:sz w:val="21"/>
                <w:szCs w:val="21"/>
              </w:rPr>
            </w:pPr>
            <w:r w:rsidRPr="00D4351A">
              <w:rPr>
                <w:sz w:val="21"/>
                <w:szCs w:val="21"/>
              </w:rPr>
              <w:t>Palliativ medisin som påbyggingsspesialitet</w:t>
            </w:r>
          </w:p>
        </w:tc>
        <w:tc>
          <w:tcPr>
            <w:tcW w:w="2120" w:type="dxa"/>
            <w:tcBorders>
              <w:top w:val="nil"/>
              <w:left w:val="nil"/>
              <w:bottom w:val="nil"/>
              <w:right w:val="nil"/>
            </w:tcBorders>
            <w:tcMar>
              <w:top w:w="128" w:type="dxa"/>
              <w:left w:w="43" w:type="dxa"/>
              <w:bottom w:w="43" w:type="dxa"/>
              <w:right w:w="43" w:type="dxa"/>
            </w:tcMar>
            <w:vAlign w:val="bottom"/>
          </w:tcPr>
          <w:p w14:paraId="51154452" w14:textId="77777777" w:rsidR="00D60186" w:rsidRPr="00D4351A" w:rsidRDefault="00D60186" w:rsidP="00D4351A">
            <w:pPr>
              <w:jc w:val="right"/>
              <w:rPr>
                <w:sz w:val="21"/>
                <w:szCs w:val="21"/>
              </w:rPr>
            </w:pPr>
            <w:r w:rsidRPr="00D4351A">
              <w:rPr>
                <w:sz w:val="21"/>
                <w:szCs w:val="21"/>
              </w:rPr>
              <w:t>Nei</w:t>
            </w:r>
          </w:p>
        </w:tc>
      </w:tr>
      <w:tr w:rsidR="00E76DC8" w:rsidRPr="00225D4D" w14:paraId="5949E7A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930B836"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D17B992" w14:textId="77777777" w:rsidR="00D60186" w:rsidRPr="00D4351A" w:rsidRDefault="00D60186" w:rsidP="00D4351A">
            <w:pPr>
              <w:ind w:right="113"/>
              <w:jc w:val="right"/>
              <w:rPr>
                <w:sz w:val="21"/>
                <w:szCs w:val="21"/>
              </w:rPr>
            </w:pPr>
            <w:r w:rsidRPr="00D4351A">
              <w:rPr>
                <w:sz w:val="21"/>
                <w:szCs w:val="21"/>
              </w:rPr>
              <w:t>705</w:t>
            </w:r>
          </w:p>
        </w:tc>
        <w:tc>
          <w:tcPr>
            <w:tcW w:w="5220" w:type="dxa"/>
            <w:tcBorders>
              <w:top w:val="nil"/>
              <w:left w:val="nil"/>
              <w:bottom w:val="nil"/>
              <w:right w:val="nil"/>
            </w:tcBorders>
            <w:tcMar>
              <w:top w:w="128" w:type="dxa"/>
              <w:left w:w="43" w:type="dxa"/>
              <w:bottom w:w="43" w:type="dxa"/>
              <w:right w:w="43" w:type="dxa"/>
            </w:tcMar>
          </w:tcPr>
          <w:p w14:paraId="4236FA98" w14:textId="77777777" w:rsidR="00D60186" w:rsidRPr="00D4351A" w:rsidRDefault="00D60186" w:rsidP="00225D4D">
            <w:pPr>
              <w:rPr>
                <w:sz w:val="21"/>
                <w:szCs w:val="21"/>
              </w:rPr>
            </w:pPr>
            <w:r w:rsidRPr="00D4351A">
              <w:rPr>
                <w:sz w:val="21"/>
                <w:szCs w:val="21"/>
              </w:rPr>
              <w:t>Videreutvikling av palliativ medisin</w:t>
            </w:r>
          </w:p>
        </w:tc>
        <w:tc>
          <w:tcPr>
            <w:tcW w:w="2120" w:type="dxa"/>
            <w:tcBorders>
              <w:top w:val="nil"/>
              <w:left w:val="nil"/>
              <w:bottom w:val="nil"/>
              <w:right w:val="nil"/>
            </w:tcBorders>
            <w:tcMar>
              <w:top w:w="128" w:type="dxa"/>
              <w:left w:w="43" w:type="dxa"/>
              <w:bottom w:w="43" w:type="dxa"/>
              <w:right w:w="43" w:type="dxa"/>
            </w:tcMar>
            <w:vAlign w:val="bottom"/>
          </w:tcPr>
          <w:p w14:paraId="52386A11" w14:textId="77777777" w:rsidR="00D60186" w:rsidRPr="00D4351A" w:rsidRDefault="00D60186" w:rsidP="00D4351A">
            <w:pPr>
              <w:jc w:val="right"/>
              <w:rPr>
                <w:sz w:val="21"/>
                <w:szCs w:val="21"/>
              </w:rPr>
            </w:pPr>
            <w:r w:rsidRPr="00D4351A">
              <w:rPr>
                <w:sz w:val="21"/>
                <w:szCs w:val="21"/>
              </w:rPr>
              <w:t>Nei</w:t>
            </w:r>
          </w:p>
        </w:tc>
      </w:tr>
      <w:tr w:rsidR="00E76DC8" w:rsidRPr="00225D4D" w14:paraId="1D557E8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34853C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8C29A91" w14:textId="77777777" w:rsidR="00D60186" w:rsidRPr="00D4351A" w:rsidRDefault="00D60186" w:rsidP="00D4351A">
            <w:pPr>
              <w:ind w:right="113"/>
              <w:jc w:val="right"/>
              <w:rPr>
                <w:sz w:val="21"/>
                <w:szCs w:val="21"/>
              </w:rPr>
            </w:pPr>
            <w:r w:rsidRPr="00D4351A">
              <w:rPr>
                <w:sz w:val="21"/>
                <w:szCs w:val="21"/>
              </w:rPr>
              <w:t>753</w:t>
            </w:r>
          </w:p>
        </w:tc>
        <w:tc>
          <w:tcPr>
            <w:tcW w:w="5220" w:type="dxa"/>
            <w:tcBorders>
              <w:top w:val="nil"/>
              <w:left w:val="nil"/>
              <w:bottom w:val="nil"/>
              <w:right w:val="nil"/>
            </w:tcBorders>
            <w:tcMar>
              <w:top w:w="128" w:type="dxa"/>
              <w:left w:w="43" w:type="dxa"/>
              <w:bottom w:w="43" w:type="dxa"/>
              <w:right w:w="43" w:type="dxa"/>
            </w:tcMar>
          </w:tcPr>
          <w:p w14:paraId="2CB052AB" w14:textId="77777777" w:rsidR="00D60186" w:rsidRPr="00D4351A" w:rsidRDefault="00D60186" w:rsidP="00225D4D">
            <w:pPr>
              <w:rPr>
                <w:sz w:val="21"/>
                <w:szCs w:val="21"/>
              </w:rPr>
            </w:pPr>
            <w:r w:rsidRPr="00D4351A">
              <w:rPr>
                <w:sz w:val="21"/>
                <w:szCs w:val="21"/>
              </w:rPr>
              <w:t>Plan for bevaring av helsepersonell</w:t>
            </w:r>
          </w:p>
        </w:tc>
        <w:tc>
          <w:tcPr>
            <w:tcW w:w="2120" w:type="dxa"/>
            <w:tcBorders>
              <w:top w:val="nil"/>
              <w:left w:val="nil"/>
              <w:bottom w:val="nil"/>
              <w:right w:val="nil"/>
            </w:tcBorders>
            <w:tcMar>
              <w:top w:w="128" w:type="dxa"/>
              <w:left w:w="43" w:type="dxa"/>
              <w:bottom w:w="43" w:type="dxa"/>
              <w:right w:w="43" w:type="dxa"/>
            </w:tcMar>
            <w:vAlign w:val="bottom"/>
          </w:tcPr>
          <w:p w14:paraId="0360381E" w14:textId="77777777" w:rsidR="00D60186" w:rsidRPr="00D4351A" w:rsidRDefault="00D60186" w:rsidP="00D4351A">
            <w:pPr>
              <w:jc w:val="right"/>
              <w:rPr>
                <w:sz w:val="21"/>
                <w:szCs w:val="21"/>
              </w:rPr>
            </w:pPr>
            <w:r w:rsidRPr="00D4351A">
              <w:rPr>
                <w:sz w:val="21"/>
                <w:szCs w:val="21"/>
              </w:rPr>
              <w:t>Ja</w:t>
            </w:r>
          </w:p>
        </w:tc>
      </w:tr>
      <w:tr w:rsidR="00E76DC8" w:rsidRPr="00225D4D" w14:paraId="1684C20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3E2BB0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C2E8294" w14:textId="77777777" w:rsidR="00D60186" w:rsidRPr="00D4351A" w:rsidRDefault="00D60186" w:rsidP="00D4351A">
            <w:pPr>
              <w:ind w:right="113"/>
              <w:jc w:val="right"/>
              <w:rPr>
                <w:sz w:val="21"/>
                <w:szCs w:val="21"/>
              </w:rPr>
            </w:pPr>
            <w:r w:rsidRPr="00D4351A">
              <w:rPr>
                <w:sz w:val="21"/>
                <w:szCs w:val="21"/>
              </w:rPr>
              <w:t>829</w:t>
            </w:r>
          </w:p>
        </w:tc>
        <w:tc>
          <w:tcPr>
            <w:tcW w:w="5220" w:type="dxa"/>
            <w:tcBorders>
              <w:top w:val="nil"/>
              <w:left w:val="nil"/>
              <w:bottom w:val="nil"/>
              <w:right w:val="nil"/>
            </w:tcBorders>
            <w:tcMar>
              <w:top w:w="128" w:type="dxa"/>
              <w:left w:w="43" w:type="dxa"/>
              <w:bottom w:w="43" w:type="dxa"/>
              <w:right w:w="43" w:type="dxa"/>
            </w:tcMar>
          </w:tcPr>
          <w:p w14:paraId="7F544772" w14:textId="77777777" w:rsidR="00D60186" w:rsidRPr="00D4351A" w:rsidRDefault="00D60186" w:rsidP="00225D4D">
            <w:pPr>
              <w:rPr>
                <w:sz w:val="21"/>
                <w:szCs w:val="21"/>
              </w:rPr>
            </w:pPr>
            <w:r w:rsidRPr="00D4351A">
              <w:rPr>
                <w:sz w:val="21"/>
                <w:szCs w:val="21"/>
              </w:rPr>
              <w:t>Erstatning til ofrene i Varhaug-saken</w:t>
            </w:r>
          </w:p>
        </w:tc>
        <w:tc>
          <w:tcPr>
            <w:tcW w:w="2120" w:type="dxa"/>
            <w:tcBorders>
              <w:top w:val="nil"/>
              <w:left w:val="nil"/>
              <w:bottom w:val="nil"/>
              <w:right w:val="nil"/>
            </w:tcBorders>
            <w:tcMar>
              <w:top w:w="128" w:type="dxa"/>
              <w:left w:w="43" w:type="dxa"/>
              <w:bottom w:w="43" w:type="dxa"/>
              <w:right w:w="43" w:type="dxa"/>
            </w:tcMar>
            <w:vAlign w:val="bottom"/>
          </w:tcPr>
          <w:p w14:paraId="5F45DEE4" w14:textId="77777777" w:rsidR="00D60186" w:rsidRPr="00D4351A" w:rsidRDefault="00D60186" w:rsidP="00D4351A">
            <w:pPr>
              <w:jc w:val="right"/>
              <w:rPr>
                <w:sz w:val="21"/>
                <w:szCs w:val="21"/>
              </w:rPr>
            </w:pPr>
            <w:r w:rsidRPr="00D4351A">
              <w:rPr>
                <w:sz w:val="21"/>
                <w:szCs w:val="21"/>
              </w:rPr>
              <w:t>Nei</w:t>
            </w:r>
          </w:p>
        </w:tc>
      </w:tr>
      <w:tr w:rsidR="00E76DC8" w:rsidRPr="00225D4D" w14:paraId="39A57E0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E150B71"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864DA07" w14:textId="77777777" w:rsidR="00D60186" w:rsidRPr="00D4351A" w:rsidRDefault="00D60186" w:rsidP="00D4351A">
            <w:pPr>
              <w:ind w:right="113"/>
              <w:jc w:val="right"/>
              <w:rPr>
                <w:sz w:val="21"/>
                <w:szCs w:val="21"/>
              </w:rPr>
            </w:pPr>
            <w:r w:rsidRPr="00D4351A">
              <w:rPr>
                <w:sz w:val="21"/>
                <w:szCs w:val="21"/>
              </w:rPr>
              <w:t>897</w:t>
            </w:r>
          </w:p>
        </w:tc>
        <w:tc>
          <w:tcPr>
            <w:tcW w:w="5220" w:type="dxa"/>
            <w:tcBorders>
              <w:top w:val="nil"/>
              <w:left w:val="nil"/>
              <w:bottom w:val="nil"/>
              <w:right w:val="nil"/>
            </w:tcBorders>
            <w:tcMar>
              <w:top w:w="128" w:type="dxa"/>
              <w:left w:w="43" w:type="dxa"/>
              <w:bottom w:w="43" w:type="dxa"/>
              <w:right w:w="43" w:type="dxa"/>
            </w:tcMar>
          </w:tcPr>
          <w:p w14:paraId="200CE848" w14:textId="77777777" w:rsidR="00D60186" w:rsidRPr="00D4351A" w:rsidRDefault="00D60186" w:rsidP="00225D4D">
            <w:pPr>
              <w:rPr>
                <w:sz w:val="21"/>
                <w:szCs w:val="21"/>
              </w:rPr>
            </w:pPr>
            <w:r w:rsidRPr="00D4351A">
              <w:rPr>
                <w:sz w:val="21"/>
                <w:szCs w:val="21"/>
              </w:rPr>
              <w:t>E-helseløsninger i tannhelsetjenesten</w:t>
            </w:r>
          </w:p>
        </w:tc>
        <w:tc>
          <w:tcPr>
            <w:tcW w:w="2120" w:type="dxa"/>
            <w:tcBorders>
              <w:top w:val="nil"/>
              <w:left w:val="nil"/>
              <w:bottom w:val="nil"/>
              <w:right w:val="nil"/>
            </w:tcBorders>
            <w:tcMar>
              <w:top w:w="128" w:type="dxa"/>
              <w:left w:w="43" w:type="dxa"/>
              <w:bottom w:w="43" w:type="dxa"/>
              <w:right w:w="43" w:type="dxa"/>
            </w:tcMar>
            <w:vAlign w:val="bottom"/>
          </w:tcPr>
          <w:p w14:paraId="2A37CC4D" w14:textId="77777777" w:rsidR="00D60186" w:rsidRPr="00D4351A" w:rsidRDefault="00D60186" w:rsidP="00D4351A">
            <w:pPr>
              <w:jc w:val="right"/>
              <w:rPr>
                <w:sz w:val="21"/>
                <w:szCs w:val="21"/>
              </w:rPr>
            </w:pPr>
            <w:r w:rsidRPr="00D4351A">
              <w:rPr>
                <w:sz w:val="21"/>
                <w:szCs w:val="21"/>
              </w:rPr>
              <w:t>Ja</w:t>
            </w:r>
          </w:p>
        </w:tc>
      </w:tr>
      <w:tr w:rsidR="00E76DC8" w:rsidRPr="00225D4D" w14:paraId="2B39C2D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CE0235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DB889CF" w14:textId="77777777" w:rsidR="00D60186" w:rsidRPr="00D4351A" w:rsidRDefault="00D60186" w:rsidP="00D4351A">
            <w:pPr>
              <w:ind w:right="113"/>
              <w:jc w:val="right"/>
              <w:rPr>
                <w:sz w:val="21"/>
                <w:szCs w:val="21"/>
              </w:rPr>
            </w:pPr>
            <w:r w:rsidRPr="00D4351A">
              <w:rPr>
                <w:sz w:val="21"/>
                <w:szCs w:val="21"/>
              </w:rPr>
              <w:t>898</w:t>
            </w:r>
          </w:p>
        </w:tc>
        <w:tc>
          <w:tcPr>
            <w:tcW w:w="5220" w:type="dxa"/>
            <w:tcBorders>
              <w:top w:val="nil"/>
              <w:left w:val="nil"/>
              <w:bottom w:val="nil"/>
              <w:right w:val="nil"/>
            </w:tcBorders>
            <w:tcMar>
              <w:top w:w="128" w:type="dxa"/>
              <w:left w:w="43" w:type="dxa"/>
              <w:bottom w:w="43" w:type="dxa"/>
              <w:right w:w="43" w:type="dxa"/>
            </w:tcMar>
          </w:tcPr>
          <w:p w14:paraId="0B8BB5CD" w14:textId="77777777" w:rsidR="00D60186" w:rsidRPr="00D4351A" w:rsidRDefault="00D60186" w:rsidP="00225D4D">
            <w:pPr>
              <w:rPr>
                <w:sz w:val="21"/>
                <w:szCs w:val="21"/>
              </w:rPr>
            </w:pPr>
            <w:r w:rsidRPr="00D4351A">
              <w:rPr>
                <w:sz w:val="21"/>
                <w:szCs w:val="21"/>
              </w:rPr>
              <w:t>Normering av kodeverk i tannhelsetjenesten</w:t>
            </w:r>
          </w:p>
        </w:tc>
        <w:tc>
          <w:tcPr>
            <w:tcW w:w="2120" w:type="dxa"/>
            <w:tcBorders>
              <w:top w:val="nil"/>
              <w:left w:val="nil"/>
              <w:bottom w:val="nil"/>
              <w:right w:val="nil"/>
            </w:tcBorders>
            <w:tcMar>
              <w:top w:w="128" w:type="dxa"/>
              <w:left w:w="43" w:type="dxa"/>
              <w:bottom w:w="43" w:type="dxa"/>
              <w:right w:w="43" w:type="dxa"/>
            </w:tcMar>
            <w:vAlign w:val="bottom"/>
          </w:tcPr>
          <w:p w14:paraId="09CA26A8" w14:textId="77777777" w:rsidR="00D60186" w:rsidRPr="00D4351A" w:rsidRDefault="00D60186" w:rsidP="00D4351A">
            <w:pPr>
              <w:jc w:val="right"/>
              <w:rPr>
                <w:sz w:val="21"/>
                <w:szCs w:val="21"/>
              </w:rPr>
            </w:pPr>
            <w:r w:rsidRPr="00D4351A">
              <w:rPr>
                <w:sz w:val="21"/>
                <w:szCs w:val="21"/>
              </w:rPr>
              <w:t>Ja</w:t>
            </w:r>
          </w:p>
        </w:tc>
      </w:tr>
      <w:tr w:rsidR="00E76DC8" w:rsidRPr="00225D4D" w14:paraId="0086CF0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1F37FD9"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57CA350" w14:textId="77777777" w:rsidR="00D60186" w:rsidRPr="00D4351A" w:rsidRDefault="00D60186" w:rsidP="00D4351A">
            <w:pPr>
              <w:ind w:right="113"/>
              <w:jc w:val="right"/>
              <w:rPr>
                <w:sz w:val="21"/>
                <w:szCs w:val="21"/>
              </w:rPr>
            </w:pPr>
            <w:r w:rsidRPr="00D4351A">
              <w:rPr>
                <w:sz w:val="21"/>
                <w:szCs w:val="21"/>
              </w:rPr>
              <w:t>899</w:t>
            </w:r>
          </w:p>
        </w:tc>
        <w:tc>
          <w:tcPr>
            <w:tcW w:w="5220" w:type="dxa"/>
            <w:tcBorders>
              <w:top w:val="nil"/>
              <w:left w:val="nil"/>
              <w:bottom w:val="nil"/>
              <w:right w:val="nil"/>
            </w:tcBorders>
            <w:tcMar>
              <w:top w:w="128" w:type="dxa"/>
              <w:left w:w="43" w:type="dxa"/>
              <w:bottom w:w="43" w:type="dxa"/>
              <w:right w:w="43" w:type="dxa"/>
            </w:tcMar>
          </w:tcPr>
          <w:p w14:paraId="29921B17" w14:textId="77777777" w:rsidR="00D60186" w:rsidRPr="00D4351A" w:rsidRDefault="00D60186" w:rsidP="00225D4D">
            <w:pPr>
              <w:rPr>
                <w:sz w:val="21"/>
                <w:szCs w:val="21"/>
              </w:rPr>
            </w:pPr>
            <w:r w:rsidRPr="00D4351A">
              <w:rPr>
                <w:sz w:val="21"/>
                <w:szCs w:val="21"/>
              </w:rPr>
              <w:t>Lik data i privat og offentlig tannhelse</w:t>
            </w:r>
          </w:p>
        </w:tc>
        <w:tc>
          <w:tcPr>
            <w:tcW w:w="2120" w:type="dxa"/>
            <w:tcBorders>
              <w:top w:val="nil"/>
              <w:left w:val="nil"/>
              <w:bottom w:val="nil"/>
              <w:right w:val="nil"/>
            </w:tcBorders>
            <w:tcMar>
              <w:top w:w="128" w:type="dxa"/>
              <w:left w:w="43" w:type="dxa"/>
              <w:bottom w:w="43" w:type="dxa"/>
              <w:right w:w="43" w:type="dxa"/>
            </w:tcMar>
            <w:vAlign w:val="bottom"/>
          </w:tcPr>
          <w:p w14:paraId="652611D4" w14:textId="77777777" w:rsidR="00D60186" w:rsidRPr="00D4351A" w:rsidRDefault="00D60186" w:rsidP="00D4351A">
            <w:pPr>
              <w:jc w:val="right"/>
              <w:rPr>
                <w:sz w:val="21"/>
                <w:szCs w:val="21"/>
              </w:rPr>
            </w:pPr>
            <w:r w:rsidRPr="00D4351A">
              <w:rPr>
                <w:sz w:val="21"/>
                <w:szCs w:val="21"/>
              </w:rPr>
              <w:t>Ja</w:t>
            </w:r>
          </w:p>
        </w:tc>
      </w:tr>
      <w:tr w:rsidR="00E76DC8" w:rsidRPr="00225D4D" w14:paraId="4A91C63E"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EC01CCC"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B1DAA3C" w14:textId="77777777" w:rsidR="00D60186" w:rsidRPr="00D4351A" w:rsidRDefault="00D60186" w:rsidP="00D4351A">
            <w:pPr>
              <w:ind w:right="113"/>
              <w:jc w:val="right"/>
              <w:rPr>
                <w:sz w:val="21"/>
                <w:szCs w:val="21"/>
              </w:rPr>
            </w:pPr>
            <w:r w:rsidRPr="00D4351A">
              <w:rPr>
                <w:sz w:val="21"/>
                <w:szCs w:val="21"/>
              </w:rPr>
              <w:t>900</w:t>
            </w:r>
          </w:p>
        </w:tc>
        <w:tc>
          <w:tcPr>
            <w:tcW w:w="5220" w:type="dxa"/>
            <w:tcBorders>
              <w:top w:val="nil"/>
              <w:left w:val="nil"/>
              <w:bottom w:val="nil"/>
              <w:right w:val="nil"/>
            </w:tcBorders>
            <w:tcMar>
              <w:top w:w="128" w:type="dxa"/>
              <w:left w:w="43" w:type="dxa"/>
              <w:bottom w:w="43" w:type="dxa"/>
              <w:right w:w="43" w:type="dxa"/>
            </w:tcMar>
          </w:tcPr>
          <w:p w14:paraId="7C1882DB" w14:textId="77777777" w:rsidR="00D60186" w:rsidRPr="00D4351A" w:rsidRDefault="00D60186" w:rsidP="00225D4D">
            <w:pPr>
              <w:rPr>
                <w:sz w:val="21"/>
                <w:szCs w:val="21"/>
              </w:rPr>
            </w:pPr>
            <w:r w:rsidRPr="00D4351A">
              <w:rPr>
                <w:sz w:val="21"/>
                <w:szCs w:val="21"/>
              </w:rPr>
              <w:t>Stortingsmelding om tannhelsetjeneste</w:t>
            </w:r>
          </w:p>
        </w:tc>
        <w:tc>
          <w:tcPr>
            <w:tcW w:w="2120" w:type="dxa"/>
            <w:tcBorders>
              <w:top w:val="nil"/>
              <w:left w:val="nil"/>
              <w:bottom w:val="nil"/>
              <w:right w:val="nil"/>
            </w:tcBorders>
            <w:tcMar>
              <w:top w:w="128" w:type="dxa"/>
              <w:left w:w="43" w:type="dxa"/>
              <w:bottom w:w="43" w:type="dxa"/>
              <w:right w:w="43" w:type="dxa"/>
            </w:tcMar>
            <w:vAlign w:val="bottom"/>
          </w:tcPr>
          <w:p w14:paraId="5360FB33" w14:textId="77777777" w:rsidR="00D60186" w:rsidRPr="00D4351A" w:rsidRDefault="00D60186" w:rsidP="00D4351A">
            <w:pPr>
              <w:jc w:val="right"/>
              <w:rPr>
                <w:sz w:val="21"/>
                <w:szCs w:val="21"/>
              </w:rPr>
            </w:pPr>
            <w:r w:rsidRPr="00D4351A">
              <w:rPr>
                <w:sz w:val="21"/>
                <w:szCs w:val="21"/>
              </w:rPr>
              <w:t>Nei</w:t>
            </w:r>
          </w:p>
        </w:tc>
      </w:tr>
      <w:tr w:rsidR="00E76DC8" w:rsidRPr="00225D4D" w14:paraId="7A0D41F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56F15E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1A76561" w14:textId="77777777" w:rsidR="00D60186" w:rsidRPr="00D4351A" w:rsidRDefault="00D60186" w:rsidP="00D4351A">
            <w:pPr>
              <w:ind w:right="113"/>
              <w:jc w:val="right"/>
              <w:rPr>
                <w:sz w:val="21"/>
                <w:szCs w:val="21"/>
              </w:rPr>
            </w:pPr>
            <w:r w:rsidRPr="00D4351A">
              <w:rPr>
                <w:sz w:val="21"/>
                <w:szCs w:val="21"/>
              </w:rPr>
              <w:t>901</w:t>
            </w:r>
          </w:p>
        </w:tc>
        <w:tc>
          <w:tcPr>
            <w:tcW w:w="5220" w:type="dxa"/>
            <w:tcBorders>
              <w:top w:val="nil"/>
              <w:left w:val="nil"/>
              <w:bottom w:val="nil"/>
              <w:right w:val="nil"/>
            </w:tcBorders>
            <w:tcMar>
              <w:top w:w="128" w:type="dxa"/>
              <w:left w:w="43" w:type="dxa"/>
              <w:bottom w:w="43" w:type="dxa"/>
              <w:right w:w="43" w:type="dxa"/>
            </w:tcMar>
          </w:tcPr>
          <w:p w14:paraId="2DE911C2" w14:textId="77777777" w:rsidR="00D60186" w:rsidRPr="00D4351A" w:rsidRDefault="00D60186" w:rsidP="00225D4D">
            <w:pPr>
              <w:rPr>
                <w:sz w:val="21"/>
                <w:szCs w:val="21"/>
              </w:rPr>
            </w:pPr>
            <w:r w:rsidRPr="00D4351A">
              <w:rPr>
                <w:sz w:val="21"/>
                <w:szCs w:val="21"/>
              </w:rPr>
              <w:t>Styrke helsefellesskapene</w:t>
            </w:r>
          </w:p>
        </w:tc>
        <w:tc>
          <w:tcPr>
            <w:tcW w:w="2120" w:type="dxa"/>
            <w:tcBorders>
              <w:top w:val="nil"/>
              <w:left w:val="nil"/>
              <w:bottom w:val="nil"/>
              <w:right w:val="nil"/>
            </w:tcBorders>
            <w:tcMar>
              <w:top w:w="128" w:type="dxa"/>
              <w:left w:w="43" w:type="dxa"/>
              <w:bottom w:w="43" w:type="dxa"/>
              <w:right w:w="43" w:type="dxa"/>
            </w:tcMar>
            <w:vAlign w:val="bottom"/>
          </w:tcPr>
          <w:p w14:paraId="615AF8F2" w14:textId="77777777" w:rsidR="00D60186" w:rsidRPr="00D4351A" w:rsidRDefault="00D60186" w:rsidP="00D4351A">
            <w:pPr>
              <w:jc w:val="right"/>
              <w:rPr>
                <w:sz w:val="21"/>
                <w:szCs w:val="21"/>
              </w:rPr>
            </w:pPr>
            <w:r w:rsidRPr="00D4351A">
              <w:rPr>
                <w:sz w:val="21"/>
                <w:szCs w:val="21"/>
              </w:rPr>
              <w:t xml:space="preserve">Nei </w:t>
            </w:r>
          </w:p>
        </w:tc>
      </w:tr>
      <w:tr w:rsidR="00E76DC8" w:rsidRPr="00225D4D" w14:paraId="35A775A3"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9A889B4"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1B7AAAB" w14:textId="77777777" w:rsidR="00D60186" w:rsidRPr="00D4351A" w:rsidRDefault="00D60186" w:rsidP="00D4351A">
            <w:pPr>
              <w:ind w:right="113"/>
              <w:jc w:val="right"/>
              <w:rPr>
                <w:sz w:val="21"/>
                <w:szCs w:val="21"/>
              </w:rPr>
            </w:pPr>
            <w:r w:rsidRPr="00D4351A">
              <w:rPr>
                <w:sz w:val="21"/>
                <w:szCs w:val="21"/>
              </w:rPr>
              <w:t>902</w:t>
            </w:r>
          </w:p>
        </w:tc>
        <w:tc>
          <w:tcPr>
            <w:tcW w:w="5220" w:type="dxa"/>
            <w:tcBorders>
              <w:top w:val="nil"/>
              <w:left w:val="nil"/>
              <w:bottom w:val="nil"/>
              <w:right w:val="nil"/>
            </w:tcBorders>
            <w:tcMar>
              <w:top w:w="128" w:type="dxa"/>
              <w:left w:w="43" w:type="dxa"/>
              <w:bottom w:w="43" w:type="dxa"/>
              <w:right w:w="43" w:type="dxa"/>
            </w:tcMar>
          </w:tcPr>
          <w:p w14:paraId="7E1B014A" w14:textId="77777777" w:rsidR="00D60186" w:rsidRPr="00D4351A" w:rsidRDefault="00D60186" w:rsidP="00225D4D">
            <w:pPr>
              <w:rPr>
                <w:sz w:val="21"/>
                <w:szCs w:val="21"/>
              </w:rPr>
            </w:pPr>
            <w:r w:rsidRPr="00D4351A">
              <w:rPr>
                <w:sz w:val="21"/>
                <w:szCs w:val="21"/>
              </w:rPr>
              <w:t>Folketrygdfinansierte legemidler</w:t>
            </w:r>
          </w:p>
        </w:tc>
        <w:tc>
          <w:tcPr>
            <w:tcW w:w="2120" w:type="dxa"/>
            <w:tcBorders>
              <w:top w:val="nil"/>
              <w:left w:val="nil"/>
              <w:bottom w:val="nil"/>
              <w:right w:val="nil"/>
            </w:tcBorders>
            <w:tcMar>
              <w:top w:w="128" w:type="dxa"/>
              <w:left w:w="43" w:type="dxa"/>
              <w:bottom w:w="43" w:type="dxa"/>
              <w:right w:w="43" w:type="dxa"/>
            </w:tcMar>
            <w:vAlign w:val="bottom"/>
          </w:tcPr>
          <w:p w14:paraId="6D0D634D" w14:textId="77777777" w:rsidR="00D60186" w:rsidRPr="00D4351A" w:rsidRDefault="00D60186" w:rsidP="00D4351A">
            <w:pPr>
              <w:jc w:val="right"/>
              <w:rPr>
                <w:sz w:val="21"/>
                <w:szCs w:val="21"/>
              </w:rPr>
            </w:pPr>
            <w:r w:rsidRPr="00D4351A">
              <w:rPr>
                <w:sz w:val="21"/>
                <w:szCs w:val="21"/>
              </w:rPr>
              <w:t>Ja</w:t>
            </w:r>
          </w:p>
        </w:tc>
      </w:tr>
      <w:tr w:rsidR="00E76DC8" w:rsidRPr="00225D4D" w14:paraId="3EFE2F7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458C10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BF15EEB" w14:textId="77777777" w:rsidR="00D60186" w:rsidRPr="00D4351A" w:rsidRDefault="00D60186" w:rsidP="00D4351A">
            <w:pPr>
              <w:ind w:right="113"/>
              <w:jc w:val="right"/>
              <w:rPr>
                <w:sz w:val="21"/>
                <w:szCs w:val="21"/>
              </w:rPr>
            </w:pPr>
            <w:r w:rsidRPr="00D4351A">
              <w:rPr>
                <w:sz w:val="21"/>
                <w:szCs w:val="21"/>
              </w:rPr>
              <w:t>903</w:t>
            </w:r>
          </w:p>
        </w:tc>
        <w:tc>
          <w:tcPr>
            <w:tcW w:w="5220" w:type="dxa"/>
            <w:tcBorders>
              <w:top w:val="nil"/>
              <w:left w:val="nil"/>
              <w:bottom w:val="nil"/>
              <w:right w:val="nil"/>
            </w:tcBorders>
            <w:tcMar>
              <w:top w:w="128" w:type="dxa"/>
              <w:left w:w="43" w:type="dxa"/>
              <w:bottom w:w="43" w:type="dxa"/>
              <w:right w:w="43" w:type="dxa"/>
            </w:tcMar>
          </w:tcPr>
          <w:p w14:paraId="45D31425" w14:textId="77777777" w:rsidR="00D60186" w:rsidRPr="00D4351A" w:rsidRDefault="00D60186" w:rsidP="00225D4D">
            <w:pPr>
              <w:rPr>
                <w:sz w:val="21"/>
                <w:szCs w:val="21"/>
              </w:rPr>
            </w:pPr>
            <w:r w:rsidRPr="00D4351A">
              <w:rPr>
                <w:sz w:val="21"/>
                <w:szCs w:val="21"/>
              </w:rPr>
              <w:t>Alternativkostnaden i helse- og omsorgstjenesten</w:t>
            </w:r>
          </w:p>
        </w:tc>
        <w:tc>
          <w:tcPr>
            <w:tcW w:w="2120" w:type="dxa"/>
            <w:tcBorders>
              <w:top w:val="nil"/>
              <w:left w:val="nil"/>
              <w:bottom w:val="nil"/>
              <w:right w:val="nil"/>
            </w:tcBorders>
            <w:tcMar>
              <w:top w:w="128" w:type="dxa"/>
              <w:left w:w="43" w:type="dxa"/>
              <w:bottom w:w="43" w:type="dxa"/>
              <w:right w:w="43" w:type="dxa"/>
            </w:tcMar>
            <w:vAlign w:val="bottom"/>
          </w:tcPr>
          <w:p w14:paraId="4DB8A0D0" w14:textId="77777777" w:rsidR="00D60186" w:rsidRPr="00D4351A" w:rsidRDefault="00D60186" w:rsidP="00D4351A">
            <w:pPr>
              <w:jc w:val="right"/>
              <w:rPr>
                <w:sz w:val="21"/>
                <w:szCs w:val="21"/>
              </w:rPr>
            </w:pPr>
            <w:r w:rsidRPr="00D4351A">
              <w:rPr>
                <w:sz w:val="21"/>
                <w:szCs w:val="21"/>
              </w:rPr>
              <w:t>Nei</w:t>
            </w:r>
          </w:p>
        </w:tc>
      </w:tr>
      <w:tr w:rsidR="00E76DC8" w:rsidRPr="00225D4D" w14:paraId="4AA53ED3"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86EE0C3"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0B16319" w14:textId="77777777" w:rsidR="00D60186" w:rsidRPr="00D4351A" w:rsidRDefault="00D60186" w:rsidP="00D4351A">
            <w:pPr>
              <w:ind w:right="113"/>
              <w:jc w:val="right"/>
              <w:rPr>
                <w:sz w:val="21"/>
                <w:szCs w:val="21"/>
              </w:rPr>
            </w:pPr>
            <w:r w:rsidRPr="00D4351A">
              <w:rPr>
                <w:sz w:val="21"/>
                <w:szCs w:val="21"/>
              </w:rPr>
              <w:t>904</w:t>
            </w:r>
          </w:p>
        </w:tc>
        <w:tc>
          <w:tcPr>
            <w:tcW w:w="5220" w:type="dxa"/>
            <w:tcBorders>
              <w:top w:val="nil"/>
              <w:left w:val="nil"/>
              <w:bottom w:val="nil"/>
              <w:right w:val="nil"/>
            </w:tcBorders>
            <w:tcMar>
              <w:top w:w="128" w:type="dxa"/>
              <w:left w:w="43" w:type="dxa"/>
              <w:bottom w:w="43" w:type="dxa"/>
              <w:right w:w="43" w:type="dxa"/>
            </w:tcMar>
          </w:tcPr>
          <w:p w14:paraId="003369C9" w14:textId="77777777" w:rsidR="00D60186" w:rsidRPr="00D4351A" w:rsidRDefault="00D60186" w:rsidP="00225D4D">
            <w:pPr>
              <w:rPr>
                <w:sz w:val="21"/>
                <w:szCs w:val="21"/>
              </w:rPr>
            </w:pPr>
            <w:r w:rsidRPr="00D4351A">
              <w:rPr>
                <w:sz w:val="21"/>
                <w:szCs w:val="21"/>
              </w:rPr>
              <w:t>Åpenhet i markedene for medisinske produkter</w:t>
            </w:r>
          </w:p>
        </w:tc>
        <w:tc>
          <w:tcPr>
            <w:tcW w:w="2120" w:type="dxa"/>
            <w:tcBorders>
              <w:top w:val="nil"/>
              <w:left w:val="nil"/>
              <w:bottom w:val="nil"/>
              <w:right w:val="nil"/>
            </w:tcBorders>
            <w:tcMar>
              <w:top w:w="128" w:type="dxa"/>
              <w:left w:w="43" w:type="dxa"/>
              <w:bottom w:w="43" w:type="dxa"/>
              <w:right w:w="43" w:type="dxa"/>
            </w:tcMar>
            <w:vAlign w:val="bottom"/>
          </w:tcPr>
          <w:p w14:paraId="4F6E043C" w14:textId="77777777" w:rsidR="00D60186" w:rsidRPr="00D4351A" w:rsidRDefault="00D60186" w:rsidP="00D4351A">
            <w:pPr>
              <w:jc w:val="right"/>
              <w:rPr>
                <w:sz w:val="21"/>
                <w:szCs w:val="21"/>
              </w:rPr>
            </w:pPr>
            <w:r w:rsidRPr="00D4351A">
              <w:rPr>
                <w:sz w:val="21"/>
                <w:szCs w:val="21"/>
              </w:rPr>
              <w:t>Ja</w:t>
            </w:r>
          </w:p>
        </w:tc>
      </w:tr>
      <w:tr w:rsidR="00E76DC8" w:rsidRPr="00225D4D" w14:paraId="440E64A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0680263"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13072B8" w14:textId="77777777" w:rsidR="00D60186" w:rsidRPr="00D4351A" w:rsidRDefault="00D60186" w:rsidP="00D4351A">
            <w:pPr>
              <w:ind w:right="113"/>
              <w:jc w:val="right"/>
              <w:rPr>
                <w:sz w:val="21"/>
                <w:szCs w:val="21"/>
              </w:rPr>
            </w:pPr>
            <w:r w:rsidRPr="00D4351A">
              <w:rPr>
                <w:sz w:val="21"/>
                <w:szCs w:val="21"/>
              </w:rPr>
              <w:t>906</w:t>
            </w:r>
          </w:p>
        </w:tc>
        <w:tc>
          <w:tcPr>
            <w:tcW w:w="5220" w:type="dxa"/>
            <w:tcBorders>
              <w:top w:val="nil"/>
              <w:left w:val="nil"/>
              <w:bottom w:val="nil"/>
              <w:right w:val="nil"/>
            </w:tcBorders>
            <w:tcMar>
              <w:top w:w="128" w:type="dxa"/>
              <w:left w:w="43" w:type="dxa"/>
              <w:bottom w:w="43" w:type="dxa"/>
              <w:right w:w="43" w:type="dxa"/>
            </w:tcMar>
          </w:tcPr>
          <w:p w14:paraId="6AADE61E" w14:textId="77777777" w:rsidR="00D60186" w:rsidRPr="00D4351A" w:rsidRDefault="00D60186" w:rsidP="00225D4D">
            <w:pPr>
              <w:rPr>
                <w:sz w:val="21"/>
                <w:szCs w:val="21"/>
              </w:rPr>
            </w:pPr>
            <w:r w:rsidRPr="00D4351A">
              <w:rPr>
                <w:sz w:val="21"/>
                <w:szCs w:val="21"/>
              </w:rPr>
              <w:t>Profesjonsnøytrale takster</w:t>
            </w:r>
          </w:p>
        </w:tc>
        <w:tc>
          <w:tcPr>
            <w:tcW w:w="2120" w:type="dxa"/>
            <w:tcBorders>
              <w:top w:val="nil"/>
              <w:left w:val="nil"/>
              <w:bottom w:val="nil"/>
              <w:right w:val="nil"/>
            </w:tcBorders>
            <w:tcMar>
              <w:top w:w="128" w:type="dxa"/>
              <w:left w:w="43" w:type="dxa"/>
              <w:bottom w:w="43" w:type="dxa"/>
              <w:right w:w="43" w:type="dxa"/>
            </w:tcMar>
            <w:vAlign w:val="bottom"/>
          </w:tcPr>
          <w:p w14:paraId="2C61EEAE" w14:textId="77777777" w:rsidR="00D60186" w:rsidRPr="00D4351A" w:rsidRDefault="00D60186" w:rsidP="00D4351A">
            <w:pPr>
              <w:jc w:val="right"/>
              <w:rPr>
                <w:sz w:val="21"/>
                <w:szCs w:val="21"/>
              </w:rPr>
            </w:pPr>
            <w:r w:rsidRPr="00D4351A">
              <w:rPr>
                <w:sz w:val="21"/>
                <w:szCs w:val="21"/>
              </w:rPr>
              <w:t>Nei</w:t>
            </w:r>
          </w:p>
        </w:tc>
      </w:tr>
      <w:tr w:rsidR="00E76DC8" w:rsidRPr="00225D4D" w14:paraId="5C31850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73718AD"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7BA9ACA" w14:textId="77777777" w:rsidR="00D60186" w:rsidRPr="00D4351A" w:rsidRDefault="00D60186" w:rsidP="00D4351A">
            <w:pPr>
              <w:ind w:right="113"/>
              <w:jc w:val="right"/>
              <w:rPr>
                <w:sz w:val="21"/>
                <w:szCs w:val="21"/>
              </w:rPr>
            </w:pPr>
            <w:r w:rsidRPr="00D4351A">
              <w:rPr>
                <w:sz w:val="21"/>
                <w:szCs w:val="21"/>
              </w:rPr>
              <w:t>907</w:t>
            </w:r>
          </w:p>
        </w:tc>
        <w:tc>
          <w:tcPr>
            <w:tcW w:w="5220" w:type="dxa"/>
            <w:tcBorders>
              <w:top w:val="nil"/>
              <w:left w:val="nil"/>
              <w:bottom w:val="nil"/>
              <w:right w:val="nil"/>
            </w:tcBorders>
            <w:tcMar>
              <w:top w:w="128" w:type="dxa"/>
              <w:left w:w="43" w:type="dxa"/>
              <w:bottom w:w="43" w:type="dxa"/>
              <w:right w:w="43" w:type="dxa"/>
            </w:tcMar>
          </w:tcPr>
          <w:p w14:paraId="6CD0E742" w14:textId="77777777" w:rsidR="00D60186" w:rsidRPr="00D4351A" w:rsidRDefault="00D60186" w:rsidP="00225D4D">
            <w:pPr>
              <w:rPr>
                <w:sz w:val="21"/>
                <w:szCs w:val="21"/>
              </w:rPr>
            </w:pPr>
            <w:r w:rsidRPr="00D4351A">
              <w:rPr>
                <w:sz w:val="21"/>
                <w:szCs w:val="21"/>
              </w:rPr>
              <w:t>Ideelle og frivillige aktører i akuttberedskapen</w:t>
            </w:r>
          </w:p>
        </w:tc>
        <w:tc>
          <w:tcPr>
            <w:tcW w:w="2120" w:type="dxa"/>
            <w:tcBorders>
              <w:top w:val="nil"/>
              <w:left w:val="nil"/>
              <w:bottom w:val="nil"/>
              <w:right w:val="nil"/>
            </w:tcBorders>
            <w:tcMar>
              <w:top w:w="128" w:type="dxa"/>
              <w:left w:w="43" w:type="dxa"/>
              <w:bottom w:w="43" w:type="dxa"/>
              <w:right w:w="43" w:type="dxa"/>
            </w:tcMar>
            <w:vAlign w:val="bottom"/>
          </w:tcPr>
          <w:p w14:paraId="2544D1CE" w14:textId="77777777" w:rsidR="00D60186" w:rsidRPr="00D4351A" w:rsidRDefault="00D60186" w:rsidP="00D4351A">
            <w:pPr>
              <w:jc w:val="right"/>
              <w:rPr>
                <w:sz w:val="21"/>
                <w:szCs w:val="21"/>
              </w:rPr>
            </w:pPr>
            <w:r w:rsidRPr="00D4351A">
              <w:rPr>
                <w:sz w:val="21"/>
                <w:szCs w:val="21"/>
              </w:rPr>
              <w:t>Ja</w:t>
            </w:r>
          </w:p>
        </w:tc>
      </w:tr>
      <w:tr w:rsidR="00E76DC8" w:rsidRPr="00225D4D" w14:paraId="55AFD8D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2C867E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D470261" w14:textId="77777777" w:rsidR="00D60186" w:rsidRPr="00D4351A" w:rsidRDefault="00D60186" w:rsidP="00D4351A">
            <w:pPr>
              <w:ind w:right="113"/>
              <w:jc w:val="right"/>
              <w:rPr>
                <w:sz w:val="21"/>
                <w:szCs w:val="21"/>
              </w:rPr>
            </w:pPr>
            <w:r w:rsidRPr="00D4351A">
              <w:rPr>
                <w:sz w:val="21"/>
                <w:szCs w:val="21"/>
              </w:rPr>
              <w:t>908</w:t>
            </w:r>
          </w:p>
        </w:tc>
        <w:tc>
          <w:tcPr>
            <w:tcW w:w="5220" w:type="dxa"/>
            <w:tcBorders>
              <w:top w:val="nil"/>
              <w:left w:val="nil"/>
              <w:bottom w:val="nil"/>
              <w:right w:val="nil"/>
            </w:tcBorders>
            <w:tcMar>
              <w:top w:w="128" w:type="dxa"/>
              <w:left w:w="43" w:type="dxa"/>
              <w:bottom w:w="43" w:type="dxa"/>
              <w:right w:w="43" w:type="dxa"/>
            </w:tcMar>
          </w:tcPr>
          <w:p w14:paraId="783307A5" w14:textId="77777777" w:rsidR="00D60186" w:rsidRPr="00D4351A" w:rsidRDefault="00D60186" w:rsidP="00225D4D">
            <w:pPr>
              <w:rPr>
                <w:sz w:val="21"/>
                <w:szCs w:val="21"/>
              </w:rPr>
            </w:pPr>
            <w:r w:rsidRPr="00D4351A">
              <w:rPr>
                <w:sz w:val="21"/>
                <w:szCs w:val="21"/>
              </w:rPr>
              <w:t>Forskrivningsrett for sykepleiere</w:t>
            </w:r>
          </w:p>
        </w:tc>
        <w:tc>
          <w:tcPr>
            <w:tcW w:w="2120" w:type="dxa"/>
            <w:tcBorders>
              <w:top w:val="nil"/>
              <w:left w:val="nil"/>
              <w:bottom w:val="nil"/>
              <w:right w:val="nil"/>
            </w:tcBorders>
            <w:tcMar>
              <w:top w:w="128" w:type="dxa"/>
              <w:left w:w="43" w:type="dxa"/>
              <w:bottom w:w="43" w:type="dxa"/>
              <w:right w:w="43" w:type="dxa"/>
            </w:tcMar>
            <w:vAlign w:val="bottom"/>
          </w:tcPr>
          <w:p w14:paraId="58B93EEC" w14:textId="77777777" w:rsidR="00D60186" w:rsidRPr="00D4351A" w:rsidRDefault="00D60186" w:rsidP="00D4351A">
            <w:pPr>
              <w:jc w:val="right"/>
              <w:rPr>
                <w:sz w:val="21"/>
                <w:szCs w:val="21"/>
              </w:rPr>
            </w:pPr>
            <w:r w:rsidRPr="00D4351A">
              <w:rPr>
                <w:sz w:val="21"/>
                <w:szCs w:val="21"/>
              </w:rPr>
              <w:t>Nei</w:t>
            </w:r>
          </w:p>
        </w:tc>
      </w:tr>
      <w:tr w:rsidR="00E76DC8" w:rsidRPr="00225D4D" w14:paraId="5E978C0A"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61ED300"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7917C7D" w14:textId="77777777" w:rsidR="00D60186" w:rsidRPr="00D4351A" w:rsidRDefault="00D60186" w:rsidP="00D4351A">
            <w:pPr>
              <w:ind w:right="113"/>
              <w:jc w:val="right"/>
              <w:rPr>
                <w:sz w:val="21"/>
                <w:szCs w:val="21"/>
              </w:rPr>
            </w:pPr>
            <w:r w:rsidRPr="00D4351A">
              <w:rPr>
                <w:sz w:val="21"/>
                <w:szCs w:val="21"/>
              </w:rPr>
              <w:t>909</w:t>
            </w:r>
          </w:p>
        </w:tc>
        <w:tc>
          <w:tcPr>
            <w:tcW w:w="5220" w:type="dxa"/>
            <w:tcBorders>
              <w:top w:val="nil"/>
              <w:left w:val="nil"/>
              <w:bottom w:val="nil"/>
              <w:right w:val="nil"/>
            </w:tcBorders>
            <w:tcMar>
              <w:top w:w="128" w:type="dxa"/>
              <w:left w:w="43" w:type="dxa"/>
              <w:bottom w:w="43" w:type="dxa"/>
              <w:right w:w="43" w:type="dxa"/>
            </w:tcMar>
          </w:tcPr>
          <w:p w14:paraId="2361D148" w14:textId="77777777" w:rsidR="00D60186" w:rsidRPr="00D4351A" w:rsidRDefault="00D60186" w:rsidP="00225D4D">
            <w:pPr>
              <w:rPr>
                <w:sz w:val="21"/>
                <w:szCs w:val="21"/>
              </w:rPr>
            </w:pPr>
            <w:r w:rsidRPr="00D4351A">
              <w:rPr>
                <w:sz w:val="21"/>
                <w:szCs w:val="21"/>
              </w:rPr>
              <w:t>Forebygging og helsefremmende arbeid i fastlegetjenesten</w:t>
            </w:r>
          </w:p>
        </w:tc>
        <w:tc>
          <w:tcPr>
            <w:tcW w:w="2120" w:type="dxa"/>
            <w:tcBorders>
              <w:top w:val="nil"/>
              <w:left w:val="nil"/>
              <w:bottom w:val="nil"/>
              <w:right w:val="nil"/>
            </w:tcBorders>
            <w:tcMar>
              <w:top w:w="128" w:type="dxa"/>
              <w:left w:w="43" w:type="dxa"/>
              <w:bottom w:w="43" w:type="dxa"/>
              <w:right w:w="43" w:type="dxa"/>
            </w:tcMar>
            <w:vAlign w:val="bottom"/>
          </w:tcPr>
          <w:p w14:paraId="7AA67305" w14:textId="77777777" w:rsidR="00D60186" w:rsidRPr="00D4351A" w:rsidRDefault="00D60186" w:rsidP="00D4351A">
            <w:pPr>
              <w:jc w:val="right"/>
              <w:rPr>
                <w:sz w:val="21"/>
                <w:szCs w:val="21"/>
              </w:rPr>
            </w:pPr>
            <w:r w:rsidRPr="00D4351A">
              <w:rPr>
                <w:sz w:val="21"/>
                <w:szCs w:val="21"/>
              </w:rPr>
              <w:t>Nei</w:t>
            </w:r>
          </w:p>
        </w:tc>
      </w:tr>
      <w:tr w:rsidR="00E76DC8" w:rsidRPr="00225D4D" w14:paraId="1DC3A5E3"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6E433F8"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BAAB738" w14:textId="77777777" w:rsidR="00D60186" w:rsidRPr="00D4351A" w:rsidRDefault="00D60186" w:rsidP="00D4351A">
            <w:pPr>
              <w:ind w:right="113"/>
              <w:jc w:val="right"/>
              <w:rPr>
                <w:sz w:val="21"/>
                <w:szCs w:val="21"/>
              </w:rPr>
            </w:pPr>
            <w:r w:rsidRPr="00D4351A">
              <w:rPr>
                <w:sz w:val="21"/>
                <w:szCs w:val="21"/>
              </w:rPr>
              <w:t>910</w:t>
            </w:r>
          </w:p>
        </w:tc>
        <w:tc>
          <w:tcPr>
            <w:tcW w:w="5220" w:type="dxa"/>
            <w:tcBorders>
              <w:top w:val="nil"/>
              <w:left w:val="nil"/>
              <w:bottom w:val="nil"/>
              <w:right w:val="nil"/>
            </w:tcBorders>
            <w:tcMar>
              <w:top w:w="128" w:type="dxa"/>
              <w:left w:w="43" w:type="dxa"/>
              <w:bottom w:w="43" w:type="dxa"/>
              <w:right w:w="43" w:type="dxa"/>
            </w:tcMar>
          </w:tcPr>
          <w:p w14:paraId="4F439837" w14:textId="77777777" w:rsidR="00D60186" w:rsidRPr="00D4351A" w:rsidRDefault="00D60186" w:rsidP="00225D4D">
            <w:pPr>
              <w:rPr>
                <w:sz w:val="21"/>
                <w:szCs w:val="21"/>
              </w:rPr>
            </w:pPr>
            <w:r w:rsidRPr="00D4351A">
              <w:rPr>
                <w:sz w:val="21"/>
                <w:szCs w:val="21"/>
              </w:rPr>
              <w:t>Forskrift om helsetjeneste ved samskipnadene</w:t>
            </w:r>
          </w:p>
        </w:tc>
        <w:tc>
          <w:tcPr>
            <w:tcW w:w="2120" w:type="dxa"/>
            <w:tcBorders>
              <w:top w:val="nil"/>
              <w:left w:val="nil"/>
              <w:bottom w:val="nil"/>
              <w:right w:val="nil"/>
            </w:tcBorders>
            <w:tcMar>
              <w:top w:w="128" w:type="dxa"/>
              <w:left w:w="43" w:type="dxa"/>
              <w:bottom w:w="43" w:type="dxa"/>
              <w:right w:w="43" w:type="dxa"/>
            </w:tcMar>
            <w:vAlign w:val="bottom"/>
          </w:tcPr>
          <w:p w14:paraId="6F334AA6" w14:textId="77777777" w:rsidR="00D60186" w:rsidRPr="00D4351A" w:rsidRDefault="00D60186" w:rsidP="00D4351A">
            <w:pPr>
              <w:jc w:val="right"/>
              <w:rPr>
                <w:sz w:val="21"/>
                <w:szCs w:val="21"/>
              </w:rPr>
            </w:pPr>
            <w:r w:rsidRPr="00D4351A">
              <w:rPr>
                <w:sz w:val="21"/>
                <w:szCs w:val="21"/>
              </w:rPr>
              <w:t>Nei</w:t>
            </w:r>
          </w:p>
        </w:tc>
      </w:tr>
      <w:tr w:rsidR="00E76DC8" w:rsidRPr="00225D4D" w14:paraId="62D3807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5BFB85F"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7111C95" w14:textId="77777777" w:rsidR="00D60186" w:rsidRPr="00D4351A" w:rsidRDefault="00D60186" w:rsidP="00D4351A">
            <w:pPr>
              <w:ind w:right="113"/>
              <w:jc w:val="right"/>
              <w:rPr>
                <w:sz w:val="21"/>
                <w:szCs w:val="21"/>
              </w:rPr>
            </w:pPr>
            <w:r w:rsidRPr="00D4351A">
              <w:rPr>
                <w:sz w:val="21"/>
                <w:szCs w:val="21"/>
              </w:rPr>
              <w:t>912</w:t>
            </w:r>
          </w:p>
        </w:tc>
        <w:tc>
          <w:tcPr>
            <w:tcW w:w="5220" w:type="dxa"/>
            <w:tcBorders>
              <w:top w:val="nil"/>
              <w:left w:val="nil"/>
              <w:bottom w:val="nil"/>
              <w:right w:val="nil"/>
            </w:tcBorders>
            <w:tcMar>
              <w:top w:w="128" w:type="dxa"/>
              <w:left w:w="43" w:type="dxa"/>
              <w:bottom w:w="43" w:type="dxa"/>
              <w:right w:w="43" w:type="dxa"/>
            </w:tcMar>
          </w:tcPr>
          <w:p w14:paraId="46825493" w14:textId="77777777" w:rsidR="00D60186" w:rsidRPr="00D4351A" w:rsidRDefault="00D60186" w:rsidP="00225D4D">
            <w:pPr>
              <w:rPr>
                <w:sz w:val="21"/>
                <w:szCs w:val="21"/>
              </w:rPr>
            </w:pPr>
            <w:r w:rsidRPr="00D4351A">
              <w:rPr>
                <w:sz w:val="21"/>
                <w:szCs w:val="21"/>
              </w:rPr>
              <w:t>Evaluering av endringer i helsetilsynsloven mv.</w:t>
            </w:r>
          </w:p>
        </w:tc>
        <w:tc>
          <w:tcPr>
            <w:tcW w:w="2120" w:type="dxa"/>
            <w:tcBorders>
              <w:top w:val="nil"/>
              <w:left w:val="nil"/>
              <w:bottom w:val="nil"/>
              <w:right w:val="nil"/>
            </w:tcBorders>
            <w:tcMar>
              <w:top w:w="128" w:type="dxa"/>
              <w:left w:w="43" w:type="dxa"/>
              <w:bottom w:w="43" w:type="dxa"/>
              <w:right w:w="43" w:type="dxa"/>
            </w:tcMar>
            <w:vAlign w:val="bottom"/>
          </w:tcPr>
          <w:p w14:paraId="10F35A15" w14:textId="77777777" w:rsidR="00D60186" w:rsidRPr="00D4351A" w:rsidRDefault="00D60186" w:rsidP="00D4351A">
            <w:pPr>
              <w:jc w:val="right"/>
              <w:rPr>
                <w:sz w:val="21"/>
                <w:szCs w:val="21"/>
              </w:rPr>
            </w:pPr>
            <w:r w:rsidRPr="00D4351A">
              <w:rPr>
                <w:sz w:val="21"/>
                <w:szCs w:val="21"/>
              </w:rPr>
              <w:t>Nei</w:t>
            </w:r>
          </w:p>
        </w:tc>
      </w:tr>
      <w:tr w:rsidR="00E76DC8" w:rsidRPr="00225D4D" w14:paraId="73FC744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6F42ED8"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0B5F799" w14:textId="77777777" w:rsidR="00D60186" w:rsidRPr="00D4351A" w:rsidRDefault="00D60186" w:rsidP="00D4351A">
            <w:pPr>
              <w:ind w:right="113"/>
              <w:jc w:val="right"/>
              <w:rPr>
                <w:sz w:val="21"/>
                <w:szCs w:val="21"/>
              </w:rPr>
            </w:pPr>
            <w:r w:rsidRPr="00D4351A">
              <w:rPr>
                <w:sz w:val="21"/>
                <w:szCs w:val="21"/>
              </w:rPr>
              <w:t>913</w:t>
            </w:r>
          </w:p>
        </w:tc>
        <w:tc>
          <w:tcPr>
            <w:tcW w:w="5220" w:type="dxa"/>
            <w:tcBorders>
              <w:top w:val="nil"/>
              <w:left w:val="nil"/>
              <w:bottom w:val="nil"/>
              <w:right w:val="nil"/>
            </w:tcBorders>
            <w:tcMar>
              <w:top w:w="128" w:type="dxa"/>
              <w:left w:w="43" w:type="dxa"/>
              <w:bottom w:w="43" w:type="dxa"/>
              <w:right w:w="43" w:type="dxa"/>
            </w:tcMar>
          </w:tcPr>
          <w:p w14:paraId="1FE88E56" w14:textId="77777777" w:rsidR="00D60186" w:rsidRPr="00D4351A" w:rsidRDefault="00D60186" w:rsidP="00225D4D">
            <w:pPr>
              <w:rPr>
                <w:sz w:val="21"/>
                <w:szCs w:val="21"/>
              </w:rPr>
            </w:pPr>
            <w:r w:rsidRPr="00D4351A">
              <w:rPr>
                <w:sz w:val="21"/>
                <w:szCs w:val="21"/>
              </w:rPr>
              <w:t>Evaluering av endringer i helseforskningsloven</w:t>
            </w:r>
          </w:p>
        </w:tc>
        <w:tc>
          <w:tcPr>
            <w:tcW w:w="2120" w:type="dxa"/>
            <w:tcBorders>
              <w:top w:val="nil"/>
              <w:left w:val="nil"/>
              <w:bottom w:val="nil"/>
              <w:right w:val="nil"/>
            </w:tcBorders>
            <w:tcMar>
              <w:top w:w="128" w:type="dxa"/>
              <w:left w:w="43" w:type="dxa"/>
              <w:bottom w:w="43" w:type="dxa"/>
              <w:right w:w="43" w:type="dxa"/>
            </w:tcMar>
            <w:vAlign w:val="bottom"/>
          </w:tcPr>
          <w:p w14:paraId="37A94658" w14:textId="77777777" w:rsidR="00D60186" w:rsidRPr="00D4351A" w:rsidRDefault="00D60186" w:rsidP="00D4351A">
            <w:pPr>
              <w:jc w:val="right"/>
              <w:rPr>
                <w:sz w:val="21"/>
                <w:szCs w:val="21"/>
              </w:rPr>
            </w:pPr>
            <w:r w:rsidRPr="00D4351A">
              <w:rPr>
                <w:sz w:val="21"/>
                <w:szCs w:val="21"/>
              </w:rPr>
              <w:t>Nei</w:t>
            </w:r>
          </w:p>
        </w:tc>
      </w:tr>
      <w:tr w:rsidR="00E76DC8" w:rsidRPr="00225D4D" w14:paraId="5C50AAFB"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705F7F3"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B06009D" w14:textId="77777777" w:rsidR="00D60186" w:rsidRPr="00D4351A" w:rsidRDefault="00D60186" w:rsidP="00D4351A">
            <w:pPr>
              <w:ind w:right="113"/>
              <w:jc w:val="right"/>
              <w:rPr>
                <w:sz w:val="21"/>
                <w:szCs w:val="21"/>
              </w:rPr>
            </w:pPr>
            <w:r w:rsidRPr="00D4351A">
              <w:rPr>
                <w:sz w:val="21"/>
                <w:szCs w:val="21"/>
              </w:rPr>
              <w:t>914</w:t>
            </w:r>
          </w:p>
        </w:tc>
        <w:tc>
          <w:tcPr>
            <w:tcW w:w="5220" w:type="dxa"/>
            <w:tcBorders>
              <w:top w:val="nil"/>
              <w:left w:val="nil"/>
              <w:bottom w:val="nil"/>
              <w:right w:val="nil"/>
            </w:tcBorders>
            <w:tcMar>
              <w:top w:w="128" w:type="dxa"/>
              <w:left w:w="43" w:type="dxa"/>
              <w:bottom w:w="43" w:type="dxa"/>
              <w:right w:w="43" w:type="dxa"/>
            </w:tcMar>
          </w:tcPr>
          <w:p w14:paraId="305270FC" w14:textId="77777777" w:rsidR="00D60186" w:rsidRPr="00D4351A" w:rsidRDefault="00D60186" w:rsidP="00225D4D">
            <w:pPr>
              <w:rPr>
                <w:sz w:val="21"/>
                <w:szCs w:val="21"/>
              </w:rPr>
            </w:pPr>
            <w:r w:rsidRPr="00D4351A">
              <w:rPr>
                <w:sz w:val="21"/>
                <w:szCs w:val="21"/>
              </w:rPr>
              <w:t>Evaluering av forskrift om forbud mot markedsføring av næringsmidler rettet mot barn</w:t>
            </w:r>
          </w:p>
        </w:tc>
        <w:tc>
          <w:tcPr>
            <w:tcW w:w="2120" w:type="dxa"/>
            <w:tcBorders>
              <w:top w:val="nil"/>
              <w:left w:val="nil"/>
              <w:bottom w:val="nil"/>
              <w:right w:val="nil"/>
            </w:tcBorders>
            <w:tcMar>
              <w:top w:w="128" w:type="dxa"/>
              <w:left w:w="43" w:type="dxa"/>
              <w:bottom w:w="43" w:type="dxa"/>
              <w:right w:w="43" w:type="dxa"/>
            </w:tcMar>
            <w:vAlign w:val="bottom"/>
          </w:tcPr>
          <w:p w14:paraId="65C54764" w14:textId="77777777" w:rsidR="00D60186" w:rsidRPr="00D4351A" w:rsidRDefault="00D60186" w:rsidP="00D4351A">
            <w:pPr>
              <w:jc w:val="right"/>
              <w:rPr>
                <w:sz w:val="21"/>
                <w:szCs w:val="21"/>
              </w:rPr>
            </w:pPr>
            <w:r w:rsidRPr="00D4351A">
              <w:rPr>
                <w:sz w:val="21"/>
                <w:szCs w:val="21"/>
              </w:rPr>
              <w:t>Nei</w:t>
            </w:r>
          </w:p>
        </w:tc>
      </w:tr>
      <w:tr w:rsidR="00E76DC8" w:rsidRPr="00225D4D" w14:paraId="0CEAFA8F"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DBC4F5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C3D0650" w14:textId="77777777" w:rsidR="00D60186" w:rsidRPr="00D4351A" w:rsidRDefault="00D60186" w:rsidP="00D4351A">
            <w:pPr>
              <w:ind w:right="113"/>
              <w:jc w:val="right"/>
              <w:rPr>
                <w:sz w:val="21"/>
                <w:szCs w:val="21"/>
              </w:rPr>
            </w:pPr>
            <w:r w:rsidRPr="00D4351A">
              <w:rPr>
                <w:sz w:val="21"/>
                <w:szCs w:val="21"/>
              </w:rPr>
              <w:t>915</w:t>
            </w:r>
          </w:p>
        </w:tc>
        <w:tc>
          <w:tcPr>
            <w:tcW w:w="5220" w:type="dxa"/>
            <w:tcBorders>
              <w:top w:val="nil"/>
              <w:left w:val="nil"/>
              <w:bottom w:val="nil"/>
              <w:right w:val="nil"/>
            </w:tcBorders>
            <w:tcMar>
              <w:top w:w="128" w:type="dxa"/>
              <w:left w:w="43" w:type="dxa"/>
              <w:bottom w:w="43" w:type="dxa"/>
              <w:right w:w="43" w:type="dxa"/>
            </w:tcMar>
          </w:tcPr>
          <w:p w14:paraId="2C280401" w14:textId="77777777" w:rsidR="00D60186" w:rsidRPr="00D4351A" w:rsidRDefault="00D60186" w:rsidP="00225D4D">
            <w:pPr>
              <w:rPr>
                <w:sz w:val="21"/>
                <w:szCs w:val="21"/>
              </w:rPr>
            </w:pPr>
            <w:r w:rsidRPr="00D4351A">
              <w:rPr>
                <w:sz w:val="21"/>
                <w:szCs w:val="21"/>
              </w:rPr>
              <w:t>Iverksettelse av endring i matloven</w:t>
            </w:r>
          </w:p>
        </w:tc>
        <w:tc>
          <w:tcPr>
            <w:tcW w:w="2120" w:type="dxa"/>
            <w:tcBorders>
              <w:top w:val="nil"/>
              <w:left w:val="nil"/>
              <w:bottom w:val="nil"/>
              <w:right w:val="nil"/>
            </w:tcBorders>
            <w:tcMar>
              <w:top w:w="128" w:type="dxa"/>
              <w:left w:w="43" w:type="dxa"/>
              <w:bottom w:w="43" w:type="dxa"/>
              <w:right w:w="43" w:type="dxa"/>
            </w:tcMar>
            <w:vAlign w:val="bottom"/>
          </w:tcPr>
          <w:p w14:paraId="162E6525" w14:textId="77777777" w:rsidR="00D60186" w:rsidRPr="00D4351A" w:rsidRDefault="00D60186" w:rsidP="00D4351A">
            <w:pPr>
              <w:jc w:val="right"/>
              <w:rPr>
                <w:sz w:val="21"/>
                <w:szCs w:val="21"/>
              </w:rPr>
            </w:pPr>
            <w:r w:rsidRPr="00D4351A">
              <w:rPr>
                <w:sz w:val="21"/>
                <w:szCs w:val="21"/>
              </w:rPr>
              <w:t>Ja</w:t>
            </w:r>
          </w:p>
        </w:tc>
      </w:tr>
      <w:tr w:rsidR="00E76DC8" w:rsidRPr="00225D4D" w14:paraId="407FC24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D9B09AE"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FCF27DC" w14:textId="77777777" w:rsidR="00D60186" w:rsidRPr="00D4351A" w:rsidRDefault="00D60186" w:rsidP="00D4351A">
            <w:pPr>
              <w:ind w:right="113"/>
              <w:jc w:val="right"/>
              <w:rPr>
                <w:sz w:val="21"/>
                <w:szCs w:val="21"/>
              </w:rPr>
            </w:pPr>
            <w:r w:rsidRPr="00D4351A">
              <w:rPr>
                <w:sz w:val="21"/>
                <w:szCs w:val="21"/>
              </w:rPr>
              <w:t>961</w:t>
            </w:r>
          </w:p>
        </w:tc>
        <w:tc>
          <w:tcPr>
            <w:tcW w:w="5220" w:type="dxa"/>
            <w:tcBorders>
              <w:top w:val="nil"/>
              <w:left w:val="nil"/>
              <w:bottom w:val="nil"/>
              <w:right w:val="nil"/>
            </w:tcBorders>
            <w:tcMar>
              <w:top w:w="128" w:type="dxa"/>
              <w:left w:w="43" w:type="dxa"/>
              <w:bottom w:w="43" w:type="dxa"/>
              <w:right w:w="43" w:type="dxa"/>
            </w:tcMar>
          </w:tcPr>
          <w:p w14:paraId="3938FFFC" w14:textId="77777777" w:rsidR="00D60186" w:rsidRPr="00D4351A" w:rsidRDefault="00D60186" w:rsidP="00225D4D">
            <w:pPr>
              <w:rPr>
                <w:sz w:val="21"/>
                <w:szCs w:val="21"/>
              </w:rPr>
            </w:pPr>
            <w:r w:rsidRPr="00D4351A">
              <w:rPr>
                <w:sz w:val="21"/>
                <w:szCs w:val="21"/>
              </w:rPr>
              <w:t xml:space="preserve">Hjemmel til henvisning for </w:t>
            </w:r>
            <w:proofErr w:type="spellStart"/>
            <w:r w:rsidRPr="00D4351A">
              <w:rPr>
                <w:sz w:val="21"/>
                <w:szCs w:val="21"/>
              </w:rPr>
              <w:t>russaker</w:t>
            </w:r>
            <w:proofErr w:type="spellEnd"/>
          </w:p>
        </w:tc>
        <w:tc>
          <w:tcPr>
            <w:tcW w:w="2120" w:type="dxa"/>
            <w:tcBorders>
              <w:top w:val="nil"/>
              <w:left w:val="nil"/>
              <w:bottom w:val="nil"/>
              <w:right w:val="nil"/>
            </w:tcBorders>
            <w:tcMar>
              <w:top w:w="128" w:type="dxa"/>
              <w:left w:w="43" w:type="dxa"/>
              <w:bottom w:w="43" w:type="dxa"/>
              <w:right w:w="43" w:type="dxa"/>
            </w:tcMar>
            <w:vAlign w:val="bottom"/>
          </w:tcPr>
          <w:p w14:paraId="5AC130F3" w14:textId="77777777" w:rsidR="00D60186" w:rsidRPr="00D4351A" w:rsidRDefault="00D60186" w:rsidP="00D4351A">
            <w:pPr>
              <w:jc w:val="right"/>
              <w:rPr>
                <w:sz w:val="21"/>
                <w:szCs w:val="21"/>
              </w:rPr>
            </w:pPr>
            <w:r w:rsidRPr="00D4351A">
              <w:rPr>
                <w:sz w:val="21"/>
                <w:szCs w:val="21"/>
              </w:rPr>
              <w:t>Nei</w:t>
            </w:r>
          </w:p>
        </w:tc>
      </w:tr>
      <w:tr w:rsidR="00E76DC8" w:rsidRPr="00225D4D" w14:paraId="5BE70943"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04CFC2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4714BC4" w14:textId="77777777" w:rsidR="00D60186" w:rsidRPr="00D4351A" w:rsidRDefault="00D60186" w:rsidP="00D4351A">
            <w:pPr>
              <w:ind w:right="113"/>
              <w:jc w:val="right"/>
              <w:rPr>
                <w:sz w:val="21"/>
                <w:szCs w:val="21"/>
              </w:rPr>
            </w:pPr>
            <w:r w:rsidRPr="00D4351A">
              <w:rPr>
                <w:sz w:val="21"/>
                <w:szCs w:val="21"/>
              </w:rPr>
              <w:t>962</w:t>
            </w:r>
          </w:p>
        </w:tc>
        <w:tc>
          <w:tcPr>
            <w:tcW w:w="5220" w:type="dxa"/>
            <w:tcBorders>
              <w:top w:val="nil"/>
              <w:left w:val="nil"/>
              <w:bottom w:val="nil"/>
              <w:right w:val="nil"/>
            </w:tcBorders>
            <w:tcMar>
              <w:top w:w="128" w:type="dxa"/>
              <w:left w:w="43" w:type="dxa"/>
              <w:bottom w:w="43" w:type="dxa"/>
              <w:right w:w="43" w:type="dxa"/>
            </w:tcMar>
          </w:tcPr>
          <w:p w14:paraId="29746683" w14:textId="77777777" w:rsidR="00D60186" w:rsidRPr="00D4351A" w:rsidRDefault="00D60186" w:rsidP="00225D4D">
            <w:pPr>
              <w:rPr>
                <w:sz w:val="21"/>
                <w:szCs w:val="21"/>
              </w:rPr>
            </w:pPr>
            <w:r w:rsidRPr="00D4351A">
              <w:rPr>
                <w:sz w:val="21"/>
                <w:szCs w:val="21"/>
              </w:rPr>
              <w:t xml:space="preserve">Vilkår om ruskontroll hos rådgivende enhet for </w:t>
            </w:r>
            <w:proofErr w:type="spellStart"/>
            <w:r w:rsidRPr="00D4351A">
              <w:rPr>
                <w:sz w:val="21"/>
                <w:szCs w:val="21"/>
              </w:rPr>
              <w:t>russaker</w:t>
            </w:r>
            <w:proofErr w:type="spellEnd"/>
          </w:p>
        </w:tc>
        <w:tc>
          <w:tcPr>
            <w:tcW w:w="2120" w:type="dxa"/>
            <w:tcBorders>
              <w:top w:val="nil"/>
              <w:left w:val="nil"/>
              <w:bottom w:val="nil"/>
              <w:right w:val="nil"/>
            </w:tcBorders>
            <w:tcMar>
              <w:top w:w="128" w:type="dxa"/>
              <w:left w:w="43" w:type="dxa"/>
              <w:bottom w:w="43" w:type="dxa"/>
              <w:right w:w="43" w:type="dxa"/>
            </w:tcMar>
            <w:vAlign w:val="bottom"/>
          </w:tcPr>
          <w:p w14:paraId="718D7C50" w14:textId="77777777" w:rsidR="00D60186" w:rsidRPr="00D4351A" w:rsidRDefault="00D60186" w:rsidP="00D4351A">
            <w:pPr>
              <w:jc w:val="right"/>
              <w:rPr>
                <w:sz w:val="21"/>
                <w:szCs w:val="21"/>
              </w:rPr>
            </w:pPr>
            <w:r w:rsidRPr="00D4351A">
              <w:rPr>
                <w:sz w:val="21"/>
                <w:szCs w:val="21"/>
              </w:rPr>
              <w:t>Nei</w:t>
            </w:r>
          </w:p>
        </w:tc>
      </w:tr>
      <w:tr w:rsidR="00E76DC8" w:rsidRPr="00225D4D" w14:paraId="33E6505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95B4773"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DD0E722" w14:textId="77777777" w:rsidR="00D60186" w:rsidRPr="00D4351A" w:rsidRDefault="00D60186" w:rsidP="00D4351A">
            <w:pPr>
              <w:ind w:right="113"/>
              <w:jc w:val="right"/>
              <w:rPr>
                <w:sz w:val="21"/>
                <w:szCs w:val="21"/>
              </w:rPr>
            </w:pPr>
            <w:r w:rsidRPr="00D4351A">
              <w:rPr>
                <w:sz w:val="21"/>
                <w:szCs w:val="21"/>
              </w:rPr>
              <w:t>999</w:t>
            </w:r>
          </w:p>
        </w:tc>
        <w:tc>
          <w:tcPr>
            <w:tcW w:w="5220" w:type="dxa"/>
            <w:tcBorders>
              <w:top w:val="nil"/>
              <w:left w:val="nil"/>
              <w:bottom w:val="nil"/>
              <w:right w:val="nil"/>
            </w:tcBorders>
            <w:tcMar>
              <w:top w:w="128" w:type="dxa"/>
              <w:left w:w="43" w:type="dxa"/>
              <w:bottom w:w="43" w:type="dxa"/>
              <w:right w:w="43" w:type="dxa"/>
            </w:tcMar>
          </w:tcPr>
          <w:p w14:paraId="623FF3D1" w14:textId="77777777" w:rsidR="00D60186" w:rsidRPr="00D4351A" w:rsidRDefault="00D60186" w:rsidP="00225D4D">
            <w:pPr>
              <w:rPr>
                <w:sz w:val="21"/>
                <w:szCs w:val="21"/>
              </w:rPr>
            </w:pPr>
            <w:r w:rsidRPr="00D4351A">
              <w:rPr>
                <w:sz w:val="21"/>
                <w:szCs w:val="21"/>
              </w:rPr>
              <w:t>Langtidsopphold for barn med store og sammensatte behov</w:t>
            </w:r>
          </w:p>
        </w:tc>
        <w:tc>
          <w:tcPr>
            <w:tcW w:w="2120" w:type="dxa"/>
            <w:tcBorders>
              <w:top w:val="nil"/>
              <w:left w:val="nil"/>
              <w:bottom w:val="nil"/>
              <w:right w:val="nil"/>
            </w:tcBorders>
            <w:tcMar>
              <w:top w:w="128" w:type="dxa"/>
              <w:left w:w="43" w:type="dxa"/>
              <w:bottom w:w="43" w:type="dxa"/>
              <w:right w:w="43" w:type="dxa"/>
            </w:tcMar>
            <w:vAlign w:val="bottom"/>
          </w:tcPr>
          <w:p w14:paraId="4A798B6A" w14:textId="77777777" w:rsidR="00D60186" w:rsidRPr="00D4351A" w:rsidRDefault="00D60186" w:rsidP="00D4351A">
            <w:pPr>
              <w:jc w:val="right"/>
              <w:rPr>
                <w:sz w:val="21"/>
                <w:szCs w:val="21"/>
              </w:rPr>
            </w:pPr>
            <w:r w:rsidRPr="00D4351A">
              <w:rPr>
                <w:sz w:val="21"/>
                <w:szCs w:val="21"/>
              </w:rPr>
              <w:t>Ja</w:t>
            </w:r>
          </w:p>
        </w:tc>
      </w:tr>
      <w:tr w:rsidR="00E76DC8" w:rsidRPr="00225D4D" w14:paraId="1C6D703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5A472C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0D4AC24" w14:textId="77777777" w:rsidR="00D60186" w:rsidRPr="00D4351A" w:rsidRDefault="00D60186" w:rsidP="00D4351A">
            <w:pPr>
              <w:ind w:right="113"/>
              <w:jc w:val="right"/>
              <w:rPr>
                <w:sz w:val="21"/>
                <w:szCs w:val="21"/>
              </w:rPr>
            </w:pPr>
            <w:r w:rsidRPr="00D4351A">
              <w:rPr>
                <w:sz w:val="21"/>
                <w:szCs w:val="21"/>
              </w:rPr>
              <w:t>1002</w:t>
            </w:r>
          </w:p>
        </w:tc>
        <w:tc>
          <w:tcPr>
            <w:tcW w:w="5220" w:type="dxa"/>
            <w:tcBorders>
              <w:top w:val="nil"/>
              <w:left w:val="nil"/>
              <w:bottom w:val="nil"/>
              <w:right w:val="nil"/>
            </w:tcBorders>
            <w:tcMar>
              <w:top w:w="128" w:type="dxa"/>
              <w:left w:w="43" w:type="dxa"/>
              <w:bottom w:w="43" w:type="dxa"/>
              <w:right w:w="43" w:type="dxa"/>
            </w:tcMar>
          </w:tcPr>
          <w:p w14:paraId="69DCA51C" w14:textId="77777777" w:rsidR="00D60186" w:rsidRPr="00D4351A" w:rsidRDefault="00D60186" w:rsidP="00225D4D">
            <w:pPr>
              <w:rPr>
                <w:sz w:val="21"/>
                <w:szCs w:val="21"/>
              </w:rPr>
            </w:pPr>
            <w:r w:rsidRPr="00D4351A">
              <w:rPr>
                <w:sz w:val="21"/>
                <w:szCs w:val="21"/>
              </w:rPr>
              <w:t>Barnevernsinstitusjoner og helseteam</w:t>
            </w:r>
          </w:p>
        </w:tc>
        <w:tc>
          <w:tcPr>
            <w:tcW w:w="2120" w:type="dxa"/>
            <w:tcBorders>
              <w:top w:val="nil"/>
              <w:left w:val="nil"/>
              <w:bottom w:val="nil"/>
              <w:right w:val="nil"/>
            </w:tcBorders>
            <w:tcMar>
              <w:top w:w="128" w:type="dxa"/>
              <w:left w:w="43" w:type="dxa"/>
              <w:bottom w:w="43" w:type="dxa"/>
              <w:right w:w="43" w:type="dxa"/>
            </w:tcMar>
            <w:vAlign w:val="bottom"/>
          </w:tcPr>
          <w:p w14:paraId="50B720AD" w14:textId="77777777" w:rsidR="00D60186" w:rsidRPr="00D4351A" w:rsidRDefault="00D60186" w:rsidP="00D4351A">
            <w:pPr>
              <w:jc w:val="right"/>
              <w:rPr>
                <w:sz w:val="21"/>
                <w:szCs w:val="21"/>
              </w:rPr>
            </w:pPr>
            <w:r w:rsidRPr="00D4351A">
              <w:rPr>
                <w:sz w:val="21"/>
                <w:szCs w:val="21"/>
              </w:rPr>
              <w:t xml:space="preserve"> Ja</w:t>
            </w:r>
          </w:p>
        </w:tc>
      </w:tr>
      <w:tr w:rsidR="00E76DC8" w:rsidRPr="00225D4D" w14:paraId="6C68770F"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D764F30"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EC8A52D" w14:textId="77777777" w:rsidR="00D60186" w:rsidRPr="00D4351A" w:rsidRDefault="00D60186" w:rsidP="00D4351A">
            <w:pPr>
              <w:ind w:right="113"/>
              <w:jc w:val="right"/>
              <w:rPr>
                <w:sz w:val="21"/>
                <w:szCs w:val="21"/>
              </w:rPr>
            </w:pPr>
            <w:r w:rsidRPr="00D4351A">
              <w:rPr>
                <w:sz w:val="21"/>
                <w:szCs w:val="21"/>
              </w:rPr>
              <w:t>1003</w:t>
            </w:r>
          </w:p>
        </w:tc>
        <w:tc>
          <w:tcPr>
            <w:tcW w:w="5220" w:type="dxa"/>
            <w:tcBorders>
              <w:top w:val="nil"/>
              <w:left w:val="nil"/>
              <w:bottom w:val="nil"/>
              <w:right w:val="nil"/>
            </w:tcBorders>
            <w:tcMar>
              <w:top w:w="128" w:type="dxa"/>
              <w:left w:w="43" w:type="dxa"/>
              <w:bottom w:w="43" w:type="dxa"/>
              <w:right w:w="43" w:type="dxa"/>
            </w:tcMar>
          </w:tcPr>
          <w:p w14:paraId="627586CA" w14:textId="77777777" w:rsidR="00D60186" w:rsidRPr="00D4351A" w:rsidRDefault="00D60186" w:rsidP="00225D4D">
            <w:pPr>
              <w:rPr>
                <w:sz w:val="21"/>
                <w:szCs w:val="21"/>
              </w:rPr>
            </w:pPr>
            <w:proofErr w:type="spellStart"/>
            <w:r w:rsidRPr="00D4351A">
              <w:rPr>
                <w:sz w:val="21"/>
                <w:szCs w:val="21"/>
              </w:rPr>
              <w:t>Sikkerhetspsykiatrisk</w:t>
            </w:r>
            <w:proofErr w:type="spellEnd"/>
            <w:r w:rsidRPr="00D4351A">
              <w:rPr>
                <w:sz w:val="21"/>
                <w:szCs w:val="21"/>
              </w:rPr>
              <w:t xml:space="preserve"> tilbud barn under 18 år</w:t>
            </w:r>
          </w:p>
        </w:tc>
        <w:tc>
          <w:tcPr>
            <w:tcW w:w="2120" w:type="dxa"/>
            <w:tcBorders>
              <w:top w:val="nil"/>
              <w:left w:val="nil"/>
              <w:bottom w:val="nil"/>
              <w:right w:val="nil"/>
            </w:tcBorders>
            <w:tcMar>
              <w:top w:w="128" w:type="dxa"/>
              <w:left w:w="43" w:type="dxa"/>
              <w:bottom w:w="43" w:type="dxa"/>
              <w:right w:w="43" w:type="dxa"/>
            </w:tcMar>
            <w:vAlign w:val="bottom"/>
          </w:tcPr>
          <w:p w14:paraId="51C0CC3F" w14:textId="77777777" w:rsidR="00D60186" w:rsidRPr="00D4351A" w:rsidRDefault="00D60186" w:rsidP="00D4351A">
            <w:pPr>
              <w:jc w:val="right"/>
              <w:rPr>
                <w:sz w:val="21"/>
                <w:szCs w:val="21"/>
              </w:rPr>
            </w:pPr>
            <w:r w:rsidRPr="00D4351A">
              <w:rPr>
                <w:sz w:val="21"/>
                <w:szCs w:val="21"/>
              </w:rPr>
              <w:t>Ja</w:t>
            </w:r>
          </w:p>
        </w:tc>
      </w:tr>
      <w:tr w:rsidR="00E76DC8" w:rsidRPr="00225D4D" w14:paraId="073B0AB3"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EAC630C"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660B314" w14:textId="77777777" w:rsidR="00D60186" w:rsidRPr="00D4351A" w:rsidRDefault="00D60186" w:rsidP="00D4351A">
            <w:pPr>
              <w:ind w:right="113"/>
              <w:jc w:val="right"/>
              <w:rPr>
                <w:sz w:val="21"/>
                <w:szCs w:val="21"/>
              </w:rPr>
            </w:pPr>
            <w:r w:rsidRPr="00D4351A">
              <w:rPr>
                <w:sz w:val="21"/>
                <w:szCs w:val="21"/>
              </w:rPr>
              <w:t>1032</w:t>
            </w:r>
          </w:p>
        </w:tc>
        <w:tc>
          <w:tcPr>
            <w:tcW w:w="5220" w:type="dxa"/>
            <w:tcBorders>
              <w:top w:val="nil"/>
              <w:left w:val="nil"/>
              <w:bottom w:val="nil"/>
              <w:right w:val="nil"/>
            </w:tcBorders>
            <w:tcMar>
              <w:top w:w="128" w:type="dxa"/>
              <w:left w:w="43" w:type="dxa"/>
              <w:bottom w:w="43" w:type="dxa"/>
              <w:right w:w="43" w:type="dxa"/>
            </w:tcMar>
          </w:tcPr>
          <w:p w14:paraId="36C2D983" w14:textId="77777777" w:rsidR="00D60186" w:rsidRPr="00D4351A" w:rsidRDefault="00D60186" w:rsidP="00225D4D">
            <w:pPr>
              <w:rPr>
                <w:sz w:val="21"/>
                <w:szCs w:val="21"/>
              </w:rPr>
            </w:pPr>
            <w:r w:rsidRPr="00D4351A">
              <w:rPr>
                <w:sz w:val="21"/>
                <w:szCs w:val="21"/>
              </w:rPr>
              <w:t>Ansvarsfordeling i rehabiliterings- og habiliteringstjenester</w:t>
            </w:r>
          </w:p>
        </w:tc>
        <w:tc>
          <w:tcPr>
            <w:tcW w:w="2120" w:type="dxa"/>
            <w:tcBorders>
              <w:top w:val="nil"/>
              <w:left w:val="nil"/>
              <w:bottom w:val="nil"/>
              <w:right w:val="nil"/>
            </w:tcBorders>
            <w:tcMar>
              <w:top w:w="128" w:type="dxa"/>
              <w:left w:w="43" w:type="dxa"/>
              <w:bottom w:w="43" w:type="dxa"/>
              <w:right w:w="43" w:type="dxa"/>
            </w:tcMar>
            <w:vAlign w:val="bottom"/>
          </w:tcPr>
          <w:p w14:paraId="6C1F48DC" w14:textId="77777777" w:rsidR="00D60186" w:rsidRPr="00D4351A" w:rsidRDefault="00D60186" w:rsidP="00D4351A">
            <w:pPr>
              <w:jc w:val="right"/>
              <w:rPr>
                <w:sz w:val="21"/>
                <w:szCs w:val="21"/>
              </w:rPr>
            </w:pPr>
            <w:r w:rsidRPr="00D4351A">
              <w:rPr>
                <w:sz w:val="21"/>
                <w:szCs w:val="21"/>
              </w:rPr>
              <w:t>Ja</w:t>
            </w:r>
          </w:p>
        </w:tc>
      </w:tr>
      <w:tr w:rsidR="00E76DC8" w:rsidRPr="00225D4D" w14:paraId="14D24AC2"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F16225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F30F925" w14:textId="77777777" w:rsidR="00D60186" w:rsidRPr="00D4351A" w:rsidRDefault="00D60186" w:rsidP="00D4351A">
            <w:pPr>
              <w:ind w:right="113"/>
              <w:jc w:val="right"/>
              <w:rPr>
                <w:sz w:val="21"/>
                <w:szCs w:val="21"/>
              </w:rPr>
            </w:pPr>
            <w:r w:rsidRPr="00D4351A">
              <w:rPr>
                <w:sz w:val="21"/>
                <w:szCs w:val="21"/>
              </w:rPr>
              <w:t>1033</w:t>
            </w:r>
          </w:p>
        </w:tc>
        <w:tc>
          <w:tcPr>
            <w:tcW w:w="5220" w:type="dxa"/>
            <w:tcBorders>
              <w:top w:val="nil"/>
              <w:left w:val="nil"/>
              <w:bottom w:val="nil"/>
              <w:right w:val="nil"/>
            </w:tcBorders>
            <w:tcMar>
              <w:top w:w="128" w:type="dxa"/>
              <w:left w:w="43" w:type="dxa"/>
              <w:bottom w:w="43" w:type="dxa"/>
              <w:right w:w="43" w:type="dxa"/>
            </w:tcMar>
          </w:tcPr>
          <w:p w14:paraId="64D2AC1F" w14:textId="77777777" w:rsidR="00D60186" w:rsidRPr="00D4351A" w:rsidRDefault="00D60186" w:rsidP="00225D4D">
            <w:pPr>
              <w:rPr>
                <w:sz w:val="21"/>
                <w:szCs w:val="21"/>
              </w:rPr>
            </w:pPr>
            <w:r w:rsidRPr="00D4351A">
              <w:rPr>
                <w:sz w:val="21"/>
                <w:szCs w:val="21"/>
              </w:rPr>
              <w:t>Gjennomgang av rehabiliterings- og habiliteringstilbudet</w:t>
            </w:r>
          </w:p>
        </w:tc>
        <w:tc>
          <w:tcPr>
            <w:tcW w:w="2120" w:type="dxa"/>
            <w:tcBorders>
              <w:top w:val="nil"/>
              <w:left w:val="nil"/>
              <w:bottom w:val="nil"/>
              <w:right w:val="nil"/>
            </w:tcBorders>
            <w:tcMar>
              <w:top w:w="128" w:type="dxa"/>
              <w:left w:w="43" w:type="dxa"/>
              <w:bottom w:w="43" w:type="dxa"/>
              <w:right w:w="43" w:type="dxa"/>
            </w:tcMar>
            <w:vAlign w:val="bottom"/>
          </w:tcPr>
          <w:p w14:paraId="01221D7F" w14:textId="77777777" w:rsidR="00D60186" w:rsidRPr="00D4351A" w:rsidRDefault="00D60186" w:rsidP="00D4351A">
            <w:pPr>
              <w:jc w:val="right"/>
              <w:rPr>
                <w:sz w:val="21"/>
                <w:szCs w:val="21"/>
              </w:rPr>
            </w:pPr>
            <w:r w:rsidRPr="00D4351A">
              <w:rPr>
                <w:sz w:val="21"/>
                <w:szCs w:val="21"/>
              </w:rPr>
              <w:t>Ja</w:t>
            </w:r>
          </w:p>
        </w:tc>
      </w:tr>
      <w:tr w:rsidR="00E76DC8" w:rsidRPr="00225D4D" w14:paraId="30458F36"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28AC21A"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0454BAF" w14:textId="77777777" w:rsidR="00D60186" w:rsidRPr="00D4351A" w:rsidRDefault="00D60186" w:rsidP="00D4351A">
            <w:pPr>
              <w:ind w:right="113"/>
              <w:jc w:val="right"/>
              <w:rPr>
                <w:sz w:val="21"/>
                <w:szCs w:val="21"/>
              </w:rPr>
            </w:pPr>
            <w:r w:rsidRPr="00D4351A">
              <w:rPr>
                <w:sz w:val="21"/>
                <w:szCs w:val="21"/>
              </w:rPr>
              <w:t>1034</w:t>
            </w:r>
          </w:p>
        </w:tc>
        <w:tc>
          <w:tcPr>
            <w:tcW w:w="5220" w:type="dxa"/>
            <w:tcBorders>
              <w:top w:val="nil"/>
              <w:left w:val="nil"/>
              <w:bottom w:val="nil"/>
              <w:right w:val="nil"/>
            </w:tcBorders>
            <w:tcMar>
              <w:top w:w="128" w:type="dxa"/>
              <w:left w:w="43" w:type="dxa"/>
              <w:bottom w:w="43" w:type="dxa"/>
              <w:right w:w="43" w:type="dxa"/>
            </w:tcMar>
          </w:tcPr>
          <w:p w14:paraId="7D75277A" w14:textId="77777777" w:rsidR="00D60186" w:rsidRPr="00D4351A" w:rsidRDefault="00D60186" w:rsidP="00225D4D">
            <w:pPr>
              <w:rPr>
                <w:sz w:val="21"/>
                <w:szCs w:val="21"/>
              </w:rPr>
            </w:pPr>
            <w:r w:rsidRPr="00D4351A">
              <w:rPr>
                <w:sz w:val="21"/>
                <w:szCs w:val="21"/>
              </w:rPr>
              <w:t>Fødetilbud med lavere intervensjon</w:t>
            </w:r>
          </w:p>
        </w:tc>
        <w:tc>
          <w:tcPr>
            <w:tcW w:w="2120" w:type="dxa"/>
            <w:tcBorders>
              <w:top w:val="nil"/>
              <w:left w:val="nil"/>
              <w:bottom w:val="nil"/>
              <w:right w:val="nil"/>
            </w:tcBorders>
            <w:tcMar>
              <w:top w:w="128" w:type="dxa"/>
              <w:left w:w="43" w:type="dxa"/>
              <w:bottom w:w="43" w:type="dxa"/>
              <w:right w:w="43" w:type="dxa"/>
            </w:tcMar>
            <w:vAlign w:val="bottom"/>
          </w:tcPr>
          <w:p w14:paraId="1278684A" w14:textId="77777777" w:rsidR="00D60186" w:rsidRPr="00D4351A" w:rsidRDefault="00D60186" w:rsidP="00D4351A">
            <w:pPr>
              <w:jc w:val="right"/>
              <w:rPr>
                <w:sz w:val="21"/>
                <w:szCs w:val="21"/>
              </w:rPr>
            </w:pPr>
            <w:r w:rsidRPr="00D4351A">
              <w:rPr>
                <w:sz w:val="21"/>
                <w:szCs w:val="21"/>
              </w:rPr>
              <w:t>Ja</w:t>
            </w:r>
          </w:p>
        </w:tc>
      </w:tr>
      <w:tr w:rsidR="00E76DC8" w:rsidRPr="00225D4D" w14:paraId="09477F8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793EA86"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09903B4" w14:textId="77777777" w:rsidR="00D60186" w:rsidRPr="00D4351A" w:rsidRDefault="00D60186" w:rsidP="00D4351A">
            <w:pPr>
              <w:ind w:right="113"/>
              <w:jc w:val="right"/>
              <w:rPr>
                <w:sz w:val="21"/>
                <w:szCs w:val="21"/>
              </w:rPr>
            </w:pPr>
            <w:r w:rsidRPr="00D4351A">
              <w:rPr>
                <w:sz w:val="21"/>
                <w:szCs w:val="21"/>
              </w:rPr>
              <w:t>1226</w:t>
            </w:r>
          </w:p>
        </w:tc>
        <w:tc>
          <w:tcPr>
            <w:tcW w:w="5220" w:type="dxa"/>
            <w:tcBorders>
              <w:top w:val="nil"/>
              <w:left w:val="nil"/>
              <w:bottom w:val="nil"/>
              <w:right w:val="nil"/>
            </w:tcBorders>
            <w:tcMar>
              <w:top w:w="128" w:type="dxa"/>
              <w:left w:w="43" w:type="dxa"/>
              <w:bottom w:w="43" w:type="dxa"/>
              <w:right w:w="43" w:type="dxa"/>
            </w:tcMar>
          </w:tcPr>
          <w:p w14:paraId="092FCEF6" w14:textId="77777777" w:rsidR="00D60186" w:rsidRPr="00D4351A" w:rsidRDefault="00D60186" w:rsidP="00225D4D">
            <w:pPr>
              <w:rPr>
                <w:sz w:val="21"/>
                <w:szCs w:val="21"/>
              </w:rPr>
            </w:pPr>
            <w:r w:rsidRPr="00D4351A">
              <w:rPr>
                <w:sz w:val="21"/>
                <w:szCs w:val="21"/>
              </w:rPr>
              <w:t>Vurderinger ved endringer i vertskommunetilskuddet</w:t>
            </w:r>
          </w:p>
        </w:tc>
        <w:tc>
          <w:tcPr>
            <w:tcW w:w="2120" w:type="dxa"/>
            <w:tcBorders>
              <w:top w:val="nil"/>
              <w:left w:val="nil"/>
              <w:bottom w:val="nil"/>
              <w:right w:val="nil"/>
            </w:tcBorders>
            <w:tcMar>
              <w:top w:w="128" w:type="dxa"/>
              <w:left w:w="43" w:type="dxa"/>
              <w:bottom w:w="43" w:type="dxa"/>
              <w:right w:w="43" w:type="dxa"/>
            </w:tcMar>
            <w:vAlign w:val="bottom"/>
          </w:tcPr>
          <w:p w14:paraId="0A235A2F" w14:textId="77777777" w:rsidR="00D60186" w:rsidRPr="00D4351A" w:rsidRDefault="00D60186" w:rsidP="00D4351A">
            <w:pPr>
              <w:jc w:val="right"/>
              <w:rPr>
                <w:sz w:val="21"/>
                <w:szCs w:val="21"/>
              </w:rPr>
            </w:pPr>
            <w:r w:rsidRPr="00D4351A">
              <w:rPr>
                <w:sz w:val="21"/>
                <w:szCs w:val="21"/>
              </w:rPr>
              <w:t>Ja</w:t>
            </w:r>
          </w:p>
        </w:tc>
      </w:tr>
      <w:tr w:rsidR="00E76DC8" w:rsidRPr="00225D4D" w14:paraId="23ADD76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6F31919"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71689C6" w14:textId="77777777" w:rsidR="00D60186" w:rsidRPr="00D4351A" w:rsidRDefault="00D60186" w:rsidP="00D4351A">
            <w:pPr>
              <w:ind w:right="113"/>
              <w:jc w:val="right"/>
              <w:rPr>
                <w:sz w:val="21"/>
                <w:szCs w:val="21"/>
              </w:rPr>
            </w:pPr>
            <w:r w:rsidRPr="00D4351A">
              <w:rPr>
                <w:sz w:val="21"/>
                <w:szCs w:val="21"/>
              </w:rPr>
              <w:t>1236</w:t>
            </w:r>
          </w:p>
        </w:tc>
        <w:tc>
          <w:tcPr>
            <w:tcW w:w="5220" w:type="dxa"/>
            <w:tcBorders>
              <w:top w:val="nil"/>
              <w:left w:val="nil"/>
              <w:bottom w:val="nil"/>
              <w:right w:val="nil"/>
            </w:tcBorders>
            <w:tcMar>
              <w:top w:w="128" w:type="dxa"/>
              <w:left w:w="43" w:type="dxa"/>
              <w:bottom w:w="43" w:type="dxa"/>
              <w:right w:w="43" w:type="dxa"/>
            </w:tcMar>
          </w:tcPr>
          <w:p w14:paraId="06B016CF" w14:textId="77777777" w:rsidR="00D60186" w:rsidRPr="00D4351A" w:rsidRDefault="00D60186" w:rsidP="00225D4D">
            <w:pPr>
              <w:rPr>
                <w:sz w:val="21"/>
                <w:szCs w:val="21"/>
              </w:rPr>
            </w:pPr>
            <w:r w:rsidRPr="00D4351A">
              <w:rPr>
                <w:sz w:val="21"/>
                <w:szCs w:val="21"/>
              </w:rPr>
              <w:t>Forsøksordning i Helse Nord vedr. nødvendig overnatting</w:t>
            </w:r>
          </w:p>
        </w:tc>
        <w:tc>
          <w:tcPr>
            <w:tcW w:w="2120" w:type="dxa"/>
            <w:tcBorders>
              <w:top w:val="nil"/>
              <w:left w:val="nil"/>
              <w:bottom w:val="nil"/>
              <w:right w:val="nil"/>
            </w:tcBorders>
            <w:tcMar>
              <w:top w:w="128" w:type="dxa"/>
              <w:left w:w="43" w:type="dxa"/>
              <w:bottom w:w="43" w:type="dxa"/>
              <w:right w:w="43" w:type="dxa"/>
            </w:tcMar>
            <w:vAlign w:val="bottom"/>
          </w:tcPr>
          <w:p w14:paraId="2C67C2ED" w14:textId="77777777" w:rsidR="00D60186" w:rsidRPr="00D4351A" w:rsidRDefault="00D60186" w:rsidP="00D4351A">
            <w:pPr>
              <w:jc w:val="right"/>
              <w:rPr>
                <w:sz w:val="21"/>
                <w:szCs w:val="21"/>
              </w:rPr>
            </w:pPr>
            <w:r w:rsidRPr="00D4351A">
              <w:rPr>
                <w:sz w:val="21"/>
                <w:szCs w:val="21"/>
              </w:rPr>
              <w:t>Ja</w:t>
            </w:r>
          </w:p>
        </w:tc>
      </w:tr>
      <w:tr w:rsidR="00E76DC8" w:rsidRPr="00225D4D" w14:paraId="6EDEF372"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F2C54D4"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2BF2E22" w14:textId="77777777" w:rsidR="00D60186" w:rsidRPr="00D4351A" w:rsidRDefault="00D60186" w:rsidP="00D4351A">
            <w:pPr>
              <w:ind w:right="113"/>
              <w:jc w:val="right"/>
              <w:rPr>
                <w:sz w:val="21"/>
                <w:szCs w:val="21"/>
              </w:rPr>
            </w:pPr>
            <w:r w:rsidRPr="00D4351A">
              <w:rPr>
                <w:sz w:val="21"/>
                <w:szCs w:val="21"/>
              </w:rPr>
              <w:t>1249</w:t>
            </w:r>
          </w:p>
        </w:tc>
        <w:tc>
          <w:tcPr>
            <w:tcW w:w="5220" w:type="dxa"/>
            <w:tcBorders>
              <w:top w:val="nil"/>
              <w:left w:val="nil"/>
              <w:bottom w:val="nil"/>
              <w:right w:val="nil"/>
            </w:tcBorders>
            <w:tcMar>
              <w:top w:w="128" w:type="dxa"/>
              <w:left w:w="43" w:type="dxa"/>
              <w:bottom w:w="43" w:type="dxa"/>
              <w:right w:w="43" w:type="dxa"/>
            </w:tcMar>
          </w:tcPr>
          <w:p w14:paraId="3B5999BB" w14:textId="77777777" w:rsidR="00D60186" w:rsidRPr="00D4351A" w:rsidRDefault="00D60186" w:rsidP="00225D4D">
            <w:pPr>
              <w:rPr>
                <w:sz w:val="21"/>
                <w:szCs w:val="21"/>
              </w:rPr>
            </w:pPr>
            <w:r w:rsidRPr="00D4351A">
              <w:rPr>
                <w:sz w:val="21"/>
                <w:szCs w:val="21"/>
              </w:rPr>
              <w:t xml:space="preserve">God drift og arbeidsmiljø ved nye sykehus </w:t>
            </w:r>
          </w:p>
        </w:tc>
        <w:tc>
          <w:tcPr>
            <w:tcW w:w="2120" w:type="dxa"/>
            <w:tcBorders>
              <w:top w:val="nil"/>
              <w:left w:val="nil"/>
              <w:bottom w:val="nil"/>
              <w:right w:val="nil"/>
            </w:tcBorders>
            <w:tcMar>
              <w:top w:w="128" w:type="dxa"/>
              <w:left w:w="43" w:type="dxa"/>
              <w:bottom w:w="43" w:type="dxa"/>
              <w:right w:w="43" w:type="dxa"/>
            </w:tcMar>
            <w:vAlign w:val="bottom"/>
          </w:tcPr>
          <w:p w14:paraId="776B6A6E" w14:textId="77777777" w:rsidR="00D60186" w:rsidRPr="00D4351A" w:rsidRDefault="00D60186" w:rsidP="00D4351A">
            <w:pPr>
              <w:jc w:val="right"/>
              <w:rPr>
                <w:sz w:val="21"/>
                <w:szCs w:val="21"/>
              </w:rPr>
            </w:pPr>
            <w:r w:rsidRPr="00D4351A">
              <w:rPr>
                <w:sz w:val="21"/>
                <w:szCs w:val="21"/>
              </w:rPr>
              <w:t>Nei</w:t>
            </w:r>
          </w:p>
        </w:tc>
      </w:tr>
      <w:tr w:rsidR="00E76DC8" w:rsidRPr="00225D4D" w14:paraId="2F73745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A2E556C"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E8FF78F" w14:textId="77777777" w:rsidR="00D60186" w:rsidRPr="00D4351A" w:rsidRDefault="00D60186" w:rsidP="00D4351A">
            <w:pPr>
              <w:ind w:right="113"/>
              <w:jc w:val="right"/>
              <w:rPr>
                <w:sz w:val="21"/>
                <w:szCs w:val="21"/>
              </w:rPr>
            </w:pPr>
            <w:r w:rsidRPr="00D4351A">
              <w:rPr>
                <w:sz w:val="21"/>
                <w:szCs w:val="21"/>
              </w:rPr>
              <w:t>3</w:t>
            </w:r>
          </w:p>
        </w:tc>
        <w:tc>
          <w:tcPr>
            <w:tcW w:w="5220" w:type="dxa"/>
            <w:tcBorders>
              <w:top w:val="nil"/>
              <w:left w:val="nil"/>
              <w:bottom w:val="nil"/>
              <w:right w:val="nil"/>
            </w:tcBorders>
            <w:tcMar>
              <w:top w:w="128" w:type="dxa"/>
              <w:left w:w="43" w:type="dxa"/>
              <w:bottom w:w="43" w:type="dxa"/>
              <w:right w:w="43" w:type="dxa"/>
            </w:tcMar>
          </w:tcPr>
          <w:p w14:paraId="5419155F" w14:textId="77777777" w:rsidR="00D60186" w:rsidRPr="00D4351A" w:rsidRDefault="00D60186" w:rsidP="00225D4D">
            <w:pPr>
              <w:rPr>
                <w:sz w:val="21"/>
                <w:szCs w:val="21"/>
              </w:rPr>
            </w:pPr>
            <w:r w:rsidRPr="00D4351A">
              <w:rPr>
                <w:sz w:val="21"/>
                <w:szCs w:val="21"/>
              </w:rPr>
              <w:t>Sikre kvinnehelse i Nasjonal helse- og samhandlingsplan</w:t>
            </w:r>
          </w:p>
        </w:tc>
        <w:tc>
          <w:tcPr>
            <w:tcW w:w="2120" w:type="dxa"/>
            <w:tcBorders>
              <w:top w:val="nil"/>
              <w:left w:val="nil"/>
              <w:bottom w:val="nil"/>
              <w:right w:val="nil"/>
            </w:tcBorders>
            <w:tcMar>
              <w:top w:w="128" w:type="dxa"/>
              <w:left w:w="43" w:type="dxa"/>
              <w:bottom w:w="43" w:type="dxa"/>
              <w:right w:w="43" w:type="dxa"/>
            </w:tcMar>
            <w:vAlign w:val="bottom"/>
          </w:tcPr>
          <w:p w14:paraId="6155B0FB" w14:textId="77777777" w:rsidR="00D60186" w:rsidRPr="00D4351A" w:rsidRDefault="00D60186" w:rsidP="00D4351A">
            <w:pPr>
              <w:jc w:val="right"/>
              <w:rPr>
                <w:sz w:val="21"/>
                <w:szCs w:val="21"/>
              </w:rPr>
            </w:pPr>
            <w:r w:rsidRPr="00D4351A">
              <w:rPr>
                <w:sz w:val="21"/>
                <w:szCs w:val="21"/>
              </w:rPr>
              <w:t>Ja</w:t>
            </w:r>
          </w:p>
        </w:tc>
      </w:tr>
      <w:tr w:rsidR="00E76DC8" w:rsidRPr="00225D4D" w14:paraId="5C528CAA"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B43CBD4"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2EF7F1F" w14:textId="77777777" w:rsidR="00D60186" w:rsidRPr="00D4351A" w:rsidRDefault="00D60186" w:rsidP="00D4351A">
            <w:pPr>
              <w:ind w:right="113"/>
              <w:jc w:val="right"/>
              <w:rPr>
                <w:sz w:val="21"/>
                <w:szCs w:val="21"/>
              </w:rPr>
            </w:pPr>
            <w:r w:rsidRPr="00D4351A">
              <w:rPr>
                <w:sz w:val="21"/>
                <w:szCs w:val="21"/>
              </w:rPr>
              <w:t>121</w:t>
            </w:r>
          </w:p>
        </w:tc>
        <w:tc>
          <w:tcPr>
            <w:tcW w:w="5220" w:type="dxa"/>
            <w:tcBorders>
              <w:top w:val="nil"/>
              <w:left w:val="nil"/>
              <w:bottom w:val="nil"/>
              <w:right w:val="nil"/>
            </w:tcBorders>
            <w:tcMar>
              <w:top w:w="128" w:type="dxa"/>
              <w:left w:w="43" w:type="dxa"/>
              <w:bottom w:w="43" w:type="dxa"/>
              <w:right w:w="43" w:type="dxa"/>
            </w:tcMar>
          </w:tcPr>
          <w:p w14:paraId="68ECB2E2" w14:textId="77777777" w:rsidR="00D60186" w:rsidRPr="00D4351A" w:rsidRDefault="00D60186" w:rsidP="00225D4D">
            <w:pPr>
              <w:rPr>
                <w:sz w:val="21"/>
                <w:szCs w:val="21"/>
              </w:rPr>
            </w:pPr>
            <w:r w:rsidRPr="00D4351A">
              <w:rPr>
                <w:sz w:val="21"/>
                <w:szCs w:val="21"/>
              </w:rPr>
              <w:t>Helseutfordringer knyttet til rasisme og diskriminering</w:t>
            </w:r>
          </w:p>
        </w:tc>
        <w:tc>
          <w:tcPr>
            <w:tcW w:w="2120" w:type="dxa"/>
            <w:tcBorders>
              <w:top w:val="nil"/>
              <w:left w:val="nil"/>
              <w:bottom w:val="nil"/>
              <w:right w:val="nil"/>
            </w:tcBorders>
            <w:tcMar>
              <w:top w:w="128" w:type="dxa"/>
              <w:left w:w="43" w:type="dxa"/>
              <w:bottom w:w="43" w:type="dxa"/>
              <w:right w:w="43" w:type="dxa"/>
            </w:tcMar>
            <w:vAlign w:val="bottom"/>
          </w:tcPr>
          <w:p w14:paraId="5B977439"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5B2B8E9E"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5EB4D6B"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F05DEC9" w14:textId="77777777" w:rsidR="00D60186" w:rsidRPr="00D4351A" w:rsidRDefault="00D60186" w:rsidP="00D4351A">
            <w:pPr>
              <w:ind w:right="113"/>
              <w:jc w:val="right"/>
              <w:rPr>
                <w:sz w:val="21"/>
                <w:szCs w:val="21"/>
              </w:rPr>
            </w:pPr>
            <w:r w:rsidRPr="00D4351A">
              <w:rPr>
                <w:sz w:val="21"/>
                <w:szCs w:val="21"/>
              </w:rPr>
              <w:t>122</w:t>
            </w:r>
          </w:p>
        </w:tc>
        <w:tc>
          <w:tcPr>
            <w:tcW w:w="5220" w:type="dxa"/>
            <w:tcBorders>
              <w:top w:val="nil"/>
              <w:left w:val="nil"/>
              <w:bottom w:val="nil"/>
              <w:right w:val="nil"/>
            </w:tcBorders>
            <w:tcMar>
              <w:top w:w="128" w:type="dxa"/>
              <w:left w:w="43" w:type="dxa"/>
              <w:bottom w:w="43" w:type="dxa"/>
              <w:right w:w="43" w:type="dxa"/>
            </w:tcMar>
          </w:tcPr>
          <w:p w14:paraId="6F40817C" w14:textId="77777777" w:rsidR="00D60186" w:rsidRPr="00D4351A" w:rsidRDefault="00D60186" w:rsidP="00225D4D">
            <w:pPr>
              <w:rPr>
                <w:sz w:val="21"/>
                <w:szCs w:val="21"/>
              </w:rPr>
            </w:pPr>
            <w:r w:rsidRPr="00D4351A">
              <w:rPr>
                <w:sz w:val="21"/>
                <w:szCs w:val="21"/>
              </w:rPr>
              <w:t>Oppfølging av spesialister som arbeider med psykisk helsevern</w:t>
            </w:r>
          </w:p>
        </w:tc>
        <w:tc>
          <w:tcPr>
            <w:tcW w:w="2120" w:type="dxa"/>
            <w:tcBorders>
              <w:top w:val="nil"/>
              <w:left w:val="nil"/>
              <w:bottom w:val="nil"/>
              <w:right w:val="nil"/>
            </w:tcBorders>
            <w:tcMar>
              <w:top w:w="128" w:type="dxa"/>
              <w:left w:w="43" w:type="dxa"/>
              <w:bottom w:w="43" w:type="dxa"/>
              <w:right w:w="43" w:type="dxa"/>
            </w:tcMar>
            <w:vAlign w:val="bottom"/>
          </w:tcPr>
          <w:p w14:paraId="18B4624B"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360ED56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10B2628"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3C38F72" w14:textId="77777777" w:rsidR="00D60186" w:rsidRPr="00D4351A" w:rsidRDefault="00D60186" w:rsidP="00D4351A">
            <w:pPr>
              <w:ind w:right="113"/>
              <w:jc w:val="right"/>
              <w:rPr>
                <w:sz w:val="21"/>
                <w:szCs w:val="21"/>
              </w:rPr>
            </w:pPr>
            <w:r w:rsidRPr="00D4351A">
              <w:rPr>
                <w:sz w:val="21"/>
                <w:szCs w:val="21"/>
              </w:rPr>
              <w:t>123</w:t>
            </w:r>
          </w:p>
        </w:tc>
        <w:tc>
          <w:tcPr>
            <w:tcW w:w="5220" w:type="dxa"/>
            <w:tcBorders>
              <w:top w:val="nil"/>
              <w:left w:val="nil"/>
              <w:bottom w:val="nil"/>
              <w:right w:val="nil"/>
            </w:tcBorders>
            <w:tcMar>
              <w:top w:w="128" w:type="dxa"/>
              <w:left w:w="43" w:type="dxa"/>
              <w:bottom w:w="43" w:type="dxa"/>
              <w:right w:w="43" w:type="dxa"/>
            </w:tcMar>
          </w:tcPr>
          <w:p w14:paraId="5062C3C2" w14:textId="77777777" w:rsidR="00D60186" w:rsidRPr="00D4351A" w:rsidRDefault="00D60186" w:rsidP="00225D4D">
            <w:pPr>
              <w:rPr>
                <w:sz w:val="21"/>
                <w:szCs w:val="21"/>
              </w:rPr>
            </w:pPr>
            <w:r w:rsidRPr="00D4351A">
              <w:rPr>
                <w:sz w:val="21"/>
                <w:szCs w:val="21"/>
              </w:rPr>
              <w:t>Helseteam i barneverntjenesten</w:t>
            </w:r>
          </w:p>
        </w:tc>
        <w:tc>
          <w:tcPr>
            <w:tcW w:w="2120" w:type="dxa"/>
            <w:tcBorders>
              <w:top w:val="nil"/>
              <w:left w:val="nil"/>
              <w:bottom w:val="nil"/>
              <w:right w:val="nil"/>
            </w:tcBorders>
            <w:tcMar>
              <w:top w:w="128" w:type="dxa"/>
              <w:left w:w="43" w:type="dxa"/>
              <w:bottom w:w="43" w:type="dxa"/>
              <w:right w:w="43" w:type="dxa"/>
            </w:tcMar>
            <w:vAlign w:val="bottom"/>
          </w:tcPr>
          <w:p w14:paraId="77FCBDEB" w14:textId="77777777" w:rsidR="00D60186" w:rsidRPr="00D4351A" w:rsidRDefault="00D60186" w:rsidP="00D4351A">
            <w:pPr>
              <w:jc w:val="right"/>
              <w:rPr>
                <w:sz w:val="21"/>
                <w:szCs w:val="21"/>
              </w:rPr>
            </w:pPr>
            <w:r w:rsidRPr="00D4351A">
              <w:rPr>
                <w:sz w:val="21"/>
                <w:szCs w:val="21"/>
              </w:rPr>
              <w:t>Ja</w:t>
            </w:r>
          </w:p>
        </w:tc>
      </w:tr>
      <w:tr w:rsidR="00E76DC8" w:rsidRPr="00225D4D" w14:paraId="13416E1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21DEC7E"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1068554" w14:textId="77777777" w:rsidR="00D60186" w:rsidRPr="00D4351A" w:rsidRDefault="00D60186" w:rsidP="00D4351A">
            <w:pPr>
              <w:ind w:right="113"/>
              <w:jc w:val="right"/>
              <w:rPr>
                <w:sz w:val="21"/>
                <w:szCs w:val="21"/>
              </w:rPr>
            </w:pPr>
            <w:r w:rsidRPr="00D4351A">
              <w:rPr>
                <w:sz w:val="21"/>
                <w:szCs w:val="21"/>
              </w:rPr>
              <w:t>124</w:t>
            </w:r>
          </w:p>
        </w:tc>
        <w:tc>
          <w:tcPr>
            <w:tcW w:w="5220" w:type="dxa"/>
            <w:tcBorders>
              <w:top w:val="nil"/>
              <w:left w:val="nil"/>
              <w:bottom w:val="nil"/>
              <w:right w:val="nil"/>
            </w:tcBorders>
            <w:tcMar>
              <w:top w:w="128" w:type="dxa"/>
              <w:left w:w="43" w:type="dxa"/>
              <w:bottom w:w="43" w:type="dxa"/>
              <w:right w:w="43" w:type="dxa"/>
            </w:tcMar>
          </w:tcPr>
          <w:p w14:paraId="72359C30" w14:textId="77777777" w:rsidR="00D60186" w:rsidRPr="00D4351A" w:rsidRDefault="00D60186" w:rsidP="00225D4D">
            <w:pPr>
              <w:rPr>
                <w:sz w:val="21"/>
                <w:szCs w:val="21"/>
              </w:rPr>
            </w:pPr>
            <w:r w:rsidRPr="00D4351A">
              <w:rPr>
                <w:sz w:val="21"/>
                <w:szCs w:val="21"/>
              </w:rPr>
              <w:t>Personlige økonomiske hensyn i det selvmordsforebyggende arbeidet</w:t>
            </w:r>
          </w:p>
        </w:tc>
        <w:tc>
          <w:tcPr>
            <w:tcW w:w="2120" w:type="dxa"/>
            <w:tcBorders>
              <w:top w:val="nil"/>
              <w:left w:val="nil"/>
              <w:bottom w:val="nil"/>
              <w:right w:val="nil"/>
            </w:tcBorders>
            <w:tcMar>
              <w:top w:w="128" w:type="dxa"/>
              <w:left w:w="43" w:type="dxa"/>
              <w:bottom w:w="43" w:type="dxa"/>
              <w:right w:w="43" w:type="dxa"/>
            </w:tcMar>
            <w:vAlign w:val="bottom"/>
          </w:tcPr>
          <w:p w14:paraId="0DB5D1E1"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2EA9549B"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02961E3"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E9D3321" w14:textId="77777777" w:rsidR="00D60186" w:rsidRPr="00D4351A" w:rsidRDefault="00D60186" w:rsidP="00D4351A">
            <w:pPr>
              <w:ind w:right="113"/>
              <w:jc w:val="right"/>
              <w:rPr>
                <w:sz w:val="21"/>
                <w:szCs w:val="21"/>
              </w:rPr>
            </w:pPr>
            <w:r w:rsidRPr="00D4351A">
              <w:rPr>
                <w:sz w:val="21"/>
                <w:szCs w:val="21"/>
              </w:rPr>
              <w:t>125</w:t>
            </w:r>
          </w:p>
        </w:tc>
        <w:tc>
          <w:tcPr>
            <w:tcW w:w="5220" w:type="dxa"/>
            <w:tcBorders>
              <w:top w:val="nil"/>
              <w:left w:val="nil"/>
              <w:bottom w:val="nil"/>
              <w:right w:val="nil"/>
            </w:tcBorders>
            <w:tcMar>
              <w:top w:w="128" w:type="dxa"/>
              <w:left w:w="43" w:type="dxa"/>
              <w:bottom w:w="43" w:type="dxa"/>
              <w:right w:w="43" w:type="dxa"/>
            </w:tcMar>
          </w:tcPr>
          <w:p w14:paraId="4FBF67E2" w14:textId="77777777" w:rsidR="00D60186" w:rsidRPr="00D4351A" w:rsidRDefault="00D60186" w:rsidP="00225D4D">
            <w:pPr>
              <w:rPr>
                <w:sz w:val="21"/>
                <w:szCs w:val="21"/>
              </w:rPr>
            </w:pPr>
            <w:r w:rsidRPr="00D4351A">
              <w:rPr>
                <w:sz w:val="21"/>
                <w:szCs w:val="21"/>
              </w:rPr>
              <w:t xml:space="preserve">Konkrete tiltak i opptrappingsplan psykisk helse </w:t>
            </w:r>
          </w:p>
        </w:tc>
        <w:tc>
          <w:tcPr>
            <w:tcW w:w="2120" w:type="dxa"/>
            <w:tcBorders>
              <w:top w:val="nil"/>
              <w:left w:val="nil"/>
              <w:bottom w:val="nil"/>
              <w:right w:val="nil"/>
            </w:tcBorders>
            <w:tcMar>
              <w:top w:w="128" w:type="dxa"/>
              <w:left w:w="43" w:type="dxa"/>
              <w:bottom w:w="43" w:type="dxa"/>
              <w:right w:w="43" w:type="dxa"/>
            </w:tcMar>
            <w:vAlign w:val="bottom"/>
          </w:tcPr>
          <w:p w14:paraId="7D011C58" w14:textId="77777777" w:rsidR="00D60186" w:rsidRPr="00D4351A" w:rsidRDefault="00D60186" w:rsidP="00D4351A">
            <w:pPr>
              <w:jc w:val="right"/>
              <w:rPr>
                <w:sz w:val="21"/>
                <w:szCs w:val="21"/>
              </w:rPr>
            </w:pPr>
            <w:r w:rsidRPr="00D4351A">
              <w:rPr>
                <w:sz w:val="21"/>
                <w:szCs w:val="21"/>
              </w:rPr>
              <w:t>Ja</w:t>
            </w:r>
          </w:p>
        </w:tc>
      </w:tr>
      <w:tr w:rsidR="00E76DC8" w:rsidRPr="00225D4D" w14:paraId="3EA7E2ED"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11F82DF"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0EC6035" w14:textId="77777777" w:rsidR="00D60186" w:rsidRPr="00D4351A" w:rsidRDefault="00D60186" w:rsidP="00D4351A">
            <w:pPr>
              <w:ind w:right="113"/>
              <w:jc w:val="right"/>
              <w:rPr>
                <w:sz w:val="21"/>
                <w:szCs w:val="21"/>
              </w:rPr>
            </w:pPr>
            <w:r w:rsidRPr="00D4351A">
              <w:rPr>
                <w:sz w:val="21"/>
                <w:szCs w:val="21"/>
              </w:rPr>
              <w:t>489</w:t>
            </w:r>
          </w:p>
        </w:tc>
        <w:tc>
          <w:tcPr>
            <w:tcW w:w="5220" w:type="dxa"/>
            <w:tcBorders>
              <w:top w:val="nil"/>
              <w:left w:val="nil"/>
              <w:bottom w:val="nil"/>
              <w:right w:val="nil"/>
            </w:tcBorders>
            <w:tcMar>
              <w:top w:w="128" w:type="dxa"/>
              <w:left w:w="43" w:type="dxa"/>
              <w:bottom w:w="43" w:type="dxa"/>
              <w:right w:w="43" w:type="dxa"/>
            </w:tcMar>
          </w:tcPr>
          <w:p w14:paraId="273397C3" w14:textId="77777777" w:rsidR="00D60186" w:rsidRPr="00D4351A" w:rsidRDefault="00D60186" w:rsidP="00225D4D">
            <w:pPr>
              <w:rPr>
                <w:sz w:val="21"/>
                <w:szCs w:val="21"/>
              </w:rPr>
            </w:pPr>
            <w:r w:rsidRPr="00D4351A">
              <w:rPr>
                <w:sz w:val="21"/>
                <w:szCs w:val="21"/>
              </w:rPr>
              <w:t>Stortingsmelding om BPA</w:t>
            </w:r>
          </w:p>
        </w:tc>
        <w:tc>
          <w:tcPr>
            <w:tcW w:w="2120" w:type="dxa"/>
            <w:tcBorders>
              <w:top w:val="nil"/>
              <w:left w:val="nil"/>
              <w:bottom w:val="nil"/>
              <w:right w:val="nil"/>
            </w:tcBorders>
            <w:tcMar>
              <w:top w:w="128" w:type="dxa"/>
              <w:left w:w="43" w:type="dxa"/>
              <w:bottom w:w="43" w:type="dxa"/>
              <w:right w:w="43" w:type="dxa"/>
            </w:tcMar>
            <w:vAlign w:val="bottom"/>
          </w:tcPr>
          <w:p w14:paraId="0151EAC3" w14:textId="77777777" w:rsidR="00D60186" w:rsidRPr="00D4351A" w:rsidRDefault="00D60186" w:rsidP="00D4351A">
            <w:pPr>
              <w:jc w:val="right"/>
              <w:rPr>
                <w:sz w:val="21"/>
                <w:szCs w:val="21"/>
              </w:rPr>
            </w:pPr>
            <w:r w:rsidRPr="00D4351A">
              <w:rPr>
                <w:sz w:val="21"/>
                <w:szCs w:val="21"/>
              </w:rPr>
              <w:t>Nei</w:t>
            </w:r>
          </w:p>
        </w:tc>
      </w:tr>
      <w:tr w:rsidR="00E76DC8" w:rsidRPr="00225D4D" w14:paraId="39CC271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9B97EC2"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C40A38D" w14:textId="77777777" w:rsidR="00D60186" w:rsidRPr="00D4351A" w:rsidRDefault="00D60186" w:rsidP="00D4351A">
            <w:pPr>
              <w:ind w:right="113"/>
              <w:jc w:val="right"/>
              <w:rPr>
                <w:sz w:val="21"/>
                <w:szCs w:val="21"/>
              </w:rPr>
            </w:pPr>
            <w:r w:rsidRPr="00D4351A">
              <w:rPr>
                <w:sz w:val="21"/>
                <w:szCs w:val="21"/>
              </w:rPr>
              <w:t>543</w:t>
            </w:r>
          </w:p>
        </w:tc>
        <w:tc>
          <w:tcPr>
            <w:tcW w:w="5220" w:type="dxa"/>
            <w:tcBorders>
              <w:top w:val="nil"/>
              <w:left w:val="nil"/>
              <w:bottom w:val="nil"/>
              <w:right w:val="nil"/>
            </w:tcBorders>
            <w:tcMar>
              <w:top w:w="128" w:type="dxa"/>
              <w:left w:w="43" w:type="dxa"/>
              <w:bottom w:w="43" w:type="dxa"/>
              <w:right w:w="43" w:type="dxa"/>
            </w:tcMar>
          </w:tcPr>
          <w:p w14:paraId="06CF5894" w14:textId="77777777" w:rsidR="00D60186" w:rsidRPr="00D4351A" w:rsidRDefault="00D60186" w:rsidP="00225D4D">
            <w:pPr>
              <w:rPr>
                <w:sz w:val="21"/>
                <w:szCs w:val="21"/>
              </w:rPr>
            </w:pPr>
            <w:r w:rsidRPr="00D4351A">
              <w:rPr>
                <w:sz w:val="21"/>
                <w:szCs w:val="21"/>
              </w:rPr>
              <w:t>Frivillighetens rolle i helseberedskapen</w:t>
            </w:r>
          </w:p>
        </w:tc>
        <w:tc>
          <w:tcPr>
            <w:tcW w:w="2120" w:type="dxa"/>
            <w:tcBorders>
              <w:top w:val="nil"/>
              <w:left w:val="nil"/>
              <w:bottom w:val="nil"/>
              <w:right w:val="nil"/>
            </w:tcBorders>
            <w:tcMar>
              <w:top w:w="128" w:type="dxa"/>
              <w:left w:w="43" w:type="dxa"/>
              <w:bottom w:w="43" w:type="dxa"/>
              <w:right w:w="43" w:type="dxa"/>
            </w:tcMar>
            <w:vAlign w:val="bottom"/>
          </w:tcPr>
          <w:p w14:paraId="5B85DF16" w14:textId="77777777" w:rsidR="00D60186" w:rsidRPr="00D4351A" w:rsidRDefault="00D60186" w:rsidP="00D4351A">
            <w:pPr>
              <w:jc w:val="right"/>
              <w:rPr>
                <w:sz w:val="21"/>
                <w:szCs w:val="21"/>
              </w:rPr>
            </w:pPr>
            <w:r w:rsidRPr="00D4351A">
              <w:rPr>
                <w:sz w:val="21"/>
                <w:szCs w:val="21"/>
              </w:rPr>
              <w:t>Ja</w:t>
            </w:r>
          </w:p>
        </w:tc>
      </w:tr>
      <w:tr w:rsidR="00E76DC8" w:rsidRPr="00225D4D" w14:paraId="21F02B5A"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8052806"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8DD59A1" w14:textId="77777777" w:rsidR="00D60186" w:rsidRPr="00D4351A" w:rsidRDefault="00D60186" w:rsidP="00D4351A">
            <w:pPr>
              <w:ind w:right="113"/>
              <w:jc w:val="right"/>
              <w:rPr>
                <w:sz w:val="21"/>
                <w:szCs w:val="21"/>
              </w:rPr>
            </w:pPr>
            <w:r w:rsidRPr="00D4351A">
              <w:rPr>
                <w:sz w:val="21"/>
                <w:szCs w:val="21"/>
              </w:rPr>
              <w:t>612</w:t>
            </w:r>
          </w:p>
        </w:tc>
        <w:tc>
          <w:tcPr>
            <w:tcW w:w="5220" w:type="dxa"/>
            <w:tcBorders>
              <w:top w:val="nil"/>
              <w:left w:val="nil"/>
              <w:bottom w:val="nil"/>
              <w:right w:val="nil"/>
            </w:tcBorders>
            <w:tcMar>
              <w:top w:w="128" w:type="dxa"/>
              <w:left w:w="43" w:type="dxa"/>
              <w:bottom w:w="43" w:type="dxa"/>
              <w:right w:w="43" w:type="dxa"/>
            </w:tcMar>
          </w:tcPr>
          <w:p w14:paraId="4EC43B19" w14:textId="77777777" w:rsidR="00D60186" w:rsidRPr="00D4351A" w:rsidRDefault="00D60186" w:rsidP="00225D4D">
            <w:pPr>
              <w:rPr>
                <w:sz w:val="21"/>
                <w:szCs w:val="21"/>
              </w:rPr>
            </w:pPr>
            <w:r w:rsidRPr="00D4351A">
              <w:rPr>
                <w:sz w:val="21"/>
                <w:szCs w:val="21"/>
              </w:rPr>
              <w:t>Overgrepsmottak for barn</w:t>
            </w:r>
          </w:p>
        </w:tc>
        <w:tc>
          <w:tcPr>
            <w:tcW w:w="2120" w:type="dxa"/>
            <w:tcBorders>
              <w:top w:val="nil"/>
              <w:left w:val="nil"/>
              <w:bottom w:val="nil"/>
              <w:right w:val="nil"/>
            </w:tcBorders>
            <w:tcMar>
              <w:top w:w="128" w:type="dxa"/>
              <w:left w:w="43" w:type="dxa"/>
              <w:bottom w:w="43" w:type="dxa"/>
              <w:right w:w="43" w:type="dxa"/>
            </w:tcMar>
            <w:vAlign w:val="bottom"/>
          </w:tcPr>
          <w:p w14:paraId="591BFE1B" w14:textId="77777777" w:rsidR="00D60186" w:rsidRPr="00D4351A" w:rsidRDefault="00D60186" w:rsidP="00D4351A">
            <w:pPr>
              <w:jc w:val="right"/>
              <w:rPr>
                <w:sz w:val="21"/>
                <w:szCs w:val="21"/>
              </w:rPr>
            </w:pPr>
            <w:r w:rsidRPr="00D4351A">
              <w:rPr>
                <w:sz w:val="21"/>
                <w:szCs w:val="21"/>
              </w:rPr>
              <w:t>Ja</w:t>
            </w:r>
          </w:p>
        </w:tc>
      </w:tr>
      <w:tr w:rsidR="00E76DC8" w:rsidRPr="00225D4D" w14:paraId="57FD3A0F"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5BBD17F"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160B8A5" w14:textId="77777777" w:rsidR="00D60186" w:rsidRPr="00D4351A" w:rsidRDefault="00D60186" w:rsidP="00D4351A">
            <w:pPr>
              <w:ind w:right="113"/>
              <w:jc w:val="right"/>
              <w:rPr>
                <w:sz w:val="21"/>
                <w:szCs w:val="21"/>
              </w:rPr>
            </w:pPr>
            <w:r w:rsidRPr="00D4351A">
              <w:rPr>
                <w:sz w:val="21"/>
                <w:szCs w:val="21"/>
              </w:rPr>
              <w:t>614</w:t>
            </w:r>
          </w:p>
        </w:tc>
        <w:tc>
          <w:tcPr>
            <w:tcW w:w="5220" w:type="dxa"/>
            <w:tcBorders>
              <w:top w:val="nil"/>
              <w:left w:val="nil"/>
              <w:bottom w:val="nil"/>
              <w:right w:val="nil"/>
            </w:tcBorders>
            <w:tcMar>
              <w:top w:w="128" w:type="dxa"/>
              <w:left w:w="43" w:type="dxa"/>
              <w:bottom w:w="43" w:type="dxa"/>
              <w:right w:w="43" w:type="dxa"/>
            </w:tcMar>
          </w:tcPr>
          <w:p w14:paraId="56988508" w14:textId="77777777" w:rsidR="00D60186" w:rsidRPr="00D4351A" w:rsidRDefault="00D60186" w:rsidP="00225D4D">
            <w:pPr>
              <w:rPr>
                <w:sz w:val="21"/>
                <w:szCs w:val="21"/>
              </w:rPr>
            </w:pPr>
            <w:r w:rsidRPr="00D4351A">
              <w:rPr>
                <w:sz w:val="21"/>
                <w:szCs w:val="21"/>
              </w:rPr>
              <w:t>Intervensjonsprogram for førstegangsfødende</w:t>
            </w:r>
          </w:p>
        </w:tc>
        <w:tc>
          <w:tcPr>
            <w:tcW w:w="2120" w:type="dxa"/>
            <w:tcBorders>
              <w:top w:val="nil"/>
              <w:left w:val="nil"/>
              <w:bottom w:val="nil"/>
              <w:right w:val="nil"/>
            </w:tcBorders>
            <w:tcMar>
              <w:top w:w="128" w:type="dxa"/>
              <w:left w:w="43" w:type="dxa"/>
              <w:bottom w:w="43" w:type="dxa"/>
              <w:right w:w="43" w:type="dxa"/>
            </w:tcMar>
            <w:vAlign w:val="bottom"/>
          </w:tcPr>
          <w:p w14:paraId="34345DBF" w14:textId="77777777" w:rsidR="00D60186" w:rsidRPr="00D4351A" w:rsidRDefault="00D60186" w:rsidP="00D4351A">
            <w:pPr>
              <w:jc w:val="right"/>
              <w:rPr>
                <w:sz w:val="21"/>
                <w:szCs w:val="21"/>
              </w:rPr>
            </w:pPr>
            <w:r w:rsidRPr="00D4351A">
              <w:rPr>
                <w:sz w:val="21"/>
                <w:szCs w:val="21"/>
              </w:rPr>
              <w:t>Ja</w:t>
            </w:r>
          </w:p>
        </w:tc>
      </w:tr>
      <w:tr w:rsidR="00E76DC8" w:rsidRPr="00225D4D" w14:paraId="39593FC5"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8A92AD7"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CDD4854" w14:textId="77777777" w:rsidR="00D60186" w:rsidRPr="00D4351A" w:rsidRDefault="00D60186" w:rsidP="00D4351A">
            <w:pPr>
              <w:ind w:right="113"/>
              <w:jc w:val="right"/>
              <w:rPr>
                <w:sz w:val="21"/>
                <w:szCs w:val="21"/>
              </w:rPr>
            </w:pPr>
            <w:r w:rsidRPr="00D4351A">
              <w:rPr>
                <w:sz w:val="21"/>
                <w:szCs w:val="21"/>
              </w:rPr>
              <w:t>628</w:t>
            </w:r>
          </w:p>
        </w:tc>
        <w:tc>
          <w:tcPr>
            <w:tcW w:w="5220" w:type="dxa"/>
            <w:tcBorders>
              <w:top w:val="nil"/>
              <w:left w:val="nil"/>
              <w:bottom w:val="nil"/>
              <w:right w:val="nil"/>
            </w:tcBorders>
            <w:tcMar>
              <w:top w:w="128" w:type="dxa"/>
              <w:left w:w="43" w:type="dxa"/>
              <w:bottom w:w="43" w:type="dxa"/>
              <w:right w:w="43" w:type="dxa"/>
            </w:tcMar>
          </w:tcPr>
          <w:p w14:paraId="502CB0A1" w14:textId="77777777" w:rsidR="00D60186" w:rsidRPr="00D4351A" w:rsidRDefault="00D60186" w:rsidP="00225D4D">
            <w:pPr>
              <w:rPr>
                <w:sz w:val="21"/>
                <w:szCs w:val="21"/>
              </w:rPr>
            </w:pPr>
            <w:r w:rsidRPr="00D4351A">
              <w:rPr>
                <w:sz w:val="21"/>
                <w:szCs w:val="21"/>
              </w:rPr>
              <w:t>Tjeneste med integrert ettervern</w:t>
            </w:r>
          </w:p>
        </w:tc>
        <w:tc>
          <w:tcPr>
            <w:tcW w:w="2120" w:type="dxa"/>
            <w:tcBorders>
              <w:top w:val="nil"/>
              <w:left w:val="nil"/>
              <w:bottom w:val="nil"/>
              <w:right w:val="nil"/>
            </w:tcBorders>
            <w:tcMar>
              <w:top w:w="128" w:type="dxa"/>
              <w:left w:w="43" w:type="dxa"/>
              <w:bottom w:w="43" w:type="dxa"/>
              <w:right w:w="43" w:type="dxa"/>
            </w:tcMar>
            <w:vAlign w:val="bottom"/>
          </w:tcPr>
          <w:p w14:paraId="5D8102E7" w14:textId="77777777" w:rsidR="00D60186" w:rsidRPr="00D4351A" w:rsidRDefault="00D60186" w:rsidP="00D4351A">
            <w:pPr>
              <w:jc w:val="right"/>
              <w:rPr>
                <w:sz w:val="21"/>
                <w:szCs w:val="21"/>
              </w:rPr>
            </w:pPr>
            <w:r w:rsidRPr="00D4351A">
              <w:rPr>
                <w:sz w:val="21"/>
                <w:szCs w:val="21"/>
              </w:rPr>
              <w:t>Ja</w:t>
            </w:r>
          </w:p>
        </w:tc>
      </w:tr>
      <w:tr w:rsidR="00E76DC8" w:rsidRPr="00225D4D" w14:paraId="6C085D1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FF038F7"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DC631C0" w14:textId="77777777" w:rsidR="00D60186" w:rsidRPr="00D4351A" w:rsidRDefault="00D60186" w:rsidP="00D4351A">
            <w:pPr>
              <w:ind w:right="113"/>
              <w:jc w:val="right"/>
              <w:rPr>
                <w:sz w:val="21"/>
                <w:szCs w:val="21"/>
              </w:rPr>
            </w:pPr>
            <w:r w:rsidRPr="00D4351A">
              <w:rPr>
                <w:sz w:val="21"/>
                <w:szCs w:val="21"/>
              </w:rPr>
              <w:t>629</w:t>
            </w:r>
          </w:p>
        </w:tc>
        <w:tc>
          <w:tcPr>
            <w:tcW w:w="5220" w:type="dxa"/>
            <w:tcBorders>
              <w:top w:val="nil"/>
              <w:left w:val="nil"/>
              <w:bottom w:val="nil"/>
              <w:right w:val="nil"/>
            </w:tcBorders>
            <w:tcMar>
              <w:top w:w="128" w:type="dxa"/>
              <w:left w:w="43" w:type="dxa"/>
              <w:bottom w:w="43" w:type="dxa"/>
              <w:right w:w="43" w:type="dxa"/>
            </w:tcMar>
          </w:tcPr>
          <w:p w14:paraId="276F5A4F" w14:textId="77777777" w:rsidR="00D60186" w:rsidRPr="00D4351A" w:rsidRDefault="00D60186" w:rsidP="00225D4D">
            <w:pPr>
              <w:rPr>
                <w:sz w:val="21"/>
                <w:szCs w:val="21"/>
              </w:rPr>
            </w:pPr>
            <w:r w:rsidRPr="00D4351A">
              <w:rPr>
                <w:sz w:val="21"/>
                <w:szCs w:val="21"/>
              </w:rPr>
              <w:t>Behandlingstilbudet til voldsutsatte kvinner med ruslidelse</w:t>
            </w:r>
          </w:p>
        </w:tc>
        <w:tc>
          <w:tcPr>
            <w:tcW w:w="2120" w:type="dxa"/>
            <w:tcBorders>
              <w:top w:val="nil"/>
              <w:left w:val="nil"/>
              <w:bottom w:val="nil"/>
              <w:right w:val="nil"/>
            </w:tcBorders>
            <w:tcMar>
              <w:top w:w="128" w:type="dxa"/>
              <w:left w:w="43" w:type="dxa"/>
              <w:bottom w:w="43" w:type="dxa"/>
              <w:right w:w="43" w:type="dxa"/>
            </w:tcMar>
            <w:vAlign w:val="bottom"/>
          </w:tcPr>
          <w:p w14:paraId="75E84E14" w14:textId="77777777" w:rsidR="00D60186" w:rsidRPr="00D4351A" w:rsidRDefault="00D60186" w:rsidP="00D4351A">
            <w:pPr>
              <w:jc w:val="right"/>
              <w:rPr>
                <w:sz w:val="21"/>
                <w:szCs w:val="21"/>
              </w:rPr>
            </w:pPr>
            <w:r w:rsidRPr="00D4351A">
              <w:rPr>
                <w:sz w:val="21"/>
                <w:szCs w:val="21"/>
              </w:rPr>
              <w:t>Ja</w:t>
            </w:r>
          </w:p>
        </w:tc>
      </w:tr>
      <w:tr w:rsidR="00E76DC8" w:rsidRPr="00225D4D" w14:paraId="7213052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7E8E127"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C1250E2" w14:textId="77777777" w:rsidR="00D60186" w:rsidRPr="00D4351A" w:rsidRDefault="00D60186" w:rsidP="00D4351A">
            <w:pPr>
              <w:ind w:right="113"/>
              <w:jc w:val="right"/>
              <w:rPr>
                <w:sz w:val="21"/>
                <w:szCs w:val="21"/>
              </w:rPr>
            </w:pPr>
            <w:r w:rsidRPr="00D4351A">
              <w:rPr>
                <w:sz w:val="21"/>
                <w:szCs w:val="21"/>
              </w:rPr>
              <w:t>630</w:t>
            </w:r>
          </w:p>
        </w:tc>
        <w:tc>
          <w:tcPr>
            <w:tcW w:w="5220" w:type="dxa"/>
            <w:tcBorders>
              <w:top w:val="nil"/>
              <w:left w:val="nil"/>
              <w:bottom w:val="nil"/>
              <w:right w:val="nil"/>
            </w:tcBorders>
            <w:tcMar>
              <w:top w:w="128" w:type="dxa"/>
              <w:left w:w="43" w:type="dxa"/>
              <w:bottom w:w="43" w:type="dxa"/>
              <w:right w:w="43" w:type="dxa"/>
            </w:tcMar>
          </w:tcPr>
          <w:p w14:paraId="45B5E563" w14:textId="77777777" w:rsidR="00D60186" w:rsidRPr="00D4351A" w:rsidRDefault="00D60186" w:rsidP="00225D4D">
            <w:pPr>
              <w:rPr>
                <w:sz w:val="21"/>
                <w:szCs w:val="21"/>
              </w:rPr>
            </w:pPr>
            <w:r w:rsidRPr="00D4351A">
              <w:rPr>
                <w:sz w:val="21"/>
                <w:szCs w:val="21"/>
              </w:rPr>
              <w:t>Følgeforskning i forbindelse med TSB</w:t>
            </w:r>
          </w:p>
        </w:tc>
        <w:tc>
          <w:tcPr>
            <w:tcW w:w="2120" w:type="dxa"/>
            <w:tcBorders>
              <w:top w:val="nil"/>
              <w:left w:val="nil"/>
              <w:bottom w:val="nil"/>
              <w:right w:val="nil"/>
            </w:tcBorders>
            <w:tcMar>
              <w:top w:w="128" w:type="dxa"/>
              <w:left w:w="43" w:type="dxa"/>
              <w:bottom w:w="43" w:type="dxa"/>
              <w:right w:w="43" w:type="dxa"/>
            </w:tcMar>
            <w:vAlign w:val="bottom"/>
          </w:tcPr>
          <w:p w14:paraId="6E2DE765" w14:textId="77777777" w:rsidR="00D60186" w:rsidRPr="00D4351A" w:rsidRDefault="00D60186" w:rsidP="00D4351A">
            <w:pPr>
              <w:jc w:val="right"/>
              <w:rPr>
                <w:sz w:val="21"/>
                <w:szCs w:val="21"/>
              </w:rPr>
            </w:pPr>
            <w:r w:rsidRPr="00D4351A">
              <w:rPr>
                <w:sz w:val="21"/>
                <w:szCs w:val="21"/>
              </w:rPr>
              <w:t>Ja</w:t>
            </w:r>
          </w:p>
        </w:tc>
      </w:tr>
      <w:tr w:rsidR="00E76DC8" w:rsidRPr="00225D4D" w14:paraId="07AB68F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EB88B25"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8BEE148" w14:textId="77777777" w:rsidR="00D60186" w:rsidRPr="00D4351A" w:rsidRDefault="00D60186" w:rsidP="00D4351A">
            <w:pPr>
              <w:ind w:right="113"/>
              <w:jc w:val="right"/>
              <w:rPr>
                <w:sz w:val="21"/>
                <w:szCs w:val="21"/>
              </w:rPr>
            </w:pPr>
            <w:r w:rsidRPr="00D4351A">
              <w:rPr>
                <w:sz w:val="21"/>
                <w:szCs w:val="21"/>
              </w:rPr>
              <w:t>684</w:t>
            </w:r>
          </w:p>
        </w:tc>
        <w:tc>
          <w:tcPr>
            <w:tcW w:w="5220" w:type="dxa"/>
            <w:tcBorders>
              <w:top w:val="nil"/>
              <w:left w:val="nil"/>
              <w:bottom w:val="nil"/>
              <w:right w:val="nil"/>
            </w:tcBorders>
            <w:tcMar>
              <w:top w:w="128" w:type="dxa"/>
              <w:left w:w="43" w:type="dxa"/>
              <w:bottom w:w="43" w:type="dxa"/>
              <w:right w:w="43" w:type="dxa"/>
            </w:tcMar>
          </w:tcPr>
          <w:p w14:paraId="7DD574FF" w14:textId="77777777" w:rsidR="00D60186" w:rsidRPr="00D4351A" w:rsidRDefault="00D60186" w:rsidP="00225D4D">
            <w:pPr>
              <w:rPr>
                <w:sz w:val="21"/>
                <w:szCs w:val="21"/>
              </w:rPr>
            </w:pPr>
            <w:r w:rsidRPr="00D4351A">
              <w:rPr>
                <w:sz w:val="21"/>
                <w:szCs w:val="21"/>
              </w:rPr>
              <w:t>Godkjenningsordning for kommersielle aktører</w:t>
            </w:r>
          </w:p>
        </w:tc>
        <w:tc>
          <w:tcPr>
            <w:tcW w:w="2120" w:type="dxa"/>
            <w:tcBorders>
              <w:top w:val="nil"/>
              <w:left w:val="nil"/>
              <w:bottom w:val="nil"/>
              <w:right w:val="nil"/>
            </w:tcBorders>
            <w:tcMar>
              <w:top w:w="128" w:type="dxa"/>
              <w:left w:w="43" w:type="dxa"/>
              <w:bottom w:w="43" w:type="dxa"/>
              <w:right w:w="43" w:type="dxa"/>
            </w:tcMar>
            <w:vAlign w:val="bottom"/>
          </w:tcPr>
          <w:p w14:paraId="00F665C8" w14:textId="77777777" w:rsidR="00D60186" w:rsidRPr="00D4351A" w:rsidRDefault="00D60186" w:rsidP="00D4351A">
            <w:pPr>
              <w:jc w:val="right"/>
              <w:rPr>
                <w:sz w:val="21"/>
                <w:szCs w:val="21"/>
              </w:rPr>
            </w:pPr>
            <w:r w:rsidRPr="00D4351A">
              <w:rPr>
                <w:sz w:val="21"/>
                <w:szCs w:val="21"/>
              </w:rPr>
              <w:t>Ja</w:t>
            </w:r>
          </w:p>
        </w:tc>
      </w:tr>
      <w:tr w:rsidR="00E76DC8" w:rsidRPr="00225D4D" w14:paraId="5F04BCC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5E6DE97"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4F62CCC" w14:textId="77777777" w:rsidR="00D60186" w:rsidRPr="00D4351A" w:rsidRDefault="00D60186" w:rsidP="00D4351A">
            <w:pPr>
              <w:ind w:right="113"/>
              <w:jc w:val="right"/>
              <w:rPr>
                <w:sz w:val="21"/>
                <w:szCs w:val="21"/>
              </w:rPr>
            </w:pPr>
            <w:r w:rsidRPr="00D4351A">
              <w:rPr>
                <w:sz w:val="21"/>
                <w:szCs w:val="21"/>
              </w:rPr>
              <w:t>686</w:t>
            </w:r>
          </w:p>
        </w:tc>
        <w:tc>
          <w:tcPr>
            <w:tcW w:w="5220" w:type="dxa"/>
            <w:tcBorders>
              <w:top w:val="nil"/>
              <w:left w:val="nil"/>
              <w:bottom w:val="nil"/>
              <w:right w:val="nil"/>
            </w:tcBorders>
            <w:tcMar>
              <w:top w:w="128" w:type="dxa"/>
              <w:left w:w="43" w:type="dxa"/>
              <w:bottom w:w="43" w:type="dxa"/>
              <w:right w:w="43" w:type="dxa"/>
            </w:tcMar>
          </w:tcPr>
          <w:p w14:paraId="4321597D" w14:textId="77777777" w:rsidR="00D60186" w:rsidRPr="00D4351A" w:rsidRDefault="00D60186" w:rsidP="00225D4D">
            <w:pPr>
              <w:rPr>
                <w:sz w:val="21"/>
                <w:szCs w:val="21"/>
              </w:rPr>
            </w:pPr>
            <w:r w:rsidRPr="00D4351A">
              <w:rPr>
                <w:sz w:val="21"/>
                <w:szCs w:val="21"/>
              </w:rPr>
              <w:t>Ivaretakelse av kjønnsperspektiv</w:t>
            </w:r>
          </w:p>
        </w:tc>
        <w:tc>
          <w:tcPr>
            <w:tcW w:w="2120" w:type="dxa"/>
            <w:tcBorders>
              <w:top w:val="nil"/>
              <w:left w:val="nil"/>
              <w:bottom w:val="nil"/>
              <w:right w:val="nil"/>
            </w:tcBorders>
            <w:tcMar>
              <w:top w:w="128" w:type="dxa"/>
              <w:left w:w="43" w:type="dxa"/>
              <w:bottom w:w="43" w:type="dxa"/>
              <w:right w:w="43" w:type="dxa"/>
            </w:tcMar>
            <w:vAlign w:val="bottom"/>
          </w:tcPr>
          <w:p w14:paraId="7172DFE8" w14:textId="77777777" w:rsidR="00D60186" w:rsidRPr="00D4351A" w:rsidRDefault="00D60186" w:rsidP="00D4351A">
            <w:pPr>
              <w:jc w:val="right"/>
              <w:rPr>
                <w:sz w:val="21"/>
                <w:szCs w:val="21"/>
              </w:rPr>
            </w:pPr>
            <w:r w:rsidRPr="00D4351A">
              <w:rPr>
                <w:sz w:val="21"/>
                <w:szCs w:val="21"/>
              </w:rPr>
              <w:t>Ja</w:t>
            </w:r>
          </w:p>
        </w:tc>
      </w:tr>
      <w:tr w:rsidR="00E76DC8" w:rsidRPr="00225D4D" w14:paraId="7870532D"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3CAA436"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00A92DF" w14:textId="77777777" w:rsidR="00D60186" w:rsidRPr="00D4351A" w:rsidRDefault="00D60186" w:rsidP="00D4351A">
            <w:pPr>
              <w:ind w:right="113"/>
              <w:jc w:val="right"/>
              <w:rPr>
                <w:sz w:val="21"/>
                <w:szCs w:val="21"/>
              </w:rPr>
            </w:pPr>
            <w:r w:rsidRPr="00D4351A">
              <w:rPr>
                <w:sz w:val="21"/>
                <w:szCs w:val="21"/>
              </w:rPr>
              <w:t>687</w:t>
            </w:r>
          </w:p>
        </w:tc>
        <w:tc>
          <w:tcPr>
            <w:tcW w:w="5220" w:type="dxa"/>
            <w:tcBorders>
              <w:top w:val="nil"/>
              <w:left w:val="nil"/>
              <w:bottom w:val="nil"/>
              <w:right w:val="nil"/>
            </w:tcBorders>
            <w:tcMar>
              <w:top w:w="128" w:type="dxa"/>
              <w:left w:w="43" w:type="dxa"/>
              <w:bottom w:w="43" w:type="dxa"/>
              <w:right w:w="43" w:type="dxa"/>
            </w:tcMar>
          </w:tcPr>
          <w:p w14:paraId="50B13407" w14:textId="77777777" w:rsidR="00D60186" w:rsidRPr="00D4351A" w:rsidRDefault="00D60186" w:rsidP="00225D4D">
            <w:pPr>
              <w:rPr>
                <w:sz w:val="21"/>
                <w:szCs w:val="21"/>
              </w:rPr>
            </w:pPr>
            <w:r w:rsidRPr="00D4351A">
              <w:rPr>
                <w:sz w:val="21"/>
                <w:szCs w:val="21"/>
              </w:rPr>
              <w:t>Kjønnsperspektiv i behandlingsretningslinjene</w:t>
            </w:r>
          </w:p>
        </w:tc>
        <w:tc>
          <w:tcPr>
            <w:tcW w:w="2120" w:type="dxa"/>
            <w:tcBorders>
              <w:top w:val="nil"/>
              <w:left w:val="nil"/>
              <w:bottom w:val="nil"/>
              <w:right w:val="nil"/>
            </w:tcBorders>
            <w:tcMar>
              <w:top w:w="128" w:type="dxa"/>
              <w:left w:w="43" w:type="dxa"/>
              <w:bottom w:w="43" w:type="dxa"/>
              <w:right w:w="43" w:type="dxa"/>
            </w:tcMar>
            <w:vAlign w:val="bottom"/>
          </w:tcPr>
          <w:p w14:paraId="3925C12B" w14:textId="77777777" w:rsidR="00D60186" w:rsidRPr="00D4351A" w:rsidRDefault="00D60186" w:rsidP="00D4351A">
            <w:pPr>
              <w:jc w:val="right"/>
              <w:rPr>
                <w:sz w:val="21"/>
                <w:szCs w:val="21"/>
              </w:rPr>
            </w:pPr>
            <w:r w:rsidRPr="00D4351A">
              <w:rPr>
                <w:sz w:val="21"/>
                <w:szCs w:val="21"/>
              </w:rPr>
              <w:t>Ja</w:t>
            </w:r>
          </w:p>
        </w:tc>
      </w:tr>
      <w:tr w:rsidR="00E76DC8" w:rsidRPr="00225D4D" w14:paraId="157DB94D"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833ED45"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4B2236B9" w14:textId="77777777" w:rsidR="00D60186" w:rsidRPr="00D4351A" w:rsidRDefault="00D60186" w:rsidP="00D4351A">
            <w:pPr>
              <w:ind w:right="113"/>
              <w:jc w:val="right"/>
              <w:rPr>
                <w:sz w:val="21"/>
                <w:szCs w:val="21"/>
              </w:rPr>
            </w:pPr>
            <w:r w:rsidRPr="00D4351A">
              <w:rPr>
                <w:sz w:val="21"/>
                <w:szCs w:val="21"/>
              </w:rPr>
              <w:t>690</w:t>
            </w:r>
          </w:p>
        </w:tc>
        <w:tc>
          <w:tcPr>
            <w:tcW w:w="5220" w:type="dxa"/>
            <w:tcBorders>
              <w:top w:val="nil"/>
              <w:left w:val="nil"/>
              <w:bottom w:val="nil"/>
              <w:right w:val="nil"/>
            </w:tcBorders>
            <w:tcMar>
              <w:top w:w="128" w:type="dxa"/>
              <w:left w:w="43" w:type="dxa"/>
              <w:bottom w:w="43" w:type="dxa"/>
              <w:right w:w="43" w:type="dxa"/>
            </w:tcMar>
          </w:tcPr>
          <w:p w14:paraId="7A9A3C0F" w14:textId="77777777" w:rsidR="00D60186" w:rsidRPr="00D4351A" w:rsidRDefault="00D60186" w:rsidP="00225D4D">
            <w:pPr>
              <w:rPr>
                <w:sz w:val="21"/>
                <w:szCs w:val="21"/>
              </w:rPr>
            </w:pPr>
            <w:r w:rsidRPr="00D4351A">
              <w:rPr>
                <w:sz w:val="21"/>
                <w:szCs w:val="21"/>
              </w:rPr>
              <w:t>Redusere bruk av innleid arbeidskraft</w:t>
            </w:r>
          </w:p>
        </w:tc>
        <w:tc>
          <w:tcPr>
            <w:tcW w:w="2120" w:type="dxa"/>
            <w:tcBorders>
              <w:top w:val="nil"/>
              <w:left w:val="nil"/>
              <w:bottom w:val="nil"/>
              <w:right w:val="nil"/>
            </w:tcBorders>
            <w:tcMar>
              <w:top w:w="128" w:type="dxa"/>
              <w:left w:w="43" w:type="dxa"/>
              <w:bottom w:w="43" w:type="dxa"/>
              <w:right w:w="43" w:type="dxa"/>
            </w:tcMar>
            <w:vAlign w:val="bottom"/>
          </w:tcPr>
          <w:p w14:paraId="09FEF806"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521F75FE"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33A7E84"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461442A1" w14:textId="77777777" w:rsidR="00D60186" w:rsidRPr="00D4351A" w:rsidRDefault="00D60186" w:rsidP="00D4351A">
            <w:pPr>
              <w:ind w:right="113"/>
              <w:jc w:val="right"/>
              <w:rPr>
                <w:sz w:val="21"/>
                <w:szCs w:val="21"/>
              </w:rPr>
            </w:pPr>
            <w:r w:rsidRPr="00D4351A">
              <w:rPr>
                <w:sz w:val="21"/>
                <w:szCs w:val="21"/>
              </w:rPr>
              <w:t>692</w:t>
            </w:r>
          </w:p>
        </w:tc>
        <w:tc>
          <w:tcPr>
            <w:tcW w:w="5220" w:type="dxa"/>
            <w:tcBorders>
              <w:top w:val="nil"/>
              <w:left w:val="nil"/>
              <w:bottom w:val="nil"/>
              <w:right w:val="nil"/>
            </w:tcBorders>
            <w:tcMar>
              <w:top w:w="128" w:type="dxa"/>
              <w:left w:w="43" w:type="dxa"/>
              <w:bottom w:w="43" w:type="dxa"/>
              <w:right w:w="43" w:type="dxa"/>
            </w:tcMar>
          </w:tcPr>
          <w:p w14:paraId="124CE891" w14:textId="77777777" w:rsidR="00D60186" w:rsidRPr="00D4351A" w:rsidRDefault="00D60186" w:rsidP="00225D4D">
            <w:pPr>
              <w:rPr>
                <w:sz w:val="21"/>
                <w:szCs w:val="21"/>
              </w:rPr>
            </w:pPr>
            <w:r w:rsidRPr="00D4351A">
              <w:rPr>
                <w:sz w:val="21"/>
                <w:szCs w:val="21"/>
              </w:rPr>
              <w:t>Avskrivninger og rentekompensasjon for sykehusbygg</w:t>
            </w:r>
          </w:p>
        </w:tc>
        <w:tc>
          <w:tcPr>
            <w:tcW w:w="2120" w:type="dxa"/>
            <w:tcBorders>
              <w:top w:val="nil"/>
              <w:left w:val="nil"/>
              <w:bottom w:val="nil"/>
              <w:right w:val="nil"/>
            </w:tcBorders>
            <w:tcMar>
              <w:top w:w="128" w:type="dxa"/>
              <w:left w:w="43" w:type="dxa"/>
              <w:bottom w:w="43" w:type="dxa"/>
              <w:right w:w="43" w:type="dxa"/>
            </w:tcMar>
            <w:vAlign w:val="bottom"/>
          </w:tcPr>
          <w:p w14:paraId="2B82C07E" w14:textId="77777777" w:rsidR="00D60186" w:rsidRPr="00D4351A" w:rsidRDefault="00D60186" w:rsidP="00D4351A">
            <w:pPr>
              <w:jc w:val="right"/>
              <w:rPr>
                <w:sz w:val="21"/>
                <w:szCs w:val="21"/>
              </w:rPr>
            </w:pPr>
            <w:r w:rsidRPr="00D4351A">
              <w:rPr>
                <w:sz w:val="21"/>
                <w:szCs w:val="21"/>
              </w:rPr>
              <w:t>Nei</w:t>
            </w:r>
          </w:p>
        </w:tc>
      </w:tr>
      <w:tr w:rsidR="00E76DC8" w:rsidRPr="00225D4D" w14:paraId="2F09175F"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BFE7169"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B517E59" w14:textId="77777777" w:rsidR="00D60186" w:rsidRPr="00D4351A" w:rsidRDefault="00D60186" w:rsidP="00D4351A">
            <w:pPr>
              <w:ind w:right="113"/>
              <w:jc w:val="right"/>
              <w:rPr>
                <w:sz w:val="21"/>
                <w:szCs w:val="21"/>
              </w:rPr>
            </w:pPr>
            <w:r w:rsidRPr="00D4351A">
              <w:rPr>
                <w:sz w:val="21"/>
                <w:szCs w:val="21"/>
              </w:rPr>
              <w:t>693</w:t>
            </w:r>
          </w:p>
        </w:tc>
        <w:tc>
          <w:tcPr>
            <w:tcW w:w="5220" w:type="dxa"/>
            <w:tcBorders>
              <w:top w:val="nil"/>
              <w:left w:val="nil"/>
              <w:bottom w:val="nil"/>
              <w:right w:val="nil"/>
            </w:tcBorders>
            <w:tcMar>
              <w:top w:w="128" w:type="dxa"/>
              <w:left w:w="43" w:type="dxa"/>
              <w:bottom w:w="43" w:type="dxa"/>
              <w:right w:w="43" w:type="dxa"/>
            </w:tcMar>
          </w:tcPr>
          <w:p w14:paraId="5068CE75" w14:textId="77777777" w:rsidR="00D60186" w:rsidRPr="00D4351A" w:rsidRDefault="00D60186" w:rsidP="00225D4D">
            <w:pPr>
              <w:rPr>
                <w:sz w:val="21"/>
                <w:szCs w:val="21"/>
              </w:rPr>
            </w:pPr>
            <w:r w:rsidRPr="00D4351A">
              <w:rPr>
                <w:sz w:val="21"/>
                <w:szCs w:val="21"/>
              </w:rPr>
              <w:t>Kontraktsansvar for fristbruddordningen</w:t>
            </w:r>
          </w:p>
        </w:tc>
        <w:tc>
          <w:tcPr>
            <w:tcW w:w="2120" w:type="dxa"/>
            <w:tcBorders>
              <w:top w:val="nil"/>
              <w:left w:val="nil"/>
              <w:bottom w:val="nil"/>
              <w:right w:val="nil"/>
            </w:tcBorders>
            <w:tcMar>
              <w:top w:w="128" w:type="dxa"/>
              <w:left w:w="43" w:type="dxa"/>
              <w:bottom w:w="43" w:type="dxa"/>
              <w:right w:w="43" w:type="dxa"/>
            </w:tcMar>
            <w:vAlign w:val="bottom"/>
          </w:tcPr>
          <w:p w14:paraId="5FC54C33" w14:textId="77777777" w:rsidR="00D60186" w:rsidRPr="00D4351A" w:rsidRDefault="00D60186" w:rsidP="00D4351A">
            <w:pPr>
              <w:jc w:val="right"/>
              <w:rPr>
                <w:sz w:val="21"/>
                <w:szCs w:val="21"/>
              </w:rPr>
            </w:pPr>
            <w:r w:rsidRPr="00D4351A">
              <w:rPr>
                <w:sz w:val="21"/>
                <w:szCs w:val="21"/>
              </w:rPr>
              <w:t>Ja</w:t>
            </w:r>
          </w:p>
        </w:tc>
      </w:tr>
      <w:tr w:rsidR="00E76DC8" w:rsidRPr="00225D4D" w14:paraId="120FF1D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AD25EFF"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43931B0D" w14:textId="77777777" w:rsidR="00D60186" w:rsidRPr="00D4351A" w:rsidRDefault="00D60186" w:rsidP="00D4351A">
            <w:pPr>
              <w:ind w:right="113"/>
              <w:jc w:val="right"/>
              <w:rPr>
                <w:sz w:val="21"/>
                <w:szCs w:val="21"/>
              </w:rPr>
            </w:pPr>
            <w:r w:rsidRPr="00D4351A">
              <w:rPr>
                <w:sz w:val="21"/>
                <w:szCs w:val="21"/>
              </w:rPr>
              <w:t>694</w:t>
            </w:r>
          </w:p>
        </w:tc>
        <w:tc>
          <w:tcPr>
            <w:tcW w:w="5220" w:type="dxa"/>
            <w:tcBorders>
              <w:top w:val="nil"/>
              <w:left w:val="nil"/>
              <w:bottom w:val="nil"/>
              <w:right w:val="nil"/>
            </w:tcBorders>
            <w:tcMar>
              <w:top w:w="128" w:type="dxa"/>
              <w:left w:w="43" w:type="dxa"/>
              <w:bottom w:w="43" w:type="dxa"/>
              <w:right w:w="43" w:type="dxa"/>
            </w:tcMar>
          </w:tcPr>
          <w:p w14:paraId="7D81A752" w14:textId="77777777" w:rsidR="00D60186" w:rsidRPr="00D4351A" w:rsidRDefault="00D60186" w:rsidP="00225D4D">
            <w:pPr>
              <w:rPr>
                <w:sz w:val="21"/>
                <w:szCs w:val="21"/>
              </w:rPr>
            </w:pPr>
            <w:r w:rsidRPr="00D4351A">
              <w:rPr>
                <w:sz w:val="21"/>
                <w:szCs w:val="21"/>
              </w:rPr>
              <w:t>Ikke møtt-gebyr innen psykisk helse</w:t>
            </w:r>
          </w:p>
        </w:tc>
        <w:tc>
          <w:tcPr>
            <w:tcW w:w="2120" w:type="dxa"/>
            <w:tcBorders>
              <w:top w:val="nil"/>
              <w:left w:val="nil"/>
              <w:bottom w:val="nil"/>
              <w:right w:val="nil"/>
            </w:tcBorders>
            <w:tcMar>
              <w:top w:w="128" w:type="dxa"/>
              <w:left w:w="43" w:type="dxa"/>
              <w:bottom w:w="43" w:type="dxa"/>
              <w:right w:w="43" w:type="dxa"/>
            </w:tcMar>
            <w:vAlign w:val="bottom"/>
          </w:tcPr>
          <w:p w14:paraId="71FD00AD" w14:textId="77777777" w:rsidR="00D60186" w:rsidRPr="00D4351A" w:rsidRDefault="00D60186" w:rsidP="00D4351A">
            <w:pPr>
              <w:jc w:val="right"/>
              <w:rPr>
                <w:sz w:val="21"/>
                <w:szCs w:val="21"/>
              </w:rPr>
            </w:pPr>
            <w:r w:rsidRPr="00D4351A">
              <w:rPr>
                <w:sz w:val="21"/>
                <w:szCs w:val="21"/>
              </w:rPr>
              <w:t>Nei</w:t>
            </w:r>
          </w:p>
        </w:tc>
      </w:tr>
      <w:tr w:rsidR="00E76DC8" w:rsidRPr="00225D4D" w14:paraId="543A674A"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8BDD532"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5A89DF3" w14:textId="77777777" w:rsidR="00D60186" w:rsidRPr="00D4351A" w:rsidRDefault="00D60186" w:rsidP="00D4351A">
            <w:pPr>
              <w:ind w:right="113"/>
              <w:jc w:val="right"/>
              <w:rPr>
                <w:sz w:val="21"/>
                <w:szCs w:val="21"/>
              </w:rPr>
            </w:pPr>
            <w:r w:rsidRPr="00D4351A">
              <w:rPr>
                <w:sz w:val="21"/>
                <w:szCs w:val="21"/>
              </w:rPr>
              <w:t>908</w:t>
            </w:r>
          </w:p>
        </w:tc>
        <w:tc>
          <w:tcPr>
            <w:tcW w:w="5220" w:type="dxa"/>
            <w:tcBorders>
              <w:top w:val="nil"/>
              <w:left w:val="nil"/>
              <w:bottom w:val="nil"/>
              <w:right w:val="nil"/>
            </w:tcBorders>
            <w:tcMar>
              <w:top w:w="128" w:type="dxa"/>
              <w:left w:w="43" w:type="dxa"/>
              <w:bottom w:w="43" w:type="dxa"/>
              <w:right w:w="43" w:type="dxa"/>
            </w:tcMar>
          </w:tcPr>
          <w:p w14:paraId="60C07BB8" w14:textId="77777777" w:rsidR="00D60186" w:rsidRPr="00D4351A" w:rsidRDefault="00D60186" w:rsidP="00225D4D">
            <w:pPr>
              <w:rPr>
                <w:sz w:val="21"/>
                <w:szCs w:val="21"/>
              </w:rPr>
            </w:pPr>
            <w:r w:rsidRPr="00D4351A">
              <w:rPr>
                <w:sz w:val="21"/>
                <w:szCs w:val="21"/>
              </w:rPr>
              <w:t>Rett til nødvendig tannhelsehjelp for 25- og 26-åringer</w:t>
            </w:r>
          </w:p>
        </w:tc>
        <w:tc>
          <w:tcPr>
            <w:tcW w:w="2120" w:type="dxa"/>
            <w:tcBorders>
              <w:top w:val="nil"/>
              <w:left w:val="nil"/>
              <w:bottom w:val="nil"/>
              <w:right w:val="nil"/>
            </w:tcBorders>
            <w:tcMar>
              <w:top w:w="128" w:type="dxa"/>
              <w:left w:w="43" w:type="dxa"/>
              <w:bottom w:w="43" w:type="dxa"/>
              <w:right w:w="43" w:type="dxa"/>
            </w:tcMar>
            <w:vAlign w:val="bottom"/>
          </w:tcPr>
          <w:p w14:paraId="53573934" w14:textId="77777777" w:rsidR="00D60186" w:rsidRPr="00D4351A" w:rsidRDefault="00D60186" w:rsidP="00D4351A">
            <w:pPr>
              <w:jc w:val="right"/>
              <w:rPr>
                <w:sz w:val="21"/>
                <w:szCs w:val="21"/>
              </w:rPr>
            </w:pPr>
            <w:r w:rsidRPr="00D4351A">
              <w:rPr>
                <w:sz w:val="21"/>
                <w:szCs w:val="21"/>
              </w:rPr>
              <w:t>Ja</w:t>
            </w:r>
          </w:p>
        </w:tc>
      </w:tr>
      <w:tr w:rsidR="00E76DC8" w:rsidRPr="00225D4D" w14:paraId="59ADA93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F997532"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1D31EDE9" w14:textId="77777777" w:rsidR="00D60186" w:rsidRPr="00D4351A" w:rsidRDefault="00D60186" w:rsidP="00D4351A">
            <w:pPr>
              <w:ind w:right="113"/>
              <w:jc w:val="right"/>
              <w:rPr>
                <w:sz w:val="21"/>
                <w:szCs w:val="21"/>
              </w:rPr>
            </w:pPr>
            <w:r w:rsidRPr="00D4351A">
              <w:rPr>
                <w:sz w:val="21"/>
                <w:szCs w:val="21"/>
              </w:rPr>
              <w:t>2</w:t>
            </w:r>
          </w:p>
        </w:tc>
        <w:tc>
          <w:tcPr>
            <w:tcW w:w="5220" w:type="dxa"/>
            <w:tcBorders>
              <w:top w:val="nil"/>
              <w:left w:val="nil"/>
              <w:bottom w:val="nil"/>
              <w:right w:val="nil"/>
            </w:tcBorders>
            <w:tcMar>
              <w:top w:w="128" w:type="dxa"/>
              <w:left w:w="43" w:type="dxa"/>
              <w:bottom w:w="43" w:type="dxa"/>
              <w:right w:w="43" w:type="dxa"/>
            </w:tcMar>
          </w:tcPr>
          <w:p w14:paraId="1F80C8F5" w14:textId="77777777" w:rsidR="00D60186" w:rsidRPr="00D4351A" w:rsidRDefault="00D60186" w:rsidP="00225D4D">
            <w:pPr>
              <w:rPr>
                <w:sz w:val="21"/>
                <w:szCs w:val="21"/>
              </w:rPr>
            </w:pPr>
            <w:r w:rsidRPr="00D4351A">
              <w:rPr>
                <w:sz w:val="21"/>
                <w:szCs w:val="21"/>
              </w:rPr>
              <w:t>Avlasting av fastleger knyttet til ikke-kliniske oppgaver</w:t>
            </w:r>
          </w:p>
        </w:tc>
        <w:tc>
          <w:tcPr>
            <w:tcW w:w="2120" w:type="dxa"/>
            <w:tcBorders>
              <w:top w:val="nil"/>
              <w:left w:val="nil"/>
              <w:bottom w:val="nil"/>
              <w:right w:val="nil"/>
            </w:tcBorders>
            <w:tcMar>
              <w:top w:w="128" w:type="dxa"/>
              <w:left w:w="43" w:type="dxa"/>
              <w:bottom w:w="43" w:type="dxa"/>
              <w:right w:w="43" w:type="dxa"/>
            </w:tcMar>
            <w:vAlign w:val="bottom"/>
          </w:tcPr>
          <w:p w14:paraId="2AAA1328" w14:textId="77777777" w:rsidR="00D60186" w:rsidRPr="00D4351A" w:rsidRDefault="00D60186" w:rsidP="00D4351A">
            <w:pPr>
              <w:jc w:val="right"/>
              <w:rPr>
                <w:sz w:val="21"/>
                <w:szCs w:val="21"/>
              </w:rPr>
            </w:pPr>
            <w:r w:rsidRPr="00D4351A">
              <w:rPr>
                <w:sz w:val="21"/>
                <w:szCs w:val="21"/>
              </w:rPr>
              <w:t>Ja</w:t>
            </w:r>
          </w:p>
        </w:tc>
      </w:tr>
      <w:tr w:rsidR="00E76DC8" w:rsidRPr="00225D4D" w14:paraId="655AF18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6409776"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26FF81D4" w14:textId="77777777" w:rsidR="00D60186" w:rsidRPr="00D4351A" w:rsidRDefault="00D60186" w:rsidP="00D4351A">
            <w:pPr>
              <w:ind w:right="113"/>
              <w:jc w:val="right"/>
              <w:rPr>
                <w:sz w:val="21"/>
                <w:szCs w:val="21"/>
              </w:rPr>
            </w:pPr>
            <w:r w:rsidRPr="00D4351A">
              <w:rPr>
                <w:sz w:val="21"/>
                <w:szCs w:val="21"/>
              </w:rPr>
              <w:t>79</w:t>
            </w:r>
          </w:p>
        </w:tc>
        <w:tc>
          <w:tcPr>
            <w:tcW w:w="5220" w:type="dxa"/>
            <w:tcBorders>
              <w:top w:val="nil"/>
              <w:left w:val="nil"/>
              <w:bottom w:val="nil"/>
              <w:right w:val="nil"/>
            </w:tcBorders>
            <w:tcMar>
              <w:top w:w="128" w:type="dxa"/>
              <w:left w:w="43" w:type="dxa"/>
              <w:bottom w:w="43" w:type="dxa"/>
              <w:right w:w="43" w:type="dxa"/>
            </w:tcMar>
          </w:tcPr>
          <w:p w14:paraId="33247483" w14:textId="77777777" w:rsidR="00D60186" w:rsidRPr="00D4351A" w:rsidRDefault="00D60186" w:rsidP="00225D4D">
            <w:pPr>
              <w:rPr>
                <w:sz w:val="21"/>
                <w:szCs w:val="21"/>
              </w:rPr>
            </w:pPr>
            <w:r w:rsidRPr="00D4351A">
              <w:rPr>
                <w:sz w:val="21"/>
                <w:szCs w:val="21"/>
              </w:rPr>
              <w:t>Styrke den offentlige allmennlegetjenesten</w:t>
            </w:r>
          </w:p>
        </w:tc>
        <w:tc>
          <w:tcPr>
            <w:tcW w:w="2120" w:type="dxa"/>
            <w:tcBorders>
              <w:top w:val="nil"/>
              <w:left w:val="nil"/>
              <w:bottom w:val="nil"/>
              <w:right w:val="nil"/>
            </w:tcBorders>
            <w:tcMar>
              <w:top w:w="128" w:type="dxa"/>
              <w:left w:w="43" w:type="dxa"/>
              <w:bottom w:w="43" w:type="dxa"/>
              <w:right w:w="43" w:type="dxa"/>
            </w:tcMar>
            <w:vAlign w:val="bottom"/>
          </w:tcPr>
          <w:p w14:paraId="18969EE8" w14:textId="77777777" w:rsidR="00D60186" w:rsidRPr="00D4351A" w:rsidRDefault="00D60186" w:rsidP="00D4351A">
            <w:pPr>
              <w:jc w:val="right"/>
              <w:rPr>
                <w:sz w:val="21"/>
                <w:szCs w:val="21"/>
              </w:rPr>
            </w:pPr>
            <w:r w:rsidRPr="00D4351A">
              <w:rPr>
                <w:sz w:val="21"/>
                <w:szCs w:val="21"/>
              </w:rPr>
              <w:t>Ja</w:t>
            </w:r>
          </w:p>
        </w:tc>
      </w:tr>
      <w:tr w:rsidR="00E76DC8" w:rsidRPr="00225D4D" w14:paraId="00F002A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CF10B01"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76401754" w14:textId="77777777" w:rsidR="00D60186" w:rsidRPr="00D4351A" w:rsidRDefault="00D60186" w:rsidP="00D4351A">
            <w:pPr>
              <w:ind w:right="113"/>
              <w:jc w:val="right"/>
              <w:rPr>
                <w:sz w:val="21"/>
                <w:szCs w:val="21"/>
              </w:rPr>
            </w:pPr>
            <w:r w:rsidRPr="00D4351A">
              <w:rPr>
                <w:sz w:val="21"/>
                <w:szCs w:val="21"/>
              </w:rPr>
              <w:t>86</w:t>
            </w:r>
          </w:p>
        </w:tc>
        <w:tc>
          <w:tcPr>
            <w:tcW w:w="5220" w:type="dxa"/>
            <w:tcBorders>
              <w:top w:val="nil"/>
              <w:left w:val="nil"/>
              <w:bottom w:val="nil"/>
              <w:right w:val="nil"/>
            </w:tcBorders>
            <w:tcMar>
              <w:top w:w="128" w:type="dxa"/>
              <w:left w:w="43" w:type="dxa"/>
              <w:bottom w:w="43" w:type="dxa"/>
              <w:right w:w="43" w:type="dxa"/>
            </w:tcMar>
          </w:tcPr>
          <w:p w14:paraId="13CBD5FF" w14:textId="77777777" w:rsidR="00D60186" w:rsidRPr="00D4351A" w:rsidRDefault="00D60186" w:rsidP="00225D4D">
            <w:pPr>
              <w:rPr>
                <w:sz w:val="21"/>
                <w:szCs w:val="21"/>
              </w:rPr>
            </w:pPr>
            <w:r w:rsidRPr="00D4351A">
              <w:rPr>
                <w:sz w:val="21"/>
                <w:szCs w:val="21"/>
              </w:rPr>
              <w:t>Rett til nødvendig tannhelsehjelp i den offentlige tannhelsetjenesten for unge voksne</w:t>
            </w:r>
          </w:p>
        </w:tc>
        <w:tc>
          <w:tcPr>
            <w:tcW w:w="2120" w:type="dxa"/>
            <w:tcBorders>
              <w:top w:val="nil"/>
              <w:left w:val="nil"/>
              <w:bottom w:val="nil"/>
              <w:right w:val="nil"/>
            </w:tcBorders>
            <w:tcMar>
              <w:top w:w="128" w:type="dxa"/>
              <w:left w:w="43" w:type="dxa"/>
              <w:bottom w:w="43" w:type="dxa"/>
              <w:right w:w="43" w:type="dxa"/>
            </w:tcMar>
            <w:vAlign w:val="bottom"/>
          </w:tcPr>
          <w:p w14:paraId="0DDD6172" w14:textId="77777777" w:rsidR="00D60186" w:rsidRPr="00D4351A" w:rsidRDefault="00D60186" w:rsidP="00D4351A">
            <w:pPr>
              <w:jc w:val="right"/>
              <w:rPr>
                <w:sz w:val="21"/>
                <w:szCs w:val="21"/>
              </w:rPr>
            </w:pPr>
            <w:r w:rsidRPr="00D4351A">
              <w:rPr>
                <w:sz w:val="21"/>
                <w:szCs w:val="21"/>
              </w:rPr>
              <w:t>Ja</w:t>
            </w:r>
          </w:p>
        </w:tc>
      </w:tr>
      <w:tr w:rsidR="00E76DC8" w:rsidRPr="00225D4D" w14:paraId="5AE81A4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2A33310"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19EAB798" w14:textId="77777777" w:rsidR="00D60186" w:rsidRPr="00D4351A" w:rsidRDefault="00D60186" w:rsidP="00D4351A">
            <w:pPr>
              <w:ind w:right="113"/>
              <w:jc w:val="right"/>
              <w:rPr>
                <w:sz w:val="21"/>
                <w:szCs w:val="21"/>
              </w:rPr>
            </w:pPr>
            <w:r w:rsidRPr="00D4351A">
              <w:rPr>
                <w:sz w:val="21"/>
                <w:szCs w:val="21"/>
              </w:rPr>
              <w:t>137</w:t>
            </w:r>
          </w:p>
        </w:tc>
        <w:tc>
          <w:tcPr>
            <w:tcW w:w="5220" w:type="dxa"/>
            <w:tcBorders>
              <w:top w:val="nil"/>
              <w:left w:val="nil"/>
              <w:bottom w:val="nil"/>
              <w:right w:val="nil"/>
            </w:tcBorders>
            <w:tcMar>
              <w:top w:w="128" w:type="dxa"/>
              <w:left w:w="43" w:type="dxa"/>
              <w:bottom w:w="43" w:type="dxa"/>
              <w:right w:w="43" w:type="dxa"/>
            </w:tcMar>
          </w:tcPr>
          <w:p w14:paraId="5C920BD6" w14:textId="77777777" w:rsidR="00D60186" w:rsidRPr="00D4351A" w:rsidRDefault="00D60186" w:rsidP="00225D4D">
            <w:pPr>
              <w:rPr>
                <w:sz w:val="21"/>
                <w:szCs w:val="21"/>
              </w:rPr>
            </w:pPr>
            <w:r w:rsidRPr="00D4351A">
              <w:rPr>
                <w:sz w:val="21"/>
                <w:szCs w:val="21"/>
              </w:rPr>
              <w:t>Akuttilbud til personer som er utsatt for vold i nære relasjoner</w:t>
            </w:r>
          </w:p>
        </w:tc>
        <w:tc>
          <w:tcPr>
            <w:tcW w:w="2120" w:type="dxa"/>
            <w:tcBorders>
              <w:top w:val="nil"/>
              <w:left w:val="nil"/>
              <w:bottom w:val="nil"/>
              <w:right w:val="nil"/>
            </w:tcBorders>
            <w:tcMar>
              <w:top w:w="128" w:type="dxa"/>
              <w:left w:w="43" w:type="dxa"/>
              <w:bottom w:w="43" w:type="dxa"/>
              <w:right w:w="43" w:type="dxa"/>
            </w:tcMar>
            <w:vAlign w:val="bottom"/>
          </w:tcPr>
          <w:p w14:paraId="69DCE91E" w14:textId="77777777" w:rsidR="00D60186" w:rsidRPr="00D4351A" w:rsidRDefault="00D60186" w:rsidP="00D4351A">
            <w:pPr>
              <w:jc w:val="right"/>
              <w:rPr>
                <w:sz w:val="21"/>
                <w:szCs w:val="21"/>
              </w:rPr>
            </w:pPr>
            <w:r w:rsidRPr="00D4351A">
              <w:rPr>
                <w:sz w:val="21"/>
                <w:szCs w:val="21"/>
              </w:rPr>
              <w:t>Nei</w:t>
            </w:r>
          </w:p>
        </w:tc>
      </w:tr>
      <w:tr w:rsidR="00E76DC8" w:rsidRPr="00225D4D" w14:paraId="18203C55"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5453C10"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1C1DE79D" w14:textId="77777777" w:rsidR="00D60186" w:rsidRPr="00D4351A" w:rsidRDefault="00D60186" w:rsidP="00D4351A">
            <w:pPr>
              <w:ind w:right="113"/>
              <w:jc w:val="right"/>
              <w:rPr>
                <w:sz w:val="21"/>
                <w:szCs w:val="21"/>
              </w:rPr>
            </w:pPr>
            <w:r w:rsidRPr="00D4351A">
              <w:rPr>
                <w:sz w:val="21"/>
                <w:szCs w:val="21"/>
              </w:rPr>
              <w:t>486</w:t>
            </w:r>
          </w:p>
        </w:tc>
        <w:tc>
          <w:tcPr>
            <w:tcW w:w="5220" w:type="dxa"/>
            <w:tcBorders>
              <w:top w:val="nil"/>
              <w:left w:val="nil"/>
              <w:bottom w:val="nil"/>
              <w:right w:val="nil"/>
            </w:tcBorders>
            <w:tcMar>
              <w:top w:w="128" w:type="dxa"/>
              <w:left w:w="43" w:type="dxa"/>
              <w:bottom w:w="43" w:type="dxa"/>
              <w:right w:w="43" w:type="dxa"/>
            </w:tcMar>
          </w:tcPr>
          <w:p w14:paraId="424B358C" w14:textId="77777777" w:rsidR="00D60186" w:rsidRPr="00D4351A" w:rsidRDefault="00D60186" w:rsidP="00225D4D">
            <w:pPr>
              <w:rPr>
                <w:sz w:val="21"/>
                <w:szCs w:val="21"/>
              </w:rPr>
            </w:pPr>
            <w:r w:rsidRPr="00D4351A">
              <w:rPr>
                <w:sz w:val="21"/>
                <w:szCs w:val="21"/>
              </w:rPr>
              <w:t>Lovendring om å innhente opplysninger uten samtykke i pasientskadesaker</w:t>
            </w:r>
          </w:p>
        </w:tc>
        <w:tc>
          <w:tcPr>
            <w:tcW w:w="2120" w:type="dxa"/>
            <w:tcBorders>
              <w:top w:val="nil"/>
              <w:left w:val="nil"/>
              <w:bottom w:val="nil"/>
              <w:right w:val="nil"/>
            </w:tcBorders>
            <w:tcMar>
              <w:top w:w="128" w:type="dxa"/>
              <w:left w:w="43" w:type="dxa"/>
              <w:bottom w:w="43" w:type="dxa"/>
              <w:right w:w="43" w:type="dxa"/>
            </w:tcMar>
            <w:vAlign w:val="bottom"/>
          </w:tcPr>
          <w:p w14:paraId="5A520896" w14:textId="77777777" w:rsidR="00D60186" w:rsidRPr="00D4351A" w:rsidRDefault="00D60186" w:rsidP="00D4351A">
            <w:pPr>
              <w:jc w:val="right"/>
              <w:rPr>
                <w:sz w:val="21"/>
                <w:szCs w:val="21"/>
              </w:rPr>
            </w:pPr>
            <w:r w:rsidRPr="00D4351A">
              <w:rPr>
                <w:sz w:val="21"/>
                <w:szCs w:val="21"/>
              </w:rPr>
              <w:t>Ja</w:t>
            </w:r>
          </w:p>
        </w:tc>
      </w:tr>
      <w:tr w:rsidR="00E76DC8" w:rsidRPr="00225D4D" w14:paraId="76483BB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7B75A8D"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019AC9D" w14:textId="77777777" w:rsidR="00D60186" w:rsidRPr="00D4351A" w:rsidRDefault="00D60186" w:rsidP="00D4351A">
            <w:pPr>
              <w:ind w:right="113"/>
              <w:jc w:val="right"/>
              <w:rPr>
                <w:sz w:val="21"/>
                <w:szCs w:val="21"/>
              </w:rPr>
            </w:pPr>
            <w:r w:rsidRPr="00D4351A">
              <w:rPr>
                <w:sz w:val="21"/>
                <w:szCs w:val="21"/>
              </w:rPr>
              <w:t>610</w:t>
            </w:r>
          </w:p>
        </w:tc>
        <w:tc>
          <w:tcPr>
            <w:tcW w:w="5220" w:type="dxa"/>
            <w:tcBorders>
              <w:top w:val="nil"/>
              <w:left w:val="nil"/>
              <w:bottom w:val="nil"/>
              <w:right w:val="nil"/>
            </w:tcBorders>
            <w:tcMar>
              <w:top w:w="128" w:type="dxa"/>
              <w:left w:w="43" w:type="dxa"/>
              <w:bottom w:w="43" w:type="dxa"/>
              <w:right w:w="43" w:type="dxa"/>
            </w:tcMar>
          </w:tcPr>
          <w:p w14:paraId="33FFD143" w14:textId="77777777" w:rsidR="00D60186" w:rsidRPr="00D4351A" w:rsidRDefault="00D60186" w:rsidP="00225D4D">
            <w:pPr>
              <w:rPr>
                <w:sz w:val="21"/>
                <w:szCs w:val="21"/>
              </w:rPr>
            </w:pPr>
            <w:r w:rsidRPr="00D4351A">
              <w:rPr>
                <w:sz w:val="21"/>
                <w:szCs w:val="21"/>
              </w:rPr>
              <w:t>Evaluering av Norsk pasientskadeerstatning</w:t>
            </w:r>
          </w:p>
        </w:tc>
        <w:tc>
          <w:tcPr>
            <w:tcW w:w="2120" w:type="dxa"/>
            <w:tcBorders>
              <w:top w:val="nil"/>
              <w:left w:val="nil"/>
              <w:bottom w:val="nil"/>
              <w:right w:val="nil"/>
            </w:tcBorders>
            <w:tcMar>
              <w:top w:w="128" w:type="dxa"/>
              <w:left w:w="43" w:type="dxa"/>
              <w:bottom w:w="43" w:type="dxa"/>
              <w:right w:w="43" w:type="dxa"/>
            </w:tcMar>
            <w:vAlign w:val="bottom"/>
          </w:tcPr>
          <w:p w14:paraId="780BC317" w14:textId="77777777" w:rsidR="00D60186" w:rsidRPr="00D4351A" w:rsidRDefault="00D60186" w:rsidP="00D4351A">
            <w:pPr>
              <w:jc w:val="right"/>
              <w:rPr>
                <w:sz w:val="21"/>
                <w:szCs w:val="21"/>
              </w:rPr>
            </w:pPr>
            <w:r w:rsidRPr="00D4351A">
              <w:rPr>
                <w:sz w:val="21"/>
                <w:szCs w:val="21"/>
              </w:rPr>
              <w:t>Ja</w:t>
            </w:r>
          </w:p>
        </w:tc>
      </w:tr>
      <w:tr w:rsidR="00E76DC8" w:rsidRPr="00225D4D" w14:paraId="0126B7B8"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C26FCB2"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0EB91B33" w14:textId="77777777" w:rsidR="00D60186" w:rsidRPr="00D4351A" w:rsidRDefault="00D60186" w:rsidP="00D4351A">
            <w:pPr>
              <w:ind w:right="113"/>
              <w:jc w:val="right"/>
              <w:rPr>
                <w:sz w:val="21"/>
                <w:szCs w:val="21"/>
              </w:rPr>
            </w:pPr>
            <w:r w:rsidRPr="00D4351A">
              <w:rPr>
                <w:sz w:val="21"/>
                <w:szCs w:val="21"/>
              </w:rPr>
              <w:t>742</w:t>
            </w:r>
          </w:p>
        </w:tc>
        <w:tc>
          <w:tcPr>
            <w:tcW w:w="5220" w:type="dxa"/>
            <w:tcBorders>
              <w:top w:val="nil"/>
              <w:left w:val="nil"/>
              <w:bottom w:val="nil"/>
              <w:right w:val="nil"/>
            </w:tcBorders>
            <w:tcMar>
              <w:top w:w="128" w:type="dxa"/>
              <w:left w:w="43" w:type="dxa"/>
              <w:bottom w:w="43" w:type="dxa"/>
              <w:right w:w="43" w:type="dxa"/>
            </w:tcMar>
          </w:tcPr>
          <w:p w14:paraId="6E552188" w14:textId="77777777" w:rsidR="00D60186" w:rsidRPr="00D4351A" w:rsidRDefault="00D60186" w:rsidP="00225D4D">
            <w:pPr>
              <w:rPr>
                <w:sz w:val="21"/>
                <w:szCs w:val="21"/>
              </w:rPr>
            </w:pPr>
            <w:r w:rsidRPr="00D4351A">
              <w:rPr>
                <w:sz w:val="21"/>
                <w:szCs w:val="21"/>
              </w:rPr>
              <w:t>Stortingsmelding om BPA</w:t>
            </w:r>
          </w:p>
        </w:tc>
        <w:tc>
          <w:tcPr>
            <w:tcW w:w="2120" w:type="dxa"/>
            <w:tcBorders>
              <w:top w:val="nil"/>
              <w:left w:val="nil"/>
              <w:bottom w:val="nil"/>
              <w:right w:val="nil"/>
            </w:tcBorders>
            <w:tcMar>
              <w:top w:w="128" w:type="dxa"/>
              <w:left w:w="43" w:type="dxa"/>
              <w:bottom w:w="43" w:type="dxa"/>
              <w:right w:w="43" w:type="dxa"/>
            </w:tcMar>
            <w:vAlign w:val="bottom"/>
          </w:tcPr>
          <w:p w14:paraId="52F44C7A" w14:textId="77777777" w:rsidR="00D60186" w:rsidRPr="00D4351A" w:rsidRDefault="00D60186" w:rsidP="00D4351A">
            <w:pPr>
              <w:jc w:val="right"/>
              <w:rPr>
                <w:sz w:val="21"/>
                <w:szCs w:val="21"/>
              </w:rPr>
            </w:pPr>
            <w:r w:rsidRPr="00D4351A">
              <w:rPr>
                <w:sz w:val="21"/>
                <w:szCs w:val="21"/>
              </w:rPr>
              <w:t>Nei</w:t>
            </w:r>
          </w:p>
        </w:tc>
      </w:tr>
      <w:tr w:rsidR="00E76DC8" w:rsidRPr="00225D4D" w14:paraId="207BCC2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562C7B0"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79938D77" w14:textId="77777777" w:rsidR="00D60186" w:rsidRPr="00D4351A" w:rsidRDefault="00D60186" w:rsidP="00D4351A">
            <w:pPr>
              <w:ind w:right="113"/>
              <w:jc w:val="right"/>
              <w:rPr>
                <w:sz w:val="21"/>
                <w:szCs w:val="21"/>
              </w:rPr>
            </w:pPr>
            <w:r w:rsidRPr="00D4351A">
              <w:rPr>
                <w:sz w:val="21"/>
                <w:szCs w:val="21"/>
              </w:rPr>
              <w:t>745</w:t>
            </w:r>
          </w:p>
        </w:tc>
        <w:tc>
          <w:tcPr>
            <w:tcW w:w="5220" w:type="dxa"/>
            <w:tcBorders>
              <w:top w:val="nil"/>
              <w:left w:val="nil"/>
              <w:bottom w:val="nil"/>
              <w:right w:val="nil"/>
            </w:tcBorders>
            <w:tcMar>
              <w:top w:w="128" w:type="dxa"/>
              <w:left w:w="43" w:type="dxa"/>
              <w:bottom w:w="43" w:type="dxa"/>
              <w:right w:w="43" w:type="dxa"/>
            </w:tcMar>
          </w:tcPr>
          <w:p w14:paraId="2CA7146E" w14:textId="77777777" w:rsidR="00D60186" w:rsidRPr="00D4351A" w:rsidRDefault="00D60186" w:rsidP="00225D4D">
            <w:pPr>
              <w:rPr>
                <w:sz w:val="21"/>
                <w:szCs w:val="21"/>
              </w:rPr>
            </w:pPr>
            <w:r w:rsidRPr="00D4351A">
              <w:rPr>
                <w:sz w:val="21"/>
                <w:szCs w:val="21"/>
              </w:rPr>
              <w:t>Aldersgrense for kjøp og salg av energidrikker</w:t>
            </w:r>
          </w:p>
        </w:tc>
        <w:tc>
          <w:tcPr>
            <w:tcW w:w="2120" w:type="dxa"/>
            <w:tcBorders>
              <w:top w:val="nil"/>
              <w:left w:val="nil"/>
              <w:bottom w:val="nil"/>
              <w:right w:val="nil"/>
            </w:tcBorders>
            <w:tcMar>
              <w:top w:w="128" w:type="dxa"/>
              <w:left w:w="43" w:type="dxa"/>
              <w:bottom w:w="43" w:type="dxa"/>
              <w:right w:w="43" w:type="dxa"/>
            </w:tcMar>
            <w:vAlign w:val="bottom"/>
          </w:tcPr>
          <w:p w14:paraId="20C77FBA" w14:textId="77777777" w:rsidR="00D60186" w:rsidRPr="00D4351A" w:rsidRDefault="00D60186" w:rsidP="00D4351A">
            <w:pPr>
              <w:jc w:val="right"/>
              <w:rPr>
                <w:sz w:val="21"/>
                <w:szCs w:val="21"/>
              </w:rPr>
            </w:pPr>
            <w:r w:rsidRPr="00D4351A">
              <w:rPr>
                <w:sz w:val="21"/>
                <w:szCs w:val="21"/>
              </w:rPr>
              <w:t>Ja</w:t>
            </w:r>
          </w:p>
        </w:tc>
      </w:tr>
      <w:tr w:rsidR="00E76DC8" w:rsidRPr="00225D4D" w14:paraId="7F936783"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853B5E1"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E755E0A" w14:textId="77777777" w:rsidR="00D60186" w:rsidRPr="00D4351A" w:rsidRDefault="00D60186" w:rsidP="00D4351A">
            <w:pPr>
              <w:ind w:right="113"/>
              <w:jc w:val="right"/>
              <w:rPr>
                <w:sz w:val="21"/>
                <w:szCs w:val="21"/>
              </w:rPr>
            </w:pPr>
            <w:r w:rsidRPr="00D4351A">
              <w:rPr>
                <w:sz w:val="21"/>
                <w:szCs w:val="21"/>
              </w:rPr>
              <w:t>746</w:t>
            </w:r>
          </w:p>
        </w:tc>
        <w:tc>
          <w:tcPr>
            <w:tcW w:w="5220" w:type="dxa"/>
            <w:tcBorders>
              <w:top w:val="nil"/>
              <w:left w:val="nil"/>
              <w:bottom w:val="nil"/>
              <w:right w:val="nil"/>
            </w:tcBorders>
            <w:tcMar>
              <w:top w:w="128" w:type="dxa"/>
              <w:left w:w="43" w:type="dxa"/>
              <w:bottom w:w="43" w:type="dxa"/>
              <w:right w:w="43" w:type="dxa"/>
            </w:tcMar>
          </w:tcPr>
          <w:p w14:paraId="07A595A8" w14:textId="77777777" w:rsidR="00D60186" w:rsidRPr="00D4351A" w:rsidRDefault="00D60186" w:rsidP="00225D4D">
            <w:pPr>
              <w:rPr>
                <w:sz w:val="21"/>
                <w:szCs w:val="21"/>
              </w:rPr>
            </w:pPr>
            <w:r w:rsidRPr="00D4351A">
              <w:rPr>
                <w:sz w:val="21"/>
                <w:szCs w:val="21"/>
              </w:rPr>
              <w:t>Grønn resept</w:t>
            </w:r>
          </w:p>
        </w:tc>
        <w:tc>
          <w:tcPr>
            <w:tcW w:w="2120" w:type="dxa"/>
            <w:tcBorders>
              <w:top w:val="nil"/>
              <w:left w:val="nil"/>
              <w:bottom w:val="nil"/>
              <w:right w:val="nil"/>
            </w:tcBorders>
            <w:tcMar>
              <w:top w:w="128" w:type="dxa"/>
              <w:left w:w="43" w:type="dxa"/>
              <w:bottom w:w="43" w:type="dxa"/>
              <w:right w:w="43" w:type="dxa"/>
            </w:tcMar>
            <w:vAlign w:val="bottom"/>
          </w:tcPr>
          <w:p w14:paraId="766AF058" w14:textId="77777777" w:rsidR="00D60186" w:rsidRPr="00D4351A" w:rsidRDefault="00D60186" w:rsidP="00D4351A">
            <w:pPr>
              <w:jc w:val="right"/>
              <w:rPr>
                <w:sz w:val="21"/>
                <w:szCs w:val="21"/>
              </w:rPr>
            </w:pPr>
            <w:r w:rsidRPr="00D4351A">
              <w:rPr>
                <w:sz w:val="21"/>
                <w:szCs w:val="21"/>
              </w:rPr>
              <w:t>Nei</w:t>
            </w:r>
          </w:p>
        </w:tc>
      </w:tr>
      <w:tr w:rsidR="00E76DC8" w:rsidRPr="00225D4D" w14:paraId="7E671237"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4F6FD0E"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2256F4A7" w14:textId="77777777" w:rsidR="00D60186" w:rsidRPr="00D4351A" w:rsidRDefault="00D60186" w:rsidP="00D4351A">
            <w:pPr>
              <w:ind w:right="113"/>
              <w:jc w:val="right"/>
              <w:rPr>
                <w:sz w:val="21"/>
                <w:szCs w:val="21"/>
              </w:rPr>
            </w:pPr>
            <w:r w:rsidRPr="00D4351A">
              <w:rPr>
                <w:sz w:val="21"/>
                <w:szCs w:val="21"/>
              </w:rPr>
              <w:t>748</w:t>
            </w:r>
          </w:p>
        </w:tc>
        <w:tc>
          <w:tcPr>
            <w:tcW w:w="5220" w:type="dxa"/>
            <w:tcBorders>
              <w:top w:val="nil"/>
              <w:left w:val="nil"/>
              <w:bottom w:val="nil"/>
              <w:right w:val="nil"/>
            </w:tcBorders>
            <w:tcMar>
              <w:top w:w="128" w:type="dxa"/>
              <w:left w:w="43" w:type="dxa"/>
              <w:bottom w:w="43" w:type="dxa"/>
              <w:right w:w="43" w:type="dxa"/>
            </w:tcMar>
          </w:tcPr>
          <w:p w14:paraId="7CF47A17" w14:textId="77777777" w:rsidR="00D60186" w:rsidRPr="00D4351A" w:rsidRDefault="00D60186" w:rsidP="00225D4D">
            <w:pPr>
              <w:rPr>
                <w:sz w:val="21"/>
                <w:szCs w:val="21"/>
              </w:rPr>
            </w:pPr>
            <w:r w:rsidRPr="00D4351A">
              <w:rPr>
                <w:sz w:val="21"/>
                <w:szCs w:val="21"/>
              </w:rPr>
              <w:t>Selvmordsforebygging</w:t>
            </w:r>
          </w:p>
        </w:tc>
        <w:tc>
          <w:tcPr>
            <w:tcW w:w="2120" w:type="dxa"/>
            <w:tcBorders>
              <w:top w:val="nil"/>
              <w:left w:val="nil"/>
              <w:bottom w:val="nil"/>
              <w:right w:val="nil"/>
            </w:tcBorders>
            <w:tcMar>
              <w:top w:w="128" w:type="dxa"/>
              <w:left w:w="43" w:type="dxa"/>
              <w:bottom w:w="43" w:type="dxa"/>
              <w:right w:w="43" w:type="dxa"/>
            </w:tcMar>
            <w:vAlign w:val="bottom"/>
          </w:tcPr>
          <w:p w14:paraId="49FCB2E0"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2F5F2912"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332B5D3"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5B764494" w14:textId="77777777" w:rsidR="00D60186" w:rsidRPr="00D4351A" w:rsidRDefault="00D60186" w:rsidP="00D4351A">
            <w:pPr>
              <w:ind w:right="113"/>
              <w:jc w:val="right"/>
              <w:rPr>
                <w:sz w:val="21"/>
                <w:szCs w:val="21"/>
              </w:rPr>
            </w:pPr>
            <w:r w:rsidRPr="00D4351A">
              <w:rPr>
                <w:sz w:val="21"/>
                <w:szCs w:val="21"/>
              </w:rPr>
              <w:t>756</w:t>
            </w:r>
          </w:p>
        </w:tc>
        <w:tc>
          <w:tcPr>
            <w:tcW w:w="5220" w:type="dxa"/>
            <w:tcBorders>
              <w:top w:val="nil"/>
              <w:left w:val="nil"/>
              <w:bottom w:val="nil"/>
              <w:right w:val="nil"/>
            </w:tcBorders>
            <w:tcMar>
              <w:top w:w="128" w:type="dxa"/>
              <w:left w:w="43" w:type="dxa"/>
              <w:bottom w:w="43" w:type="dxa"/>
              <w:right w:w="43" w:type="dxa"/>
            </w:tcMar>
          </w:tcPr>
          <w:p w14:paraId="6331D54E" w14:textId="77777777" w:rsidR="00D60186" w:rsidRPr="00D4351A" w:rsidRDefault="00D60186" w:rsidP="00225D4D">
            <w:pPr>
              <w:rPr>
                <w:sz w:val="21"/>
                <w:szCs w:val="21"/>
              </w:rPr>
            </w:pPr>
            <w:r w:rsidRPr="00D4351A">
              <w:rPr>
                <w:sz w:val="21"/>
                <w:szCs w:val="21"/>
              </w:rPr>
              <w:t>Apotekenes rolle i vaksinasjonsarbeidet</w:t>
            </w:r>
          </w:p>
        </w:tc>
        <w:tc>
          <w:tcPr>
            <w:tcW w:w="2120" w:type="dxa"/>
            <w:tcBorders>
              <w:top w:val="nil"/>
              <w:left w:val="nil"/>
              <w:bottom w:val="nil"/>
              <w:right w:val="nil"/>
            </w:tcBorders>
            <w:tcMar>
              <w:top w:w="128" w:type="dxa"/>
              <w:left w:w="43" w:type="dxa"/>
              <w:bottom w:w="43" w:type="dxa"/>
              <w:right w:w="43" w:type="dxa"/>
            </w:tcMar>
            <w:vAlign w:val="bottom"/>
          </w:tcPr>
          <w:p w14:paraId="09D0EEA0" w14:textId="77777777" w:rsidR="00D60186" w:rsidRPr="00D4351A" w:rsidRDefault="00D60186" w:rsidP="00D4351A">
            <w:pPr>
              <w:jc w:val="right"/>
              <w:rPr>
                <w:sz w:val="21"/>
                <w:szCs w:val="21"/>
              </w:rPr>
            </w:pPr>
            <w:r w:rsidRPr="00D4351A">
              <w:rPr>
                <w:sz w:val="21"/>
                <w:szCs w:val="21"/>
              </w:rPr>
              <w:t>Nei</w:t>
            </w:r>
          </w:p>
        </w:tc>
      </w:tr>
      <w:tr w:rsidR="00E76DC8" w:rsidRPr="00225D4D" w14:paraId="64F6EA86"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0B7732C"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8CA64CE" w14:textId="77777777" w:rsidR="00D60186" w:rsidRPr="00D4351A" w:rsidRDefault="00D60186" w:rsidP="00D4351A">
            <w:pPr>
              <w:ind w:right="113"/>
              <w:jc w:val="right"/>
              <w:rPr>
                <w:sz w:val="21"/>
                <w:szCs w:val="21"/>
              </w:rPr>
            </w:pPr>
            <w:r w:rsidRPr="00D4351A">
              <w:rPr>
                <w:sz w:val="21"/>
                <w:szCs w:val="21"/>
              </w:rPr>
              <w:t>929</w:t>
            </w:r>
          </w:p>
        </w:tc>
        <w:tc>
          <w:tcPr>
            <w:tcW w:w="5220" w:type="dxa"/>
            <w:tcBorders>
              <w:top w:val="nil"/>
              <w:left w:val="nil"/>
              <w:bottom w:val="nil"/>
              <w:right w:val="nil"/>
            </w:tcBorders>
            <w:tcMar>
              <w:top w:w="128" w:type="dxa"/>
              <w:left w:w="43" w:type="dxa"/>
              <w:bottom w:w="43" w:type="dxa"/>
              <w:right w:w="43" w:type="dxa"/>
            </w:tcMar>
          </w:tcPr>
          <w:p w14:paraId="178A1C90" w14:textId="77777777" w:rsidR="00D60186" w:rsidRPr="00D4351A" w:rsidRDefault="00D60186" w:rsidP="00225D4D">
            <w:pPr>
              <w:rPr>
                <w:sz w:val="21"/>
                <w:szCs w:val="21"/>
              </w:rPr>
            </w:pPr>
            <w:r w:rsidRPr="00D4351A">
              <w:rPr>
                <w:sz w:val="21"/>
                <w:szCs w:val="21"/>
              </w:rPr>
              <w:t>Utvide vilkårene for folketrygdstønad på grunnlag av sterkt nedsatt evne til egenomsorg</w:t>
            </w:r>
          </w:p>
        </w:tc>
        <w:tc>
          <w:tcPr>
            <w:tcW w:w="2120" w:type="dxa"/>
            <w:tcBorders>
              <w:top w:val="nil"/>
              <w:left w:val="nil"/>
              <w:bottom w:val="nil"/>
              <w:right w:val="nil"/>
            </w:tcBorders>
            <w:tcMar>
              <w:top w:w="128" w:type="dxa"/>
              <w:left w:w="43" w:type="dxa"/>
              <w:bottom w:w="43" w:type="dxa"/>
              <w:right w:w="43" w:type="dxa"/>
            </w:tcMar>
            <w:vAlign w:val="bottom"/>
          </w:tcPr>
          <w:p w14:paraId="28767F1B" w14:textId="77777777" w:rsidR="00D60186" w:rsidRPr="00D4351A" w:rsidRDefault="00D60186" w:rsidP="00D4351A">
            <w:pPr>
              <w:jc w:val="right"/>
              <w:rPr>
                <w:sz w:val="21"/>
                <w:szCs w:val="21"/>
              </w:rPr>
            </w:pPr>
            <w:r w:rsidRPr="00D4351A">
              <w:rPr>
                <w:sz w:val="21"/>
                <w:szCs w:val="21"/>
              </w:rPr>
              <w:t>Ja</w:t>
            </w:r>
          </w:p>
        </w:tc>
      </w:tr>
      <w:tr w:rsidR="00E76DC8" w:rsidRPr="00225D4D" w14:paraId="04EE383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F900DF7"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04749D2B" w14:textId="77777777" w:rsidR="00D60186" w:rsidRPr="00D4351A" w:rsidRDefault="00D60186" w:rsidP="00D4351A">
            <w:pPr>
              <w:ind w:right="113"/>
              <w:jc w:val="right"/>
              <w:rPr>
                <w:sz w:val="21"/>
                <w:szCs w:val="21"/>
              </w:rPr>
            </w:pPr>
            <w:r w:rsidRPr="00D4351A">
              <w:rPr>
                <w:sz w:val="21"/>
                <w:szCs w:val="21"/>
              </w:rPr>
              <w:t>417</w:t>
            </w:r>
          </w:p>
        </w:tc>
        <w:tc>
          <w:tcPr>
            <w:tcW w:w="5220" w:type="dxa"/>
            <w:tcBorders>
              <w:top w:val="nil"/>
              <w:left w:val="nil"/>
              <w:bottom w:val="nil"/>
              <w:right w:val="nil"/>
            </w:tcBorders>
            <w:tcMar>
              <w:top w:w="128" w:type="dxa"/>
              <w:left w:w="43" w:type="dxa"/>
              <w:bottom w:w="43" w:type="dxa"/>
              <w:right w:w="43" w:type="dxa"/>
            </w:tcMar>
          </w:tcPr>
          <w:p w14:paraId="08BE2569" w14:textId="77777777" w:rsidR="00D60186" w:rsidRPr="00D4351A" w:rsidRDefault="00D60186" w:rsidP="00225D4D">
            <w:pPr>
              <w:rPr>
                <w:sz w:val="21"/>
                <w:szCs w:val="21"/>
              </w:rPr>
            </w:pPr>
            <w:r w:rsidRPr="00D4351A">
              <w:rPr>
                <w:sz w:val="21"/>
                <w:szCs w:val="21"/>
              </w:rPr>
              <w:t xml:space="preserve">Avklaring knyttet til Register for utøvere av alternativ behandling </w:t>
            </w:r>
          </w:p>
        </w:tc>
        <w:tc>
          <w:tcPr>
            <w:tcW w:w="2120" w:type="dxa"/>
            <w:tcBorders>
              <w:top w:val="nil"/>
              <w:left w:val="nil"/>
              <w:bottom w:val="nil"/>
              <w:right w:val="nil"/>
            </w:tcBorders>
            <w:tcMar>
              <w:top w:w="128" w:type="dxa"/>
              <w:left w:w="43" w:type="dxa"/>
              <w:bottom w:w="43" w:type="dxa"/>
              <w:right w:w="43" w:type="dxa"/>
            </w:tcMar>
            <w:vAlign w:val="bottom"/>
          </w:tcPr>
          <w:p w14:paraId="01ADD5C3" w14:textId="77777777" w:rsidR="00D60186" w:rsidRPr="00D4351A" w:rsidRDefault="00D60186" w:rsidP="00D4351A">
            <w:pPr>
              <w:jc w:val="right"/>
              <w:rPr>
                <w:sz w:val="21"/>
                <w:szCs w:val="21"/>
              </w:rPr>
            </w:pPr>
            <w:r w:rsidRPr="00D4351A">
              <w:rPr>
                <w:sz w:val="21"/>
                <w:szCs w:val="21"/>
              </w:rPr>
              <w:t>Nei</w:t>
            </w:r>
          </w:p>
        </w:tc>
      </w:tr>
      <w:tr w:rsidR="00E76DC8" w:rsidRPr="00225D4D" w14:paraId="46EC6DC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1EE5292"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6EE2804C" w14:textId="77777777" w:rsidR="00D60186" w:rsidRPr="00D4351A" w:rsidRDefault="00D60186" w:rsidP="00D4351A">
            <w:pPr>
              <w:ind w:right="113"/>
              <w:jc w:val="right"/>
              <w:rPr>
                <w:sz w:val="21"/>
                <w:szCs w:val="21"/>
              </w:rPr>
            </w:pPr>
            <w:r w:rsidRPr="00D4351A">
              <w:rPr>
                <w:sz w:val="21"/>
                <w:szCs w:val="21"/>
              </w:rPr>
              <w:t>517</w:t>
            </w:r>
          </w:p>
        </w:tc>
        <w:tc>
          <w:tcPr>
            <w:tcW w:w="5220" w:type="dxa"/>
            <w:tcBorders>
              <w:top w:val="nil"/>
              <w:left w:val="nil"/>
              <w:bottom w:val="nil"/>
              <w:right w:val="nil"/>
            </w:tcBorders>
            <w:tcMar>
              <w:top w:w="128" w:type="dxa"/>
              <w:left w:w="43" w:type="dxa"/>
              <w:bottom w:w="43" w:type="dxa"/>
              <w:right w:w="43" w:type="dxa"/>
            </w:tcMar>
          </w:tcPr>
          <w:p w14:paraId="0260C94B" w14:textId="77777777" w:rsidR="00D60186" w:rsidRPr="00D4351A" w:rsidRDefault="00D60186" w:rsidP="00225D4D">
            <w:pPr>
              <w:rPr>
                <w:sz w:val="21"/>
                <w:szCs w:val="21"/>
              </w:rPr>
            </w:pPr>
            <w:r w:rsidRPr="00D4351A">
              <w:rPr>
                <w:sz w:val="21"/>
                <w:szCs w:val="21"/>
              </w:rPr>
              <w:t>Lovfeste rett til selvvalgt støtteperson gjennom graviditet og fødsel</w:t>
            </w:r>
          </w:p>
        </w:tc>
        <w:tc>
          <w:tcPr>
            <w:tcW w:w="2120" w:type="dxa"/>
            <w:tcBorders>
              <w:top w:val="nil"/>
              <w:left w:val="nil"/>
              <w:bottom w:val="nil"/>
              <w:right w:val="nil"/>
            </w:tcBorders>
            <w:tcMar>
              <w:top w:w="128" w:type="dxa"/>
              <w:left w:w="43" w:type="dxa"/>
              <w:bottom w:w="43" w:type="dxa"/>
              <w:right w:w="43" w:type="dxa"/>
            </w:tcMar>
            <w:vAlign w:val="bottom"/>
          </w:tcPr>
          <w:p w14:paraId="5616E217" w14:textId="77777777" w:rsidR="00D60186" w:rsidRPr="00D4351A" w:rsidRDefault="00D60186" w:rsidP="00D4351A">
            <w:pPr>
              <w:jc w:val="right"/>
              <w:rPr>
                <w:sz w:val="21"/>
                <w:szCs w:val="21"/>
              </w:rPr>
            </w:pPr>
            <w:r w:rsidRPr="00D4351A">
              <w:rPr>
                <w:sz w:val="21"/>
                <w:szCs w:val="21"/>
              </w:rPr>
              <w:t>Ja</w:t>
            </w:r>
          </w:p>
        </w:tc>
      </w:tr>
      <w:tr w:rsidR="00E76DC8" w:rsidRPr="00225D4D" w14:paraId="3AC05F04"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73BC7C6"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4B6BF363" w14:textId="77777777" w:rsidR="00D60186" w:rsidRPr="00D4351A" w:rsidRDefault="00D60186" w:rsidP="00D4351A">
            <w:pPr>
              <w:ind w:right="113"/>
              <w:jc w:val="right"/>
              <w:rPr>
                <w:sz w:val="21"/>
                <w:szCs w:val="21"/>
              </w:rPr>
            </w:pPr>
            <w:r w:rsidRPr="00D4351A">
              <w:rPr>
                <w:sz w:val="21"/>
                <w:szCs w:val="21"/>
              </w:rPr>
              <w:t>518</w:t>
            </w:r>
          </w:p>
        </w:tc>
        <w:tc>
          <w:tcPr>
            <w:tcW w:w="5220" w:type="dxa"/>
            <w:tcBorders>
              <w:top w:val="nil"/>
              <w:left w:val="nil"/>
              <w:bottom w:val="nil"/>
              <w:right w:val="nil"/>
            </w:tcBorders>
            <w:tcMar>
              <w:top w:w="128" w:type="dxa"/>
              <w:left w:w="43" w:type="dxa"/>
              <w:bottom w:w="43" w:type="dxa"/>
              <w:right w:w="43" w:type="dxa"/>
            </w:tcMar>
          </w:tcPr>
          <w:p w14:paraId="0764EB92" w14:textId="77777777" w:rsidR="00D60186" w:rsidRPr="00D4351A" w:rsidRDefault="00D60186" w:rsidP="00225D4D">
            <w:pPr>
              <w:rPr>
                <w:sz w:val="21"/>
                <w:szCs w:val="21"/>
              </w:rPr>
            </w:pPr>
            <w:r w:rsidRPr="00D4351A">
              <w:rPr>
                <w:sz w:val="21"/>
                <w:szCs w:val="21"/>
              </w:rPr>
              <w:t>Oppfølging og hjelpeapparat for forebygging av fødselsdepresjon</w:t>
            </w:r>
          </w:p>
        </w:tc>
        <w:tc>
          <w:tcPr>
            <w:tcW w:w="2120" w:type="dxa"/>
            <w:tcBorders>
              <w:top w:val="nil"/>
              <w:left w:val="nil"/>
              <w:bottom w:val="nil"/>
              <w:right w:val="nil"/>
            </w:tcBorders>
            <w:tcMar>
              <w:top w:w="128" w:type="dxa"/>
              <w:left w:w="43" w:type="dxa"/>
              <w:bottom w:w="43" w:type="dxa"/>
              <w:right w:w="43" w:type="dxa"/>
            </w:tcMar>
            <w:vAlign w:val="bottom"/>
          </w:tcPr>
          <w:p w14:paraId="45ADE1E8"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08ED580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109FF36"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77907D86" w14:textId="77777777" w:rsidR="00D60186" w:rsidRPr="00D4351A" w:rsidRDefault="00D60186" w:rsidP="00D4351A">
            <w:pPr>
              <w:ind w:right="113"/>
              <w:jc w:val="right"/>
              <w:rPr>
                <w:sz w:val="21"/>
                <w:szCs w:val="21"/>
              </w:rPr>
            </w:pPr>
            <w:r w:rsidRPr="00D4351A">
              <w:rPr>
                <w:sz w:val="21"/>
                <w:szCs w:val="21"/>
              </w:rPr>
              <w:t>520</w:t>
            </w:r>
          </w:p>
        </w:tc>
        <w:tc>
          <w:tcPr>
            <w:tcW w:w="5220" w:type="dxa"/>
            <w:tcBorders>
              <w:top w:val="nil"/>
              <w:left w:val="nil"/>
              <w:bottom w:val="nil"/>
              <w:right w:val="nil"/>
            </w:tcBorders>
            <w:tcMar>
              <w:top w:w="128" w:type="dxa"/>
              <w:left w:w="43" w:type="dxa"/>
              <w:bottom w:w="43" w:type="dxa"/>
              <w:right w:w="43" w:type="dxa"/>
            </w:tcMar>
          </w:tcPr>
          <w:p w14:paraId="7D2C85BF" w14:textId="77777777" w:rsidR="00D60186" w:rsidRPr="00D4351A" w:rsidRDefault="00D60186" w:rsidP="00225D4D">
            <w:pPr>
              <w:rPr>
                <w:sz w:val="21"/>
                <w:szCs w:val="21"/>
              </w:rPr>
            </w:pPr>
            <w:r w:rsidRPr="00D4351A">
              <w:rPr>
                <w:sz w:val="21"/>
                <w:szCs w:val="21"/>
              </w:rPr>
              <w:t>Rettighetsfesting av hjemmebesøk av jordmor</w:t>
            </w:r>
          </w:p>
        </w:tc>
        <w:tc>
          <w:tcPr>
            <w:tcW w:w="2120" w:type="dxa"/>
            <w:tcBorders>
              <w:top w:val="nil"/>
              <w:left w:val="nil"/>
              <w:bottom w:val="nil"/>
              <w:right w:val="nil"/>
            </w:tcBorders>
            <w:tcMar>
              <w:top w:w="128" w:type="dxa"/>
              <w:left w:w="43" w:type="dxa"/>
              <w:bottom w:w="43" w:type="dxa"/>
              <w:right w:w="43" w:type="dxa"/>
            </w:tcMar>
            <w:vAlign w:val="bottom"/>
          </w:tcPr>
          <w:p w14:paraId="3013F6BC" w14:textId="77777777" w:rsidR="00D60186" w:rsidRPr="00D4351A" w:rsidRDefault="00D60186" w:rsidP="00D4351A">
            <w:pPr>
              <w:jc w:val="right"/>
              <w:rPr>
                <w:sz w:val="21"/>
                <w:szCs w:val="21"/>
              </w:rPr>
            </w:pPr>
            <w:r w:rsidRPr="00D4351A">
              <w:rPr>
                <w:sz w:val="21"/>
                <w:szCs w:val="21"/>
              </w:rPr>
              <w:t>Ja</w:t>
            </w:r>
          </w:p>
        </w:tc>
      </w:tr>
      <w:tr w:rsidR="00E76DC8" w:rsidRPr="00225D4D" w14:paraId="18BF069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455B957"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37B40111" w14:textId="77777777" w:rsidR="00D60186" w:rsidRPr="00D4351A" w:rsidRDefault="00D60186" w:rsidP="00D4351A">
            <w:pPr>
              <w:ind w:right="113"/>
              <w:jc w:val="right"/>
              <w:rPr>
                <w:sz w:val="21"/>
                <w:szCs w:val="21"/>
              </w:rPr>
            </w:pPr>
            <w:r w:rsidRPr="00D4351A">
              <w:rPr>
                <w:sz w:val="21"/>
                <w:szCs w:val="21"/>
              </w:rPr>
              <w:t>561</w:t>
            </w:r>
          </w:p>
        </w:tc>
        <w:tc>
          <w:tcPr>
            <w:tcW w:w="5220" w:type="dxa"/>
            <w:tcBorders>
              <w:top w:val="nil"/>
              <w:left w:val="nil"/>
              <w:bottom w:val="nil"/>
              <w:right w:val="nil"/>
            </w:tcBorders>
            <w:tcMar>
              <w:top w:w="128" w:type="dxa"/>
              <w:left w:w="43" w:type="dxa"/>
              <w:bottom w:w="43" w:type="dxa"/>
              <w:right w:w="43" w:type="dxa"/>
            </w:tcMar>
          </w:tcPr>
          <w:p w14:paraId="0F99C770" w14:textId="77777777" w:rsidR="00D60186" w:rsidRPr="00D4351A" w:rsidRDefault="00D60186" w:rsidP="00225D4D">
            <w:pPr>
              <w:rPr>
                <w:sz w:val="21"/>
                <w:szCs w:val="21"/>
              </w:rPr>
            </w:pPr>
            <w:r w:rsidRPr="00D4351A">
              <w:rPr>
                <w:sz w:val="21"/>
                <w:szCs w:val="21"/>
              </w:rPr>
              <w:t>Utredning av spesialistforskriften</w:t>
            </w:r>
          </w:p>
        </w:tc>
        <w:tc>
          <w:tcPr>
            <w:tcW w:w="2120" w:type="dxa"/>
            <w:tcBorders>
              <w:top w:val="nil"/>
              <w:left w:val="nil"/>
              <w:bottom w:val="nil"/>
              <w:right w:val="nil"/>
            </w:tcBorders>
            <w:tcMar>
              <w:top w:w="128" w:type="dxa"/>
              <w:left w:w="43" w:type="dxa"/>
              <w:bottom w:w="43" w:type="dxa"/>
              <w:right w:w="43" w:type="dxa"/>
            </w:tcMar>
            <w:vAlign w:val="bottom"/>
          </w:tcPr>
          <w:p w14:paraId="1984DA7F" w14:textId="77777777" w:rsidR="00D60186" w:rsidRPr="00D4351A" w:rsidRDefault="00D60186" w:rsidP="00D4351A">
            <w:pPr>
              <w:jc w:val="right"/>
              <w:rPr>
                <w:sz w:val="21"/>
                <w:szCs w:val="21"/>
              </w:rPr>
            </w:pPr>
            <w:r w:rsidRPr="00D4351A">
              <w:rPr>
                <w:sz w:val="21"/>
                <w:szCs w:val="21"/>
              </w:rPr>
              <w:t>Nei</w:t>
            </w:r>
          </w:p>
        </w:tc>
      </w:tr>
      <w:tr w:rsidR="00E76DC8" w:rsidRPr="00225D4D" w14:paraId="63E5172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36BA6A3"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03E4C3BD" w14:textId="77777777" w:rsidR="00D60186" w:rsidRPr="00D4351A" w:rsidRDefault="00D60186" w:rsidP="00D4351A">
            <w:pPr>
              <w:ind w:right="113"/>
              <w:jc w:val="right"/>
              <w:rPr>
                <w:sz w:val="21"/>
                <w:szCs w:val="21"/>
              </w:rPr>
            </w:pPr>
            <w:r w:rsidRPr="00D4351A">
              <w:rPr>
                <w:sz w:val="21"/>
                <w:szCs w:val="21"/>
              </w:rPr>
              <w:t>762</w:t>
            </w:r>
          </w:p>
        </w:tc>
        <w:tc>
          <w:tcPr>
            <w:tcW w:w="5220" w:type="dxa"/>
            <w:tcBorders>
              <w:top w:val="nil"/>
              <w:left w:val="nil"/>
              <w:bottom w:val="nil"/>
              <w:right w:val="nil"/>
            </w:tcBorders>
            <w:tcMar>
              <w:top w:w="128" w:type="dxa"/>
              <w:left w:w="43" w:type="dxa"/>
              <w:bottom w:w="43" w:type="dxa"/>
              <w:right w:w="43" w:type="dxa"/>
            </w:tcMar>
          </w:tcPr>
          <w:p w14:paraId="7A35DB56" w14:textId="77777777" w:rsidR="00D60186" w:rsidRPr="00D4351A" w:rsidRDefault="00D60186" w:rsidP="00225D4D">
            <w:pPr>
              <w:rPr>
                <w:sz w:val="21"/>
                <w:szCs w:val="21"/>
              </w:rPr>
            </w:pPr>
            <w:r w:rsidRPr="00D4351A">
              <w:rPr>
                <w:sz w:val="21"/>
                <w:szCs w:val="21"/>
              </w:rPr>
              <w:t>Handlingsplan for reduksjon av ensomhet</w:t>
            </w:r>
          </w:p>
        </w:tc>
        <w:tc>
          <w:tcPr>
            <w:tcW w:w="2120" w:type="dxa"/>
            <w:tcBorders>
              <w:top w:val="nil"/>
              <w:left w:val="nil"/>
              <w:bottom w:val="nil"/>
              <w:right w:val="nil"/>
            </w:tcBorders>
            <w:tcMar>
              <w:top w:w="128" w:type="dxa"/>
              <w:left w:w="43" w:type="dxa"/>
              <w:bottom w:w="43" w:type="dxa"/>
              <w:right w:w="43" w:type="dxa"/>
            </w:tcMar>
            <w:vAlign w:val="bottom"/>
          </w:tcPr>
          <w:p w14:paraId="7F2C5C7D"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3A0E454E"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6B5203B"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4DA27011" w14:textId="77777777" w:rsidR="00D60186" w:rsidRPr="00D4351A" w:rsidRDefault="00D60186" w:rsidP="00D4351A">
            <w:pPr>
              <w:ind w:right="113"/>
              <w:jc w:val="right"/>
              <w:rPr>
                <w:sz w:val="21"/>
                <w:szCs w:val="21"/>
              </w:rPr>
            </w:pPr>
            <w:r w:rsidRPr="00D4351A">
              <w:rPr>
                <w:sz w:val="21"/>
                <w:szCs w:val="21"/>
              </w:rPr>
              <w:t>764</w:t>
            </w:r>
          </w:p>
        </w:tc>
        <w:tc>
          <w:tcPr>
            <w:tcW w:w="5220" w:type="dxa"/>
            <w:tcBorders>
              <w:top w:val="nil"/>
              <w:left w:val="nil"/>
              <w:bottom w:val="nil"/>
              <w:right w:val="nil"/>
            </w:tcBorders>
            <w:tcMar>
              <w:top w:w="128" w:type="dxa"/>
              <w:left w:w="43" w:type="dxa"/>
              <w:bottom w:w="43" w:type="dxa"/>
              <w:right w:w="43" w:type="dxa"/>
            </w:tcMar>
          </w:tcPr>
          <w:p w14:paraId="6BB226F2" w14:textId="77777777" w:rsidR="00D60186" w:rsidRPr="00D4351A" w:rsidRDefault="00D60186" w:rsidP="00225D4D">
            <w:pPr>
              <w:rPr>
                <w:sz w:val="21"/>
                <w:szCs w:val="21"/>
              </w:rPr>
            </w:pPr>
            <w:r w:rsidRPr="00D4351A">
              <w:rPr>
                <w:sz w:val="21"/>
                <w:szCs w:val="21"/>
              </w:rPr>
              <w:t>Styrking av samarbeid for forebygging av ensomhet</w:t>
            </w:r>
          </w:p>
        </w:tc>
        <w:tc>
          <w:tcPr>
            <w:tcW w:w="2120" w:type="dxa"/>
            <w:tcBorders>
              <w:top w:val="nil"/>
              <w:left w:val="nil"/>
              <w:bottom w:val="nil"/>
              <w:right w:val="nil"/>
            </w:tcBorders>
            <w:tcMar>
              <w:top w:w="128" w:type="dxa"/>
              <w:left w:w="43" w:type="dxa"/>
              <w:bottom w:w="43" w:type="dxa"/>
              <w:right w:w="43" w:type="dxa"/>
            </w:tcMar>
            <w:vAlign w:val="bottom"/>
          </w:tcPr>
          <w:p w14:paraId="2C8D0BE6" w14:textId="77777777" w:rsidR="00D60186" w:rsidRPr="00D4351A" w:rsidRDefault="00D60186" w:rsidP="00D4351A">
            <w:pPr>
              <w:jc w:val="right"/>
              <w:rPr>
                <w:sz w:val="21"/>
                <w:szCs w:val="21"/>
              </w:rPr>
            </w:pPr>
            <w:r w:rsidRPr="00D4351A">
              <w:rPr>
                <w:sz w:val="21"/>
                <w:szCs w:val="21"/>
              </w:rPr>
              <w:t>Ja</w:t>
            </w:r>
          </w:p>
        </w:tc>
      </w:tr>
      <w:tr w:rsidR="00E76DC8" w:rsidRPr="00225D4D" w14:paraId="0E2DE05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0859781"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3012055C" w14:textId="77777777" w:rsidR="00D60186" w:rsidRPr="00D4351A" w:rsidRDefault="00D60186" w:rsidP="00D4351A">
            <w:pPr>
              <w:ind w:right="113"/>
              <w:jc w:val="right"/>
              <w:rPr>
                <w:sz w:val="21"/>
                <w:szCs w:val="21"/>
              </w:rPr>
            </w:pPr>
            <w:r w:rsidRPr="00D4351A">
              <w:rPr>
                <w:sz w:val="21"/>
                <w:szCs w:val="21"/>
              </w:rPr>
              <w:t>5</w:t>
            </w:r>
          </w:p>
        </w:tc>
        <w:tc>
          <w:tcPr>
            <w:tcW w:w="5220" w:type="dxa"/>
            <w:tcBorders>
              <w:top w:val="nil"/>
              <w:left w:val="nil"/>
              <w:bottom w:val="nil"/>
              <w:right w:val="nil"/>
            </w:tcBorders>
            <w:tcMar>
              <w:top w:w="128" w:type="dxa"/>
              <w:left w:w="43" w:type="dxa"/>
              <w:bottom w:w="43" w:type="dxa"/>
              <w:right w:w="43" w:type="dxa"/>
            </w:tcMar>
          </w:tcPr>
          <w:p w14:paraId="3E645790" w14:textId="77777777" w:rsidR="00D60186" w:rsidRPr="00D4351A" w:rsidRDefault="00D60186" w:rsidP="00225D4D">
            <w:pPr>
              <w:rPr>
                <w:sz w:val="21"/>
                <w:szCs w:val="21"/>
              </w:rPr>
            </w:pPr>
            <w:r w:rsidRPr="00D4351A">
              <w:rPr>
                <w:sz w:val="21"/>
                <w:szCs w:val="21"/>
              </w:rPr>
              <w:t>Økonomiske modeller for utvikling av antibiotika</w:t>
            </w:r>
          </w:p>
        </w:tc>
        <w:tc>
          <w:tcPr>
            <w:tcW w:w="2120" w:type="dxa"/>
            <w:tcBorders>
              <w:top w:val="nil"/>
              <w:left w:val="nil"/>
              <w:bottom w:val="nil"/>
              <w:right w:val="nil"/>
            </w:tcBorders>
            <w:tcMar>
              <w:top w:w="128" w:type="dxa"/>
              <w:left w:w="43" w:type="dxa"/>
              <w:bottom w:w="43" w:type="dxa"/>
              <w:right w:w="43" w:type="dxa"/>
            </w:tcMar>
            <w:vAlign w:val="bottom"/>
          </w:tcPr>
          <w:p w14:paraId="2A80118C" w14:textId="77777777" w:rsidR="00D60186" w:rsidRPr="00D4351A" w:rsidRDefault="00D60186" w:rsidP="00D4351A">
            <w:pPr>
              <w:jc w:val="right"/>
              <w:rPr>
                <w:sz w:val="21"/>
                <w:szCs w:val="21"/>
              </w:rPr>
            </w:pPr>
            <w:r w:rsidRPr="00D4351A">
              <w:rPr>
                <w:sz w:val="21"/>
                <w:szCs w:val="21"/>
              </w:rPr>
              <w:t>Ja</w:t>
            </w:r>
          </w:p>
        </w:tc>
      </w:tr>
      <w:tr w:rsidR="00E76DC8" w:rsidRPr="00225D4D" w14:paraId="081AC55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104DB41"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025BF813" w14:textId="77777777" w:rsidR="00D60186" w:rsidRPr="00D4351A" w:rsidRDefault="00D60186" w:rsidP="00D4351A">
            <w:pPr>
              <w:ind w:right="113"/>
              <w:jc w:val="right"/>
              <w:rPr>
                <w:sz w:val="21"/>
                <w:szCs w:val="21"/>
              </w:rPr>
            </w:pPr>
            <w:r w:rsidRPr="00D4351A">
              <w:rPr>
                <w:sz w:val="21"/>
                <w:szCs w:val="21"/>
              </w:rPr>
              <w:t>84</w:t>
            </w:r>
          </w:p>
        </w:tc>
        <w:tc>
          <w:tcPr>
            <w:tcW w:w="5220" w:type="dxa"/>
            <w:tcBorders>
              <w:top w:val="nil"/>
              <w:left w:val="nil"/>
              <w:bottom w:val="nil"/>
              <w:right w:val="nil"/>
            </w:tcBorders>
            <w:tcMar>
              <w:top w:w="128" w:type="dxa"/>
              <w:left w:w="43" w:type="dxa"/>
              <w:bottom w:w="43" w:type="dxa"/>
              <w:right w:w="43" w:type="dxa"/>
            </w:tcMar>
          </w:tcPr>
          <w:p w14:paraId="1D48B1DE" w14:textId="77777777" w:rsidR="00D60186" w:rsidRPr="00D4351A" w:rsidRDefault="00D60186" w:rsidP="00225D4D">
            <w:pPr>
              <w:rPr>
                <w:sz w:val="21"/>
                <w:szCs w:val="21"/>
              </w:rPr>
            </w:pPr>
            <w:r w:rsidRPr="00D4351A">
              <w:rPr>
                <w:sz w:val="21"/>
                <w:szCs w:val="21"/>
              </w:rPr>
              <w:t>Helhetlig revisjon av smittevernloven</w:t>
            </w:r>
          </w:p>
        </w:tc>
        <w:tc>
          <w:tcPr>
            <w:tcW w:w="2120" w:type="dxa"/>
            <w:tcBorders>
              <w:top w:val="nil"/>
              <w:left w:val="nil"/>
              <w:bottom w:val="nil"/>
              <w:right w:val="nil"/>
            </w:tcBorders>
            <w:tcMar>
              <w:top w:w="128" w:type="dxa"/>
              <w:left w:w="43" w:type="dxa"/>
              <w:bottom w:w="43" w:type="dxa"/>
              <w:right w:w="43" w:type="dxa"/>
            </w:tcMar>
            <w:vAlign w:val="bottom"/>
          </w:tcPr>
          <w:p w14:paraId="08DC57A3" w14:textId="77777777" w:rsidR="00D60186" w:rsidRPr="00D4351A" w:rsidRDefault="00D60186" w:rsidP="00D4351A">
            <w:pPr>
              <w:jc w:val="right"/>
              <w:rPr>
                <w:sz w:val="21"/>
                <w:szCs w:val="21"/>
              </w:rPr>
            </w:pPr>
            <w:r w:rsidRPr="00D4351A">
              <w:rPr>
                <w:sz w:val="21"/>
                <w:szCs w:val="21"/>
              </w:rPr>
              <w:t>Nei</w:t>
            </w:r>
          </w:p>
        </w:tc>
      </w:tr>
      <w:tr w:rsidR="00E76DC8" w:rsidRPr="00225D4D" w14:paraId="7ECA4AAA"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612164B"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7EEDF3BD" w14:textId="77777777" w:rsidR="00D60186" w:rsidRPr="00D4351A" w:rsidRDefault="00D60186" w:rsidP="00D4351A">
            <w:pPr>
              <w:ind w:right="113"/>
              <w:jc w:val="right"/>
              <w:rPr>
                <w:sz w:val="21"/>
                <w:szCs w:val="21"/>
              </w:rPr>
            </w:pPr>
            <w:r w:rsidRPr="00D4351A">
              <w:rPr>
                <w:sz w:val="21"/>
                <w:szCs w:val="21"/>
              </w:rPr>
              <w:t>96</w:t>
            </w:r>
          </w:p>
        </w:tc>
        <w:tc>
          <w:tcPr>
            <w:tcW w:w="5220" w:type="dxa"/>
            <w:tcBorders>
              <w:top w:val="nil"/>
              <w:left w:val="nil"/>
              <w:bottom w:val="nil"/>
              <w:right w:val="nil"/>
            </w:tcBorders>
            <w:tcMar>
              <w:top w:w="128" w:type="dxa"/>
              <w:left w:w="43" w:type="dxa"/>
              <w:bottom w:w="43" w:type="dxa"/>
              <w:right w:w="43" w:type="dxa"/>
            </w:tcMar>
          </w:tcPr>
          <w:p w14:paraId="09AC9838" w14:textId="77777777" w:rsidR="00D60186" w:rsidRPr="00D4351A" w:rsidRDefault="00D60186" w:rsidP="00225D4D">
            <w:pPr>
              <w:rPr>
                <w:sz w:val="21"/>
                <w:szCs w:val="21"/>
              </w:rPr>
            </w:pPr>
            <w:r w:rsidRPr="00D4351A">
              <w:rPr>
                <w:sz w:val="21"/>
                <w:szCs w:val="21"/>
              </w:rPr>
              <w:t>Gjennomgang av folketrygdens refusjonsordning for tannbehandling</w:t>
            </w:r>
          </w:p>
        </w:tc>
        <w:tc>
          <w:tcPr>
            <w:tcW w:w="2120" w:type="dxa"/>
            <w:tcBorders>
              <w:top w:val="nil"/>
              <w:left w:val="nil"/>
              <w:bottom w:val="nil"/>
              <w:right w:val="nil"/>
            </w:tcBorders>
            <w:tcMar>
              <w:top w:w="128" w:type="dxa"/>
              <w:left w:w="43" w:type="dxa"/>
              <w:bottom w:w="43" w:type="dxa"/>
              <w:right w:w="43" w:type="dxa"/>
            </w:tcMar>
            <w:vAlign w:val="bottom"/>
          </w:tcPr>
          <w:p w14:paraId="3D5847E1" w14:textId="77777777" w:rsidR="00D60186" w:rsidRPr="00D4351A" w:rsidRDefault="00D60186" w:rsidP="00D4351A">
            <w:pPr>
              <w:jc w:val="right"/>
              <w:rPr>
                <w:sz w:val="21"/>
                <w:szCs w:val="21"/>
              </w:rPr>
            </w:pPr>
            <w:r w:rsidRPr="00D4351A">
              <w:rPr>
                <w:sz w:val="21"/>
                <w:szCs w:val="21"/>
              </w:rPr>
              <w:t>Ja</w:t>
            </w:r>
          </w:p>
        </w:tc>
      </w:tr>
      <w:tr w:rsidR="00E76DC8" w:rsidRPr="00225D4D" w14:paraId="471C3395"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19F6A59"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BBFA548" w14:textId="77777777" w:rsidR="00D60186" w:rsidRPr="00D4351A" w:rsidRDefault="00D60186" w:rsidP="00D4351A">
            <w:pPr>
              <w:ind w:right="113"/>
              <w:jc w:val="right"/>
              <w:rPr>
                <w:sz w:val="21"/>
                <w:szCs w:val="21"/>
              </w:rPr>
            </w:pPr>
            <w:r w:rsidRPr="00D4351A">
              <w:rPr>
                <w:sz w:val="21"/>
                <w:szCs w:val="21"/>
              </w:rPr>
              <w:t>726</w:t>
            </w:r>
          </w:p>
        </w:tc>
        <w:tc>
          <w:tcPr>
            <w:tcW w:w="5220" w:type="dxa"/>
            <w:tcBorders>
              <w:top w:val="nil"/>
              <w:left w:val="nil"/>
              <w:bottom w:val="nil"/>
              <w:right w:val="nil"/>
            </w:tcBorders>
            <w:tcMar>
              <w:top w:w="128" w:type="dxa"/>
              <w:left w:w="43" w:type="dxa"/>
              <w:bottom w:w="43" w:type="dxa"/>
              <w:right w:w="43" w:type="dxa"/>
            </w:tcMar>
          </w:tcPr>
          <w:p w14:paraId="1234A9E7" w14:textId="77777777" w:rsidR="00D60186" w:rsidRPr="00D4351A" w:rsidRDefault="00D60186" w:rsidP="00225D4D">
            <w:pPr>
              <w:rPr>
                <w:sz w:val="21"/>
                <w:szCs w:val="21"/>
              </w:rPr>
            </w:pPr>
            <w:r w:rsidRPr="00D4351A">
              <w:rPr>
                <w:sz w:val="21"/>
                <w:szCs w:val="21"/>
              </w:rPr>
              <w:t xml:space="preserve">Responstider, kompetanse og akuttmedisinsk utstyr </w:t>
            </w:r>
          </w:p>
        </w:tc>
        <w:tc>
          <w:tcPr>
            <w:tcW w:w="2120" w:type="dxa"/>
            <w:tcBorders>
              <w:top w:val="nil"/>
              <w:left w:val="nil"/>
              <w:bottom w:val="nil"/>
              <w:right w:val="nil"/>
            </w:tcBorders>
            <w:tcMar>
              <w:top w:w="128" w:type="dxa"/>
              <w:left w:w="43" w:type="dxa"/>
              <w:bottom w:w="43" w:type="dxa"/>
              <w:right w:w="43" w:type="dxa"/>
            </w:tcMar>
            <w:vAlign w:val="bottom"/>
          </w:tcPr>
          <w:p w14:paraId="0966C83B" w14:textId="77777777" w:rsidR="00D60186" w:rsidRPr="00D4351A" w:rsidRDefault="00D60186" w:rsidP="00D4351A">
            <w:pPr>
              <w:jc w:val="right"/>
              <w:rPr>
                <w:sz w:val="21"/>
                <w:szCs w:val="21"/>
              </w:rPr>
            </w:pPr>
            <w:r w:rsidRPr="00D4351A">
              <w:rPr>
                <w:sz w:val="21"/>
                <w:szCs w:val="21"/>
              </w:rPr>
              <w:t>Ja</w:t>
            </w:r>
          </w:p>
        </w:tc>
      </w:tr>
      <w:tr w:rsidR="00E76DC8" w:rsidRPr="00225D4D" w14:paraId="36D08CDF"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FF3C528"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65DF43D4" w14:textId="77777777" w:rsidR="00D60186" w:rsidRPr="00D4351A" w:rsidRDefault="00D60186" w:rsidP="00D4351A">
            <w:pPr>
              <w:ind w:right="113"/>
              <w:jc w:val="right"/>
              <w:rPr>
                <w:sz w:val="21"/>
                <w:szCs w:val="21"/>
              </w:rPr>
            </w:pPr>
            <w:r w:rsidRPr="00D4351A">
              <w:rPr>
                <w:sz w:val="21"/>
                <w:szCs w:val="21"/>
              </w:rPr>
              <w:t>876</w:t>
            </w:r>
          </w:p>
        </w:tc>
        <w:tc>
          <w:tcPr>
            <w:tcW w:w="5220" w:type="dxa"/>
            <w:tcBorders>
              <w:top w:val="nil"/>
              <w:left w:val="nil"/>
              <w:bottom w:val="nil"/>
              <w:right w:val="nil"/>
            </w:tcBorders>
            <w:tcMar>
              <w:top w:w="128" w:type="dxa"/>
              <w:left w:w="43" w:type="dxa"/>
              <w:bottom w:w="43" w:type="dxa"/>
              <w:right w:w="43" w:type="dxa"/>
            </w:tcMar>
          </w:tcPr>
          <w:p w14:paraId="413A13FA" w14:textId="77777777" w:rsidR="00D60186" w:rsidRPr="00D4351A" w:rsidRDefault="00D60186" w:rsidP="00225D4D">
            <w:pPr>
              <w:rPr>
                <w:sz w:val="21"/>
                <w:szCs w:val="21"/>
              </w:rPr>
            </w:pPr>
            <w:r w:rsidRPr="00D4351A">
              <w:rPr>
                <w:sz w:val="21"/>
                <w:szCs w:val="21"/>
              </w:rPr>
              <w:t xml:space="preserve">Koronakommisjonen – situasjonen for kommuneoverleger og kommunale smittevernleger </w:t>
            </w:r>
          </w:p>
        </w:tc>
        <w:tc>
          <w:tcPr>
            <w:tcW w:w="2120" w:type="dxa"/>
            <w:tcBorders>
              <w:top w:val="nil"/>
              <w:left w:val="nil"/>
              <w:bottom w:val="nil"/>
              <w:right w:val="nil"/>
            </w:tcBorders>
            <w:tcMar>
              <w:top w:w="128" w:type="dxa"/>
              <w:left w:w="43" w:type="dxa"/>
              <w:bottom w:w="43" w:type="dxa"/>
              <w:right w:w="43" w:type="dxa"/>
            </w:tcMar>
            <w:vAlign w:val="bottom"/>
          </w:tcPr>
          <w:p w14:paraId="6C1D303D"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58DB239B"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79B91276"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C0635B3" w14:textId="77777777" w:rsidR="00D60186" w:rsidRPr="00D4351A" w:rsidRDefault="00D60186" w:rsidP="00D4351A">
            <w:pPr>
              <w:ind w:right="113"/>
              <w:jc w:val="right"/>
              <w:rPr>
                <w:sz w:val="21"/>
                <w:szCs w:val="21"/>
              </w:rPr>
            </w:pPr>
            <w:r w:rsidRPr="00D4351A">
              <w:rPr>
                <w:sz w:val="21"/>
                <w:szCs w:val="21"/>
              </w:rPr>
              <w:t>1114</w:t>
            </w:r>
          </w:p>
        </w:tc>
        <w:tc>
          <w:tcPr>
            <w:tcW w:w="5220" w:type="dxa"/>
            <w:tcBorders>
              <w:top w:val="nil"/>
              <w:left w:val="nil"/>
              <w:bottom w:val="nil"/>
              <w:right w:val="nil"/>
            </w:tcBorders>
            <w:tcMar>
              <w:top w:w="128" w:type="dxa"/>
              <w:left w:w="43" w:type="dxa"/>
              <w:bottom w:w="43" w:type="dxa"/>
              <w:right w:w="43" w:type="dxa"/>
            </w:tcMar>
          </w:tcPr>
          <w:p w14:paraId="2546DF2F" w14:textId="77777777" w:rsidR="00D60186" w:rsidRPr="00D4351A" w:rsidRDefault="00D60186" w:rsidP="00225D4D">
            <w:pPr>
              <w:rPr>
                <w:sz w:val="21"/>
                <w:szCs w:val="21"/>
              </w:rPr>
            </w:pPr>
            <w:r w:rsidRPr="00D4351A">
              <w:rPr>
                <w:sz w:val="21"/>
                <w:szCs w:val="21"/>
              </w:rPr>
              <w:t>Legemiddelloven – narkotika til eget bruk</w:t>
            </w:r>
          </w:p>
        </w:tc>
        <w:tc>
          <w:tcPr>
            <w:tcW w:w="2120" w:type="dxa"/>
            <w:tcBorders>
              <w:top w:val="nil"/>
              <w:left w:val="nil"/>
              <w:bottom w:val="nil"/>
              <w:right w:val="nil"/>
            </w:tcBorders>
            <w:tcMar>
              <w:top w:w="128" w:type="dxa"/>
              <w:left w:w="43" w:type="dxa"/>
              <w:bottom w:w="43" w:type="dxa"/>
              <w:right w:w="43" w:type="dxa"/>
            </w:tcMar>
            <w:vAlign w:val="bottom"/>
          </w:tcPr>
          <w:p w14:paraId="2AECC8AB" w14:textId="77777777" w:rsidR="00D60186" w:rsidRPr="00D4351A" w:rsidRDefault="00D60186" w:rsidP="00D4351A">
            <w:pPr>
              <w:jc w:val="right"/>
              <w:rPr>
                <w:sz w:val="21"/>
                <w:szCs w:val="21"/>
              </w:rPr>
            </w:pPr>
            <w:r w:rsidRPr="00D4351A">
              <w:rPr>
                <w:sz w:val="21"/>
                <w:szCs w:val="21"/>
              </w:rPr>
              <w:t>Ja</w:t>
            </w:r>
          </w:p>
        </w:tc>
      </w:tr>
      <w:tr w:rsidR="00E76DC8" w:rsidRPr="00225D4D" w14:paraId="5128D93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9F1E931"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008BEE9F" w14:textId="77777777" w:rsidR="00D60186" w:rsidRPr="00D4351A" w:rsidRDefault="00D60186" w:rsidP="00D4351A">
            <w:pPr>
              <w:ind w:right="113"/>
              <w:jc w:val="right"/>
              <w:rPr>
                <w:sz w:val="21"/>
                <w:szCs w:val="21"/>
              </w:rPr>
            </w:pPr>
            <w:r w:rsidRPr="00D4351A">
              <w:rPr>
                <w:sz w:val="21"/>
                <w:szCs w:val="21"/>
              </w:rPr>
              <w:t>1122</w:t>
            </w:r>
          </w:p>
        </w:tc>
        <w:tc>
          <w:tcPr>
            <w:tcW w:w="5220" w:type="dxa"/>
            <w:tcBorders>
              <w:top w:val="nil"/>
              <w:left w:val="nil"/>
              <w:bottom w:val="nil"/>
              <w:right w:val="nil"/>
            </w:tcBorders>
            <w:tcMar>
              <w:top w:w="128" w:type="dxa"/>
              <w:left w:w="43" w:type="dxa"/>
              <w:bottom w:w="43" w:type="dxa"/>
              <w:right w:w="43" w:type="dxa"/>
            </w:tcMar>
          </w:tcPr>
          <w:p w14:paraId="134DF9DE" w14:textId="77777777" w:rsidR="00D60186" w:rsidRPr="00D4351A" w:rsidRDefault="00D60186" w:rsidP="00225D4D">
            <w:pPr>
              <w:rPr>
                <w:sz w:val="21"/>
                <w:szCs w:val="21"/>
              </w:rPr>
            </w:pPr>
            <w:proofErr w:type="spellStart"/>
            <w:r w:rsidRPr="00D4351A">
              <w:rPr>
                <w:sz w:val="21"/>
                <w:szCs w:val="21"/>
              </w:rPr>
              <w:t>Ettervernsreform</w:t>
            </w:r>
            <w:proofErr w:type="spellEnd"/>
            <w:r w:rsidRPr="00D4351A">
              <w:rPr>
                <w:sz w:val="21"/>
                <w:szCs w:val="21"/>
              </w:rPr>
              <w:t xml:space="preserve"> for rusavhengige</w:t>
            </w:r>
          </w:p>
        </w:tc>
        <w:tc>
          <w:tcPr>
            <w:tcW w:w="2120" w:type="dxa"/>
            <w:tcBorders>
              <w:top w:val="nil"/>
              <w:left w:val="nil"/>
              <w:bottom w:val="nil"/>
              <w:right w:val="nil"/>
            </w:tcBorders>
            <w:tcMar>
              <w:top w:w="128" w:type="dxa"/>
              <w:left w:w="43" w:type="dxa"/>
              <w:bottom w:w="43" w:type="dxa"/>
              <w:right w:w="43" w:type="dxa"/>
            </w:tcMar>
            <w:vAlign w:val="bottom"/>
          </w:tcPr>
          <w:p w14:paraId="317784A7" w14:textId="77777777" w:rsidR="00D60186" w:rsidRPr="00D4351A" w:rsidRDefault="00D60186" w:rsidP="00D4351A">
            <w:pPr>
              <w:jc w:val="right"/>
              <w:rPr>
                <w:sz w:val="21"/>
                <w:szCs w:val="21"/>
              </w:rPr>
            </w:pPr>
            <w:r w:rsidRPr="00D4351A">
              <w:rPr>
                <w:sz w:val="21"/>
                <w:szCs w:val="21"/>
              </w:rPr>
              <w:t>Ja</w:t>
            </w:r>
          </w:p>
        </w:tc>
      </w:tr>
      <w:tr w:rsidR="00E76DC8" w:rsidRPr="00225D4D" w14:paraId="5D31A71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2720F8D1"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36F63B26" w14:textId="77777777" w:rsidR="00D60186" w:rsidRPr="00D4351A" w:rsidRDefault="00D60186" w:rsidP="00D4351A">
            <w:pPr>
              <w:ind w:right="113"/>
              <w:jc w:val="right"/>
              <w:rPr>
                <w:sz w:val="21"/>
                <w:szCs w:val="21"/>
              </w:rPr>
            </w:pPr>
            <w:r w:rsidRPr="00D4351A">
              <w:rPr>
                <w:sz w:val="21"/>
                <w:szCs w:val="21"/>
              </w:rPr>
              <w:t>1164</w:t>
            </w:r>
          </w:p>
        </w:tc>
        <w:tc>
          <w:tcPr>
            <w:tcW w:w="5220" w:type="dxa"/>
            <w:tcBorders>
              <w:top w:val="nil"/>
              <w:left w:val="nil"/>
              <w:bottom w:val="nil"/>
              <w:right w:val="nil"/>
            </w:tcBorders>
            <w:tcMar>
              <w:top w:w="128" w:type="dxa"/>
              <w:left w:w="43" w:type="dxa"/>
              <w:bottom w:w="43" w:type="dxa"/>
              <w:right w:w="43" w:type="dxa"/>
            </w:tcMar>
          </w:tcPr>
          <w:p w14:paraId="1F47F6C0" w14:textId="77777777" w:rsidR="00D60186" w:rsidRPr="00D4351A" w:rsidRDefault="00D60186" w:rsidP="00225D4D">
            <w:pPr>
              <w:rPr>
                <w:sz w:val="21"/>
                <w:szCs w:val="21"/>
              </w:rPr>
            </w:pPr>
            <w:r w:rsidRPr="00D4351A">
              <w:rPr>
                <w:sz w:val="21"/>
                <w:szCs w:val="21"/>
              </w:rPr>
              <w:t>Evaluering av de regionale odontologiske kompetansesentrene</w:t>
            </w:r>
          </w:p>
        </w:tc>
        <w:tc>
          <w:tcPr>
            <w:tcW w:w="2120" w:type="dxa"/>
            <w:tcBorders>
              <w:top w:val="nil"/>
              <w:left w:val="nil"/>
              <w:bottom w:val="nil"/>
              <w:right w:val="nil"/>
            </w:tcBorders>
            <w:tcMar>
              <w:top w:w="128" w:type="dxa"/>
              <w:left w:w="43" w:type="dxa"/>
              <w:bottom w:w="43" w:type="dxa"/>
              <w:right w:w="43" w:type="dxa"/>
            </w:tcMar>
            <w:vAlign w:val="bottom"/>
          </w:tcPr>
          <w:p w14:paraId="26D1E457" w14:textId="77777777" w:rsidR="00D60186" w:rsidRPr="00D4351A" w:rsidRDefault="00D60186" w:rsidP="00D4351A">
            <w:pPr>
              <w:jc w:val="right"/>
              <w:rPr>
                <w:sz w:val="21"/>
                <w:szCs w:val="21"/>
              </w:rPr>
            </w:pPr>
            <w:r w:rsidRPr="00D4351A">
              <w:rPr>
                <w:sz w:val="21"/>
                <w:szCs w:val="21"/>
              </w:rPr>
              <w:t>Ja</w:t>
            </w:r>
          </w:p>
        </w:tc>
      </w:tr>
      <w:tr w:rsidR="00E76DC8" w:rsidRPr="00225D4D" w14:paraId="218187F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4E4BE47" w14:textId="77777777" w:rsidR="00D60186" w:rsidRPr="00D4351A" w:rsidRDefault="00D60186" w:rsidP="00225D4D">
            <w:pPr>
              <w:rPr>
                <w:sz w:val="21"/>
                <w:szCs w:val="21"/>
              </w:rPr>
            </w:pPr>
            <w:r w:rsidRPr="00D4351A">
              <w:rPr>
                <w:sz w:val="21"/>
                <w:szCs w:val="21"/>
              </w:rPr>
              <w:t>2019–2020</w:t>
            </w:r>
          </w:p>
        </w:tc>
        <w:tc>
          <w:tcPr>
            <w:tcW w:w="1120" w:type="dxa"/>
            <w:tcBorders>
              <w:top w:val="nil"/>
              <w:left w:val="nil"/>
              <w:bottom w:val="nil"/>
              <w:right w:val="nil"/>
            </w:tcBorders>
            <w:tcMar>
              <w:top w:w="128" w:type="dxa"/>
              <w:left w:w="43" w:type="dxa"/>
              <w:bottom w:w="43" w:type="dxa"/>
              <w:right w:w="43" w:type="dxa"/>
            </w:tcMar>
          </w:tcPr>
          <w:p w14:paraId="66649337" w14:textId="77777777" w:rsidR="00D60186" w:rsidRPr="00D4351A" w:rsidRDefault="00D60186" w:rsidP="00D4351A">
            <w:pPr>
              <w:ind w:right="113"/>
              <w:jc w:val="right"/>
              <w:rPr>
                <w:sz w:val="21"/>
                <w:szCs w:val="21"/>
              </w:rPr>
            </w:pPr>
            <w:r w:rsidRPr="00D4351A">
              <w:rPr>
                <w:sz w:val="21"/>
                <w:szCs w:val="21"/>
              </w:rPr>
              <w:t>347</w:t>
            </w:r>
          </w:p>
        </w:tc>
        <w:tc>
          <w:tcPr>
            <w:tcW w:w="5220" w:type="dxa"/>
            <w:tcBorders>
              <w:top w:val="nil"/>
              <w:left w:val="nil"/>
              <w:bottom w:val="nil"/>
              <w:right w:val="nil"/>
            </w:tcBorders>
            <w:tcMar>
              <w:top w:w="128" w:type="dxa"/>
              <w:left w:w="43" w:type="dxa"/>
              <w:bottom w:w="43" w:type="dxa"/>
              <w:right w:w="43" w:type="dxa"/>
            </w:tcMar>
          </w:tcPr>
          <w:p w14:paraId="3B7094A0" w14:textId="77777777" w:rsidR="00D60186" w:rsidRPr="00D4351A" w:rsidRDefault="00D60186" w:rsidP="00225D4D">
            <w:pPr>
              <w:rPr>
                <w:sz w:val="21"/>
                <w:szCs w:val="21"/>
              </w:rPr>
            </w:pPr>
            <w:r w:rsidRPr="00D4351A">
              <w:rPr>
                <w:sz w:val="21"/>
                <w:szCs w:val="21"/>
              </w:rPr>
              <w:t>Prøveprosjekt der helsesykepleiere henviser til BUP</w:t>
            </w:r>
          </w:p>
        </w:tc>
        <w:tc>
          <w:tcPr>
            <w:tcW w:w="2120" w:type="dxa"/>
            <w:tcBorders>
              <w:top w:val="nil"/>
              <w:left w:val="nil"/>
              <w:bottom w:val="nil"/>
              <w:right w:val="nil"/>
            </w:tcBorders>
            <w:tcMar>
              <w:top w:w="128" w:type="dxa"/>
              <w:left w:w="43" w:type="dxa"/>
              <w:bottom w:w="43" w:type="dxa"/>
              <w:right w:w="43" w:type="dxa"/>
            </w:tcMar>
            <w:vAlign w:val="bottom"/>
          </w:tcPr>
          <w:p w14:paraId="69028A53" w14:textId="77777777" w:rsidR="00D60186" w:rsidRPr="00D4351A" w:rsidRDefault="00D60186" w:rsidP="00D4351A">
            <w:pPr>
              <w:jc w:val="right"/>
              <w:rPr>
                <w:sz w:val="21"/>
                <w:szCs w:val="21"/>
              </w:rPr>
            </w:pPr>
            <w:r w:rsidRPr="00D4351A">
              <w:rPr>
                <w:sz w:val="21"/>
                <w:szCs w:val="21"/>
              </w:rPr>
              <w:t>Ja</w:t>
            </w:r>
          </w:p>
        </w:tc>
      </w:tr>
      <w:tr w:rsidR="00E76DC8" w:rsidRPr="00225D4D" w14:paraId="50D6BF78"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148F0B6" w14:textId="77777777" w:rsidR="00D60186" w:rsidRPr="00D4351A" w:rsidRDefault="00D60186" w:rsidP="00225D4D">
            <w:pPr>
              <w:rPr>
                <w:sz w:val="21"/>
                <w:szCs w:val="21"/>
              </w:rPr>
            </w:pPr>
            <w:r w:rsidRPr="00D4351A">
              <w:rPr>
                <w:sz w:val="21"/>
                <w:szCs w:val="21"/>
              </w:rPr>
              <w:t>2019–2020</w:t>
            </w:r>
          </w:p>
        </w:tc>
        <w:tc>
          <w:tcPr>
            <w:tcW w:w="1120" w:type="dxa"/>
            <w:tcBorders>
              <w:top w:val="nil"/>
              <w:left w:val="nil"/>
              <w:bottom w:val="nil"/>
              <w:right w:val="nil"/>
            </w:tcBorders>
            <w:tcMar>
              <w:top w:w="128" w:type="dxa"/>
              <w:left w:w="43" w:type="dxa"/>
              <w:bottom w:w="43" w:type="dxa"/>
              <w:right w:w="43" w:type="dxa"/>
            </w:tcMar>
          </w:tcPr>
          <w:p w14:paraId="66472685" w14:textId="77777777" w:rsidR="00D60186" w:rsidRPr="00D4351A" w:rsidRDefault="00D60186" w:rsidP="00D4351A">
            <w:pPr>
              <w:ind w:right="113"/>
              <w:jc w:val="right"/>
              <w:rPr>
                <w:sz w:val="21"/>
                <w:szCs w:val="21"/>
              </w:rPr>
            </w:pPr>
            <w:r w:rsidRPr="00D4351A">
              <w:rPr>
                <w:sz w:val="21"/>
                <w:szCs w:val="21"/>
              </w:rPr>
              <w:t>611</w:t>
            </w:r>
          </w:p>
        </w:tc>
        <w:tc>
          <w:tcPr>
            <w:tcW w:w="5220" w:type="dxa"/>
            <w:tcBorders>
              <w:top w:val="nil"/>
              <w:left w:val="nil"/>
              <w:bottom w:val="nil"/>
              <w:right w:val="nil"/>
            </w:tcBorders>
            <w:tcMar>
              <w:top w:w="128" w:type="dxa"/>
              <w:left w:w="43" w:type="dxa"/>
              <w:bottom w:w="43" w:type="dxa"/>
              <w:right w:w="43" w:type="dxa"/>
            </w:tcMar>
          </w:tcPr>
          <w:p w14:paraId="529DA331" w14:textId="77777777" w:rsidR="00D60186" w:rsidRPr="00D4351A" w:rsidRDefault="00D60186" w:rsidP="00225D4D">
            <w:pPr>
              <w:rPr>
                <w:sz w:val="21"/>
                <w:szCs w:val="21"/>
              </w:rPr>
            </w:pPr>
            <w:r w:rsidRPr="00D4351A">
              <w:rPr>
                <w:sz w:val="21"/>
                <w:szCs w:val="21"/>
              </w:rPr>
              <w:t xml:space="preserve">Utredning av markedet for genetisk selvtesting </w:t>
            </w:r>
          </w:p>
        </w:tc>
        <w:tc>
          <w:tcPr>
            <w:tcW w:w="2120" w:type="dxa"/>
            <w:tcBorders>
              <w:top w:val="nil"/>
              <w:left w:val="nil"/>
              <w:bottom w:val="nil"/>
              <w:right w:val="nil"/>
            </w:tcBorders>
            <w:tcMar>
              <w:top w:w="128" w:type="dxa"/>
              <w:left w:w="43" w:type="dxa"/>
              <w:bottom w:w="43" w:type="dxa"/>
              <w:right w:w="43" w:type="dxa"/>
            </w:tcMar>
            <w:vAlign w:val="bottom"/>
          </w:tcPr>
          <w:p w14:paraId="048A832B" w14:textId="77777777" w:rsidR="00D60186" w:rsidRPr="00D4351A" w:rsidRDefault="00D60186" w:rsidP="00D4351A">
            <w:pPr>
              <w:jc w:val="right"/>
              <w:rPr>
                <w:sz w:val="21"/>
                <w:szCs w:val="21"/>
              </w:rPr>
            </w:pPr>
            <w:r w:rsidRPr="00D4351A">
              <w:rPr>
                <w:sz w:val="21"/>
                <w:szCs w:val="21"/>
              </w:rPr>
              <w:t>Ja</w:t>
            </w:r>
          </w:p>
        </w:tc>
      </w:tr>
      <w:tr w:rsidR="00E76DC8" w:rsidRPr="00225D4D" w14:paraId="524236F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97C36EF" w14:textId="77777777" w:rsidR="00D60186" w:rsidRPr="00D4351A" w:rsidRDefault="00D60186" w:rsidP="00225D4D">
            <w:pPr>
              <w:rPr>
                <w:sz w:val="21"/>
                <w:szCs w:val="21"/>
              </w:rPr>
            </w:pPr>
            <w:r w:rsidRPr="00D4351A">
              <w:rPr>
                <w:sz w:val="21"/>
                <w:szCs w:val="21"/>
              </w:rPr>
              <w:t>2019–2020</w:t>
            </w:r>
          </w:p>
        </w:tc>
        <w:tc>
          <w:tcPr>
            <w:tcW w:w="1120" w:type="dxa"/>
            <w:tcBorders>
              <w:top w:val="nil"/>
              <w:left w:val="nil"/>
              <w:bottom w:val="nil"/>
              <w:right w:val="nil"/>
            </w:tcBorders>
            <w:tcMar>
              <w:top w:w="128" w:type="dxa"/>
              <w:left w:w="43" w:type="dxa"/>
              <w:bottom w:w="43" w:type="dxa"/>
              <w:right w:w="43" w:type="dxa"/>
            </w:tcMar>
          </w:tcPr>
          <w:p w14:paraId="0D544E96" w14:textId="77777777" w:rsidR="00D60186" w:rsidRPr="00D4351A" w:rsidRDefault="00D60186" w:rsidP="00D4351A">
            <w:pPr>
              <w:ind w:right="113"/>
              <w:jc w:val="right"/>
              <w:rPr>
                <w:sz w:val="21"/>
                <w:szCs w:val="21"/>
              </w:rPr>
            </w:pPr>
            <w:r w:rsidRPr="00D4351A">
              <w:rPr>
                <w:sz w:val="21"/>
                <w:szCs w:val="21"/>
              </w:rPr>
              <w:t>612</w:t>
            </w:r>
          </w:p>
        </w:tc>
        <w:tc>
          <w:tcPr>
            <w:tcW w:w="5220" w:type="dxa"/>
            <w:tcBorders>
              <w:top w:val="nil"/>
              <w:left w:val="nil"/>
              <w:bottom w:val="nil"/>
              <w:right w:val="nil"/>
            </w:tcBorders>
            <w:tcMar>
              <w:top w:w="128" w:type="dxa"/>
              <w:left w:w="43" w:type="dxa"/>
              <w:bottom w:w="43" w:type="dxa"/>
              <w:right w:w="43" w:type="dxa"/>
            </w:tcMar>
          </w:tcPr>
          <w:p w14:paraId="76578936" w14:textId="77777777" w:rsidR="00D60186" w:rsidRPr="00D4351A" w:rsidRDefault="00D60186" w:rsidP="00225D4D">
            <w:pPr>
              <w:rPr>
                <w:sz w:val="21"/>
                <w:szCs w:val="21"/>
              </w:rPr>
            </w:pPr>
            <w:r w:rsidRPr="00D4351A">
              <w:rPr>
                <w:sz w:val="21"/>
                <w:szCs w:val="21"/>
              </w:rPr>
              <w:t>Forbud mot genetisk testing av barn</w:t>
            </w:r>
          </w:p>
        </w:tc>
        <w:tc>
          <w:tcPr>
            <w:tcW w:w="2120" w:type="dxa"/>
            <w:tcBorders>
              <w:top w:val="nil"/>
              <w:left w:val="nil"/>
              <w:bottom w:val="nil"/>
              <w:right w:val="nil"/>
            </w:tcBorders>
            <w:tcMar>
              <w:top w:w="128" w:type="dxa"/>
              <w:left w:w="43" w:type="dxa"/>
              <w:bottom w:w="43" w:type="dxa"/>
              <w:right w:w="43" w:type="dxa"/>
            </w:tcMar>
            <w:vAlign w:val="bottom"/>
          </w:tcPr>
          <w:p w14:paraId="1737C9B7" w14:textId="77777777" w:rsidR="00D60186" w:rsidRPr="00D4351A" w:rsidRDefault="00D60186" w:rsidP="00D4351A">
            <w:pPr>
              <w:jc w:val="right"/>
              <w:rPr>
                <w:sz w:val="21"/>
                <w:szCs w:val="21"/>
              </w:rPr>
            </w:pPr>
            <w:r w:rsidRPr="00D4351A">
              <w:rPr>
                <w:sz w:val="21"/>
                <w:szCs w:val="21"/>
              </w:rPr>
              <w:t>Ja</w:t>
            </w:r>
          </w:p>
        </w:tc>
      </w:tr>
      <w:tr w:rsidR="00E76DC8" w:rsidRPr="00225D4D" w14:paraId="4B20D15E"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51427DA3" w14:textId="77777777" w:rsidR="00D60186" w:rsidRPr="00D4351A" w:rsidRDefault="00D60186" w:rsidP="00225D4D">
            <w:pPr>
              <w:rPr>
                <w:sz w:val="21"/>
                <w:szCs w:val="21"/>
              </w:rPr>
            </w:pPr>
            <w:r w:rsidRPr="00D4351A">
              <w:rPr>
                <w:sz w:val="21"/>
                <w:szCs w:val="21"/>
              </w:rPr>
              <w:t>2019–2020</w:t>
            </w:r>
          </w:p>
        </w:tc>
        <w:tc>
          <w:tcPr>
            <w:tcW w:w="1120" w:type="dxa"/>
            <w:tcBorders>
              <w:top w:val="nil"/>
              <w:left w:val="nil"/>
              <w:bottom w:val="nil"/>
              <w:right w:val="nil"/>
            </w:tcBorders>
            <w:tcMar>
              <w:top w:w="128" w:type="dxa"/>
              <w:left w:w="43" w:type="dxa"/>
              <w:bottom w:w="43" w:type="dxa"/>
              <w:right w:w="43" w:type="dxa"/>
            </w:tcMar>
          </w:tcPr>
          <w:p w14:paraId="7EDAB7FE" w14:textId="77777777" w:rsidR="00D60186" w:rsidRPr="00D4351A" w:rsidRDefault="00D60186" w:rsidP="00D4351A">
            <w:pPr>
              <w:ind w:right="113"/>
              <w:jc w:val="right"/>
              <w:rPr>
                <w:sz w:val="21"/>
                <w:szCs w:val="21"/>
              </w:rPr>
            </w:pPr>
            <w:r w:rsidRPr="00D4351A">
              <w:rPr>
                <w:sz w:val="21"/>
                <w:szCs w:val="21"/>
              </w:rPr>
              <w:t>616</w:t>
            </w:r>
          </w:p>
        </w:tc>
        <w:tc>
          <w:tcPr>
            <w:tcW w:w="5220" w:type="dxa"/>
            <w:tcBorders>
              <w:top w:val="nil"/>
              <w:left w:val="nil"/>
              <w:bottom w:val="nil"/>
              <w:right w:val="nil"/>
            </w:tcBorders>
            <w:tcMar>
              <w:top w:w="128" w:type="dxa"/>
              <w:left w:w="43" w:type="dxa"/>
              <w:bottom w:w="43" w:type="dxa"/>
              <w:right w:w="43" w:type="dxa"/>
            </w:tcMar>
          </w:tcPr>
          <w:p w14:paraId="27D18D0D" w14:textId="77777777" w:rsidR="00D60186" w:rsidRPr="00D4351A" w:rsidRDefault="00D60186" w:rsidP="00225D4D">
            <w:pPr>
              <w:rPr>
                <w:sz w:val="21"/>
                <w:szCs w:val="21"/>
              </w:rPr>
            </w:pPr>
            <w:r w:rsidRPr="00D4351A">
              <w:rPr>
                <w:sz w:val="21"/>
                <w:szCs w:val="21"/>
              </w:rPr>
              <w:t xml:space="preserve">Preimplantasjonsdiagnostikk </w:t>
            </w:r>
          </w:p>
        </w:tc>
        <w:tc>
          <w:tcPr>
            <w:tcW w:w="2120" w:type="dxa"/>
            <w:tcBorders>
              <w:top w:val="nil"/>
              <w:left w:val="nil"/>
              <w:bottom w:val="nil"/>
              <w:right w:val="nil"/>
            </w:tcBorders>
            <w:tcMar>
              <w:top w:w="128" w:type="dxa"/>
              <w:left w:w="43" w:type="dxa"/>
              <w:bottom w:w="43" w:type="dxa"/>
              <w:right w:w="43" w:type="dxa"/>
            </w:tcMar>
            <w:vAlign w:val="bottom"/>
          </w:tcPr>
          <w:p w14:paraId="2D1CF647" w14:textId="77777777" w:rsidR="00D60186" w:rsidRPr="00D4351A" w:rsidRDefault="00D60186" w:rsidP="00D4351A">
            <w:pPr>
              <w:jc w:val="right"/>
              <w:rPr>
                <w:sz w:val="21"/>
                <w:szCs w:val="21"/>
              </w:rPr>
            </w:pPr>
            <w:r w:rsidRPr="00D4351A">
              <w:rPr>
                <w:sz w:val="21"/>
                <w:szCs w:val="21"/>
              </w:rPr>
              <w:t>Ja</w:t>
            </w:r>
          </w:p>
        </w:tc>
      </w:tr>
      <w:tr w:rsidR="00E76DC8" w:rsidRPr="00225D4D" w14:paraId="377473CD"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50CD93E" w14:textId="77777777" w:rsidR="00D60186" w:rsidRPr="00D4351A" w:rsidRDefault="00D60186" w:rsidP="00225D4D">
            <w:pPr>
              <w:rPr>
                <w:sz w:val="21"/>
                <w:szCs w:val="21"/>
              </w:rPr>
            </w:pPr>
            <w:r w:rsidRPr="00D4351A">
              <w:rPr>
                <w:sz w:val="21"/>
                <w:szCs w:val="21"/>
              </w:rPr>
              <w:t>2018–2019</w:t>
            </w:r>
          </w:p>
        </w:tc>
        <w:tc>
          <w:tcPr>
            <w:tcW w:w="1120" w:type="dxa"/>
            <w:tcBorders>
              <w:top w:val="nil"/>
              <w:left w:val="nil"/>
              <w:bottom w:val="nil"/>
              <w:right w:val="nil"/>
            </w:tcBorders>
            <w:tcMar>
              <w:top w:w="128" w:type="dxa"/>
              <w:left w:w="43" w:type="dxa"/>
              <w:bottom w:w="43" w:type="dxa"/>
              <w:right w:w="43" w:type="dxa"/>
            </w:tcMar>
          </w:tcPr>
          <w:p w14:paraId="18F6EE0D" w14:textId="77777777" w:rsidR="00D60186" w:rsidRPr="00D4351A" w:rsidRDefault="00D60186" w:rsidP="00D4351A">
            <w:pPr>
              <w:ind w:right="113"/>
              <w:jc w:val="right"/>
              <w:rPr>
                <w:sz w:val="21"/>
                <w:szCs w:val="21"/>
              </w:rPr>
            </w:pPr>
            <w:r w:rsidRPr="00D4351A">
              <w:rPr>
                <w:sz w:val="21"/>
                <w:szCs w:val="21"/>
              </w:rPr>
              <w:t>20</w:t>
            </w:r>
          </w:p>
        </w:tc>
        <w:tc>
          <w:tcPr>
            <w:tcW w:w="5220" w:type="dxa"/>
            <w:tcBorders>
              <w:top w:val="nil"/>
              <w:left w:val="nil"/>
              <w:bottom w:val="nil"/>
              <w:right w:val="nil"/>
            </w:tcBorders>
            <w:tcMar>
              <w:top w:w="128" w:type="dxa"/>
              <w:left w:w="43" w:type="dxa"/>
              <w:bottom w:w="43" w:type="dxa"/>
              <w:right w:w="43" w:type="dxa"/>
            </w:tcMar>
          </w:tcPr>
          <w:p w14:paraId="541729FC" w14:textId="77777777" w:rsidR="00D60186" w:rsidRPr="00D4351A" w:rsidRDefault="00D60186" w:rsidP="00225D4D">
            <w:pPr>
              <w:rPr>
                <w:sz w:val="21"/>
                <w:szCs w:val="21"/>
              </w:rPr>
            </w:pPr>
            <w:r w:rsidRPr="00D4351A">
              <w:rPr>
                <w:sz w:val="21"/>
                <w:szCs w:val="21"/>
              </w:rPr>
              <w:t>Styrking av norsk tannhelse</w:t>
            </w:r>
          </w:p>
        </w:tc>
        <w:tc>
          <w:tcPr>
            <w:tcW w:w="2120" w:type="dxa"/>
            <w:tcBorders>
              <w:top w:val="nil"/>
              <w:left w:val="nil"/>
              <w:bottom w:val="nil"/>
              <w:right w:val="nil"/>
            </w:tcBorders>
            <w:tcMar>
              <w:top w:w="128" w:type="dxa"/>
              <w:left w:w="43" w:type="dxa"/>
              <w:bottom w:w="43" w:type="dxa"/>
              <w:right w:w="43" w:type="dxa"/>
            </w:tcMar>
            <w:vAlign w:val="bottom"/>
          </w:tcPr>
          <w:p w14:paraId="17B28A68" w14:textId="77777777" w:rsidR="00D60186" w:rsidRPr="00D4351A" w:rsidRDefault="00D60186" w:rsidP="00D4351A">
            <w:pPr>
              <w:jc w:val="right"/>
              <w:rPr>
                <w:sz w:val="21"/>
                <w:szCs w:val="21"/>
              </w:rPr>
            </w:pPr>
            <w:r w:rsidRPr="00D4351A">
              <w:rPr>
                <w:sz w:val="21"/>
                <w:szCs w:val="21"/>
              </w:rPr>
              <w:t>Nei</w:t>
            </w:r>
          </w:p>
        </w:tc>
      </w:tr>
      <w:tr w:rsidR="00E76DC8" w:rsidRPr="00225D4D" w14:paraId="194D847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98B45E9" w14:textId="77777777" w:rsidR="00D60186" w:rsidRPr="00D4351A" w:rsidRDefault="00D60186" w:rsidP="00225D4D">
            <w:pPr>
              <w:rPr>
                <w:sz w:val="21"/>
                <w:szCs w:val="21"/>
              </w:rPr>
            </w:pPr>
            <w:r w:rsidRPr="00D4351A">
              <w:rPr>
                <w:sz w:val="21"/>
                <w:szCs w:val="21"/>
              </w:rPr>
              <w:t>2018–2019</w:t>
            </w:r>
          </w:p>
        </w:tc>
        <w:tc>
          <w:tcPr>
            <w:tcW w:w="1120" w:type="dxa"/>
            <w:tcBorders>
              <w:top w:val="nil"/>
              <w:left w:val="nil"/>
              <w:bottom w:val="nil"/>
              <w:right w:val="nil"/>
            </w:tcBorders>
            <w:tcMar>
              <w:top w:w="128" w:type="dxa"/>
              <w:left w:w="43" w:type="dxa"/>
              <w:bottom w:w="43" w:type="dxa"/>
              <w:right w:w="43" w:type="dxa"/>
            </w:tcMar>
          </w:tcPr>
          <w:p w14:paraId="3F05A53B" w14:textId="77777777" w:rsidR="00D60186" w:rsidRPr="00D4351A" w:rsidRDefault="00D60186" w:rsidP="00D4351A">
            <w:pPr>
              <w:ind w:right="113"/>
              <w:jc w:val="right"/>
              <w:rPr>
                <w:sz w:val="21"/>
                <w:szCs w:val="21"/>
              </w:rPr>
            </w:pPr>
            <w:r w:rsidRPr="00D4351A">
              <w:rPr>
                <w:sz w:val="21"/>
                <w:szCs w:val="21"/>
              </w:rPr>
              <w:t>25</w:t>
            </w:r>
          </w:p>
        </w:tc>
        <w:tc>
          <w:tcPr>
            <w:tcW w:w="5220" w:type="dxa"/>
            <w:tcBorders>
              <w:top w:val="nil"/>
              <w:left w:val="nil"/>
              <w:bottom w:val="nil"/>
              <w:right w:val="nil"/>
            </w:tcBorders>
            <w:tcMar>
              <w:top w:w="128" w:type="dxa"/>
              <w:left w:w="43" w:type="dxa"/>
              <w:bottom w:w="43" w:type="dxa"/>
              <w:right w:w="43" w:type="dxa"/>
            </w:tcMar>
          </w:tcPr>
          <w:p w14:paraId="56A09B01" w14:textId="77777777" w:rsidR="00D60186" w:rsidRPr="00D4351A" w:rsidRDefault="00D60186" w:rsidP="00225D4D">
            <w:pPr>
              <w:rPr>
                <w:sz w:val="21"/>
                <w:szCs w:val="21"/>
              </w:rPr>
            </w:pPr>
            <w:r w:rsidRPr="00D4351A">
              <w:rPr>
                <w:sz w:val="21"/>
                <w:szCs w:val="21"/>
              </w:rPr>
              <w:t>Ensomhet inn i folkehelseloven § 7</w:t>
            </w:r>
          </w:p>
        </w:tc>
        <w:tc>
          <w:tcPr>
            <w:tcW w:w="2120" w:type="dxa"/>
            <w:tcBorders>
              <w:top w:val="nil"/>
              <w:left w:val="nil"/>
              <w:bottom w:val="nil"/>
              <w:right w:val="nil"/>
            </w:tcBorders>
            <w:tcMar>
              <w:top w:w="128" w:type="dxa"/>
              <w:left w:w="43" w:type="dxa"/>
              <w:bottom w:w="43" w:type="dxa"/>
              <w:right w:w="43" w:type="dxa"/>
            </w:tcMar>
            <w:vAlign w:val="bottom"/>
          </w:tcPr>
          <w:p w14:paraId="6A6755A5" w14:textId="77777777" w:rsidR="00D60186" w:rsidRPr="00D4351A" w:rsidRDefault="00D60186" w:rsidP="00D4351A">
            <w:pPr>
              <w:jc w:val="right"/>
              <w:rPr>
                <w:sz w:val="21"/>
                <w:szCs w:val="21"/>
              </w:rPr>
            </w:pPr>
            <w:r w:rsidRPr="00D4351A">
              <w:rPr>
                <w:sz w:val="21"/>
                <w:szCs w:val="21"/>
              </w:rPr>
              <w:t>Ja</w:t>
            </w:r>
          </w:p>
        </w:tc>
      </w:tr>
      <w:tr w:rsidR="00E76DC8" w:rsidRPr="00225D4D" w14:paraId="6F43717A"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4DDEB34C" w14:textId="77777777" w:rsidR="00D60186" w:rsidRPr="00D4351A" w:rsidRDefault="00D60186" w:rsidP="00225D4D">
            <w:pPr>
              <w:rPr>
                <w:sz w:val="21"/>
                <w:szCs w:val="21"/>
              </w:rPr>
            </w:pPr>
            <w:r w:rsidRPr="00D4351A">
              <w:rPr>
                <w:sz w:val="21"/>
                <w:szCs w:val="21"/>
              </w:rPr>
              <w:t>2018–2019</w:t>
            </w:r>
          </w:p>
        </w:tc>
        <w:tc>
          <w:tcPr>
            <w:tcW w:w="1120" w:type="dxa"/>
            <w:tcBorders>
              <w:top w:val="nil"/>
              <w:left w:val="nil"/>
              <w:bottom w:val="nil"/>
              <w:right w:val="nil"/>
            </w:tcBorders>
            <w:tcMar>
              <w:top w:w="128" w:type="dxa"/>
              <w:left w:w="43" w:type="dxa"/>
              <w:bottom w:w="43" w:type="dxa"/>
              <w:right w:w="43" w:type="dxa"/>
            </w:tcMar>
          </w:tcPr>
          <w:p w14:paraId="7391590D" w14:textId="77777777" w:rsidR="00D60186" w:rsidRPr="00D4351A" w:rsidRDefault="00D60186" w:rsidP="00D4351A">
            <w:pPr>
              <w:ind w:right="113"/>
              <w:jc w:val="right"/>
              <w:rPr>
                <w:sz w:val="21"/>
                <w:szCs w:val="21"/>
              </w:rPr>
            </w:pPr>
            <w:r w:rsidRPr="00D4351A">
              <w:rPr>
                <w:sz w:val="21"/>
                <w:szCs w:val="21"/>
              </w:rPr>
              <w:t>39</w:t>
            </w:r>
          </w:p>
        </w:tc>
        <w:tc>
          <w:tcPr>
            <w:tcW w:w="5220" w:type="dxa"/>
            <w:tcBorders>
              <w:top w:val="nil"/>
              <w:left w:val="nil"/>
              <w:bottom w:val="nil"/>
              <w:right w:val="nil"/>
            </w:tcBorders>
            <w:tcMar>
              <w:top w:w="128" w:type="dxa"/>
              <w:left w:w="43" w:type="dxa"/>
              <w:bottom w:w="43" w:type="dxa"/>
              <w:right w:w="43" w:type="dxa"/>
            </w:tcMar>
          </w:tcPr>
          <w:p w14:paraId="2A123DE3" w14:textId="77777777" w:rsidR="00D60186" w:rsidRPr="00D4351A" w:rsidRDefault="00D60186" w:rsidP="00225D4D">
            <w:pPr>
              <w:rPr>
                <w:sz w:val="21"/>
                <w:szCs w:val="21"/>
              </w:rPr>
            </w:pPr>
            <w:r w:rsidRPr="00D4351A">
              <w:rPr>
                <w:sz w:val="21"/>
                <w:szCs w:val="21"/>
              </w:rPr>
              <w:t xml:space="preserve">Forslag om </w:t>
            </w:r>
            <w:proofErr w:type="spellStart"/>
            <w:r w:rsidRPr="00D4351A">
              <w:rPr>
                <w:sz w:val="21"/>
                <w:szCs w:val="21"/>
              </w:rPr>
              <w:t>innholdsmerking</w:t>
            </w:r>
            <w:proofErr w:type="spellEnd"/>
            <w:r w:rsidRPr="00D4351A">
              <w:rPr>
                <w:sz w:val="21"/>
                <w:szCs w:val="21"/>
              </w:rPr>
              <w:t xml:space="preserve"> på alkoholholdig drikk</w:t>
            </w:r>
          </w:p>
        </w:tc>
        <w:tc>
          <w:tcPr>
            <w:tcW w:w="2120" w:type="dxa"/>
            <w:tcBorders>
              <w:top w:val="nil"/>
              <w:left w:val="nil"/>
              <w:bottom w:val="nil"/>
              <w:right w:val="nil"/>
            </w:tcBorders>
            <w:tcMar>
              <w:top w:w="128" w:type="dxa"/>
              <w:left w:w="43" w:type="dxa"/>
              <w:bottom w:w="43" w:type="dxa"/>
              <w:right w:w="43" w:type="dxa"/>
            </w:tcMar>
            <w:vAlign w:val="bottom"/>
          </w:tcPr>
          <w:p w14:paraId="18DCF22D" w14:textId="77777777" w:rsidR="00D60186" w:rsidRPr="00D4351A" w:rsidRDefault="00D60186" w:rsidP="00D4351A">
            <w:pPr>
              <w:jc w:val="right"/>
              <w:rPr>
                <w:sz w:val="21"/>
                <w:szCs w:val="21"/>
              </w:rPr>
            </w:pPr>
            <w:r w:rsidRPr="00D4351A">
              <w:rPr>
                <w:sz w:val="21"/>
                <w:szCs w:val="21"/>
              </w:rPr>
              <w:t>Nei</w:t>
            </w:r>
          </w:p>
        </w:tc>
      </w:tr>
      <w:tr w:rsidR="00E76DC8" w:rsidRPr="00225D4D" w14:paraId="114EC396"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096539F4" w14:textId="77777777" w:rsidR="00D60186" w:rsidRPr="00D4351A" w:rsidRDefault="00D60186" w:rsidP="00225D4D">
            <w:pPr>
              <w:rPr>
                <w:sz w:val="21"/>
                <w:szCs w:val="21"/>
              </w:rPr>
            </w:pPr>
            <w:r w:rsidRPr="00D4351A">
              <w:rPr>
                <w:sz w:val="21"/>
                <w:szCs w:val="21"/>
              </w:rPr>
              <w:t>2018–2019</w:t>
            </w:r>
          </w:p>
        </w:tc>
        <w:tc>
          <w:tcPr>
            <w:tcW w:w="1120" w:type="dxa"/>
            <w:tcBorders>
              <w:top w:val="nil"/>
              <w:left w:val="nil"/>
              <w:bottom w:val="nil"/>
              <w:right w:val="nil"/>
            </w:tcBorders>
            <w:tcMar>
              <w:top w:w="128" w:type="dxa"/>
              <w:left w:w="43" w:type="dxa"/>
              <w:bottom w:w="43" w:type="dxa"/>
              <w:right w:w="43" w:type="dxa"/>
            </w:tcMar>
          </w:tcPr>
          <w:p w14:paraId="0B6CF706" w14:textId="77777777" w:rsidR="00D60186" w:rsidRPr="00D4351A" w:rsidRDefault="00D60186" w:rsidP="00D4351A">
            <w:pPr>
              <w:ind w:right="113"/>
              <w:jc w:val="right"/>
              <w:rPr>
                <w:sz w:val="21"/>
                <w:szCs w:val="21"/>
              </w:rPr>
            </w:pPr>
            <w:r w:rsidRPr="00D4351A">
              <w:rPr>
                <w:sz w:val="21"/>
                <w:szCs w:val="21"/>
              </w:rPr>
              <w:t>44</w:t>
            </w:r>
          </w:p>
        </w:tc>
        <w:tc>
          <w:tcPr>
            <w:tcW w:w="5220" w:type="dxa"/>
            <w:tcBorders>
              <w:top w:val="nil"/>
              <w:left w:val="nil"/>
              <w:bottom w:val="nil"/>
              <w:right w:val="nil"/>
            </w:tcBorders>
            <w:tcMar>
              <w:top w:w="128" w:type="dxa"/>
              <w:left w:w="43" w:type="dxa"/>
              <w:bottom w:w="43" w:type="dxa"/>
              <w:right w:w="43" w:type="dxa"/>
            </w:tcMar>
          </w:tcPr>
          <w:p w14:paraId="6E4D4930" w14:textId="77777777" w:rsidR="00D60186" w:rsidRPr="00D4351A" w:rsidRDefault="00D60186" w:rsidP="00225D4D">
            <w:pPr>
              <w:rPr>
                <w:sz w:val="21"/>
                <w:szCs w:val="21"/>
              </w:rPr>
            </w:pPr>
            <w:r w:rsidRPr="00D4351A">
              <w:rPr>
                <w:sz w:val="21"/>
                <w:szCs w:val="21"/>
              </w:rPr>
              <w:t>Innføring av merking med helseadvarsler på alkoholholdig drikk</w:t>
            </w:r>
          </w:p>
        </w:tc>
        <w:tc>
          <w:tcPr>
            <w:tcW w:w="2120" w:type="dxa"/>
            <w:tcBorders>
              <w:top w:val="nil"/>
              <w:left w:val="nil"/>
              <w:bottom w:val="nil"/>
              <w:right w:val="nil"/>
            </w:tcBorders>
            <w:tcMar>
              <w:top w:w="128" w:type="dxa"/>
              <w:left w:w="43" w:type="dxa"/>
              <w:bottom w:w="43" w:type="dxa"/>
              <w:right w:w="43" w:type="dxa"/>
            </w:tcMar>
            <w:vAlign w:val="bottom"/>
          </w:tcPr>
          <w:p w14:paraId="25FDB67E" w14:textId="77777777" w:rsidR="00D60186" w:rsidRPr="00D4351A" w:rsidRDefault="00D60186" w:rsidP="00D4351A">
            <w:pPr>
              <w:jc w:val="right"/>
              <w:rPr>
                <w:sz w:val="21"/>
                <w:szCs w:val="21"/>
              </w:rPr>
            </w:pPr>
            <w:r w:rsidRPr="00D4351A">
              <w:rPr>
                <w:sz w:val="21"/>
                <w:szCs w:val="21"/>
              </w:rPr>
              <w:t>Nei</w:t>
            </w:r>
          </w:p>
        </w:tc>
      </w:tr>
      <w:tr w:rsidR="00E76DC8" w:rsidRPr="00225D4D" w14:paraId="6B75A099"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5B213BB" w14:textId="77777777" w:rsidR="00D60186" w:rsidRPr="00D4351A" w:rsidRDefault="00D60186" w:rsidP="00225D4D">
            <w:pPr>
              <w:rPr>
                <w:sz w:val="21"/>
                <w:szCs w:val="21"/>
              </w:rPr>
            </w:pPr>
            <w:r w:rsidRPr="00D4351A">
              <w:rPr>
                <w:sz w:val="21"/>
                <w:szCs w:val="21"/>
              </w:rPr>
              <w:t>2018–2019</w:t>
            </w:r>
          </w:p>
        </w:tc>
        <w:tc>
          <w:tcPr>
            <w:tcW w:w="1120" w:type="dxa"/>
            <w:tcBorders>
              <w:top w:val="nil"/>
              <w:left w:val="nil"/>
              <w:bottom w:val="nil"/>
              <w:right w:val="nil"/>
            </w:tcBorders>
            <w:tcMar>
              <w:top w:w="128" w:type="dxa"/>
              <w:left w:w="43" w:type="dxa"/>
              <w:bottom w:w="43" w:type="dxa"/>
              <w:right w:w="43" w:type="dxa"/>
            </w:tcMar>
          </w:tcPr>
          <w:p w14:paraId="6BABB649" w14:textId="77777777" w:rsidR="00D60186" w:rsidRPr="00D4351A" w:rsidRDefault="00D60186" w:rsidP="00D4351A">
            <w:pPr>
              <w:ind w:right="113"/>
              <w:jc w:val="right"/>
              <w:rPr>
                <w:sz w:val="21"/>
                <w:szCs w:val="21"/>
              </w:rPr>
            </w:pPr>
            <w:r w:rsidRPr="00D4351A">
              <w:rPr>
                <w:sz w:val="21"/>
                <w:szCs w:val="21"/>
              </w:rPr>
              <w:t>82</w:t>
            </w:r>
          </w:p>
        </w:tc>
        <w:tc>
          <w:tcPr>
            <w:tcW w:w="5220" w:type="dxa"/>
            <w:tcBorders>
              <w:top w:val="nil"/>
              <w:left w:val="nil"/>
              <w:bottom w:val="nil"/>
              <w:right w:val="nil"/>
            </w:tcBorders>
            <w:tcMar>
              <w:top w:w="128" w:type="dxa"/>
              <w:left w:w="43" w:type="dxa"/>
              <w:bottom w:w="43" w:type="dxa"/>
              <w:right w:w="43" w:type="dxa"/>
            </w:tcMar>
          </w:tcPr>
          <w:p w14:paraId="357D080E" w14:textId="77777777" w:rsidR="00D60186" w:rsidRPr="00D4351A" w:rsidRDefault="00D60186" w:rsidP="00225D4D">
            <w:pPr>
              <w:rPr>
                <w:sz w:val="21"/>
                <w:szCs w:val="21"/>
              </w:rPr>
            </w:pPr>
            <w:r w:rsidRPr="00D4351A">
              <w:rPr>
                <w:sz w:val="21"/>
                <w:szCs w:val="21"/>
              </w:rPr>
              <w:t>Ideelle organisasjoners pensjonskostnader</w:t>
            </w:r>
          </w:p>
        </w:tc>
        <w:tc>
          <w:tcPr>
            <w:tcW w:w="2120" w:type="dxa"/>
            <w:tcBorders>
              <w:top w:val="nil"/>
              <w:left w:val="nil"/>
              <w:bottom w:val="nil"/>
              <w:right w:val="nil"/>
            </w:tcBorders>
            <w:tcMar>
              <w:top w:w="128" w:type="dxa"/>
              <w:left w:w="43" w:type="dxa"/>
              <w:bottom w:w="43" w:type="dxa"/>
              <w:right w:w="43" w:type="dxa"/>
            </w:tcMar>
            <w:vAlign w:val="bottom"/>
          </w:tcPr>
          <w:p w14:paraId="18AACC8B" w14:textId="77777777" w:rsidR="00D60186" w:rsidRPr="00D4351A" w:rsidRDefault="00D60186" w:rsidP="00D4351A">
            <w:pPr>
              <w:jc w:val="right"/>
              <w:rPr>
                <w:sz w:val="21"/>
                <w:szCs w:val="21"/>
              </w:rPr>
            </w:pPr>
            <w:r w:rsidRPr="00D4351A">
              <w:rPr>
                <w:sz w:val="21"/>
                <w:szCs w:val="21"/>
              </w:rPr>
              <w:t>Ja</w:t>
            </w:r>
          </w:p>
        </w:tc>
      </w:tr>
      <w:tr w:rsidR="00E76DC8" w:rsidRPr="00225D4D" w14:paraId="33402BF0"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1A9EFEF3" w14:textId="77777777" w:rsidR="00D60186" w:rsidRPr="00D4351A" w:rsidRDefault="00D60186" w:rsidP="00225D4D">
            <w:pPr>
              <w:rPr>
                <w:sz w:val="21"/>
                <w:szCs w:val="21"/>
              </w:rPr>
            </w:pPr>
            <w:r w:rsidRPr="00D4351A">
              <w:rPr>
                <w:sz w:val="21"/>
                <w:szCs w:val="21"/>
              </w:rPr>
              <w:t>2018–2019</w:t>
            </w:r>
          </w:p>
        </w:tc>
        <w:tc>
          <w:tcPr>
            <w:tcW w:w="1120" w:type="dxa"/>
            <w:tcBorders>
              <w:top w:val="nil"/>
              <w:left w:val="nil"/>
              <w:bottom w:val="nil"/>
              <w:right w:val="nil"/>
            </w:tcBorders>
            <w:tcMar>
              <w:top w:w="128" w:type="dxa"/>
              <w:left w:w="43" w:type="dxa"/>
              <w:bottom w:w="43" w:type="dxa"/>
              <w:right w:w="43" w:type="dxa"/>
            </w:tcMar>
          </w:tcPr>
          <w:p w14:paraId="60A7835F" w14:textId="77777777" w:rsidR="00D60186" w:rsidRPr="00D4351A" w:rsidRDefault="00D60186" w:rsidP="00D4351A">
            <w:pPr>
              <w:ind w:right="113"/>
              <w:jc w:val="right"/>
              <w:rPr>
                <w:sz w:val="21"/>
                <w:szCs w:val="21"/>
              </w:rPr>
            </w:pPr>
            <w:r w:rsidRPr="00D4351A">
              <w:rPr>
                <w:sz w:val="21"/>
                <w:szCs w:val="21"/>
              </w:rPr>
              <w:t>93</w:t>
            </w:r>
          </w:p>
        </w:tc>
        <w:tc>
          <w:tcPr>
            <w:tcW w:w="5220" w:type="dxa"/>
            <w:tcBorders>
              <w:top w:val="nil"/>
              <w:left w:val="nil"/>
              <w:bottom w:val="nil"/>
              <w:right w:val="nil"/>
            </w:tcBorders>
            <w:tcMar>
              <w:top w:w="128" w:type="dxa"/>
              <w:left w:w="43" w:type="dxa"/>
              <w:bottom w:w="43" w:type="dxa"/>
              <w:right w:w="43" w:type="dxa"/>
            </w:tcMar>
          </w:tcPr>
          <w:p w14:paraId="1567BE36" w14:textId="77777777" w:rsidR="00D60186" w:rsidRPr="00D4351A" w:rsidRDefault="00D60186" w:rsidP="00225D4D">
            <w:pPr>
              <w:rPr>
                <w:sz w:val="21"/>
                <w:szCs w:val="21"/>
              </w:rPr>
            </w:pPr>
            <w:r w:rsidRPr="00D4351A">
              <w:rPr>
                <w:sz w:val="21"/>
                <w:szCs w:val="21"/>
              </w:rPr>
              <w:t>Årsmeldingen for 2017 fra Norges nasjonale institusjon for menneskerettigheter</w:t>
            </w:r>
          </w:p>
        </w:tc>
        <w:tc>
          <w:tcPr>
            <w:tcW w:w="2120" w:type="dxa"/>
            <w:tcBorders>
              <w:top w:val="nil"/>
              <w:left w:val="nil"/>
              <w:bottom w:val="nil"/>
              <w:right w:val="nil"/>
            </w:tcBorders>
            <w:tcMar>
              <w:top w:w="128" w:type="dxa"/>
              <w:left w:w="43" w:type="dxa"/>
              <w:bottom w:w="43" w:type="dxa"/>
              <w:right w:w="43" w:type="dxa"/>
            </w:tcMar>
            <w:vAlign w:val="bottom"/>
          </w:tcPr>
          <w:p w14:paraId="47F8EA45" w14:textId="77777777" w:rsidR="00D60186" w:rsidRPr="00D4351A" w:rsidRDefault="00D60186" w:rsidP="00D4351A">
            <w:pPr>
              <w:jc w:val="right"/>
              <w:rPr>
                <w:sz w:val="21"/>
                <w:szCs w:val="21"/>
              </w:rPr>
            </w:pPr>
            <w:r w:rsidRPr="00D4351A">
              <w:rPr>
                <w:sz w:val="21"/>
                <w:szCs w:val="21"/>
              </w:rPr>
              <w:t>Ja</w:t>
            </w:r>
          </w:p>
        </w:tc>
      </w:tr>
      <w:tr w:rsidR="00E76DC8" w:rsidRPr="00225D4D" w14:paraId="29BA075C"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3FE26BFB" w14:textId="77777777" w:rsidR="00D60186" w:rsidRPr="00D4351A" w:rsidRDefault="00D60186" w:rsidP="00225D4D">
            <w:pPr>
              <w:rPr>
                <w:sz w:val="21"/>
                <w:szCs w:val="21"/>
              </w:rPr>
            </w:pPr>
            <w:r w:rsidRPr="00D4351A">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6C555532" w14:textId="77777777" w:rsidR="00D60186" w:rsidRPr="00D4351A" w:rsidRDefault="00D60186" w:rsidP="00D4351A">
            <w:pPr>
              <w:ind w:right="113"/>
              <w:jc w:val="right"/>
              <w:rPr>
                <w:sz w:val="21"/>
                <w:szCs w:val="21"/>
              </w:rPr>
            </w:pPr>
            <w:r w:rsidRPr="00D4351A">
              <w:rPr>
                <w:sz w:val="21"/>
                <w:szCs w:val="21"/>
              </w:rPr>
              <w:t>468</w:t>
            </w:r>
          </w:p>
        </w:tc>
        <w:tc>
          <w:tcPr>
            <w:tcW w:w="5220" w:type="dxa"/>
            <w:tcBorders>
              <w:top w:val="nil"/>
              <w:left w:val="nil"/>
              <w:bottom w:val="nil"/>
              <w:right w:val="nil"/>
            </w:tcBorders>
            <w:tcMar>
              <w:top w:w="128" w:type="dxa"/>
              <w:left w:w="43" w:type="dxa"/>
              <w:bottom w:w="43" w:type="dxa"/>
              <w:right w:w="43" w:type="dxa"/>
            </w:tcMar>
          </w:tcPr>
          <w:p w14:paraId="20B25747" w14:textId="77777777" w:rsidR="00D60186" w:rsidRPr="00D4351A" w:rsidRDefault="00D60186" w:rsidP="00225D4D">
            <w:pPr>
              <w:rPr>
                <w:sz w:val="21"/>
                <w:szCs w:val="21"/>
              </w:rPr>
            </w:pPr>
            <w:r w:rsidRPr="00D4351A">
              <w:rPr>
                <w:sz w:val="21"/>
                <w:szCs w:val="21"/>
              </w:rPr>
              <w:t>Legevakt- og fastlegeordningen</w:t>
            </w:r>
          </w:p>
        </w:tc>
        <w:tc>
          <w:tcPr>
            <w:tcW w:w="2120" w:type="dxa"/>
            <w:tcBorders>
              <w:top w:val="nil"/>
              <w:left w:val="nil"/>
              <w:bottom w:val="nil"/>
              <w:right w:val="nil"/>
            </w:tcBorders>
            <w:tcMar>
              <w:top w:w="128" w:type="dxa"/>
              <w:left w:w="43" w:type="dxa"/>
              <w:bottom w:w="43" w:type="dxa"/>
              <w:right w:w="43" w:type="dxa"/>
            </w:tcMar>
            <w:vAlign w:val="bottom"/>
          </w:tcPr>
          <w:p w14:paraId="74CAF8DC" w14:textId="77777777" w:rsidR="00D60186" w:rsidRPr="00D4351A" w:rsidRDefault="00D60186" w:rsidP="00D4351A">
            <w:pPr>
              <w:jc w:val="right"/>
              <w:rPr>
                <w:sz w:val="21"/>
                <w:szCs w:val="21"/>
              </w:rPr>
            </w:pPr>
            <w:r w:rsidRPr="00D4351A">
              <w:rPr>
                <w:sz w:val="21"/>
                <w:szCs w:val="21"/>
              </w:rPr>
              <w:t>Ja</w:t>
            </w:r>
          </w:p>
        </w:tc>
      </w:tr>
      <w:tr w:rsidR="00E76DC8" w:rsidRPr="00225D4D" w14:paraId="2EB97D51" w14:textId="77777777" w:rsidTr="00814879">
        <w:trPr>
          <w:trHeight w:val="20"/>
        </w:trPr>
        <w:tc>
          <w:tcPr>
            <w:tcW w:w="1140" w:type="dxa"/>
            <w:tcBorders>
              <w:top w:val="nil"/>
              <w:left w:val="nil"/>
              <w:bottom w:val="nil"/>
              <w:right w:val="nil"/>
            </w:tcBorders>
            <w:tcMar>
              <w:top w:w="128" w:type="dxa"/>
              <w:left w:w="43" w:type="dxa"/>
              <w:bottom w:w="43" w:type="dxa"/>
              <w:right w:w="43" w:type="dxa"/>
            </w:tcMar>
          </w:tcPr>
          <w:p w14:paraId="60B91C93" w14:textId="77777777" w:rsidR="00D60186" w:rsidRPr="00D4351A" w:rsidRDefault="00D60186" w:rsidP="00225D4D">
            <w:pPr>
              <w:rPr>
                <w:sz w:val="21"/>
                <w:szCs w:val="21"/>
              </w:rPr>
            </w:pPr>
            <w:r w:rsidRPr="00D4351A">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388A3089" w14:textId="77777777" w:rsidR="00D60186" w:rsidRPr="00D4351A" w:rsidRDefault="00D60186" w:rsidP="00D4351A">
            <w:pPr>
              <w:ind w:right="113"/>
              <w:jc w:val="right"/>
              <w:rPr>
                <w:sz w:val="21"/>
                <w:szCs w:val="21"/>
              </w:rPr>
            </w:pPr>
            <w:r w:rsidRPr="00D4351A">
              <w:rPr>
                <w:sz w:val="21"/>
                <w:szCs w:val="21"/>
              </w:rPr>
              <w:t>615</w:t>
            </w:r>
          </w:p>
        </w:tc>
        <w:tc>
          <w:tcPr>
            <w:tcW w:w="5220" w:type="dxa"/>
            <w:tcBorders>
              <w:top w:val="nil"/>
              <w:left w:val="nil"/>
              <w:bottom w:val="nil"/>
              <w:right w:val="nil"/>
            </w:tcBorders>
            <w:tcMar>
              <w:top w:w="128" w:type="dxa"/>
              <w:left w:w="43" w:type="dxa"/>
              <w:bottom w:w="43" w:type="dxa"/>
              <w:right w:w="43" w:type="dxa"/>
            </w:tcMar>
          </w:tcPr>
          <w:p w14:paraId="2874B849" w14:textId="77777777" w:rsidR="00D60186" w:rsidRPr="00D4351A" w:rsidRDefault="00D60186" w:rsidP="00225D4D">
            <w:pPr>
              <w:rPr>
                <w:sz w:val="21"/>
                <w:szCs w:val="21"/>
              </w:rPr>
            </w:pPr>
            <w:r w:rsidRPr="00D4351A">
              <w:rPr>
                <w:sz w:val="21"/>
                <w:szCs w:val="21"/>
              </w:rPr>
              <w:t>Regelverket for pasientreiser</w:t>
            </w:r>
          </w:p>
        </w:tc>
        <w:tc>
          <w:tcPr>
            <w:tcW w:w="2120" w:type="dxa"/>
            <w:tcBorders>
              <w:top w:val="nil"/>
              <w:left w:val="nil"/>
              <w:bottom w:val="nil"/>
              <w:right w:val="nil"/>
            </w:tcBorders>
            <w:tcMar>
              <w:top w:w="128" w:type="dxa"/>
              <w:left w:w="43" w:type="dxa"/>
              <w:bottom w:w="43" w:type="dxa"/>
              <w:right w:w="43" w:type="dxa"/>
            </w:tcMar>
            <w:vAlign w:val="bottom"/>
          </w:tcPr>
          <w:p w14:paraId="20CE8B0F" w14:textId="77777777" w:rsidR="00D60186" w:rsidRPr="00D4351A" w:rsidRDefault="00D60186" w:rsidP="00D4351A">
            <w:pPr>
              <w:jc w:val="right"/>
              <w:rPr>
                <w:sz w:val="21"/>
                <w:szCs w:val="21"/>
              </w:rPr>
            </w:pPr>
            <w:r w:rsidRPr="00D4351A">
              <w:rPr>
                <w:sz w:val="21"/>
                <w:szCs w:val="21"/>
              </w:rPr>
              <w:t>Ja</w:t>
            </w:r>
          </w:p>
        </w:tc>
      </w:tr>
      <w:tr w:rsidR="00E76DC8" w:rsidRPr="00225D4D" w14:paraId="67823331" w14:textId="77777777" w:rsidTr="00814879">
        <w:trPr>
          <w:trHeight w:val="20"/>
        </w:trPr>
        <w:tc>
          <w:tcPr>
            <w:tcW w:w="1140" w:type="dxa"/>
            <w:tcBorders>
              <w:top w:val="nil"/>
              <w:left w:val="nil"/>
              <w:bottom w:val="single" w:sz="4" w:space="0" w:color="000000"/>
              <w:right w:val="nil"/>
            </w:tcBorders>
            <w:tcMar>
              <w:top w:w="128" w:type="dxa"/>
              <w:left w:w="43" w:type="dxa"/>
              <w:bottom w:w="43" w:type="dxa"/>
              <w:right w:w="43" w:type="dxa"/>
            </w:tcMar>
          </w:tcPr>
          <w:p w14:paraId="1D094F1D" w14:textId="77777777" w:rsidR="00D60186" w:rsidRPr="00D4351A" w:rsidRDefault="00D60186" w:rsidP="00225D4D">
            <w:pPr>
              <w:rPr>
                <w:sz w:val="21"/>
                <w:szCs w:val="21"/>
              </w:rPr>
            </w:pPr>
            <w:r w:rsidRPr="00D4351A">
              <w:rPr>
                <w:sz w:val="21"/>
                <w:szCs w:val="21"/>
              </w:rPr>
              <w:t>2017–2018</w:t>
            </w:r>
          </w:p>
        </w:tc>
        <w:tc>
          <w:tcPr>
            <w:tcW w:w="1120" w:type="dxa"/>
            <w:tcBorders>
              <w:top w:val="nil"/>
              <w:left w:val="nil"/>
              <w:bottom w:val="single" w:sz="4" w:space="0" w:color="000000"/>
              <w:right w:val="nil"/>
            </w:tcBorders>
            <w:tcMar>
              <w:top w:w="128" w:type="dxa"/>
              <w:left w:w="43" w:type="dxa"/>
              <w:bottom w:w="43" w:type="dxa"/>
              <w:right w:w="43" w:type="dxa"/>
            </w:tcMar>
          </w:tcPr>
          <w:p w14:paraId="092CD857" w14:textId="77777777" w:rsidR="00D60186" w:rsidRPr="00D4351A" w:rsidRDefault="00D60186" w:rsidP="00D4351A">
            <w:pPr>
              <w:ind w:right="113"/>
              <w:jc w:val="right"/>
              <w:rPr>
                <w:sz w:val="21"/>
                <w:szCs w:val="21"/>
              </w:rPr>
            </w:pPr>
            <w:r w:rsidRPr="00D4351A">
              <w:rPr>
                <w:sz w:val="21"/>
                <w:szCs w:val="21"/>
              </w:rPr>
              <w:t>915</w:t>
            </w:r>
          </w:p>
        </w:tc>
        <w:tc>
          <w:tcPr>
            <w:tcW w:w="5220" w:type="dxa"/>
            <w:tcBorders>
              <w:top w:val="nil"/>
              <w:left w:val="nil"/>
              <w:bottom w:val="single" w:sz="4" w:space="0" w:color="000000"/>
              <w:right w:val="nil"/>
            </w:tcBorders>
            <w:tcMar>
              <w:top w:w="128" w:type="dxa"/>
              <w:left w:w="43" w:type="dxa"/>
              <w:bottom w:w="43" w:type="dxa"/>
              <w:right w:w="43" w:type="dxa"/>
            </w:tcMar>
          </w:tcPr>
          <w:p w14:paraId="18743C0D" w14:textId="77777777" w:rsidR="00D60186" w:rsidRPr="00D4351A" w:rsidRDefault="00D60186" w:rsidP="00225D4D">
            <w:pPr>
              <w:rPr>
                <w:sz w:val="21"/>
                <w:szCs w:val="21"/>
              </w:rPr>
            </w:pPr>
            <w:r w:rsidRPr="00D4351A">
              <w:rPr>
                <w:sz w:val="21"/>
                <w:szCs w:val="21"/>
              </w:rPr>
              <w:t>Tobakksskadeloven</w:t>
            </w:r>
          </w:p>
        </w:tc>
        <w:tc>
          <w:tcPr>
            <w:tcW w:w="2120" w:type="dxa"/>
            <w:tcBorders>
              <w:top w:val="nil"/>
              <w:left w:val="nil"/>
              <w:bottom w:val="single" w:sz="4" w:space="0" w:color="000000"/>
              <w:right w:val="nil"/>
            </w:tcBorders>
            <w:tcMar>
              <w:top w:w="128" w:type="dxa"/>
              <w:left w:w="43" w:type="dxa"/>
              <w:bottom w:w="43" w:type="dxa"/>
              <w:right w:w="43" w:type="dxa"/>
            </w:tcMar>
            <w:vAlign w:val="bottom"/>
          </w:tcPr>
          <w:p w14:paraId="3E308C46" w14:textId="77777777" w:rsidR="00D60186" w:rsidRPr="00D4351A" w:rsidRDefault="00D60186" w:rsidP="00D4351A">
            <w:pPr>
              <w:jc w:val="right"/>
              <w:rPr>
                <w:sz w:val="21"/>
                <w:szCs w:val="21"/>
              </w:rPr>
            </w:pPr>
            <w:r w:rsidRPr="00D4351A">
              <w:rPr>
                <w:sz w:val="21"/>
                <w:szCs w:val="21"/>
              </w:rPr>
              <w:t>Ja</w:t>
            </w:r>
          </w:p>
        </w:tc>
      </w:tr>
    </w:tbl>
    <w:p w14:paraId="661D5528" w14:textId="77777777" w:rsidR="00D60186" w:rsidRPr="00225D4D" w:rsidRDefault="00D60186" w:rsidP="00D4351A">
      <w:pPr>
        <w:pStyle w:val="Overskrift2"/>
        <w:numPr>
          <w:ilvl w:val="1"/>
          <w:numId w:val="33"/>
        </w:numPr>
      </w:pPr>
      <w:r w:rsidRPr="00225D4D">
        <w:t>Stortingssesjon (2024–2025)</w:t>
      </w:r>
    </w:p>
    <w:p w14:paraId="0E58D3C0" w14:textId="77777777" w:rsidR="00D60186" w:rsidRPr="00225D4D" w:rsidRDefault="00D60186" w:rsidP="00225D4D">
      <w:pPr>
        <w:pStyle w:val="avsnitt-tittel"/>
      </w:pPr>
      <w:r w:rsidRPr="00225D4D">
        <w:t>Psykisk helsetilbud i Longyearbyen</w:t>
      </w:r>
    </w:p>
    <w:p w14:paraId="00C015AA" w14:textId="77777777" w:rsidR="00D60186" w:rsidRPr="00225D4D" w:rsidRDefault="00D60186" w:rsidP="00225D4D">
      <w:pPr>
        <w:pStyle w:val="avsnitt-undertittel"/>
      </w:pPr>
      <w:r w:rsidRPr="00225D4D">
        <w:t>Vedtak nr. 46, 21. november 2024</w:t>
      </w:r>
    </w:p>
    <w:p w14:paraId="640BD4FA" w14:textId="77777777" w:rsidR="00D60186" w:rsidRPr="00225D4D" w:rsidRDefault="00D60186" w:rsidP="00225D4D">
      <w:pPr>
        <w:pStyle w:val="blokksit"/>
        <w:rPr>
          <w:rStyle w:val="kursiv"/>
        </w:rPr>
      </w:pPr>
      <w:r w:rsidRPr="00225D4D">
        <w:rPr>
          <w:rStyle w:val="kursiv"/>
        </w:rPr>
        <w:t>«Stortinget ber regjeringen utrede hvilke tiltak som kan innføres for å styrke det psykiske helsetilbudet i Longyearbyen.»</w:t>
      </w:r>
    </w:p>
    <w:p w14:paraId="34F659D5" w14:textId="77777777" w:rsidR="00D60186" w:rsidRPr="00225D4D" w:rsidRDefault="00D60186" w:rsidP="00225D4D">
      <w:r w:rsidRPr="00225D4D">
        <w:t xml:space="preserve">Vedtaket ble truffet i forbindelse med behandling av Meld. St. 26 (2023–2024) </w:t>
      </w:r>
      <w:r w:rsidRPr="00225D4D">
        <w:rPr>
          <w:rStyle w:val="kursiv"/>
        </w:rPr>
        <w:t>Svalbard</w:t>
      </w:r>
      <w:r w:rsidRPr="00225D4D">
        <w:t>.</w:t>
      </w:r>
    </w:p>
    <w:p w14:paraId="69E10B9B" w14:textId="77777777" w:rsidR="00D60186" w:rsidRPr="00225D4D" w:rsidRDefault="00D60186" w:rsidP="00225D4D">
      <w:r w:rsidRPr="00225D4D">
        <w:t>Det er Helse Nord RHF og Universitetssykehuset i Nord-Norge (UNN) som har ansvar for å vurdere stedlige forhold på Svalbard. Helse- og omsorgsdepartementet har gitt Helse Nord RHF i oppdrag i supplerende oppdragsdokument for 2025 å redegjøre for tilbudet til mennesker som oppholder seg på Svalbard og som har behov for psykisk helsehjelp, og om dette vurderes som tilstrekkelig opp mot registrerte behov for slik hjelp. Utredningen er satt i gang. Anmodningsvedtaket anses som fulgt opp.</w:t>
      </w:r>
    </w:p>
    <w:p w14:paraId="7987213B" w14:textId="77777777" w:rsidR="00D60186" w:rsidRPr="00225D4D" w:rsidRDefault="00D60186" w:rsidP="00225D4D">
      <w:pPr>
        <w:pStyle w:val="avsnitt-tittel"/>
      </w:pPr>
      <w:r w:rsidRPr="00225D4D">
        <w:t>Rett til veiledning og oppfølgingssamtaler knyttet til abort</w:t>
      </w:r>
    </w:p>
    <w:p w14:paraId="5012D22A" w14:textId="77777777" w:rsidR="00D60186" w:rsidRPr="00225D4D" w:rsidRDefault="00D60186" w:rsidP="00225D4D">
      <w:pPr>
        <w:pStyle w:val="avsnitt-undertittel"/>
      </w:pPr>
      <w:r w:rsidRPr="00225D4D">
        <w:t>Vedtak nr. 70, 3. desember 2024</w:t>
      </w:r>
    </w:p>
    <w:p w14:paraId="7D15674D" w14:textId="77777777" w:rsidR="00D60186" w:rsidRPr="00225D4D" w:rsidRDefault="00D60186" w:rsidP="00225D4D">
      <w:pPr>
        <w:pStyle w:val="blokksit"/>
        <w:rPr>
          <w:rStyle w:val="kursiv"/>
        </w:rPr>
      </w:pPr>
      <w:r w:rsidRPr="00225D4D">
        <w:rPr>
          <w:rStyle w:val="kursiv"/>
        </w:rPr>
        <w:t>«Stortinget ber regjeringen gjennomføre en evaluering av den lovfestede retten til veiledning og oppfølgingssamtaler etter at loven har fått virke i fire år.»</w:t>
      </w:r>
    </w:p>
    <w:p w14:paraId="3928F134" w14:textId="77777777" w:rsidR="00D60186" w:rsidRPr="00225D4D" w:rsidRDefault="00D60186" w:rsidP="00225D4D">
      <w:r w:rsidRPr="00225D4D">
        <w:t xml:space="preserve">Vedtaket ble truffet i forbindelse med behandlingen av </w:t>
      </w:r>
      <w:proofErr w:type="spellStart"/>
      <w:r w:rsidRPr="00225D4D">
        <w:t>Prop</w:t>
      </w:r>
      <w:proofErr w:type="spellEnd"/>
      <w:r w:rsidRPr="00225D4D">
        <w:t xml:space="preserve">. 117 L (2023–2024) </w:t>
      </w:r>
      <w:r w:rsidRPr="00225D4D">
        <w:rPr>
          <w:rStyle w:val="kursiv"/>
        </w:rPr>
        <w:t>Lov om abort</w:t>
      </w:r>
      <w:r w:rsidRPr="00225D4D">
        <w:t xml:space="preserve">, jf. </w:t>
      </w:r>
      <w:proofErr w:type="spellStart"/>
      <w:r w:rsidRPr="00225D4D">
        <w:t>Innst</w:t>
      </w:r>
      <w:proofErr w:type="spellEnd"/>
      <w:r w:rsidRPr="00225D4D">
        <w:t>. 60 L (2024–2025), Lovvedtak 10 (2024–2025). Regjeringen vil følge opp vedtaket om evaluering når loven har virket i fire år, dvs. i 2029. Regjeringen vil så komme tilbake til Stortinget på egnet måte.</w:t>
      </w:r>
    </w:p>
    <w:p w14:paraId="72BA3805" w14:textId="77777777" w:rsidR="00D60186" w:rsidRPr="00225D4D" w:rsidRDefault="00D60186" w:rsidP="00225D4D">
      <w:pPr>
        <w:pStyle w:val="avsnitt-tittel"/>
      </w:pPr>
      <w:r w:rsidRPr="00225D4D">
        <w:t>Oppfølging etter avslag på abortsøknad</w:t>
      </w:r>
    </w:p>
    <w:p w14:paraId="6D0419BD" w14:textId="77777777" w:rsidR="00D60186" w:rsidRPr="00225D4D" w:rsidRDefault="00D60186" w:rsidP="00225D4D">
      <w:pPr>
        <w:pStyle w:val="avsnitt-undertittel"/>
      </w:pPr>
      <w:r w:rsidRPr="00225D4D">
        <w:t>Vedtak nr. 71, 3. desember 2024</w:t>
      </w:r>
    </w:p>
    <w:p w14:paraId="515C66AA" w14:textId="77777777" w:rsidR="00D60186" w:rsidRPr="00225D4D" w:rsidRDefault="00D60186" w:rsidP="00225D4D">
      <w:pPr>
        <w:pStyle w:val="blokksit"/>
        <w:rPr>
          <w:rStyle w:val="kursiv"/>
        </w:rPr>
      </w:pPr>
      <w:r w:rsidRPr="00225D4D">
        <w:rPr>
          <w:rStyle w:val="kursiv"/>
        </w:rPr>
        <w:t>«Stortinget ber regjeringen sikre at kvinner som får avslag på sin abortsøknad i nemnd, får oppfølging.»</w:t>
      </w:r>
    </w:p>
    <w:p w14:paraId="60DB5D19" w14:textId="77777777" w:rsidR="00D60186" w:rsidRPr="00225D4D" w:rsidRDefault="00D60186" w:rsidP="00225D4D">
      <w:r w:rsidRPr="00225D4D">
        <w:t xml:space="preserve">Vedtaket ble truffet i forbindelse med behandlingen av </w:t>
      </w:r>
      <w:proofErr w:type="spellStart"/>
      <w:r w:rsidRPr="00225D4D">
        <w:t>Prop</w:t>
      </w:r>
      <w:proofErr w:type="spellEnd"/>
      <w:r w:rsidRPr="00225D4D">
        <w:t xml:space="preserve">. 117 L (2023–2024) </w:t>
      </w:r>
      <w:r w:rsidRPr="00225D4D">
        <w:rPr>
          <w:rStyle w:val="kursiv"/>
        </w:rPr>
        <w:t>Lov om abort</w:t>
      </w:r>
      <w:r w:rsidRPr="00225D4D">
        <w:t xml:space="preserve">, jf. </w:t>
      </w:r>
      <w:proofErr w:type="spellStart"/>
      <w:r w:rsidRPr="00225D4D">
        <w:t>Innst</w:t>
      </w:r>
      <w:proofErr w:type="spellEnd"/>
      <w:r w:rsidRPr="00225D4D">
        <w:t>. 60 L (2024–2025), Lovvedtak 10 (2024–2025).</w:t>
      </w:r>
    </w:p>
    <w:p w14:paraId="5A8F8403" w14:textId="77777777" w:rsidR="00D60186" w:rsidRPr="00225D4D" w:rsidRDefault="00D60186" w:rsidP="00225D4D">
      <w:r w:rsidRPr="00225D4D">
        <w:t>OUS (Oslo universitetssykehus) har en rolle i å koordinere møter og ha kontakt med kvinnen som skal søke til Nasjonal klagenemnd for abort. Klagenemnda er et forvaltningsorgan og ikke et helsetilbud. Nemnda informerer henvisende sykehus om avslaget. Nemnda kan gi informasjon om behov for oppfølging.</w:t>
      </w:r>
    </w:p>
    <w:p w14:paraId="4EC85190" w14:textId="77777777" w:rsidR="00D60186" w:rsidRPr="00225D4D" w:rsidRDefault="00D60186" w:rsidP="00225D4D">
      <w:r w:rsidRPr="00225D4D">
        <w:t xml:space="preserve">Henvisende sykehus kan gi støtte etter et avslag i klagenemnda, i likhet med kvinnens fastlege. Det er også mulig å henvise til </w:t>
      </w:r>
      <w:proofErr w:type="spellStart"/>
      <w:r w:rsidRPr="00225D4D">
        <w:t>Amathea</w:t>
      </w:r>
      <w:proofErr w:type="spellEnd"/>
      <w:r w:rsidRPr="00225D4D">
        <w:t xml:space="preserve">, som er en gratis, landsdekkende tjeneste. </w:t>
      </w:r>
      <w:proofErr w:type="spellStart"/>
      <w:r w:rsidRPr="00225D4D">
        <w:t>Amathea</w:t>
      </w:r>
      <w:proofErr w:type="spellEnd"/>
      <w:r w:rsidRPr="00225D4D">
        <w:t xml:space="preserve"> har lang erfaring med å støtte kvinner emosjonelt og praktisk i en abortsøknad og videre prosess, og være en støtteperson hvis kvinnen ønsker det i møte med nemnda. </w:t>
      </w:r>
      <w:proofErr w:type="spellStart"/>
      <w:r w:rsidRPr="00225D4D">
        <w:t>Amathea</w:t>
      </w:r>
      <w:proofErr w:type="spellEnd"/>
      <w:r w:rsidRPr="00225D4D">
        <w:t xml:space="preserve"> kan også gi råd og støtte etter avslag i klagenemnda. Anmodningsvedtaket anses som fulgt opp.</w:t>
      </w:r>
    </w:p>
    <w:p w14:paraId="75EDDF6B" w14:textId="77777777" w:rsidR="00D60186" w:rsidRPr="00225D4D" w:rsidRDefault="00D60186" w:rsidP="00225D4D">
      <w:pPr>
        <w:pStyle w:val="avsnitt-tittel"/>
      </w:pPr>
      <w:r w:rsidRPr="00225D4D">
        <w:t>Evaluering av abortnemnder</w:t>
      </w:r>
    </w:p>
    <w:p w14:paraId="41A11178" w14:textId="77777777" w:rsidR="00D60186" w:rsidRPr="00225D4D" w:rsidRDefault="00D60186" w:rsidP="00225D4D">
      <w:pPr>
        <w:pStyle w:val="avsnitt-undertittel"/>
      </w:pPr>
      <w:r w:rsidRPr="00225D4D">
        <w:t>Vedtak nr. 72, 3. desember 2024</w:t>
      </w:r>
    </w:p>
    <w:p w14:paraId="5B27FD56" w14:textId="77777777" w:rsidR="00D60186" w:rsidRPr="00225D4D" w:rsidRDefault="00D60186" w:rsidP="00225D4D">
      <w:pPr>
        <w:pStyle w:val="blokksit"/>
        <w:rPr>
          <w:rStyle w:val="kursiv"/>
        </w:rPr>
      </w:pPr>
      <w:r w:rsidRPr="00225D4D">
        <w:rPr>
          <w:rStyle w:val="kursiv"/>
        </w:rPr>
        <w:t>«Stortinget ber regjeringen gjennomføre en evaluering av abortnemndenes behandling av krav om abort og de gravides opplevelse av nemndbehandling etter at abortloven har fått virke i fire år.»</w:t>
      </w:r>
    </w:p>
    <w:p w14:paraId="282EB6CB" w14:textId="77777777" w:rsidR="00D60186" w:rsidRPr="00225D4D" w:rsidRDefault="00D60186" w:rsidP="00225D4D">
      <w:r w:rsidRPr="00225D4D">
        <w:t xml:space="preserve">Vedtaket ble truffet i forbindelse med behandlingen av </w:t>
      </w:r>
      <w:proofErr w:type="spellStart"/>
      <w:r w:rsidRPr="00225D4D">
        <w:t>Prop</w:t>
      </w:r>
      <w:proofErr w:type="spellEnd"/>
      <w:r w:rsidRPr="00225D4D">
        <w:t xml:space="preserve">. 117 L (2023–2024) </w:t>
      </w:r>
      <w:r w:rsidRPr="00225D4D">
        <w:rPr>
          <w:rStyle w:val="kursiv"/>
        </w:rPr>
        <w:t>Lov om abort</w:t>
      </w:r>
      <w:r w:rsidRPr="00225D4D">
        <w:t xml:space="preserve">, jf. </w:t>
      </w:r>
      <w:proofErr w:type="spellStart"/>
      <w:r w:rsidRPr="00225D4D">
        <w:t>Innst</w:t>
      </w:r>
      <w:proofErr w:type="spellEnd"/>
      <w:r w:rsidRPr="00225D4D">
        <w:t>. 60 L (2024–2025), Lovvedtak 10 (2024–2025).</w:t>
      </w:r>
    </w:p>
    <w:p w14:paraId="23274877" w14:textId="77777777" w:rsidR="00D60186" w:rsidRPr="00225D4D" w:rsidRDefault="00D60186" w:rsidP="00225D4D">
      <w:r w:rsidRPr="00225D4D">
        <w:t>Regjeringen vil følge opp vedtaket om evaluering av abortnemndene når loven har virket i fire år, dvs. i 2029. Regjeringen vil så komme tilbake til Stortinget på egnet måte.</w:t>
      </w:r>
    </w:p>
    <w:p w14:paraId="3513B1FB" w14:textId="77777777" w:rsidR="00D60186" w:rsidRPr="00225D4D" w:rsidRDefault="00D60186" w:rsidP="00225D4D">
      <w:pPr>
        <w:pStyle w:val="avsnitt-tittel"/>
      </w:pPr>
      <w:r w:rsidRPr="00225D4D">
        <w:t>Tannhelserettigheter for 27- og 28-åringer</w:t>
      </w:r>
    </w:p>
    <w:p w14:paraId="4F9FBF3A" w14:textId="77777777" w:rsidR="00D60186" w:rsidRPr="00225D4D" w:rsidRDefault="00D60186" w:rsidP="00225D4D">
      <w:pPr>
        <w:pStyle w:val="avsnitt-undertittel"/>
      </w:pPr>
      <w:r w:rsidRPr="00225D4D">
        <w:t>Vedtak nr. 82, 5. desember 2024</w:t>
      </w:r>
    </w:p>
    <w:p w14:paraId="3E77F421" w14:textId="77777777" w:rsidR="00D60186" w:rsidRPr="00225D4D" w:rsidRDefault="00D60186" w:rsidP="00225D4D">
      <w:pPr>
        <w:pStyle w:val="blokksit"/>
        <w:rPr>
          <w:rStyle w:val="kursiv"/>
        </w:rPr>
      </w:pPr>
      <w:r w:rsidRPr="00225D4D">
        <w:rPr>
          <w:rStyle w:val="kursiv"/>
        </w:rPr>
        <w:t>«Stortinget ber regjeringen i løpet av våren 2025 fremme nødvendig lovforslag som sikrer unge voksne på 27 og 28 år de samme tannhelserettighetene som unge voksne i alderen 21 til 24, med ikrafttredelse senest fra 1. juli 2025.»</w:t>
      </w:r>
    </w:p>
    <w:p w14:paraId="1ADD6A96" w14:textId="77777777" w:rsidR="00D60186" w:rsidRPr="00225D4D" w:rsidRDefault="00D60186" w:rsidP="00225D4D">
      <w:r w:rsidRPr="00225D4D">
        <w:t xml:space="preserve">Vedtaket ble truffet i forbindelse med behandling av </w:t>
      </w:r>
      <w:proofErr w:type="spellStart"/>
      <w:r w:rsidRPr="00225D4D">
        <w:t>Prop</w:t>
      </w:r>
      <w:proofErr w:type="spellEnd"/>
      <w:r w:rsidRPr="00225D4D">
        <w:t xml:space="preserve">. 1 S (2024–2025), jf. </w:t>
      </w:r>
      <w:proofErr w:type="spellStart"/>
      <w:r w:rsidRPr="00225D4D">
        <w:t>Innst</w:t>
      </w:r>
      <w:proofErr w:type="spellEnd"/>
      <w:r w:rsidRPr="00225D4D">
        <w:t>. 2 S (2024–2025).</w:t>
      </w:r>
    </w:p>
    <w:p w14:paraId="3B4EB2BE" w14:textId="77777777" w:rsidR="00D60186" w:rsidRPr="00225D4D" w:rsidRDefault="00D60186" w:rsidP="00225D4D">
      <w:r w:rsidRPr="00225D4D">
        <w:t xml:space="preserve">Regjeringen la frem forslag til endringer i tannhelsetjenesteloven, jf. </w:t>
      </w:r>
      <w:proofErr w:type="spellStart"/>
      <w:r w:rsidRPr="00225D4D">
        <w:t>Prop</w:t>
      </w:r>
      <w:proofErr w:type="spellEnd"/>
      <w:r w:rsidRPr="00225D4D">
        <w:t>. 124 L (2024–2025). I proposisjonen ble det foreslått endringer som gir personer i alderen 25 til og med 28 år rett til nødvendig tannhelsehjelp i den offentlige tannhelsetjenesten, med 25 pst. egenbetaling. Stortinget sluttet seg til forslaget og vedtok lovendringer som trådte i kraft 1. juli 2025. Anmodningsvedtaket anses som fulgt opp.</w:t>
      </w:r>
    </w:p>
    <w:p w14:paraId="552BE9FB" w14:textId="77777777" w:rsidR="00D60186" w:rsidRPr="00225D4D" w:rsidRDefault="00D60186" w:rsidP="00225D4D">
      <w:pPr>
        <w:pStyle w:val="avsnitt-tittel"/>
      </w:pPr>
      <w:r w:rsidRPr="00225D4D">
        <w:t>Definere «nødvendig tannregulering» for barn og unge</w:t>
      </w:r>
    </w:p>
    <w:p w14:paraId="10BC1C8D" w14:textId="77777777" w:rsidR="00D60186" w:rsidRPr="00225D4D" w:rsidRDefault="00D60186" w:rsidP="00225D4D">
      <w:pPr>
        <w:pStyle w:val="avsnitt-undertittel"/>
      </w:pPr>
      <w:r w:rsidRPr="00225D4D">
        <w:t>Vedtak nr. 83, 5. desember 2024</w:t>
      </w:r>
    </w:p>
    <w:p w14:paraId="1BA002F3" w14:textId="77777777" w:rsidR="00D60186" w:rsidRPr="00225D4D" w:rsidRDefault="00D60186" w:rsidP="00225D4D">
      <w:pPr>
        <w:pStyle w:val="blokksit"/>
        <w:rPr>
          <w:rStyle w:val="kursiv"/>
        </w:rPr>
      </w:pPr>
      <w:r w:rsidRPr="00225D4D">
        <w:rPr>
          <w:rStyle w:val="kursiv"/>
        </w:rPr>
        <w:t>«Stortinget ber regjeringen innen 1. februar 2025 starte arbeidet med å definere hva som skal regnes som «nødvendig tannregulering» for barn og unge. Definisjonen skal leveres til Stortinget senest innen statsbudsjettet for 2026.»</w:t>
      </w:r>
    </w:p>
    <w:p w14:paraId="649DE0D1" w14:textId="77777777" w:rsidR="00D60186" w:rsidRPr="00225D4D" w:rsidRDefault="00D60186" w:rsidP="00225D4D">
      <w:r w:rsidRPr="00225D4D">
        <w:t xml:space="preserve">Vedtaket ble truffet i forbindelse med behandling av </w:t>
      </w:r>
      <w:proofErr w:type="spellStart"/>
      <w:r w:rsidRPr="00225D4D">
        <w:t>Prop</w:t>
      </w:r>
      <w:proofErr w:type="spellEnd"/>
      <w:r w:rsidRPr="00225D4D">
        <w:t xml:space="preserve">. 1 S (2024–2025), jf. </w:t>
      </w:r>
      <w:proofErr w:type="spellStart"/>
      <w:r w:rsidRPr="00225D4D">
        <w:t>Innst</w:t>
      </w:r>
      <w:proofErr w:type="spellEnd"/>
      <w:r w:rsidRPr="00225D4D">
        <w:t>. 2 S (2024–2025).</w:t>
      </w:r>
    </w:p>
    <w:p w14:paraId="17C6A924" w14:textId="77777777" w:rsidR="00D60186" w:rsidRPr="00225D4D" w:rsidRDefault="00D60186" w:rsidP="00225D4D">
      <w:r w:rsidRPr="00225D4D">
        <w:t>Helsedirektoratet fikk i tildelingsbrev for 2025 i oppdrag å definere begrepet «nødvendig tannregulering», med frist 1. april 2026. Hovedformålet er å finne definisjoner som kan brukes til å gi nye eller utvidete rettigheter i tannhelsetjenesteloven. Direktoratet bes også om å gi nærmere retningslinjer for hvordan begrepet bør forstås og praktiseres i odontologisk praksis. Anmodningsvedtaket anses som fulgt opp.</w:t>
      </w:r>
    </w:p>
    <w:p w14:paraId="3B537D2E" w14:textId="77777777" w:rsidR="00D60186" w:rsidRPr="00225D4D" w:rsidRDefault="00D60186" w:rsidP="00225D4D">
      <w:pPr>
        <w:pStyle w:val="avsnitt-tittel"/>
      </w:pPr>
      <w:r w:rsidRPr="00225D4D">
        <w:t>Definere «nødvendige tannhelsetjenester»</w:t>
      </w:r>
    </w:p>
    <w:p w14:paraId="0CF622E8" w14:textId="77777777" w:rsidR="00D60186" w:rsidRPr="00225D4D" w:rsidRDefault="00D60186" w:rsidP="00225D4D">
      <w:pPr>
        <w:pStyle w:val="avsnitt-undertittel"/>
      </w:pPr>
      <w:r w:rsidRPr="00225D4D">
        <w:t>Vedtak nr. 84, 5. desember 2024</w:t>
      </w:r>
    </w:p>
    <w:p w14:paraId="59A5E5E9" w14:textId="77777777" w:rsidR="00D60186" w:rsidRPr="00225D4D" w:rsidRDefault="00D60186" w:rsidP="00225D4D">
      <w:pPr>
        <w:pStyle w:val="blokksit"/>
        <w:rPr>
          <w:rStyle w:val="kursiv"/>
        </w:rPr>
      </w:pPr>
      <w:r w:rsidRPr="00225D4D">
        <w:rPr>
          <w:rStyle w:val="kursiv"/>
        </w:rPr>
        <w:t>«Stortinget ber regjeringen innen 1. juni 2025 starte arbeidet med å definere hva som skal regnes som «nødvendige tannhelsetjenester». Definisjonen skal leveres til Stortinget senest innen 1. juni 2026.»</w:t>
      </w:r>
    </w:p>
    <w:p w14:paraId="4C720E5C" w14:textId="77777777" w:rsidR="00D60186" w:rsidRPr="00225D4D" w:rsidRDefault="00D60186" w:rsidP="00225D4D">
      <w:r w:rsidRPr="00225D4D">
        <w:t xml:space="preserve">Vedtaket ble truffet i forbindelse med behandling av </w:t>
      </w:r>
      <w:proofErr w:type="spellStart"/>
      <w:r w:rsidRPr="00225D4D">
        <w:t>Prop</w:t>
      </w:r>
      <w:proofErr w:type="spellEnd"/>
      <w:r w:rsidRPr="00225D4D">
        <w:t xml:space="preserve">. 1 S (2024–2025), jf. </w:t>
      </w:r>
      <w:proofErr w:type="spellStart"/>
      <w:r w:rsidRPr="00225D4D">
        <w:t>Innst</w:t>
      </w:r>
      <w:proofErr w:type="spellEnd"/>
      <w:r w:rsidRPr="00225D4D">
        <w:t>. 2 S (2024–2025).</w:t>
      </w:r>
    </w:p>
    <w:p w14:paraId="4E9DBCC8" w14:textId="77777777" w:rsidR="00D60186" w:rsidRPr="00225D4D" w:rsidRDefault="00D60186" w:rsidP="00225D4D">
      <w:r w:rsidRPr="00225D4D">
        <w:t>Helsedirektoratet fikk i tildelingsbrev for 2025 i oppdrag å definere begrepene «nødvendige tannhelsetjenester/nødvendig tannhelsehjelp» med frist 1. april 2026. Hovedformålet er å finne definisjoner som kan brukes til å gi nye eller utvidete rettigheter i tannhelsetjenesteloven. Direktoratet bes også om å gi nærmere retningslinjer for hvordan begrepene bør forstås og praktiseres i odontologisk praksis. Anmodningsvedtaket anses som fulgt opp.</w:t>
      </w:r>
    </w:p>
    <w:p w14:paraId="14602AF0" w14:textId="77777777" w:rsidR="00D60186" w:rsidRPr="00225D4D" w:rsidRDefault="00D60186" w:rsidP="00225D4D">
      <w:pPr>
        <w:pStyle w:val="avsnitt-tittel"/>
      </w:pPr>
      <w:r w:rsidRPr="00225D4D">
        <w:t>Utvalg – Personer med innvandrer- eller minoritetsbakgrunn sin tilgang og bruk av helsetjenester</w:t>
      </w:r>
    </w:p>
    <w:p w14:paraId="485BEA57" w14:textId="77777777" w:rsidR="00D60186" w:rsidRPr="00225D4D" w:rsidRDefault="00D60186" w:rsidP="00225D4D">
      <w:pPr>
        <w:pStyle w:val="avsnitt-undertittel"/>
      </w:pPr>
      <w:r w:rsidRPr="00225D4D">
        <w:t>Vedtak nr. 85, 5. desember 2024</w:t>
      </w:r>
    </w:p>
    <w:p w14:paraId="0939EB71" w14:textId="77777777" w:rsidR="00D60186" w:rsidRPr="00225D4D" w:rsidRDefault="00D60186" w:rsidP="00225D4D">
      <w:pPr>
        <w:pStyle w:val="blokksit"/>
        <w:rPr>
          <w:rStyle w:val="kursiv"/>
        </w:rPr>
      </w:pPr>
      <w:r w:rsidRPr="00225D4D">
        <w:rPr>
          <w:rStyle w:val="kursiv"/>
        </w:rPr>
        <w:t>«Stortinget ber regjeringen sette ned et utvalg som skal se på personer med innvandrer- eller minoritetsbakgrunn sin tilgang og bruk av helsetjenester, for å få mer innsikt i hvordan ulike barrierer og sosial klasse påvirker mulighetene for helsehjelp og arbeidsinkludering.»</w:t>
      </w:r>
    </w:p>
    <w:p w14:paraId="0E0A0DBE" w14:textId="77777777" w:rsidR="00D60186" w:rsidRPr="00225D4D" w:rsidRDefault="00D60186" w:rsidP="00225D4D">
      <w:r w:rsidRPr="00225D4D">
        <w:t xml:space="preserve">Vedtaket ble truffet i forbindelse med behandling av statsbudsjettet for 2025, jf. </w:t>
      </w:r>
      <w:proofErr w:type="spellStart"/>
      <w:r w:rsidRPr="00225D4D">
        <w:t>Innst</w:t>
      </w:r>
      <w:proofErr w:type="spellEnd"/>
      <w:r w:rsidRPr="00225D4D">
        <w:t>. 2 S (2024–2025). Regjeringen har besluttet å sette ned et offentlig utvalg om innvandrerhelse. Det tas sikte på at utvalget kan settes ned i løpet av høsten 2025 og at utvalget kan starte sitt arbeid fra vinteren 2026. Anmodningsvedtaket anses som fulgt opp.</w:t>
      </w:r>
    </w:p>
    <w:p w14:paraId="32BDF4A3" w14:textId="77777777" w:rsidR="00D60186" w:rsidRPr="00225D4D" w:rsidRDefault="00D60186" w:rsidP="00225D4D">
      <w:pPr>
        <w:pStyle w:val="avsnitt-tittel"/>
      </w:pPr>
      <w:r w:rsidRPr="00225D4D">
        <w:t>Utredning av utvidet salg av alkohol hos alkoholprodusenter</w:t>
      </w:r>
    </w:p>
    <w:p w14:paraId="3C5ED70C" w14:textId="77777777" w:rsidR="00D60186" w:rsidRPr="00225D4D" w:rsidRDefault="00D60186" w:rsidP="00225D4D">
      <w:pPr>
        <w:pStyle w:val="avsnitt-undertittel"/>
      </w:pPr>
      <w:r w:rsidRPr="00225D4D">
        <w:t>Vedtak nr. 111, 12. desember 2024</w:t>
      </w:r>
    </w:p>
    <w:p w14:paraId="1D6CCC4A" w14:textId="77777777" w:rsidR="00D60186" w:rsidRPr="00225D4D" w:rsidRDefault="00D60186" w:rsidP="00225D4D">
      <w:pPr>
        <w:pStyle w:val="blokksit"/>
        <w:rPr>
          <w:rStyle w:val="kursiv"/>
        </w:rPr>
      </w:pPr>
      <w:r w:rsidRPr="00225D4D">
        <w:rPr>
          <w:rStyle w:val="kursiv"/>
        </w:rPr>
        <w:t>«Stortinget ber regjeringen om å gjennomføre en utredning for å avklare handlingsrommet for utvidede salgsmuligheter for alkoholprodusenter for øl, sterkøl, vin og brennevin. Dette inkluderer gårdssalg, bryggeriutsalg og utredning av forbedringer i Taxfreeordningen. Utredningen skal ta utgangspunkt i at det er en forutsetning at Vinmonopolet består i sin nåværende form.»</w:t>
      </w:r>
    </w:p>
    <w:p w14:paraId="71E6000E" w14:textId="77777777" w:rsidR="00D60186" w:rsidRPr="00225D4D" w:rsidRDefault="00D60186" w:rsidP="00225D4D">
      <w:r w:rsidRPr="00225D4D">
        <w:t xml:space="preserve">Vedtaket ble truffet i forbindelse med behandling av Dokument 8:175 S (2023–2024), jf. </w:t>
      </w:r>
      <w:proofErr w:type="spellStart"/>
      <w:r w:rsidRPr="00225D4D">
        <w:t>Innst</w:t>
      </w:r>
      <w:proofErr w:type="spellEnd"/>
      <w:r w:rsidRPr="00225D4D">
        <w:t>. 65 S (2024–2025). Våren 2025 ble det inngått avtale med ekstern utreder om å gjennomføre en juridisk utredning av det EØS-rettslige handlingsrommet for salg av alkoholholdige produkter utenom Vinmonopolet. Den juridiske utredningen er ferdigstilt og overlevert departementet. Departementet vil vurdere utredningen for videre oppfølging. Anmodningsvedtaket anses som fulgt opp.</w:t>
      </w:r>
    </w:p>
    <w:p w14:paraId="1F9D1CBD" w14:textId="77777777" w:rsidR="00D60186" w:rsidRPr="00225D4D" w:rsidRDefault="00D60186" w:rsidP="00225D4D">
      <w:pPr>
        <w:pStyle w:val="avsnitt-tittel"/>
      </w:pPr>
      <w:r w:rsidRPr="00225D4D">
        <w:t>Analyse av fordeler og ulemper ved Helseplattformen</w:t>
      </w:r>
    </w:p>
    <w:p w14:paraId="696437AE" w14:textId="77777777" w:rsidR="00D60186" w:rsidRPr="00225D4D" w:rsidRDefault="00D60186" w:rsidP="00225D4D">
      <w:pPr>
        <w:pStyle w:val="avsnitt-undertittel"/>
      </w:pPr>
      <w:r w:rsidRPr="00225D4D">
        <w:t>Vedtak nr. 468, 18. februar 2025</w:t>
      </w:r>
    </w:p>
    <w:p w14:paraId="44B8F0D1" w14:textId="77777777" w:rsidR="00D60186" w:rsidRPr="00225D4D" w:rsidRDefault="00D60186" w:rsidP="00225D4D">
      <w:pPr>
        <w:pStyle w:val="blokksit"/>
        <w:rPr>
          <w:rStyle w:val="kursiv"/>
        </w:rPr>
      </w:pPr>
      <w:r w:rsidRPr="00225D4D">
        <w:rPr>
          <w:rStyle w:val="kursiv"/>
        </w:rPr>
        <w:t>«Stortinget ber regjeringen sørge for åpne og uavhengige økonomiske, samfunnsmessige, kvalitetsmessige og juridiske analyser av fordeler og ulemper for sykehus, kommuner, fastleger og pasienter ved journal- og samhandlingsløsningen Helseplattformen. Analysene må se hen til alternativer med videreføring og forbedring eller løsninger basert på eksisterende alternativer i markedet.</w:t>
      </w:r>
    </w:p>
    <w:p w14:paraId="05FB5D44" w14:textId="77777777" w:rsidR="00D60186" w:rsidRPr="00225D4D" w:rsidRDefault="00D60186" w:rsidP="00225D4D">
      <w:pPr>
        <w:pStyle w:val="blokksit"/>
        <w:rPr>
          <w:rStyle w:val="kursiv"/>
        </w:rPr>
      </w:pPr>
      <w:r w:rsidRPr="00225D4D">
        <w:rPr>
          <w:rStyle w:val="kursiv"/>
        </w:rPr>
        <w:t>Stortinget orienteres senest i forbindelse med behandlingen av statsbudsjettet for 2026.»</w:t>
      </w:r>
    </w:p>
    <w:p w14:paraId="1735BD4B" w14:textId="77777777" w:rsidR="00D60186" w:rsidRPr="00225D4D" w:rsidRDefault="00D60186" w:rsidP="00225D4D">
      <w:r w:rsidRPr="00225D4D">
        <w:t xml:space="preserve">Vedtaket ble truffet i forbindelse med behandlingen av Dokument 8:17 S (2024–2025), jf. </w:t>
      </w:r>
      <w:proofErr w:type="spellStart"/>
      <w:r w:rsidRPr="00225D4D">
        <w:t>Innst</w:t>
      </w:r>
      <w:proofErr w:type="spellEnd"/>
      <w:r w:rsidRPr="00225D4D">
        <w:t>. 134 S (2024–2025). Helseplattformen er en ny journal- og samhandlingsløsning for kommuner og spesialisthelsetjeneste i Midt-Norge som er innført fra 2022. Helse- og omsorgsdepartementet har inngått avtale med et eksternt analyseselskap om å gjennomføre en analyse. Formålet med analysen er å utarbeide et faktabasert kunnskapsgrunnlag. Regjeringen vil komme tilbake til Stortinget om resultatene fra analysen. Anmodningsvedtaket anses som fulgt opp.</w:t>
      </w:r>
    </w:p>
    <w:p w14:paraId="03AB9395" w14:textId="77777777" w:rsidR="00D60186" w:rsidRPr="00225D4D" w:rsidRDefault="00D60186" w:rsidP="00225D4D">
      <w:pPr>
        <w:pStyle w:val="avsnitt-tittel"/>
      </w:pPr>
      <w:r w:rsidRPr="00225D4D">
        <w:t>Plan for oppfølging av Dokument 3:3 (2024–2025)</w:t>
      </w:r>
    </w:p>
    <w:p w14:paraId="68496A7B" w14:textId="77777777" w:rsidR="00D60186" w:rsidRPr="00225D4D" w:rsidRDefault="00D60186" w:rsidP="00225D4D">
      <w:pPr>
        <w:pStyle w:val="avsnitt-undertittel"/>
      </w:pPr>
      <w:r w:rsidRPr="00225D4D">
        <w:t>Vedtak nr. 469, 18. februar 2025</w:t>
      </w:r>
    </w:p>
    <w:p w14:paraId="6386E917" w14:textId="77777777" w:rsidR="00D60186" w:rsidRPr="00225D4D" w:rsidRDefault="00D60186" w:rsidP="00225D4D">
      <w:pPr>
        <w:pStyle w:val="blokksit"/>
        <w:rPr>
          <w:rStyle w:val="kursiv"/>
        </w:rPr>
      </w:pPr>
      <w:r w:rsidRPr="00225D4D">
        <w:rPr>
          <w:rStyle w:val="kursiv"/>
        </w:rPr>
        <w:t>«Stortinget ber regjeringen holde Stortinget orientert om regjeringens plan for hvordan den skal følge opp Riksrevisjonens anbefalinger fra Dokument 3:3 (2024–2025).»</w:t>
      </w:r>
    </w:p>
    <w:p w14:paraId="49A91396" w14:textId="77777777" w:rsidR="00D60186" w:rsidRPr="00225D4D" w:rsidRDefault="00D60186" w:rsidP="00225D4D">
      <w:r w:rsidRPr="00225D4D">
        <w:t xml:space="preserve">Vedtaket ble truffet i forbindelse med behandlingen av Dokument 8:17 S (2024–2025), jf. </w:t>
      </w:r>
      <w:proofErr w:type="spellStart"/>
      <w:r w:rsidRPr="00225D4D">
        <w:t>Innst</w:t>
      </w:r>
      <w:proofErr w:type="spellEnd"/>
      <w:r w:rsidRPr="00225D4D">
        <w:t>. 134 S (2024–2025). Helse- og omsorgsdepartementet har fulgt opp anmodningsvedtaket i oppdragsdokumentet til Helse Midt-Norge RHF for 2025. Helse Midt-Norge RHF har fått i oppdrag å følge opp Riksrevisjonens hovedfunn, vurderinger og anbefalinger. Helsedirektoratet har tildelingsbrevet for 2024 og 2025 fått i oppdrag å innhente og dele læringspunkter fra Helseplattformen, og i arbeidet se hen til Riksrevisjonens undersøkelse av Helseplattformen. Helsedirektoratet har identifisert og kategorisert læringspunkter og drøftet disse i dialog med Helseplattformen. Anmodningsvedtaket anses som fulgt opp.</w:t>
      </w:r>
    </w:p>
    <w:p w14:paraId="76614179" w14:textId="77777777" w:rsidR="00D60186" w:rsidRPr="00225D4D" w:rsidRDefault="00D60186" w:rsidP="00225D4D">
      <w:pPr>
        <w:pStyle w:val="avsnitt-tittel"/>
      </w:pPr>
      <w:r w:rsidRPr="00225D4D">
        <w:t>Oppfølging av personer med ubehandlet hepatitt C</w:t>
      </w:r>
    </w:p>
    <w:p w14:paraId="0C19B2F3" w14:textId="77777777" w:rsidR="00D60186" w:rsidRPr="00225D4D" w:rsidRDefault="00D60186" w:rsidP="00225D4D">
      <w:pPr>
        <w:pStyle w:val="avsnitt-undertittel"/>
      </w:pPr>
      <w:r w:rsidRPr="00225D4D">
        <w:t>Vedtak nr. 501, 18. mars 2025</w:t>
      </w:r>
    </w:p>
    <w:p w14:paraId="50F2CEA5" w14:textId="77777777" w:rsidR="00D60186" w:rsidRPr="00225D4D" w:rsidRDefault="00D60186" w:rsidP="00225D4D">
      <w:pPr>
        <w:pStyle w:val="blokksit"/>
        <w:rPr>
          <w:rStyle w:val="kursiv"/>
        </w:rPr>
      </w:pPr>
      <w:r w:rsidRPr="00225D4D">
        <w:rPr>
          <w:rStyle w:val="kursiv"/>
        </w:rPr>
        <w:t>«Stortinget ber regjeringen sørge for at Folkehelseinstituttet, Helsedirektoratet, de regionale helseforetakene og helseforetakene utnytter mulighetsrommet for å identifisere personer med ubehandlet kronisk hepatitt C, slik at de får tilgang til behandling og smittefaren reduseres.»</w:t>
      </w:r>
    </w:p>
    <w:p w14:paraId="0DEE7CE4" w14:textId="77777777" w:rsidR="00D60186" w:rsidRPr="00225D4D" w:rsidRDefault="00D60186" w:rsidP="00225D4D">
      <w:r w:rsidRPr="00225D4D">
        <w:t xml:space="preserve">Vedtaket ble truffet i forbindelse med stortingsbehandling av Meld. St. 5 (2024–2025) om forebyggings- og behandlingsreformen for rusfeltet Del I, jf. </w:t>
      </w:r>
      <w:proofErr w:type="spellStart"/>
      <w:r w:rsidRPr="00225D4D">
        <w:t>Innst</w:t>
      </w:r>
      <w:proofErr w:type="spellEnd"/>
      <w:r w:rsidRPr="00225D4D">
        <w:t>. 155 S (2024–2025). Norge har gjort betydelige fremskritt i arbeidet med å eliminere hepatitt C i befolkningen, særlig etter at det fra 2018 ble mulig å tilby gratis behandling til alle diagnostiserte personer, uavhengig av sykdommens alvorlighetsgrad. Tall viser at mellom 80 og 90 pst. av dem som påbegynte behandling, fullførte hele behandlingsforløpet.</w:t>
      </w:r>
    </w:p>
    <w:p w14:paraId="1139EE5A" w14:textId="77777777" w:rsidR="00D60186" w:rsidRPr="00225D4D" w:rsidRDefault="00D60186" w:rsidP="00225D4D">
      <w:r w:rsidRPr="00225D4D">
        <w:t>I Meld. St. 5 (2024–2025) uttalte regjeringen at den vil vurdere nærmere hvordan personer med tidligere diagnostisert, men ubehandlet hepatitt C kan tilbys behandling. Formålet med dette er å utrede om det finnes tiltak som både er effektive og samfunnsøkonomisk forsvarlige, uten at det går på bekostning av andre prioriterte oppgaver.</w:t>
      </w:r>
    </w:p>
    <w:p w14:paraId="7679BD05" w14:textId="77777777" w:rsidR="00D60186" w:rsidRPr="00225D4D" w:rsidRDefault="00D60186" w:rsidP="00225D4D">
      <w:r w:rsidRPr="00225D4D">
        <w:t>Helse- og omsorgsdepartementet har bedt Folkehelseinstituttet og Helsedirektoratet, i samarbeid med den nasjonale referansegruppen, om å revidere den nasjonale strategien for hepatitt. Som en del av dette arbeidet skal helsemyndighetene evaluere og vurdere mulighetsrommet for å identifisere personer med behov for behandling for kronisk hepatitt C som ennå ikke har fått et behandlingstilbud. Anmodningsvedtaket anses som fulgt opp.</w:t>
      </w:r>
    </w:p>
    <w:p w14:paraId="37557036" w14:textId="77777777" w:rsidR="00D60186" w:rsidRPr="00225D4D" w:rsidRDefault="00D60186" w:rsidP="00225D4D">
      <w:pPr>
        <w:pStyle w:val="avsnitt-tittel"/>
      </w:pPr>
      <w:r w:rsidRPr="00225D4D">
        <w:t xml:space="preserve">Gjøre </w:t>
      </w:r>
      <w:proofErr w:type="spellStart"/>
      <w:r w:rsidRPr="00225D4D">
        <w:t>nalokson</w:t>
      </w:r>
      <w:proofErr w:type="spellEnd"/>
      <w:r w:rsidRPr="00225D4D">
        <w:t xml:space="preserve"> tilgjengelig via apotek</w:t>
      </w:r>
    </w:p>
    <w:p w14:paraId="63BEAA25" w14:textId="77777777" w:rsidR="00D60186" w:rsidRPr="00225D4D" w:rsidRDefault="00D60186" w:rsidP="00225D4D">
      <w:pPr>
        <w:pStyle w:val="avsnitt-undertittel"/>
      </w:pPr>
      <w:r w:rsidRPr="00225D4D">
        <w:t>Vedtak nr. 502, 18. mars 2025</w:t>
      </w:r>
    </w:p>
    <w:p w14:paraId="2492482D" w14:textId="77777777" w:rsidR="00D60186" w:rsidRPr="00225D4D" w:rsidRDefault="00D60186" w:rsidP="00225D4D">
      <w:pPr>
        <w:pStyle w:val="blokksit"/>
        <w:rPr>
          <w:rStyle w:val="kursiv"/>
        </w:rPr>
      </w:pPr>
      <w:r w:rsidRPr="00225D4D">
        <w:rPr>
          <w:rStyle w:val="kursiv"/>
        </w:rPr>
        <w:t xml:space="preserve">«Stortinget ber regjeringen komme tilbake til Stortinget med en sak om hvordan apotekene bedre kan benyttes for å gjøre </w:t>
      </w:r>
      <w:proofErr w:type="spellStart"/>
      <w:r w:rsidRPr="00225D4D">
        <w:rPr>
          <w:rStyle w:val="kursiv"/>
        </w:rPr>
        <w:t>nalokson</w:t>
      </w:r>
      <w:proofErr w:type="spellEnd"/>
      <w:r w:rsidRPr="00225D4D">
        <w:rPr>
          <w:rStyle w:val="kursiv"/>
        </w:rPr>
        <w:t xml:space="preserve"> mer tilgjengelig for personer med risiko for opioidoverdose i hele landet.»</w:t>
      </w:r>
    </w:p>
    <w:p w14:paraId="1AE7AE0E" w14:textId="77777777" w:rsidR="00D60186" w:rsidRPr="00225D4D" w:rsidRDefault="00D60186" w:rsidP="00225D4D">
      <w:r w:rsidRPr="00225D4D">
        <w:t xml:space="preserve">Vedtaket ble truffet ved behandling av Meld. St. 5 (2024–2025) </w:t>
      </w:r>
      <w:r w:rsidRPr="00225D4D">
        <w:rPr>
          <w:rStyle w:val="kursiv"/>
        </w:rPr>
        <w:t>Trygghet, fellesskap og verdighet</w:t>
      </w:r>
      <w:r w:rsidRPr="00225D4D">
        <w:t xml:space="preserve">, jf. </w:t>
      </w:r>
      <w:proofErr w:type="spellStart"/>
      <w:r w:rsidRPr="00225D4D">
        <w:t>Innst</w:t>
      </w:r>
      <w:proofErr w:type="spellEnd"/>
      <w:r w:rsidRPr="00225D4D">
        <w:t xml:space="preserve">. 155 S (2024–2025). Det finnes to nesesprayprodukter med </w:t>
      </w:r>
      <w:proofErr w:type="spellStart"/>
      <w:r w:rsidRPr="00225D4D">
        <w:t>nalokson</w:t>
      </w:r>
      <w:proofErr w:type="spellEnd"/>
      <w:r w:rsidRPr="00225D4D">
        <w:t xml:space="preserve">. Fra 15. januar 2025 kan begge disse rekvireres av lege på blå resept, og fra 20. mars 2025 uten egenandel, til pasienter som har behov for tilgang til akuttbehandling ved kjent eller mistenkt opioidoverdose. </w:t>
      </w:r>
      <w:proofErr w:type="spellStart"/>
      <w:r w:rsidRPr="00225D4D">
        <w:t>Nalokson</w:t>
      </w:r>
      <w:proofErr w:type="spellEnd"/>
      <w:r w:rsidRPr="00225D4D">
        <w:t xml:space="preserve"> på blå resept kan utleveres i alle landets apotek. Fra 1. juli 2025 er det ene produktet omklassifisert fra reseptpliktig legemiddel til reseptfritt legemiddel, og kan kjøpes reseptfritt i apotek etter at apotekpersonell har gjennomgått obligatorisk veiledning for å sikre at kunden blir informert om riktig bruk av legemiddelet. Helsedirektoratet er gitt i oppdrag med frist 31. desember 2025 å utrede en ny innretning for utdeling av </w:t>
      </w:r>
      <w:proofErr w:type="spellStart"/>
      <w:r w:rsidRPr="00225D4D">
        <w:t>nalokson</w:t>
      </w:r>
      <w:proofErr w:type="spellEnd"/>
      <w:r w:rsidRPr="00225D4D">
        <w:t xml:space="preserve"> og understøttende finansieringsordninger, herunder vurdere behovet for videreføring og innretning av </w:t>
      </w:r>
      <w:proofErr w:type="spellStart"/>
      <w:r w:rsidRPr="00225D4D">
        <w:t>Naloksonprosjektet</w:t>
      </w:r>
      <w:proofErr w:type="spellEnd"/>
      <w:r w:rsidRPr="00225D4D">
        <w:t xml:space="preserve"> som en permanent ordning, for å nå relevante pasienter, brukere, pårørende og aktører. Det innebærer også en vurdering av om og hvordan flere aktører enn i dag kan inngå i en ny innretning. Regjeringen vil komme tilbake til Stortinget på egnet måte.</w:t>
      </w:r>
    </w:p>
    <w:p w14:paraId="450D2268" w14:textId="77777777" w:rsidR="00D60186" w:rsidRPr="00225D4D" w:rsidRDefault="00D60186" w:rsidP="00225D4D">
      <w:pPr>
        <w:pStyle w:val="avsnitt-tittel"/>
      </w:pPr>
      <w:r w:rsidRPr="00225D4D">
        <w:t>Rett til refusjon av reiseutgifter for barn som er pårørende</w:t>
      </w:r>
    </w:p>
    <w:p w14:paraId="23EDC906" w14:textId="77777777" w:rsidR="00D60186" w:rsidRPr="00225D4D" w:rsidRDefault="00D60186" w:rsidP="00225D4D">
      <w:pPr>
        <w:pStyle w:val="avsnitt-undertittel"/>
      </w:pPr>
      <w:r w:rsidRPr="00225D4D">
        <w:t>Vedtak nr. 503, 18. mars 2025</w:t>
      </w:r>
    </w:p>
    <w:p w14:paraId="7445AB77" w14:textId="77777777" w:rsidR="00D60186" w:rsidRPr="00225D4D" w:rsidRDefault="00D60186" w:rsidP="00225D4D">
      <w:pPr>
        <w:pStyle w:val="blokksit"/>
        <w:rPr>
          <w:rStyle w:val="kursiv"/>
        </w:rPr>
      </w:pPr>
      <w:r w:rsidRPr="00225D4D">
        <w:rPr>
          <w:rStyle w:val="kursiv"/>
        </w:rPr>
        <w:t>«Stortinget ber regjeringen forskriftsfeste rett til refusjon av reiseutgifter for barn som er pårørende, på lik linje med dekning av reiseutgifter for barn av pasienter med livstruende sykdom, som en del av en helhetlig og effektiv finansiering av familiearbeid.»</w:t>
      </w:r>
    </w:p>
    <w:p w14:paraId="2FCFEE97" w14:textId="77777777" w:rsidR="00D60186" w:rsidRPr="00225D4D" w:rsidRDefault="00D60186" w:rsidP="00225D4D">
      <w:r w:rsidRPr="00225D4D">
        <w:t xml:space="preserve">Vedtaket ble truffet i forbindelse med stortingsbehandlingen av Meld. St. 5 (2024–2025) om forebyggings- og behandlingsreformen for rusfeltet Del I, jf. </w:t>
      </w:r>
      <w:proofErr w:type="spellStart"/>
      <w:r w:rsidRPr="00225D4D">
        <w:t>Innst</w:t>
      </w:r>
      <w:proofErr w:type="spellEnd"/>
      <w:r w:rsidRPr="00225D4D">
        <w:t>. 155 S (2024–2025). Oppfølging av vedtaket er påbegynt, men økonomiske og administrative konsekvenser må utredes. Regjeringen vil komme tilbake til Stortinget på egnet måte.</w:t>
      </w:r>
    </w:p>
    <w:p w14:paraId="5700E228" w14:textId="77777777" w:rsidR="00D60186" w:rsidRPr="00225D4D" w:rsidRDefault="00D60186" w:rsidP="00225D4D">
      <w:pPr>
        <w:pStyle w:val="avsnitt-tittel"/>
      </w:pPr>
      <w:r w:rsidRPr="00225D4D">
        <w:t>Styrke innsatsen overfor mennesker med ROP-lidelser</w:t>
      </w:r>
    </w:p>
    <w:p w14:paraId="57F1076D" w14:textId="77777777" w:rsidR="00D60186" w:rsidRPr="00225D4D" w:rsidRDefault="00D60186" w:rsidP="00225D4D">
      <w:pPr>
        <w:pStyle w:val="avsnitt-undertittel"/>
      </w:pPr>
      <w:r w:rsidRPr="00225D4D">
        <w:t>Vedtak nr. 504, 18. mars 2025</w:t>
      </w:r>
    </w:p>
    <w:p w14:paraId="54B6B3D8" w14:textId="77777777" w:rsidR="00D60186" w:rsidRPr="00225D4D" w:rsidRDefault="00D60186" w:rsidP="00225D4D">
      <w:pPr>
        <w:pStyle w:val="blokksit"/>
        <w:rPr>
          <w:rStyle w:val="kursiv"/>
        </w:rPr>
      </w:pPr>
      <w:r w:rsidRPr="00225D4D">
        <w:rPr>
          <w:rStyle w:val="kursiv"/>
        </w:rPr>
        <w:t>«Stortinget ber regjeringen styrke innsatsen overfor mennesker med ROP-lidelser ved å etablere tverrfaglige behandlingsplasser for denne gruppen i alle helseregioner.»</w:t>
      </w:r>
    </w:p>
    <w:p w14:paraId="001E37BF" w14:textId="77777777" w:rsidR="00D60186" w:rsidRPr="00225D4D" w:rsidRDefault="00D60186" w:rsidP="00225D4D">
      <w:r w:rsidRPr="00225D4D">
        <w:t xml:space="preserve">Vedtaket ble truffet ved behandling av Meld. St. 5 (2024–2025) </w:t>
      </w:r>
      <w:r w:rsidRPr="00225D4D">
        <w:rPr>
          <w:rStyle w:val="kursiv"/>
        </w:rPr>
        <w:t>Trygghet, fellesskap og verdighet</w:t>
      </w:r>
      <w:r w:rsidRPr="00225D4D">
        <w:t xml:space="preserve">, jf. </w:t>
      </w:r>
      <w:proofErr w:type="spellStart"/>
      <w:r w:rsidRPr="00225D4D">
        <w:t>Innst</w:t>
      </w:r>
      <w:proofErr w:type="spellEnd"/>
      <w:r w:rsidRPr="00225D4D">
        <w:t xml:space="preserve">. 155 S (2024–2025). Helse- og omsorgsdepartementet har gitt de regionale helseforetakene i oppdrag å styrke innsatsen overfor mennesker med ROP-lidelser i supplerende oppdragsdokument 2025. Det er vist til anmodningsvedtaket og presisert at det skal være tverrfaglige behandlingsplasser for denne gruppen i alle helseregioner. Det vises </w:t>
      </w:r>
      <w:proofErr w:type="gramStart"/>
      <w:r w:rsidRPr="00225D4D">
        <w:t>for øvrig</w:t>
      </w:r>
      <w:proofErr w:type="gramEnd"/>
      <w:r w:rsidRPr="00225D4D">
        <w:t xml:space="preserve"> til de regionale helseforetakenes egne </w:t>
      </w:r>
      <w:proofErr w:type="spellStart"/>
      <w:r w:rsidRPr="00225D4D">
        <w:t>fremskrivninger</w:t>
      </w:r>
      <w:proofErr w:type="spellEnd"/>
      <w:r w:rsidRPr="00225D4D">
        <w:t>. Anmodningsvedtaket anses som fulgt opp.</w:t>
      </w:r>
    </w:p>
    <w:p w14:paraId="224D386F" w14:textId="77777777" w:rsidR="00D60186" w:rsidRPr="00225D4D" w:rsidRDefault="00D60186" w:rsidP="00225D4D">
      <w:pPr>
        <w:pStyle w:val="avsnitt-tittel"/>
      </w:pPr>
      <w:r w:rsidRPr="00225D4D">
        <w:t>Avslag grunnet rusmiddelproblemer</w:t>
      </w:r>
    </w:p>
    <w:p w14:paraId="077ACDF3" w14:textId="77777777" w:rsidR="00D60186" w:rsidRPr="00225D4D" w:rsidRDefault="00D60186" w:rsidP="00225D4D">
      <w:pPr>
        <w:pStyle w:val="avsnitt-undertittel"/>
      </w:pPr>
      <w:r w:rsidRPr="00225D4D">
        <w:t>Vedtak nr. 505, 18. mars 2025</w:t>
      </w:r>
    </w:p>
    <w:p w14:paraId="0D3B9A0E" w14:textId="77777777" w:rsidR="00D60186" w:rsidRPr="00225D4D" w:rsidRDefault="00D60186" w:rsidP="00225D4D">
      <w:pPr>
        <w:pStyle w:val="blokksit"/>
        <w:rPr>
          <w:rStyle w:val="kursiv"/>
        </w:rPr>
      </w:pPr>
      <w:r w:rsidRPr="00225D4D">
        <w:rPr>
          <w:rStyle w:val="kursiv"/>
        </w:rPr>
        <w:t>«Stortinget ber regjeringen sikre, gjennom tydelige føringer til alle helseregioner, at rusproblemer alene ikke kan være en grunn for avslag til behandling i psykisk helsevern. Dette gjelder også for barn.»</w:t>
      </w:r>
    </w:p>
    <w:p w14:paraId="4291B618" w14:textId="77777777" w:rsidR="00D60186" w:rsidRPr="00225D4D" w:rsidRDefault="00D60186" w:rsidP="00225D4D">
      <w:r w:rsidRPr="00225D4D">
        <w:t xml:space="preserve">Vedtaket ble truffet ved behandling av Meld. St. 5 (2024–2025) </w:t>
      </w:r>
      <w:r w:rsidRPr="00225D4D">
        <w:rPr>
          <w:rStyle w:val="kursiv"/>
        </w:rPr>
        <w:t>Trygghet, fellesskap og verdighet</w:t>
      </w:r>
      <w:r w:rsidRPr="00225D4D">
        <w:t xml:space="preserve">, jf. </w:t>
      </w:r>
      <w:proofErr w:type="spellStart"/>
      <w:r w:rsidRPr="00225D4D">
        <w:t>Innst</w:t>
      </w:r>
      <w:proofErr w:type="spellEnd"/>
      <w:r w:rsidRPr="00225D4D">
        <w:t>. 155 S (2024–2025). Helse- og omsorgsdepartementet har gitt tydelige føringer til alle helseregioner i supplerende oppdragsdokument for 2025. De regionale helseforetakene er bedt om å sikre at inntaksvurderinger i psykisk helsevern gjøres i tråd med gjeldende prioriteringsveiledere fra Helsedirektoratet og at rusmiddelproblemer alene ikke er grunn for avslag til behandling i psykisk helsevern. Dette gjelder også for barn og unge. Anmodningsvedtaket anses som fulgt opp.</w:t>
      </w:r>
    </w:p>
    <w:p w14:paraId="6B039A99" w14:textId="77777777" w:rsidR="00D60186" w:rsidRPr="00225D4D" w:rsidRDefault="00D60186" w:rsidP="00225D4D">
      <w:pPr>
        <w:pStyle w:val="avsnitt-tittel"/>
      </w:pPr>
      <w:r w:rsidRPr="00225D4D">
        <w:t>Revidere nasjonale retningslinjer og veiledere for ADHD</w:t>
      </w:r>
    </w:p>
    <w:p w14:paraId="044EBE4C" w14:textId="77777777" w:rsidR="00D60186" w:rsidRPr="00225D4D" w:rsidRDefault="00D60186" w:rsidP="00225D4D">
      <w:pPr>
        <w:pStyle w:val="avsnitt-undertittel"/>
      </w:pPr>
      <w:r w:rsidRPr="00225D4D">
        <w:t>Vedtak nr. 506, 18. mars 2025</w:t>
      </w:r>
    </w:p>
    <w:p w14:paraId="5BE70D80" w14:textId="77777777" w:rsidR="00D60186" w:rsidRPr="00225D4D" w:rsidRDefault="00D60186" w:rsidP="00225D4D">
      <w:pPr>
        <w:pStyle w:val="blokksit"/>
        <w:rPr>
          <w:rStyle w:val="kursiv"/>
        </w:rPr>
      </w:pPr>
      <w:r w:rsidRPr="00225D4D">
        <w:rPr>
          <w:rStyle w:val="kursiv"/>
        </w:rPr>
        <w:t>«Stortinget ber regjeringen gå gjennom og revidere nasjonale retningslinjer og veiledere for ADHD-utredning, medisiner og rusbruk.»</w:t>
      </w:r>
    </w:p>
    <w:p w14:paraId="49FDC190" w14:textId="77777777" w:rsidR="00D60186" w:rsidRPr="00225D4D" w:rsidRDefault="00D60186" w:rsidP="00225D4D">
      <w:r w:rsidRPr="00225D4D">
        <w:t xml:space="preserve">Vedtaket ble truffet ved behandling av Meld. St. 5 (2024–2025) </w:t>
      </w:r>
      <w:r w:rsidRPr="00225D4D">
        <w:rPr>
          <w:rStyle w:val="kursiv"/>
        </w:rPr>
        <w:t>Trygghet, fellesskap og verdighet</w:t>
      </w:r>
      <w:r w:rsidRPr="00225D4D">
        <w:t xml:space="preserve">, jf. </w:t>
      </w:r>
      <w:proofErr w:type="spellStart"/>
      <w:r w:rsidRPr="00225D4D">
        <w:t>Innst</w:t>
      </w:r>
      <w:proofErr w:type="spellEnd"/>
      <w:r w:rsidRPr="00225D4D">
        <w:t>. 155 S (2024–2025). Helsedirektoratet har våren 2025 startet med et omfattende innsiktsarbeid om ADHD og satt ut oppdrag om en kunnskapsoppsummering som grunnlag for å revidere de nasjonale faglige retningslinjene. Problemstillinger knyttet til medisiner og rusbruk inngår i arbeidet. Anmodningsvedtaket anses som fulgt opp.</w:t>
      </w:r>
    </w:p>
    <w:p w14:paraId="26F797E4" w14:textId="77777777" w:rsidR="00D60186" w:rsidRPr="00225D4D" w:rsidRDefault="00D60186" w:rsidP="00225D4D">
      <w:pPr>
        <w:pStyle w:val="avsnitt-tittel"/>
      </w:pPr>
      <w:r w:rsidRPr="00225D4D">
        <w:t>Arbeid, sosial inkludering og ettervern som integrert del av rusbehandlingen</w:t>
      </w:r>
    </w:p>
    <w:p w14:paraId="038AD2DC" w14:textId="77777777" w:rsidR="00D60186" w:rsidRPr="00225D4D" w:rsidRDefault="00D60186" w:rsidP="00225D4D">
      <w:pPr>
        <w:pStyle w:val="avsnitt-undertittel"/>
      </w:pPr>
      <w:r w:rsidRPr="00225D4D">
        <w:t>Vedtak nr. 507, 18. mars 2025</w:t>
      </w:r>
    </w:p>
    <w:p w14:paraId="7FC7EAE7" w14:textId="77777777" w:rsidR="00D60186" w:rsidRPr="00225D4D" w:rsidRDefault="00D60186" w:rsidP="00225D4D">
      <w:pPr>
        <w:pStyle w:val="blokksit"/>
        <w:rPr>
          <w:rStyle w:val="kursiv"/>
        </w:rPr>
      </w:pPr>
      <w:r w:rsidRPr="00225D4D">
        <w:rPr>
          <w:rStyle w:val="kursiv"/>
        </w:rPr>
        <w:t>«Stortinget ber regjeringen prioritere økt satsing på arbeid, sosial inkludering og ettervern som en integrert del av rusbehandlingen, for å styrke mulighetene for varig bedring og sosial deltakelse for personer som har gjennomgått rusbehandling.»</w:t>
      </w:r>
    </w:p>
    <w:p w14:paraId="338BADD5" w14:textId="77777777" w:rsidR="00D60186" w:rsidRPr="00225D4D" w:rsidRDefault="00D60186" w:rsidP="00225D4D">
      <w:r w:rsidRPr="00225D4D">
        <w:t xml:space="preserve">Vedtaket ble truffet ved behandling av Meld. St. 5 (2024–2025) </w:t>
      </w:r>
      <w:r w:rsidRPr="00225D4D">
        <w:rPr>
          <w:rStyle w:val="kursiv"/>
        </w:rPr>
        <w:t>Trygghet, fellesskap og verdighet</w:t>
      </w:r>
      <w:r w:rsidRPr="00225D4D">
        <w:t xml:space="preserve">, jf. </w:t>
      </w:r>
      <w:proofErr w:type="spellStart"/>
      <w:r w:rsidRPr="00225D4D">
        <w:t>Innst</w:t>
      </w:r>
      <w:proofErr w:type="spellEnd"/>
      <w:r w:rsidRPr="00225D4D">
        <w:t xml:space="preserve">. 155 S (2024–2025). Tiltak som bidrar til bedre fungering sosialt, i arbeidslivet og på skolen for den enkelte, kan være en viktig del av ettervernet. I tilleggsdokument etter Stortingets behandling av </w:t>
      </w:r>
      <w:proofErr w:type="spellStart"/>
      <w:r w:rsidRPr="00225D4D">
        <w:t>Prop</w:t>
      </w:r>
      <w:proofErr w:type="spellEnd"/>
      <w:r w:rsidRPr="00225D4D">
        <w:t xml:space="preserve">. 104 S (2023–2024) fikk de regionale helseforetakene i oppdrag å utvikle en tjeneste med integrert ettervern. Helse Sør-Øst RHF har etablert en nasjonal arbeidsgruppe som i sin rapport vil definere begrepet </w:t>
      </w:r>
      <w:proofErr w:type="gramStart"/>
      <w:r w:rsidRPr="00225D4D">
        <w:t>integrert</w:t>
      </w:r>
      <w:proofErr w:type="gramEnd"/>
      <w:r w:rsidRPr="00225D4D">
        <w:t xml:space="preserve"> ettervern og beskrive målgruppe for ettervernet. Videre vil rapporten beskrive ansvaret til hhv. spesialisthelsetjenesten og kommunehelsetjenesten og mulige tiltak som vil kunne inngå i det integrerte ettervernet. Rusbehandlingsutvalget som ble oppnevnt i statsråd 24. juni 2025, har også som del av sitt mandat fått i oppdrag å vurdere og anbefale innretning av tjenestene som gir et mer samlet og helhetlig behandlingstilbud på tvers av forvaltningsnivåene og andre deler av velferdssektoren, der særlig tilknytning til arbeidslivet er sentralt. Anmodningsvedtaket anses som fulgt opp.</w:t>
      </w:r>
    </w:p>
    <w:p w14:paraId="10989F6C" w14:textId="77777777" w:rsidR="00D60186" w:rsidRPr="00225D4D" w:rsidRDefault="00D60186" w:rsidP="00225D4D">
      <w:pPr>
        <w:pStyle w:val="avsnitt-tittel"/>
      </w:pPr>
      <w:r w:rsidRPr="00225D4D">
        <w:t>Oversikt over behandlingstilbud for spilleproblemer</w:t>
      </w:r>
    </w:p>
    <w:p w14:paraId="4A2899F2" w14:textId="77777777" w:rsidR="00D60186" w:rsidRPr="00225D4D" w:rsidRDefault="00D60186" w:rsidP="00225D4D">
      <w:pPr>
        <w:pStyle w:val="avsnitt-undertittel"/>
      </w:pPr>
      <w:r w:rsidRPr="00225D4D">
        <w:t>Vedtak nr. 519, 18. mars 2025</w:t>
      </w:r>
    </w:p>
    <w:p w14:paraId="12A6BD19" w14:textId="77777777" w:rsidR="00D60186" w:rsidRPr="00225D4D" w:rsidRDefault="00D60186" w:rsidP="00225D4D">
      <w:pPr>
        <w:pStyle w:val="blokksit"/>
        <w:rPr>
          <w:rStyle w:val="kursiv"/>
        </w:rPr>
      </w:pPr>
      <w:r w:rsidRPr="00225D4D">
        <w:rPr>
          <w:rStyle w:val="kursiv"/>
        </w:rPr>
        <w:t>«Stortinget ber regjeringen sørge for en oppdatert og mer informativ oversikt over tilgjengelige behandlingstilbud for spilleavhengighet samt sørge for at denne informasjonen er lett tilgjengelig og gjøres godt kjent.»</w:t>
      </w:r>
    </w:p>
    <w:p w14:paraId="21B115F1" w14:textId="77777777" w:rsidR="00D60186" w:rsidRPr="00225D4D" w:rsidRDefault="00D60186" w:rsidP="00225D4D">
      <w:r w:rsidRPr="00225D4D">
        <w:t>Vedtaket ble truffet i forbindelse med Stortingets behandling av Dokument 8:13 S (2024–2025). Behovet for bedre og mer tilgjengelig informasjon om behandlingstilbudet vil inngå i arbeidet med ny handlingsplan mot spilleproblemer som skal avløse den nåværende (2022–2025). Regjeringen vil komme tilbake til Stortinget på egnet måte.</w:t>
      </w:r>
    </w:p>
    <w:p w14:paraId="21A37853" w14:textId="77777777" w:rsidR="00D60186" w:rsidRPr="00225D4D" w:rsidRDefault="00D60186" w:rsidP="00225D4D">
      <w:pPr>
        <w:pStyle w:val="avsnitt-tittel"/>
      </w:pPr>
      <w:r w:rsidRPr="00225D4D">
        <w:t>Økt kapasitet innen behandlingstilbud for spilleproblemer</w:t>
      </w:r>
    </w:p>
    <w:p w14:paraId="174BBD5B" w14:textId="77777777" w:rsidR="00D60186" w:rsidRPr="00225D4D" w:rsidRDefault="00D60186" w:rsidP="00225D4D">
      <w:pPr>
        <w:pStyle w:val="avsnitt-undertittel"/>
      </w:pPr>
      <w:r w:rsidRPr="00225D4D">
        <w:t>Vedtak nr. 521, 18. mars 2025</w:t>
      </w:r>
    </w:p>
    <w:p w14:paraId="4FABFE2F" w14:textId="77777777" w:rsidR="00D60186" w:rsidRPr="00225D4D" w:rsidRDefault="00D60186" w:rsidP="00225D4D">
      <w:pPr>
        <w:pStyle w:val="blokksit"/>
        <w:rPr>
          <w:rStyle w:val="kursiv"/>
        </w:rPr>
      </w:pPr>
      <w:r w:rsidRPr="00225D4D">
        <w:rPr>
          <w:rStyle w:val="kursiv"/>
        </w:rPr>
        <w:t>«Stortinget ber regjeringen sørge for at kapasiteten innen fjernbehandlingstilbud og andre digitale, spesialiserte lavterskeltilbud for spilleavhengige økes, og at tilbudene gjøres tilgjengelige for alle – uavhengig av hvor de bor.»</w:t>
      </w:r>
    </w:p>
    <w:p w14:paraId="14433EC6" w14:textId="77777777" w:rsidR="00D60186" w:rsidRPr="00225D4D" w:rsidRDefault="00D60186" w:rsidP="00225D4D">
      <w:r w:rsidRPr="00225D4D">
        <w:t>Vedtaket ble truffet i forbindelse med Stortingets behandling av Dokument 8:13 S (2024–2025). Regjeringen vil følge opp vedtaket som del av arbeidet med ny handlingsplan og kommer tilbake til Stortinget på egnet måte.</w:t>
      </w:r>
    </w:p>
    <w:p w14:paraId="72CBE268" w14:textId="77777777" w:rsidR="00D60186" w:rsidRPr="00225D4D" w:rsidRDefault="00D60186" w:rsidP="00225D4D">
      <w:pPr>
        <w:pStyle w:val="avsnitt-tittel"/>
      </w:pPr>
      <w:r w:rsidRPr="00225D4D">
        <w:t xml:space="preserve">Evaluering av ny lovbestemmelse om </w:t>
      </w:r>
      <w:proofErr w:type="spellStart"/>
      <w:r w:rsidRPr="00225D4D">
        <w:t>elektrokonvulsiv</w:t>
      </w:r>
      <w:proofErr w:type="spellEnd"/>
      <w:r w:rsidRPr="00225D4D">
        <w:t xml:space="preserve"> behandling uten eget samtykke</w:t>
      </w:r>
    </w:p>
    <w:p w14:paraId="12B99DA1" w14:textId="77777777" w:rsidR="00D60186" w:rsidRPr="00225D4D" w:rsidRDefault="00D60186" w:rsidP="00225D4D">
      <w:pPr>
        <w:pStyle w:val="avsnitt-undertittel"/>
      </w:pPr>
      <w:r w:rsidRPr="00225D4D">
        <w:t>Vedtak nr. 533, 1. april 2025</w:t>
      </w:r>
    </w:p>
    <w:p w14:paraId="75E0E80D" w14:textId="77777777" w:rsidR="00D60186" w:rsidRPr="00225D4D" w:rsidRDefault="00D60186" w:rsidP="00225D4D">
      <w:pPr>
        <w:pStyle w:val="blokksit"/>
        <w:rPr>
          <w:rStyle w:val="kursiv"/>
        </w:rPr>
      </w:pPr>
      <w:r w:rsidRPr="00225D4D">
        <w:rPr>
          <w:rStyle w:val="kursiv"/>
        </w:rPr>
        <w:t>«Stortinget ber regjeringen evaluere endringene i ny psykisk helsevernlov § 4-4 b, og komme tilbake til Stortinget etter at loven har fatt virke i to år.»</w:t>
      </w:r>
    </w:p>
    <w:p w14:paraId="50332E43" w14:textId="77777777" w:rsidR="00D60186" w:rsidRPr="00225D4D" w:rsidRDefault="00D60186" w:rsidP="00225D4D">
      <w:r w:rsidRPr="00225D4D">
        <w:t xml:space="preserve">Vedtaket ble truffet i forbindelse med behandlingen av </w:t>
      </w:r>
      <w:proofErr w:type="spellStart"/>
      <w:r w:rsidRPr="00225D4D">
        <w:t>Prop</w:t>
      </w:r>
      <w:proofErr w:type="spellEnd"/>
      <w:r w:rsidRPr="00225D4D">
        <w:t xml:space="preserve">. 31 L (2024–2025) </w:t>
      </w:r>
      <w:r w:rsidRPr="00225D4D">
        <w:rPr>
          <w:rStyle w:val="kursiv"/>
        </w:rPr>
        <w:t>Endringer i psykisk helsevernloven og pasient- og brukerrettighetsloven mv. (bedre beslutningsgrunnlag og behandling)</w:t>
      </w:r>
      <w:r w:rsidRPr="00225D4D">
        <w:t xml:space="preserve">, jf. </w:t>
      </w:r>
      <w:proofErr w:type="spellStart"/>
      <w:r w:rsidRPr="00225D4D">
        <w:t>Innst</w:t>
      </w:r>
      <w:proofErr w:type="spellEnd"/>
      <w:r w:rsidRPr="00225D4D">
        <w:t>. 168 L (2024–2025). Endringene vil tre i kraft 1. juni 2026, jf. kongelig resolusjon av 20. juni 2025. Evalueringen kan først starte når det er gått to år etter ikrafttredelsen. Regjeringen vil komme tilbake til Stortinget på egnet måte.</w:t>
      </w:r>
    </w:p>
    <w:p w14:paraId="56829DC6" w14:textId="77777777" w:rsidR="00D60186" w:rsidRPr="00225D4D" w:rsidRDefault="00D60186" w:rsidP="00225D4D">
      <w:pPr>
        <w:pStyle w:val="avsnitt-tittel"/>
      </w:pPr>
      <w:r w:rsidRPr="00225D4D">
        <w:t>Evaluering av tvangsbruk i helse- og omsorgstjenesten</w:t>
      </w:r>
    </w:p>
    <w:p w14:paraId="6BEBA22C" w14:textId="77777777" w:rsidR="00D60186" w:rsidRPr="00225D4D" w:rsidRDefault="00D60186" w:rsidP="00225D4D">
      <w:pPr>
        <w:pStyle w:val="avsnitt-undertittel"/>
      </w:pPr>
      <w:r w:rsidRPr="00225D4D">
        <w:t>Vedtak nr. 534, 1. april 2025</w:t>
      </w:r>
    </w:p>
    <w:p w14:paraId="49B96BBE" w14:textId="77777777" w:rsidR="00D60186" w:rsidRPr="00225D4D" w:rsidRDefault="00D60186" w:rsidP="00225D4D">
      <w:pPr>
        <w:pStyle w:val="blokksit"/>
        <w:rPr>
          <w:rStyle w:val="kursiv"/>
        </w:rPr>
      </w:pPr>
      <w:r w:rsidRPr="00225D4D">
        <w:rPr>
          <w:rStyle w:val="kursiv"/>
        </w:rPr>
        <w:t xml:space="preserve">«Stortinget ber regjeringen om å sette i gang en evaluering av praksisen knyttet til tvangsbruk i helse- og omsorgstjenesten, særlig med </w:t>
      </w:r>
      <w:proofErr w:type="gramStart"/>
      <w:r w:rsidRPr="00225D4D">
        <w:rPr>
          <w:rStyle w:val="kursiv"/>
        </w:rPr>
        <w:t>fokus</w:t>
      </w:r>
      <w:proofErr w:type="gramEnd"/>
      <w:r w:rsidRPr="00225D4D">
        <w:rPr>
          <w:rStyle w:val="kursiv"/>
        </w:rPr>
        <w:t xml:space="preserve"> på endringene i samtykkebegrepet og sykdomsvilkåret. Evalueringen bør starte innen tre år etter at lovendringene trer i kraft.»</w:t>
      </w:r>
    </w:p>
    <w:p w14:paraId="6967384E" w14:textId="77777777" w:rsidR="00D60186" w:rsidRPr="00225D4D" w:rsidRDefault="00D60186" w:rsidP="00225D4D">
      <w:r w:rsidRPr="00225D4D">
        <w:t xml:space="preserve">Vedtaket ble truffet i forbindelse med </w:t>
      </w:r>
      <w:proofErr w:type="spellStart"/>
      <w:r w:rsidRPr="00225D4D">
        <w:t>med</w:t>
      </w:r>
      <w:proofErr w:type="spellEnd"/>
      <w:r w:rsidRPr="00225D4D">
        <w:t xml:space="preserve"> behandlingen av </w:t>
      </w:r>
      <w:proofErr w:type="spellStart"/>
      <w:r w:rsidRPr="00225D4D">
        <w:t>Prop</w:t>
      </w:r>
      <w:proofErr w:type="spellEnd"/>
      <w:r w:rsidRPr="00225D4D">
        <w:t xml:space="preserve">. 31 L (2024–2025) </w:t>
      </w:r>
      <w:r w:rsidRPr="00225D4D">
        <w:rPr>
          <w:rStyle w:val="kursiv"/>
        </w:rPr>
        <w:t>Endringer i psykisk helsevernloven og pasient- og brukerrettighetsloven mv. (bedre beslutningsgrunnlag og behandling)</w:t>
      </w:r>
      <w:r w:rsidRPr="00225D4D">
        <w:t xml:space="preserve">, jf. </w:t>
      </w:r>
      <w:proofErr w:type="spellStart"/>
      <w:r w:rsidRPr="00225D4D">
        <w:t>Innst</w:t>
      </w:r>
      <w:proofErr w:type="spellEnd"/>
      <w:r w:rsidRPr="00225D4D">
        <w:t>. 168 L (2024–2025). Endringene vil tre i kraft 1. juni 2026, jf. kongelig resolusjon av 20. juni 2025. Evalueringen kan først starte når det er gått tre år etter ikrafttredelsen. Regjeringen vil komme tilbake til Stortinget på egnet måte.</w:t>
      </w:r>
    </w:p>
    <w:p w14:paraId="37E7F1D6" w14:textId="77777777" w:rsidR="00D60186" w:rsidRPr="00225D4D" w:rsidRDefault="00D60186" w:rsidP="00225D4D">
      <w:pPr>
        <w:pStyle w:val="avsnitt-tittel"/>
      </w:pPr>
      <w:r w:rsidRPr="00225D4D">
        <w:t>Revisjon av pasient- og brukerrettighetsloven</w:t>
      </w:r>
    </w:p>
    <w:p w14:paraId="58356EFD" w14:textId="77777777" w:rsidR="00D60186" w:rsidRPr="00225D4D" w:rsidRDefault="00D60186" w:rsidP="00225D4D">
      <w:pPr>
        <w:pStyle w:val="avsnitt-undertittel"/>
      </w:pPr>
      <w:r w:rsidRPr="00225D4D">
        <w:t>Vedtak nr. 576, 10. april 2025</w:t>
      </w:r>
    </w:p>
    <w:p w14:paraId="14EFCE5B" w14:textId="77777777" w:rsidR="00D60186" w:rsidRPr="00225D4D" w:rsidRDefault="00D60186" w:rsidP="00225D4D">
      <w:pPr>
        <w:pStyle w:val="blokksit"/>
        <w:rPr>
          <w:rStyle w:val="kursiv"/>
        </w:rPr>
      </w:pPr>
      <w:r w:rsidRPr="00225D4D">
        <w:rPr>
          <w:rStyle w:val="kursiv"/>
        </w:rPr>
        <w:t>«Stortinget ber regjeringen snarest gjennomføre en fullstendig revisjon av pasient- og brukerrettighetsloven for å sikre et klarere og mer brukervennlig lovverk for å styrke pasientenes posisjon.»</w:t>
      </w:r>
    </w:p>
    <w:p w14:paraId="4ECC48DB" w14:textId="77777777" w:rsidR="00D60186" w:rsidRPr="00225D4D" w:rsidRDefault="00D60186" w:rsidP="00225D4D">
      <w:r w:rsidRPr="00225D4D">
        <w:t>Vedtaket ble truffet i forbindelse med behandlingen av Dokument 8:45 S (2024–2025).</w:t>
      </w:r>
    </w:p>
    <w:p w14:paraId="0E13E48F" w14:textId="77777777" w:rsidR="00D60186" w:rsidRPr="00225D4D" w:rsidRDefault="00D60186" w:rsidP="00225D4D">
      <w:r w:rsidRPr="00225D4D">
        <w:t>Regjeringen vil oppnevne et offentlig utvalg for å utrede og foreslå ny pasient- og brukerrettighetslov i løpet av høsten. Anmodningsvedtaket anses som fulgt opp.</w:t>
      </w:r>
    </w:p>
    <w:p w14:paraId="2C34041D" w14:textId="77777777" w:rsidR="00D60186" w:rsidRPr="00225D4D" w:rsidRDefault="00D60186" w:rsidP="00225D4D">
      <w:pPr>
        <w:pStyle w:val="avsnitt-tittel"/>
      </w:pPr>
      <w:r w:rsidRPr="00225D4D">
        <w:t>Kostnader for bedøvelse til barn under 16 år</w:t>
      </w:r>
    </w:p>
    <w:p w14:paraId="628E8EEB" w14:textId="77777777" w:rsidR="00D60186" w:rsidRPr="00225D4D" w:rsidRDefault="00D60186" w:rsidP="00225D4D">
      <w:pPr>
        <w:pStyle w:val="avsnitt-undertittel"/>
      </w:pPr>
      <w:r w:rsidRPr="00225D4D">
        <w:t>Vedtak nr. 577, 10. april 2025</w:t>
      </w:r>
    </w:p>
    <w:p w14:paraId="120DCB07" w14:textId="77777777" w:rsidR="00D60186" w:rsidRPr="00225D4D" w:rsidRDefault="00D60186" w:rsidP="00225D4D">
      <w:pPr>
        <w:pStyle w:val="blokksit"/>
        <w:rPr>
          <w:rStyle w:val="kursiv"/>
        </w:rPr>
      </w:pPr>
      <w:r w:rsidRPr="00225D4D">
        <w:rPr>
          <w:rStyle w:val="kursiv"/>
        </w:rPr>
        <w:t>«Stortinget ber regjeringen straks gi styringssignal til de regionale helseforetakene om å sikre barns tilgang til helsetjenester og sørge for at barn under 16 år ikke blir nødt til å betale for bedøvelse i forbindelse med behandling på sykehus.»</w:t>
      </w:r>
    </w:p>
    <w:p w14:paraId="36329679" w14:textId="77777777" w:rsidR="00D60186" w:rsidRPr="00225D4D" w:rsidRDefault="00D60186" w:rsidP="00225D4D">
      <w:r w:rsidRPr="00225D4D">
        <w:t xml:space="preserve">Vedtaket ble truffet i forbindelse med Stortingets behandling av Dokument 8:46 S (2024–2025), jf. </w:t>
      </w:r>
      <w:proofErr w:type="spellStart"/>
      <w:r w:rsidRPr="00225D4D">
        <w:t>Innst</w:t>
      </w:r>
      <w:proofErr w:type="spellEnd"/>
      <w:r w:rsidRPr="00225D4D">
        <w:t>. 205 S (2024–2025). Aktuelt regelverk med virkning fra 1. juli 2025 spesifiserer at pasientbetaling for bandasjemateriell og bedøvelsesmidler ikke kan kreves fra barn under 16 år. Anmodningsvedtaket anses som fulgt opp.</w:t>
      </w:r>
    </w:p>
    <w:p w14:paraId="4DC36C02" w14:textId="77777777" w:rsidR="00D60186" w:rsidRPr="00225D4D" w:rsidRDefault="00D60186" w:rsidP="00225D4D">
      <w:pPr>
        <w:pStyle w:val="avsnitt-tittel"/>
      </w:pPr>
      <w:r w:rsidRPr="00225D4D">
        <w:t>Styrke samarbeid og koordinering mellom aktører i helsevesenet</w:t>
      </w:r>
    </w:p>
    <w:p w14:paraId="5D137093" w14:textId="77777777" w:rsidR="00D60186" w:rsidRPr="00225D4D" w:rsidRDefault="00D60186" w:rsidP="00225D4D">
      <w:pPr>
        <w:pStyle w:val="avsnitt-undertittel"/>
      </w:pPr>
      <w:r w:rsidRPr="00225D4D">
        <w:t>Vedtak nr. 629, 5. mai 2025</w:t>
      </w:r>
    </w:p>
    <w:p w14:paraId="4DD2AE2A" w14:textId="77777777" w:rsidR="00D60186" w:rsidRPr="00225D4D" w:rsidRDefault="00D60186" w:rsidP="00225D4D">
      <w:pPr>
        <w:pStyle w:val="blokksit"/>
        <w:rPr>
          <w:rStyle w:val="kursiv"/>
        </w:rPr>
      </w:pPr>
      <w:r w:rsidRPr="00225D4D">
        <w:rPr>
          <w:rStyle w:val="kursiv"/>
        </w:rPr>
        <w:t>«Stortinget ber regjeringen styrke samarbeidet og koordineringen mellom ulike aktører i helsevesenet, som sykehus, kommuner, fastleger og andre helsetjenester, for bedre samhandling og effektiv respons i nødsituasjoner.»</w:t>
      </w:r>
    </w:p>
    <w:p w14:paraId="26705747" w14:textId="77777777" w:rsidR="00D60186" w:rsidRPr="00225D4D" w:rsidRDefault="00D60186" w:rsidP="00225D4D">
      <w:r w:rsidRPr="00225D4D">
        <w:t xml:space="preserve">Vedtaket ble truffet i forbindelse med Stortingets behandling av Meld. St. 9 (2024–2025), jf. </w:t>
      </w:r>
      <w:proofErr w:type="spellStart"/>
      <w:r w:rsidRPr="00225D4D">
        <w:t>Innst</w:t>
      </w:r>
      <w:proofErr w:type="spellEnd"/>
      <w:r w:rsidRPr="00225D4D">
        <w:t xml:space="preserve">. 242 S (2024–2025). Regjeringen har lagt frem Meld. St. 23 (2024–2025) </w:t>
      </w:r>
      <w:r w:rsidRPr="00225D4D">
        <w:rPr>
          <w:rStyle w:val="kursiv"/>
        </w:rPr>
        <w:t xml:space="preserve">Fornye, forsterke, forbedre – Framtidens allmennlegetjenester og akuttmedisinske tjenester utenfor sykehus </w:t>
      </w:r>
      <w:r w:rsidRPr="00225D4D">
        <w:t>med tiltak for å styrke samarbeid og koordinering mellom aktørene i de akuttmedisinske tjenestene. Regjeringen har også oppnevnt et offentlig utvalg som skal utrede og foreslå modeller for å sikre en sammenhengende og bærekraftig helse- og omsorgstjeneste. Anmodningsvedtaket anses som fulgt opp.</w:t>
      </w:r>
    </w:p>
    <w:p w14:paraId="3ED1065A" w14:textId="77777777" w:rsidR="00D60186" w:rsidRPr="00225D4D" w:rsidRDefault="00D60186" w:rsidP="00225D4D">
      <w:pPr>
        <w:pStyle w:val="avsnitt-tittel"/>
      </w:pPr>
      <w:r w:rsidRPr="00225D4D">
        <w:t>Tilstrekkelig bemanning og ressurser i helsevesenet</w:t>
      </w:r>
    </w:p>
    <w:p w14:paraId="73ED7013" w14:textId="77777777" w:rsidR="00D60186" w:rsidRPr="00225D4D" w:rsidRDefault="00D60186" w:rsidP="00225D4D">
      <w:pPr>
        <w:pStyle w:val="avsnitt-undertittel"/>
      </w:pPr>
      <w:r w:rsidRPr="00225D4D">
        <w:t>Vedtak nr. 630, 5. mai 2025</w:t>
      </w:r>
    </w:p>
    <w:p w14:paraId="76F190BF" w14:textId="77777777" w:rsidR="00D60186" w:rsidRPr="00225D4D" w:rsidRDefault="00D60186" w:rsidP="00225D4D">
      <w:pPr>
        <w:pStyle w:val="blokksit"/>
        <w:rPr>
          <w:rStyle w:val="kursiv"/>
        </w:rPr>
      </w:pPr>
      <w:r w:rsidRPr="00225D4D">
        <w:rPr>
          <w:rStyle w:val="kursiv"/>
        </w:rPr>
        <w:t>«Stortinget ber regjeringen sikre tilstrekkelig bemanning og ressurser i helsevesenet, inkludert rekruttere og ansette flere helsepersonell og øke kapasiteten på sykehus og helsestasjoner.»</w:t>
      </w:r>
    </w:p>
    <w:p w14:paraId="2C4AD55E" w14:textId="77777777" w:rsidR="00D60186" w:rsidRPr="00225D4D" w:rsidRDefault="00D60186" w:rsidP="00225D4D">
      <w:r w:rsidRPr="00225D4D">
        <w:t xml:space="preserve">Vedtaket ble truffet i forbindelse med Stortingets behandling av Meld. St. 9 (2024–2025), jf. </w:t>
      </w:r>
      <w:proofErr w:type="spellStart"/>
      <w:r w:rsidRPr="00225D4D">
        <w:t>Innst</w:t>
      </w:r>
      <w:proofErr w:type="spellEnd"/>
      <w:r w:rsidRPr="00225D4D">
        <w:t>. 242 S (2024–2025).</w:t>
      </w:r>
    </w:p>
    <w:p w14:paraId="4DE832DE" w14:textId="77777777" w:rsidR="00D60186" w:rsidRPr="00225D4D" w:rsidRDefault="00D60186" w:rsidP="00225D4D">
      <w:r w:rsidRPr="00225D4D">
        <w:t xml:space="preserve">Som det </w:t>
      </w:r>
      <w:proofErr w:type="gramStart"/>
      <w:r w:rsidRPr="00225D4D">
        <w:t>fremkommer</w:t>
      </w:r>
      <w:proofErr w:type="gramEnd"/>
      <w:r w:rsidRPr="00225D4D">
        <w:t xml:space="preserve"> av Meld. St. 5 (2023–2024) </w:t>
      </w:r>
      <w:r w:rsidRPr="00225D4D">
        <w:rPr>
          <w:rStyle w:val="kursiv"/>
        </w:rPr>
        <w:t xml:space="preserve">En motstandsdyktig helseberedskap – Fra pandemi til krig i Europa, </w:t>
      </w:r>
      <w:r w:rsidRPr="00225D4D">
        <w:t>er de samlede helse- og omsorgstjenestene kjernen i en motstandsdyktig helseberedskap, og de er Norges største beredskapsressurs. En velfungerende helseberedskap forutsetter tilgang til tilstrekkelig personell med riktig kompetanse, organisatorisk fleksibilitet, prioriteringer og omstilling, god samhandling på tvers av tjenestenivåer og mulighet for å mobilisere reservepersonell. Samtidig vet vi at stabil tilgang til arbeidskraft vil kreve innsats fremover. Regjeringen vil derfor i løpet av 2026 legge frem en helsepersonellplan som går frem til 2040 for å rekruttere og beholde fagkompetanse i helse- og omsorgstjenestene hvor også pårørendeperspektivet og pårørenderollen skal ivaretas. Partene vil involveres i arbeidet. Planen skal blant annet omfatte tiltak innen følgende innsatsområder i) arbeidsmiljø og arbeidsvilkår, ii) ansvars- og oppgavedeling og hensiktsmessig organisering av arbeidsprosesser, iii) teknologi og utstyr og iv) rekruttering til helse- og omsorgstjenestene. Anmodningsvedtaket anses som fulgt opp.</w:t>
      </w:r>
    </w:p>
    <w:p w14:paraId="5FF43F92" w14:textId="77777777" w:rsidR="00D60186" w:rsidRPr="00225D4D" w:rsidRDefault="00D60186" w:rsidP="00225D4D">
      <w:pPr>
        <w:pStyle w:val="avsnitt-tittel"/>
      </w:pPr>
      <w:r w:rsidRPr="00225D4D">
        <w:t>Forebyggende tiltak</w:t>
      </w:r>
    </w:p>
    <w:p w14:paraId="3837A479" w14:textId="77777777" w:rsidR="00D60186" w:rsidRPr="00225D4D" w:rsidRDefault="00D60186" w:rsidP="00225D4D">
      <w:pPr>
        <w:pStyle w:val="avsnitt-undertittel"/>
      </w:pPr>
      <w:r w:rsidRPr="00225D4D">
        <w:t>Vedtak nr. 631, 5. mai 2025</w:t>
      </w:r>
    </w:p>
    <w:p w14:paraId="49AD8707" w14:textId="77777777" w:rsidR="00D60186" w:rsidRPr="00225D4D" w:rsidRDefault="00D60186" w:rsidP="00225D4D">
      <w:pPr>
        <w:pStyle w:val="blokksit"/>
        <w:rPr>
          <w:rStyle w:val="kursiv"/>
        </w:rPr>
      </w:pPr>
      <w:r w:rsidRPr="00225D4D">
        <w:rPr>
          <w:rStyle w:val="kursiv"/>
        </w:rPr>
        <w:t>«Stortinget ber regjeringen intensivere innsatsen på forebyggende tiltak, inkludert informasjonskampanjer, vaksinasjonsprogrammer og tiltak for å redusere smittespredning.»</w:t>
      </w:r>
    </w:p>
    <w:p w14:paraId="212205EA" w14:textId="77777777" w:rsidR="00D60186" w:rsidRPr="00225D4D" w:rsidRDefault="00D60186" w:rsidP="00225D4D">
      <w:r w:rsidRPr="00225D4D">
        <w:t xml:space="preserve">Vedtaket ble truffet i forbindelse med Stortingets behandling av Meld. St. 9 (2024–2025), jf. </w:t>
      </w:r>
      <w:proofErr w:type="spellStart"/>
      <w:r w:rsidRPr="00225D4D">
        <w:t>Innst</w:t>
      </w:r>
      <w:proofErr w:type="spellEnd"/>
      <w:r w:rsidRPr="00225D4D">
        <w:t>. 242 S (2024–2025).</w:t>
      </w:r>
    </w:p>
    <w:p w14:paraId="3149AAD7" w14:textId="77777777" w:rsidR="00D60186" w:rsidRPr="00225D4D" w:rsidRDefault="00D60186" w:rsidP="00225D4D">
      <w:r w:rsidRPr="00225D4D">
        <w:t>Regjeringen deler Stortingets mål om å styrke forebyggende tiltak og har iverksatt en rekke tiltak i tråd med vedtaket. Et sentralt grep er etableringen av et voksenvaksinasjonsprogram med oppstart høsten 2025. Programmet vil bidra til å redusere sykdomsbyrde, sykefravær og dødsfall i befolkningen.</w:t>
      </w:r>
    </w:p>
    <w:p w14:paraId="722BC2DC" w14:textId="77777777" w:rsidR="00D60186" w:rsidRPr="00225D4D" w:rsidRDefault="00D60186" w:rsidP="00225D4D">
      <w:r w:rsidRPr="00225D4D">
        <w:t xml:space="preserve">I tillegg gjennomfører Folkehelseinstituttet en rekke kommunikasjonstiltak i 2025, </w:t>
      </w:r>
      <w:proofErr w:type="gramStart"/>
      <w:r w:rsidRPr="00225D4D">
        <w:t>vedrørende</w:t>
      </w:r>
      <w:proofErr w:type="gramEnd"/>
      <w:r w:rsidRPr="00225D4D">
        <w:t xml:space="preserve"> voksenvaksinasjonsprogrammet som retter seg til befolkningen og helsetjenesten.</w:t>
      </w:r>
    </w:p>
    <w:p w14:paraId="13DF5A13" w14:textId="77777777" w:rsidR="00D60186" w:rsidRPr="00225D4D" w:rsidRDefault="00D60186" w:rsidP="00225D4D">
      <w:r w:rsidRPr="00225D4D">
        <w:t>For å styrke beredskapen mot fremtidige smittehendelser arbeides det med en oppdatert plan for pandemihåndtering og alvorlige smittehendelser. Planen vil forankres under Nasjonal helseberedskapsplan og er blant annet basert på erfaringer fra covid-19-pandemien. Folkehelseinstituttet utvikler et system for helhetlig infeksjonsovervåking (</w:t>
      </w:r>
      <w:proofErr w:type="spellStart"/>
      <w:r w:rsidRPr="00225D4D">
        <w:t>Norsurv</w:t>
      </w:r>
      <w:proofErr w:type="spellEnd"/>
      <w:r w:rsidRPr="00225D4D">
        <w:t>), som skal modernisere og styrke smittevernarbeidet frem mot 2028.</w:t>
      </w:r>
    </w:p>
    <w:p w14:paraId="7A8F50F5" w14:textId="77777777" w:rsidR="00D60186" w:rsidRPr="00225D4D" w:rsidRDefault="00D60186" w:rsidP="00225D4D">
      <w:r w:rsidRPr="00225D4D">
        <w:t>Kommunenes sykdomsoversikt (</w:t>
      </w:r>
      <w:proofErr w:type="spellStart"/>
      <w:r w:rsidRPr="00225D4D">
        <w:t>Kosy</w:t>
      </w:r>
      <w:proofErr w:type="spellEnd"/>
      <w:r w:rsidRPr="00225D4D">
        <w:t>) er også under utrulling og gir kommuneoverleger tilgang til oppdatert statistikk om sykdom, testing og vaksinasjon. Løsningen planlegges tilgjengelig for alle kommuner i løpet av 2025.</w:t>
      </w:r>
    </w:p>
    <w:p w14:paraId="6721C0D6" w14:textId="77777777" w:rsidR="00D60186" w:rsidRPr="00225D4D" w:rsidRDefault="00D60186" w:rsidP="00225D4D">
      <w:r w:rsidRPr="00225D4D">
        <w:t>Regjeringen har også lansert en nasjonal én-helse-strategi mot antimikrobiell resistens (2024–2033), og det utarbeides en handlingsplan for å styrke smittevern og innsatsen mot resistens. Anmodningsvedtaket anses som fulgt opp.</w:t>
      </w:r>
    </w:p>
    <w:p w14:paraId="14EFB912" w14:textId="77777777" w:rsidR="00D60186" w:rsidRPr="00225D4D" w:rsidRDefault="00D60186" w:rsidP="00225D4D">
      <w:pPr>
        <w:pStyle w:val="avsnitt-tittel"/>
      </w:pPr>
      <w:r w:rsidRPr="00225D4D">
        <w:t>Beredskapsavtaler mellom privat og offentlig helsetjeneste</w:t>
      </w:r>
    </w:p>
    <w:p w14:paraId="4B9BAD86" w14:textId="77777777" w:rsidR="00D60186" w:rsidRPr="00225D4D" w:rsidRDefault="00D60186" w:rsidP="00225D4D">
      <w:pPr>
        <w:pStyle w:val="avsnitt-undertittel"/>
      </w:pPr>
      <w:r w:rsidRPr="00225D4D">
        <w:t>Vedtak nr. 632, 5. mai 2025</w:t>
      </w:r>
    </w:p>
    <w:p w14:paraId="2E5CBA2F" w14:textId="77777777" w:rsidR="00D60186" w:rsidRPr="00225D4D" w:rsidRDefault="00D60186" w:rsidP="00225D4D">
      <w:pPr>
        <w:pStyle w:val="blokksit"/>
        <w:rPr>
          <w:rStyle w:val="kursiv"/>
        </w:rPr>
      </w:pPr>
      <w:r w:rsidRPr="00225D4D">
        <w:rPr>
          <w:rStyle w:val="kursiv"/>
        </w:rPr>
        <w:t>«Stortinget ber regjeringen søke å etablere beredskapsavtaler mellom privat og offentlig helsetjeneste, som er et fremforhandlet rammeverk som kan nyttes i kriser for å sikre at vi på en bedre måte utnytter samfunnets samlede ressurser.»</w:t>
      </w:r>
    </w:p>
    <w:p w14:paraId="365F6202" w14:textId="77777777" w:rsidR="00D60186" w:rsidRPr="00225D4D" w:rsidRDefault="00D60186" w:rsidP="00225D4D">
      <w:r w:rsidRPr="00225D4D">
        <w:t xml:space="preserve">Vedtaket ble truffet i forbindelse med Stortingets behandling av Meld. St. 9 (2024–2025), jf. </w:t>
      </w:r>
      <w:proofErr w:type="spellStart"/>
      <w:r w:rsidRPr="00225D4D">
        <w:t>Innst</w:t>
      </w:r>
      <w:proofErr w:type="spellEnd"/>
      <w:r w:rsidRPr="00225D4D">
        <w:t>. 242 S (2024–2025). Departementet vil følge dette opp videre, og regjeringen vil komme tilbake til Stortinget på egnet måte.</w:t>
      </w:r>
    </w:p>
    <w:p w14:paraId="043FC4C4" w14:textId="77777777" w:rsidR="00D60186" w:rsidRPr="00225D4D" w:rsidRDefault="00D60186" w:rsidP="00225D4D">
      <w:pPr>
        <w:pStyle w:val="avsnitt-tittel"/>
      </w:pPr>
      <w:r w:rsidRPr="00225D4D">
        <w:t>Palliativ medisin som påbyggingsspesialitet</w:t>
      </w:r>
    </w:p>
    <w:p w14:paraId="1D6C451C" w14:textId="77777777" w:rsidR="00D60186" w:rsidRPr="00225D4D" w:rsidRDefault="00D60186" w:rsidP="00225D4D">
      <w:pPr>
        <w:pStyle w:val="avsnitt-undertittel"/>
      </w:pPr>
      <w:r w:rsidRPr="00225D4D">
        <w:t>Vedtak nr. 704, 20. mai 2025</w:t>
      </w:r>
    </w:p>
    <w:p w14:paraId="5DA3F599" w14:textId="77777777" w:rsidR="00D60186" w:rsidRPr="00225D4D" w:rsidRDefault="00D60186" w:rsidP="00225D4D">
      <w:pPr>
        <w:pStyle w:val="blokksit"/>
        <w:rPr>
          <w:rStyle w:val="kursiv"/>
        </w:rPr>
      </w:pPr>
      <w:r w:rsidRPr="00225D4D">
        <w:rPr>
          <w:rStyle w:val="kursiv"/>
        </w:rPr>
        <w:t>«Stortinget ber regjeringen etablere palliativ medisin som påbyggingsspesialitet, for å sikre nødvendig og spesialisert kompetanse innen lindrende behandling i tråd med tidligere stortingsvedtak, og som erstatning for den nordiske videreutdanningen som avvikles. Stortinget forventer at etableringen av palliativ medisin som påbyggingsspesialitet etableres så raskt som mulig.»</w:t>
      </w:r>
    </w:p>
    <w:p w14:paraId="7611D1C9" w14:textId="77777777" w:rsidR="00D60186" w:rsidRPr="00225D4D" w:rsidRDefault="00D60186" w:rsidP="00225D4D">
      <w:r w:rsidRPr="00225D4D">
        <w:t xml:space="preserve">Vedtaket ble truffet i forbindelse med behandling i Stortinget 20. mai 2025 av Dokument 8: 119 S (2024–2025), jf. </w:t>
      </w:r>
      <w:proofErr w:type="spellStart"/>
      <w:r w:rsidRPr="00225D4D">
        <w:t>Innst</w:t>
      </w:r>
      <w:proofErr w:type="spellEnd"/>
      <w:r w:rsidRPr="00225D4D">
        <w:t>. 294 S (2024–2025). Departementet vil følge dette opp videre, og regjeringen vil komme tilbake til Stortinget på egnet måte.</w:t>
      </w:r>
    </w:p>
    <w:p w14:paraId="24A9F8BE" w14:textId="77777777" w:rsidR="00D60186" w:rsidRPr="00225D4D" w:rsidRDefault="00D60186" w:rsidP="00225D4D">
      <w:pPr>
        <w:pStyle w:val="avsnitt-tittel"/>
      </w:pPr>
      <w:r w:rsidRPr="00225D4D">
        <w:t>Videreutvikling av palliativ medisin</w:t>
      </w:r>
    </w:p>
    <w:p w14:paraId="27B85A15" w14:textId="77777777" w:rsidR="00D60186" w:rsidRPr="00225D4D" w:rsidRDefault="00D60186" w:rsidP="00225D4D">
      <w:pPr>
        <w:pStyle w:val="avsnitt-undertittel"/>
      </w:pPr>
      <w:r w:rsidRPr="00225D4D">
        <w:t>Vedtak nr. 705, 20. mai 2025</w:t>
      </w:r>
    </w:p>
    <w:p w14:paraId="66648EED" w14:textId="77777777" w:rsidR="00D60186" w:rsidRPr="00225D4D" w:rsidRDefault="00D60186" w:rsidP="00225D4D">
      <w:pPr>
        <w:pStyle w:val="blokksit"/>
        <w:rPr>
          <w:rStyle w:val="kursiv"/>
        </w:rPr>
      </w:pPr>
      <w:r w:rsidRPr="00225D4D">
        <w:rPr>
          <w:rStyle w:val="kursiv"/>
        </w:rPr>
        <w:t>«Stortinget ber regjeringen sikre at det ikke blir opphold i videreutdanningen i palliativ medisin, at kompetanseområdet videreføres inntil en tilfredsstillende spesialistordning er på plass, og at leger med godkjent kompetanseområde godkjennes som spesialister.»</w:t>
      </w:r>
    </w:p>
    <w:p w14:paraId="3ACBF5E3" w14:textId="77777777" w:rsidR="00D60186" w:rsidRPr="00225D4D" w:rsidRDefault="00D60186" w:rsidP="00225D4D">
      <w:r w:rsidRPr="00225D4D">
        <w:t xml:space="preserve">Vedtaket ble truffet i forbindelse med behandling i Stortinget 20. mai 2025 av Dokument 8: 119 S (2024–2025), jf. </w:t>
      </w:r>
      <w:proofErr w:type="spellStart"/>
      <w:r w:rsidRPr="00225D4D">
        <w:t>Innst</w:t>
      </w:r>
      <w:proofErr w:type="spellEnd"/>
      <w:r w:rsidRPr="00225D4D">
        <w:t>. 294 S (2024–2025). Vedtaket om å sikre at det ikke blir opphold i videreutdanningen/kompetanseordningen i palliativ medisin ble gitt som oppdrag til Helsedirektoratet i supplerende tildelingsbrev nr. 2 for 2025 av 27. mars som presisering av oppdrag TTB2024/62 og anses oppfylt. Det resterende i anmodningsvedtaket, at leger med godkjent kompetanseområde godkjennes som spesialister, vil følges opp av departementet og regjeringen vil komme tilbake til Stortinget på egnet måte.</w:t>
      </w:r>
    </w:p>
    <w:p w14:paraId="3DA4CC7F" w14:textId="77777777" w:rsidR="00D60186" w:rsidRPr="00225D4D" w:rsidRDefault="00D60186" w:rsidP="00225D4D">
      <w:pPr>
        <w:pStyle w:val="avsnitt-tittel"/>
      </w:pPr>
      <w:r w:rsidRPr="00225D4D">
        <w:t>Plan for bevaring av helsepersonell</w:t>
      </w:r>
    </w:p>
    <w:p w14:paraId="76460577" w14:textId="77777777" w:rsidR="00D60186" w:rsidRPr="00225D4D" w:rsidRDefault="00D60186" w:rsidP="00225D4D">
      <w:pPr>
        <w:pStyle w:val="avsnitt-undertittel"/>
      </w:pPr>
      <w:r w:rsidRPr="00225D4D">
        <w:t>Vedtak nr. 753, 26. mai 2025</w:t>
      </w:r>
    </w:p>
    <w:p w14:paraId="774CA48E" w14:textId="77777777" w:rsidR="00D60186" w:rsidRPr="00225D4D" w:rsidRDefault="00D60186" w:rsidP="00225D4D">
      <w:pPr>
        <w:pStyle w:val="blokksit"/>
        <w:rPr>
          <w:rStyle w:val="kursiv"/>
        </w:rPr>
      </w:pPr>
      <w:r w:rsidRPr="00225D4D">
        <w:rPr>
          <w:rStyle w:val="kursiv"/>
        </w:rPr>
        <w:t>«Stortinget ber regjeringen fortsette og forsterke arbeidet med å rekruttere og beholde personell i helse- og omsorgstjenesten i samarbeid med KS og arbeidstakerorganisasjonene, og lage en plan frem mot 2030 for hele helse- og omsorgssektoren. Målsettingen er å etablere lokal heltidskultur, herunder øke gjennomsnittlig stillingsstørrelser, øke heltidsandelen innen helse- og omsorgstjenestene, sikre mer klinisk kompetanse ute i tjenestene, samt å følge opp arbeidet til Kvinnearbeidshelseutvalget. Planen må komme med tiltak for å beholde helsepersonell og forbedre arbeidsmiljø og arbeidshelse, trappe opp arbeidet med oppgavedeling, kombinerte stillinger og kompetanseheving, inkludert gode praksis- og læreplasser. Planen må romme tiltak for systemisk innføring av personellbesparende teknologi, som KI for turnusplanlegging og implementering og god opplæring i bruk av nye teknologier.»</w:t>
      </w:r>
    </w:p>
    <w:p w14:paraId="5251E561" w14:textId="77777777" w:rsidR="00D60186" w:rsidRPr="00225D4D" w:rsidRDefault="00D60186" w:rsidP="00225D4D">
      <w:r w:rsidRPr="00225D4D">
        <w:t xml:space="preserve">Vedtaket ble truffet i forbindelse med behandling i Stortinget 26. mai 2025 av Dokument 8:170 S (2024–2025), jf. </w:t>
      </w:r>
      <w:proofErr w:type="spellStart"/>
      <w:r w:rsidRPr="00225D4D">
        <w:t>Innst</w:t>
      </w:r>
      <w:proofErr w:type="spellEnd"/>
      <w:r w:rsidRPr="00225D4D">
        <w:t>. 325 (2024–2025). Regjeringen vil i løpet av 2026 legge frem en helsepersonellplan som går frem til 2040 for å rekruttere og beholde fagkompetanse i helse- og omsorgstjenestene hvor også pårørendeperspektivet og pårørenderollen skal ivaretas. Partene vil involveres i arbeidet. Planen skal blant annet omfatte tiltak innen følgende innsatsområder i) arbeidsmiljø og arbeidsvilkår, ii) ansvars- og oppgavedeling og hensiktsmessig organisering av arbeidsprosesser, iii) teknologi og utstyr og iv) rekruttering til helse- og omsorgstjenestene. Anmodningsvedtaket anses som fulgt opp.</w:t>
      </w:r>
    </w:p>
    <w:p w14:paraId="2AD99594" w14:textId="77777777" w:rsidR="00D60186" w:rsidRPr="00225D4D" w:rsidRDefault="00D60186" w:rsidP="00225D4D">
      <w:pPr>
        <w:pStyle w:val="avsnitt-tittel"/>
      </w:pPr>
      <w:r w:rsidRPr="00225D4D">
        <w:t>Erstatning til ofrene i Varhaug-saken</w:t>
      </w:r>
    </w:p>
    <w:p w14:paraId="784C1259" w14:textId="77777777" w:rsidR="00D60186" w:rsidRPr="00225D4D" w:rsidRDefault="00D60186" w:rsidP="00225D4D">
      <w:pPr>
        <w:pStyle w:val="avsnitt-undertittel"/>
      </w:pPr>
      <w:r w:rsidRPr="00225D4D">
        <w:t>Vedtak nr. 829, 2. juni 2025</w:t>
      </w:r>
    </w:p>
    <w:p w14:paraId="1968DA65" w14:textId="77777777" w:rsidR="00D60186" w:rsidRPr="00225D4D" w:rsidRDefault="00D60186" w:rsidP="00225D4D">
      <w:pPr>
        <w:pStyle w:val="blokksit"/>
        <w:rPr>
          <w:rStyle w:val="kursiv"/>
        </w:rPr>
      </w:pPr>
      <w:r w:rsidRPr="00225D4D">
        <w:rPr>
          <w:rStyle w:val="kursiv"/>
        </w:rPr>
        <w:t>«Stortinget ber regjeringen følge opp anbefalingene fra Pasientovergrepsutvalgets rapport fra 2022 og sørge for at man raskt setter i gang arbeidet med en erstatning til ofrene i Varhaug-saken.»</w:t>
      </w:r>
    </w:p>
    <w:p w14:paraId="668F041E" w14:textId="77777777" w:rsidR="00D60186" w:rsidRPr="00225D4D" w:rsidRDefault="00D60186" w:rsidP="00225D4D">
      <w:r w:rsidRPr="00225D4D">
        <w:t xml:space="preserve">Vedtaket ble truffet i forbindelse med Stortingets behandling av Dokument 8:148 S (2024–2025), jf. </w:t>
      </w:r>
      <w:proofErr w:type="spellStart"/>
      <w:r w:rsidRPr="00225D4D">
        <w:t>Innst</w:t>
      </w:r>
      <w:proofErr w:type="spellEnd"/>
      <w:r w:rsidRPr="00225D4D">
        <w:t xml:space="preserve">. 390 S (2024–2025). Regjeringen har fulgt opp anbefalingene i Pasientovergrepsutvalgets rapport, jf. </w:t>
      </w:r>
      <w:proofErr w:type="spellStart"/>
      <w:r w:rsidRPr="00225D4D">
        <w:t>Prop</w:t>
      </w:r>
      <w:proofErr w:type="spellEnd"/>
      <w:r w:rsidRPr="00225D4D">
        <w:t>. 63 L (2023–2024). Regjeringen vil igangsette et arbeid med å etablere en erstatningsordning for ofrene i Varhaug-saken og komme tilbake til Stortinget på egnet måte.</w:t>
      </w:r>
    </w:p>
    <w:p w14:paraId="179DF248" w14:textId="77777777" w:rsidR="00D60186" w:rsidRPr="00225D4D" w:rsidRDefault="00D60186" w:rsidP="00225D4D">
      <w:pPr>
        <w:pStyle w:val="avsnitt-tittel"/>
      </w:pPr>
      <w:r w:rsidRPr="00225D4D">
        <w:t>E-helseløsninger i tannhelsetjenesten</w:t>
      </w:r>
    </w:p>
    <w:p w14:paraId="21645F8B" w14:textId="77777777" w:rsidR="00D60186" w:rsidRPr="00225D4D" w:rsidRDefault="00D60186" w:rsidP="00225D4D">
      <w:pPr>
        <w:pStyle w:val="avsnitt-undertittel"/>
      </w:pPr>
      <w:r w:rsidRPr="00225D4D">
        <w:t>Vedtak nr. 897, 4. juni 2025</w:t>
      </w:r>
    </w:p>
    <w:p w14:paraId="22B2117E" w14:textId="77777777" w:rsidR="00D60186" w:rsidRPr="00225D4D" w:rsidRDefault="00D60186" w:rsidP="00225D4D">
      <w:pPr>
        <w:pStyle w:val="blokksit"/>
        <w:rPr>
          <w:rStyle w:val="kursiv"/>
        </w:rPr>
      </w:pPr>
      <w:r w:rsidRPr="00225D4D">
        <w:rPr>
          <w:rStyle w:val="kursiv"/>
        </w:rPr>
        <w:t>«Stortinget ber regjeringen sørge for at relevante nasjonale e-helseløsninger blir tilrettelagt for bruk i tannhelsetjenesten.»</w:t>
      </w:r>
    </w:p>
    <w:p w14:paraId="2455D8E1" w14:textId="6BE9BC63" w:rsidR="00D60186" w:rsidRPr="00225D4D" w:rsidRDefault="00D60186" w:rsidP="00225D4D">
      <w:r w:rsidRPr="00225D4D">
        <w:t xml:space="preserve">Vedtaket ble truffet i forbindelse med behandling av </w:t>
      </w:r>
      <w:proofErr w:type="spellStart"/>
      <w:r w:rsidRPr="00225D4D">
        <w:t>Prop</w:t>
      </w:r>
      <w:proofErr w:type="spellEnd"/>
      <w:r w:rsidRPr="00225D4D">
        <w:t xml:space="preserve">. 124 L (2024–2025) </w:t>
      </w:r>
      <w:r w:rsidRPr="00225D4D">
        <w:rPr>
          <w:rStyle w:val="kursiv"/>
        </w:rPr>
        <w:t xml:space="preserve">Endringer i tannhelsetjenesteloven mv. (rett til nødvendig tannhelsehjelp for personer fra 25 til og med 28 år), </w:t>
      </w:r>
      <w:r w:rsidRPr="00225D4D">
        <w:t xml:space="preserve">jf. </w:t>
      </w:r>
      <w:proofErr w:type="spellStart"/>
      <w:r w:rsidRPr="00225D4D">
        <w:t>Innst</w:t>
      </w:r>
      <w:proofErr w:type="spellEnd"/>
      <w:r w:rsidRPr="00225D4D">
        <w:t xml:space="preserve">. 458 L (2024–2025). Helsedirektoratet og Norsk helsenett SF samarbeider allerede med tannhelsetjenesten for å tilrettelegge for at tannleger kan ta i bruk relevante nasjonale e-helseløsninger, slik som e-resept, helsenettet og tjenester på </w:t>
      </w:r>
      <w:proofErr w:type="spellStart"/>
      <w:r w:rsidRPr="00225D4D">
        <w:t>Helsenorge</w:t>
      </w:r>
      <w:proofErr w:type="spellEnd"/>
      <w:r w:rsidRPr="00225D4D">
        <w:t>. Norsk helsenett SF har teknisk lagt til rette for at tannleger med tjenstlig behov kan benytte flere av de nasjonale e-helseløsningene. Tilgang forutsetter at tannlegene har lokale journalsystemer som støtter tilgang til de nasjonale e</w:t>
      </w:r>
      <w:r w:rsidR="00225D4D">
        <w:t>-</w:t>
      </w:r>
      <w:r w:rsidRPr="00225D4D">
        <w:t>helseløsningene. Anmodningsvedtaket anses som fulgt opp.</w:t>
      </w:r>
    </w:p>
    <w:p w14:paraId="0C6DFBDE" w14:textId="77777777" w:rsidR="00D60186" w:rsidRPr="00225D4D" w:rsidRDefault="00D60186" w:rsidP="00225D4D">
      <w:pPr>
        <w:pStyle w:val="avsnitt-tittel"/>
      </w:pPr>
      <w:r w:rsidRPr="00225D4D">
        <w:t>Normering av kodeverk for tannhelsetjenesten</w:t>
      </w:r>
    </w:p>
    <w:p w14:paraId="72643C1A" w14:textId="77777777" w:rsidR="00D60186" w:rsidRPr="00225D4D" w:rsidRDefault="00D60186" w:rsidP="00225D4D">
      <w:pPr>
        <w:pStyle w:val="avsnitt-undertittel"/>
      </w:pPr>
      <w:r w:rsidRPr="00225D4D">
        <w:t>Vedtak nr. 898, 4. juni 2025</w:t>
      </w:r>
    </w:p>
    <w:p w14:paraId="0A62A417" w14:textId="77777777" w:rsidR="00D60186" w:rsidRPr="00225D4D" w:rsidRDefault="00D60186" w:rsidP="00225D4D">
      <w:pPr>
        <w:pStyle w:val="blokksit"/>
        <w:rPr>
          <w:rStyle w:val="kursiv"/>
        </w:rPr>
      </w:pPr>
      <w:r w:rsidRPr="00225D4D">
        <w:rPr>
          <w:rStyle w:val="kursiv"/>
        </w:rPr>
        <w:t>«Stortinget ber regjeringen sørge for at det stilles krav om felles sterkere normering av kodeverk for tannhelsetjenesten.»</w:t>
      </w:r>
    </w:p>
    <w:p w14:paraId="053DB68A" w14:textId="77777777" w:rsidR="00D60186" w:rsidRPr="00225D4D" w:rsidRDefault="00D60186" w:rsidP="00225D4D">
      <w:r w:rsidRPr="00225D4D">
        <w:t xml:space="preserve">Vedtaket ble truffet i forbindelse med behandling av </w:t>
      </w:r>
      <w:proofErr w:type="spellStart"/>
      <w:r w:rsidRPr="00225D4D">
        <w:t>Prop</w:t>
      </w:r>
      <w:proofErr w:type="spellEnd"/>
      <w:r w:rsidRPr="00225D4D">
        <w:t xml:space="preserve">. 124 L (2024–2025) </w:t>
      </w:r>
      <w:r w:rsidRPr="00225D4D">
        <w:rPr>
          <w:rStyle w:val="kursiv"/>
        </w:rPr>
        <w:t xml:space="preserve">Endringer i tannhelsetjenesteloven mv. (rett til nødvendig tannhelsehjelp for personer fra 25 til og med 28 år), </w:t>
      </w:r>
      <w:r w:rsidRPr="00225D4D">
        <w:t xml:space="preserve">jf. </w:t>
      </w:r>
      <w:proofErr w:type="spellStart"/>
      <w:r w:rsidRPr="00225D4D">
        <w:t>Innst</w:t>
      </w:r>
      <w:proofErr w:type="spellEnd"/>
      <w:r w:rsidRPr="00225D4D">
        <w:t>. 458 L (2024–2025).</w:t>
      </w:r>
    </w:p>
    <w:p w14:paraId="2B9077BE" w14:textId="77777777" w:rsidR="00D60186" w:rsidRPr="00225D4D" w:rsidRDefault="00D60186" w:rsidP="00225D4D">
      <w:r w:rsidRPr="00225D4D">
        <w:t>Helse- og omsorgsdepartementet har vært i dialog med Helsedirektoratet, som vurderer at det ligger til rette for sterkere normering på dette området. Departementet følger opp vedtaket i styringsdialogen med Helsedirektoratet. Anmodningsvedtaket anses som fulgt opp.</w:t>
      </w:r>
    </w:p>
    <w:p w14:paraId="604E82EC" w14:textId="77777777" w:rsidR="00D60186" w:rsidRPr="00225D4D" w:rsidRDefault="00D60186" w:rsidP="00225D4D">
      <w:pPr>
        <w:pStyle w:val="avsnitt-tittel"/>
      </w:pPr>
      <w:r w:rsidRPr="00225D4D">
        <w:t>Lik data i privat og offentlig tannhelse</w:t>
      </w:r>
    </w:p>
    <w:p w14:paraId="3F017BD7" w14:textId="77777777" w:rsidR="00D60186" w:rsidRPr="00225D4D" w:rsidRDefault="00D60186" w:rsidP="00225D4D">
      <w:pPr>
        <w:pStyle w:val="avsnitt-undertittel"/>
      </w:pPr>
      <w:r w:rsidRPr="00225D4D">
        <w:t>Vedtak nr. 899, 4. juni 2025</w:t>
      </w:r>
    </w:p>
    <w:p w14:paraId="36F8B45B" w14:textId="77777777" w:rsidR="00D60186" w:rsidRPr="00225D4D" w:rsidRDefault="00D60186" w:rsidP="00225D4D">
      <w:pPr>
        <w:pStyle w:val="blokksit"/>
        <w:rPr>
          <w:rStyle w:val="kursiv"/>
        </w:rPr>
      </w:pPr>
      <w:r w:rsidRPr="00225D4D">
        <w:rPr>
          <w:rStyle w:val="kursiv"/>
        </w:rPr>
        <w:t>«Stortinget ber regjeringen sørge for innhenting av data fra private tannhelsetilbydere til de nasjonale pasientregistrene på lik linje med den offentlige tannhelsetjenesten.»</w:t>
      </w:r>
    </w:p>
    <w:p w14:paraId="7E2BEB4F" w14:textId="77777777" w:rsidR="00D60186" w:rsidRPr="00225D4D" w:rsidRDefault="00D60186" w:rsidP="00225D4D">
      <w:r w:rsidRPr="00225D4D">
        <w:t xml:space="preserve">Vedtaket ble truffet i forbindelse med behandling av </w:t>
      </w:r>
      <w:proofErr w:type="spellStart"/>
      <w:r w:rsidRPr="00225D4D">
        <w:t>Prop</w:t>
      </w:r>
      <w:proofErr w:type="spellEnd"/>
      <w:r w:rsidRPr="00225D4D">
        <w:t xml:space="preserve">. 124 L (2024–2025) </w:t>
      </w:r>
      <w:r w:rsidRPr="00225D4D">
        <w:rPr>
          <w:rStyle w:val="kursiv"/>
        </w:rPr>
        <w:t>Endringer i tannhelsetjenesteloven mv. (rett til nødvendig tannhelsehjelp for personer fra 25 til og med 28 år)</w:t>
      </w:r>
      <w:r w:rsidRPr="00225D4D">
        <w:t xml:space="preserve">, jf. </w:t>
      </w:r>
      <w:proofErr w:type="spellStart"/>
      <w:r w:rsidRPr="00225D4D">
        <w:t>Innst</w:t>
      </w:r>
      <w:proofErr w:type="spellEnd"/>
      <w:r w:rsidRPr="00225D4D">
        <w:t>. 458 L (2024–2025) og Lovvedtak 104 (2024–2025). Fra 2022 har det vært hjemmel for å innhente data fra privat tannhelsetjeneste til kommunalt pasient- og brukerregister (KPR). Folkehelseinstituttet har samarbeidet med både den offentlige tannhelsetjenesten og Den norske tannlegeforening i utrednings- og forberedelsesarbeidet for å gjøre datainnhentingen mulig. Det legges opp til at data fra tannhelsetjenestene kan tas inn i KPR i løpet av 2026. Anmodningsvedtaket anses som fulgt opp.</w:t>
      </w:r>
    </w:p>
    <w:p w14:paraId="75EF373F" w14:textId="77777777" w:rsidR="00D60186" w:rsidRPr="00225D4D" w:rsidRDefault="00D60186" w:rsidP="00225D4D">
      <w:pPr>
        <w:pStyle w:val="avsnitt-tittel"/>
      </w:pPr>
      <w:r w:rsidRPr="00225D4D">
        <w:t>Stortingsmelding om tannhelsetjeneste</w:t>
      </w:r>
    </w:p>
    <w:p w14:paraId="75276E55" w14:textId="77777777" w:rsidR="00D60186" w:rsidRPr="00225D4D" w:rsidRDefault="00D60186" w:rsidP="00225D4D">
      <w:pPr>
        <w:pStyle w:val="avsnitt-undertittel"/>
      </w:pPr>
      <w:r w:rsidRPr="00225D4D">
        <w:t>Vedtak nr. 900, 4. juni 2025</w:t>
      </w:r>
    </w:p>
    <w:p w14:paraId="04C0BC3A" w14:textId="77777777" w:rsidR="00D60186" w:rsidRPr="00225D4D" w:rsidRDefault="00D60186" w:rsidP="00225D4D">
      <w:pPr>
        <w:pStyle w:val="blokksit"/>
        <w:rPr>
          <w:rStyle w:val="kursiv"/>
        </w:rPr>
      </w:pPr>
      <w:r w:rsidRPr="00225D4D">
        <w:rPr>
          <w:rStyle w:val="kursiv"/>
        </w:rPr>
        <w:t xml:space="preserve">«Stortinget ber regjeringen legge frem en stortingsmelding om oppfølging av anbefalingene i NOU 2024:18 En universell tannhelsetjeneste, med særlig </w:t>
      </w:r>
      <w:proofErr w:type="gramStart"/>
      <w:r w:rsidRPr="00225D4D">
        <w:rPr>
          <w:rStyle w:val="kursiv"/>
        </w:rPr>
        <w:t>fokus</w:t>
      </w:r>
      <w:proofErr w:type="gramEnd"/>
      <w:r w:rsidRPr="00225D4D">
        <w:rPr>
          <w:rStyle w:val="kursiv"/>
        </w:rPr>
        <w:t xml:space="preserve"> på å redusere geografiske, sosiale og økonomiske forskjeller og gradvis utvide det offentlige ansvaret for tannhelsetjenester, og komme tilbake til Stortinget på egnet måte.»</w:t>
      </w:r>
    </w:p>
    <w:p w14:paraId="7101AE98" w14:textId="77777777" w:rsidR="00D60186" w:rsidRPr="00225D4D" w:rsidRDefault="00D60186" w:rsidP="00225D4D">
      <w:r w:rsidRPr="00225D4D">
        <w:t xml:space="preserve">Vedtaket ble truffet i forbindelse med behandling av </w:t>
      </w:r>
      <w:proofErr w:type="spellStart"/>
      <w:r w:rsidRPr="00225D4D">
        <w:t>Prop</w:t>
      </w:r>
      <w:proofErr w:type="spellEnd"/>
      <w:r w:rsidRPr="00225D4D">
        <w:t xml:space="preserve">. 1 S (2024–2025), jf. </w:t>
      </w:r>
      <w:proofErr w:type="spellStart"/>
      <w:r w:rsidRPr="00225D4D">
        <w:t>Innst</w:t>
      </w:r>
      <w:proofErr w:type="spellEnd"/>
      <w:r w:rsidRPr="00225D4D">
        <w:t>. 2 S (2024–2025). Regjeringen vil komme tilbake til Stortinget på egnet måte.</w:t>
      </w:r>
    </w:p>
    <w:p w14:paraId="6893FFE4" w14:textId="77777777" w:rsidR="00D60186" w:rsidRPr="00225D4D" w:rsidRDefault="00D60186" w:rsidP="00225D4D">
      <w:pPr>
        <w:pStyle w:val="avsnitt-tittel"/>
      </w:pPr>
      <w:r w:rsidRPr="00225D4D">
        <w:t>Styrke helsefellesskapene</w:t>
      </w:r>
    </w:p>
    <w:p w14:paraId="10CCC5A4" w14:textId="77777777" w:rsidR="00D60186" w:rsidRPr="00225D4D" w:rsidRDefault="00D60186" w:rsidP="00225D4D">
      <w:pPr>
        <w:pStyle w:val="avsnitt-undertittel"/>
      </w:pPr>
      <w:r w:rsidRPr="00225D4D">
        <w:t>Vedtak nr. 901, 4. juni 2025</w:t>
      </w:r>
    </w:p>
    <w:p w14:paraId="1AC6E911" w14:textId="77777777" w:rsidR="00D60186" w:rsidRPr="00225D4D" w:rsidRDefault="00D60186" w:rsidP="00225D4D">
      <w:pPr>
        <w:pStyle w:val="blokksit"/>
        <w:rPr>
          <w:rStyle w:val="kursiv"/>
        </w:rPr>
      </w:pPr>
      <w:r w:rsidRPr="00225D4D">
        <w:rPr>
          <w:rStyle w:val="kursiv"/>
        </w:rPr>
        <w:t>«Stortinget ber regjeringen i konsultasjon med KS vurdere tiltak for å styrke helsefellesskapene slik at de i større grad kan bidra til bedre samhandling mellom kommune og spesialisthelsetjenesten, herunder hvordan det bedre kan legges til rette for tillitsvalgtes deltagelse.»</w:t>
      </w:r>
    </w:p>
    <w:p w14:paraId="5BE7E566" w14:textId="77777777" w:rsidR="00D60186" w:rsidRPr="00225D4D" w:rsidRDefault="00D60186" w:rsidP="00225D4D">
      <w:r w:rsidRPr="00225D4D">
        <w:t xml:space="preserve">Vedtaket ble truffet i forbindelse med behandling av Meld. St. 21 (2024–2025) </w:t>
      </w:r>
      <w:r w:rsidRPr="00225D4D">
        <w:rPr>
          <w:rStyle w:val="kursiv"/>
        </w:rPr>
        <w:t>Helse for alle – Rettferdig prioritering i vår felles helsetjeneste</w:t>
      </w:r>
      <w:r w:rsidRPr="00225D4D">
        <w:t xml:space="preserve">, jf. </w:t>
      </w:r>
      <w:proofErr w:type="spellStart"/>
      <w:r w:rsidRPr="00225D4D">
        <w:t>Innst</w:t>
      </w:r>
      <w:proofErr w:type="spellEnd"/>
      <w:r w:rsidRPr="00225D4D">
        <w:t>. 461 S (2024–2025). Helse- og omsorgsdepartementet og KS er i dialog om hensiktsmessig oppfølging av vedtaket. Regjeringen vil komme tilbake til Stortinget på egnet måte.</w:t>
      </w:r>
    </w:p>
    <w:p w14:paraId="6A586B0B" w14:textId="77777777" w:rsidR="00D60186" w:rsidRPr="00225D4D" w:rsidRDefault="00D60186" w:rsidP="00225D4D">
      <w:pPr>
        <w:pStyle w:val="avsnitt-tittel"/>
      </w:pPr>
      <w:r w:rsidRPr="00225D4D">
        <w:t>Folketrygdfinansierte legemidler</w:t>
      </w:r>
    </w:p>
    <w:p w14:paraId="5D0F81E6" w14:textId="77777777" w:rsidR="00D60186" w:rsidRPr="00225D4D" w:rsidRDefault="00D60186" w:rsidP="00225D4D">
      <w:pPr>
        <w:pStyle w:val="avsnitt-undertittel"/>
      </w:pPr>
      <w:r w:rsidRPr="00225D4D">
        <w:t>Vedtak nr. 902, 4. juni 2025</w:t>
      </w:r>
    </w:p>
    <w:p w14:paraId="36F74CE4" w14:textId="77777777" w:rsidR="00D60186" w:rsidRPr="00225D4D" w:rsidRDefault="00D60186" w:rsidP="00225D4D">
      <w:pPr>
        <w:pStyle w:val="blokksit"/>
        <w:rPr>
          <w:rStyle w:val="kursiv"/>
        </w:rPr>
      </w:pPr>
      <w:r w:rsidRPr="00225D4D">
        <w:rPr>
          <w:rStyle w:val="kursiv"/>
        </w:rPr>
        <w:t>«Stortinget ber regjeringen sikre at et anbud på folketrygdfinansierte legemidler ikke vil føre til tvungent bytte av legemidler, for pasienter som står på allerede godkjente medisiner.»</w:t>
      </w:r>
    </w:p>
    <w:p w14:paraId="484D95BA" w14:textId="77777777" w:rsidR="00D60186" w:rsidRPr="00225D4D" w:rsidRDefault="00D60186" w:rsidP="00225D4D">
      <w:r w:rsidRPr="00225D4D">
        <w:t xml:space="preserve">Vedtaket ble truffet i forbindelse med Stortingets behandling av Meld. St. 21 (2024–2025) </w:t>
      </w:r>
      <w:r w:rsidRPr="00225D4D">
        <w:rPr>
          <w:rStyle w:val="kursiv"/>
        </w:rPr>
        <w:t>Helse for alle – Rettferdig prioritering i vår felles helsetjeneste</w:t>
      </w:r>
      <w:r w:rsidRPr="00225D4D">
        <w:t xml:space="preserve">, jf. </w:t>
      </w:r>
      <w:proofErr w:type="spellStart"/>
      <w:r w:rsidRPr="00225D4D">
        <w:t>Innst</w:t>
      </w:r>
      <w:proofErr w:type="spellEnd"/>
      <w:r w:rsidRPr="00225D4D">
        <w:t>. 461 S (2024–2025). Vedtaket blir fulgt opp gjennom løpende styringsdialog med Direktoratet for medisinske produkter. Anmodningsvedtaket anses som fulgt opp.</w:t>
      </w:r>
    </w:p>
    <w:p w14:paraId="6375E4AC" w14:textId="77777777" w:rsidR="00D60186" w:rsidRPr="00225D4D" w:rsidRDefault="00D60186" w:rsidP="00225D4D">
      <w:pPr>
        <w:pStyle w:val="avsnitt-tittel"/>
      </w:pPr>
      <w:r w:rsidRPr="00225D4D">
        <w:t>Alternativkostnaden i helse- og omsorgstjenesten</w:t>
      </w:r>
    </w:p>
    <w:p w14:paraId="3CD28E19" w14:textId="77777777" w:rsidR="00D60186" w:rsidRPr="00225D4D" w:rsidRDefault="00D60186" w:rsidP="00225D4D">
      <w:pPr>
        <w:pStyle w:val="avsnitt-undertittel"/>
      </w:pPr>
      <w:r w:rsidRPr="00225D4D">
        <w:t>Vedtak nr. 903, 4. juni 2025</w:t>
      </w:r>
    </w:p>
    <w:p w14:paraId="74A23955" w14:textId="77777777" w:rsidR="00D60186" w:rsidRPr="00225D4D" w:rsidRDefault="00D60186" w:rsidP="00225D4D">
      <w:pPr>
        <w:pStyle w:val="blokksit"/>
        <w:rPr>
          <w:rStyle w:val="kursiv"/>
        </w:rPr>
      </w:pPr>
      <w:r w:rsidRPr="00225D4D">
        <w:rPr>
          <w:rStyle w:val="kursiv"/>
        </w:rPr>
        <w:t>«Stortinget ber regjeringen utrede et sikrere anslag på alternativkostnaden for helse- og omsorgstjenesten i Norge, basert på norske data. Stortinget ber regjeringen i mellomtiden, innen utgangen av 2025, gjøre en hurtig utredning basert på tilgjengelige data med mål om å justere dagens alternativkostnad for pris- og produktivitetsutvikling inntil det sikrere anslaget er på plass.»</w:t>
      </w:r>
    </w:p>
    <w:p w14:paraId="0E7E736F" w14:textId="77777777" w:rsidR="00D60186" w:rsidRPr="00225D4D" w:rsidRDefault="00D60186" w:rsidP="00225D4D">
      <w:r w:rsidRPr="00225D4D">
        <w:t xml:space="preserve">Vedtaket ble truffet i forbindelse med Stortingets behandling av Meld. St. 21 (2024–2025) </w:t>
      </w:r>
      <w:r w:rsidRPr="00225D4D">
        <w:rPr>
          <w:rStyle w:val="kursiv"/>
        </w:rPr>
        <w:t>Helse for alle – Rettferdig prioritering i vår felles helsetjeneste</w:t>
      </w:r>
      <w:r w:rsidRPr="00225D4D">
        <w:t xml:space="preserve">, </w:t>
      </w:r>
      <w:proofErr w:type="spellStart"/>
      <w:r w:rsidRPr="00225D4D">
        <w:t>Innst</w:t>
      </w:r>
      <w:proofErr w:type="spellEnd"/>
      <w:r w:rsidRPr="00225D4D">
        <w:t>. 461 S (2024–2025). Det er gitt oppdrag til Direktoratet for medisinske produkter i samarbeid med Helsedirektoratet om å gjennomføre en hurtig utredning. Direktoratene er bedt vurdere å benytte en ekstern referansegruppe i arbeidet. Fristen er 30. desember. Direktoratene har også fått i oppdrag med frist 15. februar å utarbeide et mandat for en ekstern anskaffelse av en utredning med mål om å utarbeide anslag på alternativkostnaden for helse- og omsorgstjenesten i Norge, basert på norske data. Regjeringen vil komme tilbake til Stortinget på egnet måte.</w:t>
      </w:r>
    </w:p>
    <w:p w14:paraId="241F1F0D" w14:textId="77777777" w:rsidR="00D60186" w:rsidRPr="00225D4D" w:rsidRDefault="00D60186" w:rsidP="00225D4D">
      <w:pPr>
        <w:pStyle w:val="avsnitt-tittel"/>
      </w:pPr>
      <w:r w:rsidRPr="00225D4D">
        <w:t>Åpenhet i markedene for medisinske produkter</w:t>
      </w:r>
    </w:p>
    <w:p w14:paraId="58F6F243" w14:textId="77777777" w:rsidR="00D60186" w:rsidRPr="00225D4D" w:rsidRDefault="00D60186" w:rsidP="00225D4D">
      <w:pPr>
        <w:pStyle w:val="avsnitt-undertittel"/>
      </w:pPr>
      <w:r w:rsidRPr="00225D4D">
        <w:t>Vedtak nr. 904, 4. juni 2025</w:t>
      </w:r>
    </w:p>
    <w:p w14:paraId="14B8EB8E" w14:textId="77777777" w:rsidR="00D60186" w:rsidRPr="00225D4D" w:rsidRDefault="00D60186" w:rsidP="00225D4D">
      <w:pPr>
        <w:pStyle w:val="blokksit"/>
        <w:rPr>
          <w:rStyle w:val="kursiv"/>
        </w:rPr>
      </w:pPr>
      <w:r w:rsidRPr="00225D4D">
        <w:rPr>
          <w:rStyle w:val="kursiv"/>
        </w:rPr>
        <w:t>«Stortinget ber regjeringen sørge for at Norge tar en ledende rolle i å arbeide for større åpenhet i markedene for medisinske produkter i internasjonale fora.»</w:t>
      </w:r>
    </w:p>
    <w:p w14:paraId="153159B1" w14:textId="77777777" w:rsidR="00D60186" w:rsidRPr="00225D4D" w:rsidRDefault="00D60186" w:rsidP="00225D4D">
      <w:r w:rsidRPr="00225D4D">
        <w:t xml:space="preserve">Vedtaket ble truffet i forbindelse med Stortingets behandling av Meld. St. 21 (2024–2025) </w:t>
      </w:r>
      <w:r w:rsidRPr="00225D4D">
        <w:rPr>
          <w:rStyle w:val="kursiv"/>
        </w:rPr>
        <w:t>Helse for alle – Rettferdig prioritering i vår felles helsetjeneste</w:t>
      </w:r>
      <w:r w:rsidRPr="00225D4D">
        <w:t xml:space="preserve">, </w:t>
      </w:r>
      <w:proofErr w:type="spellStart"/>
      <w:r w:rsidRPr="00225D4D">
        <w:t>Innst</w:t>
      </w:r>
      <w:proofErr w:type="spellEnd"/>
      <w:r w:rsidRPr="00225D4D">
        <w:t xml:space="preserve">. 461 S (2024–2025). Vedtaket blir fulgt opp gjennom løpende arbeid med nordisk samarbeid i Nordisk </w:t>
      </w:r>
      <w:proofErr w:type="spellStart"/>
      <w:r w:rsidRPr="00225D4D">
        <w:t>legemiddelforum</w:t>
      </w:r>
      <w:proofErr w:type="spellEnd"/>
      <w:r w:rsidRPr="00225D4D">
        <w:t xml:space="preserve"> samt departementets ledende rolle i WHO </w:t>
      </w:r>
      <w:proofErr w:type="spellStart"/>
      <w:r w:rsidRPr="00225D4D">
        <w:t>EUROs</w:t>
      </w:r>
      <w:proofErr w:type="spellEnd"/>
      <w:r w:rsidRPr="00225D4D">
        <w:t xml:space="preserve"> </w:t>
      </w:r>
      <w:proofErr w:type="spellStart"/>
      <w:r w:rsidRPr="00225D4D">
        <w:t>Novel</w:t>
      </w:r>
      <w:proofErr w:type="spellEnd"/>
      <w:r w:rsidRPr="00225D4D">
        <w:t xml:space="preserve"> </w:t>
      </w:r>
      <w:proofErr w:type="spellStart"/>
      <w:r w:rsidRPr="00225D4D">
        <w:t>Medicines</w:t>
      </w:r>
      <w:proofErr w:type="spellEnd"/>
      <w:r w:rsidRPr="00225D4D">
        <w:t xml:space="preserve"> Platform. Anmodningsvedtaket anses som fulgt opp.</w:t>
      </w:r>
    </w:p>
    <w:p w14:paraId="214A8A22" w14:textId="77777777" w:rsidR="00D60186" w:rsidRPr="00225D4D" w:rsidRDefault="00D60186" w:rsidP="00225D4D">
      <w:pPr>
        <w:pStyle w:val="avsnitt-tittel"/>
      </w:pPr>
      <w:r w:rsidRPr="00225D4D">
        <w:t>Profesjonsnøytrale takster</w:t>
      </w:r>
    </w:p>
    <w:p w14:paraId="43A201FC" w14:textId="77777777" w:rsidR="00D60186" w:rsidRPr="00225D4D" w:rsidRDefault="00D60186" w:rsidP="00225D4D">
      <w:pPr>
        <w:pStyle w:val="avsnitt-undertittel"/>
      </w:pPr>
      <w:r w:rsidRPr="00225D4D">
        <w:t>Vedtak nr. 906, 5. juni 2025</w:t>
      </w:r>
    </w:p>
    <w:p w14:paraId="3932ECE6" w14:textId="77777777" w:rsidR="00D60186" w:rsidRPr="00225D4D" w:rsidRDefault="00D60186" w:rsidP="00225D4D">
      <w:pPr>
        <w:pStyle w:val="blokksit"/>
        <w:rPr>
          <w:rStyle w:val="kursiv"/>
        </w:rPr>
      </w:pPr>
      <w:r w:rsidRPr="00225D4D">
        <w:rPr>
          <w:rStyle w:val="kursiv"/>
        </w:rPr>
        <w:t>«Stortinget ber regjeringen utrede innføring av profesjonsnøytrale takster i hele fastlegeordningen. Utredningen skal foreligge innen mars 2026.»</w:t>
      </w:r>
    </w:p>
    <w:p w14:paraId="71B710EA" w14:textId="77777777" w:rsidR="00D60186" w:rsidRPr="00225D4D" w:rsidRDefault="00D60186" w:rsidP="00225D4D">
      <w:r w:rsidRPr="00225D4D">
        <w:t xml:space="preserve">Vedtaket ble truffet i forbindelse med behandlingen av Meld. St. 23 (2024–2025) </w:t>
      </w:r>
      <w:r w:rsidRPr="00225D4D">
        <w:rPr>
          <w:rStyle w:val="kursiv"/>
        </w:rPr>
        <w:t xml:space="preserve">Fornye, </w:t>
      </w:r>
      <w:proofErr w:type="gramStart"/>
      <w:r w:rsidRPr="00225D4D">
        <w:rPr>
          <w:rStyle w:val="kursiv"/>
        </w:rPr>
        <w:t>forsterke,</w:t>
      </w:r>
      <w:proofErr w:type="gramEnd"/>
      <w:r w:rsidRPr="00225D4D">
        <w:rPr>
          <w:rStyle w:val="kursiv"/>
        </w:rPr>
        <w:t xml:space="preserve"> forbedre</w:t>
      </w:r>
      <w:r w:rsidRPr="00225D4D">
        <w:t>. Helse- og omsorgsdepartementet har gitt Helsedirektoratet i oppdrag å utrede en fremtidig finansieringsmodell for fastlegeordningen, inkludert profesjonsnøytrale takster. Regjeringen vil komme tilbake til Stortinget på egnet måte.</w:t>
      </w:r>
    </w:p>
    <w:p w14:paraId="1710C74A" w14:textId="77777777" w:rsidR="00D60186" w:rsidRPr="00225D4D" w:rsidRDefault="00D60186" w:rsidP="00225D4D">
      <w:pPr>
        <w:pStyle w:val="avsnitt-tittel"/>
      </w:pPr>
      <w:r w:rsidRPr="00225D4D">
        <w:t>Ideelle og frivillige aktører i akuttberedskapen</w:t>
      </w:r>
    </w:p>
    <w:p w14:paraId="79BA131C" w14:textId="77777777" w:rsidR="00D60186" w:rsidRPr="00225D4D" w:rsidRDefault="00D60186" w:rsidP="00225D4D">
      <w:pPr>
        <w:pStyle w:val="avsnitt-undertittel"/>
      </w:pPr>
      <w:r w:rsidRPr="00225D4D">
        <w:t>Vedtak nr. 907, 5. juni 2025</w:t>
      </w:r>
    </w:p>
    <w:p w14:paraId="727BFFF9" w14:textId="77777777" w:rsidR="00D60186" w:rsidRPr="00225D4D" w:rsidRDefault="00D60186" w:rsidP="00225D4D">
      <w:pPr>
        <w:pStyle w:val="blokksit"/>
        <w:rPr>
          <w:rStyle w:val="kursiv"/>
        </w:rPr>
      </w:pPr>
      <w:r w:rsidRPr="00225D4D">
        <w:rPr>
          <w:rStyle w:val="kursiv"/>
        </w:rPr>
        <w:t>«Stortinget ber regjeringen inkludere ideelle og frivillige aktører som samarbeidspartnere i arbeidet med å utvikle akuttberedskap og lavterskel helsetjenester, og sikre dem forutsigbare og stabile rammevilkår.»</w:t>
      </w:r>
    </w:p>
    <w:p w14:paraId="1A17D564" w14:textId="77777777" w:rsidR="00D60186" w:rsidRPr="00225D4D" w:rsidRDefault="00D60186" w:rsidP="00225D4D">
      <w:r w:rsidRPr="00225D4D">
        <w:t xml:space="preserve">Vedtaket ble truffet i forbindelse med Stortingets behandling av Meld. St. 23 (2024–2025), jf. </w:t>
      </w:r>
      <w:proofErr w:type="spellStart"/>
      <w:r w:rsidRPr="00225D4D">
        <w:t>Innst</w:t>
      </w:r>
      <w:proofErr w:type="spellEnd"/>
      <w:r w:rsidRPr="00225D4D">
        <w:t>. 460 S (2024–2025). De regionale helseforetakene er blitt enige med Røde Kors og Norsk Folkehjelp om en ny nasjonal samarbeidsavtale som gir den frivillige helseberedskapen økt forutsigbarhet og bedre rammevilkår for å utvikle seg. Anmodningsvedtaket anses som fulgt opp.</w:t>
      </w:r>
    </w:p>
    <w:p w14:paraId="1F622064" w14:textId="77777777" w:rsidR="00D60186" w:rsidRPr="00225D4D" w:rsidRDefault="00D60186" w:rsidP="00225D4D">
      <w:pPr>
        <w:pStyle w:val="avsnitt-tittel"/>
      </w:pPr>
      <w:r w:rsidRPr="00225D4D">
        <w:t>Forskrivningsrett for sykepleiere</w:t>
      </w:r>
    </w:p>
    <w:p w14:paraId="1281659C" w14:textId="77777777" w:rsidR="00D60186" w:rsidRPr="00225D4D" w:rsidRDefault="00D60186" w:rsidP="00225D4D">
      <w:pPr>
        <w:pStyle w:val="avsnitt-undertittel"/>
      </w:pPr>
      <w:r w:rsidRPr="00225D4D">
        <w:t>Vedtak nr. 908, 5. juni 2025</w:t>
      </w:r>
    </w:p>
    <w:p w14:paraId="0923DDE1" w14:textId="77777777" w:rsidR="00D60186" w:rsidRPr="00225D4D" w:rsidRDefault="00D60186" w:rsidP="00225D4D">
      <w:pPr>
        <w:pStyle w:val="blokksit"/>
        <w:rPr>
          <w:rStyle w:val="kursiv"/>
        </w:rPr>
      </w:pPr>
      <w:r w:rsidRPr="00225D4D">
        <w:rPr>
          <w:rStyle w:val="kursiv"/>
        </w:rPr>
        <w:t xml:space="preserve">«Stortinget ber regjeringen utrede forskrivningsrett i </w:t>
      </w:r>
      <w:proofErr w:type="spellStart"/>
      <w:r w:rsidRPr="00225D4D">
        <w:rPr>
          <w:rStyle w:val="kursiv"/>
        </w:rPr>
        <w:t>legenær</w:t>
      </w:r>
      <w:proofErr w:type="spellEnd"/>
      <w:r w:rsidRPr="00225D4D">
        <w:rPr>
          <w:rStyle w:val="kursiv"/>
        </w:rPr>
        <w:t xml:space="preserve"> praksis for sykepleiere med spesialisering i avansert klinisk allmennsykepleie.»</w:t>
      </w:r>
    </w:p>
    <w:p w14:paraId="4003A9CD" w14:textId="77777777" w:rsidR="00D60186" w:rsidRPr="00225D4D" w:rsidRDefault="00D60186" w:rsidP="00225D4D">
      <w:r w:rsidRPr="00225D4D">
        <w:t xml:space="preserve">Vedtaket ble truffet i forbindelse med behandling av Meld. St. 23 (2024–2025) </w:t>
      </w:r>
      <w:r w:rsidRPr="00225D4D">
        <w:rPr>
          <w:rStyle w:val="kursiv"/>
        </w:rPr>
        <w:t xml:space="preserve">Fornye, </w:t>
      </w:r>
      <w:proofErr w:type="gramStart"/>
      <w:r w:rsidRPr="00225D4D">
        <w:rPr>
          <w:rStyle w:val="kursiv"/>
        </w:rPr>
        <w:t>forsterke,</w:t>
      </w:r>
      <w:proofErr w:type="gramEnd"/>
      <w:r w:rsidRPr="00225D4D">
        <w:rPr>
          <w:rStyle w:val="kursiv"/>
        </w:rPr>
        <w:t xml:space="preserve"> forbedre.</w:t>
      </w:r>
      <w:r w:rsidRPr="00225D4D">
        <w:t xml:space="preserve"> Regjeringen vil komme tilbake til Stortinget på egnet måte.</w:t>
      </w:r>
    </w:p>
    <w:p w14:paraId="6795E5A0" w14:textId="77777777" w:rsidR="00D60186" w:rsidRPr="00225D4D" w:rsidRDefault="00D60186" w:rsidP="00225D4D">
      <w:pPr>
        <w:pStyle w:val="avsnitt-tittel"/>
      </w:pPr>
      <w:r w:rsidRPr="00225D4D">
        <w:t>Forebygging og helsefremmende arbeid i fastlegetjenesten</w:t>
      </w:r>
    </w:p>
    <w:p w14:paraId="7C972840" w14:textId="77777777" w:rsidR="00D60186" w:rsidRPr="00225D4D" w:rsidRDefault="00D60186" w:rsidP="00225D4D">
      <w:pPr>
        <w:pStyle w:val="avsnitt-undertittel"/>
      </w:pPr>
      <w:r w:rsidRPr="00225D4D">
        <w:t>Vedtak nr. 909, 5. juni 2025</w:t>
      </w:r>
    </w:p>
    <w:p w14:paraId="4DF02C7D" w14:textId="77777777" w:rsidR="00D60186" w:rsidRPr="00225D4D" w:rsidRDefault="00D60186" w:rsidP="00225D4D">
      <w:pPr>
        <w:pStyle w:val="blokksit"/>
        <w:rPr>
          <w:rStyle w:val="kursiv"/>
        </w:rPr>
      </w:pPr>
      <w:r w:rsidRPr="00225D4D">
        <w:rPr>
          <w:rStyle w:val="kursiv"/>
        </w:rPr>
        <w:t>«Stortinget ber regjeringen sikre at forebygging og helsefremmende arbeid blir en bedre integrert og finansiert del av fastlegetjenesten, med særlig vekt på barn, unge og eldre med sammensatte behov.</w:t>
      </w:r>
    </w:p>
    <w:p w14:paraId="11E7A063" w14:textId="77777777" w:rsidR="00D60186" w:rsidRPr="00225D4D" w:rsidRDefault="00D60186" w:rsidP="00225D4D">
      <w:r w:rsidRPr="00225D4D">
        <w:t xml:space="preserve">Vedtaket ble truffet i forbindelse med behandlingen av Meld. St. 23 (2024–2025) </w:t>
      </w:r>
      <w:r w:rsidRPr="00225D4D">
        <w:rPr>
          <w:rStyle w:val="kursiv"/>
        </w:rPr>
        <w:t xml:space="preserve">Fornye, </w:t>
      </w:r>
      <w:proofErr w:type="gramStart"/>
      <w:r w:rsidRPr="00225D4D">
        <w:rPr>
          <w:rStyle w:val="kursiv"/>
        </w:rPr>
        <w:t>forsterke,</w:t>
      </w:r>
      <w:proofErr w:type="gramEnd"/>
      <w:r w:rsidRPr="00225D4D">
        <w:rPr>
          <w:rStyle w:val="kursiv"/>
        </w:rPr>
        <w:t xml:space="preserve"> forbedre</w:t>
      </w:r>
      <w:r w:rsidRPr="00225D4D">
        <w:t>. Regjeringen vil komme tilbake til Stortinget på egnet måte.</w:t>
      </w:r>
    </w:p>
    <w:p w14:paraId="7E00BBCB" w14:textId="77777777" w:rsidR="00D60186" w:rsidRPr="00225D4D" w:rsidRDefault="00D60186" w:rsidP="00225D4D">
      <w:pPr>
        <w:pStyle w:val="avsnitt-tittel"/>
      </w:pPr>
      <w:r w:rsidRPr="00225D4D">
        <w:t>Forskrift om helsetjeneste ved samskipnadene</w:t>
      </w:r>
    </w:p>
    <w:p w14:paraId="7D316609" w14:textId="77777777" w:rsidR="00D60186" w:rsidRPr="00225D4D" w:rsidRDefault="00D60186" w:rsidP="00225D4D">
      <w:pPr>
        <w:pStyle w:val="avsnitt-undertittel"/>
      </w:pPr>
      <w:r w:rsidRPr="00225D4D">
        <w:t>Vedtak nr. 910, 5. juni 2025</w:t>
      </w:r>
    </w:p>
    <w:p w14:paraId="6B245AE2" w14:textId="77777777" w:rsidR="00D60186" w:rsidRPr="00225D4D" w:rsidRDefault="00D60186" w:rsidP="00225D4D">
      <w:pPr>
        <w:pStyle w:val="blokksit"/>
        <w:rPr>
          <w:rStyle w:val="kursiv"/>
        </w:rPr>
      </w:pPr>
      <w:r w:rsidRPr="00225D4D">
        <w:rPr>
          <w:rStyle w:val="kursiv"/>
        </w:rPr>
        <w:t>«Stortinget ber regjeringen å endre forskrift om helsetjeneste ved samskipnadene slik at alle studentsamskipnader kan opprette fastlegetjenester slik Studentsamskipnaden i Oslo (</w:t>
      </w:r>
      <w:proofErr w:type="spellStart"/>
      <w:r w:rsidRPr="00225D4D">
        <w:rPr>
          <w:rStyle w:val="kursiv"/>
        </w:rPr>
        <w:t>SiO</w:t>
      </w:r>
      <w:proofErr w:type="spellEnd"/>
      <w:r w:rsidRPr="00225D4D">
        <w:rPr>
          <w:rStyle w:val="kursiv"/>
        </w:rPr>
        <w:t>) kan i dag, for å sikre at forskriften gjelder alle landets studenter.»</w:t>
      </w:r>
    </w:p>
    <w:p w14:paraId="6CBF746E" w14:textId="77777777" w:rsidR="00D60186" w:rsidRPr="00225D4D" w:rsidRDefault="00D60186" w:rsidP="00225D4D">
      <w:r w:rsidRPr="00225D4D">
        <w:t xml:space="preserve">Vedtaket ble truffet i forbindelse med behandlingen av Meld. St. 23 (2024–2025) </w:t>
      </w:r>
      <w:r w:rsidRPr="00225D4D">
        <w:rPr>
          <w:rStyle w:val="kursiv"/>
        </w:rPr>
        <w:t xml:space="preserve">Fornye, </w:t>
      </w:r>
      <w:proofErr w:type="gramStart"/>
      <w:r w:rsidRPr="00225D4D">
        <w:rPr>
          <w:rStyle w:val="kursiv"/>
        </w:rPr>
        <w:t>forsterke,</w:t>
      </w:r>
      <w:proofErr w:type="gramEnd"/>
      <w:r w:rsidRPr="00225D4D">
        <w:rPr>
          <w:rStyle w:val="kursiv"/>
        </w:rPr>
        <w:t xml:space="preserve"> forbedre</w:t>
      </w:r>
      <w:r w:rsidRPr="00225D4D">
        <w:t>. Regjeringen vil komme tilbake til Stortinget på egnet måte.</w:t>
      </w:r>
    </w:p>
    <w:p w14:paraId="07E28232" w14:textId="77777777" w:rsidR="00D60186" w:rsidRPr="00225D4D" w:rsidRDefault="00D60186" w:rsidP="00225D4D">
      <w:pPr>
        <w:pStyle w:val="avsnitt-tittel"/>
      </w:pPr>
      <w:r w:rsidRPr="00225D4D">
        <w:t>Evaluering av endringer i helsetilsynsloven mv. (ny meldeordning for alvorlige hendelser i helse- og omsorgstjenester)</w:t>
      </w:r>
    </w:p>
    <w:p w14:paraId="17A970BD" w14:textId="77777777" w:rsidR="00D60186" w:rsidRPr="00225D4D" w:rsidRDefault="00D60186" w:rsidP="00225D4D">
      <w:pPr>
        <w:pStyle w:val="avsnitt-undertittel"/>
      </w:pPr>
      <w:r w:rsidRPr="00225D4D">
        <w:t>Vedtak nr. 912, 5. juni 2025</w:t>
      </w:r>
    </w:p>
    <w:p w14:paraId="5A56BB74" w14:textId="77777777" w:rsidR="00D60186" w:rsidRPr="00225D4D" w:rsidRDefault="00D60186" w:rsidP="00225D4D">
      <w:pPr>
        <w:pStyle w:val="blokksit"/>
        <w:rPr>
          <w:rStyle w:val="kursiv"/>
        </w:rPr>
      </w:pPr>
      <w:r w:rsidRPr="00225D4D">
        <w:rPr>
          <w:rStyle w:val="kursiv"/>
        </w:rPr>
        <w:t xml:space="preserve">«Stortinget ber regjeringen om å sikre en helhetlig evaluering lovendringene vedtatt ved behandlingen av </w:t>
      </w:r>
      <w:proofErr w:type="spellStart"/>
      <w:r w:rsidRPr="00225D4D">
        <w:rPr>
          <w:rStyle w:val="kursiv"/>
        </w:rPr>
        <w:t>Prop</w:t>
      </w:r>
      <w:proofErr w:type="spellEnd"/>
      <w:r w:rsidRPr="00225D4D">
        <w:rPr>
          <w:rStyle w:val="kursiv"/>
        </w:rPr>
        <w:t>. 121 L (2024–2025), med sikte på å vurdere hvordan endringene påvirker pasient- og brukersikkerheten og arbeidet med læring og å forebygge lignende hendelser i fremtiden. Evalueringen skal gjennomføres etter to år og senest foreligge ett år etter påbegynt evaluering.»</w:t>
      </w:r>
    </w:p>
    <w:p w14:paraId="4C624534" w14:textId="77777777" w:rsidR="00D60186" w:rsidRPr="00225D4D" w:rsidRDefault="00D60186" w:rsidP="00225D4D">
      <w:r w:rsidRPr="00225D4D">
        <w:t xml:space="preserve">Vedtaket ble truffet i forbindelse med behandlingen av </w:t>
      </w:r>
      <w:proofErr w:type="spellStart"/>
      <w:r w:rsidRPr="00225D4D">
        <w:t>Prop</w:t>
      </w:r>
      <w:proofErr w:type="spellEnd"/>
      <w:r w:rsidRPr="00225D4D">
        <w:t xml:space="preserve">. 121 L (2024–2025) </w:t>
      </w:r>
      <w:r w:rsidRPr="00225D4D">
        <w:rPr>
          <w:rStyle w:val="kursiv"/>
        </w:rPr>
        <w:t>Endringer i helsetilsynsloven mv. (ny meldeordning for alvorlige hendelser i helse- og omsorgstjenesten)</w:t>
      </w:r>
      <w:r w:rsidRPr="00225D4D">
        <w:t xml:space="preserve">, jf. </w:t>
      </w:r>
      <w:proofErr w:type="spellStart"/>
      <w:r w:rsidRPr="00225D4D">
        <w:t>Innst</w:t>
      </w:r>
      <w:proofErr w:type="spellEnd"/>
      <w:r w:rsidRPr="00225D4D">
        <w:t>. 459 L (2024–2025). Loven trer i kraft fra den tiden Kongen bestemmer. Evalueringen kan først starte når det er gått to år etter ikrafttredelsen. Regjeringen vil komme tilbake til Stortinget på egnet måte.</w:t>
      </w:r>
    </w:p>
    <w:p w14:paraId="7105C397" w14:textId="77777777" w:rsidR="00D60186" w:rsidRPr="00225D4D" w:rsidRDefault="00D60186" w:rsidP="00225D4D">
      <w:pPr>
        <w:pStyle w:val="avsnitt-tittel"/>
      </w:pPr>
      <w:r w:rsidRPr="00225D4D">
        <w:t>Evaluering av endringer i helseforskningsloven (vilkår for medisinsk og helsefaglig forskning og for bruk av helseopplysninger i forskning)</w:t>
      </w:r>
    </w:p>
    <w:p w14:paraId="052D60AF" w14:textId="77777777" w:rsidR="00D60186" w:rsidRPr="00225D4D" w:rsidRDefault="00D60186" w:rsidP="00225D4D">
      <w:pPr>
        <w:pStyle w:val="avsnitt-undertittel"/>
      </w:pPr>
      <w:r w:rsidRPr="00225D4D">
        <w:t>Vedtak nr. 913, 5. juni 2025</w:t>
      </w:r>
    </w:p>
    <w:p w14:paraId="38E2D18C" w14:textId="77777777" w:rsidR="00D60186" w:rsidRPr="00225D4D" w:rsidRDefault="00D60186" w:rsidP="00225D4D">
      <w:pPr>
        <w:pStyle w:val="blokksit"/>
        <w:rPr>
          <w:rStyle w:val="kursiv"/>
        </w:rPr>
      </w:pPr>
      <w:r w:rsidRPr="00225D4D">
        <w:rPr>
          <w:rStyle w:val="kursiv"/>
        </w:rPr>
        <w:t>«Stortinget ber regjeringen sikre en evaluering av helseforskningsloven når endringene i loven har virket i to år.»</w:t>
      </w:r>
    </w:p>
    <w:p w14:paraId="708DB5A2" w14:textId="77777777" w:rsidR="00D60186" w:rsidRPr="00225D4D" w:rsidRDefault="00D60186" w:rsidP="00225D4D">
      <w:r w:rsidRPr="00225D4D">
        <w:t xml:space="preserve">Vedtaket ble truffet i forbindelse med behandlingen av </w:t>
      </w:r>
      <w:proofErr w:type="spellStart"/>
      <w:r w:rsidRPr="00225D4D">
        <w:t>Prop</w:t>
      </w:r>
      <w:proofErr w:type="spellEnd"/>
      <w:r w:rsidRPr="00225D4D">
        <w:t xml:space="preserve">. 109 L (2024–2025) </w:t>
      </w:r>
      <w:r w:rsidRPr="00225D4D">
        <w:rPr>
          <w:rStyle w:val="kursiv"/>
        </w:rPr>
        <w:t>Endringer i helseforskningsloven mv. (vilkår for medisinsk og helsefaglig forskning og for bruk av helseopplysninger i forskning)</w:t>
      </w:r>
      <w:r w:rsidRPr="00225D4D">
        <w:t xml:space="preserve">, jf. </w:t>
      </w:r>
      <w:proofErr w:type="spellStart"/>
      <w:r w:rsidRPr="00225D4D">
        <w:t>Innst</w:t>
      </w:r>
      <w:proofErr w:type="spellEnd"/>
      <w:r w:rsidRPr="00225D4D">
        <w:t>. 400 L (2024–2025). Loven trer i kraft fra den tiden Kongen bestemmer. Evalueringen kan først starte når det er gått to år etter ikrafttredelsen. Regjeringen vil komme tilbake til Stortinget på egnet måte.</w:t>
      </w:r>
    </w:p>
    <w:p w14:paraId="077DF686" w14:textId="77777777" w:rsidR="00D60186" w:rsidRPr="00225D4D" w:rsidRDefault="00D60186" w:rsidP="00225D4D">
      <w:pPr>
        <w:pStyle w:val="avsnitt-tittel"/>
      </w:pPr>
      <w:r w:rsidRPr="00225D4D">
        <w:t>Evaluering av forskrift om markedsføring av visse næringsmidler særlig rettet mot barn</w:t>
      </w:r>
    </w:p>
    <w:p w14:paraId="06673119" w14:textId="77777777" w:rsidR="00D60186" w:rsidRPr="00225D4D" w:rsidRDefault="00D60186" w:rsidP="00225D4D">
      <w:pPr>
        <w:pStyle w:val="avsnitt-undertittel"/>
      </w:pPr>
      <w:r w:rsidRPr="00225D4D">
        <w:t>Vedtak nr. 914, 5. juni 2025</w:t>
      </w:r>
    </w:p>
    <w:p w14:paraId="3FD34B52" w14:textId="77777777" w:rsidR="00D60186" w:rsidRPr="00225D4D" w:rsidRDefault="00D60186" w:rsidP="00225D4D">
      <w:pPr>
        <w:pStyle w:val="blokksit"/>
        <w:rPr>
          <w:rStyle w:val="kursiv"/>
        </w:rPr>
      </w:pPr>
      <w:r w:rsidRPr="00225D4D">
        <w:rPr>
          <w:rStyle w:val="kursiv"/>
        </w:rPr>
        <w:t>«Stortinget ber regjeringen evaluere forskrift om forbud mot markedsføring av visse næringsmidler særlig rettet mot barn og tilhørende overtredelsesgebyr etter 2 år.»</w:t>
      </w:r>
    </w:p>
    <w:p w14:paraId="27FD6E52" w14:textId="77777777" w:rsidR="00D60186" w:rsidRPr="00225D4D" w:rsidRDefault="00D60186" w:rsidP="00225D4D">
      <w:r w:rsidRPr="00225D4D">
        <w:t xml:space="preserve">Vedtaket ble truffet i forbindelse med Stortingets behandling av </w:t>
      </w:r>
      <w:proofErr w:type="spellStart"/>
      <w:r w:rsidRPr="00225D4D">
        <w:t>Prop</w:t>
      </w:r>
      <w:proofErr w:type="spellEnd"/>
      <w:r w:rsidRPr="00225D4D">
        <w:t xml:space="preserve">. 125 L (2024–2025) </w:t>
      </w:r>
      <w:r w:rsidRPr="00225D4D">
        <w:rPr>
          <w:rStyle w:val="kursiv"/>
        </w:rPr>
        <w:t>Endringer i matloven (hjemmel for overtredelsesgebyr ved brudd på forskrift)</w:t>
      </w:r>
      <w:r w:rsidRPr="00225D4D">
        <w:t>. I tildelingsbrevet til Folkehelseinstituttet av 20. januar 2025 ligger det et oppdrag om å evaluere markedsføringsforbudet. Departementet vil følge opp dette med Folkehelseinstituttet, og regjeringen vil komme tilbake til Stortinget på egnet måte.</w:t>
      </w:r>
    </w:p>
    <w:p w14:paraId="407DF7FC" w14:textId="77777777" w:rsidR="00D60186" w:rsidRPr="00225D4D" w:rsidRDefault="00D60186" w:rsidP="00225D4D">
      <w:pPr>
        <w:pStyle w:val="avsnitt-tittel"/>
      </w:pPr>
      <w:r w:rsidRPr="00225D4D">
        <w:t>Iverksettelse av endring i matloven</w:t>
      </w:r>
    </w:p>
    <w:p w14:paraId="3B9F613A" w14:textId="77777777" w:rsidR="00D60186" w:rsidRPr="00225D4D" w:rsidRDefault="00D60186" w:rsidP="00225D4D">
      <w:pPr>
        <w:pStyle w:val="avsnitt-undertittel"/>
      </w:pPr>
      <w:r w:rsidRPr="00225D4D">
        <w:t>Vedtak nr. 915, 5. juni 2025</w:t>
      </w:r>
    </w:p>
    <w:p w14:paraId="6C61D060" w14:textId="77777777" w:rsidR="00D60186" w:rsidRPr="00225D4D" w:rsidRDefault="00D60186" w:rsidP="00225D4D">
      <w:pPr>
        <w:pStyle w:val="blokksit"/>
        <w:rPr>
          <w:rStyle w:val="kursiv"/>
        </w:rPr>
      </w:pPr>
      <w:r w:rsidRPr="00225D4D">
        <w:rPr>
          <w:rStyle w:val="kursiv"/>
        </w:rPr>
        <w:t>«Stortinget ber regjeringen sikre at endringer i matloven (hjemmel for overtredelsesgebyr ved brudd på forskrift) iverksettes 1. januar 2027.»</w:t>
      </w:r>
    </w:p>
    <w:p w14:paraId="7F83D8B3" w14:textId="77777777" w:rsidR="00D60186" w:rsidRPr="00225D4D" w:rsidRDefault="00D60186" w:rsidP="00225D4D">
      <w:r w:rsidRPr="00225D4D">
        <w:t xml:space="preserve">Vedtaket ble truffet i forbindelse med Stortingets behandling av </w:t>
      </w:r>
      <w:proofErr w:type="spellStart"/>
      <w:r w:rsidRPr="00225D4D">
        <w:t>Prop</w:t>
      </w:r>
      <w:proofErr w:type="spellEnd"/>
      <w:r w:rsidRPr="00225D4D">
        <w:t xml:space="preserve">. 125 L (2024–2025) </w:t>
      </w:r>
      <w:r w:rsidRPr="00225D4D">
        <w:rPr>
          <w:rStyle w:val="kursiv"/>
        </w:rPr>
        <w:t>Endringer i matloven (hjemmel for overtredelsesgebyr ved brudd på forskrift)</w:t>
      </w:r>
      <w:r w:rsidRPr="00225D4D">
        <w:t>. I statsråd 20. juni 2025 ble lovendringen iverksatt fra 1. januar 2027. Anmodningsvedtaket anses som fulgt opp.</w:t>
      </w:r>
    </w:p>
    <w:p w14:paraId="001D458A" w14:textId="77777777" w:rsidR="00D60186" w:rsidRPr="00225D4D" w:rsidRDefault="00D60186" w:rsidP="00225D4D">
      <w:pPr>
        <w:pStyle w:val="avsnitt-tittel"/>
      </w:pPr>
      <w:r w:rsidRPr="00225D4D">
        <w:t xml:space="preserve">Hjemmel til henvisning for </w:t>
      </w:r>
      <w:proofErr w:type="spellStart"/>
      <w:r w:rsidRPr="00225D4D">
        <w:t>russaker</w:t>
      </w:r>
      <w:proofErr w:type="spellEnd"/>
    </w:p>
    <w:p w14:paraId="7E017201" w14:textId="77777777" w:rsidR="00D60186" w:rsidRPr="00225D4D" w:rsidRDefault="00D60186" w:rsidP="00225D4D">
      <w:pPr>
        <w:pStyle w:val="avsnitt-undertittel"/>
      </w:pPr>
      <w:r w:rsidRPr="00225D4D">
        <w:t>Vedtak nr. 961, 10. juni 2025</w:t>
      </w:r>
    </w:p>
    <w:p w14:paraId="187F9D62" w14:textId="77777777" w:rsidR="00D60186" w:rsidRPr="00225D4D" w:rsidRDefault="00D60186" w:rsidP="00225D4D">
      <w:pPr>
        <w:pStyle w:val="blokksit"/>
        <w:rPr>
          <w:rStyle w:val="kursiv"/>
        </w:rPr>
      </w:pPr>
      <w:r w:rsidRPr="00225D4D">
        <w:rPr>
          <w:rStyle w:val="kursiv"/>
        </w:rPr>
        <w:t xml:space="preserve">«Stortinget ber regjeringen fremme nødvendige lovendringer slik at relevante offentlige etater har hjemmel til henvisning til frivillig oppmøte hos rådgivende enhet for </w:t>
      </w:r>
      <w:proofErr w:type="spellStart"/>
      <w:r w:rsidRPr="00225D4D">
        <w:rPr>
          <w:rStyle w:val="kursiv"/>
        </w:rPr>
        <w:t>russaker</w:t>
      </w:r>
      <w:proofErr w:type="spellEnd"/>
      <w:r w:rsidRPr="00225D4D">
        <w:rPr>
          <w:rStyle w:val="kursiv"/>
        </w:rPr>
        <w:t>, og at rådgivende enhet har ansvar for å møte personer som er henvist av slike etater.»</w:t>
      </w:r>
    </w:p>
    <w:p w14:paraId="72C5749E" w14:textId="77777777" w:rsidR="00D60186" w:rsidRPr="00225D4D" w:rsidRDefault="00D60186" w:rsidP="00225D4D">
      <w:r w:rsidRPr="00225D4D">
        <w:t xml:space="preserve">Vedtaket ble truffet ved behandling av </w:t>
      </w:r>
      <w:proofErr w:type="spellStart"/>
      <w:r w:rsidRPr="00225D4D">
        <w:t>Prop</w:t>
      </w:r>
      <w:proofErr w:type="spellEnd"/>
      <w:r w:rsidRPr="00225D4D">
        <w:t xml:space="preserve">. 112 L (2024–2025) </w:t>
      </w:r>
      <w:r w:rsidRPr="00225D4D">
        <w:rPr>
          <w:rStyle w:val="kursiv"/>
        </w:rPr>
        <w:t>Endringer i straffeloven og legemiddelloven mv. (</w:t>
      </w:r>
      <w:proofErr w:type="gramStart"/>
      <w:r w:rsidRPr="00225D4D">
        <w:rPr>
          <w:rStyle w:val="kursiv"/>
        </w:rPr>
        <w:t>befatning med</w:t>
      </w:r>
      <w:proofErr w:type="gramEnd"/>
      <w:r w:rsidRPr="00225D4D">
        <w:rPr>
          <w:rStyle w:val="kursiv"/>
        </w:rPr>
        <w:t xml:space="preserve"> mindre mengder narkotika til egen bruk)</w:t>
      </w:r>
      <w:r w:rsidRPr="00225D4D">
        <w:t xml:space="preserve">, jf. </w:t>
      </w:r>
      <w:proofErr w:type="spellStart"/>
      <w:r w:rsidRPr="00225D4D">
        <w:t>Innst</w:t>
      </w:r>
      <w:proofErr w:type="spellEnd"/>
      <w:r w:rsidRPr="00225D4D">
        <w:t>. 518 L (2024–2025). Regjeringen vil komme tilbake til Stortinget på egnet måte.</w:t>
      </w:r>
    </w:p>
    <w:p w14:paraId="1C17BE32" w14:textId="77777777" w:rsidR="00D60186" w:rsidRPr="00225D4D" w:rsidRDefault="00D60186" w:rsidP="00225D4D">
      <w:pPr>
        <w:pStyle w:val="avsnitt-tittel"/>
      </w:pPr>
      <w:r w:rsidRPr="00225D4D">
        <w:t xml:space="preserve">Vilkår om ruskontroll hos rådgivende enhet for </w:t>
      </w:r>
      <w:proofErr w:type="spellStart"/>
      <w:r w:rsidRPr="00225D4D">
        <w:t>russaker</w:t>
      </w:r>
      <w:proofErr w:type="spellEnd"/>
    </w:p>
    <w:p w14:paraId="55E8541D" w14:textId="77777777" w:rsidR="00D60186" w:rsidRPr="00225D4D" w:rsidRDefault="00D60186" w:rsidP="00225D4D">
      <w:pPr>
        <w:pStyle w:val="avsnitt-undertittel"/>
      </w:pPr>
      <w:r w:rsidRPr="00225D4D">
        <w:t>Vedtak nr. 962, 10. juni 2025</w:t>
      </w:r>
    </w:p>
    <w:p w14:paraId="4CEFAF1B" w14:textId="77777777" w:rsidR="00D60186" w:rsidRPr="00225D4D" w:rsidRDefault="00D60186" w:rsidP="00225D4D">
      <w:pPr>
        <w:pStyle w:val="blokksit"/>
        <w:rPr>
          <w:rStyle w:val="kursiv"/>
        </w:rPr>
      </w:pPr>
      <w:r w:rsidRPr="00225D4D">
        <w:rPr>
          <w:rStyle w:val="kursiv"/>
        </w:rPr>
        <w:t xml:space="preserve">«Stortinget ber regjeringen fremme lovforslag om å endre helse- og omsorgstjenesteloven § 3-9 c første ledd, slik at vilkår om ruskontroll i </w:t>
      </w:r>
      <w:proofErr w:type="gramStart"/>
      <w:r w:rsidRPr="00225D4D">
        <w:rPr>
          <w:rStyle w:val="kursiv"/>
        </w:rPr>
        <w:t>medhold av</w:t>
      </w:r>
      <w:proofErr w:type="gramEnd"/>
      <w:r w:rsidRPr="00225D4D">
        <w:rPr>
          <w:rStyle w:val="kursiv"/>
        </w:rPr>
        <w:t xml:space="preserve"> straffeloven § 37 første ledd bokstav d, ikke kan gjennomføres hos rådgivende enhet for </w:t>
      </w:r>
      <w:proofErr w:type="spellStart"/>
      <w:r w:rsidRPr="00225D4D">
        <w:rPr>
          <w:rStyle w:val="kursiv"/>
        </w:rPr>
        <w:t>russaker</w:t>
      </w:r>
      <w:proofErr w:type="spellEnd"/>
      <w:r w:rsidRPr="00225D4D">
        <w:rPr>
          <w:rStyle w:val="kursiv"/>
        </w:rPr>
        <w:t>.»</w:t>
      </w:r>
    </w:p>
    <w:p w14:paraId="221D7F18" w14:textId="77777777" w:rsidR="00D60186" w:rsidRPr="00225D4D" w:rsidRDefault="00D60186" w:rsidP="00225D4D">
      <w:r w:rsidRPr="00225D4D">
        <w:t xml:space="preserve">Vedtaket ble truffet ved behandling av </w:t>
      </w:r>
      <w:proofErr w:type="spellStart"/>
      <w:r w:rsidRPr="00225D4D">
        <w:t>Prop</w:t>
      </w:r>
      <w:proofErr w:type="spellEnd"/>
      <w:r w:rsidRPr="00225D4D">
        <w:t xml:space="preserve">. 112 L (2024–2025) </w:t>
      </w:r>
      <w:r w:rsidRPr="00225D4D">
        <w:rPr>
          <w:rStyle w:val="kursiv"/>
        </w:rPr>
        <w:t>Endringer i straffeloven og legemiddelloven mv. (</w:t>
      </w:r>
      <w:proofErr w:type="gramStart"/>
      <w:r w:rsidRPr="00225D4D">
        <w:rPr>
          <w:rStyle w:val="kursiv"/>
        </w:rPr>
        <w:t>befatning med</w:t>
      </w:r>
      <w:proofErr w:type="gramEnd"/>
      <w:r w:rsidRPr="00225D4D">
        <w:rPr>
          <w:rStyle w:val="kursiv"/>
        </w:rPr>
        <w:t xml:space="preserve"> mindre mengder narkotika til egen bruk)</w:t>
      </w:r>
      <w:r w:rsidRPr="00225D4D">
        <w:t xml:space="preserve">, jf. </w:t>
      </w:r>
      <w:proofErr w:type="spellStart"/>
      <w:r w:rsidRPr="00225D4D">
        <w:t>Innst</w:t>
      </w:r>
      <w:proofErr w:type="spellEnd"/>
      <w:r w:rsidRPr="00225D4D">
        <w:t>. 518 L (2024–2025). Regjeringen vil komme tilbake til Stortinget på egnet måte.</w:t>
      </w:r>
    </w:p>
    <w:p w14:paraId="60A17EDA" w14:textId="77777777" w:rsidR="00D60186" w:rsidRPr="00225D4D" w:rsidRDefault="00D60186" w:rsidP="00225D4D">
      <w:pPr>
        <w:pStyle w:val="avsnitt-tittel"/>
      </w:pPr>
      <w:r w:rsidRPr="00225D4D">
        <w:t>Langtidsopphold for barn med store og samansette behov</w:t>
      </w:r>
    </w:p>
    <w:p w14:paraId="2E8C67CF" w14:textId="77777777" w:rsidR="00D60186" w:rsidRPr="00225D4D" w:rsidRDefault="00D60186" w:rsidP="00225D4D">
      <w:pPr>
        <w:pStyle w:val="avsnitt-undertittel"/>
      </w:pPr>
      <w:r w:rsidRPr="00225D4D">
        <w:t>Vedtak nr. 999, 11. juni 2025</w:t>
      </w:r>
    </w:p>
    <w:p w14:paraId="5B773847" w14:textId="77777777" w:rsidR="00D60186" w:rsidRPr="00225D4D" w:rsidRDefault="00D60186" w:rsidP="00225D4D">
      <w:pPr>
        <w:pStyle w:val="blokksit"/>
        <w:rPr>
          <w:rStyle w:val="kursiv"/>
        </w:rPr>
      </w:pPr>
      <w:r w:rsidRPr="00225D4D">
        <w:rPr>
          <w:rStyle w:val="kursiv"/>
        </w:rPr>
        <w:t xml:space="preserve">«Stortinget ber regjeringa sikre at </w:t>
      </w:r>
      <w:proofErr w:type="spellStart"/>
      <w:r w:rsidRPr="00225D4D">
        <w:rPr>
          <w:rStyle w:val="kursiv"/>
        </w:rPr>
        <w:t>langtidsopphald</w:t>
      </w:r>
      <w:proofErr w:type="spellEnd"/>
      <w:r w:rsidRPr="00225D4D">
        <w:rPr>
          <w:rStyle w:val="kursiv"/>
        </w:rPr>
        <w:t xml:space="preserve"> for barn med store og samansette behov blir varetatt i den varsla </w:t>
      </w:r>
      <w:proofErr w:type="spellStart"/>
      <w:r w:rsidRPr="00225D4D">
        <w:rPr>
          <w:rStyle w:val="kursiv"/>
        </w:rPr>
        <w:t>kapasitetsauka</w:t>
      </w:r>
      <w:proofErr w:type="spellEnd"/>
      <w:r w:rsidRPr="00225D4D">
        <w:rPr>
          <w:rStyle w:val="kursiv"/>
        </w:rPr>
        <w:t xml:space="preserve"> i </w:t>
      </w:r>
      <w:proofErr w:type="spellStart"/>
      <w:r w:rsidRPr="00225D4D">
        <w:rPr>
          <w:rStyle w:val="kursiv"/>
        </w:rPr>
        <w:t>døgnplassar</w:t>
      </w:r>
      <w:proofErr w:type="spellEnd"/>
      <w:r w:rsidRPr="00225D4D">
        <w:rPr>
          <w:rStyle w:val="kursiv"/>
        </w:rPr>
        <w:t xml:space="preserve"> i BUP, og gi </w:t>
      </w:r>
      <w:proofErr w:type="spellStart"/>
      <w:r w:rsidRPr="00225D4D">
        <w:rPr>
          <w:rStyle w:val="kursiv"/>
        </w:rPr>
        <w:t>helseføretaka</w:t>
      </w:r>
      <w:proofErr w:type="spellEnd"/>
      <w:r w:rsidRPr="00225D4D">
        <w:rPr>
          <w:rStyle w:val="kursiv"/>
        </w:rPr>
        <w:t xml:space="preserve"> plikt til å prioritere barn i barnevernsinstitusjon, og </w:t>
      </w:r>
      <w:proofErr w:type="spellStart"/>
      <w:r w:rsidRPr="00225D4D">
        <w:rPr>
          <w:rStyle w:val="kursiv"/>
        </w:rPr>
        <w:t>kome</w:t>
      </w:r>
      <w:proofErr w:type="spellEnd"/>
      <w:r w:rsidRPr="00225D4D">
        <w:rPr>
          <w:rStyle w:val="kursiv"/>
        </w:rPr>
        <w:t xml:space="preserve"> attende til Stortinget på eigna måte.»</w:t>
      </w:r>
    </w:p>
    <w:p w14:paraId="07B6F1F5" w14:textId="77777777" w:rsidR="00D60186" w:rsidRPr="00225D4D" w:rsidRDefault="00D60186" w:rsidP="00225D4D">
      <w:r w:rsidRPr="00225D4D">
        <w:t xml:space="preserve">Vedtaket ble truffet i forbindelse med Stortingets behandling av </w:t>
      </w:r>
      <w:proofErr w:type="spellStart"/>
      <w:r w:rsidRPr="00225D4D">
        <w:t>Prop</w:t>
      </w:r>
      <w:proofErr w:type="spellEnd"/>
      <w:r w:rsidRPr="00225D4D">
        <w:t xml:space="preserve">. 83 L (2024–2025) </w:t>
      </w:r>
      <w:r w:rsidRPr="00225D4D">
        <w:rPr>
          <w:rStyle w:val="kursiv"/>
        </w:rPr>
        <w:t>Endringer i barnevernsloven mv. (kvalitetsløftet i barnevernet)</w:t>
      </w:r>
      <w:r w:rsidRPr="00225D4D">
        <w:t xml:space="preserve">, jf. </w:t>
      </w:r>
      <w:proofErr w:type="spellStart"/>
      <w:r w:rsidRPr="00225D4D">
        <w:t>Innst</w:t>
      </w:r>
      <w:proofErr w:type="spellEnd"/>
      <w:r w:rsidRPr="00225D4D">
        <w:t xml:space="preserve">. 524 L (2024–2025). De regionale helseforetakene vil styrke hele behandlingskjeden for mennesker med langvarige og sammensatte behov, også for barn i barnevernet. I dette inngår polikliniske tilbud og videreføring av arbeidet med ambulante team. Varighet av både polikliniske, ambulante og døgntilbud må tilpasses barnas individuelle behov. Som del av samlet behandlingstilbud er de regionale helseforetakene bedt om å utarbeide og iverksette en nasjonal plan for utbygging av tjenestetilbudet for barn og unge med rusmiddelproblemer. De regionale helseforetakene har også i tilleggsdokument til oppdragsdokument 2025 fått i oppdrag å lage en konkret og tidfestet plan for hvordan døgnkapasiteten i regionene skal økes, i tråd med gjeldende </w:t>
      </w:r>
      <w:proofErr w:type="spellStart"/>
      <w:r w:rsidRPr="00225D4D">
        <w:t>fremskrivningsmodell</w:t>
      </w:r>
      <w:proofErr w:type="spellEnd"/>
      <w:r w:rsidRPr="00225D4D">
        <w:t>. Helsedirektoratet har i 2025 fått i oppdrag å vurdere behov for endringer i regelverk, prioriteringsveiledere og/eller faglige retningslinjer når det gjelder spesialisthelsetjenestens prioritering av helsehjelp til barn med tiltak i barnevernet. Anmodningsvedtaket anses som fulgt opp.</w:t>
      </w:r>
    </w:p>
    <w:p w14:paraId="106D08A4" w14:textId="77777777" w:rsidR="00D60186" w:rsidRPr="00225D4D" w:rsidRDefault="00D60186" w:rsidP="00225D4D">
      <w:pPr>
        <w:pStyle w:val="avsnitt-tittel"/>
      </w:pPr>
      <w:r w:rsidRPr="00225D4D">
        <w:t>Barnevernsinstitusjoner og helseteam</w:t>
      </w:r>
    </w:p>
    <w:p w14:paraId="41F13DBD" w14:textId="77777777" w:rsidR="00D60186" w:rsidRPr="00225D4D" w:rsidRDefault="00D60186" w:rsidP="00225D4D">
      <w:pPr>
        <w:pStyle w:val="avsnitt-undertittel"/>
      </w:pPr>
      <w:r w:rsidRPr="00225D4D">
        <w:t>Vedtak nr. 1002, 11. juni 2025</w:t>
      </w:r>
    </w:p>
    <w:p w14:paraId="5EDA6469" w14:textId="77777777" w:rsidR="00D60186" w:rsidRPr="00225D4D" w:rsidRDefault="00D60186" w:rsidP="00225D4D">
      <w:pPr>
        <w:pStyle w:val="blokksit"/>
        <w:rPr>
          <w:rStyle w:val="kursiv"/>
        </w:rPr>
      </w:pPr>
      <w:r w:rsidRPr="00225D4D">
        <w:rPr>
          <w:rStyle w:val="kursiv"/>
        </w:rPr>
        <w:t xml:space="preserve">«Stortinget ber regjeringa så snart som </w:t>
      </w:r>
      <w:proofErr w:type="spellStart"/>
      <w:r w:rsidRPr="00225D4D">
        <w:rPr>
          <w:rStyle w:val="kursiv"/>
        </w:rPr>
        <w:t>mogleg</w:t>
      </w:r>
      <w:proofErr w:type="spellEnd"/>
      <w:r w:rsidRPr="00225D4D">
        <w:rPr>
          <w:rStyle w:val="kursiv"/>
        </w:rPr>
        <w:t xml:space="preserve"> syte for at alle </w:t>
      </w:r>
      <w:proofErr w:type="spellStart"/>
      <w:r w:rsidRPr="00225D4D">
        <w:rPr>
          <w:rStyle w:val="kursiv"/>
        </w:rPr>
        <w:t>barnevernsinstitusjonar</w:t>
      </w:r>
      <w:proofErr w:type="spellEnd"/>
      <w:r w:rsidRPr="00225D4D">
        <w:rPr>
          <w:rStyle w:val="kursiv"/>
        </w:rPr>
        <w:t xml:space="preserve"> er knytte til </w:t>
      </w:r>
      <w:proofErr w:type="spellStart"/>
      <w:r w:rsidRPr="00225D4D">
        <w:rPr>
          <w:rStyle w:val="kursiv"/>
        </w:rPr>
        <w:t>eit</w:t>
      </w:r>
      <w:proofErr w:type="spellEnd"/>
      <w:r w:rsidRPr="00225D4D">
        <w:rPr>
          <w:rStyle w:val="kursiv"/>
        </w:rPr>
        <w:t xml:space="preserve"> helseteam.»</w:t>
      </w:r>
    </w:p>
    <w:p w14:paraId="7B4AE76F" w14:textId="77777777" w:rsidR="00D60186" w:rsidRPr="00225D4D" w:rsidRDefault="00D60186" w:rsidP="00225D4D">
      <w:r w:rsidRPr="00225D4D">
        <w:t xml:space="preserve">Vedtaket ble truffet i forbindelse med Stortingets behandling av </w:t>
      </w:r>
      <w:proofErr w:type="spellStart"/>
      <w:r w:rsidRPr="00225D4D">
        <w:t>Prop</w:t>
      </w:r>
      <w:proofErr w:type="spellEnd"/>
      <w:r w:rsidRPr="00225D4D">
        <w:t xml:space="preserve">. 83 L (2024–2025) </w:t>
      </w:r>
      <w:r w:rsidRPr="00225D4D">
        <w:rPr>
          <w:rStyle w:val="kursiv"/>
        </w:rPr>
        <w:t>Endringer i barnevernsloven mv. (kvalitetsløftet i barnevernet)</w:t>
      </w:r>
      <w:r w:rsidRPr="00225D4D">
        <w:t xml:space="preserve">, jf. </w:t>
      </w:r>
      <w:proofErr w:type="spellStart"/>
      <w:r w:rsidRPr="00225D4D">
        <w:t>Innst</w:t>
      </w:r>
      <w:proofErr w:type="spellEnd"/>
      <w:r w:rsidRPr="00225D4D">
        <w:t>. 524 L (2024–2025). De regionale helseforetakene fikk i 2024 i oppdrag å planlegge for at alle barnevernsinstitusjoner er tilknyttet et ambulant spesialisthelsetjeneste-team forankret i psykisk helsevern barn og unge, med kompetanse innen psykisk helse og ruslidelser. Alle regioner rapporterer om at arbeidet med slike tilbud er igangsatt og at det i all hovedsak bygges på eksisterende ambulante team eller tilsvarende tilbud i psykisk helsevern barn og unge. Regionene viderefører arbeidet gjennom styrking av eksisterende tilbud, alternative modeller og/eller samarbeid med kommunene og barnevernet for å imøtekomme behovene for helsehjelp til barn i barnevernsinstitusjoner og veiledning til personellet. Det rapporteres om utilstrekkelig kapasitet, særlig i områder med et høyt antall barnevernsinstitusjoner. Fra 2026 foreslås det derfor å styrke tilbudene i alle de regionale helseforetakene med 40 mill. kroner slik at alle barnevernsinstitusjoner er tilknyttet et helseteam. Anmodningsvedtaket anses som fulgt opp.</w:t>
      </w:r>
    </w:p>
    <w:p w14:paraId="039D7E9F" w14:textId="77777777" w:rsidR="00D60186" w:rsidRPr="00225D4D" w:rsidRDefault="00D60186" w:rsidP="00225D4D">
      <w:pPr>
        <w:pStyle w:val="avsnitt-tittel"/>
      </w:pPr>
      <w:proofErr w:type="spellStart"/>
      <w:r w:rsidRPr="00225D4D">
        <w:t>Sikkerhetspsykiatrisk</w:t>
      </w:r>
      <w:proofErr w:type="spellEnd"/>
      <w:r w:rsidRPr="00225D4D">
        <w:t xml:space="preserve"> tilbud til barn under 18 år</w:t>
      </w:r>
    </w:p>
    <w:p w14:paraId="4C0F3F73" w14:textId="77777777" w:rsidR="00D60186" w:rsidRPr="00225D4D" w:rsidRDefault="00D60186" w:rsidP="00225D4D">
      <w:pPr>
        <w:pStyle w:val="avsnitt-undertittel"/>
      </w:pPr>
      <w:r w:rsidRPr="00225D4D">
        <w:t>Vedtak nr. 1003, 11. juni 2025</w:t>
      </w:r>
    </w:p>
    <w:p w14:paraId="000206A2" w14:textId="77777777" w:rsidR="00D60186" w:rsidRPr="00225D4D" w:rsidRDefault="00D60186" w:rsidP="00225D4D">
      <w:pPr>
        <w:pStyle w:val="blokksit"/>
        <w:rPr>
          <w:rStyle w:val="kursiv"/>
        </w:rPr>
      </w:pPr>
      <w:r w:rsidRPr="00225D4D">
        <w:rPr>
          <w:rStyle w:val="kursiv"/>
        </w:rPr>
        <w:t xml:space="preserve">«Stortinget ber regjeringa </w:t>
      </w:r>
      <w:proofErr w:type="spellStart"/>
      <w:r w:rsidRPr="00225D4D">
        <w:rPr>
          <w:rStyle w:val="kursiv"/>
        </w:rPr>
        <w:t>snarast</w:t>
      </w:r>
      <w:proofErr w:type="spellEnd"/>
      <w:r w:rsidRPr="00225D4D">
        <w:rPr>
          <w:rStyle w:val="kursiv"/>
        </w:rPr>
        <w:t xml:space="preserve"> opprette </w:t>
      </w:r>
      <w:proofErr w:type="spellStart"/>
      <w:r w:rsidRPr="00225D4D">
        <w:rPr>
          <w:rStyle w:val="kursiv"/>
        </w:rPr>
        <w:t>sikkerheitspsykiatrisk</w:t>
      </w:r>
      <w:proofErr w:type="spellEnd"/>
      <w:r w:rsidRPr="00225D4D">
        <w:rPr>
          <w:rStyle w:val="kursiv"/>
        </w:rPr>
        <w:t xml:space="preserve"> </w:t>
      </w:r>
      <w:proofErr w:type="spellStart"/>
      <w:r w:rsidRPr="00225D4D">
        <w:rPr>
          <w:rStyle w:val="kursiv"/>
        </w:rPr>
        <w:t>tilbod</w:t>
      </w:r>
      <w:proofErr w:type="spellEnd"/>
      <w:r w:rsidRPr="00225D4D">
        <w:rPr>
          <w:rStyle w:val="kursiv"/>
        </w:rPr>
        <w:t xml:space="preserve"> for barn under 18 år.»</w:t>
      </w:r>
    </w:p>
    <w:p w14:paraId="68C51EE2" w14:textId="77777777" w:rsidR="00D60186" w:rsidRPr="00225D4D" w:rsidRDefault="00D60186" w:rsidP="00225D4D">
      <w:r w:rsidRPr="00225D4D">
        <w:t xml:space="preserve">Vedtaket ble truffet i forbindelse med Stortingets behandling av </w:t>
      </w:r>
      <w:proofErr w:type="spellStart"/>
      <w:r w:rsidRPr="00225D4D">
        <w:t>Prop</w:t>
      </w:r>
      <w:proofErr w:type="spellEnd"/>
      <w:r w:rsidRPr="00225D4D">
        <w:t xml:space="preserve">. 83 L (2024–2025) </w:t>
      </w:r>
      <w:r w:rsidRPr="00225D4D">
        <w:rPr>
          <w:rStyle w:val="kursiv"/>
        </w:rPr>
        <w:t>Endringer i barnevernsloven mv. (kvalitetsløftet i barnevernet)</w:t>
      </w:r>
      <w:r w:rsidRPr="00225D4D">
        <w:t xml:space="preserve">, jf. </w:t>
      </w:r>
      <w:proofErr w:type="spellStart"/>
      <w:r w:rsidRPr="00225D4D">
        <w:t>Innst</w:t>
      </w:r>
      <w:proofErr w:type="spellEnd"/>
      <w:r w:rsidRPr="00225D4D">
        <w:t xml:space="preserve">. 524 L (2024–2025). De regionale helseforetakene har på oppdrag fra Helse- og omsorgsdepartementet utarbeidet en «Overordnet plan for sikkerhetspsykiatri og øvrige tiltak for personer på dom til overføring til tvungent psykisk helsevern». Videre har de utredet tiltak som går på tvers av regionene, og som krever samarbeid og enighet om løsninger, herunder etablering av et </w:t>
      </w:r>
      <w:proofErr w:type="spellStart"/>
      <w:r w:rsidRPr="00225D4D">
        <w:t>sikkerhetspsykiatrisk</w:t>
      </w:r>
      <w:proofErr w:type="spellEnd"/>
      <w:r w:rsidRPr="00225D4D">
        <w:t xml:space="preserve"> tilbud til barn og unge under 18 år. Forslagene er styrebehandlet i alle regionale helseforetak våren 2025, herunder anbefaling om at tilbudet organiseres som regionale tilbud med interregionale fagnettverk og at det bør inneha døgnbehandling og ambulant/veiledende virksomhet. Målgruppens størrelse og behov er svært usikker, og det anbefales derfor en foreløpig evaluering av tilbudets omfang og innretning etter to år. De regionale helseforetakene vil etablere et </w:t>
      </w:r>
      <w:proofErr w:type="spellStart"/>
      <w:r w:rsidRPr="00225D4D">
        <w:t>sikkerhetspsykiatrisk</w:t>
      </w:r>
      <w:proofErr w:type="spellEnd"/>
      <w:r w:rsidRPr="00225D4D">
        <w:t xml:space="preserve"> tilbud til barn og unge i samsvar med planen og tilgjengelige budsjettmidler til formålet. Anmodningsvedtaket anses som fulgt opp.</w:t>
      </w:r>
    </w:p>
    <w:p w14:paraId="6D3EC07B" w14:textId="77777777" w:rsidR="00D60186" w:rsidRPr="00225D4D" w:rsidRDefault="00D60186" w:rsidP="00225D4D">
      <w:pPr>
        <w:pStyle w:val="avsnitt-tittel"/>
      </w:pPr>
      <w:r w:rsidRPr="00225D4D">
        <w:t>Ansvarsfordeling i rehabiliterings- og habiliteringstjenester</w:t>
      </w:r>
    </w:p>
    <w:p w14:paraId="1B6B2A78" w14:textId="77777777" w:rsidR="00D60186" w:rsidRPr="00225D4D" w:rsidRDefault="00D60186" w:rsidP="00225D4D">
      <w:pPr>
        <w:pStyle w:val="avsnitt-undertittel"/>
      </w:pPr>
      <w:r w:rsidRPr="00225D4D">
        <w:t>Vedtak nr. 1032, 12. juni 2025</w:t>
      </w:r>
    </w:p>
    <w:p w14:paraId="7948F3C4" w14:textId="77777777" w:rsidR="00D60186" w:rsidRPr="00225D4D" w:rsidRDefault="00D60186" w:rsidP="00225D4D">
      <w:pPr>
        <w:pStyle w:val="blokksit"/>
        <w:rPr>
          <w:rStyle w:val="kursiv"/>
        </w:rPr>
      </w:pPr>
      <w:r w:rsidRPr="00225D4D">
        <w:rPr>
          <w:rStyle w:val="kursiv"/>
        </w:rPr>
        <w:t>«Stortinget ber regjeringen ikke foreta endringer i ansvarsfordeling mellom spesialisthelsetjenesten og kommunehelsetjenesten for rehabiliterings- og habiliteringstjenester frem til det er foretatt en helhetlig faglig gjennomgang av det samlede rehabiliterings- og habiliteringstilbudet.»</w:t>
      </w:r>
    </w:p>
    <w:p w14:paraId="7EBC8C8D" w14:textId="77777777" w:rsidR="00D60186" w:rsidRPr="00225D4D" w:rsidRDefault="00D60186" w:rsidP="00225D4D">
      <w:r w:rsidRPr="00225D4D">
        <w:t xml:space="preserve">Vedtaket ble truffet i forbindelse med behandling av Dokument 8: 265 S (2024–2025) om å sikre pasienter likeverdig tilgang til rehabilitering, jf. </w:t>
      </w:r>
      <w:proofErr w:type="spellStart"/>
      <w:r w:rsidRPr="00225D4D">
        <w:t>Innst</w:t>
      </w:r>
      <w:proofErr w:type="spellEnd"/>
      <w:r w:rsidRPr="00225D4D">
        <w:t xml:space="preserve">. 329 S (2024–2025). Regjeringen viser til at det i Meld. St. 9 (2024–2027) </w:t>
      </w:r>
      <w:r w:rsidRPr="00225D4D">
        <w:rPr>
          <w:rStyle w:val="kursiv"/>
        </w:rPr>
        <w:t>Nasjonal helse- og samhandlingsplan</w:t>
      </w:r>
      <w:r w:rsidRPr="00225D4D">
        <w:t xml:space="preserve"> omtales oppgave- og ansvarfordeling innen rehabilitering, hvor det vises til at regjeringen støtter vurderinger fra Helsedirektoratet om ansvarsfordelingen innen rehabilitering bør videreføres slik den står beskrevet i dagens veileder om rehabilitering, habilitering, individuell plan og koordinator. Regjeringen viser også til at Helsedirektoratet jobber, på oppdrag fra Helse- og omsorgsdepartementet, med utarbeidelse av nasjonale handlingsplaner innen habilitering og rehabilitering. Anmodningsvedtaket må ses i sammenheng med oppfølging av anmodningsvedtak nr. 1033 (2024–2025). Anmodningsvedtaket anses som fulgt opp.</w:t>
      </w:r>
    </w:p>
    <w:p w14:paraId="22690239" w14:textId="77777777" w:rsidR="00D60186" w:rsidRPr="00225D4D" w:rsidRDefault="00D60186" w:rsidP="00225D4D">
      <w:pPr>
        <w:pStyle w:val="avsnitt-tittel"/>
      </w:pPr>
      <w:r w:rsidRPr="00225D4D">
        <w:t>Gjennomgang av rehabiliterings- og habiliteringstilbudet</w:t>
      </w:r>
    </w:p>
    <w:p w14:paraId="31870812" w14:textId="77777777" w:rsidR="00D60186" w:rsidRPr="00225D4D" w:rsidRDefault="00D60186" w:rsidP="00225D4D">
      <w:pPr>
        <w:pStyle w:val="avsnitt-undertittel"/>
      </w:pPr>
      <w:r w:rsidRPr="00225D4D">
        <w:t>Vedtak nr. 1033, 12. juni 2025</w:t>
      </w:r>
    </w:p>
    <w:p w14:paraId="244D5955" w14:textId="77777777" w:rsidR="00D60186" w:rsidRPr="00225D4D" w:rsidRDefault="00D60186" w:rsidP="00225D4D">
      <w:pPr>
        <w:pStyle w:val="blokksit"/>
        <w:rPr>
          <w:rStyle w:val="kursiv"/>
        </w:rPr>
      </w:pPr>
      <w:r w:rsidRPr="00225D4D">
        <w:rPr>
          <w:rStyle w:val="kursiv"/>
        </w:rPr>
        <w:t xml:space="preserve">«Stortinget ber regjeringen foreta en helhetlig faglig gjennomgang av det samlede rehabiliterings- og habiliteringstilbudet og legge frem en </w:t>
      </w:r>
      <w:proofErr w:type="spellStart"/>
      <w:r w:rsidRPr="00225D4D">
        <w:rPr>
          <w:rStyle w:val="kursiv"/>
        </w:rPr>
        <w:t>fremskriving</w:t>
      </w:r>
      <w:proofErr w:type="spellEnd"/>
      <w:r w:rsidRPr="00225D4D">
        <w:rPr>
          <w:rStyle w:val="kursiv"/>
        </w:rPr>
        <w:t xml:space="preserve"> av behovet for både kommunehelsetjenesten og spesialisthelsetjenesten frem mot 2040.»</w:t>
      </w:r>
    </w:p>
    <w:p w14:paraId="4668CD99" w14:textId="77777777" w:rsidR="00D60186" w:rsidRPr="00225D4D" w:rsidRDefault="00D60186" w:rsidP="00225D4D">
      <w:r w:rsidRPr="00225D4D">
        <w:t xml:space="preserve">Vedtaket ble truffet i forbindelse med behandling av Dokument 8: 265 S (2024–2025) om å sikre pasienter likeverdig tilgang til rehabilitering, jf. </w:t>
      </w:r>
      <w:proofErr w:type="spellStart"/>
      <w:r w:rsidRPr="00225D4D">
        <w:t>Innst</w:t>
      </w:r>
      <w:proofErr w:type="spellEnd"/>
      <w:r w:rsidRPr="00225D4D">
        <w:t>. 329 S (2024–2025). Regjeringen viser til at Helsedirektoratet utarbeider nasjonal plan for rehabilitering. Regjeringen vil gi oppdrag til Helsedirektoratet. Anmodningsvedtaket anses som fulgt opp.</w:t>
      </w:r>
    </w:p>
    <w:p w14:paraId="3DA43781" w14:textId="77777777" w:rsidR="00D60186" w:rsidRPr="00225D4D" w:rsidRDefault="00D60186" w:rsidP="00225D4D">
      <w:pPr>
        <w:pStyle w:val="avsnitt-tittel"/>
      </w:pPr>
      <w:r w:rsidRPr="00225D4D">
        <w:t>Fødetilbud med lavere intervensjon</w:t>
      </w:r>
    </w:p>
    <w:p w14:paraId="5FF2304B" w14:textId="77777777" w:rsidR="00D60186" w:rsidRPr="00225D4D" w:rsidRDefault="00D60186" w:rsidP="00225D4D">
      <w:pPr>
        <w:pStyle w:val="avsnitt-undertittel"/>
      </w:pPr>
      <w:r w:rsidRPr="00225D4D">
        <w:t>Vedtak nr. 1034, 12. juni 2025</w:t>
      </w:r>
    </w:p>
    <w:p w14:paraId="6933A4AE" w14:textId="77777777" w:rsidR="00D60186" w:rsidRPr="00225D4D" w:rsidRDefault="00D60186" w:rsidP="00225D4D">
      <w:pPr>
        <w:pStyle w:val="blokksit"/>
        <w:rPr>
          <w:rStyle w:val="kursiv"/>
        </w:rPr>
      </w:pPr>
      <w:r w:rsidRPr="00225D4D">
        <w:rPr>
          <w:rStyle w:val="kursiv"/>
        </w:rPr>
        <w:t>«Stortinget ber regjeringen sikre at alternative fødetilbud med lavere intervensjon, som ABC-modeller, tilrettelegges og videreutvikles innenfor spesialisthelsetjenesten.»</w:t>
      </w:r>
    </w:p>
    <w:p w14:paraId="7D419594" w14:textId="77777777" w:rsidR="00D60186" w:rsidRPr="00225D4D" w:rsidRDefault="00D60186" w:rsidP="00225D4D">
      <w:r w:rsidRPr="00225D4D">
        <w:t xml:space="preserve">Vedtaket ble truffet i forbindelse med behandling av Dokument 8:272 S (2024–2025), jf. </w:t>
      </w:r>
      <w:proofErr w:type="spellStart"/>
      <w:r w:rsidRPr="00225D4D">
        <w:t>Innst</w:t>
      </w:r>
      <w:proofErr w:type="spellEnd"/>
      <w:r w:rsidRPr="00225D4D">
        <w:t>. 380 (2024–2025).</w:t>
      </w:r>
    </w:p>
    <w:p w14:paraId="58143DF5" w14:textId="77777777" w:rsidR="00D60186" w:rsidRPr="00225D4D" w:rsidRDefault="00D60186" w:rsidP="00225D4D">
      <w:r w:rsidRPr="00225D4D">
        <w:t>Stortingets behandling av Nasjonal helse- og samhandlingsplan ga føringer for å sikre gravide kvinner et helhetlig tilbud i svangerskap, fødsel og barsel. Det er satt i gang nye tilbud som gir forsvarlige og samtidig individuelt tilpassede, fleksible fødetilbud. Mange av kvalitetene som ABC representerer, er med i utviklingen av tilbudet på mange fødeavdelinger. Flere steder i landet utvikles fødetilbud som følger fødende i svangerskapet, gjennom fødselen og i barselperioden.</w:t>
      </w:r>
    </w:p>
    <w:p w14:paraId="1B99CF20" w14:textId="77777777" w:rsidR="00D60186" w:rsidRPr="00225D4D" w:rsidRDefault="00D60186" w:rsidP="00225D4D">
      <w:r w:rsidRPr="00225D4D">
        <w:t>På landets største fødeavdeling ved Oslo universitetssykehus, planlegges fødeavdelingen på Nye Aker sykehus med fleksible fødestuer, hvor fødslene kan planlegges med lav intervensjon, men hvor rommene kan omgjøres til å tilby mer intervensjon hvis det blir nødvendig. Det blir også multifunksjonsrom som kan benyttes til forberedelse til fødsel, fødsler og til barsel.</w:t>
      </w:r>
    </w:p>
    <w:p w14:paraId="76ABC069" w14:textId="77777777" w:rsidR="00D60186" w:rsidRPr="00225D4D" w:rsidRDefault="00D60186" w:rsidP="00225D4D">
      <w:r w:rsidRPr="00225D4D">
        <w:t>Min jordmor er et tilbud som er etablert i Vestre Viken HF. Forskning viser at en helhetlig omsorgsmodell gir økt trygghetsfølelse for den gravide og høyere andel normale fødsler. Regjeringen ønsker gjennom innføring av omsorgsmodellen Min jordmor å sikre at alle gravide som kan føde med mindre intervensjon får muligheten til dette. Anmodningsvedtaket anses som fulgt opp.</w:t>
      </w:r>
    </w:p>
    <w:p w14:paraId="3601686B" w14:textId="77777777" w:rsidR="00D60186" w:rsidRPr="00225D4D" w:rsidRDefault="00D60186" w:rsidP="00225D4D">
      <w:pPr>
        <w:pStyle w:val="avsnitt-tittel"/>
      </w:pPr>
      <w:r w:rsidRPr="00225D4D">
        <w:t>Vurderinger ved eventuelle fremtidige endringer i vertskommunetilskuddet</w:t>
      </w:r>
    </w:p>
    <w:p w14:paraId="6F0F967A" w14:textId="77777777" w:rsidR="00D60186" w:rsidRPr="00225D4D" w:rsidRDefault="00D60186" w:rsidP="00225D4D">
      <w:pPr>
        <w:pStyle w:val="avsnitt-undertittel"/>
      </w:pPr>
      <w:r w:rsidRPr="00225D4D">
        <w:t>Vedtak nr. 1226, 20. juni 2025</w:t>
      </w:r>
    </w:p>
    <w:p w14:paraId="440CBCB5" w14:textId="77777777" w:rsidR="00D60186" w:rsidRPr="00225D4D" w:rsidRDefault="00D60186" w:rsidP="00225D4D">
      <w:pPr>
        <w:pStyle w:val="blokksit"/>
      </w:pPr>
      <w:r w:rsidRPr="00225D4D">
        <w:rPr>
          <w:rStyle w:val="kursiv"/>
        </w:rPr>
        <w:t>«Stortinget ber regjeringen ta særlig hensyn til kommuner hvor vertskommunetilskuddet utgjør en betydelig del av det totale helse- og omsorgstjenestebudsjettet ved eventuelle fremtidige endringer i tilskuddsordningen, samt gjøre en konkret vurdering av disse kommunenes økonomiske situasjon i forbindelse med statsbudsjettet for 2026.»</w:t>
      </w:r>
    </w:p>
    <w:p w14:paraId="37B0454B" w14:textId="77777777" w:rsidR="00D60186" w:rsidRPr="00225D4D" w:rsidRDefault="00D60186" w:rsidP="00225D4D">
      <w:r w:rsidRPr="00225D4D">
        <w:t xml:space="preserve">Vedtaket ble truffet ved behandling av Meld. St. 2 (2024–2025), jf. </w:t>
      </w:r>
      <w:proofErr w:type="spellStart"/>
      <w:r w:rsidRPr="00225D4D">
        <w:t>Innst</w:t>
      </w:r>
      <w:proofErr w:type="spellEnd"/>
      <w:r w:rsidRPr="00225D4D">
        <w:t>. 540 S (2024–2025).</w:t>
      </w:r>
    </w:p>
    <w:p w14:paraId="005F2A69" w14:textId="77777777" w:rsidR="00D60186" w:rsidRPr="00225D4D" w:rsidRDefault="00D60186" w:rsidP="00225D4D">
      <w:r w:rsidRPr="00225D4D">
        <w:t>Ved forslag til innretning for tilskuddet vurderer regjeringen flere forhold, herunder også særskilt situasjonen for kommunene der vertskommunetilskuddet utgjør en betydelig del av det totale helse- og omsorgstjenestebudsjettet. Det vurderes at Kvæfjord, Vestnes, Søndre Land og Saltdal er kommunene hvor tilskuddet utgjør størst andel sett opp mot utgiftene.</w:t>
      </w:r>
    </w:p>
    <w:p w14:paraId="5DEAC1A7" w14:textId="77777777" w:rsidR="00D60186" w:rsidRPr="00225D4D" w:rsidRDefault="00D60186" w:rsidP="00225D4D">
      <w:r w:rsidRPr="00225D4D">
        <w:t>Det er tatt særlig hensyn til kommunene der vertskommunetilskuddet utgjør størst andel sett opp mot utgiftene, ved at rammereduksjonen i tilskuddet i 2026 fordeles etter befolkningsstørrelse.</w:t>
      </w:r>
    </w:p>
    <w:p w14:paraId="121416C3" w14:textId="77777777" w:rsidR="00D60186" w:rsidRPr="00225D4D" w:rsidRDefault="00D60186" w:rsidP="00225D4D">
      <w:r w:rsidRPr="00225D4D">
        <w:t>Regjeringen har også vurdert den økonomiske situasjonen til kommunene som mottar vertskommunetilskuddet i 2025. Det er stor variasjon i den økonomiske situasjonen til landets kommuner, og dette gjelder også blant kommunene som mottar vertskommunetilskudd. Ingen av vertskommunene var registrert i ROBEK per 12. august 2025. Nivået på sentrale økonomiske indikatorer som netto driftsresultat, disposisjonsfond og gjeldsnivå varierer mellom vertskommunene, på samme måte som for øvrige kommuner.</w:t>
      </w:r>
    </w:p>
    <w:p w14:paraId="27B9F8B4" w14:textId="77777777" w:rsidR="00D60186" w:rsidRPr="00225D4D" w:rsidRDefault="00D60186" w:rsidP="00225D4D">
      <w:r w:rsidRPr="00225D4D">
        <w:t xml:space="preserve">Netto driftsresultat er </w:t>
      </w:r>
      <w:proofErr w:type="spellStart"/>
      <w:r w:rsidRPr="00225D4D">
        <w:t>hovedindikatoren</w:t>
      </w:r>
      <w:proofErr w:type="spellEnd"/>
      <w:r w:rsidRPr="00225D4D">
        <w:t xml:space="preserve"> for økonomisk balanse i kommunesektoren, og vertskommunene skiller seg ikke vesentlig fra andre kommuner på denne indikatoren. For mange kommuner var den økonomiske situasjonen i 2024 krevende, og i underkant av 60 pst. av alle kommuner hadde et negativt driftsresultat i 2024. Andelen kommuner med negativt driftsresultat var den samme blant vertskommunene som blant øvrige kommuner.</w:t>
      </w:r>
    </w:p>
    <w:p w14:paraId="2486DE45" w14:textId="77777777" w:rsidR="00D60186" w:rsidRPr="00225D4D" w:rsidRDefault="00D60186" w:rsidP="00225D4D">
      <w:r w:rsidRPr="00225D4D">
        <w:t>Den økonomiske situasjonen varierer også blant kommunene der vertskommunetilskuddet utgjør størst andel av utgiftene til helse- og omsorgstjenester. Både Kvæfjord og Vestnes hadde positive netto driftsresultater hvert av årene i perioden 2022–2024. Søndre Land og Saltdal har hatt negative driftsresultater de siste årene. Nivået på oppsparte midler (fri egenkapital i drift eller disposisjonsfond) varierer også mellom kommunene. Kvæfjord har betydelige oppsparte midler, mens disposisjonsfondene for de øvrige tre var under landsgjennomsnittet ved utgangen av 2024. Alle de fire kommunene har et gjeldsnivå under landsgjennomsnittet.</w:t>
      </w:r>
    </w:p>
    <w:p w14:paraId="6509BE7A" w14:textId="77777777" w:rsidR="00D60186" w:rsidRPr="00225D4D" w:rsidRDefault="00D60186" w:rsidP="00225D4D">
      <w:r w:rsidRPr="00225D4D">
        <w:t>Den økonomiske situasjonen varierer altså mellom vertskommunene, på samme måte som mellom kommunene ellers. Regjeringen mener at økonomisk balanse i kommunesektoren er viktig for tjenestetilbudet til innbyggerne i alle kommuner, og har derfor lagt opp til en betydelig inntektsvekst i de årlige statsbudsjettene.</w:t>
      </w:r>
    </w:p>
    <w:p w14:paraId="41DD3E1D" w14:textId="77777777" w:rsidR="00D60186" w:rsidRPr="00225D4D" w:rsidRDefault="00D60186" w:rsidP="00225D4D">
      <w:r w:rsidRPr="00225D4D">
        <w:t xml:space="preserve">Ytterligere informasjon og vurderinger rundt helheten i kommuneøkonomien er fyldig beskrevet i kommuneproposisjonen for 2026 og </w:t>
      </w:r>
      <w:proofErr w:type="spellStart"/>
      <w:r w:rsidRPr="00225D4D">
        <w:t>Prop</w:t>
      </w:r>
      <w:proofErr w:type="spellEnd"/>
      <w:r w:rsidRPr="00225D4D">
        <w:t xml:space="preserve">. 1 S (2025–2026) for Kommunal- og </w:t>
      </w:r>
      <w:proofErr w:type="spellStart"/>
      <w:r w:rsidRPr="00225D4D">
        <w:t>distriktsdepartementet</w:t>
      </w:r>
      <w:proofErr w:type="spellEnd"/>
      <w:r w:rsidRPr="00225D4D">
        <w:t>. Anmodningsvedtaket anses som fulgt opp.</w:t>
      </w:r>
    </w:p>
    <w:p w14:paraId="5FA4B8AC" w14:textId="77777777" w:rsidR="00D60186" w:rsidRPr="00225D4D" w:rsidRDefault="00D60186" w:rsidP="00225D4D">
      <w:pPr>
        <w:pStyle w:val="avsnitt-tittel"/>
      </w:pPr>
      <w:r w:rsidRPr="00225D4D">
        <w:t>Forsøksordning i Helse Nord vedr. nødvendig overnatting</w:t>
      </w:r>
    </w:p>
    <w:p w14:paraId="4D4D8C07" w14:textId="77777777" w:rsidR="00D60186" w:rsidRPr="00225D4D" w:rsidRDefault="00D60186" w:rsidP="00225D4D">
      <w:pPr>
        <w:pStyle w:val="avsnitt-undertittel"/>
      </w:pPr>
      <w:r w:rsidRPr="00225D4D">
        <w:t>Vedtak nr. 1236, 20. juni 2025</w:t>
      </w:r>
    </w:p>
    <w:p w14:paraId="3301D7D0" w14:textId="77777777" w:rsidR="00D60186" w:rsidRPr="00225D4D" w:rsidRDefault="00D60186" w:rsidP="00225D4D">
      <w:pPr>
        <w:pStyle w:val="blokksit"/>
        <w:rPr>
          <w:rStyle w:val="kursiv"/>
        </w:rPr>
      </w:pPr>
      <w:r w:rsidRPr="00225D4D">
        <w:rPr>
          <w:rStyle w:val="kursiv"/>
        </w:rPr>
        <w:t>«Stortinget ber regjeringen innføre en forsøksordning der Helse Nord kan refundere et høyere beløp for nødvendig overnatting.»</w:t>
      </w:r>
    </w:p>
    <w:p w14:paraId="68C11649" w14:textId="77777777" w:rsidR="00D60186" w:rsidRPr="00225D4D" w:rsidRDefault="00D60186" w:rsidP="00225D4D">
      <w:r w:rsidRPr="00225D4D">
        <w:t xml:space="preserve">Vedtaket ble truffet i forbindelse med behandlingen av </w:t>
      </w:r>
      <w:proofErr w:type="spellStart"/>
      <w:r w:rsidRPr="00225D4D">
        <w:t>Prop</w:t>
      </w:r>
      <w:proofErr w:type="spellEnd"/>
      <w:r w:rsidRPr="00225D4D">
        <w:t xml:space="preserve">. 146 S (2024–2025), jf. </w:t>
      </w:r>
      <w:proofErr w:type="spellStart"/>
      <w:r w:rsidRPr="00225D4D">
        <w:t>Innst</w:t>
      </w:r>
      <w:proofErr w:type="spellEnd"/>
      <w:r w:rsidRPr="00225D4D">
        <w:t>. 540 S (2024–2025). Helse- og omsorgsdepartementet har den 4. juli sendt revidert oppdragsdokument til Helse Nord RHF der det vises til vedtaket og spesifiseres at «Helse Nord RHF skal etablere et arbeid med sikte på å ha en slik forsøksordning iverksatt så fort som mulig.» Anmodningsvedtaket anses som fulgt opp.</w:t>
      </w:r>
    </w:p>
    <w:p w14:paraId="5280D28C" w14:textId="77777777" w:rsidR="00D60186" w:rsidRPr="00225D4D" w:rsidRDefault="00D60186" w:rsidP="00225D4D">
      <w:pPr>
        <w:pStyle w:val="avsnitt-tittel"/>
      </w:pPr>
      <w:r w:rsidRPr="00225D4D">
        <w:t>God drift og arbeidsmiljø ved nye sykehus</w:t>
      </w:r>
    </w:p>
    <w:p w14:paraId="331A3182" w14:textId="77777777" w:rsidR="00D60186" w:rsidRPr="00225D4D" w:rsidRDefault="00D60186" w:rsidP="00225D4D">
      <w:pPr>
        <w:pStyle w:val="avsnitt-undertittel"/>
      </w:pPr>
      <w:r w:rsidRPr="00225D4D">
        <w:t>Vedtak nr. 1249, 20. juni 2025</w:t>
      </w:r>
    </w:p>
    <w:p w14:paraId="0EEA0A3E" w14:textId="77777777" w:rsidR="00D60186" w:rsidRPr="00225D4D" w:rsidRDefault="00D60186" w:rsidP="00225D4D">
      <w:pPr>
        <w:pStyle w:val="blokksit"/>
        <w:rPr>
          <w:rStyle w:val="kursiv"/>
        </w:rPr>
      </w:pPr>
      <w:r w:rsidRPr="00225D4D">
        <w:rPr>
          <w:rStyle w:val="kursiv"/>
        </w:rPr>
        <w:t>«Stortinget ber regjeringen sørge for, ved bygging av nye eller utvidelse av eksisterende sykehus, at det legges til rette for god drift og godt arbeidsmiljø. Dette inkluderer gode garderobefasiliteter med mulighet for oppbevaring av sko og personlige eiendeler. Løsningene skal utarbeides i nært samarbeid med tillitsvalgte.»</w:t>
      </w:r>
    </w:p>
    <w:p w14:paraId="4397A0F9" w14:textId="77777777" w:rsidR="00D60186" w:rsidRPr="00225D4D" w:rsidRDefault="00D60186" w:rsidP="00225D4D">
      <w:r w:rsidRPr="00225D4D">
        <w:t xml:space="preserve">Vedtaket ble truffet i forbindelse med behandling av Meld. St. 2 (2024–2025), jf. </w:t>
      </w:r>
      <w:proofErr w:type="spellStart"/>
      <w:r w:rsidRPr="00225D4D">
        <w:t>Innst</w:t>
      </w:r>
      <w:proofErr w:type="spellEnd"/>
      <w:r w:rsidRPr="00225D4D">
        <w:t>. 540 S (2024–2025). Vedtaket vil bli fulgt opp med oppdrag til de regionale helseforetakene i oppdragsdokumentet for 2026. Regjeringen vil komme tilbake til Stortinget på egnet måte.</w:t>
      </w:r>
    </w:p>
    <w:p w14:paraId="2B074FFE" w14:textId="77777777" w:rsidR="00D60186" w:rsidRPr="00225D4D" w:rsidRDefault="00D60186" w:rsidP="00225D4D">
      <w:pPr>
        <w:pStyle w:val="Overskrift2"/>
      </w:pPr>
      <w:r w:rsidRPr="00225D4D">
        <w:t>Stortingssesjon (2023–2024)</w:t>
      </w:r>
    </w:p>
    <w:p w14:paraId="52948D74" w14:textId="77777777" w:rsidR="00D60186" w:rsidRPr="00225D4D" w:rsidRDefault="00D60186" w:rsidP="00225D4D">
      <w:pPr>
        <w:pStyle w:val="avsnitt-tittel"/>
      </w:pPr>
      <w:r w:rsidRPr="00225D4D">
        <w:t>Sikre kvinnehelse i Nasjonal helse- og samhandlingsplan</w:t>
      </w:r>
    </w:p>
    <w:p w14:paraId="28036E3D" w14:textId="77777777" w:rsidR="00D60186" w:rsidRPr="00225D4D" w:rsidRDefault="00D60186" w:rsidP="00225D4D">
      <w:pPr>
        <w:pStyle w:val="avsnitt-undertittel"/>
      </w:pPr>
      <w:r w:rsidRPr="00225D4D">
        <w:t>Vedtak nr. 3, 5. oktober 2023</w:t>
      </w:r>
    </w:p>
    <w:p w14:paraId="26A8DE7F" w14:textId="77777777" w:rsidR="00D60186" w:rsidRPr="00225D4D" w:rsidRDefault="00D60186" w:rsidP="00225D4D">
      <w:pPr>
        <w:pStyle w:val="blokksit"/>
        <w:rPr>
          <w:rStyle w:val="kursiv"/>
        </w:rPr>
      </w:pPr>
      <w:r w:rsidRPr="00225D4D">
        <w:rPr>
          <w:rStyle w:val="kursiv"/>
        </w:rPr>
        <w:t>«Stortinget ber regjeringen sikre at kvinnehelse blir en sentral del av nasjonal helse- og samhandlingsplan og at det legges frem konkrete forslag til tiltak og en plan slik at kvinnehelse blir behandlet i Stortinget.»</w:t>
      </w:r>
    </w:p>
    <w:p w14:paraId="376C7ACA" w14:textId="77777777" w:rsidR="00D60186" w:rsidRPr="00225D4D" w:rsidRDefault="00D60186" w:rsidP="00225D4D">
      <w:r w:rsidRPr="00225D4D">
        <w:t xml:space="preserve">Vedtaket ble truffet i forbindelse med trontaledebatten 5. oktober 2023. Regjeringen viser til plan for arbeidet med kvinnehelse og om innholdet i regjeringens kvinnehelsestrategi omtalt i Meld. St. 9 (2023–2024) </w:t>
      </w:r>
      <w:r w:rsidRPr="00225D4D">
        <w:rPr>
          <w:rStyle w:val="kursiv"/>
        </w:rPr>
        <w:t xml:space="preserve">Nasjonal helse- og samhandlingsplan 2024–2027 – Vår felles helsetjeneste. </w:t>
      </w:r>
      <w:r w:rsidRPr="00225D4D">
        <w:t xml:space="preserve">Her er det tatt inn et eget kapittel 7 om En sammenhengende, trygg og helhetlig svangerskaps-, fødsels- og barselomsorg og et underkapittel 3.4 om Kvinnehelse. I kapittel 7 </w:t>
      </w:r>
      <w:proofErr w:type="spellStart"/>
      <w:r w:rsidRPr="00225D4D">
        <w:t>utkvitteres</w:t>
      </w:r>
      <w:proofErr w:type="spellEnd"/>
      <w:r w:rsidRPr="00225D4D">
        <w:t xml:space="preserve"> forslagene fra Kvinnehelseutvalget innenfor svangerskaps-, fødsels- og barselomsorgen (NOU 2023: 5 </w:t>
      </w:r>
      <w:r w:rsidRPr="00225D4D">
        <w:rPr>
          <w:rStyle w:val="kursiv"/>
        </w:rPr>
        <w:t>Den store forskjellen – Om kvinners helse og betydningen av kjønn for helse).</w:t>
      </w:r>
      <w:r w:rsidRPr="00225D4D">
        <w:t xml:space="preserve"> I 3.4 beskrives planen for arbeidet med kvinnehelsestrategien. I tillegg presenteres forslag fra Kvinnehelseutvalget som regjeringen har fulgt opp, som styrking av helsestasjon- og skolehelsetjenesten, arbeidet med å styrke tilbudet til kvinner med plager som endometriose og </w:t>
      </w:r>
      <w:proofErr w:type="spellStart"/>
      <w:r w:rsidRPr="00225D4D">
        <w:t>lymfødem</w:t>
      </w:r>
      <w:proofErr w:type="spellEnd"/>
      <w:r w:rsidRPr="00225D4D">
        <w:t xml:space="preserve"> og nedsettelse av utvalg som skal se på kvinners arbeidshelse. Regjeringen presenterer også hvordan forslagene fra Kvinnehelseutvalget skal innlemmes i pågående arbeid, som i opptrappingsplan for psykisk helse og i opptrappingsplan mot vold mot barn og vold i nære relasjoner. Nasjonal helse- og samhandlingsplan ble behandlet i Stortinget 28. mai 2024 jf. </w:t>
      </w:r>
      <w:proofErr w:type="spellStart"/>
      <w:r w:rsidRPr="00225D4D">
        <w:t>Innst</w:t>
      </w:r>
      <w:proofErr w:type="spellEnd"/>
      <w:r w:rsidRPr="00225D4D">
        <w:t>. 387 S (2023–2024). Stortinget gjorde følgende vedtak knyttet til kjønnsperspektivet i helse og kvinnehelse: Vedtak nr. 2, 3, 4 og 5, 28. mai 2024. Anmodningsvedtaket anses som fulgt opp.</w:t>
      </w:r>
    </w:p>
    <w:p w14:paraId="57AF6A41" w14:textId="77777777" w:rsidR="00D60186" w:rsidRPr="00225D4D" w:rsidRDefault="00D60186" w:rsidP="00225D4D">
      <w:pPr>
        <w:pStyle w:val="avsnitt-tittel"/>
      </w:pPr>
      <w:r w:rsidRPr="00225D4D">
        <w:t>Helseutfordringer knyttet til rasisme og diskriminering</w:t>
      </w:r>
    </w:p>
    <w:p w14:paraId="7F8C1567" w14:textId="77777777" w:rsidR="00D60186" w:rsidRPr="00225D4D" w:rsidRDefault="00D60186" w:rsidP="00225D4D">
      <w:pPr>
        <w:pStyle w:val="avsnitt-undertittel"/>
      </w:pPr>
      <w:r w:rsidRPr="00225D4D">
        <w:t>Vedtak nr. 121, 7. desember 2023</w:t>
      </w:r>
    </w:p>
    <w:p w14:paraId="3C1E0FCC" w14:textId="77777777" w:rsidR="00D60186" w:rsidRPr="00225D4D" w:rsidRDefault="00D60186" w:rsidP="00225D4D">
      <w:pPr>
        <w:pStyle w:val="blokksit"/>
        <w:rPr>
          <w:rStyle w:val="kursiv"/>
        </w:rPr>
      </w:pPr>
      <w:r w:rsidRPr="00225D4D">
        <w:rPr>
          <w:rStyle w:val="kursiv"/>
        </w:rPr>
        <w:t>«Stortinget ber regjeringen i oppfølgingen av opptrappingsplanen inkludere de psykiske helseutfordringene mennesker som utsettes for rasisme og diskriminering opplever, samt sikre at helsetjenestene får mer kunnskap om disse sammenhengene.»</w:t>
      </w:r>
    </w:p>
    <w:p w14:paraId="6850D6DB" w14:textId="77777777" w:rsidR="00D60186" w:rsidRPr="00225D4D" w:rsidRDefault="00D60186" w:rsidP="00225D4D">
      <w:r w:rsidRPr="00225D4D">
        <w:t xml:space="preserve">Vedtaket ble truffet ved behandling av Meld. St. 23 (2022–2023) </w:t>
      </w:r>
      <w:r w:rsidRPr="00225D4D">
        <w:rPr>
          <w:rStyle w:val="kursiv"/>
        </w:rPr>
        <w:t>Opptrappingsplan for psykisk helse (2023</w:t>
      </w:r>
      <w:r w:rsidRPr="00225D4D">
        <w:t>–</w:t>
      </w:r>
      <w:r w:rsidRPr="00225D4D">
        <w:rPr>
          <w:rStyle w:val="kursiv"/>
        </w:rPr>
        <w:t>2033)</w:t>
      </w:r>
      <w:r w:rsidRPr="00225D4D">
        <w:t xml:space="preserve">, jf. </w:t>
      </w:r>
      <w:proofErr w:type="spellStart"/>
      <w:r w:rsidRPr="00225D4D">
        <w:t>Innst</w:t>
      </w:r>
      <w:proofErr w:type="spellEnd"/>
      <w:r w:rsidRPr="00225D4D">
        <w:t xml:space="preserve">. 108 S (2023–2024). Regjeringen har gjort mye for å motvirke rasisme og diskriminering, blant annet gjennom </w:t>
      </w:r>
      <w:r w:rsidRPr="00225D4D">
        <w:rPr>
          <w:rStyle w:val="kursiv"/>
        </w:rPr>
        <w:t>Handlingsplan mot rasisme og diskriminering – Ny innsats 2024–2027</w:t>
      </w:r>
      <w:r w:rsidRPr="00225D4D">
        <w:t>. Planen er rettet mot rasisme og diskriminering som ungdom opplever, og den vektlegger innsatsen i kommuner og lokalsamfunn. Handlingsplanen skal bidra til regjeringens mål om å bygge et samfunn med sterkere fellesskap og like muligheter for alle. Folkehelseinstituttet har videre fått i oppdrag om å skaffe oversikt over hvordan sammenhengen mellom opplevd rasisme og diskriminering og helse adresseres i eksisterende undersøkelser og vurdere om det er behov for å sammenstille og videreutvikle disse for å kartlegge sammenhengen mellom rasisme, diskriminering og helse nærmere. Anmodningsvedtaket anses som fulgt opp.</w:t>
      </w:r>
    </w:p>
    <w:p w14:paraId="004F6FEC" w14:textId="77777777" w:rsidR="00D60186" w:rsidRPr="00225D4D" w:rsidRDefault="00D60186" w:rsidP="00225D4D">
      <w:pPr>
        <w:pStyle w:val="avsnitt-tittel"/>
      </w:pPr>
      <w:r w:rsidRPr="00225D4D">
        <w:t>Oppfølging av spesialister som arbeider med psykisk helsevern</w:t>
      </w:r>
    </w:p>
    <w:p w14:paraId="0285547B" w14:textId="77777777" w:rsidR="00D60186" w:rsidRPr="00225D4D" w:rsidRDefault="00D60186" w:rsidP="00225D4D">
      <w:pPr>
        <w:pStyle w:val="avsnitt-undertittel"/>
      </w:pPr>
      <w:r w:rsidRPr="00225D4D">
        <w:t>Vedtak nr. 122, 7. desember 2023</w:t>
      </w:r>
    </w:p>
    <w:p w14:paraId="50069873" w14:textId="77777777" w:rsidR="00D60186" w:rsidRPr="00225D4D" w:rsidRDefault="00D60186" w:rsidP="00225D4D">
      <w:pPr>
        <w:pStyle w:val="blokksit"/>
        <w:rPr>
          <w:rStyle w:val="kursiv"/>
        </w:rPr>
      </w:pPr>
      <w:r w:rsidRPr="00225D4D">
        <w:rPr>
          <w:rStyle w:val="kursiv"/>
        </w:rPr>
        <w:t>«Stortinget ber regjeringen komme tilbake med en plan for oppfølging av nyutdannede og etablerte spesialister i psykisk helsevern, med mål om at flere opplever en god arbeidshverdag og at færre slutter.»</w:t>
      </w:r>
    </w:p>
    <w:p w14:paraId="28134A9C" w14:textId="77777777" w:rsidR="00D60186" w:rsidRPr="00225D4D" w:rsidRDefault="00D60186" w:rsidP="00225D4D">
      <w:r w:rsidRPr="00225D4D">
        <w:t xml:space="preserve">Vedtaket ble truffet ved behandling av Meld. St. 23 (2022–2023) </w:t>
      </w:r>
      <w:r w:rsidRPr="00225D4D">
        <w:rPr>
          <w:rStyle w:val="kursiv"/>
        </w:rPr>
        <w:t>Opptrappingsplan for psykisk helse (2023–2033)</w:t>
      </w:r>
      <w:r w:rsidRPr="00225D4D">
        <w:t xml:space="preserve">, jf. </w:t>
      </w:r>
      <w:proofErr w:type="spellStart"/>
      <w:r w:rsidRPr="00225D4D">
        <w:t>Innst</w:t>
      </w:r>
      <w:proofErr w:type="spellEnd"/>
      <w:r w:rsidRPr="00225D4D">
        <w:t>. 108 S (2023–2024). Regjeringen har lagt frem Meld. St. 9 (2023–2024</w:t>
      </w:r>
      <w:r w:rsidRPr="00225D4D">
        <w:rPr>
          <w:rStyle w:val="kursiv"/>
        </w:rPr>
        <w:t>) Nasjonal helse- og samhandlingsplan</w:t>
      </w:r>
      <w:r w:rsidRPr="00225D4D">
        <w:t>. Meldingen legger de overordnede rammene for regjeringens politikk for å rekruttere, kvalifisere, utvikle og beholde arbeidskraft i helse- og omsorgstjenestene, herunder også for nyutdannede og etablerte spesialister i psykisk helsevern. Arbeidet for å sikre nok fagfolk til den offentlige helse- og omsorgstjenesten pågår med en samtidig innsats innen områdene i) arbeidsmiljø og arbeidsvilkår, ii) oppgavedeling og effektiv organisering og iii) rekruttering, kvalifisering og kompetanseutvikling. Departementet følger opp arbeidet for å sikre arbeidskraft. Anmodningsvedtaket anses som fulgt opp.</w:t>
      </w:r>
    </w:p>
    <w:p w14:paraId="07220A3B" w14:textId="77777777" w:rsidR="00D60186" w:rsidRPr="00225D4D" w:rsidRDefault="00D60186" w:rsidP="00225D4D">
      <w:pPr>
        <w:pStyle w:val="avsnitt-tittel"/>
      </w:pPr>
      <w:r w:rsidRPr="00225D4D">
        <w:t>Helseteam i barneverntjenesten</w:t>
      </w:r>
    </w:p>
    <w:p w14:paraId="3FEF3ED1" w14:textId="77777777" w:rsidR="00D60186" w:rsidRPr="00225D4D" w:rsidRDefault="00D60186" w:rsidP="00225D4D">
      <w:pPr>
        <w:pStyle w:val="avsnitt-undertittel"/>
      </w:pPr>
      <w:r w:rsidRPr="00225D4D">
        <w:t>Vedtak nr. 123, 7. desember 2023</w:t>
      </w:r>
    </w:p>
    <w:p w14:paraId="5849B968" w14:textId="77777777" w:rsidR="00D60186" w:rsidRPr="00225D4D" w:rsidRDefault="00D60186" w:rsidP="00225D4D">
      <w:pPr>
        <w:pStyle w:val="blokksit"/>
        <w:rPr>
          <w:rStyle w:val="kursiv"/>
        </w:rPr>
      </w:pPr>
      <w:r w:rsidRPr="00225D4D">
        <w:rPr>
          <w:rStyle w:val="kursiv"/>
        </w:rPr>
        <w:t>«Stortinget ber regjeringen komme tilbake til Stortinget med forslag til hvordan en ordning med helseteam i barneverntjenesten kan se ut, og eventuelt andre tiltak som må på plass for å sikre at barn i barnevernsinstitusjon får den oppfølgingen innen psykisk helsehjelp de har rett på.»</w:t>
      </w:r>
    </w:p>
    <w:p w14:paraId="1F5AB0B0" w14:textId="77777777" w:rsidR="00D60186" w:rsidRPr="00225D4D" w:rsidRDefault="00D60186" w:rsidP="00225D4D">
      <w:r w:rsidRPr="00225D4D">
        <w:t xml:space="preserve">Vedtaket ble truffet ved behandling av Meld. St. 23 (2022–2023) </w:t>
      </w:r>
      <w:r w:rsidRPr="00225D4D">
        <w:rPr>
          <w:rStyle w:val="kursiv"/>
        </w:rPr>
        <w:t>Opptrappingsplan for psykisk helse (2023–2033)</w:t>
      </w:r>
      <w:r w:rsidRPr="00225D4D">
        <w:t xml:space="preserve">, jf. </w:t>
      </w:r>
      <w:proofErr w:type="spellStart"/>
      <w:r w:rsidRPr="00225D4D">
        <w:t>Innst</w:t>
      </w:r>
      <w:proofErr w:type="spellEnd"/>
      <w:r w:rsidRPr="00225D4D">
        <w:t>. 108 S (2023–2024). De regionale helseforetakene fikk i 2024 i oppdrag å planlegge for at alle barnevernsinstitusjoner er tilknyttet et ambulant spesialisthelsetjeneste-team forankret i psykisk helsevern barn og unge, med kompetanse innen psykisk helse og ruslidelser. Alle regioner rapporterer om at arbeidet med slike tilbud er igangsatt og at det i all hovedsak bygges på eksisterende ambulante team eller tilsvarende tilbud i psykisk helsevern barn og unge. Regionene viderefører arbeidet gjennom styrking av eksisterende tilbud, alternative modeller og/eller samarbeid med kommunene og barnevernet for å imøtekomme behovene for helsehjelp til barn i barnevernsinstitusjoner og veiledning til personellet. Det rapporteres om utilstrekkelig kapasitet, særlig i områder med et høyt antall barnevernsinstitusjoner. Fra 2026 foreslås det derfor å styrke tilbudene i alle de regionale helseforetakene med 40 mill. kroner. Helsedirektoratet har i 2025 fått i oppdrag, i samarbeid med Barne-, ungdoms- og familiedirektoratet og de regionale helseforetakene, å utarbeide nasjonale faglige anbefalinger om nærmere innretning av og faglige råd fra helseteam. Anmodningsvedtaket anses som fulgt opp.</w:t>
      </w:r>
    </w:p>
    <w:p w14:paraId="7539049C" w14:textId="77777777" w:rsidR="00D60186" w:rsidRPr="00225D4D" w:rsidRDefault="00D60186" w:rsidP="00225D4D">
      <w:pPr>
        <w:pStyle w:val="avsnitt-tittel"/>
      </w:pPr>
      <w:r w:rsidRPr="00225D4D">
        <w:t>Personlige økonomiske hensyn i det selvmordsforebyggende arbeidet</w:t>
      </w:r>
    </w:p>
    <w:p w14:paraId="2772C91D" w14:textId="77777777" w:rsidR="00D60186" w:rsidRPr="00225D4D" w:rsidRDefault="00D60186" w:rsidP="00225D4D">
      <w:pPr>
        <w:pStyle w:val="avsnitt-undertittel"/>
      </w:pPr>
      <w:r w:rsidRPr="00225D4D">
        <w:t>Vedtak nr. 124, 7. desember 2023</w:t>
      </w:r>
    </w:p>
    <w:p w14:paraId="799A1B7F" w14:textId="77777777" w:rsidR="00D60186" w:rsidRPr="00225D4D" w:rsidRDefault="00D60186" w:rsidP="00225D4D">
      <w:pPr>
        <w:pStyle w:val="blokksit"/>
        <w:rPr>
          <w:rStyle w:val="kursiv"/>
        </w:rPr>
      </w:pPr>
      <w:r w:rsidRPr="00225D4D">
        <w:rPr>
          <w:rStyle w:val="kursiv"/>
        </w:rPr>
        <w:t>«Stortinget ber regjeringen sikre at tiltak for å avdekke og håndtere gjeldsproblematikk og økonomiske problemer får en plass i det selvmordsforebyggende arbeidet.»</w:t>
      </w:r>
    </w:p>
    <w:p w14:paraId="281DDFA8" w14:textId="77777777" w:rsidR="00D60186" w:rsidRPr="00225D4D" w:rsidRDefault="00D60186" w:rsidP="00225D4D">
      <w:r w:rsidRPr="00225D4D">
        <w:t xml:space="preserve">Vedtaket ble truffet ved behandling av Meld. St. 23 (2022–2023) </w:t>
      </w:r>
      <w:r w:rsidRPr="00225D4D">
        <w:rPr>
          <w:rStyle w:val="kursiv"/>
        </w:rPr>
        <w:t>Opptrappingsplan for psykisk helse (2023</w:t>
      </w:r>
      <w:r w:rsidRPr="00225D4D">
        <w:t>–</w:t>
      </w:r>
      <w:r w:rsidRPr="00225D4D">
        <w:rPr>
          <w:rStyle w:val="kursiv"/>
        </w:rPr>
        <w:t>2033)</w:t>
      </w:r>
      <w:r w:rsidRPr="00225D4D">
        <w:t xml:space="preserve">, jf. </w:t>
      </w:r>
      <w:proofErr w:type="spellStart"/>
      <w:r w:rsidRPr="00225D4D">
        <w:t>Innst</w:t>
      </w:r>
      <w:proofErr w:type="spellEnd"/>
      <w:r w:rsidRPr="00225D4D">
        <w:t>. 108 S (2023–2024). Regjeringen har besluttet at det skal utarbeides en ny, spisset handlingsplan for forebygging av selvmord. Helsedirektoratet og Folkehelseinstituttet har fått i oppdrag å gi anbefalinger om innsatsområder, resultatmål og tiltak i en ny handlingsplan. Etatene er særskilt bedt om forslag til tiltak for å adressere sammenhengen mellom økonomiske problemer/gjeld og selvmord. Frem til ny handlingsplan foreligger, vil Handlingsplan for forebygging av selvmord 2020–2025 – Ingen å miste følges opp og forlenges. Anmodningsvedtaket anses som fulgt opp.</w:t>
      </w:r>
    </w:p>
    <w:p w14:paraId="1D1A0813" w14:textId="77777777" w:rsidR="00D60186" w:rsidRPr="00225D4D" w:rsidRDefault="00D60186" w:rsidP="00225D4D">
      <w:pPr>
        <w:pStyle w:val="avsnitt-tittel"/>
      </w:pPr>
      <w:r w:rsidRPr="00225D4D">
        <w:t>Konkrete tiltak i opptrappingsplan psykisk helse</w:t>
      </w:r>
    </w:p>
    <w:p w14:paraId="0AB484CA" w14:textId="77777777" w:rsidR="00D60186" w:rsidRPr="00225D4D" w:rsidRDefault="00D60186" w:rsidP="00225D4D">
      <w:pPr>
        <w:pStyle w:val="avsnitt-undertittel"/>
      </w:pPr>
      <w:r w:rsidRPr="00225D4D">
        <w:t>Vedtak nr. 125, 7. desember 2023</w:t>
      </w:r>
    </w:p>
    <w:p w14:paraId="4A570296" w14:textId="77777777" w:rsidR="00D60186" w:rsidRPr="00225D4D" w:rsidRDefault="00D60186" w:rsidP="00225D4D">
      <w:pPr>
        <w:pStyle w:val="blokksit"/>
        <w:rPr>
          <w:rStyle w:val="kursiv"/>
        </w:rPr>
      </w:pPr>
      <w:r w:rsidRPr="00225D4D">
        <w:rPr>
          <w:rStyle w:val="kursiv"/>
        </w:rPr>
        <w:t>«Stortinget ber regjeringen sikre at opptrappingsplanen for psykisk helse inneholder konkrete tiltak og ressurser som gjør en reduksjon av mekaniske tvangsmidler mulig, herunder ressurser til økt bemanning og kompetanseheving.»</w:t>
      </w:r>
    </w:p>
    <w:p w14:paraId="070B2018" w14:textId="77777777" w:rsidR="00D60186" w:rsidRPr="00225D4D" w:rsidRDefault="00D60186" w:rsidP="00225D4D">
      <w:r w:rsidRPr="00225D4D">
        <w:t xml:space="preserve">Vedtaket ble truffet ved behandling av Meld. St. 23 (2022–2023) </w:t>
      </w:r>
      <w:r w:rsidRPr="00225D4D">
        <w:rPr>
          <w:rStyle w:val="kursiv"/>
        </w:rPr>
        <w:t>Opptrappingsplan for psykisk helse (2023–2033)</w:t>
      </w:r>
      <w:r w:rsidRPr="00225D4D">
        <w:t xml:space="preserve">, jf. </w:t>
      </w:r>
      <w:proofErr w:type="spellStart"/>
      <w:r w:rsidRPr="00225D4D">
        <w:t>Innst</w:t>
      </w:r>
      <w:proofErr w:type="spellEnd"/>
      <w:r w:rsidRPr="00225D4D">
        <w:t>. 108 S (2023–2024). I tråd med omtalen av tvang i opptrappingsplanen ble de regionale helseforetakene i oppdragsdokumentet for 2025 bedt om å «i samarbeid og under ledelse av Helse Sør-Øst RHF gjennomgå bruk av tvangsmidler og tvangsinnleggelser i psykisk helsevern som grunnlag for å forebygge tvang bedre, og sørge for at alle tvangsvedtak registreres i EPJ etter gjeldende mal. Arbeidet som omhandler tvungne innleggelser gjøres i samarbeid med kommunene, herunder legevakt.» Anmodningsvedtaket anses som fulgt opp.</w:t>
      </w:r>
    </w:p>
    <w:p w14:paraId="50DAE5E6" w14:textId="77777777" w:rsidR="00D60186" w:rsidRPr="00225D4D" w:rsidRDefault="00D60186" w:rsidP="00225D4D">
      <w:pPr>
        <w:pStyle w:val="avsnitt-tittel"/>
      </w:pPr>
      <w:r w:rsidRPr="00225D4D">
        <w:t>Stortingsmelding om BPA</w:t>
      </w:r>
    </w:p>
    <w:p w14:paraId="78B296B2" w14:textId="77777777" w:rsidR="00D60186" w:rsidRPr="00225D4D" w:rsidRDefault="00D60186" w:rsidP="00225D4D">
      <w:pPr>
        <w:pStyle w:val="avsnitt-undertittel"/>
      </w:pPr>
      <w:r w:rsidRPr="00225D4D">
        <w:t>Vedtak nr. 489, 15. februar 2024</w:t>
      </w:r>
    </w:p>
    <w:p w14:paraId="764C2B50" w14:textId="77777777" w:rsidR="00D60186" w:rsidRPr="00225D4D" w:rsidRDefault="00D60186" w:rsidP="00225D4D">
      <w:pPr>
        <w:pStyle w:val="blokksit"/>
        <w:rPr>
          <w:rStyle w:val="kursiv"/>
        </w:rPr>
      </w:pPr>
      <w:r w:rsidRPr="00225D4D">
        <w:rPr>
          <w:rStyle w:val="kursiv"/>
        </w:rPr>
        <w:t>«Stortinget ber regjeringen følge opp vedtak 742 (2022–2023) om en stortingsmelding om brukerstyrt personlig assistanse snarest, og ber om at meldingen legges frem senest innen utgangen av 2024.»</w:t>
      </w:r>
    </w:p>
    <w:p w14:paraId="6326979E" w14:textId="77777777" w:rsidR="00D60186" w:rsidRPr="00225D4D" w:rsidRDefault="00D60186" w:rsidP="00225D4D">
      <w:r w:rsidRPr="00225D4D">
        <w:t xml:space="preserve">Vedtaket ble truffet ved behandling av Dokument 8:49 (2023–2024), jf. </w:t>
      </w:r>
      <w:proofErr w:type="spellStart"/>
      <w:r w:rsidRPr="00225D4D">
        <w:t>Innst</w:t>
      </w:r>
      <w:proofErr w:type="spellEnd"/>
      <w:r w:rsidRPr="00225D4D">
        <w:t xml:space="preserve">. 189 S (2023–2024). Det var ikke mulig å legge frem en stortingsmelding om et så omfattende og viktig tema som brukerstyrt personlig assistanse innenfor den tidsfristen Stortinget har anmodet om. Selv om NOU 2021: 11 </w:t>
      </w:r>
      <w:r w:rsidRPr="00225D4D">
        <w:rPr>
          <w:rStyle w:val="kursiv"/>
        </w:rPr>
        <w:t>Selvstyrt er velstyrt</w:t>
      </w:r>
      <w:r w:rsidRPr="00225D4D">
        <w:t xml:space="preserve"> er et godt utgangspunkt for et slikt arbeid, kom det under høringen av utvalgets innstilling, og i det etterfølgende arbeidet opp problemstillinger som det er nødvendig å få utredet videre. Helse- og omsorgsdepartementet vil nedsette et ekspertutvalg for å få utredet disse problemstillingene. Regjeringen vil komme tilbake til Stortinget på egnet måte.</w:t>
      </w:r>
    </w:p>
    <w:p w14:paraId="5A937678" w14:textId="77777777" w:rsidR="00D60186" w:rsidRPr="00225D4D" w:rsidRDefault="00D60186" w:rsidP="00225D4D">
      <w:pPr>
        <w:pStyle w:val="avsnitt-tittel"/>
      </w:pPr>
      <w:r w:rsidRPr="00225D4D">
        <w:t>Frivillighetens rolle i helseberedskapen</w:t>
      </w:r>
    </w:p>
    <w:p w14:paraId="6634ACE9" w14:textId="77777777" w:rsidR="00D60186" w:rsidRPr="00225D4D" w:rsidRDefault="00D60186" w:rsidP="00225D4D">
      <w:pPr>
        <w:pStyle w:val="avsnitt-undertittel"/>
      </w:pPr>
      <w:r w:rsidRPr="00225D4D">
        <w:t>Vedtak nr. 543, 4. april 2024</w:t>
      </w:r>
    </w:p>
    <w:p w14:paraId="0DDA6640" w14:textId="77777777" w:rsidR="00D60186" w:rsidRPr="00225D4D" w:rsidRDefault="00D60186" w:rsidP="00225D4D">
      <w:pPr>
        <w:pStyle w:val="blokksit"/>
        <w:rPr>
          <w:rStyle w:val="kursiv"/>
        </w:rPr>
      </w:pPr>
      <w:r w:rsidRPr="00225D4D">
        <w:rPr>
          <w:rStyle w:val="kursiv"/>
        </w:rPr>
        <w:t xml:space="preserve">«Stortinget ber regjeringen sikre at frivillighetens rolle i helseberedskapen styrkes, og at de frivillige organisasjonene </w:t>
      </w:r>
      <w:proofErr w:type="gramStart"/>
      <w:r w:rsidRPr="00225D4D">
        <w:rPr>
          <w:rStyle w:val="kursiv"/>
        </w:rPr>
        <w:t>integreres</w:t>
      </w:r>
      <w:proofErr w:type="gramEnd"/>
      <w:r w:rsidRPr="00225D4D">
        <w:rPr>
          <w:rStyle w:val="kursiv"/>
        </w:rPr>
        <w:t xml:space="preserve"> i planverk og øvelser.»</w:t>
      </w:r>
    </w:p>
    <w:p w14:paraId="0E91658B" w14:textId="77777777" w:rsidR="00D60186" w:rsidRPr="00225D4D" w:rsidRDefault="00D60186" w:rsidP="00225D4D">
      <w:r w:rsidRPr="00225D4D">
        <w:t xml:space="preserve">Vedtaket ble truffet i forbindelse med Stortingets behandling av Meld. St. 5 (2023–2024) </w:t>
      </w:r>
      <w:r w:rsidRPr="00225D4D">
        <w:rPr>
          <w:rStyle w:val="kursiv"/>
        </w:rPr>
        <w:t>En motstandsdyktig helseberedskap – Fra pandemi til krig i Europa</w:t>
      </w:r>
      <w:r w:rsidRPr="00225D4D">
        <w:t xml:space="preserve">, jf. </w:t>
      </w:r>
      <w:proofErr w:type="spellStart"/>
      <w:r w:rsidRPr="00225D4D">
        <w:t>Innst</w:t>
      </w:r>
      <w:proofErr w:type="spellEnd"/>
      <w:r w:rsidRPr="00225D4D">
        <w:t>. 220 S (2023–2024). Regjeringen viser til at det i Meld. St. 5 (2023–2024) legges til rette for at frivillig sektor blir bedre integrert i helseberedskapen, både regulatorisk, i avtaler, i planer og øvelser og at det legges opp til tettere dialog med frivillige organisasjoner blant annet gjennom et årlig dialogmøte mellom Helse- og omsorgsdepartementet og frivillige organisasjoner. Det første årlige dialogmøtet har funnet sted. I den nye helseberedskapsmodellen som er etablert skal utvalgene ha kontakt og samarbeid med frivillige organisasjoner der det er relevant. I Nasjonal helseberedskapsplan, som er det overordnede rammeverket for helse- og omsorgsektorens håndtering av alle typer kriser og katastrofer, er frivillig sektor inkludert. Anmodningsvedtaket anses som fulgt opp.</w:t>
      </w:r>
    </w:p>
    <w:p w14:paraId="7AF13320" w14:textId="77777777" w:rsidR="00D60186" w:rsidRPr="00225D4D" w:rsidRDefault="00D60186" w:rsidP="00225D4D">
      <w:pPr>
        <w:pStyle w:val="avsnitt-tittel"/>
      </w:pPr>
      <w:r w:rsidRPr="00225D4D">
        <w:t>Overgrepsmottak for barn</w:t>
      </w:r>
    </w:p>
    <w:p w14:paraId="12434438" w14:textId="77777777" w:rsidR="00D60186" w:rsidRPr="00225D4D" w:rsidRDefault="00D60186" w:rsidP="00225D4D">
      <w:pPr>
        <w:pStyle w:val="avsnitt-undertittel"/>
      </w:pPr>
      <w:r w:rsidRPr="00225D4D">
        <w:t>Vedtak nr. 612, 7. mai 2024</w:t>
      </w:r>
    </w:p>
    <w:p w14:paraId="399CD9E8" w14:textId="77777777" w:rsidR="00D60186" w:rsidRPr="00225D4D" w:rsidRDefault="00D60186" w:rsidP="00225D4D">
      <w:pPr>
        <w:pStyle w:val="blokksit"/>
        <w:rPr>
          <w:rStyle w:val="kursiv"/>
        </w:rPr>
      </w:pPr>
      <w:r w:rsidRPr="00225D4D">
        <w:rPr>
          <w:rStyle w:val="kursiv"/>
        </w:rPr>
        <w:t>«Stortinget ber regjeringen påse at overgrepsutsatte barn gis rett til et akuttilbud og et likeverdig helsetjenestetilbud som voksne overgrepsutsatte.»</w:t>
      </w:r>
    </w:p>
    <w:p w14:paraId="516070A6" w14:textId="77777777" w:rsidR="00D60186" w:rsidRPr="00225D4D" w:rsidRDefault="00D60186" w:rsidP="00225D4D">
      <w:r w:rsidRPr="00225D4D">
        <w:t xml:space="preserve">Vedtaket ble truffet i forbindelse med Stortingets behandling av </w:t>
      </w:r>
      <w:proofErr w:type="spellStart"/>
      <w:r w:rsidRPr="00225D4D">
        <w:t>Prop</w:t>
      </w:r>
      <w:proofErr w:type="spellEnd"/>
      <w:r w:rsidRPr="00225D4D">
        <w:t xml:space="preserve">. 36 S (2023–2024) </w:t>
      </w:r>
      <w:r w:rsidRPr="00225D4D">
        <w:rPr>
          <w:rStyle w:val="kursiv"/>
        </w:rPr>
        <w:t>Opptrappingsplan mot vold og overgrep mot barn og vold i nære relasjoner (2024–2028)</w:t>
      </w:r>
      <w:r w:rsidRPr="00225D4D">
        <w:t xml:space="preserve">. Regjeringen viser til at barn og unge utsatt for vold og overgrep ivaretas på barne- og ungdomsavdelingene. Helsedirektoratet har fått i oppdrag å utarbeide en retningslinje eller veileder for medisinsk og psykososial ivaretakelse av barn og unge som er utsatt for seksuelle overgrep, jf. </w:t>
      </w:r>
      <w:proofErr w:type="spellStart"/>
      <w:r w:rsidRPr="00225D4D">
        <w:t>Prop</w:t>
      </w:r>
      <w:proofErr w:type="spellEnd"/>
      <w:r w:rsidRPr="00225D4D">
        <w:t>. 36 S (2023–2024</w:t>
      </w:r>
      <w:r w:rsidRPr="00225D4D">
        <w:rPr>
          <w:rStyle w:val="kursiv"/>
        </w:rPr>
        <w:t>) Opptrappingsplan mot vold og overgrep mot barn og vold i nære relasjoner</w:t>
      </w:r>
      <w:r w:rsidRPr="00225D4D">
        <w:t>. Retningslinjen vil bidra til et godt og likeverdig akuttilbud ved barne- og ungdomsavdelingene. Arbeidet med retningslinjen pågår. Anmodningsvedtaket anses som fulgt opp.</w:t>
      </w:r>
    </w:p>
    <w:p w14:paraId="7BCE6233" w14:textId="77777777" w:rsidR="00D60186" w:rsidRPr="00225D4D" w:rsidRDefault="00D60186" w:rsidP="00225D4D">
      <w:pPr>
        <w:pStyle w:val="avsnitt-tittel"/>
      </w:pPr>
      <w:r w:rsidRPr="00225D4D">
        <w:t>Intervensjonsprogram for førstegangsforeldre</w:t>
      </w:r>
    </w:p>
    <w:p w14:paraId="379A2CD3" w14:textId="77777777" w:rsidR="00D60186" w:rsidRPr="00225D4D" w:rsidRDefault="00D60186" w:rsidP="00225D4D">
      <w:pPr>
        <w:pStyle w:val="avsnitt-undertittel"/>
      </w:pPr>
      <w:r w:rsidRPr="00225D4D">
        <w:t>Vedtak nr. 614, 7. mai 2024</w:t>
      </w:r>
    </w:p>
    <w:p w14:paraId="30B65C84" w14:textId="77777777" w:rsidR="00D60186" w:rsidRPr="00225D4D" w:rsidRDefault="00D60186" w:rsidP="00225D4D">
      <w:pPr>
        <w:pStyle w:val="blokksit"/>
        <w:rPr>
          <w:rStyle w:val="kursiv"/>
        </w:rPr>
      </w:pPr>
      <w:r w:rsidRPr="00225D4D">
        <w:rPr>
          <w:rStyle w:val="kursiv"/>
        </w:rPr>
        <w:t>«Stortinget ber regjeringen i forbindelse med revidert nasjonalbudsjett for 2024 igangsette et prøveprosjekt i minst ti kommuner av ulik størrelse, med sikte på å innføre et universelt intervensjonsprogram rettet mot førstegangsforeldre i løpet av første halvdel av planperioden. Regjeringen bes komme nærmere tilbake til finansieringen i forbindelse med statsbudsjettet for 2025.»</w:t>
      </w:r>
    </w:p>
    <w:p w14:paraId="5F0800D4" w14:textId="77777777" w:rsidR="00D60186" w:rsidRPr="00225D4D" w:rsidRDefault="00D60186" w:rsidP="00225D4D">
      <w:r w:rsidRPr="00225D4D">
        <w:t xml:space="preserve">Vedtaket ble truffet ved behandling av </w:t>
      </w:r>
      <w:proofErr w:type="spellStart"/>
      <w:r w:rsidRPr="00225D4D">
        <w:t>Prop</w:t>
      </w:r>
      <w:proofErr w:type="spellEnd"/>
      <w:r w:rsidRPr="00225D4D">
        <w:t xml:space="preserve">. 36 S (2023–2024) </w:t>
      </w:r>
      <w:r w:rsidRPr="00225D4D">
        <w:rPr>
          <w:rStyle w:val="kursiv"/>
        </w:rPr>
        <w:t>Opptrappingsplan mot vold og overgrep mot barn og vold i nære relasjoner – Trygghet for alle</w:t>
      </w:r>
      <w:r w:rsidRPr="00225D4D">
        <w:t xml:space="preserve">, jf. </w:t>
      </w:r>
      <w:proofErr w:type="spellStart"/>
      <w:r w:rsidRPr="00225D4D">
        <w:t>Innst</w:t>
      </w:r>
      <w:proofErr w:type="spellEnd"/>
      <w:r w:rsidRPr="00225D4D">
        <w:t xml:space="preserve">. 259 S (2023–2024). Dette er fulgt opp gjennom helhetlig tiltak slik de presenteres i Meld. St. 28 (2024–2025) </w:t>
      </w:r>
      <w:r w:rsidRPr="00225D4D">
        <w:rPr>
          <w:rStyle w:val="kursiv"/>
        </w:rPr>
        <w:t>Tro på framtida – uansett bakgrunn</w:t>
      </w:r>
      <w:r w:rsidRPr="00225D4D">
        <w:t xml:space="preserve">. Regjeringen har besluttet å etablere en tverrsektoriell tilskuddsordning for helhetlig og forebyggende innsats i kommunene (programfinansiering) rettet mot barn og unge i 2026. Dette gjøres gjennom å foreslå å omdisponere midler fra andre øremerkede tilskuddsordninger som i dag går til kommunenes arbeid med å sikre gode </w:t>
      </w:r>
      <w:proofErr w:type="spellStart"/>
      <w:r w:rsidRPr="00225D4D">
        <w:t>oppvekstvilkår</w:t>
      </w:r>
      <w:proofErr w:type="spellEnd"/>
      <w:r w:rsidRPr="00225D4D">
        <w:t xml:space="preserve"> for barn og unge. Fra 2026 foreslår regjeringen 520 mill. kroner til formålet. Ordningen skal støtte opp under kommunenes forebyggende arbeid og bidra til målrettet og helhetlig innsats for barn og unge. Tilskuddsordningen vil legge til rette for mer tverrfaglige tjenester og tilbud til kommende og nye familier, barn og unge. Ordningen vil bidra til å oppfylle regjeringens ambisjon om et helhetlig og godt tilbud fra de viktige første 1000 dagene, gjennom barndom og ungdomstid og inn i voksenlivet.</w:t>
      </w:r>
    </w:p>
    <w:p w14:paraId="5114ACCA" w14:textId="77777777" w:rsidR="00D60186" w:rsidRPr="00225D4D" w:rsidRDefault="00D60186" w:rsidP="00225D4D">
      <w:r w:rsidRPr="00225D4D">
        <w:t>Anmodningsvedtaket anses som fulgt opp.</w:t>
      </w:r>
    </w:p>
    <w:p w14:paraId="2135B12E" w14:textId="77777777" w:rsidR="00D60186" w:rsidRPr="00225D4D" w:rsidRDefault="00D60186" w:rsidP="00225D4D">
      <w:pPr>
        <w:pStyle w:val="avsnitt-tittel"/>
      </w:pPr>
      <w:r w:rsidRPr="00225D4D">
        <w:t>Tjeneste med integrert ettervern</w:t>
      </w:r>
    </w:p>
    <w:p w14:paraId="23DAE57D" w14:textId="77777777" w:rsidR="00D60186" w:rsidRPr="00225D4D" w:rsidRDefault="00D60186" w:rsidP="00225D4D">
      <w:pPr>
        <w:pStyle w:val="avsnitt-undertittel"/>
      </w:pPr>
      <w:r w:rsidRPr="00225D4D">
        <w:t>Vedtak nr. 628, 14. mai 2024</w:t>
      </w:r>
    </w:p>
    <w:p w14:paraId="1FA2B398" w14:textId="77777777" w:rsidR="00D60186" w:rsidRPr="00225D4D" w:rsidRDefault="00D60186" w:rsidP="00225D4D">
      <w:pPr>
        <w:pStyle w:val="blokksit"/>
        <w:rPr>
          <w:rStyle w:val="kursiv"/>
        </w:rPr>
      </w:pPr>
      <w:r w:rsidRPr="00225D4D">
        <w:rPr>
          <w:rStyle w:val="kursiv"/>
        </w:rPr>
        <w:t>«Stortinget ber regjeringen sørge for at det snarest utvikles en tjeneste med integrert ettervern som inkluderer brukerstyrte plasser, i samarbeid med kommunene.»</w:t>
      </w:r>
    </w:p>
    <w:p w14:paraId="3FD09720" w14:textId="77777777" w:rsidR="00D60186" w:rsidRPr="00225D4D" w:rsidRDefault="00D60186" w:rsidP="00225D4D">
      <w:r w:rsidRPr="00225D4D">
        <w:t xml:space="preserve">Vedtaket ble truffet ved behandling av Dokument 8:82 S (2023–2024), jf. </w:t>
      </w:r>
      <w:proofErr w:type="spellStart"/>
      <w:r w:rsidRPr="00225D4D">
        <w:t>Innst</w:t>
      </w:r>
      <w:proofErr w:type="spellEnd"/>
      <w:r w:rsidRPr="00225D4D">
        <w:t xml:space="preserve">. 269 S (2023–2024). I forbindelse med revidert nasjonalbudsjett 2024, jf. </w:t>
      </w:r>
      <w:proofErr w:type="spellStart"/>
      <w:r w:rsidRPr="00225D4D">
        <w:t>Prop</w:t>
      </w:r>
      <w:proofErr w:type="spellEnd"/>
      <w:r w:rsidRPr="00225D4D">
        <w:t xml:space="preserve">. 104 S (2023–2024) og </w:t>
      </w:r>
      <w:proofErr w:type="spellStart"/>
      <w:r w:rsidRPr="00225D4D">
        <w:t>Innst</w:t>
      </w:r>
      <w:proofErr w:type="spellEnd"/>
      <w:r w:rsidRPr="00225D4D">
        <w:t xml:space="preserve">. 447 S (2023–2024), ble de regionale helseforetakene styrket med 50 mill. kroner til å styrke døgntilbudet til pasienter med rusmiddellidelser og sikre oppfølging av rusmiddelavhengige etter døgnbehandling (integrert ettervern). I tilleggsdokument etter Stortingets behandling av </w:t>
      </w:r>
      <w:proofErr w:type="spellStart"/>
      <w:r w:rsidRPr="00225D4D">
        <w:t>Prop</w:t>
      </w:r>
      <w:proofErr w:type="spellEnd"/>
      <w:r w:rsidRPr="00225D4D">
        <w:t xml:space="preserve">. 104 S (2023–2024) fikk de regionale helseforetakene i oppdrag innen rusmiddelfeltet å </w:t>
      </w:r>
      <w:r w:rsidRPr="00225D4D">
        <w:rPr>
          <w:rStyle w:val="kursiv"/>
        </w:rPr>
        <w:t>utvikle en tjeneste med integrert ettervern som inkluderer brukerstyrte plasser, i samarbeid med kommunene</w:t>
      </w:r>
      <w:r w:rsidRPr="00225D4D">
        <w:t xml:space="preserve">. God samhandling er nødvendig både for å legge til rette for det som skal skje under tverrfaglig spesialisert rusbehandling (TSB), og for det som skal skje etter utskrivning fra døgnbehandling. Pasientene i TSB er på ulike stadier før behandlingsstart, og helseforetakene og kommunene må etablere kontakt tidlig i forløpet. Helseforetakene må også koordinere videre forløp etter utskrivning fra døgnbehandling. Det skal etableres brukerstyrte døgnplasser i helseforetakene, som gjør det enklere å oppsøke slike tilbud – uavhengig av hvor døgnbehandlingen er gjennomført. Det er viktig å sikre bruker- og pårørendemedvirkning i utviklingen av tilbudet. Se nærmere omtale i del III der det blant annet </w:t>
      </w:r>
      <w:proofErr w:type="gramStart"/>
      <w:r w:rsidRPr="00225D4D">
        <w:t>fremgår</w:t>
      </w:r>
      <w:proofErr w:type="gramEnd"/>
      <w:r w:rsidRPr="00225D4D">
        <w:t xml:space="preserve"> at Helse Sør-Øst RHF har etablert en nasjonal arbeidsgruppe som svar på oppdraget. Anmodningsvedtaket anses som fulgt opp.</w:t>
      </w:r>
    </w:p>
    <w:p w14:paraId="40427659" w14:textId="77777777" w:rsidR="00D60186" w:rsidRPr="00225D4D" w:rsidRDefault="00D60186" w:rsidP="00225D4D">
      <w:pPr>
        <w:pStyle w:val="avsnitt-tittel"/>
      </w:pPr>
      <w:r w:rsidRPr="00225D4D">
        <w:t>Behandlingstilbudet til voldsutsatte kvinner med ruslidelse i spesialisthelsetjenesten</w:t>
      </w:r>
    </w:p>
    <w:p w14:paraId="50C3185C" w14:textId="77777777" w:rsidR="00D60186" w:rsidRPr="00225D4D" w:rsidRDefault="00D60186" w:rsidP="00225D4D">
      <w:pPr>
        <w:pStyle w:val="avsnitt-undertittel"/>
      </w:pPr>
      <w:r w:rsidRPr="00225D4D">
        <w:t>Vedtak nr. 629, 14. mai 2024</w:t>
      </w:r>
    </w:p>
    <w:p w14:paraId="678A6E11" w14:textId="77777777" w:rsidR="00D60186" w:rsidRPr="00225D4D" w:rsidRDefault="00D60186" w:rsidP="00225D4D">
      <w:pPr>
        <w:pStyle w:val="blokksit"/>
        <w:rPr>
          <w:rStyle w:val="kursiv"/>
        </w:rPr>
      </w:pPr>
      <w:r w:rsidRPr="00225D4D">
        <w:rPr>
          <w:rStyle w:val="kursiv"/>
        </w:rPr>
        <w:t>«Stortinget ber regjeringen sørge for at det snarest bygges opp kapasitet i behandlingstilbudet til voldsutsatte kvinner med ruslidelse i spesialisthelsetjenesten.»</w:t>
      </w:r>
    </w:p>
    <w:p w14:paraId="44AD6A8D" w14:textId="77777777" w:rsidR="00D60186" w:rsidRPr="00225D4D" w:rsidRDefault="00D60186" w:rsidP="00225D4D">
      <w:r w:rsidRPr="00225D4D">
        <w:t xml:space="preserve">Vedtaket ble truffet ved behandling av Dokument 8:82 S (2023–2024), jf. </w:t>
      </w:r>
      <w:proofErr w:type="spellStart"/>
      <w:r w:rsidRPr="00225D4D">
        <w:t>Innst</w:t>
      </w:r>
      <w:proofErr w:type="spellEnd"/>
      <w:r w:rsidRPr="00225D4D">
        <w:t xml:space="preserve">. 269 S (2023–2024). I forbindelse med revidert nasjonalbudsjett 2024, jf. </w:t>
      </w:r>
      <w:proofErr w:type="spellStart"/>
      <w:r w:rsidRPr="00225D4D">
        <w:t>Prop</w:t>
      </w:r>
      <w:proofErr w:type="spellEnd"/>
      <w:r w:rsidRPr="00225D4D">
        <w:t xml:space="preserve">. 104 S (2023–2024) og </w:t>
      </w:r>
      <w:proofErr w:type="spellStart"/>
      <w:r w:rsidRPr="00225D4D">
        <w:t>Innst</w:t>
      </w:r>
      <w:proofErr w:type="spellEnd"/>
      <w:r w:rsidRPr="00225D4D">
        <w:t xml:space="preserve">. 447 S (2023–2024), ble de regionale helseforetakene styrket med 50 mill. kroner til å styrke døgntilbudet til pasienter med rusmiddellidelser og sikre oppfølging av rusmiddelavhengige etter døgnbehandling (integrert ettervern). I tilleggsdokument etter Stortingets behandling av </w:t>
      </w:r>
      <w:proofErr w:type="spellStart"/>
      <w:r w:rsidRPr="00225D4D">
        <w:t>Prop</w:t>
      </w:r>
      <w:proofErr w:type="spellEnd"/>
      <w:r w:rsidRPr="00225D4D">
        <w:t>. 104 S (2023–2024) fikk de regionale helseforetakene i oppdrag å sørge for at det bygges opp kapasitet i behandlingstilbudet til voldsutsatte kvinner med ruslidelse i spesialisthelsetjenesten. Voldsutsatte kvinner med ruslidelse er blant de mest sårbare pasientene med behov for de mest spesialiserte tjenestene. Kunnskapsbaserte tilbud skal bygges opp i helseforetakene, som dekker samtidige behov for helsehjelp både fra psykisk helsevern og somatikk, i tillegg til døgntilbud innen TSB. Se nærmere omtale i del III der de regionale helseforetakenes rapportering på oppdraget er nærmere omtalt. Anmodningsvedtaket anses som fulgt opp.</w:t>
      </w:r>
    </w:p>
    <w:p w14:paraId="4BDD7E09" w14:textId="77777777" w:rsidR="00D60186" w:rsidRPr="00225D4D" w:rsidRDefault="00D60186" w:rsidP="00225D4D">
      <w:pPr>
        <w:pStyle w:val="avsnitt-tittel"/>
      </w:pPr>
      <w:r w:rsidRPr="00225D4D">
        <w:t>Følgeforskning i forbindelse med TSB</w:t>
      </w:r>
    </w:p>
    <w:p w14:paraId="0B38FECF" w14:textId="77777777" w:rsidR="00D60186" w:rsidRPr="00225D4D" w:rsidRDefault="00D60186" w:rsidP="00225D4D">
      <w:pPr>
        <w:pStyle w:val="avsnitt-undertittel"/>
      </w:pPr>
      <w:r w:rsidRPr="00225D4D">
        <w:t>Vedtak nr. 630, 14. mai 2024</w:t>
      </w:r>
    </w:p>
    <w:p w14:paraId="2493EF04" w14:textId="77777777" w:rsidR="00D60186" w:rsidRPr="00225D4D" w:rsidRDefault="00D60186" w:rsidP="00225D4D">
      <w:pPr>
        <w:pStyle w:val="blokksit"/>
        <w:rPr>
          <w:rStyle w:val="kursiv"/>
        </w:rPr>
      </w:pPr>
      <w:r w:rsidRPr="00225D4D">
        <w:rPr>
          <w:rStyle w:val="kursiv"/>
        </w:rPr>
        <w:t>«Stortinget ber regjeringen sørge for at det igangsettes følgeforskning i forbindelse med videreutviklingen av tverrfaglig spesialisert rusbehandling (TSB) og integrert ettervern.»</w:t>
      </w:r>
    </w:p>
    <w:p w14:paraId="5A453F8C" w14:textId="77777777" w:rsidR="00D60186" w:rsidRPr="00225D4D" w:rsidRDefault="00D60186" w:rsidP="00225D4D">
      <w:r w:rsidRPr="00225D4D">
        <w:t xml:space="preserve">Vedtaket ble truffet ved behandling av Dokument 8:82 S (2023–2024), jf. </w:t>
      </w:r>
      <w:proofErr w:type="spellStart"/>
      <w:r w:rsidRPr="00225D4D">
        <w:t>Innst</w:t>
      </w:r>
      <w:proofErr w:type="spellEnd"/>
      <w:r w:rsidRPr="00225D4D">
        <w:t xml:space="preserve">. 269 S (2023–2024). Det er sendt ut tilleggsdokument til de regionale helseforetakene etter Stortingets behandling av </w:t>
      </w:r>
      <w:proofErr w:type="spellStart"/>
      <w:r w:rsidRPr="00225D4D">
        <w:t>Prop</w:t>
      </w:r>
      <w:proofErr w:type="spellEnd"/>
      <w:r w:rsidRPr="00225D4D">
        <w:t>. 104 S (2023–2024). Her fremgår det at det skal legges til rette for følgeforskning i forbindelse med videreutviklingen av TSB og integrert ettervern. Anmodningsvedtaket anses som fulgt opp.</w:t>
      </w:r>
    </w:p>
    <w:p w14:paraId="2DA3C88F" w14:textId="77777777" w:rsidR="00D60186" w:rsidRPr="00225D4D" w:rsidRDefault="00D60186" w:rsidP="00225D4D">
      <w:pPr>
        <w:pStyle w:val="avsnitt-tittel"/>
      </w:pPr>
      <w:r w:rsidRPr="00225D4D">
        <w:t>Godkjenningsordning for kommersielle helseaktører</w:t>
      </w:r>
    </w:p>
    <w:p w14:paraId="7F51E299" w14:textId="77777777" w:rsidR="00D60186" w:rsidRPr="00225D4D" w:rsidRDefault="00D60186" w:rsidP="00225D4D">
      <w:pPr>
        <w:pStyle w:val="avsnitt-undertittel"/>
      </w:pPr>
      <w:r w:rsidRPr="00225D4D">
        <w:t>Vedtak nr. 684, 4. juni 2024</w:t>
      </w:r>
    </w:p>
    <w:p w14:paraId="036F00D2" w14:textId="77777777" w:rsidR="00D60186" w:rsidRPr="00225D4D" w:rsidRDefault="00D60186" w:rsidP="00225D4D">
      <w:pPr>
        <w:pStyle w:val="blokksit"/>
        <w:rPr>
          <w:rStyle w:val="kursiv"/>
        </w:rPr>
      </w:pPr>
      <w:r w:rsidRPr="00225D4D">
        <w:rPr>
          <w:rStyle w:val="kursiv"/>
        </w:rPr>
        <w:t>«Stortinget ber regjeringen i løpet av stortingsperioden innføre en godkjenningsordning for kommersielle helseaktører. En slik ordning skal sikre kvalitet og faglig forsvarlighet i kommersielle tjenester. Det må innføres mekanismer der staten har mulighet til å legge begrensninger på etablering av nye kommersielle helseaktører når nyetableringer, av beredskapshensyn eller mangel på helsepersonell vil gå på bekostning av den offentlige helsetjenestenes evne til å gi forsvarlig helsehjelp.»</w:t>
      </w:r>
    </w:p>
    <w:p w14:paraId="547F27DE" w14:textId="77777777" w:rsidR="00D60186" w:rsidRPr="00225D4D" w:rsidRDefault="00D60186" w:rsidP="00225D4D">
      <w:r w:rsidRPr="00225D4D">
        <w:t xml:space="preserve">Vedtaket ble truffet ved behandling av Meld. St. 9 (2023–2024) </w:t>
      </w:r>
      <w:r w:rsidRPr="00225D4D">
        <w:rPr>
          <w:rStyle w:val="kursiv"/>
        </w:rPr>
        <w:t>Nasjonal helse- og samhandlingsplan 2024–2027 – Vår felles helsetjeneste</w:t>
      </w:r>
      <w:r w:rsidRPr="00225D4D">
        <w:t xml:space="preserve">, jf. </w:t>
      </w:r>
      <w:proofErr w:type="spellStart"/>
      <w:r w:rsidRPr="00225D4D">
        <w:t>Innst</w:t>
      </w:r>
      <w:proofErr w:type="spellEnd"/>
      <w:r w:rsidRPr="00225D4D">
        <w:t xml:space="preserve">. 387 S (2023–2024). Regjeringen la frem forslag til endringer i spesialisthelsetjenesteloven og helse- og omsorgstjenesteloven, jf. </w:t>
      </w:r>
      <w:proofErr w:type="spellStart"/>
      <w:r w:rsidRPr="00225D4D">
        <w:t>Prop</w:t>
      </w:r>
      <w:proofErr w:type="spellEnd"/>
      <w:r w:rsidRPr="00225D4D">
        <w:t>. 114 L (2024–2025). I proposisjonen ble det foreslått hjemmel til å forskriftsfeste krav om godkjenning av private virksomheter som omfattes av helse- og omsorgstjenesteloven når det er nødvendig av hensyn til tjenestetilbudets kvalitet, pasientsikkerhet, samfunnssikkerhet eller beredskap. I tillegg ble det foreslått hjemmel både i denne loven og spesialisthelsetjenesteloven til å kreve godkjenning av private virksomheter når det er nødvendig for å sikre helsepersonellressurser for et forsvarlig offentlig tilbud til befolkningen av helse- og omsorgstjenester. Regjeringen foreslo også hjemmel til å stille vilkår for bruk av betegnelsene sykehus og legevakt i forskrift. Stortinget sluttet seg til forslaget, og vedtok lovendringer som trådte i kraft 1. juli 2025. Anmodningsvedtaket anses som fulgt opp.</w:t>
      </w:r>
    </w:p>
    <w:p w14:paraId="2D29569A" w14:textId="77777777" w:rsidR="00D60186" w:rsidRPr="00225D4D" w:rsidRDefault="00D60186" w:rsidP="00225D4D">
      <w:pPr>
        <w:pStyle w:val="avsnitt-tittel"/>
      </w:pPr>
      <w:r w:rsidRPr="00225D4D">
        <w:t>Ivaretakelse av kjønnsperspektiv</w:t>
      </w:r>
    </w:p>
    <w:p w14:paraId="25EC1B74" w14:textId="77777777" w:rsidR="00D60186" w:rsidRPr="00225D4D" w:rsidRDefault="00D60186" w:rsidP="00225D4D">
      <w:pPr>
        <w:pStyle w:val="avsnitt-undertittel"/>
      </w:pPr>
      <w:r w:rsidRPr="00225D4D">
        <w:t>Vedtak nr. 686, 4. juni 2024</w:t>
      </w:r>
    </w:p>
    <w:p w14:paraId="6DE5EBE2" w14:textId="77777777" w:rsidR="00D60186" w:rsidRPr="00225D4D" w:rsidRDefault="00D60186" w:rsidP="00225D4D">
      <w:pPr>
        <w:pStyle w:val="blokksit"/>
        <w:rPr>
          <w:rStyle w:val="kursiv"/>
        </w:rPr>
      </w:pPr>
      <w:r w:rsidRPr="00225D4D">
        <w:rPr>
          <w:rStyle w:val="kursiv"/>
        </w:rPr>
        <w:t>«Stortinget ber regjeringen bedre ivareta et kjønnsperspektiv i beslutningsgrunnlaget på helse- og omsorgsfeltet»</w:t>
      </w:r>
    </w:p>
    <w:p w14:paraId="28972687" w14:textId="77777777" w:rsidR="00D60186" w:rsidRPr="00225D4D" w:rsidRDefault="00D60186" w:rsidP="00225D4D">
      <w:r w:rsidRPr="00225D4D">
        <w:t xml:space="preserve">Vedtaket ble truffet ved behandling av Meld. St. 9 (2023–2024) </w:t>
      </w:r>
      <w:r w:rsidRPr="00225D4D">
        <w:rPr>
          <w:rStyle w:val="kursiv"/>
        </w:rPr>
        <w:t>Nasjonal helse- og samhandlingsplan 2024–2027 – Vår felles helsetjeneste</w:t>
      </w:r>
      <w:r w:rsidRPr="00225D4D">
        <w:t xml:space="preserve">, jf. </w:t>
      </w:r>
      <w:proofErr w:type="spellStart"/>
      <w:r w:rsidRPr="00225D4D">
        <w:t>Innst</w:t>
      </w:r>
      <w:proofErr w:type="spellEnd"/>
      <w:r w:rsidRPr="00225D4D">
        <w:t xml:space="preserve">. 387 S (2023–2024). Vedtaket skal vektlegges i departementets beslutningsprosesser og er også innarbeidet i </w:t>
      </w:r>
      <w:r w:rsidRPr="00225D4D">
        <w:rPr>
          <w:rStyle w:val="kursiv"/>
        </w:rPr>
        <w:t>Regjeringens kvinnehelsestrategi – betydningen av kjønn for helse</w:t>
      </w:r>
      <w:r w:rsidRPr="00225D4D">
        <w:t>. Kvinnehelsestrategien er tatt inn i tildelingsbrevene for 2025 til Helsedirektoratet, Folkehelseinstituttet og Direktoratet for medisinske produkter. Kvinnehelsestrategien er også tatt inn i oppdragsdokumentene til regionale helseforetak for 2025. Anmodningsvedtaket anses som fulgt opp.</w:t>
      </w:r>
    </w:p>
    <w:p w14:paraId="49ADD266" w14:textId="77777777" w:rsidR="00D60186" w:rsidRPr="00225D4D" w:rsidRDefault="00D60186" w:rsidP="00225D4D">
      <w:pPr>
        <w:pStyle w:val="avsnitt-tittel"/>
      </w:pPr>
      <w:r w:rsidRPr="00225D4D">
        <w:t>Kjønnsperspektiv i behandlingsretningslinjene</w:t>
      </w:r>
    </w:p>
    <w:p w14:paraId="2C6D663A" w14:textId="77777777" w:rsidR="00D60186" w:rsidRPr="00225D4D" w:rsidRDefault="00D60186" w:rsidP="00225D4D">
      <w:pPr>
        <w:pStyle w:val="avsnitt-undertittel"/>
      </w:pPr>
      <w:r w:rsidRPr="00225D4D">
        <w:t>Vedtak nr. 687, 4. juni 2024</w:t>
      </w:r>
    </w:p>
    <w:p w14:paraId="7BF78A5F" w14:textId="77777777" w:rsidR="00D60186" w:rsidRPr="00225D4D" w:rsidRDefault="00D60186" w:rsidP="00225D4D">
      <w:pPr>
        <w:pStyle w:val="blokksit"/>
        <w:rPr>
          <w:rStyle w:val="kursiv"/>
        </w:rPr>
      </w:pPr>
      <w:r w:rsidRPr="00225D4D">
        <w:rPr>
          <w:rStyle w:val="kursiv"/>
        </w:rPr>
        <w:t>«Stortinget ber regjeringen om å sikre at kjønnsperspektivet blir ivaretatt i behandlingsretningslinjene når de oppdateres, og ber regjeringen foreta en særskilt oppdatering av retningslinjene for typiske kvinnesykdommer der de starter med å oppdatere Nasjonal prioriteringsveileder for kvinnesykdommer, retningslinjer for angst og depresjon og de faglige retningslinjene for forebygging og behandling av osteoporose og osteoporotiske brudd.»</w:t>
      </w:r>
    </w:p>
    <w:p w14:paraId="62844D67" w14:textId="77777777" w:rsidR="00D60186" w:rsidRPr="00225D4D" w:rsidRDefault="00D60186" w:rsidP="00225D4D">
      <w:r w:rsidRPr="00225D4D">
        <w:t xml:space="preserve">Vedtaket ble truffet ved behandling av Meld. St. 9 (2023–2024) </w:t>
      </w:r>
      <w:r w:rsidRPr="00225D4D">
        <w:rPr>
          <w:rStyle w:val="kursiv"/>
        </w:rPr>
        <w:t>Nasjonal helse- og samhandlingsplan 2024–2027 – Vår felles helsetjeneste</w:t>
      </w:r>
      <w:r w:rsidRPr="00225D4D">
        <w:t xml:space="preserve">, jf. </w:t>
      </w:r>
      <w:proofErr w:type="spellStart"/>
      <w:r w:rsidRPr="00225D4D">
        <w:t>Innst</w:t>
      </w:r>
      <w:proofErr w:type="spellEnd"/>
      <w:r w:rsidRPr="00225D4D">
        <w:t>. 387 S (2023–2024). Helsedirektoratet har fått i oppdrag å følge opp vedtaket i tildelingsbrevet for 2025. Når det gjelder Nasjonal prioriteringsveileder for kvinnesykdommer er arbeidet i gang innenfor rammen av den forenklede revisjonen av alle de 33 fagspesifikke prioriteringsveilederne. Planlegging av arbeidet med nye retningslinjer for angst og depresjon er startet. På grunn av annet retningslinjearbeid på psykisk helse-området anslås det at retningslinjer for angst og depresjon kan være ferdig i 2027. Når det gjelder de faglige retningslinjene for forebygging og behandling av osteoporose og osteoporotiske brudd starter planarbeidet høsten 2025 og direktoratet tar sikte på å sende et utkast på høring i løpet av første halvår 2027. Anmodningsvedtaket anses som fulgt opp.</w:t>
      </w:r>
    </w:p>
    <w:p w14:paraId="089A6208" w14:textId="77777777" w:rsidR="00D60186" w:rsidRPr="00225D4D" w:rsidRDefault="00D60186" w:rsidP="00225D4D">
      <w:pPr>
        <w:pStyle w:val="avsnitt-tittel"/>
      </w:pPr>
      <w:r w:rsidRPr="00225D4D">
        <w:t>Redusere bruk av innleid arbeidskraft</w:t>
      </w:r>
    </w:p>
    <w:p w14:paraId="25AF78D1" w14:textId="77777777" w:rsidR="00D60186" w:rsidRPr="00225D4D" w:rsidRDefault="00D60186" w:rsidP="00225D4D">
      <w:pPr>
        <w:pStyle w:val="avsnitt-undertittel"/>
      </w:pPr>
      <w:r w:rsidRPr="00225D4D">
        <w:t>Vedtak nr. 690, 4. juni 2024</w:t>
      </w:r>
    </w:p>
    <w:p w14:paraId="57BAAE56" w14:textId="77777777" w:rsidR="00D60186" w:rsidRPr="00225D4D" w:rsidRDefault="00D60186" w:rsidP="00225D4D">
      <w:pPr>
        <w:pStyle w:val="blokksit"/>
        <w:rPr>
          <w:rStyle w:val="kursiv"/>
        </w:rPr>
      </w:pPr>
      <w:r w:rsidRPr="00225D4D">
        <w:rPr>
          <w:rStyle w:val="kursiv"/>
        </w:rPr>
        <w:t>«Stortinget ber regjeringen ta initiativ til å få på plass en samarbeidsavtale med KS og partene i arbeidslivet om å redusere bruken av innleid arbeidskraft fra bemanningsbyråer i helse- og omsorgstjenestene i kommunesektoren. Ansvaret for arbeidet med å redusere innleie fra bemanningsbyråer i kommunale helse- og oppveksttjenester skal sikres gjennom partssamarbeidet mellom KS og partene i arbeidslivet.»</w:t>
      </w:r>
    </w:p>
    <w:p w14:paraId="2FBEECDD" w14:textId="77777777" w:rsidR="00D60186" w:rsidRPr="00225D4D" w:rsidRDefault="00D60186" w:rsidP="00225D4D">
      <w:r w:rsidRPr="00225D4D">
        <w:t xml:space="preserve">Vedtaket ble truffet ved behandling av Meld. St. 9 (2023–2024) </w:t>
      </w:r>
      <w:r w:rsidRPr="00225D4D">
        <w:rPr>
          <w:rStyle w:val="kursiv"/>
        </w:rPr>
        <w:t>Nasjonal helse- og samhandlingsplan 2024–2027 – Vår felles helsetjeneste</w:t>
      </w:r>
      <w:r w:rsidRPr="00225D4D">
        <w:t xml:space="preserve">, jf. </w:t>
      </w:r>
      <w:proofErr w:type="spellStart"/>
      <w:r w:rsidRPr="00225D4D">
        <w:t>Innst</w:t>
      </w:r>
      <w:proofErr w:type="spellEnd"/>
      <w:r w:rsidRPr="00225D4D">
        <w:t xml:space="preserve">. 387 S (2023–2024). Regjeringen viser til at det er iverksatt flere tiltak gjennom Kompetanseløft 2025, opptrappingsplan for heltid og god bemanning i omsorgstjenesten og Nasjonal helse- og samhandlingsplan, som på sikt vil kunne bidra til å redusere behovet for </w:t>
      </w:r>
      <w:proofErr w:type="gramStart"/>
      <w:r w:rsidRPr="00225D4D">
        <w:t>innleie</w:t>
      </w:r>
      <w:proofErr w:type="gramEnd"/>
      <w:r w:rsidRPr="00225D4D">
        <w:t xml:space="preserve"> i de kommunale helse- og omsorgstjenestene. Regjeringen vil i løpet av 2026 legge frem en helsepersonellplan som går frem til 2040 for å rekruttere og beholde fagkompetanse i helse- og omsorgstjenestene hvor også pårørendeperspektivet og pårørenderollen skal ivaretas. Partene vil involveres i arbeidet. Planen skal blant annet omfatte tiltak innen følgende innsatsområder i) arbeidsmiljø og arbeidsvilkår, ii) ansvars- og oppgavedeling og hensiktsmessig organisering av arbeidsprosesser, iii) teknologi og utstyr og iv) rekruttering til helse- og omsorgstjenestene. Med bakgrunn i pågående og planlagte tiltak i sektoren, hvor KS allerede er sterkt involvert og partssamarbeidet er fremtredende, er det per i dag ikke hensiktsmessig å etablere nye partssamarbeid. Regjeringen vil følge med på utviklingen i </w:t>
      </w:r>
      <w:proofErr w:type="gramStart"/>
      <w:r w:rsidRPr="00225D4D">
        <w:t>innleie</w:t>
      </w:r>
      <w:proofErr w:type="gramEnd"/>
      <w:r w:rsidRPr="00225D4D">
        <w:t xml:space="preserve"> fremover. Anmodningsvedtaket anses som fulgt opp.</w:t>
      </w:r>
    </w:p>
    <w:p w14:paraId="4A91A909" w14:textId="77777777" w:rsidR="00D60186" w:rsidRPr="00225D4D" w:rsidRDefault="00D60186" w:rsidP="00225D4D">
      <w:pPr>
        <w:pStyle w:val="avsnitt-tittel"/>
      </w:pPr>
      <w:r w:rsidRPr="00225D4D">
        <w:t>Avskrivninger og rentekompensasjon for sykehusbygg</w:t>
      </w:r>
    </w:p>
    <w:p w14:paraId="510E9470" w14:textId="77777777" w:rsidR="00D60186" w:rsidRPr="00225D4D" w:rsidRDefault="00D60186" w:rsidP="00225D4D">
      <w:pPr>
        <w:pStyle w:val="avsnitt-undertittel"/>
      </w:pPr>
      <w:r w:rsidRPr="00225D4D">
        <w:t>Vedtak nr. 692, 4. juni 2024</w:t>
      </w:r>
    </w:p>
    <w:p w14:paraId="3761622E" w14:textId="77777777" w:rsidR="00D60186" w:rsidRPr="00225D4D" w:rsidRDefault="00D60186" w:rsidP="00225D4D">
      <w:pPr>
        <w:pStyle w:val="blokksit"/>
        <w:rPr>
          <w:rStyle w:val="kursiv"/>
        </w:rPr>
      </w:pPr>
      <w:r w:rsidRPr="00225D4D">
        <w:rPr>
          <w:rStyle w:val="kursiv"/>
        </w:rPr>
        <w:t>«Stortinget ber regjeringen utrede ulike ordninger for å håndtere avskrivningskostnader i sykehus og alternative modeller for rentekompensasjon for sykehusbygg.»</w:t>
      </w:r>
    </w:p>
    <w:p w14:paraId="2E006238" w14:textId="77777777" w:rsidR="00D60186" w:rsidRPr="00225D4D" w:rsidRDefault="00D60186" w:rsidP="00225D4D">
      <w:r w:rsidRPr="00225D4D">
        <w:t xml:space="preserve">Vedtaket ble truffet ved behandling av Meld. St. 9 (2023–2024) </w:t>
      </w:r>
      <w:r w:rsidRPr="00225D4D">
        <w:rPr>
          <w:rStyle w:val="kursiv"/>
        </w:rPr>
        <w:t>Nasjonal helse- og samhandlingsplan 2024–2027 – Vår felles helsetjeneste</w:t>
      </w:r>
      <w:r w:rsidRPr="00225D4D">
        <w:t xml:space="preserve">, jf. </w:t>
      </w:r>
      <w:proofErr w:type="spellStart"/>
      <w:r w:rsidRPr="00225D4D">
        <w:t>Innst</w:t>
      </w:r>
      <w:proofErr w:type="spellEnd"/>
      <w:r w:rsidRPr="00225D4D">
        <w:t>. 387 S (2023–2024). Vedtaket vil bli fulgt opp av Helse- og omsorgsdepartementet. Regjeringen vil komme tilbake til Stortinget på egnet måte.</w:t>
      </w:r>
    </w:p>
    <w:p w14:paraId="5FC4BA36" w14:textId="77777777" w:rsidR="00D60186" w:rsidRPr="00225D4D" w:rsidRDefault="00D60186" w:rsidP="00225D4D">
      <w:pPr>
        <w:pStyle w:val="avsnitt-tittel"/>
      </w:pPr>
      <w:r w:rsidRPr="00225D4D">
        <w:t>Kontraktsansvar for fristbruddordningen</w:t>
      </w:r>
    </w:p>
    <w:p w14:paraId="1928887B" w14:textId="77777777" w:rsidR="00D60186" w:rsidRPr="00225D4D" w:rsidRDefault="00D60186" w:rsidP="00225D4D">
      <w:pPr>
        <w:pStyle w:val="avsnitt-undertittel"/>
      </w:pPr>
      <w:r w:rsidRPr="00225D4D">
        <w:t>Vedtak nr. 693, 4. juni 2024</w:t>
      </w:r>
    </w:p>
    <w:p w14:paraId="43088883" w14:textId="77777777" w:rsidR="00D60186" w:rsidRPr="00225D4D" w:rsidRDefault="00D60186" w:rsidP="00225D4D">
      <w:pPr>
        <w:pStyle w:val="blokksit"/>
        <w:rPr>
          <w:rStyle w:val="kursiv"/>
        </w:rPr>
      </w:pPr>
      <w:r w:rsidRPr="00225D4D">
        <w:rPr>
          <w:rStyle w:val="kursiv"/>
        </w:rPr>
        <w:t>«Stortinget ber regjeringen vurdere å overføre kontraktsansvaret for fristbruddordningen til de regionale helseforetakene.»</w:t>
      </w:r>
    </w:p>
    <w:p w14:paraId="3969DB6A" w14:textId="77777777" w:rsidR="00D60186" w:rsidRPr="00225D4D" w:rsidRDefault="00D60186" w:rsidP="00225D4D">
      <w:r w:rsidRPr="00225D4D">
        <w:t xml:space="preserve">Vedtaket ble truffet ved behandling av Meld. St. 9 (2023–2024) </w:t>
      </w:r>
      <w:r w:rsidRPr="00225D4D">
        <w:rPr>
          <w:rStyle w:val="kursiv"/>
        </w:rPr>
        <w:t>Nasjonal helse- og samhandlingsplan 2024–2027 – Vår felles helsetjeneste</w:t>
      </w:r>
      <w:r w:rsidRPr="00225D4D">
        <w:t xml:space="preserve">, jf. </w:t>
      </w:r>
      <w:proofErr w:type="spellStart"/>
      <w:r w:rsidRPr="00225D4D">
        <w:t>Innst</w:t>
      </w:r>
      <w:proofErr w:type="spellEnd"/>
      <w:r w:rsidRPr="00225D4D">
        <w:t>. 387 (2023–2024). Helsedirektoratet har på oppdrag fra Helse- og omsorgsdepartementet utredet forslag til forbedringer i fristbruddordningen, herunder løsninger der ansvaret for kontraktene som inngås med private aktører i fristbruddordningen overføres til de regionale helseforetakene.</w:t>
      </w:r>
    </w:p>
    <w:p w14:paraId="2D133279" w14:textId="77777777" w:rsidR="00D60186" w:rsidRPr="00225D4D" w:rsidRDefault="00D60186" w:rsidP="00225D4D">
      <w:r w:rsidRPr="00225D4D">
        <w:t xml:space="preserve">Helse- og omsorgsdepartementet tar sikte på å overføre kontraktsansvaret til de regionale helseforetakene for å sikre bedre kontroll med kvaliteten i tilbudet og kostnader og har derfor i tillegg til oppdragsdokument for 2025 gitt de regionale helseforetakene i oppdrag å vurdere hvordan overtakelse av kontraktsansvaret i fristbruddordningen kan innrettes, herunder hvordan arbeidet kan organiseres i de regionale helseforetakene og om gjeldende avtaler inngått av </w:t>
      </w:r>
      <w:proofErr w:type="spellStart"/>
      <w:r w:rsidRPr="00225D4D">
        <w:t>Helfo</w:t>
      </w:r>
      <w:proofErr w:type="spellEnd"/>
      <w:r w:rsidRPr="00225D4D">
        <w:t xml:space="preserve"> kan overdras til de regionale helseforetakene. Frist for oppdraget er 1. november 2025. Ansvaret for formidlingen av fristbruddpasienter til behandling skal fortsatt ivaretas av </w:t>
      </w:r>
      <w:proofErr w:type="spellStart"/>
      <w:r w:rsidRPr="00225D4D">
        <w:t>Helfo</w:t>
      </w:r>
      <w:proofErr w:type="spellEnd"/>
      <w:r w:rsidRPr="00225D4D">
        <w:t>. Anmodningsvedtaket anses som fulgt opp.</w:t>
      </w:r>
    </w:p>
    <w:p w14:paraId="548411F0" w14:textId="77777777" w:rsidR="00D60186" w:rsidRPr="00225D4D" w:rsidRDefault="00D60186" w:rsidP="00225D4D">
      <w:pPr>
        <w:pStyle w:val="avsnitt-tittel"/>
      </w:pPr>
      <w:r w:rsidRPr="00225D4D">
        <w:t>Ikke-møtt-gebyr innen psykisk helse</w:t>
      </w:r>
    </w:p>
    <w:p w14:paraId="69B1170D" w14:textId="77777777" w:rsidR="00D60186" w:rsidRPr="00225D4D" w:rsidRDefault="00D60186" w:rsidP="00225D4D">
      <w:pPr>
        <w:pStyle w:val="avsnitt-undertittel"/>
      </w:pPr>
      <w:r w:rsidRPr="00225D4D">
        <w:t>Vedtak nr. 694, 4. juni 2024</w:t>
      </w:r>
    </w:p>
    <w:p w14:paraId="49CE3905" w14:textId="77777777" w:rsidR="00D60186" w:rsidRPr="00225D4D" w:rsidRDefault="00D60186" w:rsidP="00225D4D">
      <w:pPr>
        <w:pStyle w:val="blokksit"/>
        <w:rPr>
          <w:rStyle w:val="kursiv"/>
        </w:rPr>
      </w:pPr>
      <w:r w:rsidRPr="00225D4D">
        <w:rPr>
          <w:rStyle w:val="kursiv"/>
        </w:rPr>
        <w:t>«Stortinget ber regjeringen vurdere ikke møtt-gebyret for barn og pasienter innen psykisk helse, og komme tilbake til Stortinget på egnet måte med en innretning som i mindre grad er belastende for sårbare grupper.»</w:t>
      </w:r>
    </w:p>
    <w:p w14:paraId="076E52DB" w14:textId="77777777" w:rsidR="00D60186" w:rsidRPr="00225D4D" w:rsidRDefault="00D60186" w:rsidP="00225D4D">
      <w:r w:rsidRPr="00225D4D">
        <w:t xml:space="preserve">Vedtaket ble truffet i forbindelse med behandlingen av Meld. St. 9 (2023–2024) </w:t>
      </w:r>
      <w:r w:rsidRPr="00225D4D">
        <w:rPr>
          <w:rStyle w:val="kursiv"/>
        </w:rPr>
        <w:t>Nasjonal helse- og samhandlingsplan 2024–2027 – Vår felles helsetjeneste,</w:t>
      </w:r>
      <w:r w:rsidRPr="00225D4D">
        <w:t xml:space="preserve"> jf. </w:t>
      </w:r>
      <w:proofErr w:type="spellStart"/>
      <w:r w:rsidRPr="00225D4D">
        <w:t>Innst</w:t>
      </w:r>
      <w:proofErr w:type="spellEnd"/>
      <w:r w:rsidRPr="00225D4D">
        <w:t>. 387 S (2023–2024). Gebyret som kan ilegges pasienter som ikke møter til avtalt tid for poliklinisk helsehjelp er fremdeles under evaluering. Regjeringen vil komme tilbake til Stortinget på egnet måte.</w:t>
      </w:r>
    </w:p>
    <w:p w14:paraId="2E6D4D76" w14:textId="77777777" w:rsidR="00D60186" w:rsidRPr="00225D4D" w:rsidRDefault="00D60186" w:rsidP="00225D4D">
      <w:pPr>
        <w:pStyle w:val="avsnitt-tittel"/>
      </w:pPr>
      <w:r w:rsidRPr="00225D4D">
        <w:t>Rett til tannhelsehjelp for 25- og 26-åringer</w:t>
      </w:r>
    </w:p>
    <w:p w14:paraId="324180A9" w14:textId="77777777" w:rsidR="00D60186" w:rsidRPr="00225D4D" w:rsidRDefault="00D60186" w:rsidP="00225D4D">
      <w:pPr>
        <w:pStyle w:val="avsnitt-undertittel"/>
      </w:pPr>
      <w:r w:rsidRPr="00225D4D">
        <w:t>Vedtak nr. 908, 21. juni 2024</w:t>
      </w:r>
    </w:p>
    <w:p w14:paraId="15F1903D" w14:textId="77777777" w:rsidR="00D60186" w:rsidRPr="00225D4D" w:rsidRDefault="00D60186" w:rsidP="00225D4D">
      <w:pPr>
        <w:pStyle w:val="blokksit"/>
        <w:rPr>
          <w:rStyle w:val="kursiv"/>
        </w:rPr>
      </w:pPr>
      <w:r w:rsidRPr="00225D4D">
        <w:rPr>
          <w:rStyle w:val="kursiv"/>
        </w:rPr>
        <w:t>«Stortinget ber regjeringen, innen utgangen av 2024, fremme forslag om å endre tannhelseloven slik at personer i alderen 25 og 26 år får rett til behandling i den offentlige tannhelsetjenesten på lik linje med unge voksne opp til 25 år.»</w:t>
      </w:r>
    </w:p>
    <w:p w14:paraId="6F373A84" w14:textId="77777777" w:rsidR="00D60186" w:rsidRPr="00225D4D" w:rsidRDefault="00D60186" w:rsidP="00225D4D">
      <w:r w:rsidRPr="00225D4D">
        <w:t xml:space="preserve">Vedtaket ble truffet i forbindelse med behandlingen av Meld. St. 2 (2023–2024), jf. </w:t>
      </w:r>
      <w:proofErr w:type="spellStart"/>
      <w:r w:rsidRPr="00225D4D">
        <w:t>Innst</w:t>
      </w:r>
      <w:proofErr w:type="spellEnd"/>
      <w:r w:rsidRPr="00225D4D">
        <w:t>. 447 S (2023–2024) og må ses i sammenheng med anmodningsvedtak nr. 86 (2022–2023) og nr. 832 (2021–2022).</w:t>
      </w:r>
    </w:p>
    <w:p w14:paraId="34CCC94C" w14:textId="77777777" w:rsidR="00D60186" w:rsidRPr="00225D4D" w:rsidRDefault="00D60186" w:rsidP="00225D4D">
      <w:r w:rsidRPr="00225D4D">
        <w:t>I revidert nasjonalbudsjett for 2024 ble det bevilget midler til å gi tilbud om tannhelsehjelp i den offentlige tannhelsetjenesten til ytterligere to årskull med unge voksne. Innretningen på tilbudet er det samme som for voksne i aldersgruppen fra 19 til 24 år, og inkluderer dermed dem som fyller 25 eller 26 år i behandlingsåret. Det ble bevilget 105 mill. kroner til formålet i 2024.</w:t>
      </w:r>
    </w:p>
    <w:p w14:paraId="2F533F74" w14:textId="77777777" w:rsidR="00D60186" w:rsidRPr="00225D4D" w:rsidRDefault="00D60186" w:rsidP="00225D4D">
      <w:r w:rsidRPr="00225D4D">
        <w:t>I statsbudsjettet for 2025 ble det bevilget midler til å gi tilbud om tannhelsehjelp i den offentlige tannhelsetjenesten til ytterligere to årskull med unge voksne. Innretningen på tilbudet er det samme som for voksne i aldersgruppen fra 19 til 24 år, og inkluderer dermed dem som fyller 27 eller 28 år i behandlingsåret. Det ble bevilget 420 mill. kroner til formålet i 2025.</w:t>
      </w:r>
    </w:p>
    <w:p w14:paraId="27B60CA0" w14:textId="77777777" w:rsidR="00D60186" w:rsidRPr="00225D4D" w:rsidRDefault="00D60186" w:rsidP="00225D4D">
      <w:r w:rsidRPr="00225D4D">
        <w:t xml:space="preserve">Regjeringen la frem forslag til endringer i tannhelsetjenesteloven, jf. </w:t>
      </w:r>
      <w:proofErr w:type="spellStart"/>
      <w:r w:rsidRPr="00225D4D">
        <w:t>Prop</w:t>
      </w:r>
      <w:proofErr w:type="spellEnd"/>
      <w:r w:rsidRPr="00225D4D">
        <w:t>. 124 L (2024–2025). I proposisjonen ble det foreslått endringer som gir personer i alderen 25 til og med 28 år rett til nødvendig tannhelsehjelp i den offentlige tannhelsetjenesten, med 25 pst. egenbetaling. Stortinget sluttet seg til forslaget og vedtok lovendringer som trådte i kraft 1. juli 2025. Anmodningsvedtaket anses som fulgt opp.</w:t>
      </w:r>
    </w:p>
    <w:p w14:paraId="0E0F148B" w14:textId="77777777" w:rsidR="00D60186" w:rsidRPr="00225D4D" w:rsidRDefault="00D60186" w:rsidP="00225D4D">
      <w:pPr>
        <w:pStyle w:val="Overskrift2"/>
      </w:pPr>
      <w:r w:rsidRPr="00225D4D">
        <w:t>Stortingssesjon (2022–2023)</w:t>
      </w:r>
    </w:p>
    <w:p w14:paraId="7393D7BC" w14:textId="77777777" w:rsidR="00D60186" w:rsidRPr="00225D4D" w:rsidRDefault="00D60186" w:rsidP="00225D4D">
      <w:pPr>
        <w:pStyle w:val="avsnitt-tittel"/>
      </w:pPr>
      <w:r w:rsidRPr="00225D4D">
        <w:t>Avlastning av fastleger knyttet til ikke-kliniske oppgaver</w:t>
      </w:r>
    </w:p>
    <w:p w14:paraId="09C82CD4" w14:textId="77777777" w:rsidR="00D60186" w:rsidRPr="00225D4D" w:rsidRDefault="00D60186" w:rsidP="00225D4D">
      <w:pPr>
        <w:pStyle w:val="avsnitt-undertittel"/>
      </w:pPr>
      <w:r w:rsidRPr="00225D4D">
        <w:t>Vedtak nr. 2, 5. oktober 2022</w:t>
      </w:r>
    </w:p>
    <w:p w14:paraId="5F6C7949" w14:textId="77777777" w:rsidR="00D60186" w:rsidRPr="00225D4D" w:rsidRDefault="00D60186" w:rsidP="00225D4D">
      <w:pPr>
        <w:pStyle w:val="blokksit"/>
        <w:rPr>
          <w:rStyle w:val="kursiv"/>
        </w:rPr>
      </w:pPr>
      <w:r w:rsidRPr="00225D4D">
        <w:rPr>
          <w:rStyle w:val="kursiv"/>
        </w:rPr>
        <w:t>«Stortinget ber regjeringen legge frem løsninger som gjør at fastleger kan avlastes fra oppgaver av ikke-klinisk art og hvordan oppgaver kan fordeles til annet helsepersonell.»</w:t>
      </w:r>
    </w:p>
    <w:p w14:paraId="5F75CF2B" w14:textId="77777777" w:rsidR="00D60186" w:rsidRPr="00225D4D" w:rsidRDefault="00D60186" w:rsidP="00225D4D">
      <w:r w:rsidRPr="00225D4D">
        <w:t xml:space="preserve">Vedtaket ble truffet i forbindelse med trontaledebatten 5. oktober 2022. Regjeringen har i Meld. St. 23 (2024–2025) </w:t>
      </w:r>
      <w:r w:rsidRPr="00225D4D">
        <w:rPr>
          <w:rStyle w:val="kursiv"/>
        </w:rPr>
        <w:t>Fornye, forsterke, forbedre</w:t>
      </w:r>
      <w:r w:rsidRPr="00225D4D">
        <w:t>, redegjort for og fått tilslutning til regjeringens plan for å avlaste fastleger for oppgaver av ikke-klinisk art og oppgavedeling med annet helsepersonell. Det vises videre til forslag til ny Forskrift om fastlegeordning i kommunene, samt endringer i fraværsreglene for videregående skole.</w:t>
      </w:r>
    </w:p>
    <w:p w14:paraId="459982CE" w14:textId="77777777" w:rsidR="00D60186" w:rsidRPr="00225D4D" w:rsidRDefault="00D60186" w:rsidP="00225D4D">
      <w:r w:rsidRPr="00225D4D">
        <w:t>Stortingsmeldingen presenterer tiltak som legger til rette for bedre oppgavedeling og tverrfaglig samarbeid i allmennlegetjenesten. Blant annet vil regjeringen ta sikte på å innføre stønad for konsultasjon delegert fra lege til sykepleier ved fastlegekontoret.</w:t>
      </w:r>
    </w:p>
    <w:p w14:paraId="2D3BFF0A" w14:textId="77777777" w:rsidR="00D60186" w:rsidRPr="00225D4D" w:rsidRDefault="00D60186" w:rsidP="00225D4D">
      <w:r w:rsidRPr="00225D4D">
        <w:t>Anmodningsvedtaket anses som fulgt opp.</w:t>
      </w:r>
    </w:p>
    <w:p w14:paraId="71B3F32E" w14:textId="77777777" w:rsidR="00D60186" w:rsidRPr="00225D4D" w:rsidRDefault="00D60186" w:rsidP="00225D4D">
      <w:pPr>
        <w:pStyle w:val="avsnitt-tittel"/>
      </w:pPr>
      <w:r w:rsidRPr="00225D4D">
        <w:t>Styrke den offentlige allmennlegetjenesten</w:t>
      </w:r>
    </w:p>
    <w:p w14:paraId="1F850FAB" w14:textId="77777777" w:rsidR="00D60186" w:rsidRPr="00225D4D" w:rsidRDefault="00D60186" w:rsidP="00225D4D">
      <w:pPr>
        <w:pStyle w:val="avsnitt-undertittel"/>
      </w:pPr>
      <w:r w:rsidRPr="00225D4D">
        <w:t>Vedtak nr. 79, 1. desember 2022</w:t>
      </w:r>
    </w:p>
    <w:p w14:paraId="4EB6D296" w14:textId="77777777" w:rsidR="00D60186" w:rsidRPr="00225D4D" w:rsidRDefault="00D60186" w:rsidP="00225D4D">
      <w:pPr>
        <w:pStyle w:val="blokksit"/>
        <w:rPr>
          <w:rStyle w:val="kursiv"/>
        </w:rPr>
      </w:pPr>
      <w:r w:rsidRPr="00225D4D">
        <w:rPr>
          <w:rStyle w:val="kursiv"/>
        </w:rPr>
        <w:t>«Stortinget ber regjeringen fremme tiltak for å styrke den offentlige allmennlegetjenesten, herunder utarbeide hjemmel til å regulere etablering av helprivate kommersielle allmennlegekontor.»</w:t>
      </w:r>
    </w:p>
    <w:p w14:paraId="56B99890" w14:textId="77777777" w:rsidR="00D60186" w:rsidRPr="00225D4D" w:rsidRDefault="00D60186" w:rsidP="00225D4D">
      <w:r w:rsidRPr="00225D4D">
        <w:t xml:space="preserve">Vedtaket ble truffet ved behandling av Meld. St. 1 (2022–2023), jf. </w:t>
      </w:r>
      <w:proofErr w:type="spellStart"/>
      <w:r w:rsidRPr="00225D4D">
        <w:t>Innst</w:t>
      </w:r>
      <w:proofErr w:type="spellEnd"/>
      <w:r w:rsidRPr="00225D4D">
        <w:t xml:space="preserve">. 2 S (2022–2023). Regjeringen har i Meld. St. 23 (2024–2025) </w:t>
      </w:r>
      <w:r w:rsidRPr="00225D4D">
        <w:rPr>
          <w:rStyle w:val="kursiv"/>
        </w:rPr>
        <w:t>Fornye, forsterke, forbedre</w:t>
      </w:r>
      <w:r w:rsidRPr="00225D4D">
        <w:t xml:space="preserve">, redegjort for og fått tilslutning til regjeringens plan for å styrke den offentlige allmennlegetjenesten. Videre er vedtaket om å utarbeide hjemmel fulgt opp i </w:t>
      </w:r>
      <w:proofErr w:type="spellStart"/>
      <w:r w:rsidRPr="00225D4D">
        <w:t>Prop</w:t>
      </w:r>
      <w:proofErr w:type="spellEnd"/>
      <w:r w:rsidRPr="00225D4D">
        <w:t xml:space="preserve">. 114 L (2024–2025) </w:t>
      </w:r>
      <w:r w:rsidRPr="00225D4D">
        <w:rPr>
          <w:rStyle w:val="kursiv"/>
        </w:rPr>
        <w:t>Endringer i spesialisthelsetjenesteloven og helse- og omsorgstjenesteloven</w:t>
      </w:r>
      <w:r w:rsidRPr="00225D4D">
        <w:t xml:space="preserve"> </w:t>
      </w:r>
      <w:r w:rsidRPr="00225D4D">
        <w:rPr>
          <w:rStyle w:val="kursiv"/>
        </w:rPr>
        <w:t>(godkjenning av virksomheter og bruk av betegnelser)</w:t>
      </w:r>
      <w:r w:rsidRPr="00225D4D">
        <w:t xml:space="preserve"> og tilhørende Lovvedtak 107 (2024–2025). Anmodningsvedtaket anses som fulgt opp.</w:t>
      </w:r>
    </w:p>
    <w:p w14:paraId="291E9E83" w14:textId="77777777" w:rsidR="00D60186" w:rsidRPr="00225D4D" w:rsidRDefault="00D60186" w:rsidP="00225D4D">
      <w:pPr>
        <w:pStyle w:val="avsnitt-tittel"/>
      </w:pPr>
      <w:r w:rsidRPr="00225D4D">
        <w:t>Rett til nødvendig tannhelsehjelp i den offentlige tannhelsetjenesten for unge voksne</w:t>
      </w:r>
    </w:p>
    <w:p w14:paraId="16B3C509" w14:textId="77777777" w:rsidR="00D60186" w:rsidRPr="00225D4D" w:rsidRDefault="00D60186" w:rsidP="00225D4D">
      <w:pPr>
        <w:pStyle w:val="avsnitt-undertittel"/>
      </w:pPr>
      <w:r w:rsidRPr="00225D4D">
        <w:t>Vedtak nr. 86, 1. desember 2022</w:t>
      </w:r>
    </w:p>
    <w:p w14:paraId="099A9BA7" w14:textId="77777777" w:rsidR="00D60186" w:rsidRPr="00225D4D" w:rsidRDefault="00D60186" w:rsidP="00225D4D">
      <w:pPr>
        <w:pStyle w:val="blokksit"/>
        <w:rPr>
          <w:rStyle w:val="kursiv"/>
        </w:rPr>
      </w:pPr>
      <w:r w:rsidRPr="00225D4D">
        <w:rPr>
          <w:rStyle w:val="kursiv"/>
        </w:rPr>
        <w:t>«Stortinget ber regjeringen, i løpet av første halvår 2023, fremme forslag om å endre tannhelseloven slik at personer i alderen 23–26 år får rett til behandling i den offentlige tannhelsetjenesten, samt forskriftsfeste retten til 50 prosent redusert betaling for disse årskullene.»</w:t>
      </w:r>
    </w:p>
    <w:p w14:paraId="0B51FDAF" w14:textId="77777777" w:rsidR="00D60186" w:rsidRPr="00225D4D" w:rsidRDefault="00D60186" w:rsidP="00225D4D">
      <w:r w:rsidRPr="00225D4D">
        <w:t xml:space="preserve">Vedtaket ble truffet ved Stortingets behandling av </w:t>
      </w:r>
      <w:proofErr w:type="spellStart"/>
      <w:r w:rsidRPr="00225D4D">
        <w:t>Prop</w:t>
      </w:r>
      <w:proofErr w:type="spellEnd"/>
      <w:r w:rsidRPr="00225D4D">
        <w:t xml:space="preserve">. 1 S (2022–2023), jf. </w:t>
      </w:r>
      <w:proofErr w:type="spellStart"/>
      <w:r w:rsidRPr="00225D4D">
        <w:t>Innst</w:t>
      </w:r>
      <w:proofErr w:type="spellEnd"/>
      <w:r w:rsidRPr="00225D4D">
        <w:t xml:space="preserve">. 11 S (2022–2023), der det ble bevilget 280 mill. kroner til fylkeskommunene for at den fylkeskommunale tannhelsetjenesten skulle kunne tilby tannhelsetjenester til aldersgruppen 23 til 26 år med 50 pst. egenbetaling. Dette innebar en utvidelse av dagens ordning med 50 pst. egenbetaling for 21- og 22-åringene som ble vedtatt i forbindelse med statsbudsjettet for 2022, jf. </w:t>
      </w:r>
      <w:proofErr w:type="spellStart"/>
      <w:r w:rsidRPr="00225D4D">
        <w:t>Innst</w:t>
      </w:r>
      <w:proofErr w:type="spellEnd"/>
      <w:r w:rsidRPr="00225D4D">
        <w:t xml:space="preserve">. 11 S (2021–2022), se omtale av dette under anmodningsvedtak nr. 832 (2021–2022). Vedtakene må ses i sammenheng. Regjeringen la frem forslag til endringer i tannhelsetjenesteloven, jf. </w:t>
      </w:r>
      <w:proofErr w:type="spellStart"/>
      <w:r w:rsidRPr="00225D4D">
        <w:t>Prop</w:t>
      </w:r>
      <w:proofErr w:type="spellEnd"/>
      <w:r w:rsidRPr="00225D4D">
        <w:t>. 60 L (2023–2024). I proposisjonen ble det foreslått en rett til nødvendig tannhelsehjelp for personer fra 21 til og med 24 år, med 25 pst. egenbetaling. Løsningen med 25 pst. egenbetaling, redusert fra 50 pst. i vedtakene, var etter departementets vurdering i tråd med regelverket om statsstøtte etter EØS-avtalen, fordi en egenbetaling i denne størrelsesordenen gjør tilbudet til en del av den solidarisk finansierte offentlige tannhelsetjenesten. Reduksjon i egenbetaling medførte at pasientgruppen måtte avgrenses til 21- til 24-åringer, for at de utvidete rettighetene skulle holdes innenfor budsjettrammene. Stortinget sluttet seg til forslaget, blant annet om å avgrense rettigheten oppad til 24-åringer, og vedtok lovendringer som trådte i kraft 1. juli 2024. I revidert nasjonalbudsjett for 2024 ble det bevilget midler til å gi tilbud om tannhelsehjelp i den offentlige tannhelsetjenesten til ytterligere to årskull med unge voksne. Innretningen på tilbudet er det samme som for voksne i aldersgruppen fra 19 til 24 år, og inkluderer dermed dem som fyller 25 eller 26 år i behandlingsåret. Det ble bevilget 105 mill. kroner til formålet i 2024.</w:t>
      </w:r>
    </w:p>
    <w:p w14:paraId="637DD5E6" w14:textId="77777777" w:rsidR="00D60186" w:rsidRPr="00225D4D" w:rsidRDefault="00D60186" w:rsidP="00225D4D">
      <w:r w:rsidRPr="00225D4D">
        <w:t xml:space="preserve">I statsbudsjettet for 2025 ble det bevilget midler til å gi tilbud om tannhelsehjelp i den offentlige tannhelsetjenesten til ytterligere to årskull med unge voksne. Innretningen på tilbudet er det samme som for voksne i aldersgruppen fra 19 til 24 år, og inkluderer dermed dem som fyller 27 eller 28 år i behandlingsåret. Det ble bevilget 420 mill. kroner til formålet i 2025. Regjeringen la frem forslag til endringer i tannhelsetjenesteloven, jf. </w:t>
      </w:r>
      <w:proofErr w:type="spellStart"/>
      <w:r w:rsidRPr="00225D4D">
        <w:t>Prop</w:t>
      </w:r>
      <w:proofErr w:type="spellEnd"/>
      <w:r w:rsidRPr="00225D4D">
        <w:t xml:space="preserve">. 124 L (2024–2025). I proposisjonen ble det foreslått endringer som gir personer i alderen 25 til og med 28 år rett til nødvendig tannhelsehjelp i den offentlige tannhelsetjenesten, med 25 pst. egenbetaling. Stortinget sluttet seg til forslaget og vedtok lovendringer som trådte i kraft 1. juli 2025. </w:t>
      </w:r>
    </w:p>
    <w:p w14:paraId="6D83C2A7" w14:textId="77777777" w:rsidR="00D60186" w:rsidRPr="00225D4D" w:rsidRDefault="00D60186" w:rsidP="00225D4D">
      <w:pPr>
        <w:pStyle w:val="avsnitt-tittel"/>
      </w:pPr>
      <w:r w:rsidRPr="00225D4D">
        <w:t>Anmodningsvedtaket anses som fulgt opp.</w:t>
      </w:r>
    </w:p>
    <w:p w14:paraId="72CF624C" w14:textId="77777777" w:rsidR="00D60186" w:rsidRPr="00225D4D" w:rsidRDefault="00D60186" w:rsidP="00225D4D">
      <w:pPr>
        <w:pStyle w:val="avsnitt-tittel"/>
      </w:pPr>
      <w:r w:rsidRPr="00225D4D">
        <w:t xml:space="preserve">Akuttilbudet til personer som er utsatt for vold </w:t>
      </w:r>
      <w:proofErr w:type="gramStart"/>
      <w:r w:rsidRPr="00225D4D">
        <w:t>i  nære</w:t>
      </w:r>
      <w:proofErr w:type="gramEnd"/>
      <w:r w:rsidRPr="00225D4D">
        <w:t xml:space="preserve"> relasjoner</w:t>
      </w:r>
    </w:p>
    <w:p w14:paraId="18FAF187" w14:textId="77777777" w:rsidR="00D60186" w:rsidRPr="00225D4D" w:rsidRDefault="00D60186" w:rsidP="00225D4D">
      <w:pPr>
        <w:pStyle w:val="avsnitt-undertittel"/>
      </w:pPr>
      <w:r w:rsidRPr="00225D4D">
        <w:t>Vedtak nr. 137, 6. desember 2022</w:t>
      </w:r>
    </w:p>
    <w:p w14:paraId="6E107B84" w14:textId="77777777" w:rsidR="00D60186" w:rsidRPr="00225D4D" w:rsidRDefault="00D60186" w:rsidP="00225D4D">
      <w:pPr>
        <w:pStyle w:val="blokksit"/>
        <w:rPr>
          <w:rStyle w:val="kursiv"/>
        </w:rPr>
      </w:pPr>
      <w:r w:rsidRPr="00225D4D">
        <w:rPr>
          <w:rStyle w:val="kursiv"/>
        </w:rPr>
        <w:t>«Stortinget ber regjeringen styrke akuttilbudet til personer som er utsatt for vold i nære relasjoner.»</w:t>
      </w:r>
    </w:p>
    <w:p w14:paraId="095F6EFE" w14:textId="77777777" w:rsidR="00D60186" w:rsidRPr="00225D4D" w:rsidRDefault="00D60186" w:rsidP="00225D4D">
      <w:r w:rsidRPr="00225D4D">
        <w:t xml:space="preserve">Vedtaket ble truffet ved behandling av Dokument 8:218 S (2021–2022), jf. </w:t>
      </w:r>
      <w:proofErr w:type="spellStart"/>
      <w:r w:rsidRPr="00225D4D">
        <w:t>Innst</w:t>
      </w:r>
      <w:proofErr w:type="spellEnd"/>
      <w:r w:rsidRPr="00225D4D">
        <w:t>. 64 S (2022–2023).</w:t>
      </w:r>
    </w:p>
    <w:p w14:paraId="2D31B973" w14:textId="77777777" w:rsidR="00D60186" w:rsidRPr="00225D4D" w:rsidRDefault="00D60186" w:rsidP="00225D4D">
      <w:r w:rsidRPr="00225D4D">
        <w:t xml:space="preserve">Helsedirektoratet har som ledd i oppfølging av </w:t>
      </w:r>
      <w:proofErr w:type="spellStart"/>
      <w:r w:rsidRPr="00225D4D">
        <w:t>Prop</w:t>
      </w:r>
      <w:proofErr w:type="spellEnd"/>
      <w:r w:rsidRPr="00225D4D">
        <w:t xml:space="preserve">. 36 S (2023–2024) </w:t>
      </w:r>
      <w:r w:rsidRPr="00225D4D">
        <w:rPr>
          <w:rStyle w:val="kursiv"/>
        </w:rPr>
        <w:t>Opptrappingsplan mot vold og overgrep mot barn og vold i nære relasjoner</w:t>
      </w:r>
      <w:r w:rsidRPr="00225D4D">
        <w:t xml:space="preserve"> </w:t>
      </w:r>
      <w:r w:rsidRPr="00225D4D">
        <w:rPr>
          <w:rStyle w:val="kursiv"/>
        </w:rPr>
        <w:t>(2024–2028)</w:t>
      </w:r>
      <w:r w:rsidRPr="00225D4D">
        <w:t xml:space="preserve"> gjennomført en kartlegging av det medisinske og psykososiale akuttilbudet til voksne utsatt for vold i nære relasjoner. Kartleggingen, som ble utført av Menon </w:t>
      </w:r>
      <w:proofErr w:type="spellStart"/>
      <w:r w:rsidRPr="00225D4D">
        <w:t>Economics</w:t>
      </w:r>
      <w:proofErr w:type="spellEnd"/>
      <w:r w:rsidRPr="00225D4D">
        <w:t xml:space="preserve"> og publisert i februar 2025, representerer et første steg i arbeidet med å etablere en helhetlig oversikt over tjenestene, og peker på behov for videre utredning. Regjeringen vil komme tilbake til Stortinget på egnet måte.</w:t>
      </w:r>
    </w:p>
    <w:p w14:paraId="67A44CF0" w14:textId="77777777" w:rsidR="00D60186" w:rsidRPr="00225D4D" w:rsidRDefault="00D60186" w:rsidP="00225D4D">
      <w:pPr>
        <w:pStyle w:val="avsnitt-tittel"/>
      </w:pPr>
      <w:r w:rsidRPr="00225D4D">
        <w:t>Lovendring om å innhente opplysninger uten samtykke i pasientskadesaker</w:t>
      </w:r>
    </w:p>
    <w:p w14:paraId="25287D10" w14:textId="77777777" w:rsidR="00D60186" w:rsidRPr="00225D4D" w:rsidRDefault="00D60186" w:rsidP="00225D4D">
      <w:pPr>
        <w:pStyle w:val="avsnitt-undertittel"/>
      </w:pPr>
      <w:r w:rsidRPr="00225D4D">
        <w:t>Vedtak nr. 486, 16. februar 2023</w:t>
      </w:r>
    </w:p>
    <w:p w14:paraId="1D529B8B" w14:textId="77777777" w:rsidR="00D60186" w:rsidRPr="00225D4D" w:rsidRDefault="00D60186" w:rsidP="00225D4D">
      <w:pPr>
        <w:pStyle w:val="blokksit"/>
        <w:rPr>
          <w:rStyle w:val="kursiv"/>
        </w:rPr>
      </w:pPr>
      <w:r w:rsidRPr="00225D4D">
        <w:rPr>
          <w:rStyle w:val="kursiv"/>
        </w:rPr>
        <w:t xml:space="preserve">«Stortinget ber regjeringa </w:t>
      </w:r>
      <w:proofErr w:type="spellStart"/>
      <w:r w:rsidRPr="00225D4D">
        <w:rPr>
          <w:rStyle w:val="kursiv"/>
        </w:rPr>
        <w:t>fylgje</w:t>
      </w:r>
      <w:proofErr w:type="spellEnd"/>
      <w:r w:rsidRPr="00225D4D">
        <w:rPr>
          <w:rStyle w:val="kursiv"/>
        </w:rPr>
        <w:t xml:space="preserve"> opp lovendringa om å innhente </w:t>
      </w:r>
      <w:proofErr w:type="spellStart"/>
      <w:r w:rsidRPr="00225D4D">
        <w:rPr>
          <w:rStyle w:val="kursiv"/>
        </w:rPr>
        <w:t>opplysningar</w:t>
      </w:r>
      <w:proofErr w:type="spellEnd"/>
      <w:r w:rsidRPr="00225D4D">
        <w:rPr>
          <w:rStyle w:val="kursiv"/>
        </w:rPr>
        <w:t xml:space="preserve"> </w:t>
      </w:r>
      <w:proofErr w:type="spellStart"/>
      <w:r w:rsidRPr="00225D4D">
        <w:rPr>
          <w:rStyle w:val="kursiv"/>
        </w:rPr>
        <w:t>utan</w:t>
      </w:r>
      <w:proofErr w:type="spellEnd"/>
      <w:r w:rsidRPr="00225D4D">
        <w:rPr>
          <w:rStyle w:val="kursiv"/>
        </w:rPr>
        <w:t xml:space="preserve"> samtykke i pasientskadesaker for å kvalitetssikre at ho </w:t>
      </w:r>
      <w:proofErr w:type="spellStart"/>
      <w:r w:rsidRPr="00225D4D">
        <w:rPr>
          <w:rStyle w:val="kursiv"/>
        </w:rPr>
        <w:t>bidreg</w:t>
      </w:r>
      <w:proofErr w:type="spellEnd"/>
      <w:r w:rsidRPr="00225D4D">
        <w:rPr>
          <w:rStyle w:val="kursiv"/>
        </w:rPr>
        <w:t xml:space="preserve"> til ei </w:t>
      </w:r>
      <w:proofErr w:type="spellStart"/>
      <w:r w:rsidRPr="00225D4D">
        <w:rPr>
          <w:rStyle w:val="kursiv"/>
        </w:rPr>
        <w:t>enklare</w:t>
      </w:r>
      <w:proofErr w:type="spellEnd"/>
      <w:r w:rsidRPr="00225D4D">
        <w:rPr>
          <w:rStyle w:val="kursiv"/>
        </w:rPr>
        <w:t xml:space="preserve"> og </w:t>
      </w:r>
      <w:proofErr w:type="spellStart"/>
      <w:r w:rsidRPr="00225D4D">
        <w:rPr>
          <w:rStyle w:val="kursiv"/>
        </w:rPr>
        <w:t>meir</w:t>
      </w:r>
      <w:proofErr w:type="spellEnd"/>
      <w:r w:rsidRPr="00225D4D">
        <w:rPr>
          <w:rStyle w:val="kursiv"/>
        </w:rPr>
        <w:t xml:space="preserve"> effektiv sakshandsaming. Stortinget ber regjeringa </w:t>
      </w:r>
      <w:proofErr w:type="spellStart"/>
      <w:r w:rsidRPr="00225D4D">
        <w:rPr>
          <w:rStyle w:val="kursiv"/>
        </w:rPr>
        <w:t>kome</w:t>
      </w:r>
      <w:proofErr w:type="spellEnd"/>
      <w:r w:rsidRPr="00225D4D">
        <w:rPr>
          <w:rStyle w:val="kursiv"/>
        </w:rPr>
        <w:t xml:space="preserve"> attende med saka på eigna måte.»</w:t>
      </w:r>
    </w:p>
    <w:p w14:paraId="0525D6FA" w14:textId="77777777" w:rsidR="00D60186" w:rsidRPr="00225D4D" w:rsidRDefault="00D60186" w:rsidP="00225D4D">
      <w:r w:rsidRPr="00225D4D">
        <w:t xml:space="preserve">Vedtaket ble truffet ved behandling av </w:t>
      </w:r>
      <w:proofErr w:type="spellStart"/>
      <w:r w:rsidRPr="00225D4D">
        <w:t>Prop</w:t>
      </w:r>
      <w:proofErr w:type="spellEnd"/>
      <w:r w:rsidRPr="00225D4D">
        <w:t xml:space="preserve">. 8 L (2022–2023), jf. </w:t>
      </w:r>
      <w:proofErr w:type="spellStart"/>
      <w:r w:rsidRPr="00225D4D">
        <w:t>Innst</w:t>
      </w:r>
      <w:proofErr w:type="spellEnd"/>
      <w:r w:rsidRPr="00225D4D">
        <w:t>. 173 L (2022–2023). Anmodningsvedtaket er fulgt opp i dialog med Norsk pasientskadeerstatning og Nasjonalt klageorgan for helsetjenesten. Lovendringen har medført at saksbehandlingen i de saker hvor innhenting av opplysninger nå kan innhentes uten samtykke fra pasient kan gjennomføres noe raskere enn det som tidligere var tilfellet. På grunn av den store saksmengden innen pasientskadeområdet har det blitt ansett som lite hensiktsmessig å forsøke å tallfeste effekten på samlet saksbehandling i de to etatene. Effekten av lovendringen går i riktig retning. Anmodningsvedtaket anses som fulgt opp.</w:t>
      </w:r>
    </w:p>
    <w:p w14:paraId="17B4E022" w14:textId="77777777" w:rsidR="00D60186" w:rsidRPr="00225D4D" w:rsidRDefault="00D60186" w:rsidP="00225D4D">
      <w:pPr>
        <w:pStyle w:val="avsnitt-tittel"/>
      </w:pPr>
      <w:r w:rsidRPr="00225D4D">
        <w:t>Evaluering av Norsk pasientskadeerstatning</w:t>
      </w:r>
    </w:p>
    <w:p w14:paraId="11072B62" w14:textId="77777777" w:rsidR="00D60186" w:rsidRPr="00225D4D" w:rsidRDefault="00D60186" w:rsidP="00225D4D">
      <w:pPr>
        <w:pStyle w:val="avsnitt-undertittel"/>
      </w:pPr>
      <w:r w:rsidRPr="00225D4D">
        <w:t>Vedtak nr. 610, 20. april 2023</w:t>
      </w:r>
    </w:p>
    <w:p w14:paraId="5B17F676" w14:textId="77777777" w:rsidR="00D60186" w:rsidRPr="00225D4D" w:rsidRDefault="00D60186" w:rsidP="00225D4D">
      <w:pPr>
        <w:pStyle w:val="blokksit"/>
        <w:rPr>
          <w:rStyle w:val="kursiv"/>
        </w:rPr>
      </w:pPr>
      <w:r w:rsidRPr="00225D4D">
        <w:rPr>
          <w:rStyle w:val="kursiv"/>
        </w:rPr>
        <w:t>«Stortinget ber regjeringen gjennomføre en evaluering av Norsk Pasientskadeerstatning hvor rutiner for saksbehandling og saksbehandlingstid står sentralt. Stortinget ber også om at evalueringen inneholder anbefalinger. Stortinget ber regjeringen komme tilbake med saken på egnet måte.»</w:t>
      </w:r>
    </w:p>
    <w:p w14:paraId="4156FEFC" w14:textId="77777777" w:rsidR="00D60186" w:rsidRPr="00225D4D" w:rsidRDefault="00D60186" w:rsidP="00225D4D">
      <w:r w:rsidRPr="00225D4D">
        <w:t xml:space="preserve">Vedtaket ble truffet ved behandling av Dokument 8:80 S (2022–2023), jf. </w:t>
      </w:r>
      <w:proofErr w:type="spellStart"/>
      <w:r w:rsidRPr="00225D4D">
        <w:t>Innst</w:t>
      </w:r>
      <w:proofErr w:type="spellEnd"/>
      <w:r w:rsidRPr="00225D4D">
        <w:t>. 245 S (2022–2023). Helse- og omsorgsdepartementet oppnevnte 31. januar 2024 en ekspertgruppe til vurdering av saksbehandlingen i pasientskadeordningen. Ekspertgruppen la frem sin rapport i august 2024. Rapporten ble sendt på høring. Ekspertgruppen skilte mellom fire hovedanbefalinger og 29 ordinære anbefalinger blant de tilrådninger som ble gitt. Hovedanbefalingene var:</w:t>
      </w:r>
    </w:p>
    <w:p w14:paraId="4180D586" w14:textId="77777777" w:rsidR="00D60186" w:rsidRPr="00225D4D" w:rsidRDefault="00D60186" w:rsidP="00225D4D">
      <w:pPr>
        <w:pStyle w:val="Liste"/>
      </w:pPr>
      <w:r w:rsidRPr="00225D4D">
        <w:t>Pasientskadenemnda/Nasjonalt klageorgan for helsetjenesten etablerer en mer nyansert praksis rundt retur av saker til Norsk pasientskadeerstatning og avgjør flere saker i sin helhet i klageorganet.</w:t>
      </w:r>
    </w:p>
    <w:p w14:paraId="068C5691" w14:textId="77777777" w:rsidR="00D60186" w:rsidRPr="00225D4D" w:rsidRDefault="00D60186" w:rsidP="00225D4D">
      <w:pPr>
        <w:pStyle w:val="Liste"/>
      </w:pPr>
      <w:r w:rsidRPr="00225D4D">
        <w:t>Norsk pasientskadeerstatning innfører som klar hovedregel at en sak ikke bytter saksbehandler når saken går over til beregning.</w:t>
      </w:r>
    </w:p>
    <w:p w14:paraId="50E1A6D5" w14:textId="77777777" w:rsidR="00D60186" w:rsidRPr="00225D4D" w:rsidRDefault="00D60186" w:rsidP="00225D4D">
      <w:pPr>
        <w:pStyle w:val="Liste"/>
      </w:pPr>
      <w:r w:rsidRPr="00225D4D">
        <w:t>Nasjonalt klageorgan for helsetjenesten slår sammen fløterrollen og SIL-teamet til en ny enhet – Helseklages Team ekspress.</w:t>
      </w:r>
    </w:p>
    <w:p w14:paraId="7BCA0F05" w14:textId="77777777" w:rsidR="00D60186" w:rsidRPr="00225D4D" w:rsidRDefault="00D60186" w:rsidP="00225D4D">
      <w:pPr>
        <w:pStyle w:val="Liste"/>
      </w:pPr>
      <w:r w:rsidRPr="00225D4D">
        <w:t>Norsk pasientskadeerstatning etablerer en ordning med ledende sakkyndig for alle relevante fagområder.</w:t>
      </w:r>
    </w:p>
    <w:p w14:paraId="11AF2443" w14:textId="77777777" w:rsidR="00D60186" w:rsidRPr="00225D4D" w:rsidRDefault="00D60186" w:rsidP="00225D4D">
      <w:r w:rsidRPr="00225D4D">
        <w:t>Begge etatene deler intensjonene i hovedanbefalingene. Norsk pasientskadeerstatning arbeider kontinuerlig med å oppfylle hovedregelen om å ikke bytte saksbehandler ved beregning, men mulighetene for dette vil også påvirkes av blant annet sakstype. Etaten vurderer å teste ut bruk av ledende sakkyndig innen utvalgte medisinske områder.</w:t>
      </w:r>
    </w:p>
    <w:p w14:paraId="070ED21E" w14:textId="77777777" w:rsidR="00D60186" w:rsidRPr="00225D4D" w:rsidRDefault="00D60186" w:rsidP="00225D4D">
      <w:r w:rsidRPr="00225D4D">
        <w:t>Nasjonalt klageorgan for helsetjenesten har innført nye rutiner i 2025 der målet er å avgjøre flere saker uten retur til Norsk pasientskadeerstatning. Etablering av Team ekspress er en del av Nasjonalt klageorgan for helsetjenesten sin plan for organisering.</w:t>
      </w:r>
    </w:p>
    <w:p w14:paraId="5E9F9014" w14:textId="77777777" w:rsidR="00D60186" w:rsidRPr="00225D4D" w:rsidRDefault="00D60186" w:rsidP="00225D4D">
      <w:r w:rsidRPr="00225D4D">
        <w:t xml:space="preserve">Hovedtyngden av de 29 ordinære anbefalingene er enten blitt innført eller vil bli innført gradvis over tid, i takt med etatenes ressurssituasjon og organisasjonenes kapasitet til å </w:t>
      </w:r>
      <w:proofErr w:type="gramStart"/>
      <w:r w:rsidRPr="00225D4D">
        <w:t>implementere</w:t>
      </w:r>
      <w:proofErr w:type="gramEnd"/>
      <w:r w:rsidRPr="00225D4D">
        <w:t xml:space="preserve"> nye tiltak. Nasjonalt klageorgan for helsetjenesten har fått i oppdrag å utarbeide et begrunnet forslag til lovfesting av rammene for delegering av myndighet til å treffe vedtak i klagesak etter pasientskadeloven fra Pasientskadenemnda til Nasjonalt klageorgan for helsetjenesten. Anmodningsvedtaket anses som fulgt opp.</w:t>
      </w:r>
    </w:p>
    <w:p w14:paraId="2A673E89" w14:textId="77777777" w:rsidR="00D60186" w:rsidRPr="00225D4D" w:rsidRDefault="00D60186" w:rsidP="00225D4D">
      <w:pPr>
        <w:pStyle w:val="avsnitt-tittel"/>
      </w:pPr>
      <w:r w:rsidRPr="00225D4D">
        <w:t>Stortingsmelding om BPA</w:t>
      </w:r>
    </w:p>
    <w:p w14:paraId="55D6DD7E" w14:textId="77777777" w:rsidR="00D60186" w:rsidRPr="00225D4D" w:rsidRDefault="00D60186" w:rsidP="00225D4D">
      <w:pPr>
        <w:pStyle w:val="avsnitt-undertittel"/>
      </w:pPr>
      <w:r w:rsidRPr="00225D4D">
        <w:t>Vedtak nr. 742, 5. juni 2023</w:t>
      </w:r>
    </w:p>
    <w:p w14:paraId="2EFC0ECE" w14:textId="77777777" w:rsidR="00D60186" w:rsidRPr="00225D4D" w:rsidRDefault="00D60186" w:rsidP="00225D4D">
      <w:pPr>
        <w:pStyle w:val="blokksit"/>
        <w:rPr>
          <w:rStyle w:val="kursiv"/>
        </w:rPr>
      </w:pPr>
      <w:r w:rsidRPr="00225D4D">
        <w:rPr>
          <w:rStyle w:val="kursiv"/>
        </w:rPr>
        <w:t>«Stortinget ber regjeringen legge frem en stortingsmelding om ordningen med brukerstyrt personlig assistanse (BPA) basert på NOU 2021: 11 Selvstyrt er velstyrt. Stortinget ber regjeringen komme tilbake på egnet måte.»</w:t>
      </w:r>
    </w:p>
    <w:p w14:paraId="16D0BB1F" w14:textId="77777777" w:rsidR="00D60186" w:rsidRPr="00225D4D" w:rsidRDefault="00D60186" w:rsidP="00225D4D">
      <w:r w:rsidRPr="00225D4D">
        <w:t xml:space="preserve">Vedtaket ble truffet ved Stortingets behandling av Meld. St. 15 (2022–2023) </w:t>
      </w:r>
      <w:r w:rsidRPr="00225D4D">
        <w:rPr>
          <w:rStyle w:val="kursiv"/>
        </w:rPr>
        <w:t xml:space="preserve">Folkehelsemeldinga – Nasjonal strategi for utjamning av sosiale </w:t>
      </w:r>
      <w:proofErr w:type="spellStart"/>
      <w:r w:rsidRPr="00225D4D">
        <w:rPr>
          <w:rStyle w:val="kursiv"/>
        </w:rPr>
        <w:t>helseforskjellar</w:t>
      </w:r>
      <w:proofErr w:type="spellEnd"/>
      <w:r w:rsidRPr="00225D4D">
        <w:t xml:space="preserve">, jf. </w:t>
      </w:r>
      <w:proofErr w:type="spellStart"/>
      <w:r w:rsidRPr="00225D4D">
        <w:t>Innst</w:t>
      </w:r>
      <w:proofErr w:type="spellEnd"/>
      <w:r w:rsidRPr="00225D4D">
        <w:t>. 398 S (2022–2023).</w:t>
      </w:r>
    </w:p>
    <w:p w14:paraId="60A75646" w14:textId="77777777" w:rsidR="00D60186" w:rsidRPr="00225D4D" w:rsidRDefault="00D60186" w:rsidP="00225D4D">
      <w:r w:rsidRPr="00225D4D">
        <w:t xml:space="preserve">Under høringen av og i det etterfølgende arbeidet med NOU 2021: 11 </w:t>
      </w:r>
      <w:r w:rsidRPr="00225D4D">
        <w:rPr>
          <w:rStyle w:val="kursiv"/>
        </w:rPr>
        <w:t>Selvstyrt er velstyrt</w:t>
      </w:r>
      <w:r w:rsidRPr="00225D4D">
        <w:t xml:space="preserve"> kom det opp problemstillinger som det er nødvendig å få utredet videre. Helse- og omsorgsdepartementet vil nedsette et ekspertutvalg for å få utredet disse problemstillingene. Regjeringen vil komme tilbake til Stortinget på egnet måte.</w:t>
      </w:r>
    </w:p>
    <w:p w14:paraId="0EA5963F" w14:textId="77777777" w:rsidR="00D60186" w:rsidRPr="00225D4D" w:rsidRDefault="00D60186" w:rsidP="00225D4D">
      <w:pPr>
        <w:pStyle w:val="avsnitt-tittel"/>
      </w:pPr>
      <w:r w:rsidRPr="00225D4D">
        <w:t>Aldersgrense for kjøp og salg av energidrikker</w:t>
      </w:r>
    </w:p>
    <w:p w14:paraId="0181A810" w14:textId="77777777" w:rsidR="00D60186" w:rsidRPr="00225D4D" w:rsidRDefault="00D60186" w:rsidP="00225D4D">
      <w:pPr>
        <w:pStyle w:val="avsnitt-undertittel"/>
      </w:pPr>
      <w:r w:rsidRPr="00225D4D">
        <w:t>Vedtak nr. 745, 5. juni 2023</w:t>
      </w:r>
    </w:p>
    <w:p w14:paraId="661911A0" w14:textId="77777777" w:rsidR="00D60186" w:rsidRPr="00225D4D" w:rsidRDefault="00D60186" w:rsidP="00225D4D">
      <w:pPr>
        <w:pStyle w:val="blokksit"/>
        <w:rPr>
          <w:rStyle w:val="kursiv"/>
        </w:rPr>
      </w:pPr>
      <w:r w:rsidRPr="00225D4D">
        <w:rPr>
          <w:rStyle w:val="kursiv"/>
        </w:rPr>
        <w:t>«Stortinget ber regjeringen fremme forslag om å innføre 16-års aldersgrense for kjøp og salg av energidrikker.»</w:t>
      </w:r>
    </w:p>
    <w:p w14:paraId="6AC62095" w14:textId="77777777" w:rsidR="00D60186" w:rsidRPr="00225D4D" w:rsidRDefault="00D60186" w:rsidP="00225D4D">
      <w:r w:rsidRPr="00225D4D">
        <w:t xml:space="preserve">Vedtaket ble truffet ved Stortingets behandling av Meld. St. 15 (2022–2023) </w:t>
      </w:r>
      <w:r w:rsidRPr="00225D4D">
        <w:rPr>
          <w:rStyle w:val="kursiv"/>
        </w:rPr>
        <w:t xml:space="preserve">Folkehelsemeldinga – Nasjonal strategi for utjamning av sosiale </w:t>
      </w:r>
      <w:proofErr w:type="spellStart"/>
      <w:r w:rsidRPr="00225D4D">
        <w:rPr>
          <w:rStyle w:val="kursiv"/>
        </w:rPr>
        <w:t>helseforskjellar</w:t>
      </w:r>
      <w:proofErr w:type="spellEnd"/>
      <w:r w:rsidRPr="00225D4D">
        <w:t xml:space="preserve">, jf. </w:t>
      </w:r>
      <w:proofErr w:type="spellStart"/>
      <w:r w:rsidRPr="00225D4D">
        <w:t>Innst</w:t>
      </w:r>
      <w:proofErr w:type="spellEnd"/>
      <w:r w:rsidRPr="00225D4D">
        <w:t>. 398 S (2022–2023). Helse- og omsorgsdepartementet fastsatte forskrift om forbud mot salg av energidrikk til barn under 16 år den 20. august 2025. Anmodningsvedtaket anses som fulgt opp.</w:t>
      </w:r>
    </w:p>
    <w:p w14:paraId="4DDCEA4A" w14:textId="77777777" w:rsidR="00D60186" w:rsidRPr="00225D4D" w:rsidRDefault="00D60186" w:rsidP="00225D4D">
      <w:pPr>
        <w:pStyle w:val="avsnitt-tittel"/>
      </w:pPr>
      <w:r w:rsidRPr="00225D4D">
        <w:t>Grønn resept</w:t>
      </w:r>
    </w:p>
    <w:p w14:paraId="2F1503F5" w14:textId="77777777" w:rsidR="00D60186" w:rsidRPr="00225D4D" w:rsidRDefault="00D60186" w:rsidP="00225D4D">
      <w:pPr>
        <w:pStyle w:val="avsnitt-undertittel"/>
      </w:pPr>
      <w:r w:rsidRPr="00225D4D">
        <w:t>Vedtak nr. 746, 5. juni 2023</w:t>
      </w:r>
    </w:p>
    <w:p w14:paraId="54459722" w14:textId="77777777" w:rsidR="00D60186" w:rsidRPr="00225D4D" w:rsidRDefault="00D60186" w:rsidP="00225D4D">
      <w:pPr>
        <w:pStyle w:val="blokksit"/>
        <w:rPr>
          <w:rStyle w:val="kursiv"/>
        </w:rPr>
      </w:pPr>
      <w:r w:rsidRPr="00225D4D">
        <w:rPr>
          <w:rStyle w:val="kursiv"/>
        </w:rPr>
        <w:t>«Stortinget ber regjeringen legge til rette for økt bruk av grønn resept og ber regjeringen utrede nye oppfølgingsmodeller til grønn resept, for eksempel med mer veiledet aktivitet og kosthold. Stortinget ber regjeringen komme tilbake på egnet måte.»</w:t>
      </w:r>
    </w:p>
    <w:p w14:paraId="0CC3D7FC" w14:textId="77777777" w:rsidR="00D60186" w:rsidRPr="00225D4D" w:rsidRDefault="00D60186" w:rsidP="00225D4D">
      <w:r w:rsidRPr="00225D4D">
        <w:t xml:space="preserve">Vedtaket ble truffet ved behandling av Meld. St. 15 (2022–2023) </w:t>
      </w:r>
      <w:r w:rsidRPr="00225D4D">
        <w:rPr>
          <w:rStyle w:val="kursiv"/>
        </w:rPr>
        <w:t xml:space="preserve">Folkehelsemeldinga – Nasjonal strategi for utjamning av sosiale </w:t>
      </w:r>
      <w:proofErr w:type="spellStart"/>
      <w:r w:rsidRPr="00225D4D">
        <w:rPr>
          <w:rStyle w:val="kursiv"/>
        </w:rPr>
        <w:t>helseforskjellar</w:t>
      </w:r>
      <w:proofErr w:type="spellEnd"/>
      <w:r w:rsidRPr="00225D4D">
        <w:t xml:space="preserve">, jf. </w:t>
      </w:r>
      <w:proofErr w:type="spellStart"/>
      <w:r w:rsidRPr="00225D4D">
        <w:t>Innst</w:t>
      </w:r>
      <w:proofErr w:type="spellEnd"/>
      <w:r w:rsidRPr="00225D4D">
        <w:t>. 398 S (2022–2023). Helsedirektoratet fikk i 2024 i oppdrag om å utrede ulike måter å følge opp ordningen med grønn resept på. Utredningen ses i sammenheng bl.a. med oppdraget om å evaluere frisklivs-, lærings- og mestringstilbud som ble ferdigstilt sommeren/høsten 2025. Helsedirektoratet jobber med oppfølgingen av oppdraget om grønn resept. Regjeringen vil komme tilbake til Stortinget på egnet måte.</w:t>
      </w:r>
    </w:p>
    <w:p w14:paraId="50418FD9" w14:textId="77777777" w:rsidR="00D60186" w:rsidRPr="00225D4D" w:rsidRDefault="00D60186" w:rsidP="00225D4D">
      <w:pPr>
        <w:pStyle w:val="avsnitt-tittel"/>
      </w:pPr>
      <w:r w:rsidRPr="00225D4D">
        <w:t>Selvmordsforebygging</w:t>
      </w:r>
    </w:p>
    <w:p w14:paraId="7E386599" w14:textId="77777777" w:rsidR="00D60186" w:rsidRPr="00225D4D" w:rsidRDefault="00D60186" w:rsidP="00225D4D">
      <w:pPr>
        <w:pStyle w:val="avsnitt-undertittel"/>
      </w:pPr>
      <w:r w:rsidRPr="00225D4D">
        <w:t>Vedtak nr. 748, 5. juni 2023</w:t>
      </w:r>
    </w:p>
    <w:p w14:paraId="549EA2C1" w14:textId="77777777" w:rsidR="00D60186" w:rsidRPr="00225D4D" w:rsidRDefault="00D60186" w:rsidP="00225D4D">
      <w:pPr>
        <w:pStyle w:val="blokksit"/>
        <w:rPr>
          <w:rStyle w:val="kursiv"/>
        </w:rPr>
      </w:pPr>
      <w:r w:rsidRPr="00225D4D">
        <w:rPr>
          <w:rStyle w:val="kursiv"/>
        </w:rPr>
        <w:t>«Stortinget ber regjeringen sørge for at selvmordsforebyggende tiltak styrkes.»</w:t>
      </w:r>
    </w:p>
    <w:p w14:paraId="64D6AFD6" w14:textId="77777777" w:rsidR="00D60186" w:rsidRPr="00225D4D" w:rsidRDefault="00D60186" w:rsidP="00225D4D">
      <w:r w:rsidRPr="00225D4D">
        <w:t xml:space="preserve">Vedtaket ble truffet ved behandling av Meld. St. 15 (2022–2023) </w:t>
      </w:r>
      <w:r w:rsidRPr="00225D4D">
        <w:rPr>
          <w:rStyle w:val="kursiv"/>
        </w:rPr>
        <w:t>Folkehelsemeldinga</w:t>
      </w:r>
      <w:r w:rsidRPr="00225D4D">
        <w:t xml:space="preserve">, jf. </w:t>
      </w:r>
      <w:proofErr w:type="spellStart"/>
      <w:r w:rsidRPr="00225D4D">
        <w:t>Innst</w:t>
      </w:r>
      <w:proofErr w:type="spellEnd"/>
      <w:r w:rsidRPr="00225D4D">
        <w:t xml:space="preserve">. 398 S (2022–2023). Regjeringen har besluttet at det skal utarbeides en ny, spisset handlingsplan for forebygging av selvmord. Planen skal ha både et befolkningsperspektiv og et tjenesteperspektiv. Helsedirektoratet og Folkehelseinstituttet har fått i oppdrag å gi anbefalinger om innsatsområder, resultatmål og tiltak i en ny handlingsplan. Etatene er særskilt bedt om forslag til tiltak for å adressere sammenhengen mellom økonomiske problemer/gjeld og selvmord, og om at kjønns- og </w:t>
      </w:r>
      <w:proofErr w:type="spellStart"/>
      <w:r w:rsidRPr="00225D4D">
        <w:t>mangfoldsperspektiv</w:t>
      </w:r>
      <w:proofErr w:type="spellEnd"/>
      <w:r w:rsidRPr="00225D4D">
        <w:t xml:space="preserve"> ivaretas. Frem til ny handlingsplan foreligger, vil </w:t>
      </w:r>
      <w:r w:rsidRPr="00225D4D">
        <w:rPr>
          <w:rStyle w:val="kursiv"/>
        </w:rPr>
        <w:t xml:space="preserve">Handlingsplan for forebygging av selvmord 2020–2025 – Ingen å miste </w:t>
      </w:r>
      <w:r w:rsidRPr="00225D4D">
        <w:t xml:space="preserve">følges opp og forlenges. I forbindelse med oppfølging av Meld. St. 23 (2022–2023) </w:t>
      </w:r>
      <w:r w:rsidRPr="00225D4D">
        <w:rPr>
          <w:rStyle w:val="kursiv"/>
        </w:rPr>
        <w:t>Opptrappingsplan for psykisk helse (2023</w:t>
      </w:r>
      <w:r w:rsidRPr="00225D4D">
        <w:t>–</w:t>
      </w:r>
      <w:r w:rsidRPr="00225D4D">
        <w:rPr>
          <w:rStyle w:val="kursiv"/>
        </w:rPr>
        <w:t xml:space="preserve">2033) </w:t>
      </w:r>
      <w:r w:rsidRPr="00225D4D">
        <w:t>er det bevilget over 1 mrd. kroner til tiltak for å styrke tilbudet innen psykisk helsefeltet. Anmodningsvedtaket anses som fulgt opp.</w:t>
      </w:r>
    </w:p>
    <w:p w14:paraId="1B2489E6" w14:textId="77777777" w:rsidR="00D60186" w:rsidRPr="00225D4D" w:rsidRDefault="00D60186" w:rsidP="00225D4D">
      <w:pPr>
        <w:pStyle w:val="avsnitt-tittel"/>
      </w:pPr>
      <w:r w:rsidRPr="00225D4D">
        <w:t>Apotekenes rolle i vaksinasjonsarbeidet</w:t>
      </w:r>
    </w:p>
    <w:p w14:paraId="63CAF845" w14:textId="77777777" w:rsidR="00D60186" w:rsidRPr="00225D4D" w:rsidRDefault="00D60186" w:rsidP="00225D4D">
      <w:pPr>
        <w:pStyle w:val="avsnitt-undertittel"/>
      </w:pPr>
      <w:r w:rsidRPr="00225D4D">
        <w:t>Vedtak nr. 756, 5. juni 2023</w:t>
      </w:r>
    </w:p>
    <w:p w14:paraId="7CA36659" w14:textId="77777777" w:rsidR="00D60186" w:rsidRPr="00225D4D" w:rsidRDefault="00D60186" w:rsidP="00225D4D">
      <w:pPr>
        <w:pStyle w:val="blokksit"/>
        <w:rPr>
          <w:rStyle w:val="kursiv"/>
        </w:rPr>
      </w:pPr>
      <w:r w:rsidRPr="00225D4D">
        <w:rPr>
          <w:rStyle w:val="kursiv"/>
        </w:rPr>
        <w:t>«Stortinget ber regjeringen se på hvordan apotekenes rolle i vaksinasjonsarbeidet kan styrkes, blant annet for å øke vaksinasjonsgraden i befolkningen og sikre riktig legemiddelbruk. Stortinget ber regjeringen komme tilbake på egnet måte.»</w:t>
      </w:r>
    </w:p>
    <w:p w14:paraId="239A6B21" w14:textId="77777777" w:rsidR="00D60186" w:rsidRPr="00225D4D" w:rsidRDefault="00D60186" w:rsidP="00225D4D">
      <w:r w:rsidRPr="00225D4D">
        <w:t xml:space="preserve">Vedtaket ble truffet ved behandling av Meld. St. 15 (2022–2023) </w:t>
      </w:r>
      <w:r w:rsidRPr="00225D4D">
        <w:rPr>
          <w:rStyle w:val="kursiv"/>
        </w:rPr>
        <w:t xml:space="preserve">Folkehelsemeldinga – Nasjonal strategi for utjamning av sosiale </w:t>
      </w:r>
      <w:proofErr w:type="spellStart"/>
      <w:r w:rsidRPr="00225D4D">
        <w:rPr>
          <w:rStyle w:val="kursiv"/>
        </w:rPr>
        <w:t>helseforskjellar</w:t>
      </w:r>
      <w:proofErr w:type="spellEnd"/>
      <w:r w:rsidRPr="00225D4D">
        <w:t xml:space="preserve">, jf. </w:t>
      </w:r>
      <w:proofErr w:type="spellStart"/>
      <w:r w:rsidRPr="00225D4D">
        <w:t>Innst</w:t>
      </w:r>
      <w:proofErr w:type="spellEnd"/>
      <w:r w:rsidRPr="00225D4D">
        <w:t>. 398 S (2022–2023). Regjeringen vil komme tilbake til Stortinget på egnet måte i forbindelse med arbeidet med å videreutvikle voksenvaksinasjonsprogrammet.</w:t>
      </w:r>
    </w:p>
    <w:p w14:paraId="760CA222" w14:textId="77777777" w:rsidR="00D60186" w:rsidRPr="00225D4D" w:rsidRDefault="00D60186" w:rsidP="00225D4D">
      <w:pPr>
        <w:pStyle w:val="avsnitt-tittel"/>
      </w:pPr>
      <w:r w:rsidRPr="00225D4D">
        <w:t>Utvide vilkårene for folketrygdstønad på grunnlag av sterkt nedsatt evne til egenomsorg</w:t>
      </w:r>
    </w:p>
    <w:p w14:paraId="5DB4E7B0" w14:textId="77777777" w:rsidR="00D60186" w:rsidRPr="00225D4D" w:rsidRDefault="00D60186" w:rsidP="00225D4D">
      <w:pPr>
        <w:pStyle w:val="avsnitt-undertittel"/>
      </w:pPr>
      <w:r w:rsidRPr="00225D4D">
        <w:t>Vedtak nr. 929, 16. juni 2023</w:t>
      </w:r>
    </w:p>
    <w:p w14:paraId="0029362A" w14:textId="77777777" w:rsidR="00D60186" w:rsidRPr="00225D4D" w:rsidRDefault="00D60186" w:rsidP="00225D4D">
      <w:pPr>
        <w:pStyle w:val="blokksit"/>
        <w:rPr>
          <w:rStyle w:val="kursiv"/>
        </w:rPr>
      </w:pPr>
      <w:r w:rsidRPr="00225D4D">
        <w:rPr>
          <w:rStyle w:val="kursiv"/>
        </w:rPr>
        <w:t>«Stortinget ber regjeringen sikre at pasienter med psykiske helseplager som etter forskrift om stønad til dekning av utgifter til tannbehandling § 1 nr. 14 har rett til stønad til tannbehandling, beholder rettighetene i seks måneder etter at de sterkt nedsatte evnene til egenomsorg er gjenopprettet.»</w:t>
      </w:r>
    </w:p>
    <w:p w14:paraId="480F99F6" w14:textId="77777777" w:rsidR="00D60186" w:rsidRPr="00225D4D" w:rsidRDefault="00D60186" w:rsidP="00225D4D">
      <w:r w:rsidRPr="00225D4D">
        <w:t xml:space="preserve">Vedtaket ble truffet ved behandling av </w:t>
      </w:r>
      <w:proofErr w:type="spellStart"/>
      <w:r w:rsidRPr="00225D4D">
        <w:t>Prop</w:t>
      </w:r>
      <w:proofErr w:type="spellEnd"/>
      <w:r w:rsidRPr="00225D4D">
        <w:t xml:space="preserve">. 118 S (2022–2023), jf. </w:t>
      </w:r>
      <w:proofErr w:type="spellStart"/>
      <w:r w:rsidRPr="00225D4D">
        <w:t>Innst</w:t>
      </w:r>
      <w:proofErr w:type="spellEnd"/>
      <w:r w:rsidRPr="00225D4D">
        <w:t xml:space="preserve">. 490 S (2022–2023). Regjeringen foreslår å avvikle stønad til tannbehandling (egenomsorg) etter forskrift om stønad til dekning av utgifter til tannbehandling § 1 nr. 14 for å gi rom for andre prioriterte tiltak. Anmodningsvedtak nr. 929 (2022–2023), 16. juni 2023, foreslås opphevet, jf. forslag til romertallsvedtak </w:t>
      </w:r>
      <w:proofErr w:type="spellStart"/>
      <w:r w:rsidRPr="00225D4D">
        <w:t>X</w:t>
      </w:r>
      <w:proofErr w:type="spellEnd"/>
      <w:r w:rsidRPr="00225D4D">
        <w:t>.</w:t>
      </w:r>
    </w:p>
    <w:p w14:paraId="19924EC2" w14:textId="77777777" w:rsidR="00D60186" w:rsidRPr="00225D4D" w:rsidRDefault="00D60186" w:rsidP="00225D4D">
      <w:pPr>
        <w:pStyle w:val="Overskrift2"/>
      </w:pPr>
      <w:r w:rsidRPr="00225D4D">
        <w:t>Stortingssesjon (2021–2022)</w:t>
      </w:r>
    </w:p>
    <w:p w14:paraId="1CE428EB" w14:textId="77777777" w:rsidR="00D60186" w:rsidRPr="00225D4D" w:rsidRDefault="00D60186" w:rsidP="00225D4D">
      <w:pPr>
        <w:pStyle w:val="avsnitt-tittel"/>
      </w:pPr>
      <w:r w:rsidRPr="00225D4D">
        <w:t>Avklaring knyttet til Register for utøvere av alternativ behandling</w:t>
      </w:r>
    </w:p>
    <w:p w14:paraId="78027AF0" w14:textId="77777777" w:rsidR="00D60186" w:rsidRPr="00225D4D" w:rsidRDefault="00D60186" w:rsidP="00225D4D">
      <w:pPr>
        <w:pStyle w:val="avsnitt-undertittel"/>
      </w:pPr>
      <w:r w:rsidRPr="00225D4D">
        <w:t>Vedtak nr. 417, 8. mars 2022</w:t>
      </w:r>
    </w:p>
    <w:p w14:paraId="1233328A" w14:textId="77777777" w:rsidR="00D60186" w:rsidRPr="00225D4D" w:rsidRDefault="00D60186" w:rsidP="00225D4D">
      <w:pPr>
        <w:pStyle w:val="blokksit"/>
        <w:rPr>
          <w:rStyle w:val="kursiv"/>
        </w:rPr>
      </w:pPr>
      <w:r w:rsidRPr="00225D4D">
        <w:rPr>
          <w:rStyle w:val="kursiv"/>
        </w:rPr>
        <w:t>«Stortinget ber regjeringen avklare hvilke av tjenestetilbyderne som er registrert i Registeret for utøvere av alternativ behandling, som kan anses å yte helsehjelp, og komme tilbake til Stortinget med en helhetlig gjennomgang av ordningene for autorisasjon, lisens og spesialistgodkjenning av helsepersonell, herunder en vurdering av hvilke grupper som skal omfattes av disse ordningene og få fritak fra merverdiavgiftsloven, så snart som mulig.»</w:t>
      </w:r>
    </w:p>
    <w:p w14:paraId="51269A98" w14:textId="77777777" w:rsidR="00D60186" w:rsidRPr="00225D4D" w:rsidRDefault="00D60186" w:rsidP="00225D4D">
      <w:r w:rsidRPr="00225D4D">
        <w:t xml:space="preserve">Vedtaket ble truffet ved behandling av </w:t>
      </w:r>
      <w:proofErr w:type="spellStart"/>
      <w:r w:rsidRPr="00225D4D">
        <w:t>Prop</w:t>
      </w:r>
      <w:proofErr w:type="spellEnd"/>
      <w:r w:rsidRPr="00225D4D">
        <w:t xml:space="preserve">. 236 L (2020–2021), jf. </w:t>
      </w:r>
      <w:proofErr w:type="spellStart"/>
      <w:r w:rsidRPr="00225D4D">
        <w:t>Innst</w:t>
      </w:r>
      <w:proofErr w:type="spellEnd"/>
      <w:r w:rsidRPr="00225D4D">
        <w:t xml:space="preserve">. 170 L (2021–2022). Endringene i loven omfatter etter Stortingets behandling også manuellterapeuter. Regjeringen har i Meld. St. 9 (2023–2024) </w:t>
      </w:r>
      <w:r w:rsidRPr="00225D4D">
        <w:rPr>
          <w:rStyle w:val="kursiv"/>
        </w:rPr>
        <w:t>Nasjonal helse- og samhandlingsplan</w:t>
      </w:r>
      <w:r w:rsidRPr="00225D4D">
        <w:t>, lagt frem for Stortinget hvordan vedtaket vil følges opp. Helse- og omsorgsdepartementet har utarbeidet kriterier som skal legges til grunn ved vurdering av om det skal opprettes nye ordninger med offentlige spesialistgodkjenninger, eller spesialiteter innenfor eksisterende ordninger. Kriteriene er formidlet til Helsedirektoratet. Departementet har også satt i gang et arbeid for å vurdere om det er nødvendig med en tydeliggjøring av formålet med autorisasjonsordningen og offentlig spesialistgodkjenning, og om andre kriterier skal legges til grunn når nye søknader om autorisasjon og regulering av beslutningsmyndighet skal vurderes. Regjeringen vil komme tilbake til Stortinget på egnet måte.</w:t>
      </w:r>
    </w:p>
    <w:p w14:paraId="5105977A" w14:textId="77777777" w:rsidR="00D60186" w:rsidRPr="00225D4D" w:rsidRDefault="00D60186" w:rsidP="00225D4D">
      <w:pPr>
        <w:pStyle w:val="avsnitt-tittel"/>
      </w:pPr>
      <w:r w:rsidRPr="00225D4D">
        <w:t>Lovfeste rett til selvvalgt støtteperson gjennom graviditet og fødsel</w:t>
      </w:r>
    </w:p>
    <w:p w14:paraId="5E91107D" w14:textId="77777777" w:rsidR="00D60186" w:rsidRPr="00225D4D" w:rsidRDefault="00D60186" w:rsidP="00225D4D">
      <w:pPr>
        <w:pStyle w:val="avsnitt-undertittel"/>
      </w:pPr>
      <w:r w:rsidRPr="00225D4D">
        <w:t>Vedtak nr. 517, 3. mai 2022</w:t>
      </w:r>
    </w:p>
    <w:p w14:paraId="7E327E32" w14:textId="77777777" w:rsidR="00D60186" w:rsidRPr="00225D4D" w:rsidRDefault="00D60186" w:rsidP="00225D4D">
      <w:pPr>
        <w:pStyle w:val="blokksit"/>
        <w:rPr>
          <w:rStyle w:val="kursiv"/>
        </w:rPr>
      </w:pPr>
      <w:r w:rsidRPr="00225D4D">
        <w:rPr>
          <w:rStyle w:val="kursiv"/>
        </w:rPr>
        <w:t>«Stortinget ber regjeringen fremme forslag om å lovfeste retten til å ha med en støtteperson som mor velger, under svangerskap og i fødsel og i barsel.»</w:t>
      </w:r>
    </w:p>
    <w:p w14:paraId="72204EDB" w14:textId="77777777" w:rsidR="00D60186" w:rsidRPr="00225D4D" w:rsidRDefault="00D60186" w:rsidP="00225D4D">
      <w:r w:rsidRPr="00225D4D">
        <w:t xml:space="preserve">Vedtaket ble truffet ved Stortingets behandling av Dokument 8:85 S (2021–2022), jf. </w:t>
      </w:r>
      <w:proofErr w:type="spellStart"/>
      <w:r w:rsidRPr="00225D4D">
        <w:t>Innst</w:t>
      </w:r>
      <w:proofErr w:type="spellEnd"/>
      <w:r w:rsidRPr="00225D4D">
        <w:t>. 255 S (2021–2022). Som varslet i Nasjonal helse- og samhandlingsplan har Helse- og omsorgsdepartementet sendt på høring et lovforslag om å foreslå endringer i pasient- og brukerrettighetsloven for å tydeliggjøre retten til å ha andre til stede når det gis helse- og omsorgstjenester, inkludert under konsultasjoner i svangerskap, under fødsel og i barseltiden. Anmodningsvedtaket anses som fulgt opp.</w:t>
      </w:r>
    </w:p>
    <w:p w14:paraId="5C7E09CA" w14:textId="77777777" w:rsidR="00D60186" w:rsidRPr="00225D4D" w:rsidRDefault="00D60186" w:rsidP="00225D4D">
      <w:pPr>
        <w:pStyle w:val="avsnitt-tittel"/>
      </w:pPr>
      <w:r w:rsidRPr="00225D4D">
        <w:t>Oppfølging og hjelpeapparat for forebygging av fødselsdepresjon</w:t>
      </w:r>
    </w:p>
    <w:p w14:paraId="6A4A6951" w14:textId="77777777" w:rsidR="00D60186" w:rsidRPr="00225D4D" w:rsidRDefault="00D60186" w:rsidP="00225D4D">
      <w:pPr>
        <w:pStyle w:val="avsnitt-undertittel"/>
      </w:pPr>
      <w:r w:rsidRPr="00225D4D">
        <w:t>Vedtak nr. 518, 3. mai 2022</w:t>
      </w:r>
    </w:p>
    <w:p w14:paraId="43B72796" w14:textId="77777777" w:rsidR="00D60186" w:rsidRPr="00225D4D" w:rsidRDefault="00D60186" w:rsidP="00225D4D">
      <w:pPr>
        <w:pStyle w:val="blokksit"/>
        <w:rPr>
          <w:rStyle w:val="kursiv"/>
        </w:rPr>
      </w:pPr>
      <w:r w:rsidRPr="00225D4D">
        <w:rPr>
          <w:rStyle w:val="kursiv"/>
        </w:rPr>
        <w:t>«Stortinget ber regjeringen sikre bedre oppfølging og hjelpeapparat i forbindelse med svangerskap og barseltid for å forebygge og behandle fødselsdepresjon.»</w:t>
      </w:r>
    </w:p>
    <w:p w14:paraId="64767331" w14:textId="77777777" w:rsidR="00D60186" w:rsidRPr="00225D4D" w:rsidRDefault="00D60186" w:rsidP="00225D4D">
      <w:r w:rsidRPr="00225D4D">
        <w:t xml:space="preserve">Vedtaket ble truffet ved behandling av Dokument 8:85 S (2021–2022), jf. </w:t>
      </w:r>
      <w:proofErr w:type="spellStart"/>
      <w:r w:rsidRPr="00225D4D">
        <w:t>Innst</w:t>
      </w:r>
      <w:proofErr w:type="spellEnd"/>
      <w:r w:rsidRPr="00225D4D">
        <w:t>. 255 S (2021–2022).</w:t>
      </w:r>
    </w:p>
    <w:p w14:paraId="2F2E0681" w14:textId="77777777" w:rsidR="00D60186" w:rsidRPr="00225D4D" w:rsidRDefault="00D60186" w:rsidP="00225D4D">
      <w:r w:rsidRPr="00225D4D">
        <w:t xml:space="preserve">Forebygging og behandling av fødselsdepresjon omtales i Meld. St. 23 (2022–2023) </w:t>
      </w:r>
      <w:r w:rsidRPr="00225D4D">
        <w:rPr>
          <w:rStyle w:val="kursiv"/>
        </w:rPr>
        <w:t xml:space="preserve">Opptrappingsplan for psykisk helse (2023–2033). </w:t>
      </w:r>
      <w:r w:rsidRPr="00225D4D">
        <w:t xml:space="preserve">I Meld. St. 28 (2024–2025) </w:t>
      </w:r>
      <w:r w:rsidRPr="00225D4D">
        <w:rPr>
          <w:rStyle w:val="kursiv"/>
        </w:rPr>
        <w:t xml:space="preserve">Tro på framtida – uansett bakgrunn </w:t>
      </w:r>
      <w:r w:rsidRPr="00225D4D">
        <w:t xml:space="preserve">(Oppvekstmeldinga) har regjeringen lagt frem en samlet politikk for de første årene av et barns liv, med særlig oppmerksomhet på perinatal mental helse, det vil si psykisk helse under svangerskapet og i perioden etter fødselen. Viktige elementer i den samlede politikken er blant annet god og tilgjengelig universell foreldrestøtte, gode og tilgjengelige barnehager, god oppfølging av dem som trenger ekstra støtte, og forebygging av vold, overgrep og omsorgssvikt. I Meld. St. 9 (2023–2024) </w:t>
      </w:r>
      <w:r w:rsidRPr="00225D4D">
        <w:rPr>
          <w:rStyle w:val="kursiv"/>
        </w:rPr>
        <w:t xml:space="preserve">Nasjonal helse- og samhandlingsplan 2024–2027 </w:t>
      </w:r>
      <w:r w:rsidRPr="00225D4D">
        <w:t xml:space="preserve">omtales tiltak for å sikre sammenhengende, trygt og helhetlig tilbud gjennom svangerskap, fødsel og barseltid. Helsedirektoratet, i samarbeid med Norsk helsenett SF, har fått oppdrag om å legge til rette for bedre og kvalitetssikret foreldrestøtte til kommende og nye foreldre gjennom digitale tilbud tilpasset ulike situasjoner og faser i familiers liv. Arbeidet ses i sammenheng med digitalt helsekort for gravide. Høsten 2025 ble det lansert to tjenester på </w:t>
      </w:r>
      <w:proofErr w:type="spellStart"/>
      <w:r w:rsidRPr="00225D4D">
        <w:t>Helsenorge</w:t>
      </w:r>
      <w:proofErr w:type="spellEnd"/>
      <w:r w:rsidRPr="00225D4D">
        <w:t xml:space="preserve">, Gravid og </w:t>
      </w:r>
      <w:proofErr w:type="spellStart"/>
      <w:r w:rsidRPr="00225D4D">
        <w:t>Småbarnsliv</w:t>
      </w:r>
      <w:proofErr w:type="spellEnd"/>
      <w:r w:rsidRPr="00225D4D">
        <w:t>, som skal gi kvalitetssikret hjelp og støtte til gravide og småbarnsfamilier. Anmodningsvedtaket anses som fulgt opp.</w:t>
      </w:r>
    </w:p>
    <w:p w14:paraId="13BC4554" w14:textId="77777777" w:rsidR="00D60186" w:rsidRPr="00225D4D" w:rsidRDefault="00D60186" w:rsidP="00225D4D">
      <w:pPr>
        <w:pStyle w:val="avsnitt-tittel"/>
      </w:pPr>
      <w:r w:rsidRPr="00225D4D">
        <w:t>Rettighetsfesting av hjemmebesøk av jordmor</w:t>
      </w:r>
    </w:p>
    <w:p w14:paraId="38BC5F6A" w14:textId="77777777" w:rsidR="00D60186" w:rsidRPr="00225D4D" w:rsidRDefault="00D60186" w:rsidP="00225D4D">
      <w:pPr>
        <w:pStyle w:val="avsnitt-undertittel"/>
      </w:pPr>
      <w:r w:rsidRPr="00225D4D">
        <w:t>Vedtak nr. 520, 3. mai 2022</w:t>
      </w:r>
    </w:p>
    <w:p w14:paraId="2DA52C51" w14:textId="77777777" w:rsidR="00D60186" w:rsidRPr="00225D4D" w:rsidRDefault="00D60186" w:rsidP="00225D4D">
      <w:pPr>
        <w:pStyle w:val="blokksit"/>
        <w:rPr>
          <w:rStyle w:val="kursiv"/>
        </w:rPr>
      </w:pPr>
      <w:r w:rsidRPr="00225D4D">
        <w:rPr>
          <w:rStyle w:val="kursiv"/>
        </w:rPr>
        <w:t>«Stortinget ber regjeringen rettighetsfeste hjemmebesøk av jordmor innen én uke etter fødsel.»</w:t>
      </w:r>
    </w:p>
    <w:p w14:paraId="34A1EBDB" w14:textId="77777777" w:rsidR="00D60186" w:rsidRPr="00225D4D" w:rsidRDefault="00D60186" w:rsidP="00225D4D">
      <w:r w:rsidRPr="00225D4D">
        <w:t xml:space="preserve">Vedtaket ble truffet ved behandling av Dokument 8:85 S (2021–2022), jf. </w:t>
      </w:r>
      <w:proofErr w:type="spellStart"/>
      <w:r w:rsidRPr="00225D4D">
        <w:t>Innst</w:t>
      </w:r>
      <w:proofErr w:type="spellEnd"/>
      <w:r w:rsidRPr="00225D4D">
        <w:t xml:space="preserve">. 255 S (2021–2022). Det vises til omtale i Meld. St. 9 (2023–2024) </w:t>
      </w:r>
      <w:r w:rsidRPr="00225D4D">
        <w:rPr>
          <w:rStyle w:val="kursiv"/>
        </w:rPr>
        <w:t>Nasjonal helse- og samhandlingsplan 2024–2027</w:t>
      </w:r>
      <w:r w:rsidRPr="00225D4D">
        <w:t xml:space="preserve"> som Stortinget har sluttet seg til. Hvis hjemmebesøk rettighetsfestes, vil det kunne medføre at hjemmebesøk må prioriteres fremfor andre viktige oppgaver for jordmor i svangerskapsomsorgen, og da særlig muligheten for å gi et utvidet tilbud til familier med et særskilt behov. Manglende hjemmebesøk betyr imidlertid ikke manglende oppfølging. Oppfølgingen av nyfødte og foreldrene skal sikres ved behov og alle helsestasjoner skal ha rutiner for å følge opp de som ikke møter til kontroller. Regjeringen vurderer at intensjonen i Stortingets vedtak er oppfylt. Hjemmebesøk av jordmor innen en uke etter fødsel rettighetsfeste ikke da det vil kunne gi et dårligere tilbud til familier med behov for ekstra oppfølging. Det understrekes også at det er en sterk faglig anbefaling om hjemmebesøk av helsesykepleier 8–10 dager etter fødsel. Dette supplerer hjemmebesøk av jordmor. Anmodningsvedtak nr. 520 (2021–2022), 3. mai 2022, foreslås opphevet, jf. forslag til romertallsvedtak </w:t>
      </w:r>
      <w:proofErr w:type="spellStart"/>
      <w:r w:rsidRPr="00225D4D">
        <w:t>X</w:t>
      </w:r>
      <w:proofErr w:type="spellEnd"/>
      <w:r w:rsidRPr="00225D4D">
        <w:t>.</w:t>
      </w:r>
    </w:p>
    <w:p w14:paraId="42E1EE86" w14:textId="77777777" w:rsidR="00D60186" w:rsidRPr="00225D4D" w:rsidRDefault="00D60186" w:rsidP="00225D4D">
      <w:pPr>
        <w:pStyle w:val="avsnitt-tittel"/>
      </w:pPr>
      <w:r w:rsidRPr="00225D4D">
        <w:t>Utredning av spesialistforskriften</w:t>
      </w:r>
    </w:p>
    <w:p w14:paraId="70886CD5" w14:textId="77777777" w:rsidR="00D60186" w:rsidRPr="00225D4D" w:rsidRDefault="00D60186" w:rsidP="00225D4D">
      <w:pPr>
        <w:pStyle w:val="avsnitt-undertittel"/>
      </w:pPr>
      <w:r w:rsidRPr="00225D4D">
        <w:t>Vedtak nr. 561, 24. mai 2022</w:t>
      </w:r>
    </w:p>
    <w:p w14:paraId="3CC425A2" w14:textId="77777777" w:rsidR="00D60186" w:rsidRPr="00225D4D" w:rsidRDefault="00D60186" w:rsidP="00225D4D">
      <w:pPr>
        <w:pStyle w:val="blokksit"/>
        <w:rPr>
          <w:rStyle w:val="kursiv"/>
        </w:rPr>
      </w:pPr>
      <w:r w:rsidRPr="00225D4D">
        <w:rPr>
          <w:rStyle w:val="kursiv"/>
        </w:rPr>
        <w:t>«Stortinget ber regjeringen så raskt som mulig utrede å endre spesialistforskriften § 18 første ledd for å åpne for at leger som har gjennomført praktisk tjeneste i et annet EU-/EØS-land, etter søknad og konkret vurdering av læringsmål kan få godkjent hele eller deler av den praktiske tjenesten som LIS1-tjeneste, samtidig som LIS1-ordningen sikres og opprettholdes. Regjeringen bes komme tilbake til Stortinget på egnet måte innen utgangen av 2022.»</w:t>
      </w:r>
    </w:p>
    <w:p w14:paraId="4BE4943D" w14:textId="77777777" w:rsidR="00D60186" w:rsidRPr="00225D4D" w:rsidRDefault="00D60186" w:rsidP="00225D4D">
      <w:r w:rsidRPr="00225D4D">
        <w:t xml:space="preserve">Vedtaket ble truffet ved behandling av Dokument 8:98 S (2021–2022) og Dokument 8:128 S (2021–2022), jf. </w:t>
      </w:r>
      <w:proofErr w:type="spellStart"/>
      <w:r w:rsidRPr="00225D4D">
        <w:t>Innst</w:t>
      </w:r>
      <w:proofErr w:type="spellEnd"/>
      <w:r w:rsidRPr="00225D4D">
        <w:t xml:space="preserve">. 297 S (2021–2022). Regjeringen har i Meld. St. 9 (2023–2024), </w:t>
      </w:r>
      <w:r w:rsidRPr="00225D4D">
        <w:rPr>
          <w:rStyle w:val="kursiv"/>
        </w:rPr>
        <w:t>Nasjonal helse- og samhandlingsplan</w:t>
      </w:r>
      <w:r w:rsidRPr="00225D4D">
        <w:t>, lagt frem for Stortinget hvordan vedtaket følges opp. LIS1-ordningen opprettholdes i store trekk som i dag, men det legges opp til en større kapasitet i ordningen ved at tjenesten selv kan opprette LIS1-stillinger innenfor egne budsjettrammer. Dette åpner også for at leger med kompetanse kan få bedre tilrettelagte utdanningsløp. Forskriftsendringer for å oppnå dette ble iverksatt 1. januar 2025. Regjeringen vil også, som del av en gjennomgang av spesialistforskriften, vurdere behovet for å endre § 18. Regjeringen vil komme tilbake til Stortinget på egnet måte.</w:t>
      </w:r>
    </w:p>
    <w:p w14:paraId="1B17C094" w14:textId="77777777" w:rsidR="00D60186" w:rsidRPr="00225D4D" w:rsidRDefault="00D60186" w:rsidP="00225D4D">
      <w:pPr>
        <w:pStyle w:val="avsnitt-tittel"/>
      </w:pPr>
      <w:r w:rsidRPr="00225D4D">
        <w:t>Handlingsplan for reduksjon av ensomhet</w:t>
      </w:r>
    </w:p>
    <w:p w14:paraId="7943AE20" w14:textId="77777777" w:rsidR="00D60186" w:rsidRPr="00225D4D" w:rsidRDefault="00D60186" w:rsidP="00225D4D">
      <w:pPr>
        <w:pStyle w:val="avsnitt-undertittel"/>
      </w:pPr>
      <w:r w:rsidRPr="00225D4D">
        <w:t>Vedtak nr. 762, 10. juni 2022</w:t>
      </w:r>
    </w:p>
    <w:p w14:paraId="347C02F4" w14:textId="77777777" w:rsidR="00D60186" w:rsidRPr="00225D4D" w:rsidRDefault="00D60186" w:rsidP="00225D4D">
      <w:pPr>
        <w:pStyle w:val="blokksit"/>
        <w:rPr>
          <w:rStyle w:val="kursiv"/>
        </w:rPr>
      </w:pPr>
      <w:r w:rsidRPr="00225D4D">
        <w:rPr>
          <w:rStyle w:val="kursiv"/>
        </w:rPr>
        <w:t>«Stortinget ber regjeringen utarbeide en handlingsplan for å redusere ensomhet og etablere verktøy for å måle forekomsten av ensomhet.»</w:t>
      </w:r>
    </w:p>
    <w:p w14:paraId="148A11E7" w14:textId="77777777" w:rsidR="00D60186" w:rsidRPr="00225D4D" w:rsidRDefault="00D60186" w:rsidP="00225D4D">
      <w:r w:rsidRPr="00225D4D">
        <w:t xml:space="preserve">Vedtaket ble truffet ved Stortingets behandling av Dokument 8:219 S (2021–2022), jf. </w:t>
      </w:r>
      <w:proofErr w:type="spellStart"/>
      <w:r w:rsidRPr="00225D4D">
        <w:t>Innst</w:t>
      </w:r>
      <w:proofErr w:type="spellEnd"/>
      <w:r w:rsidRPr="00225D4D">
        <w:t>. 357 S (2021–2022).</w:t>
      </w:r>
    </w:p>
    <w:p w14:paraId="0FDD746E" w14:textId="77777777" w:rsidR="00D60186" w:rsidRPr="00225D4D" w:rsidRDefault="00D60186" w:rsidP="00225D4D">
      <w:r w:rsidRPr="00225D4D">
        <w:t>Helse- og omsorgsdepartementet vil legge frem en handlingsplan for å redusere ensomhet. I arbeidet legges det vekt på å styrke kunnskapsgrunnlaget om ensomhet, og Helse- og omsorgsdepartementet har bedt Forskningsrådet om å tydeliggjøre ensomhet i utlysninger for 2025. Temaet ensomhet er et prioritert område i folkehelsearbeidet, bl.a. gjennom folkehelsekampanjen ABC for god psykisk helse og i Nasjonal livskvalitetsstrategi som regjeringen la frem i vår. Ensomhet er tatt inn i revisjonen av folkehelseloven som ble vedtatt av Stortinget 20. mai 2025. Anmodningsvedtaket anses som fulgt opp.</w:t>
      </w:r>
    </w:p>
    <w:p w14:paraId="3DC86B90" w14:textId="77777777" w:rsidR="00D60186" w:rsidRPr="00225D4D" w:rsidRDefault="00D60186" w:rsidP="00225D4D">
      <w:pPr>
        <w:pStyle w:val="avsnitt-tittel"/>
      </w:pPr>
      <w:r w:rsidRPr="00225D4D">
        <w:t>Styrking av samarbeid for forebygging av ensomhet</w:t>
      </w:r>
    </w:p>
    <w:p w14:paraId="4CD357B7" w14:textId="77777777" w:rsidR="00D60186" w:rsidRPr="00225D4D" w:rsidRDefault="00D60186" w:rsidP="00225D4D">
      <w:pPr>
        <w:pStyle w:val="avsnitt-undertittel"/>
      </w:pPr>
      <w:r w:rsidRPr="00225D4D">
        <w:t>Vedtak nr. 764, 10. juni 2022</w:t>
      </w:r>
    </w:p>
    <w:p w14:paraId="62D8F09A" w14:textId="77777777" w:rsidR="00D60186" w:rsidRPr="00225D4D" w:rsidRDefault="00D60186" w:rsidP="00225D4D">
      <w:pPr>
        <w:pStyle w:val="blokksit"/>
        <w:rPr>
          <w:rStyle w:val="kursiv"/>
        </w:rPr>
      </w:pPr>
      <w:r w:rsidRPr="00225D4D">
        <w:rPr>
          <w:rStyle w:val="kursiv"/>
        </w:rPr>
        <w:t>«Stortinget ber regjeringen styrke samarbeidet mellom det offentlige, næringslivet, arbeidslivet og frivillige lag og organisasjoner for å forebygge ensomhet.»</w:t>
      </w:r>
    </w:p>
    <w:p w14:paraId="37933E14" w14:textId="77777777" w:rsidR="00D60186" w:rsidRPr="00225D4D" w:rsidRDefault="00D60186" w:rsidP="00225D4D">
      <w:r w:rsidRPr="00225D4D">
        <w:t xml:space="preserve">Vedtaket ble truffet ved Stortingets behandling av Dokument 8:219 S (2021–2022), jf. </w:t>
      </w:r>
      <w:proofErr w:type="spellStart"/>
      <w:r w:rsidRPr="00225D4D">
        <w:t>Innst</w:t>
      </w:r>
      <w:proofErr w:type="spellEnd"/>
      <w:r w:rsidRPr="00225D4D">
        <w:t xml:space="preserve">. 357 S (2021–2022). Samarbeidet mellom det offentlige, næringslivet, arbeidslivet og frivillige lag og organisasjoner for å forebygge ensomhet vil bli tatt opp i handlingsplanen for forebygging av ensomhet. Det vises til arbeidet med Innovasjons- og </w:t>
      </w:r>
      <w:proofErr w:type="spellStart"/>
      <w:r w:rsidRPr="00225D4D">
        <w:t>samskapingsutvalget</w:t>
      </w:r>
      <w:proofErr w:type="spellEnd"/>
      <w:r w:rsidRPr="00225D4D">
        <w:t xml:space="preserve"> (oppnevnt oktober 2024), som skal levere sin utredning senest sommeren 2026. Frivillighet er et av flere relevante tema her. Regjeringen vil gjennom Eldreløftet, som skal bidra til å følge opp flere satsinger på eldreområdet, og Bo trygt hjemme-reformen, foreslå å etablere en tilskuddsordning frivillige aktører som tilbyr aktiviteter for eldre. Å motvirke ensomhet er en viktig del av satsingen. Anmodningsvedtaket anses som fulgt opp.</w:t>
      </w:r>
    </w:p>
    <w:p w14:paraId="26C161F4" w14:textId="77777777" w:rsidR="00D60186" w:rsidRPr="00225D4D" w:rsidRDefault="00D60186" w:rsidP="00225D4D">
      <w:pPr>
        <w:pStyle w:val="Overskrift2"/>
      </w:pPr>
      <w:r w:rsidRPr="00225D4D">
        <w:t>Stortingssesjon (2020–2021)</w:t>
      </w:r>
    </w:p>
    <w:p w14:paraId="63D79B90" w14:textId="77777777" w:rsidR="00D60186" w:rsidRPr="00225D4D" w:rsidRDefault="00D60186" w:rsidP="00225D4D">
      <w:pPr>
        <w:pStyle w:val="avsnitt-tittel"/>
      </w:pPr>
      <w:r w:rsidRPr="00225D4D">
        <w:t>Økonomiske modeller for utvikling av nye, virksomme antibiotika</w:t>
      </w:r>
    </w:p>
    <w:p w14:paraId="6177DFEB" w14:textId="77777777" w:rsidR="00D60186" w:rsidRPr="00225D4D" w:rsidRDefault="00D60186" w:rsidP="00225D4D">
      <w:pPr>
        <w:pStyle w:val="avsnitt-undertittel"/>
      </w:pPr>
      <w:r w:rsidRPr="00225D4D">
        <w:t>Vedtak nr. 5, 6. oktober 2020</w:t>
      </w:r>
    </w:p>
    <w:p w14:paraId="4ED616D5" w14:textId="77777777" w:rsidR="00D60186" w:rsidRPr="00225D4D" w:rsidRDefault="00D60186" w:rsidP="00225D4D">
      <w:pPr>
        <w:pStyle w:val="blokksit"/>
        <w:rPr>
          <w:rStyle w:val="kursiv"/>
        </w:rPr>
      </w:pPr>
      <w:r w:rsidRPr="00225D4D">
        <w:rPr>
          <w:rStyle w:val="kursiv"/>
        </w:rPr>
        <w:t>«Stortinget ber regjeringen utarbeide forslag til økonomiske modeller for utvikling av nye, virksomme antibiotika som premierer medikamentutvikling, ikke salg og bruk, der både belønningsmekanismer og avgift/skatt vurderes som virkemiddel.»</w:t>
      </w:r>
    </w:p>
    <w:p w14:paraId="0636C8C4" w14:textId="77777777" w:rsidR="00D60186" w:rsidRPr="00225D4D" w:rsidRDefault="00D60186" w:rsidP="00225D4D">
      <w:r w:rsidRPr="00225D4D">
        <w:t>Vedtaket ble truffet i forbindelse med trontaledebatten 6. oktober 2020. Regjeringen la frem den nye strategien Nasjonal én-helse-strategi mot antimikrobiell resistens høsten 2024. Å sikre tilgang til nødvendige antimikrobielle midler er et av strategiens overordnede mål. Som oppfølging av strategien vil det utarbeides sektorspesifikke handlingsplaner der dette er hensiktsmessig. Arbeidet med handlingsplanen er igangsatt i 2025. Anmodningsvedtaket anses som fulgt opp.</w:t>
      </w:r>
    </w:p>
    <w:p w14:paraId="7EC0C371" w14:textId="77777777" w:rsidR="00D60186" w:rsidRPr="00225D4D" w:rsidRDefault="00D60186" w:rsidP="00225D4D">
      <w:pPr>
        <w:pStyle w:val="avsnitt-tittel"/>
      </w:pPr>
      <w:r w:rsidRPr="00225D4D">
        <w:t>Helhetlig revisjon av smittevernloven</w:t>
      </w:r>
    </w:p>
    <w:p w14:paraId="4416C7C0" w14:textId="77777777" w:rsidR="00D60186" w:rsidRPr="00225D4D" w:rsidRDefault="00D60186" w:rsidP="00225D4D">
      <w:pPr>
        <w:pStyle w:val="avsnitt-undertittel"/>
      </w:pPr>
      <w:r w:rsidRPr="00225D4D">
        <w:t>Vedtak nr. 84, 17. november 2020</w:t>
      </w:r>
    </w:p>
    <w:p w14:paraId="38F9FAC6" w14:textId="77777777" w:rsidR="00D60186" w:rsidRPr="00225D4D" w:rsidRDefault="00D60186" w:rsidP="00225D4D">
      <w:pPr>
        <w:pStyle w:val="blokksit"/>
        <w:rPr>
          <w:rStyle w:val="kursiv"/>
        </w:rPr>
      </w:pPr>
      <w:r w:rsidRPr="00225D4D">
        <w:rPr>
          <w:rStyle w:val="kursiv"/>
        </w:rPr>
        <w:t>«Stortinget ber regjeringen foreta en helhetlig revisjon av smittevernloven etter at koronakommisjonen har levert sin rapport.»</w:t>
      </w:r>
    </w:p>
    <w:p w14:paraId="69165897" w14:textId="77777777" w:rsidR="00D60186" w:rsidRPr="00225D4D" w:rsidRDefault="00D60186" w:rsidP="00225D4D">
      <w:r w:rsidRPr="00225D4D">
        <w:t xml:space="preserve">Vedtaket er truffet i forbindelse med Stortingets behandling av Dokument 8: 109 S (2019–2020), jf. </w:t>
      </w:r>
      <w:proofErr w:type="spellStart"/>
      <w:r w:rsidRPr="00225D4D">
        <w:t>Innst</w:t>
      </w:r>
      <w:proofErr w:type="spellEnd"/>
      <w:r w:rsidRPr="00225D4D">
        <w:t xml:space="preserve">. 56 S (2020–2021). Oppfølging av vedtaket må ses i sammenheng med de to delrapportene som Koronakommisjonen </w:t>
      </w:r>
      <w:proofErr w:type="gramStart"/>
      <w:r w:rsidRPr="00225D4D">
        <w:t>avga</w:t>
      </w:r>
      <w:proofErr w:type="gramEnd"/>
      <w:r w:rsidRPr="00225D4D">
        <w:t xml:space="preserve"> hhv. 14. april 2021 (NOU 2021: 6 </w:t>
      </w:r>
      <w:r w:rsidRPr="00225D4D">
        <w:rPr>
          <w:rStyle w:val="kursiv"/>
        </w:rPr>
        <w:t>Myndighetenes håndtering av koronapandemien</w:t>
      </w:r>
      <w:r w:rsidRPr="00225D4D">
        <w:t xml:space="preserve">) og 26. april 2022 (NOU 2022: 5 </w:t>
      </w:r>
      <w:r w:rsidRPr="00225D4D">
        <w:rPr>
          <w:rStyle w:val="kursiv"/>
        </w:rPr>
        <w:t>Myndighetenes håndtering av koronapandemien – del 2</w:t>
      </w:r>
      <w:r w:rsidRPr="00225D4D">
        <w:t xml:space="preserve">), samt Koronautvalgets rapport 2. juni 2023 med evaluering av myndighetenes håndtering av covid-19-pandemien samlet sett, herunder omikronhåndteringen (NOU 2023: 16 </w:t>
      </w:r>
      <w:r w:rsidRPr="00225D4D">
        <w:rPr>
          <w:rStyle w:val="kursiv"/>
        </w:rPr>
        <w:t>Evaluering av pandemihåndteringen – rapport fra Koronautvalget</w:t>
      </w:r>
      <w:r w:rsidRPr="00225D4D">
        <w:t>). Oppfølging av vedtaket må også ses i sammenheng med regjeringens stortingsmelding om folkehelsepolitikken (Meld. St. 15 (2022–2023)), regjeringens stortingsmelding om helseberedskap (Meld. St. 5 (2023–2024)), samt organisatoriske endringer i sentral helseforvaltning som omtalt i revidert nasjonalbudsjett for 2023 (</w:t>
      </w:r>
      <w:proofErr w:type="spellStart"/>
      <w:r w:rsidRPr="00225D4D">
        <w:t>Prop</w:t>
      </w:r>
      <w:proofErr w:type="spellEnd"/>
      <w:r w:rsidRPr="00225D4D">
        <w:t xml:space="preserve">. 118 S (2022–2023)), med påfølgende lovendringer satt i kraft fra 1. januar 2024, jf. </w:t>
      </w:r>
      <w:proofErr w:type="spellStart"/>
      <w:r w:rsidRPr="00225D4D">
        <w:t>Prop</w:t>
      </w:r>
      <w:proofErr w:type="spellEnd"/>
      <w:r w:rsidRPr="00225D4D">
        <w:t>. 11 L (2023–2024). Basert på ovennevnte dokumenter arbeider regjeringen med forslag til både ny smittevernlov og ny helseberedskapslov, samt endringer i andre relevante lover. Det tas sikte på å sende forslagene på høring i løpet av høsten 2025. Regjeringen vil etter gjennomført høring komme tilbake til Stortinget på egnet måte.</w:t>
      </w:r>
    </w:p>
    <w:p w14:paraId="195190D1" w14:textId="77777777" w:rsidR="00D60186" w:rsidRPr="00225D4D" w:rsidRDefault="00D60186" w:rsidP="00225D4D">
      <w:pPr>
        <w:pStyle w:val="avsnitt-tittel"/>
      </w:pPr>
      <w:r w:rsidRPr="00225D4D">
        <w:t>Gjennomgang av folketrygdens refusjonsordning for tannbehandling</w:t>
      </w:r>
    </w:p>
    <w:p w14:paraId="692D7458" w14:textId="77777777" w:rsidR="00D60186" w:rsidRPr="00225D4D" w:rsidRDefault="00D60186" w:rsidP="00225D4D">
      <w:pPr>
        <w:pStyle w:val="avsnitt-undertittel"/>
      </w:pPr>
      <w:r w:rsidRPr="00225D4D">
        <w:t>Vedtak nr. 96, 17. november 2020</w:t>
      </w:r>
    </w:p>
    <w:p w14:paraId="0FD54CAE" w14:textId="77777777" w:rsidR="00D60186" w:rsidRPr="00225D4D" w:rsidRDefault="00D60186" w:rsidP="00225D4D">
      <w:pPr>
        <w:pStyle w:val="blokksit"/>
        <w:rPr>
          <w:rStyle w:val="kursiv"/>
        </w:rPr>
      </w:pPr>
      <w:r w:rsidRPr="00225D4D">
        <w:rPr>
          <w:rStyle w:val="kursiv"/>
        </w:rPr>
        <w:t xml:space="preserve">«Stortinget ber regjeringen om en helhetlig gjennomgang av folketrygdens refusjonsordning for tannbehandling. Stortinget ber om forslag til forbedring og forenkling av ordningene, og spesielt § 22-15 a om </w:t>
      </w:r>
      <w:proofErr w:type="spellStart"/>
      <w:r w:rsidRPr="00225D4D">
        <w:rPr>
          <w:rStyle w:val="kursiv"/>
        </w:rPr>
        <w:t>tilbakekreving</w:t>
      </w:r>
      <w:proofErr w:type="spellEnd"/>
      <w:r w:rsidRPr="00225D4D">
        <w:rPr>
          <w:rStyle w:val="kursiv"/>
        </w:rPr>
        <w:t xml:space="preserve"> av utbetaling etter direkteoppgjørsordningen. Stortinget ber regjeringen komme tilbake til Stortinget med dette før oktober 2021.»</w:t>
      </w:r>
    </w:p>
    <w:p w14:paraId="04EB7A98" w14:textId="77777777" w:rsidR="00D60186" w:rsidRPr="00225D4D" w:rsidRDefault="00D60186" w:rsidP="00225D4D">
      <w:r w:rsidRPr="00225D4D">
        <w:t xml:space="preserve">Vedtaket ble truffet ved behandling av </w:t>
      </w:r>
      <w:proofErr w:type="spellStart"/>
      <w:r w:rsidRPr="00225D4D">
        <w:t>Prop</w:t>
      </w:r>
      <w:proofErr w:type="spellEnd"/>
      <w:r w:rsidRPr="00225D4D">
        <w:t xml:space="preserve">. 121 L (2019–2020) </w:t>
      </w:r>
      <w:r w:rsidRPr="00225D4D">
        <w:rPr>
          <w:rStyle w:val="kursiv"/>
        </w:rPr>
        <w:t>Endringer i folketrygdloven (krav til direkte oppgjør)</w:t>
      </w:r>
      <w:r w:rsidRPr="00225D4D">
        <w:t xml:space="preserve">, jf. </w:t>
      </w:r>
      <w:proofErr w:type="spellStart"/>
      <w:r w:rsidRPr="00225D4D">
        <w:t>Innst</w:t>
      </w:r>
      <w:proofErr w:type="spellEnd"/>
      <w:r w:rsidRPr="00225D4D">
        <w:t xml:space="preserve">. 72 L (2020–2021) og Lovvedtak 20 (2020–2021). Kontroll- og konstitusjonskomiteen merket seg i </w:t>
      </w:r>
      <w:proofErr w:type="spellStart"/>
      <w:r w:rsidRPr="00225D4D">
        <w:t>Innst</w:t>
      </w:r>
      <w:proofErr w:type="spellEnd"/>
      <w:r w:rsidRPr="00225D4D">
        <w:t>. 141 S (2021–2022) at det ikke er gjort noen helhetlig gjennomgang, og at rapporteringen derfor ikke kan avsluttes. Tannhelseutvalget, som har hatt i oppdrag å foreta en helhetlig gjennomgang av tannhelsefeltet, leverte sin utredning 26. september 2024. Tannhelseutvalgets utredning har vært på offentlig høring. Arbeidet med oppsummering av høringsinnspill og oppfølging av Tannhelseutvalgets rapport pågår. Anmodningsvedtaket anses som fulgt opp.</w:t>
      </w:r>
    </w:p>
    <w:p w14:paraId="58CAC25A" w14:textId="77777777" w:rsidR="00D60186" w:rsidRPr="00225D4D" w:rsidRDefault="00D60186" w:rsidP="00225D4D">
      <w:pPr>
        <w:pStyle w:val="avsnitt-tittel"/>
      </w:pPr>
      <w:r w:rsidRPr="00225D4D">
        <w:t>Responstider, kompetanse og akuttmedisinsk utstyr</w:t>
      </w:r>
    </w:p>
    <w:p w14:paraId="758EEC2E" w14:textId="77777777" w:rsidR="00D60186" w:rsidRPr="00225D4D" w:rsidRDefault="00D60186" w:rsidP="00225D4D">
      <w:pPr>
        <w:pStyle w:val="avsnitt-undertittel"/>
      </w:pPr>
      <w:r w:rsidRPr="00225D4D">
        <w:t>Vedtak nr. 726, 2. mars 2021</w:t>
      </w:r>
    </w:p>
    <w:p w14:paraId="070799B9" w14:textId="77777777" w:rsidR="00D60186" w:rsidRPr="00225D4D" w:rsidRDefault="00D60186" w:rsidP="00225D4D">
      <w:pPr>
        <w:pStyle w:val="blokksit"/>
        <w:rPr>
          <w:rStyle w:val="kursiv"/>
        </w:rPr>
      </w:pPr>
      <w:r w:rsidRPr="00225D4D">
        <w:rPr>
          <w:rStyle w:val="kursiv"/>
        </w:rPr>
        <w:t>«Stortinget ber regjeringen forskriftsfeste responstider for ambulansetjenesten og sette en standard for kompetanse og akuttmedisinsk utstyr i ambulansebilene og på ambulansebasene.»</w:t>
      </w:r>
    </w:p>
    <w:p w14:paraId="49A10F2B" w14:textId="77777777" w:rsidR="00D60186" w:rsidRPr="00225D4D" w:rsidRDefault="00D60186" w:rsidP="00225D4D">
      <w:r w:rsidRPr="00225D4D">
        <w:t xml:space="preserve">Vedtaket ble truffet ved behandlingen av Meld. St. 5 (2020–2021), jf. </w:t>
      </w:r>
      <w:proofErr w:type="spellStart"/>
      <w:r w:rsidRPr="00225D4D">
        <w:t>Innst</w:t>
      </w:r>
      <w:proofErr w:type="spellEnd"/>
      <w:r w:rsidRPr="00225D4D">
        <w:t>. 275 S (2020–2021). Vedtaket er fulgt opp med oppdrag til Helsedirektoratet om å vurdere forslaget og utrede hvordan forslaget eventuelt kan innføres. Helsedirektoratets utredning viser at årlige kostnader vil øke i størrelsesorden mellom 780 mill. kroner og 1,26 mrd. kroner, mellom 700 og 1200 flere årsverk og mellom 62 og 115 nye ambulansestasjoner. Helsedirektorat anbefaler ikke å forskriftsfeste responstider. Regjeringens vurdering er at forskriftsfesting av responstid for ambulansetjenesten ikke kan gjennomføres i praksis, og vil derfor ikke innføre dette. Anmodningsvedtakets del om å sette en standard for kompetanse og akuttmedisinsk utstyr i ambulansebilene og ved ambulansebasene er oppfylt gjennom det interregionale/nasjonale samarbeidet om felles retningslinjer for ambulansetjenesten (</w:t>
      </w:r>
      <w:proofErr w:type="spellStart"/>
      <w:r w:rsidRPr="00225D4D">
        <w:t>FRAm</w:t>
      </w:r>
      <w:proofErr w:type="spellEnd"/>
      <w:r w:rsidRPr="00225D4D">
        <w:t xml:space="preserve">). Det vises til Meld. St. 23 (2024–2025) </w:t>
      </w:r>
      <w:r w:rsidRPr="00225D4D">
        <w:rPr>
          <w:rStyle w:val="kursiv"/>
        </w:rPr>
        <w:t xml:space="preserve">Fornye, </w:t>
      </w:r>
      <w:proofErr w:type="gramStart"/>
      <w:r w:rsidRPr="00225D4D">
        <w:rPr>
          <w:rStyle w:val="kursiv"/>
        </w:rPr>
        <w:t>forsterke,</w:t>
      </w:r>
      <w:proofErr w:type="gramEnd"/>
      <w:r w:rsidRPr="00225D4D">
        <w:rPr>
          <w:rStyle w:val="kursiv"/>
        </w:rPr>
        <w:t xml:space="preserve"> forbedre </w:t>
      </w:r>
      <w:r w:rsidRPr="00225D4D">
        <w:t>der dette er omtalt. Anmodningsvedtaket anses som fulgt opp.</w:t>
      </w:r>
    </w:p>
    <w:p w14:paraId="42CFD0F8" w14:textId="77777777" w:rsidR="00D60186" w:rsidRPr="00225D4D" w:rsidRDefault="00D60186" w:rsidP="00225D4D">
      <w:pPr>
        <w:pStyle w:val="avsnitt-tittel"/>
      </w:pPr>
      <w:r w:rsidRPr="00225D4D">
        <w:t>Koronakommisjonen – situasjonen for kommuneoverleger og kommunale smittevernleger</w:t>
      </w:r>
    </w:p>
    <w:p w14:paraId="39908699" w14:textId="77777777" w:rsidR="00D60186" w:rsidRPr="00225D4D" w:rsidRDefault="00D60186" w:rsidP="00225D4D">
      <w:pPr>
        <w:pStyle w:val="avsnitt-undertittel"/>
      </w:pPr>
      <w:r w:rsidRPr="00225D4D">
        <w:t>Vedtak nr. 876 4. mai 2021</w:t>
      </w:r>
    </w:p>
    <w:p w14:paraId="78886083" w14:textId="77777777" w:rsidR="00D60186" w:rsidRPr="00225D4D" w:rsidRDefault="00D60186" w:rsidP="00225D4D">
      <w:pPr>
        <w:pStyle w:val="blokksit"/>
        <w:rPr>
          <w:rStyle w:val="kursiv"/>
        </w:rPr>
      </w:pPr>
      <w:r w:rsidRPr="00225D4D">
        <w:rPr>
          <w:rStyle w:val="kursiv"/>
        </w:rPr>
        <w:t>«Stortinget ber regjeringen sikre at Koronakommisjonen gjør en grundig vurdering av situasjonen for kommuneoverleger og kommunale smittevernleger under pandemien og fremme forslag til nødvendige tiltak for tilstrekkelig rekruttering og stabilisering i denne delen av tjenesten.»</w:t>
      </w:r>
    </w:p>
    <w:p w14:paraId="22EB85FE" w14:textId="77777777" w:rsidR="00D60186" w:rsidRPr="00225D4D" w:rsidRDefault="00D60186" w:rsidP="00225D4D">
      <w:r w:rsidRPr="00225D4D">
        <w:t xml:space="preserve">Vedtaket ble truffet under behandlingen av statsministerens redegjørelse holdt den 26. april 2021 om Koronakommisjonens rapport. Regjeringens arbeid med å styrke kommuneoverlegefunksjonen er omtalt i Meld. St. 15 (2022–2023) </w:t>
      </w:r>
      <w:r w:rsidRPr="00225D4D">
        <w:rPr>
          <w:rStyle w:val="kursiv"/>
        </w:rPr>
        <w:t xml:space="preserve">Folkehelsemeldinga – Nasjonal strategi for utjamning av sosiale </w:t>
      </w:r>
      <w:proofErr w:type="spellStart"/>
      <w:r w:rsidRPr="00225D4D">
        <w:rPr>
          <w:rStyle w:val="kursiv"/>
        </w:rPr>
        <w:t>helseforskjellar</w:t>
      </w:r>
      <w:proofErr w:type="spellEnd"/>
      <w:r w:rsidRPr="00225D4D">
        <w:t>. Ved revisjon av folkehelseloven som trer i kraft 1. januar 2026, er kommuneoverlegefunksjonen tydeliggjort og styrket, bl.a. knyttet til beredskap. Helsedirektoratet har utgitt en veileder om kommuneoverlegefunksjonen. Hensikten med veilederen er å gjøre det lettere for kommunen å organisere og styrke kommunelegefunksjonen. Dette er viktig for å sikre at kommunen har forsvarlig samfunnsmedisinsk kapasitet, kompetanse og kontinuitet både under normale forhold og i kriser. Anmodningsvedtaket anses som fulgt opp.</w:t>
      </w:r>
    </w:p>
    <w:p w14:paraId="40801340" w14:textId="77777777" w:rsidR="00D60186" w:rsidRPr="00225D4D" w:rsidRDefault="00D60186" w:rsidP="00225D4D">
      <w:pPr>
        <w:pStyle w:val="avsnitt-tittel"/>
      </w:pPr>
      <w:r w:rsidRPr="00225D4D">
        <w:t>Legemiddelloven – narkotika til eget bruk</w:t>
      </w:r>
    </w:p>
    <w:p w14:paraId="0C6F5E03" w14:textId="77777777" w:rsidR="00D60186" w:rsidRPr="00225D4D" w:rsidRDefault="00D60186" w:rsidP="00225D4D">
      <w:pPr>
        <w:pStyle w:val="avsnitt-undertittel"/>
      </w:pPr>
      <w:r w:rsidRPr="00225D4D">
        <w:t>Vedtak nr. 1114, 3. juni 2021</w:t>
      </w:r>
    </w:p>
    <w:p w14:paraId="277651D0" w14:textId="77777777" w:rsidR="00D60186" w:rsidRPr="00225D4D" w:rsidRDefault="00D60186" w:rsidP="00225D4D">
      <w:pPr>
        <w:pStyle w:val="blokksit"/>
        <w:rPr>
          <w:rStyle w:val="kursiv"/>
        </w:rPr>
      </w:pPr>
      <w:r w:rsidRPr="00225D4D">
        <w:rPr>
          <w:rStyle w:val="kursiv"/>
        </w:rPr>
        <w:t>«Stortinget ber regjeringen foreslå lovendringer som sørger for at fengsel ikke lenger blir straffereaksjon for brudd på legemiddellovens bestemmelser om bruk og besittelse av narkotika til eget bruk, herunder også foreslå avbøtende tiltak for konsekvenser av endringer i lov.»</w:t>
      </w:r>
    </w:p>
    <w:p w14:paraId="012D5F4D" w14:textId="77777777" w:rsidR="00D60186" w:rsidRPr="00225D4D" w:rsidRDefault="00D60186" w:rsidP="00225D4D">
      <w:r w:rsidRPr="00225D4D">
        <w:t xml:space="preserve">Vedtaket ble truffet ved første behandling av </w:t>
      </w:r>
      <w:proofErr w:type="spellStart"/>
      <w:r w:rsidRPr="00225D4D">
        <w:t>Prop</w:t>
      </w:r>
      <w:proofErr w:type="spellEnd"/>
      <w:r w:rsidRPr="00225D4D">
        <w:t xml:space="preserve">. 92 L (2020–2021), jf. </w:t>
      </w:r>
      <w:proofErr w:type="spellStart"/>
      <w:r w:rsidRPr="00225D4D">
        <w:t>Innst</w:t>
      </w:r>
      <w:proofErr w:type="spellEnd"/>
      <w:r w:rsidRPr="00225D4D">
        <w:t xml:space="preserve">. 612 L (2020–2021). Stortinget har ved behandling av </w:t>
      </w:r>
      <w:proofErr w:type="spellStart"/>
      <w:r w:rsidRPr="00225D4D">
        <w:t>Prop</w:t>
      </w:r>
      <w:proofErr w:type="spellEnd"/>
      <w:r w:rsidRPr="00225D4D">
        <w:t xml:space="preserve">. 112 L (2024–2025), jf. </w:t>
      </w:r>
      <w:proofErr w:type="spellStart"/>
      <w:r w:rsidRPr="00225D4D">
        <w:t>Innst</w:t>
      </w:r>
      <w:proofErr w:type="spellEnd"/>
      <w:r w:rsidRPr="00225D4D">
        <w:t>. 518 L (2024–2025) vedtatt endringer i straffeloven og legemiddelloven mv. (</w:t>
      </w:r>
      <w:proofErr w:type="gramStart"/>
      <w:r w:rsidRPr="00225D4D">
        <w:t>befatning med</w:t>
      </w:r>
      <w:proofErr w:type="gramEnd"/>
      <w:r w:rsidRPr="00225D4D">
        <w:t xml:space="preserve"> mindre mengder narkotika til egen bruk). Straffebestemmelsen i legemiddelloven endres og skal gjelde bruk av narkotika samt erverv og oppbevaring av mindre mengder narkotika til egen bruk. Strafferammen for </w:t>
      </w:r>
      <w:proofErr w:type="gramStart"/>
      <w:r w:rsidRPr="00225D4D">
        <w:t>befatning med</w:t>
      </w:r>
      <w:proofErr w:type="gramEnd"/>
      <w:r w:rsidRPr="00225D4D">
        <w:t xml:space="preserve"> narkotika til egen bruk etter den nye straffebestemmelsen skal være bot eller fengsel inntil seks måneder. Anmodningsvedtaket anses som fulgt opp.</w:t>
      </w:r>
    </w:p>
    <w:p w14:paraId="44ADAC11" w14:textId="77777777" w:rsidR="00D60186" w:rsidRPr="00225D4D" w:rsidRDefault="00D60186" w:rsidP="00225D4D">
      <w:pPr>
        <w:pStyle w:val="avsnitt-tittel"/>
      </w:pPr>
      <w:proofErr w:type="spellStart"/>
      <w:r w:rsidRPr="00225D4D">
        <w:t>Ettervernsreform</w:t>
      </w:r>
      <w:proofErr w:type="spellEnd"/>
      <w:r w:rsidRPr="00225D4D">
        <w:t xml:space="preserve"> for rusavhengige</w:t>
      </w:r>
    </w:p>
    <w:p w14:paraId="55AEF0A0" w14:textId="77777777" w:rsidR="00D60186" w:rsidRPr="00225D4D" w:rsidRDefault="00D60186" w:rsidP="00225D4D">
      <w:pPr>
        <w:pStyle w:val="avsnitt-undertittel"/>
      </w:pPr>
      <w:r w:rsidRPr="00225D4D">
        <w:t>Vedtak nr. 1122, 3. juni 2021</w:t>
      </w:r>
    </w:p>
    <w:p w14:paraId="3352175F" w14:textId="77777777" w:rsidR="00D60186" w:rsidRPr="00225D4D" w:rsidRDefault="00D60186" w:rsidP="00225D4D">
      <w:pPr>
        <w:pStyle w:val="blokksit"/>
        <w:rPr>
          <w:rStyle w:val="kursiv"/>
        </w:rPr>
      </w:pPr>
      <w:r w:rsidRPr="00225D4D">
        <w:rPr>
          <w:rStyle w:val="kursiv"/>
        </w:rPr>
        <w:t xml:space="preserve">«Stortinget ber regjeringen komme tilbake til Stortinget med en </w:t>
      </w:r>
      <w:proofErr w:type="spellStart"/>
      <w:r w:rsidRPr="00225D4D">
        <w:rPr>
          <w:rStyle w:val="kursiv"/>
        </w:rPr>
        <w:t>ettervernsreform</w:t>
      </w:r>
      <w:proofErr w:type="spellEnd"/>
      <w:r w:rsidRPr="00225D4D">
        <w:rPr>
          <w:rStyle w:val="kursiv"/>
        </w:rPr>
        <w:t xml:space="preserve"> der rusavhengige blir fulgt opp på en systematisk måte etter behandlings- og fengselsopphold, herunder sikre boforhold og oppfølging som forebygger at de faller tilbake til rusmiljøet.»</w:t>
      </w:r>
    </w:p>
    <w:p w14:paraId="6F576AE8" w14:textId="77777777" w:rsidR="00D60186" w:rsidRPr="00225D4D" w:rsidRDefault="00D60186" w:rsidP="00225D4D">
      <w:r w:rsidRPr="00225D4D">
        <w:t xml:space="preserve">Vedtaket ble truffet ved behandling av Dokument 8:119 S (2020–2021), jf. </w:t>
      </w:r>
      <w:proofErr w:type="spellStart"/>
      <w:r w:rsidRPr="00225D4D">
        <w:t>Innst</w:t>
      </w:r>
      <w:proofErr w:type="spellEnd"/>
      <w:r w:rsidRPr="00225D4D">
        <w:t xml:space="preserve">. 578 S (2020–2021). Regjeringen la i oktober 2024 frem Meld. St. 5 (2024–2025) </w:t>
      </w:r>
      <w:r w:rsidRPr="00225D4D">
        <w:rPr>
          <w:rStyle w:val="kursiv"/>
        </w:rPr>
        <w:t>Trygghet, fellesskap og verdighet – Forebyggings- og behandlingsreformen for rusfeltet del I</w:t>
      </w:r>
      <w:r w:rsidRPr="00225D4D">
        <w:t xml:space="preserve">. Gjennom reformens seks innsatsområder vil regjeringen forebygge rusmiddelproblemer bedre og komme tidligere inn med god hjelp, behandling og oppfølging. Ettervern inngår som en sentral del av dette. Slik det </w:t>
      </w:r>
      <w:proofErr w:type="gramStart"/>
      <w:r w:rsidRPr="00225D4D">
        <w:t>fremgår</w:t>
      </w:r>
      <w:proofErr w:type="gramEnd"/>
      <w:r w:rsidRPr="00225D4D">
        <w:t xml:space="preserve"> av meldingen, vil regjeringen komme tilbake til Stortinget med gjennomføring av tiltakene i meldingene i forbindelse med de årlige budsjettfremleggene. I tillegg vises det til departementets oppfølging av vedtak nr. 628, 14. mai 2024 om integrert ettervern. Anmodningsvedtaket anses som fulgt opp.</w:t>
      </w:r>
    </w:p>
    <w:p w14:paraId="07AD267E" w14:textId="77777777" w:rsidR="00D60186" w:rsidRPr="00225D4D" w:rsidRDefault="00D60186" w:rsidP="00225D4D">
      <w:pPr>
        <w:pStyle w:val="avsnitt-tittel"/>
      </w:pPr>
      <w:r w:rsidRPr="00225D4D">
        <w:t>Evaluering av de regionale odontologiske kompetansesentrene</w:t>
      </w:r>
    </w:p>
    <w:p w14:paraId="18AA6BF2" w14:textId="77777777" w:rsidR="00D60186" w:rsidRPr="00225D4D" w:rsidRDefault="00D60186" w:rsidP="00225D4D">
      <w:pPr>
        <w:pStyle w:val="avsnitt-undertittel"/>
      </w:pPr>
      <w:r w:rsidRPr="00225D4D">
        <w:t>Vedtak nr. 1164, 8. juni 2021</w:t>
      </w:r>
    </w:p>
    <w:p w14:paraId="5CFBD0EB" w14:textId="77777777" w:rsidR="00D60186" w:rsidRPr="00225D4D" w:rsidRDefault="00D60186" w:rsidP="00225D4D">
      <w:pPr>
        <w:pStyle w:val="blokksit"/>
        <w:rPr>
          <w:rStyle w:val="kursiv"/>
        </w:rPr>
      </w:pPr>
      <w:r w:rsidRPr="00225D4D">
        <w:rPr>
          <w:rStyle w:val="kursiv"/>
        </w:rPr>
        <w:t>«Stortinget ber regjeringen gjennomføre en evaluering av de regionale odontologiske kompetansesentrene. Evalueringen må blant annet vurdere hvorvidt man har nådd målet om at sentrene skal bidra til en desentralisering av spesialisert kompetanse på tannhelsefeltet, om innretningen av dagens statlige tilskuddsordning er riktig, og hvorvidt bruken av disse statlige tilskuddsmidlene bør endres, for bedre å kunne bidra til at man sikrer pasienter tilgang på god spesialisert tannhelsebehandling i hele landet. Resultatet av evalueringen og forslag til tiltak legges fram for Stortinget.»</w:t>
      </w:r>
    </w:p>
    <w:p w14:paraId="438AB571" w14:textId="77777777" w:rsidR="00D60186" w:rsidRPr="00225D4D" w:rsidRDefault="00D60186" w:rsidP="00225D4D">
      <w:r w:rsidRPr="00225D4D">
        <w:t xml:space="preserve">Vedtaket ble truffet ved behandling av Dokument 8:200 S (2020–2021), jf. </w:t>
      </w:r>
      <w:proofErr w:type="spellStart"/>
      <w:r w:rsidRPr="00225D4D">
        <w:t>Innst</w:t>
      </w:r>
      <w:proofErr w:type="spellEnd"/>
      <w:r w:rsidRPr="00225D4D">
        <w:t xml:space="preserve">. 540 S (2020–2021). Evalueringen av de regionale odontologiske kompetansesentrene er utført av </w:t>
      </w:r>
      <w:proofErr w:type="spellStart"/>
      <w:r w:rsidRPr="00225D4D">
        <w:t>PwC</w:t>
      </w:r>
      <w:proofErr w:type="spellEnd"/>
      <w:r w:rsidRPr="00225D4D">
        <w:t xml:space="preserve"> på oppdrag fra Helse- og omsorgsdepartementet. Departementet mottok sluttrapport oktober 2023. Tannhelseutvalget, som har hatt i oppdrag å foreta en helhetlig gjennomgang av tannhelsefeltet, leverte sin utredning 26. september 2024. Utvalget fikk rapporten oversendt som ledd i deres arbeid. Tannhelseutvalgets utredning har vært på offentlig høring. Arbeidet med oppsummering av høringsinnspill og oppfølging av Tannhelseutvalgets rapport pågår. Anmodningsvedtaket anses som fulgt opp.</w:t>
      </w:r>
    </w:p>
    <w:p w14:paraId="3B5F835F" w14:textId="77777777" w:rsidR="00D60186" w:rsidRPr="00225D4D" w:rsidRDefault="00D60186" w:rsidP="00225D4D">
      <w:pPr>
        <w:pStyle w:val="Overskrift2"/>
      </w:pPr>
      <w:r w:rsidRPr="00225D4D">
        <w:t>Stortingssesjon (2019–2020)</w:t>
      </w:r>
    </w:p>
    <w:p w14:paraId="5A3FACC0" w14:textId="77777777" w:rsidR="00D60186" w:rsidRPr="00225D4D" w:rsidRDefault="00D60186" w:rsidP="00225D4D">
      <w:pPr>
        <w:pStyle w:val="avsnitt-tittel"/>
      </w:pPr>
      <w:r w:rsidRPr="00225D4D">
        <w:t>Prøveprosjekt der helsesykepleiere henviser til BUP</w:t>
      </w:r>
    </w:p>
    <w:p w14:paraId="57D32867" w14:textId="77777777" w:rsidR="00D60186" w:rsidRPr="00225D4D" w:rsidRDefault="00D60186" w:rsidP="00225D4D">
      <w:pPr>
        <w:pStyle w:val="avsnitt-undertittel"/>
      </w:pPr>
      <w:r w:rsidRPr="00225D4D">
        <w:t>Vedtak nr. 347, 4. februar 2020</w:t>
      </w:r>
    </w:p>
    <w:p w14:paraId="5AC1CB69" w14:textId="77777777" w:rsidR="00D60186" w:rsidRPr="00225D4D" w:rsidRDefault="00D60186" w:rsidP="00225D4D">
      <w:pPr>
        <w:pStyle w:val="blokksit"/>
        <w:rPr>
          <w:rStyle w:val="kursiv"/>
        </w:rPr>
      </w:pPr>
      <w:r w:rsidRPr="00225D4D">
        <w:rPr>
          <w:rStyle w:val="kursiv"/>
        </w:rPr>
        <w:t>«Stortinget ber regjeringen gjennomføre et prøveprosjekt der helsesykepleiere kan henvise barn og unge til Barne- og ungdomspsykiatrien (BUP).»</w:t>
      </w:r>
    </w:p>
    <w:p w14:paraId="57A56CBC" w14:textId="77777777" w:rsidR="00D60186" w:rsidRPr="00225D4D" w:rsidRDefault="00D60186" w:rsidP="00225D4D">
      <w:r w:rsidRPr="00225D4D">
        <w:t xml:space="preserve">Vedtaket ble truffet ved behandling av </w:t>
      </w:r>
      <w:proofErr w:type="spellStart"/>
      <w:r w:rsidRPr="00225D4D">
        <w:t>Prop</w:t>
      </w:r>
      <w:proofErr w:type="spellEnd"/>
      <w:r w:rsidRPr="00225D4D">
        <w:t xml:space="preserve">. 121 S (2018–2019), jf. </w:t>
      </w:r>
      <w:proofErr w:type="spellStart"/>
      <w:r w:rsidRPr="00225D4D">
        <w:t>Innst</w:t>
      </w:r>
      <w:proofErr w:type="spellEnd"/>
      <w:r w:rsidRPr="00225D4D">
        <w:t>. 131 S (2019–2020). Regjeringen tar sikte på å starte en nasjonal prøveordning med henvisningsrett til BUP for helsesykepleiere i løpet av 2026. Det foreslås bevilget 10 mill. kroner til formålet. Anmodningsvedtaket anses som fulgt opp.</w:t>
      </w:r>
    </w:p>
    <w:p w14:paraId="0049503A" w14:textId="77777777" w:rsidR="00D60186" w:rsidRPr="00225D4D" w:rsidRDefault="00D60186" w:rsidP="00225D4D">
      <w:pPr>
        <w:pStyle w:val="avsnitt-tittel"/>
      </w:pPr>
      <w:r w:rsidRPr="00225D4D">
        <w:t>Utredning av markedet for genetisk selvtesting</w:t>
      </w:r>
    </w:p>
    <w:p w14:paraId="17977214" w14:textId="77777777" w:rsidR="00D60186" w:rsidRPr="00225D4D" w:rsidRDefault="00D60186" w:rsidP="00225D4D">
      <w:pPr>
        <w:pStyle w:val="avsnitt-undertittel"/>
      </w:pPr>
      <w:r w:rsidRPr="00225D4D">
        <w:t>Vedtak nr. 611, 26. mai 2020</w:t>
      </w:r>
    </w:p>
    <w:p w14:paraId="280014CD" w14:textId="77777777" w:rsidR="00D60186" w:rsidRPr="00225D4D" w:rsidRDefault="00D60186" w:rsidP="00225D4D">
      <w:pPr>
        <w:pStyle w:val="blokksit"/>
        <w:rPr>
          <w:rStyle w:val="kursiv"/>
        </w:rPr>
      </w:pPr>
      <w:r w:rsidRPr="00225D4D">
        <w:rPr>
          <w:rStyle w:val="kursiv"/>
        </w:rPr>
        <w:t>«Stortinget ber regjeringen komme tilbake til Stortinget med en utredning av markedet for genetisk selvtesting, som skal danne grunnlag for lovregulering av dette markedet. Utredningen må blant annet ivareta hensynet til personvern, retten til egne helsedata og helsekonsekvenser ved villedende testresultater.»</w:t>
      </w:r>
    </w:p>
    <w:p w14:paraId="262AD2C6" w14:textId="77777777" w:rsidR="00D60186" w:rsidRPr="00225D4D" w:rsidRDefault="00D60186" w:rsidP="00225D4D">
      <w:r w:rsidRPr="00225D4D">
        <w:t xml:space="preserve">Vedtaket ble truffet ved Stortingets behandling av </w:t>
      </w:r>
      <w:proofErr w:type="spellStart"/>
      <w:r w:rsidRPr="00225D4D">
        <w:t>Prop</w:t>
      </w:r>
      <w:proofErr w:type="spellEnd"/>
      <w:r w:rsidRPr="00225D4D">
        <w:t xml:space="preserve">. 34 L (2019–2020), jf. </w:t>
      </w:r>
      <w:proofErr w:type="spellStart"/>
      <w:r w:rsidRPr="00225D4D">
        <w:t>Innst</w:t>
      </w:r>
      <w:proofErr w:type="spellEnd"/>
      <w:r w:rsidRPr="00225D4D">
        <w:t xml:space="preserve">. 296 L (2019–2020). På oppdrag fra departementet, utredet Helsedirektoratet markedet for genetisk selvtesting som beskrevet i dette vedtaket. Utredningen ble presentert 17. desember 2021 i rapporten </w:t>
      </w:r>
      <w:r w:rsidRPr="00225D4D">
        <w:rPr>
          <w:rStyle w:val="kursiv"/>
        </w:rPr>
        <w:t>Regulering av genetiske selvtester. Utredning av markedet for genetiske selvtester og av forslag til lovendringer som sikrer at testing av barn utenfor helsetjenesten blir forbudt. Svar på tilleggsoppdrag nr. 50 til tildelingsbrev for 2020, punkt 2.4.</w:t>
      </w:r>
      <w:r w:rsidRPr="00225D4D">
        <w:t xml:space="preserve"> Med utgangspunkt i direktoratets utredning har Regjeringen fremmet, og Stortinget vedtatt et forbud mot genetisk testing av barn utenfor helsetjenesten, jf. </w:t>
      </w:r>
      <w:proofErr w:type="spellStart"/>
      <w:r w:rsidRPr="00225D4D">
        <w:t>Prop</w:t>
      </w:r>
      <w:proofErr w:type="spellEnd"/>
      <w:r w:rsidRPr="00225D4D">
        <w:t xml:space="preserve">. 67 L (2024–2025) </w:t>
      </w:r>
      <w:proofErr w:type="spellStart"/>
      <w:r w:rsidRPr="00225D4D">
        <w:rPr>
          <w:rStyle w:val="kursiv"/>
        </w:rPr>
        <w:t>Endringar</w:t>
      </w:r>
      <w:proofErr w:type="spellEnd"/>
      <w:r w:rsidRPr="00225D4D">
        <w:rPr>
          <w:rStyle w:val="kursiv"/>
        </w:rPr>
        <w:t xml:space="preserve"> i bioteknologiloven (vilkår for preimplantasjonsdiagnostikk og </w:t>
      </w:r>
      <w:proofErr w:type="spellStart"/>
      <w:r w:rsidRPr="00225D4D">
        <w:rPr>
          <w:rStyle w:val="kursiv"/>
        </w:rPr>
        <w:t>forbod</w:t>
      </w:r>
      <w:proofErr w:type="spellEnd"/>
      <w:r w:rsidRPr="00225D4D">
        <w:rPr>
          <w:rStyle w:val="kursiv"/>
        </w:rPr>
        <w:t xml:space="preserve"> mot genetisk testing av barn </w:t>
      </w:r>
      <w:proofErr w:type="spellStart"/>
      <w:r w:rsidRPr="00225D4D">
        <w:rPr>
          <w:rStyle w:val="kursiv"/>
        </w:rPr>
        <w:t>utanfor</w:t>
      </w:r>
      <w:proofErr w:type="spellEnd"/>
      <w:r w:rsidRPr="00225D4D">
        <w:rPr>
          <w:rStyle w:val="kursiv"/>
        </w:rPr>
        <w:t xml:space="preserve"> </w:t>
      </w:r>
      <w:proofErr w:type="spellStart"/>
      <w:r w:rsidRPr="00225D4D">
        <w:rPr>
          <w:rStyle w:val="kursiv"/>
        </w:rPr>
        <w:t>helsetenesta</w:t>
      </w:r>
      <w:proofErr w:type="spellEnd"/>
      <w:r w:rsidRPr="00225D4D">
        <w:rPr>
          <w:rStyle w:val="kursiv"/>
        </w:rPr>
        <w:t>)</w:t>
      </w:r>
      <w:r w:rsidRPr="00225D4D">
        <w:t xml:space="preserve"> og </w:t>
      </w:r>
      <w:proofErr w:type="spellStart"/>
      <w:r w:rsidRPr="00225D4D">
        <w:t>Innst</w:t>
      </w:r>
      <w:proofErr w:type="spellEnd"/>
      <w:r w:rsidRPr="00225D4D">
        <w:t xml:space="preserve">. 388 L (2024–2025). Forbudet </w:t>
      </w:r>
      <w:proofErr w:type="gramStart"/>
      <w:r w:rsidRPr="00225D4D">
        <w:t>trådte</w:t>
      </w:r>
      <w:proofErr w:type="gramEnd"/>
      <w:r w:rsidRPr="00225D4D">
        <w:t xml:space="preserve"> i kraft 1. oktober 2025. Anmodningsvedtaket anses som fulgt opp.</w:t>
      </w:r>
    </w:p>
    <w:p w14:paraId="53E4BADD" w14:textId="77777777" w:rsidR="00D60186" w:rsidRPr="00225D4D" w:rsidRDefault="00D60186" w:rsidP="00225D4D">
      <w:pPr>
        <w:pStyle w:val="avsnitt-tittel"/>
      </w:pPr>
      <w:r w:rsidRPr="00225D4D">
        <w:t>Forbud mot genetisk testing av barn</w:t>
      </w:r>
    </w:p>
    <w:p w14:paraId="08E18E53" w14:textId="77777777" w:rsidR="00D60186" w:rsidRPr="00225D4D" w:rsidRDefault="00D60186" w:rsidP="00225D4D">
      <w:pPr>
        <w:pStyle w:val="avsnitt-undertittel"/>
      </w:pPr>
      <w:r w:rsidRPr="00225D4D">
        <w:t>Vedtak nr. 612, 26. mai 2020</w:t>
      </w:r>
    </w:p>
    <w:p w14:paraId="501DB80E" w14:textId="77777777" w:rsidR="00D60186" w:rsidRPr="00225D4D" w:rsidRDefault="00D60186" w:rsidP="00225D4D">
      <w:pPr>
        <w:pStyle w:val="blokksit"/>
        <w:rPr>
          <w:rStyle w:val="kursiv"/>
        </w:rPr>
      </w:pPr>
      <w:r w:rsidRPr="00225D4D">
        <w:rPr>
          <w:rStyle w:val="kursiv"/>
        </w:rPr>
        <w:t>«Stortinget ber regjeringen fremme lovforslag som sikrer at genetisk testing av barn utenfor helsetjenesten er forbudt.»</w:t>
      </w:r>
    </w:p>
    <w:p w14:paraId="1F2AC9E1" w14:textId="77777777" w:rsidR="00D60186" w:rsidRPr="00225D4D" w:rsidRDefault="00D60186" w:rsidP="00225D4D">
      <w:r w:rsidRPr="00225D4D">
        <w:t xml:space="preserve">Vedtaket ble truffet ved Stortingets behandling av </w:t>
      </w:r>
      <w:proofErr w:type="spellStart"/>
      <w:r w:rsidRPr="00225D4D">
        <w:t>Prop</w:t>
      </w:r>
      <w:proofErr w:type="spellEnd"/>
      <w:r w:rsidRPr="00225D4D">
        <w:t xml:space="preserve">. 34 L (2019–2020), jf. </w:t>
      </w:r>
      <w:proofErr w:type="spellStart"/>
      <w:r w:rsidRPr="00225D4D">
        <w:t>Innst</w:t>
      </w:r>
      <w:proofErr w:type="spellEnd"/>
      <w:r w:rsidRPr="00225D4D">
        <w:t>. 296 L (2019–2020). Det vises til redegjørelse under vedtak nr. 611. Anmodningsvedtaket anses som fulgt opp.</w:t>
      </w:r>
    </w:p>
    <w:p w14:paraId="478F7994" w14:textId="77777777" w:rsidR="00D60186" w:rsidRPr="00225D4D" w:rsidRDefault="00D60186" w:rsidP="00225D4D">
      <w:pPr>
        <w:pStyle w:val="avsnitt-tittel"/>
      </w:pPr>
      <w:r w:rsidRPr="00225D4D">
        <w:t>Preimplantasjonsdiagnostikk</w:t>
      </w:r>
    </w:p>
    <w:p w14:paraId="66380F7C" w14:textId="77777777" w:rsidR="00D60186" w:rsidRPr="00225D4D" w:rsidRDefault="00D60186" w:rsidP="00225D4D">
      <w:pPr>
        <w:pStyle w:val="avsnitt-undertittel"/>
      </w:pPr>
      <w:r w:rsidRPr="00225D4D">
        <w:t>Vedtak nr. 616, 8. juni 2020</w:t>
      </w:r>
    </w:p>
    <w:p w14:paraId="0FB6F765" w14:textId="77777777" w:rsidR="00D60186" w:rsidRPr="00225D4D" w:rsidRDefault="00D60186" w:rsidP="00225D4D">
      <w:pPr>
        <w:pStyle w:val="blokksit"/>
        <w:rPr>
          <w:rStyle w:val="kursiv"/>
        </w:rPr>
      </w:pPr>
      <w:r w:rsidRPr="00225D4D">
        <w:rPr>
          <w:rStyle w:val="kursiv"/>
        </w:rPr>
        <w:t>«Stortinget ber regjeringen sørge for en gjennomgang av vilkår og retningslinjer for preimplantasjonsdiagnostikk og fosterdiagnostikk, slik at disse kan ses i sammenheng og gi et helhetlig og sammenhengende tilbud for kvinner og familier som har særlig risiko for alvorlig sykdom eller skade hos fosteret. Gjennomgangen skal vektlegge lidelse og tapt livskvalitet ved lindrende og livsforlengende behandling i gjennomgangen av vilkårene for å få innvilget PGD. Regjeringen bes legge frem forslag til de nødvendige lovendringer som følge av denne gjennomgangen.»</w:t>
      </w:r>
    </w:p>
    <w:p w14:paraId="793D8E04" w14:textId="77777777" w:rsidR="00D60186" w:rsidRPr="00225D4D" w:rsidRDefault="00D60186" w:rsidP="00225D4D">
      <w:r w:rsidRPr="00225D4D">
        <w:t xml:space="preserve">Vedtaket ble truffet ved Stortingets behandling av </w:t>
      </w:r>
      <w:proofErr w:type="spellStart"/>
      <w:r w:rsidRPr="00225D4D">
        <w:t>Prop</w:t>
      </w:r>
      <w:proofErr w:type="spellEnd"/>
      <w:r w:rsidRPr="00225D4D">
        <w:t xml:space="preserve">. 34 L (2019–2020), jf. </w:t>
      </w:r>
      <w:proofErr w:type="spellStart"/>
      <w:r w:rsidRPr="00225D4D">
        <w:t>Innst</w:t>
      </w:r>
      <w:proofErr w:type="spellEnd"/>
      <w:r w:rsidRPr="00225D4D">
        <w:t xml:space="preserve">. 296 L (2019–2020). På oppdrag fra departementet har Helsedirektoratet gjennomgått vilkårene og retningslinjene for PGD og fosterdiagnostikk som beskrevet i vedtaket og utredet og foreslått enkelte lovendringer som følge av gjennomgangen. Svar på oppdraget er presentert i rapporten </w:t>
      </w:r>
      <w:r w:rsidRPr="00225D4D">
        <w:rPr>
          <w:rStyle w:val="kursiv"/>
        </w:rPr>
        <w:t>Et helhetlig og sammenhengende tilbud til kvinner og par som har økt risiko for å få et foster eller barn med en alvorlig, arvelig sykdom eller tilstand. Gjennomgang av vilkår for preimplantasjonsdiagnostikk og genetisk fosterdiagnostikk og forslag til endringer i regelverk. Svar på tilleggsoppdrag nr. 50 til tildelingsbrev for 2020, punkt 2.3.</w:t>
      </w:r>
      <w:r w:rsidRPr="00225D4D">
        <w:t xml:space="preserve"> Rapporten ble levert 17. desember 2021. Med utgangspunkt i direktoratets utredning har Regjeringen fremmet, og Stortinget vedtatt endringer i bioteknologilovens regler om preimplantasjonsdiagnostikk, jf. </w:t>
      </w:r>
      <w:proofErr w:type="spellStart"/>
      <w:r w:rsidRPr="00225D4D">
        <w:t>Prop</w:t>
      </w:r>
      <w:proofErr w:type="spellEnd"/>
      <w:r w:rsidRPr="00225D4D">
        <w:t xml:space="preserve">. 67 L (2024–2025) </w:t>
      </w:r>
      <w:proofErr w:type="spellStart"/>
      <w:r w:rsidRPr="00225D4D">
        <w:rPr>
          <w:rStyle w:val="kursiv"/>
        </w:rPr>
        <w:t>Endringar</w:t>
      </w:r>
      <w:proofErr w:type="spellEnd"/>
      <w:r w:rsidRPr="00225D4D">
        <w:rPr>
          <w:rStyle w:val="kursiv"/>
        </w:rPr>
        <w:t xml:space="preserve"> i bioteknologiloven (vilkår for preimplantasjonsdiagnostikk og </w:t>
      </w:r>
      <w:proofErr w:type="spellStart"/>
      <w:r w:rsidRPr="00225D4D">
        <w:rPr>
          <w:rStyle w:val="kursiv"/>
        </w:rPr>
        <w:t>forbod</w:t>
      </w:r>
      <w:proofErr w:type="spellEnd"/>
      <w:r w:rsidRPr="00225D4D">
        <w:rPr>
          <w:rStyle w:val="kursiv"/>
        </w:rPr>
        <w:t xml:space="preserve"> mot genetisk testing av barn </w:t>
      </w:r>
      <w:proofErr w:type="spellStart"/>
      <w:r w:rsidRPr="00225D4D">
        <w:rPr>
          <w:rStyle w:val="kursiv"/>
        </w:rPr>
        <w:t>utanfor</w:t>
      </w:r>
      <w:proofErr w:type="spellEnd"/>
      <w:r w:rsidRPr="00225D4D">
        <w:rPr>
          <w:rStyle w:val="kursiv"/>
        </w:rPr>
        <w:t xml:space="preserve"> </w:t>
      </w:r>
      <w:proofErr w:type="spellStart"/>
      <w:r w:rsidRPr="00225D4D">
        <w:rPr>
          <w:rStyle w:val="kursiv"/>
        </w:rPr>
        <w:t>helsetenesta</w:t>
      </w:r>
      <w:proofErr w:type="spellEnd"/>
      <w:r w:rsidRPr="00225D4D">
        <w:rPr>
          <w:rStyle w:val="kursiv"/>
        </w:rPr>
        <w:t>)</w:t>
      </w:r>
      <w:r w:rsidRPr="00225D4D">
        <w:t xml:space="preserve"> og </w:t>
      </w:r>
      <w:proofErr w:type="spellStart"/>
      <w:r w:rsidRPr="00225D4D">
        <w:t>Innst</w:t>
      </w:r>
      <w:proofErr w:type="spellEnd"/>
      <w:r w:rsidRPr="00225D4D">
        <w:t>. 388 L (2024–2025). Endringene trådte i kraft 1. oktober 2025. Anmodningsvedtaket anses som fulgt opp.</w:t>
      </w:r>
    </w:p>
    <w:p w14:paraId="497E35B9" w14:textId="77777777" w:rsidR="00D60186" w:rsidRPr="00225D4D" w:rsidRDefault="00D60186" w:rsidP="00225D4D">
      <w:pPr>
        <w:pStyle w:val="Overskrift2"/>
      </w:pPr>
      <w:r w:rsidRPr="00225D4D">
        <w:t>Stortingssesjon (2018–2019)</w:t>
      </w:r>
    </w:p>
    <w:p w14:paraId="09DFE73B" w14:textId="77777777" w:rsidR="00D60186" w:rsidRPr="00225D4D" w:rsidRDefault="00D60186" w:rsidP="00225D4D">
      <w:pPr>
        <w:pStyle w:val="avsnitt-tittel"/>
      </w:pPr>
      <w:r w:rsidRPr="00225D4D">
        <w:t>Styrking av norsk tannhelse</w:t>
      </w:r>
    </w:p>
    <w:p w14:paraId="6DB680EC" w14:textId="77777777" w:rsidR="00D60186" w:rsidRPr="00225D4D" w:rsidRDefault="00D60186" w:rsidP="00225D4D">
      <w:pPr>
        <w:pStyle w:val="avsnitt-undertittel"/>
      </w:pPr>
      <w:r w:rsidRPr="00225D4D">
        <w:t>Vedtak nr. 20, 15. november 2018</w:t>
      </w:r>
    </w:p>
    <w:p w14:paraId="0D7CCA4F" w14:textId="77777777" w:rsidR="00D60186" w:rsidRPr="00225D4D" w:rsidRDefault="00D60186" w:rsidP="00225D4D">
      <w:pPr>
        <w:pStyle w:val="blokksit"/>
        <w:rPr>
          <w:rStyle w:val="kursiv"/>
        </w:rPr>
      </w:pPr>
      <w:r w:rsidRPr="00225D4D">
        <w:rPr>
          <w:rStyle w:val="kursiv"/>
        </w:rPr>
        <w:t>«Stortinget ber regjeringen komme tilbake til Stortinget med en egen sak om styrking av norsk tannhelse, med mål om å utjevne sosial ulikhet i tannhelse gjennom å hjelpe dem som trenger det mest. Stortinget ber om at saken inneholder:</w:t>
      </w:r>
    </w:p>
    <w:p w14:paraId="0769F3D2" w14:textId="77777777" w:rsidR="00D60186" w:rsidRPr="00225D4D" w:rsidRDefault="00D60186" w:rsidP="00225D4D">
      <w:pPr>
        <w:pStyle w:val="alfaliste2"/>
        <w:rPr>
          <w:rStyle w:val="kursiv"/>
        </w:rPr>
      </w:pPr>
      <w:r w:rsidRPr="00225D4D">
        <w:rPr>
          <w:rStyle w:val="kursiv"/>
        </w:rPr>
        <w:t>forslag til hvordan man kan styrke det forebyggende arbeidet for god folketannhelse</w:t>
      </w:r>
    </w:p>
    <w:p w14:paraId="06BB7ED5" w14:textId="77777777" w:rsidR="00D60186" w:rsidRPr="00225D4D" w:rsidRDefault="00D60186" w:rsidP="00225D4D">
      <w:pPr>
        <w:pStyle w:val="alfaliste2"/>
        <w:rPr>
          <w:rStyle w:val="kursiv"/>
        </w:rPr>
      </w:pPr>
      <w:r w:rsidRPr="00225D4D">
        <w:rPr>
          <w:rStyle w:val="kursiv"/>
        </w:rPr>
        <w:t>en gjennomgang av refusjonsordningene på tannhelsefeltet</w:t>
      </w:r>
    </w:p>
    <w:p w14:paraId="61FD660D" w14:textId="77777777" w:rsidR="00D60186" w:rsidRPr="00225D4D" w:rsidRDefault="00D60186" w:rsidP="00225D4D">
      <w:pPr>
        <w:pStyle w:val="alfaliste2"/>
        <w:rPr>
          <w:rStyle w:val="kursiv"/>
        </w:rPr>
      </w:pPr>
      <w:r w:rsidRPr="00225D4D">
        <w:rPr>
          <w:rStyle w:val="kursiv"/>
        </w:rPr>
        <w:t>forslag som i større grad vil hjelpe dem som i dag ikke har økonomisk mulighet for å få gjennomført nødvendig tannhelsebehandling</w:t>
      </w:r>
    </w:p>
    <w:p w14:paraId="5140F529" w14:textId="77777777" w:rsidR="00D60186" w:rsidRPr="00225D4D" w:rsidRDefault="00D60186" w:rsidP="00225D4D">
      <w:pPr>
        <w:pStyle w:val="alfaliste2"/>
        <w:rPr>
          <w:rStyle w:val="kursiv"/>
        </w:rPr>
      </w:pPr>
      <w:r w:rsidRPr="00225D4D">
        <w:rPr>
          <w:rStyle w:val="kursiv"/>
        </w:rPr>
        <w:t>forslag til forbedring og forenkling av ordningene for refusjon gjennom folketrygden til spesielle diagnoser.»</w:t>
      </w:r>
    </w:p>
    <w:p w14:paraId="440A0A13" w14:textId="77777777" w:rsidR="00D60186" w:rsidRPr="00225D4D" w:rsidRDefault="00D60186" w:rsidP="00225D4D">
      <w:r w:rsidRPr="00225D4D">
        <w:t xml:space="preserve">Vedtaket ble truffet ved behandling av Dokument 8:209 S (2017–2018), jf. </w:t>
      </w:r>
      <w:proofErr w:type="spellStart"/>
      <w:r w:rsidRPr="00225D4D">
        <w:t>Innst</w:t>
      </w:r>
      <w:proofErr w:type="spellEnd"/>
      <w:r w:rsidRPr="00225D4D">
        <w:t>. 39 S (2018–2019). Tannhelseutvalget, som har hatt i oppdrag å foreta en helhetlig gjennomgang av tannhelsefeltet, leverte sin utredning 26. september 2024. Denne har vært på offentlig høring. Departementet vil følge opp dette videre, og regjeringen vil komme tilbake til Stortinget på egnet måte.</w:t>
      </w:r>
    </w:p>
    <w:p w14:paraId="50314F1F" w14:textId="77777777" w:rsidR="00D60186" w:rsidRPr="00225D4D" w:rsidRDefault="00D60186" w:rsidP="00225D4D">
      <w:pPr>
        <w:pStyle w:val="avsnitt-tittel"/>
      </w:pPr>
      <w:r w:rsidRPr="00225D4D">
        <w:t>Ensomhet inn i folkehelseloven § 7</w:t>
      </w:r>
    </w:p>
    <w:p w14:paraId="0EB53866" w14:textId="77777777" w:rsidR="00D60186" w:rsidRPr="00225D4D" w:rsidRDefault="00D60186" w:rsidP="00225D4D">
      <w:pPr>
        <w:pStyle w:val="avsnitt-undertittel"/>
      </w:pPr>
      <w:r w:rsidRPr="00225D4D">
        <w:t>Vedtak nr. 25, 20. november 2018</w:t>
      </w:r>
    </w:p>
    <w:p w14:paraId="59415641" w14:textId="77777777" w:rsidR="00D60186" w:rsidRPr="00225D4D" w:rsidRDefault="00D60186" w:rsidP="00225D4D">
      <w:pPr>
        <w:pStyle w:val="blokksit"/>
        <w:rPr>
          <w:rStyle w:val="kursiv"/>
        </w:rPr>
      </w:pPr>
      <w:r w:rsidRPr="00225D4D">
        <w:rPr>
          <w:rStyle w:val="kursiv"/>
        </w:rPr>
        <w:t>«Stortinget ber regjeringen fremme forslag om at «ensomhet» tas inn i folkehelseloven § 7.»</w:t>
      </w:r>
    </w:p>
    <w:p w14:paraId="3A96D41B" w14:textId="77777777" w:rsidR="00D60186" w:rsidRPr="00225D4D" w:rsidRDefault="00D60186" w:rsidP="00225D4D">
      <w:r w:rsidRPr="00225D4D">
        <w:t>Vedtaket ble truffet ved Stortingets møte 20. november 2018. Ensomhet er tatt inn i revisjonen av folkehelseloven som ble vedtatt av Stortinget 20. mai 2025. Anmodningsvedtaket anses som fulgt opp.</w:t>
      </w:r>
    </w:p>
    <w:p w14:paraId="4753D724" w14:textId="77777777" w:rsidR="00D60186" w:rsidRPr="00225D4D" w:rsidRDefault="00D60186" w:rsidP="00225D4D">
      <w:pPr>
        <w:pStyle w:val="avsnitt-tittel"/>
      </w:pPr>
      <w:r w:rsidRPr="00225D4D">
        <w:t xml:space="preserve">Forslag om </w:t>
      </w:r>
      <w:proofErr w:type="spellStart"/>
      <w:r w:rsidRPr="00225D4D">
        <w:t>innholdsmerking</w:t>
      </w:r>
      <w:proofErr w:type="spellEnd"/>
      <w:r w:rsidRPr="00225D4D">
        <w:t xml:space="preserve"> på alkoholholdig drikk</w:t>
      </w:r>
    </w:p>
    <w:p w14:paraId="767156EB" w14:textId="77777777" w:rsidR="00D60186" w:rsidRPr="00225D4D" w:rsidRDefault="00D60186" w:rsidP="00225D4D">
      <w:pPr>
        <w:pStyle w:val="avsnitt-undertittel"/>
      </w:pPr>
      <w:r w:rsidRPr="00225D4D">
        <w:t>Vedtak nr. 39, 20. november 2018</w:t>
      </w:r>
    </w:p>
    <w:p w14:paraId="75206337" w14:textId="77777777" w:rsidR="00D60186" w:rsidRPr="00225D4D" w:rsidRDefault="00D60186" w:rsidP="00225D4D">
      <w:pPr>
        <w:pStyle w:val="blokksit"/>
        <w:rPr>
          <w:rStyle w:val="kursiv"/>
        </w:rPr>
      </w:pPr>
      <w:r w:rsidRPr="00225D4D">
        <w:rPr>
          <w:rStyle w:val="kursiv"/>
        </w:rPr>
        <w:t xml:space="preserve">«Stortinget ber regjeringen fremme forslag for Stortinget om å innføre krav om </w:t>
      </w:r>
      <w:proofErr w:type="spellStart"/>
      <w:r w:rsidRPr="00225D4D">
        <w:rPr>
          <w:rStyle w:val="kursiv"/>
        </w:rPr>
        <w:t>innholdsmerking</w:t>
      </w:r>
      <w:proofErr w:type="spellEnd"/>
      <w:r w:rsidRPr="00225D4D">
        <w:rPr>
          <w:rStyle w:val="kursiv"/>
        </w:rPr>
        <w:t xml:space="preserve"> av alkoholholdig drikk.»</w:t>
      </w:r>
    </w:p>
    <w:p w14:paraId="768B19E8" w14:textId="77777777" w:rsidR="00D60186" w:rsidRPr="00225D4D" w:rsidRDefault="00D60186" w:rsidP="00225D4D">
      <w:r w:rsidRPr="00225D4D">
        <w:t xml:space="preserve">Vedtaket ble truffet ved Stortingets behandling av Dokument 8:141 S (2017–2018) om en offensiv og solidarisk alkoholpolitikk, jf. </w:t>
      </w:r>
      <w:proofErr w:type="spellStart"/>
      <w:r w:rsidRPr="00225D4D">
        <w:t>Innst</w:t>
      </w:r>
      <w:proofErr w:type="spellEnd"/>
      <w:r w:rsidRPr="00225D4D">
        <w:t xml:space="preserve">. 38 S (2018–2019). Vurdering av merkekrav for alkohol ses i sammenheng med et regelverk EU har vedtatt for </w:t>
      </w:r>
      <w:proofErr w:type="spellStart"/>
      <w:r w:rsidRPr="00225D4D">
        <w:t>innholdsmerking</w:t>
      </w:r>
      <w:proofErr w:type="spellEnd"/>
      <w:r w:rsidRPr="00225D4D">
        <w:t xml:space="preserve"> av vin og aromatiserte drikker. Dette regelverket er fortsatt til vurdering for innlemmelse i EØS-avtalen og ev. gjennomføring i norsk rett. Departementet vil følge opp dette videre, og regjeringen vil komme tilbake til Stortinget på egnet måte.</w:t>
      </w:r>
    </w:p>
    <w:p w14:paraId="516DCCE5" w14:textId="77777777" w:rsidR="00D60186" w:rsidRPr="00225D4D" w:rsidRDefault="00D60186" w:rsidP="00225D4D">
      <w:pPr>
        <w:pStyle w:val="avsnitt-tittel"/>
      </w:pPr>
      <w:r w:rsidRPr="00225D4D">
        <w:t>Innføring av merking med helseadvarsler på alkoholholdig drikk</w:t>
      </w:r>
    </w:p>
    <w:p w14:paraId="7C5A5184" w14:textId="77777777" w:rsidR="00D60186" w:rsidRPr="00225D4D" w:rsidRDefault="00D60186" w:rsidP="00225D4D">
      <w:pPr>
        <w:pStyle w:val="avsnitt-undertittel"/>
      </w:pPr>
      <w:r w:rsidRPr="00225D4D">
        <w:t>Vedtak nr. 44, 20. november 2018</w:t>
      </w:r>
    </w:p>
    <w:p w14:paraId="2FF63D79" w14:textId="77777777" w:rsidR="00D60186" w:rsidRPr="00225D4D" w:rsidRDefault="00D60186" w:rsidP="00225D4D">
      <w:pPr>
        <w:pStyle w:val="blokksit"/>
        <w:rPr>
          <w:rStyle w:val="kursiv"/>
        </w:rPr>
      </w:pPr>
      <w:r w:rsidRPr="00225D4D">
        <w:rPr>
          <w:rStyle w:val="kursiv"/>
        </w:rPr>
        <w:t>«Stortinget ber regjeringen innføre en merkeordning for alkoholholdig drikk med helseadvarsler om alkoholbruk under graviditet og i forbindelse med kjøring.»</w:t>
      </w:r>
    </w:p>
    <w:p w14:paraId="14A12300" w14:textId="77777777" w:rsidR="00D60186" w:rsidRPr="00225D4D" w:rsidRDefault="00D60186" w:rsidP="00225D4D">
      <w:r w:rsidRPr="00225D4D">
        <w:t xml:space="preserve">Vedtaket ble truffet ved Stortingets behandling av Dokument 8:141 S (2017–2018) om en offensiv og solidarisk alkoholpolitikk, jf. </w:t>
      </w:r>
      <w:proofErr w:type="spellStart"/>
      <w:r w:rsidRPr="00225D4D">
        <w:t>Innst</w:t>
      </w:r>
      <w:proofErr w:type="spellEnd"/>
      <w:r w:rsidRPr="00225D4D">
        <w:t>. 38 S (2018–2019). I Nasjonal alkoholstrategi fremgår det at det vil foreslås innføring av krav til advarselsmerking på alkoholholdig drikk i Norge. Helsedirektoratet har gjort en kunnskapsgjennomgang og juridiske vurderinger, og foreslått faktiske og praktiske løsninger for å innføre advarselsmerking av alkoholholdig drikk. Departementet vil følge opp dette videre, og regjeringen vil komme tilbake til Stortinget på egnet måte.</w:t>
      </w:r>
    </w:p>
    <w:p w14:paraId="04C87AE4" w14:textId="77777777" w:rsidR="00D60186" w:rsidRPr="00225D4D" w:rsidRDefault="00D60186" w:rsidP="00225D4D">
      <w:pPr>
        <w:pStyle w:val="avsnitt-tittel"/>
      </w:pPr>
      <w:r w:rsidRPr="00225D4D">
        <w:t>Ideelle organisasjoners pensjonskostnader</w:t>
      </w:r>
    </w:p>
    <w:p w14:paraId="1A1F1FAC" w14:textId="77777777" w:rsidR="00D60186" w:rsidRPr="00225D4D" w:rsidRDefault="00D60186" w:rsidP="00225D4D">
      <w:pPr>
        <w:pStyle w:val="avsnitt-undertittel"/>
      </w:pPr>
      <w:r w:rsidRPr="00225D4D">
        <w:t>Vedtak nr. 82, 3. desember 2018</w:t>
      </w:r>
    </w:p>
    <w:p w14:paraId="370ECEB8" w14:textId="77777777" w:rsidR="00D60186" w:rsidRPr="00225D4D" w:rsidRDefault="00D60186" w:rsidP="00225D4D">
      <w:pPr>
        <w:pStyle w:val="blokksit"/>
        <w:rPr>
          <w:rStyle w:val="kursiv"/>
        </w:rPr>
      </w:pPr>
      <w:r w:rsidRPr="00225D4D">
        <w:rPr>
          <w:rStyle w:val="kursiv"/>
        </w:rPr>
        <w:t>«Stortinget ber regjeringen utrede de økonomiske konsekvensene av å dekke de ideelle organisasjoners historiske pensjonskostnader for kommunal og fylkeskommunal sektor med sikte på at de dekkes av kommunene og fylkeskommunene. Utredningen bør også se på om dekningen bør gå gjennom å utvide den søknadsbaserte tilskuddsordningen som det er enighet om å etablere i budsjettavtalen for 2019.»</w:t>
      </w:r>
    </w:p>
    <w:p w14:paraId="4E1D3C63" w14:textId="77777777" w:rsidR="00D60186" w:rsidRPr="00225D4D" w:rsidRDefault="00D60186" w:rsidP="00225D4D">
      <w:r w:rsidRPr="00225D4D">
        <w:t xml:space="preserve">Vedtaket ble truffet ved behandling Meld. St. 1 (2018–2019), jf. </w:t>
      </w:r>
      <w:proofErr w:type="spellStart"/>
      <w:r w:rsidRPr="00225D4D">
        <w:t>Innst</w:t>
      </w:r>
      <w:proofErr w:type="spellEnd"/>
      <w:r w:rsidRPr="00225D4D">
        <w:t xml:space="preserve">. 2 S (2018–2019). Vedtaket omfatter ideelle organisasjoners arbeid for kommuner og fylkeskommuner over flere år og innenfor ulike sektorer. Helsedirektoratet har på oppdrag fra de berørte departementene utredet spørsmålet. Det anslås at engangskostnaden ved å dekke ideelle organisasjoners historiske pensjonskostnader vil kunne være i størrelsesorden 1,1 mrd. kroner. Denne kostnaden vil trolig også øke som følge av oppdatert beregningsmetode for avviklingstilskudd hos Sikringsordningen. Dagens økonomiske situasjon gjør at budsjettene de nærmeste årene vil være særlig stramme. Regjeringen finner ikke rom for å prioritere å dekke disse utgiftene innen helse-, omsorgs- og barnevernsfeltet. Anmodningsvedtak nr. 82 (2018–2019), 3. desember 2018, foreslås opphevet, jf. forslag til romertallsvedtak </w:t>
      </w:r>
      <w:proofErr w:type="spellStart"/>
      <w:r w:rsidRPr="00225D4D">
        <w:t>X</w:t>
      </w:r>
      <w:proofErr w:type="spellEnd"/>
      <w:r w:rsidRPr="00225D4D">
        <w:t>.</w:t>
      </w:r>
    </w:p>
    <w:p w14:paraId="52A2901C" w14:textId="77777777" w:rsidR="00D60186" w:rsidRPr="00225D4D" w:rsidRDefault="00D60186" w:rsidP="00225D4D">
      <w:pPr>
        <w:pStyle w:val="avsnitt-tittel"/>
      </w:pPr>
      <w:r w:rsidRPr="00225D4D">
        <w:t>Årsmeldingen for 2017 fra Norges nasjonale institusjon for menneskerettigheter</w:t>
      </w:r>
    </w:p>
    <w:p w14:paraId="417F5C76" w14:textId="77777777" w:rsidR="00D60186" w:rsidRPr="00225D4D" w:rsidRDefault="00D60186" w:rsidP="00225D4D">
      <w:pPr>
        <w:pStyle w:val="avsnitt-undertittel"/>
      </w:pPr>
      <w:r w:rsidRPr="00225D4D">
        <w:t>Vedtak nr. 93, 4. desember 2018</w:t>
      </w:r>
    </w:p>
    <w:p w14:paraId="4E0AEFFC" w14:textId="77777777" w:rsidR="00D60186" w:rsidRPr="00225D4D" w:rsidRDefault="00D60186" w:rsidP="00225D4D">
      <w:pPr>
        <w:pStyle w:val="blokksit"/>
        <w:rPr>
          <w:rStyle w:val="kursiv"/>
        </w:rPr>
      </w:pPr>
      <w:r w:rsidRPr="00225D4D">
        <w:rPr>
          <w:rStyle w:val="kursiv"/>
        </w:rPr>
        <w:t>«Stortinget ber regjeringen gjennomgå anbefalingene i årsmeldingen for 2017 fra Norges nasjonale institusjon for menneskerettigheter og komme tilbake til Stortinget på egnet måte med hvordan anbefalingene er fulgt opp.»</w:t>
      </w:r>
    </w:p>
    <w:p w14:paraId="14A57D94" w14:textId="77777777" w:rsidR="00D60186" w:rsidRPr="00225D4D" w:rsidRDefault="00D60186" w:rsidP="00225D4D">
      <w:r w:rsidRPr="00225D4D">
        <w:t xml:space="preserve">Vedtaket ble truffet ved behandling av Dokument 6 (2017–2018), jf. </w:t>
      </w:r>
      <w:proofErr w:type="spellStart"/>
      <w:r w:rsidRPr="00225D4D">
        <w:t>Innst</w:t>
      </w:r>
      <w:proofErr w:type="spellEnd"/>
      <w:r w:rsidRPr="00225D4D">
        <w:t xml:space="preserve">. 78 S (2018–2019). Kontroll- og konstitusjonskomiteen opprettholdt vedtaket, jf. </w:t>
      </w:r>
      <w:proofErr w:type="spellStart"/>
      <w:r w:rsidRPr="00225D4D">
        <w:t>Innst</w:t>
      </w:r>
      <w:proofErr w:type="spellEnd"/>
      <w:r w:rsidRPr="00225D4D">
        <w:t xml:space="preserve">. 580 S (2020–2021). Anmodningsvedtaket gjelder lovregulering av </w:t>
      </w:r>
      <w:proofErr w:type="spellStart"/>
      <w:r w:rsidRPr="00225D4D">
        <w:t>elektrokonvulsiv</w:t>
      </w:r>
      <w:proofErr w:type="spellEnd"/>
      <w:r w:rsidRPr="00225D4D">
        <w:t xml:space="preserve"> behandling (ECT) og er ivaretatt gjennom Stortingets vedtak ved behandlingen av </w:t>
      </w:r>
      <w:proofErr w:type="spellStart"/>
      <w:r w:rsidRPr="00225D4D">
        <w:t>Prop</w:t>
      </w:r>
      <w:proofErr w:type="spellEnd"/>
      <w:r w:rsidRPr="00225D4D">
        <w:t xml:space="preserve">. 31 L (2024–2025), jf. </w:t>
      </w:r>
      <w:proofErr w:type="spellStart"/>
      <w:r w:rsidRPr="00225D4D">
        <w:t>Innst</w:t>
      </w:r>
      <w:proofErr w:type="spellEnd"/>
      <w:r w:rsidRPr="00225D4D">
        <w:t>. 168 L (2024–2025). Anmodningsvedtaket anses som fulgt opp.</w:t>
      </w:r>
    </w:p>
    <w:p w14:paraId="2BCF40E0" w14:textId="77777777" w:rsidR="00D60186" w:rsidRPr="00225D4D" w:rsidRDefault="00D60186" w:rsidP="00225D4D">
      <w:pPr>
        <w:pStyle w:val="Overskrift2"/>
      </w:pPr>
      <w:r w:rsidRPr="00225D4D">
        <w:t>Stortingssesjon (2017–2018)</w:t>
      </w:r>
    </w:p>
    <w:p w14:paraId="48F8AE5C" w14:textId="77777777" w:rsidR="00D60186" w:rsidRPr="00225D4D" w:rsidRDefault="00D60186" w:rsidP="00225D4D">
      <w:pPr>
        <w:pStyle w:val="avsnitt-tittel"/>
      </w:pPr>
      <w:r w:rsidRPr="00225D4D">
        <w:t>Legevakt- og fastlegeordningen</w:t>
      </w:r>
    </w:p>
    <w:p w14:paraId="0745E939" w14:textId="77777777" w:rsidR="00D60186" w:rsidRPr="00225D4D" w:rsidRDefault="00D60186" w:rsidP="00225D4D">
      <w:pPr>
        <w:pStyle w:val="avsnitt-undertittel"/>
      </w:pPr>
      <w:r w:rsidRPr="00225D4D">
        <w:t>Vedtak nr. 468, 13. februar 2018</w:t>
      </w:r>
    </w:p>
    <w:p w14:paraId="2010F578" w14:textId="77777777" w:rsidR="00D60186" w:rsidRPr="00225D4D" w:rsidRDefault="00D60186" w:rsidP="00225D4D">
      <w:pPr>
        <w:pStyle w:val="blokksit"/>
        <w:rPr>
          <w:rStyle w:val="kursiv"/>
        </w:rPr>
      </w:pPr>
      <w:r w:rsidRPr="00225D4D">
        <w:rPr>
          <w:rStyle w:val="kursiv"/>
        </w:rPr>
        <w:t>«Stortinget ber regjeringen fremme en egen sak til Stortinget om forbedringer i legevaktordningen som også bidrar til rekrutteringen til fastlegeordningen.»</w:t>
      </w:r>
    </w:p>
    <w:p w14:paraId="45A5B431" w14:textId="77777777" w:rsidR="00D60186" w:rsidRPr="00225D4D" w:rsidRDefault="00D60186" w:rsidP="00225D4D">
      <w:r w:rsidRPr="00225D4D">
        <w:t xml:space="preserve">Vedtaket ble truffet ved behandling av Dokument 8:3 S (2017–2018), jf. </w:t>
      </w:r>
      <w:proofErr w:type="spellStart"/>
      <w:r w:rsidRPr="00225D4D">
        <w:t>Innst</w:t>
      </w:r>
      <w:proofErr w:type="spellEnd"/>
      <w:r w:rsidRPr="00225D4D">
        <w:t xml:space="preserve">. 109 S (2017–2018). Kontroll- og konstitusjonskomiteen merket seg i </w:t>
      </w:r>
      <w:proofErr w:type="spellStart"/>
      <w:r w:rsidRPr="00225D4D">
        <w:t>Innst</w:t>
      </w:r>
      <w:proofErr w:type="spellEnd"/>
      <w:r w:rsidRPr="00225D4D">
        <w:t xml:space="preserve">. 141 S (2021–2022) at regjeringen har kommet med en handlingsplan, og at denne ikke er fremmet i Stortinget. Komiteen anser derfor ikke anmodningsvedtaket som </w:t>
      </w:r>
      <w:proofErr w:type="spellStart"/>
      <w:r w:rsidRPr="00225D4D">
        <w:t>utkvittert</w:t>
      </w:r>
      <w:proofErr w:type="spellEnd"/>
      <w:r w:rsidRPr="00225D4D">
        <w:t xml:space="preserve">. Regjeringen har i Meld. St. 23 (2024–2025) </w:t>
      </w:r>
      <w:r w:rsidRPr="00225D4D">
        <w:rPr>
          <w:rStyle w:val="kursiv"/>
        </w:rPr>
        <w:t xml:space="preserve">Fornye, forsterke, forbedre </w:t>
      </w:r>
      <w:r w:rsidRPr="00225D4D">
        <w:t>lagt frem en rekke tiltak for forbedringer i legevaktordningen og rekruttering til fastlegeordningen. Anmodningsvedtaket anses som fulgt opp.</w:t>
      </w:r>
    </w:p>
    <w:p w14:paraId="00FE8D1A" w14:textId="77777777" w:rsidR="00D60186" w:rsidRPr="00225D4D" w:rsidRDefault="00D60186" w:rsidP="00225D4D">
      <w:pPr>
        <w:pStyle w:val="avsnitt-tittel"/>
      </w:pPr>
      <w:r w:rsidRPr="00225D4D">
        <w:t>Regelverket for pasientreiser</w:t>
      </w:r>
    </w:p>
    <w:p w14:paraId="4077D4FE" w14:textId="77777777" w:rsidR="00D60186" w:rsidRPr="00225D4D" w:rsidRDefault="00D60186" w:rsidP="00225D4D">
      <w:pPr>
        <w:pStyle w:val="avsnitt-undertittel"/>
      </w:pPr>
      <w:r w:rsidRPr="00225D4D">
        <w:t>Vedtak nr. 615, 19. april 2018</w:t>
      </w:r>
    </w:p>
    <w:p w14:paraId="5032F71B" w14:textId="77777777" w:rsidR="00D60186" w:rsidRPr="00225D4D" w:rsidRDefault="00D60186" w:rsidP="00225D4D">
      <w:pPr>
        <w:pStyle w:val="blokksit"/>
        <w:rPr>
          <w:rStyle w:val="kursiv"/>
        </w:rPr>
      </w:pPr>
      <w:r w:rsidRPr="00225D4D">
        <w:rPr>
          <w:rStyle w:val="kursiv"/>
        </w:rPr>
        <w:t>«Stortinget ber regjeringen foreta en bred gjennomgang av regelverket for pasientreiser og fremme en sak for Stortinget med tiltak for å forenkle og forbedre ordningen.»</w:t>
      </w:r>
    </w:p>
    <w:p w14:paraId="4E3E9C27" w14:textId="77777777" w:rsidR="00D60186" w:rsidRPr="00225D4D" w:rsidRDefault="00D60186" w:rsidP="00225D4D">
      <w:r w:rsidRPr="00225D4D">
        <w:t xml:space="preserve">Vedtaket ble truffet ved behandlingen av Dokument 8:98 S (2017–2018), jf. </w:t>
      </w:r>
      <w:proofErr w:type="spellStart"/>
      <w:r w:rsidRPr="00225D4D">
        <w:t>Innst</w:t>
      </w:r>
      <w:proofErr w:type="spellEnd"/>
      <w:r w:rsidRPr="00225D4D">
        <w:t>. 196 S (2017–2018). Helsedirektoratet fikk i tildelingsbrevet for 2019 i oppdrag å foreta en gjennomgang av regelverket for pasientreiser og oversendte departementet en rapport om gjennomgangen i midten av oktober 2020. På bakgrunn av rapporten sendte departementet et forslag om forskriftsendringer på høring, med høringsfrist 11. april 2024. Forskriftsendringene ble vedtatt 22. januar 2025 og satt i kraft 3. mars 2025. Anmodningsvedtaket anses som fulgt opp.</w:t>
      </w:r>
    </w:p>
    <w:p w14:paraId="52F959BC" w14:textId="77777777" w:rsidR="00D60186" w:rsidRPr="00225D4D" w:rsidRDefault="00D60186" w:rsidP="00225D4D">
      <w:pPr>
        <w:pStyle w:val="avsnitt-tittel"/>
      </w:pPr>
      <w:r w:rsidRPr="00225D4D">
        <w:t>Tobakksskadeloven</w:t>
      </w:r>
    </w:p>
    <w:p w14:paraId="42F46BC5" w14:textId="77777777" w:rsidR="00D60186" w:rsidRPr="00225D4D" w:rsidRDefault="00D60186" w:rsidP="00225D4D">
      <w:pPr>
        <w:pStyle w:val="avsnitt-undertittel"/>
      </w:pPr>
      <w:r w:rsidRPr="00225D4D">
        <w:t>Vedtak nr. 915, 12. juni 2018</w:t>
      </w:r>
    </w:p>
    <w:p w14:paraId="35D742AD" w14:textId="77777777" w:rsidR="00D60186" w:rsidRPr="00225D4D" w:rsidRDefault="00D60186" w:rsidP="00225D4D">
      <w:pPr>
        <w:pStyle w:val="blokksit"/>
        <w:rPr>
          <w:rStyle w:val="kursiv"/>
        </w:rPr>
      </w:pPr>
      <w:r w:rsidRPr="00225D4D">
        <w:rPr>
          <w:rStyle w:val="kursiv"/>
        </w:rPr>
        <w:t>«Stortinget ber regjeringen utrede og fremme forslag om endringer i tobakksskadeloven med mål om å hindre at en ny generasjon blir avhengig av tobakk, og mål om å gjøre flere arenaer i samfunnet tobakksfrie og å styrke vernet mot passiv røyking.»</w:t>
      </w:r>
    </w:p>
    <w:p w14:paraId="1E25C615" w14:textId="77777777" w:rsidR="00D60186" w:rsidRPr="00225D4D" w:rsidRDefault="00D60186" w:rsidP="00225D4D">
      <w:r w:rsidRPr="00225D4D">
        <w:t xml:space="preserve">Vedtaket ble truffet ved behandlingen av Dokument 8:189 S (2017–2018), jf. </w:t>
      </w:r>
      <w:proofErr w:type="spellStart"/>
      <w:r w:rsidRPr="00225D4D">
        <w:t>Innst</w:t>
      </w:r>
      <w:proofErr w:type="spellEnd"/>
      <w:r w:rsidRPr="00225D4D">
        <w:t xml:space="preserve">. 367 S (2017–2018). I </w:t>
      </w:r>
      <w:proofErr w:type="spellStart"/>
      <w:r w:rsidRPr="00225D4D">
        <w:t>Prop</w:t>
      </w:r>
      <w:proofErr w:type="spellEnd"/>
      <w:r w:rsidRPr="00225D4D">
        <w:t xml:space="preserve">. 116 L (2024–2025) </w:t>
      </w:r>
      <w:r w:rsidRPr="00225D4D">
        <w:rPr>
          <w:rStyle w:val="kursiv"/>
        </w:rPr>
        <w:t>Endringer i tobakksskadeloven, strålevernloven og atomenergiloven (utvidelse av røykeforbudene og forbud mot grensekryssende fjernsalg)</w:t>
      </w:r>
      <w:r w:rsidRPr="00225D4D">
        <w:t xml:space="preserve">, ble det foreslått å utvide røykeforbudet til utendørs lekeplasser og idrettsområder, samt i biler hvor barn er passasjer. I tillegg ble det foreslått et forbud mot grensekryssende fjernsalg av tobakksvarer og e-sigaretter, jf. </w:t>
      </w:r>
      <w:proofErr w:type="spellStart"/>
      <w:r w:rsidRPr="00225D4D">
        <w:t>Innst</w:t>
      </w:r>
      <w:proofErr w:type="spellEnd"/>
      <w:r w:rsidRPr="00225D4D">
        <w:t>. 398 L (2024–2025). Forslagene ble vedtatt av Stortinget 10. juni 2025, jf. Lovvedtak 108 (2024–2025). Anmodningsvedtaket anses som fulgt opp.</w:t>
      </w:r>
    </w:p>
    <w:p w14:paraId="2A2CE84D" w14:textId="77777777" w:rsidR="00D60186" w:rsidRPr="00225D4D" w:rsidRDefault="00D60186" w:rsidP="00225D4D">
      <w:pPr>
        <w:pStyle w:val="Overskrift1"/>
      </w:pPr>
      <w:r w:rsidRPr="00225D4D">
        <w:t>Justis- og beredskapsdepartementet</w:t>
      </w:r>
    </w:p>
    <w:p w14:paraId="17D88F31" w14:textId="77777777" w:rsidR="00D60186" w:rsidRPr="00225D4D" w:rsidRDefault="00D60186" w:rsidP="00225D4D">
      <w:pPr>
        <w:pStyle w:val="Overskrift2"/>
      </w:pPr>
      <w:r w:rsidRPr="00225D4D">
        <w:t>Oppfølging av oppmodingsvedtak</w:t>
      </w:r>
    </w:p>
    <w:p w14:paraId="69FA0DA2" w14:textId="77777777" w:rsidR="00D60186" w:rsidRPr="00225D4D" w:rsidRDefault="00D60186" w:rsidP="00225D4D">
      <w:proofErr w:type="spellStart"/>
      <w:r w:rsidRPr="00225D4D">
        <w:t>Nedanfor</w:t>
      </w:r>
      <w:proofErr w:type="spellEnd"/>
      <w:r w:rsidRPr="00225D4D">
        <w:t xml:space="preserve"> gir departementet </w:t>
      </w:r>
      <w:proofErr w:type="gramStart"/>
      <w:r w:rsidRPr="00225D4D">
        <w:t>ei oversikt</w:t>
      </w:r>
      <w:proofErr w:type="gramEnd"/>
      <w:r w:rsidRPr="00225D4D">
        <w:t xml:space="preserve"> over oppfølginga av oppmodingsvedtak under Justis- og beredskapsdepartementet. </w:t>
      </w:r>
      <w:proofErr w:type="spellStart"/>
      <w:r w:rsidRPr="00225D4D">
        <w:t>Oversikta</w:t>
      </w:r>
      <w:proofErr w:type="spellEnd"/>
      <w:r w:rsidRPr="00225D4D">
        <w:t xml:space="preserve"> inkluderer alle vedtak </w:t>
      </w:r>
      <w:proofErr w:type="spellStart"/>
      <w:r w:rsidRPr="00225D4D">
        <w:t>frå</w:t>
      </w:r>
      <w:proofErr w:type="spellEnd"/>
      <w:r w:rsidRPr="00225D4D">
        <w:t xml:space="preserve"> stortingssesjonen 2024–2025, i tillegg til </w:t>
      </w:r>
      <w:proofErr w:type="spellStart"/>
      <w:r w:rsidRPr="00225D4D">
        <w:t>dei</w:t>
      </w:r>
      <w:proofErr w:type="spellEnd"/>
      <w:r w:rsidRPr="00225D4D">
        <w:t xml:space="preserve"> vedtaka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stortingssesjonar</w:t>
      </w:r>
      <w:proofErr w:type="spellEnd"/>
      <w:r w:rsidRPr="00225D4D">
        <w:t xml:space="preserve"> som kontroll- og konstitusjonskomiteen i </w:t>
      </w:r>
      <w:proofErr w:type="spellStart"/>
      <w:r w:rsidRPr="00225D4D">
        <w:t>Innst</w:t>
      </w:r>
      <w:proofErr w:type="spellEnd"/>
      <w:r w:rsidRPr="00225D4D">
        <w:t xml:space="preserve">. 216 S (2024–2025) meinte </w:t>
      </w:r>
      <w:proofErr w:type="spellStart"/>
      <w:r w:rsidRPr="00225D4D">
        <w:t>ikkje</w:t>
      </w:r>
      <w:proofErr w:type="spellEnd"/>
      <w:r w:rsidRPr="00225D4D">
        <w:t xml:space="preserve"> var </w:t>
      </w:r>
      <w:proofErr w:type="spellStart"/>
      <w:r w:rsidRPr="00225D4D">
        <w:t>følgde</w:t>
      </w:r>
      <w:proofErr w:type="spellEnd"/>
      <w:r w:rsidRPr="00225D4D">
        <w:t xml:space="preserve"> opp. I enkelte tilfelle kan oppfølginga av vedtaka </w:t>
      </w:r>
      <w:proofErr w:type="spellStart"/>
      <w:r w:rsidRPr="00225D4D">
        <w:t>vere</w:t>
      </w:r>
      <w:proofErr w:type="spellEnd"/>
      <w:r w:rsidRPr="00225D4D">
        <w:t xml:space="preserve"> </w:t>
      </w:r>
      <w:proofErr w:type="spellStart"/>
      <w:r w:rsidRPr="00225D4D">
        <w:t>meir</w:t>
      </w:r>
      <w:proofErr w:type="spellEnd"/>
      <w:r w:rsidRPr="00225D4D">
        <w:t xml:space="preserve"> </w:t>
      </w:r>
      <w:proofErr w:type="spellStart"/>
      <w:r w:rsidRPr="00225D4D">
        <w:t>omfattande</w:t>
      </w:r>
      <w:proofErr w:type="spellEnd"/>
      <w:r w:rsidRPr="00225D4D">
        <w:t xml:space="preserve"> forklart under det aktuelle programområdet i proposisjonen. I </w:t>
      </w:r>
      <w:proofErr w:type="spellStart"/>
      <w:r w:rsidRPr="00225D4D">
        <w:t>desse</w:t>
      </w:r>
      <w:proofErr w:type="spellEnd"/>
      <w:r w:rsidRPr="00225D4D">
        <w:t xml:space="preserve"> tilfella vil det </w:t>
      </w:r>
      <w:proofErr w:type="spellStart"/>
      <w:r w:rsidRPr="00225D4D">
        <w:t>vere</w:t>
      </w:r>
      <w:proofErr w:type="spellEnd"/>
      <w:r w:rsidRPr="00225D4D">
        <w:t xml:space="preserve"> </w:t>
      </w:r>
      <w:proofErr w:type="spellStart"/>
      <w:r w:rsidRPr="00225D4D">
        <w:t>ein</w:t>
      </w:r>
      <w:proofErr w:type="spellEnd"/>
      <w:r w:rsidRPr="00225D4D">
        <w:t xml:space="preserve"> referanse til kvar denne teksten </w:t>
      </w:r>
      <w:proofErr w:type="spellStart"/>
      <w:r w:rsidRPr="00225D4D">
        <w:t>finst</w:t>
      </w:r>
      <w:proofErr w:type="spellEnd"/>
      <w:r w:rsidRPr="00225D4D">
        <w:t>.</w:t>
      </w:r>
    </w:p>
    <w:p w14:paraId="38EA00F4" w14:textId="77777777" w:rsidR="00D60186" w:rsidRPr="00225D4D" w:rsidRDefault="00D60186" w:rsidP="00225D4D">
      <w:r w:rsidRPr="00225D4D">
        <w:t xml:space="preserve">I den fjerde kolonnen i tabellen </w:t>
      </w:r>
      <w:proofErr w:type="spellStart"/>
      <w:r w:rsidRPr="00225D4D">
        <w:t>nedanfor</w:t>
      </w:r>
      <w:proofErr w:type="spellEnd"/>
      <w:r w:rsidRPr="00225D4D">
        <w:t xml:space="preserve"> går det fram om departementet planlegg at rapporteringa på oppmodingsvedtaket </w:t>
      </w:r>
      <w:proofErr w:type="spellStart"/>
      <w:r w:rsidRPr="00225D4D">
        <w:t>no</w:t>
      </w:r>
      <w:proofErr w:type="spellEnd"/>
      <w:r w:rsidRPr="00225D4D">
        <w:t xml:space="preserve"> blir avslutta, eller om departementet vil rapportere konkret på vedtaket i budsjettproposisjonen til neste år òg.</w:t>
      </w:r>
    </w:p>
    <w:p w14:paraId="04336936" w14:textId="77777777" w:rsidR="00D60186" w:rsidRPr="00225D4D" w:rsidRDefault="00D60186" w:rsidP="00225D4D">
      <w:proofErr w:type="spellStart"/>
      <w:r w:rsidRPr="00225D4D">
        <w:t>Sjølv</w:t>
      </w:r>
      <w:proofErr w:type="spellEnd"/>
      <w:r w:rsidRPr="00225D4D">
        <w:t xml:space="preserve"> om det i tabellen blir opplyst at rapporteringa blir avslutta, vil det i </w:t>
      </w:r>
      <w:proofErr w:type="spellStart"/>
      <w:r w:rsidRPr="00225D4D">
        <w:t>ein</w:t>
      </w:r>
      <w:proofErr w:type="spellEnd"/>
      <w:r w:rsidRPr="00225D4D">
        <w:t xml:space="preserve"> del tilfelle kunne </w:t>
      </w:r>
      <w:proofErr w:type="spellStart"/>
      <w:r w:rsidRPr="00225D4D">
        <w:t>vere</w:t>
      </w:r>
      <w:proofErr w:type="spellEnd"/>
      <w:r w:rsidRPr="00225D4D">
        <w:t xml:space="preserve"> slik at oppfølginga av alle sider av vedtaket </w:t>
      </w:r>
      <w:proofErr w:type="spellStart"/>
      <w:r w:rsidRPr="00225D4D">
        <w:t>ikkje</w:t>
      </w:r>
      <w:proofErr w:type="spellEnd"/>
      <w:r w:rsidRPr="00225D4D">
        <w:t xml:space="preserve"> er </w:t>
      </w:r>
      <w:proofErr w:type="spellStart"/>
      <w:r w:rsidRPr="00225D4D">
        <w:t>endeleg</w:t>
      </w:r>
      <w:proofErr w:type="spellEnd"/>
      <w:r w:rsidRPr="00225D4D">
        <w:t xml:space="preserve"> avslutta. Dette kan t.d. gjelde vedtak med oppmoding til regjeringa om å vareta </w:t>
      </w:r>
      <w:proofErr w:type="spellStart"/>
      <w:r w:rsidRPr="00225D4D">
        <w:t>særlege</w:t>
      </w:r>
      <w:proofErr w:type="spellEnd"/>
      <w:r w:rsidRPr="00225D4D">
        <w:t xml:space="preserve"> omsyn i politikkutforminga på </w:t>
      </w:r>
      <w:proofErr w:type="spellStart"/>
      <w:r w:rsidRPr="00225D4D">
        <w:t>eit</w:t>
      </w:r>
      <w:proofErr w:type="spellEnd"/>
      <w:r w:rsidRPr="00225D4D">
        <w:t xml:space="preserve"> område, der oppfølginga vil kunne gå over mange år. Stortinget vil i </w:t>
      </w:r>
      <w:proofErr w:type="spellStart"/>
      <w:r w:rsidRPr="00225D4D">
        <w:t>desse</w:t>
      </w:r>
      <w:proofErr w:type="spellEnd"/>
      <w:r w:rsidRPr="00225D4D">
        <w:t xml:space="preserve"> tilfella bli orientert om den </w:t>
      </w:r>
      <w:proofErr w:type="spellStart"/>
      <w:r w:rsidRPr="00225D4D">
        <w:t>vidare</w:t>
      </w:r>
      <w:proofErr w:type="spellEnd"/>
      <w:r w:rsidRPr="00225D4D">
        <w:t xml:space="preserve"> oppfølginga på ordinær måte, gjennom omtale av det relevante politikkområdet i </w:t>
      </w:r>
      <w:proofErr w:type="spellStart"/>
      <w:r w:rsidRPr="00225D4D">
        <w:t>budsjettproposisjonar</w:t>
      </w:r>
      <w:proofErr w:type="spellEnd"/>
      <w:r w:rsidRPr="00225D4D">
        <w:t xml:space="preserve"> og andre dokument.</w:t>
      </w:r>
    </w:p>
    <w:p w14:paraId="36BAFA50" w14:textId="3E21A7A1" w:rsidR="00330F87" w:rsidRPr="00225D4D" w:rsidRDefault="00330F87" w:rsidP="00225D4D">
      <w:pPr>
        <w:pStyle w:val="tabell-tittel"/>
      </w:pPr>
      <w:r w:rsidRPr="00225D4D">
        <w:t>Oversikt over oppmodingsvedtak, ordna etter sesjon og nummer</w:t>
      </w:r>
    </w:p>
    <w:p w14:paraId="4357E48E" w14:textId="77777777" w:rsidR="00D60186" w:rsidRPr="00225D4D" w:rsidRDefault="00D60186" w:rsidP="00225D4D">
      <w:pPr>
        <w:pStyle w:val="Tabellnavn"/>
      </w:pPr>
      <w:r w:rsidRPr="00225D4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40"/>
        <w:gridCol w:w="1120"/>
        <w:gridCol w:w="5380"/>
        <w:gridCol w:w="1800"/>
      </w:tblGrid>
      <w:tr w:rsidR="00E76DC8" w:rsidRPr="00225D4D" w14:paraId="3FD04138" w14:textId="77777777">
        <w:trPr>
          <w:trHeight w:val="600"/>
        </w:trPr>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576CD7" w14:textId="77777777" w:rsidR="00D60186" w:rsidRPr="00D4351A" w:rsidRDefault="00D60186" w:rsidP="00225D4D">
            <w:pPr>
              <w:rPr>
                <w:sz w:val="21"/>
                <w:szCs w:val="21"/>
              </w:rPr>
            </w:pPr>
            <w:r w:rsidRPr="00D4351A">
              <w:rPr>
                <w:sz w:val="21"/>
                <w:szCs w:val="21"/>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F76B77" w14:textId="77777777" w:rsidR="00D60186" w:rsidRPr="00D4351A" w:rsidRDefault="00D60186" w:rsidP="00D4351A">
            <w:pPr>
              <w:ind w:right="113"/>
              <w:jc w:val="right"/>
              <w:rPr>
                <w:sz w:val="21"/>
                <w:szCs w:val="21"/>
              </w:rPr>
            </w:pPr>
            <w:r w:rsidRPr="00D4351A">
              <w:rPr>
                <w:sz w:val="21"/>
                <w:szCs w:val="21"/>
              </w:rPr>
              <w:t>Vedtak nr.</w:t>
            </w:r>
          </w:p>
        </w:tc>
        <w:tc>
          <w:tcPr>
            <w:tcW w:w="5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E29BA3" w14:textId="77777777" w:rsidR="00D60186" w:rsidRPr="00D4351A" w:rsidRDefault="00D60186" w:rsidP="00225D4D">
            <w:pPr>
              <w:rPr>
                <w:sz w:val="21"/>
                <w:szCs w:val="21"/>
              </w:rPr>
            </w:pPr>
            <w:r w:rsidRPr="00D4351A">
              <w:rPr>
                <w:sz w:val="21"/>
                <w:szCs w:val="21"/>
              </w:rPr>
              <w:t>Stikkord</w:t>
            </w:r>
          </w:p>
        </w:tc>
        <w:tc>
          <w:tcPr>
            <w:tcW w:w="18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7962CF" w14:textId="77777777" w:rsidR="00D60186" w:rsidRPr="00D4351A" w:rsidRDefault="00D60186" w:rsidP="00D4351A">
            <w:pPr>
              <w:jc w:val="right"/>
              <w:rPr>
                <w:sz w:val="21"/>
                <w:szCs w:val="21"/>
              </w:rPr>
            </w:pPr>
            <w:r w:rsidRPr="00D4351A">
              <w:rPr>
                <w:sz w:val="21"/>
                <w:szCs w:val="21"/>
              </w:rPr>
              <w:t xml:space="preserve">Rapporteringa </w:t>
            </w:r>
            <w:r w:rsidRPr="00D4351A">
              <w:rPr>
                <w:sz w:val="21"/>
                <w:szCs w:val="21"/>
              </w:rPr>
              <w:br/>
              <w:t>blir avslutta (ja/nei)</w:t>
            </w:r>
          </w:p>
        </w:tc>
      </w:tr>
      <w:tr w:rsidR="00E76DC8" w:rsidRPr="00225D4D" w14:paraId="277585D6" w14:textId="77777777">
        <w:trPr>
          <w:trHeight w:val="380"/>
        </w:trPr>
        <w:tc>
          <w:tcPr>
            <w:tcW w:w="1240" w:type="dxa"/>
            <w:tcBorders>
              <w:top w:val="single" w:sz="4" w:space="0" w:color="000000"/>
              <w:left w:val="nil"/>
              <w:bottom w:val="nil"/>
              <w:right w:val="nil"/>
            </w:tcBorders>
            <w:tcMar>
              <w:top w:w="128" w:type="dxa"/>
              <w:left w:w="43" w:type="dxa"/>
              <w:bottom w:w="43" w:type="dxa"/>
              <w:right w:w="43" w:type="dxa"/>
            </w:tcMar>
          </w:tcPr>
          <w:p w14:paraId="3362C6A7" w14:textId="77777777" w:rsidR="00D60186" w:rsidRPr="00D4351A" w:rsidRDefault="00D60186" w:rsidP="00225D4D">
            <w:pPr>
              <w:rPr>
                <w:sz w:val="21"/>
                <w:szCs w:val="21"/>
              </w:rPr>
            </w:pPr>
            <w:r w:rsidRPr="00D4351A">
              <w:rPr>
                <w:sz w:val="21"/>
                <w:szCs w:val="21"/>
              </w:rPr>
              <w:t>2024–2025</w:t>
            </w:r>
          </w:p>
        </w:tc>
        <w:tc>
          <w:tcPr>
            <w:tcW w:w="1120" w:type="dxa"/>
            <w:tcBorders>
              <w:top w:val="single" w:sz="4" w:space="0" w:color="000000"/>
              <w:left w:val="nil"/>
              <w:bottom w:val="nil"/>
              <w:right w:val="nil"/>
            </w:tcBorders>
            <w:tcMar>
              <w:top w:w="128" w:type="dxa"/>
              <w:left w:w="43" w:type="dxa"/>
              <w:bottom w:w="43" w:type="dxa"/>
              <w:right w:w="43" w:type="dxa"/>
            </w:tcMar>
          </w:tcPr>
          <w:p w14:paraId="6F6BCF2E" w14:textId="77777777" w:rsidR="00D60186" w:rsidRPr="00D4351A" w:rsidRDefault="00D60186" w:rsidP="00D4351A">
            <w:pPr>
              <w:ind w:right="113"/>
              <w:jc w:val="right"/>
              <w:rPr>
                <w:sz w:val="21"/>
                <w:szCs w:val="21"/>
              </w:rPr>
            </w:pPr>
            <w:r w:rsidRPr="00D4351A">
              <w:rPr>
                <w:sz w:val="21"/>
                <w:szCs w:val="21"/>
              </w:rPr>
              <w:t>26</w:t>
            </w:r>
          </w:p>
        </w:tc>
        <w:tc>
          <w:tcPr>
            <w:tcW w:w="5380" w:type="dxa"/>
            <w:tcBorders>
              <w:top w:val="single" w:sz="4" w:space="0" w:color="000000"/>
              <w:left w:val="nil"/>
              <w:bottom w:val="nil"/>
              <w:right w:val="nil"/>
            </w:tcBorders>
            <w:tcMar>
              <w:top w:w="128" w:type="dxa"/>
              <w:left w:w="43" w:type="dxa"/>
              <w:bottom w:w="43" w:type="dxa"/>
              <w:right w:w="43" w:type="dxa"/>
            </w:tcMar>
          </w:tcPr>
          <w:p w14:paraId="15F801BD" w14:textId="77777777" w:rsidR="00D60186" w:rsidRPr="00D4351A" w:rsidRDefault="00D60186" w:rsidP="00225D4D">
            <w:pPr>
              <w:rPr>
                <w:sz w:val="21"/>
                <w:szCs w:val="21"/>
              </w:rPr>
            </w:pPr>
            <w:r w:rsidRPr="00D4351A">
              <w:rPr>
                <w:sz w:val="21"/>
                <w:szCs w:val="21"/>
              </w:rPr>
              <w:t xml:space="preserve">Vurdering av </w:t>
            </w:r>
            <w:proofErr w:type="spellStart"/>
            <w:r w:rsidRPr="00D4351A">
              <w:rPr>
                <w:sz w:val="21"/>
                <w:szCs w:val="21"/>
              </w:rPr>
              <w:t>endringar</w:t>
            </w:r>
            <w:proofErr w:type="spellEnd"/>
            <w:r w:rsidRPr="00D4351A">
              <w:rPr>
                <w:sz w:val="21"/>
                <w:szCs w:val="21"/>
              </w:rPr>
              <w:t xml:space="preserve"> i </w:t>
            </w:r>
            <w:proofErr w:type="spellStart"/>
            <w:r w:rsidRPr="00D4351A">
              <w:rPr>
                <w:sz w:val="21"/>
                <w:szCs w:val="21"/>
              </w:rPr>
              <w:t>namnelova</w:t>
            </w:r>
            <w:proofErr w:type="spellEnd"/>
            <w:r w:rsidRPr="00D4351A">
              <w:rPr>
                <w:sz w:val="21"/>
                <w:szCs w:val="21"/>
              </w:rPr>
              <w:t xml:space="preserve"> </w:t>
            </w:r>
          </w:p>
        </w:tc>
        <w:tc>
          <w:tcPr>
            <w:tcW w:w="1800" w:type="dxa"/>
            <w:tcBorders>
              <w:top w:val="single" w:sz="4" w:space="0" w:color="000000"/>
              <w:left w:val="nil"/>
              <w:bottom w:val="nil"/>
              <w:right w:val="nil"/>
            </w:tcBorders>
            <w:tcMar>
              <w:top w:w="128" w:type="dxa"/>
              <w:left w:w="43" w:type="dxa"/>
              <w:bottom w:w="43" w:type="dxa"/>
              <w:right w:w="43" w:type="dxa"/>
            </w:tcMar>
          </w:tcPr>
          <w:p w14:paraId="66676408" w14:textId="77777777" w:rsidR="00D60186" w:rsidRPr="00D4351A" w:rsidRDefault="00D60186" w:rsidP="00D4351A">
            <w:pPr>
              <w:jc w:val="right"/>
              <w:rPr>
                <w:sz w:val="21"/>
                <w:szCs w:val="21"/>
              </w:rPr>
            </w:pPr>
            <w:r w:rsidRPr="00D4351A">
              <w:rPr>
                <w:sz w:val="21"/>
                <w:szCs w:val="21"/>
              </w:rPr>
              <w:t>Nei</w:t>
            </w:r>
          </w:p>
        </w:tc>
      </w:tr>
      <w:tr w:rsidR="00E76DC8" w:rsidRPr="00225D4D" w14:paraId="56A02884" w14:textId="77777777">
        <w:trPr>
          <w:trHeight w:val="640"/>
        </w:trPr>
        <w:tc>
          <w:tcPr>
            <w:tcW w:w="1240" w:type="dxa"/>
            <w:tcBorders>
              <w:top w:val="nil"/>
              <w:left w:val="nil"/>
              <w:bottom w:val="nil"/>
              <w:right w:val="nil"/>
            </w:tcBorders>
            <w:tcMar>
              <w:top w:w="128" w:type="dxa"/>
              <w:left w:w="43" w:type="dxa"/>
              <w:bottom w:w="43" w:type="dxa"/>
              <w:right w:w="43" w:type="dxa"/>
            </w:tcMar>
          </w:tcPr>
          <w:p w14:paraId="629C310A"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D1245B8" w14:textId="77777777" w:rsidR="00D60186" w:rsidRPr="00D4351A" w:rsidRDefault="00D60186" w:rsidP="00D4351A">
            <w:pPr>
              <w:ind w:right="113"/>
              <w:jc w:val="right"/>
              <w:rPr>
                <w:sz w:val="21"/>
                <w:szCs w:val="21"/>
              </w:rPr>
            </w:pPr>
            <w:r w:rsidRPr="00D4351A">
              <w:rPr>
                <w:sz w:val="21"/>
                <w:szCs w:val="21"/>
              </w:rPr>
              <w:t>47</w:t>
            </w:r>
          </w:p>
        </w:tc>
        <w:tc>
          <w:tcPr>
            <w:tcW w:w="5380" w:type="dxa"/>
            <w:tcBorders>
              <w:top w:val="nil"/>
              <w:left w:val="nil"/>
              <w:bottom w:val="nil"/>
              <w:right w:val="nil"/>
            </w:tcBorders>
            <w:tcMar>
              <w:top w:w="128" w:type="dxa"/>
              <w:left w:w="43" w:type="dxa"/>
              <w:bottom w:w="43" w:type="dxa"/>
              <w:right w:w="43" w:type="dxa"/>
            </w:tcMar>
          </w:tcPr>
          <w:p w14:paraId="61096BB3" w14:textId="77777777" w:rsidR="00D60186" w:rsidRPr="00D4351A" w:rsidRDefault="00D60186" w:rsidP="00225D4D">
            <w:pPr>
              <w:rPr>
                <w:sz w:val="21"/>
                <w:szCs w:val="21"/>
              </w:rPr>
            </w:pPr>
            <w:proofErr w:type="spellStart"/>
            <w:r w:rsidRPr="00D4351A">
              <w:rPr>
                <w:sz w:val="21"/>
                <w:szCs w:val="21"/>
              </w:rPr>
              <w:t>Oppretthalde</w:t>
            </w:r>
            <w:proofErr w:type="spellEnd"/>
            <w:r w:rsidRPr="00D4351A">
              <w:rPr>
                <w:sz w:val="21"/>
                <w:szCs w:val="21"/>
              </w:rPr>
              <w:t xml:space="preserve"> flyfraktkapasitet mellom fastlandet og Svalbard</w:t>
            </w:r>
          </w:p>
        </w:tc>
        <w:tc>
          <w:tcPr>
            <w:tcW w:w="1800" w:type="dxa"/>
            <w:tcBorders>
              <w:top w:val="nil"/>
              <w:left w:val="nil"/>
              <w:bottom w:val="nil"/>
              <w:right w:val="nil"/>
            </w:tcBorders>
            <w:tcMar>
              <w:top w:w="128" w:type="dxa"/>
              <w:left w:w="43" w:type="dxa"/>
              <w:bottom w:w="43" w:type="dxa"/>
              <w:right w:w="43" w:type="dxa"/>
            </w:tcMar>
          </w:tcPr>
          <w:p w14:paraId="41759349" w14:textId="77777777" w:rsidR="00D60186" w:rsidRPr="00D4351A" w:rsidRDefault="00D60186" w:rsidP="00D4351A">
            <w:pPr>
              <w:jc w:val="right"/>
              <w:rPr>
                <w:sz w:val="21"/>
                <w:szCs w:val="21"/>
              </w:rPr>
            </w:pPr>
            <w:r w:rsidRPr="00D4351A">
              <w:rPr>
                <w:sz w:val="21"/>
                <w:szCs w:val="21"/>
              </w:rPr>
              <w:t>Ja</w:t>
            </w:r>
          </w:p>
        </w:tc>
      </w:tr>
      <w:tr w:rsidR="00E76DC8" w:rsidRPr="00225D4D" w14:paraId="3D4E6038" w14:textId="77777777">
        <w:trPr>
          <w:trHeight w:val="380"/>
        </w:trPr>
        <w:tc>
          <w:tcPr>
            <w:tcW w:w="1240" w:type="dxa"/>
            <w:tcBorders>
              <w:top w:val="nil"/>
              <w:left w:val="nil"/>
              <w:bottom w:val="nil"/>
              <w:right w:val="nil"/>
            </w:tcBorders>
            <w:tcMar>
              <w:top w:w="128" w:type="dxa"/>
              <w:left w:w="43" w:type="dxa"/>
              <w:bottom w:w="43" w:type="dxa"/>
              <w:right w:w="43" w:type="dxa"/>
            </w:tcMar>
          </w:tcPr>
          <w:p w14:paraId="593F375A"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93B6B02" w14:textId="77777777" w:rsidR="00D60186" w:rsidRPr="00D4351A" w:rsidRDefault="00D60186" w:rsidP="00D4351A">
            <w:pPr>
              <w:ind w:right="113"/>
              <w:jc w:val="right"/>
              <w:rPr>
                <w:sz w:val="21"/>
                <w:szCs w:val="21"/>
              </w:rPr>
            </w:pPr>
            <w:r w:rsidRPr="00D4351A">
              <w:rPr>
                <w:sz w:val="21"/>
                <w:szCs w:val="21"/>
              </w:rPr>
              <w:t>358</w:t>
            </w:r>
          </w:p>
        </w:tc>
        <w:tc>
          <w:tcPr>
            <w:tcW w:w="5380" w:type="dxa"/>
            <w:tcBorders>
              <w:top w:val="nil"/>
              <w:left w:val="nil"/>
              <w:bottom w:val="nil"/>
              <w:right w:val="nil"/>
            </w:tcBorders>
            <w:tcMar>
              <w:top w:w="128" w:type="dxa"/>
              <w:left w:w="43" w:type="dxa"/>
              <w:bottom w:w="43" w:type="dxa"/>
              <w:right w:w="43" w:type="dxa"/>
            </w:tcMar>
          </w:tcPr>
          <w:p w14:paraId="27851A79" w14:textId="77777777" w:rsidR="00D60186" w:rsidRPr="00D4351A" w:rsidRDefault="00D60186" w:rsidP="00225D4D">
            <w:pPr>
              <w:rPr>
                <w:sz w:val="21"/>
                <w:szCs w:val="21"/>
              </w:rPr>
            </w:pPr>
            <w:proofErr w:type="spellStart"/>
            <w:r w:rsidRPr="00D4351A">
              <w:rPr>
                <w:sz w:val="21"/>
                <w:szCs w:val="21"/>
              </w:rPr>
              <w:t>Ettergiving</w:t>
            </w:r>
            <w:proofErr w:type="spellEnd"/>
            <w:r w:rsidRPr="00D4351A">
              <w:rPr>
                <w:sz w:val="21"/>
                <w:szCs w:val="21"/>
              </w:rPr>
              <w:t xml:space="preserve"> av </w:t>
            </w:r>
            <w:proofErr w:type="spellStart"/>
            <w:r w:rsidRPr="00D4351A">
              <w:rPr>
                <w:sz w:val="21"/>
                <w:szCs w:val="21"/>
              </w:rPr>
              <w:t>idømde</w:t>
            </w:r>
            <w:proofErr w:type="spellEnd"/>
            <w:r w:rsidRPr="00D4351A">
              <w:rPr>
                <w:sz w:val="21"/>
                <w:szCs w:val="21"/>
              </w:rPr>
              <w:t xml:space="preserve"> sakskostnader </w:t>
            </w:r>
            <w:proofErr w:type="spellStart"/>
            <w:r w:rsidRPr="00D4351A">
              <w:rPr>
                <w:sz w:val="21"/>
                <w:szCs w:val="21"/>
              </w:rPr>
              <w:t>kyrkjeasylantar</w:t>
            </w:r>
            <w:proofErr w:type="spellEnd"/>
          </w:p>
        </w:tc>
        <w:tc>
          <w:tcPr>
            <w:tcW w:w="1800" w:type="dxa"/>
            <w:tcBorders>
              <w:top w:val="nil"/>
              <w:left w:val="nil"/>
              <w:bottom w:val="nil"/>
              <w:right w:val="nil"/>
            </w:tcBorders>
            <w:tcMar>
              <w:top w:w="128" w:type="dxa"/>
              <w:left w:w="43" w:type="dxa"/>
              <w:bottom w:w="43" w:type="dxa"/>
              <w:right w:w="43" w:type="dxa"/>
            </w:tcMar>
          </w:tcPr>
          <w:p w14:paraId="38555944" w14:textId="77777777" w:rsidR="00D60186" w:rsidRPr="00D4351A" w:rsidRDefault="00D60186" w:rsidP="00D4351A">
            <w:pPr>
              <w:jc w:val="right"/>
              <w:rPr>
                <w:sz w:val="21"/>
                <w:szCs w:val="21"/>
              </w:rPr>
            </w:pPr>
            <w:r w:rsidRPr="00D4351A">
              <w:rPr>
                <w:sz w:val="21"/>
                <w:szCs w:val="21"/>
              </w:rPr>
              <w:t>Ja</w:t>
            </w:r>
          </w:p>
        </w:tc>
      </w:tr>
      <w:tr w:rsidR="00E76DC8" w:rsidRPr="00225D4D" w14:paraId="77994F24" w14:textId="77777777">
        <w:trPr>
          <w:trHeight w:val="640"/>
        </w:trPr>
        <w:tc>
          <w:tcPr>
            <w:tcW w:w="1240" w:type="dxa"/>
            <w:tcBorders>
              <w:top w:val="nil"/>
              <w:left w:val="nil"/>
              <w:bottom w:val="nil"/>
              <w:right w:val="nil"/>
            </w:tcBorders>
            <w:tcMar>
              <w:top w:w="128" w:type="dxa"/>
              <w:left w:w="43" w:type="dxa"/>
              <w:bottom w:w="43" w:type="dxa"/>
              <w:right w:w="43" w:type="dxa"/>
            </w:tcMar>
          </w:tcPr>
          <w:p w14:paraId="02CE080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515E907" w14:textId="77777777" w:rsidR="00D60186" w:rsidRPr="00D4351A" w:rsidRDefault="00D60186" w:rsidP="00D4351A">
            <w:pPr>
              <w:ind w:right="113"/>
              <w:jc w:val="right"/>
              <w:rPr>
                <w:sz w:val="21"/>
                <w:szCs w:val="21"/>
              </w:rPr>
            </w:pPr>
            <w:r w:rsidRPr="00D4351A">
              <w:rPr>
                <w:sz w:val="21"/>
                <w:szCs w:val="21"/>
              </w:rPr>
              <w:t>473</w:t>
            </w:r>
          </w:p>
        </w:tc>
        <w:tc>
          <w:tcPr>
            <w:tcW w:w="5380" w:type="dxa"/>
            <w:tcBorders>
              <w:top w:val="nil"/>
              <w:left w:val="nil"/>
              <w:bottom w:val="nil"/>
              <w:right w:val="nil"/>
            </w:tcBorders>
            <w:tcMar>
              <w:top w:w="128" w:type="dxa"/>
              <w:left w:w="43" w:type="dxa"/>
              <w:bottom w:w="43" w:type="dxa"/>
              <w:right w:w="43" w:type="dxa"/>
            </w:tcMar>
          </w:tcPr>
          <w:p w14:paraId="24998325" w14:textId="77777777" w:rsidR="00D60186" w:rsidRPr="00D4351A" w:rsidRDefault="00D60186" w:rsidP="00225D4D">
            <w:pPr>
              <w:rPr>
                <w:sz w:val="21"/>
                <w:szCs w:val="21"/>
              </w:rPr>
            </w:pPr>
            <w:proofErr w:type="spellStart"/>
            <w:r w:rsidRPr="00D4351A">
              <w:rPr>
                <w:sz w:val="21"/>
                <w:szCs w:val="21"/>
              </w:rPr>
              <w:t>Gjere</w:t>
            </w:r>
            <w:proofErr w:type="spellEnd"/>
            <w:r w:rsidRPr="00D4351A">
              <w:rPr>
                <w:sz w:val="21"/>
                <w:szCs w:val="21"/>
              </w:rPr>
              <w:t xml:space="preserve"> det </w:t>
            </w:r>
            <w:proofErr w:type="spellStart"/>
            <w:r w:rsidRPr="00D4351A">
              <w:rPr>
                <w:sz w:val="21"/>
                <w:szCs w:val="21"/>
              </w:rPr>
              <w:t>enklare</w:t>
            </w:r>
            <w:proofErr w:type="spellEnd"/>
            <w:r w:rsidRPr="00D4351A">
              <w:rPr>
                <w:sz w:val="21"/>
                <w:szCs w:val="21"/>
              </w:rPr>
              <w:t xml:space="preserve"> å inndra </w:t>
            </w:r>
            <w:proofErr w:type="spellStart"/>
            <w:r w:rsidRPr="00D4351A">
              <w:rPr>
                <w:sz w:val="21"/>
                <w:szCs w:val="21"/>
              </w:rPr>
              <w:t>verdiar</w:t>
            </w:r>
            <w:proofErr w:type="spellEnd"/>
            <w:r w:rsidRPr="00D4351A">
              <w:rPr>
                <w:sz w:val="21"/>
                <w:szCs w:val="21"/>
              </w:rPr>
              <w:t xml:space="preserve"> som er </w:t>
            </w:r>
            <w:proofErr w:type="spellStart"/>
            <w:r w:rsidRPr="00D4351A">
              <w:rPr>
                <w:sz w:val="21"/>
                <w:szCs w:val="21"/>
              </w:rPr>
              <w:t>eit</w:t>
            </w:r>
            <w:proofErr w:type="spellEnd"/>
            <w:r w:rsidRPr="00D4351A">
              <w:rPr>
                <w:sz w:val="21"/>
                <w:szCs w:val="21"/>
              </w:rPr>
              <w:t xml:space="preserve"> resultat av kriminelle </w:t>
            </w:r>
            <w:proofErr w:type="spellStart"/>
            <w:r w:rsidRPr="00D4351A">
              <w:rPr>
                <w:sz w:val="21"/>
                <w:szCs w:val="21"/>
              </w:rPr>
              <w:t>handlingar</w:t>
            </w:r>
            <w:proofErr w:type="spellEnd"/>
          </w:p>
        </w:tc>
        <w:tc>
          <w:tcPr>
            <w:tcW w:w="1800" w:type="dxa"/>
            <w:tcBorders>
              <w:top w:val="nil"/>
              <w:left w:val="nil"/>
              <w:bottom w:val="nil"/>
              <w:right w:val="nil"/>
            </w:tcBorders>
            <w:tcMar>
              <w:top w:w="128" w:type="dxa"/>
              <w:left w:w="43" w:type="dxa"/>
              <w:bottom w:w="43" w:type="dxa"/>
              <w:right w:w="43" w:type="dxa"/>
            </w:tcMar>
          </w:tcPr>
          <w:p w14:paraId="3048E581" w14:textId="77777777" w:rsidR="00D60186" w:rsidRPr="00D4351A" w:rsidRDefault="00D60186" w:rsidP="00D4351A">
            <w:pPr>
              <w:jc w:val="right"/>
              <w:rPr>
                <w:sz w:val="21"/>
                <w:szCs w:val="21"/>
              </w:rPr>
            </w:pPr>
            <w:r w:rsidRPr="00D4351A">
              <w:rPr>
                <w:sz w:val="21"/>
                <w:szCs w:val="21"/>
              </w:rPr>
              <w:t>Nei</w:t>
            </w:r>
          </w:p>
        </w:tc>
      </w:tr>
      <w:tr w:rsidR="00E76DC8" w:rsidRPr="00225D4D" w14:paraId="7BFE4C99" w14:textId="77777777">
        <w:trPr>
          <w:trHeight w:val="380"/>
        </w:trPr>
        <w:tc>
          <w:tcPr>
            <w:tcW w:w="1240" w:type="dxa"/>
            <w:tcBorders>
              <w:top w:val="nil"/>
              <w:left w:val="nil"/>
              <w:bottom w:val="nil"/>
              <w:right w:val="nil"/>
            </w:tcBorders>
            <w:tcMar>
              <w:top w:w="128" w:type="dxa"/>
              <w:left w:w="43" w:type="dxa"/>
              <w:bottom w:w="43" w:type="dxa"/>
              <w:right w:w="43" w:type="dxa"/>
            </w:tcMar>
          </w:tcPr>
          <w:p w14:paraId="4F7E0AA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16B2B71" w14:textId="77777777" w:rsidR="00D60186" w:rsidRPr="00D4351A" w:rsidRDefault="00D60186" w:rsidP="00D4351A">
            <w:pPr>
              <w:ind w:right="113"/>
              <w:jc w:val="right"/>
              <w:rPr>
                <w:sz w:val="21"/>
                <w:szCs w:val="21"/>
              </w:rPr>
            </w:pPr>
            <w:r w:rsidRPr="00D4351A">
              <w:rPr>
                <w:sz w:val="21"/>
                <w:szCs w:val="21"/>
              </w:rPr>
              <w:t>474</w:t>
            </w:r>
          </w:p>
        </w:tc>
        <w:tc>
          <w:tcPr>
            <w:tcW w:w="5380" w:type="dxa"/>
            <w:tcBorders>
              <w:top w:val="nil"/>
              <w:left w:val="nil"/>
              <w:bottom w:val="nil"/>
              <w:right w:val="nil"/>
            </w:tcBorders>
            <w:tcMar>
              <w:top w:w="128" w:type="dxa"/>
              <w:left w:w="43" w:type="dxa"/>
              <w:bottom w:w="43" w:type="dxa"/>
              <w:right w:w="43" w:type="dxa"/>
            </w:tcMar>
          </w:tcPr>
          <w:p w14:paraId="776E5D2C" w14:textId="77777777" w:rsidR="00D60186" w:rsidRPr="00D4351A" w:rsidRDefault="00D60186" w:rsidP="00225D4D">
            <w:pPr>
              <w:rPr>
                <w:sz w:val="21"/>
                <w:szCs w:val="21"/>
              </w:rPr>
            </w:pPr>
            <w:r w:rsidRPr="00D4351A">
              <w:rPr>
                <w:sz w:val="21"/>
                <w:szCs w:val="21"/>
              </w:rPr>
              <w:t xml:space="preserve">Skjerping av straffenivået for </w:t>
            </w:r>
            <w:proofErr w:type="spellStart"/>
            <w:r w:rsidRPr="00D4351A">
              <w:rPr>
                <w:sz w:val="21"/>
                <w:szCs w:val="21"/>
              </w:rPr>
              <w:t>ulovleg</w:t>
            </w:r>
            <w:proofErr w:type="spellEnd"/>
            <w:r w:rsidRPr="00D4351A">
              <w:rPr>
                <w:sz w:val="21"/>
                <w:szCs w:val="21"/>
              </w:rPr>
              <w:t xml:space="preserve"> våpenhald</w:t>
            </w:r>
          </w:p>
        </w:tc>
        <w:tc>
          <w:tcPr>
            <w:tcW w:w="1800" w:type="dxa"/>
            <w:tcBorders>
              <w:top w:val="nil"/>
              <w:left w:val="nil"/>
              <w:bottom w:val="nil"/>
              <w:right w:val="nil"/>
            </w:tcBorders>
            <w:tcMar>
              <w:top w:w="128" w:type="dxa"/>
              <w:left w:w="43" w:type="dxa"/>
              <w:bottom w:w="43" w:type="dxa"/>
              <w:right w:w="43" w:type="dxa"/>
            </w:tcMar>
          </w:tcPr>
          <w:p w14:paraId="5FF959FE" w14:textId="77777777" w:rsidR="00D60186" w:rsidRPr="00D4351A" w:rsidRDefault="00D60186" w:rsidP="00D4351A">
            <w:pPr>
              <w:jc w:val="right"/>
              <w:rPr>
                <w:sz w:val="21"/>
                <w:szCs w:val="21"/>
              </w:rPr>
            </w:pPr>
            <w:r w:rsidRPr="00D4351A">
              <w:rPr>
                <w:sz w:val="21"/>
                <w:szCs w:val="21"/>
              </w:rPr>
              <w:t>Nei</w:t>
            </w:r>
          </w:p>
        </w:tc>
      </w:tr>
      <w:tr w:rsidR="00E76DC8" w:rsidRPr="00225D4D" w14:paraId="0F4B5A6C" w14:textId="77777777">
        <w:trPr>
          <w:trHeight w:val="640"/>
        </w:trPr>
        <w:tc>
          <w:tcPr>
            <w:tcW w:w="1240" w:type="dxa"/>
            <w:tcBorders>
              <w:top w:val="nil"/>
              <w:left w:val="nil"/>
              <w:bottom w:val="nil"/>
              <w:right w:val="nil"/>
            </w:tcBorders>
            <w:tcMar>
              <w:top w:w="128" w:type="dxa"/>
              <w:left w:w="43" w:type="dxa"/>
              <w:bottom w:w="43" w:type="dxa"/>
              <w:right w:w="43" w:type="dxa"/>
            </w:tcMar>
          </w:tcPr>
          <w:p w14:paraId="65CD75ED"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631F81E" w14:textId="77777777" w:rsidR="00D60186" w:rsidRPr="00D4351A" w:rsidRDefault="00D60186" w:rsidP="00D4351A">
            <w:pPr>
              <w:ind w:right="113"/>
              <w:jc w:val="right"/>
              <w:rPr>
                <w:sz w:val="21"/>
                <w:szCs w:val="21"/>
              </w:rPr>
            </w:pPr>
            <w:r w:rsidRPr="00D4351A">
              <w:rPr>
                <w:sz w:val="21"/>
                <w:szCs w:val="21"/>
              </w:rPr>
              <w:t>475</w:t>
            </w:r>
          </w:p>
        </w:tc>
        <w:tc>
          <w:tcPr>
            <w:tcW w:w="5380" w:type="dxa"/>
            <w:tcBorders>
              <w:top w:val="nil"/>
              <w:left w:val="nil"/>
              <w:bottom w:val="nil"/>
              <w:right w:val="nil"/>
            </w:tcBorders>
            <w:tcMar>
              <w:top w:w="128" w:type="dxa"/>
              <w:left w:w="43" w:type="dxa"/>
              <w:bottom w:w="43" w:type="dxa"/>
              <w:right w:w="43" w:type="dxa"/>
            </w:tcMar>
          </w:tcPr>
          <w:p w14:paraId="16084369" w14:textId="77777777" w:rsidR="00D60186" w:rsidRPr="00D4351A" w:rsidRDefault="00D60186" w:rsidP="00225D4D">
            <w:pPr>
              <w:rPr>
                <w:sz w:val="21"/>
                <w:szCs w:val="21"/>
              </w:rPr>
            </w:pPr>
            <w:r w:rsidRPr="00D4351A">
              <w:rPr>
                <w:sz w:val="21"/>
                <w:szCs w:val="21"/>
              </w:rPr>
              <w:t xml:space="preserve">Kriminalisering av utnytting av barn og unge i kriminell </w:t>
            </w:r>
            <w:proofErr w:type="spellStart"/>
            <w:r w:rsidRPr="00D4351A">
              <w:rPr>
                <w:sz w:val="21"/>
                <w:szCs w:val="21"/>
              </w:rPr>
              <w:t>verksemd</w:t>
            </w:r>
            <w:proofErr w:type="spellEnd"/>
          </w:p>
        </w:tc>
        <w:tc>
          <w:tcPr>
            <w:tcW w:w="1800" w:type="dxa"/>
            <w:tcBorders>
              <w:top w:val="nil"/>
              <w:left w:val="nil"/>
              <w:bottom w:val="nil"/>
              <w:right w:val="nil"/>
            </w:tcBorders>
            <w:tcMar>
              <w:top w:w="128" w:type="dxa"/>
              <w:left w:w="43" w:type="dxa"/>
              <w:bottom w:w="43" w:type="dxa"/>
              <w:right w:w="43" w:type="dxa"/>
            </w:tcMar>
          </w:tcPr>
          <w:p w14:paraId="560EC293" w14:textId="77777777" w:rsidR="00D60186" w:rsidRPr="00D4351A" w:rsidRDefault="00D60186" w:rsidP="00D4351A">
            <w:pPr>
              <w:jc w:val="right"/>
              <w:rPr>
                <w:sz w:val="21"/>
                <w:szCs w:val="21"/>
              </w:rPr>
            </w:pPr>
            <w:r w:rsidRPr="00D4351A">
              <w:rPr>
                <w:sz w:val="21"/>
                <w:szCs w:val="21"/>
              </w:rPr>
              <w:t>Nei</w:t>
            </w:r>
          </w:p>
        </w:tc>
      </w:tr>
      <w:tr w:rsidR="00E76DC8" w:rsidRPr="00225D4D" w14:paraId="02E01570" w14:textId="77777777">
        <w:trPr>
          <w:trHeight w:val="380"/>
        </w:trPr>
        <w:tc>
          <w:tcPr>
            <w:tcW w:w="1240" w:type="dxa"/>
            <w:tcBorders>
              <w:top w:val="nil"/>
              <w:left w:val="nil"/>
              <w:bottom w:val="nil"/>
              <w:right w:val="nil"/>
            </w:tcBorders>
            <w:tcMar>
              <w:top w:w="128" w:type="dxa"/>
              <w:left w:w="43" w:type="dxa"/>
              <w:bottom w:w="43" w:type="dxa"/>
              <w:right w:w="43" w:type="dxa"/>
            </w:tcMar>
          </w:tcPr>
          <w:p w14:paraId="58D88C9E"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69769C3" w14:textId="77777777" w:rsidR="00D60186" w:rsidRPr="00D4351A" w:rsidRDefault="00D60186" w:rsidP="00D4351A">
            <w:pPr>
              <w:ind w:right="113"/>
              <w:jc w:val="right"/>
              <w:rPr>
                <w:sz w:val="21"/>
                <w:szCs w:val="21"/>
              </w:rPr>
            </w:pPr>
            <w:r w:rsidRPr="00D4351A">
              <w:rPr>
                <w:sz w:val="21"/>
                <w:szCs w:val="21"/>
              </w:rPr>
              <w:t>476</w:t>
            </w:r>
          </w:p>
        </w:tc>
        <w:tc>
          <w:tcPr>
            <w:tcW w:w="5380" w:type="dxa"/>
            <w:tcBorders>
              <w:top w:val="nil"/>
              <w:left w:val="nil"/>
              <w:bottom w:val="nil"/>
              <w:right w:val="nil"/>
            </w:tcBorders>
            <w:tcMar>
              <w:top w:w="128" w:type="dxa"/>
              <w:left w:w="43" w:type="dxa"/>
              <w:bottom w:w="43" w:type="dxa"/>
              <w:right w:w="43" w:type="dxa"/>
            </w:tcMar>
          </w:tcPr>
          <w:p w14:paraId="79C10194" w14:textId="77777777" w:rsidR="00D60186" w:rsidRPr="00D4351A" w:rsidRDefault="00D60186" w:rsidP="00225D4D">
            <w:pPr>
              <w:rPr>
                <w:sz w:val="21"/>
                <w:szCs w:val="21"/>
              </w:rPr>
            </w:pPr>
            <w:r w:rsidRPr="00D4351A">
              <w:rPr>
                <w:sz w:val="21"/>
                <w:szCs w:val="21"/>
              </w:rPr>
              <w:t xml:space="preserve">Prøveprosjekt for automatisk </w:t>
            </w:r>
            <w:proofErr w:type="spellStart"/>
            <w:r w:rsidRPr="00D4351A">
              <w:rPr>
                <w:sz w:val="21"/>
                <w:szCs w:val="21"/>
              </w:rPr>
              <w:t>skotdeteksjon</w:t>
            </w:r>
            <w:proofErr w:type="spellEnd"/>
            <w:r w:rsidRPr="00D4351A">
              <w:rPr>
                <w:sz w:val="21"/>
                <w:szCs w:val="21"/>
              </w:rPr>
              <w:t xml:space="preserve"> i Oslo</w:t>
            </w:r>
          </w:p>
        </w:tc>
        <w:tc>
          <w:tcPr>
            <w:tcW w:w="1800" w:type="dxa"/>
            <w:tcBorders>
              <w:top w:val="nil"/>
              <w:left w:val="nil"/>
              <w:bottom w:val="nil"/>
              <w:right w:val="nil"/>
            </w:tcBorders>
            <w:tcMar>
              <w:top w:w="128" w:type="dxa"/>
              <w:left w:w="43" w:type="dxa"/>
              <w:bottom w:w="43" w:type="dxa"/>
              <w:right w:w="43" w:type="dxa"/>
            </w:tcMar>
          </w:tcPr>
          <w:p w14:paraId="7C667D41" w14:textId="77777777" w:rsidR="00D60186" w:rsidRPr="00D4351A" w:rsidRDefault="00D60186" w:rsidP="00D4351A">
            <w:pPr>
              <w:jc w:val="right"/>
              <w:rPr>
                <w:sz w:val="21"/>
                <w:szCs w:val="21"/>
              </w:rPr>
            </w:pPr>
            <w:r w:rsidRPr="00D4351A">
              <w:rPr>
                <w:sz w:val="21"/>
                <w:szCs w:val="21"/>
              </w:rPr>
              <w:t>Nei</w:t>
            </w:r>
          </w:p>
        </w:tc>
      </w:tr>
      <w:tr w:rsidR="00E76DC8" w:rsidRPr="00225D4D" w14:paraId="3ED49200" w14:textId="77777777">
        <w:trPr>
          <w:trHeight w:val="880"/>
        </w:trPr>
        <w:tc>
          <w:tcPr>
            <w:tcW w:w="1240" w:type="dxa"/>
            <w:tcBorders>
              <w:top w:val="nil"/>
              <w:left w:val="nil"/>
              <w:bottom w:val="nil"/>
              <w:right w:val="nil"/>
            </w:tcBorders>
            <w:tcMar>
              <w:top w:w="128" w:type="dxa"/>
              <w:left w:w="43" w:type="dxa"/>
              <w:bottom w:w="43" w:type="dxa"/>
              <w:right w:w="43" w:type="dxa"/>
            </w:tcMar>
          </w:tcPr>
          <w:p w14:paraId="69A30FAD"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F9D3D36" w14:textId="77777777" w:rsidR="00D60186" w:rsidRPr="00D4351A" w:rsidRDefault="00D60186" w:rsidP="00D4351A">
            <w:pPr>
              <w:ind w:right="113"/>
              <w:jc w:val="right"/>
              <w:rPr>
                <w:sz w:val="21"/>
                <w:szCs w:val="21"/>
              </w:rPr>
            </w:pPr>
            <w:r w:rsidRPr="00D4351A">
              <w:rPr>
                <w:sz w:val="21"/>
                <w:szCs w:val="21"/>
              </w:rPr>
              <w:t>478</w:t>
            </w:r>
          </w:p>
        </w:tc>
        <w:tc>
          <w:tcPr>
            <w:tcW w:w="5380" w:type="dxa"/>
            <w:tcBorders>
              <w:top w:val="nil"/>
              <w:left w:val="nil"/>
              <w:bottom w:val="nil"/>
              <w:right w:val="nil"/>
            </w:tcBorders>
            <w:tcMar>
              <w:top w:w="128" w:type="dxa"/>
              <w:left w:w="43" w:type="dxa"/>
              <w:bottom w:w="43" w:type="dxa"/>
              <w:right w:w="43" w:type="dxa"/>
            </w:tcMar>
          </w:tcPr>
          <w:p w14:paraId="3E421789" w14:textId="77777777" w:rsidR="00D60186" w:rsidRPr="00D4351A" w:rsidRDefault="00D60186" w:rsidP="00225D4D">
            <w:pPr>
              <w:rPr>
                <w:sz w:val="21"/>
                <w:szCs w:val="21"/>
              </w:rPr>
            </w:pPr>
            <w:proofErr w:type="spellStart"/>
            <w:r w:rsidRPr="00D4351A">
              <w:rPr>
                <w:sz w:val="21"/>
                <w:szCs w:val="21"/>
              </w:rPr>
              <w:t>Raskare</w:t>
            </w:r>
            <w:proofErr w:type="spellEnd"/>
            <w:r w:rsidRPr="00D4351A">
              <w:rPr>
                <w:sz w:val="21"/>
                <w:szCs w:val="21"/>
              </w:rPr>
              <w:t xml:space="preserve"> bortvising eller utvising av </w:t>
            </w:r>
            <w:proofErr w:type="spellStart"/>
            <w:r w:rsidRPr="00D4351A">
              <w:rPr>
                <w:sz w:val="21"/>
                <w:szCs w:val="21"/>
              </w:rPr>
              <w:t>utlendingar</w:t>
            </w:r>
            <w:proofErr w:type="spellEnd"/>
            <w:r w:rsidRPr="00D4351A">
              <w:rPr>
                <w:sz w:val="21"/>
                <w:szCs w:val="21"/>
              </w:rPr>
              <w:t xml:space="preserve"> som har utført, eller som det er grunn til å tru vil komme til å utføre, kriminalitet</w:t>
            </w:r>
          </w:p>
        </w:tc>
        <w:tc>
          <w:tcPr>
            <w:tcW w:w="1800" w:type="dxa"/>
            <w:tcBorders>
              <w:top w:val="nil"/>
              <w:left w:val="nil"/>
              <w:bottom w:val="nil"/>
              <w:right w:val="nil"/>
            </w:tcBorders>
            <w:tcMar>
              <w:top w:w="128" w:type="dxa"/>
              <w:left w:w="43" w:type="dxa"/>
              <w:bottom w:w="43" w:type="dxa"/>
              <w:right w:w="43" w:type="dxa"/>
            </w:tcMar>
          </w:tcPr>
          <w:p w14:paraId="088DB139" w14:textId="77777777" w:rsidR="00D60186" w:rsidRPr="00D4351A" w:rsidRDefault="00D60186" w:rsidP="00D4351A">
            <w:pPr>
              <w:jc w:val="right"/>
              <w:rPr>
                <w:sz w:val="21"/>
                <w:szCs w:val="21"/>
              </w:rPr>
            </w:pPr>
            <w:r w:rsidRPr="00D4351A">
              <w:rPr>
                <w:sz w:val="21"/>
                <w:szCs w:val="21"/>
              </w:rPr>
              <w:t>Nei</w:t>
            </w:r>
          </w:p>
        </w:tc>
      </w:tr>
      <w:tr w:rsidR="00E76DC8" w:rsidRPr="00225D4D" w14:paraId="63A31C00" w14:textId="77777777">
        <w:trPr>
          <w:trHeight w:val="380"/>
        </w:trPr>
        <w:tc>
          <w:tcPr>
            <w:tcW w:w="1240" w:type="dxa"/>
            <w:tcBorders>
              <w:top w:val="nil"/>
              <w:left w:val="nil"/>
              <w:bottom w:val="nil"/>
              <w:right w:val="nil"/>
            </w:tcBorders>
            <w:tcMar>
              <w:top w:w="128" w:type="dxa"/>
              <w:left w:w="43" w:type="dxa"/>
              <w:bottom w:w="43" w:type="dxa"/>
              <w:right w:w="43" w:type="dxa"/>
            </w:tcMar>
          </w:tcPr>
          <w:p w14:paraId="7BF1EFF9"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B902BD4" w14:textId="77777777" w:rsidR="00D60186" w:rsidRPr="00D4351A" w:rsidRDefault="00D60186" w:rsidP="00D4351A">
            <w:pPr>
              <w:ind w:right="113"/>
              <w:jc w:val="right"/>
              <w:rPr>
                <w:sz w:val="21"/>
                <w:szCs w:val="21"/>
              </w:rPr>
            </w:pPr>
            <w:r w:rsidRPr="00D4351A">
              <w:rPr>
                <w:sz w:val="21"/>
                <w:szCs w:val="21"/>
              </w:rPr>
              <w:t>479</w:t>
            </w:r>
          </w:p>
        </w:tc>
        <w:tc>
          <w:tcPr>
            <w:tcW w:w="5380" w:type="dxa"/>
            <w:tcBorders>
              <w:top w:val="nil"/>
              <w:left w:val="nil"/>
              <w:bottom w:val="nil"/>
              <w:right w:val="nil"/>
            </w:tcBorders>
            <w:tcMar>
              <w:top w:w="128" w:type="dxa"/>
              <w:left w:w="43" w:type="dxa"/>
              <w:bottom w:w="43" w:type="dxa"/>
              <w:right w:w="43" w:type="dxa"/>
            </w:tcMar>
          </w:tcPr>
          <w:p w14:paraId="34EE2DF9" w14:textId="77777777" w:rsidR="00D60186" w:rsidRPr="00D4351A" w:rsidRDefault="00D60186" w:rsidP="00225D4D">
            <w:pPr>
              <w:rPr>
                <w:sz w:val="21"/>
                <w:szCs w:val="21"/>
              </w:rPr>
            </w:pPr>
            <w:r w:rsidRPr="00D4351A">
              <w:rPr>
                <w:sz w:val="21"/>
                <w:szCs w:val="21"/>
              </w:rPr>
              <w:t>Visitasjonssoner for våpenkontroll</w:t>
            </w:r>
          </w:p>
        </w:tc>
        <w:tc>
          <w:tcPr>
            <w:tcW w:w="1800" w:type="dxa"/>
            <w:tcBorders>
              <w:top w:val="nil"/>
              <w:left w:val="nil"/>
              <w:bottom w:val="nil"/>
              <w:right w:val="nil"/>
            </w:tcBorders>
            <w:tcMar>
              <w:top w:w="128" w:type="dxa"/>
              <w:left w:w="43" w:type="dxa"/>
              <w:bottom w:w="43" w:type="dxa"/>
              <w:right w:w="43" w:type="dxa"/>
            </w:tcMar>
          </w:tcPr>
          <w:p w14:paraId="306667A6" w14:textId="77777777" w:rsidR="00D60186" w:rsidRPr="00D4351A" w:rsidRDefault="00D60186" w:rsidP="00D4351A">
            <w:pPr>
              <w:jc w:val="right"/>
              <w:rPr>
                <w:sz w:val="21"/>
                <w:szCs w:val="21"/>
              </w:rPr>
            </w:pPr>
            <w:r w:rsidRPr="00D4351A">
              <w:rPr>
                <w:sz w:val="21"/>
                <w:szCs w:val="21"/>
              </w:rPr>
              <w:t>Nei</w:t>
            </w:r>
          </w:p>
        </w:tc>
      </w:tr>
      <w:tr w:rsidR="00E76DC8" w:rsidRPr="00225D4D" w14:paraId="0E16A1AD" w14:textId="77777777">
        <w:trPr>
          <w:trHeight w:val="640"/>
        </w:trPr>
        <w:tc>
          <w:tcPr>
            <w:tcW w:w="1240" w:type="dxa"/>
            <w:tcBorders>
              <w:top w:val="nil"/>
              <w:left w:val="nil"/>
              <w:bottom w:val="nil"/>
              <w:right w:val="nil"/>
            </w:tcBorders>
            <w:tcMar>
              <w:top w:w="128" w:type="dxa"/>
              <w:left w:w="43" w:type="dxa"/>
              <w:bottom w:w="43" w:type="dxa"/>
              <w:right w:w="43" w:type="dxa"/>
            </w:tcMar>
          </w:tcPr>
          <w:p w14:paraId="03761DE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5659143" w14:textId="77777777" w:rsidR="00D60186" w:rsidRPr="00D4351A" w:rsidRDefault="00D60186" w:rsidP="00D4351A">
            <w:pPr>
              <w:ind w:right="113"/>
              <w:jc w:val="right"/>
              <w:rPr>
                <w:sz w:val="21"/>
                <w:szCs w:val="21"/>
              </w:rPr>
            </w:pPr>
            <w:r w:rsidRPr="00D4351A">
              <w:rPr>
                <w:sz w:val="21"/>
                <w:szCs w:val="21"/>
              </w:rPr>
              <w:t>480</w:t>
            </w:r>
          </w:p>
        </w:tc>
        <w:tc>
          <w:tcPr>
            <w:tcW w:w="5380" w:type="dxa"/>
            <w:tcBorders>
              <w:top w:val="nil"/>
              <w:left w:val="nil"/>
              <w:bottom w:val="nil"/>
              <w:right w:val="nil"/>
            </w:tcBorders>
            <w:tcMar>
              <w:top w:w="128" w:type="dxa"/>
              <w:left w:w="43" w:type="dxa"/>
              <w:bottom w:w="43" w:type="dxa"/>
              <w:right w:w="43" w:type="dxa"/>
            </w:tcMar>
          </w:tcPr>
          <w:p w14:paraId="0482A497" w14:textId="77777777" w:rsidR="00D60186" w:rsidRPr="00D4351A" w:rsidRDefault="00D60186" w:rsidP="00225D4D">
            <w:pPr>
              <w:rPr>
                <w:sz w:val="21"/>
                <w:szCs w:val="21"/>
              </w:rPr>
            </w:pPr>
            <w:r w:rsidRPr="00D4351A">
              <w:rPr>
                <w:sz w:val="21"/>
                <w:szCs w:val="21"/>
              </w:rPr>
              <w:t xml:space="preserve">Hurtigspor for rask domsavseiing ved </w:t>
            </w:r>
            <w:proofErr w:type="spellStart"/>
            <w:r w:rsidRPr="00D4351A">
              <w:rPr>
                <w:sz w:val="21"/>
                <w:szCs w:val="21"/>
              </w:rPr>
              <w:t>lovbrot</w:t>
            </w:r>
            <w:proofErr w:type="spellEnd"/>
            <w:r w:rsidRPr="00D4351A">
              <w:rPr>
                <w:sz w:val="21"/>
                <w:szCs w:val="21"/>
              </w:rPr>
              <w:t xml:space="preserve"> der gjerningspersonen er under 18 år</w:t>
            </w:r>
          </w:p>
        </w:tc>
        <w:tc>
          <w:tcPr>
            <w:tcW w:w="1800" w:type="dxa"/>
            <w:tcBorders>
              <w:top w:val="nil"/>
              <w:left w:val="nil"/>
              <w:bottom w:val="nil"/>
              <w:right w:val="nil"/>
            </w:tcBorders>
            <w:tcMar>
              <w:top w:w="128" w:type="dxa"/>
              <w:left w:w="43" w:type="dxa"/>
              <w:bottom w:w="43" w:type="dxa"/>
              <w:right w:w="43" w:type="dxa"/>
            </w:tcMar>
          </w:tcPr>
          <w:p w14:paraId="22F0E1E4" w14:textId="77777777" w:rsidR="00D60186" w:rsidRPr="00D4351A" w:rsidRDefault="00D60186" w:rsidP="00D4351A">
            <w:pPr>
              <w:jc w:val="right"/>
              <w:rPr>
                <w:sz w:val="21"/>
                <w:szCs w:val="21"/>
              </w:rPr>
            </w:pPr>
            <w:r w:rsidRPr="00D4351A">
              <w:rPr>
                <w:sz w:val="21"/>
                <w:szCs w:val="21"/>
              </w:rPr>
              <w:t>Ja</w:t>
            </w:r>
          </w:p>
        </w:tc>
      </w:tr>
      <w:tr w:rsidR="00E76DC8" w:rsidRPr="00225D4D" w14:paraId="694F3B43" w14:textId="77777777">
        <w:trPr>
          <w:trHeight w:val="380"/>
        </w:trPr>
        <w:tc>
          <w:tcPr>
            <w:tcW w:w="1240" w:type="dxa"/>
            <w:tcBorders>
              <w:top w:val="nil"/>
              <w:left w:val="nil"/>
              <w:bottom w:val="nil"/>
              <w:right w:val="nil"/>
            </w:tcBorders>
            <w:tcMar>
              <w:top w:w="128" w:type="dxa"/>
              <w:left w:w="43" w:type="dxa"/>
              <w:bottom w:w="43" w:type="dxa"/>
              <w:right w:w="43" w:type="dxa"/>
            </w:tcMar>
          </w:tcPr>
          <w:p w14:paraId="1545260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8D03BD3" w14:textId="77777777" w:rsidR="00D60186" w:rsidRPr="00D4351A" w:rsidRDefault="00D60186" w:rsidP="00D4351A">
            <w:pPr>
              <w:ind w:right="113"/>
              <w:jc w:val="right"/>
              <w:rPr>
                <w:sz w:val="21"/>
                <w:szCs w:val="21"/>
              </w:rPr>
            </w:pPr>
            <w:r w:rsidRPr="00D4351A">
              <w:rPr>
                <w:sz w:val="21"/>
                <w:szCs w:val="21"/>
              </w:rPr>
              <w:t>517</w:t>
            </w:r>
          </w:p>
        </w:tc>
        <w:tc>
          <w:tcPr>
            <w:tcW w:w="5380" w:type="dxa"/>
            <w:tcBorders>
              <w:top w:val="nil"/>
              <w:left w:val="nil"/>
              <w:bottom w:val="nil"/>
              <w:right w:val="nil"/>
            </w:tcBorders>
            <w:tcMar>
              <w:top w:w="128" w:type="dxa"/>
              <w:left w:w="43" w:type="dxa"/>
              <w:bottom w:w="43" w:type="dxa"/>
              <w:right w:w="43" w:type="dxa"/>
            </w:tcMar>
          </w:tcPr>
          <w:p w14:paraId="0793D55D" w14:textId="77777777" w:rsidR="00D60186" w:rsidRPr="00D4351A" w:rsidRDefault="00D60186" w:rsidP="00225D4D">
            <w:pPr>
              <w:rPr>
                <w:sz w:val="21"/>
                <w:szCs w:val="21"/>
              </w:rPr>
            </w:pPr>
            <w:r w:rsidRPr="00D4351A">
              <w:rPr>
                <w:sz w:val="21"/>
                <w:szCs w:val="21"/>
              </w:rPr>
              <w:t>Fri rettshjelp i barnevernssaker</w:t>
            </w:r>
          </w:p>
        </w:tc>
        <w:tc>
          <w:tcPr>
            <w:tcW w:w="1800" w:type="dxa"/>
            <w:tcBorders>
              <w:top w:val="nil"/>
              <w:left w:val="nil"/>
              <w:bottom w:val="nil"/>
              <w:right w:val="nil"/>
            </w:tcBorders>
            <w:tcMar>
              <w:top w:w="128" w:type="dxa"/>
              <w:left w:w="43" w:type="dxa"/>
              <w:bottom w:w="43" w:type="dxa"/>
              <w:right w:w="43" w:type="dxa"/>
            </w:tcMar>
          </w:tcPr>
          <w:p w14:paraId="4D6CFDBE" w14:textId="77777777" w:rsidR="00D60186" w:rsidRPr="00D4351A" w:rsidRDefault="00D60186" w:rsidP="00D4351A">
            <w:pPr>
              <w:jc w:val="right"/>
              <w:rPr>
                <w:sz w:val="21"/>
                <w:szCs w:val="21"/>
              </w:rPr>
            </w:pPr>
            <w:r w:rsidRPr="00D4351A">
              <w:rPr>
                <w:sz w:val="21"/>
                <w:szCs w:val="21"/>
              </w:rPr>
              <w:t>Nei</w:t>
            </w:r>
          </w:p>
        </w:tc>
      </w:tr>
      <w:tr w:rsidR="00E76DC8" w:rsidRPr="00225D4D" w14:paraId="15B0955B" w14:textId="77777777">
        <w:trPr>
          <w:trHeight w:val="380"/>
        </w:trPr>
        <w:tc>
          <w:tcPr>
            <w:tcW w:w="1240" w:type="dxa"/>
            <w:tcBorders>
              <w:top w:val="nil"/>
              <w:left w:val="nil"/>
              <w:bottom w:val="nil"/>
              <w:right w:val="nil"/>
            </w:tcBorders>
            <w:tcMar>
              <w:top w:w="128" w:type="dxa"/>
              <w:left w:w="43" w:type="dxa"/>
              <w:bottom w:w="43" w:type="dxa"/>
              <w:right w:w="43" w:type="dxa"/>
            </w:tcMar>
          </w:tcPr>
          <w:p w14:paraId="1FA15FFE"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CEC6746" w14:textId="77777777" w:rsidR="00D60186" w:rsidRPr="00D4351A" w:rsidRDefault="00D60186" w:rsidP="00D4351A">
            <w:pPr>
              <w:ind w:right="113"/>
              <w:jc w:val="right"/>
              <w:rPr>
                <w:sz w:val="21"/>
                <w:szCs w:val="21"/>
              </w:rPr>
            </w:pPr>
            <w:r w:rsidRPr="00D4351A">
              <w:rPr>
                <w:sz w:val="21"/>
                <w:szCs w:val="21"/>
              </w:rPr>
              <w:t>600</w:t>
            </w:r>
          </w:p>
        </w:tc>
        <w:tc>
          <w:tcPr>
            <w:tcW w:w="5380" w:type="dxa"/>
            <w:tcBorders>
              <w:top w:val="nil"/>
              <w:left w:val="nil"/>
              <w:bottom w:val="nil"/>
              <w:right w:val="nil"/>
            </w:tcBorders>
            <w:tcMar>
              <w:top w:w="128" w:type="dxa"/>
              <w:left w:w="43" w:type="dxa"/>
              <w:bottom w:w="43" w:type="dxa"/>
              <w:right w:w="43" w:type="dxa"/>
            </w:tcMar>
          </w:tcPr>
          <w:p w14:paraId="64428D4B" w14:textId="77777777" w:rsidR="00D60186" w:rsidRPr="00D4351A" w:rsidRDefault="00D60186" w:rsidP="00225D4D">
            <w:pPr>
              <w:rPr>
                <w:sz w:val="21"/>
                <w:szCs w:val="21"/>
              </w:rPr>
            </w:pPr>
            <w:r w:rsidRPr="00D4351A">
              <w:rPr>
                <w:sz w:val="21"/>
                <w:szCs w:val="21"/>
              </w:rPr>
              <w:t xml:space="preserve">Handteringa til </w:t>
            </w:r>
            <w:proofErr w:type="spellStart"/>
            <w:r w:rsidRPr="00D4351A">
              <w:rPr>
                <w:sz w:val="21"/>
                <w:szCs w:val="21"/>
              </w:rPr>
              <w:t>myndigheitene</w:t>
            </w:r>
            <w:proofErr w:type="spellEnd"/>
            <w:r w:rsidRPr="00D4351A">
              <w:rPr>
                <w:sz w:val="21"/>
                <w:szCs w:val="21"/>
              </w:rPr>
              <w:t xml:space="preserve"> av koronapandemien</w:t>
            </w:r>
          </w:p>
        </w:tc>
        <w:tc>
          <w:tcPr>
            <w:tcW w:w="1800" w:type="dxa"/>
            <w:tcBorders>
              <w:top w:val="nil"/>
              <w:left w:val="nil"/>
              <w:bottom w:val="nil"/>
              <w:right w:val="nil"/>
            </w:tcBorders>
            <w:tcMar>
              <w:top w:w="128" w:type="dxa"/>
              <w:left w:w="43" w:type="dxa"/>
              <w:bottom w:w="43" w:type="dxa"/>
              <w:right w:w="43" w:type="dxa"/>
            </w:tcMar>
          </w:tcPr>
          <w:p w14:paraId="68335E2B" w14:textId="77777777" w:rsidR="00D60186" w:rsidRPr="00D4351A" w:rsidRDefault="00D60186" w:rsidP="00D4351A">
            <w:pPr>
              <w:jc w:val="right"/>
              <w:rPr>
                <w:sz w:val="21"/>
                <w:szCs w:val="21"/>
              </w:rPr>
            </w:pPr>
            <w:r w:rsidRPr="00D4351A">
              <w:rPr>
                <w:sz w:val="21"/>
                <w:szCs w:val="21"/>
              </w:rPr>
              <w:t>Nei</w:t>
            </w:r>
          </w:p>
        </w:tc>
      </w:tr>
      <w:tr w:rsidR="00E76DC8" w:rsidRPr="00225D4D" w14:paraId="1095B74E" w14:textId="77777777">
        <w:trPr>
          <w:trHeight w:val="380"/>
        </w:trPr>
        <w:tc>
          <w:tcPr>
            <w:tcW w:w="1240" w:type="dxa"/>
            <w:tcBorders>
              <w:top w:val="nil"/>
              <w:left w:val="nil"/>
              <w:bottom w:val="nil"/>
              <w:right w:val="nil"/>
            </w:tcBorders>
            <w:tcMar>
              <w:top w:w="128" w:type="dxa"/>
              <w:left w:w="43" w:type="dxa"/>
              <w:bottom w:w="43" w:type="dxa"/>
              <w:right w:w="43" w:type="dxa"/>
            </w:tcMar>
          </w:tcPr>
          <w:p w14:paraId="325E6F98"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BEBE226" w14:textId="77777777" w:rsidR="00D60186" w:rsidRPr="00D4351A" w:rsidRDefault="00D60186" w:rsidP="00D4351A">
            <w:pPr>
              <w:ind w:right="113"/>
              <w:jc w:val="right"/>
              <w:rPr>
                <w:sz w:val="21"/>
                <w:szCs w:val="21"/>
              </w:rPr>
            </w:pPr>
            <w:r w:rsidRPr="00D4351A">
              <w:rPr>
                <w:sz w:val="21"/>
                <w:szCs w:val="21"/>
              </w:rPr>
              <w:t>624</w:t>
            </w:r>
          </w:p>
        </w:tc>
        <w:tc>
          <w:tcPr>
            <w:tcW w:w="5380" w:type="dxa"/>
            <w:tcBorders>
              <w:top w:val="nil"/>
              <w:left w:val="nil"/>
              <w:bottom w:val="nil"/>
              <w:right w:val="nil"/>
            </w:tcBorders>
            <w:tcMar>
              <w:top w:w="128" w:type="dxa"/>
              <w:left w:w="43" w:type="dxa"/>
              <w:bottom w:w="43" w:type="dxa"/>
              <w:right w:w="43" w:type="dxa"/>
            </w:tcMar>
          </w:tcPr>
          <w:p w14:paraId="534FB407" w14:textId="77777777" w:rsidR="00D60186" w:rsidRPr="00D4351A" w:rsidRDefault="00D60186" w:rsidP="00225D4D">
            <w:pPr>
              <w:rPr>
                <w:sz w:val="21"/>
                <w:szCs w:val="21"/>
              </w:rPr>
            </w:pPr>
            <w:r w:rsidRPr="00D4351A">
              <w:rPr>
                <w:sz w:val="21"/>
                <w:szCs w:val="21"/>
              </w:rPr>
              <w:t xml:space="preserve">Tilfluktsrom – bruk av </w:t>
            </w:r>
            <w:proofErr w:type="spellStart"/>
            <w:r w:rsidRPr="00D4351A">
              <w:rPr>
                <w:sz w:val="21"/>
                <w:szCs w:val="21"/>
              </w:rPr>
              <w:t>eksisterande</w:t>
            </w:r>
            <w:proofErr w:type="spellEnd"/>
            <w:r w:rsidRPr="00D4351A">
              <w:rPr>
                <w:sz w:val="21"/>
                <w:szCs w:val="21"/>
              </w:rPr>
              <w:t xml:space="preserve"> infrastruktur</w:t>
            </w:r>
          </w:p>
        </w:tc>
        <w:tc>
          <w:tcPr>
            <w:tcW w:w="1800" w:type="dxa"/>
            <w:tcBorders>
              <w:top w:val="nil"/>
              <w:left w:val="nil"/>
              <w:bottom w:val="nil"/>
              <w:right w:val="nil"/>
            </w:tcBorders>
            <w:tcMar>
              <w:top w:w="128" w:type="dxa"/>
              <w:left w:w="43" w:type="dxa"/>
              <w:bottom w:w="43" w:type="dxa"/>
              <w:right w:w="43" w:type="dxa"/>
            </w:tcMar>
          </w:tcPr>
          <w:p w14:paraId="33BA63DC" w14:textId="77777777" w:rsidR="00D60186" w:rsidRPr="00D4351A" w:rsidRDefault="00D60186" w:rsidP="00D4351A">
            <w:pPr>
              <w:jc w:val="right"/>
              <w:rPr>
                <w:sz w:val="21"/>
                <w:szCs w:val="21"/>
              </w:rPr>
            </w:pPr>
            <w:r w:rsidRPr="00D4351A">
              <w:rPr>
                <w:sz w:val="21"/>
                <w:szCs w:val="21"/>
              </w:rPr>
              <w:t>Nei</w:t>
            </w:r>
          </w:p>
        </w:tc>
      </w:tr>
      <w:tr w:rsidR="00E76DC8" w:rsidRPr="00225D4D" w14:paraId="49ED2055" w14:textId="77777777">
        <w:trPr>
          <w:trHeight w:val="380"/>
        </w:trPr>
        <w:tc>
          <w:tcPr>
            <w:tcW w:w="1240" w:type="dxa"/>
            <w:tcBorders>
              <w:top w:val="nil"/>
              <w:left w:val="nil"/>
              <w:bottom w:val="nil"/>
              <w:right w:val="nil"/>
            </w:tcBorders>
            <w:tcMar>
              <w:top w:w="128" w:type="dxa"/>
              <w:left w:w="43" w:type="dxa"/>
              <w:bottom w:w="43" w:type="dxa"/>
              <w:right w:w="43" w:type="dxa"/>
            </w:tcMar>
          </w:tcPr>
          <w:p w14:paraId="5AA5F0A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B0DC475" w14:textId="77777777" w:rsidR="00D60186" w:rsidRPr="00D4351A" w:rsidRDefault="00D60186" w:rsidP="00D4351A">
            <w:pPr>
              <w:ind w:right="113"/>
              <w:jc w:val="right"/>
              <w:rPr>
                <w:sz w:val="21"/>
                <w:szCs w:val="21"/>
              </w:rPr>
            </w:pPr>
            <w:r w:rsidRPr="00D4351A">
              <w:rPr>
                <w:sz w:val="21"/>
                <w:szCs w:val="21"/>
              </w:rPr>
              <w:t>625</w:t>
            </w:r>
          </w:p>
        </w:tc>
        <w:tc>
          <w:tcPr>
            <w:tcW w:w="5380" w:type="dxa"/>
            <w:tcBorders>
              <w:top w:val="nil"/>
              <w:left w:val="nil"/>
              <w:bottom w:val="nil"/>
              <w:right w:val="nil"/>
            </w:tcBorders>
            <w:tcMar>
              <w:top w:w="128" w:type="dxa"/>
              <w:left w:w="43" w:type="dxa"/>
              <w:bottom w:w="43" w:type="dxa"/>
              <w:right w:w="43" w:type="dxa"/>
            </w:tcMar>
          </w:tcPr>
          <w:p w14:paraId="4A36802A" w14:textId="77777777" w:rsidR="00D60186" w:rsidRPr="00D4351A" w:rsidRDefault="00D60186" w:rsidP="00225D4D">
            <w:pPr>
              <w:rPr>
                <w:sz w:val="21"/>
                <w:szCs w:val="21"/>
              </w:rPr>
            </w:pPr>
            <w:proofErr w:type="spellStart"/>
            <w:r w:rsidRPr="00D4351A">
              <w:rPr>
                <w:sz w:val="21"/>
                <w:szCs w:val="21"/>
              </w:rPr>
              <w:t>Politirolleutval</w:t>
            </w:r>
            <w:proofErr w:type="spellEnd"/>
          </w:p>
        </w:tc>
        <w:tc>
          <w:tcPr>
            <w:tcW w:w="1800" w:type="dxa"/>
            <w:tcBorders>
              <w:top w:val="nil"/>
              <w:left w:val="nil"/>
              <w:bottom w:val="nil"/>
              <w:right w:val="nil"/>
            </w:tcBorders>
            <w:tcMar>
              <w:top w:w="128" w:type="dxa"/>
              <w:left w:w="43" w:type="dxa"/>
              <w:bottom w:w="43" w:type="dxa"/>
              <w:right w:w="43" w:type="dxa"/>
            </w:tcMar>
          </w:tcPr>
          <w:p w14:paraId="27DFA5EC" w14:textId="77777777" w:rsidR="00D60186" w:rsidRPr="00D4351A" w:rsidRDefault="00D60186" w:rsidP="00D4351A">
            <w:pPr>
              <w:jc w:val="right"/>
              <w:rPr>
                <w:sz w:val="21"/>
                <w:szCs w:val="21"/>
              </w:rPr>
            </w:pPr>
            <w:r w:rsidRPr="00D4351A">
              <w:rPr>
                <w:sz w:val="21"/>
                <w:szCs w:val="21"/>
              </w:rPr>
              <w:t>Ja</w:t>
            </w:r>
          </w:p>
        </w:tc>
      </w:tr>
      <w:tr w:rsidR="00E76DC8" w:rsidRPr="00225D4D" w14:paraId="42AFB976" w14:textId="77777777">
        <w:trPr>
          <w:trHeight w:val="380"/>
        </w:trPr>
        <w:tc>
          <w:tcPr>
            <w:tcW w:w="1240" w:type="dxa"/>
            <w:tcBorders>
              <w:top w:val="nil"/>
              <w:left w:val="nil"/>
              <w:bottom w:val="nil"/>
              <w:right w:val="nil"/>
            </w:tcBorders>
            <w:tcMar>
              <w:top w:w="128" w:type="dxa"/>
              <w:left w:w="43" w:type="dxa"/>
              <w:bottom w:w="43" w:type="dxa"/>
              <w:right w:w="43" w:type="dxa"/>
            </w:tcMar>
          </w:tcPr>
          <w:p w14:paraId="28FE2F4D"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A696F52" w14:textId="77777777" w:rsidR="00D60186" w:rsidRPr="00D4351A" w:rsidRDefault="00D60186" w:rsidP="00D4351A">
            <w:pPr>
              <w:ind w:right="113"/>
              <w:jc w:val="right"/>
              <w:rPr>
                <w:sz w:val="21"/>
                <w:szCs w:val="21"/>
              </w:rPr>
            </w:pPr>
            <w:r w:rsidRPr="00D4351A">
              <w:rPr>
                <w:sz w:val="21"/>
                <w:szCs w:val="21"/>
              </w:rPr>
              <w:t>626</w:t>
            </w:r>
          </w:p>
        </w:tc>
        <w:tc>
          <w:tcPr>
            <w:tcW w:w="5380" w:type="dxa"/>
            <w:tcBorders>
              <w:top w:val="nil"/>
              <w:left w:val="nil"/>
              <w:bottom w:val="nil"/>
              <w:right w:val="nil"/>
            </w:tcBorders>
            <w:tcMar>
              <w:top w:w="128" w:type="dxa"/>
              <w:left w:w="43" w:type="dxa"/>
              <w:bottom w:w="43" w:type="dxa"/>
              <w:right w:w="43" w:type="dxa"/>
            </w:tcMar>
          </w:tcPr>
          <w:p w14:paraId="79E0682A" w14:textId="77777777" w:rsidR="00D60186" w:rsidRPr="00D4351A" w:rsidRDefault="00D60186" w:rsidP="00225D4D">
            <w:pPr>
              <w:rPr>
                <w:sz w:val="21"/>
                <w:szCs w:val="21"/>
              </w:rPr>
            </w:pPr>
            <w:r w:rsidRPr="00D4351A">
              <w:rPr>
                <w:sz w:val="21"/>
                <w:szCs w:val="21"/>
              </w:rPr>
              <w:t>Stortingsmelding om langtidsplan for politiet</w:t>
            </w:r>
          </w:p>
        </w:tc>
        <w:tc>
          <w:tcPr>
            <w:tcW w:w="1800" w:type="dxa"/>
            <w:tcBorders>
              <w:top w:val="nil"/>
              <w:left w:val="nil"/>
              <w:bottom w:val="nil"/>
              <w:right w:val="nil"/>
            </w:tcBorders>
            <w:tcMar>
              <w:top w:w="128" w:type="dxa"/>
              <w:left w:w="43" w:type="dxa"/>
              <w:bottom w:w="43" w:type="dxa"/>
              <w:right w:w="43" w:type="dxa"/>
            </w:tcMar>
          </w:tcPr>
          <w:p w14:paraId="3109091F" w14:textId="77777777" w:rsidR="00D60186" w:rsidRPr="00D4351A" w:rsidRDefault="00D60186" w:rsidP="00D4351A">
            <w:pPr>
              <w:jc w:val="right"/>
              <w:rPr>
                <w:sz w:val="21"/>
                <w:szCs w:val="21"/>
              </w:rPr>
            </w:pPr>
            <w:r w:rsidRPr="00D4351A">
              <w:rPr>
                <w:sz w:val="21"/>
                <w:szCs w:val="21"/>
              </w:rPr>
              <w:t>Nei</w:t>
            </w:r>
          </w:p>
        </w:tc>
      </w:tr>
      <w:tr w:rsidR="00E76DC8" w:rsidRPr="00225D4D" w14:paraId="690A7C6F" w14:textId="77777777">
        <w:trPr>
          <w:trHeight w:val="640"/>
        </w:trPr>
        <w:tc>
          <w:tcPr>
            <w:tcW w:w="1240" w:type="dxa"/>
            <w:tcBorders>
              <w:top w:val="nil"/>
              <w:left w:val="nil"/>
              <w:bottom w:val="nil"/>
              <w:right w:val="nil"/>
            </w:tcBorders>
            <w:tcMar>
              <w:top w:w="128" w:type="dxa"/>
              <w:left w:w="43" w:type="dxa"/>
              <w:bottom w:w="43" w:type="dxa"/>
              <w:right w:w="43" w:type="dxa"/>
            </w:tcMar>
          </w:tcPr>
          <w:p w14:paraId="6A6ABD7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BF3FAD1" w14:textId="77777777" w:rsidR="00D60186" w:rsidRPr="00D4351A" w:rsidRDefault="00D60186" w:rsidP="00D4351A">
            <w:pPr>
              <w:ind w:right="113"/>
              <w:jc w:val="right"/>
              <w:rPr>
                <w:sz w:val="21"/>
                <w:szCs w:val="21"/>
              </w:rPr>
            </w:pPr>
            <w:r w:rsidRPr="00D4351A">
              <w:rPr>
                <w:sz w:val="21"/>
                <w:szCs w:val="21"/>
              </w:rPr>
              <w:t>627</w:t>
            </w:r>
          </w:p>
        </w:tc>
        <w:tc>
          <w:tcPr>
            <w:tcW w:w="5380" w:type="dxa"/>
            <w:tcBorders>
              <w:top w:val="nil"/>
              <w:left w:val="nil"/>
              <w:bottom w:val="nil"/>
              <w:right w:val="nil"/>
            </w:tcBorders>
            <w:tcMar>
              <w:top w:w="128" w:type="dxa"/>
              <w:left w:w="43" w:type="dxa"/>
              <w:bottom w:w="43" w:type="dxa"/>
              <w:right w:w="43" w:type="dxa"/>
            </w:tcMar>
          </w:tcPr>
          <w:p w14:paraId="79E9E350" w14:textId="77777777" w:rsidR="00D60186" w:rsidRPr="00D4351A" w:rsidRDefault="00D60186" w:rsidP="00225D4D">
            <w:pPr>
              <w:rPr>
                <w:sz w:val="21"/>
                <w:szCs w:val="21"/>
              </w:rPr>
            </w:pPr>
            <w:proofErr w:type="spellStart"/>
            <w:r w:rsidRPr="00D4351A">
              <w:rPr>
                <w:sz w:val="21"/>
                <w:szCs w:val="21"/>
              </w:rPr>
              <w:t>Organisasjonar</w:t>
            </w:r>
            <w:proofErr w:type="spellEnd"/>
            <w:r w:rsidRPr="00D4351A">
              <w:rPr>
                <w:sz w:val="21"/>
                <w:szCs w:val="21"/>
              </w:rPr>
              <w:t xml:space="preserve"> med omsorgsberedskap i kriser og </w:t>
            </w:r>
            <w:proofErr w:type="spellStart"/>
            <w:r w:rsidRPr="00D4351A">
              <w:rPr>
                <w:sz w:val="21"/>
                <w:szCs w:val="21"/>
              </w:rPr>
              <w:t>katastrofar</w:t>
            </w:r>
            <w:proofErr w:type="spellEnd"/>
          </w:p>
        </w:tc>
        <w:tc>
          <w:tcPr>
            <w:tcW w:w="1800" w:type="dxa"/>
            <w:tcBorders>
              <w:top w:val="nil"/>
              <w:left w:val="nil"/>
              <w:bottom w:val="nil"/>
              <w:right w:val="nil"/>
            </w:tcBorders>
            <w:tcMar>
              <w:top w:w="128" w:type="dxa"/>
              <w:left w:w="43" w:type="dxa"/>
              <w:bottom w:w="43" w:type="dxa"/>
              <w:right w:w="43" w:type="dxa"/>
            </w:tcMar>
          </w:tcPr>
          <w:p w14:paraId="1CC26788" w14:textId="77777777" w:rsidR="00D60186" w:rsidRPr="00D4351A" w:rsidRDefault="00D60186" w:rsidP="00D4351A">
            <w:pPr>
              <w:jc w:val="right"/>
              <w:rPr>
                <w:sz w:val="21"/>
                <w:szCs w:val="21"/>
              </w:rPr>
            </w:pPr>
            <w:r w:rsidRPr="00D4351A">
              <w:rPr>
                <w:sz w:val="21"/>
                <w:szCs w:val="21"/>
              </w:rPr>
              <w:t>Nei</w:t>
            </w:r>
          </w:p>
        </w:tc>
      </w:tr>
      <w:tr w:rsidR="00E76DC8" w:rsidRPr="00225D4D" w14:paraId="1D3A4B9D" w14:textId="77777777">
        <w:trPr>
          <w:trHeight w:val="380"/>
        </w:trPr>
        <w:tc>
          <w:tcPr>
            <w:tcW w:w="1240" w:type="dxa"/>
            <w:tcBorders>
              <w:top w:val="nil"/>
              <w:left w:val="nil"/>
              <w:bottom w:val="nil"/>
              <w:right w:val="nil"/>
            </w:tcBorders>
            <w:tcMar>
              <w:top w:w="128" w:type="dxa"/>
              <w:left w:w="43" w:type="dxa"/>
              <w:bottom w:w="43" w:type="dxa"/>
              <w:right w:w="43" w:type="dxa"/>
            </w:tcMar>
          </w:tcPr>
          <w:p w14:paraId="525498B9"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273C85A" w14:textId="77777777" w:rsidR="00D60186" w:rsidRPr="00D4351A" w:rsidRDefault="00D60186" w:rsidP="00D4351A">
            <w:pPr>
              <w:ind w:right="113"/>
              <w:jc w:val="right"/>
              <w:rPr>
                <w:sz w:val="21"/>
                <w:szCs w:val="21"/>
              </w:rPr>
            </w:pPr>
            <w:r w:rsidRPr="00D4351A">
              <w:rPr>
                <w:sz w:val="21"/>
                <w:szCs w:val="21"/>
              </w:rPr>
              <w:t>628</w:t>
            </w:r>
          </w:p>
        </w:tc>
        <w:tc>
          <w:tcPr>
            <w:tcW w:w="5380" w:type="dxa"/>
            <w:tcBorders>
              <w:top w:val="nil"/>
              <w:left w:val="nil"/>
              <w:bottom w:val="nil"/>
              <w:right w:val="nil"/>
            </w:tcBorders>
            <w:tcMar>
              <w:top w:w="128" w:type="dxa"/>
              <w:left w:w="43" w:type="dxa"/>
              <w:bottom w:w="43" w:type="dxa"/>
              <w:right w:w="43" w:type="dxa"/>
            </w:tcMar>
          </w:tcPr>
          <w:p w14:paraId="7ED9E1AF" w14:textId="77777777" w:rsidR="00D60186" w:rsidRPr="00D4351A" w:rsidRDefault="00D60186" w:rsidP="00225D4D">
            <w:pPr>
              <w:rPr>
                <w:sz w:val="21"/>
                <w:szCs w:val="21"/>
              </w:rPr>
            </w:pPr>
            <w:r w:rsidRPr="00D4351A">
              <w:rPr>
                <w:sz w:val="21"/>
                <w:szCs w:val="21"/>
              </w:rPr>
              <w:t xml:space="preserve">Kartlegging av frivillige </w:t>
            </w:r>
            <w:proofErr w:type="spellStart"/>
            <w:r w:rsidRPr="00D4351A">
              <w:rPr>
                <w:sz w:val="21"/>
                <w:szCs w:val="21"/>
              </w:rPr>
              <w:t>beredskapsressursar</w:t>
            </w:r>
            <w:proofErr w:type="spellEnd"/>
          </w:p>
        </w:tc>
        <w:tc>
          <w:tcPr>
            <w:tcW w:w="1800" w:type="dxa"/>
            <w:tcBorders>
              <w:top w:val="nil"/>
              <w:left w:val="nil"/>
              <w:bottom w:val="nil"/>
              <w:right w:val="nil"/>
            </w:tcBorders>
            <w:tcMar>
              <w:top w:w="128" w:type="dxa"/>
              <w:left w:w="43" w:type="dxa"/>
              <w:bottom w:w="43" w:type="dxa"/>
              <w:right w:w="43" w:type="dxa"/>
            </w:tcMar>
          </w:tcPr>
          <w:p w14:paraId="07B3F13C" w14:textId="77777777" w:rsidR="00D60186" w:rsidRPr="00D4351A" w:rsidRDefault="00D60186" w:rsidP="00D4351A">
            <w:pPr>
              <w:jc w:val="right"/>
              <w:rPr>
                <w:sz w:val="21"/>
                <w:szCs w:val="21"/>
              </w:rPr>
            </w:pPr>
            <w:r w:rsidRPr="00D4351A">
              <w:rPr>
                <w:sz w:val="21"/>
                <w:szCs w:val="21"/>
              </w:rPr>
              <w:t>Nei</w:t>
            </w:r>
          </w:p>
        </w:tc>
      </w:tr>
      <w:tr w:rsidR="00E76DC8" w:rsidRPr="00225D4D" w14:paraId="22B18928" w14:textId="77777777">
        <w:trPr>
          <w:trHeight w:val="380"/>
        </w:trPr>
        <w:tc>
          <w:tcPr>
            <w:tcW w:w="1240" w:type="dxa"/>
            <w:tcBorders>
              <w:top w:val="nil"/>
              <w:left w:val="nil"/>
              <w:bottom w:val="nil"/>
              <w:right w:val="nil"/>
            </w:tcBorders>
            <w:tcMar>
              <w:top w:w="128" w:type="dxa"/>
              <w:left w:w="43" w:type="dxa"/>
              <w:bottom w:w="43" w:type="dxa"/>
              <w:right w:w="43" w:type="dxa"/>
            </w:tcMar>
          </w:tcPr>
          <w:p w14:paraId="60737E14"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9B8C05F" w14:textId="77777777" w:rsidR="00D60186" w:rsidRPr="00D4351A" w:rsidRDefault="00D60186" w:rsidP="00D4351A">
            <w:pPr>
              <w:ind w:right="113"/>
              <w:jc w:val="right"/>
              <w:rPr>
                <w:sz w:val="21"/>
                <w:szCs w:val="21"/>
              </w:rPr>
            </w:pPr>
            <w:r w:rsidRPr="00D4351A">
              <w:rPr>
                <w:sz w:val="21"/>
                <w:szCs w:val="21"/>
              </w:rPr>
              <w:t>633</w:t>
            </w:r>
          </w:p>
        </w:tc>
        <w:tc>
          <w:tcPr>
            <w:tcW w:w="5380" w:type="dxa"/>
            <w:tcBorders>
              <w:top w:val="nil"/>
              <w:left w:val="nil"/>
              <w:bottom w:val="nil"/>
              <w:right w:val="nil"/>
            </w:tcBorders>
            <w:tcMar>
              <w:top w:w="128" w:type="dxa"/>
              <w:left w:w="43" w:type="dxa"/>
              <w:bottom w:w="43" w:type="dxa"/>
              <w:right w:w="43" w:type="dxa"/>
            </w:tcMar>
          </w:tcPr>
          <w:p w14:paraId="4FB8E70F" w14:textId="77777777" w:rsidR="00D60186" w:rsidRPr="00D4351A" w:rsidRDefault="00D60186" w:rsidP="00225D4D">
            <w:pPr>
              <w:rPr>
                <w:sz w:val="21"/>
                <w:szCs w:val="21"/>
              </w:rPr>
            </w:pPr>
            <w:r w:rsidRPr="00D4351A">
              <w:rPr>
                <w:sz w:val="21"/>
                <w:szCs w:val="21"/>
              </w:rPr>
              <w:t xml:space="preserve">Tilfluktsrom – forenkling i regelverk </w:t>
            </w:r>
          </w:p>
        </w:tc>
        <w:tc>
          <w:tcPr>
            <w:tcW w:w="1800" w:type="dxa"/>
            <w:tcBorders>
              <w:top w:val="nil"/>
              <w:left w:val="nil"/>
              <w:bottom w:val="nil"/>
              <w:right w:val="nil"/>
            </w:tcBorders>
            <w:tcMar>
              <w:top w:w="128" w:type="dxa"/>
              <w:left w:w="43" w:type="dxa"/>
              <w:bottom w:w="43" w:type="dxa"/>
              <w:right w:w="43" w:type="dxa"/>
            </w:tcMar>
          </w:tcPr>
          <w:p w14:paraId="03850F88" w14:textId="77777777" w:rsidR="00D60186" w:rsidRPr="00D4351A" w:rsidRDefault="00D60186" w:rsidP="00D4351A">
            <w:pPr>
              <w:jc w:val="right"/>
              <w:rPr>
                <w:sz w:val="21"/>
                <w:szCs w:val="21"/>
              </w:rPr>
            </w:pPr>
            <w:r w:rsidRPr="00D4351A">
              <w:rPr>
                <w:sz w:val="21"/>
                <w:szCs w:val="21"/>
              </w:rPr>
              <w:t>Nei</w:t>
            </w:r>
          </w:p>
        </w:tc>
      </w:tr>
      <w:tr w:rsidR="00E76DC8" w:rsidRPr="00225D4D" w14:paraId="67E72AA3" w14:textId="77777777">
        <w:trPr>
          <w:trHeight w:val="380"/>
        </w:trPr>
        <w:tc>
          <w:tcPr>
            <w:tcW w:w="1240" w:type="dxa"/>
            <w:tcBorders>
              <w:top w:val="nil"/>
              <w:left w:val="nil"/>
              <w:bottom w:val="nil"/>
              <w:right w:val="nil"/>
            </w:tcBorders>
            <w:tcMar>
              <w:top w:w="128" w:type="dxa"/>
              <w:left w:w="43" w:type="dxa"/>
              <w:bottom w:w="43" w:type="dxa"/>
              <w:right w:w="43" w:type="dxa"/>
            </w:tcMar>
          </w:tcPr>
          <w:p w14:paraId="0FE79894"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2D51F76" w14:textId="77777777" w:rsidR="00D60186" w:rsidRPr="00D4351A" w:rsidRDefault="00D60186" w:rsidP="00D4351A">
            <w:pPr>
              <w:ind w:right="113"/>
              <w:jc w:val="right"/>
              <w:rPr>
                <w:sz w:val="21"/>
                <w:szCs w:val="21"/>
              </w:rPr>
            </w:pPr>
            <w:r w:rsidRPr="00D4351A">
              <w:rPr>
                <w:sz w:val="21"/>
                <w:szCs w:val="21"/>
              </w:rPr>
              <w:t>634</w:t>
            </w:r>
          </w:p>
        </w:tc>
        <w:tc>
          <w:tcPr>
            <w:tcW w:w="5380" w:type="dxa"/>
            <w:tcBorders>
              <w:top w:val="nil"/>
              <w:left w:val="nil"/>
              <w:bottom w:val="nil"/>
              <w:right w:val="nil"/>
            </w:tcBorders>
            <w:tcMar>
              <w:top w:w="128" w:type="dxa"/>
              <w:left w:w="43" w:type="dxa"/>
              <w:bottom w:w="43" w:type="dxa"/>
              <w:right w:w="43" w:type="dxa"/>
            </w:tcMar>
          </w:tcPr>
          <w:p w14:paraId="0524C677" w14:textId="77777777" w:rsidR="00D60186" w:rsidRPr="00D4351A" w:rsidRDefault="00D60186" w:rsidP="00225D4D">
            <w:pPr>
              <w:rPr>
                <w:sz w:val="21"/>
                <w:szCs w:val="21"/>
              </w:rPr>
            </w:pPr>
            <w:r w:rsidRPr="00D4351A">
              <w:rPr>
                <w:sz w:val="21"/>
                <w:szCs w:val="21"/>
              </w:rPr>
              <w:t xml:space="preserve">Dispensasjon </w:t>
            </w:r>
            <w:proofErr w:type="spellStart"/>
            <w:r w:rsidRPr="00D4351A">
              <w:rPr>
                <w:sz w:val="21"/>
                <w:szCs w:val="21"/>
              </w:rPr>
              <w:t>frå</w:t>
            </w:r>
            <w:proofErr w:type="spellEnd"/>
            <w:r w:rsidRPr="00D4351A">
              <w:rPr>
                <w:sz w:val="21"/>
                <w:szCs w:val="21"/>
              </w:rPr>
              <w:t xml:space="preserve"> plikt til å </w:t>
            </w:r>
            <w:proofErr w:type="spellStart"/>
            <w:r w:rsidRPr="00D4351A">
              <w:rPr>
                <w:sz w:val="21"/>
                <w:szCs w:val="21"/>
              </w:rPr>
              <w:t>byggje</w:t>
            </w:r>
            <w:proofErr w:type="spellEnd"/>
            <w:r w:rsidRPr="00D4351A">
              <w:rPr>
                <w:sz w:val="21"/>
                <w:szCs w:val="21"/>
              </w:rPr>
              <w:t xml:space="preserve"> tilfluktsrom</w:t>
            </w:r>
          </w:p>
        </w:tc>
        <w:tc>
          <w:tcPr>
            <w:tcW w:w="1800" w:type="dxa"/>
            <w:tcBorders>
              <w:top w:val="nil"/>
              <w:left w:val="nil"/>
              <w:bottom w:val="nil"/>
              <w:right w:val="nil"/>
            </w:tcBorders>
            <w:tcMar>
              <w:top w:w="128" w:type="dxa"/>
              <w:left w:w="43" w:type="dxa"/>
              <w:bottom w:w="43" w:type="dxa"/>
              <w:right w:w="43" w:type="dxa"/>
            </w:tcMar>
          </w:tcPr>
          <w:p w14:paraId="6EDE797A" w14:textId="77777777" w:rsidR="00D60186" w:rsidRPr="00D4351A" w:rsidRDefault="00D60186" w:rsidP="00D4351A">
            <w:pPr>
              <w:jc w:val="right"/>
              <w:rPr>
                <w:sz w:val="21"/>
                <w:szCs w:val="21"/>
              </w:rPr>
            </w:pPr>
            <w:r w:rsidRPr="00D4351A">
              <w:rPr>
                <w:sz w:val="21"/>
                <w:szCs w:val="21"/>
              </w:rPr>
              <w:t>Nei</w:t>
            </w:r>
          </w:p>
        </w:tc>
      </w:tr>
      <w:tr w:rsidR="00E76DC8" w:rsidRPr="00225D4D" w14:paraId="78A94D01" w14:textId="77777777">
        <w:trPr>
          <w:trHeight w:val="380"/>
        </w:trPr>
        <w:tc>
          <w:tcPr>
            <w:tcW w:w="1240" w:type="dxa"/>
            <w:tcBorders>
              <w:top w:val="nil"/>
              <w:left w:val="nil"/>
              <w:bottom w:val="nil"/>
              <w:right w:val="nil"/>
            </w:tcBorders>
            <w:tcMar>
              <w:top w:w="128" w:type="dxa"/>
              <w:left w:w="43" w:type="dxa"/>
              <w:bottom w:w="43" w:type="dxa"/>
              <w:right w:w="43" w:type="dxa"/>
            </w:tcMar>
          </w:tcPr>
          <w:p w14:paraId="2A5BB00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A7C6C83" w14:textId="77777777" w:rsidR="00D60186" w:rsidRPr="00D4351A" w:rsidRDefault="00D60186" w:rsidP="00D4351A">
            <w:pPr>
              <w:ind w:right="113"/>
              <w:jc w:val="right"/>
              <w:rPr>
                <w:sz w:val="21"/>
                <w:szCs w:val="21"/>
              </w:rPr>
            </w:pPr>
            <w:r w:rsidRPr="00D4351A">
              <w:rPr>
                <w:sz w:val="21"/>
                <w:szCs w:val="21"/>
              </w:rPr>
              <w:t>637</w:t>
            </w:r>
          </w:p>
        </w:tc>
        <w:tc>
          <w:tcPr>
            <w:tcW w:w="5380" w:type="dxa"/>
            <w:tcBorders>
              <w:top w:val="nil"/>
              <w:left w:val="nil"/>
              <w:bottom w:val="nil"/>
              <w:right w:val="nil"/>
            </w:tcBorders>
            <w:tcMar>
              <w:top w:w="128" w:type="dxa"/>
              <w:left w:w="43" w:type="dxa"/>
              <w:bottom w:w="43" w:type="dxa"/>
              <w:right w:w="43" w:type="dxa"/>
            </w:tcMar>
          </w:tcPr>
          <w:p w14:paraId="325B9603" w14:textId="77777777" w:rsidR="00D60186" w:rsidRPr="00D4351A" w:rsidRDefault="00D60186" w:rsidP="00225D4D">
            <w:pPr>
              <w:rPr>
                <w:sz w:val="21"/>
                <w:szCs w:val="21"/>
              </w:rPr>
            </w:pPr>
            <w:r w:rsidRPr="00D4351A">
              <w:rPr>
                <w:sz w:val="21"/>
                <w:szCs w:val="21"/>
              </w:rPr>
              <w:t xml:space="preserve">Tilgang til </w:t>
            </w:r>
            <w:proofErr w:type="spellStart"/>
            <w:r w:rsidRPr="00D4351A">
              <w:rPr>
                <w:sz w:val="21"/>
                <w:szCs w:val="21"/>
              </w:rPr>
              <w:t>flyplasstenester</w:t>
            </w:r>
            <w:proofErr w:type="spellEnd"/>
            <w:r w:rsidRPr="00D4351A">
              <w:rPr>
                <w:sz w:val="21"/>
                <w:szCs w:val="21"/>
              </w:rPr>
              <w:t xml:space="preserve"> for </w:t>
            </w:r>
            <w:proofErr w:type="spellStart"/>
            <w:r w:rsidRPr="00D4351A">
              <w:rPr>
                <w:sz w:val="21"/>
                <w:szCs w:val="21"/>
              </w:rPr>
              <w:t>beredskapsressursar</w:t>
            </w:r>
            <w:proofErr w:type="spellEnd"/>
          </w:p>
        </w:tc>
        <w:tc>
          <w:tcPr>
            <w:tcW w:w="1800" w:type="dxa"/>
            <w:tcBorders>
              <w:top w:val="nil"/>
              <w:left w:val="nil"/>
              <w:bottom w:val="nil"/>
              <w:right w:val="nil"/>
            </w:tcBorders>
            <w:tcMar>
              <w:top w:w="128" w:type="dxa"/>
              <w:left w:w="43" w:type="dxa"/>
              <w:bottom w:w="43" w:type="dxa"/>
              <w:right w:w="43" w:type="dxa"/>
            </w:tcMar>
          </w:tcPr>
          <w:p w14:paraId="7E96C24F" w14:textId="77777777" w:rsidR="00D60186" w:rsidRPr="00D4351A" w:rsidRDefault="00D60186" w:rsidP="00D4351A">
            <w:pPr>
              <w:jc w:val="right"/>
              <w:rPr>
                <w:sz w:val="21"/>
                <w:szCs w:val="21"/>
              </w:rPr>
            </w:pPr>
            <w:r w:rsidRPr="00D4351A">
              <w:rPr>
                <w:sz w:val="21"/>
                <w:szCs w:val="21"/>
              </w:rPr>
              <w:t>Nei</w:t>
            </w:r>
          </w:p>
        </w:tc>
      </w:tr>
      <w:tr w:rsidR="00E76DC8" w:rsidRPr="00225D4D" w14:paraId="62AF0F4C" w14:textId="77777777">
        <w:trPr>
          <w:trHeight w:val="380"/>
        </w:trPr>
        <w:tc>
          <w:tcPr>
            <w:tcW w:w="1240" w:type="dxa"/>
            <w:tcBorders>
              <w:top w:val="nil"/>
              <w:left w:val="nil"/>
              <w:bottom w:val="nil"/>
              <w:right w:val="nil"/>
            </w:tcBorders>
            <w:tcMar>
              <w:top w:w="128" w:type="dxa"/>
              <w:left w:w="43" w:type="dxa"/>
              <w:bottom w:w="43" w:type="dxa"/>
              <w:right w:w="43" w:type="dxa"/>
            </w:tcMar>
          </w:tcPr>
          <w:p w14:paraId="11FC066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C8DFAE1" w14:textId="77777777" w:rsidR="00D60186" w:rsidRPr="00D4351A" w:rsidRDefault="00D60186" w:rsidP="00D4351A">
            <w:pPr>
              <w:ind w:right="113"/>
              <w:jc w:val="right"/>
              <w:rPr>
                <w:sz w:val="21"/>
                <w:szCs w:val="21"/>
              </w:rPr>
            </w:pPr>
            <w:r w:rsidRPr="00D4351A">
              <w:rPr>
                <w:sz w:val="21"/>
                <w:szCs w:val="21"/>
              </w:rPr>
              <w:t>652</w:t>
            </w:r>
          </w:p>
        </w:tc>
        <w:tc>
          <w:tcPr>
            <w:tcW w:w="5380" w:type="dxa"/>
            <w:tcBorders>
              <w:top w:val="nil"/>
              <w:left w:val="nil"/>
              <w:bottom w:val="nil"/>
              <w:right w:val="nil"/>
            </w:tcBorders>
            <w:tcMar>
              <w:top w:w="128" w:type="dxa"/>
              <w:left w:w="43" w:type="dxa"/>
              <w:bottom w:w="43" w:type="dxa"/>
              <w:right w:w="43" w:type="dxa"/>
            </w:tcMar>
          </w:tcPr>
          <w:p w14:paraId="3DDE4754" w14:textId="77777777" w:rsidR="00D60186" w:rsidRPr="00D4351A" w:rsidRDefault="00D60186" w:rsidP="00225D4D">
            <w:pPr>
              <w:rPr>
                <w:sz w:val="21"/>
                <w:szCs w:val="21"/>
              </w:rPr>
            </w:pPr>
            <w:r w:rsidRPr="00D4351A">
              <w:rPr>
                <w:sz w:val="21"/>
                <w:szCs w:val="21"/>
              </w:rPr>
              <w:t>Internasjonalt samarbeid om tryggleik og beredskap</w:t>
            </w:r>
          </w:p>
        </w:tc>
        <w:tc>
          <w:tcPr>
            <w:tcW w:w="1800" w:type="dxa"/>
            <w:tcBorders>
              <w:top w:val="nil"/>
              <w:left w:val="nil"/>
              <w:bottom w:val="nil"/>
              <w:right w:val="nil"/>
            </w:tcBorders>
            <w:tcMar>
              <w:top w:w="128" w:type="dxa"/>
              <w:left w:w="43" w:type="dxa"/>
              <w:bottom w:w="43" w:type="dxa"/>
              <w:right w:w="43" w:type="dxa"/>
            </w:tcMar>
          </w:tcPr>
          <w:p w14:paraId="13634732" w14:textId="77777777" w:rsidR="00D60186" w:rsidRPr="00D4351A" w:rsidRDefault="00D60186" w:rsidP="00D4351A">
            <w:pPr>
              <w:jc w:val="right"/>
              <w:rPr>
                <w:sz w:val="21"/>
                <w:szCs w:val="21"/>
              </w:rPr>
            </w:pPr>
            <w:r w:rsidRPr="00D4351A">
              <w:rPr>
                <w:sz w:val="21"/>
                <w:szCs w:val="21"/>
              </w:rPr>
              <w:t>Ja</w:t>
            </w:r>
          </w:p>
        </w:tc>
      </w:tr>
      <w:tr w:rsidR="00E76DC8" w:rsidRPr="00225D4D" w14:paraId="5E631030" w14:textId="77777777">
        <w:trPr>
          <w:trHeight w:val="380"/>
        </w:trPr>
        <w:tc>
          <w:tcPr>
            <w:tcW w:w="1240" w:type="dxa"/>
            <w:tcBorders>
              <w:top w:val="nil"/>
              <w:left w:val="nil"/>
              <w:bottom w:val="nil"/>
              <w:right w:val="nil"/>
            </w:tcBorders>
            <w:tcMar>
              <w:top w:w="128" w:type="dxa"/>
              <w:left w:w="43" w:type="dxa"/>
              <w:bottom w:w="43" w:type="dxa"/>
              <w:right w:w="43" w:type="dxa"/>
            </w:tcMar>
          </w:tcPr>
          <w:p w14:paraId="70EAB10C"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696FC69" w14:textId="77777777" w:rsidR="00D60186" w:rsidRPr="00D4351A" w:rsidRDefault="00D60186" w:rsidP="00D4351A">
            <w:pPr>
              <w:ind w:right="113"/>
              <w:jc w:val="right"/>
              <w:rPr>
                <w:sz w:val="21"/>
                <w:szCs w:val="21"/>
              </w:rPr>
            </w:pPr>
            <w:r w:rsidRPr="00D4351A">
              <w:rPr>
                <w:sz w:val="21"/>
                <w:szCs w:val="21"/>
              </w:rPr>
              <w:t>721</w:t>
            </w:r>
          </w:p>
        </w:tc>
        <w:tc>
          <w:tcPr>
            <w:tcW w:w="5380" w:type="dxa"/>
            <w:tcBorders>
              <w:top w:val="nil"/>
              <w:left w:val="nil"/>
              <w:bottom w:val="nil"/>
              <w:right w:val="nil"/>
            </w:tcBorders>
            <w:tcMar>
              <w:top w:w="128" w:type="dxa"/>
              <w:left w:w="43" w:type="dxa"/>
              <w:bottom w:w="43" w:type="dxa"/>
              <w:right w:w="43" w:type="dxa"/>
            </w:tcMar>
          </w:tcPr>
          <w:p w14:paraId="195E4D72" w14:textId="77777777" w:rsidR="00D60186" w:rsidRPr="00D4351A" w:rsidRDefault="00D60186" w:rsidP="00225D4D">
            <w:pPr>
              <w:rPr>
                <w:sz w:val="21"/>
                <w:szCs w:val="21"/>
              </w:rPr>
            </w:pPr>
            <w:proofErr w:type="spellStart"/>
            <w:r w:rsidRPr="00D4351A">
              <w:rPr>
                <w:sz w:val="21"/>
                <w:szCs w:val="21"/>
              </w:rPr>
              <w:t>Innstrammingar</w:t>
            </w:r>
            <w:proofErr w:type="spellEnd"/>
            <w:r w:rsidRPr="00D4351A">
              <w:rPr>
                <w:sz w:val="21"/>
                <w:szCs w:val="21"/>
              </w:rPr>
              <w:t xml:space="preserve"> på innvandringsområdet</w:t>
            </w:r>
          </w:p>
        </w:tc>
        <w:tc>
          <w:tcPr>
            <w:tcW w:w="1800" w:type="dxa"/>
            <w:tcBorders>
              <w:top w:val="nil"/>
              <w:left w:val="nil"/>
              <w:bottom w:val="nil"/>
              <w:right w:val="nil"/>
            </w:tcBorders>
            <w:tcMar>
              <w:top w:w="128" w:type="dxa"/>
              <w:left w:w="43" w:type="dxa"/>
              <w:bottom w:w="43" w:type="dxa"/>
              <w:right w:w="43" w:type="dxa"/>
            </w:tcMar>
          </w:tcPr>
          <w:p w14:paraId="51CDC749" w14:textId="77777777" w:rsidR="00D60186" w:rsidRPr="00D4351A" w:rsidRDefault="00D60186" w:rsidP="00D4351A">
            <w:pPr>
              <w:jc w:val="right"/>
              <w:rPr>
                <w:sz w:val="21"/>
                <w:szCs w:val="21"/>
              </w:rPr>
            </w:pPr>
            <w:r w:rsidRPr="00D4351A">
              <w:rPr>
                <w:sz w:val="21"/>
                <w:szCs w:val="21"/>
              </w:rPr>
              <w:t>Nei</w:t>
            </w:r>
          </w:p>
        </w:tc>
      </w:tr>
      <w:tr w:rsidR="00E76DC8" w:rsidRPr="00225D4D" w14:paraId="5FBE42A1" w14:textId="77777777">
        <w:trPr>
          <w:trHeight w:val="380"/>
        </w:trPr>
        <w:tc>
          <w:tcPr>
            <w:tcW w:w="1240" w:type="dxa"/>
            <w:tcBorders>
              <w:top w:val="nil"/>
              <w:left w:val="nil"/>
              <w:bottom w:val="nil"/>
              <w:right w:val="nil"/>
            </w:tcBorders>
            <w:tcMar>
              <w:top w:w="128" w:type="dxa"/>
              <w:left w:w="43" w:type="dxa"/>
              <w:bottom w:w="43" w:type="dxa"/>
              <w:right w:w="43" w:type="dxa"/>
            </w:tcMar>
          </w:tcPr>
          <w:p w14:paraId="1970E50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B0EB3A8" w14:textId="77777777" w:rsidR="00D60186" w:rsidRPr="00D4351A" w:rsidRDefault="00D60186" w:rsidP="00D4351A">
            <w:pPr>
              <w:ind w:right="113"/>
              <w:jc w:val="right"/>
              <w:rPr>
                <w:sz w:val="21"/>
                <w:szCs w:val="21"/>
              </w:rPr>
            </w:pPr>
            <w:r w:rsidRPr="00D4351A">
              <w:rPr>
                <w:sz w:val="21"/>
                <w:szCs w:val="21"/>
              </w:rPr>
              <w:t>722</w:t>
            </w:r>
          </w:p>
        </w:tc>
        <w:tc>
          <w:tcPr>
            <w:tcW w:w="5380" w:type="dxa"/>
            <w:tcBorders>
              <w:top w:val="nil"/>
              <w:left w:val="nil"/>
              <w:bottom w:val="nil"/>
              <w:right w:val="nil"/>
            </w:tcBorders>
            <w:tcMar>
              <w:top w:w="128" w:type="dxa"/>
              <w:left w:w="43" w:type="dxa"/>
              <w:bottom w:w="43" w:type="dxa"/>
              <w:right w:w="43" w:type="dxa"/>
            </w:tcMar>
          </w:tcPr>
          <w:p w14:paraId="1E0EE869" w14:textId="77777777" w:rsidR="00D60186" w:rsidRPr="00D4351A" w:rsidRDefault="00D60186" w:rsidP="00225D4D">
            <w:pPr>
              <w:rPr>
                <w:sz w:val="21"/>
                <w:szCs w:val="21"/>
              </w:rPr>
            </w:pPr>
            <w:proofErr w:type="spellStart"/>
            <w:r w:rsidRPr="00D4351A">
              <w:rPr>
                <w:sz w:val="21"/>
                <w:szCs w:val="21"/>
              </w:rPr>
              <w:t>Samanlikning</w:t>
            </w:r>
            <w:proofErr w:type="spellEnd"/>
            <w:r w:rsidRPr="00D4351A">
              <w:rPr>
                <w:sz w:val="21"/>
                <w:szCs w:val="21"/>
              </w:rPr>
              <w:t xml:space="preserve"> med andre land om innvandring</w:t>
            </w:r>
          </w:p>
        </w:tc>
        <w:tc>
          <w:tcPr>
            <w:tcW w:w="1800" w:type="dxa"/>
            <w:tcBorders>
              <w:top w:val="nil"/>
              <w:left w:val="nil"/>
              <w:bottom w:val="nil"/>
              <w:right w:val="nil"/>
            </w:tcBorders>
            <w:tcMar>
              <w:top w:w="128" w:type="dxa"/>
              <w:left w:w="43" w:type="dxa"/>
              <w:bottom w:w="43" w:type="dxa"/>
              <w:right w:w="43" w:type="dxa"/>
            </w:tcMar>
          </w:tcPr>
          <w:p w14:paraId="3CF6B659" w14:textId="77777777" w:rsidR="00D60186" w:rsidRPr="00D4351A" w:rsidRDefault="00D60186" w:rsidP="00D4351A">
            <w:pPr>
              <w:jc w:val="right"/>
              <w:rPr>
                <w:sz w:val="21"/>
                <w:szCs w:val="21"/>
              </w:rPr>
            </w:pPr>
            <w:r w:rsidRPr="00D4351A">
              <w:rPr>
                <w:sz w:val="21"/>
                <w:szCs w:val="21"/>
              </w:rPr>
              <w:t>Nei</w:t>
            </w:r>
          </w:p>
        </w:tc>
      </w:tr>
      <w:tr w:rsidR="00E76DC8" w:rsidRPr="00225D4D" w14:paraId="02566427" w14:textId="77777777">
        <w:trPr>
          <w:trHeight w:val="380"/>
        </w:trPr>
        <w:tc>
          <w:tcPr>
            <w:tcW w:w="1240" w:type="dxa"/>
            <w:tcBorders>
              <w:top w:val="nil"/>
              <w:left w:val="nil"/>
              <w:bottom w:val="nil"/>
              <w:right w:val="nil"/>
            </w:tcBorders>
            <w:tcMar>
              <w:top w:w="128" w:type="dxa"/>
              <w:left w:w="43" w:type="dxa"/>
              <w:bottom w:w="43" w:type="dxa"/>
              <w:right w:w="43" w:type="dxa"/>
            </w:tcMar>
          </w:tcPr>
          <w:p w14:paraId="210F1393"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A6EB642" w14:textId="77777777" w:rsidR="00D60186" w:rsidRPr="00D4351A" w:rsidRDefault="00D60186" w:rsidP="00D4351A">
            <w:pPr>
              <w:ind w:right="113"/>
              <w:jc w:val="right"/>
              <w:rPr>
                <w:sz w:val="21"/>
                <w:szCs w:val="21"/>
              </w:rPr>
            </w:pPr>
            <w:r w:rsidRPr="00D4351A">
              <w:rPr>
                <w:sz w:val="21"/>
                <w:szCs w:val="21"/>
              </w:rPr>
              <w:t>724</w:t>
            </w:r>
          </w:p>
        </w:tc>
        <w:tc>
          <w:tcPr>
            <w:tcW w:w="5380" w:type="dxa"/>
            <w:tcBorders>
              <w:top w:val="nil"/>
              <w:left w:val="nil"/>
              <w:bottom w:val="nil"/>
              <w:right w:val="nil"/>
            </w:tcBorders>
            <w:tcMar>
              <w:top w:w="128" w:type="dxa"/>
              <w:left w:w="43" w:type="dxa"/>
              <w:bottom w:w="43" w:type="dxa"/>
              <w:right w:w="43" w:type="dxa"/>
            </w:tcMar>
          </w:tcPr>
          <w:p w14:paraId="6452E33B" w14:textId="77777777" w:rsidR="00D60186" w:rsidRPr="00D4351A" w:rsidRDefault="00D60186" w:rsidP="00225D4D">
            <w:pPr>
              <w:rPr>
                <w:sz w:val="21"/>
                <w:szCs w:val="21"/>
              </w:rPr>
            </w:pPr>
            <w:r w:rsidRPr="00D4351A">
              <w:rPr>
                <w:sz w:val="21"/>
                <w:szCs w:val="21"/>
              </w:rPr>
              <w:t>Innstramming på familieinnvandringsområdet</w:t>
            </w:r>
          </w:p>
        </w:tc>
        <w:tc>
          <w:tcPr>
            <w:tcW w:w="1800" w:type="dxa"/>
            <w:tcBorders>
              <w:top w:val="nil"/>
              <w:left w:val="nil"/>
              <w:bottom w:val="nil"/>
              <w:right w:val="nil"/>
            </w:tcBorders>
            <w:tcMar>
              <w:top w:w="128" w:type="dxa"/>
              <w:left w:w="43" w:type="dxa"/>
              <w:bottom w:w="43" w:type="dxa"/>
              <w:right w:w="43" w:type="dxa"/>
            </w:tcMar>
          </w:tcPr>
          <w:p w14:paraId="5AE445CB" w14:textId="77777777" w:rsidR="00D60186" w:rsidRPr="00D4351A" w:rsidRDefault="00D60186" w:rsidP="00D4351A">
            <w:pPr>
              <w:jc w:val="right"/>
              <w:rPr>
                <w:sz w:val="21"/>
                <w:szCs w:val="21"/>
              </w:rPr>
            </w:pPr>
            <w:r w:rsidRPr="00D4351A">
              <w:rPr>
                <w:sz w:val="21"/>
                <w:szCs w:val="21"/>
              </w:rPr>
              <w:t>Nei</w:t>
            </w:r>
          </w:p>
        </w:tc>
      </w:tr>
      <w:tr w:rsidR="00E76DC8" w:rsidRPr="00225D4D" w14:paraId="4D92905F" w14:textId="77777777">
        <w:trPr>
          <w:trHeight w:val="380"/>
        </w:trPr>
        <w:tc>
          <w:tcPr>
            <w:tcW w:w="1240" w:type="dxa"/>
            <w:tcBorders>
              <w:top w:val="nil"/>
              <w:left w:val="nil"/>
              <w:bottom w:val="nil"/>
              <w:right w:val="nil"/>
            </w:tcBorders>
            <w:tcMar>
              <w:top w:w="128" w:type="dxa"/>
              <w:left w:w="43" w:type="dxa"/>
              <w:bottom w:w="43" w:type="dxa"/>
              <w:right w:w="43" w:type="dxa"/>
            </w:tcMar>
          </w:tcPr>
          <w:p w14:paraId="474CD2C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93E24DC" w14:textId="77777777" w:rsidR="00D60186" w:rsidRPr="00D4351A" w:rsidRDefault="00D60186" w:rsidP="00D4351A">
            <w:pPr>
              <w:ind w:right="113"/>
              <w:jc w:val="right"/>
              <w:rPr>
                <w:sz w:val="21"/>
                <w:szCs w:val="21"/>
              </w:rPr>
            </w:pPr>
            <w:r w:rsidRPr="00D4351A">
              <w:rPr>
                <w:sz w:val="21"/>
                <w:szCs w:val="21"/>
              </w:rPr>
              <w:t>782</w:t>
            </w:r>
          </w:p>
        </w:tc>
        <w:tc>
          <w:tcPr>
            <w:tcW w:w="5380" w:type="dxa"/>
            <w:tcBorders>
              <w:top w:val="nil"/>
              <w:left w:val="nil"/>
              <w:bottom w:val="nil"/>
              <w:right w:val="nil"/>
            </w:tcBorders>
            <w:tcMar>
              <w:top w:w="128" w:type="dxa"/>
              <w:left w:w="43" w:type="dxa"/>
              <w:bottom w:w="43" w:type="dxa"/>
              <w:right w:w="43" w:type="dxa"/>
            </w:tcMar>
          </w:tcPr>
          <w:p w14:paraId="1018E83D" w14:textId="77777777" w:rsidR="00D60186" w:rsidRPr="00D4351A" w:rsidRDefault="00D60186" w:rsidP="00225D4D">
            <w:pPr>
              <w:rPr>
                <w:sz w:val="21"/>
                <w:szCs w:val="21"/>
              </w:rPr>
            </w:pPr>
            <w:r w:rsidRPr="00D4351A">
              <w:rPr>
                <w:sz w:val="21"/>
                <w:szCs w:val="21"/>
              </w:rPr>
              <w:t>Informasjonsdeling om økonomisk kriminalitet</w:t>
            </w:r>
          </w:p>
        </w:tc>
        <w:tc>
          <w:tcPr>
            <w:tcW w:w="1800" w:type="dxa"/>
            <w:tcBorders>
              <w:top w:val="nil"/>
              <w:left w:val="nil"/>
              <w:bottom w:val="nil"/>
              <w:right w:val="nil"/>
            </w:tcBorders>
            <w:tcMar>
              <w:top w:w="128" w:type="dxa"/>
              <w:left w:w="43" w:type="dxa"/>
              <w:bottom w:w="43" w:type="dxa"/>
              <w:right w:w="43" w:type="dxa"/>
            </w:tcMar>
          </w:tcPr>
          <w:p w14:paraId="2692173F" w14:textId="77777777" w:rsidR="00D60186" w:rsidRPr="00D4351A" w:rsidRDefault="00D60186" w:rsidP="00D4351A">
            <w:pPr>
              <w:jc w:val="right"/>
              <w:rPr>
                <w:sz w:val="21"/>
                <w:szCs w:val="21"/>
              </w:rPr>
            </w:pPr>
            <w:r w:rsidRPr="00D4351A">
              <w:rPr>
                <w:sz w:val="21"/>
                <w:szCs w:val="21"/>
              </w:rPr>
              <w:t>Nei</w:t>
            </w:r>
          </w:p>
        </w:tc>
      </w:tr>
      <w:tr w:rsidR="00E76DC8" w:rsidRPr="00225D4D" w14:paraId="24677DDE" w14:textId="77777777">
        <w:trPr>
          <w:trHeight w:val="380"/>
        </w:trPr>
        <w:tc>
          <w:tcPr>
            <w:tcW w:w="1240" w:type="dxa"/>
            <w:tcBorders>
              <w:top w:val="nil"/>
              <w:left w:val="nil"/>
              <w:bottom w:val="nil"/>
              <w:right w:val="nil"/>
            </w:tcBorders>
            <w:tcMar>
              <w:top w:w="128" w:type="dxa"/>
              <w:left w:w="43" w:type="dxa"/>
              <w:bottom w:w="43" w:type="dxa"/>
              <w:right w:w="43" w:type="dxa"/>
            </w:tcMar>
          </w:tcPr>
          <w:p w14:paraId="0AB9671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5B51B14" w14:textId="77777777" w:rsidR="00D60186" w:rsidRPr="00D4351A" w:rsidRDefault="00D60186" w:rsidP="00D4351A">
            <w:pPr>
              <w:ind w:right="113"/>
              <w:jc w:val="right"/>
              <w:rPr>
                <w:sz w:val="21"/>
                <w:szCs w:val="21"/>
              </w:rPr>
            </w:pPr>
            <w:r w:rsidRPr="00D4351A">
              <w:rPr>
                <w:sz w:val="21"/>
                <w:szCs w:val="21"/>
              </w:rPr>
              <w:t>783</w:t>
            </w:r>
          </w:p>
        </w:tc>
        <w:tc>
          <w:tcPr>
            <w:tcW w:w="5380" w:type="dxa"/>
            <w:tcBorders>
              <w:top w:val="nil"/>
              <w:left w:val="nil"/>
              <w:bottom w:val="nil"/>
              <w:right w:val="nil"/>
            </w:tcBorders>
            <w:tcMar>
              <w:top w:w="128" w:type="dxa"/>
              <w:left w:w="43" w:type="dxa"/>
              <w:bottom w:w="43" w:type="dxa"/>
              <w:right w:w="43" w:type="dxa"/>
            </w:tcMar>
          </w:tcPr>
          <w:p w14:paraId="0FDC7E73" w14:textId="77777777" w:rsidR="00D60186" w:rsidRPr="00D4351A" w:rsidRDefault="00D60186" w:rsidP="00225D4D">
            <w:pPr>
              <w:rPr>
                <w:sz w:val="21"/>
                <w:szCs w:val="21"/>
              </w:rPr>
            </w:pPr>
            <w:r w:rsidRPr="00D4351A">
              <w:rPr>
                <w:sz w:val="21"/>
                <w:szCs w:val="21"/>
              </w:rPr>
              <w:t xml:space="preserve">Politiutdanning </w:t>
            </w:r>
            <w:proofErr w:type="spellStart"/>
            <w:r w:rsidRPr="00D4351A">
              <w:rPr>
                <w:sz w:val="21"/>
                <w:szCs w:val="21"/>
              </w:rPr>
              <w:t>innanfor</w:t>
            </w:r>
            <w:proofErr w:type="spellEnd"/>
            <w:r w:rsidRPr="00D4351A">
              <w:rPr>
                <w:sz w:val="21"/>
                <w:szCs w:val="21"/>
              </w:rPr>
              <w:t xml:space="preserve"> økonomisk kriminalitet</w:t>
            </w:r>
          </w:p>
        </w:tc>
        <w:tc>
          <w:tcPr>
            <w:tcW w:w="1800" w:type="dxa"/>
            <w:tcBorders>
              <w:top w:val="nil"/>
              <w:left w:val="nil"/>
              <w:bottom w:val="nil"/>
              <w:right w:val="nil"/>
            </w:tcBorders>
            <w:tcMar>
              <w:top w:w="128" w:type="dxa"/>
              <w:left w:w="43" w:type="dxa"/>
              <w:bottom w:w="43" w:type="dxa"/>
              <w:right w:w="43" w:type="dxa"/>
            </w:tcMar>
          </w:tcPr>
          <w:p w14:paraId="18EBAD63" w14:textId="77777777" w:rsidR="00D60186" w:rsidRPr="00D4351A" w:rsidRDefault="00D60186" w:rsidP="00D4351A">
            <w:pPr>
              <w:jc w:val="right"/>
              <w:rPr>
                <w:sz w:val="21"/>
                <w:szCs w:val="21"/>
              </w:rPr>
            </w:pPr>
            <w:r w:rsidRPr="00D4351A">
              <w:rPr>
                <w:sz w:val="21"/>
                <w:szCs w:val="21"/>
              </w:rPr>
              <w:t>Nei</w:t>
            </w:r>
          </w:p>
        </w:tc>
      </w:tr>
      <w:tr w:rsidR="00E76DC8" w:rsidRPr="00225D4D" w14:paraId="195EBB74" w14:textId="77777777">
        <w:trPr>
          <w:trHeight w:val="380"/>
        </w:trPr>
        <w:tc>
          <w:tcPr>
            <w:tcW w:w="1240" w:type="dxa"/>
            <w:tcBorders>
              <w:top w:val="nil"/>
              <w:left w:val="nil"/>
              <w:bottom w:val="nil"/>
              <w:right w:val="nil"/>
            </w:tcBorders>
            <w:tcMar>
              <w:top w:w="128" w:type="dxa"/>
              <w:left w:w="43" w:type="dxa"/>
              <w:bottom w:w="43" w:type="dxa"/>
              <w:right w:w="43" w:type="dxa"/>
            </w:tcMar>
          </w:tcPr>
          <w:p w14:paraId="31546B64"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EA8A895" w14:textId="77777777" w:rsidR="00D60186" w:rsidRPr="00D4351A" w:rsidRDefault="00D60186" w:rsidP="00D4351A">
            <w:pPr>
              <w:ind w:right="113"/>
              <w:jc w:val="right"/>
              <w:rPr>
                <w:sz w:val="21"/>
                <w:szCs w:val="21"/>
              </w:rPr>
            </w:pPr>
            <w:r w:rsidRPr="00D4351A">
              <w:rPr>
                <w:sz w:val="21"/>
                <w:szCs w:val="21"/>
              </w:rPr>
              <w:t>789</w:t>
            </w:r>
          </w:p>
        </w:tc>
        <w:tc>
          <w:tcPr>
            <w:tcW w:w="5380" w:type="dxa"/>
            <w:tcBorders>
              <w:top w:val="nil"/>
              <w:left w:val="nil"/>
              <w:bottom w:val="nil"/>
              <w:right w:val="nil"/>
            </w:tcBorders>
            <w:tcMar>
              <w:top w:w="128" w:type="dxa"/>
              <w:left w:w="43" w:type="dxa"/>
              <w:bottom w:w="43" w:type="dxa"/>
              <w:right w:w="43" w:type="dxa"/>
            </w:tcMar>
          </w:tcPr>
          <w:p w14:paraId="77581A04" w14:textId="77777777" w:rsidR="00D60186" w:rsidRPr="00D4351A" w:rsidRDefault="00D60186" w:rsidP="00225D4D">
            <w:pPr>
              <w:rPr>
                <w:sz w:val="21"/>
                <w:szCs w:val="21"/>
              </w:rPr>
            </w:pPr>
            <w:r w:rsidRPr="00D4351A">
              <w:rPr>
                <w:sz w:val="21"/>
                <w:szCs w:val="21"/>
              </w:rPr>
              <w:t>Politiets deltaking i a-krimsamarbeidet</w:t>
            </w:r>
          </w:p>
        </w:tc>
        <w:tc>
          <w:tcPr>
            <w:tcW w:w="1800" w:type="dxa"/>
            <w:tcBorders>
              <w:top w:val="nil"/>
              <w:left w:val="nil"/>
              <w:bottom w:val="nil"/>
              <w:right w:val="nil"/>
            </w:tcBorders>
            <w:tcMar>
              <w:top w:w="128" w:type="dxa"/>
              <w:left w:w="43" w:type="dxa"/>
              <w:bottom w:w="43" w:type="dxa"/>
              <w:right w:w="43" w:type="dxa"/>
            </w:tcMar>
          </w:tcPr>
          <w:p w14:paraId="09EB0D02" w14:textId="77777777" w:rsidR="00D60186" w:rsidRPr="00D4351A" w:rsidRDefault="00D60186" w:rsidP="00D4351A">
            <w:pPr>
              <w:jc w:val="right"/>
              <w:rPr>
                <w:sz w:val="21"/>
                <w:szCs w:val="21"/>
              </w:rPr>
            </w:pPr>
            <w:r w:rsidRPr="00D4351A">
              <w:rPr>
                <w:sz w:val="21"/>
                <w:szCs w:val="21"/>
              </w:rPr>
              <w:t>Nei</w:t>
            </w:r>
          </w:p>
        </w:tc>
      </w:tr>
      <w:tr w:rsidR="00E76DC8" w:rsidRPr="00225D4D" w14:paraId="7B637156" w14:textId="77777777">
        <w:trPr>
          <w:trHeight w:val="380"/>
        </w:trPr>
        <w:tc>
          <w:tcPr>
            <w:tcW w:w="1240" w:type="dxa"/>
            <w:tcBorders>
              <w:top w:val="nil"/>
              <w:left w:val="nil"/>
              <w:bottom w:val="nil"/>
              <w:right w:val="nil"/>
            </w:tcBorders>
            <w:tcMar>
              <w:top w:w="128" w:type="dxa"/>
              <w:left w:w="43" w:type="dxa"/>
              <w:bottom w:w="43" w:type="dxa"/>
              <w:right w:w="43" w:type="dxa"/>
            </w:tcMar>
          </w:tcPr>
          <w:p w14:paraId="624A0DAE"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DFBC36C" w14:textId="77777777" w:rsidR="00D60186" w:rsidRPr="00D4351A" w:rsidRDefault="00D60186" w:rsidP="00D4351A">
            <w:pPr>
              <w:ind w:right="113"/>
              <w:jc w:val="right"/>
              <w:rPr>
                <w:sz w:val="21"/>
                <w:szCs w:val="21"/>
              </w:rPr>
            </w:pPr>
            <w:r w:rsidRPr="00D4351A">
              <w:rPr>
                <w:sz w:val="21"/>
                <w:szCs w:val="21"/>
              </w:rPr>
              <w:t>794</w:t>
            </w:r>
          </w:p>
        </w:tc>
        <w:tc>
          <w:tcPr>
            <w:tcW w:w="5380" w:type="dxa"/>
            <w:tcBorders>
              <w:top w:val="nil"/>
              <w:left w:val="nil"/>
              <w:bottom w:val="nil"/>
              <w:right w:val="nil"/>
            </w:tcBorders>
            <w:tcMar>
              <w:top w:w="128" w:type="dxa"/>
              <w:left w:w="43" w:type="dxa"/>
              <w:bottom w:w="43" w:type="dxa"/>
              <w:right w:w="43" w:type="dxa"/>
            </w:tcMar>
          </w:tcPr>
          <w:p w14:paraId="4E84DFB3" w14:textId="77777777" w:rsidR="00D60186" w:rsidRPr="00D4351A" w:rsidRDefault="00D60186" w:rsidP="00225D4D">
            <w:pPr>
              <w:rPr>
                <w:sz w:val="21"/>
                <w:szCs w:val="21"/>
              </w:rPr>
            </w:pPr>
            <w:r w:rsidRPr="00D4351A">
              <w:rPr>
                <w:sz w:val="21"/>
                <w:szCs w:val="21"/>
              </w:rPr>
              <w:t xml:space="preserve">Politiets deltaking i a-krimsamarbeidet </w:t>
            </w:r>
          </w:p>
        </w:tc>
        <w:tc>
          <w:tcPr>
            <w:tcW w:w="1800" w:type="dxa"/>
            <w:tcBorders>
              <w:top w:val="nil"/>
              <w:left w:val="nil"/>
              <w:bottom w:val="nil"/>
              <w:right w:val="nil"/>
            </w:tcBorders>
            <w:tcMar>
              <w:top w:w="128" w:type="dxa"/>
              <w:left w:w="43" w:type="dxa"/>
              <w:bottom w:w="43" w:type="dxa"/>
              <w:right w:w="43" w:type="dxa"/>
            </w:tcMar>
          </w:tcPr>
          <w:p w14:paraId="5A86AB38" w14:textId="77777777" w:rsidR="00D60186" w:rsidRPr="00D4351A" w:rsidRDefault="00D60186" w:rsidP="00D4351A">
            <w:pPr>
              <w:jc w:val="right"/>
              <w:rPr>
                <w:sz w:val="21"/>
                <w:szCs w:val="21"/>
              </w:rPr>
            </w:pPr>
            <w:r w:rsidRPr="00D4351A">
              <w:rPr>
                <w:sz w:val="21"/>
                <w:szCs w:val="21"/>
              </w:rPr>
              <w:t>Nei</w:t>
            </w:r>
          </w:p>
        </w:tc>
      </w:tr>
      <w:tr w:rsidR="00E76DC8" w:rsidRPr="00225D4D" w14:paraId="6C7A5B8D" w14:textId="77777777">
        <w:trPr>
          <w:trHeight w:val="380"/>
        </w:trPr>
        <w:tc>
          <w:tcPr>
            <w:tcW w:w="1240" w:type="dxa"/>
            <w:tcBorders>
              <w:top w:val="nil"/>
              <w:left w:val="nil"/>
              <w:bottom w:val="nil"/>
              <w:right w:val="nil"/>
            </w:tcBorders>
            <w:tcMar>
              <w:top w:w="128" w:type="dxa"/>
              <w:left w:w="43" w:type="dxa"/>
              <w:bottom w:w="43" w:type="dxa"/>
              <w:right w:w="43" w:type="dxa"/>
            </w:tcMar>
          </w:tcPr>
          <w:p w14:paraId="30FFE2F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3B2AE70" w14:textId="77777777" w:rsidR="00D60186" w:rsidRPr="00D4351A" w:rsidRDefault="00D60186" w:rsidP="00D4351A">
            <w:pPr>
              <w:ind w:right="113"/>
              <w:jc w:val="right"/>
              <w:rPr>
                <w:sz w:val="21"/>
                <w:szCs w:val="21"/>
              </w:rPr>
            </w:pPr>
            <w:r w:rsidRPr="00D4351A">
              <w:rPr>
                <w:sz w:val="21"/>
                <w:szCs w:val="21"/>
              </w:rPr>
              <w:t>800</w:t>
            </w:r>
          </w:p>
        </w:tc>
        <w:tc>
          <w:tcPr>
            <w:tcW w:w="5380" w:type="dxa"/>
            <w:tcBorders>
              <w:top w:val="nil"/>
              <w:left w:val="nil"/>
              <w:bottom w:val="nil"/>
              <w:right w:val="nil"/>
            </w:tcBorders>
            <w:tcMar>
              <w:top w:w="128" w:type="dxa"/>
              <w:left w:w="43" w:type="dxa"/>
              <w:bottom w:w="43" w:type="dxa"/>
              <w:right w:w="43" w:type="dxa"/>
            </w:tcMar>
          </w:tcPr>
          <w:p w14:paraId="58DAEBEF" w14:textId="77777777" w:rsidR="00D60186" w:rsidRPr="00D4351A" w:rsidRDefault="00D60186" w:rsidP="00225D4D">
            <w:pPr>
              <w:rPr>
                <w:sz w:val="21"/>
                <w:szCs w:val="21"/>
              </w:rPr>
            </w:pPr>
            <w:r w:rsidRPr="00D4351A">
              <w:rPr>
                <w:sz w:val="21"/>
                <w:szCs w:val="21"/>
              </w:rPr>
              <w:t>Politiets deltaking i a-krimsamarbeidet</w:t>
            </w:r>
          </w:p>
        </w:tc>
        <w:tc>
          <w:tcPr>
            <w:tcW w:w="1800" w:type="dxa"/>
            <w:tcBorders>
              <w:top w:val="nil"/>
              <w:left w:val="nil"/>
              <w:bottom w:val="nil"/>
              <w:right w:val="nil"/>
            </w:tcBorders>
            <w:tcMar>
              <w:top w:w="128" w:type="dxa"/>
              <w:left w:w="43" w:type="dxa"/>
              <w:bottom w:w="43" w:type="dxa"/>
              <w:right w:w="43" w:type="dxa"/>
            </w:tcMar>
          </w:tcPr>
          <w:p w14:paraId="619A0338" w14:textId="77777777" w:rsidR="00D60186" w:rsidRPr="00D4351A" w:rsidRDefault="00D60186" w:rsidP="00D4351A">
            <w:pPr>
              <w:jc w:val="right"/>
              <w:rPr>
                <w:sz w:val="21"/>
                <w:szCs w:val="21"/>
              </w:rPr>
            </w:pPr>
            <w:r w:rsidRPr="00D4351A">
              <w:rPr>
                <w:sz w:val="21"/>
                <w:szCs w:val="21"/>
              </w:rPr>
              <w:t>Nei</w:t>
            </w:r>
          </w:p>
        </w:tc>
      </w:tr>
      <w:tr w:rsidR="00E76DC8" w:rsidRPr="00225D4D" w14:paraId="035DDCC5" w14:textId="77777777">
        <w:trPr>
          <w:trHeight w:val="640"/>
        </w:trPr>
        <w:tc>
          <w:tcPr>
            <w:tcW w:w="1240" w:type="dxa"/>
            <w:tcBorders>
              <w:top w:val="nil"/>
              <w:left w:val="nil"/>
              <w:bottom w:val="nil"/>
              <w:right w:val="nil"/>
            </w:tcBorders>
            <w:tcMar>
              <w:top w:w="128" w:type="dxa"/>
              <w:left w:w="43" w:type="dxa"/>
              <w:bottom w:w="43" w:type="dxa"/>
              <w:right w:w="43" w:type="dxa"/>
            </w:tcMar>
          </w:tcPr>
          <w:p w14:paraId="2D1712C1"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9374A8E" w14:textId="77777777" w:rsidR="00D60186" w:rsidRPr="00D4351A" w:rsidRDefault="00D60186" w:rsidP="00D4351A">
            <w:pPr>
              <w:ind w:right="113"/>
              <w:jc w:val="right"/>
              <w:rPr>
                <w:sz w:val="21"/>
                <w:szCs w:val="21"/>
              </w:rPr>
            </w:pPr>
            <w:r w:rsidRPr="00D4351A">
              <w:rPr>
                <w:sz w:val="21"/>
                <w:szCs w:val="21"/>
              </w:rPr>
              <w:t>810</w:t>
            </w:r>
          </w:p>
        </w:tc>
        <w:tc>
          <w:tcPr>
            <w:tcW w:w="5380" w:type="dxa"/>
            <w:tcBorders>
              <w:top w:val="nil"/>
              <w:left w:val="nil"/>
              <w:bottom w:val="nil"/>
              <w:right w:val="nil"/>
            </w:tcBorders>
            <w:tcMar>
              <w:top w:w="128" w:type="dxa"/>
              <w:left w:w="43" w:type="dxa"/>
              <w:bottom w:w="43" w:type="dxa"/>
              <w:right w:w="43" w:type="dxa"/>
            </w:tcMar>
          </w:tcPr>
          <w:p w14:paraId="09341EA1" w14:textId="77777777" w:rsidR="00D60186" w:rsidRPr="00D4351A" w:rsidRDefault="00D60186" w:rsidP="00225D4D">
            <w:pPr>
              <w:rPr>
                <w:sz w:val="21"/>
                <w:szCs w:val="21"/>
              </w:rPr>
            </w:pPr>
            <w:proofErr w:type="spellStart"/>
            <w:r w:rsidRPr="00D4351A">
              <w:rPr>
                <w:sz w:val="21"/>
                <w:szCs w:val="21"/>
              </w:rPr>
              <w:t>Hovudregel</w:t>
            </w:r>
            <w:proofErr w:type="spellEnd"/>
            <w:r w:rsidRPr="00D4351A">
              <w:rPr>
                <w:sz w:val="21"/>
                <w:szCs w:val="21"/>
              </w:rPr>
              <w:t xml:space="preserve"> om omvend </w:t>
            </w:r>
            <w:proofErr w:type="spellStart"/>
            <w:r w:rsidRPr="00D4351A">
              <w:rPr>
                <w:sz w:val="21"/>
                <w:szCs w:val="21"/>
              </w:rPr>
              <w:t>valdsalarm</w:t>
            </w:r>
            <w:proofErr w:type="spellEnd"/>
            <w:r w:rsidRPr="00D4351A">
              <w:rPr>
                <w:sz w:val="21"/>
                <w:szCs w:val="21"/>
              </w:rPr>
              <w:t xml:space="preserve"> ved besøks- og </w:t>
            </w:r>
            <w:proofErr w:type="spellStart"/>
            <w:r w:rsidRPr="00D4351A">
              <w:rPr>
                <w:sz w:val="21"/>
                <w:szCs w:val="21"/>
              </w:rPr>
              <w:t>kontaktforbod</w:t>
            </w:r>
            <w:proofErr w:type="spellEnd"/>
          </w:p>
        </w:tc>
        <w:tc>
          <w:tcPr>
            <w:tcW w:w="1800" w:type="dxa"/>
            <w:tcBorders>
              <w:top w:val="nil"/>
              <w:left w:val="nil"/>
              <w:bottom w:val="nil"/>
              <w:right w:val="nil"/>
            </w:tcBorders>
            <w:tcMar>
              <w:top w:w="128" w:type="dxa"/>
              <w:left w:w="43" w:type="dxa"/>
              <w:bottom w:w="43" w:type="dxa"/>
              <w:right w:w="43" w:type="dxa"/>
            </w:tcMar>
          </w:tcPr>
          <w:p w14:paraId="2F87AF53" w14:textId="77777777" w:rsidR="00D60186" w:rsidRPr="00D4351A" w:rsidRDefault="00D60186" w:rsidP="00D4351A">
            <w:pPr>
              <w:jc w:val="right"/>
              <w:rPr>
                <w:sz w:val="21"/>
                <w:szCs w:val="21"/>
              </w:rPr>
            </w:pPr>
            <w:r w:rsidRPr="00D4351A">
              <w:rPr>
                <w:sz w:val="21"/>
                <w:szCs w:val="21"/>
              </w:rPr>
              <w:t>Ja</w:t>
            </w:r>
          </w:p>
        </w:tc>
      </w:tr>
      <w:tr w:rsidR="00E76DC8" w:rsidRPr="00225D4D" w14:paraId="42FD4B6F" w14:textId="77777777">
        <w:trPr>
          <w:trHeight w:val="640"/>
        </w:trPr>
        <w:tc>
          <w:tcPr>
            <w:tcW w:w="1240" w:type="dxa"/>
            <w:tcBorders>
              <w:top w:val="nil"/>
              <w:left w:val="nil"/>
              <w:bottom w:val="nil"/>
              <w:right w:val="nil"/>
            </w:tcBorders>
            <w:tcMar>
              <w:top w:w="128" w:type="dxa"/>
              <w:left w:w="43" w:type="dxa"/>
              <w:bottom w:w="43" w:type="dxa"/>
              <w:right w:w="43" w:type="dxa"/>
            </w:tcMar>
          </w:tcPr>
          <w:p w14:paraId="42EB2E5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35D58A1" w14:textId="77777777" w:rsidR="00D60186" w:rsidRPr="00D4351A" w:rsidRDefault="00D60186" w:rsidP="00D4351A">
            <w:pPr>
              <w:ind w:right="113"/>
              <w:jc w:val="right"/>
              <w:rPr>
                <w:sz w:val="21"/>
                <w:szCs w:val="21"/>
              </w:rPr>
            </w:pPr>
            <w:r w:rsidRPr="00D4351A">
              <w:rPr>
                <w:sz w:val="21"/>
                <w:szCs w:val="21"/>
              </w:rPr>
              <w:t>927</w:t>
            </w:r>
          </w:p>
        </w:tc>
        <w:tc>
          <w:tcPr>
            <w:tcW w:w="5380" w:type="dxa"/>
            <w:tcBorders>
              <w:top w:val="nil"/>
              <w:left w:val="nil"/>
              <w:bottom w:val="nil"/>
              <w:right w:val="nil"/>
            </w:tcBorders>
            <w:tcMar>
              <w:top w:w="128" w:type="dxa"/>
              <w:left w:w="43" w:type="dxa"/>
              <w:bottom w:w="43" w:type="dxa"/>
              <w:right w:w="43" w:type="dxa"/>
            </w:tcMar>
          </w:tcPr>
          <w:p w14:paraId="3F1E0BF4" w14:textId="77777777" w:rsidR="00D60186" w:rsidRPr="00D4351A" w:rsidRDefault="00D60186" w:rsidP="00225D4D">
            <w:pPr>
              <w:rPr>
                <w:sz w:val="21"/>
                <w:szCs w:val="21"/>
              </w:rPr>
            </w:pPr>
            <w:r w:rsidRPr="00D4351A">
              <w:rPr>
                <w:sz w:val="21"/>
                <w:szCs w:val="21"/>
              </w:rPr>
              <w:t xml:space="preserve">Det </w:t>
            </w:r>
            <w:proofErr w:type="spellStart"/>
            <w:r w:rsidRPr="00D4351A">
              <w:rPr>
                <w:sz w:val="21"/>
                <w:szCs w:val="21"/>
              </w:rPr>
              <w:t>strafferettslege</w:t>
            </w:r>
            <w:proofErr w:type="spellEnd"/>
            <w:r w:rsidRPr="00D4351A">
              <w:rPr>
                <w:sz w:val="21"/>
                <w:szCs w:val="21"/>
              </w:rPr>
              <w:t xml:space="preserve"> vernet til </w:t>
            </w:r>
            <w:proofErr w:type="spellStart"/>
            <w:r w:rsidRPr="00D4351A">
              <w:rPr>
                <w:sz w:val="21"/>
                <w:szCs w:val="21"/>
              </w:rPr>
              <w:t>vektarar</w:t>
            </w:r>
            <w:proofErr w:type="spellEnd"/>
            <w:r w:rsidRPr="00D4351A">
              <w:rPr>
                <w:sz w:val="21"/>
                <w:szCs w:val="21"/>
              </w:rPr>
              <w:t xml:space="preserve"> og andre utsette yrkesgrupper mot vald og </w:t>
            </w:r>
            <w:proofErr w:type="spellStart"/>
            <w:r w:rsidRPr="00D4351A">
              <w:rPr>
                <w:sz w:val="21"/>
                <w:szCs w:val="21"/>
              </w:rPr>
              <w:t>truslar</w:t>
            </w:r>
            <w:proofErr w:type="spellEnd"/>
          </w:p>
        </w:tc>
        <w:tc>
          <w:tcPr>
            <w:tcW w:w="1800" w:type="dxa"/>
            <w:tcBorders>
              <w:top w:val="nil"/>
              <w:left w:val="nil"/>
              <w:bottom w:val="nil"/>
              <w:right w:val="nil"/>
            </w:tcBorders>
            <w:tcMar>
              <w:top w:w="128" w:type="dxa"/>
              <w:left w:w="43" w:type="dxa"/>
              <w:bottom w:w="43" w:type="dxa"/>
              <w:right w:w="43" w:type="dxa"/>
            </w:tcMar>
          </w:tcPr>
          <w:p w14:paraId="7EBD65F4" w14:textId="77777777" w:rsidR="00D60186" w:rsidRPr="00D4351A" w:rsidRDefault="00D60186" w:rsidP="00D4351A">
            <w:pPr>
              <w:jc w:val="right"/>
              <w:rPr>
                <w:sz w:val="21"/>
                <w:szCs w:val="21"/>
              </w:rPr>
            </w:pPr>
            <w:r w:rsidRPr="00D4351A">
              <w:rPr>
                <w:sz w:val="21"/>
                <w:szCs w:val="21"/>
              </w:rPr>
              <w:t>Nei</w:t>
            </w:r>
          </w:p>
        </w:tc>
      </w:tr>
      <w:tr w:rsidR="00E76DC8" w:rsidRPr="00225D4D" w14:paraId="30BED55E" w14:textId="77777777">
        <w:trPr>
          <w:trHeight w:val="380"/>
        </w:trPr>
        <w:tc>
          <w:tcPr>
            <w:tcW w:w="1240" w:type="dxa"/>
            <w:tcBorders>
              <w:top w:val="nil"/>
              <w:left w:val="nil"/>
              <w:bottom w:val="nil"/>
              <w:right w:val="nil"/>
            </w:tcBorders>
            <w:tcMar>
              <w:top w:w="128" w:type="dxa"/>
              <w:left w:w="43" w:type="dxa"/>
              <w:bottom w:w="43" w:type="dxa"/>
              <w:right w:w="43" w:type="dxa"/>
            </w:tcMar>
          </w:tcPr>
          <w:p w14:paraId="0A43BCAA"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3A98957" w14:textId="77777777" w:rsidR="00D60186" w:rsidRPr="00D4351A" w:rsidRDefault="00D60186" w:rsidP="00D4351A">
            <w:pPr>
              <w:ind w:right="113"/>
              <w:jc w:val="right"/>
              <w:rPr>
                <w:sz w:val="21"/>
                <w:szCs w:val="21"/>
              </w:rPr>
            </w:pPr>
            <w:r w:rsidRPr="00D4351A">
              <w:rPr>
                <w:sz w:val="21"/>
                <w:szCs w:val="21"/>
              </w:rPr>
              <w:t>928</w:t>
            </w:r>
          </w:p>
        </w:tc>
        <w:tc>
          <w:tcPr>
            <w:tcW w:w="5380" w:type="dxa"/>
            <w:tcBorders>
              <w:top w:val="nil"/>
              <w:left w:val="nil"/>
              <w:bottom w:val="nil"/>
              <w:right w:val="nil"/>
            </w:tcBorders>
            <w:tcMar>
              <w:top w:w="128" w:type="dxa"/>
              <w:left w:w="43" w:type="dxa"/>
              <w:bottom w:w="43" w:type="dxa"/>
              <w:right w:w="43" w:type="dxa"/>
            </w:tcMar>
          </w:tcPr>
          <w:p w14:paraId="7A06C8A9" w14:textId="77777777" w:rsidR="00D60186" w:rsidRPr="00D4351A" w:rsidRDefault="00D60186" w:rsidP="00225D4D">
            <w:pPr>
              <w:rPr>
                <w:sz w:val="21"/>
                <w:szCs w:val="21"/>
              </w:rPr>
            </w:pPr>
            <w:r w:rsidRPr="00D4351A">
              <w:rPr>
                <w:sz w:val="21"/>
                <w:szCs w:val="21"/>
              </w:rPr>
              <w:t xml:space="preserve">Effekten av </w:t>
            </w:r>
            <w:proofErr w:type="spellStart"/>
            <w:r w:rsidRPr="00D4351A">
              <w:rPr>
                <w:sz w:val="21"/>
                <w:szCs w:val="21"/>
              </w:rPr>
              <w:t>endringar</w:t>
            </w:r>
            <w:proofErr w:type="spellEnd"/>
            <w:r w:rsidRPr="00D4351A">
              <w:rPr>
                <w:sz w:val="21"/>
                <w:szCs w:val="21"/>
              </w:rPr>
              <w:t xml:space="preserve"> i </w:t>
            </w:r>
            <w:proofErr w:type="spellStart"/>
            <w:r w:rsidRPr="00D4351A">
              <w:rPr>
                <w:sz w:val="21"/>
                <w:szCs w:val="21"/>
              </w:rPr>
              <w:t>valdtektsføresegna</w:t>
            </w:r>
            <w:proofErr w:type="spellEnd"/>
          </w:p>
        </w:tc>
        <w:tc>
          <w:tcPr>
            <w:tcW w:w="1800" w:type="dxa"/>
            <w:tcBorders>
              <w:top w:val="nil"/>
              <w:left w:val="nil"/>
              <w:bottom w:val="nil"/>
              <w:right w:val="nil"/>
            </w:tcBorders>
            <w:tcMar>
              <w:top w:w="128" w:type="dxa"/>
              <w:left w:w="43" w:type="dxa"/>
              <w:bottom w:w="43" w:type="dxa"/>
              <w:right w:w="43" w:type="dxa"/>
            </w:tcMar>
          </w:tcPr>
          <w:p w14:paraId="714CF779" w14:textId="77777777" w:rsidR="00D60186" w:rsidRPr="00D4351A" w:rsidRDefault="00D60186" w:rsidP="00D4351A">
            <w:pPr>
              <w:jc w:val="right"/>
              <w:rPr>
                <w:sz w:val="21"/>
                <w:szCs w:val="21"/>
              </w:rPr>
            </w:pPr>
            <w:r w:rsidRPr="00D4351A">
              <w:rPr>
                <w:sz w:val="21"/>
                <w:szCs w:val="21"/>
              </w:rPr>
              <w:t>Nei</w:t>
            </w:r>
          </w:p>
        </w:tc>
      </w:tr>
      <w:tr w:rsidR="00E76DC8" w:rsidRPr="00225D4D" w14:paraId="006C7911" w14:textId="77777777">
        <w:trPr>
          <w:trHeight w:val="380"/>
        </w:trPr>
        <w:tc>
          <w:tcPr>
            <w:tcW w:w="1240" w:type="dxa"/>
            <w:tcBorders>
              <w:top w:val="nil"/>
              <w:left w:val="nil"/>
              <w:bottom w:val="nil"/>
              <w:right w:val="nil"/>
            </w:tcBorders>
            <w:tcMar>
              <w:top w:w="128" w:type="dxa"/>
              <w:left w:w="43" w:type="dxa"/>
              <w:bottom w:w="43" w:type="dxa"/>
              <w:right w:w="43" w:type="dxa"/>
            </w:tcMar>
          </w:tcPr>
          <w:p w14:paraId="240C4D18"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6F65250" w14:textId="77777777" w:rsidR="00D60186" w:rsidRPr="00D4351A" w:rsidRDefault="00D60186" w:rsidP="00D4351A">
            <w:pPr>
              <w:ind w:right="113"/>
              <w:jc w:val="right"/>
              <w:rPr>
                <w:sz w:val="21"/>
                <w:szCs w:val="21"/>
              </w:rPr>
            </w:pPr>
            <w:r w:rsidRPr="00D4351A">
              <w:rPr>
                <w:sz w:val="21"/>
                <w:szCs w:val="21"/>
              </w:rPr>
              <w:t>930</w:t>
            </w:r>
          </w:p>
        </w:tc>
        <w:tc>
          <w:tcPr>
            <w:tcW w:w="5380" w:type="dxa"/>
            <w:tcBorders>
              <w:top w:val="nil"/>
              <w:left w:val="nil"/>
              <w:bottom w:val="nil"/>
              <w:right w:val="nil"/>
            </w:tcBorders>
            <w:tcMar>
              <w:top w:w="128" w:type="dxa"/>
              <w:left w:w="43" w:type="dxa"/>
              <w:bottom w:w="43" w:type="dxa"/>
              <w:right w:w="43" w:type="dxa"/>
            </w:tcMar>
          </w:tcPr>
          <w:p w14:paraId="32C06A34" w14:textId="77777777" w:rsidR="00D60186" w:rsidRPr="00D4351A" w:rsidRDefault="00D60186" w:rsidP="00225D4D">
            <w:pPr>
              <w:rPr>
                <w:sz w:val="21"/>
                <w:szCs w:val="21"/>
              </w:rPr>
            </w:pPr>
            <w:proofErr w:type="spellStart"/>
            <w:r w:rsidRPr="00D4351A">
              <w:rPr>
                <w:sz w:val="21"/>
                <w:szCs w:val="21"/>
              </w:rPr>
              <w:t>Førstelinjeteneste</w:t>
            </w:r>
            <w:proofErr w:type="spellEnd"/>
            <w:r w:rsidRPr="00D4351A">
              <w:rPr>
                <w:sz w:val="21"/>
                <w:szCs w:val="21"/>
              </w:rPr>
              <w:t xml:space="preserve"> for rettshjelp</w:t>
            </w:r>
          </w:p>
        </w:tc>
        <w:tc>
          <w:tcPr>
            <w:tcW w:w="1800" w:type="dxa"/>
            <w:tcBorders>
              <w:top w:val="nil"/>
              <w:left w:val="nil"/>
              <w:bottom w:val="nil"/>
              <w:right w:val="nil"/>
            </w:tcBorders>
            <w:tcMar>
              <w:top w:w="128" w:type="dxa"/>
              <w:left w:w="43" w:type="dxa"/>
              <w:bottom w:w="43" w:type="dxa"/>
              <w:right w:w="43" w:type="dxa"/>
            </w:tcMar>
          </w:tcPr>
          <w:p w14:paraId="1AB72E00" w14:textId="77777777" w:rsidR="00D60186" w:rsidRPr="00D4351A" w:rsidRDefault="00D60186" w:rsidP="00D4351A">
            <w:pPr>
              <w:jc w:val="right"/>
              <w:rPr>
                <w:sz w:val="21"/>
                <w:szCs w:val="21"/>
              </w:rPr>
            </w:pPr>
            <w:r w:rsidRPr="00D4351A">
              <w:rPr>
                <w:sz w:val="21"/>
                <w:szCs w:val="21"/>
              </w:rPr>
              <w:t>Nei</w:t>
            </w:r>
          </w:p>
        </w:tc>
      </w:tr>
      <w:tr w:rsidR="00E76DC8" w:rsidRPr="00225D4D" w14:paraId="4546D8C3" w14:textId="77777777">
        <w:trPr>
          <w:trHeight w:val="380"/>
        </w:trPr>
        <w:tc>
          <w:tcPr>
            <w:tcW w:w="1240" w:type="dxa"/>
            <w:tcBorders>
              <w:top w:val="nil"/>
              <w:left w:val="nil"/>
              <w:bottom w:val="nil"/>
              <w:right w:val="nil"/>
            </w:tcBorders>
            <w:tcMar>
              <w:top w:w="128" w:type="dxa"/>
              <w:left w:w="43" w:type="dxa"/>
              <w:bottom w:w="43" w:type="dxa"/>
              <w:right w:w="43" w:type="dxa"/>
            </w:tcMar>
          </w:tcPr>
          <w:p w14:paraId="5C6D2417"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20E78EC" w14:textId="77777777" w:rsidR="00D60186" w:rsidRPr="00D4351A" w:rsidRDefault="00D60186" w:rsidP="00D4351A">
            <w:pPr>
              <w:ind w:right="113"/>
              <w:jc w:val="right"/>
              <w:rPr>
                <w:sz w:val="21"/>
                <w:szCs w:val="21"/>
              </w:rPr>
            </w:pPr>
            <w:r w:rsidRPr="00D4351A">
              <w:rPr>
                <w:sz w:val="21"/>
                <w:szCs w:val="21"/>
              </w:rPr>
              <w:t>931</w:t>
            </w:r>
          </w:p>
        </w:tc>
        <w:tc>
          <w:tcPr>
            <w:tcW w:w="5380" w:type="dxa"/>
            <w:tcBorders>
              <w:top w:val="nil"/>
              <w:left w:val="nil"/>
              <w:bottom w:val="nil"/>
              <w:right w:val="nil"/>
            </w:tcBorders>
            <w:tcMar>
              <w:top w:w="128" w:type="dxa"/>
              <w:left w:w="43" w:type="dxa"/>
              <w:bottom w:w="43" w:type="dxa"/>
              <w:right w:w="43" w:type="dxa"/>
            </w:tcMar>
          </w:tcPr>
          <w:p w14:paraId="6041D09F" w14:textId="77777777" w:rsidR="00D60186" w:rsidRPr="00D4351A" w:rsidRDefault="00D60186" w:rsidP="00225D4D">
            <w:pPr>
              <w:rPr>
                <w:sz w:val="21"/>
                <w:szCs w:val="21"/>
              </w:rPr>
            </w:pPr>
            <w:proofErr w:type="spellStart"/>
            <w:r w:rsidRPr="00D4351A">
              <w:rPr>
                <w:sz w:val="21"/>
                <w:szCs w:val="21"/>
              </w:rPr>
              <w:t>Endringar</w:t>
            </w:r>
            <w:proofErr w:type="spellEnd"/>
            <w:r w:rsidRPr="00D4351A">
              <w:rPr>
                <w:sz w:val="21"/>
                <w:szCs w:val="21"/>
              </w:rPr>
              <w:t xml:space="preserve"> i forvaringsstraffa</w:t>
            </w:r>
          </w:p>
        </w:tc>
        <w:tc>
          <w:tcPr>
            <w:tcW w:w="1800" w:type="dxa"/>
            <w:tcBorders>
              <w:top w:val="nil"/>
              <w:left w:val="nil"/>
              <w:bottom w:val="nil"/>
              <w:right w:val="nil"/>
            </w:tcBorders>
            <w:tcMar>
              <w:top w:w="128" w:type="dxa"/>
              <w:left w:w="43" w:type="dxa"/>
              <w:bottom w:w="43" w:type="dxa"/>
              <w:right w:w="43" w:type="dxa"/>
            </w:tcMar>
          </w:tcPr>
          <w:p w14:paraId="57ED4A43" w14:textId="77777777" w:rsidR="00D60186" w:rsidRPr="00D4351A" w:rsidRDefault="00D60186" w:rsidP="00D4351A">
            <w:pPr>
              <w:jc w:val="right"/>
              <w:rPr>
                <w:sz w:val="21"/>
                <w:szCs w:val="21"/>
              </w:rPr>
            </w:pPr>
            <w:r w:rsidRPr="00D4351A">
              <w:rPr>
                <w:sz w:val="21"/>
                <w:szCs w:val="21"/>
              </w:rPr>
              <w:t>Nei</w:t>
            </w:r>
          </w:p>
        </w:tc>
      </w:tr>
      <w:tr w:rsidR="00E76DC8" w:rsidRPr="00225D4D" w14:paraId="7DC00662" w14:textId="77777777">
        <w:trPr>
          <w:trHeight w:val="640"/>
        </w:trPr>
        <w:tc>
          <w:tcPr>
            <w:tcW w:w="1240" w:type="dxa"/>
            <w:tcBorders>
              <w:top w:val="nil"/>
              <w:left w:val="nil"/>
              <w:bottom w:val="nil"/>
              <w:right w:val="nil"/>
            </w:tcBorders>
            <w:tcMar>
              <w:top w:w="128" w:type="dxa"/>
              <w:left w:w="43" w:type="dxa"/>
              <w:bottom w:w="43" w:type="dxa"/>
              <w:right w:w="43" w:type="dxa"/>
            </w:tcMar>
          </w:tcPr>
          <w:p w14:paraId="49F6844F"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13EB1E1" w14:textId="77777777" w:rsidR="00D60186" w:rsidRPr="00D4351A" w:rsidRDefault="00D60186" w:rsidP="00D4351A">
            <w:pPr>
              <w:ind w:right="113"/>
              <w:jc w:val="right"/>
              <w:rPr>
                <w:sz w:val="21"/>
                <w:szCs w:val="21"/>
              </w:rPr>
            </w:pPr>
            <w:r w:rsidRPr="00D4351A">
              <w:rPr>
                <w:sz w:val="21"/>
                <w:szCs w:val="21"/>
              </w:rPr>
              <w:t>942</w:t>
            </w:r>
          </w:p>
        </w:tc>
        <w:tc>
          <w:tcPr>
            <w:tcW w:w="5380" w:type="dxa"/>
            <w:tcBorders>
              <w:top w:val="nil"/>
              <w:left w:val="nil"/>
              <w:bottom w:val="nil"/>
              <w:right w:val="nil"/>
            </w:tcBorders>
            <w:tcMar>
              <w:top w:w="128" w:type="dxa"/>
              <w:left w:w="43" w:type="dxa"/>
              <w:bottom w:w="43" w:type="dxa"/>
              <w:right w:w="43" w:type="dxa"/>
            </w:tcMar>
          </w:tcPr>
          <w:p w14:paraId="2D3ABCC9" w14:textId="77777777" w:rsidR="00D60186" w:rsidRPr="00D4351A" w:rsidRDefault="00D60186" w:rsidP="00225D4D">
            <w:pPr>
              <w:rPr>
                <w:sz w:val="21"/>
                <w:szCs w:val="21"/>
              </w:rPr>
            </w:pPr>
            <w:proofErr w:type="spellStart"/>
            <w:r w:rsidRPr="00D4351A">
              <w:rPr>
                <w:sz w:val="21"/>
                <w:szCs w:val="21"/>
              </w:rPr>
              <w:t>Manglande</w:t>
            </w:r>
            <w:proofErr w:type="spellEnd"/>
            <w:r w:rsidRPr="00D4351A">
              <w:rPr>
                <w:sz w:val="21"/>
                <w:szCs w:val="21"/>
              </w:rPr>
              <w:t xml:space="preserve"> svar </w:t>
            </w:r>
            <w:proofErr w:type="spellStart"/>
            <w:r w:rsidRPr="00D4351A">
              <w:rPr>
                <w:sz w:val="21"/>
                <w:szCs w:val="21"/>
              </w:rPr>
              <w:t>frå</w:t>
            </w:r>
            <w:proofErr w:type="spellEnd"/>
            <w:r w:rsidRPr="00D4351A">
              <w:rPr>
                <w:sz w:val="21"/>
                <w:szCs w:val="21"/>
              </w:rPr>
              <w:t xml:space="preserve"> </w:t>
            </w:r>
            <w:proofErr w:type="spellStart"/>
            <w:r w:rsidRPr="00D4351A">
              <w:rPr>
                <w:sz w:val="21"/>
                <w:szCs w:val="21"/>
              </w:rPr>
              <w:t>offentleg</w:t>
            </w:r>
            <w:proofErr w:type="spellEnd"/>
            <w:r w:rsidRPr="00D4351A">
              <w:rPr>
                <w:sz w:val="21"/>
                <w:szCs w:val="21"/>
              </w:rPr>
              <w:t xml:space="preserve"> forvaltning og lang saksbehandlingstid</w:t>
            </w:r>
          </w:p>
        </w:tc>
        <w:tc>
          <w:tcPr>
            <w:tcW w:w="1800" w:type="dxa"/>
            <w:tcBorders>
              <w:top w:val="nil"/>
              <w:left w:val="nil"/>
              <w:bottom w:val="nil"/>
              <w:right w:val="nil"/>
            </w:tcBorders>
            <w:tcMar>
              <w:top w:w="128" w:type="dxa"/>
              <w:left w:w="43" w:type="dxa"/>
              <w:bottom w:w="43" w:type="dxa"/>
              <w:right w:w="43" w:type="dxa"/>
            </w:tcMar>
          </w:tcPr>
          <w:p w14:paraId="41693FC3" w14:textId="77777777" w:rsidR="00D60186" w:rsidRPr="00D4351A" w:rsidRDefault="00D60186" w:rsidP="00D4351A">
            <w:pPr>
              <w:jc w:val="right"/>
              <w:rPr>
                <w:sz w:val="21"/>
                <w:szCs w:val="21"/>
              </w:rPr>
            </w:pPr>
            <w:r w:rsidRPr="00D4351A">
              <w:rPr>
                <w:sz w:val="21"/>
                <w:szCs w:val="21"/>
              </w:rPr>
              <w:t>Nei</w:t>
            </w:r>
          </w:p>
        </w:tc>
      </w:tr>
      <w:tr w:rsidR="00E76DC8" w:rsidRPr="00225D4D" w14:paraId="7F22C76D" w14:textId="77777777">
        <w:trPr>
          <w:trHeight w:val="380"/>
        </w:trPr>
        <w:tc>
          <w:tcPr>
            <w:tcW w:w="1240" w:type="dxa"/>
            <w:tcBorders>
              <w:top w:val="nil"/>
              <w:left w:val="nil"/>
              <w:bottom w:val="nil"/>
              <w:right w:val="nil"/>
            </w:tcBorders>
            <w:tcMar>
              <w:top w:w="128" w:type="dxa"/>
              <w:left w:w="43" w:type="dxa"/>
              <w:bottom w:w="43" w:type="dxa"/>
              <w:right w:w="43" w:type="dxa"/>
            </w:tcMar>
          </w:tcPr>
          <w:p w14:paraId="4AC1E90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C162630" w14:textId="77777777" w:rsidR="00D60186" w:rsidRPr="00D4351A" w:rsidRDefault="00D60186" w:rsidP="00D4351A">
            <w:pPr>
              <w:ind w:right="113"/>
              <w:jc w:val="right"/>
              <w:rPr>
                <w:sz w:val="21"/>
                <w:szCs w:val="21"/>
              </w:rPr>
            </w:pPr>
            <w:r w:rsidRPr="00D4351A">
              <w:rPr>
                <w:sz w:val="21"/>
                <w:szCs w:val="21"/>
              </w:rPr>
              <w:t>943</w:t>
            </w:r>
          </w:p>
        </w:tc>
        <w:tc>
          <w:tcPr>
            <w:tcW w:w="5380" w:type="dxa"/>
            <w:tcBorders>
              <w:top w:val="nil"/>
              <w:left w:val="nil"/>
              <w:bottom w:val="nil"/>
              <w:right w:val="nil"/>
            </w:tcBorders>
            <w:tcMar>
              <w:top w:w="128" w:type="dxa"/>
              <w:left w:w="43" w:type="dxa"/>
              <w:bottom w:w="43" w:type="dxa"/>
              <w:right w:w="43" w:type="dxa"/>
            </w:tcMar>
          </w:tcPr>
          <w:p w14:paraId="48C3B516" w14:textId="77777777" w:rsidR="00D60186" w:rsidRPr="00D4351A" w:rsidRDefault="00D60186" w:rsidP="00225D4D">
            <w:pPr>
              <w:rPr>
                <w:sz w:val="21"/>
                <w:szCs w:val="21"/>
              </w:rPr>
            </w:pPr>
            <w:proofErr w:type="spellStart"/>
            <w:r w:rsidRPr="00D4351A">
              <w:rPr>
                <w:sz w:val="21"/>
                <w:szCs w:val="21"/>
              </w:rPr>
              <w:t>Offentleg</w:t>
            </w:r>
            <w:proofErr w:type="spellEnd"/>
            <w:r w:rsidRPr="00D4351A">
              <w:rPr>
                <w:sz w:val="21"/>
                <w:szCs w:val="21"/>
              </w:rPr>
              <w:t xml:space="preserve"> statistikk over venta saksbehandlingstid</w:t>
            </w:r>
          </w:p>
        </w:tc>
        <w:tc>
          <w:tcPr>
            <w:tcW w:w="1800" w:type="dxa"/>
            <w:tcBorders>
              <w:top w:val="nil"/>
              <w:left w:val="nil"/>
              <w:bottom w:val="nil"/>
              <w:right w:val="nil"/>
            </w:tcBorders>
            <w:tcMar>
              <w:top w:w="128" w:type="dxa"/>
              <w:left w:w="43" w:type="dxa"/>
              <w:bottom w:w="43" w:type="dxa"/>
              <w:right w:w="43" w:type="dxa"/>
            </w:tcMar>
          </w:tcPr>
          <w:p w14:paraId="1706E8EF" w14:textId="77777777" w:rsidR="00D60186" w:rsidRPr="00D4351A" w:rsidRDefault="00D60186" w:rsidP="00D4351A">
            <w:pPr>
              <w:jc w:val="right"/>
              <w:rPr>
                <w:sz w:val="21"/>
                <w:szCs w:val="21"/>
              </w:rPr>
            </w:pPr>
            <w:r w:rsidRPr="00D4351A">
              <w:rPr>
                <w:sz w:val="21"/>
                <w:szCs w:val="21"/>
              </w:rPr>
              <w:t>Nei</w:t>
            </w:r>
          </w:p>
        </w:tc>
      </w:tr>
      <w:tr w:rsidR="00E76DC8" w:rsidRPr="00225D4D" w14:paraId="178D6178" w14:textId="77777777">
        <w:trPr>
          <w:trHeight w:val="380"/>
        </w:trPr>
        <w:tc>
          <w:tcPr>
            <w:tcW w:w="1240" w:type="dxa"/>
            <w:tcBorders>
              <w:top w:val="nil"/>
              <w:left w:val="nil"/>
              <w:bottom w:val="nil"/>
              <w:right w:val="nil"/>
            </w:tcBorders>
            <w:tcMar>
              <w:top w:w="128" w:type="dxa"/>
              <w:left w:w="43" w:type="dxa"/>
              <w:bottom w:w="43" w:type="dxa"/>
              <w:right w:w="43" w:type="dxa"/>
            </w:tcMar>
          </w:tcPr>
          <w:p w14:paraId="7449A00C"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78DEB83" w14:textId="77777777" w:rsidR="00D60186" w:rsidRPr="00D4351A" w:rsidRDefault="00D60186" w:rsidP="00D4351A">
            <w:pPr>
              <w:ind w:right="113"/>
              <w:jc w:val="right"/>
              <w:rPr>
                <w:sz w:val="21"/>
                <w:szCs w:val="21"/>
              </w:rPr>
            </w:pPr>
            <w:r w:rsidRPr="00D4351A">
              <w:rPr>
                <w:sz w:val="21"/>
                <w:szCs w:val="21"/>
              </w:rPr>
              <w:t>944</w:t>
            </w:r>
          </w:p>
        </w:tc>
        <w:tc>
          <w:tcPr>
            <w:tcW w:w="5380" w:type="dxa"/>
            <w:tcBorders>
              <w:top w:val="nil"/>
              <w:left w:val="nil"/>
              <w:bottom w:val="nil"/>
              <w:right w:val="nil"/>
            </w:tcBorders>
            <w:tcMar>
              <w:top w:w="128" w:type="dxa"/>
              <w:left w:w="43" w:type="dxa"/>
              <w:bottom w:w="43" w:type="dxa"/>
              <w:right w:w="43" w:type="dxa"/>
            </w:tcMar>
          </w:tcPr>
          <w:p w14:paraId="2A90E3DF" w14:textId="77777777" w:rsidR="00D60186" w:rsidRPr="00D4351A" w:rsidRDefault="00D60186" w:rsidP="00225D4D">
            <w:pPr>
              <w:rPr>
                <w:sz w:val="21"/>
                <w:szCs w:val="21"/>
              </w:rPr>
            </w:pPr>
            <w:proofErr w:type="spellStart"/>
            <w:r w:rsidRPr="00D4351A">
              <w:rPr>
                <w:sz w:val="21"/>
                <w:szCs w:val="21"/>
              </w:rPr>
              <w:t>Saksbehandlingsreglar</w:t>
            </w:r>
            <w:proofErr w:type="spellEnd"/>
            <w:r w:rsidRPr="00D4351A">
              <w:rPr>
                <w:sz w:val="21"/>
                <w:szCs w:val="21"/>
              </w:rPr>
              <w:t xml:space="preserve"> ved nye lovforslag</w:t>
            </w:r>
          </w:p>
        </w:tc>
        <w:tc>
          <w:tcPr>
            <w:tcW w:w="1800" w:type="dxa"/>
            <w:tcBorders>
              <w:top w:val="nil"/>
              <w:left w:val="nil"/>
              <w:bottom w:val="nil"/>
              <w:right w:val="nil"/>
            </w:tcBorders>
            <w:tcMar>
              <w:top w:w="128" w:type="dxa"/>
              <w:left w:w="43" w:type="dxa"/>
              <w:bottom w:w="43" w:type="dxa"/>
              <w:right w:w="43" w:type="dxa"/>
            </w:tcMar>
          </w:tcPr>
          <w:p w14:paraId="1382AF57" w14:textId="77777777" w:rsidR="00D60186" w:rsidRPr="00D4351A" w:rsidRDefault="00D60186" w:rsidP="00D4351A">
            <w:pPr>
              <w:jc w:val="right"/>
              <w:rPr>
                <w:sz w:val="21"/>
                <w:szCs w:val="21"/>
              </w:rPr>
            </w:pPr>
            <w:r w:rsidRPr="00D4351A">
              <w:rPr>
                <w:sz w:val="21"/>
                <w:szCs w:val="21"/>
              </w:rPr>
              <w:t>Ja</w:t>
            </w:r>
          </w:p>
        </w:tc>
      </w:tr>
      <w:tr w:rsidR="00E76DC8" w:rsidRPr="00225D4D" w14:paraId="51F126BD" w14:textId="77777777">
        <w:trPr>
          <w:trHeight w:val="380"/>
        </w:trPr>
        <w:tc>
          <w:tcPr>
            <w:tcW w:w="1240" w:type="dxa"/>
            <w:tcBorders>
              <w:top w:val="nil"/>
              <w:left w:val="nil"/>
              <w:bottom w:val="nil"/>
              <w:right w:val="nil"/>
            </w:tcBorders>
            <w:tcMar>
              <w:top w:w="128" w:type="dxa"/>
              <w:left w:w="43" w:type="dxa"/>
              <w:bottom w:w="43" w:type="dxa"/>
              <w:right w:w="43" w:type="dxa"/>
            </w:tcMar>
          </w:tcPr>
          <w:p w14:paraId="25E0E94D"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062E4FF" w14:textId="77777777" w:rsidR="00D60186" w:rsidRPr="00D4351A" w:rsidRDefault="00D60186" w:rsidP="00D4351A">
            <w:pPr>
              <w:ind w:right="113"/>
              <w:jc w:val="right"/>
              <w:rPr>
                <w:sz w:val="21"/>
                <w:szCs w:val="21"/>
              </w:rPr>
            </w:pPr>
            <w:r w:rsidRPr="00D4351A">
              <w:rPr>
                <w:sz w:val="21"/>
                <w:szCs w:val="21"/>
              </w:rPr>
              <w:t>948</w:t>
            </w:r>
          </w:p>
        </w:tc>
        <w:tc>
          <w:tcPr>
            <w:tcW w:w="5380" w:type="dxa"/>
            <w:tcBorders>
              <w:top w:val="nil"/>
              <w:left w:val="nil"/>
              <w:bottom w:val="nil"/>
              <w:right w:val="nil"/>
            </w:tcBorders>
            <w:tcMar>
              <w:top w:w="128" w:type="dxa"/>
              <w:left w:w="43" w:type="dxa"/>
              <w:bottom w:w="43" w:type="dxa"/>
              <w:right w:w="43" w:type="dxa"/>
            </w:tcMar>
          </w:tcPr>
          <w:p w14:paraId="2CF7E30E" w14:textId="77777777" w:rsidR="00D60186" w:rsidRPr="00D4351A" w:rsidRDefault="00D60186" w:rsidP="00225D4D">
            <w:pPr>
              <w:rPr>
                <w:sz w:val="21"/>
                <w:szCs w:val="21"/>
              </w:rPr>
            </w:pPr>
            <w:r w:rsidRPr="00D4351A">
              <w:rPr>
                <w:sz w:val="21"/>
                <w:szCs w:val="21"/>
              </w:rPr>
              <w:t>Saksbehandlingstida i klareringssaker</w:t>
            </w:r>
          </w:p>
        </w:tc>
        <w:tc>
          <w:tcPr>
            <w:tcW w:w="1800" w:type="dxa"/>
            <w:tcBorders>
              <w:top w:val="nil"/>
              <w:left w:val="nil"/>
              <w:bottom w:val="nil"/>
              <w:right w:val="nil"/>
            </w:tcBorders>
            <w:tcMar>
              <w:top w:w="128" w:type="dxa"/>
              <w:left w:w="43" w:type="dxa"/>
              <w:bottom w:w="43" w:type="dxa"/>
              <w:right w:w="43" w:type="dxa"/>
            </w:tcMar>
          </w:tcPr>
          <w:p w14:paraId="3CCE5073" w14:textId="77777777" w:rsidR="00D60186" w:rsidRPr="00D4351A" w:rsidRDefault="00D60186" w:rsidP="00D4351A">
            <w:pPr>
              <w:jc w:val="right"/>
              <w:rPr>
                <w:sz w:val="21"/>
                <w:szCs w:val="21"/>
              </w:rPr>
            </w:pPr>
            <w:r w:rsidRPr="00D4351A">
              <w:rPr>
                <w:sz w:val="21"/>
                <w:szCs w:val="21"/>
              </w:rPr>
              <w:t>Nei</w:t>
            </w:r>
          </w:p>
        </w:tc>
      </w:tr>
      <w:tr w:rsidR="00E76DC8" w:rsidRPr="00225D4D" w14:paraId="3E9DBC06" w14:textId="77777777">
        <w:trPr>
          <w:trHeight w:val="380"/>
        </w:trPr>
        <w:tc>
          <w:tcPr>
            <w:tcW w:w="1240" w:type="dxa"/>
            <w:tcBorders>
              <w:top w:val="nil"/>
              <w:left w:val="nil"/>
              <w:bottom w:val="nil"/>
              <w:right w:val="nil"/>
            </w:tcBorders>
            <w:tcMar>
              <w:top w:w="128" w:type="dxa"/>
              <w:left w:w="43" w:type="dxa"/>
              <w:bottom w:w="43" w:type="dxa"/>
              <w:right w:w="43" w:type="dxa"/>
            </w:tcMar>
          </w:tcPr>
          <w:p w14:paraId="2B680E2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1F2F04A" w14:textId="77777777" w:rsidR="00D60186" w:rsidRPr="00D4351A" w:rsidRDefault="00D60186" w:rsidP="00D4351A">
            <w:pPr>
              <w:ind w:right="113"/>
              <w:jc w:val="right"/>
              <w:rPr>
                <w:sz w:val="21"/>
                <w:szCs w:val="21"/>
              </w:rPr>
            </w:pPr>
            <w:r w:rsidRPr="00D4351A">
              <w:rPr>
                <w:sz w:val="21"/>
                <w:szCs w:val="21"/>
              </w:rPr>
              <w:t>960</w:t>
            </w:r>
          </w:p>
        </w:tc>
        <w:tc>
          <w:tcPr>
            <w:tcW w:w="5380" w:type="dxa"/>
            <w:tcBorders>
              <w:top w:val="nil"/>
              <w:left w:val="nil"/>
              <w:bottom w:val="nil"/>
              <w:right w:val="nil"/>
            </w:tcBorders>
            <w:tcMar>
              <w:top w:w="128" w:type="dxa"/>
              <w:left w:w="43" w:type="dxa"/>
              <w:bottom w:w="43" w:type="dxa"/>
              <w:right w:w="43" w:type="dxa"/>
            </w:tcMar>
          </w:tcPr>
          <w:p w14:paraId="6FF91ABA" w14:textId="77777777" w:rsidR="00D60186" w:rsidRPr="00D4351A" w:rsidRDefault="00D60186" w:rsidP="00225D4D">
            <w:pPr>
              <w:rPr>
                <w:sz w:val="21"/>
                <w:szCs w:val="21"/>
              </w:rPr>
            </w:pPr>
            <w:proofErr w:type="spellStart"/>
            <w:r w:rsidRPr="00D4351A">
              <w:rPr>
                <w:sz w:val="21"/>
                <w:szCs w:val="21"/>
              </w:rPr>
              <w:t>Endringar</w:t>
            </w:r>
            <w:proofErr w:type="spellEnd"/>
            <w:r w:rsidRPr="00D4351A">
              <w:rPr>
                <w:sz w:val="21"/>
                <w:szCs w:val="21"/>
              </w:rPr>
              <w:t xml:space="preserve"> i straffelova og legemiddellova</w:t>
            </w:r>
          </w:p>
        </w:tc>
        <w:tc>
          <w:tcPr>
            <w:tcW w:w="1800" w:type="dxa"/>
            <w:tcBorders>
              <w:top w:val="nil"/>
              <w:left w:val="nil"/>
              <w:bottom w:val="nil"/>
              <w:right w:val="nil"/>
            </w:tcBorders>
            <w:tcMar>
              <w:top w:w="128" w:type="dxa"/>
              <w:left w:w="43" w:type="dxa"/>
              <w:bottom w:w="43" w:type="dxa"/>
              <w:right w:w="43" w:type="dxa"/>
            </w:tcMar>
          </w:tcPr>
          <w:p w14:paraId="4283353A" w14:textId="77777777" w:rsidR="00D60186" w:rsidRPr="00D4351A" w:rsidRDefault="00D60186" w:rsidP="00D4351A">
            <w:pPr>
              <w:jc w:val="right"/>
              <w:rPr>
                <w:sz w:val="21"/>
                <w:szCs w:val="21"/>
              </w:rPr>
            </w:pPr>
            <w:r w:rsidRPr="00D4351A">
              <w:rPr>
                <w:sz w:val="21"/>
                <w:szCs w:val="21"/>
              </w:rPr>
              <w:t>Nei</w:t>
            </w:r>
          </w:p>
        </w:tc>
      </w:tr>
      <w:tr w:rsidR="00E76DC8" w:rsidRPr="00225D4D" w14:paraId="03DF6F8D" w14:textId="77777777">
        <w:trPr>
          <w:trHeight w:val="380"/>
        </w:trPr>
        <w:tc>
          <w:tcPr>
            <w:tcW w:w="1240" w:type="dxa"/>
            <w:tcBorders>
              <w:top w:val="nil"/>
              <w:left w:val="nil"/>
              <w:bottom w:val="nil"/>
              <w:right w:val="nil"/>
            </w:tcBorders>
            <w:tcMar>
              <w:top w:w="128" w:type="dxa"/>
              <w:left w:w="43" w:type="dxa"/>
              <w:bottom w:w="43" w:type="dxa"/>
              <w:right w:w="43" w:type="dxa"/>
            </w:tcMar>
          </w:tcPr>
          <w:p w14:paraId="444316BC"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CCBFAFE" w14:textId="77777777" w:rsidR="00D60186" w:rsidRPr="00D4351A" w:rsidRDefault="00D60186" w:rsidP="00D4351A">
            <w:pPr>
              <w:ind w:right="113"/>
              <w:jc w:val="right"/>
              <w:rPr>
                <w:sz w:val="21"/>
                <w:szCs w:val="21"/>
              </w:rPr>
            </w:pPr>
            <w:r w:rsidRPr="00D4351A">
              <w:rPr>
                <w:sz w:val="21"/>
                <w:szCs w:val="21"/>
              </w:rPr>
              <w:t>963</w:t>
            </w:r>
          </w:p>
        </w:tc>
        <w:tc>
          <w:tcPr>
            <w:tcW w:w="5380" w:type="dxa"/>
            <w:tcBorders>
              <w:top w:val="nil"/>
              <w:left w:val="nil"/>
              <w:bottom w:val="nil"/>
              <w:right w:val="nil"/>
            </w:tcBorders>
            <w:tcMar>
              <w:top w:w="128" w:type="dxa"/>
              <w:left w:w="43" w:type="dxa"/>
              <w:bottom w:w="43" w:type="dxa"/>
              <w:right w:w="43" w:type="dxa"/>
            </w:tcMar>
          </w:tcPr>
          <w:p w14:paraId="1868D42B" w14:textId="77777777" w:rsidR="00D60186" w:rsidRPr="00D4351A" w:rsidRDefault="00D60186" w:rsidP="00225D4D">
            <w:pPr>
              <w:rPr>
                <w:sz w:val="21"/>
                <w:szCs w:val="21"/>
              </w:rPr>
            </w:pPr>
            <w:proofErr w:type="spellStart"/>
            <w:r w:rsidRPr="00D4351A">
              <w:rPr>
                <w:sz w:val="21"/>
                <w:szCs w:val="21"/>
              </w:rPr>
              <w:t>Endringar</w:t>
            </w:r>
            <w:proofErr w:type="spellEnd"/>
            <w:r w:rsidRPr="00D4351A">
              <w:rPr>
                <w:sz w:val="21"/>
                <w:szCs w:val="21"/>
              </w:rPr>
              <w:t xml:space="preserve"> i straffelova og legemiddellova</w:t>
            </w:r>
          </w:p>
        </w:tc>
        <w:tc>
          <w:tcPr>
            <w:tcW w:w="1800" w:type="dxa"/>
            <w:tcBorders>
              <w:top w:val="nil"/>
              <w:left w:val="nil"/>
              <w:bottom w:val="nil"/>
              <w:right w:val="nil"/>
            </w:tcBorders>
            <w:tcMar>
              <w:top w:w="128" w:type="dxa"/>
              <w:left w:w="43" w:type="dxa"/>
              <w:bottom w:w="43" w:type="dxa"/>
              <w:right w:w="43" w:type="dxa"/>
            </w:tcMar>
          </w:tcPr>
          <w:p w14:paraId="08A02CB2" w14:textId="77777777" w:rsidR="00D60186" w:rsidRPr="00D4351A" w:rsidRDefault="00D60186" w:rsidP="00D4351A">
            <w:pPr>
              <w:jc w:val="right"/>
              <w:rPr>
                <w:sz w:val="21"/>
                <w:szCs w:val="21"/>
              </w:rPr>
            </w:pPr>
            <w:r w:rsidRPr="00D4351A">
              <w:rPr>
                <w:sz w:val="21"/>
                <w:szCs w:val="21"/>
              </w:rPr>
              <w:t>Nei</w:t>
            </w:r>
          </w:p>
        </w:tc>
      </w:tr>
      <w:tr w:rsidR="00E76DC8" w:rsidRPr="00225D4D" w14:paraId="7EBC6319" w14:textId="77777777">
        <w:trPr>
          <w:trHeight w:val="380"/>
        </w:trPr>
        <w:tc>
          <w:tcPr>
            <w:tcW w:w="1240" w:type="dxa"/>
            <w:tcBorders>
              <w:top w:val="nil"/>
              <w:left w:val="nil"/>
              <w:bottom w:val="nil"/>
              <w:right w:val="nil"/>
            </w:tcBorders>
            <w:tcMar>
              <w:top w:w="128" w:type="dxa"/>
              <w:left w:w="43" w:type="dxa"/>
              <w:bottom w:w="43" w:type="dxa"/>
              <w:right w:w="43" w:type="dxa"/>
            </w:tcMar>
          </w:tcPr>
          <w:p w14:paraId="2DC7214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B539AD2" w14:textId="77777777" w:rsidR="00D60186" w:rsidRPr="00D4351A" w:rsidRDefault="00D60186" w:rsidP="00D4351A">
            <w:pPr>
              <w:ind w:right="113"/>
              <w:jc w:val="right"/>
              <w:rPr>
                <w:sz w:val="21"/>
                <w:szCs w:val="21"/>
              </w:rPr>
            </w:pPr>
            <w:r w:rsidRPr="00D4351A">
              <w:rPr>
                <w:sz w:val="21"/>
                <w:szCs w:val="21"/>
              </w:rPr>
              <w:t>964</w:t>
            </w:r>
          </w:p>
        </w:tc>
        <w:tc>
          <w:tcPr>
            <w:tcW w:w="5380" w:type="dxa"/>
            <w:tcBorders>
              <w:top w:val="nil"/>
              <w:left w:val="nil"/>
              <w:bottom w:val="nil"/>
              <w:right w:val="nil"/>
            </w:tcBorders>
            <w:tcMar>
              <w:top w:w="128" w:type="dxa"/>
              <w:left w:w="43" w:type="dxa"/>
              <w:bottom w:w="43" w:type="dxa"/>
              <w:right w:w="43" w:type="dxa"/>
            </w:tcMar>
          </w:tcPr>
          <w:p w14:paraId="61674CD1" w14:textId="77777777" w:rsidR="00D60186" w:rsidRPr="00D4351A" w:rsidRDefault="00D60186" w:rsidP="00225D4D">
            <w:pPr>
              <w:rPr>
                <w:sz w:val="21"/>
                <w:szCs w:val="21"/>
              </w:rPr>
            </w:pPr>
            <w:proofErr w:type="spellStart"/>
            <w:r w:rsidRPr="00D4351A">
              <w:rPr>
                <w:sz w:val="21"/>
                <w:szCs w:val="21"/>
              </w:rPr>
              <w:t>Endringar</w:t>
            </w:r>
            <w:proofErr w:type="spellEnd"/>
            <w:r w:rsidRPr="00D4351A">
              <w:rPr>
                <w:sz w:val="21"/>
                <w:szCs w:val="21"/>
              </w:rPr>
              <w:t xml:space="preserve"> i straffelova og legemiddellova</w:t>
            </w:r>
          </w:p>
        </w:tc>
        <w:tc>
          <w:tcPr>
            <w:tcW w:w="1800" w:type="dxa"/>
            <w:tcBorders>
              <w:top w:val="nil"/>
              <w:left w:val="nil"/>
              <w:bottom w:val="nil"/>
              <w:right w:val="nil"/>
            </w:tcBorders>
            <w:tcMar>
              <w:top w:w="128" w:type="dxa"/>
              <w:left w:w="43" w:type="dxa"/>
              <w:bottom w:w="43" w:type="dxa"/>
              <w:right w:w="43" w:type="dxa"/>
            </w:tcMar>
          </w:tcPr>
          <w:p w14:paraId="52FAE8A8" w14:textId="77777777" w:rsidR="00D60186" w:rsidRPr="00D4351A" w:rsidRDefault="00D60186" w:rsidP="00D4351A">
            <w:pPr>
              <w:jc w:val="right"/>
              <w:rPr>
                <w:sz w:val="21"/>
                <w:szCs w:val="21"/>
              </w:rPr>
            </w:pPr>
            <w:r w:rsidRPr="00D4351A">
              <w:rPr>
                <w:sz w:val="21"/>
                <w:szCs w:val="21"/>
              </w:rPr>
              <w:t>Nei</w:t>
            </w:r>
          </w:p>
        </w:tc>
      </w:tr>
      <w:tr w:rsidR="00E76DC8" w:rsidRPr="00225D4D" w14:paraId="12094E32" w14:textId="77777777">
        <w:trPr>
          <w:trHeight w:val="640"/>
        </w:trPr>
        <w:tc>
          <w:tcPr>
            <w:tcW w:w="1240" w:type="dxa"/>
            <w:tcBorders>
              <w:top w:val="nil"/>
              <w:left w:val="nil"/>
              <w:bottom w:val="nil"/>
              <w:right w:val="nil"/>
            </w:tcBorders>
            <w:tcMar>
              <w:top w:w="128" w:type="dxa"/>
              <w:left w:w="43" w:type="dxa"/>
              <w:bottom w:w="43" w:type="dxa"/>
              <w:right w:w="43" w:type="dxa"/>
            </w:tcMar>
          </w:tcPr>
          <w:p w14:paraId="1C32AFC5"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F8DCB71" w14:textId="77777777" w:rsidR="00D60186" w:rsidRPr="00D4351A" w:rsidRDefault="00D60186" w:rsidP="00D4351A">
            <w:pPr>
              <w:ind w:right="113"/>
              <w:jc w:val="right"/>
              <w:rPr>
                <w:sz w:val="21"/>
                <w:szCs w:val="21"/>
              </w:rPr>
            </w:pPr>
            <w:r w:rsidRPr="00D4351A">
              <w:rPr>
                <w:sz w:val="21"/>
                <w:szCs w:val="21"/>
              </w:rPr>
              <w:t>966</w:t>
            </w:r>
          </w:p>
        </w:tc>
        <w:tc>
          <w:tcPr>
            <w:tcW w:w="5380" w:type="dxa"/>
            <w:tcBorders>
              <w:top w:val="nil"/>
              <w:left w:val="nil"/>
              <w:bottom w:val="nil"/>
              <w:right w:val="nil"/>
            </w:tcBorders>
            <w:tcMar>
              <w:top w:w="128" w:type="dxa"/>
              <w:left w:w="43" w:type="dxa"/>
              <w:bottom w:w="43" w:type="dxa"/>
              <w:right w:w="43" w:type="dxa"/>
            </w:tcMar>
          </w:tcPr>
          <w:p w14:paraId="5DC294B3" w14:textId="77777777" w:rsidR="00D60186" w:rsidRPr="00D4351A" w:rsidRDefault="00D60186" w:rsidP="00225D4D">
            <w:pPr>
              <w:rPr>
                <w:sz w:val="21"/>
                <w:szCs w:val="21"/>
              </w:rPr>
            </w:pPr>
            <w:r w:rsidRPr="00D4351A">
              <w:rPr>
                <w:sz w:val="21"/>
                <w:szCs w:val="21"/>
              </w:rPr>
              <w:t>Forvaltningslova – personalsaker i interkommunale selskap som enkeltvedtak</w:t>
            </w:r>
          </w:p>
        </w:tc>
        <w:tc>
          <w:tcPr>
            <w:tcW w:w="1800" w:type="dxa"/>
            <w:tcBorders>
              <w:top w:val="nil"/>
              <w:left w:val="nil"/>
              <w:bottom w:val="nil"/>
              <w:right w:val="nil"/>
            </w:tcBorders>
            <w:tcMar>
              <w:top w:w="128" w:type="dxa"/>
              <w:left w:w="43" w:type="dxa"/>
              <w:bottom w:w="43" w:type="dxa"/>
              <w:right w:w="43" w:type="dxa"/>
            </w:tcMar>
          </w:tcPr>
          <w:p w14:paraId="0CCF9164" w14:textId="77777777" w:rsidR="00D60186" w:rsidRPr="00D4351A" w:rsidRDefault="00D60186" w:rsidP="00D4351A">
            <w:pPr>
              <w:jc w:val="right"/>
              <w:rPr>
                <w:sz w:val="21"/>
                <w:szCs w:val="21"/>
              </w:rPr>
            </w:pPr>
            <w:r w:rsidRPr="00D4351A">
              <w:rPr>
                <w:sz w:val="21"/>
                <w:szCs w:val="21"/>
              </w:rPr>
              <w:t>Nei</w:t>
            </w:r>
          </w:p>
        </w:tc>
      </w:tr>
      <w:tr w:rsidR="00E76DC8" w:rsidRPr="00225D4D" w14:paraId="2C4D30F6" w14:textId="77777777">
        <w:trPr>
          <w:trHeight w:val="380"/>
        </w:trPr>
        <w:tc>
          <w:tcPr>
            <w:tcW w:w="1240" w:type="dxa"/>
            <w:tcBorders>
              <w:top w:val="nil"/>
              <w:left w:val="nil"/>
              <w:bottom w:val="nil"/>
              <w:right w:val="nil"/>
            </w:tcBorders>
            <w:tcMar>
              <w:top w:w="128" w:type="dxa"/>
              <w:left w:w="43" w:type="dxa"/>
              <w:bottom w:w="43" w:type="dxa"/>
              <w:right w:w="43" w:type="dxa"/>
            </w:tcMar>
          </w:tcPr>
          <w:p w14:paraId="0A0995B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CC1D7F0" w14:textId="77777777" w:rsidR="00D60186" w:rsidRPr="00D4351A" w:rsidRDefault="00D60186" w:rsidP="00D4351A">
            <w:pPr>
              <w:ind w:right="113"/>
              <w:jc w:val="right"/>
              <w:rPr>
                <w:sz w:val="21"/>
                <w:szCs w:val="21"/>
              </w:rPr>
            </w:pPr>
            <w:r w:rsidRPr="00D4351A">
              <w:rPr>
                <w:sz w:val="21"/>
                <w:szCs w:val="21"/>
              </w:rPr>
              <w:t>967</w:t>
            </w:r>
          </w:p>
        </w:tc>
        <w:tc>
          <w:tcPr>
            <w:tcW w:w="5380" w:type="dxa"/>
            <w:tcBorders>
              <w:top w:val="nil"/>
              <w:left w:val="nil"/>
              <w:bottom w:val="nil"/>
              <w:right w:val="nil"/>
            </w:tcBorders>
            <w:tcMar>
              <w:top w:w="128" w:type="dxa"/>
              <w:left w:w="43" w:type="dxa"/>
              <w:bottom w:w="43" w:type="dxa"/>
              <w:right w:w="43" w:type="dxa"/>
            </w:tcMar>
          </w:tcPr>
          <w:p w14:paraId="2385E416" w14:textId="77777777" w:rsidR="00D60186" w:rsidRPr="00D4351A" w:rsidRDefault="00D60186" w:rsidP="00225D4D">
            <w:pPr>
              <w:rPr>
                <w:sz w:val="21"/>
                <w:szCs w:val="21"/>
              </w:rPr>
            </w:pPr>
            <w:r w:rsidRPr="00D4351A">
              <w:rPr>
                <w:sz w:val="21"/>
                <w:szCs w:val="21"/>
              </w:rPr>
              <w:t>Forvaltningslova – beredskapsheimelen</w:t>
            </w:r>
          </w:p>
        </w:tc>
        <w:tc>
          <w:tcPr>
            <w:tcW w:w="1800" w:type="dxa"/>
            <w:tcBorders>
              <w:top w:val="nil"/>
              <w:left w:val="nil"/>
              <w:bottom w:val="nil"/>
              <w:right w:val="nil"/>
            </w:tcBorders>
            <w:tcMar>
              <w:top w:w="128" w:type="dxa"/>
              <w:left w:w="43" w:type="dxa"/>
              <w:bottom w:w="43" w:type="dxa"/>
              <w:right w:w="43" w:type="dxa"/>
            </w:tcMar>
          </w:tcPr>
          <w:p w14:paraId="628BE7EC" w14:textId="77777777" w:rsidR="00D60186" w:rsidRPr="00D4351A" w:rsidRDefault="00D60186" w:rsidP="00D4351A">
            <w:pPr>
              <w:jc w:val="right"/>
              <w:rPr>
                <w:sz w:val="21"/>
                <w:szCs w:val="21"/>
              </w:rPr>
            </w:pPr>
            <w:r w:rsidRPr="00D4351A">
              <w:rPr>
                <w:sz w:val="21"/>
                <w:szCs w:val="21"/>
              </w:rPr>
              <w:t>Nei</w:t>
            </w:r>
          </w:p>
        </w:tc>
      </w:tr>
      <w:tr w:rsidR="00E76DC8" w:rsidRPr="00225D4D" w14:paraId="25C51922" w14:textId="77777777">
        <w:trPr>
          <w:trHeight w:val="380"/>
        </w:trPr>
        <w:tc>
          <w:tcPr>
            <w:tcW w:w="1240" w:type="dxa"/>
            <w:tcBorders>
              <w:top w:val="nil"/>
              <w:left w:val="nil"/>
              <w:bottom w:val="nil"/>
              <w:right w:val="nil"/>
            </w:tcBorders>
            <w:tcMar>
              <w:top w:w="128" w:type="dxa"/>
              <w:left w:w="43" w:type="dxa"/>
              <w:bottom w:w="43" w:type="dxa"/>
              <w:right w:w="43" w:type="dxa"/>
            </w:tcMar>
          </w:tcPr>
          <w:p w14:paraId="285C1A3F"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067A44C" w14:textId="77777777" w:rsidR="00D60186" w:rsidRPr="00D4351A" w:rsidRDefault="00D60186" w:rsidP="00D4351A">
            <w:pPr>
              <w:ind w:right="113"/>
              <w:jc w:val="right"/>
              <w:rPr>
                <w:sz w:val="21"/>
                <w:szCs w:val="21"/>
              </w:rPr>
            </w:pPr>
            <w:r w:rsidRPr="00D4351A">
              <w:rPr>
                <w:sz w:val="21"/>
                <w:szCs w:val="21"/>
              </w:rPr>
              <w:t>968</w:t>
            </w:r>
          </w:p>
        </w:tc>
        <w:tc>
          <w:tcPr>
            <w:tcW w:w="5380" w:type="dxa"/>
            <w:tcBorders>
              <w:top w:val="nil"/>
              <w:left w:val="nil"/>
              <w:bottom w:val="nil"/>
              <w:right w:val="nil"/>
            </w:tcBorders>
            <w:tcMar>
              <w:top w:w="128" w:type="dxa"/>
              <w:left w:w="43" w:type="dxa"/>
              <w:bottom w:w="43" w:type="dxa"/>
              <w:right w:w="43" w:type="dxa"/>
            </w:tcMar>
          </w:tcPr>
          <w:p w14:paraId="5316E767" w14:textId="77777777" w:rsidR="00D60186" w:rsidRPr="00D4351A" w:rsidRDefault="00D60186" w:rsidP="00225D4D">
            <w:pPr>
              <w:rPr>
                <w:sz w:val="21"/>
                <w:szCs w:val="21"/>
              </w:rPr>
            </w:pPr>
            <w:r w:rsidRPr="00D4351A">
              <w:rPr>
                <w:sz w:val="21"/>
                <w:szCs w:val="21"/>
              </w:rPr>
              <w:t>Forvaltningslova – automatisert saksbehandling</w:t>
            </w:r>
          </w:p>
        </w:tc>
        <w:tc>
          <w:tcPr>
            <w:tcW w:w="1800" w:type="dxa"/>
            <w:tcBorders>
              <w:top w:val="nil"/>
              <w:left w:val="nil"/>
              <w:bottom w:val="nil"/>
              <w:right w:val="nil"/>
            </w:tcBorders>
            <w:tcMar>
              <w:top w:w="128" w:type="dxa"/>
              <w:left w:w="43" w:type="dxa"/>
              <w:bottom w:w="43" w:type="dxa"/>
              <w:right w:w="43" w:type="dxa"/>
            </w:tcMar>
          </w:tcPr>
          <w:p w14:paraId="30B8348F" w14:textId="77777777" w:rsidR="00D60186" w:rsidRPr="00D4351A" w:rsidRDefault="00D60186" w:rsidP="00D4351A">
            <w:pPr>
              <w:jc w:val="right"/>
              <w:rPr>
                <w:sz w:val="21"/>
                <w:szCs w:val="21"/>
              </w:rPr>
            </w:pPr>
            <w:r w:rsidRPr="00D4351A">
              <w:rPr>
                <w:sz w:val="21"/>
                <w:szCs w:val="21"/>
              </w:rPr>
              <w:t>Nei</w:t>
            </w:r>
          </w:p>
        </w:tc>
      </w:tr>
      <w:tr w:rsidR="00E76DC8" w:rsidRPr="00225D4D" w14:paraId="42E2C375" w14:textId="77777777">
        <w:trPr>
          <w:trHeight w:val="380"/>
        </w:trPr>
        <w:tc>
          <w:tcPr>
            <w:tcW w:w="1240" w:type="dxa"/>
            <w:tcBorders>
              <w:top w:val="nil"/>
              <w:left w:val="nil"/>
              <w:bottom w:val="nil"/>
              <w:right w:val="nil"/>
            </w:tcBorders>
            <w:tcMar>
              <w:top w:w="128" w:type="dxa"/>
              <w:left w:w="43" w:type="dxa"/>
              <w:bottom w:w="43" w:type="dxa"/>
              <w:right w:w="43" w:type="dxa"/>
            </w:tcMar>
          </w:tcPr>
          <w:p w14:paraId="1561F64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A3111B3" w14:textId="77777777" w:rsidR="00D60186" w:rsidRPr="00D4351A" w:rsidRDefault="00D60186" w:rsidP="00D4351A">
            <w:pPr>
              <w:ind w:right="113"/>
              <w:jc w:val="right"/>
              <w:rPr>
                <w:sz w:val="21"/>
                <w:szCs w:val="21"/>
              </w:rPr>
            </w:pPr>
            <w:r w:rsidRPr="00D4351A">
              <w:rPr>
                <w:sz w:val="21"/>
                <w:szCs w:val="21"/>
              </w:rPr>
              <w:t>969</w:t>
            </w:r>
          </w:p>
        </w:tc>
        <w:tc>
          <w:tcPr>
            <w:tcW w:w="5380" w:type="dxa"/>
            <w:tcBorders>
              <w:top w:val="nil"/>
              <w:left w:val="nil"/>
              <w:bottom w:val="nil"/>
              <w:right w:val="nil"/>
            </w:tcBorders>
            <w:tcMar>
              <w:top w:w="128" w:type="dxa"/>
              <w:left w:w="43" w:type="dxa"/>
              <w:bottom w:w="43" w:type="dxa"/>
              <w:right w:w="43" w:type="dxa"/>
            </w:tcMar>
          </w:tcPr>
          <w:p w14:paraId="7780E40E" w14:textId="77777777" w:rsidR="00D60186" w:rsidRPr="00D4351A" w:rsidRDefault="00D60186" w:rsidP="00225D4D">
            <w:pPr>
              <w:rPr>
                <w:sz w:val="21"/>
                <w:szCs w:val="21"/>
              </w:rPr>
            </w:pPr>
            <w:r w:rsidRPr="00D4351A">
              <w:rPr>
                <w:sz w:val="21"/>
                <w:szCs w:val="21"/>
              </w:rPr>
              <w:t xml:space="preserve">Forvaltningslova – rettleiingsplikta </w:t>
            </w:r>
          </w:p>
        </w:tc>
        <w:tc>
          <w:tcPr>
            <w:tcW w:w="1800" w:type="dxa"/>
            <w:tcBorders>
              <w:top w:val="nil"/>
              <w:left w:val="nil"/>
              <w:bottom w:val="nil"/>
              <w:right w:val="nil"/>
            </w:tcBorders>
            <w:tcMar>
              <w:top w:w="128" w:type="dxa"/>
              <w:left w:w="43" w:type="dxa"/>
              <w:bottom w:w="43" w:type="dxa"/>
              <w:right w:w="43" w:type="dxa"/>
            </w:tcMar>
          </w:tcPr>
          <w:p w14:paraId="26B9D9BC" w14:textId="77777777" w:rsidR="00D60186" w:rsidRPr="00D4351A" w:rsidRDefault="00D60186" w:rsidP="00D4351A">
            <w:pPr>
              <w:jc w:val="right"/>
              <w:rPr>
                <w:sz w:val="21"/>
                <w:szCs w:val="21"/>
              </w:rPr>
            </w:pPr>
            <w:r w:rsidRPr="00D4351A">
              <w:rPr>
                <w:sz w:val="21"/>
                <w:szCs w:val="21"/>
              </w:rPr>
              <w:t>Nei</w:t>
            </w:r>
          </w:p>
        </w:tc>
      </w:tr>
      <w:tr w:rsidR="00E76DC8" w:rsidRPr="00225D4D" w14:paraId="58DDF1F8" w14:textId="77777777">
        <w:trPr>
          <w:trHeight w:val="380"/>
        </w:trPr>
        <w:tc>
          <w:tcPr>
            <w:tcW w:w="1240" w:type="dxa"/>
            <w:tcBorders>
              <w:top w:val="nil"/>
              <w:left w:val="nil"/>
              <w:bottom w:val="nil"/>
              <w:right w:val="nil"/>
            </w:tcBorders>
            <w:tcMar>
              <w:top w:w="128" w:type="dxa"/>
              <w:left w:w="43" w:type="dxa"/>
              <w:bottom w:w="43" w:type="dxa"/>
              <w:right w:w="43" w:type="dxa"/>
            </w:tcMar>
          </w:tcPr>
          <w:p w14:paraId="10714842"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4EDBCE7" w14:textId="77777777" w:rsidR="00D60186" w:rsidRPr="00D4351A" w:rsidRDefault="00D60186" w:rsidP="00D4351A">
            <w:pPr>
              <w:ind w:right="113"/>
              <w:jc w:val="right"/>
              <w:rPr>
                <w:sz w:val="21"/>
                <w:szCs w:val="21"/>
              </w:rPr>
            </w:pPr>
            <w:r w:rsidRPr="00D4351A">
              <w:rPr>
                <w:sz w:val="21"/>
                <w:szCs w:val="21"/>
              </w:rPr>
              <w:t>970</w:t>
            </w:r>
          </w:p>
        </w:tc>
        <w:tc>
          <w:tcPr>
            <w:tcW w:w="5380" w:type="dxa"/>
            <w:tcBorders>
              <w:top w:val="nil"/>
              <w:left w:val="nil"/>
              <w:bottom w:val="nil"/>
              <w:right w:val="nil"/>
            </w:tcBorders>
            <w:tcMar>
              <w:top w:w="128" w:type="dxa"/>
              <w:left w:w="43" w:type="dxa"/>
              <w:bottom w:w="43" w:type="dxa"/>
              <w:right w:w="43" w:type="dxa"/>
            </w:tcMar>
          </w:tcPr>
          <w:p w14:paraId="0F74DB36" w14:textId="77777777" w:rsidR="00D60186" w:rsidRPr="00D4351A" w:rsidRDefault="00D60186" w:rsidP="00225D4D">
            <w:pPr>
              <w:rPr>
                <w:sz w:val="21"/>
                <w:szCs w:val="21"/>
              </w:rPr>
            </w:pPr>
            <w:r w:rsidRPr="00D4351A">
              <w:rPr>
                <w:sz w:val="21"/>
                <w:szCs w:val="21"/>
              </w:rPr>
              <w:t xml:space="preserve">Forvaltningslova – saksbehandlingstid </w:t>
            </w:r>
          </w:p>
        </w:tc>
        <w:tc>
          <w:tcPr>
            <w:tcW w:w="1800" w:type="dxa"/>
            <w:tcBorders>
              <w:top w:val="nil"/>
              <w:left w:val="nil"/>
              <w:bottom w:val="nil"/>
              <w:right w:val="nil"/>
            </w:tcBorders>
            <w:tcMar>
              <w:top w:w="128" w:type="dxa"/>
              <w:left w:w="43" w:type="dxa"/>
              <w:bottom w:w="43" w:type="dxa"/>
              <w:right w:w="43" w:type="dxa"/>
            </w:tcMar>
          </w:tcPr>
          <w:p w14:paraId="110A72AC" w14:textId="77777777" w:rsidR="00D60186" w:rsidRPr="00D4351A" w:rsidRDefault="00D60186" w:rsidP="00D4351A">
            <w:pPr>
              <w:jc w:val="right"/>
              <w:rPr>
                <w:sz w:val="21"/>
                <w:szCs w:val="21"/>
              </w:rPr>
            </w:pPr>
            <w:r w:rsidRPr="00D4351A">
              <w:rPr>
                <w:sz w:val="21"/>
                <w:szCs w:val="21"/>
              </w:rPr>
              <w:t>Nei</w:t>
            </w:r>
          </w:p>
        </w:tc>
      </w:tr>
      <w:tr w:rsidR="00E76DC8" w:rsidRPr="00225D4D" w14:paraId="60178740" w14:textId="77777777">
        <w:trPr>
          <w:trHeight w:val="380"/>
        </w:trPr>
        <w:tc>
          <w:tcPr>
            <w:tcW w:w="1240" w:type="dxa"/>
            <w:tcBorders>
              <w:top w:val="nil"/>
              <w:left w:val="nil"/>
              <w:bottom w:val="nil"/>
              <w:right w:val="nil"/>
            </w:tcBorders>
            <w:tcMar>
              <w:top w:w="128" w:type="dxa"/>
              <w:left w:w="43" w:type="dxa"/>
              <w:bottom w:w="43" w:type="dxa"/>
              <w:right w:w="43" w:type="dxa"/>
            </w:tcMar>
          </w:tcPr>
          <w:p w14:paraId="5598ADDB"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D528093" w14:textId="77777777" w:rsidR="00D60186" w:rsidRPr="00D4351A" w:rsidRDefault="00D60186" w:rsidP="00D4351A">
            <w:pPr>
              <w:ind w:right="113"/>
              <w:jc w:val="right"/>
              <w:rPr>
                <w:sz w:val="21"/>
                <w:szCs w:val="21"/>
              </w:rPr>
            </w:pPr>
            <w:r w:rsidRPr="00D4351A">
              <w:rPr>
                <w:sz w:val="21"/>
                <w:szCs w:val="21"/>
              </w:rPr>
              <w:t>971</w:t>
            </w:r>
          </w:p>
        </w:tc>
        <w:tc>
          <w:tcPr>
            <w:tcW w:w="5380" w:type="dxa"/>
            <w:tcBorders>
              <w:top w:val="nil"/>
              <w:left w:val="nil"/>
              <w:bottom w:val="nil"/>
              <w:right w:val="nil"/>
            </w:tcBorders>
            <w:tcMar>
              <w:top w:w="128" w:type="dxa"/>
              <w:left w:w="43" w:type="dxa"/>
              <w:bottom w:w="43" w:type="dxa"/>
              <w:right w:w="43" w:type="dxa"/>
            </w:tcMar>
          </w:tcPr>
          <w:p w14:paraId="411B7553" w14:textId="77777777" w:rsidR="00D60186" w:rsidRPr="00D4351A" w:rsidRDefault="00D60186" w:rsidP="00225D4D">
            <w:pPr>
              <w:rPr>
                <w:sz w:val="21"/>
                <w:szCs w:val="21"/>
              </w:rPr>
            </w:pPr>
            <w:r w:rsidRPr="00D4351A">
              <w:rPr>
                <w:sz w:val="21"/>
                <w:szCs w:val="21"/>
              </w:rPr>
              <w:t xml:space="preserve">Forvaltningslova – administrative </w:t>
            </w:r>
            <w:proofErr w:type="spellStart"/>
            <w:r w:rsidRPr="00D4351A">
              <w:rPr>
                <w:sz w:val="21"/>
                <w:szCs w:val="21"/>
              </w:rPr>
              <w:t>sanksjonar</w:t>
            </w:r>
            <w:proofErr w:type="spellEnd"/>
            <w:r w:rsidRPr="00D4351A">
              <w:rPr>
                <w:sz w:val="21"/>
                <w:szCs w:val="21"/>
              </w:rPr>
              <w:t xml:space="preserve"> </w:t>
            </w:r>
          </w:p>
        </w:tc>
        <w:tc>
          <w:tcPr>
            <w:tcW w:w="1800" w:type="dxa"/>
            <w:tcBorders>
              <w:top w:val="nil"/>
              <w:left w:val="nil"/>
              <w:bottom w:val="nil"/>
              <w:right w:val="nil"/>
            </w:tcBorders>
            <w:tcMar>
              <w:top w:w="128" w:type="dxa"/>
              <w:left w:w="43" w:type="dxa"/>
              <w:bottom w:w="43" w:type="dxa"/>
              <w:right w:w="43" w:type="dxa"/>
            </w:tcMar>
          </w:tcPr>
          <w:p w14:paraId="5570B689" w14:textId="77777777" w:rsidR="00D60186" w:rsidRPr="00D4351A" w:rsidRDefault="00D60186" w:rsidP="00D4351A">
            <w:pPr>
              <w:jc w:val="right"/>
              <w:rPr>
                <w:sz w:val="21"/>
                <w:szCs w:val="21"/>
              </w:rPr>
            </w:pPr>
            <w:r w:rsidRPr="00D4351A">
              <w:rPr>
                <w:sz w:val="21"/>
                <w:szCs w:val="21"/>
              </w:rPr>
              <w:t>Nei</w:t>
            </w:r>
          </w:p>
        </w:tc>
      </w:tr>
      <w:tr w:rsidR="00E76DC8" w:rsidRPr="00225D4D" w14:paraId="490CC92E" w14:textId="77777777">
        <w:trPr>
          <w:trHeight w:val="380"/>
        </w:trPr>
        <w:tc>
          <w:tcPr>
            <w:tcW w:w="1240" w:type="dxa"/>
            <w:tcBorders>
              <w:top w:val="nil"/>
              <w:left w:val="nil"/>
              <w:bottom w:val="nil"/>
              <w:right w:val="nil"/>
            </w:tcBorders>
            <w:tcMar>
              <w:top w:w="128" w:type="dxa"/>
              <w:left w:w="43" w:type="dxa"/>
              <w:bottom w:w="43" w:type="dxa"/>
              <w:right w:w="43" w:type="dxa"/>
            </w:tcMar>
          </w:tcPr>
          <w:p w14:paraId="01AC8828"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2F01B34" w14:textId="77777777" w:rsidR="00D60186" w:rsidRPr="00D4351A" w:rsidRDefault="00D60186" w:rsidP="00D4351A">
            <w:pPr>
              <w:ind w:right="113"/>
              <w:jc w:val="right"/>
              <w:rPr>
                <w:sz w:val="21"/>
                <w:szCs w:val="21"/>
              </w:rPr>
            </w:pPr>
            <w:r w:rsidRPr="00D4351A">
              <w:rPr>
                <w:sz w:val="21"/>
                <w:szCs w:val="21"/>
              </w:rPr>
              <w:t>972</w:t>
            </w:r>
          </w:p>
        </w:tc>
        <w:tc>
          <w:tcPr>
            <w:tcW w:w="5380" w:type="dxa"/>
            <w:tcBorders>
              <w:top w:val="nil"/>
              <w:left w:val="nil"/>
              <w:bottom w:val="nil"/>
              <w:right w:val="nil"/>
            </w:tcBorders>
            <w:tcMar>
              <w:top w:w="128" w:type="dxa"/>
              <w:left w:w="43" w:type="dxa"/>
              <w:bottom w:w="43" w:type="dxa"/>
              <w:right w:w="43" w:type="dxa"/>
            </w:tcMar>
          </w:tcPr>
          <w:p w14:paraId="60508E54" w14:textId="77777777" w:rsidR="00D60186" w:rsidRPr="00D4351A" w:rsidRDefault="00D60186" w:rsidP="00225D4D">
            <w:pPr>
              <w:rPr>
                <w:sz w:val="21"/>
                <w:szCs w:val="21"/>
              </w:rPr>
            </w:pPr>
            <w:r w:rsidRPr="00D4351A">
              <w:rPr>
                <w:sz w:val="21"/>
                <w:szCs w:val="21"/>
              </w:rPr>
              <w:t xml:space="preserve">Forvaltningslova – alternativ til digitale </w:t>
            </w:r>
            <w:proofErr w:type="spellStart"/>
            <w:r w:rsidRPr="00D4351A">
              <w:rPr>
                <w:sz w:val="21"/>
                <w:szCs w:val="21"/>
              </w:rPr>
              <w:t>løysingar</w:t>
            </w:r>
            <w:proofErr w:type="spellEnd"/>
          </w:p>
        </w:tc>
        <w:tc>
          <w:tcPr>
            <w:tcW w:w="1800" w:type="dxa"/>
            <w:tcBorders>
              <w:top w:val="nil"/>
              <w:left w:val="nil"/>
              <w:bottom w:val="nil"/>
              <w:right w:val="nil"/>
            </w:tcBorders>
            <w:tcMar>
              <w:top w:w="128" w:type="dxa"/>
              <w:left w:w="43" w:type="dxa"/>
              <w:bottom w:w="43" w:type="dxa"/>
              <w:right w:w="43" w:type="dxa"/>
            </w:tcMar>
          </w:tcPr>
          <w:p w14:paraId="0D7127B3" w14:textId="77777777" w:rsidR="00D60186" w:rsidRPr="00D4351A" w:rsidRDefault="00D60186" w:rsidP="00D4351A">
            <w:pPr>
              <w:jc w:val="right"/>
              <w:rPr>
                <w:sz w:val="21"/>
                <w:szCs w:val="21"/>
              </w:rPr>
            </w:pPr>
            <w:r w:rsidRPr="00D4351A">
              <w:rPr>
                <w:sz w:val="21"/>
                <w:szCs w:val="21"/>
              </w:rPr>
              <w:t>Nei</w:t>
            </w:r>
          </w:p>
        </w:tc>
      </w:tr>
      <w:tr w:rsidR="00E76DC8" w:rsidRPr="00225D4D" w14:paraId="155F9BDE" w14:textId="77777777">
        <w:trPr>
          <w:trHeight w:val="380"/>
        </w:trPr>
        <w:tc>
          <w:tcPr>
            <w:tcW w:w="1240" w:type="dxa"/>
            <w:tcBorders>
              <w:top w:val="nil"/>
              <w:left w:val="nil"/>
              <w:bottom w:val="nil"/>
              <w:right w:val="nil"/>
            </w:tcBorders>
            <w:tcMar>
              <w:top w:w="128" w:type="dxa"/>
              <w:left w:w="43" w:type="dxa"/>
              <w:bottom w:w="43" w:type="dxa"/>
              <w:right w:w="43" w:type="dxa"/>
            </w:tcMar>
          </w:tcPr>
          <w:p w14:paraId="0A8ECAAC" w14:textId="77777777" w:rsidR="00D60186" w:rsidRPr="00D4351A" w:rsidRDefault="00D60186" w:rsidP="00225D4D">
            <w:pPr>
              <w:rPr>
                <w:sz w:val="21"/>
                <w:szCs w:val="21"/>
              </w:rPr>
            </w:pPr>
            <w:r w:rsidRPr="00D4351A">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301DD9C" w14:textId="77777777" w:rsidR="00D60186" w:rsidRPr="00D4351A" w:rsidRDefault="00D60186" w:rsidP="00D4351A">
            <w:pPr>
              <w:ind w:right="113"/>
              <w:jc w:val="right"/>
              <w:rPr>
                <w:sz w:val="21"/>
                <w:szCs w:val="21"/>
              </w:rPr>
            </w:pPr>
            <w:r w:rsidRPr="00D4351A">
              <w:rPr>
                <w:sz w:val="21"/>
                <w:szCs w:val="21"/>
              </w:rPr>
              <w:t>1061</w:t>
            </w:r>
          </w:p>
        </w:tc>
        <w:tc>
          <w:tcPr>
            <w:tcW w:w="5380" w:type="dxa"/>
            <w:tcBorders>
              <w:top w:val="nil"/>
              <w:left w:val="nil"/>
              <w:bottom w:val="nil"/>
              <w:right w:val="nil"/>
            </w:tcBorders>
            <w:tcMar>
              <w:top w:w="128" w:type="dxa"/>
              <w:left w:w="43" w:type="dxa"/>
              <w:bottom w:w="43" w:type="dxa"/>
              <w:right w:w="43" w:type="dxa"/>
            </w:tcMar>
          </w:tcPr>
          <w:p w14:paraId="199F7B32" w14:textId="77777777" w:rsidR="00D60186" w:rsidRPr="00D4351A" w:rsidRDefault="00D60186" w:rsidP="00225D4D">
            <w:pPr>
              <w:rPr>
                <w:sz w:val="21"/>
                <w:szCs w:val="21"/>
              </w:rPr>
            </w:pPr>
            <w:r w:rsidRPr="00D4351A">
              <w:rPr>
                <w:sz w:val="21"/>
                <w:szCs w:val="21"/>
              </w:rPr>
              <w:t>Generell væpning av norsk politi</w:t>
            </w:r>
          </w:p>
        </w:tc>
        <w:tc>
          <w:tcPr>
            <w:tcW w:w="1800" w:type="dxa"/>
            <w:tcBorders>
              <w:top w:val="nil"/>
              <w:left w:val="nil"/>
              <w:bottom w:val="nil"/>
              <w:right w:val="nil"/>
            </w:tcBorders>
            <w:tcMar>
              <w:top w:w="128" w:type="dxa"/>
              <w:left w:w="43" w:type="dxa"/>
              <w:bottom w:w="43" w:type="dxa"/>
              <w:right w:w="43" w:type="dxa"/>
            </w:tcMar>
          </w:tcPr>
          <w:p w14:paraId="1645F89F" w14:textId="77777777" w:rsidR="00D60186" w:rsidRPr="00D4351A" w:rsidRDefault="00D60186" w:rsidP="00D4351A">
            <w:pPr>
              <w:jc w:val="right"/>
              <w:rPr>
                <w:sz w:val="21"/>
                <w:szCs w:val="21"/>
              </w:rPr>
            </w:pPr>
            <w:r w:rsidRPr="00D4351A">
              <w:rPr>
                <w:sz w:val="21"/>
                <w:szCs w:val="21"/>
              </w:rPr>
              <w:t>Nei</w:t>
            </w:r>
          </w:p>
        </w:tc>
      </w:tr>
      <w:tr w:rsidR="00E76DC8" w:rsidRPr="00225D4D" w14:paraId="5E4F69D6" w14:textId="77777777">
        <w:trPr>
          <w:trHeight w:val="640"/>
        </w:trPr>
        <w:tc>
          <w:tcPr>
            <w:tcW w:w="1240" w:type="dxa"/>
            <w:tcBorders>
              <w:top w:val="nil"/>
              <w:left w:val="nil"/>
              <w:bottom w:val="nil"/>
              <w:right w:val="nil"/>
            </w:tcBorders>
            <w:tcMar>
              <w:top w:w="128" w:type="dxa"/>
              <w:left w:w="43" w:type="dxa"/>
              <w:bottom w:w="43" w:type="dxa"/>
              <w:right w:w="43" w:type="dxa"/>
            </w:tcMar>
          </w:tcPr>
          <w:p w14:paraId="0FEB5EA8" w14:textId="77777777" w:rsidR="00D60186" w:rsidRPr="00D4351A" w:rsidRDefault="00D60186" w:rsidP="00225D4D">
            <w:pPr>
              <w:rPr>
                <w:sz w:val="21"/>
                <w:szCs w:val="21"/>
              </w:rPr>
            </w:pPr>
            <w:r w:rsidRPr="00D4351A">
              <w:rPr>
                <w:sz w:val="21"/>
                <w:szCs w:val="21"/>
              </w:rPr>
              <w:t xml:space="preserve">2024–2025 </w:t>
            </w:r>
          </w:p>
        </w:tc>
        <w:tc>
          <w:tcPr>
            <w:tcW w:w="1120" w:type="dxa"/>
            <w:tcBorders>
              <w:top w:val="nil"/>
              <w:left w:val="nil"/>
              <w:bottom w:val="nil"/>
              <w:right w:val="nil"/>
            </w:tcBorders>
            <w:tcMar>
              <w:top w:w="128" w:type="dxa"/>
              <w:left w:w="43" w:type="dxa"/>
              <w:bottom w:w="43" w:type="dxa"/>
              <w:right w:w="43" w:type="dxa"/>
            </w:tcMar>
          </w:tcPr>
          <w:p w14:paraId="539AFFB0" w14:textId="77777777" w:rsidR="00D60186" w:rsidRPr="00D4351A" w:rsidRDefault="00D60186" w:rsidP="00D4351A">
            <w:pPr>
              <w:ind w:right="113"/>
              <w:jc w:val="right"/>
              <w:rPr>
                <w:sz w:val="21"/>
                <w:szCs w:val="21"/>
              </w:rPr>
            </w:pPr>
            <w:r w:rsidRPr="00D4351A">
              <w:rPr>
                <w:sz w:val="21"/>
                <w:szCs w:val="21"/>
              </w:rPr>
              <w:t>1219</w:t>
            </w:r>
          </w:p>
        </w:tc>
        <w:tc>
          <w:tcPr>
            <w:tcW w:w="5380" w:type="dxa"/>
            <w:tcBorders>
              <w:top w:val="nil"/>
              <w:left w:val="nil"/>
              <w:bottom w:val="nil"/>
              <w:right w:val="nil"/>
            </w:tcBorders>
            <w:tcMar>
              <w:top w:w="128" w:type="dxa"/>
              <w:left w:w="43" w:type="dxa"/>
              <w:bottom w:w="43" w:type="dxa"/>
              <w:right w:w="43" w:type="dxa"/>
            </w:tcMar>
          </w:tcPr>
          <w:p w14:paraId="7C4FE6AA" w14:textId="77777777" w:rsidR="00D60186" w:rsidRPr="00D4351A" w:rsidRDefault="00D60186" w:rsidP="00225D4D">
            <w:pPr>
              <w:rPr>
                <w:sz w:val="21"/>
                <w:szCs w:val="21"/>
              </w:rPr>
            </w:pPr>
            <w:proofErr w:type="spellStart"/>
            <w:r w:rsidRPr="00D4351A">
              <w:rPr>
                <w:sz w:val="21"/>
                <w:szCs w:val="21"/>
              </w:rPr>
              <w:t>Strengare</w:t>
            </w:r>
            <w:proofErr w:type="spellEnd"/>
            <w:r w:rsidRPr="00D4351A">
              <w:rPr>
                <w:sz w:val="21"/>
                <w:szCs w:val="21"/>
              </w:rPr>
              <w:t xml:space="preserve"> og </w:t>
            </w:r>
            <w:proofErr w:type="spellStart"/>
            <w:r w:rsidRPr="00D4351A">
              <w:rPr>
                <w:sz w:val="21"/>
                <w:szCs w:val="21"/>
              </w:rPr>
              <w:t>meir</w:t>
            </w:r>
            <w:proofErr w:type="spellEnd"/>
            <w:r w:rsidRPr="00D4351A">
              <w:rPr>
                <w:sz w:val="21"/>
                <w:szCs w:val="21"/>
              </w:rPr>
              <w:t xml:space="preserve"> effektiv praksis for bortvising, utvising og utsending</w:t>
            </w:r>
          </w:p>
        </w:tc>
        <w:tc>
          <w:tcPr>
            <w:tcW w:w="1800" w:type="dxa"/>
            <w:tcBorders>
              <w:top w:val="nil"/>
              <w:left w:val="nil"/>
              <w:bottom w:val="nil"/>
              <w:right w:val="nil"/>
            </w:tcBorders>
            <w:tcMar>
              <w:top w:w="128" w:type="dxa"/>
              <w:left w:w="43" w:type="dxa"/>
              <w:bottom w:w="43" w:type="dxa"/>
              <w:right w:w="43" w:type="dxa"/>
            </w:tcMar>
          </w:tcPr>
          <w:p w14:paraId="2050FEE5" w14:textId="77777777" w:rsidR="00D60186" w:rsidRPr="00D4351A" w:rsidRDefault="00D60186" w:rsidP="00D4351A">
            <w:pPr>
              <w:jc w:val="right"/>
              <w:rPr>
                <w:sz w:val="21"/>
                <w:szCs w:val="21"/>
              </w:rPr>
            </w:pPr>
            <w:r w:rsidRPr="00D4351A">
              <w:rPr>
                <w:sz w:val="21"/>
                <w:szCs w:val="21"/>
              </w:rPr>
              <w:t xml:space="preserve">Ja </w:t>
            </w:r>
          </w:p>
        </w:tc>
      </w:tr>
      <w:tr w:rsidR="00E76DC8" w:rsidRPr="00225D4D" w14:paraId="39006265" w14:textId="77777777">
        <w:trPr>
          <w:trHeight w:val="640"/>
        </w:trPr>
        <w:tc>
          <w:tcPr>
            <w:tcW w:w="1240" w:type="dxa"/>
            <w:tcBorders>
              <w:top w:val="nil"/>
              <w:left w:val="nil"/>
              <w:bottom w:val="nil"/>
              <w:right w:val="nil"/>
            </w:tcBorders>
            <w:tcMar>
              <w:top w:w="128" w:type="dxa"/>
              <w:left w:w="43" w:type="dxa"/>
              <w:bottom w:w="43" w:type="dxa"/>
              <w:right w:w="43" w:type="dxa"/>
            </w:tcMar>
          </w:tcPr>
          <w:p w14:paraId="279C1DFF" w14:textId="77777777" w:rsidR="00D60186" w:rsidRPr="00D4351A" w:rsidRDefault="00D60186" w:rsidP="00225D4D">
            <w:pPr>
              <w:rPr>
                <w:sz w:val="21"/>
                <w:szCs w:val="21"/>
              </w:rPr>
            </w:pPr>
            <w:r w:rsidRPr="00D4351A">
              <w:rPr>
                <w:sz w:val="21"/>
                <w:szCs w:val="21"/>
              </w:rPr>
              <w:t xml:space="preserve">2024–2025 </w:t>
            </w:r>
          </w:p>
        </w:tc>
        <w:tc>
          <w:tcPr>
            <w:tcW w:w="1120" w:type="dxa"/>
            <w:tcBorders>
              <w:top w:val="nil"/>
              <w:left w:val="nil"/>
              <w:bottom w:val="nil"/>
              <w:right w:val="nil"/>
            </w:tcBorders>
            <w:tcMar>
              <w:top w:w="128" w:type="dxa"/>
              <w:left w:w="43" w:type="dxa"/>
              <w:bottom w:w="43" w:type="dxa"/>
              <w:right w:w="43" w:type="dxa"/>
            </w:tcMar>
          </w:tcPr>
          <w:p w14:paraId="2B377EA7" w14:textId="77777777" w:rsidR="00D60186" w:rsidRPr="00D4351A" w:rsidRDefault="00D60186" w:rsidP="00D4351A">
            <w:pPr>
              <w:ind w:right="113"/>
              <w:jc w:val="right"/>
              <w:rPr>
                <w:sz w:val="21"/>
                <w:szCs w:val="21"/>
              </w:rPr>
            </w:pPr>
            <w:r w:rsidRPr="00D4351A">
              <w:rPr>
                <w:sz w:val="21"/>
                <w:szCs w:val="21"/>
              </w:rPr>
              <w:t>1220</w:t>
            </w:r>
          </w:p>
        </w:tc>
        <w:tc>
          <w:tcPr>
            <w:tcW w:w="5380" w:type="dxa"/>
            <w:tcBorders>
              <w:top w:val="nil"/>
              <w:left w:val="nil"/>
              <w:bottom w:val="nil"/>
              <w:right w:val="nil"/>
            </w:tcBorders>
            <w:tcMar>
              <w:top w:w="128" w:type="dxa"/>
              <w:left w:w="43" w:type="dxa"/>
              <w:bottom w:w="43" w:type="dxa"/>
              <w:right w:w="43" w:type="dxa"/>
            </w:tcMar>
          </w:tcPr>
          <w:p w14:paraId="0B029D4B" w14:textId="77777777" w:rsidR="00D60186" w:rsidRPr="00D4351A" w:rsidRDefault="00D60186" w:rsidP="00225D4D">
            <w:pPr>
              <w:rPr>
                <w:sz w:val="21"/>
                <w:szCs w:val="21"/>
              </w:rPr>
            </w:pPr>
            <w:r w:rsidRPr="00D4351A">
              <w:rPr>
                <w:sz w:val="21"/>
                <w:szCs w:val="21"/>
              </w:rPr>
              <w:t xml:space="preserve">Prioritering av utvising ved </w:t>
            </w:r>
            <w:proofErr w:type="spellStart"/>
            <w:r w:rsidRPr="00D4351A">
              <w:rPr>
                <w:sz w:val="21"/>
                <w:szCs w:val="21"/>
              </w:rPr>
              <w:t>alvorleg</w:t>
            </w:r>
            <w:proofErr w:type="spellEnd"/>
            <w:r w:rsidRPr="00D4351A">
              <w:rPr>
                <w:sz w:val="21"/>
                <w:szCs w:val="21"/>
              </w:rPr>
              <w:t xml:space="preserve"> og gjenteken kriminalitet</w:t>
            </w:r>
          </w:p>
        </w:tc>
        <w:tc>
          <w:tcPr>
            <w:tcW w:w="1800" w:type="dxa"/>
            <w:tcBorders>
              <w:top w:val="nil"/>
              <w:left w:val="nil"/>
              <w:bottom w:val="nil"/>
              <w:right w:val="nil"/>
            </w:tcBorders>
            <w:tcMar>
              <w:top w:w="128" w:type="dxa"/>
              <w:left w:w="43" w:type="dxa"/>
              <w:bottom w:w="43" w:type="dxa"/>
              <w:right w:w="43" w:type="dxa"/>
            </w:tcMar>
          </w:tcPr>
          <w:p w14:paraId="7E590ACD" w14:textId="77777777" w:rsidR="00D60186" w:rsidRPr="00D4351A" w:rsidRDefault="00D60186" w:rsidP="00D4351A">
            <w:pPr>
              <w:jc w:val="right"/>
              <w:rPr>
                <w:sz w:val="21"/>
                <w:szCs w:val="21"/>
              </w:rPr>
            </w:pPr>
            <w:r w:rsidRPr="00D4351A">
              <w:rPr>
                <w:sz w:val="21"/>
                <w:szCs w:val="21"/>
              </w:rPr>
              <w:t>Ja</w:t>
            </w:r>
          </w:p>
        </w:tc>
      </w:tr>
      <w:tr w:rsidR="00E76DC8" w:rsidRPr="00225D4D" w14:paraId="22438D45" w14:textId="77777777">
        <w:trPr>
          <w:trHeight w:val="380"/>
        </w:trPr>
        <w:tc>
          <w:tcPr>
            <w:tcW w:w="1240" w:type="dxa"/>
            <w:tcBorders>
              <w:top w:val="nil"/>
              <w:left w:val="nil"/>
              <w:bottom w:val="nil"/>
              <w:right w:val="nil"/>
            </w:tcBorders>
            <w:tcMar>
              <w:top w:w="128" w:type="dxa"/>
              <w:left w:w="43" w:type="dxa"/>
              <w:bottom w:w="43" w:type="dxa"/>
              <w:right w:w="43" w:type="dxa"/>
            </w:tcMar>
          </w:tcPr>
          <w:p w14:paraId="5ECB8359"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407AD230" w14:textId="77777777" w:rsidR="00D60186" w:rsidRPr="00D4351A" w:rsidRDefault="00D60186" w:rsidP="00D4351A">
            <w:pPr>
              <w:ind w:right="113"/>
              <w:jc w:val="right"/>
              <w:rPr>
                <w:sz w:val="21"/>
                <w:szCs w:val="21"/>
              </w:rPr>
            </w:pPr>
            <w:r w:rsidRPr="00D4351A">
              <w:rPr>
                <w:sz w:val="21"/>
                <w:szCs w:val="21"/>
              </w:rPr>
              <w:t>70</w:t>
            </w:r>
          </w:p>
        </w:tc>
        <w:tc>
          <w:tcPr>
            <w:tcW w:w="5380" w:type="dxa"/>
            <w:tcBorders>
              <w:top w:val="nil"/>
              <w:left w:val="nil"/>
              <w:bottom w:val="nil"/>
              <w:right w:val="nil"/>
            </w:tcBorders>
            <w:tcMar>
              <w:top w:w="128" w:type="dxa"/>
              <w:left w:w="43" w:type="dxa"/>
              <w:bottom w:w="43" w:type="dxa"/>
              <w:right w:w="43" w:type="dxa"/>
            </w:tcMar>
          </w:tcPr>
          <w:p w14:paraId="42DE41A5" w14:textId="77777777" w:rsidR="00D60186" w:rsidRPr="00D4351A" w:rsidRDefault="00D60186" w:rsidP="00225D4D">
            <w:pPr>
              <w:rPr>
                <w:sz w:val="21"/>
                <w:szCs w:val="21"/>
              </w:rPr>
            </w:pPr>
            <w:r w:rsidRPr="00D4351A">
              <w:rPr>
                <w:sz w:val="21"/>
                <w:szCs w:val="21"/>
              </w:rPr>
              <w:t>Fritt rettsråd ved utvising av utlending</w:t>
            </w:r>
          </w:p>
        </w:tc>
        <w:tc>
          <w:tcPr>
            <w:tcW w:w="1800" w:type="dxa"/>
            <w:tcBorders>
              <w:top w:val="nil"/>
              <w:left w:val="nil"/>
              <w:bottom w:val="nil"/>
              <w:right w:val="nil"/>
            </w:tcBorders>
            <w:tcMar>
              <w:top w:w="128" w:type="dxa"/>
              <w:left w:w="43" w:type="dxa"/>
              <w:bottom w:w="43" w:type="dxa"/>
              <w:right w:w="43" w:type="dxa"/>
            </w:tcMar>
          </w:tcPr>
          <w:p w14:paraId="63893859" w14:textId="77777777" w:rsidR="00D60186" w:rsidRPr="00D4351A" w:rsidRDefault="00D60186" w:rsidP="00D4351A">
            <w:pPr>
              <w:jc w:val="right"/>
              <w:rPr>
                <w:sz w:val="21"/>
                <w:szCs w:val="21"/>
              </w:rPr>
            </w:pPr>
            <w:r w:rsidRPr="00D4351A">
              <w:rPr>
                <w:sz w:val="21"/>
                <w:szCs w:val="21"/>
              </w:rPr>
              <w:t>Ja</w:t>
            </w:r>
          </w:p>
        </w:tc>
      </w:tr>
      <w:tr w:rsidR="00E76DC8" w:rsidRPr="00225D4D" w14:paraId="22F31B74" w14:textId="77777777">
        <w:trPr>
          <w:trHeight w:val="380"/>
        </w:trPr>
        <w:tc>
          <w:tcPr>
            <w:tcW w:w="1240" w:type="dxa"/>
            <w:tcBorders>
              <w:top w:val="nil"/>
              <w:left w:val="nil"/>
              <w:bottom w:val="nil"/>
              <w:right w:val="nil"/>
            </w:tcBorders>
            <w:tcMar>
              <w:top w:w="128" w:type="dxa"/>
              <w:left w:w="43" w:type="dxa"/>
              <w:bottom w:w="43" w:type="dxa"/>
              <w:right w:w="43" w:type="dxa"/>
            </w:tcMar>
          </w:tcPr>
          <w:p w14:paraId="148F48DD"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7EB13FC" w14:textId="77777777" w:rsidR="00D60186" w:rsidRPr="00D4351A" w:rsidRDefault="00D60186" w:rsidP="00D4351A">
            <w:pPr>
              <w:ind w:right="113"/>
              <w:jc w:val="right"/>
              <w:rPr>
                <w:sz w:val="21"/>
                <w:szCs w:val="21"/>
              </w:rPr>
            </w:pPr>
            <w:r w:rsidRPr="00D4351A">
              <w:rPr>
                <w:sz w:val="21"/>
                <w:szCs w:val="21"/>
              </w:rPr>
              <w:t>71</w:t>
            </w:r>
          </w:p>
        </w:tc>
        <w:tc>
          <w:tcPr>
            <w:tcW w:w="5380" w:type="dxa"/>
            <w:tcBorders>
              <w:top w:val="nil"/>
              <w:left w:val="nil"/>
              <w:bottom w:val="nil"/>
              <w:right w:val="nil"/>
            </w:tcBorders>
            <w:tcMar>
              <w:top w:w="128" w:type="dxa"/>
              <w:left w:w="43" w:type="dxa"/>
              <w:bottom w:w="43" w:type="dxa"/>
              <w:right w:w="43" w:type="dxa"/>
            </w:tcMar>
          </w:tcPr>
          <w:p w14:paraId="706A923F" w14:textId="77777777" w:rsidR="00D60186" w:rsidRPr="00D4351A" w:rsidRDefault="00D60186" w:rsidP="00225D4D">
            <w:pPr>
              <w:rPr>
                <w:sz w:val="21"/>
                <w:szCs w:val="21"/>
              </w:rPr>
            </w:pPr>
            <w:r w:rsidRPr="00D4351A">
              <w:rPr>
                <w:sz w:val="21"/>
                <w:szCs w:val="21"/>
              </w:rPr>
              <w:t>Alternativ til utvising av utlending med barn</w:t>
            </w:r>
          </w:p>
        </w:tc>
        <w:tc>
          <w:tcPr>
            <w:tcW w:w="1800" w:type="dxa"/>
            <w:tcBorders>
              <w:top w:val="nil"/>
              <w:left w:val="nil"/>
              <w:bottom w:val="nil"/>
              <w:right w:val="nil"/>
            </w:tcBorders>
            <w:tcMar>
              <w:top w:w="128" w:type="dxa"/>
              <w:left w:w="43" w:type="dxa"/>
              <w:bottom w:w="43" w:type="dxa"/>
              <w:right w:w="43" w:type="dxa"/>
            </w:tcMar>
          </w:tcPr>
          <w:p w14:paraId="437963B6" w14:textId="77777777" w:rsidR="00D60186" w:rsidRPr="00D4351A" w:rsidRDefault="00D60186" w:rsidP="00D4351A">
            <w:pPr>
              <w:jc w:val="right"/>
              <w:rPr>
                <w:sz w:val="21"/>
                <w:szCs w:val="21"/>
              </w:rPr>
            </w:pPr>
            <w:r w:rsidRPr="00D4351A">
              <w:rPr>
                <w:sz w:val="21"/>
                <w:szCs w:val="21"/>
              </w:rPr>
              <w:t>Ja</w:t>
            </w:r>
          </w:p>
        </w:tc>
      </w:tr>
      <w:tr w:rsidR="00E76DC8" w:rsidRPr="00225D4D" w14:paraId="04C1DBB7" w14:textId="77777777">
        <w:trPr>
          <w:trHeight w:val="380"/>
        </w:trPr>
        <w:tc>
          <w:tcPr>
            <w:tcW w:w="1240" w:type="dxa"/>
            <w:tcBorders>
              <w:top w:val="nil"/>
              <w:left w:val="nil"/>
              <w:bottom w:val="nil"/>
              <w:right w:val="nil"/>
            </w:tcBorders>
            <w:tcMar>
              <w:top w:w="128" w:type="dxa"/>
              <w:left w:w="43" w:type="dxa"/>
              <w:bottom w:w="43" w:type="dxa"/>
              <w:right w:w="43" w:type="dxa"/>
            </w:tcMar>
          </w:tcPr>
          <w:p w14:paraId="6370FEEA"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0F045AE" w14:textId="77777777" w:rsidR="00D60186" w:rsidRPr="00D4351A" w:rsidRDefault="00D60186" w:rsidP="00D4351A">
            <w:pPr>
              <w:ind w:right="113"/>
              <w:jc w:val="right"/>
              <w:rPr>
                <w:sz w:val="21"/>
                <w:szCs w:val="21"/>
              </w:rPr>
            </w:pPr>
            <w:r w:rsidRPr="00D4351A">
              <w:rPr>
                <w:sz w:val="21"/>
                <w:szCs w:val="21"/>
              </w:rPr>
              <w:t>83</w:t>
            </w:r>
          </w:p>
        </w:tc>
        <w:tc>
          <w:tcPr>
            <w:tcW w:w="5380" w:type="dxa"/>
            <w:tcBorders>
              <w:top w:val="nil"/>
              <w:left w:val="nil"/>
              <w:bottom w:val="nil"/>
              <w:right w:val="nil"/>
            </w:tcBorders>
            <w:tcMar>
              <w:top w:w="128" w:type="dxa"/>
              <w:left w:w="43" w:type="dxa"/>
              <w:bottom w:w="43" w:type="dxa"/>
              <w:right w:w="43" w:type="dxa"/>
            </w:tcMar>
          </w:tcPr>
          <w:p w14:paraId="1CADE28E" w14:textId="77777777" w:rsidR="00D60186" w:rsidRPr="00D4351A" w:rsidRDefault="00D60186" w:rsidP="00225D4D">
            <w:pPr>
              <w:rPr>
                <w:sz w:val="21"/>
                <w:szCs w:val="21"/>
              </w:rPr>
            </w:pPr>
            <w:r w:rsidRPr="00D4351A">
              <w:rPr>
                <w:sz w:val="21"/>
                <w:szCs w:val="21"/>
              </w:rPr>
              <w:t>Advokatordning for innsette i fengsel</w:t>
            </w:r>
          </w:p>
        </w:tc>
        <w:tc>
          <w:tcPr>
            <w:tcW w:w="1800" w:type="dxa"/>
            <w:tcBorders>
              <w:top w:val="nil"/>
              <w:left w:val="nil"/>
              <w:bottom w:val="nil"/>
              <w:right w:val="nil"/>
            </w:tcBorders>
            <w:tcMar>
              <w:top w:w="128" w:type="dxa"/>
              <w:left w:w="43" w:type="dxa"/>
              <w:bottom w:w="43" w:type="dxa"/>
              <w:right w:w="43" w:type="dxa"/>
            </w:tcMar>
          </w:tcPr>
          <w:p w14:paraId="55D919DB" w14:textId="77777777" w:rsidR="00D60186" w:rsidRPr="00D4351A" w:rsidRDefault="00D60186" w:rsidP="00D4351A">
            <w:pPr>
              <w:jc w:val="right"/>
              <w:rPr>
                <w:sz w:val="21"/>
                <w:szCs w:val="21"/>
              </w:rPr>
            </w:pPr>
            <w:r w:rsidRPr="00D4351A">
              <w:rPr>
                <w:sz w:val="21"/>
                <w:szCs w:val="21"/>
              </w:rPr>
              <w:t>Ja</w:t>
            </w:r>
          </w:p>
        </w:tc>
      </w:tr>
      <w:tr w:rsidR="00E76DC8" w:rsidRPr="00225D4D" w14:paraId="4BA3D326" w14:textId="77777777">
        <w:trPr>
          <w:trHeight w:val="380"/>
        </w:trPr>
        <w:tc>
          <w:tcPr>
            <w:tcW w:w="1240" w:type="dxa"/>
            <w:tcBorders>
              <w:top w:val="nil"/>
              <w:left w:val="nil"/>
              <w:bottom w:val="nil"/>
              <w:right w:val="nil"/>
            </w:tcBorders>
            <w:tcMar>
              <w:top w:w="128" w:type="dxa"/>
              <w:left w:w="43" w:type="dxa"/>
              <w:bottom w:w="43" w:type="dxa"/>
              <w:right w:w="43" w:type="dxa"/>
            </w:tcMar>
          </w:tcPr>
          <w:p w14:paraId="1C169B8D"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A5A402C" w14:textId="77777777" w:rsidR="00D60186" w:rsidRPr="00D4351A" w:rsidRDefault="00D60186" w:rsidP="00D4351A">
            <w:pPr>
              <w:ind w:right="113"/>
              <w:jc w:val="right"/>
              <w:rPr>
                <w:sz w:val="21"/>
                <w:szCs w:val="21"/>
              </w:rPr>
            </w:pPr>
            <w:r w:rsidRPr="00D4351A">
              <w:rPr>
                <w:sz w:val="21"/>
                <w:szCs w:val="21"/>
              </w:rPr>
              <w:t>109</w:t>
            </w:r>
          </w:p>
        </w:tc>
        <w:tc>
          <w:tcPr>
            <w:tcW w:w="5380" w:type="dxa"/>
            <w:tcBorders>
              <w:top w:val="nil"/>
              <w:left w:val="nil"/>
              <w:bottom w:val="nil"/>
              <w:right w:val="nil"/>
            </w:tcBorders>
            <w:tcMar>
              <w:top w:w="128" w:type="dxa"/>
              <w:left w:w="43" w:type="dxa"/>
              <w:bottom w:w="43" w:type="dxa"/>
              <w:right w:w="43" w:type="dxa"/>
            </w:tcMar>
          </w:tcPr>
          <w:p w14:paraId="635CAA8E" w14:textId="77777777" w:rsidR="00D60186" w:rsidRPr="00D4351A" w:rsidRDefault="00D60186" w:rsidP="00225D4D">
            <w:pPr>
              <w:rPr>
                <w:sz w:val="21"/>
                <w:szCs w:val="21"/>
              </w:rPr>
            </w:pPr>
            <w:proofErr w:type="spellStart"/>
            <w:r w:rsidRPr="00D4351A">
              <w:rPr>
                <w:sz w:val="21"/>
                <w:szCs w:val="21"/>
              </w:rPr>
              <w:t>Forbod</w:t>
            </w:r>
            <w:proofErr w:type="spellEnd"/>
            <w:r w:rsidRPr="00D4351A">
              <w:rPr>
                <w:sz w:val="21"/>
                <w:szCs w:val="21"/>
              </w:rPr>
              <w:t xml:space="preserve"> mot </w:t>
            </w:r>
            <w:proofErr w:type="spellStart"/>
            <w:r w:rsidRPr="00D4351A">
              <w:rPr>
                <w:sz w:val="21"/>
                <w:szCs w:val="21"/>
              </w:rPr>
              <w:t>marknadsføring</w:t>
            </w:r>
            <w:proofErr w:type="spellEnd"/>
            <w:r w:rsidRPr="00D4351A">
              <w:rPr>
                <w:sz w:val="21"/>
                <w:szCs w:val="21"/>
              </w:rPr>
              <w:t xml:space="preserve"> av kreditt</w:t>
            </w:r>
          </w:p>
        </w:tc>
        <w:tc>
          <w:tcPr>
            <w:tcW w:w="1800" w:type="dxa"/>
            <w:tcBorders>
              <w:top w:val="nil"/>
              <w:left w:val="nil"/>
              <w:bottom w:val="nil"/>
              <w:right w:val="nil"/>
            </w:tcBorders>
            <w:tcMar>
              <w:top w:w="128" w:type="dxa"/>
              <w:left w:w="43" w:type="dxa"/>
              <w:bottom w:w="43" w:type="dxa"/>
              <w:right w:w="43" w:type="dxa"/>
            </w:tcMar>
          </w:tcPr>
          <w:p w14:paraId="7507E9DE" w14:textId="77777777" w:rsidR="00D60186" w:rsidRPr="00D4351A" w:rsidRDefault="00D60186" w:rsidP="00D4351A">
            <w:pPr>
              <w:jc w:val="right"/>
              <w:rPr>
                <w:sz w:val="21"/>
                <w:szCs w:val="21"/>
              </w:rPr>
            </w:pPr>
            <w:r w:rsidRPr="00D4351A">
              <w:rPr>
                <w:sz w:val="21"/>
                <w:szCs w:val="21"/>
              </w:rPr>
              <w:t>Nei</w:t>
            </w:r>
          </w:p>
        </w:tc>
      </w:tr>
      <w:tr w:rsidR="00E76DC8" w:rsidRPr="00225D4D" w14:paraId="5EFD3B1E" w14:textId="77777777">
        <w:trPr>
          <w:trHeight w:val="640"/>
        </w:trPr>
        <w:tc>
          <w:tcPr>
            <w:tcW w:w="1240" w:type="dxa"/>
            <w:tcBorders>
              <w:top w:val="nil"/>
              <w:left w:val="nil"/>
              <w:bottom w:val="nil"/>
              <w:right w:val="nil"/>
            </w:tcBorders>
            <w:tcMar>
              <w:top w:w="128" w:type="dxa"/>
              <w:left w:w="43" w:type="dxa"/>
              <w:bottom w:w="43" w:type="dxa"/>
              <w:right w:w="43" w:type="dxa"/>
            </w:tcMar>
          </w:tcPr>
          <w:p w14:paraId="66E8290D"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37BC62A" w14:textId="77777777" w:rsidR="00D60186" w:rsidRPr="00D4351A" w:rsidRDefault="00D60186" w:rsidP="00D4351A">
            <w:pPr>
              <w:ind w:right="113"/>
              <w:jc w:val="right"/>
              <w:rPr>
                <w:sz w:val="21"/>
                <w:szCs w:val="21"/>
              </w:rPr>
            </w:pPr>
            <w:r w:rsidRPr="00D4351A">
              <w:rPr>
                <w:sz w:val="21"/>
                <w:szCs w:val="21"/>
              </w:rPr>
              <w:t>136</w:t>
            </w:r>
          </w:p>
        </w:tc>
        <w:tc>
          <w:tcPr>
            <w:tcW w:w="5380" w:type="dxa"/>
            <w:tcBorders>
              <w:top w:val="nil"/>
              <w:left w:val="nil"/>
              <w:bottom w:val="nil"/>
              <w:right w:val="nil"/>
            </w:tcBorders>
            <w:tcMar>
              <w:top w:w="128" w:type="dxa"/>
              <w:left w:w="43" w:type="dxa"/>
              <w:bottom w:w="43" w:type="dxa"/>
              <w:right w:w="43" w:type="dxa"/>
            </w:tcMar>
          </w:tcPr>
          <w:p w14:paraId="6E6E2F6B" w14:textId="77777777" w:rsidR="00D60186" w:rsidRPr="00D4351A" w:rsidRDefault="00D60186" w:rsidP="00225D4D">
            <w:pPr>
              <w:rPr>
                <w:sz w:val="21"/>
                <w:szCs w:val="21"/>
              </w:rPr>
            </w:pPr>
            <w:r w:rsidRPr="00D4351A">
              <w:rPr>
                <w:sz w:val="21"/>
                <w:szCs w:val="21"/>
              </w:rPr>
              <w:t xml:space="preserve">Omvend </w:t>
            </w:r>
            <w:proofErr w:type="spellStart"/>
            <w:r w:rsidRPr="00D4351A">
              <w:rPr>
                <w:sz w:val="21"/>
                <w:szCs w:val="21"/>
              </w:rPr>
              <w:t>valdsalarm</w:t>
            </w:r>
            <w:proofErr w:type="spellEnd"/>
            <w:r w:rsidRPr="00D4351A">
              <w:rPr>
                <w:sz w:val="21"/>
                <w:szCs w:val="21"/>
              </w:rPr>
              <w:t xml:space="preserve"> skal </w:t>
            </w:r>
            <w:proofErr w:type="spellStart"/>
            <w:r w:rsidRPr="00D4351A">
              <w:rPr>
                <w:sz w:val="21"/>
                <w:szCs w:val="21"/>
              </w:rPr>
              <w:t>vurderast</w:t>
            </w:r>
            <w:proofErr w:type="spellEnd"/>
            <w:r w:rsidRPr="00D4351A">
              <w:rPr>
                <w:sz w:val="21"/>
                <w:szCs w:val="21"/>
              </w:rPr>
              <w:t xml:space="preserve"> før </w:t>
            </w:r>
            <w:proofErr w:type="spellStart"/>
            <w:r w:rsidRPr="00D4351A">
              <w:rPr>
                <w:sz w:val="21"/>
                <w:szCs w:val="21"/>
              </w:rPr>
              <w:t>hemmeleg</w:t>
            </w:r>
            <w:proofErr w:type="spellEnd"/>
            <w:r w:rsidRPr="00D4351A">
              <w:rPr>
                <w:sz w:val="21"/>
                <w:szCs w:val="21"/>
              </w:rPr>
              <w:t xml:space="preserve"> adresse for barn</w:t>
            </w:r>
          </w:p>
        </w:tc>
        <w:tc>
          <w:tcPr>
            <w:tcW w:w="1800" w:type="dxa"/>
            <w:tcBorders>
              <w:top w:val="nil"/>
              <w:left w:val="nil"/>
              <w:bottom w:val="nil"/>
              <w:right w:val="nil"/>
            </w:tcBorders>
            <w:tcMar>
              <w:top w:w="128" w:type="dxa"/>
              <w:left w:w="43" w:type="dxa"/>
              <w:bottom w:w="43" w:type="dxa"/>
              <w:right w:w="43" w:type="dxa"/>
            </w:tcMar>
          </w:tcPr>
          <w:p w14:paraId="141E06F2" w14:textId="77777777" w:rsidR="00D60186" w:rsidRPr="00D4351A" w:rsidRDefault="00D60186" w:rsidP="00D4351A">
            <w:pPr>
              <w:jc w:val="right"/>
              <w:rPr>
                <w:sz w:val="21"/>
                <w:szCs w:val="21"/>
              </w:rPr>
            </w:pPr>
            <w:r w:rsidRPr="00D4351A">
              <w:rPr>
                <w:sz w:val="21"/>
                <w:szCs w:val="21"/>
              </w:rPr>
              <w:t>Nei</w:t>
            </w:r>
          </w:p>
        </w:tc>
      </w:tr>
      <w:tr w:rsidR="00E76DC8" w:rsidRPr="00225D4D" w14:paraId="06FCCD74" w14:textId="77777777">
        <w:trPr>
          <w:trHeight w:val="640"/>
        </w:trPr>
        <w:tc>
          <w:tcPr>
            <w:tcW w:w="1240" w:type="dxa"/>
            <w:tcBorders>
              <w:top w:val="nil"/>
              <w:left w:val="nil"/>
              <w:bottom w:val="nil"/>
              <w:right w:val="nil"/>
            </w:tcBorders>
            <w:tcMar>
              <w:top w:w="128" w:type="dxa"/>
              <w:left w:w="43" w:type="dxa"/>
              <w:bottom w:w="43" w:type="dxa"/>
              <w:right w:w="43" w:type="dxa"/>
            </w:tcMar>
          </w:tcPr>
          <w:p w14:paraId="33D1D97F"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491B0AF" w14:textId="77777777" w:rsidR="00D60186" w:rsidRPr="00D4351A" w:rsidRDefault="00D60186" w:rsidP="00D4351A">
            <w:pPr>
              <w:ind w:right="113"/>
              <w:jc w:val="right"/>
              <w:rPr>
                <w:sz w:val="21"/>
                <w:szCs w:val="21"/>
              </w:rPr>
            </w:pPr>
            <w:r w:rsidRPr="00D4351A">
              <w:rPr>
                <w:sz w:val="21"/>
                <w:szCs w:val="21"/>
              </w:rPr>
              <w:t>137</w:t>
            </w:r>
          </w:p>
        </w:tc>
        <w:tc>
          <w:tcPr>
            <w:tcW w:w="5380" w:type="dxa"/>
            <w:tcBorders>
              <w:top w:val="nil"/>
              <w:left w:val="nil"/>
              <w:bottom w:val="nil"/>
              <w:right w:val="nil"/>
            </w:tcBorders>
            <w:tcMar>
              <w:top w:w="128" w:type="dxa"/>
              <w:left w:w="43" w:type="dxa"/>
              <w:bottom w:w="43" w:type="dxa"/>
              <w:right w:w="43" w:type="dxa"/>
            </w:tcMar>
          </w:tcPr>
          <w:p w14:paraId="3433F15B" w14:textId="77777777" w:rsidR="00D60186" w:rsidRPr="00D4351A" w:rsidRDefault="00D60186" w:rsidP="00225D4D">
            <w:pPr>
              <w:rPr>
                <w:sz w:val="21"/>
                <w:szCs w:val="21"/>
              </w:rPr>
            </w:pPr>
            <w:r w:rsidRPr="00D4351A">
              <w:rPr>
                <w:sz w:val="21"/>
                <w:szCs w:val="21"/>
              </w:rPr>
              <w:t xml:space="preserve">Omsynet til barnet skal </w:t>
            </w:r>
            <w:proofErr w:type="spellStart"/>
            <w:r w:rsidRPr="00D4351A">
              <w:rPr>
                <w:sz w:val="21"/>
                <w:szCs w:val="21"/>
              </w:rPr>
              <w:t>følgje</w:t>
            </w:r>
            <w:proofErr w:type="spellEnd"/>
            <w:r w:rsidRPr="00D4351A">
              <w:rPr>
                <w:sz w:val="21"/>
                <w:szCs w:val="21"/>
              </w:rPr>
              <w:t xml:space="preserve"> direkte av lova ved elektronisk kontroll av </w:t>
            </w:r>
            <w:proofErr w:type="spellStart"/>
            <w:r w:rsidRPr="00D4351A">
              <w:rPr>
                <w:sz w:val="21"/>
                <w:szCs w:val="21"/>
              </w:rPr>
              <w:t>besøksforbod</w:t>
            </w:r>
            <w:proofErr w:type="spellEnd"/>
          </w:p>
        </w:tc>
        <w:tc>
          <w:tcPr>
            <w:tcW w:w="1800" w:type="dxa"/>
            <w:tcBorders>
              <w:top w:val="nil"/>
              <w:left w:val="nil"/>
              <w:bottom w:val="nil"/>
              <w:right w:val="nil"/>
            </w:tcBorders>
            <w:tcMar>
              <w:top w:w="128" w:type="dxa"/>
              <w:left w:w="43" w:type="dxa"/>
              <w:bottom w:w="43" w:type="dxa"/>
              <w:right w:w="43" w:type="dxa"/>
            </w:tcMar>
          </w:tcPr>
          <w:p w14:paraId="47BF0A59" w14:textId="77777777" w:rsidR="00D60186" w:rsidRPr="00D4351A" w:rsidRDefault="00D60186" w:rsidP="00D4351A">
            <w:pPr>
              <w:jc w:val="right"/>
              <w:rPr>
                <w:sz w:val="21"/>
                <w:szCs w:val="21"/>
              </w:rPr>
            </w:pPr>
            <w:r w:rsidRPr="00D4351A">
              <w:rPr>
                <w:sz w:val="21"/>
                <w:szCs w:val="21"/>
              </w:rPr>
              <w:t>Nei</w:t>
            </w:r>
          </w:p>
        </w:tc>
      </w:tr>
      <w:tr w:rsidR="00E76DC8" w:rsidRPr="00225D4D" w14:paraId="34806C2C" w14:textId="77777777">
        <w:trPr>
          <w:trHeight w:val="380"/>
        </w:trPr>
        <w:tc>
          <w:tcPr>
            <w:tcW w:w="1240" w:type="dxa"/>
            <w:tcBorders>
              <w:top w:val="nil"/>
              <w:left w:val="nil"/>
              <w:bottom w:val="nil"/>
              <w:right w:val="nil"/>
            </w:tcBorders>
            <w:tcMar>
              <w:top w:w="128" w:type="dxa"/>
              <w:left w:w="43" w:type="dxa"/>
              <w:bottom w:w="43" w:type="dxa"/>
              <w:right w:w="43" w:type="dxa"/>
            </w:tcMar>
          </w:tcPr>
          <w:p w14:paraId="2B629BCE"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0FFFE50" w14:textId="77777777" w:rsidR="00D60186" w:rsidRPr="00D4351A" w:rsidRDefault="00D60186" w:rsidP="00D4351A">
            <w:pPr>
              <w:ind w:right="113"/>
              <w:jc w:val="right"/>
              <w:rPr>
                <w:sz w:val="21"/>
                <w:szCs w:val="21"/>
              </w:rPr>
            </w:pPr>
            <w:r w:rsidRPr="00D4351A">
              <w:rPr>
                <w:sz w:val="21"/>
                <w:szCs w:val="21"/>
              </w:rPr>
              <w:t>139</w:t>
            </w:r>
          </w:p>
        </w:tc>
        <w:tc>
          <w:tcPr>
            <w:tcW w:w="5380" w:type="dxa"/>
            <w:tcBorders>
              <w:top w:val="nil"/>
              <w:left w:val="nil"/>
              <w:bottom w:val="nil"/>
              <w:right w:val="nil"/>
            </w:tcBorders>
            <w:tcMar>
              <w:top w:w="128" w:type="dxa"/>
              <w:left w:w="43" w:type="dxa"/>
              <w:bottom w:w="43" w:type="dxa"/>
              <w:right w:w="43" w:type="dxa"/>
            </w:tcMar>
          </w:tcPr>
          <w:p w14:paraId="77CBF9AF" w14:textId="77777777" w:rsidR="00D60186" w:rsidRPr="00D4351A" w:rsidRDefault="00D60186" w:rsidP="00225D4D">
            <w:pPr>
              <w:rPr>
                <w:sz w:val="21"/>
                <w:szCs w:val="21"/>
              </w:rPr>
            </w:pPr>
            <w:r w:rsidRPr="00D4351A">
              <w:rPr>
                <w:sz w:val="21"/>
                <w:szCs w:val="21"/>
              </w:rPr>
              <w:t>Finansiering av senteret C-REX</w:t>
            </w:r>
          </w:p>
        </w:tc>
        <w:tc>
          <w:tcPr>
            <w:tcW w:w="1800" w:type="dxa"/>
            <w:tcBorders>
              <w:top w:val="nil"/>
              <w:left w:val="nil"/>
              <w:bottom w:val="nil"/>
              <w:right w:val="nil"/>
            </w:tcBorders>
            <w:tcMar>
              <w:top w:w="128" w:type="dxa"/>
              <w:left w:w="43" w:type="dxa"/>
              <w:bottom w:w="43" w:type="dxa"/>
              <w:right w:w="43" w:type="dxa"/>
            </w:tcMar>
          </w:tcPr>
          <w:p w14:paraId="6736985F" w14:textId="77777777" w:rsidR="00D60186" w:rsidRPr="00D4351A" w:rsidRDefault="00D60186" w:rsidP="00D4351A">
            <w:pPr>
              <w:jc w:val="right"/>
              <w:rPr>
                <w:sz w:val="21"/>
                <w:szCs w:val="21"/>
              </w:rPr>
            </w:pPr>
            <w:r w:rsidRPr="00D4351A">
              <w:rPr>
                <w:sz w:val="21"/>
                <w:szCs w:val="21"/>
              </w:rPr>
              <w:t>Ja</w:t>
            </w:r>
          </w:p>
        </w:tc>
      </w:tr>
      <w:tr w:rsidR="00E76DC8" w:rsidRPr="00225D4D" w14:paraId="5BDC5AD4" w14:textId="77777777">
        <w:trPr>
          <w:trHeight w:val="380"/>
        </w:trPr>
        <w:tc>
          <w:tcPr>
            <w:tcW w:w="1240" w:type="dxa"/>
            <w:tcBorders>
              <w:top w:val="nil"/>
              <w:left w:val="nil"/>
              <w:bottom w:val="nil"/>
              <w:right w:val="nil"/>
            </w:tcBorders>
            <w:tcMar>
              <w:top w:w="128" w:type="dxa"/>
              <w:left w:w="43" w:type="dxa"/>
              <w:bottom w:w="43" w:type="dxa"/>
              <w:right w:w="43" w:type="dxa"/>
            </w:tcMar>
          </w:tcPr>
          <w:p w14:paraId="3DC2B0E5"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1092405" w14:textId="77777777" w:rsidR="00D60186" w:rsidRPr="00D4351A" w:rsidRDefault="00D60186" w:rsidP="00D4351A">
            <w:pPr>
              <w:ind w:right="113"/>
              <w:jc w:val="right"/>
              <w:rPr>
                <w:sz w:val="21"/>
                <w:szCs w:val="21"/>
              </w:rPr>
            </w:pPr>
            <w:r w:rsidRPr="00D4351A">
              <w:rPr>
                <w:sz w:val="21"/>
                <w:szCs w:val="21"/>
              </w:rPr>
              <w:t>140</w:t>
            </w:r>
          </w:p>
        </w:tc>
        <w:tc>
          <w:tcPr>
            <w:tcW w:w="5380" w:type="dxa"/>
            <w:tcBorders>
              <w:top w:val="nil"/>
              <w:left w:val="nil"/>
              <w:bottom w:val="nil"/>
              <w:right w:val="nil"/>
            </w:tcBorders>
            <w:tcMar>
              <w:top w:w="128" w:type="dxa"/>
              <w:left w:w="43" w:type="dxa"/>
              <w:bottom w:w="43" w:type="dxa"/>
              <w:right w:w="43" w:type="dxa"/>
            </w:tcMar>
          </w:tcPr>
          <w:p w14:paraId="06B7C410" w14:textId="77777777" w:rsidR="00D60186" w:rsidRPr="00D4351A" w:rsidRDefault="00D60186" w:rsidP="00225D4D">
            <w:pPr>
              <w:rPr>
                <w:sz w:val="21"/>
                <w:szCs w:val="21"/>
              </w:rPr>
            </w:pPr>
            <w:r w:rsidRPr="00D4351A">
              <w:rPr>
                <w:sz w:val="21"/>
                <w:szCs w:val="21"/>
              </w:rPr>
              <w:t xml:space="preserve">Betre reintegrering av </w:t>
            </w:r>
            <w:proofErr w:type="spellStart"/>
            <w:r w:rsidRPr="00D4351A">
              <w:rPr>
                <w:sz w:val="21"/>
                <w:szCs w:val="21"/>
              </w:rPr>
              <w:t>ekstremistar</w:t>
            </w:r>
            <w:proofErr w:type="spellEnd"/>
          </w:p>
        </w:tc>
        <w:tc>
          <w:tcPr>
            <w:tcW w:w="1800" w:type="dxa"/>
            <w:tcBorders>
              <w:top w:val="nil"/>
              <w:left w:val="nil"/>
              <w:bottom w:val="nil"/>
              <w:right w:val="nil"/>
            </w:tcBorders>
            <w:tcMar>
              <w:top w:w="128" w:type="dxa"/>
              <w:left w:w="43" w:type="dxa"/>
              <w:bottom w:w="43" w:type="dxa"/>
              <w:right w:w="43" w:type="dxa"/>
            </w:tcMar>
          </w:tcPr>
          <w:p w14:paraId="52E9512F" w14:textId="77777777" w:rsidR="00D60186" w:rsidRPr="00D4351A" w:rsidRDefault="00D60186" w:rsidP="00D4351A">
            <w:pPr>
              <w:jc w:val="right"/>
              <w:rPr>
                <w:sz w:val="21"/>
                <w:szCs w:val="21"/>
              </w:rPr>
            </w:pPr>
            <w:r w:rsidRPr="00D4351A">
              <w:rPr>
                <w:sz w:val="21"/>
                <w:szCs w:val="21"/>
              </w:rPr>
              <w:t>Nei</w:t>
            </w:r>
          </w:p>
        </w:tc>
      </w:tr>
      <w:tr w:rsidR="00E76DC8" w:rsidRPr="00225D4D" w14:paraId="7310BC80" w14:textId="77777777">
        <w:trPr>
          <w:trHeight w:val="380"/>
        </w:trPr>
        <w:tc>
          <w:tcPr>
            <w:tcW w:w="1240" w:type="dxa"/>
            <w:tcBorders>
              <w:top w:val="nil"/>
              <w:left w:val="nil"/>
              <w:bottom w:val="nil"/>
              <w:right w:val="nil"/>
            </w:tcBorders>
            <w:tcMar>
              <w:top w:w="128" w:type="dxa"/>
              <w:left w:w="43" w:type="dxa"/>
              <w:bottom w:w="43" w:type="dxa"/>
              <w:right w:w="43" w:type="dxa"/>
            </w:tcMar>
          </w:tcPr>
          <w:p w14:paraId="2F95604B"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09BD898" w14:textId="77777777" w:rsidR="00D60186" w:rsidRPr="00D4351A" w:rsidRDefault="00D60186" w:rsidP="00D4351A">
            <w:pPr>
              <w:ind w:right="113"/>
              <w:jc w:val="right"/>
              <w:rPr>
                <w:sz w:val="21"/>
                <w:szCs w:val="21"/>
              </w:rPr>
            </w:pPr>
            <w:r w:rsidRPr="00D4351A">
              <w:rPr>
                <w:sz w:val="21"/>
                <w:szCs w:val="21"/>
              </w:rPr>
              <w:t>141</w:t>
            </w:r>
          </w:p>
        </w:tc>
        <w:tc>
          <w:tcPr>
            <w:tcW w:w="5380" w:type="dxa"/>
            <w:tcBorders>
              <w:top w:val="nil"/>
              <w:left w:val="nil"/>
              <w:bottom w:val="nil"/>
              <w:right w:val="nil"/>
            </w:tcBorders>
            <w:tcMar>
              <w:top w:w="128" w:type="dxa"/>
              <w:left w:w="43" w:type="dxa"/>
              <w:bottom w:w="43" w:type="dxa"/>
              <w:right w:w="43" w:type="dxa"/>
            </w:tcMar>
          </w:tcPr>
          <w:p w14:paraId="45D0ED4D" w14:textId="77777777" w:rsidR="00D60186" w:rsidRPr="00D4351A" w:rsidRDefault="00D60186" w:rsidP="00225D4D">
            <w:pPr>
              <w:rPr>
                <w:sz w:val="21"/>
                <w:szCs w:val="21"/>
              </w:rPr>
            </w:pPr>
            <w:r w:rsidRPr="00D4351A">
              <w:rPr>
                <w:sz w:val="21"/>
                <w:szCs w:val="21"/>
              </w:rPr>
              <w:t>Oppfølging etter straffesoning</w:t>
            </w:r>
          </w:p>
        </w:tc>
        <w:tc>
          <w:tcPr>
            <w:tcW w:w="1800" w:type="dxa"/>
            <w:tcBorders>
              <w:top w:val="nil"/>
              <w:left w:val="nil"/>
              <w:bottom w:val="nil"/>
              <w:right w:val="nil"/>
            </w:tcBorders>
            <w:tcMar>
              <w:top w:w="128" w:type="dxa"/>
              <w:left w:w="43" w:type="dxa"/>
              <w:bottom w:w="43" w:type="dxa"/>
              <w:right w:w="43" w:type="dxa"/>
            </w:tcMar>
          </w:tcPr>
          <w:p w14:paraId="7B2C71A5" w14:textId="77777777" w:rsidR="00D60186" w:rsidRPr="00D4351A" w:rsidRDefault="00D60186" w:rsidP="00D4351A">
            <w:pPr>
              <w:jc w:val="right"/>
              <w:rPr>
                <w:sz w:val="21"/>
                <w:szCs w:val="21"/>
              </w:rPr>
            </w:pPr>
            <w:r w:rsidRPr="00D4351A">
              <w:rPr>
                <w:sz w:val="21"/>
                <w:szCs w:val="21"/>
              </w:rPr>
              <w:t>Ja</w:t>
            </w:r>
          </w:p>
        </w:tc>
      </w:tr>
      <w:tr w:rsidR="00E76DC8" w:rsidRPr="00225D4D" w14:paraId="577D891D" w14:textId="77777777">
        <w:trPr>
          <w:trHeight w:val="640"/>
        </w:trPr>
        <w:tc>
          <w:tcPr>
            <w:tcW w:w="1240" w:type="dxa"/>
            <w:tcBorders>
              <w:top w:val="nil"/>
              <w:left w:val="nil"/>
              <w:bottom w:val="nil"/>
              <w:right w:val="nil"/>
            </w:tcBorders>
            <w:tcMar>
              <w:top w:w="128" w:type="dxa"/>
              <w:left w:w="43" w:type="dxa"/>
              <w:bottom w:w="43" w:type="dxa"/>
              <w:right w:w="43" w:type="dxa"/>
            </w:tcMar>
          </w:tcPr>
          <w:p w14:paraId="641C7A8D"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3965D66" w14:textId="77777777" w:rsidR="00D60186" w:rsidRPr="00D4351A" w:rsidRDefault="00D60186" w:rsidP="00D4351A">
            <w:pPr>
              <w:ind w:right="113"/>
              <w:jc w:val="right"/>
              <w:rPr>
                <w:sz w:val="21"/>
                <w:szCs w:val="21"/>
              </w:rPr>
            </w:pPr>
            <w:r w:rsidRPr="00D4351A">
              <w:rPr>
                <w:sz w:val="21"/>
                <w:szCs w:val="21"/>
              </w:rPr>
              <w:t>160</w:t>
            </w:r>
          </w:p>
        </w:tc>
        <w:tc>
          <w:tcPr>
            <w:tcW w:w="5380" w:type="dxa"/>
            <w:tcBorders>
              <w:top w:val="nil"/>
              <w:left w:val="nil"/>
              <w:bottom w:val="nil"/>
              <w:right w:val="nil"/>
            </w:tcBorders>
            <w:tcMar>
              <w:top w:w="128" w:type="dxa"/>
              <w:left w:w="43" w:type="dxa"/>
              <w:bottom w:w="43" w:type="dxa"/>
              <w:right w:w="43" w:type="dxa"/>
            </w:tcMar>
          </w:tcPr>
          <w:p w14:paraId="2A89D44B" w14:textId="77777777" w:rsidR="00D60186" w:rsidRPr="00D4351A" w:rsidRDefault="00D60186" w:rsidP="00225D4D">
            <w:pPr>
              <w:rPr>
                <w:sz w:val="21"/>
                <w:szCs w:val="21"/>
              </w:rPr>
            </w:pPr>
            <w:r w:rsidRPr="00D4351A">
              <w:rPr>
                <w:sz w:val="21"/>
                <w:szCs w:val="21"/>
              </w:rPr>
              <w:t xml:space="preserve">Lovverk knytt til teieplikt og informasjonsplikt i samband med </w:t>
            </w:r>
            <w:proofErr w:type="spellStart"/>
            <w:r w:rsidRPr="00D4351A">
              <w:rPr>
                <w:sz w:val="21"/>
                <w:szCs w:val="21"/>
              </w:rPr>
              <w:t>lovbrot</w:t>
            </w:r>
            <w:proofErr w:type="spellEnd"/>
            <w:r w:rsidRPr="00D4351A">
              <w:rPr>
                <w:sz w:val="21"/>
                <w:szCs w:val="21"/>
              </w:rPr>
              <w:t xml:space="preserve"> som blir utførte av barn og unge</w:t>
            </w:r>
          </w:p>
        </w:tc>
        <w:tc>
          <w:tcPr>
            <w:tcW w:w="1800" w:type="dxa"/>
            <w:tcBorders>
              <w:top w:val="nil"/>
              <w:left w:val="nil"/>
              <w:bottom w:val="nil"/>
              <w:right w:val="nil"/>
            </w:tcBorders>
            <w:tcMar>
              <w:top w:w="128" w:type="dxa"/>
              <w:left w:w="43" w:type="dxa"/>
              <w:bottom w:w="43" w:type="dxa"/>
              <w:right w:w="43" w:type="dxa"/>
            </w:tcMar>
          </w:tcPr>
          <w:p w14:paraId="04A20A9B" w14:textId="77777777" w:rsidR="00D60186" w:rsidRPr="00D4351A" w:rsidRDefault="00D60186" w:rsidP="00D4351A">
            <w:pPr>
              <w:jc w:val="right"/>
              <w:rPr>
                <w:sz w:val="21"/>
                <w:szCs w:val="21"/>
              </w:rPr>
            </w:pPr>
            <w:r w:rsidRPr="00D4351A">
              <w:rPr>
                <w:sz w:val="21"/>
                <w:szCs w:val="21"/>
              </w:rPr>
              <w:t>Ja</w:t>
            </w:r>
          </w:p>
        </w:tc>
      </w:tr>
      <w:tr w:rsidR="00E76DC8" w:rsidRPr="00225D4D" w14:paraId="2A426B91" w14:textId="77777777">
        <w:trPr>
          <w:trHeight w:val="640"/>
        </w:trPr>
        <w:tc>
          <w:tcPr>
            <w:tcW w:w="1240" w:type="dxa"/>
            <w:tcBorders>
              <w:top w:val="nil"/>
              <w:left w:val="nil"/>
              <w:bottom w:val="nil"/>
              <w:right w:val="nil"/>
            </w:tcBorders>
            <w:tcMar>
              <w:top w:w="128" w:type="dxa"/>
              <w:left w:w="43" w:type="dxa"/>
              <w:bottom w:w="43" w:type="dxa"/>
              <w:right w:w="43" w:type="dxa"/>
            </w:tcMar>
          </w:tcPr>
          <w:p w14:paraId="06020F35"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80E066D" w14:textId="77777777" w:rsidR="00D60186" w:rsidRPr="00D4351A" w:rsidRDefault="00D60186" w:rsidP="00D4351A">
            <w:pPr>
              <w:ind w:right="113"/>
              <w:jc w:val="right"/>
              <w:rPr>
                <w:sz w:val="21"/>
                <w:szCs w:val="21"/>
              </w:rPr>
            </w:pPr>
            <w:r w:rsidRPr="00D4351A">
              <w:rPr>
                <w:sz w:val="21"/>
                <w:szCs w:val="21"/>
              </w:rPr>
              <w:t>457</w:t>
            </w:r>
          </w:p>
        </w:tc>
        <w:tc>
          <w:tcPr>
            <w:tcW w:w="5380" w:type="dxa"/>
            <w:tcBorders>
              <w:top w:val="nil"/>
              <w:left w:val="nil"/>
              <w:bottom w:val="nil"/>
              <w:right w:val="nil"/>
            </w:tcBorders>
            <w:tcMar>
              <w:top w:w="128" w:type="dxa"/>
              <w:left w:w="43" w:type="dxa"/>
              <w:bottom w:w="43" w:type="dxa"/>
              <w:right w:w="43" w:type="dxa"/>
            </w:tcMar>
          </w:tcPr>
          <w:p w14:paraId="6D19307A" w14:textId="77777777" w:rsidR="00D60186" w:rsidRPr="00D4351A" w:rsidRDefault="00D60186" w:rsidP="00225D4D">
            <w:pPr>
              <w:rPr>
                <w:sz w:val="21"/>
                <w:szCs w:val="21"/>
              </w:rPr>
            </w:pPr>
            <w:r w:rsidRPr="00D4351A">
              <w:rPr>
                <w:sz w:val="21"/>
                <w:szCs w:val="21"/>
              </w:rPr>
              <w:t xml:space="preserve">Styrke den kommunale beredskapen for </w:t>
            </w:r>
            <w:proofErr w:type="spellStart"/>
            <w:r w:rsidRPr="00D4351A">
              <w:rPr>
                <w:sz w:val="21"/>
                <w:szCs w:val="21"/>
              </w:rPr>
              <w:t>ekstremvêr</w:t>
            </w:r>
            <w:proofErr w:type="spellEnd"/>
            <w:r w:rsidRPr="00D4351A">
              <w:rPr>
                <w:sz w:val="21"/>
                <w:szCs w:val="21"/>
              </w:rPr>
              <w:t xml:space="preserve"> og </w:t>
            </w:r>
            <w:proofErr w:type="spellStart"/>
            <w:r w:rsidRPr="00D4351A">
              <w:rPr>
                <w:sz w:val="21"/>
                <w:szCs w:val="21"/>
              </w:rPr>
              <w:t>følgjehendingar</w:t>
            </w:r>
            <w:proofErr w:type="spellEnd"/>
          </w:p>
        </w:tc>
        <w:tc>
          <w:tcPr>
            <w:tcW w:w="1800" w:type="dxa"/>
            <w:tcBorders>
              <w:top w:val="nil"/>
              <w:left w:val="nil"/>
              <w:bottom w:val="nil"/>
              <w:right w:val="nil"/>
            </w:tcBorders>
            <w:tcMar>
              <w:top w:w="128" w:type="dxa"/>
              <w:left w:w="43" w:type="dxa"/>
              <w:bottom w:w="43" w:type="dxa"/>
              <w:right w:w="43" w:type="dxa"/>
            </w:tcMar>
          </w:tcPr>
          <w:p w14:paraId="7A65B0F4" w14:textId="77777777" w:rsidR="00D60186" w:rsidRPr="00D4351A" w:rsidRDefault="00D60186" w:rsidP="00D4351A">
            <w:pPr>
              <w:jc w:val="right"/>
              <w:rPr>
                <w:sz w:val="21"/>
                <w:szCs w:val="21"/>
              </w:rPr>
            </w:pPr>
            <w:r w:rsidRPr="00D4351A">
              <w:rPr>
                <w:sz w:val="21"/>
                <w:szCs w:val="21"/>
              </w:rPr>
              <w:t>Ja</w:t>
            </w:r>
          </w:p>
        </w:tc>
      </w:tr>
      <w:tr w:rsidR="00E76DC8" w:rsidRPr="00225D4D" w14:paraId="738A7AE9" w14:textId="77777777">
        <w:trPr>
          <w:trHeight w:val="380"/>
        </w:trPr>
        <w:tc>
          <w:tcPr>
            <w:tcW w:w="1240" w:type="dxa"/>
            <w:tcBorders>
              <w:top w:val="nil"/>
              <w:left w:val="nil"/>
              <w:bottom w:val="nil"/>
              <w:right w:val="nil"/>
            </w:tcBorders>
            <w:tcMar>
              <w:top w:w="128" w:type="dxa"/>
              <w:left w:w="43" w:type="dxa"/>
              <w:bottom w:w="43" w:type="dxa"/>
              <w:right w:w="43" w:type="dxa"/>
            </w:tcMar>
          </w:tcPr>
          <w:p w14:paraId="512554F1"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0389564" w14:textId="77777777" w:rsidR="00D60186" w:rsidRPr="00D4351A" w:rsidRDefault="00D60186" w:rsidP="00D4351A">
            <w:pPr>
              <w:ind w:right="113"/>
              <w:jc w:val="right"/>
              <w:rPr>
                <w:sz w:val="21"/>
                <w:szCs w:val="21"/>
              </w:rPr>
            </w:pPr>
            <w:r w:rsidRPr="00D4351A">
              <w:rPr>
                <w:sz w:val="21"/>
                <w:szCs w:val="21"/>
              </w:rPr>
              <w:t>507</w:t>
            </w:r>
          </w:p>
        </w:tc>
        <w:tc>
          <w:tcPr>
            <w:tcW w:w="5380" w:type="dxa"/>
            <w:tcBorders>
              <w:top w:val="nil"/>
              <w:left w:val="nil"/>
              <w:bottom w:val="nil"/>
              <w:right w:val="nil"/>
            </w:tcBorders>
            <w:tcMar>
              <w:top w:w="128" w:type="dxa"/>
              <w:left w:w="43" w:type="dxa"/>
              <w:bottom w:w="43" w:type="dxa"/>
              <w:right w:w="43" w:type="dxa"/>
            </w:tcMar>
          </w:tcPr>
          <w:p w14:paraId="35C7F020" w14:textId="77777777" w:rsidR="00D60186" w:rsidRPr="00D4351A" w:rsidRDefault="00D60186" w:rsidP="00225D4D">
            <w:pPr>
              <w:rPr>
                <w:sz w:val="21"/>
                <w:szCs w:val="21"/>
              </w:rPr>
            </w:pPr>
            <w:r w:rsidRPr="00D4351A">
              <w:rPr>
                <w:sz w:val="21"/>
                <w:szCs w:val="21"/>
              </w:rPr>
              <w:t xml:space="preserve">Habilitet </w:t>
            </w:r>
          </w:p>
        </w:tc>
        <w:tc>
          <w:tcPr>
            <w:tcW w:w="1800" w:type="dxa"/>
            <w:tcBorders>
              <w:top w:val="nil"/>
              <w:left w:val="nil"/>
              <w:bottom w:val="nil"/>
              <w:right w:val="nil"/>
            </w:tcBorders>
            <w:tcMar>
              <w:top w:w="128" w:type="dxa"/>
              <w:left w:w="43" w:type="dxa"/>
              <w:bottom w:w="43" w:type="dxa"/>
              <w:right w:w="43" w:type="dxa"/>
            </w:tcMar>
          </w:tcPr>
          <w:p w14:paraId="5253CA73" w14:textId="77777777" w:rsidR="00D60186" w:rsidRPr="00D4351A" w:rsidRDefault="00D60186" w:rsidP="00D4351A">
            <w:pPr>
              <w:jc w:val="right"/>
              <w:rPr>
                <w:sz w:val="21"/>
                <w:szCs w:val="21"/>
              </w:rPr>
            </w:pPr>
            <w:r w:rsidRPr="00D4351A">
              <w:rPr>
                <w:sz w:val="21"/>
                <w:szCs w:val="21"/>
              </w:rPr>
              <w:t>Ja</w:t>
            </w:r>
          </w:p>
        </w:tc>
      </w:tr>
      <w:tr w:rsidR="00E76DC8" w:rsidRPr="00225D4D" w14:paraId="67F4DA91" w14:textId="77777777">
        <w:trPr>
          <w:trHeight w:val="380"/>
        </w:trPr>
        <w:tc>
          <w:tcPr>
            <w:tcW w:w="1240" w:type="dxa"/>
            <w:tcBorders>
              <w:top w:val="nil"/>
              <w:left w:val="nil"/>
              <w:bottom w:val="nil"/>
              <w:right w:val="nil"/>
            </w:tcBorders>
            <w:tcMar>
              <w:top w:w="128" w:type="dxa"/>
              <w:left w:w="43" w:type="dxa"/>
              <w:bottom w:w="43" w:type="dxa"/>
              <w:right w:w="43" w:type="dxa"/>
            </w:tcMar>
          </w:tcPr>
          <w:p w14:paraId="229A3462"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0D85145" w14:textId="77777777" w:rsidR="00D60186" w:rsidRPr="00D4351A" w:rsidRDefault="00D60186" w:rsidP="00D4351A">
            <w:pPr>
              <w:ind w:right="113"/>
              <w:jc w:val="right"/>
              <w:rPr>
                <w:sz w:val="21"/>
                <w:szCs w:val="21"/>
              </w:rPr>
            </w:pPr>
            <w:r w:rsidRPr="00D4351A">
              <w:rPr>
                <w:sz w:val="21"/>
                <w:szCs w:val="21"/>
              </w:rPr>
              <w:t>508</w:t>
            </w:r>
          </w:p>
        </w:tc>
        <w:tc>
          <w:tcPr>
            <w:tcW w:w="5380" w:type="dxa"/>
            <w:tcBorders>
              <w:top w:val="nil"/>
              <w:left w:val="nil"/>
              <w:bottom w:val="nil"/>
              <w:right w:val="nil"/>
            </w:tcBorders>
            <w:tcMar>
              <w:top w:w="128" w:type="dxa"/>
              <w:left w:w="43" w:type="dxa"/>
              <w:bottom w:w="43" w:type="dxa"/>
              <w:right w:w="43" w:type="dxa"/>
            </w:tcMar>
          </w:tcPr>
          <w:p w14:paraId="55B28A59" w14:textId="77777777" w:rsidR="00D60186" w:rsidRPr="00D4351A" w:rsidRDefault="00D60186" w:rsidP="00225D4D">
            <w:pPr>
              <w:rPr>
                <w:sz w:val="21"/>
                <w:szCs w:val="21"/>
              </w:rPr>
            </w:pPr>
            <w:r w:rsidRPr="00D4351A">
              <w:rPr>
                <w:sz w:val="21"/>
                <w:szCs w:val="21"/>
              </w:rPr>
              <w:t>Habilitet</w:t>
            </w:r>
          </w:p>
        </w:tc>
        <w:tc>
          <w:tcPr>
            <w:tcW w:w="1800" w:type="dxa"/>
            <w:tcBorders>
              <w:top w:val="nil"/>
              <w:left w:val="nil"/>
              <w:bottom w:val="nil"/>
              <w:right w:val="nil"/>
            </w:tcBorders>
            <w:tcMar>
              <w:top w:w="128" w:type="dxa"/>
              <w:left w:w="43" w:type="dxa"/>
              <w:bottom w:w="43" w:type="dxa"/>
              <w:right w:w="43" w:type="dxa"/>
            </w:tcMar>
          </w:tcPr>
          <w:p w14:paraId="3D7260B5" w14:textId="77777777" w:rsidR="00D60186" w:rsidRPr="00D4351A" w:rsidRDefault="00D60186" w:rsidP="00D4351A">
            <w:pPr>
              <w:jc w:val="right"/>
              <w:rPr>
                <w:sz w:val="21"/>
                <w:szCs w:val="21"/>
              </w:rPr>
            </w:pPr>
            <w:r w:rsidRPr="00D4351A">
              <w:rPr>
                <w:sz w:val="21"/>
                <w:szCs w:val="21"/>
              </w:rPr>
              <w:t>Ja</w:t>
            </w:r>
          </w:p>
        </w:tc>
      </w:tr>
      <w:tr w:rsidR="00E76DC8" w:rsidRPr="00225D4D" w14:paraId="15566C83" w14:textId="77777777">
        <w:trPr>
          <w:trHeight w:val="380"/>
        </w:trPr>
        <w:tc>
          <w:tcPr>
            <w:tcW w:w="1240" w:type="dxa"/>
            <w:tcBorders>
              <w:top w:val="nil"/>
              <w:left w:val="nil"/>
              <w:bottom w:val="nil"/>
              <w:right w:val="nil"/>
            </w:tcBorders>
            <w:tcMar>
              <w:top w:w="128" w:type="dxa"/>
              <w:left w:w="43" w:type="dxa"/>
              <w:bottom w:w="43" w:type="dxa"/>
              <w:right w:w="43" w:type="dxa"/>
            </w:tcMar>
          </w:tcPr>
          <w:p w14:paraId="3771CC36"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3B3FDCC" w14:textId="77777777" w:rsidR="00D60186" w:rsidRPr="00D4351A" w:rsidRDefault="00D60186" w:rsidP="00D4351A">
            <w:pPr>
              <w:ind w:right="113"/>
              <w:jc w:val="right"/>
              <w:rPr>
                <w:sz w:val="21"/>
                <w:szCs w:val="21"/>
              </w:rPr>
            </w:pPr>
            <w:r w:rsidRPr="00D4351A">
              <w:rPr>
                <w:sz w:val="21"/>
                <w:szCs w:val="21"/>
              </w:rPr>
              <w:t>509</w:t>
            </w:r>
          </w:p>
        </w:tc>
        <w:tc>
          <w:tcPr>
            <w:tcW w:w="5380" w:type="dxa"/>
            <w:tcBorders>
              <w:top w:val="nil"/>
              <w:left w:val="nil"/>
              <w:bottom w:val="nil"/>
              <w:right w:val="nil"/>
            </w:tcBorders>
            <w:tcMar>
              <w:top w:w="128" w:type="dxa"/>
              <w:left w:w="43" w:type="dxa"/>
              <w:bottom w:w="43" w:type="dxa"/>
              <w:right w:w="43" w:type="dxa"/>
            </w:tcMar>
          </w:tcPr>
          <w:p w14:paraId="4B1C4E34" w14:textId="77777777" w:rsidR="00D60186" w:rsidRPr="00D4351A" w:rsidRDefault="00D60186" w:rsidP="00225D4D">
            <w:pPr>
              <w:rPr>
                <w:sz w:val="21"/>
                <w:szCs w:val="21"/>
              </w:rPr>
            </w:pPr>
            <w:r w:rsidRPr="00D4351A">
              <w:rPr>
                <w:sz w:val="21"/>
                <w:szCs w:val="21"/>
              </w:rPr>
              <w:t>Habilitet</w:t>
            </w:r>
          </w:p>
        </w:tc>
        <w:tc>
          <w:tcPr>
            <w:tcW w:w="1800" w:type="dxa"/>
            <w:tcBorders>
              <w:top w:val="nil"/>
              <w:left w:val="nil"/>
              <w:bottom w:val="nil"/>
              <w:right w:val="nil"/>
            </w:tcBorders>
            <w:tcMar>
              <w:top w:w="128" w:type="dxa"/>
              <w:left w:w="43" w:type="dxa"/>
              <w:bottom w:w="43" w:type="dxa"/>
              <w:right w:w="43" w:type="dxa"/>
            </w:tcMar>
          </w:tcPr>
          <w:p w14:paraId="17F10B97" w14:textId="77777777" w:rsidR="00D60186" w:rsidRPr="00D4351A" w:rsidRDefault="00D60186" w:rsidP="00D4351A">
            <w:pPr>
              <w:jc w:val="right"/>
              <w:rPr>
                <w:sz w:val="21"/>
                <w:szCs w:val="21"/>
              </w:rPr>
            </w:pPr>
            <w:r w:rsidRPr="00D4351A">
              <w:rPr>
                <w:sz w:val="21"/>
                <w:szCs w:val="21"/>
              </w:rPr>
              <w:t>Ja</w:t>
            </w:r>
          </w:p>
        </w:tc>
      </w:tr>
      <w:tr w:rsidR="00E76DC8" w:rsidRPr="00225D4D" w14:paraId="42775743" w14:textId="77777777">
        <w:trPr>
          <w:trHeight w:val="380"/>
        </w:trPr>
        <w:tc>
          <w:tcPr>
            <w:tcW w:w="1240" w:type="dxa"/>
            <w:tcBorders>
              <w:top w:val="nil"/>
              <w:left w:val="nil"/>
              <w:bottom w:val="nil"/>
              <w:right w:val="nil"/>
            </w:tcBorders>
            <w:tcMar>
              <w:top w:w="128" w:type="dxa"/>
              <w:left w:w="43" w:type="dxa"/>
              <w:bottom w:w="43" w:type="dxa"/>
              <w:right w:w="43" w:type="dxa"/>
            </w:tcMar>
          </w:tcPr>
          <w:p w14:paraId="2F8D8A19"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3F7B6E0" w14:textId="77777777" w:rsidR="00D60186" w:rsidRPr="00D4351A" w:rsidRDefault="00D60186" w:rsidP="00D4351A">
            <w:pPr>
              <w:ind w:right="113"/>
              <w:jc w:val="right"/>
              <w:rPr>
                <w:sz w:val="21"/>
                <w:szCs w:val="21"/>
              </w:rPr>
            </w:pPr>
            <w:r w:rsidRPr="00D4351A">
              <w:rPr>
                <w:sz w:val="21"/>
                <w:szCs w:val="21"/>
              </w:rPr>
              <w:t>510</w:t>
            </w:r>
          </w:p>
        </w:tc>
        <w:tc>
          <w:tcPr>
            <w:tcW w:w="5380" w:type="dxa"/>
            <w:tcBorders>
              <w:top w:val="nil"/>
              <w:left w:val="nil"/>
              <w:bottom w:val="nil"/>
              <w:right w:val="nil"/>
            </w:tcBorders>
            <w:tcMar>
              <w:top w:w="128" w:type="dxa"/>
              <w:left w:w="43" w:type="dxa"/>
              <w:bottom w:w="43" w:type="dxa"/>
              <w:right w:w="43" w:type="dxa"/>
            </w:tcMar>
          </w:tcPr>
          <w:p w14:paraId="312F8864" w14:textId="77777777" w:rsidR="00D60186" w:rsidRPr="00D4351A" w:rsidRDefault="00D60186" w:rsidP="00225D4D">
            <w:pPr>
              <w:rPr>
                <w:sz w:val="21"/>
                <w:szCs w:val="21"/>
              </w:rPr>
            </w:pPr>
            <w:r w:rsidRPr="00D4351A">
              <w:rPr>
                <w:sz w:val="21"/>
                <w:szCs w:val="21"/>
              </w:rPr>
              <w:t>Habilitet</w:t>
            </w:r>
          </w:p>
        </w:tc>
        <w:tc>
          <w:tcPr>
            <w:tcW w:w="1800" w:type="dxa"/>
            <w:tcBorders>
              <w:top w:val="nil"/>
              <w:left w:val="nil"/>
              <w:bottom w:val="nil"/>
              <w:right w:val="nil"/>
            </w:tcBorders>
            <w:tcMar>
              <w:top w:w="128" w:type="dxa"/>
              <w:left w:w="43" w:type="dxa"/>
              <w:bottom w:w="43" w:type="dxa"/>
              <w:right w:w="43" w:type="dxa"/>
            </w:tcMar>
          </w:tcPr>
          <w:p w14:paraId="07903614" w14:textId="77777777" w:rsidR="00D60186" w:rsidRPr="00D4351A" w:rsidRDefault="00D60186" w:rsidP="00D4351A">
            <w:pPr>
              <w:jc w:val="right"/>
              <w:rPr>
                <w:sz w:val="21"/>
                <w:szCs w:val="21"/>
              </w:rPr>
            </w:pPr>
            <w:r w:rsidRPr="00D4351A">
              <w:rPr>
                <w:sz w:val="21"/>
                <w:szCs w:val="21"/>
              </w:rPr>
              <w:t>Ja</w:t>
            </w:r>
          </w:p>
        </w:tc>
      </w:tr>
      <w:tr w:rsidR="00E76DC8" w:rsidRPr="00225D4D" w14:paraId="3F01F9EA" w14:textId="77777777">
        <w:trPr>
          <w:trHeight w:val="380"/>
        </w:trPr>
        <w:tc>
          <w:tcPr>
            <w:tcW w:w="1240" w:type="dxa"/>
            <w:tcBorders>
              <w:top w:val="nil"/>
              <w:left w:val="nil"/>
              <w:bottom w:val="nil"/>
              <w:right w:val="nil"/>
            </w:tcBorders>
            <w:tcMar>
              <w:top w:w="128" w:type="dxa"/>
              <w:left w:w="43" w:type="dxa"/>
              <w:bottom w:w="43" w:type="dxa"/>
              <w:right w:w="43" w:type="dxa"/>
            </w:tcMar>
          </w:tcPr>
          <w:p w14:paraId="775B6F71"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9CF348B" w14:textId="77777777" w:rsidR="00D60186" w:rsidRPr="00D4351A" w:rsidRDefault="00D60186" w:rsidP="00D4351A">
            <w:pPr>
              <w:ind w:right="113"/>
              <w:jc w:val="right"/>
              <w:rPr>
                <w:sz w:val="21"/>
                <w:szCs w:val="21"/>
              </w:rPr>
            </w:pPr>
            <w:r w:rsidRPr="00D4351A">
              <w:rPr>
                <w:sz w:val="21"/>
                <w:szCs w:val="21"/>
              </w:rPr>
              <w:t>511</w:t>
            </w:r>
          </w:p>
        </w:tc>
        <w:tc>
          <w:tcPr>
            <w:tcW w:w="5380" w:type="dxa"/>
            <w:tcBorders>
              <w:top w:val="nil"/>
              <w:left w:val="nil"/>
              <w:bottom w:val="nil"/>
              <w:right w:val="nil"/>
            </w:tcBorders>
            <w:tcMar>
              <w:top w:w="128" w:type="dxa"/>
              <w:left w:w="43" w:type="dxa"/>
              <w:bottom w:w="43" w:type="dxa"/>
              <w:right w:w="43" w:type="dxa"/>
            </w:tcMar>
          </w:tcPr>
          <w:p w14:paraId="6D1F80F3" w14:textId="77777777" w:rsidR="00D60186" w:rsidRPr="00D4351A" w:rsidRDefault="00D60186" w:rsidP="00225D4D">
            <w:pPr>
              <w:rPr>
                <w:sz w:val="21"/>
                <w:szCs w:val="21"/>
              </w:rPr>
            </w:pPr>
            <w:r w:rsidRPr="00D4351A">
              <w:rPr>
                <w:sz w:val="21"/>
                <w:szCs w:val="21"/>
              </w:rPr>
              <w:t>Habilitet</w:t>
            </w:r>
          </w:p>
        </w:tc>
        <w:tc>
          <w:tcPr>
            <w:tcW w:w="1800" w:type="dxa"/>
            <w:tcBorders>
              <w:top w:val="nil"/>
              <w:left w:val="nil"/>
              <w:bottom w:val="nil"/>
              <w:right w:val="nil"/>
            </w:tcBorders>
            <w:tcMar>
              <w:top w:w="128" w:type="dxa"/>
              <w:left w:w="43" w:type="dxa"/>
              <w:bottom w:w="43" w:type="dxa"/>
              <w:right w:w="43" w:type="dxa"/>
            </w:tcMar>
          </w:tcPr>
          <w:p w14:paraId="6CA2DCEA" w14:textId="77777777" w:rsidR="00D60186" w:rsidRPr="00D4351A" w:rsidRDefault="00D60186" w:rsidP="00D4351A">
            <w:pPr>
              <w:jc w:val="right"/>
              <w:rPr>
                <w:sz w:val="21"/>
                <w:szCs w:val="21"/>
              </w:rPr>
            </w:pPr>
            <w:r w:rsidRPr="00D4351A">
              <w:rPr>
                <w:sz w:val="21"/>
                <w:szCs w:val="21"/>
              </w:rPr>
              <w:t>Ja</w:t>
            </w:r>
          </w:p>
        </w:tc>
      </w:tr>
      <w:tr w:rsidR="00E76DC8" w:rsidRPr="00225D4D" w14:paraId="0DE85F7C" w14:textId="77777777">
        <w:trPr>
          <w:trHeight w:val="640"/>
        </w:trPr>
        <w:tc>
          <w:tcPr>
            <w:tcW w:w="1240" w:type="dxa"/>
            <w:tcBorders>
              <w:top w:val="nil"/>
              <w:left w:val="nil"/>
              <w:bottom w:val="nil"/>
              <w:right w:val="nil"/>
            </w:tcBorders>
            <w:tcMar>
              <w:top w:w="128" w:type="dxa"/>
              <w:left w:w="43" w:type="dxa"/>
              <w:bottom w:w="43" w:type="dxa"/>
              <w:right w:w="43" w:type="dxa"/>
            </w:tcMar>
          </w:tcPr>
          <w:p w14:paraId="49DD580E"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4B87E6F4" w14:textId="77777777" w:rsidR="00D60186" w:rsidRPr="00D4351A" w:rsidRDefault="00D60186" w:rsidP="00D4351A">
            <w:pPr>
              <w:ind w:right="113"/>
              <w:jc w:val="right"/>
              <w:rPr>
                <w:sz w:val="21"/>
                <w:szCs w:val="21"/>
              </w:rPr>
            </w:pPr>
            <w:r w:rsidRPr="00D4351A">
              <w:rPr>
                <w:sz w:val="21"/>
                <w:szCs w:val="21"/>
              </w:rPr>
              <w:t>561</w:t>
            </w:r>
          </w:p>
        </w:tc>
        <w:tc>
          <w:tcPr>
            <w:tcW w:w="5380" w:type="dxa"/>
            <w:tcBorders>
              <w:top w:val="nil"/>
              <w:left w:val="nil"/>
              <w:bottom w:val="nil"/>
              <w:right w:val="nil"/>
            </w:tcBorders>
            <w:tcMar>
              <w:top w:w="128" w:type="dxa"/>
              <w:left w:w="43" w:type="dxa"/>
              <w:bottom w:w="43" w:type="dxa"/>
              <w:right w:w="43" w:type="dxa"/>
            </w:tcMar>
          </w:tcPr>
          <w:p w14:paraId="37B3FEA0" w14:textId="77777777" w:rsidR="00D60186" w:rsidRPr="00D4351A" w:rsidRDefault="00D60186" w:rsidP="00225D4D">
            <w:pPr>
              <w:rPr>
                <w:sz w:val="21"/>
                <w:szCs w:val="21"/>
              </w:rPr>
            </w:pPr>
            <w:r w:rsidRPr="00D4351A">
              <w:rPr>
                <w:sz w:val="21"/>
                <w:szCs w:val="21"/>
              </w:rPr>
              <w:t>Forsyningstryggleik – oppfølging av totalberedskapskommisjonen</w:t>
            </w:r>
          </w:p>
        </w:tc>
        <w:tc>
          <w:tcPr>
            <w:tcW w:w="1800" w:type="dxa"/>
            <w:tcBorders>
              <w:top w:val="nil"/>
              <w:left w:val="nil"/>
              <w:bottom w:val="nil"/>
              <w:right w:val="nil"/>
            </w:tcBorders>
            <w:tcMar>
              <w:top w:w="128" w:type="dxa"/>
              <w:left w:w="43" w:type="dxa"/>
              <w:bottom w:w="43" w:type="dxa"/>
              <w:right w:w="43" w:type="dxa"/>
            </w:tcMar>
          </w:tcPr>
          <w:p w14:paraId="0F3C0DC1" w14:textId="77777777" w:rsidR="00D60186" w:rsidRPr="00D4351A" w:rsidRDefault="00D60186" w:rsidP="00D4351A">
            <w:pPr>
              <w:jc w:val="right"/>
              <w:rPr>
                <w:sz w:val="21"/>
                <w:szCs w:val="21"/>
              </w:rPr>
            </w:pPr>
            <w:r w:rsidRPr="00D4351A">
              <w:rPr>
                <w:sz w:val="21"/>
                <w:szCs w:val="21"/>
              </w:rPr>
              <w:t>Ja</w:t>
            </w:r>
          </w:p>
        </w:tc>
      </w:tr>
      <w:tr w:rsidR="00E76DC8" w:rsidRPr="00225D4D" w14:paraId="70E6E830" w14:textId="77777777">
        <w:trPr>
          <w:trHeight w:val="640"/>
        </w:trPr>
        <w:tc>
          <w:tcPr>
            <w:tcW w:w="1240" w:type="dxa"/>
            <w:tcBorders>
              <w:top w:val="nil"/>
              <w:left w:val="nil"/>
              <w:bottom w:val="nil"/>
              <w:right w:val="nil"/>
            </w:tcBorders>
            <w:tcMar>
              <w:top w:w="128" w:type="dxa"/>
              <w:left w:w="43" w:type="dxa"/>
              <w:bottom w:w="43" w:type="dxa"/>
              <w:right w:w="43" w:type="dxa"/>
            </w:tcMar>
          </w:tcPr>
          <w:p w14:paraId="26A3DEA2"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7A0A45F" w14:textId="77777777" w:rsidR="00D60186" w:rsidRPr="00D4351A" w:rsidRDefault="00D60186" w:rsidP="00D4351A">
            <w:pPr>
              <w:ind w:right="113"/>
              <w:jc w:val="right"/>
              <w:rPr>
                <w:sz w:val="21"/>
                <w:szCs w:val="21"/>
              </w:rPr>
            </w:pPr>
            <w:r w:rsidRPr="00D4351A">
              <w:rPr>
                <w:sz w:val="21"/>
                <w:szCs w:val="21"/>
              </w:rPr>
              <w:t>562</w:t>
            </w:r>
          </w:p>
        </w:tc>
        <w:tc>
          <w:tcPr>
            <w:tcW w:w="5380" w:type="dxa"/>
            <w:tcBorders>
              <w:top w:val="nil"/>
              <w:left w:val="nil"/>
              <w:bottom w:val="nil"/>
              <w:right w:val="nil"/>
            </w:tcBorders>
            <w:tcMar>
              <w:top w:w="128" w:type="dxa"/>
              <w:left w:w="43" w:type="dxa"/>
              <w:bottom w:w="43" w:type="dxa"/>
              <w:right w:w="43" w:type="dxa"/>
            </w:tcMar>
          </w:tcPr>
          <w:p w14:paraId="68CEC134" w14:textId="77777777" w:rsidR="00D60186" w:rsidRPr="00D4351A" w:rsidRDefault="00D60186" w:rsidP="00225D4D">
            <w:pPr>
              <w:rPr>
                <w:sz w:val="21"/>
                <w:szCs w:val="21"/>
              </w:rPr>
            </w:pPr>
            <w:r w:rsidRPr="00D4351A">
              <w:rPr>
                <w:sz w:val="21"/>
                <w:szCs w:val="21"/>
              </w:rPr>
              <w:t xml:space="preserve">Forsyningstryggleik – sikre mest </w:t>
            </w:r>
            <w:proofErr w:type="spellStart"/>
            <w:r w:rsidRPr="00D4351A">
              <w:rPr>
                <w:sz w:val="21"/>
                <w:szCs w:val="21"/>
              </w:rPr>
              <w:t>mogleg</w:t>
            </w:r>
            <w:proofErr w:type="spellEnd"/>
            <w:r w:rsidRPr="00D4351A">
              <w:rPr>
                <w:sz w:val="21"/>
                <w:szCs w:val="21"/>
              </w:rPr>
              <w:t xml:space="preserve"> normal handel med og produksjon av mat i kriser</w:t>
            </w:r>
          </w:p>
        </w:tc>
        <w:tc>
          <w:tcPr>
            <w:tcW w:w="1800" w:type="dxa"/>
            <w:tcBorders>
              <w:top w:val="nil"/>
              <w:left w:val="nil"/>
              <w:bottom w:val="nil"/>
              <w:right w:val="nil"/>
            </w:tcBorders>
            <w:tcMar>
              <w:top w:w="128" w:type="dxa"/>
              <w:left w:w="43" w:type="dxa"/>
              <w:bottom w:w="43" w:type="dxa"/>
              <w:right w:w="43" w:type="dxa"/>
            </w:tcMar>
          </w:tcPr>
          <w:p w14:paraId="5ED6C8EC" w14:textId="77777777" w:rsidR="00D60186" w:rsidRPr="00D4351A" w:rsidRDefault="00D60186" w:rsidP="00D4351A">
            <w:pPr>
              <w:jc w:val="right"/>
              <w:rPr>
                <w:sz w:val="21"/>
                <w:szCs w:val="21"/>
              </w:rPr>
            </w:pPr>
            <w:r w:rsidRPr="00D4351A">
              <w:rPr>
                <w:sz w:val="21"/>
                <w:szCs w:val="21"/>
              </w:rPr>
              <w:t>Nei</w:t>
            </w:r>
          </w:p>
        </w:tc>
      </w:tr>
      <w:tr w:rsidR="00E76DC8" w:rsidRPr="00225D4D" w14:paraId="416F428A" w14:textId="77777777">
        <w:trPr>
          <w:trHeight w:val="640"/>
        </w:trPr>
        <w:tc>
          <w:tcPr>
            <w:tcW w:w="1240" w:type="dxa"/>
            <w:tcBorders>
              <w:top w:val="nil"/>
              <w:left w:val="nil"/>
              <w:bottom w:val="nil"/>
              <w:right w:val="nil"/>
            </w:tcBorders>
            <w:tcMar>
              <w:top w:w="128" w:type="dxa"/>
              <w:left w:w="43" w:type="dxa"/>
              <w:bottom w:w="43" w:type="dxa"/>
              <w:right w:w="43" w:type="dxa"/>
            </w:tcMar>
          </w:tcPr>
          <w:p w14:paraId="65666D33"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5782FCC" w14:textId="77777777" w:rsidR="00D60186" w:rsidRPr="00D4351A" w:rsidRDefault="00D60186" w:rsidP="00D4351A">
            <w:pPr>
              <w:ind w:right="113"/>
              <w:jc w:val="right"/>
              <w:rPr>
                <w:sz w:val="21"/>
                <w:szCs w:val="21"/>
              </w:rPr>
            </w:pPr>
            <w:r w:rsidRPr="00D4351A">
              <w:rPr>
                <w:sz w:val="21"/>
                <w:szCs w:val="21"/>
              </w:rPr>
              <w:t>613</w:t>
            </w:r>
          </w:p>
        </w:tc>
        <w:tc>
          <w:tcPr>
            <w:tcW w:w="5380" w:type="dxa"/>
            <w:tcBorders>
              <w:top w:val="nil"/>
              <w:left w:val="nil"/>
              <w:bottom w:val="nil"/>
              <w:right w:val="nil"/>
            </w:tcBorders>
            <w:tcMar>
              <w:top w:w="128" w:type="dxa"/>
              <w:left w:w="43" w:type="dxa"/>
              <w:bottom w:w="43" w:type="dxa"/>
              <w:right w:w="43" w:type="dxa"/>
            </w:tcMar>
          </w:tcPr>
          <w:p w14:paraId="0ECE58AA" w14:textId="77777777" w:rsidR="00D60186" w:rsidRPr="00D4351A" w:rsidRDefault="00D60186" w:rsidP="00225D4D">
            <w:pPr>
              <w:rPr>
                <w:sz w:val="21"/>
                <w:szCs w:val="21"/>
              </w:rPr>
            </w:pPr>
            <w:r w:rsidRPr="00D4351A">
              <w:rPr>
                <w:sz w:val="21"/>
                <w:szCs w:val="21"/>
              </w:rPr>
              <w:t xml:space="preserve">Utgreiing av forslag til lovfesting av kommunale </w:t>
            </w:r>
            <w:proofErr w:type="spellStart"/>
            <w:r w:rsidRPr="00D4351A">
              <w:rPr>
                <w:sz w:val="21"/>
                <w:szCs w:val="21"/>
              </w:rPr>
              <w:t>handlingsplanar</w:t>
            </w:r>
            <w:proofErr w:type="spellEnd"/>
          </w:p>
        </w:tc>
        <w:tc>
          <w:tcPr>
            <w:tcW w:w="1800" w:type="dxa"/>
            <w:tcBorders>
              <w:top w:val="nil"/>
              <w:left w:val="nil"/>
              <w:bottom w:val="nil"/>
              <w:right w:val="nil"/>
            </w:tcBorders>
            <w:tcMar>
              <w:top w:w="128" w:type="dxa"/>
              <w:left w:w="43" w:type="dxa"/>
              <w:bottom w:w="43" w:type="dxa"/>
              <w:right w:w="43" w:type="dxa"/>
            </w:tcMar>
          </w:tcPr>
          <w:p w14:paraId="1D2C240A" w14:textId="77777777" w:rsidR="00D60186" w:rsidRPr="00D4351A" w:rsidRDefault="00D60186" w:rsidP="00D4351A">
            <w:pPr>
              <w:jc w:val="right"/>
              <w:rPr>
                <w:sz w:val="21"/>
                <w:szCs w:val="21"/>
              </w:rPr>
            </w:pPr>
            <w:r w:rsidRPr="00D4351A">
              <w:rPr>
                <w:sz w:val="21"/>
                <w:szCs w:val="21"/>
              </w:rPr>
              <w:t>Nei</w:t>
            </w:r>
          </w:p>
        </w:tc>
      </w:tr>
      <w:tr w:rsidR="00E76DC8" w:rsidRPr="00225D4D" w14:paraId="5A4368A2" w14:textId="77777777">
        <w:trPr>
          <w:trHeight w:val="380"/>
        </w:trPr>
        <w:tc>
          <w:tcPr>
            <w:tcW w:w="1240" w:type="dxa"/>
            <w:tcBorders>
              <w:top w:val="nil"/>
              <w:left w:val="nil"/>
              <w:bottom w:val="nil"/>
              <w:right w:val="nil"/>
            </w:tcBorders>
            <w:tcMar>
              <w:top w:w="128" w:type="dxa"/>
              <w:left w:w="43" w:type="dxa"/>
              <w:bottom w:w="43" w:type="dxa"/>
              <w:right w:w="43" w:type="dxa"/>
            </w:tcMar>
          </w:tcPr>
          <w:p w14:paraId="645876BB"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0CFD287" w14:textId="77777777" w:rsidR="00D60186" w:rsidRPr="00D4351A" w:rsidRDefault="00D60186" w:rsidP="00D4351A">
            <w:pPr>
              <w:ind w:right="113"/>
              <w:jc w:val="right"/>
              <w:rPr>
                <w:sz w:val="21"/>
                <w:szCs w:val="21"/>
              </w:rPr>
            </w:pPr>
            <w:r w:rsidRPr="00D4351A">
              <w:rPr>
                <w:sz w:val="21"/>
                <w:szCs w:val="21"/>
              </w:rPr>
              <w:t>616</w:t>
            </w:r>
          </w:p>
        </w:tc>
        <w:tc>
          <w:tcPr>
            <w:tcW w:w="5380" w:type="dxa"/>
            <w:tcBorders>
              <w:top w:val="nil"/>
              <w:left w:val="nil"/>
              <w:bottom w:val="nil"/>
              <w:right w:val="nil"/>
            </w:tcBorders>
            <w:tcMar>
              <w:top w:w="128" w:type="dxa"/>
              <w:left w:w="43" w:type="dxa"/>
              <w:bottom w:w="43" w:type="dxa"/>
              <w:right w:w="43" w:type="dxa"/>
            </w:tcMar>
          </w:tcPr>
          <w:p w14:paraId="2FCC62C8" w14:textId="77777777" w:rsidR="00D60186" w:rsidRPr="00D4351A" w:rsidRDefault="00D60186" w:rsidP="00225D4D">
            <w:pPr>
              <w:rPr>
                <w:sz w:val="21"/>
                <w:szCs w:val="21"/>
              </w:rPr>
            </w:pPr>
            <w:r w:rsidRPr="00D4351A">
              <w:rPr>
                <w:sz w:val="21"/>
                <w:szCs w:val="21"/>
              </w:rPr>
              <w:t>Utvide målgruppa for barnehusa</w:t>
            </w:r>
          </w:p>
        </w:tc>
        <w:tc>
          <w:tcPr>
            <w:tcW w:w="1800" w:type="dxa"/>
            <w:tcBorders>
              <w:top w:val="nil"/>
              <w:left w:val="nil"/>
              <w:bottom w:val="nil"/>
              <w:right w:val="nil"/>
            </w:tcBorders>
            <w:tcMar>
              <w:top w:w="128" w:type="dxa"/>
              <w:left w:w="43" w:type="dxa"/>
              <w:bottom w:w="43" w:type="dxa"/>
              <w:right w:w="43" w:type="dxa"/>
            </w:tcMar>
          </w:tcPr>
          <w:p w14:paraId="4EF64F0C" w14:textId="77777777" w:rsidR="00D60186" w:rsidRPr="00D4351A" w:rsidRDefault="00D60186" w:rsidP="00D4351A">
            <w:pPr>
              <w:jc w:val="right"/>
              <w:rPr>
                <w:sz w:val="21"/>
                <w:szCs w:val="21"/>
              </w:rPr>
            </w:pPr>
            <w:r w:rsidRPr="00D4351A">
              <w:rPr>
                <w:sz w:val="21"/>
                <w:szCs w:val="21"/>
              </w:rPr>
              <w:t>Nei</w:t>
            </w:r>
          </w:p>
        </w:tc>
      </w:tr>
      <w:tr w:rsidR="00E76DC8" w:rsidRPr="00225D4D" w14:paraId="392AD3F2" w14:textId="77777777">
        <w:trPr>
          <w:trHeight w:val="640"/>
        </w:trPr>
        <w:tc>
          <w:tcPr>
            <w:tcW w:w="1240" w:type="dxa"/>
            <w:tcBorders>
              <w:top w:val="nil"/>
              <w:left w:val="nil"/>
              <w:bottom w:val="nil"/>
              <w:right w:val="nil"/>
            </w:tcBorders>
            <w:tcMar>
              <w:top w:w="128" w:type="dxa"/>
              <w:left w:w="43" w:type="dxa"/>
              <w:bottom w:w="43" w:type="dxa"/>
              <w:right w:w="43" w:type="dxa"/>
            </w:tcMar>
          </w:tcPr>
          <w:p w14:paraId="6711F08E"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6467265" w14:textId="77777777" w:rsidR="00D60186" w:rsidRPr="00D4351A" w:rsidRDefault="00D60186" w:rsidP="00D4351A">
            <w:pPr>
              <w:ind w:right="113"/>
              <w:jc w:val="right"/>
              <w:rPr>
                <w:sz w:val="21"/>
                <w:szCs w:val="21"/>
              </w:rPr>
            </w:pPr>
            <w:r w:rsidRPr="00D4351A">
              <w:rPr>
                <w:sz w:val="21"/>
                <w:szCs w:val="21"/>
              </w:rPr>
              <w:t>617</w:t>
            </w:r>
          </w:p>
        </w:tc>
        <w:tc>
          <w:tcPr>
            <w:tcW w:w="5380" w:type="dxa"/>
            <w:tcBorders>
              <w:top w:val="nil"/>
              <w:left w:val="nil"/>
              <w:bottom w:val="nil"/>
              <w:right w:val="nil"/>
            </w:tcBorders>
            <w:tcMar>
              <w:top w:w="128" w:type="dxa"/>
              <w:left w:w="43" w:type="dxa"/>
              <w:bottom w:w="43" w:type="dxa"/>
              <w:right w:w="43" w:type="dxa"/>
            </w:tcMar>
          </w:tcPr>
          <w:p w14:paraId="479F5B5E" w14:textId="77777777" w:rsidR="00D60186" w:rsidRPr="00D4351A" w:rsidRDefault="00D60186" w:rsidP="00225D4D">
            <w:pPr>
              <w:rPr>
                <w:sz w:val="21"/>
                <w:szCs w:val="21"/>
              </w:rPr>
            </w:pPr>
            <w:r w:rsidRPr="00D4351A">
              <w:rPr>
                <w:sz w:val="21"/>
                <w:szCs w:val="21"/>
              </w:rPr>
              <w:t>Forslag om å utvide målgruppa for barnehusa til barn mellom 16 og 18 år</w:t>
            </w:r>
          </w:p>
        </w:tc>
        <w:tc>
          <w:tcPr>
            <w:tcW w:w="1800" w:type="dxa"/>
            <w:tcBorders>
              <w:top w:val="nil"/>
              <w:left w:val="nil"/>
              <w:bottom w:val="nil"/>
              <w:right w:val="nil"/>
            </w:tcBorders>
            <w:tcMar>
              <w:top w:w="128" w:type="dxa"/>
              <w:left w:w="43" w:type="dxa"/>
              <w:bottom w:w="43" w:type="dxa"/>
              <w:right w:w="43" w:type="dxa"/>
            </w:tcMar>
          </w:tcPr>
          <w:p w14:paraId="4780F459" w14:textId="77777777" w:rsidR="00D60186" w:rsidRPr="00D4351A" w:rsidRDefault="00D60186" w:rsidP="00D4351A">
            <w:pPr>
              <w:jc w:val="right"/>
              <w:rPr>
                <w:sz w:val="21"/>
                <w:szCs w:val="21"/>
              </w:rPr>
            </w:pPr>
            <w:r w:rsidRPr="00D4351A">
              <w:rPr>
                <w:sz w:val="21"/>
                <w:szCs w:val="21"/>
              </w:rPr>
              <w:t>Nei</w:t>
            </w:r>
          </w:p>
        </w:tc>
      </w:tr>
      <w:tr w:rsidR="00E76DC8" w:rsidRPr="00225D4D" w14:paraId="4687E905" w14:textId="77777777">
        <w:trPr>
          <w:trHeight w:val="380"/>
        </w:trPr>
        <w:tc>
          <w:tcPr>
            <w:tcW w:w="1240" w:type="dxa"/>
            <w:tcBorders>
              <w:top w:val="nil"/>
              <w:left w:val="nil"/>
              <w:bottom w:val="nil"/>
              <w:right w:val="nil"/>
            </w:tcBorders>
            <w:tcMar>
              <w:top w:w="128" w:type="dxa"/>
              <w:left w:w="43" w:type="dxa"/>
              <w:bottom w:w="43" w:type="dxa"/>
              <w:right w:w="43" w:type="dxa"/>
            </w:tcMar>
          </w:tcPr>
          <w:p w14:paraId="3B11CE0B"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51A61C0" w14:textId="77777777" w:rsidR="00D60186" w:rsidRPr="00D4351A" w:rsidRDefault="00D60186" w:rsidP="00D4351A">
            <w:pPr>
              <w:ind w:right="113"/>
              <w:jc w:val="right"/>
              <w:rPr>
                <w:sz w:val="21"/>
                <w:szCs w:val="21"/>
              </w:rPr>
            </w:pPr>
            <w:r w:rsidRPr="00D4351A">
              <w:rPr>
                <w:sz w:val="21"/>
                <w:szCs w:val="21"/>
              </w:rPr>
              <w:t>618</w:t>
            </w:r>
          </w:p>
        </w:tc>
        <w:tc>
          <w:tcPr>
            <w:tcW w:w="5380" w:type="dxa"/>
            <w:tcBorders>
              <w:top w:val="nil"/>
              <w:left w:val="nil"/>
              <w:bottom w:val="nil"/>
              <w:right w:val="nil"/>
            </w:tcBorders>
            <w:tcMar>
              <w:top w:w="128" w:type="dxa"/>
              <w:left w:w="43" w:type="dxa"/>
              <w:bottom w:w="43" w:type="dxa"/>
              <w:right w:w="43" w:type="dxa"/>
            </w:tcMar>
          </w:tcPr>
          <w:p w14:paraId="5024CFDA" w14:textId="77777777" w:rsidR="00D60186" w:rsidRPr="00D4351A" w:rsidRDefault="00D60186" w:rsidP="00225D4D">
            <w:pPr>
              <w:rPr>
                <w:sz w:val="21"/>
                <w:szCs w:val="21"/>
              </w:rPr>
            </w:pPr>
            <w:r w:rsidRPr="00D4351A">
              <w:rPr>
                <w:sz w:val="21"/>
                <w:szCs w:val="21"/>
              </w:rPr>
              <w:t xml:space="preserve">Gjennomgang av </w:t>
            </w:r>
            <w:proofErr w:type="spellStart"/>
            <w:r w:rsidRPr="00D4351A">
              <w:rPr>
                <w:sz w:val="21"/>
                <w:szCs w:val="21"/>
              </w:rPr>
              <w:t>reglane</w:t>
            </w:r>
            <w:proofErr w:type="spellEnd"/>
            <w:r w:rsidRPr="00D4351A">
              <w:rPr>
                <w:sz w:val="21"/>
                <w:szCs w:val="21"/>
              </w:rPr>
              <w:t xml:space="preserve"> for </w:t>
            </w:r>
            <w:proofErr w:type="spellStart"/>
            <w:r w:rsidRPr="00D4351A">
              <w:rPr>
                <w:sz w:val="21"/>
                <w:szCs w:val="21"/>
              </w:rPr>
              <w:t>dødsstadsundersøkingar</w:t>
            </w:r>
            <w:proofErr w:type="spellEnd"/>
          </w:p>
        </w:tc>
        <w:tc>
          <w:tcPr>
            <w:tcW w:w="1800" w:type="dxa"/>
            <w:tcBorders>
              <w:top w:val="nil"/>
              <w:left w:val="nil"/>
              <w:bottom w:val="nil"/>
              <w:right w:val="nil"/>
            </w:tcBorders>
            <w:tcMar>
              <w:top w:w="128" w:type="dxa"/>
              <w:left w:w="43" w:type="dxa"/>
              <w:bottom w:w="43" w:type="dxa"/>
              <w:right w:w="43" w:type="dxa"/>
            </w:tcMar>
          </w:tcPr>
          <w:p w14:paraId="2F46B484" w14:textId="77777777" w:rsidR="00D60186" w:rsidRPr="00D4351A" w:rsidRDefault="00D60186" w:rsidP="00D4351A">
            <w:pPr>
              <w:jc w:val="right"/>
              <w:rPr>
                <w:sz w:val="21"/>
                <w:szCs w:val="21"/>
              </w:rPr>
            </w:pPr>
            <w:r w:rsidRPr="00D4351A">
              <w:rPr>
                <w:sz w:val="21"/>
                <w:szCs w:val="21"/>
              </w:rPr>
              <w:t xml:space="preserve">Nei </w:t>
            </w:r>
          </w:p>
        </w:tc>
      </w:tr>
      <w:tr w:rsidR="00E76DC8" w:rsidRPr="00225D4D" w14:paraId="6F2020DE" w14:textId="77777777">
        <w:trPr>
          <w:trHeight w:val="380"/>
        </w:trPr>
        <w:tc>
          <w:tcPr>
            <w:tcW w:w="1240" w:type="dxa"/>
            <w:tcBorders>
              <w:top w:val="nil"/>
              <w:left w:val="nil"/>
              <w:bottom w:val="nil"/>
              <w:right w:val="nil"/>
            </w:tcBorders>
            <w:tcMar>
              <w:top w:w="128" w:type="dxa"/>
              <w:left w:w="43" w:type="dxa"/>
              <w:bottom w:w="43" w:type="dxa"/>
              <w:right w:w="43" w:type="dxa"/>
            </w:tcMar>
          </w:tcPr>
          <w:p w14:paraId="67034014"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2BE2240" w14:textId="77777777" w:rsidR="00D60186" w:rsidRPr="00D4351A" w:rsidRDefault="00D60186" w:rsidP="00D4351A">
            <w:pPr>
              <w:ind w:right="113"/>
              <w:jc w:val="right"/>
              <w:rPr>
                <w:sz w:val="21"/>
                <w:szCs w:val="21"/>
              </w:rPr>
            </w:pPr>
            <w:r w:rsidRPr="00D4351A">
              <w:rPr>
                <w:sz w:val="21"/>
                <w:szCs w:val="21"/>
              </w:rPr>
              <w:t>634</w:t>
            </w:r>
          </w:p>
        </w:tc>
        <w:tc>
          <w:tcPr>
            <w:tcW w:w="5380" w:type="dxa"/>
            <w:tcBorders>
              <w:top w:val="nil"/>
              <w:left w:val="nil"/>
              <w:bottom w:val="nil"/>
              <w:right w:val="nil"/>
            </w:tcBorders>
            <w:tcMar>
              <w:top w:w="128" w:type="dxa"/>
              <w:left w:w="43" w:type="dxa"/>
              <w:bottom w:w="43" w:type="dxa"/>
              <w:right w:w="43" w:type="dxa"/>
            </w:tcMar>
          </w:tcPr>
          <w:p w14:paraId="5334A2B4" w14:textId="77777777" w:rsidR="00D60186" w:rsidRPr="00D4351A" w:rsidRDefault="00D60186" w:rsidP="00225D4D">
            <w:pPr>
              <w:rPr>
                <w:sz w:val="21"/>
                <w:szCs w:val="21"/>
              </w:rPr>
            </w:pPr>
            <w:proofErr w:type="spellStart"/>
            <w:r w:rsidRPr="00D4351A">
              <w:rPr>
                <w:sz w:val="21"/>
                <w:szCs w:val="21"/>
              </w:rPr>
              <w:t>Endringar</w:t>
            </w:r>
            <w:proofErr w:type="spellEnd"/>
            <w:r w:rsidRPr="00D4351A">
              <w:rPr>
                <w:sz w:val="21"/>
                <w:szCs w:val="21"/>
              </w:rPr>
              <w:t xml:space="preserve"> i politilova og </w:t>
            </w:r>
            <w:proofErr w:type="spellStart"/>
            <w:r w:rsidRPr="00D4351A">
              <w:rPr>
                <w:sz w:val="21"/>
                <w:szCs w:val="21"/>
              </w:rPr>
              <w:t>vaktverksemdlova</w:t>
            </w:r>
            <w:proofErr w:type="spellEnd"/>
          </w:p>
        </w:tc>
        <w:tc>
          <w:tcPr>
            <w:tcW w:w="1800" w:type="dxa"/>
            <w:tcBorders>
              <w:top w:val="nil"/>
              <w:left w:val="nil"/>
              <w:bottom w:val="nil"/>
              <w:right w:val="nil"/>
            </w:tcBorders>
            <w:tcMar>
              <w:top w:w="128" w:type="dxa"/>
              <w:left w:w="43" w:type="dxa"/>
              <w:bottom w:w="43" w:type="dxa"/>
              <w:right w:w="43" w:type="dxa"/>
            </w:tcMar>
          </w:tcPr>
          <w:p w14:paraId="2552A8BD" w14:textId="77777777" w:rsidR="00D60186" w:rsidRPr="00D4351A" w:rsidRDefault="00D60186" w:rsidP="00D4351A">
            <w:pPr>
              <w:jc w:val="right"/>
              <w:rPr>
                <w:sz w:val="21"/>
                <w:szCs w:val="21"/>
              </w:rPr>
            </w:pPr>
            <w:r w:rsidRPr="00D4351A">
              <w:rPr>
                <w:sz w:val="21"/>
                <w:szCs w:val="21"/>
              </w:rPr>
              <w:t>Nei</w:t>
            </w:r>
          </w:p>
        </w:tc>
      </w:tr>
      <w:tr w:rsidR="00E76DC8" w:rsidRPr="00225D4D" w14:paraId="7B121604" w14:textId="77777777">
        <w:trPr>
          <w:trHeight w:val="380"/>
        </w:trPr>
        <w:tc>
          <w:tcPr>
            <w:tcW w:w="1240" w:type="dxa"/>
            <w:tcBorders>
              <w:top w:val="nil"/>
              <w:left w:val="nil"/>
              <w:bottom w:val="nil"/>
              <w:right w:val="nil"/>
            </w:tcBorders>
            <w:tcMar>
              <w:top w:w="128" w:type="dxa"/>
              <w:left w:w="43" w:type="dxa"/>
              <w:bottom w:w="43" w:type="dxa"/>
              <w:right w:w="43" w:type="dxa"/>
            </w:tcMar>
          </w:tcPr>
          <w:p w14:paraId="3E99C60E"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C4FE606" w14:textId="77777777" w:rsidR="00D60186" w:rsidRPr="00D4351A" w:rsidRDefault="00D60186" w:rsidP="00D4351A">
            <w:pPr>
              <w:ind w:right="113"/>
              <w:jc w:val="right"/>
              <w:rPr>
                <w:sz w:val="21"/>
                <w:szCs w:val="21"/>
              </w:rPr>
            </w:pPr>
            <w:r w:rsidRPr="00D4351A">
              <w:rPr>
                <w:sz w:val="21"/>
                <w:szCs w:val="21"/>
              </w:rPr>
              <w:t>658</w:t>
            </w:r>
          </w:p>
        </w:tc>
        <w:tc>
          <w:tcPr>
            <w:tcW w:w="5380" w:type="dxa"/>
            <w:tcBorders>
              <w:top w:val="nil"/>
              <w:left w:val="nil"/>
              <w:bottom w:val="nil"/>
              <w:right w:val="nil"/>
            </w:tcBorders>
            <w:tcMar>
              <w:top w:w="128" w:type="dxa"/>
              <w:left w:w="43" w:type="dxa"/>
              <w:bottom w:w="43" w:type="dxa"/>
              <w:right w:w="43" w:type="dxa"/>
            </w:tcMar>
          </w:tcPr>
          <w:p w14:paraId="10382CFB" w14:textId="77777777" w:rsidR="00D60186" w:rsidRPr="00D4351A" w:rsidRDefault="00D60186" w:rsidP="00225D4D">
            <w:pPr>
              <w:rPr>
                <w:sz w:val="21"/>
                <w:szCs w:val="21"/>
              </w:rPr>
            </w:pPr>
            <w:r w:rsidRPr="00D4351A">
              <w:rPr>
                <w:sz w:val="21"/>
                <w:szCs w:val="21"/>
              </w:rPr>
              <w:t xml:space="preserve">Tiltak mot </w:t>
            </w:r>
            <w:proofErr w:type="spellStart"/>
            <w:r w:rsidRPr="00D4351A">
              <w:rPr>
                <w:sz w:val="21"/>
                <w:szCs w:val="21"/>
              </w:rPr>
              <w:t>æreskriminalitet</w:t>
            </w:r>
            <w:proofErr w:type="spellEnd"/>
            <w:r w:rsidRPr="00D4351A">
              <w:rPr>
                <w:sz w:val="21"/>
                <w:szCs w:val="21"/>
              </w:rPr>
              <w:t>, lik rett til skilsmisse</w:t>
            </w:r>
          </w:p>
        </w:tc>
        <w:tc>
          <w:tcPr>
            <w:tcW w:w="1800" w:type="dxa"/>
            <w:tcBorders>
              <w:top w:val="nil"/>
              <w:left w:val="nil"/>
              <w:bottom w:val="nil"/>
              <w:right w:val="nil"/>
            </w:tcBorders>
            <w:tcMar>
              <w:top w:w="128" w:type="dxa"/>
              <w:left w:w="43" w:type="dxa"/>
              <w:bottom w:w="43" w:type="dxa"/>
              <w:right w:w="43" w:type="dxa"/>
            </w:tcMar>
          </w:tcPr>
          <w:p w14:paraId="56224085" w14:textId="77777777" w:rsidR="00D60186" w:rsidRPr="00D4351A" w:rsidRDefault="00D60186" w:rsidP="00D4351A">
            <w:pPr>
              <w:jc w:val="right"/>
              <w:rPr>
                <w:sz w:val="21"/>
                <w:szCs w:val="21"/>
              </w:rPr>
            </w:pPr>
            <w:r w:rsidRPr="00D4351A">
              <w:rPr>
                <w:sz w:val="21"/>
                <w:szCs w:val="21"/>
              </w:rPr>
              <w:t>Nei</w:t>
            </w:r>
          </w:p>
        </w:tc>
      </w:tr>
      <w:tr w:rsidR="00E76DC8" w:rsidRPr="00225D4D" w14:paraId="01B3F5D3" w14:textId="77777777">
        <w:trPr>
          <w:trHeight w:val="380"/>
        </w:trPr>
        <w:tc>
          <w:tcPr>
            <w:tcW w:w="1240" w:type="dxa"/>
            <w:tcBorders>
              <w:top w:val="nil"/>
              <w:left w:val="nil"/>
              <w:bottom w:val="nil"/>
              <w:right w:val="nil"/>
            </w:tcBorders>
            <w:tcMar>
              <w:top w:w="128" w:type="dxa"/>
              <w:left w:w="43" w:type="dxa"/>
              <w:bottom w:w="43" w:type="dxa"/>
              <w:right w:w="43" w:type="dxa"/>
            </w:tcMar>
          </w:tcPr>
          <w:p w14:paraId="7FE38046"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5BD0220" w14:textId="77777777" w:rsidR="00D60186" w:rsidRPr="00D4351A" w:rsidRDefault="00D60186" w:rsidP="00D4351A">
            <w:pPr>
              <w:ind w:right="113"/>
              <w:jc w:val="right"/>
              <w:rPr>
                <w:sz w:val="21"/>
                <w:szCs w:val="21"/>
              </w:rPr>
            </w:pPr>
            <w:r w:rsidRPr="00D4351A">
              <w:rPr>
                <w:sz w:val="21"/>
                <w:szCs w:val="21"/>
              </w:rPr>
              <w:t>719</w:t>
            </w:r>
          </w:p>
        </w:tc>
        <w:tc>
          <w:tcPr>
            <w:tcW w:w="5380" w:type="dxa"/>
            <w:tcBorders>
              <w:top w:val="nil"/>
              <w:left w:val="nil"/>
              <w:bottom w:val="nil"/>
              <w:right w:val="nil"/>
            </w:tcBorders>
            <w:tcMar>
              <w:top w:w="128" w:type="dxa"/>
              <w:left w:w="43" w:type="dxa"/>
              <w:bottom w:w="43" w:type="dxa"/>
              <w:right w:w="43" w:type="dxa"/>
            </w:tcMar>
          </w:tcPr>
          <w:p w14:paraId="4F0779D7" w14:textId="77777777" w:rsidR="00D60186" w:rsidRPr="00D4351A" w:rsidRDefault="00D60186" w:rsidP="00225D4D">
            <w:pPr>
              <w:rPr>
                <w:sz w:val="21"/>
                <w:szCs w:val="21"/>
              </w:rPr>
            </w:pPr>
            <w:r w:rsidRPr="00D4351A">
              <w:rPr>
                <w:sz w:val="21"/>
                <w:szCs w:val="21"/>
              </w:rPr>
              <w:t xml:space="preserve">Organisering av </w:t>
            </w:r>
            <w:proofErr w:type="spellStart"/>
            <w:r w:rsidRPr="00D4351A">
              <w:rPr>
                <w:sz w:val="21"/>
                <w:szCs w:val="21"/>
              </w:rPr>
              <w:t>advokatverksemd</w:t>
            </w:r>
            <w:proofErr w:type="spellEnd"/>
          </w:p>
        </w:tc>
        <w:tc>
          <w:tcPr>
            <w:tcW w:w="1800" w:type="dxa"/>
            <w:tcBorders>
              <w:top w:val="nil"/>
              <w:left w:val="nil"/>
              <w:bottom w:val="nil"/>
              <w:right w:val="nil"/>
            </w:tcBorders>
            <w:tcMar>
              <w:top w:w="128" w:type="dxa"/>
              <w:left w:w="43" w:type="dxa"/>
              <w:bottom w:w="43" w:type="dxa"/>
              <w:right w:w="43" w:type="dxa"/>
            </w:tcMar>
          </w:tcPr>
          <w:p w14:paraId="6CD9FC61" w14:textId="77777777" w:rsidR="00D60186" w:rsidRPr="00D4351A" w:rsidRDefault="00D60186" w:rsidP="00D4351A">
            <w:pPr>
              <w:jc w:val="right"/>
              <w:rPr>
                <w:sz w:val="21"/>
                <w:szCs w:val="21"/>
              </w:rPr>
            </w:pPr>
            <w:r w:rsidRPr="00D4351A">
              <w:rPr>
                <w:sz w:val="21"/>
                <w:szCs w:val="21"/>
              </w:rPr>
              <w:t>Nei</w:t>
            </w:r>
          </w:p>
        </w:tc>
      </w:tr>
      <w:tr w:rsidR="00E76DC8" w:rsidRPr="00225D4D" w14:paraId="4F66BDCB" w14:textId="77777777">
        <w:trPr>
          <w:trHeight w:val="380"/>
        </w:trPr>
        <w:tc>
          <w:tcPr>
            <w:tcW w:w="1240" w:type="dxa"/>
            <w:tcBorders>
              <w:top w:val="nil"/>
              <w:left w:val="nil"/>
              <w:bottom w:val="nil"/>
              <w:right w:val="nil"/>
            </w:tcBorders>
            <w:tcMar>
              <w:top w:w="128" w:type="dxa"/>
              <w:left w:w="43" w:type="dxa"/>
              <w:bottom w:w="43" w:type="dxa"/>
              <w:right w:w="43" w:type="dxa"/>
            </w:tcMar>
          </w:tcPr>
          <w:p w14:paraId="6FEA585F"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C4D219D" w14:textId="77777777" w:rsidR="00D60186" w:rsidRPr="00D4351A" w:rsidRDefault="00D60186" w:rsidP="00D4351A">
            <w:pPr>
              <w:ind w:right="113"/>
              <w:jc w:val="right"/>
              <w:rPr>
                <w:sz w:val="21"/>
                <w:szCs w:val="21"/>
              </w:rPr>
            </w:pPr>
            <w:r w:rsidRPr="00D4351A">
              <w:rPr>
                <w:sz w:val="21"/>
                <w:szCs w:val="21"/>
              </w:rPr>
              <w:t>723</w:t>
            </w:r>
          </w:p>
        </w:tc>
        <w:tc>
          <w:tcPr>
            <w:tcW w:w="5380" w:type="dxa"/>
            <w:tcBorders>
              <w:top w:val="nil"/>
              <w:left w:val="nil"/>
              <w:bottom w:val="nil"/>
              <w:right w:val="nil"/>
            </w:tcBorders>
            <w:tcMar>
              <w:top w:w="128" w:type="dxa"/>
              <w:left w:w="43" w:type="dxa"/>
              <w:bottom w:w="43" w:type="dxa"/>
              <w:right w:w="43" w:type="dxa"/>
            </w:tcMar>
          </w:tcPr>
          <w:p w14:paraId="060F3A36" w14:textId="77777777" w:rsidR="00D60186" w:rsidRPr="00D4351A" w:rsidRDefault="00D60186" w:rsidP="00225D4D">
            <w:pPr>
              <w:rPr>
                <w:sz w:val="21"/>
                <w:szCs w:val="21"/>
              </w:rPr>
            </w:pPr>
            <w:r w:rsidRPr="00D4351A">
              <w:rPr>
                <w:sz w:val="21"/>
                <w:szCs w:val="21"/>
              </w:rPr>
              <w:t>Evaluering av valdserstatningslova</w:t>
            </w:r>
          </w:p>
        </w:tc>
        <w:tc>
          <w:tcPr>
            <w:tcW w:w="1800" w:type="dxa"/>
            <w:tcBorders>
              <w:top w:val="nil"/>
              <w:left w:val="nil"/>
              <w:bottom w:val="nil"/>
              <w:right w:val="nil"/>
            </w:tcBorders>
            <w:tcMar>
              <w:top w:w="128" w:type="dxa"/>
              <w:left w:w="43" w:type="dxa"/>
              <w:bottom w:w="43" w:type="dxa"/>
              <w:right w:w="43" w:type="dxa"/>
            </w:tcMar>
          </w:tcPr>
          <w:p w14:paraId="1138E99C" w14:textId="77777777" w:rsidR="00D60186" w:rsidRPr="00D4351A" w:rsidRDefault="00D60186" w:rsidP="00D4351A">
            <w:pPr>
              <w:jc w:val="right"/>
              <w:rPr>
                <w:sz w:val="21"/>
                <w:szCs w:val="21"/>
              </w:rPr>
            </w:pPr>
            <w:r w:rsidRPr="00D4351A">
              <w:rPr>
                <w:sz w:val="21"/>
                <w:szCs w:val="21"/>
              </w:rPr>
              <w:t>Ja</w:t>
            </w:r>
          </w:p>
        </w:tc>
      </w:tr>
      <w:tr w:rsidR="00E76DC8" w:rsidRPr="00225D4D" w14:paraId="56057962" w14:textId="77777777">
        <w:trPr>
          <w:trHeight w:val="380"/>
        </w:trPr>
        <w:tc>
          <w:tcPr>
            <w:tcW w:w="1240" w:type="dxa"/>
            <w:tcBorders>
              <w:top w:val="nil"/>
              <w:left w:val="nil"/>
              <w:bottom w:val="nil"/>
              <w:right w:val="nil"/>
            </w:tcBorders>
            <w:tcMar>
              <w:top w:w="128" w:type="dxa"/>
              <w:left w:w="43" w:type="dxa"/>
              <w:bottom w:w="43" w:type="dxa"/>
              <w:right w:w="43" w:type="dxa"/>
            </w:tcMar>
          </w:tcPr>
          <w:p w14:paraId="338BF076" w14:textId="77777777" w:rsidR="00D60186" w:rsidRPr="00D4351A" w:rsidRDefault="00D60186" w:rsidP="00225D4D">
            <w:pPr>
              <w:rPr>
                <w:sz w:val="21"/>
                <w:szCs w:val="21"/>
              </w:rPr>
            </w:pPr>
            <w:r w:rsidRPr="00D4351A">
              <w:rPr>
                <w:sz w:val="21"/>
                <w:szCs w:val="21"/>
              </w:rPr>
              <w:t xml:space="preserve">2023–2024 </w:t>
            </w:r>
          </w:p>
        </w:tc>
        <w:tc>
          <w:tcPr>
            <w:tcW w:w="1120" w:type="dxa"/>
            <w:tcBorders>
              <w:top w:val="nil"/>
              <w:left w:val="nil"/>
              <w:bottom w:val="nil"/>
              <w:right w:val="nil"/>
            </w:tcBorders>
            <w:tcMar>
              <w:top w:w="128" w:type="dxa"/>
              <w:left w:w="43" w:type="dxa"/>
              <w:bottom w:w="43" w:type="dxa"/>
              <w:right w:w="43" w:type="dxa"/>
            </w:tcMar>
          </w:tcPr>
          <w:p w14:paraId="1A949EEF" w14:textId="77777777" w:rsidR="00D60186" w:rsidRPr="00D4351A" w:rsidRDefault="00D60186" w:rsidP="00D4351A">
            <w:pPr>
              <w:ind w:right="113"/>
              <w:jc w:val="right"/>
              <w:rPr>
                <w:sz w:val="21"/>
                <w:szCs w:val="21"/>
              </w:rPr>
            </w:pPr>
            <w:r w:rsidRPr="00D4351A">
              <w:rPr>
                <w:sz w:val="21"/>
                <w:szCs w:val="21"/>
              </w:rPr>
              <w:t>727</w:t>
            </w:r>
          </w:p>
        </w:tc>
        <w:tc>
          <w:tcPr>
            <w:tcW w:w="5380" w:type="dxa"/>
            <w:tcBorders>
              <w:top w:val="nil"/>
              <w:left w:val="nil"/>
              <w:bottom w:val="nil"/>
              <w:right w:val="nil"/>
            </w:tcBorders>
            <w:tcMar>
              <w:top w:w="128" w:type="dxa"/>
              <w:left w:w="43" w:type="dxa"/>
              <w:bottom w:w="43" w:type="dxa"/>
              <w:right w:w="43" w:type="dxa"/>
            </w:tcMar>
          </w:tcPr>
          <w:p w14:paraId="52A1F5EA" w14:textId="77777777" w:rsidR="00D60186" w:rsidRPr="00D4351A" w:rsidRDefault="00D60186" w:rsidP="00225D4D">
            <w:pPr>
              <w:rPr>
                <w:sz w:val="21"/>
                <w:szCs w:val="21"/>
              </w:rPr>
            </w:pPr>
            <w:r w:rsidRPr="00D4351A">
              <w:rPr>
                <w:sz w:val="21"/>
                <w:szCs w:val="21"/>
              </w:rPr>
              <w:t>Fri rettshjelp til offer for lønnstjuveri</w:t>
            </w:r>
          </w:p>
        </w:tc>
        <w:tc>
          <w:tcPr>
            <w:tcW w:w="1800" w:type="dxa"/>
            <w:tcBorders>
              <w:top w:val="nil"/>
              <w:left w:val="nil"/>
              <w:bottom w:val="nil"/>
              <w:right w:val="nil"/>
            </w:tcBorders>
            <w:tcMar>
              <w:top w:w="128" w:type="dxa"/>
              <w:left w:w="43" w:type="dxa"/>
              <w:bottom w:w="43" w:type="dxa"/>
              <w:right w:w="43" w:type="dxa"/>
            </w:tcMar>
          </w:tcPr>
          <w:p w14:paraId="2A63E99A" w14:textId="77777777" w:rsidR="00D60186" w:rsidRPr="00D4351A" w:rsidRDefault="00D60186" w:rsidP="00D4351A">
            <w:pPr>
              <w:jc w:val="right"/>
              <w:rPr>
                <w:sz w:val="21"/>
                <w:szCs w:val="21"/>
              </w:rPr>
            </w:pPr>
            <w:r w:rsidRPr="00D4351A">
              <w:rPr>
                <w:sz w:val="21"/>
                <w:szCs w:val="21"/>
              </w:rPr>
              <w:t>Ja</w:t>
            </w:r>
          </w:p>
        </w:tc>
      </w:tr>
      <w:tr w:rsidR="00E76DC8" w:rsidRPr="00225D4D" w14:paraId="0683DBCF" w14:textId="77777777">
        <w:trPr>
          <w:trHeight w:val="380"/>
        </w:trPr>
        <w:tc>
          <w:tcPr>
            <w:tcW w:w="1240" w:type="dxa"/>
            <w:tcBorders>
              <w:top w:val="nil"/>
              <w:left w:val="nil"/>
              <w:bottom w:val="nil"/>
              <w:right w:val="nil"/>
            </w:tcBorders>
            <w:tcMar>
              <w:top w:w="128" w:type="dxa"/>
              <w:left w:w="43" w:type="dxa"/>
              <w:bottom w:w="43" w:type="dxa"/>
              <w:right w:w="43" w:type="dxa"/>
            </w:tcMar>
          </w:tcPr>
          <w:p w14:paraId="2B0E8689"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74BF8C1" w14:textId="77777777" w:rsidR="00D60186" w:rsidRPr="00D4351A" w:rsidRDefault="00D60186" w:rsidP="00D4351A">
            <w:pPr>
              <w:ind w:right="113"/>
              <w:jc w:val="right"/>
              <w:rPr>
                <w:sz w:val="21"/>
                <w:szCs w:val="21"/>
              </w:rPr>
            </w:pPr>
            <w:r w:rsidRPr="00D4351A">
              <w:rPr>
                <w:sz w:val="21"/>
                <w:szCs w:val="21"/>
              </w:rPr>
              <w:t>753</w:t>
            </w:r>
          </w:p>
        </w:tc>
        <w:tc>
          <w:tcPr>
            <w:tcW w:w="5380" w:type="dxa"/>
            <w:tcBorders>
              <w:top w:val="nil"/>
              <w:left w:val="nil"/>
              <w:bottom w:val="nil"/>
              <w:right w:val="nil"/>
            </w:tcBorders>
            <w:tcMar>
              <w:top w:w="128" w:type="dxa"/>
              <w:left w:w="43" w:type="dxa"/>
              <w:bottom w:w="43" w:type="dxa"/>
              <w:right w:w="43" w:type="dxa"/>
            </w:tcMar>
          </w:tcPr>
          <w:p w14:paraId="6892ECC9" w14:textId="77777777" w:rsidR="00D60186" w:rsidRPr="00D4351A" w:rsidRDefault="00D60186" w:rsidP="00225D4D">
            <w:pPr>
              <w:rPr>
                <w:sz w:val="21"/>
                <w:szCs w:val="21"/>
              </w:rPr>
            </w:pPr>
            <w:r w:rsidRPr="00D4351A">
              <w:rPr>
                <w:sz w:val="21"/>
                <w:szCs w:val="21"/>
              </w:rPr>
              <w:t xml:space="preserve">Førehandsdeklarering av inn- og utførsel av </w:t>
            </w:r>
            <w:proofErr w:type="spellStart"/>
            <w:r w:rsidRPr="00D4351A">
              <w:rPr>
                <w:sz w:val="21"/>
                <w:szCs w:val="21"/>
              </w:rPr>
              <w:t>kontantar</w:t>
            </w:r>
            <w:proofErr w:type="spellEnd"/>
          </w:p>
        </w:tc>
        <w:tc>
          <w:tcPr>
            <w:tcW w:w="1800" w:type="dxa"/>
            <w:tcBorders>
              <w:top w:val="nil"/>
              <w:left w:val="nil"/>
              <w:bottom w:val="nil"/>
              <w:right w:val="nil"/>
            </w:tcBorders>
            <w:tcMar>
              <w:top w:w="128" w:type="dxa"/>
              <w:left w:w="43" w:type="dxa"/>
              <w:bottom w:w="43" w:type="dxa"/>
              <w:right w:w="43" w:type="dxa"/>
            </w:tcMar>
          </w:tcPr>
          <w:p w14:paraId="6792D1B4" w14:textId="77777777" w:rsidR="00D60186" w:rsidRPr="00D4351A" w:rsidRDefault="00D60186" w:rsidP="00D4351A">
            <w:pPr>
              <w:jc w:val="right"/>
              <w:rPr>
                <w:sz w:val="21"/>
                <w:szCs w:val="21"/>
              </w:rPr>
            </w:pPr>
            <w:r w:rsidRPr="00D4351A">
              <w:rPr>
                <w:sz w:val="21"/>
                <w:szCs w:val="21"/>
              </w:rPr>
              <w:t>Nei</w:t>
            </w:r>
          </w:p>
        </w:tc>
      </w:tr>
      <w:tr w:rsidR="00E76DC8" w:rsidRPr="00225D4D" w14:paraId="5C9A6D32" w14:textId="77777777">
        <w:trPr>
          <w:trHeight w:val="380"/>
        </w:trPr>
        <w:tc>
          <w:tcPr>
            <w:tcW w:w="1240" w:type="dxa"/>
            <w:tcBorders>
              <w:top w:val="nil"/>
              <w:left w:val="nil"/>
              <w:bottom w:val="nil"/>
              <w:right w:val="nil"/>
            </w:tcBorders>
            <w:tcMar>
              <w:top w:w="128" w:type="dxa"/>
              <w:left w:w="43" w:type="dxa"/>
              <w:bottom w:w="43" w:type="dxa"/>
              <w:right w:w="43" w:type="dxa"/>
            </w:tcMar>
          </w:tcPr>
          <w:p w14:paraId="0B943984" w14:textId="77777777" w:rsidR="00D60186" w:rsidRPr="00D4351A" w:rsidRDefault="00D60186" w:rsidP="00225D4D">
            <w:pPr>
              <w:rPr>
                <w:sz w:val="21"/>
                <w:szCs w:val="21"/>
              </w:rPr>
            </w:pPr>
            <w:r w:rsidRPr="00D4351A">
              <w:rPr>
                <w:sz w:val="21"/>
                <w:szCs w:val="21"/>
              </w:rPr>
              <w:t xml:space="preserve">2023–2024 </w:t>
            </w:r>
          </w:p>
        </w:tc>
        <w:tc>
          <w:tcPr>
            <w:tcW w:w="1120" w:type="dxa"/>
            <w:tcBorders>
              <w:top w:val="nil"/>
              <w:left w:val="nil"/>
              <w:bottom w:val="nil"/>
              <w:right w:val="nil"/>
            </w:tcBorders>
            <w:tcMar>
              <w:top w:w="128" w:type="dxa"/>
              <w:left w:w="43" w:type="dxa"/>
              <w:bottom w:w="43" w:type="dxa"/>
              <w:right w:w="43" w:type="dxa"/>
            </w:tcMar>
          </w:tcPr>
          <w:p w14:paraId="506F41F6" w14:textId="77777777" w:rsidR="00D60186" w:rsidRPr="00D4351A" w:rsidRDefault="00D60186" w:rsidP="00D4351A">
            <w:pPr>
              <w:ind w:right="113"/>
              <w:jc w:val="right"/>
              <w:rPr>
                <w:sz w:val="21"/>
                <w:szCs w:val="21"/>
              </w:rPr>
            </w:pPr>
            <w:r w:rsidRPr="00D4351A">
              <w:rPr>
                <w:sz w:val="21"/>
                <w:szCs w:val="21"/>
              </w:rPr>
              <w:t>754</w:t>
            </w:r>
          </w:p>
        </w:tc>
        <w:tc>
          <w:tcPr>
            <w:tcW w:w="5380" w:type="dxa"/>
            <w:tcBorders>
              <w:top w:val="nil"/>
              <w:left w:val="nil"/>
              <w:bottom w:val="nil"/>
              <w:right w:val="nil"/>
            </w:tcBorders>
            <w:tcMar>
              <w:top w:w="128" w:type="dxa"/>
              <w:left w:w="43" w:type="dxa"/>
              <w:bottom w:w="43" w:type="dxa"/>
              <w:right w:w="43" w:type="dxa"/>
            </w:tcMar>
          </w:tcPr>
          <w:p w14:paraId="57425F5F" w14:textId="77777777" w:rsidR="00D60186" w:rsidRPr="00D4351A" w:rsidRDefault="00D60186" w:rsidP="00225D4D">
            <w:pPr>
              <w:rPr>
                <w:sz w:val="21"/>
                <w:szCs w:val="21"/>
              </w:rPr>
            </w:pPr>
            <w:r w:rsidRPr="00D4351A">
              <w:rPr>
                <w:sz w:val="21"/>
                <w:szCs w:val="21"/>
              </w:rPr>
              <w:t xml:space="preserve">Opprette nytt </w:t>
            </w:r>
            <w:proofErr w:type="spellStart"/>
            <w:r w:rsidRPr="00D4351A">
              <w:rPr>
                <w:sz w:val="21"/>
                <w:szCs w:val="21"/>
              </w:rPr>
              <w:t>politirolleutval</w:t>
            </w:r>
            <w:proofErr w:type="spellEnd"/>
          </w:p>
        </w:tc>
        <w:tc>
          <w:tcPr>
            <w:tcW w:w="1800" w:type="dxa"/>
            <w:tcBorders>
              <w:top w:val="nil"/>
              <w:left w:val="nil"/>
              <w:bottom w:val="nil"/>
              <w:right w:val="nil"/>
            </w:tcBorders>
            <w:tcMar>
              <w:top w:w="128" w:type="dxa"/>
              <w:left w:w="43" w:type="dxa"/>
              <w:bottom w:w="43" w:type="dxa"/>
              <w:right w:w="43" w:type="dxa"/>
            </w:tcMar>
          </w:tcPr>
          <w:p w14:paraId="285193A8" w14:textId="77777777" w:rsidR="00D60186" w:rsidRPr="00D4351A" w:rsidRDefault="00D60186" w:rsidP="00D4351A">
            <w:pPr>
              <w:jc w:val="right"/>
              <w:rPr>
                <w:sz w:val="21"/>
                <w:szCs w:val="21"/>
              </w:rPr>
            </w:pPr>
            <w:r w:rsidRPr="00D4351A">
              <w:rPr>
                <w:sz w:val="21"/>
                <w:szCs w:val="21"/>
              </w:rPr>
              <w:t>Ja</w:t>
            </w:r>
          </w:p>
        </w:tc>
      </w:tr>
      <w:tr w:rsidR="00E76DC8" w:rsidRPr="00225D4D" w14:paraId="41FD2D4D" w14:textId="77777777">
        <w:trPr>
          <w:trHeight w:val="380"/>
        </w:trPr>
        <w:tc>
          <w:tcPr>
            <w:tcW w:w="1240" w:type="dxa"/>
            <w:tcBorders>
              <w:top w:val="nil"/>
              <w:left w:val="nil"/>
              <w:bottom w:val="nil"/>
              <w:right w:val="nil"/>
            </w:tcBorders>
            <w:tcMar>
              <w:top w:w="128" w:type="dxa"/>
              <w:left w:w="43" w:type="dxa"/>
              <w:bottom w:w="43" w:type="dxa"/>
              <w:right w:w="43" w:type="dxa"/>
            </w:tcMar>
          </w:tcPr>
          <w:p w14:paraId="2B5BF6D9"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219BAF4" w14:textId="77777777" w:rsidR="00D60186" w:rsidRPr="00D4351A" w:rsidRDefault="00D60186" w:rsidP="00D4351A">
            <w:pPr>
              <w:ind w:right="113"/>
              <w:jc w:val="right"/>
              <w:rPr>
                <w:sz w:val="21"/>
                <w:szCs w:val="21"/>
              </w:rPr>
            </w:pPr>
            <w:r w:rsidRPr="00D4351A">
              <w:rPr>
                <w:sz w:val="21"/>
                <w:szCs w:val="21"/>
              </w:rPr>
              <w:t>755</w:t>
            </w:r>
          </w:p>
        </w:tc>
        <w:tc>
          <w:tcPr>
            <w:tcW w:w="5380" w:type="dxa"/>
            <w:tcBorders>
              <w:top w:val="nil"/>
              <w:left w:val="nil"/>
              <w:bottom w:val="nil"/>
              <w:right w:val="nil"/>
            </w:tcBorders>
            <w:tcMar>
              <w:top w:w="128" w:type="dxa"/>
              <w:left w:w="43" w:type="dxa"/>
              <w:bottom w:w="43" w:type="dxa"/>
              <w:right w:w="43" w:type="dxa"/>
            </w:tcMar>
          </w:tcPr>
          <w:p w14:paraId="3025C722" w14:textId="77777777" w:rsidR="00D60186" w:rsidRPr="00D4351A" w:rsidRDefault="00D60186" w:rsidP="00225D4D">
            <w:pPr>
              <w:rPr>
                <w:sz w:val="21"/>
                <w:szCs w:val="21"/>
              </w:rPr>
            </w:pPr>
            <w:proofErr w:type="spellStart"/>
            <w:r w:rsidRPr="00D4351A">
              <w:rPr>
                <w:sz w:val="21"/>
                <w:szCs w:val="21"/>
              </w:rPr>
              <w:t>Fleirårige</w:t>
            </w:r>
            <w:proofErr w:type="spellEnd"/>
            <w:r w:rsidRPr="00D4351A">
              <w:rPr>
                <w:sz w:val="21"/>
                <w:szCs w:val="21"/>
              </w:rPr>
              <w:t xml:space="preserve"> planar for politiet</w:t>
            </w:r>
          </w:p>
        </w:tc>
        <w:tc>
          <w:tcPr>
            <w:tcW w:w="1800" w:type="dxa"/>
            <w:tcBorders>
              <w:top w:val="nil"/>
              <w:left w:val="nil"/>
              <w:bottom w:val="nil"/>
              <w:right w:val="nil"/>
            </w:tcBorders>
            <w:tcMar>
              <w:top w:w="128" w:type="dxa"/>
              <w:left w:w="43" w:type="dxa"/>
              <w:bottom w:w="43" w:type="dxa"/>
              <w:right w:w="43" w:type="dxa"/>
            </w:tcMar>
          </w:tcPr>
          <w:p w14:paraId="34552870" w14:textId="77777777" w:rsidR="00D60186" w:rsidRPr="00D4351A" w:rsidRDefault="00D60186" w:rsidP="00D4351A">
            <w:pPr>
              <w:jc w:val="right"/>
              <w:rPr>
                <w:sz w:val="21"/>
                <w:szCs w:val="21"/>
              </w:rPr>
            </w:pPr>
            <w:r w:rsidRPr="00D4351A">
              <w:rPr>
                <w:sz w:val="21"/>
                <w:szCs w:val="21"/>
              </w:rPr>
              <w:t>Ja</w:t>
            </w:r>
          </w:p>
        </w:tc>
      </w:tr>
      <w:tr w:rsidR="00E76DC8" w:rsidRPr="00225D4D" w14:paraId="05812387" w14:textId="77777777">
        <w:trPr>
          <w:trHeight w:val="640"/>
        </w:trPr>
        <w:tc>
          <w:tcPr>
            <w:tcW w:w="1240" w:type="dxa"/>
            <w:tcBorders>
              <w:top w:val="nil"/>
              <w:left w:val="nil"/>
              <w:bottom w:val="nil"/>
              <w:right w:val="nil"/>
            </w:tcBorders>
            <w:tcMar>
              <w:top w:w="128" w:type="dxa"/>
              <w:left w:w="43" w:type="dxa"/>
              <w:bottom w:w="43" w:type="dxa"/>
              <w:right w:w="43" w:type="dxa"/>
            </w:tcMar>
          </w:tcPr>
          <w:p w14:paraId="28BFA9EE"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BE6E9D3" w14:textId="77777777" w:rsidR="00D60186" w:rsidRPr="00D4351A" w:rsidRDefault="00D60186" w:rsidP="00D4351A">
            <w:pPr>
              <w:ind w:right="113"/>
              <w:jc w:val="right"/>
              <w:rPr>
                <w:sz w:val="21"/>
                <w:szCs w:val="21"/>
              </w:rPr>
            </w:pPr>
            <w:r w:rsidRPr="00D4351A">
              <w:rPr>
                <w:sz w:val="21"/>
                <w:szCs w:val="21"/>
              </w:rPr>
              <w:t>758</w:t>
            </w:r>
          </w:p>
        </w:tc>
        <w:tc>
          <w:tcPr>
            <w:tcW w:w="5380" w:type="dxa"/>
            <w:tcBorders>
              <w:top w:val="nil"/>
              <w:left w:val="nil"/>
              <w:bottom w:val="nil"/>
              <w:right w:val="nil"/>
            </w:tcBorders>
            <w:tcMar>
              <w:top w:w="128" w:type="dxa"/>
              <w:left w:w="43" w:type="dxa"/>
              <w:bottom w:w="43" w:type="dxa"/>
              <w:right w:w="43" w:type="dxa"/>
            </w:tcMar>
          </w:tcPr>
          <w:p w14:paraId="44A51FBD" w14:textId="77777777" w:rsidR="00D60186" w:rsidRPr="00D4351A" w:rsidRDefault="00D60186" w:rsidP="00225D4D">
            <w:pPr>
              <w:rPr>
                <w:sz w:val="21"/>
                <w:szCs w:val="21"/>
              </w:rPr>
            </w:pPr>
            <w:r w:rsidRPr="00D4351A">
              <w:rPr>
                <w:sz w:val="21"/>
                <w:szCs w:val="21"/>
              </w:rPr>
              <w:t xml:space="preserve">Utgreiing av søknadsplikt ved kjøp av visse </w:t>
            </w:r>
            <w:proofErr w:type="spellStart"/>
            <w:r w:rsidRPr="00D4351A">
              <w:rPr>
                <w:sz w:val="21"/>
                <w:szCs w:val="21"/>
              </w:rPr>
              <w:t>eigedommar</w:t>
            </w:r>
            <w:proofErr w:type="spellEnd"/>
            <w:r w:rsidRPr="00D4351A">
              <w:rPr>
                <w:sz w:val="21"/>
                <w:szCs w:val="21"/>
              </w:rPr>
              <w:t xml:space="preserve"> i </w:t>
            </w:r>
            <w:proofErr w:type="spellStart"/>
            <w:r w:rsidRPr="00D4351A">
              <w:rPr>
                <w:sz w:val="21"/>
                <w:szCs w:val="21"/>
              </w:rPr>
              <w:t>Noreg</w:t>
            </w:r>
            <w:proofErr w:type="spellEnd"/>
            <w:r w:rsidRPr="00D4351A">
              <w:rPr>
                <w:sz w:val="21"/>
                <w:szCs w:val="21"/>
              </w:rPr>
              <w:t>,</w:t>
            </w:r>
          </w:p>
        </w:tc>
        <w:tc>
          <w:tcPr>
            <w:tcW w:w="1800" w:type="dxa"/>
            <w:tcBorders>
              <w:top w:val="nil"/>
              <w:left w:val="nil"/>
              <w:bottom w:val="nil"/>
              <w:right w:val="nil"/>
            </w:tcBorders>
            <w:tcMar>
              <w:top w:w="128" w:type="dxa"/>
              <w:left w:w="43" w:type="dxa"/>
              <w:bottom w:w="43" w:type="dxa"/>
              <w:right w:w="43" w:type="dxa"/>
            </w:tcMar>
          </w:tcPr>
          <w:p w14:paraId="0DBF7892" w14:textId="77777777" w:rsidR="00D60186" w:rsidRPr="00D4351A" w:rsidRDefault="00D60186" w:rsidP="00D4351A">
            <w:pPr>
              <w:jc w:val="right"/>
              <w:rPr>
                <w:sz w:val="21"/>
                <w:szCs w:val="21"/>
              </w:rPr>
            </w:pPr>
            <w:r w:rsidRPr="00D4351A">
              <w:rPr>
                <w:sz w:val="21"/>
                <w:szCs w:val="21"/>
              </w:rPr>
              <w:t>Nei</w:t>
            </w:r>
          </w:p>
        </w:tc>
      </w:tr>
      <w:tr w:rsidR="00E76DC8" w:rsidRPr="00225D4D" w14:paraId="286BBE70" w14:textId="77777777">
        <w:trPr>
          <w:trHeight w:val="380"/>
        </w:trPr>
        <w:tc>
          <w:tcPr>
            <w:tcW w:w="1240" w:type="dxa"/>
            <w:tcBorders>
              <w:top w:val="nil"/>
              <w:left w:val="nil"/>
              <w:bottom w:val="nil"/>
              <w:right w:val="nil"/>
            </w:tcBorders>
            <w:tcMar>
              <w:top w:w="128" w:type="dxa"/>
              <w:left w:w="43" w:type="dxa"/>
              <w:bottom w:w="43" w:type="dxa"/>
              <w:right w:w="43" w:type="dxa"/>
            </w:tcMar>
          </w:tcPr>
          <w:p w14:paraId="463CA525"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F9851A3" w14:textId="77777777" w:rsidR="00D60186" w:rsidRPr="00D4351A" w:rsidRDefault="00D60186" w:rsidP="00D4351A">
            <w:pPr>
              <w:ind w:right="113"/>
              <w:jc w:val="right"/>
              <w:rPr>
                <w:sz w:val="21"/>
                <w:szCs w:val="21"/>
              </w:rPr>
            </w:pPr>
            <w:r w:rsidRPr="00D4351A">
              <w:rPr>
                <w:sz w:val="21"/>
                <w:szCs w:val="21"/>
              </w:rPr>
              <w:t>762</w:t>
            </w:r>
          </w:p>
        </w:tc>
        <w:tc>
          <w:tcPr>
            <w:tcW w:w="5380" w:type="dxa"/>
            <w:tcBorders>
              <w:top w:val="nil"/>
              <w:left w:val="nil"/>
              <w:bottom w:val="nil"/>
              <w:right w:val="nil"/>
            </w:tcBorders>
            <w:tcMar>
              <w:top w:w="128" w:type="dxa"/>
              <w:left w:w="43" w:type="dxa"/>
              <w:bottom w:w="43" w:type="dxa"/>
              <w:right w:w="43" w:type="dxa"/>
            </w:tcMar>
          </w:tcPr>
          <w:p w14:paraId="3180A1D9" w14:textId="77777777" w:rsidR="00D60186" w:rsidRPr="00D4351A" w:rsidRDefault="00D60186" w:rsidP="00225D4D">
            <w:pPr>
              <w:rPr>
                <w:sz w:val="21"/>
                <w:szCs w:val="21"/>
              </w:rPr>
            </w:pPr>
            <w:r w:rsidRPr="00D4351A">
              <w:rPr>
                <w:sz w:val="21"/>
                <w:szCs w:val="21"/>
              </w:rPr>
              <w:t xml:space="preserve">Nasjonal </w:t>
            </w:r>
            <w:proofErr w:type="spellStart"/>
            <w:r w:rsidRPr="00D4351A">
              <w:rPr>
                <w:sz w:val="21"/>
                <w:szCs w:val="21"/>
              </w:rPr>
              <w:t>tryggleiksstrategi</w:t>
            </w:r>
            <w:proofErr w:type="spellEnd"/>
          </w:p>
        </w:tc>
        <w:tc>
          <w:tcPr>
            <w:tcW w:w="1800" w:type="dxa"/>
            <w:tcBorders>
              <w:top w:val="nil"/>
              <w:left w:val="nil"/>
              <w:bottom w:val="nil"/>
              <w:right w:val="nil"/>
            </w:tcBorders>
            <w:tcMar>
              <w:top w:w="128" w:type="dxa"/>
              <w:left w:w="43" w:type="dxa"/>
              <w:bottom w:w="43" w:type="dxa"/>
              <w:right w:w="43" w:type="dxa"/>
            </w:tcMar>
          </w:tcPr>
          <w:p w14:paraId="2ECDCE2F" w14:textId="77777777" w:rsidR="00D60186" w:rsidRPr="00D4351A" w:rsidRDefault="00D60186" w:rsidP="00D4351A">
            <w:pPr>
              <w:jc w:val="right"/>
              <w:rPr>
                <w:sz w:val="21"/>
                <w:szCs w:val="21"/>
              </w:rPr>
            </w:pPr>
            <w:r w:rsidRPr="00D4351A">
              <w:rPr>
                <w:sz w:val="21"/>
                <w:szCs w:val="21"/>
              </w:rPr>
              <w:t>Ja</w:t>
            </w:r>
          </w:p>
        </w:tc>
      </w:tr>
      <w:tr w:rsidR="00E76DC8" w:rsidRPr="00225D4D" w14:paraId="262E2064" w14:textId="77777777">
        <w:trPr>
          <w:trHeight w:val="380"/>
        </w:trPr>
        <w:tc>
          <w:tcPr>
            <w:tcW w:w="1240" w:type="dxa"/>
            <w:tcBorders>
              <w:top w:val="nil"/>
              <w:left w:val="nil"/>
              <w:bottom w:val="nil"/>
              <w:right w:val="nil"/>
            </w:tcBorders>
            <w:tcMar>
              <w:top w:w="128" w:type="dxa"/>
              <w:left w:w="43" w:type="dxa"/>
              <w:bottom w:w="43" w:type="dxa"/>
              <w:right w:w="43" w:type="dxa"/>
            </w:tcMar>
          </w:tcPr>
          <w:p w14:paraId="48758E9A"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0EC8176" w14:textId="77777777" w:rsidR="00D60186" w:rsidRPr="00D4351A" w:rsidRDefault="00D60186" w:rsidP="00D4351A">
            <w:pPr>
              <w:ind w:right="113"/>
              <w:jc w:val="right"/>
              <w:rPr>
                <w:sz w:val="21"/>
                <w:szCs w:val="21"/>
              </w:rPr>
            </w:pPr>
            <w:r w:rsidRPr="00D4351A">
              <w:rPr>
                <w:sz w:val="21"/>
                <w:szCs w:val="21"/>
              </w:rPr>
              <w:t>766</w:t>
            </w:r>
          </w:p>
        </w:tc>
        <w:tc>
          <w:tcPr>
            <w:tcW w:w="5380" w:type="dxa"/>
            <w:tcBorders>
              <w:top w:val="nil"/>
              <w:left w:val="nil"/>
              <w:bottom w:val="nil"/>
              <w:right w:val="nil"/>
            </w:tcBorders>
            <w:tcMar>
              <w:top w:w="128" w:type="dxa"/>
              <w:left w:w="43" w:type="dxa"/>
              <w:bottom w:w="43" w:type="dxa"/>
              <w:right w:w="43" w:type="dxa"/>
            </w:tcMar>
          </w:tcPr>
          <w:p w14:paraId="6C2F6BB3" w14:textId="77777777" w:rsidR="00D60186" w:rsidRPr="00D4351A" w:rsidRDefault="00D60186" w:rsidP="00225D4D">
            <w:pPr>
              <w:rPr>
                <w:sz w:val="21"/>
                <w:szCs w:val="21"/>
              </w:rPr>
            </w:pPr>
            <w:proofErr w:type="spellStart"/>
            <w:r w:rsidRPr="00D4351A">
              <w:rPr>
                <w:sz w:val="21"/>
                <w:szCs w:val="21"/>
              </w:rPr>
              <w:t>Forelding</w:t>
            </w:r>
            <w:proofErr w:type="spellEnd"/>
            <w:r w:rsidRPr="00D4351A">
              <w:rPr>
                <w:sz w:val="21"/>
                <w:szCs w:val="21"/>
              </w:rPr>
              <w:t xml:space="preserve"> av krav som er under klagebehandling</w:t>
            </w:r>
          </w:p>
        </w:tc>
        <w:tc>
          <w:tcPr>
            <w:tcW w:w="1800" w:type="dxa"/>
            <w:tcBorders>
              <w:top w:val="nil"/>
              <w:left w:val="nil"/>
              <w:bottom w:val="nil"/>
              <w:right w:val="nil"/>
            </w:tcBorders>
            <w:tcMar>
              <w:top w:w="128" w:type="dxa"/>
              <w:left w:w="43" w:type="dxa"/>
              <w:bottom w:w="43" w:type="dxa"/>
              <w:right w:w="43" w:type="dxa"/>
            </w:tcMar>
          </w:tcPr>
          <w:p w14:paraId="72439814" w14:textId="77777777" w:rsidR="00D60186" w:rsidRPr="00D4351A" w:rsidRDefault="00D60186" w:rsidP="00D4351A">
            <w:pPr>
              <w:jc w:val="right"/>
              <w:rPr>
                <w:sz w:val="21"/>
                <w:szCs w:val="21"/>
              </w:rPr>
            </w:pPr>
            <w:r w:rsidRPr="00D4351A">
              <w:rPr>
                <w:sz w:val="21"/>
                <w:szCs w:val="21"/>
              </w:rPr>
              <w:t>Nei</w:t>
            </w:r>
          </w:p>
        </w:tc>
      </w:tr>
      <w:tr w:rsidR="00E76DC8" w:rsidRPr="00225D4D" w14:paraId="3E0CA73B" w14:textId="77777777">
        <w:trPr>
          <w:trHeight w:val="640"/>
        </w:trPr>
        <w:tc>
          <w:tcPr>
            <w:tcW w:w="1240" w:type="dxa"/>
            <w:tcBorders>
              <w:top w:val="nil"/>
              <w:left w:val="nil"/>
              <w:bottom w:val="nil"/>
              <w:right w:val="nil"/>
            </w:tcBorders>
            <w:tcMar>
              <w:top w:w="128" w:type="dxa"/>
              <w:left w:w="43" w:type="dxa"/>
              <w:bottom w:w="43" w:type="dxa"/>
              <w:right w:w="43" w:type="dxa"/>
            </w:tcMar>
          </w:tcPr>
          <w:p w14:paraId="529D702C"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CE52BA3" w14:textId="77777777" w:rsidR="00D60186" w:rsidRPr="00D4351A" w:rsidRDefault="00D60186" w:rsidP="00D4351A">
            <w:pPr>
              <w:ind w:right="113"/>
              <w:jc w:val="right"/>
              <w:rPr>
                <w:sz w:val="21"/>
                <w:szCs w:val="21"/>
              </w:rPr>
            </w:pPr>
            <w:r w:rsidRPr="00D4351A">
              <w:rPr>
                <w:sz w:val="21"/>
                <w:szCs w:val="21"/>
              </w:rPr>
              <w:t>767</w:t>
            </w:r>
          </w:p>
        </w:tc>
        <w:tc>
          <w:tcPr>
            <w:tcW w:w="5380" w:type="dxa"/>
            <w:tcBorders>
              <w:top w:val="nil"/>
              <w:left w:val="nil"/>
              <w:bottom w:val="nil"/>
              <w:right w:val="nil"/>
            </w:tcBorders>
            <w:tcMar>
              <w:top w:w="128" w:type="dxa"/>
              <w:left w:w="43" w:type="dxa"/>
              <w:bottom w:w="43" w:type="dxa"/>
              <w:right w:w="43" w:type="dxa"/>
            </w:tcMar>
          </w:tcPr>
          <w:p w14:paraId="7EC7FC61" w14:textId="77777777" w:rsidR="00D60186" w:rsidRPr="00D4351A" w:rsidRDefault="00D60186" w:rsidP="00225D4D">
            <w:pPr>
              <w:rPr>
                <w:sz w:val="21"/>
                <w:szCs w:val="21"/>
              </w:rPr>
            </w:pPr>
            <w:r w:rsidRPr="00D4351A">
              <w:rPr>
                <w:sz w:val="21"/>
                <w:szCs w:val="21"/>
              </w:rPr>
              <w:t xml:space="preserve">Bevisførsel om opplysning som er </w:t>
            </w:r>
            <w:proofErr w:type="spellStart"/>
            <w:r w:rsidRPr="00D4351A">
              <w:rPr>
                <w:sz w:val="21"/>
                <w:szCs w:val="21"/>
              </w:rPr>
              <w:t>underlagd</w:t>
            </w:r>
            <w:proofErr w:type="spellEnd"/>
            <w:r w:rsidRPr="00D4351A">
              <w:rPr>
                <w:sz w:val="21"/>
                <w:szCs w:val="21"/>
              </w:rPr>
              <w:t xml:space="preserve"> teieplikt hos </w:t>
            </w:r>
            <w:proofErr w:type="spellStart"/>
            <w:r w:rsidRPr="00D4351A">
              <w:rPr>
                <w:sz w:val="21"/>
                <w:szCs w:val="21"/>
              </w:rPr>
              <w:t>Sivilombodet</w:t>
            </w:r>
            <w:proofErr w:type="spellEnd"/>
          </w:p>
        </w:tc>
        <w:tc>
          <w:tcPr>
            <w:tcW w:w="1800" w:type="dxa"/>
            <w:tcBorders>
              <w:top w:val="nil"/>
              <w:left w:val="nil"/>
              <w:bottom w:val="nil"/>
              <w:right w:val="nil"/>
            </w:tcBorders>
            <w:tcMar>
              <w:top w:w="128" w:type="dxa"/>
              <w:left w:w="43" w:type="dxa"/>
              <w:bottom w:w="43" w:type="dxa"/>
              <w:right w:w="43" w:type="dxa"/>
            </w:tcMar>
          </w:tcPr>
          <w:p w14:paraId="592A124B" w14:textId="77777777" w:rsidR="00D60186" w:rsidRPr="00D4351A" w:rsidRDefault="00D60186" w:rsidP="00D4351A">
            <w:pPr>
              <w:jc w:val="right"/>
              <w:rPr>
                <w:sz w:val="21"/>
                <w:szCs w:val="21"/>
              </w:rPr>
            </w:pPr>
            <w:r w:rsidRPr="00D4351A">
              <w:rPr>
                <w:sz w:val="21"/>
                <w:szCs w:val="21"/>
              </w:rPr>
              <w:t>Nei</w:t>
            </w:r>
          </w:p>
        </w:tc>
      </w:tr>
      <w:tr w:rsidR="00E76DC8" w:rsidRPr="00225D4D" w14:paraId="590EACB3" w14:textId="77777777">
        <w:trPr>
          <w:trHeight w:val="640"/>
        </w:trPr>
        <w:tc>
          <w:tcPr>
            <w:tcW w:w="1240" w:type="dxa"/>
            <w:tcBorders>
              <w:top w:val="nil"/>
              <w:left w:val="nil"/>
              <w:bottom w:val="nil"/>
              <w:right w:val="nil"/>
            </w:tcBorders>
            <w:tcMar>
              <w:top w:w="128" w:type="dxa"/>
              <w:left w:w="43" w:type="dxa"/>
              <w:bottom w:w="43" w:type="dxa"/>
              <w:right w:w="43" w:type="dxa"/>
            </w:tcMar>
          </w:tcPr>
          <w:p w14:paraId="06785010"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0A4302E" w14:textId="77777777" w:rsidR="00D60186" w:rsidRPr="00D4351A" w:rsidRDefault="00D60186" w:rsidP="00D4351A">
            <w:pPr>
              <w:ind w:right="113"/>
              <w:jc w:val="right"/>
              <w:rPr>
                <w:sz w:val="21"/>
                <w:szCs w:val="21"/>
              </w:rPr>
            </w:pPr>
            <w:r w:rsidRPr="00D4351A">
              <w:rPr>
                <w:sz w:val="21"/>
                <w:szCs w:val="21"/>
              </w:rPr>
              <w:t>771</w:t>
            </w:r>
          </w:p>
        </w:tc>
        <w:tc>
          <w:tcPr>
            <w:tcW w:w="5380" w:type="dxa"/>
            <w:tcBorders>
              <w:top w:val="nil"/>
              <w:left w:val="nil"/>
              <w:bottom w:val="nil"/>
              <w:right w:val="nil"/>
            </w:tcBorders>
            <w:tcMar>
              <w:top w:w="128" w:type="dxa"/>
              <w:left w:w="43" w:type="dxa"/>
              <w:bottom w:w="43" w:type="dxa"/>
              <w:right w:w="43" w:type="dxa"/>
            </w:tcMar>
          </w:tcPr>
          <w:p w14:paraId="45D941A8" w14:textId="77777777" w:rsidR="00D60186" w:rsidRPr="00D4351A" w:rsidRDefault="00D60186" w:rsidP="00225D4D">
            <w:pPr>
              <w:rPr>
                <w:sz w:val="21"/>
                <w:szCs w:val="21"/>
              </w:rPr>
            </w:pPr>
            <w:proofErr w:type="spellStart"/>
            <w:r w:rsidRPr="00D4351A">
              <w:rPr>
                <w:sz w:val="21"/>
                <w:szCs w:val="21"/>
              </w:rPr>
              <w:t>Utanlandske</w:t>
            </w:r>
            <w:proofErr w:type="spellEnd"/>
            <w:r w:rsidRPr="00D4351A">
              <w:rPr>
                <w:sz w:val="21"/>
                <w:szCs w:val="21"/>
              </w:rPr>
              <w:t xml:space="preserve"> kvinner som blir utsette for vald, </w:t>
            </w:r>
            <w:proofErr w:type="spellStart"/>
            <w:r w:rsidRPr="00D4351A">
              <w:rPr>
                <w:sz w:val="21"/>
                <w:szCs w:val="21"/>
              </w:rPr>
              <w:t>vidare</w:t>
            </w:r>
            <w:proofErr w:type="spellEnd"/>
            <w:r w:rsidRPr="00D4351A">
              <w:rPr>
                <w:sz w:val="21"/>
                <w:szCs w:val="21"/>
              </w:rPr>
              <w:t xml:space="preserve"> </w:t>
            </w:r>
            <w:proofErr w:type="spellStart"/>
            <w:r w:rsidRPr="00D4351A">
              <w:rPr>
                <w:sz w:val="21"/>
                <w:szCs w:val="21"/>
              </w:rPr>
              <w:t>opphald</w:t>
            </w:r>
            <w:proofErr w:type="spellEnd"/>
          </w:p>
        </w:tc>
        <w:tc>
          <w:tcPr>
            <w:tcW w:w="1800" w:type="dxa"/>
            <w:tcBorders>
              <w:top w:val="nil"/>
              <w:left w:val="nil"/>
              <w:bottom w:val="nil"/>
              <w:right w:val="nil"/>
            </w:tcBorders>
            <w:tcMar>
              <w:top w:w="128" w:type="dxa"/>
              <w:left w:w="43" w:type="dxa"/>
              <w:bottom w:w="43" w:type="dxa"/>
              <w:right w:w="43" w:type="dxa"/>
            </w:tcMar>
          </w:tcPr>
          <w:p w14:paraId="3AB8A7EB" w14:textId="77777777" w:rsidR="00D60186" w:rsidRPr="00D4351A" w:rsidRDefault="00D60186" w:rsidP="00D4351A">
            <w:pPr>
              <w:jc w:val="right"/>
              <w:rPr>
                <w:sz w:val="21"/>
                <w:szCs w:val="21"/>
              </w:rPr>
            </w:pPr>
            <w:r w:rsidRPr="00D4351A">
              <w:rPr>
                <w:sz w:val="21"/>
                <w:szCs w:val="21"/>
              </w:rPr>
              <w:t>Nei</w:t>
            </w:r>
          </w:p>
        </w:tc>
      </w:tr>
      <w:tr w:rsidR="00E76DC8" w:rsidRPr="00225D4D" w14:paraId="3A3EA13C" w14:textId="77777777">
        <w:trPr>
          <w:trHeight w:val="380"/>
        </w:trPr>
        <w:tc>
          <w:tcPr>
            <w:tcW w:w="1240" w:type="dxa"/>
            <w:tcBorders>
              <w:top w:val="nil"/>
              <w:left w:val="nil"/>
              <w:bottom w:val="nil"/>
              <w:right w:val="nil"/>
            </w:tcBorders>
            <w:tcMar>
              <w:top w:w="128" w:type="dxa"/>
              <w:left w:w="43" w:type="dxa"/>
              <w:bottom w:w="43" w:type="dxa"/>
              <w:right w:w="43" w:type="dxa"/>
            </w:tcMar>
          </w:tcPr>
          <w:p w14:paraId="23043010" w14:textId="77777777" w:rsidR="00D60186" w:rsidRPr="00D4351A" w:rsidRDefault="00D60186" w:rsidP="00225D4D">
            <w:pPr>
              <w:rPr>
                <w:sz w:val="21"/>
                <w:szCs w:val="21"/>
              </w:rPr>
            </w:pPr>
            <w:r w:rsidRPr="00D4351A">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2B491E7" w14:textId="77777777" w:rsidR="00D60186" w:rsidRPr="00D4351A" w:rsidRDefault="00D60186" w:rsidP="00D4351A">
            <w:pPr>
              <w:ind w:right="113"/>
              <w:jc w:val="right"/>
              <w:rPr>
                <w:sz w:val="21"/>
                <w:szCs w:val="21"/>
              </w:rPr>
            </w:pPr>
            <w:r w:rsidRPr="00D4351A">
              <w:rPr>
                <w:sz w:val="21"/>
                <w:szCs w:val="21"/>
              </w:rPr>
              <w:t>916</w:t>
            </w:r>
          </w:p>
        </w:tc>
        <w:tc>
          <w:tcPr>
            <w:tcW w:w="5380" w:type="dxa"/>
            <w:tcBorders>
              <w:top w:val="nil"/>
              <w:left w:val="nil"/>
              <w:bottom w:val="nil"/>
              <w:right w:val="nil"/>
            </w:tcBorders>
            <w:tcMar>
              <w:top w:w="128" w:type="dxa"/>
              <w:left w:w="43" w:type="dxa"/>
              <w:bottom w:w="43" w:type="dxa"/>
              <w:right w:w="43" w:type="dxa"/>
            </w:tcMar>
          </w:tcPr>
          <w:p w14:paraId="144E3EAF" w14:textId="77777777" w:rsidR="00D60186" w:rsidRPr="00D4351A" w:rsidRDefault="00D60186" w:rsidP="00225D4D">
            <w:pPr>
              <w:rPr>
                <w:sz w:val="21"/>
                <w:szCs w:val="21"/>
              </w:rPr>
            </w:pPr>
            <w:r w:rsidRPr="00D4351A">
              <w:rPr>
                <w:sz w:val="21"/>
                <w:szCs w:val="21"/>
              </w:rPr>
              <w:t xml:space="preserve">Lov om </w:t>
            </w:r>
            <w:proofErr w:type="spellStart"/>
            <w:r w:rsidRPr="00D4351A">
              <w:rPr>
                <w:sz w:val="21"/>
                <w:szCs w:val="21"/>
              </w:rPr>
              <w:t>forbrukarleige</w:t>
            </w:r>
            <w:proofErr w:type="spellEnd"/>
            <w:r w:rsidRPr="00D4351A">
              <w:rPr>
                <w:sz w:val="21"/>
                <w:szCs w:val="21"/>
              </w:rPr>
              <w:t xml:space="preserve"> av ting</w:t>
            </w:r>
          </w:p>
        </w:tc>
        <w:tc>
          <w:tcPr>
            <w:tcW w:w="1800" w:type="dxa"/>
            <w:tcBorders>
              <w:top w:val="nil"/>
              <w:left w:val="nil"/>
              <w:bottom w:val="nil"/>
              <w:right w:val="nil"/>
            </w:tcBorders>
            <w:tcMar>
              <w:top w:w="128" w:type="dxa"/>
              <w:left w:w="43" w:type="dxa"/>
              <w:bottom w:w="43" w:type="dxa"/>
              <w:right w:w="43" w:type="dxa"/>
            </w:tcMar>
          </w:tcPr>
          <w:p w14:paraId="18C78B7B" w14:textId="77777777" w:rsidR="00D60186" w:rsidRPr="00D4351A" w:rsidRDefault="00D60186" w:rsidP="00D4351A">
            <w:pPr>
              <w:jc w:val="right"/>
              <w:rPr>
                <w:sz w:val="21"/>
                <w:szCs w:val="21"/>
              </w:rPr>
            </w:pPr>
            <w:r w:rsidRPr="00D4351A">
              <w:rPr>
                <w:sz w:val="21"/>
                <w:szCs w:val="21"/>
              </w:rPr>
              <w:t>Nei</w:t>
            </w:r>
          </w:p>
        </w:tc>
      </w:tr>
      <w:tr w:rsidR="00E76DC8" w:rsidRPr="00225D4D" w14:paraId="02F586DF" w14:textId="77777777">
        <w:trPr>
          <w:trHeight w:val="640"/>
        </w:trPr>
        <w:tc>
          <w:tcPr>
            <w:tcW w:w="1240" w:type="dxa"/>
            <w:tcBorders>
              <w:top w:val="nil"/>
              <w:left w:val="nil"/>
              <w:bottom w:val="nil"/>
              <w:right w:val="nil"/>
            </w:tcBorders>
            <w:tcMar>
              <w:top w:w="128" w:type="dxa"/>
              <w:left w:w="43" w:type="dxa"/>
              <w:bottom w:w="43" w:type="dxa"/>
              <w:right w:w="43" w:type="dxa"/>
            </w:tcMar>
          </w:tcPr>
          <w:p w14:paraId="0FBC5371"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6D9C4F5" w14:textId="77777777" w:rsidR="00D60186" w:rsidRPr="00D4351A" w:rsidRDefault="00D60186" w:rsidP="00D4351A">
            <w:pPr>
              <w:ind w:right="113"/>
              <w:jc w:val="right"/>
              <w:rPr>
                <w:sz w:val="21"/>
                <w:szCs w:val="21"/>
              </w:rPr>
            </w:pPr>
            <w:r w:rsidRPr="00D4351A">
              <w:rPr>
                <w:sz w:val="21"/>
                <w:szCs w:val="21"/>
              </w:rPr>
              <w:t>132</w:t>
            </w:r>
          </w:p>
        </w:tc>
        <w:tc>
          <w:tcPr>
            <w:tcW w:w="5380" w:type="dxa"/>
            <w:tcBorders>
              <w:top w:val="nil"/>
              <w:left w:val="nil"/>
              <w:bottom w:val="nil"/>
              <w:right w:val="nil"/>
            </w:tcBorders>
            <w:tcMar>
              <w:top w:w="128" w:type="dxa"/>
              <w:left w:w="43" w:type="dxa"/>
              <w:bottom w:w="43" w:type="dxa"/>
              <w:right w:w="43" w:type="dxa"/>
            </w:tcMar>
          </w:tcPr>
          <w:p w14:paraId="2B65B99B" w14:textId="77777777" w:rsidR="00D60186" w:rsidRPr="00D4351A" w:rsidRDefault="00D60186" w:rsidP="00225D4D">
            <w:pPr>
              <w:rPr>
                <w:sz w:val="21"/>
                <w:szCs w:val="21"/>
              </w:rPr>
            </w:pPr>
            <w:r w:rsidRPr="00D4351A">
              <w:rPr>
                <w:sz w:val="21"/>
                <w:szCs w:val="21"/>
              </w:rPr>
              <w:t xml:space="preserve">Nasjonalt </w:t>
            </w:r>
            <w:proofErr w:type="spellStart"/>
            <w:r w:rsidRPr="00D4351A">
              <w:rPr>
                <w:sz w:val="21"/>
                <w:szCs w:val="21"/>
              </w:rPr>
              <w:t>førebyggingsprogram</w:t>
            </w:r>
            <w:proofErr w:type="spellEnd"/>
            <w:r w:rsidRPr="00D4351A">
              <w:rPr>
                <w:sz w:val="21"/>
                <w:szCs w:val="21"/>
              </w:rPr>
              <w:t xml:space="preserve"> mot </w:t>
            </w:r>
            <w:proofErr w:type="spellStart"/>
            <w:r w:rsidRPr="00D4351A">
              <w:rPr>
                <w:sz w:val="21"/>
                <w:szCs w:val="21"/>
              </w:rPr>
              <w:t>partnarvald</w:t>
            </w:r>
            <w:proofErr w:type="spellEnd"/>
            <w:r w:rsidRPr="00D4351A">
              <w:rPr>
                <w:sz w:val="21"/>
                <w:szCs w:val="21"/>
              </w:rPr>
              <w:t xml:space="preserve"> og </w:t>
            </w:r>
            <w:proofErr w:type="spellStart"/>
            <w:r w:rsidRPr="00D4351A">
              <w:rPr>
                <w:sz w:val="21"/>
                <w:szCs w:val="21"/>
              </w:rPr>
              <w:t>partnardrap</w:t>
            </w:r>
            <w:proofErr w:type="spellEnd"/>
            <w:r w:rsidRPr="00D4351A">
              <w:rPr>
                <w:sz w:val="21"/>
                <w:szCs w:val="21"/>
              </w:rPr>
              <w:t xml:space="preserve"> </w:t>
            </w:r>
          </w:p>
        </w:tc>
        <w:tc>
          <w:tcPr>
            <w:tcW w:w="1800" w:type="dxa"/>
            <w:tcBorders>
              <w:top w:val="nil"/>
              <w:left w:val="nil"/>
              <w:bottom w:val="nil"/>
              <w:right w:val="nil"/>
            </w:tcBorders>
            <w:tcMar>
              <w:top w:w="128" w:type="dxa"/>
              <w:left w:w="43" w:type="dxa"/>
              <w:bottom w:w="43" w:type="dxa"/>
              <w:right w:w="43" w:type="dxa"/>
            </w:tcMar>
          </w:tcPr>
          <w:p w14:paraId="788E3789" w14:textId="77777777" w:rsidR="00D60186" w:rsidRPr="00D4351A" w:rsidRDefault="00D60186" w:rsidP="00D4351A">
            <w:pPr>
              <w:jc w:val="right"/>
              <w:rPr>
                <w:sz w:val="21"/>
                <w:szCs w:val="21"/>
              </w:rPr>
            </w:pPr>
            <w:r w:rsidRPr="00D4351A">
              <w:rPr>
                <w:sz w:val="21"/>
                <w:szCs w:val="21"/>
              </w:rPr>
              <w:t>Nei</w:t>
            </w:r>
          </w:p>
        </w:tc>
      </w:tr>
      <w:tr w:rsidR="00E76DC8" w:rsidRPr="00225D4D" w14:paraId="1EEA7C8A" w14:textId="77777777">
        <w:trPr>
          <w:trHeight w:val="380"/>
        </w:trPr>
        <w:tc>
          <w:tcPr>
            <w:tcW w:w="1240" w:type="dxa"/>
            <w:tcBorders>
              <w:top w:val="nil"/>
              <w:left w:val="nil"/>
              <w:bottom w:val="nil"/>
              <w:right w:val="nil"/>
            </w:tcBorders>
            <w:tcMar>
              <w:top w:w="128" w:type="dxa"/>
              <w:left w:w="43" w:type="dxa"/>
              <w:bottom w:w="43" w:type="dxa"/>
              <w:right w:w="43" w:type="dxa"/>
            </w:tcMar>
          </w:tcPr>
          <w:p w14:paraId="2043D57B"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65619990" w14:textId="77777777" w:rsidR="00D60186" w:rsidRPr="00D4351A" w:rsidRDefault="00D60186" w:rsidP="00D4351A">
            <w:pPr>
              <w:ind w:right="113"/>
              <w:jc w:val="right"/>
              <w:rPr>
                <w:sz w:val="21"/>
                <w:szCs w:val="21"/>
              </w:rPr>
            </w:pPr>
            <w:r w:rsidRPr="00D4351A">
              <w:rPr>
                <w:sz w:val="21"/>
                <w:szCs w:val="21"/>
              </w:rPr>
              <w:t>133</w:t>
            </w:r>
          </w:p>
        </w:tc>
        <w:tc>
          <w:tcPr>
            <w:tcW w:w="5380" w:type="dxa"/>
            <w:tcBorders>
              <w:top w:val="nil"/>
              <w:left w:val="nil"/>
              <w:bottom w:val="nil"/>
              <w:right w:val="nil"/>
            </w:tcBorders>
            <w:tcMar>
              <w:top w:w="128" w:type="dxa"/>
              <w:left w:w="43" w:type="dxa"/>
              <w:bottom w:w="43" w:type="dxa"/>
              <w:right w:w="43" w:type="dxa"/>
            </w:tcMar>
          </w:tcPr>
          <w:p w14:paraId="6C4D1DE6" w14:textId="77777777" w:rsidR="00D60186" w:rsidRPr="00D4351A" w:rsidRDefault="00D60186" w:rsidP="00225D4D">
            <w:pPr>
              <w:rPr>
                <w:sz w:val="21"/>
                <w:szCs w:val="21"/>
              </w:rPr>
            </w:pPr>
            <w:r w:rsidRPr="00D4351A">
              <w:rPr>
                <w:sz w:val="21"/>
                <w:szCs w:val="21"/>
              </w:rPr>
              <w:t xml:space="preserve">Kommunale </w:t>
            </w:r>
            <w:proofErr w:type="spellStart"/>
            <w:r w:rsidRPr="00D4351A">
              <w:rPr>
                <w:sz w:val="21"/>
                <w:szCs w:val="21"/>
              </w:rPr>
              <w:t>handlingsplanar</w:t>
            </w:r>
            <w:proofErr w:type="spellEnd"/>
            <w:r w:rsidRPr="00D4351A">
              <w:rPr>
                <w:sz w:val="21"/>
                <w:szCs w:val="21"/>
              </w:rPr>
              <w:t xml:space="preserve"> mot vald i nære </w:t>
            </w:r>
            <w:proofErr w:type="spellStart"/>
            <w:r w:rsidRPr="00D4351A">
              <w:rPr>
                <w:sz w:val="21"/>
                <w:szCs w:val="21"/>
              </w:rPr>
              <w:t>relasjonar</w:t>
            </w:r>
            <w:proofErr w:type="spellEnd"/>
          </w:p>
        </w:tc>
        <w:tc>
          <w:tcPr>
            <w:tcW w:w="1800" w:type="dxa"/>
            <w:tcBorders>
              <w:top w:val="nil"/>
              <w:left w:val="nil"/>
              <w:bottom w:val="nil"/>
              <w:right w:val="nil"/>
            </w:tcBorders>
            <w:tcMar>
              <w:top w:w="128" w:type="dxa"/>
              <w:left w:w="43" w:type="dxa"/>
              <w:bottom w:w="43" w:type="dxa"/>
              <w:right w:w="43" w:type="dxa"/>
            </w:tcMar>
          </w:tcPr>
          <w:p w14:paraId="6580F2AB" w14:textId="77777777" w:rsidR="00D60186" w:rsidRPr="00D4351A" w:rsidRDefault="00D60186" w:rsidP="00D4351A">
            <w:pPr>
              <w:jc w:val="right"/>
              <w:rPr>
                <w:sz w:val="21"/>
                <w:szCs w:val="21"/>
              </w:rPr>
            </w:pPr>
            <w:r w:rsidRPr="00D4351A">
              <w:rPr>
                <w:sz w:val="21"/>
                <w:szCs w:val="21"/>
              </w:rPr>
              <w:t>Nei</w:t>
            </w:r>
          </w:p>
        </w:tc>
      </w:tr>
      <w:tr w:rsidR="00E76DC8" w:rsidRPr="00225D4D" w14:paraId="47FCE10F" w14:textId="77777777">
        <w:trPr>
          <w:trHeight w:val="640"/>
        </w:trPr>
        <w:tc>
          <w:tcPr>
            <w:tcW w:w="1240" w:type="dxa"/>
            <w:tcBorders>
              <w:top w:val="nil"/>
              <w:left w:val="nil"/>
              <w:bottom w:val="nil"/>
              <w:right w:val="nil"/>
            </w:tcBorders>
            <w:tcMar>
              <w:top w:w="128" w:type="dxa"/>
              <w:left w:w="43" w:type="dxa"/>
              <w:bottom w:w="43" w:type="dxa"/>
              <w:right w:w="43" w:type="dxa"/>
            </w:tcMar>
          </w:tcPr>
          <w:p w14:paraId="24B87B9F"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546B5329" w14:textId="77777777" w:rsidR="00D60186" w:rsidRPr="00D4351A" w:rsidRDefault="00D60186" w:rsidP="00D4351A">
            <w:pPr>
              <w:ind w:right="113"/>
              <w:jc w:val="right"/>
              <w:rPr>
                <w:sz w:val="21"/>
                <w:szCs w:val="21"/>
              </w:rPr>
            </w:pPr>
            <w:r w:rsidRPr="00D4351A">
              <w:rPr>
                <w:sz w:val="21"/>
                <w:szCs w:val="21"/>
              </w:rPr>
              <w:t>136</w:t>
            </w:r>
          </w:p>
        </w:tc>
        <w:tc>
          <w:tcPr>
            <w:tcW w:w="5380" w:type="dxa"/>
            <w:tcBorders>
              <w:top w:val="nil"/>
              <w:left w:val="nil"/>
              <w:bottom w:val="nil"/>
              <w:right w:val="nil"/>
            </w:tcBorders>
            <w:tcMar>
              <w:top w:w="128" w:type="dxa"/>
              <w:left w:w="43" w:type="dxa"/>
              <w:bottom w:w="43" w:type="dxa"/>
              <w:right w:w="43" w:type="dxa"/>
            </w:tcMar>
          </w:tcPr>
          <w:p w14:paraId="346221EA" w14:textId="77777777" w:rsidR="00D60186" w:rsidRPr="00D4351A" w:rsidRDefault="00D60186" w:rsidP="00225D4D">
            <w:pPr>
              <w:rPr>
                <w:sz w:val="21"/>
                <w:szCs w:val="21"/>
              </w:rPr>
            </w:pPr>
            <w:r w:rsidRPr="00D4351A">
              <w:rPr>
                <w:sz w:val="21"/>
                <w:szCs w:val="21"/>
              </w:rPr>
              <w:t>Betre dokumentering og informasjonsutveksling i hjelpeapparatet</w:t>
            </w:r>
          </w:p>
        </w:tc>
        <w:tc>
          <w:tcPr>
            <w:tcW w:w="1800" w:type="dxa"/>
            <w:tcBorders>
              <w:top w:val="nil"/>
              <w:left w:val="nil"/>
              <w:bottom w:val="nil"/>
              <w:right w:val="nil"/>
            </w:tcBorders>
            <w:tcMar>
              <w:top w:w="128" w:type="dxa"/>
              <w:left w:w="43" w:type="dxa"/>
              <w:bottom w:w="43" w:type="dxa"/>
              <w:right w:w="43" w:type="dxa"/>
            </w:tcMar>
          </w:tcPr>
          <w:p w14:paraId="33BBD591" w14:textId="77777777" w:rsidR="00D60186" w:rsidRPr="00D4351A" w:rsidRDefault="00D60186" w:rsidP="00D4351A">
            <w:pPr>
              <w:jc w:val="right"/>
              <w:rPr>
                <w:sz w:val="21"/>
                <w:szCs w:val="21"/>
              </w:rPr>
            </w:pPr>
            <w:r w:rsidRPr="00D4351A">
              <w:rPr>
                <w:sz w:val="21"/>
                <w:szCs w:val="21"/>
              </w:rPr>
              <w:t>Ja</w:t>
            </w:r>
          </w:p>
        </w:tc>
      </w:tr>
      <w:tr w:rsidR="00E76DC8" w:rsidRPr="00225D4D" w14:paraId="7582D6BF" w14:textId="77777777">
        <w:trPr>
          <w:trHeight w:val="640"/>
        </w:trPr>
        <w:tc>
          <w:tcPr>
            <w:tcW w:w="1240" w:type="dxa"/>
            <w:tcBorders>
              <w:top w:val="nil"/>
              <w:left w:val="nil"/>
              <w:bottom w:val="nil"/>
              <w:right w:val="nil"/>
            </w:tcBorders>
            <w:tcMar>
              <w:top w:w="128" w:type="dxa"/>
              <w:left w:w="43" w:type="dxa"/>
              <w:bottom w:w="43" w:type="dxa"/>
              <w:right w:w="43" w:type="dxa"/>
            </w:tcMar>
          </w:tcPr>
          <w:p w14:paraId="4B52DDEE"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518D95D" w14:textId="77777777" w:rsidR="00D60186" w:rsidRPr="00D4351A" w:rsidRDefault="00D60186" w:rsidP="00D4351A">
            <w:pPr>
              <w:ind w:right="113"/>
              <w:jc w:val="right"/>
              <w:rPr>
                <w:sz w:val="21"/>
                <w:szCs w:val="21"/>
              </w:rPr>
            </w:pPr>
            <w:r w:rsidRPr="00D4351A">
              <w:rPr>
                <w:sz w:val="21"/>
                <w:szCs w:val="21"/>
              </w:rPr>
              <w:t>139</w:t>
            </w:r>
          </w:p>
        </w:tc>
        <w:tc>
          <w:tcPr>
            <w:tcW w:w="5380" w:type="dxa"/>
            <w:tcBorders>
              <w:top w:val="nil"/>
              <w:left w:val="nil"/>
              <w:bottom w:val="nil"/>
              <w:right w:val="nil"/>
            </w:tcBorders>
            <w:tcMar>
              <w:top w:w="128" w:type="dxa"/>
              <w:left w:w="43" w:type="dxa"/>
              <w:bottom w:w="43" w:type="dxa"/>
              <w:right w:w="43" w:type="dxa"/>
            </w:tcMar>
          </w:tcPr>
          <w:p w14:paraId="65579FD2" w14:textId="77777777" w:rsidR="00D60186" w:rsidRPr="00D4351A" w:rsidRDefault="00D60186" w:rsidP="00225D4D">
            <w:pPr>
              <w:rPr>
                <w:sz w:val="21"/>
                <w:szCs w:val="21"/>
              </w:rPr>
            </w:pPr>
            <w:r w:rsidRPr="00D4351A">
              <w:rPr>
                <w:sz w:val="21"/>
                <w:szCs w:val="21"/>
              </w:rPr>
              <w:t>Elektronisk kontroll ved fotlenke med GPS-</w:t>
            </w:r>
            <w:proofErr w:type="spellStart"/>
            <w:r w:rsidRPr="00D4351A">
              <w:rPr>
                <w:sz w:val="21"/>
                <w:szCs w:val="21"/>
              </w:rPr>
              <w:t>sendar</w:t>
            </w:r>
            <w:proofErr w:type="spellEnd"/>
            <w:r w:rsidRPr="00D4351A">
              <w:rPr>
                <w:sz w:val="21"/>
                <w:szCs w:val="21"/>
              </w:rPr>
              <w:t xml:space="preserve"> for </w:t>
            </w:r>
            <w:proofErr w:type="spellStart"/>
            <w:r w:rsidRPr="00D4351A">
              <w:rPr>
                <w:sz w:val="21"/>
                <w:szCs w:val="21"/>
              </w:rPr>
              <w:t>forvaringsdømde</w:t>
            </w:r>
            <w:proofErr w:type="spellEnd"/>
          </w:p>
        </w:tc>
        <w:tc>
          <w:tcPr>
            <w:tcW w:w="1800" w:type="dxa"/>
            <w:tcBorders>
              <w:top w:val="nil"/>
              <w:left w:val="nil"/>
              <w:bottom w:val="nil"/>
              <w:right w:val="nil"/>
            </w:tcBorders>
            <w:tcMar>
              <w:top w:w="128" w:type="dxa"/>
              <w:left w:w="43" w:type="dxa"/>
              <w:bottom w:w="43" w:type="dxa"/>
              <w:right w:w="43" w:type="dxa"/>
            </w:tcMar>
          </w:tcPr>
          <w:p w14:paraId="6D9B2FBA" w14:textId="77777777" w:rsidR="00D60186" w:rsidRPr="00D4351A" w:rsidRDefault="00D60186" w:rsidP="00D4351A">
            <w:pPr>
              <w:jc w:val="right"/>
              <w:rPr>
                <w:sz w:val="21"/>
                <w:szCs w:val="21"/>
              </w:rPr>
            </w:pPr>
            <w:r w:rsidRPr="00D4351A">
              <w:rPr>
                <w:sz w:val="21"/>
                <w:szCs w:val="21"/>
              </w:rPr>
              <w:t>Nei</w:t>
            </w:r>
          </w:p>
        </w:tc>
      </w:tr>
      <w:tr w:rsidR="00E76DC8" w:rsidRPr="00225D4D" w14:paraId="5EFB86F2" w14:textId="77777777">
        <w:trPr>
          <w:trHeight w:val="380"/>
        </w:trPr>
        <w:tc>
          <w:tcPr>
            <w:tcW w:w="1240" w:type="dxa"/>
            <w:tcBorders>
              <w:top w:val="nil"/>
              <w:left w:val="nil"/>
              <w:bottom w:val="nil"/>
              <w:right w:val="nil"/>
            </w:tcBorders>
            <w:tcMar>
              <w:top w:w="128" w:type="dxa"/>
              <w:left w:w="43" w:type="dxa"/>
              <w:bottom w:w="43" w:type="dxa"/>
              <w:right w:w="43" w:type="dxa"/>
            </w:tcMar>
          </w:tcPr>
          <w:p w14:paraId="3775580C"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2BBF852D" w14:textId="77777777" w:rsidR="00D60186" w:rsidRPr="00D4351A" w:rsidRDefault="00D60186" w:rsidP="00D4351A">
            <w:pPr>
              <w:ind w:right="113"/>
              <w:jc w:val="right"/>
              <w:rPr>
                <w:sz w:val="21"/>
                <w:szCs w:val="21"/>
              </w:rPr>
            </w:pPr>
            <w:r w:rsidRPr="00D4351A">
              <w:rPr>
                <w:sz w:val="21"/>
                <w:szCs w:val="21"/>
              </w:rPr>
              <w:t>445</w:t>
            </w:r>
          </w:p>
        </w:tc>
        <w:tc>
          <w:tcPr>
            <w:tcW w:w="5380" w:type="dxa"/>
            <w:tcBorders>
              <w:top w:val="nil"/>
              <w:left w:val="nil"/>
              <w:bottom w:val="nil"/>
              <w:right w:val="nil"/>
            </w:tcBorders>
            <w:tcMar>
              <w:top w:w="128" w:type="dxa"/>
              <w:left w:w="43" w:type="dxa"/>
              <w:bottom w:w="43" w:type="dxa"/>
              <w:right w:w="43" w:type="dxa"/>
            </w:tcMar>
          </w:tcPr>
          <w:p w14:paraId="6D64C764" w14:textId="77777777" w:rsidR="00D60186" w:rsidRPr="00D4351A" w:rsidRDefault="00D60186" w:rsidP="00225D4D">
            <w:pPr>
              <w:rPr>
                <w:sz w:val="21"/>
                <w:szCs w:val="21"/>
              </w:rPr>
            </w:pPr>
            <w:r w:rsidRPr="00D4351A">
              <w:rPr>
                <w:sz w:val="21"/>
                <w:szCs w:val="21"/>
              </w:rPr>
              <w:t xml:space="preserve">Greie ut forliksrådsordninga </w:t>
            </w:r>
          </w:p>
        </w:tc>
        <w:tc>
          <w:tcPr>
            <w:tcW w:w="1800" w:type="dxa"/>
            <w:tcBorders>
              <w:top w:val="nil"/>
              <w:left w:val="nil"/>
              <w:bottom w:val="nil"/>
              <w:right w:val="nil"/>
            </w:tcBorders>
            <w:tcMar>
              <w:top w:w="128" w:type="dxa"/>
              <w:left w:w="43" w:type="dxa"/>
              <w:bottom w:w="43" w:type="dxa"/>
              <w:right w:w="43" w:type="dxa"/>
            </w:tcMar>
          </w:tcPr>
          <w:p w14:paraId="4E42426F" w14:textId="77777777" w:rsidR="00D60186" w:rsidRPr="00D4351A" w:rsidRDefault="00D60186" w:rsidP="00D4351A">
            <w:pPr>
              <w:jc w:val="right"/>
              <w:rPr>
                <w:sz w:val="21"/>
                <w:szCs w:val="21"/>
              </w:rPr>
            </w:pPr>
            <w:r w:rsidRPr="00D4351A">
              <w:rPr>
                <w:sz w:val="21"/>
                <w:szCs w:val="21"/>
              </w:rPr>
              <w:t>Ja</w:t>
            </w:r>
          </w:p>
        </w:tc>
      </w:tr>
      <w:tr w:rsidR="00E76DC8" w:rsidRPr="00225D4D" w14:paraId="393C26D2" w14:textId="77777777">
        <w:trPr>
          <w:trHeight w:val="640"/>
        </w:trPr>
        <w:tc>
          <w:tcPr>
            <w:tcW w:w="1240" w:type="dxa"/>
            <w:tcBorders>
              <w:top w:val="nil"/>
              <w:left w:val="nil"/>
              <w:bottom w:val="nil"/>
              <w:right w:val="nil"/>
            </w:tcBorders>
            <w:tcMar>
              <w:top w:w="128" w:type="dxa"/>
              <w:left w:w="43" w:type="dxa"/>
              <w:bottom w:w="43" w:type="dxa"/>
              <w:right w:w="43" w:type="dxa"/>
            </w:tcMar>
          </w:tcPr>
          <w:p w14:paraId="7274DDF5"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0873FD5D" w14:textId="77777777" w:rsidR="00D60186" w:rsidRPr="00D4351A" w:rsidRDefault="00D60186" w:rsidP="00D4351A">
            <w:pPr>
              <w:ind w:right="113"/>
              <w:jc w:val="right"/>
              <w:rPr>
                <w:sz w:val="21"/>
                <w:szCs w:val="21"/>
              </w:rPr>
            </w:pPr>
            <w:r w:rsidRPr="00D4351A">
              <w:rPr>
                <w:sz w:val="21"/>
                <w:szCs w:val="21"/>
              </w:rPr>
              <w:t>616</w:t>
            </w:r>
          </w:p>
        </w:tc>
        <w:tc>
          <w:tcPr>
            <w:tcW w:w="5380" w:type="dxa"/>
            <w:tcBorders>
              <w:top w:val="nil"/>
              <w:left w:val="nil"/>
              <w:bottom w:val="nil"/>
              <w:right w:val="nil"/>
            </w:tcBorders>
            <w:tcMar>
              <w:top w:w="128" w:type="dxa"/>
              <w:left w:w="43" w:type="dxa"/>
              <w:bottom w:w="43" w:type="dxa"/>
              <w:right w:w="43" w:type="dxa"/>
            </w:tcMar>
          </w:tcPr>
          <w:p w14:paraId="64CB87EA" w14:textId="77777777" w:rsidR="00D60186" w:rsidRPr="00D4351A" w:rsidRDefault="00D60186" w:rsidP="00225D4D">
            <w:pPr>
              <w:rPr>
                <w:sz w:val="21"/>
                <w:szCs w:val="21"/>
              </w:rPr>
            </w:pPr>
            <w:proofErr w:type="spellStart"/>
            <w:r w:rsidRPr="00D4351A">
              <w:rPr>
                <w:sz w:val="21"/>
                <w:szCs w:val="21"/>
              </w:rPr>
              <w:t>Endringar</w:t>
            </w:r>
            <w:proofErr w:type="spellEnd"/>
            <w:r w:rsidRPr="00D4351A">
              <w:rPr>
                <w:sz w:val="21"/>
                <w:szCs w:val="21"/>
              </w:rPr>
              <w:t xml:space="preserve"> i tvistelova – innstilling av saker i forliksrådet som </w:t>
            </w:r>
            <w:proofErr w:type="spellStart"/>
            <w:r w:rsidRPr="00D4351A">
              <w:rPr>
                <w:sz w:val="21"/>
                <w:szCs w:val="21"/>
              </w:rPr>
              <w:t>følgje</w:t>
            </w:r>
            <w:proofErr w:type="spellEnd"/>
            <w:r w:rsidRPr="00D4351A">
              <w:rPr>
                <w:sz w:val="21"/>
                <w:szCs w:val="21"/>
              </w:rPr>
              <w:t xml:space="preserve"> av lang behandlingstid</w:t>
            </w:r>
          </w:p>
        </w:tc>
        <w:tc>
          <w:tcPr>
            <w:tcW w:w="1800" w:type="dxa"/>
            <w:tcBorders>
              <w:top w:val="nil"/>
              <w:left w:val="nil"/>
              <w:bottom w:val="nil"/>
              <w:right w:val="nil"/>
            </w:tcBorders>
            <w:tcMar>
              <w:top w:w="128" w:type="dxa"/>
              <w:left w:w="43" w:type="dxa"/>
              <w:bottom w:w="43" w:type="dxa"/>
              <w:right w:w="43" w:type="dxa"/>
            </w:tcMar>
          </w:tcPr>
          <w:p w14:paraId="6F29FF83" w14:textId="77777777" w:rsidR="00D60186" w:rsidRPr="00D4351A" w:rsidRDefault="00D60186" w:rsidP="00D4351A">
            <w:pPr>
              <w:jc w:val="right"/>
              <w:rPr>
                <w:sz w:val="21"/>
                <w:szCs w:val="21"/>
              </w:rPr>
            </w:pPr>
            <w:r w:rsidRPr="00D4351A">
              <w:rPr>
                <w:sz w:val="21"/>
                <w:szCs w:val="21"/>
              </w:rPr>
              <w:t xml:space="preserve">Nei </w:t>
            </w:r>
          </w:p>
        </w:tc>
      </w:tr>
      <w:tr w:rsidR="00E76DC8" w:rsidRPr="00225D4D" w14:paraId="507F05BB" w14:textId="77777777">
        <w:trPr>
          <w:trHeight w:val="380"/>
        </w:trPr>
        <w:tc>
          <w:tcPr>
            <w:tcW w:w="1240" w:type="dxa"/>
            <w:tcBorders>
              <w:top w:val="nil"/>
              <w:left w:val="nil"/>
              <w:bottom w:val="nil"/>
              <w:right w:val="nil"/>
            </w:tcBorders>
            <w:tcMar>
              <w:top w:w="128" w:type="dxa"/>
              <w:left w:w="43" w:type="dxa"/>
              <w:bottom w:w="43" w:type="dxa"/>
              <w:right w:w="43" w:type="dxa"/>
            </w:tcMar>
          </w:tcPr>
          <w:p w14:paraId="53AA2539"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162DADE" w14:textId="77777777" w:rsidR="00D60186" w:rsidRPr="00D4351A" w:rsidRDefault="00D60186" w:rsidP="00D4351A">
            <w:pPr>
              <w:ind w:right="113"/>
              <w:jc w:val="right"/>
              <w:rPr>
                <w:sz w:val="21"/>
                <w:szCs w:val="21"/>
              </w:rPr>
            </w:pPr>
            <w:r w:rsidRPr="00D4351A">
              <w:rPr>
                <w:sz w:val="21"/>
                <w:szCs w:val="21"/>
              </w:rPr>
              <w:t>618</w:t>
            </w:r>
          </w:p>
        </w:tc>
        <w:tc>
          <w:tcPr>
            <w:tcW w:w="5380" w:type="dxa"/>
            <w:tcBorders>
              <w:top w:val="nil"/>
              <w:left w:val="nil"/>
              <w:bottom w:val="nil"/>
              <w:right w:val="nil"/>
            </w:tcBorders>
            <w:tcMar>
              <w:top w:w="128" w:type="dxa"/>
              <w:left w:w="43" w:type="dxa"/>
              <w:bottom w:w="43" w:type="dxa"/>
              <w:right w:w="43" w:type="dxa"/>
            </w:tcMar>
          </w:tcPr>
          <w:p w14:paraId="0873445A" w14:textId="77777777" w:rsidR="00D60186" w:rsidRPr="00D4351A" w:rsidRDefault="00D60186" w:rsidP="00225D4D">
            <w:pPr>
              <w:rPr>
                <w:sz w:val="21"/>
                <w:szCs w:val="21"/>
              </w:rPr>
            </w:pPr>
            <w:r w:rsidRPr="00D4351A">
              <w:rPr>
                <w:sz w:val="21"/>
                <w:szCs w:val="21"/>
              </w:rPr>
              <w:t xml:space="preserve">Sakskostnader i sivile saker </w:t>
            </w:r>
          </w:p>
        </w:tc>
        <w:tc>
          <w:tcPr>
            <w:tcW w:w="1800" w:type="dxa"/>
            <w:tcBorders>
              <w:top w:val="nil"/>
              <w:left w:val="nil"/>
              <w:bottom w:val="nil"/>
              <w:right w:val="nil"/>
            </w:tcBorders>
            <w:tcMar>
              <w:top w:w="128" w:type="dxa"/>
              <w:left w:w="43" w:type="dxa"/>
              <w:bottom w:w="43" w:type="dxa"/>
              <w:right w:w="43" w:type="dxa"/>
            </w:tcMar>
          </w:tcPr>
          <w:p w14:paraId="4911F208" w14:textId="77777777" w:rsidR="00D60186" w:rsidRPr="00D4351A" w:rsidRDefault="00D60186" w:rsidP="00D4351A">
            <w:pPr>
              <w:jc w:val="right"/>
              <w:rPr>
                <w:sz w:val="21"/>
                <w:szCs w:val="21"/>
              </w:rPr>
            </w:pPr>
            <w:r w:rsidRPr="00D4351A">
              <w:rPr>
                <w:sz w:val="21"/>
                <w:szCs w:val="21"/>
              </w:rPr>
              <w:t xml:space="preserve">Nei </w:t>
            </w:r>
          </w:p>
        </w:tc>
      </w:tr>
      <w:tr w:rsidR="00E76DC8" w:rsidRPr="00225D4D" w14:paraId="64D0ED1E" w14:textId="77777777">
        <w:trPr>
          <w:trHeight w:val="380"/>
        </w:trPr>
        <w:tc>
          <w:tcPr>
            <w:tcW w:w="1240" w:type="dxa"/>
            <w:tcBorders>
              <w:top w:val="nil"/>
              <w:left w:val="nil"/>
              <w:bottom w:val="nil"/>
              <w:right w:val="nil"/>
            </w:tcBorders>
            <w:tcMar>
              <w:top w:w="128" w:type="dxa"/>
              <w:left w:w="43" w:type="dxa"/>
              <w:bottom w:w="43" w:type="dxa"/>
              <w:right w:w="43" w:type="dxa"/>
            </w:tcMar>
          </w:tcPr>
          <w:p w14:paraId="340BB532"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03305F9" w14:textId="77777777" w:rsidR="00D60186" w:rsidRPr="00D4351A" w:rsidRDefault="00D60186" w:rsidP="00D4351A">
            <w:pPr>
              <w:ind w:right="113"/>
              <w:jc w:val="right"/>
              <w:rPr>
                <w:sz w:val="21"/>
                <w:szCs w:val="21"/>
              </w:rPr>
            </w:pPr>
            <w:r w:rsidRPr="00D4351A">
              <w:rPr>
                <w:sz w:val="21"/>
                <w:szCs w:val="21"/>
              </w:rPr>
              <w:t>644</w:t>
            </w:r>
          </w:p>
        </w:tc>
        <w:tc>
          <w:tcPr>
            <w:tcW w:w="5380" w:type="dxa"/>
            <w:tcBorders>
              <w:top w:val="nil"/>
              <w:left w:val="nil"/>
              <w:bottom w:val="nil"/>
              <w:right w:val="nil"/>
            </w:tcBorders>
            <w:tcMar>
              <w:top w:w="128" w:type="dxa"/>
              <w:left w:w="43" w:type="dxa"/>
              <w:bottom w:w="43" w:type="dxa"/>
              <w:right w:w="43" w:type="dxa"/>
            </w:tcMar>
          </w:tcPr>
          <w:p w14:paraId="0078EDE3" w14:textId="77777777" w:rsidR="00D60186" w:rsidRPr="00D4351A" w:rsidRDefault="00D60186" w:rsidP="00225D4D">
            <w:pPr>
              <w:rPr>
                <w:sz w:val="21"/>
                <w:szCs w:val="21"/>
              </w:rPr>
            </w:pPr>
            <w:proofErr w:type="spellStart"/>
            <w:r w:rsidRPr="00D4351A">
              <w:rPr>
                <w:sz w:val="21"/>
                <w:szCs w:val="21"/>
              </w:rPr>
              <w:t>Enklare</w:t>
            </w:r>
            <w:proofErr w:type="spellEnd"/>
            <w:r w:rsidRPr="00D4351A">
              <w:rPr>
                <w:sz w:val="21"/>
                <w:szCs w:val="21"/>
              </w:rPr>
              <w:t xml:space="preserve"> og </w:t>
            </w:r>
            <w:proofErr w:type="spellStart"/>
            <w:r w:rsidRPr="00D4351A">
              <w:rPr>
                <w:sz w:val="21"/>
                <w:szCs w:val="21"/>
              </w:rPr>
              <w:t>meir</w:t>
            </w:r>
            <w:proofErr w:type="spellEnd"/>
            <w:r w:rsidRPr="00D4351A">
              <w:rPr>
                <w:sz w:val="21"/>
                <w:szCs w:val="21"/>
              </w:rPr>
              <w:t xml:space="preserve"> </w:t>
            </w:r>
            <w:proofErr w:type="spellStart"/>
            <w:r w:rsidRPr="00D4351A">
              <w:rPr>
                <w:sz w:val="21"/>
                <w:szCs w:val="21"/>
              </w:rPr>
              <w:t>forbrukarvennleg</w:t>
            </w:r>
            <w:proofErr w:type="spellEnd"/>
            <w:r w:rsidRPr="00D4351A">
              <w:rPr>
                <w:sz w:val="21"/>
                <w:szCs w:val="21"/>
              </w:rPr>
              <w:t xml:space="preserve"> regelverk for </w:t>
            </w:r>
            <w:proofErr w:type="spellStart"/>
            <w:r w:rsidRPr="00D4351A">
              <w:rPr>
                <w:sz w:val="21"/>
                <w:szCs w:val="21"/>
              </w:rPr>
              <w:t>gåvekort</w:t>
            </w:r>
            <w:proofErr w:type="spellEnd"/>
            <w:r w:rsidRPr="00D4351A">
              <w:rPr>
                <w:sz w:val="21"/>
                <w:szCs w:val="21"/>
              </w:rPr>
              <w:t xml:space="preserve"> </w:t>
            </w:r>
          </w:p>
        </w:tc>
        <w:tc>
          <w:tcPr>
            <w:tcW w:w="1800" w:type="dxa"/>
            <w:tcBorders>
              <w:top w:val="nil"/>
              <w:left w:val="nil"/>
              <w:bottom w:val="nil"/>
              <w:right w:val="nil"/>
            </w:tcBorders>
            <w:tcMar>
              <w:top w:w="128" w:type="dxa"/>
              <w:left w:w="43" w:type="dxa"/>
              <w:bottom w:w="43" w:type="dxa"/>
              <w:right w:w="43" w:type="dxa"/>
            </w:tcMar>
          </w:tcPr>
          <w:p w14:paraId="3A4ADB6E" w14:textId="77777777" w:rsidR="00D60186" w:rsidRPr="00D4351A" w:rsidRDefault="00D60186" w:rsidP="00D4351A">
            <w:pPr>
              <w:jc w:val="right"/>
              <w:rPr>
                <w:sz w:val="21"/>
                <w:szCs w:val="21"/>
              </w:rPr>
            </w:pPr>
            <w:r w:rsidRPr="00D4351A">
              <w:rPr>
                <w:sz w:val="21"/>
                <w:szCs w:val="21"/>
              </w:rPr>
              <w:t xml:space="preserve">Nei </w:t>
            </w:r>
          </w:p>
        </w:tc>
      </w:tr>
      <w:tr w:rsidR="00E76DC8" w:rsidRPr="00225D4D" w14:paraId="05940CDD" w14:textId="77777777">
        <w:trPr>
          <w:trHeight w:val="380"/>
        </w:trPr>
        <w:tc>
          <w:tcPr>
            <w:tcW w:w="1240" w:type="dxa"/>
            <w:tcBorders>
              <w:top w:val="nil"/>
              <w:left w:val="nil"/>
              <w:bottom w:val="nil"/>
              <w:right w:val="nil"/>
            </w:tcBorders>
            <w:tcMar>
              <w:top w:w="128" w:type="dxa"/>
              <w:left w:w="43" w:type="dxa"/>
              <w:bottom w:w="43" w:type="dxa"/>
              <w:right w:w="43" w:type="dxa"/>
            </w:tcMar>
          </w:tcPr>
          <w:p w14:paraId="3E257B41"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3EF640E8" w14:textId="77777777" w:rsidR="00D60186" w:rsidRPr="00D4351A" w:rsidRDefault="00D60186" w:rsidP="00D4351A">
            <w:pPr>
              <w:ind w:right="113"/>
              <w:jc w:val="right"/>
              <w:rPr>
                <w:sz w:val="21"/>
                <w:szCs w:val="21"/>
              </w:rPr>
            </w:pPr>
            <w:r w:rsidRPr="00D4351A">
              <w:rPr>
                <w:sz w:val="21"/>
                <w:szCs w:val="21"/>
              </w:rPr>
              <w:t>653</w:t>
            </w:r>
          </w:p>
        </w:tc>
        <w:tc>
          <w:tcPr>
            <w:tcW w:w="5380" w:type="dxa"/>
            <w:tcBorders>
              <w:top w:val="nil"/>
              <w:left w:val="nil"/>
              <w:bottom w:val="nil"/>
              <w:right w:val="nil"/>
            </w:tcBorders>
            <w:tcMar>
              <w:top w:w="128" w:type="dxa"/>
              <w:left w:w="43" w:type="dxa"/>
              <w:bottom w:w="43" w:type="dxa"/>
              <w:right w:w="43" w:type="dxa"/>
            </w:tcMar>
          </w:tcPr>
          <w:p w14:paraId="0824EB63" w14:textId="77777777" w:rsidR="00D60186" w:rsidRPr="00D4351A" w:rsidRDefault="00D60186" w:rsidP="00225D4D">
            <w:pPr>
              <w:rPr>
                <w:sz w:val="21"/>
                <w:szCs w:val="21"/>
              </w:rPr>
            </w:pPr>
            <w:r w:rsidRPr="00D4351A">
              <w:rPr>
                <w:sz w:val="21"/>
                <w:szCs w:val="21"/>
              </w:rPr>
              <w:t>Stortingsmelding om kriminalomsorga</w:t>
            </w:r>
          </w:p>
        </w:tc>
        <w:tc>
          <w:tcPr>
            <w:tcW w:w="1800" w:type="dxa"/>
            <w:tcBorders>
              <w:top w:val="nil"/>
              <w:left w:val="nil"/>
              <w:bottom w:val="nil"/>
              <w:right w:val="nil"/>
            </w:tcBorders>
            <w:tcMar>
              <w:top w:w="128" w:type="dxa"/>
              <w:left w:w="43" w:type="dxa"/>
              <w:bottom w:w="43" w:type="dxa"/>
              <w:right w:w="43" w:type="dxa"/>
            </w:tcMar>
          </w:tcPr>
          <w:p w14:paraId="0B66E60C" w14:textId="77777777" w:rsidR="00D60186" w:rsidRPr="00D4351A" w:rsidRDefault="00D60186" w:rsidP="00D4351A">
            <w:pPr>
              <w:jc w:val="right"/>
              <w:rPr>
                <w:sz w:val="21"/>
                <w:szCs w:val="21"/>
              </w:rPr>
            </w:pPr>
            <w:r w:rsidRPr="00D4351A">
              <w:rPr>
                <w:sz w:val="21"/>
                <w:szCs w:val="21"/>
              </w:rPr>
              <w:t>Ja</w:t>
            </w:r>
          </w:p>
        </w:tc>
      </w:tr>
      <w:tr w:rsidR="00E76DC8" w:rsidRPr="00225D4D" w14:paraId="51DB6635" w14:textId="77777777">
        <w:trPr>
          <w:trHeight w:val="380"/>
        </w:trPr>
        <w:tc>
          <w:tcPr>
            <w:tcW w:w="1240" w:type="dxa"/>
            <w:tcBorders>
              <w:top w:val="nil"/>
              <w:left w:val="nil"/>
              <w:bottom w:val="nil"/>
              <w:right w:val="nil"/>
            </w:tcBorders>
            <w:tcMar>
              <w:top w:w="128" w:type="dxa"/>
              <w:left w:w="43" w:type="dxa"/>
              <w:bottom w:w="43" w:type="dxa"/>
              <w:right w:w="43" w:type="dxa"/>
            </w:tcMar>
          </w:tcPr>
          <w:p w14:paraId="1BBE3E19" w14:textId="77777777" w:rsidR="00D60186" w:rsidRPr="00D4351A" w:rsidRDefault="00D60186" w:rsidP="00225D4D">
            <w:pPr>
              <w:rPr>
                <w:sz w:val="21"/>
                <w:szCs w:val="21"/>
              </w:rPr>
            </w:pPr>
            <w:r w:rsidRPr="00D4351A">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6C610751" w14:textId="77777777" w:rsidR="00D60186" w:rsidRPr="00D4351A" w:rsidRDefault="00D60186" w:rsidP="00D4351A">
            <w:pPr>
              <w:ind w:right="113"/>
              <w:jc w:val="right"/>
              <w:rPr>
                <w:sz w:val="21"/>
                <w:szCs w:val="21"/>
              </w:rPr>
            </w:pPr>
            <w:r w:rsidRPr="00D4351A">
              <w:rPr>
                <w:sz w:val="21"/>
                <w:szCs w:val="21"/>
              </w:rPr>
              <w:t>729</w:t>
            </w:r>
          </w:p>
        </w:tc>
        <w:tc>
          <w:tcPr>
            <w:tcW w:w="5380" w:type="dxa"/>
            <w:tcBorders>
              <w:top w:val="nil"/>
              <w:left w:val="nil"/>
              <w:bottom w:val="nil"/>
              <w:right w:val="nil"/>
            </w:tcBorders>
            <w:tcMar>
              <w:top w:w="128" w:type="dxa"/>
              <w:left w:w="43" w:type="dxa"/>
              <w:bottom w:w="43" w:type="dxa"/>
              <w:right w:w="43" w:type="dxa"/>
            </w:tcMar>
          </w:tcPr>
          <w:p w14:paraId="61629E24" w14:textId="77777777" w:rsidR="00D60186" w:rsidRPr="00D4351A" w:rsidRDefault="00D60186" w:rsidP="00225D4D">
            <w:pPr>
              <w:rPr>
                <w:sz w:val="21"/>
                <w:szCs w:val="21"/>
              </w:rPr>
            </w:pPr>
            <w:r w:rsidRPr="00D4351A">
              <w:rPr>
                <w:sz w:val="21"/>
                <w:szCs w:val="21"/>
              </w:rPr>
              <w:t>A-krimsenter</w:t>
            </w:r>
          </w:p>
        </w:tc>
        <w:tc>
          <w:tcPr>
            <w:tcW w:w="1800" w:type="dxa"/>
            <w:tcBorders>
              <w:top w:val="nil"/>
              <w:left w:val="nil"/>
              <w:bottom w:val="nil"/>
              <w:right w:val="nil"/>
            </w:tcBorders>
            <w:tcMar>
              <w:top w:w="128" w:type="dxa"/>
              <w:left w:w="43" w:type="dxa"/>
              <w:bottom w:w="43" w:type="dxa"/>
              <w:right w:w="43" w:type="dxa"/>
            </w:tcMar>
          </w:tcPr>
          <w:p w14:paraId="1F59C4B0" w14:textId="77777777" w:rsidR="00D60186" w:rsidRPr="00D4351A" w:rsidRDefault="00D60186" w:rsidP="00D4351A">
            <w:pPr>
              <w:jc w:val="right"/>
              <w:rPr>
                <w:sz w:val="21"/>
                <w:szCs w:val="21"/>
              </w:rPr>
            </w:pPr>
            <w:r w:rsidRPr="00D4351A">
              <w:rPr>
                <w:sz w:val="21"/>
                <w:szCs w:val="21"/>
              </w:rPr>
              <w:t>Nei</w:t>
            </w:r>
          </w:p>
        </w:tc>
      </w:tr>
      <w:tr w:rsidR="00E76DC8" w:rsidRPr="00225D4D" w14:paraId="5E0854AF" w14:textId="77777777">
        <w:trPr>
          <w:trHeight w:val="380"/>
        </w:trPr>
        <w:tc>
          <w:tcPr>
            <w:tcW w:w="1240" w:type="dxa"/>
            <w:tcBorders>
              <w:top w:val="nil"/>
              <w:left w:val="nil"/>
              <w:bottom w:val="nil"/>
              <w:right w:val="nil"/>
            </w:tcBorders>
            <w:tcMar>
              <w:top w:w="128" w:type="dxa"/>
              <w:left w:w="43" w:type="dxa"/>
              <w:bottom w:w="43" w:type="dxa"/>
              <w:right w:w="43" w:type="dxa"/>
            </w:tcMar>
          </w:tcPr>
          <w:p w14:paraId="68ECEA06"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63DAE229" w14:textId="77777777" w:rsidR="00D60186" w:rsidRPr="00D4351A" w:rsidRDefault="00D60186" w:rsidP="00D4351A">
            <w:pPr>
              <w:ind w:right="113"/>
              <w:jc w:val="right"/>
              <w:rPr>
                <w:sz w:val="21"/>
                <w:szCs w:val="21"/>
              </w:rPr>
            </w:pPr>
            <w:r w:rsidRPr="00D4351A">
              <w:rPr>
                <w:sz w:val="21"/>
                <w:szCs w:val="21"/>
              </w:rPr>
              <w:t>35.49</w:t>
            </w:r>
          </w:p>
        </w:tc>
        <w:tc>
          <w:tcPr>
            <w:tcW w:w="5380" w:type="dxa"/>
            <w:tcBorders>
              <w:top w:val="nil"/>
              <w:left w:val="nil"/>
              <w:bottom w:val="nil"/>
              <w:right w:val="nil"/>
            </w:tcBorders>
            <w:tcMar>
              <w:top w:w="128" w:type="dxa"/>
              <w:left w:w="43" w:type="dxa"/>
              <w:bottom w:w="43" w:type="dxa"/>
              <w:right w:w="43" w:type="dxa"/>
            </w:tcMar>
          </w:tcPr>
          <w:p w14:paraId="5F233402" w14:textId="77777777" w:rsidR="00D60186" w:rsidRPr="00D4351A" w:rsidRDefault="00D60186" w:rsidP="00225D4D">
            <w:pPr>
              <w:rPr>
                <w:sz w:val="21"/>
                <w:szCs w:val="21"/>
              </w:rPr>
            </w:pPr>
            <w:r w:rsidRPr="00D4351A">
              <w:rPr>
                <w:sz w:val="21"/>
                <w:szCs w:val="21"/>
              </w:rPr>
              <w:t>Ny rettshjelpsordning</w:t>
            </w:r>
          </w:p>
        </w:tc>
        <w:tc>
          <w:tcPr>
            <w:tcW w:w="1800" w:type="dxa"/>
            <w:tcBorders>
              <w:top w:val="nil"/>
              <w:left w:val="nil"/>
              <w:bottom w:val="nil"/>
              <w:right w:val="nil"/>
            </w:tcBorders>
            <w:tcMar>
              <w:top w:w="128" w:type="dxa"/>
              <w:left w:w="43" w:type="dxa"/>
              <w:bottom w:w="43" w:type="dxa"/>
              <w:right w:w="43" w:type="dxa"/>
            </w:tcMar>
          </w:tcPr>
          <w:p w14:paraId="648F06E4" w14:textId="77777777" w:rsidR="00D60186" w:rsidRPr="00D4351A" w:rsidRDefault="00D60186" w:rsidP="00D4351A">
            <w:pPr>
              <w:jc w:val="right"/>
              <w:rPr>
                <w:sz w:val="21"/>
                <w:szCs w:val="21"/>
              </w:rPr>
            </w:pPr>
            <w:r w:rsidRPr="00D4351A">
              <w:rPr>
                <w:sz w:val="21"/>
                <w:szCs w:val="21"/>
              </w:rPr>
              <w:t>Ja</w:t>
            </w:r>
          </w:p>
        </w:tc>
      </w:tr>
      <w:tr w:rsidR="00E76DC8" w:rsidRPr="00225D4D" w14:paraId="3277C4EC" w14:textId="77777777">
        <w:trPr>
          <w:trHeight w:val="380"/>
        </w:trPr>
        <w:tc>
          <w:tcPr>
            <w:tcW w:w="1240" w:type="dxa"/>
            <w:tcBorders>
              <w:top w:val="nil"/>
              <w:left w:val="nil"/>
              <w:bottom w:val="nil"/>
              <w:right w:val="nil"/>
            </w:tcBorders>
            <w:tcMar>
              <w:top w:w="128" w:type="dxa"/>
              <w:left w:w="43" w:type="dxa"/>
              <w:bottom w:w="43" w:type="dxa"/>
              <w:right w:w="43" w:type="dxa"/>
            </w:tcMar>
          </w:tcPr>
          <w:p w14:paraId="00A5A115"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6D215E7F" w14:textId="77777777" w:rsidR="00D60186" w:rsidRPr="00D4351A" w:rsidRDefault="00D60186" w:rsidP="00D4351A">
            <w:pPr>
              <w:ind w:right="113"/>
              <w:jc w:val="right"/>
              <w:rPr>
                <w:sz w:val="21"/>
                <w:szCs w:val="21"/>
              </w:rPr>
            </w:pPr>
            <w:r w:rsidRPr="00D4351A">
              <w:rPr>
                <w:sz w:val="21"/>
                <w:szCs w:val="21"/>
              </w:rPr>
              <w:t>372</w:t>
            </w:r>
          </w:p>
        </w:tc>
        <w:tc>
          <w:tcPr>
            <w:tcW w:w="5380" w:type="dxa"/>
            <w:tcBorders>
              <w:top w:val="nil"/>
              <w:left w:val="nil"/>
              <w:bottom w:val="nil"/>
              <w:right w:val="nil"/>
            </w:tcBorders>
            <w:tcMar>
              <w:top w:w="128" w:type="dxa"/>
              <w:left w:w="43" w:type="dxa"/>
              <w:bottom w:w="43" w:type="dxa"/>
              <w:right w:w="43" w:type="dxa"/>
            </w:tcMar>
          </w:tcPr>
          <w:p w14:paraId="34330D00" w14:textId="77777777" w:rsidR="00D60186" w:rsidRPr="00D4351A" w:rsidRDefault="00D60186" w:rsidP="00225D4D">
            <w:pPr>
              <w:rPr>
                <w:sz w:val="21"/>
                <w:szCs w:val="21"/>
              </w:rPr>
            </w:pPr>
            <w:r w:rsidRPr="00D4351A">
              <w:rPr>
                <w:sz w:val="21"/>
                <w:szCs w:val="21"/>
              </w:rPr>
              <w:t xml:space="preserve">Utgreiing av </w:t>
            </w:r>
            <w:proofErr w:type="spellStart"/>
            <w:r w:rsidRPr="00D4351A">
              <w:rPr>
                <w:sz w:val="21"/>
                <w:szCs w:val="21"/>
              </w:rPr>
              <w:t>fråvikelege</w:t>
            </w:r>
            <w:proofErr w:type="spellEnd"/>
            <w:r w:rsidRPr="00D4351A">
              <w:rPr>
                <w:sz w:val="21"/>
                <w:szCs w:val="21"/>
              </w:rPr>
              <w:t xml:space="preserve"> </w:t>
            </w:r>
            <w:proofErr w:type="spellStart"/>
            <w:r w:rsidRPr="00D4351A">
              <w:rPr>
                <w:sz w:val="21"/>
                <w:szCs w:val="21"/>
              </w:rPr>
              <w:t>lovreglar</w:t>
            </w:r>
            <w:proofErr w:type="spellEnd"/>
            <w:r w:rsidRPr="00D4351A">
              <w:rPr>
                <w:sz w:val="21"/>
                <w:szCs w:val="21"/>
              </w:rPr>
              <w:t xml:space="preserve"> om </w:t>
            </w:r>
            <w:proofErr w:type="spellStart"/>
            <w:r w:rsidRPr="00D4351A">
              <w:rPr>
                <w:sz w:val="21"/>
                <w:szCs w:val="21"/>
              </w:rPr>
              <w:t>sambuarskap</w:t>
            </w:r>
            <w:proofErr w:type="spellEnd"/>
            <w:r w:rsidRPr="00D4351A">
              <w:rPr>
                <w:sz w:val="21"/>
                <w:szCs w:val="21"/>
              </w:rPr>
              <w:t xml:space="preserve"> </w:t>
            </w:r>
          </w:p>
        </w:tc>
        <w:tc>
          <w:tcPr>
            <w:tcW w:w="1800" w:type="dxa"/>
            <w:tcBorders>
              <w:top w:val="nil"/>
              <w:left w:val="nil"/>
              <w:bottom w:val="nil"/>
              <w:right w:val="nil"/>
            </w:tcBorders>
            <w:tcMar>
              <w:top w:w="128" w:type="dxa"/>
              <w:left w:w="43" w:type="dxa"/>
              <w:bottom w:w="43" w:type="dxa"/>
              <w:right w:w="43" w:type="dxa"/>
            </w:tcMar>
          </w:tcPr>
          <w:p w14:paraId="2586765E" w14:textId="77777777" w:rsidR="00D60186" w:rsidRPr="00D4351A" w:rsidRDefault="00D60186" w:rsidP="00D4351A">
            <w:pPr>
              <w:jc w:val="right"/>
              <w:rPr>
                <w:sz w:val="21"/>
                <w:szCs w:val="21"/>
              </w:rPr>
            </w:pPr>
            <w:r w:rsidRPr="00D4351A">
              <w:rPr>
                <w:sz w:val="21"/>
                <w:szCs w:val="21"/>
              </w:rPr>
              <w:t>Ja</w:t>
            </w:r>
          </w:p>
        </w:tc>
      </w:tr>
      <w:tr w:rsidR="00E76DC8" w:rsidRPr="00225D4D" w14:paraId="182BD4B3" w14:textId="77777777">
        <w:trPr>
          <w:trHeight w:val="380"/>
        </w:trPr>
        <w:tc>
          <w:tcPr>
            <w:tcW w:w="1240" w:type="dxa"/>
            <w:tcBorders>
              <w:top w:val="nil"/>
              <w:left w:val="nil"/>
              <w:bottom w:val="nil"/>
              <w:right w:val="nil"/>
            </w:tcBorders>
            <w:tcMar>
              <w:top w:w="128" w:type="dxa"/>
              <w:left w:w="43" w:type="dxa"/>
              <w:bottom w:w="43" w:type="dxa"/>
              <w:right w:w="43" w:type="dxa"/>
            </w:tcMar>
          </w:tcPr>
          <w:p w14:paraId="37CA643B"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6A7404BF" w14:textId="77777777" w:rsidR="00D60186" w:rsidRPr="00D4351A" w:rsidRDefault="00D60186" w:rsidP="00D4351A">
            <w:pPr>
              <w:ind w:right="113"/>
              <w:jc w:val="right"/>
              <w:rPr>
                <w:sz w:val="21"/>
                <w:szCs w:val="21"/>
              </w:rPr>
            </w:pPr>
            <w:r w:rsidRPr="00D4351A">
              <w:rPr>
                <w:sz w:val="21"/>
                <w:szCs w:val="21"/>
              </w:rPr>
              <w:t>420</w:t>
            </w:r>
          </w:p>
        </w:tc>
        <w:tc>
          <w:tcPr>
            <w:tcW w:w="5380" w:type="dxa"/>
            <w:tcBorders>
              <w:top w:val="nil"/>
              <w:left w:val="nil"/>
              <w:bottom w:val="nil"/>
              <w:right w:val="nil"/>
            </w:tcBorders>
            <w:tcMar>
              <w:top w:w="128" w:type="dxa"/>
              <w:left w:w="43" w:type="dxa"/>
              <w:bottom w:w="43" w:type="dxa"/>
              <w:right w:w="43" w:type="dxa"/>
            </w:tcMar>
          </w:tcPr>
          <w:p w14:paraId="7FE70101" w14:textId="77777777" w:rsidR="00D60186" w:rsidRPr="00D4351A" w:rsidRDefault="00D60186" w:rsidP="00225D4D">
            <w:pPr>
              <w:rPr>
                <w:sz w:val="21"/>
                <w:szCs w:val="21"/>
              </w:rPr>
            </w:pPr>
            <w:r w:rsidRPr="00D4351A">
              <w:rPr>
                <w:sz w:val="21"/>
                <w:szCs w:val="21"/>
              </w:rPr>
              <w:t>Straffeføresegn om seksuell utnytting av barn</w:t>
            </w:r>
          </w:p>
        </w:tc>
        <w:tc>
          <w:tcPr>
            <w:tcW w:w="1800" w:type="dxa"/>
            <w:tcBorders>
              <w:top w:val="nil"/>
              <w:left w:val="nil"/>
              <w:bottom w:val="nil"/>
              <w:right w:val="nil"/>
            </w:tcBorders>
            <w:tcMar>
              <w:top w:w="128" w:type="dxa"/>
              <w:left w:w="43" w:type="dxa"/>
              <w:bottom w:w="43" w:type="dxa"/>
              <w:right w:w="43" w:type="dxa"/>
            </w:tcMar>
          </w:tcPr>
          <w:p w14:paraId="5C1E7999" w14:textId="77777777" w:rsidR="00D60186" w:rsidRPr="00D4351A" w:rsidRDefault="00D60186" w:rsidP="00D4351A">
            <w:pPr>
              <w:jc w:val="right"/>
              <w:rPr>
                <w:sz w:val="21"/>
                <w:szCs w:val="21"/>
              </w:rPr>
            </w:pPr>
            <w:r w:rsidRPr="00D4351A">
              <w:rPr>
                <w:sz w:val="21"/>
                <w:szCs w:val="21"/>
              </w:rPr>
              <w:t>Ja</w:t>
            </w:r>
          </w:p>
        </w:tc>
      </w:tr>
      <w:tr w:rsidR="00E76DC8" w:rsidRPr="00225D4D" w14:paraId="7B0D62AC" w14:textId="77777777">
        <w:trPr>
          <w:trHeight w:val="380"/>
        </w:trPr>
        <w:tc>
          <w:tcPr>
            <w:tcW w:w="1240" w:type="dxa"/>
            <w:tcBorders>
              <w:top w:val="nil"/>
              <w:left w:val="nil"/>
              <w:bottom w:val="nil"/>
              <w:right w:val="nil"/>
            </w:tcBorders>
            <w:tcMar>
              <w:top w:w="128" w:type="dxa"/>
              <w:left w:w="43" w:type="dxa"/>
              <w:bottom w:w="43" w:type="dxa"/>
              <w:right w:w="43" w:type="dxa"/>
            </w:tcMar>
          </w:tcPr>
          <w:p w14:paraId="648BA301"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5BF93E3F" w14:textId="77777777" w:rsidR="00D60186" w:rsidRPr="00D4351A" w:rsidRDefault="00D60186" w:rsidP="00D4351A">
            <w:pPr>
              <w:ind w:right="113"/>
              <w:jc w:val="right"/>
              <w:rPr>
                <w:sz w:val="21"/>
                <w:szCs w:val="21"/>
              </w:rPr>
            </w:pPr>
            <w:r w:rsidRPr="00D4351A">
              <w:rPr>
                <w:sz w:val="21"/>
                <w:szCs w:val="21"/>
              </w:rPr>
              <w:t>504</w:t>
            </w:r>
          </w:p>
        </w:tc>
        <w:tc>
          <w:tcPr>
            <w:tcW w:w="5380" w:type="dxa"/>
            <w:tcBorders>
              <w:top w:val="nil"/>
              <w:left w:val="nil"/>
              <w:bottom w:val="nil"/>
              <w:right w:val="nil"/>
            </w:tcBorders>
            <w:tcMar>
              <w:top w:w="128" w:type="dxa"/>
              <w:left w:w="43" w:type="dxa"/>
              <w:bottom w:w="43" w:type="dxa"/>
              <w:right w:w="43" w:type="dxa"/>
            </w:tcMar>
          </w:tcPr>
          <w:p w14:paraId="03D5CB69" w14:textId="77777777" w:rsidR="00D60186" w:rsidRPr="00D4351A" w:rsidRDefault="00D60186" w:rsidP="00225D4D">
            <w:pPr>
              <w:rPr>
                <w:sz w:val="21"/>
                <w:szCs w:val="21"/>
              </w:rPr>
            </w:pPr>
            <w:r w:rsidRPr="00D4351A">
              <w:rPr>
                <w:sz w:val="21"/>
                <w:szCs w:val="21"/>
              </w:rPr>
              <w:t xml:space="preserve">Organisering av </w:t>
            </w:r>
            <w:proofErr w:type="spellStart"/>
            <w:r w:rsidRPr="00D4351A">
              <w:rPr>
                <w:sz w:val="21"/>
                <w:szCs w:val="21"/>
              </w:rPr>
              <w:t>advokatverksemd</w:t>
            </w:r>
            <w:proofErr w:type="spellEnd"/>
          </w:p>
        </w:tc>
        <w:tc>
          <w:tcPr>
            <w:tcW w:w="1800" w:type="dxa"/>
            <w:tcBorders>
              <w:top w:val="nil"/>
              <w:left w:val="nil"/>
              <w:bottom w:val="nil"/>
              <w:right w:val="nil"/>
            </w:tcBorders>
            <w:tcMar>
              <w:top w:w="128" w:type="dxa"/>
              <w:left w:w="43" w:type="dxa"/>
              <w:bottom w:w="43" w:type="dxa"/>
              <w:right w:w="43" w:type="dxa"/>
            </w:tcMar>
          </w:tcPr>
          <w:p w14:paraId="3BE92A6D" w14:textId="77777777" w:rsidR="00D60186" w:rsidRPr="00D4351A" w:rsidRDefault="00D60186" w:rsidP="00D4351A">
            <w:pPr>
              <w:jc w:val="right"/>
              <w:rPr>
                <w:sz w:val="21"/>
                <w:szCs w:val="21"/>
              </w:rPr>
            </w:pPr>
            <w:r w:rsidRPr="00D4351A">
              <w:rPr>
                <w:sz w:val="21"/>
                <w:szCs w:val="21"/>
              </w:rPr>
              <w:t>Nei</w:t>
            </w:r>
          </w:p>
        </w:tc>
      </w:tr>
      <w:tr w:rsidR="00E76DC8" w:rsidRPr="00225D4D" w14:paraId="7ED70D66" w14:textId="77777777">
        <w:trPr>
          <w:trHeight w:val="380"/>
        </w:trPr>
        <w:tc>
          <w:tcPr>
            <w:tcW w:w="1240" w:type="dxa"/>
            <w:tcBorders>
              <w:top w:val="nil"/>
              <w:left w:val="nil"/>
              <w:bottom w:val="nil"/>
              <w:right w:val="nil"/>
            </w:tcBorders>
            <w:tcMar>
              <w:top w:w="128" w:type="dxa"/>
              <w:left w:w="43" w:type="dxa"/>
              <w:bottom w:w="43" w:type="dxa"/>
              <w:right w:w="43" w:type="dxa"/>
            </w:tcMar>
          </w:tcPr>
          <w:p w14:paraId="4B8F60D6"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5682D16D" w14:textId="77777777" w:rsidR="00D60186" w:rsidRPr="00D4351A" w:rsidRDefault="00D60186" w:rsidP="00D4351A">
            <w:pPr>
              <w:ind w:right="113"/>
              <w:jc w:val="right"/>
              <w:rPr>
                <w:sz w:val="21"/>
                <w:szCs w:val="21"/>
              </w:rPr>
            </w:pPr>
            <w:r w:rsidRPr="00D4351A">
              <w:rPr>
                <w:sz w:val="21"/>
                <w:szCs w:val="21"/>
              </w:rPr>
              <w:t>506</w:t>
            </w:r>
          </w:p>
        </w:tc>
        <w:tc>
          <w:tcPr>
            <w:tcW w:w="5380" w:type="dxa"/>
            <w:tcBorders>
              <w:top w:val="nil"/>
              <w:left w:val="nil"/>
              <w:bottom w:val="nil"/>
              <w:right w:val="nil"/>
            </w:tcBorders>
            <w:tcMar>
              <w:top w:w="128" w:type="dxa"/>
              <w:left w:w="43" w:type="dxa"/>
              <w:bottom w:w="43" w:type="dxa"/>
              <w:right w:w="43" w:type="dxa"/>
            </w:tcMar>
          </w:tcPr>
          <w:p w14:paraId="73A91AB6" w14:textId="77777777" w:rsidR="00D60186" w:rsidRPr="00D4351A" w:rsidRDefault="00D60186" w:rsidP="00225D4D">
            <w:pPr>
              <w:rPr>
                <w:sz w:val="21"/>
                <w:szCs w:val="21"/>
              </w:rPr>
            </w:pPr>
            <w:r w:rsidRPr="00D4351A">
              <w:rPr>
                <w:sz w:val="21"/>
                <w:szCs w:val="21"/>
              </w:rPr>
              <w:t xml:space="preserve">Organisering av </w:t>
            </w:r>
            <w:proofErr w:type="spellStart"/>
            <w:r w:rsidRPr="00D4351A">
              <w:rPr>
                <w:sz w:val="21"/>
                <w:szCs w:val="21"/>
              </w:rPr>
              <w:t>advokatverksemd</w:t>
            </w:r>
            <w:proofErr w:type="spellEnd"/>
          </w:p>
        </w:tc>
        <w:tc>
          <w:tcPr>
            <w:tcW w:w="1800" w:type="dxa"/>
            <w:tcBorders>
              <w:top w:val="nil"/>
              <w:left w:val="nil"/>
              <w:bottom w:val="nil"/>
              <w:right w:val="nil"/>
            </w:tcBorders>
            <w:tcMar>
              <w:top w:w="128" w:type="dxa"/>
              <w:left w:w="43" w:type="dxa"/>
              <w:bottom w:w="43" w:type="dxa"/>
              <w:right w:w="43" w:type="dxa"/>
            </w:tcMar>
          </w:tcPr>
          <w:p w14:paraId="3972A956" w14:textId="77777777" w:rsidR="00D60186" w:rsidRPr="00D4351A" w:rsidRDefault="00D60186" w:rsidP="00D4351A">
            <w:pPr>
              <w:jc w:val="right"/>
              <w:rPr>
                <w:sz w:val="21"/>
                <w:szCs w:val="21"/>
              </w:rPr>
            </w:pPr>
            <w:r w:rsidRPr="00D4351A">
              <w:rPr>
                <w:sz w:val="21"/>
                <w:szCs w:val="21"/>
              </w:rPr>
              <w:t>Nei</w:t>
            </w:r>
          </w:p>
        </w:tc>
      </w:tr>
      <w:tr w:rsidR="00E76DC8" w:rsidRPr="00225D4D" w14:paraId="3F2C6CAD" w14:textId="77777777">
        <w:trPr>
          <w:trHeight w:val="380"/>
        </w:trPr>
        <w:tc>
          <w:tcPr>
            <w:tcW w:w="1240" w:type="dxa"/>
            <w:tcBorders>
              <w:top w:val="nil"/>
              <w:left w:val="nil"/>
              <w:bottom w:val="nil"/>
              <w:right w:val="nil"/>
            </w:tcBorders>
            <w:tcMar>
              <w:top w:w="128" w:type="dxa"/>
              <w:left w:w="43" w:type="dxa"/>
              <w:bottom w:w="43" w:type="dxa"/>
              <w:right w:w="43" w:type="dxa"/>
            </w:tcMar>
          </w:tcPr>
          <w:p w14:paraId="1B29F4FF"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33A8A6B1" w14:textId="77777777" w:rsidR="00D60186" w:rsidRPr="00D4351A" w:rsidRDefault="00D60186" w:rsidP="00D4351A">
            <w:pPr>
              <w:ind w:right="113"/>
              <w:jc w:val="right"/>
              <w:rPr>
                <w:sz w:val="21"/>
                <w:szCs w:val="21"/>
              </w:rPr>
            </w:pPr>
            <w:r w:rsidRPr="00D4351A">
              <w:rPr>
                <w:sz w:val="21"/>
                <w:szCs w:val="21"/>
              </w:rPr>
              <w:t>579</w:t>
            </w:r>
          </w:p>
        </w:tc>
        <w:tc>
          <w:tcPr>
            <w:tcW w:w="5380" w:type="dxa"/>
            <w:tcBorders>
              <w:top w:val="nil"/>
              <w:left w:val="nil"/>
              <w:bottom w:val="nil"/>
              <w:right w:val="nil"/>
            </w:tcBorders>
            <w:tcMar>
              <w:top w:w="128" w:type="dxa"/>
              <w:left w:w="43" w:type="dxa"/>
              <w:bottom w:w="43" w:type="dxa"/>
              <w:right w:w="43" w:type="dxa"/>
            </w:tcMar>
          </w:tcPr>
          <w:p w14:paraId="680F95C9" w14:textId="77777777" w:rsidR="00D60186" w:rsidRPr="00D4351A" w:rsidRDefault="00D60186" w:rsidP="00225D4D">
            <w:pPr>
              <w:rPr>
                <w:sz w:val="21"/>
                <w:szCs w:val="21"/>
              </w:rPr>
            </w:pPr>
            <w:r w:rsidRPr="00D4351A">
              <w:rPr>
                <w:sz w:val="21"/>
                <w:szCs w:val="21"/>
              </w:rPr>
              <w:t>Vurdering av naturskadeforsikringsordninga</w:t>
            </w:r>
          </w:p>
        </w:tc>
        <w:tc>
          <w:tcPr>
            <w:tcW w:w="1800" w:type="dxa"/>
            <w:tcBorders>
              <w:top w:val="nil"/>
              <w:left w:val="nil"/>
              <w:bottom w:val="nil"/>
              <w:right w:val="nil"/>
            </w:tcBorders>
            <w:tcMar>
              <w:top w:w="128" w:type="dxa"/>
              <w:left w:w="43" w:type="dxa"/>
              <w:bottom w:w="43" w:type="dxa"/>
              <w:right w:w="43" w:type="dxa"/>
            </w:tcMar>
          </w:tcPr>
          <w:p w14:paraId="38F236C8" w14:textId="77777777" w:rsidR="00D60186" w:rsidRPr="00D4351A" w:rsidRDefault="00D60186" w:rsidP="00D4351A">
            <w:pPr>
              <w:jc w:val="right"/>
              <w:rPr>
                <w:sz w:val="21"/>
                <w:szCs w:val="21"/>
              </w:rPr>
            </w:pPr>
            <w:r w:rsidRPr="00D4351A">
              <w:rPr>
                <w:sz w:val="21"/>
                <w:szCs w:val="21"/>
              </w:rPr>
              <w:t>Ja</w:t>
            </w:r>
          </w:p>
        </w:tc>
      </w:tr>
      <w:tr w:rsidR="00E76DC8" w:rsidRPr="00225D4D" w14:paraId="45100A5A" w14:textId="77777777">
        <w:trPr>
          <w:trHeight w:val="380"/>
        </w:trPr>
        <w:tc>
          <w:tcPr>
            <w:tcW w:w="1240" w:type="dxa"/>
            <w:tcBorders>
              <w:top w:val="nil"/>
              <w:left w:val="nil"/>
              <w:bottom w:val="nil"/>
              <w:right w:val="nil"/>
            </w:tcBorders>
            <w:tcMar>
              <w:top w:w="128" w:type="dxa"/>
              <w:left w:w="43" w:type="dxa"/>
              <w:bottom w:w="43" w:type="dxa"/>
              <w:right w:w="43" w:type="dxa"/>
            </w:tcMar>
          </w:tcPr>
          <w:p w14:paraId="2651F068"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30808B2B" w14:textId="77777777" w:rsidR="00D60186" w:rsidRPr="00D4351A" w:rsidRDefault="00D60186" w:rsidP="00D4351A">
            <w:pPr>
              <w:ind w:right="113"/>
              <w:jc w:val="right"/>
              <w:rPr>
                <w:sz w:val="21"/>
                <w:szCs w:val="21"/>
              </w:rPr>
            </w:pPr>
            <w:r w:rsidRPr="00D4351A">
              <w:rPr>
                <w:sz w:val="21"/>
                <w:szCs w:val="21"/>
              </w:rPr>
              <w:t>581</w:t>
            </w:r>
          </w:p>
        </w:tc>
        <w:tc>
          <w:tcPr>
            <w:tcW w:w="5380" w:type="dxa"/>
            <w:tcBorders>
              <w:top w:val="nil"/>
              <w:left w:val="nil"/>
              <w:bottom w:val="nil"/>
              <w:right w:val="nil"/>
            </w:tcBorders>
            <w:tcMar>
              <w:top w:w="128" w:type="dxa"/>
              <w:left w:w="43" w:type="dxa"/>
              <w:bottom w:w="43" w:type="dxa"/>
              <w:right w:w="43" w:type="dxa"/>
            </w:tcMar>
          </w:tcPr>
          <w:p w14:paraId="4E67ABBD" w14:textId="77777777" w:rsidR="00D60186" w:rsidRPr="00D4351A" w:rsidRDefault="00D60186" w:rsidP="00225D4D">
            <w:pPr>
              <w:rPr>
                <w:sz w:val="21"/>
                <w:szCs w:val="21"/>
              </w:rPr>
            </w:pPr>
            <w:r w:rsidRPr="00D4351A">
              <w:rPr>
                <w:sz w:val="21"/>
                <w:szCs w:val="21"/>
              </w:rPr>
              <w:t xml:space="preserve">Utgreiing av meldeplikt for norske </w:t>
            </w:r>
            <w:proofErr w:type="spellStart"/>
            <w:r w:rsidRPr="00D4351A">
              <w:rPr>
                <w:sz w:val="21"/>
                <w:szCs w:val="21"/>
              </w:rPr>
              <w:t>tenesteleverandørar</w:t>
            </w:r>
            <w:proofErr w:type="spellEnd"/>
          </w:p>
        </w:tc>
        <w:tc>
          <w:tcPr>
            <w:tcW w:w="1800" w:type="dxa"/>
            <w:tcBorders>
              <w:top w:val="nil"/>
              <w:left w:val="nil"/>
              <w:bottom w:val="nil"/>
              <w:right w:val="nil"/>
            </w:tcBorders>
            <w:tcMar>
              <w:top w:w="128" w:type="dxa"/>
              <w:left w:w="43" w:type="dxa"/>
              <w:bottom w:w="43" w:type="dxa"/>
              <w:right w:w="43" w:type="dxa"/>
            </w:tcMar>
          </w:tcPr>
          <w:p w14:paraId="7A34578F" w14:textId="77777777" w:rsidR="00D60186" w:rsidRPr="00D4351A" w:rsidRDefault="00D60186" w:rsidP="00D4351A">
            <w:pPr>
              <w:jc w:val="right"/>
              <w:rPr>
                <w:sz w:val="21"/>
                <w:szCs w:val="21"/>
              </w:rPr>
            </w:pPr>
            <w:r w:rsidRPr="00D4351A">
              <w:rPr>
                <w:sz w:val="21"/>
                <w:szCs w:val="21"/>
              </w:rPr>
              <w:t>Nei</w:t>
            </w:r>
          </w:p>
        </w:tc>
      </w:tr>
      <w:tr w:rsidR="00E76DC8" w:rsidRPr="00225D4D" w14:paraId="407417FC" w14:textId="77777777">
        <w:trPr>
          <w:trHeight w:val="380"/>
        </w:trPr>
        <w:tc>
          <w:tcPr>
            <w:tcW w:w="1240" w:type="dxa"/>
            <w:tcBorders>
              <w:top w:val="nil"/>
              <w:left w:val="nil"/>
              <w:bottom w:val="nil"/>
              <w:right w:val="nil"/>
            </w:tcBorders>
            <w:tcMar>
              <w:top w:w="128" w:type="dxa"/>
              <w:left w:w="43" w:type="dxa"/>
              <w:bottom w:w="43" w:type="dxa"/>
              <w:right w:w="43" w:type="dxa"/>
            </w:tcMar>
          </w:tcPr>
          <w:p w14:paraId="1369ECD9"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61B0059D" w14:textId="77777777" w:rsidR="00D60186" w:rsidRPr="00D4351A" w:rsidRDefault="00D60186" w:rsidP="00D4351A">
            <w:pPr>
              <w:ind w:right="113"/>
              <w:jc w:val="right"/>
              <w:rPr>
                <w:sz w:val="21"/>
                <w:szCs w:val="21"/>
              </w:rPr>
            </w:pPr>
            <w:r w:rsidRPr="00D4351A">
              <w:rPr>
                <w:sz w:val="21"/>
                <w:szCs w:val="21"/>
              </w:rPr>
              <w:t>582</w:t>
            </w:r>
          </w:p>
        </w:tc>
        <w:tc>
          <w:tcPr>
            <w:tcW w:w="5380" w:type="dxa"/>
            <w:tcBorders>
              <w:top w:val="nil"/>
              <w:left w:val="nil"/>
              <w:bottom w:val="nil"/>
              <w:right w:val="nil"/>
            </w:tcBorders>
            <w:tcMar>
              <w:top w:w="128" w:type="dxa"/>
              <w:left w:w="43" w:type="dxa"/>
              <w:bottom w:w="43" w:type="dxa"/>
              <w:right w:w="43" w:type="dxa"/>
            </w:tcMar>
          </w:tcPr>
          <w:p w14:paraId="38D44E7F" w14:textId="77777777" w:rsidR="00D60186" w:rsidRPr="00D4351A" w:rsidRDefault="00D60186" w:rsidP="00225D4D">
            <w:pPr>
              <w:rPr>
                <w:sz w:val="21"/>
                <w:szCs w:val="21"/>
              </w:rPr>
            </w:pPr>
            <w:r w:rsidRPr="00D4351A">
              <w:rPr>
                <w:sz w:val="21"/>
                <w:szCs w:val="21"/>
              </w:rPr>
              <w:t xml:space="preserve">Regelverk om varsling </w:t>
            </w:r>
            <w:proofErr w:type="spellStart"/>
            <w:r w:rsidRPr="00D4351A">
              <w:rPr>
                <w:sz w:val="21"/>
                <w:szCs w:val="21"/>
              </w:rPr>
              <w:t>frå</w:t>
            </w:r>
            <w:proofErr w:type="spellEnd"/>
            <w:r w:rsidRPr="00D4351A">
              <w:rPr>
                <w:sz w:val="21"/>
                <w:szCs w:val="21"/>
              </w:rPr>
              <w:t xml:space="preserve"> kriminalomsorga</w:t>
            </w:r>
          </w:p>
        </w:tc>
        <w:tc>
          <w:tcPr>
            <w:tcW w:w="1800" w:type="dxa"/>
            <w:tcBorders>
              <w:top w:val="nil"/>
              <w:left w:val="nil"/>
              <w:bottom w:val="nil"/>
              <w:right w:val="nil"/>
            </w:tcBorders>
            <w:tcMar>
              <w:top w:w="128" w:type="dxa"/>
              <w:left w:w="43" w:type="dxa"/>
              <w:bottom w:w="43" w:type="dxa"/>
              <w:right w:w="43" w:type="dxa"/>
            </w:tcMar>
          </w:tcPr>
          <w:p w14:paraId="43D43EA5" w14:textId="77777777" w:rsidR="00D60186" w:rsidRPr="00D4351A" w:rsidRDefault="00D60186" w:rsidP="00D4351A">
            <w:pPr>
              <w:jc w:val="right"/>
              <w:rPr>
                <w:sz w:val="21"/>
                <w:szCs w:val="21"/>
              </w:rPr>
            </w:pPr>
            <w:r w:rsidRPr="00D4351A">
              <w:rPr>
                <w:sz w:val="21"/>
                <w:szCs w:val="21"/>
              </w:rPr>
              <w:t>Nei</w:t>
            </w:r>
          </w:p>
        </w:tc>
      </w:tr>
      <w:tr w:rsidR="00E76DC8" w:rsidRPr="00225D4D" w14:paraId="50206D68" w14:textId="77777777">
        <w:trPr>
          <w:trHeight w:val="380"/>
        </w:trPr>
        <w:tc>
          <w:tcPr>
            <w:tcW w:w="1240" w:type="dxa"/>
            <w:tcBorders>
              <w:top w:val="nil"/>
              <w:left w:val="nil"/>
              <w:bottom w:val="nil"/>
              <w:right w:val="nil"/>
            </w:tcBorders>
            <w:tcMar>
              <w:top w:w="128" w:type="dxa"/>
              <w:left w:w="43" w:type="dxa"/>
              <w:bottom w:w="43" w:type="dxa"/>
              <w:right w:w="43" w:type="dxa"/>
            </w:tcMar>
          </w:tcPr>
          <w:p w14:paraId="40C8E26F"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75A38587" w14:textId="77777777" w:rsidR="00D60186" w:rsidRPr="00D4351A" w:rsidRDefault="00D60186" w:rsidP="00D4351A">
            <w:pPr>
              <w:ind w:right="113"/>
              <w:jc w:val="right"/>
              <w:rPr>
                <w:sz w:val="21"/>
                <w:szCs w:val="21"/>
              </w:rPr>
            </w:pPr>
            <w:r w:rsidRPr="00D4351A">
              <w:rPr>
                <w:sz w:val="21"/>
                <w:szCs w:val="21"/>
              </w:rPr>
              <w:t>654</w:t>
            </w:r>
          </w:p>
        </w:tc>
        <w:tc>
          <w:tcPr>
            <w:tcW w:w="5380" w:type="dxa"/>
            <w:tcBorders>
              <w:top w:val="nil"/>
              <w:left w:val="nil"/>
              <w:bottom w:val="nil"/>
              <w:right w:val="nil"/>
            </w:tcBorders>
            <w:tcMar>
              <w:top w:w="128" w:type="dxa"/>
              <w:left w:w="43" w:type="dxa"/>
              <w:bottom w:w="43" w:type="dxa"/>
              <w:right w:w="43" w:type="dxa"/>
            </w:tcMar>
          </w:tcPr>
          <w:p w14:paraId="1D4677A4" w14:textId="77777777" w:rsidR="00D60186" w:rsidRPr="00D4351A" w:rsidRDefault="00D60186" w:rsidP="00225D4D">
            <w:pPr>
              <w:rPr>
                <w:sz w:val="21"/>
                <w:szCs w:val="21"/>
              </w:rPr>
            </w:pPr>
            <w:r w:rsidRPr="00D4351A">
              <w:rPr>
                <w:sz w:val="21"/>
                <w:szCs w:val="21"/>
              </w:rPr>
              <w:t xml:space="preserve">Tryggleik for </w:t>
            </w:r>
            <w:proofErr w:type="spellStart"/>
            <w:r w:rsidRPr="00D4351A">
              <w:rPr>
                <w:sz w:val="21"/>
                <w:szCs w:val="21"/>
              </w:rPr>
              <w:t>personar</w:t>
            </w:r>
            <w:proofErr w:type="spellEnd"/>
            <w:r w:rsidRPr="00D4351A">
              <w:rPr>
                <w:sz w:val="21"/>
                <w:szCs w:val="21"/>
              </w:rPr>
              <w:t xml:space="preserve"> med funksjonshindring </w:t>
            </w:r>
          </w:p>
        </w:tc>
        <w:tc>
          <w:tcPr>
            <w:tcW w:w="1800" w:type="dxa"/>
            <w:tcBorders>
              <w:top w:val="nil"/>
              <w:left w:val="nil"/>
              <w:bottom w:val="nil"/>
              <w:right w:val="nil"/>
            </w:tcBorders>
            <w:tcMar>
              <w:top w:w="128" w:type="dxa"/>
              <w:left w:w="43" w:type="dxa"/>
              <w:bottom w:w="43" w:type="dxa"/>
              <w:right w:w="43" w:type="dxa"/>
            </w:tcMar>
          </w:tcPr>
          <w:p w14:paraId="3368A220" w14:textId="77777777" w:rsidR="00D60186" w:rsidRPr="00D4351A" w:rsidRDefault="00D60186" w:rsidP="00D4351A">
            <w:pPr>
              <w:jc w:val="right"/>
              <w:rPr>
                <w:sz w:val="21"/>
                <w:szCs w:val="21"/>
              </w:rPr>
            </w:pPr>
            <w:r w:rsidRPr="00D4351A">
              <w:rPr>
                <w:sz w:val="21"/>
                <w:szCs w:val="21"/>
              </w:rPr>
              <w:t>Nei</w:t>
            </w:r>
          </w:p>
        </w:tc>
      </w:tr>
      <w:tr w:rsidR="00E76DC8" w:rsidRPr="00225D4D" w14:paraId="1AAA5DB9" w14:textId="77777777">
        <w:trPr>
          <w:trHeight w:val="380"/>
        </w:trPr>
        <w:tc>
          <w:tcPr>
            <w:tcW w:w="1240" w:type="dxa"/>
            <w:tcBorders>
              <w:top w:val="nil"/>
              <w:left w:val="nil"/>
              <w:bottom w:val="nil"/>
              <w:right w:val="nil"/>
            </w:tcBorders>
            <w:tcMar>
              <w:top w:w="128" w:type="dxa"/>
              <w:left w:w="43" w:type="dxa"/>
              <w:bottom w:w="43" w:type="dxa"/>
              <w:right w:w="43" w:type="dxa"/>
            </w:tcMar>
          </w:tcPr>
          <w:p w14:paraId="07120913" w14:textId="77777777" w:rsidR="00D60186" w:rsidRPr="00D4351A" w:rsidRDefault="00D60186" w:rsidP="00225D4D">
            <w:pPr>
              <w:rPr>
                <w:sz w:val="21"/>
                <w:szCs w:val="21"/>
              </w:rPr>
            </w:pPr>
            <w:r w:rsidRPr="00D4351A">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59F2CCA8" w14:textId="77777777" w:rsidR="00D60186" w:rsidRPr="00D4351A" w:rsidRDefault="00D60186" w:rsidP="00D4351A">
            <w:pPr>
              <w:ind w:right="113"/>
              <w:jc w:val="right"/>
              <w:rPr>
                <w:sz w:val="21"/>
                <w:szCs w:val="21"/>
              </w:rPr>
            </w:pPr>
            <w:r w:rsidRPr="00D4351A">
              <w:rPr>
                <w:sz w:val="21"/>
                <w:szCs w:val="21"/>
              </w:rPr>
              <w:t>795</w:t>
            </w:r>
          </w:p>
        </w:tc>
        <w:tc>
          <w:tcPr>
            <w:tcW w:w="5380" w:type="dxa"/>
            <w:tcBorders>
              <w:top w:val="nil"/>
              <w:left w:val="nil"/>
              <w:bottom w:val="nil"/>
              <w:right w:val="nil"/>
            </w:tcBorders>
            <w:tcMar>
              <w:top w:w="128" w:type="dxa"/>
              <w:left w:w="43" w:type="dxa"/>
              <w:bottom w:w="43" w:type="dxa"/>
              <w:right w:w="43" w:type="dxa"/>
            </w:tcMar>
          </w:tcPr>
          <w:p w14:paraId="52A2300F" w14:textId="77777777" w:rsidR="00D60186" w:rsidRPr="00D4351A" w:rsidRDefault="00D60186" w:rsidP="00225D4D">
            <w:pPr>
              <w:rPr>
                <w:sz w:val="21"/>
                <w:szCs w:val="21"/>
              </w:rPr>
            </w:pPr>
            <w:proofErr w:type="spellStart"/>
            <w:r w:rsidRPr="00D4351A">
              <w:rPr>
                <w:sz w:val="21"/>
                <w:szCs w:val="21"/>
              </w:rPr>
              <w:t>Forbod</w:t>
            </w:r>
            <w:proofErr w:type="spellEnd"/>
            <w:r w:rsidRPr="00D4351A">
              <w:rPr>
                <w:sz w:val="21"/>
                <w:szCs w:val="21"/>
              </w:rPr>
              <w:t xml:space="preserve"> mot sal av forfalne </w:t>
            </w:r>
            <w:proofErr w:type="spellStart"/>
            <w:r w:rsidRPr="00D4351A">
              <w:rPr>
                <w:sz w:val="21"/>
                <w:szCs w:val="21"/>
              </w:rPr>
              <w:t>fordringar</w:t>
            </w:r>
            <w:proofErr w:type="spellEnd"/>
          </w:p>
        </w:tc>
        <w:tc>
          <w:tcPr>
            <w:tcW w:w="1800" w:type="dxa"/>
            <w:tcBorders>
              <w:top w:val="nil"/>
              <w:left w:val="nil"/>
              <w:bottom w:val="nil"/>
              <w:right w:val="nil"/>
            </w:tcBorders>
            <w:tcMar>
              <w:top w:w="128" w:type="dxa"/>
              <w:left w:w="43" w:type="dxa"/>
              <w:bottom w:w="43" w:type="dxa"/>
              <w:right w:w="43" w:type="dxa"/>
            </w:tcMar>
          </w:tcPr>
          <w:p w14:paraId="331A7FEC" w14:textId="77777777" w:rsidR="00D60186" w:rsidRPr="00D4351A" w:rsidRDefault="00D60186" w:rsidP="00D4351A">
            <w:pPr>
              <w:jc w:val="right"/>
              <w:rPr>
                <w:sz w:val="21"/>
                <w:szCs w:val="21"/>
              </w:rPr>
            </w:pPr>
            <w:r w:rsidRPr="00D4351A">
              <w:rPr>
                <w:sz w:val="21"/>
                <w:szCs w:val="21"/>
              </w:rPr>
              <w:t>Nei</w:t>
            </w:r>
          </w:p>
        </w:tc>
      </w:tr>
      <w:tr w:rsidR="00E76DC8" w:rsidRPr="00225D4D" w14:paraId="6B46BD2A" w14:textId="77777777">
        <w:trPr>
          <w:trHeight w:val="380"/>
        </w:trPr>
        <w:tc>
          <w:tcPr>
            <w:tcW w:w="1240" w:type="dxa"/>
            <w:tcBorders>
              <w:top w:val="nil"/>
              <w:left w:val="nil"/>
              <w:bottom w:val="nil"/>
              <w:right w:val="nil"/>
            </w:tcBorders>
            <w:tcMar>
              <w:top w:w="128" w:type="dxa"/>
              <w:left w:w="43" w:type="dxa"/>
              <w:bottom w:w="43" w:type="dxa"/>
              <w:right w:w="43" w:type="dxa"/>
            </w:tcMar>
          </w:tcPr>
          <w:p w14:paraId="14DA45A5"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14AE90B4" w14:textId="77777777" w:rsidR="00D60186" w:rsidRPr="00D4351A" w:rsidRDefault="00D60186" w:rsidP="00D4351A">
            <w:pPr>
              <w:ind w:right="113"/>
              <w:jc w:val="right"/>
              <w:rPr>
                <w:sz w:val="21"/>
                <w:szCs w:val="21"/>
              </w:rPr>
            </w:pPr>
            <w:r w:rsidRPr="00D4351A">
              <w:rPr>
                <w:sz w:val="21"/>
                <w:szCs w:val="21"/>
              </w:rPr>
              <w:t>47</w:t>
            </w:r>
          </w:p>
        </w:tc>
        <w:tc>
          <w:tcPr>
            <w:tcW w:w="5380" w:type="dxa"/>
            <w:tcBorders>
              <w:top w:val="nil"/>
              <w:left w:val="nil"/>
              <w:bottom w:val="nil"/>
              <w:right w:val="nil"/>
            </w:tcBorders>
            <w:tcMar>
              <w:top w:w="128" w:type="dxa"/>
              <w:left w:w="43" w:type="dxa"/>
              <w:bottom w:w="43" w:type="dxa"/>
              <w:right w:w="43" w:type="dxa"/>
            </w:tcMar>
          </w:tcPr>
          <w:p w14:paraId="07F200FE" w14:textId="77777777" w:rsidR="00D60186" w:rsidRPr="00D4351A" w:rsidRDefault="00D60186" w:rsidP="00225D4D">
            <w:pPr>
              <w:rPr>
                <w:sz w:val="21"/>
                <w:szCs w:val="21"/>
              </w:rPr>
            </w:pPr>
            <w:r w:rsidRPr="00D4351A">
              <w:rPr>
                <w:sz w:val="21"/>
                <w:szCs w:val="21"/>
              </w:rPr>
              <w:t xml:space="preserve">Utviding av </w:t>
            </w:r>
            <w:proofErr w:type="spellStart"/>
            <w:r w:rsidRPr="00D4351A">
              <w:rPr>
                <w:sz w:val="21"/>
                <w:szCs w:val="21"/>
              </w:rPr>
              <w:t>avverjingsplikta</w:t>
            </w:r>
            <w:proofErr w:type="spellEnd"/>
          </w:p>
        </w:tc>
        <w:tc>
          <w:tcPr>
            <w:tcW w:w="1800" w:type="dxa"/>
            <w:tcBorders>
              <w:top w:val="nil"/>
              <w:left w:val="nil"/>
              <w:bottom w:val="nil"/>
              <w:right w:val="nil"/>
            </w:tcBorders>
            <w:tcMar>
              <w:top w:w="128" w:type="dxa"/>
              <w:left w:w="43" w:type="dxa"/>
              <w:bottom w:w="43" w:type="dxa"/>
              <w:right w:w="43" w:type="dxa"/>
            </w:tcMar>
          </w:tcPr>
          <w:p w14:paraId="6A1CBB35" w14:textId="77777777" w:rsidR="00D60186" w:rsidRPr="00D4351A" w:rsidRDefault="00D60186" w:rsidP="00D4351A">
            <w:pPr>
              <w:jc w:val="right"/>
              <w:rPr>
                <w:sz w:val="21"/>
                <w:szCs w:val="21"/>
              </w:rPr>
            </w:pPr>
            <w:r w:rsidRPr="00D4351A">
              <w:rPr>
                <w:sz w:val="21"/>
                <w:szCs w:val="21"/>
              </w:rPr>
              <w:t>Nei</w:t>
            </w:r>
          </w:p>
        </w:tc>
      </w:tr>
      <w:tr w:rsidR="00E76DC8" w:rsidRPr="00225D4D" w14:paraId="4E7CE497" w14:textId="77777777">
        <w:trPr>
          <w:trHeight w:val="380"/>
        </w:trPr>
        <w:tc>
          <w:tcPr>
            <w:tcW w:w="1240" w:type="dxa"/>
            <w:tcBorders>
              <w:top w:val="nil"/>
              <w:left w:val="nil"/>
              <w:bottom w:val="nil"/>
              <w:right w:val="nil"/>
            </w:tcBorders>
            <w:tcMar>
              <w:top w:w="128" w:type="dxa"/>
              <w:left w:w="43" w:type="dxa"/>
              <w:bottom w:w="43" w:type="dxa"/>
              <w:right w:w="43" w:type="dxa"/>
            </w:tcMar>
          </w:tcPr>
          <w:p w14:paraId="13D3D717"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0EF574F" w14:textId="77777777" w:rsidR="00D60186" w:rsidRPr="00D4351A" w:rsidRDefault="00D60186" w:rsidP="00D4351A">
            <w:pPr>
              <w:ind w:right="113"/>
              <w:jc w:val="right"/>
              <w:rPr>
                <w:sz w:val="21"/>
                <w:szCs w:val="21"/>
              </w:rPr>
            </w:pPr>
            <w:r w:rsidRPr="00D4351A">
              <w:rPr>
                <w:sz w:val="21"/>
                <w:szCs w:val="21"/>
              </w:rPr>
              <w:t>50</w:t>
            </w:r>
          </w:p>
        </w:tc>
        <w:tc>
          <w:tcPr>
            <w:tcW w:w="5380" w:type="dxa"/>
            <w:tcBorders>
              <w:top w:val="nil"/>
              <w:left w:val="nil"/>
              <w:bottom w:val="nil"/>
              <w:right w:val="nil"/>
            </w:tcBorders>
            <w:tcMar>
              <w:top w:w="128" w:type="dxa"/>
              <w:left w:w="43" w:type="dxa"/>
              <w:bottom w:w="43" w:type="dxa"/>
              <w:right w:w="43" w:type="dxa"/>
            </w:tcMar>
          </w:tcPr>
          <w:p w14:paraId="38F55641" w14:textId="77777777" w:rsidR="00D60186" w:rsidRPr="00D4351A" w:rsidRDefault="00D60186" w:rsidP="00225D4D">
            <w:pPr>
              <w:rPr>
                <w:sz w:val="21"/>
                <w:szCs w:val="21"/>
              </w:rPr>
            </w:pPr>
            <w:proofErr w:type="spellStart"/>
            <w:r w:rsidRPr="00D4351A">
              <w:rPr>
                <w:sz w:val="21"/>
                <w:szCs w:val="21"/>
              </w:rPr>
              <w:t>Forelding</w:t>
            </w:r>
            <w:proofErr w:type="spellEnd"/>
            <w:r w:rsidRPr="00D4351A">
              <w:rPr>
                <w:sz w:val="21"/>
                <w:szCs w:val="21"/>
              </w:rPr>
              <w:t xml:space="preserve"> av </w:t>
            </w:r>
            <w:proofErr w:type="spellStart"/>
            <w:r w:rsidRPr="00D4351A">
              <w:rPr>
                <w:sz w:val="21"/>
                <w:szCs w:val="21"/>
              </w:rPr>
              <w:t>lovbrot</w:t>
            </w:r>
            <w:proofErr w:type="spellEnd"/>
            <w:r w:rsidRPr="00D4351A">
              <w:rPr>
                <w:sz w:val="21"/>
                <w:szCs w:val="21"/>
              </w:rPr>
              <w:t xml:space="preserve"> mot mindreårige</w:t>
            </w:r>
          </w:p>
        </w:tc>
        <w:tc>
          <w:tcPr>
            <w:tcW w:w="1800" w:type="dxa"/>
            <w:tcBorders>
              <w:top w:val="nil"/>
              <w:left w:val="nil"/>
              <w:bottom w:val="nil"/>
              <w:right w:val="nil"/>
            </w:tcBorders>
            <w:tcMar>
              <w:top w:w="128" w:type="dxa"/>
              <w:left w:w="43" w:type="dxa"/>
              <w:bottom w:w="43" w:type="dxa"/>
              <w:right w:w="43" w:type="dxa"/>
            </w:tcMar>
          </w:tcPr>
          <w:p w14:paraId="36FACC50" w14:textId="77777777" w:rsidR="00D60186" w:rsidRPr="00D4351A" w:rsidRDefault="00D60186" w:rsidP="00D4351A">
            <w:pPr>
              <w:jc w:val="right"/>
              <w:rPr>
                <w:sz w:val="21"/>
                <w:szCs w:val="21"/>
              </w:rPr>
            </w:pPr>
            <w:r w:rsidRPr="00D4351A">
              <w:rPr>
                <w:sz w:val="21"/>
                <w:szCs w:val="21"/>
              </w:rPr>
              <w:t>Nei</w:t>
            </w:r>
          </w:p>
        </w:tc>
      </w:tr>
      <w:tr w:rsidR="00E76DC8" w:rsidRPr="00225D4D" w14:paraId="05208DBC" w14:textId="77777777">
        <w:trPr>
          <w:trHeight w:val="380"/>
        </w:trPr>
        <w:tc>
          <w:tcPr>
            <w:tcW w:w="1240" w:type="dxa"/>
            <w:tcBorders>
              <w:top w:val="nil"/>
              <w:left w:val="nil"/>
              <w:bottom w:val="nil"/>
              <w:right w:val="nil"/>
            </w:tcBorders>
            <w:tcMar>
              <w:top w:w="128" w:type="dxa"/>
              <w:left w:w="43" w:type="dxa"/>
              <w:bottom w:w="43" w:type="dxa"/>
              <w:right w:w="43" w:type="dxa"/>
            </w:tcMar>
          </w:tcPr>
          <w:p w14:paraId="285A524B"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2C13CE21" w14:textId="77777777" w:rsidR="00D60186" w:rsidRPr="00D4351A" w:rsidRDefault="00D60186" w:rsidP="00D4351A">
            <w:pPr>
              <w:ind w:right="113"/>
              <w:jc w:val="right"/>
              <w:rPr>
                <w:sz w:val="21"/>
                <w:szCs w:val="21"/>
              </w:rPr>
            </w:pPr>
            <w:r w:rsidRPr="00D4351A">
              <w:rPr>
                <w:sz w:val="21"/>
                <w:szCs w:val="21"/>
              </w:rPr>
              <w:t>64</w:t>
            </w:r>
          </w:p>
        </w:tc>
        <w:tc>
          <w:tcPr>
            <w:tcW w:w="5380" w:type="dxa"/>
            <w:tcBorders>
              <w:top w:val="nil"/>
              <w:left w:val="nil"/>
              <w:bottom w:val="nil"/>
              <w:right w:val="nil"/>
            </w:tcBorders>
            <w:tcMar>
              <w:top w:w="128" w:type="dxa"/>
              <w:left w:w="43" w:type="dxa"/>
              <w:bottom w:w="43" w:type="dxa"/>
              <w:right w:w="43" w:type="dxa"/>
            </w:tcMar>
          </w:tcPr>
          <w:p w14:paraId="0ED79B63" w14:textId="77777777" w:rsidR="00D60186" w:rsidRPr="00D4351A" w:rsidRDefault="00D60186" w:rsidP="00225D4D">
            <w:pPr>
              <w:rPr>
                <w:sz w:val="21"/>
                <w:szCs w:val="21"/>
              </w:rPr>
            </w:pPr>
            <w:proofErr w:type="spellStart"/>
            <w:r w:rsidRPr="00D4351A">
              <w:rPr>
                <w:sz w:val="21"/>
                <w:szCs w:val="21"/>
              </w:rPr>
              <w:t>Tilgjengelege</w:t>
            </w:r>
            <w:proofErr w:type="spellEnd"/>
            <w:r w:rsidRPr="00D4351A">
              <w:rPr>
                <w:sz w:val="21"/>
                <w:szCs w:val="21"/>
              </w:rPr>
              <w:t xml:space="preserve"> </w:t>
            </w:r>
            <w:proofErr w:type="spellStart"/>
            <w:r w:rsidRPr="00D4351A">
              <w:rPr>
                <w:sz w:val="21"/>
                <w:szCs w:val="21"/>
              </w:rPr>
              <w:t>dopingopplysningar</w:t>
            </w:r>
            <w:proofErr w:type="spellEnd"/>
            <w:r w:rsidRPr="00D4351A">
              <w:rPr>
                <w:sz w:val="21"/>
                <w:szCs w:val="21"/>
              </w:rPr>
              <w:t xml:space="preserve"> </w:t>
            </w:r>
          </w:p>
        </w:tc>
        <w:tc>
          <w:tcPr>
            <w:tcW w:w="1800" w:type="dxa"/>
            <w:tcBorders>
              <w:top w:val="nil"/>
              <w:left w:val="nil"/>
              <w:bottom w:val="nil"/>
              <w:right w:val="nil"/>
            </w:tcBorders>
            <w:tcMar>
              <w:top w:w="128" w:type="dxa"/>
              <w:left w:w="43" w:type="dxa"/>
              <w:bottom w:w="43" w:type="dxa"/>
              <w:right w:w="43" w:type="dxa"/>
            </w:tcMar>
          </w:tcPr>
          <w:p w14:paraId="0070DED0" w14:textId="77777777" w:rsidR="00D60186" w:rsidRPr="00D4351A" w:rsidRDefault="00D60186" w:rsidP="00D4351A">
            <w:pPr>
              <w:jc w:val="right"/>
              <w:rPr>
                <w:sz w:val="21"/>
                <w:szCs w:val="21"/>
              </w:rPr>
            </w:pPr>
            <w:r w:rsidRPr="00D4351A">
              <w:rPr>
                <w:sz w:val="21"/>
                <w:szCs w:val="21"/>
              </w:rPr>
              <w:t>Nei</w:t>
            </w:r>
          </w:p>
        </w:tc>
      </w:tr>
      <w:tr w:rsidR="00E76DC8" w:rsidRPr="00225D4D" w14:paraId="37D01BB0" w14:textId="77777777">
        <w:trPr>
          <w:trHeight w:val="640"/>
        </w:trPr>
        <w:tc>
          <w:tcPr>
            <w:tcW w:w="1240" w:type="dxa"/>
            <w:tcBorders>
              <w:top w:val="nil"/>
              <w:left w:val="nil"/>
              <w:bottom w:val="nil"/>
              <w:right w:val="nil"/>
            </w:tcBorders>
            <w:tcMar>
              <w:top w:w="128" w:type="dxa"/>
              <w:left w:w="43" w:type="dxa"/>
              <w:bottom w:w="43" w:type="dxa"/>
              <w:right w:w="43" w:type="dxa"/>
            </w:tcMar>
          </w:tcPr>
          <w:p w14:paraId="4CEA134E"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AF36A8A" w14:textId="77777777" w:rsidR="00D60186" w:rsidRPr="00D4351A" w:rsidRDefault="00D60186" w:rsidP="00D4351A">
            <w:pPr>
              <w:ind w:right="113"/>
              <w:jc w:val="right"/>
              <w:rPr>
                <w:sz w:val="21"/>
                <w:szCs w:val="21"/>
              </w:rPr>
            </w:pPr>
            <w:r w:rsidRPr="00D4351A">
              <w:rPr>
                <w:sz w:val="21"/>
                <w:szCs w:val="21"/>
              </w:rPr>
              <w:t>65</w:t>
            </w:r>
          </w:p>
        </w:tc>
        <w:tc>
          <w:tcPr>
            <w:tcW w:w="5380" w:type="dxa"/>
            <w:tcBorders>
              <w:top w:val="nil"/>
              <w:left w:val="nil"/>
              <w:bottom w:val="nil"/>
              <w:right w:val="nil"/>
            </w:tcBorders>
            <w:tcMar>
              <w:top w:w="128" w:type="dxa"/>
              <w:left w:w="43" w:type="dxa"/>
              <w:bottom w:w="43" w:type="dxa"/>
              <w:right w:w="43" w:type="dxa"/>
            </w:tcMar>
          </w:tcPr>
          <w:p w14:paraId="774B0A7E" w14:textId="77777777" w:rsidR="00D60186" w:rsidRPr="00D4351A" w:rsidRDefault="00D60186" w:rsidP="00225D4D">
            <w:pPr>
              <w:rPr>
                <w:sz w:val="21"/>
                <w:szCs w:val="21"/>
              </w:rPr>
            </w:pPr>
            <w:r w:rsidRPr="00D4351A">
              <w:rPr>
                <w:sz w:val="21"/>
                <w:szCs w:val="21"/>
              </w:rPr>
              <w:t xml:space="preserve">Straff for den som </w:t>
            </w:r>
            <w:proofErr w:type="spellStart"/>
            <w:r w:rsidRPr="00D4351A">
              <w:rPr>
                <w:sz w:val="21"/>
                <w:szCs w:val="21"/>
              </w:rPr>
              <w:t>tener</w:t>
            </w:r>
            <w:proofErr w:type="spellEnd"/>
            <w:r w:rsidRPr="00D4351A">
              <w:rPr>
                <w:sz w:val="21"/>
                <w:szCs w:val="21"/>
              </w:rPr>
              <w:t xml:space="preserve"> </w:t>
            </w:r>
            <w:proofErr w:type="spellStart"/>
            <w:r w:rsidRPr="00D4351A">
              <w:rPr>
                <w:sz w:val="21"/>
                <w:szCs w:val="21"/>
              </w:rPr>
              <w:t>pengar</w:t>
            </w:r>
            <w:proofErr w:type="spellEnd"/>
            <w:r w:rsidRPr="00D4351A">
              <w:rPr>
                <w:sz w:val="21"/>
                <w:szCs w:val="21"/>
              </w:rPr>
              <w:t xml:space="preserve"> på </w:t>
            </w:r>
            <w:proofErr w:type="spellStart"/>
            <w:r w:rsidRPr="00D4351A">
              <w:rPr>
                <w:sz w:val="21"/>
                <w:szCs w:val="21"/>
              </w:rPr>
              <w:t>idrettsprestasjonar</w:t>
            </w:r>
            <w:proofErr w:type="spellEnd"/>
            <w:r w:rsidRPr="00D4351A">
              <w:rPr>
                <w:sz w:val="21"/>
                <w:szCs w:val="21"/>
              </w:rPr>
              <w:t xml:space="preserve"> som </w:t>
            </w:r>
            <w:proofErr w:type="spellStart"/>
            <w:r w:rsidRPr="00D4351A">
              <w:rPr>
                <w:sz w:val="21"/>
                <w:szCs w:val="21"/>
              </w:rPr>
              <w:t>følgje</w:t>
            </w:r>
            <w:proofErr w:type="spellEnd"/>
            <w:r w:rsidRPr="00D4351A">
              <w:rPr>
                <w:sz w:val="21"/>
                <w:szCs w:val="21"/>
              </w:rPr>
              <w:t xml:space="preserve"> av doping</w:t>
            </w:r>
          </w:p>
        </w:tc>
        <w:tc>
          <w:tcPr>
            <w:tcW w:w="1800" w:type="dxa"/>
            <w:tcBorders>
              <w:top w:val="nil"/>
              <w:left w:val="nil"/>
              <w:bottom w:val="nil"/>
              <w:right w:val="nil"/>
            </w:tcBorders>
            <w:tcMar>
              <w:top w:w="128" w:type="dxa"/>
              <w:left w:w="43" w:type="dxa"/>
              <w:bottom w:w="43" w:type="dxa"/>
              <w:right w:w="43" w:type="dxa"/>
            </w:tcMar>
          </w:tcPr>
          <w:p w14:paraId="14DE863A" w14:textId="77777777" w:rsidR="00D60186" w:rsidRPr="00D4351A" w:rsidRDefault="00D60186" w:rsidP="00D4351A">
            <w:pPr>
              <w:jc w:val="right"/>
              <w:rPr>
                <w:sz w:val="21"/>
                <w:szCs w:val="21"/>
              </w:rPr>
            </w:pPr>
            <w:r w:rsidRPr="00D4351A">
              <w:rPr>
                <w:sz w:val="21"/>
                <w:szCs w:val="21"/>
              </w:rPr>
              <w:t>Nei</w:t>
            </w:r>
          </w:p>
        </w:tc>
      </w:tr>
      <w:tr w:rsidR="00E76DC8" w:rsidRPr="00225D4D" w14:paraId="7E7FD332" w14:textId="77777777">
        <w:trPr>
          <w:trHeight w:val="640"/>
        </w:trPr>
        <w:tc>
          <w:tcPr>
            <w:tcW w:w="1240" w:type="dxa"/>
            <w:tcBorders>
              <w:top w:val="nil"/>
              <w:left w:val="nil"/>
              <w:bottom w:val="nil"/>
              <w:right w:val="nil"/>
            </w:tcBorders>
            <w:tcMar>
              <w:top w:w="128" w:type="dxa"/>
              <w:left w:w="43" w:type="dxa"/>
              <w:bottom w:w="43" w:type="dxa"/>
              <w:right w:w="43" w:type="dxa"/>
            </w:tcMar>
          </w:tcPr>
          <w:p w14:paraId="45C306C1"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65E6EF74" w14:textId="77777777" w:rsidR="00D60186" w:rsidRPr="00D4351A" w:rsidRDefault="00D60186" w:rsidP="00D4351A">
            <w:pPr>
              <w:ind w:right="113"/>
              <w:jc w:val="right"/>
              <w:rPr>
                <w:sz w:val="21"/>
                <w:szCs w:val="21"/>
              </w:rPr>
            </w:pPr>
            <w:r w:rsidRPr="00D4351A">
              <w:rPr>
                <w:sz w:val="21"/>
                <w:szCs w:val="21"/>
              </w:rPr>
              <w:t>206</w:t>
            </w:r>
          </w:p>
        </w:tc>
        <w:tc>
          <w:tcPr>
            <w:tcW w:w="5380" w:type="dxa"/>
            <w:tcBorders>
              <w:top w:val="nil"/>
              <w:left w:val="nil"/>
              <w:bottom w:val="nil"/>
              <w:right w:val="nil"/>
            </w:tcBorders>
            <w:tcMar>
              <w:top w:w="128" w:type="dxa"/>
              <w:left w:w="43" w:type="dxa"/>
              <w:bottom w:w="43" w:type="dxa"/>
              <w:right w:w="43" w:type="dxa"/>
            </w:tcMar>
          </w:tcPr>
          <w:p w14:paraId="677D3112" w14:textId="77777777" w:rsidR="00D60186" w:rsidRPr="00D4351A" w:rsidRDefault="00D60186" w:rsidP="00225D4D">
            <w:pPr>
              <w:rPr>
                <w:sz w:val="21"/>
                <w:szCs w:val="21"/>
              </w:rPr>
            </w:pPr>
            <w:proofErr w:type="spellStart"/>
            <w:r w:rsidRPr="00D4351A">
              <w:rPr>
                <w:sz w:val="21"/>
                <w:szCs w:val="21"/>
              </w:rPr>
              <w:t>Klarare</w:t>
            </w:r>
            <w:proofErr w:type="spellEnd"/>
            <w:r w:rsidRPr="00D4351A">
              <w:rPr>
                <w:sz w:val="21"/>
                <w:szCs w:val="21"/>
              </w:rPr>
              <w:t xml:space="preserve"> </w:t>
            </w:r>
            <w:proofErr w:type="spellStart"/>
            <w:r w:rsidRPr="00D4351A">
              <w:rPr>
                <w:sz w:val="21"/>
                <w:szCs w:val="21"/>
              </w:rPr>
              <w:t>skilje</w:t>
            </w:r>
            <w:proofErr w:type="spellEnd"/>
            <w:r w:rsidRPr="00D4351A">
              <w:rPr>
                <w:sz w:val="21"/>
                <w:szCs w:val="21"/>
              </w:rPr>
              <w:t xml:space="preserve"> mellom </w:t>
            </w:r>
            <w:proofErr w:type="spellStart"/>
            <w:r w:rsidRPr="00D4351A">
              <w:rPr>
                <w:sz w:val="21"/>
                <w:szCs w:val="21"/>
              </w:rPr>
              <w:t>konvensjonsstatus</w:t>
            </w:r>
            <w:proofErr w:type="spellEnd"/>
            <w:r w:rsidRPr="00D4351A">
              <w:rPr>
                <w:sz w:val="21"/>
                <w:szCs w:val="21"/>
              </w:rPr>
              <w:t xml:space="preserve"> (asyl) og subsidiært vern</w:t>
            </w:r>
          </w:p>
        </w:tc>
        <w:tc>
          <w:tcPr>
            <w:tcW w:w="1800" w:type="dxa"/>
            <w:tcBorders>
              <w:top w:val="nil"/>
              <w:left w:val="nil"/>
              <w:bottom w:val="nil"/>
              <w:right w:val="nil"/>
            </w:tcBorders>
            <w:tcMar>
              <w:top w:w="128" w:type="dxa"/>
              <w:left w:w="43" w:type="dxa"/>
              <w:bottom w:w="43" w:type="dxa"/>
              <w:right w:w="43" w:type="dxa"/>
            </w:tcMar>
          </w:tcPr>
          <w:p w14:paraId="48D06A03" w14:textId="77777777" w:rsidR="00D60186" w:rsidRPr="00D4351A" w:rsidRDefault="00D60186" w:rsidP="00D4351A">
            <w:pPr>
              <w:jc w:val="right"/>
              <w:rPr>
                <w:sz w:val="21"/>
                <w:szCs w:val="21"/>
              </w:rPr>
            </w:pPr>
            <w:r w:rsidRPr="00D4351A">
              <w:rPr>
                <w:sz w:val="21"/>
                <w:szCs w:val="21"/>
              </w:rPr>
              <w:t>Nei</w:t>
            </w:r>
          </w:p>
        </w:tc>
      </w:tr>
      <w:tr w:rsidR="00E76DC8" w:rsidRPr="00225D4D" w14:paraId="0B7A8537" w14:textId="77777777">
        <w:trPr>
          <w:trHeight w:val="380"/>
        </w:trPr>
        <w:tc>
          <w:tcPr>
            <w:tcW w:w="1240" w:type="dxa"/>
            <w:tcBorders>
              <w:top w:val="nil"/>
              <w:left w:val="nil"/>
              <w:bottom w:val="nil"/>
              <w:right w:val="nil"/>
            </w:tcBorders>
            <w:tcMar>
              <w:top w:w="128" w:type="dxa"/>
              <w:left w:w="43" w:type="dxa"/>
              <w:bottom w:w="43" w:type="dxa"/>
              <w:right w:w="43" w:type="dxa"/>
            </w:tcMar>
          </w:tcPr>
          <w:p w14:paraId="08D62AC4"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1B334F96" w14:textId="77777777" w:rsidR="00D60186" w:rsidRPr="00D4351A" w:rsidRDefault="00D60186" w:rsidP="00D4351A">
            <w:pPr>
              <w:ind w:right="113"/>
              <w:jc w:val="right"/>
              <w:rPr>
                <w:sz w:val="21"/>
                <w:szCs w:val="21"/>
              </w:rPr>
            </w:pPr>
            <w:r w:rsidRPr="00D4351A">
              <w:rPr>
                <w:sz w:val="21"/>
                <w:szCs w:val="21"/>
              </w:rPr>
              <w:t>208</w:t>
            </w:r>
          </w:p>
        </w:tc>
        <w:tc>
          <w:tcPr>
            <w:tcW w:w="5380" w:type="dxa"/>
            <w:tcBorders>
              <w:top w:val="nil"/>
              <w:left w:val="nil"/>
              <w:bottom w:val="nil"/>
              <w:right w:val="nil"/>
            </w:tcBorders>
            <w:tcMar>
              <w:top w:w="128" w:type="dxa"/>
              <w:left w:w="43" w:type="dxa"/>
              <w:bottom w:w="43" w:type="dxa"/>
              <w:right w:w="43" w:type="dxa"/>
            </w:tcMar>
          </w:tcPr>
          <w:p w14:paraId="1A80F1AE" w14:textId="77777777" w:rsidR="00D60186" w:rsidRPr="00D4351A" w:rsidRDefault="00D60186" w:rsidP="00225D4D">
            <w:pPr>
              <w:rPr>
                <w:sz w:val="21"/>
                <w:szCs w:val="21"/>
              </w:rPr>
            </w:pPr>
            <w:r w:rsidRPr="00D4351A">
              <w:rPr>
                <w:sz w:val="21"/>
                <w:szCs w:val="21"/>
              </w:rPr>
              <w:t>Klarlegging av identitet</w:t>
            </w:r>
          </w:p>
        </w:tc>
        <w:tc>
          <w:tcPr>
            <w:tcW w:w="1800" w:type="dxa"/>
            <w:tcBorders>
              <w:top w:val="nil"/>
              <w:left w:val="nil"/>
              <w:bottom w:val="nil"/>
              <w:right w:val="nil"/>
            </w:tcBorders>
            <w:tcMar>
              <w:top w:w="128" w:type="dxa"/>
              <w:left w:w="43" w:type="dxa"/>
              <w:bottom w:w="43" w:type="dxa"/>
              <w:right w:w="43" w:type="dxa"/>
            </w:tcMar>
          </w:tcPr>
          <w:p w14:paraId="5FC45EED" w14:textId="77777777" w:rsidR="00D60186" w:rsidRPr="00D4351A" w:rsidRDefault="00D60186" w:rsidP="00D4351A">
            <w:pPr>
              <w:jc w:val="right"/>
              <w:rPr>
                <w:sz w:val="21"/>
                <w:szCs w:val="21"/>
              </w:rPr>
            </w:pPr>
            <w:r w:rsidRPr="00D4351A">
              <w:rPr>
                <w:sz w:val="21"/>
                <w:szCs w:val="21"/>
              </w:rPr>
              <w:t>Ja</w:t>
            </w:r>
          </w:p>
        </w:tc>
      </w:tr>
      <w:tr w:rsidR="00E76DC8" w:rsidRPr="00225D4D" w14:paraId="3F239F88" w14:textId="77777777">
        <w:trPr>
          <w:trHeight w:val="640"/>
        </w:trPr>
        <w:tc>
          <w:tcPr>
            <w:tcW w:w="1240" w:type="dxa"/>
            <w:tcBorders>
              <w:top w:val="nil"/>
              <w:left w:val="nil"/>
              <w:bottom w:val="nil"/>
              <w:right w:val="nil"/>
            </w:tcBorders>
            <w:tcMar>
              <w:top w:w="128" w:type="dxa"/>
              <w:left w:w="43" w:type="dxa"/>
              <w:bottom w:w="43" w:type="dxa"/>
              <w:right w:w="43" w:type="dxa"/>
            </w:tcMar>
          </w:tcPr>
          <w:p w14:paraId="76553DA8"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3F2B5C74" w14:textId="77777777" w:rsidR="00D60186" w:rsidRPr="00D4351A" w:rsidRDefault="00D60186" w:rsidP="00D4351A">
            <w:pPr>
              <w:ind w:right="113"/>
              <w:jc w:val="right"/>
              <w:rPr>
                <w:sz w:val="21"/>
                <w:szCs w:val="21"/>
              </w:rPr>
            </w:pPr>
            <w:r w:rsidRPr="00D4351A">
              <w:rPr>
                <w:sz w:val="21"/>
                <w:szCs w:val="21"/>
              </w:rPr>
              <w:t>443</w:t>
            </w:r>
          </w:p>
        </w:tc>
        <w:tc>
          <w:tcPr>
            <w:tcW w:w="5380" w:type="dxa"/>
            <w:tcBorders>
              <w:top w:val="nil"/>
              <w:left w:val="nil"/>
              <w:bottom w:val="nil"/>
              <w:right w:val="nil"/>
            </w:tcBorders>
            <w:tcMar>
              <w:top w:w="128" w:type="dxa"/>
              <w:left w:w="43" w:type="dxa"/>
              <w:bottom w:w="43" w:type="dxa"/>
              <w:right w:w="43" w:type="dxa"/>
            </w:tcMar>
          </w:tcPr>
          <w:p w14:paraId="7D86A2E2" w14:textId="77777777" w:rsidR="00D60186" w:rsidRPr="00D4351A" w:rsidRDefault="00D60186" w:rsidP="00225D4D">
            <w:pPr>
              <w:rPr>
                <w:sz w:val="21"/>
                <w:szCs w:val="21"/>
              </w:rPr>
            </w:pPr>
            <w:proofErr w:type="spellStart"/>
            <w:r w:rsidRPr="00D4351A">
              <w:rPr>
                <w:sz w:val="21"/>
                <w:szCs w:val="21"/>
              </w:rPr>
              <w:t>Høgare</w:t>
            </w:r>
            <w:proofErr w:type="spellEnd"/>
            <w:r w:rsidRPr="00D4351A">
              <w:rPr>
                <w:sz w:val="21"/>
                <w:szCs w:val="21"/>
              </w:rPr>
              <w:t xml:space="preserve"> straff for barn som er involverte i gjenteken kriminalitet</w:t>
            </w:r>
          </w:p>
        </w:tc>
        <w:tc>
          <w:tcPr>
            <w:tcW w:w="1800" w:type="dxa"/>
            <w:tcBorders>
              <w:top w:val="nil"/>
              <w:left w:val="nil"/>
              <w:bottom w:val="nil"/>
              <w:right w:val="nil"/>
            </w:tcBorders>
            <w:tcMar>
              <w:top w:w="128" w:type="dxa"/>
              <w:left w:w="43" w:type="dxa"/>
              <w:bottom w:w="43" w:type="dxa"/>
              <w:right w:w="43" w:type="dxa"/>
            </w:tcMar>
          </w:tcPr>
          <w:p w14:paraId="3123A2A7" w14:textId="77777777" w:rsidR="00D60186" w:rsidRPr="00D4351A" w:rsidRDefault="00D60186" w:rsidP="00D4351A">
            <w:pPr>
              <w:jc w:val="right"/>
              <w:rPr>
                <w:sz w:val="21"/>
                <w:szCs w:val="21"/>
              </w:rPr>
            </w:pPr>
            <w:r w:rsidRPr="00D4351A">
              <w:rPr>
                <w:sz w:val="21"/>
                <w:szCs w:val="21"/>
              </w:rPr>
              <w:t xml:space="preserve">Nei </w:t>
            </w:r>
          </w:p>
        </w:tc>
      </w:tr>
      <w:tr w:rsidR="00E76DC8" w:rsidRPr="00225D4D" w14:paraId="04F5010B" w14:textId="77777777">
        <w:trPr>
          <w:trHeight w:val="380"/>
        </w:trPr>
        <w:tc>
          <w:tcPr>
            <w:tcW w:w="1240" w:type="dxa"/>
            <w:tcBorders>
              <w:top w:val="nil"/>
              <w:left w:val="nil"/>
              <w:bottom w:val="nil"/>
              <w:right w:val="nil"/>
            </w:tcBorders>
            <w:tcMar>
              <w:top w:w="128" w:type="dxa"/>
              <w:left w:w="43" w:type="dxa"/>
              <w:bottom w:w="43" w:type="dxa"/>
              <w:right w:w="43" w:type="dxa"/>
            </w:tcMar>
          </w:tcPr>
          <w:p w14:paraId="54AC0D74"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678D0E4E" w14:textId="77777777" w:rsidR="00D60186" w:rsidRPr="00D4351A" w:rsidRDefault="00D60186" w:rsidP="00D4351A">
            <w:pPr>
              <w:ind w:right="113"/>
              <w:jc w:val="right"/>
              <w:rPr>
                <w:sz w:val="21"/>
                <w:szCs w:val="21"/>
              </w:rPr>
            </w:pPr>
            <w:r w:rsidRPr="00D4351A">
              <w:rPr>
                <w:sz w:val="21"/>
                <w:szCs w:val="21"/>
              </w:rPr>
              <w:t>446</w:t>
            </w:r>
          </w:p>
        </w:tc>
        <w:tc>
          <w:tcPr>
            <w:tcW w:w="5380" w:type="dxa"/>
            <w:tcBorders>
              <w:top w:val="nil"/>
              <w:left w:val="nil"/>
              <w:bottom w:val="nil"/>
              <w:right w:val="nil"/>
            </w:tcBorders>
            <w:tcMar>
              <w:top w:w="128" w:type="dxa"/>
              <w:left w:w="43" w:type="dxa"/>
              <w:bottom w:w="43" w:type="dxa"/>
              <w:right w:w="43" w:type="dxa"/>
            </w:tcMar>
          </w:tcPr>
          <w:p w14:paraId="296AA725" w14:textId="77777777" w:rsidR="00D60186" w:rsidRPr="00D4351A" w:rsidRDefault="00D60186" w:rsidP="00225D4D">
            <w:pPr>
              <w:rPr>
                <w:sz w:val="21"/>
                <w:szCs w:val="21"/>
              </w:rPr>
            </w:pPr>
            <w:r w:rsidRPr="00D4351A">
              <w:rPr>
                <w:sz w:val="21"/>
                <w:szCs w:val="21"/>
              </w:rPr>
              <w:t xml:space="preserve">Tiltak for å </w:t>
            </w:r>
            <w:proofErr w:type="spellStart"/>
            <w:r w:rsidRPr="00D4351A">
              <w:rPr>
                <w:sz w:val="21"/>
                <w:szCs w:val="21"/>
              </w:rPr>
              <w:t>auke</w:t>
            </w:r>
            <w:proofErr w:type="spellEnd"/>
            <w:r w:rsidRPr="00D4351A">
              <w:rPr>
                <w:sz w:val="21"/>
                <w:szCs w:val="21"/>
              </w:rPr>
              <w:t xml:space="preserve"> </w:t>
            </w:r>
            <w:proofErr w:type="spellStart"/>
            <w:r w:rsidRPr="00D4351A">
              <w:rPr>
                <w:sz w:val="21"/>
                <w:szCs w:val="21"/>
              </w:rPr>
              <w:t>talet</w:t>
            </w:r>
            <w:proofErr w:type="spellEnd"/>
            <w:r w:rsidRPr="00D4351A">
              <w:rPr>
                <w:sz w:val="21"/>
                <w:szCs w:val="21"/>
              </w:rPr>
              <w:t xml:space="preserve"> på </w:t>
            </w:r>
            <w:proofErr w:type="spellStart"/>
            <w:r w:rsidRPr="00D4351A">
              <w:rPr>
                <w:sz w:val="21"/>
                <w:szCs w:val="21"/>
              </w:rPr>
              <w:t>inndragingar</w:t>
            </w:r>
            <w:proofErr w:type="spellEnd"/>
          </w:p>
        </w:tc>
        <w:tc>
          <w:tcPr>
            <w:tcW w:w="1800" w:type="dxa"/>
            <w:tcBorders>
              <w:top w:val="nil"/>
              <w:left w:val="nil"/>
              <w:bottom w:val="nil"/>
              <w:right w:val="nil"/>
            </w:tcBorders>
            <w:tcMar>
              <w:top w:w="128" w:type="dxa"/>
              <w:left w:w="43" w:type="dxa"/>
              <w:bottom w:w="43" w:type="dxa"/>
              <w:right w:w="43" w:type="dxa"/>
            </w:tcMar>
          </w:tcPr>
          <w:p w14:paraId="7B9B03FD" w14:textId="77777777" w:rsidR="00D60186" w:rsidRPr="00D4351A" w:rsidRDefault="00D60186" w:rsidP="00D4351A">
            <w:pPr>
              <w:jc w:val="right"/>
              <w:rPr>
                <w:sz w:val="21"/>
                <w:szCs w:val="21"/>
              </w:rPr>
            </w:pPr>
            <w:r w:rsidRPr="00D4351A">
              <w:rPr>
                <w:sz w:val="21"/>
                <w:szCs w:val="21"/>
              </w:rPr>
              <w:t>Ja</w:t>
            </w:r>
          </w:p>
        </w:tc>
      </w:tr>
      <w:tr w:rsidR="00E76DC8" w:rsidRPr="00225D4D" w14:paraId="4490B4AF" w14:textId="77777777">
        <w:trPr>
          <w:trHeight w:val="380"/>
        </w:trPr>
        <w:tc>
          <w:tcPr>
            <w:tcW w:w="1240" w:type="dxa"/>
            <w:tcBorders>
              <w:top w:val="nil"/>
              <w:left w:val="nil"/>
              <w:bottom w:val="nil"/>
              <w:right w:val="nil"/>
            </w:tcBorders>
            <w:tcMar>
              <w:top w:w="128" w:type="dxa"/>
              <w:left w:w="43" w:type="dxa"/>
              <w:bottom w:w="43" w:type="dxa"/>
              <w:right w:w="43" w:type="dxa"/>
            </w:tcMar>
          </w:tcPr>
          <w:p w14:paraId="4635A77C"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13672B7F" w14:textId="77777777" w:rsidR="00D60186" w:rsidRPr="00D4351A" w:rsidRDefault="00D60186" w:rsidP="00D4351A">
            <w:pPr>
              <w:ind w:right="113"/>
              <w:jc w:val="right"/>
              <w:rPr>
                <w:sz w:val="21"/>
                <w:szCs w:val="21"/>
              </w:rPr>
            </w:pPr>
            <w:r w:rsidRPr="00D4351A">
              <w:rPr>
                <w:sz w:val="21"/>
                <w:szCs w:val="21"/>
              </w:rPr>
              <w:t>627</w:t>
            </w:r>
          </w:p>
        </w:tc>
        <w:tc>
          <w:tcPr>
            <w:tcW w:w="5380" w:type="dxa"/>
            <w:tcBorders>
              <w:top w:val="nil"/>
              <w:left w:val="nil"/>
              <w:bottom w:val="nil"/>
              <w:right w:val="nil"/>
            </w:tcBorders>
            <w:tcMar>
              <w:top w:w="128" w:type="dxa"/>
              <w:left w:w="43" w:type="dxa"/>
              <w:bottom w:w="43" w:type="dxa"/>
              <w:right w:w="43" w:type="dxa"/>
            </w:tcMar>
          </w:tcPr>
          <w:p w14:paraId="77FC6CBE" w14:textId="77777777" w:rsidR="00D60186" w:rsidRPr="00D4351A" w:rsidRDefault="00D60186" w:rsidP="00225D4D">
            <w:pPr>
              <w:rPr>
                <w:sz w:val="21"/>
                <w:szCs w:val="21"/>
              </w:rPr>
            </w:pPr>
            <w:r w:rsidRPr="00D4351A">
              <w:rPr>
                <w:sz w:val="21"/>
                <w:szCs w:val="21"/>
              </w:rPr>
              <w:t>Fornyingsordning for barneomsorgsattest</w:t>
            </w:r>
          </w:p>
        </w:tc>
        <w:tc>
          <w:tcPr>
            <w:tcW w:w="1800" w:type="dxa"/>
            <w:tcBorders>
              <w:top w:val="nil"/>
              <w:left w:val="nil"/>
              <w:bottom w:val="nil"/>
              <w:right w:val="nil"/>
            </w:tcBorders>
            <w:tcMar>
              <w:top w:w="128" w:type="dxa"/>
              <w:left w:w="43" w:type="dxa"/>
              <w:bottom w:w="43" w:type="dxa"/>
              <w:right w:w="43" w:type="dxa"/>
            </w:tcMar>
          </w:tcPr>
          <w:p w14:paraId="29E4AB69" w14:textId="77777777" w:rsidR="00D60186" w:rsidRPr="00D4351A" w:rsidRDefault="00D60186" w:rsidP="00D4351A">
            <w:pPr>
              <w:jc w:val="right"/>
              <w:rPr>
                <w:sz w:val="21"/>
                <w:szCs w:val="21"/>
              </w:rPr>
            </w:pPr>
            <w:r w:rsidRPr="00D4351A">
              <w:rPr>
                <w:sz w:val="21"/>
                <w:szCs w:val="21"/>
              </w:rPr>
              <w:t>Nei</w:t>
            </w:r>
          </w:p>
        </w:tc>
      </w:tr>
      <w:tr w:rsidR="00E76DC8" w:rsidRPr="00225D4D" w14:paraId="6831F090" w14:textId="77777777">
        <w:trPr>
          <w:trHeight w:val="380"/>
        </w:trPr>
        <w:tc>
          <w:tcPr>
            <w:tcW w:w="1240" w:type="dxa"/>
            <w:tcBorders>
              <w:top w:val="nil"/>
              <w:left w:val="nil"/>
              <w:bottom w:val="nil"/>
              <w:right w:val="nil"/>
            </w:tcBorders>
            <w:tcMar>
              <w:top w:w="128" w:type="dxa"/>
              <w:left w:w="43" w:type="dxa"/>
              <w:bottom w:w="43" w:type="dxa"/>
              <w:right w:w="43" w:type="dxa"/>
            </w:tcMar>
          </w:tcPr>
          <w:p w14:paraId="7E7079BC"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3BFB0B2C" w14:textId="77777777" w:rsidR="00D60186" w:rsidRPr="00D4351A" w:rsidRDefault="00D60186" w:rsidP="00D4351A">
            <w:pPr>
              <w:ind w:right="113"/>
              <w:jc w:val="right"/>
              <w:rPr>
                <w:sz w:val="21"/>
                <w:szCs w:val="21"/>
              </w:rPr>
            </w:pPr>
            <w:r w:rsidRPr="00D4351A">
              <w:rPr>
                <w:sz w:val="21"/>
                <w:szCs w:val="21"/>
              </w:rPr>
              <w:t>628</w:t>
            </w:r>
          </w:p>
        </w:tc>
        <w:tc>
          <w:tcPr>
            <w:tcW w:w="5380" w:type="dxa"/>
            <w:tcBorders>
              <w:top w:val="nil"/>
              <w:left w:val="nil"/>
              <w:bottom w:val="nil"/>
              <w:right w:val="nil"/>
            </w:tcBorders>
            <w:tcMar>
              <w:top w:w="128" w:type="dxa"/>
              <w:left w:w="43" w:type="dxa"/>
              <w:bottom w:w="43" w:type="dxa"/>
              <w:right w:w="43" w:type="dxa"/>
            </w:tcMar>
          </w:tcPr>
          <w:p w14:paraId="28E863CA" w14:textId="77777777" w:rsidR="00D60186" w:rsidRPr="00D4351A" w:rsidRDefault="00D60186" w:rsidP="00225D4D">
            <w:pPr>
              <w:rPr>
                <w:sz w:val="21"/>
                <w:szCs w:val="21"/>
              </w:rPr>
            </w:pPr>
            <w:r w:rsidRPr="00D4351A">
              <w:rPr>
                <w:sz w:val="21"/>
                <w:szCs w:val="21"/>
              </w:rPr>
              <w:t xml:space="preserve">Gjennomgang av barneomsorgsattestordninga </w:t>
            </w:r>
          </w:p>
        </w:tc>
        <w:tc>
          <w:tcPr>
            <w:tcW w:w="1800" w:type="dxa"/>
            <w:tcBorders>
              <w:top w:val="nil"/>
              <w:left w:val="nil"/>
              <w:bottom w:val="nil"/>
              <w:right w:val="nil"/>
            </w:tcBorders>
            <w:tcMar>
              <w:top w:w="128" w:type="dxa"/>
              <w:left w:w="43" w:type="dxa"/>
              <w:bottom w:w="43" w:type="dxa"/>
              <w:right w:w="43" w:type="dxa"/>
            </w:tcMar>
          </w:tcPr>
          <w:p w14:paraId="7648F6D3" w14:textId="77777777" w:rsidR="00D60186" w:rsidRPr="00D4351A" w:rsidRDefault="00D60186" w:rsidP="00D4351A">
            <w:pPr>
              <w:jc w:val="right"/>
              <w:rPr>
                <w:sz w:val="21"/>
                <w:szCs w:val="21"/>
              </w:rPr>
            </w:pPr>
            <w:r w:rsidRPr="00D4351A">
              <w:rPr>
                <w:sz w:val="21"/>
                <w:szCs w:val="21"/>
              </w:rPr>
              <w:t>Nei</w:t>
            </w:r>
          </w:p>
        </w:tc>
      </w:tr>
      <w:tr w:rsidR="00E76DC8" w:rsidRPr="00225D4D" w14:paraId="264BDA77" w14:textId="77777777">
        <w:trPr>
          <w:trHeight w:val="380"/>
        </w:trPr>
        <w:tc>
          <w:tcPr>
            <w:tcW w:w="1240" w:type="dxa"/>
            <w:tcBorders>
              <w:top w:val="nil"/>
              <w:left w:val="nil"/>
              <w:bottom w:val="nil"/>
              <w:right w:val="nil"/>
            </w:tcBorders>
            <w:tcMar>
              <w:top w:w="128" w:type="dxa"/>
              <w:left w:w="43" w:type="dxa"/>
              <w:bottom w:w="43" w:type="dxa"/>
              <w:right w:w="43" w:type="dxa"/>
            </w:tcMar>
          </w:tcPr>
          <w:p w14:paraId="5EE6C483"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560DCDA0" w14:textId="77777777" w:rsidR="00D60186" w:rsidRPr="00D4351A" w:rsidRDefault="00D60186" w:rsidP="00D4351A">
            <w:pPr>
              <w:ind w:right="113"/>
              <w:jc w:val="right"/>
              <w:rPr>
                <w:sz w:val="21"/>
                <w:szCs w:val="21"/>
              </w:rPr>
            </w:pPr>
            <w:r w:rsidRPr="00D4351A">
              <w:rPr>
                <w:sz w:val="21"/>
                <w:szCs w:val="21"/>
              </w:rPr>
              <w:t>681</w:t>
            </w:r>
          </w:p>
        </w:tc>
        <w:tc>
          <w:tcPr>
            <w:tcW w:w="5380" w:type="dxa"/>
            <w:tcBorders>
              <w:top w:val="nil"/>
              <w:left w:val="nil"/>
              <w:bottom w:val="nil"/>
              <w:right w:val="nil"/>
            </w:tcBorders>
            <w:tcMar>
              <w:top w:w="128" w:type="dxa"/>
              <w:left w:w="43" w:type="dxa"/>
              <w:bottom w:w="43" w:type="dxa"/>
              <w:right w:w="43" w:type="dxa"/>
            </w:tcMar>
          </w:tcPr>
          <w:p w14:paraId="6A964C83" w14:textId="77777777" w:rsidR="00D60186" w:rsidRPr="00D4351A" w:rsidRDefault="00D60186" w:rsidP="00225D4D">
            <w:pPr>
              <w:rPr>
                <w:sz w:val="21"/>
                <w:szCs w:val="21"/>
              </w:rPr>
            </w:pPr>
            <w:r w:rsidRPr="00D4351A">
              <w:rPr>
                <w:sz w:val="21"/>
                <w:szCs w:val="21"/>
              </w:rPr>
              <w:t xml:space="preserve">Oppretting av </w:t>
            </w:r>
            <w:proofErr w:type="spellStart"/>
            <w:r w:rsidRPr="00D4351A">
              <w:rPr>
                <w:sz w:val="21"/>
                <w:szCs w:val="21"/>
              </w:rPr>
              <w:t>eit</w:t>
            </w:r>
            <w:proofErr w:type="spellEnd"/>
            <w:r w:rsidRPr="00D4351A">
              <w:rPr>
                <w:sz w:val="21"/>
                <w:szCs w:val="21"/>
              </w:rPr>
              <w:t xml:space="preserve"> nasjonalt våpenregister</w:t>
            </w:r>
          </w:p>
        </w:tc>
        <w:tc>
          <w:tcPr>
            <w:tcW w:w="1800" w:type="dxa"/>
            <w:tcBorders>
              <w:top w:val="nil"/>
              <w:left w:val="nil"/>
              <w:bottom w:val="nil"/>
              <w:right w:val="nil"/>
            </w:tcBorders>
            <w:tcMar>
              <w:top w:w="128" w:type="dxa"/>
              <w:left w:w="43" w:type="dxa"/>
              <w:bottom w:w="43" w:type="dxa"/>
              <w:right w:w="43" w:type="dxa"/>
            </w:tcMar>
          </w:tcPr>
          <w:p w14:paraId="2302322E" w14:textId="77777777" w:rsidR="00D60186" w:rsidRPr="00D4351A" w:rsidRDefault="00D60186" w:rsidP="00D4351A">
            <w:pPr>
              <w:jc w:val="right"/>
              <w:rPr>
                <w:sz w:val="21"/>
                <w:szCs w:val="21"/>
              </w:rPr>
            </w:pPr>
            <w:r w:rsidRPr="00D4351A">
              <w:rPr>
                <w:sz w:val="21"/>
                <w:szCs w:val="21"/>
              </w:rPr>
              <w:t>Ja</w:t>
            </w:r>
          </w:p>
        </w:tc>
      </w:tr>
      <w:tr w:rsidR="00E76DC8" w:rsidRPr="00225D4D" w14:paraId="4226A921" w14:textId="77777777">
        <w:trPr>
          <w:trHeight w:val="380"/>
        </w:trPr>
        <w:tc>
          <w:tcPr>
            <w:tcW w:w="1240" w:type="dxa"/>
            <w:tcBorders>
              <w:top w:val="nil"/>
              <w:left w:val="nil"/>
              <w:bottom w:val="nil"/>
              <w:right w:val="nil"/>
            </w:tcBorders>
            <w:tcMar>
              <w:top w:w="128" w:type="dxa"/>
              <w:left w:w="43" w:type="dxa"/>
              <w:bottom w:w="43" w:type="dxa"/>
              <w:right w:w="43" w:type="dxa"/>
            </w:tcMar>
          </w:tcPr>
          <w:p w14:paraId="4708D335"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389B7923" w14:textId="77777777" w:rsidR="00D60186" w:rsidRPr="00D4351A" w:rsidRDefault="00D60186" w:rsidP="00D4351A">
            <w:pPr>
              <w:ind w:right="113"/>
              <w:jc w:val="right"/>
              <w:rPr>
                <w:sz w:val="21"/>
                <w:szCs w:val="21"/>
              </w:rPr>
            </w:pPr>
            <w:r w:rsidRPr="00D4351A">
              <w:rPr>
                <w:sz w:val="21"/>
                <w:szCs w:val="21"/>
              </w:rPr>
              <w:t>682</w:t>
            </w:r>
          </w:p>
        </w:tc>
        <w:tc>
          <w:tcPr>
            <w:tcW w:w="5380" w:type="dxa"/>
            <w:tcBorders>
              <w:top w:val="nil"/>
              <w:left w:val="nil"/>
              <w:bottom w:val="nil"/>
              <w:right w:val="nil"/>
            </w:tcBorders>
            <w:tcMar>
              <w:top w:w="128" w:type="dxa"/>
              <w:left w:w="43" w:type="dxa"/>
              <w:bottom w:w="43" w:type="dxa"/>
              <w:right w:w="43" w:type="dxa"/>
            </w:tcMar>
          </w:tcPr>
          <w:p w14:paraId="3F83083C" w14:textId="77777777" w:rsidR="00D60186" w:rsidRPr="00D4351A" w:rsidRDefault="00D60186" w:rsidP="00225D4D">
            <w:pPr>
              <w:rPr>
                <w:sz w:val="21"/>
                <w:szCs w:val="21"/>
              </w:rPr>
            </w:pPr>
            <w:r w:rsidRPr="00D4351A">
              <w:rPr>
                <w:sz w:val="21"/>
                <w:szCs w:val="21"/>
              </w:rPr>
              <w:t xml:space="preserve">Identitetsskjerming for </w:t>
            </w:r>
            <w:proofErr w:type="spellStart"/>
            <w:r w:rsidRPr="00D4351A">
              <w:rPr>
                <w:sz w:val="21"/>
                <w:szCs w:val="21"/>
              </w:rPr>
              <w:t>polititilsette</w:t>
            </w:r>
            <w:proofErr w:type="spellEnd"/>
          </w:p>
        </w:tc>
        <w:tc>
          <w:tcPr>
            <w:tcW w:w="1800" w:type="dxa"/>
            <w:tcBorders>
              <w:top w:val="nil"/>
              <w:left w:val="nil"/>
              <w:bottom w:val="nil"/>
              <w:right w:val="nil"/>
            </w:tcBorders>
            <w:tcMar>
              <w:top w:w="128" w:type="dxa"/>
              <w:left w:w="43" w:type="dxa"/>
              <w:bottom w:w="43" w:type="dxa"/>
              <w:right w:w="43" w:type="dxa"/>
            </w:tcMar>
          </w:tcPr>
          <w:p w14:paraId="20DFBB71" w14:textId="77777777" w:rsidR="00D60186" w:rsidRPr="00D4351A" w:rsidRDefault="00D60186" w:rsidP="00D4351A">
            <w:pPr>
              <w:jc w:val="right"/>
              <w:rPr>
                <w:sz w:val="21"/>
                <w:szCs w:val="21"/>
              </w:rPr>
            </w:pPr>
            <w:r w:rsidRPr="00D4351A">
              <w:rPr>
                <w:sz w:val="21"/>
                <w:szCs w:val="21"/>
              </w:rPr>
              <w:t>Nei</w:t>
            </w:r>
          </w:p>
        </w:tc>
      </w:tr>
      <w:tr w:rsidR="00E76DC8" w:rsidRPr="00225D4D" w14:paraId="34862684" w14:textId="77777777">
        <w:trPr>
          <w:trHeight w:val="380"/>
        </w:trPr>
        <w:tc>
          <w:tcPr>
            <w:tcW w:w="1240" w:type="dxa"/>
            <w:tcBorders>
              <w:top w:val="nil"/>
              <w:left w:val="nil"/>
              <w:bottom w:val="nil"/>
              <w:right w:val="nil"/>
            </w:tcBorders>
            <w:tcMar>
              <w:top w:w="128" w:type="dxa"/>
              <w:left w:w="43" w:type="dxa"/>
              <w:bottom w:w="43" w:type="dxa"/>
              <w:right w:w="43" w:type="dxa"/>
            </w:tcMar>
          </w:tcPr>
          <w:p w14:paraId="603330FA"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26EAC66E" w14:textId="77777777" w:rsidR="00D60186" w:rsidRPr="00D4351A" w:rsidRDefault="00D60186" w:rsidP="00D4351A">
            <w:pPr>
              <w:ind w:right="113"/>
              <w:jc w:val="right"/>
              <w:rPr>
                <w:sz w:val="21"/>
                <w:szCs w:val="21"/>
              </w:rPr>
            </w:pPr>
            <w:r w:rsidRPr="00D4351A">
              <w:rPr>
                <w:sz w:val="21"/>
                <w:szCs w:val="21"/>
              </w:rPr>
              <w:t>712</w:t>
            </w:r>
          </w:p>
        </w:tc>
        <w:tc>
          <w:tcPr>
            <w:tcW w:w="5380" w:type="dxa"/>
            <w:tcBorders>
              <w:top w:val="nil"/>
              <w:left w:val="nil"/>
              <w:bottom w:val="nil"/>
              <w:right w:val="nil"/>
            </w:tcBorders>
            <w:tcMar>
              <w:top w:w="128" w:type="dxa"/>
              <w:left w:w="43" w:type="dxa"/>
              <w:bottom w:w="43" w:type="dxa"/>
              <w:right w:w="43" w:type="dxa"/>
            </w:tcMar>
          </w:tcPr>
          <w:p w14:paraId="17CB3B1C" w14:textId="77777777" w:rsidR="00D60186" w:rsidRPr="00D4351A" w:rsidRDefault="00D60186" w:rsidP="00225D4D">
            <w:pPr>
              <w:rPr>
                <w:sz w:val="21"/>
                <w:szCs w:val="21"/>
              </w:rPr>
            </w:pPr>
            <w:r w:rsidRPr="00D4351A">
              <w:rPr>
                <w:sz w:val="21"/>
                <w:szCs w:val="21"/>
              </w:rPr>
              <w:t>Straff for å tvinge barn til utlandet</w:t>
            </w:r>
          </w:p>
        </w:tc>
        <w:tc>
          <w:tcPr>
            <w:tcW w:w="1800" w:type="dxa"/>
            <w:tcBorders>
              <w:top w:val="nil"/>
              <w:left w:val="nil"/>
              <w:bottom w:val="nil"/>
              <w:right w:val="nil"/>
            </w:tcBorders>
            <w:tcMar>
              <w:top w:w="128" w:type="dxa"/>
              <w:left w:w="43" w:type="dxa"/>
              <w:bottom w:w="43" w:type="dxa"/>
              <w:right w:w="43" w:type="dxa"/>
            </w:tcMar>
          </w:tcPr>
          <w:p w14:paraId="6AA77025" w14:textId="77777777" w:rsidR="00D60186" w:rsidRPr="00D4351A" w:rsidRDefault="00D60186" w:rsidP="00D4351A">
            <w:pPr>
              <w:jc w:val="right"/>
              <w:rPr>
                <w:sz w:val="21"/>
                <w:szCs w:val="21"/>
              </w:rPr>
            </w:pPr>
            <w:r w:rsidRPr="00D4351A">
              <w:rPr>
                <w:sz w:val="21"/>
                <w:szCs w:val="21"/>
              </w:rPr>
              <w:t>Ja</w:t>
            </w:r>
          </w:p>
        </w:tc>
      </w:tr>
      <w:tr w:rsidR="00E76DC8" w:rsidRPr="00225D4D" w14:paraId="3FF464F5" w14:textId="77777777">
        <w:trPr>
          <w:trHeight w:val="380"/>
        </w:trPr>
        <w:tc>
          <w:tcPr>
            <w:tcW w:w="1240" w:type="dxa"/>
            <w:tcBorders>
              <w:top w:val="nil"/>
              <w:left w:val="nil"/>
              <w:bottom w:val="nil"/>
              <w:right w:val="nil"/>
            </w:tcBorders>
            <w:tcMar>
              <w:top w:w="128" w:type="dxa"/>
              <w:left w:w="43" w:type="dxa"/>
              <w:bottom w:w="43" w:type="dxa"/>
              <w:right w:w="43" w:type="dxa"/>
            </w:tcMar>
          </w:tcPr>
          <w:p w14:paraId="19805F16"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6CCC8D41" w14:textId="77777777" w:rsidR="00D60186" w:rsidRPr="00D4351A" w:rsidRDefault="00D60186" w:rsidP="00D4351A">
            <w:pPr>
              <w:ind w:right="113"/>
              <w:jc w:val="right"/>
              <w:rPr>
                <w:sz w:val="21"/>
                <w:szCs w:val="21"/>
              </w:rPr>
            </w:pPr>
            <w:r w:rsidRPr="00D4351A">
              <w:rPr>
                <w:sz w:val="21"/>
                <w:szCs w:val="21"/>
              </w:rPr>
              <w:t>729</w:t>
            </w:r>
          </w:p>
        </w:tc>
        <w:tc>
          <w:tcPr>
            <w:tcW w:w="5380" w:type="dxa"/>
            <w:tcBorders>
              <w:top w:val="nil"/>
              <w:left w:val="nil"/>
              <w:bottom w:val="nil"/>
              <w:right w:val="nil"/>
            </w:tcBorders>
            <w:tcMar>
              <w:top w:w="128" w:type="dxa"/>
              <w:left w:w="43" w:type="dxa"/>
              <w:bottom w:w="43" w:type="dxa"/>
              <w:right w:w="43" w:type="dxa"/>
            </w:tcMar>
          </w:tcPr>
          <w:p w14:paraId="7E53F4A4" w14:textId="77777777" w:rsidR="00D60186" w:rsidRPr="00D4351A" w:rsidRDefault="00D60186" w:rsidP="00225D4D">
            <w:pPr>
              <w:rPr>
                <w:sz w:val="21"/>
                <w:szCs w:val="21"/>
              </w:rPr>
            </w:pPr>
            <w:r w:rsidRPr="00D4351A">
              <w:rPr>
                <w:sz w:val="21"/>
                <w:szCs w:val="21"/>
              </w:rPr>
              <w:t>Nasjonal langtidsplan for beredskap</w:t>
            </w:r>
          </w:p>
        </w:tc>
        <w:tc>
          <w:tcPr>
            <w:tcW w:w="1800" w:type="dxa"/>
            <w:tcBorders>
              <w:top w:val="nil"/>
              <w:left w:val="nil"/>
              <w:bottom w:val="nil"/>
              <w:right w:val="nil"/>
            </w:tcBorders>
            <w:tcMar>
              <w:top w:w="128" w:type="dxa"/>
              <w:left w:w="43" w:type="dxa"/>
              <w:bottom w:w="43" w:type="dxa"/>
              <w:right w:w="43" w:type="dxa"/>
            </w:tcMar>
          </w:tcPr>
          <w:p w14:paraId="75DD257F" w14:textId="77777777" w:rsidR="00D60186" w:rsidRPr="00D4351A" w:rsidRDefault="00D60186" w:rsidP="00D4351A">
            <w:pPr>
              <w:jc w:val="right"/>
              <w:rPr>
                <w:sz w:val="21"/>
                <w:szCs w:val="21"/>
              </w:rPr>
            </w:pPr>
            <w:r w:rsidRPr="00D4351A">
              <w:rPr>
                <w:sz w:val="21"/>
                <w:szCs w:val="21"/>
              </w:rPr>
              <w:t>Ja</w:t>
            </w:r>
          </w:p>
        </w:tc>
      </w:tr>
      <w:tr w:rsidR="00E76DC8" w:rsidRPr="00225D4D" w14:paraId="45E7EF5D" w14:textId="77777777">
        <w:trPr>
          <w:trHeight w:val="380"/>
        </w:trPr>
        <w:tc>
          <w:tcPr>
            <w:tcW w:w="1240" w:type="dxa"/>
            <w:tcBorders>
              <w:top w:val="nil"/>
              <w:left w:val="nil"/>
              <w:bottom w:val="nil"/>
              <w:right w:val="nil"/>
            </w:tcBorders>
            <w:tcMar>
              <w:top w:w="128" w:type="dxa"/>
              <w:left w:w="43" w:type="dxa"/>
              <w:bottom w:w="43" w:type="dxa"/>
              <w:right w:w="43" w:type="dxa"/>
            </w:tcMar>
          </w:tcPr>
          <w:p w14:paraId="1DD1F388"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1A786ACC" w14:textId="77777777" w:rsidR="00D60186" w:rsidRPr="00D4351A" w:rsidRDefault="00D60186" w:rsidP="00D4351A">
            <w:pPr>
              <w:ind w:right="113"/>
              <w:jc w:val="right"/>
              <w:rPr>
                <w:sz w:val="21"/>
                <w:szCs w:val="21"/>
              </w:rPr>
            </w:pPr>
            <w:r w:rsidRPr="00D4351A">
              <w:rPr>
                <w:sz w:val="21"/>
                <w:szCs w:val="21"/>
              </w:rPr>
              <w:t>730</w:t>
            </w:r>
          </w:p>
        </w:tc>
        <w:tc>
          <w:tcPr>
            <w:tcW w:w="5380" w:type="dxa"/>
            <w:tcBorders>
              <w:top w:val="nil"/>
              <w:left w:val="nil"/>
              <w:bottom w:val="nil"/>
              <w:right w:val="nil"/>
            </w:tcBorders>
            <w:tcMar>
              <w:top w:w="128" w:type="dxa"/>
              <w:left w:w="43" w:type="dxa"/>
              <w:bottom w:w="43" w:type="dxa"/>
              <w:right w:w="43" w:type="dxa"/>
            </w:tcMar>
          </w:tcPr>
          <w:p w14:paraId="18A5C50A" w14:textId="77777777" w:rsidR="00D60186" w:rsidRPr="00D4351A" w:rsidRDefault="00D60186" w:rsidP="00225D4D">
            <w:pPr>
              <w:rPr>
                <w:sz w:val="21"/>
                <w:szCs w:val="21"/>
              </w:rPr>
            </w:pPr>
            <w:proofErr w:type="spellStart"/>
            <w:r w:rsidRPr="00D4351A">
              <w:rPr>
                <w:sz w:val="21"/>
                <w:szCs w:val="21"/>
              </w:rPr>
              <w:t>Totalberedskapsutval</w:t>
            </w:r>
            <w:proofErr w:type="spellEnd"/>
          </w:p>
        </w:tc>
        <w:tc>
          <w:tcPr>
            <w:tcW w:w="1800" w:type="dxa"/>
            <w:tcBorders>
              <w:top w:val="nil"/>
              <w:left w:val="nil"/>
              <w:bottom w:val="nil"/>
              <w:right w:val="nil"/>
            </w:tcBorders>
            <w:tcMar>
              <w:top w:w="128" w:type="dxa"/>
              <w:left w:w="43" w:type="dxa"/>
              <w:bottom w:w="43" w:type="dxa"/>
              <w:right w:w="43" w:type="dxa"/>
            </w:tcMar>
          </w:tcPr>
          <w:p w14:paraId="2A84DB90" w14:textId="77777777" w:rsidR="00D60186" w:rsidRPr="00D4351A" w:rsidRDefault="00D60186" w:rsidP="00D4351A">
            <w:pPr>
              <w:jc w:val="right"/>
              <w:rPr>
                <w:sz w:val="21"/>
                <w:szCs w:val="21"/>
              </w:rPr>
            </w:pPr>
            <w:r w:rsidRPr="00D4351A">
              <w:rPr>
                <w:sz w:val="21"/>
                <w:szCs w:val="21"/>
              </w:rPr>
              <w:t>Ja</w:t>
            </w:r>
          </w:p>
        </w:tc>
      </w:tr>
      <w:tr w:rsidR="00E76DC8" w:rsidRPr="00225D4D" w14:paraId="4F524937" w14:textId="77777777">
        <w:trPr>
          <w:trHeight w:val="380"/>
        </w:trPr>
        <w:tc>
          <w:tcPr>
            <w:tcW w:w="1240" w:type="dxa"/>
            <w:tcBorders>
              <w:top w:val="nil"/>
              <w:left w:val="nil"/>
              <w:bottom w:val="nil"/>
              <w:right w:val="nil"/>
            </w:tcBorders>
            <w:tcMar>
              <w:top w:w="128" w:type="dxa"/>
              <w:left w:w="43" w:type="dxa"/>
              <w:bottom w:w="43" w:type="dxa"/>
              <w:right w:w="43" w:type="dxa"/>
            </w:tcMar>
          </w:tcPr>
          <w:p w14:paraId="6DD6AAA2"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5F5CFF9C" w14:textId="77777777" w:rsidR="00D60186" w:rsidRPr="00D4351A" w:rsidRDefault="00D60186" w:rsidP="00D4351A">
            <w:pPr>
              <w:ind w:right="113"/>
              <w:jc w:val="right"/>
              <w:rPr>
                <w:sz w:val="21"/>
                <w:szCs w:val="21"/>
              </w:rPr>
            </w:pPr>
            <w:r w:rsidRPr="00D4351A">
              <w:rPr>
                <w:sz w:val="21"/>
                <w:szCs w:val="21"/>
              </w:rPr>
              <w:t>739</w:t>
            </w:r>
          </w:p>
        </w:tc>
        <w:tc>
          <w:tcPr>
            <w:tcW w:w="5380" w:type="dxa"/>
            <w:tcBorders>
              <w:top w:val="nil"/>
              <w:left w:val="nil"/>
              <w:bottom w:val="nil"/>
              <w:right w:val="nil"/>
            </w:tcBorders>
            <w:tcMar>
              <w:top w:w="128" w:type="dxa"/>
              <w:left w:w="43" w:type="dxa"/>
              <w:bottom w:w="43" w:type="dxa"/>
              <w:right w:w="43" w:type="dxa"/>
            </w:tcMar>
          </w:tcPr>
          <w:p w14:paraId="0DC70022" w14:textId="77777777" w:rsidR="00D60186" w:rsidRPr="00D4351A" w:rsidRDefault="00D60186" w:rsidP="00225D4D">
            <w:pPr>
              <w:rPr>
                <w:sz w:val="21"/>
                <w:szCs w:val="21"/>
              </w:rPr>
            </w:pPr>
            <w:r w:rsidRPr="00D4351A">
              <w:rPr>
                <w:sz w:val="21"/>
                <w:szCs w:val="21"/>
              </w:rPr>
              <w:t xml:space="preserve">Nordisk samarbeid </w:t>
            </w:r>
            <w:proofErr w:type="spellStart"/>
            <w:r w:rsidRPr="00D4351A">
              <w:rPr>
                <w:sz w:val="21"/>
                <w:szCs w:val="21"/>
              </w:rPr>
              <w:t>innanfor</w:t>
            </w:r>
            <w:proofErr w:type="spellEnd"/>
            <w:r w:rsidRPr="00D4351A">
              <w:rPr>
                <w:sz w:val="21"/>
                <w:szCs w:val="21"/>
              </w:rPr>
              <w:t xml:space="preserve"> samfunnstryggleik</w:t>
            </w:r>
          </w:p>
        </w:tc>
        <w:tc>
          <w:tcPr>
            <w:tcW w:w="1800" w:type="dxa"/>
            <w:tcBorders>
              <w:top w:val="nil"/>
              <w:left w:val="nil"/>
              <w:bottom w:val="nil"/>
              <w:right w:val="nil"/>
            </w:tcBorders>
            <w:tcMar>
              <w:top w:w="128" w:type="dxa"/>
              <w:left w:w="43" w:type="dxa"/>
              <w:bottom w:w="43" w:type="dxa"/>
              <w:right w:w="43" w:type="dxa"/>
            </w:tcMar>
          </w:tcPr>
          <w:p w14:paraId="265CC084" w14:textId="77777777" w:rsidR="00D60186" w:rsidRPr="00D4351A" w:rsidRDefault="00D60186" w:rsidP="00D4351A">
            <w:pPr>
              <w:jc w:val="right"/>
              <w:rPr>
                <w:sz w:val="21"/>
                <w:szCs w:val="21"/>
              </w:rPr>
            </w:pPr>
            <w:r w:rsidRPr="00D4351A">
              <w:rPr>
                <w:sz w:val="21"/>
                <w:szCs w:val="21"/>
              </w:rPr>
              <w:t>Ja</w:t>
            </w:r>
          </w:p>
        </w:tc>
      </w:tr>
      <w:tr w:rsidR="00E76DC8" w:rsidRPr="00225D4D" w14:paraId="0C65D8A1" w14:textId="77777777">
        <w:trPr>
          <w:trHeight w:val="380"/>
        </w:trPr>
        <w:tc>
          <w:tcPr>
            <w:tcW w:w="1240" w:type="dxa"/>
            <w:tcBorders>
              <w:top w:val="nil"/>
              <w:left w:val="nil"/>
              <w:bottom w:val="nil"/>
              <w:right w:val="nil"/>
            </w:tcBorders>
            <w:tcMar>
              <w:top w:w="128" w:type="dxa"/>
              <w:left w:w="43" w:type="dxa"/>
              <w:bottom w:w="43" w:type="dxa"/>
              <w:right w:w="43" w:type="dxa"/>
            </w:tcMar>
          </w:tcPr>
          <w:p w14:paraId="22CFA4D7"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12F38820" w14:textId="77777777" w:rsidR="00D60186" w:rsidRPr="00D4351A" w:rsidRDefault="00D60186" w:rsidP="00D4351A">
            <w:pPr>
              <w:ind w:right="113"/>
              <w:jc w:val="right"/>
              <w:rPr>
                <w:sz w:val="21"/>
                <w:szCs w:val="21"/>
              </w:rPr>
            </w:pPr>
            <w:r w:rsidRPr="00D4351A">
              <w:rPr>
                <w:sz w:val="21"/>
                <w:szCs w:val="21"/>
              </w:rPr>
              <w:t>742</w:t>
            </w:r>
          </w:p>
        </w:tc>
        <w:tc>
          <w:tcPr>
            <w:tcW w:w="5380" w:type="dxa"/>
            <w:tcBorders>
              <w:top w:val="nil"/>
              <w:left w:val="nil"/>
              <w:bottom w:val="nil"/>
              <w:right w:val="nil"/>
            </w:tcBorders>
            <w:tcMar>
              <w:top w:w="128" w:type="dxa"/>
              <w:left w:w="43" w:type="dxa"/>
              <w:bottom w:w="43" w:type="dxa"/>
              <w:right w:w="43" w:type="dxa"/>
            </w:tcMar>
          </w:tcPr>
          <w:p w14:paraId="23B9FA0F" w14:textId="77777777" w:rsidR="00D60186" w:rsidRPr="00D4351A" w:rsidRDefault="00D60186" w:rsidP="00225D4D">
            <w:pPr>
              <w:rPr>
                <w:sz w:val="21"/>
                <w:szCs w:val="21"/>
              </w:rPr>
            </w:pPr>
            <w:r w:rsidRPr="00D4351A">
              <w:rPr>
                <w:sz w:val="21"/>
                <w:szCs w:val="21"/>
              </w:rPr>
              <w:t>Brann til sjøs</w:t>
            </w:r>
          </w:p>
        </w:tc>
        <w:tc>
          <w:tcPr>
            <w:tcW w:w="1800" w:type="dxa"/>
            <w:tcBorders>
              <w:top w:val="nil"/>
              <w:left w:val="nil"/>
              <w:bottom w:val="nil"/>
              <w:right w:val="nil"/>
            </w:tcBorders>
            <w:tcMar>
              <w:top w:w="128" w:type="dxa"/>
              <w:left w:w="43" w:type="dxa"/>
              <w:bottom w:w="43" w:type="dxa"/>
              <w:right w:w="43" w:type="dxa"/>
            </w:tcMar>
          </w:tcPr>
          <w:p w14:paraId="30BAE166" w14:textId="77777777" w:rsidR="00D60186" w:rsidRPr="00D4351A" w:rsidRDefault="00D60186" w:rsidP="00D4351A">
            <w:pPr>
              <w:jc w:val="right"/>
              <w:rPr>
                <w:sz w:val="21"/>
                <w:szCs w:val="21"/>
              </w:rPr>
            </w:pPr>
            <w:r w:rsidRPr="00D4351A">
              <w:rPr>
                <w:sz w:val="21"/>
                <w:szCs w:val="21"/>
              </w:rPr>
              <w:t>Ja</w:t>
            </w:r>
          </w:p>
        </w:tc>
      </w:tr>
      <w:tr w:rsidR="00E76DC8" w:rsidRPr="00225D4D" w14:paraId="0BFF0E16" w14:textId="77777777">
        <w:trPr>
          <w:trHeight w:val="380"/>
        </w:trPr>
        <w:tc>
          <w:tcPr>
            <w:tcW w:w="1240" w:type="dxa"/>
            <w:tcBorders>
              <w:top w:val="nil"/>
              <w:left w:val="nil"/>
              <w:bottom w:val="nil"/>
              <w:right w:val="nil"/>
            </w:tcBorders>
            <w:tcMar>
              <w:top w:w="128" w:type="dxa"/>
              <w:left w:w="43" w:type="dxa"/>
              <w:bottom w:w="43" w:type="dxa"/>
              <w:right w:w="43" w:type="dxa"/>
            </w:tcMar>
          </w:tcPr>
          <w:p w14:paraId="3A345269"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044A4949" w14:textId="77777777" w:rsidR="00D60186" w:rsidRPr="00D4351A" w:rsidRDefault="00D60186" w:rsidP="00D4351A">
            <w:pPr>
              <w:ind w:right="113"/>
              <w:jc w:val="right"/>
              <w:rPr>
                <w:sz w:val="21"/>
                <w:szCs w:val="21"/>
              </w:rPr>
            </w:pPr>
            <w:r w:rsidRPr="00D4351A">
              <w:rPr>
                <w:sz w:val="21"/>
                <w:szCs w:val="21"/>
              </w:rPr>
              <w:t>743</w:t>
            </w:r>
          </w:p>
        </w:tc>
        <w:tc>
          <w:tcPr>
            <w:tcW w:w="5380" w:type="dxa"/>
            <w:tcBorders>
              <w:top w:val="nil"/>
              <w:left w:val="nil"/>
              <w:bottom w:val="nil"/>
              <w:right w:val="nil"/>
            </w:tcBorders>
            <w:tcMar>
              <w:top w:w="128" w:type="dxa"/>
              <w:left w:w="43" w:type="dxa"/>
              <w:bottom w:w="43" w:type="dxa"/>
              <w:right w:w="43" w:type="dxa"/>
            </w:tcMar>
          </w:tcPr>
          <w:p w14:paraId="30EA1F68" w14:textId="77777777" w:rsidR="00D60186" w:rsidRPr="00D4351A" w:rsidRDefault="00D60186" w:rsidP="00225D4D">
            <w:pPr>
              <w:rPr>
                <w:sz w:val="21"/>
                <w:szCs w:val="21"/>
              </w:rPr>
            </w:pPr>
            <w:r w:rsidRPr="00D4351A">
              <w:rPr>
                <w:sz w:val="21"/>
                <w:szCs w:val="21"/>
              </w:rPr>
              <w:t>Tilfluktsrom</w:t>
            </w:r>
          </w:p>
        </w:tc>
        <w:tc>
          <w:tcPr>
            <w:tcW w:w="1800" w:type="dxa"/>
            <w:tcBorders>
              <w:top w:val="nil"/>
              <w:left w:val="nil"/>
              <w:bottom w:val="nil"/>
              <w:right w:val="nil"/>
            </w:tcBorders>
            <w:tcMar>
              <w:top w:w="128" w:type="dxa"/>
              <w:left w:w="43" w:type="dxa"/>
              <w:bottom w:w="43" w:type="dxa"/>
              <w:right w:w="43" w:type="dxa"/>
            </w:tcMar>
          </w:tcPr>
          <w:p w14:paraId="20C3A0DD" w14:textId="77777777" w:rsidR="00D60186" w:rsidRPr="00D4351A" w:rsidRDefault="00D60186" w:rsidP="00D4351A">
            <w:pPr>
              <w:jc w:val="right"/>
              <w:rPr>
                <w:sz w:val="21"/>
                <w:szCs w:val="21"/>
              </w:rPr>
            </w:pPr>
            <w:r w:rsidRPr="00D4351A">
              <w:rPr>
                <w:sz w:val="21"/>
                <w:szCs w:val="21"/>
              </w:rPr>
              <w:t>Ja</w:t>
            </w:r>
          </w:p>
        </w:tc>
      </w:tr>
      <w:tr w:rsidR="00E76DC8" w:rsidRPr="00225D4D" w14:paraId="6E7B84E8" w14:textId="77777777">
        <w:trPr>
          <w:trHeight w:val="380"/>
        </w:trPr>
        <w:tc>
          <w:tcPr>
            <w:tcW w:w="1240" w:type="dxa"/>
            <w:tcBorders>
              <w:top w:val="nil"/>
              <w:left w:val="nil"/>
              <w:bottom w:val="nil"/>
              <w:right w:val="nil"/>
            </w:tcBorders>
            <w:tcMar>
              <w:top w:w="128" w:type="dxa"/>
              <w:left w:w="43" w:type="dxa"/>
              <w:bottom w:w="43" w:type="dxa"/>
              <w:right w:w="43" w:type="dxa"/>
            </w:tcMar>
          </w:tcPr>
          <w:p w14:paraId="52CC26A0"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7CF2B0A6" w14:textId="77777777" w:rsidR="00D60186" w:rsidRPr="00D4351A" w:rsidRDefault="00D60186" w:rsidP="00D4351A">
            <w:pPr>
              <w:ind w:right="113"/>
              <w:jc w:val="right"/>
              <w:rPr>
                <w:sz w:val="21"/>
                <w:szCs w:val="21"/>
              </w:rPr>
            </w:pPr>
            <w:r w:rsidRPr="00D4351A">
              <w:rPr>
                <w:sz w:val="21"/>
                <w:szCs w:val="21"/>
              </w:rPr>
              <w:t>799</w:t>
            </w:r>
          </w:p>
        </w:tc>
        <w:tc>
          <w:tcPr>
            <w:tcW w:w="5380" w:type="dxa"/>
            <w:tcBorders>
              <w:top w:val="nil"/>
              <w:left w:val="nil"/>
              <w:bottom w:val="nil"/>
              <w:right w:val="nil"/>
            </w:tcBorders>
            <w:tcMar>
              <w:top w:w="128" w:type="dxa"/>
              <w:left w:w="43" w:type="dxa"/>
              <w:bottom w:w="43" w:type="dxa"/>
              <w:right w:w="43" w:type="dxa"/>
            </w:tcMar>
          </w:tcPr>
          <w:p w14:paraId="056FB90F" w14:textId="77777777" w:rsidR="00D60186" w:rsidRPr="00D4351A" w:rsidRDefault="00D60186" w:rsidP="00225D4D">
            <w:pPr>
              <w:rPr>
                <w:sz w:val="21"/>
                <w:szCs w:val="21"/>
              </w:rPr>
            </w:pPr>
            <w:r w:rsidRPr="00D4351A">
              <w:rPr>
                <w:sz w:val="21"/>
                <w:szCs w:val="21"/>
              </w:rPr>
              <w:t>ADR-kontroll</w:t>
            </w:r>
          </w:p>
        </w:tc>
        <w:tc>
          <w:tcPr>
            <w:tcW w:w="1800" w:type="dxa"/>
            <w:tcBorders>
              <w:top w:val="nil"/>
              <w:left w:val="nil"/>
              <w:bottom w:val="nil"/>
              <w:right w:val="nil"/>
            </w:tcBorders>
            <w:tcMar>
              <w:top w:w="128" w:type="dxa"/>
              <w:left w:w="43" w:type="dxa"/>
              <w:bottom w:w="43" w:type="dxa"/>
              <w:right w:w="43" w:type="dxa"/>
            </w:tcMar>
          </w:tcPr>
          <w:p w14:paraId="2A1B2587" w14:textId="77777777" w:rsidR="00D60186" w:rsidRPr="00D4351A" w:rsidRDefault="00D60186" w:rsidP="00D4351A">
            <w:pPr>
              <w:jc w:val="right"/>
              <w:rPr>
                <w:sz w:val="21"/>
                <w:szCs w:val="21"/>
              </w:rPr>
            </w:pPr>
            <w:r w:rsidRPr="00D4351A">
              <w:rPr>
                <w:sz w:val="21"/>
                <w:szCs w:val="21"/>
              </w:rPr>
              <w:t>Ja</w:t>
            </w:r>
          </w:p>
        </w:tc>
      </w:tr>
      <w:tr w:rsidR="00E76DC8" w:rsidRPr="00225D4D" w14:paraId="13BFC9A7" w14:textId="77777777">
        <w:trPr>
          <w:trHeight w:val="380"/>
        </w:trPr>
        <w:tc>
          <w:tcPr>
            <w:tcW w:w="1240" w:type="dxa"/>
            <w:tcBorders>
              <w:top w:val="nil"/>
              <w:left w:val="nil"/>
              <w:bottom w:val="nil"/>
              <w:right w:val="nil"/>
            </w:tcBorders>
            <w:tcMar>
              <w:top w:w="128" w:type="dxa"/>
              <w:left w:w="43" w:type="dxa"/>
              <w:bottom w:w="43" w:type="dxa"/>
              <w:right w:w="43" w:type="dxa"/>
            </w:tcMar>
          </w:tcPr>
          <w:p w14:paraId="13A6A275"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7AB324D0" w14:textId="77777777" w:rsidR="00D60186" w:rsidRPr="00D4351A" w:rsidRDefault="00D60186" w:rsidP="00D4351A">
            <w:pPr>
              <w:ind w:right="113"/>
              <w:jc w:val="right"/>
              <w:rPr>
                <w:sz w:val="21"/>
                <w:szCs w:val="21"/>
              </w:rPr>
            </w:pPr>
            <w:r w:rsidRPr="00D4351A">
              <w:rPr>
                <w:sz w:val="21"/>
                <w:szCs w:val="21"/>
              </w:rPr>
              <w:t>814</w:t>
            </w:r>
          </w:p>
        </w:tc>
        <w:tc>
          <w:tcPr>
            <w:tcW w:w="5380" w:type="dxa"/>
            <w:tcBorders>
              <w:top w:val="nil"/>
              <w:left w:val="nil"/>
              <w:bottom w:val="nil"/>
              <w:right w:val="nil"/>
            </w:tcBorders>
            <w:tcMar>
              <w:top w:w="128" w:type="dxa"/>
              <w:left w:w="43" w:type="dxa"/>
              <w:bottom w:w="43" w:type="dxa"/>
              <w:right w:w="43" w:type="dxa"/>
            </w:tcMar>
          </w:tcPr>
          <w:p w14:paraId="45983640" w14:textId="77777777" w:rsidR="00D60186" w:rsidRPr="00D4351A" w:rsidRDefault="00D60186" w:rsidP="00225D4D">
            <w:pPr>
              <w:rPr>
                <w:sz w:val="21"/>
                <w:szCs w:val="21"/>
              </w:rPr>
            </w:pPr>
            <w:r w:rsidRPr="00D4351A">
              <w:rPr>
                <w:sz w:val="21"/>
                <w:szCs w:val="21"/>
              </w:rPr>
              <w:t xml:space="preserve">Nasjonal </w:t>
            </w:r>
            <w:proofErr w:type="spellStart"/>
            <w:r w:rsidRPr="00D4351A">
              <w:rPr>
                <w:sz w:val="21"/>
                <w:szCs w:val="21"/>
              </w:rPr>
              <w:t>eigarskap</w:t>
            </w:r>
            <w:proofErr w:type="spellEnd"/>
            <w:r w:rsidRPr="00D4351A">
              <w:rPr>
                <w:sz w:val="21"/>
                <w:szCs w:val="21"/>
              </w:rPr>
              <w:t xml:space="preserve"> og kontroll</w:t>
            </w:r>
          </w:p>
        </w:tc>
        <w:tc>
          <w:tcPr>
            <w:tcW w:w="1800" w:type="dxa"/>
            <w:tcBorders>
              <w:top w:val="nil"/>
              <w:left w:val="nil"/>
              <w:bottom w:val="nil"/>
              <w:right w:val="nil"/>
            </w:tcBorders>
            <w:tcMar>
              <w:top w:w="128" w:type="dxa"/>
              <w:left w:w="43" w:type="dxa"/>
              <w:bottom w:w="43" w:type="dxa"/>
              <w:right w:w="43" w:type="dxa"/>
            </w:tcMar>
          </w:tcPr>
          <w:p w14:paraId="7B66044C" w14:textId="77777777" w:rsidR="00D60186" w:rsidRPr="00D4351A" w:rsidRDefault="00D60186" w:rsidP="00D4351A">
            <w:pPr>
              <w:jc w:val="right"/>
              <w:rPr>
                <w:sz w:val="21"/>
                <w:szCs w:val="21"/>
              </w:rPr>
            </w:pPr>
            <w:r w:rsidRPr="00D4351A">
              <w:rPr>
                <w:sz w:val="21"/>
                <w:szCs w:val="21"/>
              </w:rPr>
              <w:t>Ja</w:t>
            </w:r>
          </w:p>
        </w:tc>
      </w:tr>
      <w:tr w:rsidR="00E76DC8" w:rsidRPr="00225D4D" w14:paraId="2195C9FD" w14:textId="77777777">
        <w:trPr>
          <w:trHeight w:val="380"/>
        </w:trPr>
        <w:tc>
          <w:tcPr>
            <w:tcW w:w="1240" w:type="dxa"/>
            <w:tcBorders>
              <w:top w:val="nil"/>
              <w:left w:val="nil"/>
              <w:bottom w:val="nil"/>
              <w:right w:val="nil"/>
            </w:tcBorders>
            <w:tcMar>
              <w:top w:w="128" w:type="dxa"/>
              <w:left w:w="43" w:type="dxa"/>
              <w:bottom w:w="43" w:type="dxa"/>
              <w:right w:w="43" w:type="dxa"/>
            </w:tcMar>
          </w:tcPr>
          <w:p w14:paraId="3FA7D0D4"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24032198" w14:textId="77777777" w:rsidR="00D60186" w:rsidRPr="00D4351A" w:rsidRDefault="00D60186" w:rsidP="00D4351A">
            <w:pPr>
              <w:ind w:right="113"/>
              <w:jc w:val="right"/>
              <w:rPr>
                <w:sz w:val="21"/>
                <w:szCs w:val="21"/>
              </w:rPr>
            </w:pPr>
            <w:r w:rsidRPr="00D4351A">
              <w:rPr>
                <w:sz w:val="21"/>
                <w:szCs w:val="21"/>
              </w:rPr>
              <w:t>848</w:t>
            </w:r>
          </w:p>
        </w:tc>
        <w:tc>
          <w:tcPr>
            <w:tcW w:w="5380" w:type="dxa"/>
            <w:tcBorders>
              <w:top w:val="nil"/>
              <w:left w:val="nil"/>
              <w:bottom w:val="nil"/>
              <w:right w:val="nil"/>
            </w:tcBorders>
            <w:tcMar>
              <w:top w:w="128" w:type="dxa"/>
              <w:left w:w="43" w:type="dxa"/>
              <w:bottom w:w="43" w:type="dxa"/>
              <w:right w:w="43" w:type="dxa"/>
            </w:tcMar>
          </w:tcPr>
          <w:p w14:paraId="272C901F" w14:textId="77777777" w:rsidR="00D60186" w:rsidRPr="00D4351A" w:rsidRDefault="00D60186" w:rsidP="00225D4D">
            <w:pPr>
              <w:rPr>
                <w:sz w:val="21"/>
                <w:szCs w:val="21"/>
              </w:rPr>
            </w:pPr>
            <w:proofErr w:type="spellStart"/>
            <w:r w:rsidRPr="00D4351A">
              <w:rPr>
                <w:sz w:val="21"/>
                <w:szCs w:val="21"/>
              </w:rPr>
              <w:t>Heilskapleg</w:t>
            </w:r>
            <w:proofErr w:type="spellEnd"/>
            <w:r w:rsidRPr="00D4351A">
              <w:rPr>
                <w:sz w:val="21"/>
                <w:szCs w:val="21"/>
              </w:rPr>
              <w:t xml:space="preserve"> gjennomgang av </w:t>
            </w:r>
            <w:proofErr w:type="spellStart"/>
            <w:r w:rsidRPr="00D4351A">
              <w:rPr>
                <w:sz w:val="21"/>
                <w:szCs w:val="21"/>
              </w:rPr>
              <w:t>verjemålsordninga</w:t>
            </w:r>
            <w:proofErr w:type="spellEnd"/>
          </w:p>
        </w:tc>
        <w:tc>
          <w:tcPr>
            <w:tcW w:w="1800" w:type="dxa"/>
            <w:tcBorders>
              <w:top w:val="nil"/>
              <w:left w:val="nil"/>
              <w:bottom w:val="nil"/>
              <w:right w:val="nil"/>
            </w:tcBorders>
            <w:tcMar>
              <w:top w:w="128" w:type="dxa"/>
              <w:left w:w="43" w:type="dxa"/>
              <w:bottom w:w="43" w:type="dxa"/>
              <w:right w:w="43" w:type="dxa"/>
            </w:tcMar>
          </w:tcPr>
          <w:p w14:paraId="73A1CF2C" w14:textId="77777777" w:rsidR="00D60186" w:rsidRPr="00D4351A" w:rsidRDefault="00D60186" w:rsidP="00D4351A">
            <w:pPr>
              <w:jc w:val="right"/>
              <w:rPr>
                <w:sz w:val="21"/>
                <w:szCs w:val="21"/>
              </w:rPr>
            </w:pPr>
            <w:r w:rsidRPr="00D4351A">
              <w:rPr>
                <w:sz w:val="21"/>
                <w:szCs w:val="21"/>
              </w:rPr>
              <w:t>Nei</w:t>
            </w:r>
          </w:p>
        </w:tc>
      </w:tr>
      <w:tr w:rsidR="00E76DC8" w:rsidRPr="00225D4D" w14:paraId="411FD941" w14:textId="77777777">
        <w:trPr>
          <w:trHeight w:val="640"/>
        </w:trPr>
        <w:tc>
          <w:tcPr>
            <w:tcW w:w="1240" w:type="dxa"/>
            <w:tcBorders>
              <w:top w:val="nil"/>
              <w:left w:val="nil"/>
              <w:bottom w:val="nil"/>
              <w:right w:val="nil"/>
            </w:tcBorders>
            <w:tcMar>
              <w:top w:w="128" w:type="dxa"/>
              <w:left w:w="43" w:type="dxa"/>
              <w:bottom w:w="43" w:type="dxa"/>
              <w:right w:w="43" w:type="dxa"/>
            </w:tcMar>
          </w:tcPr>
          <w:p w14:paraId="0A72C442"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6FDFC72E" w14:textId="77777777" w:rsidR="00D60186" w:rsidRPr="00D4351A" w:rsidRDefault="00D60186" w:rsidP="00D4351A">
            <w:pPr>
              <w:ind w:right="113"/>
              <w:jc w:val="right"/>
              <w:rPr>
                <w:sz w:val="21"/>
                <w:szCs w:val="21"/>
              </w:rPr>
            </w:pPr>
            <w:r w:rsidRPr="00D4351A">
              <w:rPr>
                <w:sz w:val="21"/>
                <w:szCs w:val="21"/>
              </w:rPr>
              <w:t>983</w:t>
            </w:r>
          </w:p>
        </w:tc>
        <w:tc>
          <w:tcPr>
            <w:tcW w:w="5380" w:type="dxa"/>
            <w:tcBorders>
              <w:top w:val="nil"/>
              <w:left w:val="nil"/>
              <w:bottom w:val="nil"/>
              <w:right w:val="nil"/>
            </w:tcBorders>
            <w:tcMar>
              <w:top w:w="128" w:type="dxa"/>
              <w:left w:w="43" w:type="dxa"/>
              <w:bottom w:w="43" w:type="dxa"/>
              <w:right w:w="43" w:type="dxa"/>
            </w:tcMar>
          </w:tcPr>
          <w:p w14:paraId="76E91A2E" w14:textId="77777777" w:rsidR="00D60186" w:rsidRPr="00D4351A" w:rsidRDefault="00D60186" w:rsidP="00225D4D">
            <w:pPr>
              <w:rPr>
                <w:sz w:val="21"/>
                <w:szCs w:val="21"/>
              </w:rPr>
            </w:pPr>
            <w:r w:rsidRPr="00D4351A">
              <w:rPr>
                <w:sz w:val="21"/>
                <w:szCs w:val="21"/>
              </w:rPr>
              <w:t xml:space="preserve">Etablering av ny redningshelikopterbase i Tromsø og felles operasjon med </w:t>
            </w:r>
            <w:proofErr w:type="spellStart"/>
            <w:r w:rsidRPr="00D4351A">
              <w:rPr>
                <w:sz w:val="21"/>
                <w:szCs w:val="21"/>
              </w:rPr>
              <w:t>helikoptertenesta</w:t>
            </w:r>
            <w:proofErr w:type="spellEnd"/>
            <w:r w:rsidRPr="00D4351A">
              <w:rPr>
                <w:sz w:val="21"/>
                <w:szCs w:val="21"/>
              </w:rPr>
              <w:t xml:space="preserve"> til </w:t>
            </w:r>
            <w:proofErr w:type="spellStart"/>
            <w:r w:rsidRPr="00D4351A">
              <w:rPr>
                <w:sz w:val="21"/>
                <w:szCs w:val="21"/>
              </w:rPr>
              <w:t>Sysselmeisteren</w:t>
            </w:r>
            <w:proofErr w:type="spellEnd"/>
          </w:p>
        </w:tc>
        <w:tc>
          <w:tcPr>
            <w:tcW w:w="1800" w:type="dxa"/>
            <w:tcBorders>
              <w:top w:val="nil"/>
              <w:left w:val="nil"/>
              <w:bottom w:val="nil"/>
              <w:right w:val="nil"/>
            </w:tcBorders>
            <w:tcMar>
              <w:top w:w="128" w:type="dxa"/>
              <w:left w:w="43" w:type="dxa"/>
              <w:bottom w:w="43" w:type="dxa"/>
              <w:right w:w="43" w:type="dxa"/>
            </w:tcMar>
          </w:tcPr>
          <w:p w14:paraId="679E5B42" w14:textId="77777777" w:rsidR="00D60186" w:rsidRPr="00D4351A" w:rsidRDefault="00D60186" w:rsidP="00D4351A">
            <w:pPr>
              <w:jc w:val="right"/>
              <w:rPr>
                <w:sz w:val="21"/>
                <w:szCs w:val="21"/>
              </w:rPr>
            </w:pPr>
            <w:r w:rsidRPr="00D4351A">
              <w:rPr>
                <w:sz w:val="21"/>
                <w:szCs w:val="21"/>
              </w:rPr>
              <w:t>Nei</w:t>
            </w:r>
          </w:p>
        </w:tc>
      </w:tr>
      <w:tr w:rsidR="00E76DC8" w:rsidRPr="00225D4D" w14:paraId="29D9DADB" w14:textId="77777777">
        <w:trPr>
          <w:trHeight w:val="380"/>
        </w:trPr>
        <w:tc>
          <w:tcPr>
            <w:tcW w:w="1240" w:type="dxa"/>
            <w:tcBorders>
              <w:top w:val="nil"/>
              <w:left w:val="nil"/>
              <w:bottom w:val="nil"/>
              <w:right w:val="nil"/>
            </w:tcBorders>
            <w:tcMar>
              <w:top w:w="128" w:type="dxa"/>
              <w:left w:w="43" w:type="dxa"/>
              <w:bottom w:w="43" w:type="dxa"/>
              <w:right w:w="43" w:type="dxa"/>
            </w:tcMar>
          </w:tcPr>
          <w:p w14:paraId="7DDE6A20"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589A53D2" w14:textId="77777777" w:rsidR="00D60186" w:rsidRPr="00D4351A" w:rsidRDefault="00D60186" w:rsidP="00D4351A">
            <w:pPr>
              <w:ind w:right="113"/>
              <w:jc w:val="right"/>
              <w:rPr>
                <w:sz w:val="21"/>
                <w:szCs w:val="21"/>
              </w:rPr>
            </w:pPr>
            <w:r w:rsidRPr="00D4351A">
              <w:rPr>
                <w:sz w:val="21"/>
                <w:szCs w:val="21"/>
              </w:rPr>
              <w:t>1116</w:t>
            </w:r>
          </w:p>
        </w:tc>
        <w:tc>
          <w:tcPr>
            <w:tcW w:w="5380" w:type="dxa"/>
            <w:tcBorders>
              <w:top w:val="nil"/>
              <w:left w:val="nil"/>
              <w:bottom w:val="nil"/>
              <w:right w:val="nil"/>
            </w:tcBorders>
            <w:tcMar>
              <w:top w:w="128" w:type="dxa"/>
              <w:left w:w="43" w:type="dxa"/>
              <w:bottom w:w="43" w:type="dxa"/>
              <w:right w:w="43" w:type="dxa"/>
            </w:tcMar>
          </w:tcPr>
          <w:p w14:paraId="338E856B" w14:textId="77777777" w:rsidR="00D60186" w:rsidRPr="00D4351A" w:rsidRDefault="00D60186" w:rsidP="00225D4D">
            <w:pPr>
              <w:rPr>
                <w:sz w:val="21"/>
                <w:szCs w:val="21"/>
              </w:rPr>
            </w:pPr>
            <w:r w:rsidRPr="00D4351A">
              <w:rPr>
                <w:sz w:val="21"/>
                <w:szCs w:val="21"/>
              </w:rPr>
              <w:t xml:space="preserve">Sperring av </w:t>
            </w:r>
            <w:proofErr w:type="spellStart"/>
            <w:r w:rsidRPr="00D4351A">
              <w:rPr>
                <w:sz w:val="21"/>
                <w:szCs w:val="21"/>
              </w:rPr>
              <w:t>opplysningar</w:t>
            </w:r>
            <w:proofErr w:type="spellEnd"/>
            <w:r w:rsidRPr="00D4351A">
              <w:rPr>
                <w:sz w:val="21"/>
                <w:szCs w:val="21"/>
              </w:rPr>
              <w:t xml:space="preserve"> i reaksjonsregisteret</w:t>
            </w:r>
          </w:p>
        </w:tc>
        <w:tc>
          <w:tcPr>
            <w:tcW w:w="1800" w:type="dxa"/>
            <w:tcBorders>
              <w:top w:val="nil"/>
              <w:left w:val="nil"/>
              <w:bottom w:val="nil"/>
              <w:right w:val="nil"/>
            </w:tcBorders>
            <w:tcMar>
              <w:top w:w="128" w:type="dxa"/>
              <w:left w:w="43" w:type="dxa"/>
              <w:bottom w:w="43" w:type="dxa"/>
              <w:right w:w="43" w:type="dxa"/>
            </w:tcMar>
          </w:tcPr>
          <w:p w14:paraId="7DA12372" w14:textId="77777777" w:rsidR="00D60186" w:rsidRPr="00D4351A" w:rsidRDefault="00D60186" w:rsidP="00D4351A">
            <w:pPr>
              <w:jc w:val="right"/>
              <w:rPr>
                <w:sz w:val="21"/>
                <w:szCs w:val="21"/>
              </w:rPr>
            </w:pPr>
            <w:r w:rsidRPr="00D4351A">
              <w:rPr>
                <w:sz w:val="21"/>
                <w:szCs w:val="21"/>
              </w:rPr>
              <w:t>Ja</w:t>
            </w:r>
          </w:p>
        </w:tc>
      </w:tr>
      <w:tr w:rsidR="00E76DC8" w:rsidRPr="00225D4D" w14:paraId="022CEAE0" w14:textId="77777777">
        <w:trPr>
          <w:trHeight w:val="380"/>
        </w:trPr>
        <w:tc>
          <w:tcPr>
            <w:tcW w:w="1240" w:type="dxa"/>
            <w:tcBorders>
              <w:top w:val="nil"/>
              <w:left w:val="nil"/>
              <w:bottom w:val="nil"/>
              <w:right w:val="nil"/>
            </w:tcBorders>
            <w:tcMar>
              <w:top w:w="128" w:type="dxa"/>
              <w:left w:w="43" w:type="dxa"/>
              <w:bottom w:w="43" w:type="dxa"/>
              <w:right w:w="43" w:type="dxa"/>
            </w:tcMar>
          </w:tcPr>
          <w:p w14:paraId="25ADC293"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160E5207" w14:textId="77777777" w:rsidR="00D60186" w:rsidRPr="00D4351A" w:rsidRDefault="00D60186" w:rsidP="00D4351A">
            <w:pPr>
              <w:ind w:right="113"/>
              <w:jc w:val="right"/>
              <w:rPr>
                <w:sz w:val="21"/>
                <w:szCs w:val="21"/>
              </w:rPr>
            </w:pPr>
            <w:r w:rsidRPr="00D4351A">
              <w:rPr>
                <w:sz w:val="21"/>
                <w:szCs w:val="21"/>
              </w:rPr>
              <w:t>1159</w:t>
            </w:r>
          </w:p>
        </w:tc>
        <w:tc>
          <w:tcPr>
            <w:tcW w:w="5380" w:type="dxa"/>
            <w:tcBorders>
              <w:top w:val="nil"/>
              <w:left w:val="nil"/>
              <w:bottom w:val="nil"/>
              <w:right w:val="nil"/>
            </w:tcBorders>
            <w:tcMar>
              <w:top w:w="128" w:type="dxa"/>
              <w:left w:w="43" w:type="dxa"/>
              <w:bottom w:w="43" w:type="dxa"/>
              <w:right w:w="43" w:type="dxa"/>
            </w:tcMar>
          </w:tcPr>
          <w:p w14:paraId="3E6D9B1A" w14:textId="77777777" w:rsidR="00D60186" w:rsidRPr="00D4351A" w:rsidRDefault="00D60186" w:rsidP="00225D4D">
            <w:pPr>
              <w:rPr>
                <w:sz w:val="21"/>
                <w:szCs w:val="21"/>
              </w:rPr>
            </w:pPr>
            <w:r w:rsidRPr="00D4351A">
              <w:rPr>
                <w:sz w:val="21"/>
                <w:szCs w:val="21"/>
              </w:rPr>
              <w:t xml:space="preserve">Unntak </w:t>
            </w:r>
            <w:proofErr w:type="spellStart"/>
            <w:r w:rsidRPr="00D4351A">
              <w:rPr>
                <w:sz w:val="21"/>
                <w:szCs w:val="21"/>
              </w:rPr>
              <w:t>frå</w:t>
            </w:r>
            <w:proofErr w:type="spellEnd"/>
            <w:r w:rsidRPr="00D4351A">
              <w:rPr>
                <w:sz w:val="21"/>
                <w:szCs w:val="21"/>
              </w:rPr>
              <w:t xml:space="preserve"> </w:t>
            </w:r>
            <w:proofErr w:type="spellStart"/>
            <w:r w:rsidRPr="00D4351A">
              <w:rPr>
                <w:sz w:val="21"/>
                <w:szCs w:val="21"/>
              </w:rPr>
              <w:t>forelding</w:t>
            </w:r>
            <w:proofErr w:type="spellEnd"/>
            <w:r w:rsidRPr="00D4351A">
              <w:rPr>
                <w:sz w:val="21"/>
                <w:szCs w:val="21"/>
              </w:rPr>
              <w:t xml:space="preserve"> for </w:t>
            </w:r>
            <w:proofErr w:type="spellStart"/>
            <w:r w:rsidRPr="00D4351A">
              <w:rPr>
                <w:sz w:val="21"/>
                <w:szCs w:val="21"/>
              </w:rPr>
              <w:t>seksuallovbrot</w:t>
            </w:r>
            <w:proofErr w:type="spellEnd"/>
            <w:r w:rsidRPr="00D4351A">
              <w:rPr>
                <w:sz w:val="21"/>
                <w:szCs w:val="21"/>
              </w:rPr>
              <w:t xml:space="preserve"> mot barn</w:t>
            </w:r>
          </w:p>
        </w:tc>
        <w:tc>
          <w:tcPr>
            <w:tcW w:w="1800" w:type="dxa"/>
            <w:tcBorders>
              <w:top w:val="nil"/>
              <w:left w:val="nil"/>
              <w:bottom w:val="nil"/>
              <w:right w:val="nil"/>
            </w:tcBorders>
            <w:tcMar>
              <w:top w:w="128" w:type="dxa"/>
              <w:left w:w="43" w:type="dxa"/>
              <w:bottom w:w="43" w:type="dxa"/>
              <w:right w:w="43" w:type="dxa"/>
            </w:tcMar>
          </w:tcPr>
          <w:p w14:paraId="0DE41601" w14:textId="77777777" w:rsidR="00D60186" w:rsidRPr="00D4351A" w:rsidRDefault="00D60186" w:rsidP="00D4351A">
            <w:pPr>
              <w:jc w:val="right"/>
              <w:rPr>
                <w:sz w:val="21"/>
                <w:szCs w:val="21"/>
              </w:rPr>
            </w:pPr>
            <w:r w:rsidRPr="00D4351A">
              <w:rPr>
                <w:sz w:val="21"/>
                <w:szCs w:val="21"/>
              </w:rPr>
              <w:t>Nei</w:t>
            </w:r>
          </w:p>
        </w:tc>
      </w:tr>
      <w:tr w:rsidR="00E76DC8" w:rsidRPr="00225D4D" w14:paraId="2E6B09B8" w14:textId="77777777">
        <w:trPr>
          <w:trHeight w:val="380"/>
        </w:trPr>
        <w:tc>
          <w:tcPr>
            <w:tcW w:w="1240" w:type="dxa"/>
            <w:tcBorders>
              <w:top w:val="nil"/>
              <w:left w:val="nil"/>
              <w:bottom w:val="nil"/>
              <w:right w:val="nil"/>
            </w:tcBorders>
            <w:tcMar>
              <w:top w:w="128" w:type="dxa"/>
              <w:left w:w="43" w:type="dxa"/>
              <w:bottom w:w="43" w:type="dxa"/>
              <w:right w:w="43" w:type="dxa"/>
            </w:tcMar>
          </w:tcPr>
          <w:p w14:paraId="103B43EF"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CA9CFEA" w14:textId="77777777" w:rsidR="00D60186" w:rsidRPr="00D4351A" w:rsidRDefault="00D60186" w:rsidP="00D4351A">
            <w:pPr>
              <w:ind w:right="113"/>
              <w:jc w:val="right"/>
              <w:rPr>
                <w:sz w:val="21"/>
                <w:szCs w:val="21"/>
              </w:rPr>
            </w:pPr>
            <w:r w:rsidRPr="00D4351A">
              <w:rPr>
                <w:sz w:val="21"/>
                <w:szCs w:val="21"/>
              </w:rPr>
              <w:t>1161</w:t>
            </w:r>
          </w:p>
        </w:tc>
        <w:tc>
          <w:tcPr>
            <w:tcW w:w="5380" w:type="dxa"/>
            <w:tcBorders>
              <w:top w:val="nil"/>
              <w:left w:val="nil"/>
              <w:bottom w:val="nil"/>
              <w:right w:val="nil"/>
            </w:tcBorders>
            <w:tcMar>
              <w:top w:w="128" w:type="dxa"/>
              <w:left w:w="43" w:type="dxa"/>
              <w:bottom w:w="43" w:type="dxa"/>
              <w:right w:w="43" w:type="dxa"/>
            </w:tcMar>
          </w:tcPr>
          <w:p w14:paraId="299A154F" w14:textId="77777777" w:rsidR="00D60186" w:rsidRPr="00D4351A" w:rsidRDefault="00D60186" w:rsidP="00225D4D">
            <w:pPr>
              <w:rPr>
                <w:sz w:val="21"/>
                <w:szCs w:val="21"/>
              </w:rPr>
            </w:pPr>
            <w:r w:rsidRPr="00D4351A">
              <w:rPr>
                <w:sz w:val="21"/>
                <w:szCs w:val="21"/>
              </w:rPr>
              <w:t xml:space="preserve">Internasjonale kriminelle </w:t>
            </w:r>
            <w:proofErr w:type="spellStart"/>
            <w:r w:rsidRPr="00D4351A">
              <w:rPr>
                <w:sz w:val="21"/>
                <w:szCs w:val="21"/>
              </w:rPr>
              <w:t>organisasjonar</w:t>
            </w:r>
            <w:proofErr w:type="spellEnd"/>
          </w:p>
        </w:tc>
        <w:tc>
          <w:tcPr>
            <w:tcW w:w="1800" w:type="dxa"/>
            <w:tcBorders>
              <w:top w:val="nil"/>
              <w:left w:val="nil"/>
              <w:bottom w:val="nil"/>
              <w:right w:val="nil"/>
            </w:tcBorders>
            <w:tcMar>
              <w:top w:w="128" w:type="dxa"/>
              <w:left w:w="43" w:type="dxa"/>
              <w:bottom w:w="43" w:type="dxa"/>
              <w:right w:w="43" w:type="dxa"/>
            </w:tcMar>
          </w:tcPr>
          <w:p w14:paraId="17302E40" w14:textId="77777777" w:rsidR="00D60186" w:rsidRPr="00D4351A" w:rsidRDefault="00D60186" w:rsidP="00D4351A">
            <w:pPr>
              <w:jc w:val="right"/>
              <w:rPr>
                <w:sz w:val="21"/>
                <w:szCs w:val="21"/>
              </w:rPr>
            </w:pPr>
            <w:r w:rsidRPr="00D4351A">
              <w:rPr>
                <w:sz w:val="21"/>
                <w:szCs w:val="21"/>
              </w:rPr>
              <w:t>Ja</w:t>
            </w:r>
          </w:p>
        </w:tc>
      </w:tr>
      <w:tr w:rsidR="00E76DC8" w:rsidRPr="00225D4D" w14:paraId="134F95FA" w14:textId="77777777">
        <w:trPr>
          <w:trHeight w:val="380"/>
        </w:trPr>
        <w:tc>
          <w:tcPr>
            <w:tcW w:w="1240" w:type="dxa"/>
            <w:tcBorders>
              <w:top w:val="nil"/>
              <w:left w:val="nil"/>
              <w:bottom w:val="nil"/>
              <w:right w:val="nil"/>
            </w:tcBorders>
            <w:tcMar>
              <w:top w:w="128" w:type="dxa"/>
              <w:left w:w="43" w:type="dxa"/>
              <w:bottom w:w="43" w:type="dxa"/>
              <w:right w:w="43" w:type="dxa"/>
            </w:tcMar>
          </w:tcPr>
          <w:p w14:paraId="5B60A1B9"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252913CB" w14:textId="77777777" w:rsidR="00D60186" w:rsidRPr="00D4351A" w:rsidRDefault="00D60186" w:rsidP="00D4351A">
            <w:pPr>
              <w:ind w:right="113"/>
              <w:jc w:val="right"/>
              <w:rPr>
                <w:sz w:val="21"/>
                <w:szCs w:val="21"/>
              </w:rPr>
            </w:pPr>
            <w:r w:rsidRPr="00D4351A">
              <w:rPr>
                <w:sz w:val="21"/>
                <w:szCs w:val="21"/>
              </w:rPr>
              <w:t>1162</w:t>
            </w:r>
          </w:p>
        </w:tc>
        <w:tc>
          <w:tcPr>
            <w:tcW w:w="5380" w:type="dxa"/>
            <w:tcBorders>
              <w:top w:val="nil"/>
              <w:left w:val="nil"/>
              <w:bottom w:val="nil"/>
              <w:right w:val="nil"/>
            </w:tcBorders>
            <w:tcMar>
              <w:top w:w="128" w:type="dxa"/>
              <w:left w:w="43" w:type="dxa"/>
              <w:bottom w:w="43" w:type="dxa"/>
              <w:right w:w="43" w:type="dxa"/>
            </w:tcMar>
          </w:tcPr>
          <w:p w14:paraId="33E92791" w14:textId="77777777" w:rsidR="00D60186" w:rsidRPr="00D4351A" w:rsidRDefault="00D60186" w:rsidP="00225D4D">
            <w:pPr>
              <w:rPr>
                <w:sz w:val="21"/>
                <w:szCs w:val="21"/>
              </w:rPr>
            </w:pPr>
            <w:r w:rsidRPr="00D4351A">
              <w:rPr>
                <w:sz w:val="21"/>
                <w:szCs w:val="21"/>
              </w:rPr>
              <w:t>Tilgang på straffeprosessuelle tvangsmiddel</w:t>
            </w:r>
          </w:p>
        </w:tc>
        <w:tc>
          <w:tcPr>
            <w:tcW w:w="1800" w:type="dxa"/>
            <w:tcBorders>
              <w:top w:val="nil"/>
              <w:left w:val="nil"/>
              <w:bottom w:val="nil"/>
              <w:right w:val="nil"/>
            </w:tcBorders>
            <w:tcMar>
              <w:top w:w="128" w:type="dxa"/>
              <w:left w:w="43" w:type="dxa"/>
              <w:bottom w:w="43" w:type="dxa"/>
              <w:right w:w="43" w:type="dxa"/>
            </w:tcMar>
          </w:tcPr>
          <w:p w14:paraId="129FB0D5" w14:textId="77777777" w:rsidR="00D60186" w:rsidRPr="00D4351A" w:rsidRDefault="00D60186" w:rsidP="00D4351A">
            <w:pPr>
              <w:jc w:val="right"/>
              <w:rPr>
                <w:sz w:val="21"/>
                <w:szCs w:val="21"/>
              </w:rPr>
            </w:pPr>
            <w:r w:rsidRPr="00D4351A">
              <w:rPr>
                <w:sz w:val="21"/>
                <w:szCs w:val="21"/>
              </w:rPr>
              <w:t>Nei</w:t>
            </w:r>
          </w:p>
        </w:tc>
      </w:tr>
      <w:tr w:rsidR="00E76DC8" w:rsidRPr="00225D4D" w14:paraId="3CB8DDDD" w14:textId="77777777">
        <w:trPr>
          <w:trHeight w:val="640"/>
        </w:trPr>
        <w:tc>
          <w:tcPr>
            <w:tcW w:w="1240" w:type="dxa"/>
            <w:tcBorders>
              <w:top w:val="nil"/>
              <w:left w:val="nil"/>
              <w:bottom w:val="nil"/>
              <w:right w:val="nil"/>
            </w:tcBorders>
            <w:tcMar>
              <w:top w:w="128" w:type="dxa"/>
              <w:left w:w="43" w:type="dxa"/>
              <w:bottom w:w="43" w:type="dxa"/>
              <w:right w:w="43" w:type="dxa"/>
            </w:tcMar>
          </w:tcPr>
          <w:p w14:paraId="6F394CF1" w14:textId="77777777" w:rsidR="00D60186" w:rsidRPr="00D4351A" w:rsidRDefault="00D60186" w:rsidP="00225D4D">
            <w:pPr>
              <w:rPr>
                <w:sz w:val="21"/>
                <w:szCs w:val="21"/>
              </w:rPr>
            </w:pPr>
            <w:r w:rsidRPr="00D4351A">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0449B171" w14:textId="77777777" w:rsidR="00D60186" w:rsidRPr="00D4351A" w:rsidRDefault="00D60186" w:rsidP="00D4351A">
            <w:pPr>
              <w:ind w:right="113"/>
              <w:jc w:val="right"/>
              <w:rPr>
                <w:sz w:val="21"/>
                <w:szCs w:val="21"/>
              </w:rPr>
            </w:pPr>
            <w:r w:rsidRPr="00D4351A">
              <w:rPr>
                <w:sz w:val="21"/>
                <w:szCs w:val="21"/>
              </w:rPr>
              <w:t>1343</w:t>
            </w:r>
          </w:p>
        </w:tc>
        <w:tc>
          <w:tcPr>
            <w:tcW w:w="5380" w:type="dxa"/>
            <w:tcBorders>
              <w:top w:val="nil"/>
              <w:left w:val="nil"/>
              <w:bottom w:val="nil"/>
              <w:right w:val="nil"/>
            </w:tcBorders>
            <w:tcMar>
              <w:top w:w="128" w:type="dxa"/>
              <w:left w:w="43" w:type="dxa"/>
              <w:bottom w:w="43" w:type="dxa"/>
              <w:right w:w="43" w:type="dxa"/>
            </w:tcMar>
          </w:tcPr>
          <w:p w14:paraId="1A28E125" w14:textId="77777777" w:rsidR="00D60186" w:rsidRPr="00D4351A" w:rsidRDefault="00D60186" w:rsidP="00225D4D">
            <w:pPr>
              <w:rPr>
                <w:sz w:val="21"/>
                <w:szCs w:val="21"/>
              </w:rPr>
            </w:pPr>
            <w:r w:rsidRPr="00D4351A">
              <w:rPr>
                <w:sz w:val="21"/>
                <w:szCs w:val="21"/>
              </w:rPr>
              <w:t xml:space="preserve">Kompensasjonsordning for tapt </w:t>
            </w:r>
            <w:proofErr w:type="spellStart"/>
            <w:r w:rsidRPr="00D4351A">
              <w:rPr>
                <w:sz w:val="21"/>
                <w:szCs w:val="21"/>
              </w:rPr>
              <w:t>arbeidsforteneste</w:t>
            </w:r>
            <w:proofErr w:type="spellEnd"/>
            <w:r w:rsidRPr="00D4351A">
              <w:rPr>
                <w:sz w:val="21"/>
                <w:szCs w:val="21"/>
              </w:rPr>
              <w:t xml:space="preserve"> for frivillige i </w:t>
            </w:r>
            <w:proofErr w:type="spellStart"/>
            <w:r w:rsidRPr="00D4351A">
              <w:rPr>
                <w:sz w:val="21"/>
                <w:szCs w:val="21"/>
              </w:rPr>
              <w:t>redningstenesta</w:t>
            </w:r>
            <w:proofErr w:type="spellEnd"/>
          </w:p>
        </w:tc>
        <w:tc>
          <w:tcPr>
            <w:tcW w:w="1800" w:type="dxa"/>
            <w:tcBorders>
              <w:top w:val="nil"/>
              <w:left w:val="nil"/>
              <w:bottom w:val="nil"/>
              <w:right w:val="nil"/>
            </w:tcBorders>
            <w:tcMar>
              <w:top w:w="128" w:type="dxa"/>
              <w:left w:w="43" w:type="dxa"/>
              <w:bottom w:w="43" w:type="dxa"/>
              <w:right w:w="43" w:type="dxa"/>
            </w:tcMar>
          </w:tcPr>
          <w:p w14:paraId="2D51F88C" w14:textId="77777777" w:rsidR="00D60186" w:rsidRPr="00D4351A" w:rsidRDefault="00D60186" w:rsidP="00D4351A">
            <w:pPr>
              <w:jc w:val="right"/>
              <w:rPr>
                <w:sz w:val="21"/>
                <w:szCs w:val="21"/>
              </w:rPr>
            </w:pPr>
            <w:r w:rsidRPr="00D4351A">
              <w:rPr>
                <w:sz w:val="21"/>
                <w:szCs w:val="21"/>
              </w:rPr>
              <w:t>Ja</w:t>
            </w:r>
          </w:p>
        </w:tc>
      </w:tr>
      <w:tr w:rsidR="00E76DC8" w:rsidRPr="00225D4D" w14:paraId="37F4CB52" w14:textId="77777777">
        <w:trPr>
          <w:trHeight w:val="380"/>
        </w:trPr>
        <w:tc>
          <w:tcPr>
            <w:tcW w:w="1240" w:type="dxa"/>
            <w:tcBorders>
              <w:top w:val="nil"/>
              <w:left w:val="nil"/>
              <w:bottom w:val="nil"/>
              <w:right w:val="nil"/>
            </w:tcBorders>
            <w:tcMar>
              <w:top w:w="128" w:type="dxa"/>
              <w:left w:w="43" w:type="dxa"/>
              <w:bottom w:w="43" w:type="dxa"/>
              <w:right w:w="43" w:type="dxa"/>
            </w:tcMar>
          </w:tcPr>
          <w:p w14:paraId="1B243A4F" w14:textId="77777777" w:rsidR="00D60186" w:rsidRPr="00D4351A" w:rsidRDefault="00D60186" w:rsidP="00225D4D">
            <w:pPr>
              <w:rPr>
                <w:sz w:val="21"/>
                <w:szCs w:val="21"/>
              </w:rPr>
            </w:pPr>
            <w:r w:rsidRPr="00D4351A">
              <w:rPr>
                <w:sz w:val="21"/>
                <w:szCs w:val="21"/>
              </w:rPr>
              <w:t>2019–2020</w:t>
            </w:r>
          </w:p>
        </w:tc>
        <w:tc>
          <w:tcPr>
            <w:tcW w:w="1120" w:type="dxa"/>
            <w:tcBorders>
              <w:top w:val="nil"/>
              <w:left w:val="nil"/>
              <w:bottom w:val="nil"/>
              <w:right w:val="nil"/>
            </w:tcBorders>
            <w:tcMar>
              <w:top w:w="128" w:type="dxa"/>
              <w:left w:w="43" w:type="dxa"/>
              <w:bottom w:w="43" w:type="dxa"/>
              <w:right w:w="43" w:type="dxa"/>
            </w:tcMar>
          </w:tcPr>
          <w:p w14:paraId="57DDA610" w14:textId="77777777" w:rsidR="00D60186" w:rsidRPr="00D4351A" w:rsidRDefault="00D60186" w:rsidP="00D4351A">
            <w:pPr>
              <w:ind w:right="113"/>
              <w:jc w:val="right"/>
              <w:rPr>
                <w:sz w:val="21"/>
                <w:szCs w:val="21"/>
              </w:rPr>
            </w:pPr>
            <w:r w:rsidRPr="00D4351A">
              <w:rPr>
                <w:sz w:val="21"/>
                <w:szCs w:val="21"/>
              </w:rPr>
              <w:t>436</w:t>
            </w:r>
          </w:p>
        </w:tc>
        <w:tc>
          <w:tcPr>
            <w:tcW w:w="5380" w:type="dxa"/>
            <w:tcBorders>
              <w:top w:val="nil"/>
              <w:left w:val="nil"/>
              <w:bottom w:val="nil"/>
              <w:right w:val="nil"/>
            </w:tcBorders>
            <w:tcMar>
              <w:top w:w="128" w:type="dxa"/>
              <w:left w:w="43" w:type="dxa"/>
              <w:bottom w:w="43" w:type="dxa"/>
              <w:right w:w="43" w:type="dxa"/>
            </w:tcMar>
          </w:tcPr>
          <w:p w14:paraId="6D38AAF2" w14:textId="77777777" w:rsidR="00D60186" w:rsidRPr="00D4351A" w:rsidRDefault="00D60186" w:rsidP="00225D4D">
            <w:pPr>
              <w:rPr>
                <w:sz w:val="21"/>
                <w:szCs w:val="21"/>
              </w:rPr>
            </w:pPr>
            <w:r w:rsidRPr="00D4351A">
              <w:rPr>
                <w:sz w:val="21"/>
                <w:szCs w:val="21"/>
              </w:rPr>
              <w:t>Elektroniske fraktbrev</w:t>
            </w:r>
          </w:p>
        </w:tc>
        <w:tc>
          <w:tcPr>
            <w:tcW w:w="1800" w:type="dxa"/>
            <w:tcBorders>
              <w:top w:val="nil"/>
              <w:left w:val="nil"/>
              <w:bottom w:val="nil"/>
              <w:right w:val="nil"/>
            </w:tcBorders>
            <w:tcMar>
              <w:top w:w="128" w:type="dxa"/>
              <w:left w:w="43" w:type="dxa"/>
              <w:bottom w:w="43" w:type="dxa"/>
              <w:right w:w="43" w:type="dxa"/>
            </w:tcMar>
          </w:tcPr>
          <w:p w14:paraId="3202FEC6" w14:textId="77777777" w:rsidR="00D60186" w:rsidRPr="00D4351A" w:rsidRDefault="00D60186" w:rsidP="00D4351A">
            <w:pPr>
              <w:jc w:val="right"/>
              <w:rPr>
                <w:sz w:val="21"/>
                <w:szCs w:val="21"/>
              </w:rPr>
            </w:pPr>
            <w:r w:rsidRPr="00D4351A">
              <w:rPr>
                <w:sz w:val="21"/>
                <w:szCs w:val="21"/>
              </w:rPr>
              <w:t>Ja</w:t>
            </w:r>
          </w:p>
        </w:tc>
      </w:tr>
      <w:tr w:rsidR="00E76DC8" w:rsidRPr="00225D4D" w14:paraId="4321B4F2" w14:textId="77777777">
        <w:trPr>
          <w:trHeight w:val="380"/>
        </w:trPr>
        <w:tc>
          <w:tcPr>
            <w:tcW w:w="1240" w:type="dxa"/>
            <w:tcBorders>
              <w:top w:val="nil"/>
              <w:left w:val="nil"/>
              <w:bottom w:val="nil"/>
              <w:right w:val="nil"/>
            </w:tcBorders>
            <w:tcMar>
              <w:top w:w="128" w:type="dxa"/>
              <w:left w:w="43" w:type="dxa"/>
              <w:bottom w:w="43" w:type="dxa"/>
              <w:right w:w="43" w:type="dxa"/>
            </w:tcMar>
          </w:tcPr>
          <w:p w14:paraId="4528D704" w14:textId="77777777" w:rsidR="00D60186" w:rsidRPr="00D4351A" w:rsidRDefault="00D60186" w:rsidP="00225D4D">
            <w:pPr>
              <w:rPr>
                <w:sz w:val="21"/>
                <w:szCs w:val="21"/>
              </w:rPr>
            </w:pPr>
            <w:r w:rsidRPr="00D4351A">
              <w:rPr>
                <w:sz w:val="21"/>
                <w:szCs w:val="21"/>
              </w:rPr>
              <w:t>2019–2020</w:t>
            </w:r>
          </w:p>
        </w:tc>
        <w:tc>
          <w:tcPr>
            <w:tcW w:w="1120" w:type="dxa"/>
            <w:tcBorders>
              <w:top w:val="nil"/>
              <w:left w:val="nil"/>
              <w:bottom w:val="nil"/>
              <w:right w:val="nil"/>
            </w:tcBorders>
            <w:tcMar>
              <w:top w:w="128" w:type="dxa"/>
              <w:left w:w="43" w:type="dxa"/>
              <w:bottom w:w="43" w:type="dxa"/>
              <w:right w:w="43" w:type="dxa"/>
            </w:tcMar>
          </w:tcPr>
          <w:p w14:paraId="4ACD8035" w14:textId="77777777" w:rsidR="00D60186" w:rsidRPr="00D4351A" w:rsidRDefault="00D60186" w:rsidP="00D4351A">
            <w:pPr>
              <w:ind w:right="113"/>
              <w:jc w:val="right"/>
              <w:rPr>
                <w:sz w:val="21"/>
                <w:szCs w:val="21"/>
              </w:rPr>
            </w:pPr>
            <w:r w:rsidRPr="00D4351A">
              <w:rPr>
                <w:sz w:val="21"/>
                <w:szCs w:val="21"/>
              </w:rPr>
              <w:t>515</w:t>
            </w:r>
          </w:p>
        </w:tc>
        <w:tc>
          <w:tcPr>
            <w:tcW w:w="5380" w:type="dxa"/>
            <w:tcBorders>
              <w:top w:val="nil"/>
              <w:left w:val="nil"/>
              <w:bottom w:val="nil"/>
              <w:right w:val="nil"/>
            </w:tcBorders>
            <w:tcMar>
              <w:top w:w="128" w:type="dxa"/>
              <w:left w:w="43" w:type="dxa"/>
              <w:bottom w:w="43" w:type="dxa"/>
              <w:right w:w="43" w:type="dxa"/>
            </w:tcMar>
          </w:tcPr>
          <w:p w14:paraId="48BC3D3B" w14:textId="77777777" w:rsidR="00D60186" w:rsidRPr="00D4351A" w:rsidRDefault="00D60186" w:rsidP="00225D4D">
            <w:pPr>
              <w:rPr>
                <w:sz w:val="21"/>
                <w:szCs w:val="21"/>
              </w:rPr>
            </w:pPr>
            <w:r w:rsidRPr="00D4351A">
              <w:rPr>
                <w:sz w:val="21"/>
                <w:szCs w:val="21"/>
              </w:rPr>
              <w:t xml:space="preserve">Reklamasjonsfrist på </w:t>
            </w:r>
            <w:proofErr w:type="spellStart"/>
            <w:r w:rsidRPr="00D4351A">
              <w:rPr>
                <w:sz w:val="21"/>
                <w:szCs w:val="21"/>
              </w:rPr>
              <w:t>bustader</w:t>
            </w:r>
            <w:proofErr w:type="spellEnd"/>
          </w:p>
        </w:tc>
        <w:tc>
          <w:tcPr>
            <w:tcW w:w="1800" w:type="dxa"/>
            <w:tcBorders>
              <w:top w:val="nil"/>
              <w:left w:val="nil"/>
              <w:bottom w:val="nil"/>
              <w:right w:val="nil"/>
            </w:tcBorders>
            <w:tcMar>
              <w:top w:w="128" w:type="dxa"/>
              <w:left w:w="43" w:type="dxa"/>
              <w:bottom w:w="43" w:type="dxa"/>
              <w:right w:w="43" w:type="dxa"/>
            </w:tcMar>
          </w:tcPr>
          <w:p w14:paraId="7885E150" w14:textId="77777777" w:rsidR="00D60186" w:rsidRPr="00D4351A" w:rsidRDefault="00D60186" w:rsidP="00D4351A">
            <w:pPr>
              <w:jc w:val="right"/>
              <w:rPr>
                <w:sz w:val="21"/>
                <w:szCs w:val="21"/>
              </w:rPr>
            </w:pPr>
            <w:r w:rsidRPr="00D4351A">
              <w:rPr>
                <w:sz w:val="21"/>
                <w:szCs w:val="21"/>
              </w:rPr>
              <w:t>Nei</w:t>
            </w:r>
          </w:p>
        </w:tc>
      </w:tr>
      <w:tr w:rsidR="00E76DC8" w:rsidRPr="00225D4D" w14:paraId="6EC79B61" w14:textId="77777777">
        <w:trPr>
          <w:trHeight w:val="380"/>
        </w:trPr>
        <w:tc>
          <w:tcPr>
            <w:tcW w:w="1240" w:type="dxa"/>
            <w:tcBorders>
              <w:top w:val="nil"/>
              <w:left w:val="nil"/>
              <w:bottom w:val="nil"/>
              <w:right w:val="nil"/>
            </w:tcBorders>
            <w:tcMar>
              <w:top w:w="128" w:type="dxa"/>
              <w:left w:w="43" w:type="dxa"/>
              <w:bottom w:w="43" w:type="dxa"/>
              <w:right w:w="43" w:type="dxa"/>
            </w:tcMar>
          </w:tcPr>
          <w:p w14:paraId="7F277D8E" w14:textId="77777777" w:rsidR="00D60186" w:rsidRPr="00D4351A" w:rsidRDefault="00D60186" w:rsidP="00225D4D">
            <w:pPr>
              <w:rPr>
                <w:sz w:val="21"/>
                <w:szCs w:val="21"/>
              </w:rPr>
            </w:pPr>
            <w:r w:rsidRPr="00D4351A">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2908A207" w14:textId="77777777" w:rsidR="00D60186" w:rsidRPr="00D4351A" w:rsidRDefault="00D60186" w:rsidP="00D4351A">
            <w:pPr>
              <w:ind w:right="113"/>
              <w:jc w:val="right"/>
              <w:rPr>
                <w:sz w:val="21"/>
                <w:szCs w:val="21"/>
              </w:rPr>
            </w:pPr>
            <w:r w:rsidRPr="00D4351A">
              <w:rPr>
                <w:sz w:val="21"/>
                <w:szCs w:val="21"/>
              </w:rPr>
              <w:t>788</w:t>
            </w:r>
          </w:p>
        </w:tc>
        <w:tc>
          <w:tcPr>
            <w:tcW w:w="5380" w:type="dxa"/>
            <w:tcBorders>
              <w:top w:val="nil"/>
              <w:left w:val="nil"/>
              <w:bottom w:val="nil"/>
              <w:right w:val="nil"/>
            </w:tcBorders>
            <w:tcMar>
              <w:top w:w="128" w:type="dxa"/>
              <w:left w:w="43" w:type="dxa"/>
              <w:bottom w:w="43" w:type="dxa"/>
              <w:right w:w="43" w:type="dxa"/>
            </w:tcMar>
          </w:tcPr>
          <w:p w14:paraId="4B3CC0AE" w14:textId="77777777" w:rsidR="00D60186" w:rsidRPr="00D4351A" w:rsidRDefault="00D60186" w:rsidP="00225D4D">
            <w:pPr>
              <w:rPr>
                <w:sz w:val="21"/>
                <w:szCs w:val="21"/>
              </w:rPr>
            </w:pPr>
            <w:proofErr w:type="spellStart"/>
            <w:r w:rsidRPr="00D4351A">
              <w:rPr>
                <w:sz w:val="21"/>
                <w:szCs w:val="21"/>
              </w:rPr>
              <w:t>Utanlandsopphald</w:t>
            </w:r>
            <w:proofErr w:type="spellEnd"/>
          </w:p>
        </w:tc>
        <w:tc>
          <w:tcPr>
            <w:tcW w:w="1800" w:type="dxa"/>
            <w:tcBorders>
              <w:top w:val="nil"/>
              <w:left w:val="nil"/>
              <w:bottom w:val="nil"/>
              <w:right w:val="nil"/>
            </w:tcBorders>
            <w:tcMar>
              <w:top w:w="128" w:type="dxa"/>
              <w:left w:w="43" w:type="dxa"/>
              <w:bottom w:w="43" w:type="dxa"/>
              <w:right w:w="43" w:type="dxa"/>
            </w:tcMar>
          </w:tcPr>
          <w:p w14:paraId="74B8C0C1" w14:textId="77777777" w:rsidR="00D60186" w:rsidRPr="00D4351A" w:rsidRDefault="00D60186" w:rsidP="00D4351A">
            <w:pPr>
              <w:jc w:val="right"/>
              <w:rPr>
                <w:sz w:val="21"/>
                <w:szCs w:val="21"/>
              </w:rPr>
            </w:pPr>
            <w:r w:rsidRPr="00D4351A">
              <w:rPr>
                <w:sz w:val="21"/>
                <w:szCs w:val="21"/>
              </w:rPr>
              <w:t>Ja</w:t>
            </w:r>
          </w:p>
        </w:tc>
      </w:tr>
      <w:tr w:rsidR="00E76DC8" w:rsidRPr="00225D4D" w14:paraId="4CBC7899" w14:textId="77777777">
        <w:trPr>
          <w:trHeight w:val="380"/>
        </w:trPr>
        <w:tc>
          <w:tcPr>
            <w:tcW w:w="1240" w:type="dxa"/>
            <w:tcBorders>
              <w:top w:val="nil"/>
              <w:left w:val="nil"/>
              <w:bottom w:val="nil"/>
              <w:right w:val="nil"/>
            </w:tcBorders>
            <w:tcMar>
              <w:top w:w="128" w:type="dxa"/>
              <w:left w:w="43" w:type="dxa"/>
              <w:bottom w:w="43" w:type="dxa"/>
              <w:right w:w="43" w:type="dxa"/>
            </w:tcMar>
          </w:tcPr>
          <w:p w14:paraId="7AA0CE66" w14:textId="77777777" w:rsidR="00D60186" w:rsidRPr="00D4351A" w:rsidRDefault="00D60186" w:rsidP="00225D4D">
            <w:pPr>
              <w:rPr>
                <w:sz w:val="21"/>
                <w:szCs w:val="21"/>
              </w:rPr>
            </w:pPr>
            <w:r w:rsidRPr="00D4351A">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061B0A22" w14:textId="77777777" w:rsidR="00D60186" w:rsidRPr="00D4351A" w:rsidRDefault="00D60186" w:rsidP="00D4351A">
            <w:pPr>
              <w:ind w:right="113"/>
              <w:jc w:val="right"/>
              <w:rPr>
                <w:sz w:val="21"/>
                <w:szCs w:val="21"/>
              </w:rPr>
            </w:pPr>
            <w:r w:rsidRPr="00D4351A">
              <w:rPr>
                <w:sz w:val="21"/>
                <w:szCs w:val="21"/>
              </w:rPr>
              <w:t>795</w:t>
            </w:r>
          </w:p>
        </w:tc>
        <w:tc>
          <w:tcPr>
            <w:tcW w:w="5380" w:type="dxa"/>
            <w:tcBorders>
              <w:top w:val="nil"/>
              <w:left w:val="nil"/>
              <w:bottom w:val="nil"/>
              <w:right w:val="nil"/>
            </w:tcBorders>
            <w:tcMar>
              <w:top w:w="128" w:type="dxa"/>
              <w:left w:w="43" w:type="dxa"/>
              <w:bottom w:w="43" w:type="dxa"/>
              <w:right w:w="43" w:type="dxa"/>
            </w:tcMar>
          </w:tcPr>
          <w:p w14:paraId="56605D31" w14:textId="77777777" w:rsidR="00D60186" w:rsidRPr="00D4351A" w:rsidRDefault="00D60186" w:rsidP="00225D4D">
            <w:pPr>
              <w:rPr>
                <w:sz w:val="21"/>
                <w:szCs w:val="21"/>
              </w:rPr>
            </w:pPr>
            <w:r w:rsidRPr="00D4351A">
              <w:rPr>
                <w:sz w:val="21"/>
                <w:szCs w:val="21"/>
              </w:rPr>
              <w:t>Eige lovverk for Statens barnehus</w:t>
            </w:r>
          </w:p>
        </w:tc>
        <w:tc>
          <w:tcPr>
            <w:tcW w:w="1800" w:type="dxa"/>
            <w:tcBorders>
              <w:top w:val="nil"/>
              <w:left w:val="nil"/>
              <w:bottom w:val="nil"/>
              <w:right w:val="nil"/>
            </w:tcBorders>
            <w:tcMar>
              <w:top w:w="128" w:type="dxa"/>
              <w:left w:w="43" w:type="dxa"/>
              <w:bottom w:w="43" w:type="dxa"/>
              <w:right w:w="43" w:type="dxa"/>
            </w:tcMar>
          </w:tcPr>
          <w:p w14:paraId="49E40C66" w14:textId="77777777" w:rsidR="00D60186" w:rsidRPr="00D4351A" w:rsidRDefault="00D60186" w:rsidP="00D4351A">
            <w:pPr>
              <w:jc w:val="right"/>
              <w:rPr>
                <w:sz w:val="21"/>
                <w:szCs w:val="21"/>
              </w:rPr>
            </w:pPr>
            <w:r w:rsidRPr="00D4351A">
              <w:rPr>
                <w:sz w:val="21"/>
                <w:szCs w:val="21"/>
              </w:rPr>
              <w:t>Nei</w:t>
            </w:r>
          </w:p>
        </w:tc>
      </w:tr>
      <w:tr w:rsidR="00E76DC8" w:rsidRPr="00225D4D" w14:paraId="666C10C2" w14:textId="77777777">
        <w:trPr>
          <w:trHeight w:val="380"/>
        </w:trPr>
        <w:tc>
          <w:tcPr>
            <w:tcW w:w="1240" w:type="dxa"/>
            <w:tcBorders>
              <w:top w:val="nil"/>
              <w:left w:val="nil"/>
              <w:bottom w:val="single" w:sz="4" w:space="0" w:color="000000"/>
              <w:right w:val="nil"/>
            </w:tcBorders>
            <w:tcMar>
              <w:top w:w="128" w:type="dxa"/>
              <w:left w:w="43" w:type="dxa"/>
              <w:bottom w:w="43" w:type="dxa"/>
              <w:right w:w="43" w:type="dxa"/>
            </w:tcMar>
          </w:tcPr>
          <w:p w14:paraId="756B73B9" w14:textId="77777777" w:rsidR="00D60186" w:rsidRPr="00D4351A" w:rsidRDefault="00D60186" w:rsidP="00225D4D">
            <w:pPr>
              <w:rPr>
                <w:sz w:val="21"/>
                <w:szCs w:val="21"/>
              </w:rPr>
            </w:pPr>
            <w:r w:rsidRPr="00D4351A">
              <w:rPr>
                <w:sz w:val="21"/>
                <w:szCs w:val="21"/>
              </w:rPr>
              <w:t>2016–2017</w:t>
            </w:r>
          </w:p>
        </w:tc>
        <w:tc>
          <w:tcPr>
            <w:tcW w:w="1120" w:type="dxa"/>
            <w:tcBorders>
              <w:top w:val="nil"/>
              <w:left w:val="nil"/>
              <w:bottom w:val="single" w:sz="4" w:space="0" w:color="000000"/>
              <w:right w:val="nil"/>
            </w:tcBorders>
            <w:tcMar>
              <w:top w:w="128" w:type="dxa"/>
              <w:left w:w="43" w:type="dxa"/>
              <w:bottom w:w="43" w:type="dxa"/>
              <w:right w:w="43" w:type="dxa"/>
            </w:tcMar>
          </w:tcPr>
          <w:p w14:paraId="364380DC" w14:textId="77777777" w:rsidR="00D60186" w:rsidRPr="00D4351A" w:rsidRDefault="00D60186" w:rsidP="00D4351A">
            <w:pPr>
              <w:ind w:right="113"/>
              <w:jc w:val="right"/>
              <w:rPr>
                <w:sz w:val="21"/>
                <w:szCs w:val="21"/>
              </w:rPr>
            </w:pPr>
            <w:r w:rsidRPr="00D4351A">
              <w:rPr>
                <w:sz w:val="21"/>
                <w:szCs w:val="21"/>
              </w:rPr>
              <w:t>523</w:t>
            </w:r>
          </w:p>
        </w:tc>
        <w:tc>
          <w:tcPr>
            <w:tcW w:w="5380" w:type="dxa"/>
            <w:tcBorders>
              <w:top w:val="nil"/>
              <w:left w:val="nil"/>
              <w:bottom w:val="single" w:sz="4" w:space="0" w:color="000000"/>
              <w:right w:val="nil"/>
            </w:tcBorders>
            <w:tcMar>
              <w:top w:w="128" w:type="dxa"/>
              <w:left w:w="43" w:type="dxa"/>
              <w:bottom w:w="43" w:type="dxa"/>
              <w:right w:w="43" w:type="dxa"/>
            </w:tcMar>
          </w:tcPr>
          <w:p w14:paraId="56B34D1D" w14:textId="77777777" w:rsidR="00D60186" w:rsidRPr="00D4351A" w:rsidRDefault="00D60186" w:rsidP="00225D4D">
            <w:pPr>
              <w:rPr>
                <w:sz w:val="21"/>
                <w:szCs w:val="21"/>
              </w:rPr>
            </w:pPr>
            <w:r w:rsidRPr="00D4351A">
              <w:rPr>
                <w:sz w:val="21"/>
                <w:szCs w:val="21"/>
              </w:rPr>
              <w:t>Korrupsjonsføresegnene i straffelova</w:t>
            </w:r>
          </w:p>
        </w:tc>
        <w:tc>
          <w:tcPr>
            <w:tcW w:w="1800" w:type="dxa"/>
            <w:tcBorders>
              <w:top w:val="nil"/>
              <w:left w:val="nil"/>
              <w:bottom w:val="single" w:sz="4" w:space="0" w:color="000000"/>
              <w:right w:val="nil"/>
            </w:tcBorders>
            <w:tcMar>
              <w:top w:w="128" w:type="dxa"/>
              <w:left w:w="43" w:type="dxa"/>
              <w:bottom w:w="43" w:type="dxa"/>
              <w:right w:w="43" w:type="dxa"/>
            </w:tcMar>
          </w:tcPr>
          <w:p w14:paraId="37A23F88" w14:textId="77777777" w:rsidR="00D60186" w:rsidRPr="00D4351A" w:rsidRDefault="00D60186" w:rsidP="00D4351A">
            <w:pPr>
              <w:jc w:val="right"/>
              <w:rPr>
                <w:sz w:val="21"/>
                <w:szCs w:val="21"/>
              </w:rPr>
            </w:pPr>
            <w:r w:rsidRPr="00D4351A">
              <w:rPr>
                <w:sz w:val="21"/>
                <w:szCs w:val="21"/>
              </w:rPr>
              <w:t>Nei</w:t>
            </w:r>
          </w:p>
        </w:tc>
      </w:tr>
    </w:tbl>
    <w:p w14:paraId="558B5B05" w14:textId="77777777" w:rsidR="00D60186" w:rsidRPr="00225D4D" w:rsidRDefault="00D60186" w:rsidP="00FD49F3">
      <w:pPr>
        <w:pStyle w:val="Overskrift3"/>
        <w:numPr>
          <w:ilvl w:val="2"/>
          <w:numId w:val="34"/>
        </w:numPr>
      </w:pPr>
      <w:r w:rsidRPr="00225D4D">
        <w:t>Stortingssesjonen 2024–2025</w:t>
      </w:r>
    </w:p>
    <w:p w14:paraId="5E2FA655" w14:textId="77777777" w:rsidR="00D60186" w:rsidRPr="00225D4D" w:rsidRDefault="00D60186" w:rsidP="00225D4D">
      <w:pPr>
        <w:pStyle w:val="avsnitt-tittel"/>
      </w:pPr>
      <w:r w:rsidRPr="00225D4D">
        <w:t xml:space="preserve">Vurdering av </w:t>
      </w:r>
      <w:proofErr w:type="spellStart"/>
      <w:r w:rsidRPr="00225D4D">
        <w:t>endringar</w:t>
      </w:r>
      <w:proofErr w:type="spellEnd"/>
      <w:r w:rsidRPr="00225D4D">
        <w:t xml:space="preserve"> i </w:t>
      </w:r>
      <w:proofErr w:type="spellStart"/>
      <w:r w:rsidRPr="00225D4D">
        <w:t>namnelova</w:t>
      </w:r>
      <w:proofErr w:type="spellEnd"/>
    </w:p>
    <w:p w14:paraId="650CEAB6" w14:textId="77777777" w:rsidR="00D60186" w:rsidRPr="00225D4D" w:rsidRDefault="00D60186" w:rsidP="00225D4D">
      <w:pPr>
        <w:pStyle w:val="avsnitt-undertittel"/>
      </w:pPr>
      <w:r w:rsidRPr="00225D4D">
        <w:t>Vedtak nr. 26, 12. november 2024</w:t>
      </w:r>
    </w:p>
    <w:p w14:paraId="3B952E2C" w14:textId="77777777" w:rsidR="00D60186" w:rsidRPr="00225D4D" w:rsidRDefault="00D60186" w:rsidP="00225D4D">
      <w:pPr>
        <w:pStyle w:val="blokksit"/>
        <w:rPr>
          <w:rStyle w:val="kursiv"/>
        </w:rPr>
      </w:pPr>
      <w:r w:rsidRPr="00225D4D">
        <w:rPr>
          <w:rStyle w:val="kursiv"/>
        </w:rPr>
        <w:t>«Stortinget ber regjeringen gjennomgå og vurdere endringer i navneloven, slik at etterkommere av urfolk og/eller nasjonale minoriteter lettere kan ta tilbake sin families opprinnelige etternavn.»</w:t>
      </w:r>
    </w:p>
    <w:p w14:paraId="65191098" w14:textId="77777777" w:rsidR="00D60186" w:rsidRPr="00225D4D" w:rsidRDefault="00D60186" w:rsidP="00225D4D">
      <w:r w:rsidRPr="00225D4D">
        <w:t xml:space="preserve">Dokumenta som ligg til grunn for vedtaket, er Dokument 19 (2022–2023) og </w:t>
      </w:r>
      <w:proofErr w:type="spellStart"/>
      <w:r w:rsidRPr="00225D4D">
        <w:t>Innst</w:t>
      </w:r>
      <w:proofErr w:type="spellEnd"/>
      <w:r w:rsidRPr="00225D4D">
        <w:t xml:space="preserve">. 30 S (2024–2025) </w:t>
      </w:r>
      <w:proofErr w:type="spellStart"/>
      <w:r w:rsidRPr="00225D4D">
        <w:t>frå</w:t>
      </w:r>
      <w:proofErr w:type="spellEnd"/>
      <w:r w:rsidRPr="00225D4D">
        <w:t xml:space="preserve"> kontroll- og konstitusjonskomiteen.</w:t>
      </w:r>
    </w:p>
    <w:p w14:paraId="0D9E836B" w14:textId="77777777" w:rsidR="00D60186" w:rsidRPr="00225D4D" w:rsidRDefault="00D60186" w:rsidP="00225D4D">
      <w:r w:rsidRPr="00225D4D">
        <w:t>Vedtaket er under behandling.</w:t>
      </w:r>
    </w:p>
    <w:p w14:paraId="15245E70" w14:textId="77777777" w:rsidR="00D60186" w:rsidRPr="00225D4D" w:rsidRDefault="00D60186" w:rsidP="00225D4D">
      <w:pPr>
        <w:pStyle w:val="avsnitt-tittel"/>
      </w:pPr>
      <w:proofErr w:type="spellStart"/>
      <w:r w:rsidRPr="00225D4D">
        <w:t>Oppretthalde</w:t>
      </w:r>
      <w:proofErr w:type="spellEnd"/>
      <w:r w:rsidRPr="00225D4D">
        <w:t xml:space="preserve"> flyfraktkapasiteten mellom fastlandet og Svalbard</w:t>
      </w:r>
    </w:p>
    <w:p w14:paraId="2F47BBDD" w14:textId="77777777" w:rsidR="00D60186" w:rsidRPr="00225D4D" w:rsidRDefault="00D60186" w:rsidP="00225D4D">
      <w:pPr>
        <w:pStyle w:val="avsnitt-undertittel"/>
      </w:pPr>
      <w:r w:rsidRPr="00225D4D">
        <w:t>Vedtak nr. 47, 21. november 2024</w:t>
      </w:r>
    </w:p>
    <w:p w14:paraId="6DFEEA92" w14:textId="77777777" w:rsidR="00D60186" w:rsidRPr="00225D4D" w:rsidRDefault="00D60186" w:rsidP="00225D4D">
      <w:pPr>
        <w:pStyle w:val="blokksit"/>
        <w:rPr>
          <w:rStyle w:val="kursiv"/>
        </w:rPr>
      </w:pPr>
      <w:r w:rsidRPr="00225D4D">
        <w:rPr>
          <w:rStyle w:val="kursiv"/>
        </w:rPr>
        <w:t>«Stortinget ber regjeringen sørge for at flyfrakt-kapasitet mellom fastlandet og Svalbard opprettholdes inntil en permanent løsning er på plass.»</w:t>
      </w:r>
    </w:p>
    <w:p w14:paraId="6779C259" w14:textId="77777777" w:rsidR="00D60186" w:rsidRPr="00225D4D" w:rsidRDefault="00D60186" w:rsidP="00225D4D">
      <w:r w:rsidRPr="00225D4D">
        <w:t xml:space="preserve">Dokumenta som ligg til grunn for vedtaket, er Meld. St. 26 (2023–2024) </w:t>
      </w:r>
      <w:r w:rsidRPr="00225D4D">
        <w:rPr>
          <w:rStyle w:val="kursiv"/>
        </w:rPr>
        <w:t>Svalbard</w:t>
      </w:r>
      <w:r w:rsidRPr="00225D4D">
        <w:t xml:space="preserve">, og </w:t>
      </w:r>
      <w:proofErr w:type="spellStart"/>
      <w:r w:rsidRPr="00225D4D">
        <w:t>Innst</w:t>
      </w:r>
      <w:proofErr w:type="spellEnd"/>
      <w:r w:rsidRPr="00225D4D">
        <w:t xml:space="preserve">. 36 S (2024–2025) </w:t>
      </w:r>
      <w:proofErr w:type="spellStart"/>
      <w:r w:rsidRPr="00225D4D">
        <w:t>frå</w:t>
      </w:r>
      <w:proofErr w:type="spellEnd"/>
      <w:r w:rsidRPr="00225D4D">
        <w:t xml:space="preserve"> </w:t>
      </w:r>
      <w:proofErr w:type="spellStart"/>
      <w:r w:rsidRPr="00225D4D">
        <w:t>utanriks</w:t>
      </w:r>
      <w:proofErr w:type="spellEnd"/>
      <w:r w:rsidRPr="00225D4D">
        <w:t>- og forsvarskomiteen.</w:t>
      </w:r>
    </w:p>
    <w:p w14:paraId="4521ABF8"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Regjeringa foreslo i samband med nysalderinga av 2024-budsjettet å </w:t>
      </w:r>
      <w:proofErr w:type="spellStart"/>
      <w:r w:rsidRPr="00225D4D">
        <w:t>auke</w:t>
      </w:r>
      <w:proofErr w:type="spellEnd"/>
      <w:r w:rsidRPr="00225D4D">
        <w:t xml:space="preserve"> løyvinga på kap. 0003, post 50 </w:t>
      </w:r>
      <w:proofErr w:type="spellStart"/>
      <w:r w:rsidRPr="00225D4D">
        <w:t>Tilskot</w:t>
      </w:r>
      <w:proofErr w:type="spellEnd"/>
      <w:r w:rsidRPr="00225D4D">
        <w:t xml:space="preserve"> til Longyearbyen lokalstyre på svalbardbudsjettet med 15 mill. kroner, til støtte for å </w:t>
      </w:r>
      <w:proofErr w:type="spellStart"/>
      <w:r w:rsidRPr="00225D4D">
        <w:t>halde</w:t>
      </w:r>
      <w:proofErr w:type="spellEnd"/>
      <w:r w:rsidRPr="00225D4D">
        <w:t xml:space="preserve"> oppe flyfraktkapasiteten mellom Svalbard og fastlandet. Den </w:t>
      </w:r>
      <w:proofErr w:type="spellStart"/>
      <w:r w:rsidRPr="00225D4D">
        <w:t>auka</w:t>
      </w:r>
      <w:proofErr w:type="spellEnd"/>
      <w:r w:rsidRPr="00225D4D">
        <w:t xml:space="preserve"> løyvinga </w:t>
      </w:r>
      <w:proofErr w:type="spellStart"/>
      <w:r w:rsidRPr="00225D4D">
        <w:t>vart</w:t>
      </w:r>
      <w:proofErr w:type="spellEnd"/>
      <w:r w:rsidRPr="00225D4D">
        <w:t xml:space="preserve"> foreslått som </w:t>
      </w:r>
      <w:proofErr w:type="spellStart"/>
      <w:r w:rsidRPr="00225D4D">
        <w:t>eit</w:t>
      </w:r>
      <w:proofErr w:type="spellEnd"/>
      <w:r w:rsidRPr="00225D4D">
        <w:t xml:space="preserve"> ekstraordinært </w:t>
      </w:r>
      <w:proofErr w:type="spellStart"/>
      <w:r w:rsidRPr="00225D4D">
        <w:t>omstillingstilskot</w:t>
      </w:r>
      <w:proofErr w:type="spellEnd"/>
      <w:r w:rsidRPr="00225D4D">
        <w:t xml:space="preserve"> for å sørge for at Longyearbyen lokalstyre kunne skaffe til </w:t>
      </w:r>
      <w:proofErr w:type="spellStart"/>
      <w:r w:rsidRPr="00225D4D">
        <w:t>vegar</w:t>
      </w:r>
      <w:proofErr w:type="spellEnd"/>
      <w:r w:rsidRPr="00225D4D">
        <w:t xml:space="preserve"> nødvendig flyfraktkapasitet i 2025, inntil </w:t>
      </w:r>
      <w:proofErr w:type="spellStart"/>
      <w:r w:rsidRPr="00225D4D">
        <w:t>dei</w:t>
      </w:r>
      <w:proofErr w:type="spellEnd"/>
      <w:r w:rsidRPr="00225D4D">
        <w:t xml:space="preserve"> lokale </w:t>
      </w:r>
      <w:proofErr w:type="spellStart"/>
      <w:r w:rsidRPr="00225D4D">
        <w:t>aktørane</w:t>
      </w:r>
      <w:proofErr w:type="spellEnd"/>
      <w:r w:rsidRPr="00225D4D">
        <w:t xml:space="preserve"> hadde komme fram til ei langsiktig løysing.</w:t>
      </w:r>
    </w:p>
    <w:p w14:paraId="37CF288E" w14:textId="77777777" w:rsidR="00D60186" w:rsidRPr="00225D4D" w:rsidRDefault="00D60186" w:rsidP="00225D4D">
      <w:pPr>
        <w:pStyle w:val="avsnitt-tittel"/>
      </w:pPr>
      <w:proofErr w:type="spellStart"/>
      <w:r w:rsidRPr="00225D4D">
        <w:t>Ettergiving</w:t>
      </w:r>
      <w:proofErr w:type="spellEnd"/>
      <w:r w:rsidRPr="00225D4D">
        <w:t xml:space="preserve"> av </w:t>
      </w:r>
      <w:proofErr w:type="spellStart"/>
      <w:r w:rsidRPr="00225D4D">
        <w:t>idømde</w:t>
      </w:r>
      <w:proofErr w:type="spellEnd"/>
      <w:r w:rsidRPr="00225D4D">
        <w:t xml:space="preserve"> sakskostnader </w:t>
      </w:r>
      <w:proofErr w:type="spellStart"/>
      <w:r w:rsidRPr="00225D4D">
        <w:t>kyrkjeasylantar</w:t>
      </w:r>
      <w:proofErr w:type="spellEnd"/>
    </w:p>
    <w:p w14:paraId="215392CC" w14:textId="77777777" w:rsidR="00D60186" w:rsidRPr="00225D4D" w:rsidRDefault="00D60186" w:rsidP="00225D4D">
      <w:pPr>
        <w:pStyle w:val="avsnitt-undertittel"/>
      </w:pPr>
      <w:r w:rsidRPr="00225D4D">
        <w:t>Vedtak nr. 358, 18. desember 2024</w:t>
      </w:r>
    </w:p>
    <w:p w14:paraId="1E337354" w14:textId="77777777" w:rsidR="00D60186" w:rsidRPr="00225D4D" w:rsidRDefault="00D60186" w:rsidP="00225D4D">
      <w:pPr>
        <w:pStyle w:val="blokksit"/>
        <w:rPr>
          <w:rStyle w:val="kursiv"/>
        </w:rPr>
      </w:pPr>
      <w:r w:rsidRPr="00225D4D">
        <w:rPr>
          <w:rStyle w:val="kursiv"/>
        </w:rPr>
        <w:t>«Stortinget ber regjeringen ettergi idømte saksomkostninger, inkl. renter og gebyrer, til utlendinger som har gått til søksmål mot staten v/Utlendingsnemnda for å få omgjort avslag på søknader om asyl og som senere har fått opphold i Norge gjennom engangsløsningen for kirkeasylanter, jf. utlendingsforskriften § 8-13. Eventuelle innbetalte beløp skal også ettergis og tilbakebetales»</w:t>
      </w:r>
    </w:p>
    <w:p w14:paraId="36DC217A"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xml:space="preserve">. 98 S (2024–2025) </w:t>
      </w:r>
      <w:proofErr w:type="spellStart"/>
      <w:r w:rsidRPr="00225D4D">
        <w:t>frå</w:t>
      </w:r>
      <w:proofErr w:type="spellEnd"/>
      <w:r w:rsidRPr="00225D4D">
        <w:t xml:space="preserve"> justiskomiteen.</w:t>
      </w:r>
    </w:p>
    <w:p w14:paraId="35FD157F"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Justis- og beredskapsdepartementet har i brev til Statens </w:t>
      </w:r>
      <w:proofErr w:type="spellStart"/>
      <w:r w:rsidRPr="00225D4D">
        <w:t>innkrevjingssentral</w:t>
      </w:r>
      <w:proofErr w:type="spellEnd"/>
      <w:r w:rsidRPr="00225D4D">
        <w:t xml:space="preserve"> (SI) 19. desember 2024 bede SI om å stanse </w:t>
      </w:r>
      <w:proofErr w:type="spellStart"/>
      <w:r w:rsidRPr="00225D4D">
        <w:t>innkrevjinga</w:t>
      </w:r>
      <w:proofErr w:type="spellEnd"/>
      <w:r w:rsidRPr="00225D4D">
        <w:t xml:space="preserve"> av krava og slette gjelda til </w:t>
      </w:r>
      <w:proofErr w:type="spellStart"/>
      <w:r w:rsidRPr="00225D4D">
        <w:t>dei</w:t>
      </w:r>
      <w:proofErr w:type="spellEnd"/>
      <w:r w:rsidRPr="00225D4D">
        <w:t xml:space="preserve"> aktuelle </w:t>
      </w:r>
      <w:proofErr w:type="spellStart"/>
      <w:r w:rsidRPr="00225D4D">
        <w:t>personane</w:t>
      </w:r>
      <w:proofErr w:type="spellEnd"/>
      <w:r w:rsidRPr="00225D4D">
        <w:t>.</w:t>
      </w:r>
    </w:p>
    <w:p w14:paraId="492E6A40" w14:textId="77777777" w:rsidR="00D60186" w:rsidRPr="00225D4D" w:rsidRDefault="00D60186" w:rsidP="00225D4D">
      <w:pPr>
        <w:pStyle w:val="avsnitt-tittel"/>
      </w:pPr>
      <w:proofErr w:type="spellStart"/>
      <w:r w:rsidRPr="00225D4D">
        <w:t>Gjere</w:t>
      </w:r>
      <w:proofErr w:type="spellEnd"/>
      <w:r w:rsidRPr="00225D4D">
        <w:t xml:space="preserve"> det </w:t>
      </w:r>
      <w:proofErr w:type="spellStart"/>
      <w:r w:rsidRPr="00225D4D">
        <w:t>enklare</w:t>
      </w:r>
      <w:proofErr w:type="spellEnd"/>
      <w:r w:rsidRPr="00225D4D">
        <w:t xml:space="preserve"> å inndra </w:t>
      </w:r>
      <w:proofErr w:type="spellStart"/>
      <w:r w:rsidRPr="00225D4D">
        <w:t>verdiar</w:t>
      </w:r>
      <w:proofErr w:type="spellEnd"/>
      <w:r w:rsidRPr="00225D4D">
        <w:t xml:space="preserve"> som er </w:t>
      </w:r>
      <w:proofErr w:type="spellStart"/>
      <w:r w:rsidRPr="00225D4D">
        <w:t>eit</w:t>
      </w:r>
      <w:proofErr w:type="spellEnd"/>
      <w:r w:rsidRPr="00225D4D">
        <w:t xml:space="preserve"> resultat av kriminelle </w:t>
      </w:r>
      <w:proofErr w:type="spellStart"/>
      <w:r w:rsidRPr="00225D4D">
        <w:t>handlingar</w:t>
      </w:r>
      <w:proofErr w:type="spellEnd"/>
    </w:p>
    <w:p w14:paraId="14AEED2C" w14:textId="77777777" w:rsidR="00D60186" w:rsidRPr="00225D4D" w:rsidRDefault="00D60186" w:rsidP="00225D4D">
      <w:pPr>
        <w:pStyle w:val="avsnitt-undertittel"/>
      </w:pPr>
      <w:r w:rsidRPr="00225D4D">
        <w:t>Vedtak nr. 473, 20. februar 2025</w:t>
      </w:r>
    </w:p>
    <w:p w14:paraId="15CD753F" w14:textId="77777777" w:rsidR="00D60186" w:rsidRPr="00225D4D" w:rsidRDefault="00D60186" w:rsidP="00225D4D">
      <w:pPr>
        <w:pStyle w:val="blokksit"/>
        <w:rPr>
          <w:rStyle w:val="kursiv"/>
        </w:rPr>
      </w:pPr>
      <w:r w:rsidRPr="00225D4D">
        <w:rPr>
          <w:rStyle w:val="kursiv"/>
        </w:rPr>
        <w:t>«Stortinget ber regjeringen fremme de nødvendige lovendringsforslag for å gjøre det enklere for påtalemyndigheten å inndra verdier som er frembrakt ved kriminelle handlinger.»</w:t>
      </w:r>
    </w:p>
    <w:p w14:paraId="0617B793" w14:textId="77777777" w:rsidR="00D60186" w:rsidRPr="00225D4D" w:rsidRDefault="00D60186" w:rsidP="00225D4D">
      <w:r w:rsidRPr="00225D4D">
        <w:t xml:space="preserve">Dokumenta som ligg til grunn for vedtaket, er Dokument 8:7 S (2024–2025) og </w:t>
      </w:r>
      <w:proofErr w:type="spellStart"/>
      <w:r w:rsidRPr="00225D4D">
        <w:t>Innst</w:t>
      </w:r>
      <w:proofErr w:type="spellEnd"/>
      <w:r w:rsidRPr="00225D4D">
        <w:t xml:space="preserve">. 133 S (2024–2025) </w:t>
      </w:r>
      <w:proofErr w:type="spellStart"/>
      <w:r w:rsidRPr="00225D4D">
        <w:t>frå</w:t>
      </w:r>
      <w:proofErr w:type="spellEnd"/>
      <w:r w:rsidRPr="00225D4D">
        <w:t xml:space="preserve"> justiskomiteen.</w:t>
      </w:r>
    </w:p>
    <w:p w14:paraId="56EA3308" w14:textId="77777777" w:rsidR="00D60186" w:rsidRPr="00225D4D" w:rsidRDefault="00D60186" w:rsidP="00225D4D">
      <w:r w:rsidRPr="00225D4D">
        <w:t xml:space="preserve">Vedtaket er under behandling. I oktober 2023 blei det nedsett ei arbeidsgruppe som mellom anna skulle utarbeide </w:t>
      </w:r>
      <w:proofErr w:type="spellStart"/>
      <w:r w:rsidRPr="00225D4D">
        <w:t>reglar</w:t>
      </w:r>
      <w:proofErr w:type="spellEnd"/>
      <w:r w:rsidRPr="00225D4D">
        <w:t xml:space="preserve"> om </w:t>
      </w:r>
      <w:proofErr w:type="spellStart"/>
      <w:r w:rsidRPr="00225D4D">
        <w:t>sivilrettsleg</w:t>
      </w:r>
      <w:proofErr w:type="spellEnd"/>
      <w:r w:rsidRPr="00225D4D">
        <w:t xml:space="preserve"> </w:t>
      </w:r>
      <w:proofErr w:type="spellStart"/>
      <w:r w:rsidRPr="00225D4D">
        <w:t>inndraging</w:t>
      </w:r>
      <w:proofErr w:type="spellEnd"/>
      <w:r w:rsidRPr="00225D4D">
        <w:t xml:space="preserve">. Arbeidsgruppa sitt lovforslag blei sendt på </w:t>
      </w:r>
      <w:proofErr w:type="spellStart"/>
      <w:r w:rsidRPr="00225D4D">
        <w:t>høyring</w:t>
      </w:r>
      <w:proofErr w:type="spellEnd"/>
      <w:r w:rsidRPr="00225D4D">
        <w:t xml:space="preserve"> 20. september 2024, og </w:t>
      </w:r>
      <w:proofErr w:type="spellStart"/>
      <w:r w:rsidRPr="00225D4D">
        <w:t>høyringsfristen</w:t>
      </w:r>
      <w:proofErr w:type="spellEnd"/>
      <w:r w:rsidRPr="00225D4D">
        <w:t xml:space="preserve"> utløp 15. november 2024. Regjeringa vil </w:t>
      </w:r>
      <w:proofErr w:type="spellStart"/>
      <w:r w:rsidRPr="00225D4D">
        <w:t>fremje</w:t>
      </w:r>
      <w:proofErr w:type="spellEnd"/>
      <w:r w:rsidRPr="00225D4D">
        <w:t xml:space="preserve"> </w:t>
      </w:r>
      <w:proofErr w:type="spellStart"/>
      <w:r w:rsidRPr="00225D4D">
        <w:t>ein</w:t>
      </w:r>
      <w:proofErr w:type="spellEnd"/>
      <w:r w:rsidRPr="00225D4D">
        <w:t xml:space="preserve"> proposisjon med forslag til </w:t>
      </w:r>
      <w:proofErr w:type="spellStart"/>
      <w:r w:rsidRPr="00225D4D">
        <w:t>lovendringar</w:t>
      </w:r>
      <w:proofErr w:type="spellEnd"/>
      <w:r w:rsidRPr="00225D4D">
        <w:t xml:space="preserve"> som kan </w:t>
      </w:r>
      <w:proofErr w:type="spellStart"/>
      <w:r w:rsidRPr="00225D4D">
        <w:t>handsamast</w:t>
      </w:r>
      <w:proofErr w:type="spellEnd"/>
      <w:r w:rsidRPr="00225D4D">
        <w:t xml:space="preserve"> i </w:t>
      </w:r>
      <w:proofErr w:type="spellStart"/>
      <w:r w:rsidRPr="00225D4D">
        <w:t>inneverande</w:t>
      </w:r>
      <w:proofErr w:type="spellEnd"/>
      <w:r w:rsidRPr="00225D4D">
        <w:t xml:space="preserve"> stortingssesjon. Sjå òg vedtak 446, 18. desember 2020.</w:t>
      </w:r>
    </w:p>
    <w:p w14:paraId="71B48F52" w14:textId="77777777" w:rsidR="00D60186" w:rsidRPr="00225D4D" w:rsidRDefault="00D60186" w:rsidP="00225D4D">
      <w:pPr>
        <w:pStyle w:val="avsnitt-tittel"/>
      </w:pPr>
      <w:r w:rsidRPr="00225D4D">
        <w:t xml:space="preserve">Skjerping av straffenivået for </w:t>
      </w:r>
      <w:proofErr w:type="spellStart"/>
      <w:r w:rsidRPr="00225D4D">
        <w:t>ulovleg</w:t>
      </w:r>
      <w:proofErr w:type="spellEnd"/>
      <w:r w:rsidRPr="00225D4D">
        <w:t xml:space="preserve"> våpenhald</w:t>
      </w:r>
    </w:p>
    <w:p w14:paraId="36EB3FB1" w14:textId="77777777" w:rsidR="00D60186" w:rsidRPr="00225D4D" w:rsidRDefault="00D60186" w:rsidP="00225D4D">
      <w:pPr>
        <w:pStyle w:val="avsnitt-undertittel"/>
      </w:pPr>
      <w:r w:rsidRPr="00225D4D">
        <w:t>Vedtak nr. 474, 20. februar 2025</w:t>
      </w:r>
    </w:p>
    <w:p w14:paraId="79F7295C" w14:textId="77777777" w:rsidR="00D60186" w:rsidRPr="00225D4D" w:rsidRDefault="00D60186" w:rsidP="00225D4D">
      <w:pPr>
        <w:pStyle w:val="blokksit"/>
        <w:rPr>
          <w:rStyle w:val="kursiv"/>
        </w:rPr>
      </w:pPr>
      <w:r w:rsidRPr="00225D4D">
        <w:rPr>
          <w:rStyle w:val="kursiv"/>
        </w:rPr>
        <w:t>«Stortinget ber regjeringen fremme nødvendige lovendringsforslag for å sikre en skjerpelse av straffenivået for ulovlig våpenbesittelse.»</w:t>
      </w:r>
    </w:p>
    <w:p w14:paraId="19FABA3E" w14:textId="77777777" w:rsidR="00D60186" w:rsidRPr="00225D4D" w:rsidRDefault="00D60186" w:rsidP="00225D4D">
      <w:r w:rsidRPr="00225D4D">
        <w:t xml:space="preserve">Dokumenta som ligg til grunn for vedtaket, er Dokument 8:7 S (2024–2025), Dokument 8:10 S (2024–2025) og </w:t>
      </w:r>
      <w:proofErr w:type="spellStart"/>
      <w:r w:rsidRPr="00225D4D">
        <w:t>Innst</w:t>
      </w:r>
      <w:proofErr w:type="spellEnd"/>
      <w:r w:rsidRPr="00225D4D">
        <w:t xml:space="preserve">. 133 S (2024–2025) </w:t>
      </w:r>
      <w:proofErr w:type="spellStart"/>
      <w:r w:rsidRPr="00225D4D">
        <w:t>frå</w:t>
      </w:r>
      <w:proofErr w:type="spellEnd"/>
      <w:r w:rsidRPr="00225D4D">
        <w:t xml:space="preserve"> justiskomiteen.</w:t>
      </w:r>
    </w:p>
    <w:p w14:paraId="42C78DE7" w14:textId="77777777" w:rsidR="00D60186" w:rsidRPr="00225D4D" w:rsidRDefault="00D60186" w:rsidP="00225D4D">
      <w:r w:rsidRPr="00225D4D">
        <w:t>Vedtaket er under behandling.</w:t>
      </w:r>
    </w:p>
    <w:p w14:paraId="7C9BA54A" w14:textId="77777777" w:rsidR="00D60186" w:rsidRPr="00225D4D" w:rsidRDefault="00D60186" w:rsidP="00225D4D">
      <w:pPr>
        <w:pStyle w:val="avsnitt-tittel"/>
      </w:pPr>
      <w:r w:rsidRPr="00225D4D">
        <w:t xml:space="preserve">Kriminalisering av utnytting av barn og unge i kriminell </w:t>
      </w:r>
      <w:proofErr w:type="spellStart"/>
      <w:r w:rsidRPr="00225D4D">
        <w:t>verksemd</w:t>
      </w:r>
      <w:proofErr w:type="spellEnd"/>
    </w:p>
    <w:p w14:paraId="7A2107EF" w14:textId="77777777" w:rsidR="00D60186" w:rsidRPr="00225D4D" w:rsidRDefault="00D60186" w:rsidP="00225D4D">
      <w:pPr>
        <w:pStyle w:val="avsnitt-undertittel"/>
      </w:pPr>
      <w:r w:rsidRPr="00225D4D">
        <w:t>Vedtak nr. 475, 20. februar 2025</w:t>
      </w:r>
    </w:p>
    <w:p w14:paraId="603A45FF" w14:textId="77777777" w:rsidR="00D60186" w:rsidRPr="00225D4D" w:rsidRDefault="00D60186" w:rsidP="00225D4D">
      <w:pPr>
        <w:pStyle w:val="blokksit"/>
        <w:rPr>
          <w:rStyle w:val="kursiv"/>
        </w:rPr>
      </w:pPr>
      <w:r w:rsidRPr="00225D4D">
        <w:rPr>
          <w:rStyle w:val="kursiv"/>
        </w:rPr>
        <w:t>«Stortinget ber regjeringen fremme forslag om å kriminalisere utnyttelse av barn og unge til ulovlig virksomhet i et eget straffebud. Lovverket bør gjøre det straffbart å rekruttere, betale, instruere, overlevere eiendeler til eller på annen måte involvere noen som er under 18 år, i kriminell virksomhet.»</w:t>
      </w:r>
    </w:p>
    <w:p w14:paraId="369C3050" w14:textId="77777777" w:rsidR="00D60186" w:rsidRPr="00225D4D" w:rsidRDefault="00D60186" w:rsidP="00225D4D">
      <w:r w:rsidRPr="00225D4D">
        <w:t xml:space="preserve">Dokumenta som ligg til grunn for vedtaket, er Dokument 8:7 S (2024–2025), Dokument 8:10 S (2024–2025) og </w:t>
      </w:r>
      <w:proofErr w:type="spellStart"/>
      <w:r w:rsidRPr="00225D4D">
        <w:t>Innst</w:t>
      </w:r>
      <w:proofErr w:type="spellEnd"/>
      <w:r w:rsidRPr="00225D4D">
        <w:t xml:space="preserve">. 133 S (2024–2025) </w:t>
      </w:r>
      <w:proofErr w:type="spellStart"/>
      <w:r w:rsidRPr="00225D4D">
        <w:t>frå</w:t>
      </w:r>
      <w:proofErr w:type="spellEnd"/>
      <w:r w:rsidRPr="00225D4D">
        <w:t xml:space="preserve"> justiskomiteen.</w:t>
      </w:r>
    </w:p>
    <w:p w14:paraId="20F63D63" w14:textId="77777777" w:rsidR="00D60186" w:rsidRPr="00225D4D" w:rsidRDefault="00D60186" w:rsidP="00225D4D">
      <w:r w:rsidRPr="00225D4D">
        <w:t xml:space="preserve">Vedtaket er under behandling. Justis- og beredskapsdepartementet sende </w:t>
      </w:r>
      <w:proofErr w:type="spellStart"/>
      <w:r w:rsidRPr="00225D4D">
        <w:t>eit</w:t>
      </w:r>
      <w:proofErr w:type="spellEnd"/>
      <w:r w:rsidRPr="00225D4D">
        <w:t xml:space="preserve"> lovforslag på </w:t>
      </w:r>
      <w:proofErr w:type="spellStart"/>
      <w:r w:rsidRPr="00225D4D">
        <w:t>høyring</w:t>
      </w:r>
      <w:proofErr w:type="spellEnd"/>
      <w:r w:rsidRPr="00225D4D">
        <w:t xml:space="preserve"> 2. september 2025.</w:t>
      </w:r>
    </w:p>
    <w:p w14:paraId="219DCE04" w14:textId="77777777" w:rsidR="00D60186" w:rsidRPr="00225D4D" w:rsidRDefault="00D60186" w:rsidP="00225D4D">
      <w:pPr>
        <w:pStyle w:val="avsnitt-tittel"/>
      </w:pPr>
      <w:r w:rsidRPr="00225D4D">
        <w:t xml:space="preserve">Prøveprosjekt for automatisk </w:t>
      </w:r>
      <w:proofErr w:type="spellStart"/>
      <w:r w:rsidRPr="00225D4D">
        <w:t>skotdeteksjon</w:t>
      </w:r>
      <w:proofErr w:type="spellEnd"/>
      <w:r w:rsidRPr="00225D4D">
        <w:t xml:space="preserve"> i Oslo</w:t>
      </w:r>
    </w:p>
    <w:p w14:paraId="3DF53B22" w14:textId="77777777" w:rsidR="00D60186" w:rsidRPr="00225D4D" w:rsidRDefault="00D60186" w:rsidP="00225D4D">
      <w:pPr>
        <w:pStyle w:val="avsnitt-undertittel"/>
      </w:pPr>
      <w:r w:rsidRPr="00225D4D">
        <w:t>Vedtak nr. 476, 20. februar 2025</w:t>
      </w:r>
    </w:p>
    <w:p w14:paraId="03EA4C5D" w14:textId="77777777" w:rsidR="00D60186" w:rsidRPr="00225D4D" w:rsidRDefault="00D60186" w:rsidP="00225D4D">
      <w:pPr>
        <w:pStyle w:val="blokksit"/>
        <w:rPr>
          <w:rStyle w:val="kursiv"/>
        </w:rPr>
      </w:pPr>
      <w:r w:rsidRPr="00225D4D">
        <w:rPr>
          <w:rStyle w:val="kursiv"/>
        </w:rPr>
        <w:t>«Stortinget ber regjeringen gjennomføre et prøveprosjekt for automatisk skuddeteksjon i Oslo.»</w:t>
      </w:r>
    </w:p>
    <w:p w14:paraId="4E804A6D" w14:textId="77777777" w:rsidR="00D60186" w:rsidRPr="00225D4D" w:rsidRDefault="00D60186" w:rsidP="00225D4D">
      <w:r w:rsidRPr="00225D4D">
        <w:t xml:space="preserve">Dokumenta som ligg til grunn for vedtaket, er Dokument 8:7 S (2024–2025) og </w:t>
      </w:r>
      <w:proofErr w:type="spellStart"/>
      <w:r w:rsidRPr="00225D4D">
        <w:t>Innst</w:t>
      </w:r>
      <w:proofErr w:type="spellEnd"/>
      <w:r w:rsidRPr="00225D4D">
        <w:t xml:space="preserve">. 133 S (2024–2025) </w:t>
      </w:r>
      <w:proofErr w:type="spellStart"/>
      <w:r w:rsidRPr="00225D4D">
        <w:t>frå</w:t>
      </w:r>
      <w:proofErr w:type="spellEnd"/>
      <w:r w:rsidRPr="00225D4D">
        <w:t xml:space="preserve"> justiskomiteen.</w:t>
      </w:r>
    </w:p>
    <w:p w14:paraId="2AB40BBE" w14:textId="77777777" w:rsidR="00D60186" w:rsidRPr="00225D4D" w:rsidRDefault="00D60186" w:rsidP="00225D4D">
      <w:r w:rsidRPr="00225D4D">
        <w:t>Vedtaket er under behandling.</w:t>
      </w:r>
    </w:p>
    <w:p w14:paraId="58335130" w14:textId="77777777" w:rsidR="00D60186" w:rsidRPr="00225D4D" w:rsidRDefault="00D60186" w:rsidP="00225D4D">
      <w:pPr>
        <w:pStyle w:val="avsnitt-tittel"/>
      </w:pPr>
      <w:proofErr w:type="spellStart"/>
      <w:r w:rsidRPr="00225D4D">
        <w:t>Raskare</w:t>
      </w:r>
      <w:proofErr w:type="spellEnd"/>
      <w:r w:rsidRPr="00225D4D">
        <w:t xml:space="preserve"> bortvising eller utvising av </w:t>
      </w:r>
      <w:proofErr w:type="spellStart"/>
      <w:r w:rsidRPr="00225D4D">
        <w:t>utlendingar</w:t>
      </w:r>
      <w:proofErr w:type="spellEnd"/>
      <w:r w:rsidRPr="00225D4D">
        <w:t xml:space="preserve"> som har utført, eller som det er grunn til å tru vil komme til å utføre, kriminalitet</w:t>
      </w:r>
    </w:p>
    <w:p w14:paraId="43BE7E1F" w14:textId="77777777" w:rsidR="00D60186" w:rsidRPr="00225D4D" w:rsidRDefault="00D60186" w:rsidP="00225D4D">
      <w:pPr>
        <w:pStyle w:val="avsnitt-undertittel"/>
      </w:pPr>
      <w:r w:rsidRPr="00225D4D">
        <w:t>Vedtak nr. 478, 20. februar 2025</w:t>
      </w:r>
    </w:p>
    <w:p w14:paraId="7DF94360" w14:textId="77777777" w:rsidR="00D60186" w:rsidRPr="00225D4D" w:rsidRDefault="00D60186" w:rsidP="00225D4D">
      <w:pPr>
        <w:pStyle w:val="blokksit"/>
        <w:rPr>
          <w:rStyle w:val="kursiv"/>
        </w:rPr>
      </w:pPr>
      <w:r w:rsidRPr="00225D4D">
        <w:rPr>
          <w:rStyle w:val="kursiv"/>
        </w:rPr>
        <w:t>«Stortinget ber regjeringen sikre at utlendinger som har begått eller som det er grunn til å tro at vil komme til å begå kriminalitet, bortvises eller utvises fra landet raskere.»</w:t>
      </w:r>
    </w:p>
    <w:p w14:paraId="5E9AAB17" w14:textId="77777777" w:rsidR="00D60186" w:rsidRPr="00225D4D" w:rsidRDefault="00D60186" w:rsidP="00225D4D">
      <w:r w:rsidRPr="00225D4D">
        <w:t xml:space="preserve">Dokumenta som ligg til grunn for vedtaket, er Dokument 8:7 S (2024–2025) og </w:t>
      </w:r>
      <w:proofErr w:type="spellStart"/>
      <w:r w:rsidRPr="00225D4D">
        <w:t>Innst</w:t>
      </w:r>
      <w:proofErr w:type="spellEnd"/>
      <w:r w:rsidRPr="00225D4D">
        <w:t xml:space="preserve">. 133 S (2024–2025) </w:t>
      </w:r>
      <w:proofErr w:type="spellStart"/>
      <w:r w:rsidRPr="00225D4D">
        <w:t>frå</w:t>
      </w:r>
      <w:proofErr w:type="spellEnd"/>
      <w:r w:rsidRPr="00225D4D">
        <w:t xml:space="preserve"> justiskomiteen.</w:t>
      </w:r>
    </w:p>
    <w:p w14:paraId="6EA27CE0" w14:textId="77777777" w:rsidR="00D60186" w:rsidRPr="00225D4D" w:rsidRDefault="00D60186" w:rsidP="00225D4D">
      <w:r w:rsidRPr="00225D4D">
        <w:t>Vedtaket er under behandling.</w:t>
      </w:r>
    </w:p>
    <w:p w14:paraId="6A9D9050" w14:textId="77777777" w:rsidR="00D60186" w:rsidRPr="00225D4D" w:rsidRDefault="00D60186" w:rsidP="00225D4D">
      <w:pPr>
        <w:pStyle w:val="avsnitt-tittel"/>
      </w:pPr>
      <w:r w:rsidRPr="00225D4D">
        <w:t>Visitasjonssoner for våpenkontroll</w:t>
      </w:r>
    </w:p>
    <w:p w14:paraId="39B63F7B" w14:textId="77777777" w:rsidR="00D60186" w:rsidRPr="00225D4D" w:rsidRDefault="00D60186" w:rsidP="00225D4D">
      <w:pPr>
        <w:pStyle w:val="avsnitt-undertittel"/>
      </w:pPr>
      <w:r w:rsidRPr="00225D4D">
        <w:t>Vedtak nr. 479, 20. februar 2025</w:t>
      </w:r>
    </w:p>
    <w:p w14:paraId="1FAE132C" w14:textId="77777777" w:rsidR="00D60186" w:rsidRPr="00225D4D" w:rsidRDefault="00D60186" w:rsidP="00225D4D">
      <w:pPr>
        <w:pStyle w:val="blokksit"/>
        <w:rPr>
          <w:rStyle w:val="kursiv"/>
        </w:rPr>
      </w:pPr>
      <w:r w:rsidRPr="00225D4D">
        <w:rPr>
          <w:rStyle w:val="kursiv"/>
        </w:rPr>
        <w:t>«Stortinget ber regjeringen innen 1. september 2025 fremme de nødvendige lovendringsforslag for å sikre innføring av visitasjonssoner for våpenkontroll.»</w:t>
      </w:r>
    </w:p>
    <w:p w14:paraId="74224F61" w14:textId="77777777" w:rsidR="00D60186" w:rsidRPr="00225D4D" w:rsidRDefault="00D60186" w:rsidP="00225D4D">
      <w:r w:rsidRPr="00225D4D">
        <w:t xml:space="preserve">Dokumenta som ligg til grunn for vedtaket, er Dokument 8:7 S (2024–2025) og </w:t>
      </w:r>
      <w:proofErr w:type="spellStart"/>
      <w:r w:rsidRPr="00225D4D">
        <w:t>Innst</w:t>
      </w:r>
      <w:proofErr w:type="spellEnd"/>
      <w:r w:rsidRPr="00225D4D">
        <w:t xml:space="preserve">. 133 S (2024–2025) </w:t>
      </w:r>
      <w:proofErr w:type="spellStart"/>
      <w:r w:rsidRPr="00225D4D">
        <w:t>frå</w:t>
      </w:r>
      <w:proofErr w:type="spellEnd"/>
      <w:r w:rsidRPr="00225D4D">
        <w:t xml:space="preserve"> justiskomiteen.</w:t>
      </w:r>
    </w:p>
    <w:p w14:paraId="634C389E" w14:textId="77777777" w:rsidR="00D60186" w:rsidRPr="00225D4D" w:rsidRDefault="00D60186" w:rsidP="00225D4D">
      <w:r w:rsidRPr="00225D4D">
        <w:t xml:space="preserve">Vedtaket er under behandling. Ei utgreiing er sett i gang og skal ferdigstillast før årsskiftet 2025-2026. Deretter vil </w:t>
      </w:r>
      <w:proofErr w:type="spellStart"/>
      <w:r w:rsidRPr="00225D4D">
        <w:t>eit</w:t>
      </w:r>
      <w:proofErr w:type="spellEnd"/>
      <w:r w:rsidRPr="00225D4D">
        <w:t xml:space="preserve"> lovforslag bli sendt på </w:t>
      </w:r>
      <w:proofErr w:type="spellStart"/>
      <w:r w:rsidRPr="00225D4D">
        <w:t>høyring</w:t>
      </w:r>
      <w:proofErr w:type="spellEnd"/>
      <w:r w:rsidRPr="00225D4D">
        <w:t>.</w:t>
      </w:r>
    </w:p>
    <w:p w14:paraId="7E24F351" w14:textId="77777777" w:rsidR="00D60186" w:rsidRPr="00225D4D" w:rsidRDefault="00D60186" w:rsidP="00225D4D">
      <w:pPr>
        <w:pStyle w:val="avsnitt-tittel"/>
      </w:pPr>
      <w:r w:rsidRPr="00225D4D">
        <w:t xml:space="preserve">Hurtigspor for rask domsavseiing ved </w:t>
      </w:r>
      <w:proofErr w:type="spellStart"/>
      <w:r w:rsidRPr="00225D4D">
        <w:t>lovbrot</w:t>
      </w:r>
      <w:proofErr w:type="spellEnd"/>
      <w:r w:rsidRPr="00225D4D">
        <w:t xml:space="preserve"> der gjerningspersonen er under 18 år</w:t>
      </w:r>
    </w:p>
    <w:p w14:paraId="6A97562C" w14:textId="77777777" w:rsidR="00D60186" w:rsidRPr="00225D4D" w:rsidRDefault="00D60186" w:rsidP="00225D4D">
      <w:pPr>
        <w:pStyle w:val="avsnitt-undertittel"/>
      </w:pPr>
      <w:r w:rsidRPr="00225D4D">
        <w:t>Vedtak nr. 480, 20. februar 2025</w:t>
      </w:r>
    </w:p>
    <w:p w14:paraId="4AD1B79E" w14:textId="77777777" w:rsidR="00D60186" w:rsidRPr="00225D4D" w:rsidRDefault="00D60186" w:rsidP="00225D4D">
      <w:pPr>
        <w:pStyle w:val="blokksit"/>
        <w:rPr>
          <w:rStyle w:val="kursiv"/>
        </w:rPr>
      </w:pPr>
      <w:r w:rsidRPr="00225D4D">
        <w:rPr>
          <w:rStyle w:val="kursiv"/>
        </w:rPr>
        <w:t>«Stortinget ber regjeringen innen 2026 legge til rette for implementering av hurtigspor for rask pådømmelse av lovbrudd begått av gjerningspersoner som var under 18 år på handlingstidspunktet, i de resterende politidistriktene.»</w:t>
      </w:r>
    </w:p>
    <w:p w14:paraId="6A7DF5DF" w14:textId="77777777" w:rsidR="00D60186" w:rsidRPr="00225D4D" w:rsidRDefault="00D60186" w:rsidP="00225D4D">
      <w:r w:rsidRPr="00225D4D">
        <w:t xml:space="preserve">Dokumenta som ligg til grunn for vedtaket, er Dokument 8:10 S (2024–2025) og </w:t>
      </w:r>
      <w:proofErr w:type="spellStart"/>
      <w:r w:rsidRPr="00225D4D">
        <w:t>Innst</w:t>
      </w:r>
      <w:proofErr w:type="spellEnd"/>
      <w:r w:rsidRPr="00225D4D">
        <w:t>. 133 S (2024–2025).</w:t>
      </w:r>
    </w:p>
    <w:p w14:paraId="7D4E652B"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Utrullinga er i gang. I 2025 er det prioritert </w:t>
      </w:r>
      <w:proofErr w:type="spellStart"/>
      <w:r w:rsidRPr="00225D4D">
        <w:t>midlar</w:t>
      </w:r>
      <w:proofErr w:type="spellEnd"/>
      <w:r w:rsidRPr="00225D4D">
        <w:t xml:space="preserve"> til </w:t>
      </w:r>
      <w:proofErr w:type="spellStart"/>
      <w:r w:rsidRPr="00225D4D">
        <w:t>ein</w:t>
      </w:r>
      <w:proofErr w:type="spellEnd"/>
      <w:r w:rsidRPr="00225D4D">
        <w:t xml:space="preserve"> </w:t>
      </w:r>
      <w:proofErr w:type="spellStart"/>
      <w:r w:rsidRPr="00225D4D">
        <w:t>særskild</w:t>
      </w:r>
      <w:proofErr w:type="spellEnd"/>
      <w:r w:rsidRPr="00225D4D">
        <w:t xml:space="preserve"> innsats for </w:t>
      </w:r>
      <w:proofErr w:type="spellStart"/>
      <w:r w:rsidRPr="00225D4D">
        <w:t>raskare</w:t>
      </w:r>
      <w:proofErr w:type="spellEnd"/>
      <w:r w:rsidRPr="00225D4D">
        <w:t xml:space="preserve"> behandling av straffesaker der gjerningspersonen er under 18 år, </w:t>
      </w:r>
      <w:proofErr w:type="spellStart"/>
      <w:r w:rsidRPr="00225D4D">
        <w:t>såkalla</w:t>
      </w:r>
      <w:proofErr w:type="spellEnd"/>
      <w:r w:rsidRPr="00225D4D">
        <w:t xml:space="preserve"> hurtigspor, i Agder, Aust, Oslo og Vest politidistrikt. Regjeringa foreslår i statsbudsjettet for 2026 å utvide innsatsen til Sør-Vest politidistrikt. Regjeringa foreslår òg </w:t>
      </w:r>
      <w:proofErr w:type="spellStart"/>
      <w:r w:rsidRPr="00225D4D">
        <w:t>midlar</w:t>
      </w:r>
      <w:proofErr w:type="spellEnd"/>
      <w:r w:rsidRPr="00225D4D">
        <w:t xml:space="preserve"> til å konsolidere arbeidet med hurtigspor slik at det blir mest </w:t>
      </w:r>
      <w:proofErr w:type="spellStart"/>
      <w:r w:rsidRPr="00225D4D">
        <w:t>mogleg</w:t>
      </w:r>
      <w:proofErr w:type="spellEnd"/>
      <w:r w:rsidRPr="00225D4D">
        <w:t xml:space="preserve"> lik praksis i </w:t>
      </w:r>
      <w:proofErr w:type="spellStart"/>
      <w:r w:rsidRPr="00225D4D">
        <w:t>dei</w:t>
      </w:r>
      <w:proofErr w:type="spellEnd"/>
      <w:r w:rsidRPr="00225D4D">
        <w:t xml:space="preserve"> distrikta som er med på ordninga.</w:t>
      </w:r>
    </w:p>
    <w:p w14:paraId="438C17CF" w14:textId="77777777" w:rsidR="00D60186" w:rsidRPr="00225D4D" w:rsidRDefault="00D60186" w:rsidP="00225D4D">
      <w:pPr>
        <w:pStyle w:val="avsnitt-tittel"/>
      </w:pPr>
      <w:r w:rsidRPr="00225D4D">
        <w:t>Fri rettshjelp i barnevernssaker</w:t>
      </w:r>
    </w:p>
    <w:p w14:paraId="707A3D55" w14:textId="77777777" w:rsidR="00D60186" w:rsidRPr="00225D4D" w:rsidRDefault="00D60186" w:rsidP="00225D4D">
      <w:pPr>
        <w:pStyle w:val="avsnitt-undertittel"/>
      </w:pPr>
      <w:r w:rsidRPr="00225D4D">
        <w:t>Vedtak nr. 517, dato 18. mars 2025</w:t>
      </w:r>
    </w:p>
    <w:p w14:paraId="1C8FDD9E" w14:textId="77777777" w:rsidR="00D60186" w:rsidRPr="00225D4D" w:rsidRDefault="00D60186" w:rsidP="00225D4D">
      <w:pPr>
        <w:pStyle w:val="blokksit"/>
        <w:rPr>
          <w:rStyle w:val="kursiv"/>
        </w:rPr>
      </w:pPr>
      <w:r w:rsidRPr="00225D4D">
        <w:rPr>
          <w:rStyle w:val="kursiv"/>
        </w:rPr>
        <w:t>«Stortinget ber regjeringen utrede endringer i rettshjelploven som vil gi private parter rett til fri rettshjelp fra og med undersøkelsesfasen i barnevernet i samværssaker og i tvangssaker som går for Barneverns- og helsenemnda.»</w:t>
      </w:r>
    </w:p>
    <w:p w14:paraId="5635B410" w14:textId="77777777" w:rsidR="00D60186" w:rsidRPr="00225D4D" w:rsidRDefault="00D60186" w:rsidP="00225D4D">
      <w:r w:rsidRPr="00225D4D">
        <w:t xml:space="preserve">Dokumenta som ligg til grunn for vedtaket, er Dokument 8:15 S (2024–2025) og </w:t>
      </w:r>
      <w:proofErr w:type="spellStart"/>
      <w:r w:rsidRPr="00225D4D">
        <w:t>Innst</w:t>
      </w:r>
      <w:proofErr w:type="spellEnd"/>
      <w:r w:rsidRPr="00225D4D">
        <w:t>. 154 S (2024–2025).</w:t>
      </w:r>
    </w:p>
    <w:p w14:paraId="6549B675" w14:textId="77777777" w:rsidR="00D60186" w:rsidRPr="00225D4D" w:rsidRDefault="00D60186" w:rsidP="00225D4D">
      <w:r w:rsidRPr="00225D4D">
        <w:t xml:space="preserve">Vedtaket er under behandling. Departementet har gjennom to </w:t>
      </w:r>
      <w:proofErr w:type="spellStart"/>
      <w:r w:rsidRPr="00225D4D">
        <w:t>proposisjonar</w:t>
      </w:r>
      <w:proofErr w:type="spellEnd"/>
      <w:r w:rsidRPr="00225D4D">
        <w:t xml:space="preserve"> </w:t>
      </w:r>
      <w:proofErr w:type="spellStart"/>
      <w:r w:rsidRPr="00225D4D">
        <w:t>følgt</w:t>
      </w:r>
      <w:proofErr w:type="spellEnd"/>
      <w:r w:rsidRPr="00225D4D">
        <w:t xml:space="preserve"> opp </w:t>
      </w:r>
      <w:proofErr w:type="spellStart"/>
      <w:r w:rsidRPr="00225D4D">
        <w:t>dei</w:t>
      </w:r>
      <w:proofErr w:type="spellEnd"/>
      <w:r w:rsidRPr="00225D4D">
        <w:t xml:space="preserve"> </w:t>
      </w:r>
      <w:proofErr w:type="spellStart"/>
      <w:r w:rsidRPr="00225D4D">
        <w:t>viktigaste</w:t>
      </w:r>
      <w:proofErr w:type="spellEnd"/>
      <w:r w:rsidRPr="00225D4D">
        <w:t xml:space="preserve"> forslaga til </w:t>
      </w:r>
      <w:proofErr w:type="spellStart"/>
      <w:r w:rsidRPr="00225D4D">
        <w:t>rettshjelpsutvalet</w:t>
      </w:r>
      <w:proofErr w:type="spellEnd"/>
      <w:r w:rsidRPr="00225D4D">
        <w:t xml:space="preserve">. Det er </w:t>
      </w:r>
      <w:proofErr w:type="spellStart"/>
      <w:r w:rsidRPr="00225D4D">
        <w:t>vedteke</w:t>
      </w:r>
      <w:proofErr w:type="spellEnd"/>
      <w:r w:rsidRPr="00225D4D">
        <w:t xml:space="preserve"> </w:t>
      </w:r>
      <w:proofErr w:type="spellStart"/>
      <w:r w:rsidRPr="00225D4D">
        <w:t>ein</w:t>
      </w:r>
      <w:proofErr w:type="spellEnd"/>
      <w:r w:rsidRPr="00225D4D">
        <w:t xml:space="preserve"> ny økonomisk modell for behovsprøving, og det er </w:t>
      </w:r>
      <w:proofErr w:type="spellStart"/>
      <w:r w:rsidRPr="00225D4D">
        <w:t>føreteke</w:t>
      </w:r>
      <w:proofErr w:type="spellEnd"/>
      <w:r w:rsidRPr="00225D4D">
        <w:t xml:space="preserve"> </w:t>
      </w:r>
      <w:proofErr w:type="spellStart"/>
      <w:r w:rsidRPr="00225D4D">
        <w:t>ein</w:t>
      </w:r>
      <w:proofErr w:type="spellEnd"/>
      <w:r w:rsidRPr="00225D4D">
        <w:t xml:space="preserve"> </w:t>
      </w:r>
      <w:proofErr w:type="spellStart"/>
      <w:r w:rsidRPr="00225D4D">
        <w:t>heilskapleg</w:t>
      </w:r>
      <w:proofErr w:type="spellEnd"/>
      <w:r w:rsidRPr="00225D4D">
        <w:t xml:space="preserve"> gjennomgang av kva for </w:t>
      </w:r>
      <w:proofErr w:type="spellStart"/>
      <w:r w:rsidRPr="00225D4D">
        <w:t>sakstypar</w:t>
      </w:r>
      <w:proofErr w:type="spellEnd"/>
      <w:r w:rsidRPr="00225D4D">
        <w:t xml:space="preserve"> som bør </w:t>
      </w:r>
      <w:proofErr w:type="spellStart"/>
      <w:r w:rsidRPr="00225D4D">
        <w:t>vere</w:t>
      </w:r>
      <w:proofErr w:type="spellEnd"/>
      <w:r w:rsidRPr="00225D4D">
        <w:t xml:space="preserve"> prioriterte etter lova. Forslaget til </w:t>
      </w:r>
      <w:proofErr w:type="spellStart"/>
      <w:r w:rsidRPr="00225D4D">
        <w:t>fleirtalet</w:t>
      </w:r>
      <w:proofErr w:type="spellEnd"/>
      <w:r w:rsidRPr="00225D4D">
        <w:t xml:space="preserve"> i </w:t>
      </w:r>
      <w:proofErr w:type="spellStart"/>
      <w:r w:rsidRPr="00225D4D">
        <w:t>rettshjelpsutvalet</w:t>
      </w:r>
      <w:proofErr w:type="spellEnd"/>
      <w:r w:rsidRPr="00225D4D">
        <w:t xml:space="preserve"> om </w:t>
      </w:r>
      <w:proofErr w:type="spellStart"/>
      <w:r w:rsidRPr="00225D4D">
        <w:t>endringar</w:t>
      </w:r>
      <w:proofErr w:type="spellEnd"/>
      <w:r w:rsidRPr="00225D4D">
        <w:t xml:space="preserve"> i rettshjelpslova knytte til </w:t>
      </w:r>
      <w:proofErr w:type="spellStart"/>
      <w:r w:rsidRPr="00225D4D">
        <w:t>behandlinga</w:t>
      </w:r>
      <w:proofErr w:type="spellEnd"/>
      <w:r w:rsidRPr="00225D4D">
        <w:t xml:space="preserve"> av barnevernssaker må eventuelt </w:t>
      </w:r>
      <w:proofErr w:type="spellStart"/>
      <w:r w:rsidRPr="00225D4D">
        <w:t>greiast</w:t>
      </w:r>
      <w:proofErr w:type="spellEnd"/>
      <w:r w:rsidRPr="00225D4D">
        <w:t xml:space="preserve"> ut </w:t>
      </w:r>
      <w:proofErr w:type="spellStart"/>
      <w:r w:rsidRPr="00225D4D">
        <w:t>nærmare</w:t>
      </w:r>
      <w:proofErr w:type="spellEnd"/>
      <w:r w:rsidRPr="00225D4D">
        <w:t xml:space="preserve">, og er derfor </w:t>
      </w:r>
      <w:proofErr w:type="spellStart"/>
      <w:r w:rsidRPr="00225D4D">
        <w:t>ikkje</w:t>
      </w:r>
      <w:proofErr w:type="spellEnd"/>
      <w:r w:rsidRPr="00225D4D">
        <w:t xml:space="preserve"> </w:t>
      </w:r>
      <w:proofErr w:type="spellStart"/>
      <w:r w:rsidRPr="00225D4D">
        <w:t>følgt</w:t>
      </w:r>
      <w:proofErr w:type="spellEnd"/>
      <w:r w:rsidRPr="00225D4D">
        <w:t xml:space="preserve"> opp i proposisjonen, jf. </w:t>
      </w:r>
      <w:proofErr w:type="spellStart"/>
      <w:r w:rsidRPr="00225D4D">
        <w:t>Prop</w:t>
      </w:r>
      <w:proofErr w:type="spellEnd"/>
      <w:r w:rsidRPr="00225D4D">
        <w:t>. 103 L (2024–2025).</w:t>
      </w:r>
    </w:p>
    <w:p w14:paraId="57E98EE1" w14:textId="77777777" w:rsidR="00D60186" w:rsidRPr="00225D4D" w:rsidRDefault="00D60186" w:rsidP="00225D4D">
      <w:pPr>
        <w:pStyle w:val="avsnitt-tittel"/>
      </w:pPr>
      <w:r w:rsidRPr="00225D4D">
        <w:t xml:space="preserve">Handteringa til </w:t>
      </w:r>
      <w:proofErr w:type="spellStart"/>
      <w:r w:rsidRPr="00225D4D">
        <w:t>myndigheitene</w:t>
      </w:r>
      <w:proofErr w:type="spellEnd"/>
      <w:r w:rsidRPr="00225D4D">
        <w:t xml:space="preserve"> av koronapandemien</w:t>
      </w:r>
    </w:p>
    <w:p w14:paraId="361B288D" w14:textId="77777777" w:rsidR="00D60186" w:rsidRPr="00225D4D" w:rsidRDefault="00D60186" w:rsidP="00225D4D">
      <w:pPr>
        <w:pStyle w:val="avsnitt-undertittel"/>
      </w:pPr>
      <w:r w:rsidRPr="00225D4D">
        <w:t>Vedtak nr. 600, 29. april 2025</w:t>
      </w:r>
    </w:p>
    <w:p w14:paraId="4AEF88C2" w14:textId="77777777" w:rsidR="00D60186" w:rsidRPr="00225D4D" w:rsidRDefault="00D60186" w:rsidP="00225D4D">
      <w:pPr>
        <w:pStyle w:val="blokksit"/>
        <w:rPr>
          <w:rStyle w:val="kursiv"/>
        </w:rPr>
      </w:pPr>
      <w:r w:rsidRPr="00225D4D">
        <w:rPr>
          <w:rStyle w:val="kursiv"/>
        </w:rPr>
        <w:t>«Stortinget ber regjeringen gjennomgå alle krise- og beredskapslover og, der det er naturlig, fremme forslag om en bestemmelse som sikrer at hensynet til barnets beste og å bevare en mest mulig normal hverdag for barn og unge skal vektlegges i all krisehåndtering.»</w:t>
      </w:r>
    </w:p>
    <w:p w14:paraId="625E44A7"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151 S (2024–2025).</w:t>
      </w:r>
    </w:p>
    <w:p w14:paraId="557CB420" w14:textId="77777777" w:rsidR="00D60186" w:rsidRPr="00225D4D" w:rsidRDefault="00D60186" w:rsidP="00225D4D">
      <w:r w:rsidRPr="00225D4D">
        <w:t>Vedtaket er under behandling.</w:t>
      </w:r>
    </w:p>
    <w:p w14:paraId="2C171A53" w14:textId="77777777" w:rsidR="00D60186" w:rsidRPr="00225D4D" w:rsidRDefault="00D60186" w:rsidP="00225D4D">
      <w:pPr>
        <w:pStyle w:val="avsnitt-tittel"/>
      </w:pPr>
      <w:r w:rsidRPr="00225D4D">
        <w:t xml:space="preserve">Tilfluktsrom – bruk av </w:t>
      </w:r>
      <w:proofErr w:type="spellStart"/>
      <w:r w:rsidRPr="00225D4D">
        <w:t>eksisterande</w:t>
      </w:r>
      <w:proofErr w:type="spellEnd"/>
      <w:r w:rsidRPr="00225D4D">
        <w:t xml:space="preserve"> infrastruktur</w:t>
      </w:r>
    </w:p>
    <w:p w14:paraId="0D59AECF" w14:textId="77777777" w:rsidR="00D60186" w:rsidRPr="00225D4D" w:rsidRDefault="00D60186" w:rsidP="00225D4D">
      <w:pPr>
        <w:pStyle w:val="avsnitt-undertittel"/>
      </w:pPr>
      <w:r w:rsidRPr="00225D4D">
        <w:t>Vedtak nr. 624, 6. mai 2025</w:t>
      </w:r>
    </w:p>
    <w:p w14:paraId="4493E7B5" w14:textId="77777777" w:rsidR="00D60186" w:rsidRPr="00225D4D" w:rsidRDefault="00D60186" w:rsidP="00225D4D">
      <w:pPr>
        <w:pStyle w:val="blokksit"/>
        <w:rPr>
          <w:rStyle w:val="kursiv"/>
        </w:rPr>
      </w:pPr>
      <w:r w:rsidRPr="00225D4D">
        <w:rPr>
          <w:rStyle w:val="kursiv"/>
        </w:rPr>
        <w:t>«Stortinget ber regjeringen utarbeide en plan for hvordan man kan ta i bruk eksisterende infrastruktur som tunneler og underjordiske stasjoner på jernbane og T-bane, som mulige tilfluktsrom.»</w:t>
      </w:r>
    </w:p>
    <w:p w14:paraId="792CE08B"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49AF33E0" w14:textId="77777777" w:rsidR="00D60186" w:rsidRPr="00225D4D" w:rsidRDefault="00D60186" w:rsidP="00225D4D">
      <w:r w:rsidRPr="00225D4D">
        <w:t xml:space="preserve">Vedtaket er under behandling. Regjeringa vil innføre </w:t>
      </w:r>
      <w:proofErr w:type="spellStart"/>
      <w:r w:rsidRPr="00225D4D">
        <w:t>eit</w:t>
      </w:r>
      <w:proofErr w:type="spellEnd"/>
      <w:r w:rsidRPr="00225D4D">
        <w:t xml:space="preserve"> nytt vernekonsept. I denne </w:t>
      </w:r>
      <w:proofErr w:type="spellStart"/>
      <w:r w:rsidRPr="00225D4D">
        <w:t>samanhengen</w:t>
      </w:r>
      <w:proofErr w:type="spellEnd"/>
      <w:r w:rsidRPr="00225D4D">
        <w:t xml:space="preserve"> vil regjeringa justere det </w:t>
      </w:r>
      <w:proofErr w:type="spellStart"/>
      <w:r w:rsidRPr="00225D4D">
        <w:t>gjeldande</w:t>
      </w:r>
      <w:proofErr w:type="spellEnd"/>
      <w:r w:rsidRPr="00225D4D">
        <w:t xml:space="preserve"> regelverket med nye kriterium for bygging av vernerom. Vurdering av bruk av </w:t>
      </w:r>
      <w:proofErr w:type="spellStart"/>
      <w:r w:rsidRPr="00225D4D">
        <w:t>eksisterande</w:t>
      </w:r>
      <w:proofErr w:type="spellEnd"/>
      <w:r w:rsidRPr="00225D4D">
        <w:t xml:space="preserve"> infrastruktur som </w:t>
      </w:r>
      <w:proofErr w:type="spellStart"/>
      <w:r w:rsidRPr="00225D4D">
        <w:t>mogelege</w:t>
      </w:r>
      <w:proofErr w:type="spellEnd"/>
      <w:r w:rsidRPr="00225D4D">
        <w:t xml:space="preserve"> tilfluktsrom vil </w:t>
      </w:r>
      <w:proofErr w:type="spellStart"/>
      <w:r w:rsidRPr="00225D4D">
        <w:t>vere</w:t>
      </w:r>
      <w:proofErr w:type="spellEnd"/>
      <w:r w:rsidRPr="00225D4D">
        <w:t xml:space="preserve"> del av arbeidet.</w:t>
      </w:r>
    </w:p>
    <w:p w14:paraId="6165EA1F" w14:textId="77777777" w:rsidR="00D60186" w:rsidRPr="00225D4D" w:rsidRDefault="00D60186" w:rsidP="00225D4D">
      <w:pPr>
        <w:pStyle w:val="avsnitt-tittel"/>
      </w:pPr>
      <w:proofErr w:type="spellStart"/>
      <w:r w:rsidRPr="00225D4D">
        <w:t>Politirolleutval</w:t>
      </w:r>
      <w:proofErr w:type="spellEnd"/>
    </w:p>
    <w:p w14:paraId="1DD3879F" w14:textId="77777777" w:rsidR="00D60186" w:rsidRPr="00225D4D" w:rsidRDefault="00D60186" w:rsidP="00225D4D">
      <w:pPr>
        <w:pStyle w:val="avsnitt-undertittel"/>
      </w:pPr>
      <w:r w:rsidRPr="00225D4D">
        <w:t>Vedtak nr. 625, 6. mai 2025</w:t>
      </w:r>
    </w:p>
    <w:p w14:paraId="5706A8DD" w14:textId="77777777" w:rsidR="00D60186" w:rsidRPr="00225D4D" w:rsidRDefault="00D60186" w:rsidP="00225D4D">
      <w:pPr>
        <w:pStyle w:val="blokksit"/>
        <w:rPr>
          <w:rStyle w:val="kursiv"/>
        </w:rPr>
      </w:pPr>
      <w:r w:rsidRPr="00225D4D">
        <w:rPr>
          <w:rStyle w:val="kursiv"/>
        </w:rPr>
        <w:t>«Stortinget ber regjeringen nedsette et politirolleutvalg innen 1. september 2025.»</w:t>
      </w:r>
    </w:p>
    <w:p w14:paraId="358918C7"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678852BF" w14:textId="77777777" w:rsidR="00D60186" w:rsidRPr="00225D4D" w:rsidRDefault="00D60186" w:rsidP="00225D4D">
      <w:r w:rsidRPr="00225D4D">
        <w:t xml:space="preserve">Vedtaket er </w:t>
      </w:r>
      <w:proofErr w:type="spellStart"/>
      <w:r w:rsidRPr="00225D4D">
        <w:t>følgt</w:t>
      </w:r>
      <w:proofErr w:type="spellEnd"/>
      <w:r w:rsidRPr="00225D4D">
        <w:t xml:space="preserve"> opp. Den 24. juni 2025 sette regjeringa ned </w:t>
      </w:r>
      <w:proofErr w:type="spellStart"/>
      <w:r w:rsidRPr="00225D4D">
        <w:t>eit</w:t>
      </w:r>
      <w:proofErr w:type="spellEnd"/>
      <w:r w:rsidRPr="00225D4D">
        <w:t xml:space="preserve"> </w:t>
      </w:r>
      <w:proofErr w:type="spellStart"/>
      <w:r w:rsidRPr="00225D4D">
        <w:t>utval</w:t>
      </w:r>
      <w:proofErr w:type="spellEnd"/>
      <w:r w:rsidRPr="00225D4D">
        <w:t xml:space="preserve"> som skal bidra til å definere og </w:t>
      </w:r>
      <w:proofErr w:type="spellStart"/>
      <w:r w:rsidRPr="00225D4D">
        <w:t>tydeleggjere</w:t>
      </w:r>
      <w:proofErr w:type="spellEnd"/>
      <w:r w:rsidRPr="00225D4D">
        <w:t xml:space="preserve"> politirolla. Sjå elles omtale under kategori 06.40.</w:t>
      </w:r>
    </w:p>
    <w:p w14:paraId="73DB5C06" w14:textId="77777777" w:rsidR="00D60186" w:rsidRPr="00225D4D" w:rsidRDefault="00D60186" w:rsidP="00225D4D">
      <w:pPr>
        <w:pStyle w:val="avsnitt-tittel"/>
      </w:pPr>
      <w:r w:rsidRPr="00225D4D">
        <w:t>Stortingsmelding om langtidsplan for politiet</w:t>
      </w:r>
    </w:p>
    <w:p w14:paraId="41664EEF" w14:textId="77777777" w:rsidR="00D60186" w:rsidRPr="00225D4D" w:rsidRDefault="00D60186" w:rsidP="00225D4D">
      <w:pPr>
        <w:pStyle w:val="avsnitt-undertittel"/>
      </w:pPr>
      <w:r w:rsidRPr="00225D4D">
        <w:t>Vedtak nr. 626, 6. mai 2025</w:t>
      </w:r>
    </w:p>
    <w:p w14:paraId="0CEF114D" w14:textId="77777777" w:rsidR="00D60186" w:rsidRPr="00225D4D" w:rsidRDefault="00D60186" w:rsidP="00225D4D">
      <w:pPr>
        <w:pStyle w:val="blokksit"/>
        <w:rPr>
          <w:rStyle w:val="kursiv"/>
        </w:rPr>
      </w:pPr>
      <w:r w:rsidRPr="00225D4D">
        <w:rPr>
          <w:rStyle w:val="kursiv"/>
        </w:rPr>
        <w:t>«Stortinget ber regjeringen basert på politidirektørens faglige råd og politirolleutvalget fremme en stortingsmelding om langtidsplan for politiet så snart som mulig og gi en orientering om fremdrift i forbindelse med statsbudsjettet for 2026.».</w:t>
      </w:r>
    </w:p>
    <w:p w14:paraId="4A776EB8"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62DF6813" w14:textId="77777777" w:rsidR="00D60186" w:rsidRPr="00225D4D" w:rsidRDefault="00D60186" w:rsidP="00225D4D">
      <w:r w:rsidRPr="00225D4D">
        <w:t xml:space="preserve">Vedtaket er under behandling. Den </w:t>
      </w:r>
      <w:proofErr w:type="spellStart"/>
      <w:r w:rsidRPr="00225D4D">
        <w:t>kommande</w:t>
      </w:r>
      <w:proofErr w:type="spellEnd"/>
      <w:r w:rsidRPr="00225D4D">
        <w:t xml:space="preserve"> utgreiinga til </w:t>
      </w:r>
      <w:proofErr w:type="spellStart"/>
      <w:r w:rsidRPr="00225D4D">
        <w:t>politirolleutvalet</w:t>
      </w:r>
      <w:proofErr w:type="spellEnd"/>
      <w:r w:rsidRPr="00225D4D">
        <w:t xml:space="preserve"> vil </w:t>
      </w:r>
      <w:proofErr w:type="spellStart"/>
      <w:r w:rsidRPr="00225D4D">
        <w:t>vere</w:t>
      </w:r>
      <w:proofErr w:type="spellEnd"/>
      <w:r w:rsidRPr="00225D4D">
        <w:t xml:space="preserve"> </w:t>
      </w:r>
      <w:proofErr w:type="spellStart"/>
      <w:r w:rsidRPr="00225D4D">
        <w:t>eit</w:t>
      </w:r>
      <w:proofErr w:type="spellEnd"/>
      <w:r w:rsidRPr="00225D4D">
        <w:t xml:space="preserve"> sentralt bidrag, </w:t>
      </w:r>
      <w:proofErr w:type="spellStart"/>
      <w:r w:rsidRPr="00225D4D">
        <w:t>saman</w:t>
      </w:r>
      <w:proofErr w:type="spellEnd"/>
      <w:r w:rsidRPr="00225D4D">
        <w:t xml:space="preserve"> med anna relevant kunnskapsgrunnlag som blir utarbeidd. Utgreiinga vil kunne </w:t>
      </w:r>
      <w:proofErr w:type="spellStart"/>
      <w:r w:rsidRPr="00225D4D">
        <w:t>leggje</w:t>
      </w:r>
      <w:proofErr w:type="spellEnd"/>
      <w:r w:rsidRPr="00225D4D">
        <w:t xml:space="preserve"> til rette for å behandle </w:t>
      </w:r>
      <w:proofErr w:type="spellStart"/>
      <w:r w:rsidRPr="00225D4D">
        <w:t>retningsval</w:t>
      </w:r>
      <w:proofErr w:type="spellEnd"/>
      <w:r w:rsidRPr="00225D4D">
        <w:t xml:space="preserve"> for politiet, som det vil </w:t>
      </w:r>
      <w:proofErr w:type="spellStart"/>
      <w:r w:rsidRPr="00225D4D">
        <w:t>vere</w:t>
      </w:r>
      <w:proofErr w:type="spellEnd"/>
      <w:r w:rsidRPr="00225D4D">
        <w:t xml:space="preserve"> </w:t>
      </w:r>
      <w:proofErr w:type="spellStart"/>
      <w:r w:rsidRPr="00225D4D">
        <w:t>naturleg</w:t>
      </w:r>
      <w:proofErr w:type="spellEnd"/>
      <w:r w:rsidRPr="00225D4D">
        <w:t xml:space="preserve"> å </w:t>
      </w:r>
      <w:proofErr w:type="spellStart"/>
      <w:r w:rsidRPr="00225D4D">
        <w:t>leggje</w:t>
      </w:r>
      <w:proofErr w:type="spellEnd"/>
      <w:r w:rsidRPr="00225D4D">
        <w:t xml:space="preserve"> fram for Stortinget i form av ei melding eller </w:t>
      </w:r>
      <w:proofErr w:type="spellStart"/>
      <w:r w:rsidRPr="00225D4D">
        <w:t>ein</w:t>
      </w:r>
      <w:proofErr w:type="spellEnd"/>
      <w:r w:rsidRPr="00225D4D">
        <w:t xml:space="preserve"> proposisjon. Sjå elles omtale under kategori 06.40.</w:t>
      </w:r>
    </w:p>
    <w:p w14:paraId="2FA89BF0" w14:textId="77777777" w:rsidR="00D60186" w:rsidRPr="00225D4D" w:rsidRDefault="00D60186" w:rsidP="00225D4D">
      <w:pPr>
        <w:pStyle w:val="avsnitt-tittel"/>
      </w:pPr>
      <w:proofErr w:type="spellStart"/>
      <w:r w:rsidRPr="00225D4D">
        <w:t>Organisasjonar</w:t>
      </w:r>
      <w:proofErr w:type="spellEnd"/>
      <w:r w:rsidRPr="00225D4D">
        <w:t xml:space="preserve"> med omsorgsberedskap i kriser og </w:t>
      </w:r>
      <w:proofErr w:type="spellStart"/>
      <w:r w:rsidRPr="00225D4D">
        <w:t>katastrofar</w:t>
      </w:r>
      <w:proofErr w:type="spellEnd"/>
    </w:p>
    <w:p w14:paraId="72730367" w14:textId="77777777" w:rsidR="00D60186" w:rsidRPr="00225D4D" w:rsidRDefault="00D60186" w:rsidP="00225D4D">
      <w:pPr>
        <w:pStyle w:val="avsnitt-undertittel"/>
      </w:pPr>
      <w:r w:rsidRPr="00225D4D">
        <w:t>Vedtak nr. 627, 6. mai 2025</w:t>
      </w:r>
    </w:p>
    <w:p w14:paraId="41566F9E" w14:textId="77777777" w:rsidR="00D60186" w:rsidRPr="00225D4D" w:rsidRDefault="00D60186" w:rsidP="00225D4D">
      <w:pPr>
        <w:pStyle w:val="blokksit"/>
        <w:rPr>
          <w:rStyle w:val="kursiv"/>
        </w:rPr>
      </w:pPr>
      <w:r w:rsidRPr="00225D4D">
        <w:rPr>
          <w:rStyle w:val="kursiv"/>
        </w:rPr>
        <w:t>«Stortinget ber regjeringen gå i dialog med organisasjoner som står for omsorgsberedskap i kriser og katastrofer, deriblant Norske Kvinners Sanitetsforening og Norges Bygdekvinnelag, og etablere ordninger som bedre ivaretar deres økonomiske behov.»</w:t>
      </w:r>
    </w:p>
    <w:p w14:paraId="2C04DB23"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5157A648" w14:textId="77777777" w:rsidR="00D60186" w:rsidRPr="00225D4D" w:rsidRDefault="00D60186" w:rsidP="00225D4D">
      <w:r w:rsidRPr="00225D4D">
        <w:t xml:space="preserve">Vedtaket er under behandling. Regjeringa fører god dialog med frivillige </w:t>
      </w:r>
      <w:proofErr w:type="spellStart"/>
      <w:r w:rsidRPr="00225D4D">
        <w:t>organisasjonar</w:t>
      </w:r>
      <w:proofErr w:type="spellEnd"/>
      <w:r w:rsidRPr="00225D4D">
        <w:t xml:space="preserve"> som er </w:t>
      </w:r>
      <w:proofErr w:type="spellStart"/>
      <w:r w:rsidRPr="00225D4D">
        <w:t>ein</w:t>
      </w:r>
      <w:proofErr w:type="spellEnd"/>
      <w:r w:rsidRPr="00225D4D">
        <w:t xml:space="preserve"> del av beredskapsapparatet. Regjeringa vil </w:t>
      </w:r>
      <w:proofErr w:type="spellStart"/>
      <w:r w:rsidRPr="00225D4D">
        <w:t>halde</w:t>
      </w:r>
      <w:proofErr w:type="spellEnd"/>
      <w:r w:rsidRPr="00225D4D">
        <w:t xml:space="preserve"> fram arbeidet med å vurdere korleis frivillige </w:t>
      </w:r>
      <w:proofErr w:type="spellStart"/>
      <w:r w:rsidRPr="00225D4D">
        <w:t>ressursar</w:t>
      </w:r>
      <w:proofErr w:type="spellEnd"/>
      <w:r w:rsidRPr="00225D4D">
        <w:t xml:space="preserve"> best kan </w:t>
      </w:r>
      <w:proofErr w:type="spellStart"/>
      <w:r w:rsidRPr="00225D4D">
        <w:t>nyttast</w:t>
      </w:r>
      <w:proofErr w:type="spellEnd"/>
      <w:r w:rsidRPr="00225D4D">
        <w:t xml:space="preserve"> i beredskapsarbeidet lokalt, regionalt og nasjonalt.</w:t>
      </w:r>
    </w:p>
    <w:p w14:paraId="2A92E675" w14:textId="77777777" w:rsidR="00D60186" w:rsidRPr="00225D4D" w:rsidRDefault="00D60186" w:rsidP="00225D4D">
      <w:pPr>
        <w:pStyle w:val="avsnitt-tittel"/>
      </w:pPr>
      <w:r w:rsidRPr="00225D4D">
        <w:t xml:space="preserve">Kartlegging av frivillige </w:t>
      </w:r>
      <w:proofErr w:type="spellStart"/>
      <w:r w:rsidRPr="00225D4D">
        <w:t>beredskapsressursar</w:t>
      </w:r>
      <w:proofErr w:type="spellEnd"/>
    </w:p>
    <w:p w14:paraId="609FE939" w14:textId="77777777" w:rsidR="00D60186" w:rsidRPr="00225D4D" w:rsidRDefault="00D60186" w:rsidP="00225D4D">
      <w:pPr>
        <w:pStyle w:val="avsnitt-undertittel"/>
      </w:pPr>
      <w:r w:rsidRPr="00225D4D">
        <w:t>Vedtak nr. 628, 6. mai 2025</w:t>
      </w:r>
    </w:p>
    <w:p w14:paraId="71C31DED" w14:textId="77777777" w:rsidR="00D60186" w:rsidRPr="00225D4D" w:rsidRDefault="00D60186" w:rsidP="00225D4D">
      <w:pPr>
        <w:pStyle w:val="blokksit"/>
        <w:rPr>
          <w:rStyle w:val="kursiv"/>
        </w:rPr>
      </w:pPr>
      <w:r w:rsidRPr="00225D4D">
        <w:rPr>
          <w:rStyle w:val="kursiv"/>
        </w:rPr>
        <w:t>«Stortinget ber regjeringen kartlegge de frivillige beredskapsressursenes omfang, kapasitet og tilgjengelighet, både på lokalt, regionalt og nasjonalt nivå.»</w:t>
      </w:r>
    </w:p>
    <w:p w14:paraId="655FEE5A"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2C47EA35" w14:textId="77777777" w:rsidR="00D60186" w:rsidRPr="00225D4D" w:rsidRDefault="00D60186" w:rsidP="00225D4D">
      <w:r w:rsidRPr="00225D4D">
        <w:t xml:space="preserve">Vedtaket er under behandling. Det blir vurdert å gi HRS/DSB i oppdrag å gjennomføre ei kartlegging av omfang, kapasitet og </w:t>
      </w:r>
      <w:proofErr w:type="spellStart"/>
      <w:r w:rsidRPr="00225D4D">
        <w:t>tilgjengelegheit</w:t>
      </w:r>
      <w:proofErr w:type="spellEnd"/>
      <w:r w:rsidRPr="00225D4D">
        <w:t xml:space="preserve"> for </w:t>
      </w:r>
      <w:proofErr w:type="spellStart"/>
      <w:r w:rsidRPr="00225D4D">
        <w:t>dei</w:t>
      </w:r>
      <w:proofErr w:type="spellEnd"/>
      <w:r w:rsidRPr="00225D4D">
        <w:t xml:space="preserve"> frivillige </w:t>
      </w:r>
      <w:proofErr w:type="spellStart"/>
      <w:r w:rsidRPr="00225D4D">
        <w:t>beredskapsressursane</w:t>
      </w:r>
      <w:proofErr w:type="spellEnd"/>
      <w:r w:rsidRPr="00225D4D">
        <w:t xml:space="preserve"> i tildelingsbrevet for 2026.</w:t>
      </w:r>
    </w:p>
    <w:p w14:paraId="5DF0C23A" w14:textId="77777777" w:rsidR="00D60186" w:rsidRPr="00225D4D" w:rsidRDefault="00D60186" w:rsidP="00225D4D">
      <w:pPr>
        <w:pStyle w:val="avsnitt-tittel"/>
      </w:pPr>
      <w:r w:rsidRPr="00225D4D">
        <w:t>Tilfluktsrom – forenkling i regelverk</w:t>
      </w:r>
    </w:p>
    <w:p w14:paraId="78581624" w14:textId="77777777" w:rsidR="00D60186" w:rsidRPr="00225D4D" w:rsidRDefault="00D60186" w:rsidP="00225D4D">
      <w:pPr>
        <w:pStyle w:val="avsnitt-undertittel"/>
      </w:pPr>
      <w:r w:rsidRPr="00225D4D">
        <w:t>Vedtak nr. 633, 6. mai 2025</w:t>
      </w:r>
    </w:p>
    <w:p w14:paraId="66565292" w14:textId="77777777" w:rsidR="00D60186" w:rsidRPr="00225D4D" w:rsidRDefault="00D60186" w:rsidP="00225D4D">
      <w:pPr>
        <w:pStyle w:val="blokksit"/>
        <w:rPr>
          <w:rStyle w:val="kursiv"/>
        </w:rPr>
      </w:pPr>
      <w:r w:rsidRPr="00225D4D">
        <w:rPr>
          <w:rStyle w:val="kursiv"/>
        </w:rPr>
        <w:t>«Stortinget ber regjeringen gjennomføre forenklinger i relevant forskrifts- og regelverk for å sikre kostnadsreduserende tiltak som tilsvarer om lag de økte kostnadene ved å innføre en plikt til å bygge tilfluktsrom.»</w:t>
      </w:r>
    </w:p>
    <w:p w14:paraId="18AA8FAC"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62566AC9" w14:textId="77777777" w:rsidR="00D60186" w:rsidRPr="00225D4D" w:rsidRDefault="00D60186" w:rsidP="00225D4D">
      <w:r w:rsidRPr="00225D4D">
        <w:t xml:space="preserve">Vedtaket er under behandling. Som </w:t>
      </w:r>
      <w:proofErr w:type="spellStart"/>
      <w:r w:rsidRPr="00225D4D">
        <w:t>ein</w:t>
      </w:r>
      <w:proofErr w:type="spellEnd"/>
      <w:r w:rsidRPr="00225D4D">
        <w:t xml:space="preserve"> del av arbeidet med nye kriterium for bygging av tilfluktsrom, vil økonomiske </w:t>
      </w:r>
      <w:proofErr w:type="spellStart"/>
      <w:r w:rsidRPr="00225D4D">
        <w:t>konsekvensar</w:t>
      </w:r>
      <w:proofErr w:type="spellEnd"/>
      <w:r w:rsidRPr="00225D4D">
        <w:t xml:space="preserve"> for </w:t>
      </w:r>
      <w:proofErr w:type="spellStart"/>
      <w:r w:rsidRPr="00225D4D">
        <w:t>utbyggjarar</w:t>
      </w:r>
      <w:proofErr w:type="spellEnd"/>
      <w:r w:rsidRPr="00225D4D">
        <w:t xml:space="preserve"> bli vurderte.</w:t>
      </w:r>
    </w:p>
    <w:p w14:paraId="284B8ECB" w14:textId="77777777" w:rsidR="00D60186" w:rsidRPr="00225D4D" w:rsidRDefault="00D60186" w:rsidP="00225D4D">
      <w:pPr>
        <w:pStyle w:val="avsnitt-tittel"/>
      </w:pPr>
      <w:r w:rsidRPr="00225D4D">
        <w:t xml:space="preserve">Dispensasjon </w:t>
      </w:r>
      <w:proofErr w:type="spellStart"/>
      <w:r w:rsidRPr="00225D4D">
        <w:t>frå</w:t>
      </w:r>
      <w:proofErr w:type="spellEnd"/>
      <w:r w:rsidRPr="00225D4D">
        <w:t xml:space="preserve"> plikt til å </w:t>
      </w:r>
      <w:proofErr w:type="spellStart"/>
      <w:r w:rsidRPr="00225D4D">
        <w:t>byggje</w:t>
      </w:r>
      <w:proofErr w:type="spellEnd"/>
      <w:r w:rsidRPr="00225D4D">
        <w:t xml:space="preserve"> tilfluktsrom</w:t>
      </w:r>
    </w:p>
    <w:p w14:paraId="75B1B931" w14:textId="77777777" w:rsidR="00D60186" w:rsidRPr="00225D4D" w:rsidRDefault="00D60186" w:rsidP="00225D4D">
      <w:pPr>
        <w:pStyle w:val="avsnitt-undertittel"/>
      </w:pPr>
      <w:r w:rsidRPr="00225D4D">
        <w:t xml:space="preserve">Vedtak </w:t>
      </w:r>
      <w:proofErr w:type="spellStart"/>
      <w:r w:rsidRPr="00225D4D">
        <w:t>nr</w:t>
      </w:r>
      <w:proofErr w:type="spellEnd"/>
      <w:r w:rsidRPr="00225D4D">
        <w:t xml:space="preserve"> 634, 6. mai 2025</w:t>
      </w:r>
    </w:p>
    <w:p w14:paraId="3E1A7686" w14:textId="77777777" w:rsidR="00D60186" w:rsidRPr="00225D4D" w:rsidRDefault="00D60186" w:rsidP="00225D4D">
      <w:pPr>
        <w:pStyle w:val="blokksit"/>
        <w:rPr>
          <w:rStyle w:val="kursiv"/>
        </w:rPr>
      </w:pPr>
      <w:r w:rsidRPr="00225D4D">
        <w:rPr>
          <w:rStyle w:val="kursiv"/>
        </w:rPr>
        <w:t>«Stortinget ber regjeringen, når nytt regelverk og kriterier er vedtatt, oppheve den gjeldende midlertidige dispensasjonen fra plikten til bygging av tilfluktsrom gitt i forskrift om tilfluktsrom, for offentlige og private tiltakshavere.»</w:t>
      </w:r>
    </w:p>
    <w:p w14:paraId="1841D7E9" w14:textId="77777777" w:rsidR="00D60186" w:rsidRPr="00225D4D" w:rsidRDefault="00D60186" w:rsidP="00225D4D">
      <w:r w:rsidRPr="00225D4D">
        <w:t xml:space="preserve">Dokumenta som ligg til grunn for vedtaket er Meld. St. 9 (2024–2025), </w:t>
      </w:r>
      <w:proofErr w:type="spellStart"/>
      <w:r w:rsidRPr="00225D4D">
        <w:t>Innst</w:t>
      </w:r>
      <w:proofErr w:type="spellEnd"/>
      <w:r w:rsidRPr="00225D4D">
        <w:t>. 242 S (2024–2025)</w:t>
      </w:r>
    </w:p>
    <w:p w14:paraId="3104C855" w14:textId="77777777" w:rsidR="00D60186" w:rsidRPr="00225D4D" w:rsidRDefault="00D60186" w:rsidP="00225D4D">
      <w:r w:rsidRPr="00225D4D">
        <w:t xml:space="preserve">Vedtaket er under behandling og vil </w:t>
      </w:r>
      <w:proofErr w:type="spellStart"/>
      <w:r w:rsidRPr="00225D4D">
        <w:t>sjåast</w:t>
      </w:r>
      <w:proofErr w:type="spellEnd"/>
      <w:r w:rsidRPr="00225D4D">
        <w:t xml:space="preserve"> i </w:t>
      </w:r>
      <w:proofErr w:type="spellStart"/>
      <w:r w:rsidRPr="00225D4D">
        <w:t>samanheng</w:t>
      </w:r>
      <w:proofErr w:type="spellEnd"/>
      <w:r w:rsidRPr="00225D4D">
        <w:t xml:space="preserve"> med </w:t>
      </w:r>
      <w:proofErr w:type="spellStart"/>
      <w:r w:rsidRPr="00225D4D">
        <w:t>pågåande</w:t>
      </w:r>
      <w:proofErr w:type="spellEnd"/>
      <w:r w:rsidRPr="00225D4D">
        <w:t xml:space="preserve"> arbeid med utvikling av nytt vernekonsept og nye kriterium for bygging av vernerom.</w:t>
      </w:r>
    </w:p>
    <w:p w14:paraId="1F8631AF" w14:textId="77777777" w:rsidR="00D60186" w:rsidRPr="00225D4D" w:rsidRDefault="00D60186" w:rsidP="00225D4D">
      <w:pPr>
        <w:pStyle w:val="avsnitt-tittel"/>
      </w:pPr>
      <w:r w:rsidRPr="00225D4D">
        <w:t xml:space="preserve">Tilgang til </w:t>
      </w:r>
      <w:proofErr w:type="spellStart"/>
      <w:r w:rsidRPr="00225D4D">
        <w:t>flyplasstenester</w:t>
      </w:r>
      <w:proofErr w:type="spellEnd"/>
      <w:r w:rsidRPr="00225D4D">
        <w:t xml:space="preserve"> for </w:t>
      </w:r>
      <w:proofErr w:type="spellStart"/>
      <w:r w:rsidRPr="00225D4D">
        <w:t>beredskapsressursar</w:t>
      </w:r>
      <w:proofErr w:type="spellEnd"/>
    </w:p>
    <w:p w14:paraId="7A2CC104" w14:textId="77777777" w:rsidR="00D60186" w:rsidRPr="00225D4D" w:rsidRDefault="00D60186" w:rsidP="00225D4D">
      <w:pPr>
        <w:pStyle w:val="avsnitt-undertittel"/>
      </w:pPr>
      <w:r w:rsidRPr="00225D4D">
        <w:t>Vedtak nr. 637, 6. mai 2025</w:t>
      </w:r>
    </w:p>
    <w:p w14:paraId="21F5AA5F" w14:textId="77777777" w:rsidR="00D60186" w:rsidRPr="00225D4D" w:rsidRDefault="00D60186" w:rsidP="00225D4D">
      <w:pPr>
        <w:pStyle w:val="blokksit"/>
        <w:rPr>
          <w:rStyle w:val="kursiv"/>
        </w:rPr>
      </w:pPr>
      <w:r w:rsidRPr="00225D4D">
        <w:rPr>
          <w:rStyle w:val="kursiv"/>
        </w:rPr>
        <w:t>«Stortinget ber regjeringen sikre beredskap på flyplasser som gjør at redningshelikoptre, luftambulanser og andre helikoptre som bidrar i søk, redning og transport av skadde og syke, har en forutsigbarhet når det gjelder tilgjengelighet av flyplasstjenester»</w:t>
      </w:r>
    </w:p>
    <w:p w14:paraId="6895B1FC"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51DA0895" w14:textId="77777777" w:rsidR="00D60186" w:rsidRPr="00225D4D" w:rsidRDefault="00D60186" w:rsidP="00225D4D">
      <w:r w:rsidRPr="00225D4D">
        <w:t xml:space="preserve">Vedtaket er under behandling. HRS har gjennomført ei kartlegging av </w:t>
      </w:r>
      <w:proofErr w:type="spellStart"/>
      <w:r w:rsidRPr="00225D4D">
        <w:t>døgnkontinuerleg</w:t>
      </w:r>
      <w:proofErr w:type="spellEnd"/>
      <w:r w:rsidRPr="00225D4D">
        <w:t xml:space="preserve"> tilgang til drivstoff for </w:t>
      </w:r>
      <w:proofErr w:type="spellStart"/>
      <w:r w:rsidRPr="00225D4D">
        <w:t>redningstenesta</w:t>
      </w:r>
      <w:proofErr w:type="spellEnd"/>
      <w:r w:rsidRPr="00225D4D">
        <w:t xml:space="preserve"> og luftambulanse. Samferdselsdepartementet, i samarbeid med Justis- og beredskapsdepartementet og </w:t>
      </w:r>
      <w:proofErr w:type="spellStart"/>
      <w:r w:rsidRPr="00225D4D">
        <w:t>Helse-og</w:t>
      </w:r>
      <w:proofErr w:type="spellEnd"/>
      <w:r w:rsidRPr="00225D4D">
        <w:t xml:space="preserve"> omsorgsdepartementet, vil </w:t>
      </w:r>
      <w:proofErr w:type="spellStart"/>
      <w:r w:rsidRPr="00225D4D">
        <w:t>følgje</w:t>
      </w:r>
      <w:proofErr w:type="spellEnd"/>
      <w:r w:rsidRPr="00225D4D">
        <w:t xml:space="preserve"> opp utgreiinga HRS har gjort.</w:t>
      </w:r>
    </w:p>
    <w:p w14:paraId="34881585" w14:textId="77777777" w:rsidR="00D60186" w:rsidRPr="00225D4D" w:rsidRDefault="00D60186" w:rsidP="00225D4D">
      <w:pPr>
        <w:pStyle w:val="avsnitt-tittel"/>
      </w:pPr>
      <w:r w:rsidRPr="00225D4D">
        <w:t>Internasjonalt samarbeid om tryggleik og beredskap</w:t>
      </w:r>
    </w:p>
    <w:p w14:paraId="63AE5D8A" w14:textId="77777777" w:rsidR="00D60186" w:rsidRPr="00225D4D" w:rsidRDefault="00D60186" w:rsidP="00225D4D">
      <w:pPr>
        <w:pStyle w:val="avsnitt-undertittel"/>
      </w:pPr>
      <w:r w:rsidRPr="00225D4D">
        <w:t>Vedtak nr. 652, 6 mai. 2025</w:t>
      </w:r>
    </w:p>
    <w:p w14:paraId="33476940" w14:textId="77777777" w:rsidR="00D60186" w:rsidRPr="00225D4D" w:rsidRDefault="00D60186" w:rsidP="00225D4D">
      <w:pPr>
        <w:pStyle w:val="blokksit"/>
        <w:rPr>
          <w:rStyle w:val="kursiv"/>
        </w:rPr>
      </w:pPr>
      <w:r w:rsidRPr="00225D4D">
        <w:rPr>
          <w:rStyle w:val="kursiv"/>
        </w:rPr>
        <w:t>«Stortinget ber regjeringen identifisere hvilken kunnskap det er kritisk at Norge har i et sikkerhets- og beredskapsperspektiv, og hvilke områder Norge kan samarbeide med andre på, for eksempel Norden, Europa og USA.»</w:t>
      </w:r>
    </w:p>
    <w:p w14:paraId="559D883A" w14:textId="77777777" w:rsidR="00D60186" w:rsidRPr="00225D4D" w:rsidRDefault="00D60186" w:rsidP="00225D4D">
      <w:r w:rsidRPr="00225D4D">
        <w:t xml:space="preserve">Dokumenta som ligg til grunn for vedtaket er Meld. St. 9 (2024–2025), og </w:t>
      </w:r>
      <w:proofErr w:type="spellStart"/>
      <w:r w:rsidRPr="00225D4D">
        <w:t>Innst</w:t>
      </w:r>
      <w:proofErr w:type="spellEnd"/>
      <w:r w:rsidRPr="00225D4D">
        <w:t>. 242 S (2024–2025)</w:t>
      </w:r>
    </w:p>
    <w:p w14:paraId="177FF9F5" w14:textId="77777777" w:rsidR="00D60186" w:rsidRPr="00225D4D" w:rsidRDefault="00D60186" w:rsidP="00225D4D">
      <w:r w:rsidRPr="00225D4D">
        <w:t xml:space="preserve">Vedtaket er blitt </w:t>
      </w:r>
      <w:proofErr w:type="spellStart"/>
      <w:r w:rsidRPr="00225D4D">
        <w:t>følgt</w:t>
      </w:r>
      <w:proofErr w:type="spellEnd"/>
      <w:r w:rsidRPr="00225D4D">
        <w:t xml:space="preserve"> opp. Alle departement skal i samsvar med Instruks for departementenes arbeid med samfunnssikkerhet (Samfunnssikkerhetsinstruksen) ha </w:t>
      </w:r>
      <w:proofErr w:type="spellStart"/>
      <w:r w:rsidRPr="00225D4D">
        <w:t>analysar</w:t>
      </w:r>
      <w:proofErr w:type="spellEnd"/>
      <w:r w:rsidRPr="00225D4D">
        <w:t xml:space="preserve"> av risiko- og </w:t>
      </w:r>
      <w:proofErr w:type="spellStart"/>
      <w:r w:rsidRPr="00225D4D">
        <w:t>sårbarheit</w:t>
      </w:r>
      <w:proofErr w:type="spellEnd"/>
      <w:r w:rsidRPr="00225D4D">
        <w:t xml:space="preserve"> som skal omfatte </w:t>
      </w:r>
      <w:proofErr w:type="spellStart"/>
      <w:r w:rsidRPr="00225D4D">
        <w:t>vurderingar</w:t>
      </w:r>
      <w:proofErr w:type="spellEnd"/>
      <w:r w:rsidRPr="00225D4D">
        <w:t xml:space="preserve"> av både tilsikta og utilsikta </w:t>
      </w:r>
      <w:proofErr w:type="spellStart"/>
      <w:r w:rsidRPr="00225D4D">
        <w:t>hendingar</w:t>
      </w:r>
      <w:proofErr w:type="spellEnd"/>
      <w:r w:rsidRPr="00225D4D">
        <w:t xml:space="preserve"> som kan true departementet og sektoren si funksjonsevne, og </w:t>
      </w:r>
      <w:proofErr w:type="spellStart"/>
      <w:r w:rsidRPr="00225D4D">
        <w:t>setje</w:t>
      </w:r>
      <w:proofErr w:type="spellEnd"/>
      <w:r w:rsidRPr="00225D4D">
        <w:t xml:space="preserve"> liv, helse og materielle </w:t>
      </w:r>
      <w:proofErr w:type="spellStart"/>
      <w:r w:rsidRPr="00225D4D">
        <w:t>verdiar</w:t>
      </w:r>
      <w:proofErr w:type="spellEnd"/>
      <w:r w:rsidRPr="00225D4D">
        <w:t xml:space="preserve"> i fare. Arbeidet skal mellom anna ta utgangspunkt i strategiske dokument om risiko, </w:t>
      </w:r>
      <w:proofErr w:type="spellStart"/>
      <w:r w:rsidRPr="00225D4D">
        <w:t>truslar</w:t>
      </w:r>
      <w:proofErr w:type="spellEnd"/>
      <w:r w:rsidRPr="00225D4D">
        <w:t xml:space="preserve"> og </w:t>
      </w:r>
      <w:proofErr w:type="spellStart"/>
      <w:r w:rsidRPr="00225D4D">
        <w:t>sårbarheiter</w:t>
      </w:r>
      <w:proofErr w:type="spellEnd"/>
      <w:r w:rsidRPr="00225D4D">
        <w:t xml:space="preserve">. Totalberedskapsmeldinga (Meld. St. 9 (2024–2025), jf. </w:t>
      </w:r>
      <w:proofErr w:type="spellStart"/>
      <w:r w:rsidRPr="00225D4D">
        <w:t>Innst</w:t>
      </w:r>
      <w:proofErr w:type="spellEnd"/>
      <w:r w:rsidRPr="00225D4D">
        <w:t xml:space="preserve">. 242 S (2024–2025)) og den Nasjonal </w:t>
      </w:r>
      <w:proofErr w:type="spellStart"/>
      <w:r w:rsidRPr="00225D4D">
        <w:t>tryggleiksstrategien</w:t>
      </w:r>
      <w:proofErr w:type="spellEnd"/>
      <w:r w:rsidRPr="00225D4D">
        <w:t xml:space="preserve"> er, </w:t>
      </w:r>
      <w:proofErr w:type="spellStart"/>
      <w:r w:rsidRPr="00225D4D">
        <w:t>saman</w:t>
      </w:r>
      <w:proofErr w:type="spellEnd"/>
      <w:r w:rsidRPr="00225D4D">
        <w:t xml:space="preserve"> med </w:t>
      </w:r>
      <w:proofErr w:type="spellStart"/>
      <w:r w:rsidRPr="00225D4D">
        <w:t>dei</w:t>
      </w:r>
      <w:proofErr w:type="spellEnd"/>
      <w:r w:rsidRPr="00225D4D">
        <w:t xml:space="preserve"> </w:t>
      </w:r>
      <w:proofErr w:type="spellStart"/>
      <w:r w:rsidRPr="00225D4D">
        <w:t>årlege</w:t>
      </w:r>
      <w:proofErr w:type="spellEnd"/>
      <w:r w:rsidRPr="00225D4D">
        <w:t xml:space="preserve"> </w:t>
      </w:r>
      <w:proofErr w:type="spellStart"/>
      <w:r w:rsidRPr="00225D4D">
        <w:t>vurderingane</w:t>
      </w:r>
      <w:proofErr w:type="spellEnd"/>
      <w:r w:rsidRPr="00225D4D">
        <w:t xml:space="preserve"> </w:t>
      </w:r>
      <w:proofErr w:type="spellStart"/>
      <w:r w:rsidRPr="00225D4D">
        <w:t>frå</w:t>
      </w:r>
      <w:proofErr w:type="spellEnd"/>
      <w:r w:rsidRPr="00225D4D">
        <w:t xml:space="preserve"> </w:t>
      </w:r>
      <w:proofErr w:type="spellStart"/>
      <w:r w:rsidRPr="00225D4D">
        <w:t>Etterretningstenesta</w:t>
      </w:r>
      <w:proofErr w:type="spellEnd"/>
      <w:r w:rsidRPr="00225D4D">
        <w:t xml:space="preserve">, Politiets tryggleiksteneste og Nasjonal </w:t>
      </w:r>
      <w:proofErr w:type="spellStart"/>
      <w:r w:rsidRPr="00225D4D">
        <w:t>tryggleiksmyndigheit</w:t>
      </w:r>
      <w:proofErr w:type="spellEnd"/>
      <w:r w:rsidRPr="00225D4D">
        <w:t>, sentrale dokument.</w:t>
      </w:r>
    </w:p>
    <w:p w14:paraId="23A4DA29" w14:textId="77777777" w:rsidR="00D60186" w:rsidRPr="00225D4D" w:rsidRDefault="00D60186" w:rsidP="00225D4D">
      <w:proofErr w:type="spellStart"/>
      <w:r w:rsidRPr="00225D4D">
        <w:t>Tryggleiksstrategien</w:t>
      </w:r>
      <w:proofErr w:type="spellEnd"/>
      <w:r w:rsidRPr="00225D4D">
        <w:t xml:space="preserve"> </w:t>
      </w:r>
      <w:proofErr w:type="spellStart"/>
      <w:r w:rsidRPr="00225D4D">
        <w:t>understrekar</w:t>
      </w:r>
      <w:proofErr w:type="spellEnd"/>
      <w:r w:rsidRPr="00225D4D">
        <w:t xml:space="preserve"> òg </w:t>
      </w:r>
      <w:proofErr w:type="spellStart"/>
      <w:r w:rsidRPr="00225D4D">
        <w:t>betydinga</w:t>
      </w:r>
      <w:proofErr w:type="spellEnd"/>
      <w:r w:rsidRPr="00225D4D">
        <w:t xml:space="preserve"> av å fordjupe det nordeuropeiske samarbeidet og å </w:t>
      </w:r>
      <w:proofErr w:type="spellStart"/>
      <w:r w:rsidRPr="00225D4D">
        <w:t>vidareutvikle</w:t>
      </w:r>
      <w:proofErr w:type="spellEnd"/>
      <w:r w:rsidRPr="00225D4D">
        <w:t xml:space="preserve"> det breie tryggleiks- og forsvarspolitiske samarbeidet med EU.</w:t>
      </w:r>
    </w:p>
    <w:p w14:paraId="06522C8B" w14:textId="77777777" w:rsidR="00D60186" w:rsidRPr="00225D4D" w:rsidRDefault="00D60186" w:rsidP="00225D4D">
      <w:pPr>
        <w:pStyle w:val="avsnitt-tittel"/>
      </w:pPr>
      <w:proofErr w:type="spellStart"/>
      <w:r w:rsidRPr="00225D4D">
        <w:t>Innstrammingar</w:t>
      </w:r>
      <w:proofErr w:type="spellEnd"/>
      <w:r w:rsidRPr="00225D4D">
        <w:t xml:space="preserve"> på innvandringsområdet</w:t>
      </w:r>
    </w:p>
    <w:p w14:paraId="19837537" w14:textId="77777777" w:rsidR="00D60186" w:rsidRPr="00225D4D" w:rsidRDefault="00D60186" w:rsidP="00225D4D">
      <w:pPr>
        <w:pStyle w:val="avsnitt-undertittel"/>
      </w:pPr>
      <w:r w:rsidRPr="00225D4D">
        <w:t>Vedtak nr. 721, 22. mai 2025</w:t>
      </w:r>
    </w:p>
    <w:p w14:paraId="6334729B" w14:textId="77777777" w:rsidR="00D60186" w:rsidRPr="00225D4D" w:rsidRDefault="00D60186" w:rsidP="00225D4D">
      <w:pPr>
        <w:pStyle w:val="blokksit"/>
        <w:rPr>
          <w:rStyle w:val="kursiv"/>
        </w:rPr>
      </w:pPr>
      <w:r w:rsidRPr="00225D4D">
        <w:rPr>
          <w:rStyle w:val="kursiv"/>
        </w:rPr>
        <w:t>«Stortinget ber regjeringen komme tilbake til Stortinget med konkrete forslag til innstramminger på innvandringsområdet som kan iverksettes raskt ved behov.»</w:t>
      </w:r>
    </w:p>
    <w:p w14:paraId="6E1D83EA" w14:textId="77777777" w:rsidR="00D60186" w:rsidRPr="00225D4D" w:rsidRDefault="00D60186" w:rsidP="00225D4D">
      <w:r w:rsidRPr="00225D4D">
        <w:t xml:space="preserve">Dokumenta som ligg til grunn for vedtaket, er Dokument 8:94 S (2024–2025) og </w:t>
      </w:r>
      <w:proofErr w:type="spellStart"/>
      <w:r w:rsidRPr="00225D4D">
        <w:t>Innst</w:t>
      </w:r>
      <w:proofErr w:type="spellEnd"/>
      <w:r w:rsidRPr="00225D4D">
        <w:t>. 282 S (2024–2025).</w:t>
      </w:r>
    </w:p>
    <w:p w14:paraId="7D5A9F84" w14:textId="77777777" w:rsidR="00D60186" w:rsidRPr="00225D4D" w:rsidRDefault="00D60186" w:rsidP="00225D4D">
      <w:r w:rsidRPr="00225D4D">
        <w:t>Vedtaket er under behandling.</w:t>
      </w:r>
    </w:p>
    <w:p w14:paraId="18A6805E" w14:textId="77777777" w:rsidR="00D60186" w:rsidRPr="00225D4D" w:rsidRDefault="00D60186" w:rsidP="00225D4D">
      <w:pPr>
        <w:pStyle w:val="avsnitt-tittel"/>
      </w:pPr>
      <w:proofErr w:type="spellStart"/>
      <w:r w:rsidRPr="00225D4D">
        <w:t>Samanlikning</w:t>
      </w:r>
      <w:proofErr w:type="spellEnd"/>
      <w:r w:rsidRPr="00225D4D">
        <w:t xml:space="preserve"> med andre land om innvandring</w:t>
      </w:r>
    </w:p>
    <w:p w14:paraId="469761E7" w14:textId="77777777" w:rsidR="00D60186" w:rsidRPr="00225D4D" w:rsidRDefault="00D60186" w:rsidP="00225D4D">
      <w:pPr>
        <w:pStyle w:val="avsnitt-undertittel"/>
      </w:pPr>
      <w:r w:rsidRPr="00225D4D">
        <w:t>Vedtak nr. 722, 22. mai 2025</w:t>
      </w:r>
    </w:p>
    <w:p w14:paraId="3893A6E5" w14:textId="77777777" w:rsidR="00D60186" w:rsidRPr="00225D4D" w:rsidRDefault="00D60186" w:rsidP="00225D4D">
      <w:pPr>
        <w:pStyle w:val="blokksit"/>
        <w:rPr>
          <w:rStyle w:val="kursiv"/>
        </w:rPr>
      </w:pPr>
      <w:r w:rsidRPr="00225D4D">
        <w:rPr>
          <w:rStyle w:val="kursiv"/>
        </w:rPr>
        <w:t>«Stortinget ber regjeringen foreta en gjennomgang av hvilke områder på innvandringsfeltet der Norge skiller seg ut fra sammenlignbare land, for eksempel i Norden og Europa, og komme tilbake til Stortinget på egnet måte med forslag om innstramminger.»</w:t>
      </w:r>
    </w:p>
    <w:p w14:paraId="13768014" w14:textId="77777777" w:rsidR="00D60186" w:rsidRPr="00225D4D" w:rsidRDefault="00D60186" w:rsidP="00225D4D">
      <w:r w:rsidRPr="00225D4D">
        <w:t xml:space="preserve">Dokumenta som ligg til grunn for vedtaket, er Dokument 8:94 S (2024–2025) og </w:t>
      </w:r>
      <w:proofErr w:type="spellStart"/>
      <w:r w:rsidRPr="00225D4D">
        <w:t>Innst</w:t>
      </w:r>
      <w:proofErr w:type="spellEnd"/>
      <w:r w:rsidRPr="00225D4D">
        <w:t>. 282 S (2024–2025).</w:t>
      </w:r>
    </w:p>
    <w:p w14:paraId="441C2D6C" w14:textId="77777777" w:rsidR="00D60186" w:rsidRPr="00225D4D" w:rsidRDefault="00D60186" w:rsidP="00225D4D">
      <w:r w:rsidRPr="00225D4D">
        <w:t>Vedtaket er under behandling.</w:t>
      </w:r>
    </w:p>
    <w:p w14:paraId="08075DE2" w14:textId="77777777" w:rsidR="00D60186" w:rsidRPr="00225D4D" w:rsidRDefault="00D60186" w:rsidP="00225D4D">
      <w:pPr>
        <w:pStyle w:val="avsnitt-tittel"/>
      </w:pPr>
      <w:r w:rsidRPr="00225D4D">
        <w:t>Innstramming på familieinnvandringsområdet</w:t>
      </w:r>
    </w:p>
    <w:p w14:paraId="1DA94BD2" w14:textId="77777777" w:rsidR="00D60186" w:rsidRPr="00225D4D" w:rsidRDefault="00D60186" w:rsidP="00225D4D">
      <w:pPr>
        <w:pStyle w:val="avsnitt-undertittel"/>
      </w:pPr>
      <w:r w:rsidRPr="00225D4D">
        <w:t>Vedtak nr. 724, 22. mai 2025</w:t>
      </w:r>
    </w:p>
    <w:p w14:paraId="02CE6AEB" w14:textId="77777777" w:rsidR="00D60186" w:rsidRPr="00225D4D" w:rsidRDefault="00D60186" w:rsidP="00225D4D">
      <w:pPr>
        <w:pStyle w:val="blokksit"/>
        <w:rPr>
          <w:rStyle w:val="kursiv"/>
        </w:rPr>
      </w:pPr>
      <w:r w:rsidRPr="00225D4D">
        <w:rPr>
          <w:rStyle w:val="kursiv"/>
        </w:rPr>
        <w:t>«Stortinget ber regjeringen komme tilbake til Stortinget med forslag om å stramme inn vilkårene for familieinnvandring.»</w:t>
      </w:r>
    </w:p>
    <w:p w14:paraId="43E8729E" w14:textId="77777777" w:rsidR="00D60186" w:rsidRPr="00225D4D" w:rsidRDefault="00D60186" w:rsidP="00225D4D">
      <w:r w:rsidRPr="00225D4D">
        <w:t xml:space="preserve">Dokumenta som ligg til grunn for vedtaket, er Dokument 8:156 S og </w:t>
      </w:r>
      <w:proofErr w:type="spellStart"/>
      <w:r w:rsidRPr="00225D4D">
        <w:t>Innst</w:t>
      </w:r>
      <w:proofErr w:type="spellEnd"/>
      <w:r w:rsidRPr="00225D4D">
        <w:t>. 284 S (2024–2025).</w:t>
      </w:r>
    </w:p>
    <w:p w14:paraId="4781E88C" w14:textId="77777777" w:rsidR="00D60186" w:rsidRPr="00225D4D" w:rsidRDefault="00D60186" w:rsidP="00225D4D">
      <w:r w:rsidRPr="00225D4D">
        <w:t>Vedtaket er under behandling.</w:t>
      </w:r>
    </w:p>
    <w:p w14:paraId="5DC328D6" w14:textId="77777777" w:rsidR="00D60186" w:rsidRPr="00225D4D" w:rsidRDefault="00D60186" w:rsidP="00225D4D">
      <w:pPr>
        <w:pStyle w:val="avsnitt-tittel"/>
      </w:pPr>
      <w:r w:rsidRPr="00225D4D">
        <w:t>Informasjonsdeling om økonomisk kriminalitet</w:t>
      </w:r>
    </w:p>
    <w:p w14:paraId="23027BC0" w14:textId="77777777" w:rsidR="00D60186" w:rsidRPr="00225D4D" w:rsidRDefault="00D60186" w:rsidP="00225D4D">
      <w:pPr>
        <w:pStyle w:val="avsnitt-undertittel"/>
      </w:pPr>
      <w:r w:rsidRPr="00225D4D">
        <w:t>Vedtak nr. 782, 27. mai 2025</w:t>
      </w:r>
    </w:p>
    <w:p w14:paraId="31523EB5" w14:textId="77777777" w:rsidR="00D60186" w:rsidRPr="00225D4D" w:rsidRDefault="00D60186" w:rsidP="00225D4D">
      <w:pPr>
        <w:pStyle w:val="blokksit"/>
        <w:rPr>
          <w:rStyle w:val="kursiv"/>
        </w:rPr>
      </w:pPr>
      <w:r w:rsidRPr="00225D4D">
        <w:rPr>
          <w:rStyle w:val="kursiv"/>
        </w:rPr>
        <w:t>«Stortinget ber regjeringen fremme de nødvendige lovendringsforslag og utarbeide forskrifter som gjør det mulig for politiet, Skatteetaten, registerenhetene, finansinstitusjoner, teleoperatører og Nav å dele informasjon ved berettiget mistanke om økonomisk kriminalitet, hvor hensynet til personvern også ivaretas.»</w:t>
      </w:r>
    </w:p>
    <w:p w14:paraId="3B3C63F2" w14:textId="77777777" w:rsidR="00D60186" w:rsidRPr="00225D4D" w:rsidRDefault="00D60186" w:rsidP="00225D4D">
      <w:r w:rsidRPr="00225D4D">
        <w:t xml:space="preserve">Dokumenta som ligg til grunn for vedtaket, er Dokument 8:129 S (2024–2025) og </w:t>
      </w:r>
      <w:proofErr w:type="spellStart"/>
      <w:r w:rsidRPr="00225D4D">
        <w:t>Innst</w:t>
      </w:r>
      <w:proofErr w:type="spellEnd"/>
      <w:r w:rsidRPr="00225D4D">
        <w:t>. 364 S (2024–2025).</w:t>
      </w:r>
    </w:p>
    <w:p w14:paraId="16D30B9D" w14:textId="77777777" w:rsidR="00D60186" w:rsidRPr="00225D4D" w:rsidRDefault="00D60186" w:rsidP="00225D4D">
      <w:r w:rsidRPr="00225D4D">
        <w:t xml:space="preserve">Vedtaket er under behandling. I juni 2025 blei det nedsett ei arbeidsgruppe som skal greie ut lovgrunnlaget for deling av informasjon mellom </w:t>
      </w:r>
      <w:proofErr w:type="spellStart"/>
      <w:r w:rsidRPr="00225D4D">
        <w:t>offentlege</w:t>
      </w:r>
      <w:proofErr w:type="spellEnd"/>
      <w:r w:rsidRPr="00225D4D">
        <w:t xml:space="preserve"> organ i innsatsen mot økonomisk kriminalitet. Det er også oppretta ei arbeidsgruppe som skal sjå </w:t>
      </w:r>
      <w:proofErr w:type="spellStart"/>
      <w:r w:rsidRPr="00225D4D">
        <w:t>nærmare</w:t>
      </w:r>
      <w:proofErr w:type="spellEnd"/>
      <w:r w:rsidRPr="00225D4D">
        <w:t xml:space="preserve"> på samarbeid mellom det </w:t>
      </w:r>
      <w:proofErr w:type="spellStart"/>
      <w:r w:rsidRPr="00225D4D">
        <w:t>offentlege</w:t>
      </w:r>
      <w:proofErr w:type="spellEnd"/>
      <w:r w:rsidRPr="00225D4D">
        <w:t xml:space="preserve"> og private </w:t>
      </w:r>
      <w:proofErr w:type="spellStart"/>
      <w:r w:rsidRPr="00225D4D">
        <w:t>verksemder</w:t>
      </w:r>
      <w:proofErr w:type="spellEnd"/>
      <w:r w:rsidRPr="00225D4D">
        <w:t xml:space="preserve"> i arbeidet mot økonomisk kriminalitet.</w:t>
      </w:r>
    </w:p>
    <w:p w14:paraId="39715190" w14:textId="77777777" w:rsidR="00D60186" w:rsidRPr="00225D4D" w:rsidRDefault="00D60186" w:rsidP="00225D4D">
      <w:pPr>
        <w:pStyle w:val="avsnitt-tittel"/>
      </w:pPr>
      <w:r w:rsidRPr="00225D4D">
        <w:t xml:space="preserve">Politiutdanning </w:t>
      </w:r>
      <w:proofErr w:type="spellStart"/>
      <w:r w:rsidRPr="00225D4D">
        <w:t>innanfor</w:t>
      </w:r>
      <w:proofErr w:type="spellEnd"/>
      <w:r w:rsidRPr="00225D4D">
        <w:t xml:space="preserve"> økonomisk kriminalitet</w:t>
      </w:r>
    </w:p>
    <w:p w14:paraId="4B52DEBF" w14:textId="77777777" w:rsidR="00D60186" w:rsidRPr="00225D4D" w:rsidRDefault="00D60186" w:rsidP="00225D4D">
      <w:pPr>
        <w:pStyle w:val="avsnitt-undertittel"/>
      </w:pPr>
      <w:r w:rsidRPr="00225D4D">
        <w:t>Vedtak nr. 783, 27. mai 2025</w:t>
      </w:r>
    </w:p>
    <w:p w14:paraId="453832A2" w14:textId="77777777" w:rsidR="00D60186" w:rsidRPr="00225D4D" w:rsidRDefault="00D60186" w:rsidP="00225D4D">
      <w:pPr>
        <w:pStyle w:val="blokksit"/>
        <w:rPr>
          <w:rStyle w:val="kursiv"/>
        </w:rPr>
      </w:pPr>
      <w:r w:rsidRPr="00225D4D">
        <w:rPr>
          <w:rStyle w:val="kursiv"/>
        </w:rPr>
        <w:t>«Stortinget ber regjeringen gjennomgå politiutdanningen og vurdere hvordan etterforskningskompetansen innen økonomisk kriminalitet kan styrkes og spesialiseres.»</w:t>
      </w:r>
    </w:p>
    <w:p w14:paraId="17FB4440" w14:textId="77777777" w:rsidR="00D60186" w:rsidRPr="00225D4D" w:rsidRDefault="00D60186" w:rsidP="00225D4D">
      <w:r w:rsidRPr="00225D4D">
        <w:t xml:space="preserve">Dokumenta som ligg til grunn for vedtaket, er Dokument 8:129 S (2024–2025) og </w:t>
      </w:r>
      <w:proofErr w:type="spellStart"/>
      <w:r w:rsidRPr="00225D4D">
        <w:t>Innst</w:t>
      </w:r>
      <w:proofErr w:type="spellEnd"/>
      <w:r w:rsidRPr="00225D4D">
        <w:t>. 364 S (2024–2025).</w:t>
      </w:r>
    </w:p>
    <w:p w14:paraId="1D760519" w14:textId="77777777" w:rsidR="00D60186" w:rsidRPr="00225D4D" w:rsidRDefault="00D60186" w:rsidP="00225D4D">
      <w:r w:rsidRPr="00225D4D">
        <w:t>Vedtaket er under behandling.</w:t>
      </w:r>
    </w:p>
    <w:p w14:paraId="53AE4C40" w14:textId="77777777" w:rsidR="00D60186" w:rsidRPr="00225D4D" w:rsidRDefault="00D60186" w:rsidP="00225D4D">
      <w:pPr>
        <w:pStyle w:val="avsnitt-tittel"/>
      </w:pPr>
      <w:r w:rsidRPr="00225D4D">
        <w:t>Politiets deltaking i A-krimsamarbeidet</w:t>
      </w:r>
    </w:p>
    <w:p w14:paraId="60B0079E" w14:textId="77777777" w:rsidR="00D60186" w:rsidRPr="00225D4D" w:rsidRDefault="00D60186" w:rsidP="00225D4D">
      <w:pPr>
        <w:pStyle w:val="avsnitt-undertittel"/>
      </w:pPr>
      <w:r w:rsidRPr="00225D4D">
        <w:t>Vedtak nr. 789, 2. juni 2025</w:t>
      </w:r>
    </w:p>
    <w:p w14:paraId="5C212677" w14:textId="21EBD879" w:rsidR="00D60186" w:rsidRPr="00225D4D" w:rsidRDefault="00D60186" w:rsidP="00225D4D">
      <w:pPr>
        <w:pStyle w:val="blokksit"/>
        <w:rPr>
          <w:rStyle w:val="kursiv"/>
        </w:rPr>
      </w:pPr>
      <w:r w:rsidRPr="00225D4D">
        <w:rPr>
          <w:rStyle w:val="kursiv"/>
        </w:rPr>
        <w:t>«Stortinget ber regjeringen sikre at politiet har tydelige hjemler for fullverdig deltakelse i både kontrollgruppen og kunnskapsbyggingen ved a</w:t>
      </w:r>
      <w:r w:rsidR="00225D4D">
        <w:rPr>
          <w:rStyle w:val="kursiv"/>
        </w:rPr>
        <w:t>-</w:t>
      </w:r>
      <w:r w:rsidRPr="00225D4D">
        <w:rPr>
          <w:rStyle w:val="kursiv"/>
        </w:rPr>
        <w:t>krimsentrene, og komme tilbake til Stortinget senest innen revidert nasjonalbudsjett for 2026.»</w:t>
      </w:r>
    </w:p>
    <w:p w14:paraId="7ECD9CE9"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80 L (2024–2025), </w:t>
      </w:r>
      <w:proofErr w:type="spellStart"/>
      <w:r w:rsidRPr="00225D4D">
        <w:t>Innst</w:t>
      </w:r>
      <w:proofErr w:type="spellEnd"/>
      <w:r w:rsidRPr="00225D4D">
        <w:t>. 334 L (2024–2025) og Lovvedtak 74 (2024–2025).</w:t>
      </w:r>
    </w:p>
    <w:p w14:paraId="31099640" w14:textId="77777777" w:rsidR="00D60186" w:rsidRPr="00225D4D" w:rsidRDefault="00D60186" w:rsidP="00225D4D">
      <w:r w:rsidRPr="00225D4D">
        <w:t>Vedtaket er under behandling.</w:t>
      </w:r>
    </w:p>
    <w:p w14:paraId="57D5D59D" w14:textId="77777777" w:rsidR="00D60186" w:rsidRPr="00225D4D" w:rsidRDefault="00D60186" w:rsidP="00225D4D">
      <w:pPr>
        <w:pStyle w:val="avsnitt-tittel"/>
      </w:pPr>
      <w:r w:rsidRPr="00225D4D">
        <w:t>Politiets deltaking i A-krimsamarbeidet</w:t>
      </w:r>
    </w:p>
    <w:p w14:paraId="4170C300" w14:textId="77777777" w:rsidR="00D60186" w:rsidRPr="00225D4D" w:rsidRDefault="00D60186" w:rsidP="00225D4D">
      <w:pPr>
        <w:pStyle w:val="avsnitt-undertittel"/>
      </w:pPr>
      <w:r w:rsidRPr="00225D4D">
        <w:t>Vedtak nr. 794, 2. juni 2025</w:t>
      </w:r>
    </w:p>
    <w:p w14:paraId="1DF59E1C" w14:textId="77777777" w:rsidR="00D60186" w:rsidRPr="00225D4D" w:rsidRDefault="00D60186" w:rsidP="00225D4D">
      <w:pPr>
        <w:pStyle w:val="blokksit"/>
        <w:rPr>
          <w:rStyle w:val="kursiv"/>
        </w:rPr>
      </w:pPr>
      <w:r w:rsidRPr="00225D4D">
        <w:rPr>
          <w:rStyle w:val="kursiv"/>
        </w:rPr>
        <w:t xml:space="preserve">«Stortinget ber regjeringen gjennomføre tiltak, herunder eventuelle nødvendige regelverksendringer, for å sikre at politiet deltar i både kontrollgruppen og kunnskapsbyggingen ved a-krimsentrene gjennom gode og effektive ansvars- og oppgavedelinger med de øvrige </w:t>
      </w:r>
      <w:proofErr w:type="spellStart"/>
      <w:r w:rsidRPr="00225D4D">
        <w:rPr>
          <w:rStyle w:val="kursiv"/>
        </w:rPr>
        <w:t>akrim</w:t>
      </w:r>
      <w:proofErr w:type="spellEnd"/>
      <w:r w:rsidRPr="00225D4D">
        <w:rPr>
          <w:rStyle w:val="kursiv"/>
        </w:rPr>
        <w:t>-etatene, og komme tilbake til Stortinget på egnet måte.»</w:t>
      </w:r>
    </w:p>
    <w:p w14:paraId="72BF5A1B"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80 L (2024–2025), </w:t>
      </w:r>
      <w:proofErr w:type="spellStart"/>
      <w:r w:rsidRPr="00225D4D">
        <w:t>Innst</w:t>
      </w:r>
      <w:proofErr w:type="spellEnd"/>
      <w:r w:rsidRPr="00225D4D">
        <w:t>. 334 L (2024–2025) og Lovvedtak 74 (2024–2025).</w:t>
      </w:r>
    </w:p>
    <w:p w14:paraId="31F0B805" w14:textId="77777777" w:rsidR="00D60186" w:rsidRPr="00225D4D" w:rsidRDefault="00D60186" w:rsidP="00225D4D">
      <w:r w:rsidRPr="00225D4D">
        <w:t>Vedtaket er under behandling.</w:t>
      </w:r>
    </w:p>
    <w:p w14:paraId="7AD0552E" w14:textId="77777777" w:rsidR="00D60186" w:rsidRPr="00225D4D" w:rsidRDefault="00D60186" w:rsidP="00225D4D">
      <w:pPr>
        <w:pStyle w:val="avsnitt-tittel"/>
      </w:pPr>
      <w:r w:rsidRPr="00225D4D">
        <w:t>Politiets deltaking i A-krimsamarbeidet</w:t>
      </w:r>
    </w:p>
    <w:p w14:paraId="2560BCD9" w14:textId="77777777" w:rsidR="00D60186" w:rsidRPr="00225D4D" w:rsidRDefault="00D60186" w:rsidP="00225D4D">
      <w:pPr>
        <w:pStyle w:val="avsnitt-undertittel"/>
      </w:pPr>
      <w:r w:rsidRPr="00225D4D">
        <w:t>Vedtak nr. 800, 2. juni 2025</w:t>
      </w:r>
    </w:p>
    <w:p w14:paraId="0B39A37B" w14:textId="7630E357" w:rsidR="00D60186" w:rsidRPr="00225D4D" w:rsidRDefault="00D60186" w:rsidP="00225D4D">
      <w:pPr>
        <w:pStyle w:val="blokksit"/>
        <w:rPr>
          <w:rStyle w:val="kursiv"/>
        </w:rPr>
      </w:pPr>
      <w:r w:rsidRPr="00225D4D">
        <w:rPr>
          <w:rStyle w:val="kursiv"/>
        </w:rPr>
        <w:t>«Stortinget ber regjeringen sikre at politiet har tydelige hjemler for fullverdig deltakelse i både kontrollgruppen og kunnskapsbyggingen ved a</w:t>
      </w:r>
      <w:r w:rsidR="00225D4D">
        <w:rPr>
          <w:rStyle w:val="kursiv"/>
        </w:rPr>
        <w:t>-</w:t>
      </w:r>
      <w:r w:rsidRPr="00225D4D">
        <w:rPr>
          <w:rStyle w:val="kursiv"/>
        </w:rPr>
        <w:t>krimsentrene, og komme tilbake til Stortinget senest innen statsbudsjettet for 2026.»</w:t>
      </w:r>
    </w:p>
    <w:p w14:paraId="3D416692"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80 L (2024–2025), </w:t>
      </w:r>
      <w:proofErr w:type="spellStart"/>
      <w:r w:rsidRPr="00225D4D">
        <w:t>Innst</w:t>
      </w:r>
      <w:proofErr w:type="spellEnd"/>
      <w:r w:rsidRPr="00225D4D">
        <w:t>. 334 L (2024–2025) og Lovvedtak 74 (2024–2025).</w:t>
      </w:r>
    </w:p>
    <w:p w14:paraId="1108D46C" w14:textId="77777777" w:rsidR="00D60186" w:rsidRPr="00225D4D" w:rsidRDefault="00D60186" w:rsidP="00225D4D">
      <w:r w:rsidRPr="00225D4D">
        <w:t>Vedtaket er under behandling.</w:t>
      </w:r>
    </w:p>
    <w:p w14:paraId="1AC9DD7F" w14:textId="77777777" w:rsidR="00D60186" w:rsidRPr="00225D4D" w:rsidRDefault="00D60186" w:rsidP="00225D4D">
      <w:pPr>
        <w:pStyle w:val="avsnitt-tittel"/>
      </w:pPr>
      <w:proofErr w:type="spellStart"/>
      <w:r w:rsidRPr="00225D4D">
        <w:t>Hovudregel</w:t>
      </w:r>
      <w:proofErr w:type="spellEnd"/>
      <w:r w:rsidRPr="00225D4D">
        <w:t xml:space="preserve"> om omvend </w:t>
      </w:r>
      <w:proofErr w:type="spellStart"/>
      <w:r w:rsidRPr="00225D4D">
        <w:t>valdsalarm</w:t>
      </w:r>
      <w:proofErr w:type="spellEnd"/>
      <w:r w:rsidRPr="00225D4D">
        <w:t xml:space="preserve"> ved besøks- og </w:t>
      </w:r>
      <w:proofErr w:type="spellStart"/>
      <w:r w:rsidRPr="00225D4D">
        <w:t>kontaktforbod</w:t>
      </w:r>
      <w:proofErr w:type="spellEnd"/>
    </w:p>
    <w:p w14:paraId="4D4315B2" w14:textId="77777777" w:rsidR="00D60186" w:rsidRPr="00225D4D" w:rsidRDefault="00D60186" w:rsidP="00225D4D">
      <w:pPr>
        <w:pStyle w:val="avsnitt-undertittel"/>
      </w:pPr>
      <w:r w:rsidRPr="00225D4D">
        <w:t>Vedtak nr. 810, 2. juni 2025</w:t>
      </w:r>
    </w:p>
    <w:p w14:paraId="21A42F39" w14:textId="77777777" w:rsidR="00D60186" w:rsidRPr="00225D4D" w:rsidRDefault="00D60186" w:rsidP="00225D4D">
      <w:pPr>
        <w:pStyle w:val="blokksit"/>
        <w:rPr>
          <w:rStyle w:val="kursiv"/>
        </w:rPr>
      </w:pPr>
      <w:r w:rsidRPr="00225D4D">
        <w:rPr>
          <w:rStyle w:val="kursiv"/>
        </w:rPr>
        <w:t>«Stortinget ber regjeringen gjennomgå regelverket knyttet til bruk av omvendt voldsalarm, med sikte på at omvendt voldsalarm skal være hovedregelen.»</w:t>
      </w:r>
    </w:p>
    <w:p w14:paraId="32B46437" w14:textId="77777777" w:rsidR="00D60186" w:rsidRPr="00225D4D" w:rsidRDefault="00D60186" w:rsidP="00225D4D">
      <w:r w:rsidRPr="00225D4D">
        <w:t xml:space="preserve">Dokumenta som ligg til grunn for vedtaket, er Dokument 8:130 S (2024–2025) og </w:t>
      </w:r>
      <w:proofErr w:type="spellStart"/>
      <w:r w:rsidRPr="00225D4D">
        <w:t>Innst</w:t>
      </w:r>
      <w:proofErr w:type="spellEnd"/>
      <w:r w:rsidRPr="00225D4D">
        <w:t>. 363 S (2024–2025).</w:t>
      </w:r>
    </w:p>
    <w:p w14:paraId="4D7568E6"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Regelverket knytt til elektronisk kontroll av besøks- og </w:t>
      </w:r>
      <w:proofErr w:type="spellStart"/>
      <w:r w:rsidRPr="00225D4D">
        <w:t>kontaktforbod</w:t>
      </w:r>
      <w:proofErr w:type="spellEnd"/>
      <w:r w:rsidRPr="00225D4D">
        <w:t xml:space="preserve"> (omvendt </w:t>
      </w:r>
      <w:proofErr w:type="spellStart"/>
      <w:r w:rsidRPr="00225D4D">
        <w:t>valdsalarm</w:t>
      </w:r>
      <w:proofErr w:type="spellEnd"/>
      <w:r w:rsidRPr="00225D4D">
        <w:t xml:space="preserve">) vart endra ved lov 20. desember 2023 nr. 111. </w:t>
      </w:r>
      <w:proofErr w:type="spellStart"/>
      <w:r w:rsidRPr="00225D4D">
        <w:t>Endringane</w:t>
      </w:r>
      <w:proofErr w:type="spellEnd"/>
      <w:r w:rsidRPr="00225D4D">
        <w:t xml:space="preserve"> tredde i kraft 8. april 2024. Etter at lovendringa tredde i kraft, viser statistikken </w:t>
      </w:r>
      <w:proofErr w:type="spellStart"/>
      <w:r w:rsidRPr="00225D4D">
        <w:t>ein</w:t>
      </w:r>
      <w:proofErr w:type="spellEnd"/>
      <w:r w:rsidRPr="00225D4D">
        <w:t xml:space="preserve"> markant </w:t>
      </w:r>
      <w:proofErr w:type="spellStart"/>
      <w:r w:rsidRPr="00225D4D">
        <w:t>auke</w:t>
      </w:r>
      <w:proofErr w:type="spellEnd"/>
      <w:r w:rsidRPr="00225D4D">
        <w:t xml:space="preserve"> i bruken av elektronisk kontroll av besøks- og </w:t>
      </w:r>
      <w:proofErr w:type="spellStart"/>
      <w:r w:rsidRPr="00225D4D">
        <w:t>kontaktforbod</w:t>
      </w:r>
      <w:proofErr w:type="spellEnd"/>
      <w:r w:rsidRPr="00225D4D">
        <w:t xml:space="preserve">, og </w:t>
      </w:r>
      <w:proofErr w:type="spellStart"/>
      <w:r w:rsidRPr="00225D4D">
        <w:t>prognosane</w:t>
      </w:r>
      <w:proofErr w:type="spellEnd"/>
      <w:r w:rsidRPr="00225D4D">
        <w:t xml:space="preserve"> tyder på </w:t>
      </w:r>
      <w:proofErr w:type="spellStart"/>
      <w:r w:rsidRPr="00225D4D">
        <w:t>ein</w:t>
      </w:r>
      <w:proofErr w:type="spellEnd"/>
      <w:r w:rsidRPr="00225D4D">
        <w:t xml:space="preserve"> </w:t>
      </w:r>
      <w:proofErr w:type="spellStart"/>
      <w:r w:rsidRPr="00225D4D">
        <w:t>vidare</w:t>
      </w:r>
      <w:proofErr w:type="spellEnd"/>
      <w:r w:rsidRPr="00225D4D">
        <w:t xml:space="preserve"> </w:t>
      </w:r>
      <w:proofErr w:type="spellStart"/>
      <w:r w:rsidRPr="00225D4D">
        <w:t>auke</w:t>
      </w:r>
      <w:proofErr w:type="spellEnd"/>
      <w:r w:rsidRPr="00225D4D">
        <w:t xml:space="preserve"> framover. Riksadvokaten har gitt retningslinjer for påtalemakta som </w:t>
      </w:r>
      <w:proofErr w:type="spellStart"/>
      <w:r w:rsidRPr="00225D4D">
        <w:t>legg</w:t>
      </w:r>
      <w:proofErr w:type="spellEnd"/>
      <w:r w:rsidRPr="00225D4D">
        <w:t xml:space="preserve"> til rette for at elektronisk kontroll blir vurdert i alle tilfelle der vilkåra er oppfylte og tiltaket er eigna. Dette tyder på at elektronisk kontroll i stor grad er den praktiske </w:t>
      </w:r>
      <w:proofErr w:type="spellStart"/>
      <w:r w:rsidRPr="00225D4D">
        <w:t>hovudregelen</w:t>
      </w:r>
      <w:proofErr w:type="spellEnd"/>
      <w:r w:rsidRPr="00225D4D">
        <w:t xml:space="preserve"> i tilfelle der dette er </w:t>
      </w:r>
      <w:proofErr w:type="spellStart"/>
      <w:r w:rsidRPr="00225D4D">
        <w:t>eit</w:t>
      </w:r>
      <w:proofErr w:type="spellEnd"/>
      <w:r w:rsidRPr="00225D4D">
        <w:t xml:space="preserve"> forholdsmessig og eigna vernetiltak.</w:t>
      </w:r>
    </w:p>
    <w:p w14:paraId="2C460E02" w14:textId="77777777" w:rsidR="00D60186" w:rsidRPr="00225D4D" w:rsidRDefault="00D60186" w:rsidP="00225D4D">
      <w:pPr>
        <w:pStyle w:val="avsnitt-tittel"/>
      </w:pPr>
      <w:r w:rsidRPr="00225D4D">
        <w:t xml:space="preserve">Det </w:t>
      </w:r>
      <w:proofErr w:type="spellStart"/>
      <w:r w:rsidRPr="00225D4D">
        <w:t>strafferettslege</w:t>
      </w:r>
      <w:proofErr w:type="spellEnd"/>
      <w:r w:rsidRPr="00225D4D">
        <w:t xml:space="preserve"> vernet til </w:t>
      </w:r>
      <w:proofErr w:type="spellStart"/>
      <w:r w:rsidRPr="00225D4D">
        <w:t>vektarar</w:t>
      </w:r>
      <w:proofErr w:type="spellEnd"/>
      <w:r w:rsidRPr="00225D4D">
        <w:t xml:space="preserve"> og andre utsette yrkesgrupper mot vald og </w:t>
      </w:r>
      <w:proofErr w:type="spellStart"/>
      <w:r w:rsidRPr="00225D4D">
        <w:t>truslar</w:t>
      </w:r>
      <w:proofErr w:type="spellEnd"/>
    </w:p>
    <w:p w14:paraId="16941D06" w14:textId="77777777" w:rsidR="00D60186" w:rsidRPr="00225D4D" w:rsidRDefault="00D60186" w:rsidP="00225D4D">
      <w:pPr>
        <w:pStyle w:val="avsnitt-undertittel"/>
      </w:pPr>
      <w:r w:rsidRPr="00225D4D">
        <w:t>Vedtak nr. 927, 6. juni 2025</w:t>
      </w:r>
    </w:p>
    <w:p w14:paraId="4B2A2ECB" w14:textId="77777777" w:rsidR="00D60186" w:rsidRPr="00225D4D" w:rsidRDefault="00D60186" w:rsidP="00225D4D">
      <w:pPr>
        <w:pStyle w:val="blokksit"/>
        <w:rPr>
          <w:rStyle w:val="kursiv"/>
        </w:rPr>
      </w:pPr>
      <w:r w:rsidRPr="00225D4D">
        <w:rPr>
          <w:rStyle w:val="kursiv"/>
        </w:rPr>
        <w:t>«Stortinget ber regjeringen vurdere helhetlig hvorvidt vektere og andre yrkesgrupper bør omfattes av det særlige strafferettslige vernet i straffeloven §§ 265 og 286 eller om det bør innføres et generelt sterkere vern av yrkesutøvere med særlig risiko for å utsettes for trusler, vold og kroppskrenkelser i forbindelse med utøvelse av yrket.»</w:t>
      </w:r>
    </w:p>
    <w:p w14:paraId="2C5203C1" w14:textId="77777777" w:rsidR="00D60186" w:rsidRPr="00225D4D" w:rsidRDefault="00D60186" w:rsidP="00225D4D">
      <w:r w:rsidRPr="00225D4D">
        <w:t xml:space="preserve">Dokumenta som ligg til grunn for vedtaket, er Dokument 8:203 S (2024–2025) og </w:t>
      </w:r>
      <w:proofErr w:type="spellStart"/>
      <w:r w:rsidRPr="00225D4D">
        <w:t>Innst</w:t>
      </w:r>
      <w:proofErr w:type="spellEnd"/>
      <w:r w:rsidRPr="00225D4D">
        <w:t>. 507 S (2024–2025).</w:t>
      </w:r>
    </w:p>
    <w:p w14:paraId="6166CD11" w14:textId="77777777" w:rsidR="00D60186" w:rsidRPr="00225D4D" w:rsidRDefault="00D60186" w:rsidP="00225D4D">
      <w:r w:rsidRPr="00225D4D">
        <w:t>Vedtaket er under behandling.</w:t>
      </w:r>
    </w:p>
    <w:p w14:paraId="3FD5E9BB" w14:textId="77777777" w:rsidR="00D60186" w:rsidRPr="00225D4D" w:rsidRDefault="00D60186" w:rsidP="00225D4D">
      <w:pPr>
        <w:pStyle w:val="avsnitt-tittel"/>
      </w:pPr>
      <w:r w:rsidRPr="00225D4D">
        <w:t xml:space="preserve">Effekten av </w:t>
      </w:r>
      <w:proofErr w:type="spellStart"/>
      <w:r w:rsidRPr="00225D4D">
        <w:t>endringane</w:t>
      </w:r>
      <w:proofErr w:type="spellEnd"/>
      <w:r w:rsidRPr="00225D4D">
        <w:t xml:space="preserve"> i </w:t>
      </w:r>
      <w:proofErr w:type="spellStart"/>
      <w:r w:rsidRPr="00225D4D">
        <w:t>valdtektsføresegna</w:t>
      </w:r>
      <w:proofErr w:type="spellEnd"/>
    </w:p>
    <w:p w14:paraId="0C747BA3" w14:textId="77777777" w:rsidR="00D60186" w:rsidRPr="00225D4D" w:rsidRDefault="00D60186" w:rsidP="00225D4D">
      <w:pPr>
        <w:pStyle w:val="avsnitt-undertittel"/>
      </w:pPr>
      <w:r w:rsidRPr="00225D4D">
        <w:t>Vedtak nr. 928, 6. juni 2025</w:t>
      </w:r>
    </w:p>
    <w:p w14:paraId="6BB7C160" w14:textId="77777777" w:rsidR="00D60186" w:rsidRPr="00225D4D" w:rsidRDefault="00D60186" w:rsidP="00225D4D">
      <w:pPr>
        <w:pStyle w:val="blokksit"/>
        <w:rPr>
          <w:rStyle w:val="kursiv"/>
        </w:rPr>
      </w:pPr>
      <w:r w:rsidRPr="00225D4D">
        <w:rPr>
          <w:rStyle w:val="kursiv"/>
        </w:rPr>
        <w:t xml:space="preserve">«Stortinget ber regjeringen igangsette en systematisk følgeforskning, herunder studier av rettspraksis, bevisvurdering samt effekten på rettssikkerheten av endringene i </w:t>
      </w:r>
      <w:proofErr w:type="spellStart"/>
      <w:r w:rsidRPr="00225D4D">
        <w:rPr>
          <w:rStyle w:val="kursiv"/>
        </w:rPr>
        <w:t>voldtektsbestemmelsene</w:t>
      </w:r>
      <w:proofErr w:type="spellEnd"/>
      <w:r w:rsidRPr="00225D4D">
        <w:rPr>
          <w:rStyle w:val="kursiv"/>
        </w:rPr>
        <w:t xml:space="preserve"> i straffeloven, og komme tilbake til Stortinget på egnet måte med en vurdering av hvordan loven fungerer etter at den har vært i kraft en tid.»</w:t>
      </w:r>
    </w:p>
    <w:p w14:paraId="038283AE"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132 L (2024–2025) og </w:t>
      </w:r>
      <w:proofErr w:type="spellStart"/>
      <w:r w:rsidRPr="00225D4D">
        <w:t>Innst</w:t>
      </w:r>
      <w:proofErr w:type="spellEnd"/>
      <w:r w:rsidRPr="00225D4D">
        <w:t>. 451 S (2024–2025).</w:t>
      </w:r>
    </w:p>
    <w:p w14:paraId="41024ACE" w14:textId="77777777" w:rsidR="00D60186" w:rsidRPr="00225D4D" w:rsidRDefault="00D60186" w:rsidP="00225D4D">
      <w:r w:rsidRPr="00225D4D">
        <w:t>Vedtaket er under behandling.</w:t>
      </w:r>
    </w:p>
    <w:p w14:paraId="0FFC9B34" w14:textId="77777777" w:rsidR="00D60186" w:rsidRPr="00225D4D" w:rsidRDefault="00D60186" w:rsidP="00225D4D">
      <w:pPr>
        <w:pStyle w:val="avsnitt-tittel"/>
      </w:pPr>
      <w:proofErr w:type="spellStart"/>
      <w:r w:rsidRPr="00225D4D">
        <w:t>Førstelinjeteneste</w:t>
      </w:r>
      <w:proofErr w:type="spellEnd"/>
      <w:r w:rsidRPr="00225D4D">
        <w:t xml:space="preserve"> for rettshjelp</w:t>
      </w:r>
    </w:p>
    <w:p w14:paraId="68DACF9D" w14:textId="77777777" w:rsidR="00D60186" w:rsidRPr="00225D4D" w:rsidRDefault="00D60186" w:rsidP="00225D4D">
      <w:pPr>
        <w:pStyle w:val="avsnitt-undertittel"/>
      </w:pPr>
      <w:r w:rsidRPr="00225D4D">
        <w:t>Vedtak nr. 930, 6. juni 2025</w:t>
      </w:r>
    </w:p>
    <w:p w14:paraId="2D5B9CF1" w14:textId="77777777" w:rsidR="00D60186" w:rsidRPr="00225D4D" w:rsidRDefault="00D60186" w:rsidP="00225D4D">
      <w:pPr>
        <w:pStyle w:val="blokksit"/>
        <w:rPr>
          <w:rStyle w:val="kursiv"/>
        </w:rPr>
      </w:pPr>
      <w:r w:rsidRPr="00225D4D">
        <w:rPr>
          <w:rStyle w:val="kursiv"/>
        </w:rPr>
        <w:t>«Stortinget ber regjeringen følge opp utredningen om en førstelinjetjeneste for rettshjelp fra 2023 og komme tilbake til Stortinget på egnet vis med forslag til etablering av en førstelinjetjeneste for rettshjelp.»</w:t>
      </w:r>
    </w:p>
    <w:p w14:paraId="2EA09A66"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103 L (2024–2025) og </w:t>
      </w:r>
      <w:proofErr w:type="spellStart"/>
      <w:r w:rsidRPr="00225D4D">
        <w:t>Innst</w:t>
      </w:r>
      <w:proofErr w:type="spellEnd"/>
      <w:r w:rsidRPr="00225D4D">
        <w:t>. 468 L (2024–2025).</w:t>
      </w:r>
    </w:p>
    <w:p w14:paraId="62501484" w14:textId="77777777" w:rsidR="00D60186" w:rsidRPr="00225D4D" w:rsidRDefault="00D60186" w:rsidP="00225D4D">
      <w:r w:rsidRPr="00225D4D">
        <w:t>Vedtaket er under behandling.</w:t>
      </w:r>
    </w:p>
    <w:p w14:paraId="35300783" w14:textId="77777777" w:rsidR="00D60186" w:rsidRPr="00225D4D" w:rsidRDefault="00D60186" w:rsidP="00225D4D">
      <w:pPr>
        <w:pStyle w:val="avsnitt-tittel"/>
      </w:pPr>
      <w:proofErr w:type="spellStart"/>
      <w:r w:rsidRPr="00225D4D">
        <w:t>Endringar</w:t>
      </w:r>
      <w:proofErr w:type="spellEnd"/>
      <w:r w:rsidRPr="00225D4D">
        <w:t xml:space="preserve"> i forvaringsstraffa</w:t>
      </w:r>
    </w:p>
    <w:p w14:paraId="0E9CF43A" w14:textId="77777777" w:rsidR="00D60186" w:rsidRPr="00225D4D" w:rsidRDefault="00D60186" w:rsidP="00225D4D">
      <w:pPr>
        <w:pStyle w:val="avsnitt-undertittel"/>
      </w:pPr>
      <w:r w:rsidRPr="00225D4D">
        <w:t>Vedtak nr. 931, 6. juni 2025</w:t>
      </w:r>
    </w:p>
    <w:p w14:paraId="3651FB0F" w14:textId="77777777" w:rsidR="00D60186" w:rsidRPr="00225D4D" w:rsidRDefault="00D60186" w:rsidP="00225D4D">
      <w:pPr>
        <w:pStyle w:val="blokksit"/>
        <w:rPr>
          <w:rStyle w:val="kursiv"/>
        </w:rPr>
      </w:pPr>
      <w:r w:rsidRPr="00225D4D">
        <w:rPr>
          <w:rStyle w:val="kursiv"/>
        </w:rPr>
        <w:t xml:space="preserve">«Stortinget ber regjeringen komme tilbake til Stortinget med forslag til endring av forvaringsstraffen, herunder innstramning i reglene for å </w:t>
      </w:r>
      <w:proofErr w:type="gramStart"/>
      <w:r w:rsidRPr="00225D4D">
        <w:rPr>
          <w:rStyle w:val="kursiv"/>
        </w:rPr>
        <w:t>begjære</w:t>
      </w:r>
      <w:proofErr w:type="gramEnd"/>
      <w:r w:rsidRPr="00225D4D">
        <w:rPr>
          <w:rStyle w:val="kursiv"/>
        </w:rPr>
        <w:t xml:space="preserve"> prøveløslatelse, krav til bruk av elektronisk kontroll ved permisjon og prøveløslatelse og en sikrere risikovurdering av domfelte med forvaringsstraff.»</w:t>
      </w:r>
    </w:p>
    <w:p w14:paraId="02194BD0" w14:textId="77777777" w:rsidR="00D60186" w:rsidRPr="00225D4D" w:rsidRDefault="00D60186" w:rsidP="00225D4D">
      <w:r w:rsidRPr="00225D4D">
        <w:t xml:space="preserve">Dokumenta som ligg til grunn for vedtaket, er Dokument 8:209 L (2024–2025) og </w:t>
      </w:r>
      <w:proofErr w:type="spellStart"/>
      <w:r w:rsidRPr="00225D4D">
        <w:t>Innst</w:t>
      </w:r>
      <w:proofErr w:type="spellEnd"/>
      <w:r w:rsidRPr="00225D4D">
        <w:t>. 482 L (2024–2025).</w:t>
      </w:r>
    </w:p>
    <w:p w14:paraId="1F7E2A7B" w14:textId="77777777" w:rsidR="00D60186" w:rsidRPr="00225D4D" w:rsidRDefault="00D60186" w:rsidP="00225D4D">
      <w:r w:rsidRPr="00225D4D">
        <w:t>Vedtaket er under behandling.</w:t>
      </w:r>
    </w:p>
    <w:p w14:paraId="463061D7" w14:textId="77777777" w:rsidR="00D60186" w:rsidRPr="00225D4D" w:rsidRDefault="00D60186" w:rsidP="00225D4D">
      <w:pPr>
        <w:pStyle w:val="avsnitt-tittel"/>
      </w:pPr>
      <w:proofErr w:type="spellStart"/>
      <w:r w:rsidRPr="00225D4D">
        <w:t>Manglande</w:t>
      </w:r>
      <w:proofErr w:type="spellEnd"/>
      <w:r w:rsidRPr="00225D4D">
        <w:t xml:space="preserve"> svar </w:t>
      </w:r>
      <w:proofErr w:type="spellStart"/>
      <w:r w:rsidRPr="00225D4D">
        <w:t>frå</w:t>
      </w:r>
      <w:proofErr w:type="spellEnd"/>
      <w:r w:rsidRPr="00225D4D">
        <w:t xml:space="preserve"> </w:t>
      </w:r>
      <w:proofErr w:type="spellStart"/>
      <w:r w:rsidRPr="00225D4D">
        <w:t>offentleg</w:t>
      </w:r>
      <w:proofErr w:type="spellEnd"/>
      <w:r w:rsidRPr="00225D4D">
        <w:t xml:space="preserve"> forvaltning og lang saksbehandlingstid</w:t>
      </w:r>
    </w:p>
    <w:p w14:paraId="49264594" w14:textId="77777777" w:rsidR="00D60186" w:rsidRPr="00225D4D" w:rsidRDefault="00D60186" w:rsidP="00225D4D">
      <w:pPr>
        <w:pStyle w:val="avsnitt-undertittel"/>
      </w:pPr>
      <w:r w:rsidRPr="00225D4D">
        <w:t>Vedtak nr. 942, 6. juni 2025</w:t>
      </w:r>
    </w:p>
    <w:p w14:paraId="5C481BC0" w14:textId="77777777" w:rsidR="00D60186" w:rsidRPr="00225D4D" w:rsidRDefault="00D60186" w:rsidP="00225D4D">
      <w:pPr>
        <w:pStyle w:val="blokksit"/>
        <w:rPr>
          <w:rStyle w:val="kursiv"/>
        </w:rPr>
      </w:pPr>
      <w:r w:rsidRPr="00225D4D">
        <w:rPr>
          <w:rStyle w:val="kursiv"/>
        </w:rPr>
        <w:t>«Stortinget ber regjeringen komme tilbake til Stortinget på egnet måte med en redegjørelse om hvordan arbeidet med å senke antall manglende svar fra offentlig forvaltning og redusere saksbehandlingstid går.»</w:t>
      </w:r>
    </w:p>
    <w:p w14:paraId="555D7E8C" w14:textId="77777777" w:rsidR="00D60186" w:rsidRPr="00225D4D" w:rsidRDefault="00D60186" w:rsidP="00225D4D">
      <w:r w:rsidRPr="00225D4D">
        <w:t xml:space="preserve">Dokumenta som ligg til grunn for vedtaket, er Dokument 4:2 (2024–2025) og </w:t>
      </w:r>
      <w:proofErr w:type="spellStart"/>
      <w:r w:rsidRPr="00225D4D">
        <w:t>Innst</w:t>
      </w:r>
      <w:proofErr w:type="spellEnd"/>
      <w:r w:rsidRPr="00225D4D">
        <w:t>. 472 S (2024–2025).</w:t>
      </w:r>
    </w:p>
    <w:p w14:paraId="7ECCACFA" w14:textId="77777777" w:rsidR="00D60186" w:rsidRPr="00225D4D" w:rsidRDefault="00D60186" w:rsidP="00225D4D">
      <w:r w:rsidRPr="00225D4D">
        <w:t>Vedtaket er under behandling.</w:t>
      </w:r>
    </w:p>
    <w:p w14:paraId="0D14F726" w14:textId="77777777" w:rsidR="00D60186" w:rsidRPr="00225D4D" w:rsidRDefault="00D60186" w:rsidP="00225D4D">
      <w:pPr>
        <w:pStyle w:val="avsnitt-tittel"/>
      </w:pPr>
      <w:proofErr w:type="spellStart"/>
      <w:r w:rsidRPr="00225D4D">
        <w:t>Offentleg</w:t>
      </w:r>
      <w:proofErr w:type="spellEnd"/>
      <w:r w:rsidRPr="00225D4D">
        <w:t xml:space="preserve"> statistikk over venta saksbehandlingstid</w:t>
      </w:r>
    </w:p>
    <w:p w14:paraId="785A17E3" w14:textId="77777777" w:rsidR="00D60186" w:rsidRPr="00225D4D" w:rsidRDefault="00D60186" w:rsidP="00225D4D">
      <w:pPr>
        <w:pStyle w:val="avsnitt-undertittel"/>
      </w:pPr>
      <w:r w:rsidRPr="00225D4D">
        <w:t>Vedtak nr. 943, 6. juni 2025</w:t>
      </w:r>
    </w:p>
    <w:p w14:paraId="33534A50" w14:textId="77777777" w:rsidR="00D60186" w:rsidRPr="00225D4D" w:rsidRDefault="00D60186" w:rsidP="00225D4D">
      <w:pPr>
        <w:pStyle w:val="blokksit"/>
        <w:rPr>
          <w:rStyle w:val="kursiv"/>
        </w:rPr>
      </w:pPr>
      <w:r w:rsidRPr="00225D4D">
        <w:rPr>
          <w:rStyle w:val="kursiv"/>
        </w:rPr>
        <w:t>«Stortinget ber regjeringen sørge for at langt flere forvaltningsorganer løpende offentliggjør statistikk over forventet/reell saksbehandlingstid for de søknader og klager organet behandler.»</w:t>
      </w:r>
    </w:p>
    <w:p w14:paraId="1D56B9CE" w14:textId="77777777" w:rsidR="00D60186" w:rsidRPr="00225D4D" w:rsidRDefault="00D60186" w:rsidP="00225D4D">
      <w:r w:rsidRPr="00225D4D">
        <w:t xml:space="preserve">Dokumenta som ligg til grunn for vedtaket, er Dokument 4:2 (202–-2025) og </w:t>
      </w:r>
      <w:proofErr w:type="spellStart"/>
      <w:r w:rsidRPr="00225D4D">
        <w:t>Innst</w:t>
      </w:r>
      <w:proofErr w:type="spellEnd"/>
      <w:r w:rsidRPr="00225D4D">
        <w:t>. 472 S (2024–2025).</w:t>
      </w:r>
    </w:p>
    <w:p w14:paraId="2322C60A" w14:textId="77777777" w:rsidR="00D60186" w:rsidRPr="00225D4D" w:rsidRDefault="00D60186" w:rsidP="00225D4D">
      <w:r w:rsidRPr="00225D4D">
        <w:t>Vedtaket er under behandling.</w:t>
      </w:r>
    </w:p>
    <w:p w14:paraId="08143BF0" w14:textId="77777777" w:rsidR="00D60186" w:rsidRPr="00225D4D" w:rsidRDefault="00D60186" w:rsidP="00225D4D">
      <w:pPr>
        <w:pStyle w:val="avsnitt-tittel"/>
      </w:pPr>
      <w:proofErr w:type="spellStart"/>
      <w:r w:rsidRPr="00225D4D">
        <w:t>Saksbehandlingsreglar</w:t>
      </w:r>
      <w:proofErr w:type="spellEnd"/>
      <w:r w:rsidRPr="00225D4D">
        <w:t xml:space="preserve"> ved nye lovforslag</w:t>
      </w:r>
    </w:p>
    <w:p w14:paraId="0B4C128C" w14:textId="77777777" w:rsidR="00D60186" w:rsidRPr="00225D4D" w:rsidRDefault="00D60186" w:rsidP="00225D4D">
      <w:pPr>
        <w:pStyle w:val="avsnitt-undertittel"/>
      </w:pPr>
      <w:r w:rsidRPr="00225D4D">
        <w:t>Vedtak nr. 944, 6. juni 2025</w:t>
      </w:r>
    </w:p>
    <w:p w14:paraId="00704CB8" w14:textId="77777777" w:rsidR="00D60186" w:rsidRPr="00225D4D" w:rsidRDefault="00D60186" w:rsidP="00225D4D">
      <w:pPr>
        <w:pStyle w:val="blokksit"/>
      </w:pPr>
      <w:r w:rsidRPr="00225D4D">
        <w:rPr>
          <w:rStyle w:val="kursiv"/>
        </w:rPr>
        <w:t>«Stortinget ber regjeringen legge til rette for at det ved nye lovforslag som innebærer behandling av søknader, og ved større revisjoner av eksisterende søknadsordninger, også vurderes om det bør fastsettes konkrete saksbehandlingsfrister».</w:t>
      </w:r>
    </w:p>
    <w:p w14:paraId="6F3BE9BC" w14:textId="77777777" w:rsidR="00D60186" w:rsidRPr="00225D4D" w:rsidRDefault="00D60186" w:rsidP="00225D4D">
      <w:r w:rsidRPr="00225D4D">
        <w:t xml:space="preserve">Dokumenta som ligg til grunn for vedtaket, er Dokument 4:2 (2024–2025) og </w:t>
      </w:r>
      <w:proofErr w:type="spellStart"/>
      <w:r w:rsidRPr="00225D4D">
        <w:t>Innst</w:t>
      </w:r>
      <w:proofErr w:type="spellEnd"/>
      <w:r w:rsidRPr="00225D4D">
        <w:t>. 472 S (2024–2025).</w:t>
      </w:r>
    </w:p>
    <w:p w14:paraId="6882C8A8"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Regjeringa vil ta omsyn til vedtaket i arbeidet med nye lover som regulerer behandling av søknader til forvaltninga, og ved revisjon av </w:t>
      </w:r>
      <w:proofErr w:type="spellStart"/>
      <w:r w:rsidRPr="00225D4D">
        <w:t>eksisterande</w:t>
      </w:r>
      <w:proofErr w:type="spellEnd"/>
      <w:r w:rsidRPr="00225D4D">
        <w:t xml:space="preserve"> </w:t>
      </w:r>
      <w:proofErr w:type="spellStart"/>
      <w:r w:rsidRPr="00225D4D">
        <w:t>ordningar</w:t>
      </w:r>
      <w:proofErr w:type="spellEnd"/>
      <w:r w:rsidRPr="00225D4D">
        <w:t>.</w:t>
      </w:r>
    </w:p>
    <w:p w14:paraId="7C58C80B" w14:textId="77777777" w:rsidR="00D60186" w:rsidRPr="00225D4D" w:rsidRDefault="00D60186" w:rsidP="00225D4D">
      <w:pPr>
        <w:pStyle w:val="avsnitt-tittel"/>
      </w:pPr>
      <w:r w:rsidRPr="00225D4D">
        <w:t>Saksbehandlingstida i klareringssaker</w:t>
      </w:r>
    </w:p>
    <w:p w14:paraId="74FF473A" w14:textId="77777777" w:rsidR="00D60186" w:rsidRPr="00225D4D" w:rsidRDefault="00D60186" w:rsidP="00225D4D">
      <w:pPr>
        <w:pStyle w:val="avsnitt-undertittel"/>
      </w:pPr>
      <w:r w:rsidRPr="00225D4D">
        <w:t>Vedtak 948 6. juni 2025</w:t>
      </w:r>
    </w:p>
    <w:p w14:paraId="005C7861" w14:textId="77777777" w:rsidR="00D60186" w:rsidRPr="00225D4D" w:rsidRDefault="00D60186" w:rsidP="00225D4D">
      <w:pPr>
        <w:pStyle w:val="blokksit"/>
        <w:rPr>
          <w:rStyle w:val="kursiv"/>
        </w:rPr>
      </w:pPr>
      <w:r w:rsidRPr="00225D4D">
        <w:rPr>
          <w:rStyle w:val="kursiv"/>
        </w:rPr>
        <w:t>«Stortinget ber regjeringen på egnet måte og innen rimelig tid komme tilbake til Stortinget med konkrete tiltak for å redusere saksbehandlingstiden i klareringssaker.»</w:t>
      </w:r>
    </w:p>
    <w:p w14:paraId="7682E1E6" w14:textId="77777777" w:rsidR="00D60186" w:rsidRPr="00225D4D" w:rsidRDefault="00D60186" w:rsidP="00225D4D">
      <w:r w:rsidRPr="00225D4D">
        <w:t xml:space="preserve">Dokumenta som ligg til grunn for vedtaket, er Dokument 7 (2024–2025), </w:t>
      </w:r>
      <w:proofErr w:type="spellStart"/>
      <w:r w:rsidRPr="00225D4D">
        <w:t>Innst</w:t>
      </w:r>
      <w:proofErr w:type="spellEnd"/>
      <w:r w:rsidRPr="00225D4D">
        <w:t>. 393 S (2024–2025),</w:t>
      </w:r>
    </w:p>
    <w:p w14:paraId="16212B65" w14:textId="77777777" w:rsidR="00D60186" w:rsidRPr="00225D4D" w:rsidRDefault="00D60186" w:rsidP="00225D4D">
      <w:r w:rsidRPr="00225D4D">
        <w:t xml:space="preserve">Vedtaket er under behandling. Regjeringa har beslutta å starte </w:t>
      </w:r>
      <w:proofErr w:type="spellStart"/>
      <w:r w:rsidRPr="00225D4D">
        <w:t>eit</w:t>
      </w:r>
      <w:proofErr w:type="spellEnd"/>
      <w:r w:rsidRPr="00225D4D">
        <w:t xml:space="preserve"> arbeid med å modernisere klareringsinstituttet til </w:t>
      </w:r>
      <w:proofErr w:type="spellStart"/>
      <w:r w:rsidRPr="00225D4D">
        <w:t>eit</w:t>
      </w:r>
      <w:proofErr w:type="spellEnd"/>
      <w:r w:rsidRPr="00225D4D">
        <w:t xml:space="preserve"> system rusta for fremtida. Justis- og beredskapsdepartementet er i gang med dette arbeidet. Til grunn for arbeidet har Justis- og beredskapsdepartementet fått ei </w:t>
      </w:r>
      <w:proofErr w:type="spellStart"/>
      <w:r w:rsidRPr="00225D4D">
        <w:t>einmannsutgreiing</w:t>
      </w:r>
      <w:proofErr w:type="spellEnd"/>
      <w:r w:rsidRPr="00225D4D">
        <w:t xml:space="preserve"> om korleis klareringsinstituttet bør </w:t>
      </w:r>
      <w:proofErr w:type="spellStart"/>
      <w:r w:rsidRPr="00225D4D">
        <w:t>organiserast</w:t>
      </w:r>
      <w:proofErr w:type="spellEnd"/>
      <w:r w:rsidRPr="00225D4D">
        <w:t xml:space="preserve">, som blei levert i midten av juni 2025. Rapporten, </w:t>
      </w:r>
      <w:proofErr w:type="spellStart"/>
      <w:r w:rsidRPr="00225D4D">
        <w:t>saman</w:t>
      </w:r>
      <w:proofErr w:type="spellEnd"/>
      <w:r w:rsidRPr="00225D4D">
        <w:t xml:space="preserve"> med rapporten </w:t>
      </w:r>
      <w:proofErr w:type="spellStart"/>
      <w:r w:rsidRPr="00225D4D">
        <w:t>frå</w:t>
      </w:r>
      <w:proofErr w:type="spellEnd"/>
      <w:r w:rsidRPr="00225D4D">
        <w:t xml:space="preserve"> Gjedrem II-</w:t>
      </w:r>
      <w:proofErr w:type="spellStart"/>
      <w:r w:rsidRPr="00225D4D">
        <w:t>utvalet</w:t>
      </w:r>
      <w:proofErr w:type="spellEnd"/>
      <w:r w:rsidRPr="00225D4D">
        <w:t xml:space="preserve">, er </w:t>
      </w:r>
      <w:proofErr w:type="spellStart"/>
      <w:r w:rsidRPr="00225D4D">
        <w:t>no</w:t>
      </w:r>
      <w:proofErr w:type="spellEnd"/>
      <w:r w:rsidRPr="00225D4D">
        <w:t xml:space="preserve"> til behandling i Forsvarsdepartementet og Justis- og beredskapsdepartementet.</w:t>
      </w:r>
    </w:p>
    <w:p w14:paraId="118A86B4" w14:textId="77777777" w:rsidR="00D60186" w:rsidRPr="00225D4D" w:rsidRDefault="00D60186" w:rsidP="00225D4D">
      <w:pPr>
        <w:pStyle w:val="avsnitt-tittel"/>
      </w:pPr>
      <w:proofErr w:type="spellStart"/>
      <w:r w:rsidRPr="00225D4D">
        <w:t>Endringar</w:t>
      </w:r>
      <w:proofErr w:type="spellEnd"/>
      <w:r w:rsidRPr="00225D4D">
        <w:t xml:space="preserve"> i straffelova og legemiddellova</w:t>
      </w:r>
    </w:p>
    <w:p w14:paraId="0A5E6609" w14:textId="77777777" w:rsidR="00D60186" w:rsidRPr="00225D4D" w:rsidRDefault="00D60186" w:rsidP="00225D4D">
      <w:pPr>
        <w:pStyle w:val="avsnitt-undertittel"/>
      </w:pPr>
      <w:r w:rsidRPr="00225D4D">
        <w:t>Vedtak nr. 960, 13. juni 2025</w:t>
      </w:r>
    </w:p>
    <w:p w14:paraId="627D150D" w14:textId="77777777" w:rsidR="00D60186" w:rsidRPr="00225D4D" w:rsidRDefault="00D60186" w:rsidP="00225D4D">
      <w:pPr>
        <w:pStyle w:val="blokksit"/>
        <w:rPr>
          <w:rStyle w:val="kursiv"/>
        </w:rPr>
      </w:pPr>
      <w:r w:rsidRPr="00225D4D">
        <w:rPr>
          <w:rStyle w:val="kursiv"/>
        </w:rPr>
        <w:t>«Stortinget ber regjeringen, innen våren 2026, utrede og sende på høring et lovforslag som sikrer at politiet ikke straffeforfølger narkotikaovertredelser etter legemiddelloven og mindre alvorlige overtredelser av straffeloven § 231, der lovbryteren yter assistanse, er til stede eller tilkaller nødetater i akutte nødsituasjoner, eller der en slik overtredelse avdekkes hos fornærmede ved anmeldelse av andre straffbare forhold, med sikte på deretter uten unødig opphold å komme tilbake til Stortinget med et lovforslag.»</w:t>
      </w:r>
    </w:p>
    <w:p w14:paraId="739D6CE2"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112 L (2024–2025), </w:t>
      </w:r>
      <w:proofErr w:type="spellStart"/>
      <w:r w:rsidRPr="00225D4D">
        <w:t>Innst</w:t>
      </w:r>
      <w:proofErr w:type="spellEnd"/>
      <w:r w:rsidRPr="00225D4D">
        <w:t>. 518 L (2024–2025) og Lovvedtak 118.</w:t>
      </w:r>
    </w:p>
    <w:p w14:paraId="79672025" w14:textId="77777777" w:rsidR="00D60186" w:rsidRPr="00225D4D" w:rsidRDefault="00D60186" w:rsidP="00225D4D">
      <w:r w:rsidRPr="00225D4D">
        <w:t>Vedtaket er under behandling.</w:t>
      </w:r>
    </w:p>
    <w:p w14:paraId="04492A00" w14:textId="77777777" w:rsidR="00D60186" w:rsidRPr="00225D4D" w:rsidRDefault="00D60186" w:rsidP="00225D4D">
      <w:pPr>
        <w:pStyle w:val="avsnitt-tittel"/>
      </w:pPr>
      <w:proofErr w:type="spellStart"/>
      <w:r w:rsidRPr="00225D4D">
        <w:t>Endringar</w:t>
      </w:r>
      <w:proofErr w:type="spellEnd"/>
      <w:r w:rsidRPr="00225D4D">
        <w:t xml:space="preserve"> i straffelova og legemiddellova</w:t>
      </w:r>
    </w:p>
    <w:p w14:paraId="05DCED8A" w14:textId="77777777" w:rsidR="00D60186" w:rsidRPr="00225D4D" w:rsidRDefault="00D60186" w:rsidP="00225D4D">
      <w:pPr>
        <w:pStyle w:val="avsnitt-undertittel"/>
      </w:pPr>
      <w:r w:rsidRPr="00225D4D">
        <w:t>Vedtak nr. 963, 13. juni 2025</w:t>
      </w:r>
    </w:p>
    <w:p w14:paraId="079168B4" w14:textId="77777777" w:rsidR="00D60186" w:rsidRPr="00225D4D" w:rsidRDefault="00D60186" w:rsidP="00225D4D">
      <w:pPr>
        <w:pStyle w:val="blokksit"/>
        <w:rPr>
          <w:rStyle w:val="kursiv"/>
        </w:rPr>
      </w:pPr>
      <w:r w:rsidRPr="00225D4D">
        <w:rPr>
          <w:rStyle w:val="kursiv"/>
        </w:rPr>
        <w:t>«Stortinget ber regjeringen tydeliggjøre regelverket om tilbakekall av førerrett på grunn av rusmiddelbruk og gi veiledning om praksis for å sikre at hensynet til rettssikkerhet og forholdsmessighet ivaretas.»</w:t>
      </w:r>
    </w:p>
    <w:p w14:paraId="706A8340"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112 L (2024–2025), </w:t>
      </w:r>
      <w:proofErr w:type="spellStart"/>
      <w:r w:rsidRPr="00225D4D">
        <w:t>Innst</w:t>
      </w:r>
      <w:proofErr w:type="spellEnd"/>
      <w:r w:rsidRPr="00225D4D">
        <w:t>. 518 L (2024–2025) og Lovvedtak 118.</w:t>
      </w:r>
    </w:p>
    <w:p w14:paraId="413A217D" w14:textId="77777777" w:rsidR="00D60186" w:rsidRPr="00225D4D" w:rsidRDefault="00D60186" w:rsidP="00225D4D">
      <w:r w:rsidRPr="00225D4D">
        <w:t>Vedtaket er under behandling.</w:t>
      </w:r>
    </w:p>
    <w:p w14:paraId="6E23A055" w14:textId="77777777" w:rsidR="00D60186" w:rsidRPr="00225D4D" w:rsidRDefault="00D60186" w:rsidP="00225D4D">
      <w:pPr>
        <w:pStyle w:val="avsnitt-tittel"/>
      </w:pPr>
      <w:proofErr w:type="spellStart"/>
      <w:r w:rsidRPr="00225D4D">
        <w:t>Endringar</w:t>
      </w:r>
      <w:proofErr w:type="spellEnd"/>
      <w:r w:rsidRPr="00225D4D">
        <w:t xml:space="preserve"> i straffelova og legemiddellova</w:t>
      </w:r>
    </w:p>
    <w:p w14:paraId="67CADA9B" w14:textId="77777777" w:rsidR="00D60186" w:rsidRPr="00225D4D" w:rsidRDefault="00D60186" w:rsidP="00225D4D">
      <w:pPr>
        <w:pStyle w:val="avsnitt-undertittel"/>
      </w:pPr>
      <w:r w:rsidRPr="00225D4D">
        <w:t>Vedtak nr. 964, 13. juni 2025</w:t>
      </w:r>
    </w:p>
    <w:p w14:paraId="6C3164B7" w14:textId="77777777" w:rsidR="00D60186" w:rsidRPr="00225D4D" w:rsidRDefault="00D60186" w:rsidP="00225D4D">
      <w:pPr>
        <w:pStyle w:val="blokksit"/>
        <w:rPr>
          <w:rStyle w:val="kursiv"/>
        </w:rPr>
      </w:pPr>
      <w:r w:rsidRPr="00225D4D">
        <w:rPr>
          <w:rStyle w:val="kursiv"/>
        </w:rPr>
        <w:t xml:space="preserve">«Stortinget ber regjeringen gjennom tildelingsbrev legge til rette for at Den høyrere påtalemyndighet følger med på politiets tvangsmiddelbruk i mindre alvorlige </w:t>
      </w:r>
      <w:proofErr w:type="spellStart"/>
      <w:r w:rsidRPr="00225D4D">
        <w:rPr>
          <w:rStyle w:val="kursiv"/>
        </w:rPr>
        <w:t>narkotiasaker</w:t>
      </w:r>
      <w:proofErr w:type="spellEnd"/>
      <w:r w:rsidRPr="00225D4D">
        <w:rPr>
          <w:rStyle w:val="kursiv"/>
        </w:rPr>
        <w:t>, herunder ved å føre en åpen statistikk over omfanget og resultatene av narkotikatesting. Videre bes regjeringen legge til rette for at Den høyere påtalemyndighet gjennomfører en undersøkelse av tvangsmiddelbruk, tilsvarende den som ble gjennomført i 2022, etter at de foreslåtte endringene i legemiddelloven har virket i ett år.»</w:t>
      </w:r>
    </w:p>
    <w:p w14:paraId="3DF1BCB6"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112 L (2024–2025), </w:t>
      </w:r>
      <w:proofErr w:type="spellStart"/>
      <w:r w:rsidRPr="00225D4D">
        <w:t>Innst</w:t>
      </w:r>
      <w:proofErr w:type="spellEnd"/>
      <w:r w:rsidRPr="00225D4D">
        <w:t>. 518 L (2024–2025) og Lovvedtak 118.</w:t>
      </w:r>
    </w:p>
    <w:p w14:paraId="7DE1723F" w14:textId="77777777" w:rsidR="00D60186" w:rsidRPr="00225D4D" w:rsidRDefault="00D60186" w:rsidP="00225D4D">
      <w:r w:rsidRPr="00225D4D">
        <w:t>Vedtaket er under behandling.</w:t>
      </w:r>
    </w:p>
    <w:p w14:paraId="4CE8DCD0" w14:textId="77777777" w:rsidR="00D60186" w:rsidRPr="00225D4D" w:rsidRDefault="00D60186" w:rsidP="00225D4D">
      <w:pPr>
        <w:pStyle w:val="avsnitt-tittel"/>
      </w:pPr>
      <w:r w:rsidRPr="00225D4D">
        <w:t>Forvaltningslova – Personalsalsaker i interkommunale selskap som enkeltvedtak</w:t>
      </w:r>
    </w:p>
    <w:p w14:paraId="1C6BF035" w14:textId="77777777" w:rsidR="00D60186" w:rsidRPr="00225D4D" w:rsidRDefault="00D60186" w:rsidP="00225D4D">
      <w:pPr>
        <w:pStyle w:val="avsnitt-undertittel"/>
      </w:pPr>
      <w:r w:rsidRPr="00225D4D">
        <w:t>Vedtak nr. 966, 11. juni 2025</w:t>
      </w:r>
    </w:p>
    <w:p w14:paraId="73EAD028" w14:textId="77777777" w:rsidR="00D60186" w:rsidRPr="00225D4D" w:rsidRDefault="00D60186" w:rsidP="00225D4D">
      <w:pPr>
        <w:pStyle w:val="blokksit"/>
        <w:rPr>
          <w:rStyle w:val="kursiv"/>
        </w:rPr>
      </w:pPr>
      <w:r w:rsidRPr="00225D4D">
        <w:rPr>
          <w:rStyle w:val="kursiv"/>
        </w:rPr>
        <w:t>«Stortinget ber regjeringen vurdere om personalsaker i interkommunale selskaper og oppgavesamarbeid fortsatt skal defineres som enkeltvedtak etter forvaltningsloven, eller om det er mest hensiktsmessig at det utelukkende reguleres gjennom arbeidsmiljøloven.»</w:t>
      </w:r>
    </w:p>
    <w:p w14:paraId="1240837F"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478 L (2024–2025).</w:t>
      </w:r>
    </w:p>
    <w:p w14:paraId="50016771" w14:textId="77777777" w:rsidR="00D60186" w:rsidRPr="00225D4D" w:rsidRDefault="00D60186" w:rsidP="00225D4D">
      <w:r w:rsidRPr="00225D4D">
        <w:t>Vedtaket er under behandling.</w:t>
      </w:r>
    </w:p>
    <w:p w14:paraId="60EA3EC1" w14:textId="77777777" w:rsidR="00D60186" w:rsidRPr="00225D4D" w:rsidRDefault="00D60186" w:rsidP="00225D4D">
      <w:pPr>
        <w:pStyle w:val="avsnitt-tittel"/>
      </w:pPr>
      <w:r w:rsidRPr="00225D4D">
        <w:t>Forvaltningslova – beredskapsheimel</w:t>
      </w:r>
    </w:p>
    <w:p w14:paraId="157650C0" w14:textId="77777777" w:rsidR="00D60186" w:rsidRPr="00225D4D" w:rsidRDefault="00D60186" w:rsidP="00225D4D">
      <w:pPr>
        <w:pStyle w:val="avsnitt-undertittel"/>
      </w:pPr>
      <w:r w:rsidRPr="00225D4D">
        <w:t>Vedtak nr. 967, 11. juni 2025</w:t>
      </w:r>
    </w:p>
    <w:p w14:paraId="77049908" w14:textId="77777777" w:rsidR="00D60186" w:rsidRPr="00225D4D" w:rsidRDefault="00D60186" w:rsidP="00225D4D">
      <w:pPr>
        <w:pStyle w:val="blokksit"/>
        <w:rPr>
          <w:rStyle w:val="kursiv"/>
        </w:rPr>
      </w:pPr>
      <w:r w:rsidRPr="00225D4D">
        <w:rPr>
          <w:rStyle w:val="kursiv"/>
        </w:rPr>
        <w:t>«Stortinget ber regjeringen gjennomgå reglene for bruk av beredskapshjemmelen i forvaltningsloven og komme tilbake til Stortinget på egnet måte.»</w:t>
      </w:r>
    </w:p>
    <w:p w14:paraId="066FCC75"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478 L (2024–2025).</w:t>
      </w:r>
    </w:p>
    <w:p w14:paraId="0A03646C" w14:textId="77777777" w:rsidR="00D60186" w:rsidRPr="00225D4D" w:rsidRDefault="00D60186" w:rsidP="00225D4D">
      <w:r w:rsidRPr="00225D4D">
        <w:t>Vedtaket er under behandling.</w:t>
      </w:r>
    </w:p>
    <w:p w14:paraId="3F303463" w14:textId="77777777" w:rsidR="00D60186" w:rsidRPr="00225D4D" w:rsidRDefault="00D60186" w:rsidP="00225D4D">
      <w:pPr>
        <w:pStyle w:val="avsnitt-tittel"/>
      </w:pPr>
      <w:r w:rsidRPr="00225D4D">
        <w:t>Forvaltningslova – automatisert saksbehandling</w:t>
      </w:r>
    </w:p>
    <w:p w14:paraId="375699CD" w14:textId="77777777" w:rsidR="00D60186" w:rsidRPr="00225D4D" w:rsidRDefault="00D60186" w:rsidP="00225D4D">
      <w:pPr>
        <w:pStyle w:val="avsnitt-undertittel"/>
      </w:pPr>
      <w:r w:rsidRPr="00225D4D">
        <w:t>Vedtak nr. 968, 11. juni 2025</w:t>
      </w:r>
    </w:p>
    <w:p w14:paraId="10570D2A" w14:textId="77777777" w:rsidR="00D60186" w:rsidRPr="00225D4D" w:rsidRDefault="00D60186" w:rsidP="00225D4D">
      <w:pPr>
        <w:pStyle w:val="blokksit"/>
        <w:rPr>
          <w:rStyle w:val="kursiv"/>
        </w:rPr>
      </w:pPr>
      <w:r w:rsidRPr="00225D4D">
        <w:rPr>
          <w:rStyle w:val="kursiv"/>
        </w:rPr>
        <w:t>«Stortinget ber regjeringen evaluere virkningene av lovendringene i forvaltningsloven om automatisert saksbehandling og automatiserte avgjørelser innen tre år etter lovens ikrafttredelse.»</w:t>
      </w:r>
    </w:p>
    <w:p w14:paraId="76A0C6DE"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478 L (2024–2025).</w:t>
      </w:r>
    </w:p>
    <w:p w14:paraId="10FA1ED9" w14:textId="77777777" w:rsidR="00D60186" w:rsidRPr="00225D4D" w:rsidRDefault="00D60186" w:rsidP="00225D4D">
      <w:r w:rsidRPr="00225D4D">
        <w:t>Vedtaket er under behandling.</w:t>
      </w:r>
    </w:p>
    <w:p w14:paraId="667E2965" w14:textId="77777777" w:rsidR="00D60186" w:rsidRPr="00225D4D" w:rsidRDefault="00D60186" w:rsidP="00225D4D">
      <w:pPr>
        <w:pStyle w:val="avsnitt-tittel"/>
      </w:pPr>
      <w:r w:rsidRPr="00225D4D">
        <w:t>Forvaltningslova – rettleiingsplikta</w:t>
      </w:r>
    </w:p>
    <w:p w14:paraId="1106FB3C" w14:textId="77777777" w:rsidR="00D60186" w:rsidRPr="00225D4D" w:rsidRDefault="00D60186" w:rsidP="00225D4D">
      <w:pPr>
        <w:pStyle w:val="avsnitt-undertittel"/>
      </w:pPr>
      <w:r w:rsidRPr="00225D4D">
        <w:t>Vedtak nr. 969, 11. juni 2025</w:t>
      </w:r>
    </w:p>
    <w:p w14:paraId="53E0E3B8" w14:textId="77777777" w:rsidR="00D60186" w:rsidRPr="00225D4D" w:rsidRDefault="00D60186" w:rsidP="00225D4D">
      <w:pPr>
        <w:pStyle w:val="blokksit"/>
        <w:rPr>
          <w:rStyle w:val="kursiv"/>
        </w:rPr>
      </w:pPr>
      <w:r w:rsidRPr="00225D4D">
        <w:rPr>
          <w:rStyle w:val="kursiv"/>
        </w:rPr>
        <w:t>«Stortinget ber regjeringen følge opp overfor forvaltningen gjennom forskrift, veiledninger etc. og understreke at veiledningsplikten først kan anses som oppfylt når informasjonen er mottatt og forstått av den enkelte.»</w:t>
      </w:r>
    </w:p>
    <w:p w14:paraId="758CE926"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478 L (2024–2025).</w:t>
      </w:r>
    </w:p>
    <w:p w14:paraId="39D958CE" w14:textId="77777777" w:rsidR="00D60186" w:rsidRPr="00225D4D" w:rsidRDefault="00D60186" w:rsidP="00225D4D">
      <w:r w:rsidRPr="00225D4D">
        <w:t>Vedtaket er under behandling.</w:t>
      </w:r>
    </w:p>
    <w:p w14:paraId="6230B65E" w14:textId="77777777" w:rsidR="00D60186" w:rsidRPr="00225D4D" w:rsidRDefault="00D60186" w:rsidP="00225D4D">
      <w:pPr>
        <w:pStyle w:val="avsnitt-tittel"/>
      </w:pPr>
      <w:r w:rsidRPr="00225D4D">
        <w:t>Forvaltningslova – saksbehandlingstid</w:t>
      </w:r>
    </w:p>
    <w:p w14:paraId="01D124B2" w14:textId="77777777" w:rsidR="00D60186" w:rsidRPr="00225D4D" w:rsidRDefault="00D60186" w:rsidP="00225D4D">
      <w:pPr>
        <w:pStyle w:val="avsnitt-undertittel"/>
      </w:pPr>
      <w:r w:rsidRPr="00225D4D">
        <w:t>Vedtak nr. 970, 11. juni 2025</w:t>
      </w:r>
    </w:p>
    <w:p w14:paraId="4F796D65" w14:textId="77777777" w:rsidR="00D60186" w:rsidRPr="00225D4D" w:rsidRDefault="00D60186" w:rsidP="00225D4D">
      <w:pPr>
        <w:pStyle w:val="blokksit"/>
        <w:rPr>
          <w:rStyle w:val="kursiv"/>
        </w:rPr>
      </w:pPr>
      <w:r w:rsidRPr="00225D4D">
        <w:rPr>
          <w:rStyle w:val="kursiv"/>
        </w:rPr>
        <w:t xml:space="preserve">«Stortinget ber regjeringen på egnet måte innskjerpe overfor forvaltningen at forvaltningslovens bestemmelser </w:t>
      </w:r>
      <w:proofErr w:type="gramStart"/>
      <w:r w:rsidRPr="00225D4D">
        <w:rPr>
          <w:rStyle w:val="kursiv"/>
        </w:rPr>
        <w:t>vedrørende</w:t>
      </w:r>
      <w:proofErr w:type="gramEnd"/>
      <w:r w:rsidRPr="00225D4D">
        <w:rPr>
          <w:rStyle w:val="kursiv"/>
        </w:rPr>
        <w:t xml:space="preserve"> krav til saksbehandlingstid og personer og virksomheters rett til svar blir ivaretatt.»</w:t>
      </w:r>
    </w:p>
    <w:p w14:paraId="0066A665"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47 L (2024–2025).</w:t>
      </w:r>
    </w:p>
    <w:p w14:paraId="7D0A2DFB" w14:textId="77777777" w:rsidR="00D60186" w:rsidRPr="00225D4D" w:rsidRDefault="00D60186" w:rsidP="00225D4D">
      <w:r w:rsidRPr="00225D4D">
        <w:t>Vedtaket er under behandling.</w:t>
      </w:r>
    </w:p>
    <w:p w14:paraId="0A92E65B" w14:textId="77777777" w:rsidR="00D60186" w:rsidRPr="00225D4D" w:rsidRDefault="00D60186" w:rsidP="00225D4D">
      <w:pPr>
        <w:pStyle w:val="avsnitt-tittel"/>
      </w:pPr>
      <w:proofErr w:type="spellStart"/>
      <w:r w:rsidRPr="00225D4D">
        <w:t>Forvaltningsllova</w:t>
      </w:r>
      <w:proofErr w:type="spellEnd"/>
      <w:r w:rsidRPr="00225D4D">
        <w:t xml:space="preserve"> - administrative </w:t>
      </w:r>
      <w:proofErr w:type="spellStart"/>
      <w:r w:rsidRPr="00225D4D">
        <w:t>sanksjonar</w:t>
      </w:r>
      <w:proofErr w:type="spellEnd"/>
    </w:p>
    <w:p w14:paraId="409BEFC6" w14:textId="77777777" w:rsidR="00D60186" w:rsidRPr="00225D4D" w:rsidRDefault="00D60186" w:rsidP="00225D4D">
      <w:pPr>
        <w:pStyle w:val="avsnitt-undertittel"/>
      </w:pPr>
      <w:r w:rsidRPr="00225D4D">
        <w:t>Vedtak nr. 971, 11. juni 2025</w:t>
      </w:r>
    </w:p>
    <w:p w14:paraId="394A5A0B" w14:textId="77777777" w:rsidR="00D60186" w:rsidRPr="00225D4D" w:rsidRDefault="00D60186" w:rsidP="00225D4D">
      <w:pPr>
        <w:pStyle w:val="blokksit"/>
        <w:rPr>
          <w:rStyle w:val="kursiv"/>
        </w:rPr>
      </w:pPr>
      <w:r w:rsidRPr="00225D4D">
        <w:rPr>
          <w:rStyle w:val="kursiv"/>
        </w:rPr>
        <w:t>«Stortinget ber regjeringen sørge for at rettssikkerheten ivaretas når staten ilegger privatpersoner og virksomheter administrative sanksjoner, og ber regjeringen utrede hvordan kravene til saksbehandling som EMK artikkel 6 oppstiller for slike saker, kan ivaretas.»</w:t>
      </w:r>
    </w:p>
    <w:p w14:paraId="746D2D09"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478 L (2024–2025).</w:t>
      </w:r>
    </w:p>
    <w:p w14:paraId="1B65B8B2" w14:textId="77777777" w:rsidR="00D60186" w:rsidRPr="00225D4D" w:rsidRDefault="00D60186" w:rsidP="00225D4D">
      <w:r w:rsidRPr="00225D4D">
        <w:t>Vedtaket er under behandling.</w:t>
      </w:r>
    </w:p>
    <w:p w14:paraId="286B330C" w14:textId="77777777" w:rsidR="00D60186" w:rsidRPr="00225D4D" w:rsidRDefault="00D60186" w:rsidP="00225D4D">
      <w:pPr>
        <w:pStyle w:val="avsnitt-tittel"/>
      </w:pPr>
      <w:r w:rsidRPr="00225D4D">
        <w:t xml:space="preserve">Forvaltningslova – alternativ til digitale </w:t>
      </w:r>
      <w:proofErr w:type="spellStart"/>
      <w:r w:rsidRPr="00225D4D">
        <w:t>løysingar</w:t>
      </w:r>
      <w:proofErr w:type="spellEnd"/>
    </w:p>
    <w:p w14:paraId="3392178C" w14:textId="77777777" w:rsidR="00D60186" w:rsidRPr="00225D4D" w:rsidRDefault="00D60186" w:rsidP="00225D4D">
      <w:pPr>
        <w:pStyle w:val="avsnitt-undertittel"/>
      </w:pPr>
      <w:r w:rsidRPr="00225D4D">
        <w:t>Vedtak nr. 972, 11. juni 2025</w:t>
      </w:r>
    </w:p>
    <w:p w14:paraId="069E1494" w14:textId="77777777" w:rsidR="00D60186" w:rsidRPr="00225D4D" w:rsidRDefault="00D60186" w:rsidP="00225D4D">
      <w:pPr>
        <w:pStyle w:val="blokksit"/>
        <w:rPr>
          <w:rStyle w:val="kursiv"/>
        </w:rPr>
      </w:pPr>
      <w:r w:rsidRPr="00225D4D">
        <w:rPr>
          <w:rStyle w:val="kursiv"/>
        </w:rPr>
        <w:t>«Stortinget ber regjeringen vurdere hvordan forvaltningen skal imøtekomme behovet for alternative løsninger som ivaretar rettighetene til personer som ikke kan eller ønsker å ta i bruk digitale løsninger.»</w:t>
      </w:r>
    </w:p>
    <w:p w14:paraId="79882683"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478 L (2024–2025).</w:t>
      </w:r>
    </w:p>
    <w:p w14:paraId="773A6AFE" w14:textId="77777777" w:rsidR="00D60186" w:rsidRPr="00225D4D" w:rsidRDefault="00D60186" w:rsidP="00225D4D">
      <w:r w:rsidRPr="00225D4D">
        <w:t>Vedtaket er under behandling.</w:t>
      </w:r>
    </w:p>
    <w:p w14:paraId="172798C6" w14:textId="77777777" w:rsidR="00D60186" w:rsidRPr="00225D4D" w:rsidRDefault="00D60186" w:rsidP="00225D4D">
      <w:pPr>
        <w:pStyle w:val="avsnitt-tittel"/>
      </w:pPr>
      <w:r w:rsidRPr="00225D4D">
        <w:t>Generell væpning av norsk politi</w:t>
      </w:r>
    </w:p>
    <w:p w14:paraId="651C9934" w14:textId="77777777" w:rsidR="00D60186" w:rsidRPr="00225D4D" w:rsidRDefault="00D60186" w:rsidP="00225D4D">
      <w:pPr>
        <w:pStyle w:val="avsnitt-undertittel"/>
      </w:pPr>
      <w:r w:rsidRPr="00225D4D">
        <w:t>Vedtak nr. 1061, 12. juni 2025</w:t>
      </w:r>
    </w:p>
    <w:p w14:paraId="152E3F5A" w14:textId="77777777" w:rsidR="00D60186" w:rsidRPr="00225D4D" w:rsidRDefault="00D60186" w:rsidP="00225D4D">
      <w:pPr>
        <w:pStyle w:val="blokksit"/>
        <w:rPr>
          <w:rStyle w:val="kursiv"/>
        </w:rPr>
      </w:pPr>
      <w:r w:rsidRPr="00225D4D">
        <w:rPr>
          <w:rStyle w:val="kursiv"/>
        </w:rPr>
        <w:t>«Stortinget ber regjeringen fremme forslag om nødvendige lovendringer for å innføre generell bevæpning av politiet.»</w:t>
      </w:r>
    </w:p>
    <w:p w14:paraId="2A4122E8" w14:textId="77777777" w:rsidR="00D60186" w:rsidRPr="00225D4D" w:rsidRDefault="00D60186" w:rsidP="00225D4D">
      <w:r w:rsidRPr="00225D4D">
        <w:t xml:space="preserve">Dokumenta som ligg til grunn for vedtaket, er Dokument 8:89 S (2024–2025) og </w:t>
      </w:r>
      <w:proofErr w:type="spellStart"/>
      <w:r w:rsidRPr="00225D4D">
        <w:t>Innst</w:t>
      </w:r>
      <w:proofErr w:type="spellEnd"/>
      <w:r w:rsidRPr="00225D4D">
        <w:t>. 523 S (2024–2025).</w:t>
      </w:r>
    </w:p>
    <w:p w14:paraId="1FE4F580" w14:textId="77777777" w:rsidR="00D60186" w:rsidRPr="00225D4D" w:rsidRDefault="00D60186" w:rsidP="00225D4D">
      <w:r w:rsidRPr="00225D4D">
        <w:t>Vedtaket er under behandling.</w:t>
      </w:r>
    </w:p>
    <w:p w14:paraId="2DAAF376" w14:textId="77777777" w:rsidR="00D60186" w:rsidRPr="00225D4D" w:rsidRDefault="00D60186" w:rsidP="00225D4D">
      <w:pPr>
        <w:pStyle w:val="avsnitt-tittel"/>
      </w:pPr>
      <w:proofErr w:type="spellStart"/>
      <w:r w:rsidRPr="00225D4D">
        <w:t>Strengare</w:t>
      </w:r>
      <w:proofErr w:type="spellEnd"/>
      <w:r w:rsidRPr="00225D4D">
        <w:t xml:space="preserve"> og </w:t>
      </w:r>
      <w:proofErr w:type="spellStart"/>
      <w:r w:rsidRPr="00225D4D">
        <w:t>meir</w:t>
      </w:r>
      <w:proofErr w:type="spellEnd"/>
      <w:r w:rsidRPr="00225D4D">
        <w:t xml:space="preserve"> effektiv praksis for bortvising, utvising og utsending</w:t>
      </w:r>
    </w:p>
    <w:p w14:paraId="124AC60B" w14:textId="77777777" w:rsidR="00D60186" w:rsidRPr="00225D4D" w:rsidRDefault="00D60186" w:rsidP="00225D4D">
      <w:pPr>
        <w:pStyle w:val="avsnitt-undertittel"/>
      </w:pPr>
      <w:r w:rsidRPr="00225D4D">
        <w:t>Vedtak nr. 1219, 20. juni 2025</w:t>
      </w:r>
    </w:p>
    <w:p w14:paraId="599C551C" w14:textId="77777777" w:rsidR="00D60186" w:rsidRPr="00225D4D" w:rsidRDefault="00D60186" w:rsidP="00225D4D">
      <w:pPr>
        <w:pStyle w:val="blokksit"/>
        <w:rPr>
          <w:rStyle w:val="kursiv"/>
        </w:rPr>
      </w:pPr>
      <w:r w:rsidRPr="00225D4D">
        <w:rPr>
          <w:rStyle w:val="kursiv"/>
        </w:rPr>
        <w:t>«Stortinget ber regjeringen påse at utlendingsmyndighetene sammen med politiet foretar en gjennomgang av mulighetene for en strengere og mer effektiv praksis for bortvisning, utvisning og utsendelse av utlendinger uten lovlig opphold og uten sterk familietilknytning, som politiet har konkrete holdepunkter for at også er involvert i kriminalitet, herunder narkotikakriminalitet.»</w:t>
      </w:r>
    </w:p>
    <w:p w14:paraId="5D79E717"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146 S (2024–2025) og </w:t>
      </w:r>
      <w:proofErr w:type="spellStart"/>
      <w:r w:rsidRPr="00225D4D">
        <w:t>Innst</w:t>
      </w:r>
      <w:proofErr w:type="spellEnd"/>
      <w:r w:rsidRPr="00225D4D">
        <w:t>. 540 S (2024–2025).</w:t>
      </w:r>
    </w:p>
    <w:p w14:paraId="28A347FB"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Utlendingsdirektoratet (UDI) har fått i oppdrag å </w:t>
      </w:r>
      <w:proofErr w:type="spellStart"/>
      <w:r w:rsidRPr="00225D4D">
        <w:t>saman</w:t>
      </w:r>
      <w:proofErr w:type="spellEnd"/>
      <w:r w:rsidRPr="00225D4D">
        <w:t xml:space="preserve"> med politiet se på </w:t>
      </w:r>
      <w:proofErr w:type="spellStart"/>
      <w:r w:rsidRPr="00225D4D">
        <w:t>moglegheitene</w:t>
      </w:r>
      <w:proofErr w:type="spellEnd"/>
      <w:r w:rsidRPr="00225D4D">
        <w:t xml:space="preserve"> for ei </w:t>
      </w:r>
      <w:proofErr w:type="spellStart"/>
      <w:r w:rsidRPr="00225D4D">
        <w:t>meir</w:t>
      </w:r>
      <w:proofErr w:type="spellEnd"/>
      <w:r w:rsidRPr="00225D4D">
        <w:t xml:space="preserve"> effektiv handtering av bortvising, utvisning og utsending, jf. oppdrag 5 i </w:t>
      </w:r>
      <w:proofErr w:type="spellStart"/>
      <w:r w:rsidRPr="00225D4D">
        <w:t>supplerande</w:t>
      </w:r>
      <w:proofErr w:type="spellEnd"/>
      <w:r w:rsidRPr="00225D4D">
        <w:t xml:space="preserve"> tildelingsbrev til UDI nr. 2 datert 30. juni 2025.</w:t>
      </w:r>
    </w:p>
    <w:p w14:paraId="1B0D2DDF" w14:textId="77777777" w:rsidR="00D60186" w:rsidRPr="00225D4D" w:rsidRDefault="00D60186" w:rsidP="00225D4D">
      <w:pPr>
        <w:pStyle w:val="avsnitt-tittel"/>
      </w:pPr>
      <w:r w:rsidRPr="00225D4D">
        <w:t xml:space="preserve">Prioritering av utvising ved </w:t>
      </w:r>
      <w:proofErr w:type="spellStart"/>
      <w:r w:rsidRPr="00225D4D">
        <w:t>alvorleg</w:t>
      </w:r>
      <w:proofErr w:type="spellEnd"/>
      <w:r w:rsidRPr="00225D4D">
        <w:t xml:space="preserve"> og gjenteken kriminalitet</w:t>
      </w:r>
    </w:p>
    <w:p w14:paraId="63A574A3" w14:textId="77777777" w:rsidR="00D60186" w:rsidRPr="00225D4D" w:rsidRDefault="00D60186" w:rsidP="00225D4D">
      <w:pPr>
        <w:pStyle w:val="avsnitt-undertittel"/>
      </w:pPr>
      <w:r w:rsidRPr="00225D4D">
        <w:t>Vedtak nr. 1220, 20. juni 2025</w:t>
      </w:r>
    </w:p>
    <w:p w14:paraId="5D788CFF" w14:textId="77777777" w:rsidR="00D60186" w:rsidRPr="00225D4D" w:rsidRDefault="00D60186" w:rsidP="00225D4D">
      <w:pPr>
        <w:pStyle w:val="blokksit"/>
        <w:rPr>
          <w:rStyle w:val="kursiv"/>
        </w:rPr>
      </w:pPr>
      <w:r w:rsidRPr="00225D4D">
        <w:rPr>
          <w:rStyle w:val="kursiv"/>
        </w:rPr>
        <w:t>«Stortinget ber regjeringen påse at utlendingsmyndighetene prioriterer utvisning av personer som har begått alvorlig og gjentatt kriminalitet, herunder narkotikakriminalitet.»</w:t>
      </w:r>
    </w:p>
    <w:p w14:paraId="74C5EF2C"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146 S (2024–2025) og </w:t>
      </w:r>
      <w:proofErr w:type="spellStart"/>
      <w:r w:rsidRPr="00225D4D">
        <w:t>Innst</w:t>
      </w:r>
      <w:proofErr w:type="spellEnd"/>
      <w:r w:rsidRPr="00225D4D">
        <w:t>. 540 S (2024–2025).</w:t>
      </w:r>
    </w:p>
    <w:p w14:paraId="68755156"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I </w:t>
      </w:r>
      <w:proofErr w:type="spellStart"/>
      <w:r w:rsidRPr="00225D4D">
        <w:t>supplerande</w:t>
      </w:r>
      <w:proofErr w:type="spellEnd"/>
      <w:r w:rsidRPr="00225D4D">
        <w:t xml:space="preserve"> tildelingsbrev nr. 2 2025 er det gitt føring til Utlendingsdirektoratet (UDI) og Utlendingsnemnda (UNE) om å fortsette å prioritere utvising av </w:t>
      </w:r>
      <w:proofErr w:type="spellStart"/>
      <w:r w:rsidRPr="00225D4D">
        <w:t>personar</w:t>
      </w:r>
      <w:proofErr w:type="spellEnd"/>
      <w:r w:rsidRPr="00225D4D">
        <w:t xml:space="preserve"> som har begått </w:t>
      </w:r>
      <w:proofErr w:type="spellStart"/>
      <w:r w:rsidRPr="00225D4D">
        <w:t>alvorleg</w:t>
      </w:r>
      <w:proofErr w:type="spellEnd"/>
      <w:r w:rsidRPr="00225D4D">
        <w:t xml:space="preserve"> og gjenteken kriminalitet, inkludert narkotikakriminalitet, samt </w:t>
      </w:r>
      <w:proofErr w:type="spellStart"/>
      <w:r w:rsidRPr="00225D4D">
        <w:t>brot</w:t>
      </w:r>
      <w:proofErr w:type="spellEnd"/>
      <w:r w:rsidRPr="00225D4D">
        <w:t xml:space="preserve"> på utlendingsloven. UDI og UNE har òg, i samband med revidert nasjonalbudsjett, fått ekstra løyving til </w:t>
      </w:r>
      <w:proofErr w:type="spellStart"/>
      <w:r w:rsidRPr="00225D4D">
        <w:t>utvisingssaker</w:t>
      </w:r>
      <w:proofErr w:type="spellEnd"/>
      <w:r w:rsidRPr="00225D4D">
        <w:t xml:space="preserve"> for 2025. Sjå </w:t>
      </w:r>
      <w:proofErr w:type="spellStart"/>
      <w:r w:rsidRPr="00225D4D">
        <w:t>supplerande</w:t>
      </w:r>
      <w:proofErr w:type="spellEnd"/>
      <w:r w:rsidRPr="00225D4D">
        <w:t xml:space="preserve"> tildelingsbrev </w:t>
      </w:r>
      <w:proofErr w:type="spellStart"/>
      <w:r w:rsidRPr="00225D4D">
        <w:t>nr</w:t>
      </w:r>
      <w:proofErr w:type="spellEnd"/>
      <w:r w:rsidRPr="00225D4D">
        <w:t xml:space="preserve"> 2 til UDI og UNE datert 30. juni 2025. Stortingssesjonen 2023–2024.</w:t>
      </w:r>
    </w:p>
    <w:p w14:paraId="77BE2EE0" w14:textId="77777777" w:rsidR="00D60186" w:rsidRPr="00225D4D" w:rsidRDefault="00D60186" w:rsidP="00225D4D">
      <w:pPr>
        <w:pStyle w:val="Overskrift3"/>
      </w:pPr>
      <w:r w:rsidRPr="00225D4D">
        <w:t>Stortingssesjonen 2023-2024</w:t>
      </w:r>
    </w:p>
    <w:p w14:paraId="56193106" w14:textId="77777777" w:rsidR="00D60186" w:rsidRPr="00225D4D" w:rsidRDefault="00D60186" w:rsidP="00225D4D">
      <w:pPr>
        <w:pStyle w:val="avsnitt-tittel"/>
      </w:pPr>
      <w:r w:rsidRPr="00225D4D">
        <w:t>Fritt rettsråd ved utvising av utlending</w:t>
      </w:r>
    </w:p>
    <w:p w14:paraId="1F7A9184" w14:textId="77777777" w:rsidR="00D60186" w:rsidRPr="00225D4D" w:rsidRDefault="00D60186" w:rsidP="00225D4D">
      <w:pPr>
        <w:pStyle w:val="avsnitt-undertittel"/>
      </w:pPr>
      <w:r w:rsidRPr="00225D4D">
        <w:t>Vedtak nr. 70, 4. desember 2023</w:t>
      </w:r>
    </w:p>
    <w:p w14:paraId="3C2D42BB" w14:textId="77777777" w:rsidR="00D60186" w:rsidRPr="00225D4D" w:rsidRDefault="00D60186" w:rsidP="00225D4D">
      <w:pPr>
        <w:pStyle w:val="blokksit"/>
        <w:rPr>
          <w:rStyle w:val="kursiv"/>
        </w:rPr>
      </w:pPr>
      <w:r w:rsidRPr="00225D4D">
        <w:rPr>
          <w:rStyle w:val="kursiv"/>
        </w:rPr>
        <w:t>«Stortinget ber regjeringen innen 1. juli 2024 fremme et forslag om innføring av fritt rettsråd for flyktninger med barn i Norge, som er foreslått utvist på grunn av brudd på straffeloven.»</w:t>
      </w:r>
    </w:p>
    <w:p w14:paraId="2F65C83E"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xml:space="preserve">. 2 S (2023–2024) </w:t>
      </w:r>
      <w:proofErr w:type="spellStart"/>
      <w:r w:rsidRPr="00225D4D">
        <w:t>frå</w:t>
      </w:r>
      <w:proofErr w:type="spellEnd"/>
      <w:r w:rsidRPr="00225D4D">
        <w:t xml:space="preserve"> finanskomiteen.</w:t>
      </w:r>
    </w:p>
    <w:p w14:paraId="6EBFB0DC"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Justis- og beredskapsdepartementet greidde i </w:t>
      </w:r>
      <w:proofErr w:type="spellStart"/>
      <w:r w:rsidRPr="00225D4D">
        <w:t>Prop</w:t>
      </w:r>
      <w:proofErr w:type="spellEnd"/>
      <w:r w:rsidRPr="00225D4D">
        <w:t xml:space="preserve">. 113 L punkt 6.1 ut om korleis vedtaket har blitt </w:t>
      </w:r>
      <w:proofErr w:type="spellStart"/>
      <w:r w:rsidRPr="00225D4D">
        <w:t>følgt</w:t>
      </w:r>
      <w:proofErr w:type="spellEnd"/>
      <w:r w:rsidRPr="00225D4D">
        <w:t xml:space="preserve"> opp gjennom </w:t>
      </w:r>
      <w:proofErr w:type="spellStart"/>
      <w:r w:rsidRPr="00225D4D">
        <w:t>ein</w:t>
      </w:r>
      <w:proofErr w:type="spellEnd"/>
      <w:r w:rsidRPr="00225D4D">
        <w:t xml:space="preserve"> ny § 17-18a i utlendingsforskrifta.</w:t>
      </w:r>
    </w:p>
    <w:p w14:paraId="4AF0ECEB" w14:textId="77777777" w:rsidR="00D60186" w:rsidRPr="00225D4D" w:rsidRDefault="00D60186" w:rsidP="00225D4D">
      <w:pPr>
        <w:pStyle w:val="avsnitt-tittel"/>
      </w:pPr>
      <w:r w:rsidRPr="00225D4D">
        <w:t>Alternativ til utvising av utlending med barn</w:t>
      </w:r>
    </w:p>
    <w:p w14:paraId="17BDDD19" w14:textId="77777777" w:rsidR="00D60186" w:rsidRPr="00225D4D" w:rsidRDefault="00D60186" w:rsidP="00225D4D">
      <w:pPr>
        <w:pStyle w:val="avsnitt-undertittel"/>
      </w:pPr>
      <w:r w:rsidRPr="00225D4D">
        <w:t>Vedtak nr. 71, 4. desember 2023</w:t>
      </w:r>
    </w:p>
    <w:p w14:paraId="69D7C6DF" w14:textId="77777777" w:rsidR="00D60186" w:rsidRPr="00225D4D" w:rsidRDefault="00D60186" w:rsidP="00225D4D">
      <w:pPr>
        <w:pStyle w:val="blokksit"/>
        <w:rPr>
          <w:rStyle w:val="kursiv"/>
        </w:rPr>
      </w:pPr>
      <w:r w:rsidRPr="00225D4D">
        <w:rPr>
          <w:rStyle w:val="kursiv"/>
        </w:rPr>
        <w:t xml:space="preserve">«Stortinget ber regjeringen i løpet av 2024 </w:t>
      </w:r>
      <w:proofErr w:type="spellStart"/>
      <w:r w:rsidRPr="00225D4D">
        <w:rPr>
          <w:rStyle w:val="kursiv"/>
        </w:rPr>
        <w:t>følgje</w:t>
      </w:r>
      <w:proofErr w:type="spellEnd"/>
      <w:r w:rsidRPr="00225D4D">
        <w:rPr>
          <w:rStyle w:val="kursiv"/>
        </w:rPr>
        <w:t xml:space="preserve"> opp Baumann-rapportens forslag, som en samlet arbeidsgruppe stod bak, om at det for enkelte typer utvisningssaker som omfatter utlendinger med barn i Norge som hovedregel skal ilegges krav til tilleggstid for permanent oppholdstillatelse, istedenfor utvisning.»</w:t>
      </w:r>
    </w:p>
    <w:p w14:paraId="15F53B19"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xml:space="preserve">. 2 S (2023–2024) </w:t>
      </w:r>
      <w:proofErr w:type="spellStart"/>
      <w:r w:rsidRPr="00225D4D">
        <w:t>frå</w:t>
      </w:r>
      <w:proofErr w:type="spellEnd"/>
      <w:r w:rsidRPr="00225D4D">
        <w:t xml:space="preserve"> finanskomiteen.</w:t>
      </w:r>
    </w:p>
    <w:p w14:paraId="7BE8D8A3"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Justis- og beredskapsdepartementet greidde i </w:t>
      </w:r>
      <w:proofErr w:type="spellStart"/>
      <w:r w:rsidRPr="00225D4D">
        <w:t>Prop</w:t>
      </w:r>
      <w:proofErr w:type="spellEnd"/>
      <w:r w:rsidRPr="00225D4D">
        <w:t xml:space="preserve">. 113 L (2024–2025) punkt 6.2 ut om korleis vedtaket har blitt </w:t>
      </w:r>
      <w:proofErr w:type="spellStart"/>
      <w:r w:rsidRPr="00225D4D">
        <w:t>følgt</w:t>
      </w:r>
      <w:proofErr w:type="spellEnd"/>
      <w:r w:rsidRPr="00225D4D">
        <w:t xml:space="preserve"> opp gjennom </w:t>
      </w:r>
      <w:proofErr w:type="spellStart"/>
      <w:r w:rsidRPr="00225D4D">
        <w:t>ein</w:t>
      </w:r>
      <w:proofErr w:type="spellEnd"/>
      <w:r w:rsidRPr="00225D4D">
        <w:t xml:space="preserve"> ny § 14-1a i utlendingsforskrifta, som tredde i kraft 20. januar 2025.</w:t>
      </w:r>
    </w:p>
    <w:p w14:paraId="2ECBEC03" w14:textId="77777777" w:rsidR="00D60186" w:rsidRPr="00225D4D" w:rsidRDefault="00D60186" w:rsidP="00225D4D">
      <w:pPr>
        <w:pStyle w:val="avsnitt-tittel"/>
      </w:pPr>
      <w:r w:rsidRPr="00225D4D">
        <w:t>Advokatordning for innsette i fengsel</w:t>
      </w:r>
    </w:p>
    <w:p w14:paraId="602A003C" w14:textId="77777777" w:rsidR="00D60186" w:rsidRPr="00225D4D" w:rsidRDefault="00D60186" w:rsidP="00225D4D">
      <w:pPr>
        <w:pStyle w:val="avsnitt-undertittel"/>
      </w:pPr>
      <w:r w:rsidRPr="00225D4D">
        <w:t>Vedtak nr. 83, 21. desember 2023</w:t>
      </w:r>
    </w:p>
    <w:p w14:paraId="4657F322" w14:textId="77777777" w:rsidR="00D60186" w:rsidRPr="00225D4D" w:rsidRDefault="00D60186" w:rsidP="00225D4D">
      <w:pPr>
        <w:pStyle w:val="blokksit"/>
        <w:rPr>
          <w:rStyle w:val="kursiv"/>
        </w:rPr>
      </w:pPr>
      <w:r w:rsidRPr="00225D4D">
        <w:rPr>
          <w:rStyle w:val="kursiv"/>
        </w:rPr>
        <w:t>«Stortinget ber regjeringen opprette en advokatordning for innsatte i norske fengsler innen 1.1.2025, og komme tilbake til hvordan en slik ordning kan innrettes i løpet av 2024.»</w:t>
      </w:r>
    </w:p>
    <w:p w14:paraId="37174A6D"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xml:space="preserve">. 2 S (2023–2024) </w:t>
      </w:r>
      <w:proofErr w:type="spellStart"/>
      <w:r w:rsidRPr="00225D4D">
        <w:t>frå</w:t>
      </w:r>
      <w:proofErr w:type="spellEnd"/>
      <w:r w:rsidRPr="00225D4D">
        <w:t xml:space="preserve"> finanskomiteen.</w:t>
      </w:r>
    </w:p>
    <w:p w14:paraId="138F00BB"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Ved </w:t>
      </w:r>
      <w:r w:rsidRPr="00225D4D">
        <w:rPr>
          <w:rStyle w:val="kursiv"/>
        </w:rPr>
        <w:t xml:space="preserve">lov 20. juni 2025 nr. 82 om endringer i rettshjelpsloven mv. (prioriterte sakstyper for rettshjelp mv.) </w:t>
      </w:r>
      <w:r w:rsidRPr="00225D4D">
        <w:t xml:space="preserve">er </w:t>
      </w:r>
      <w:proofErr w:type="spellStart"/>
      <w:r w:rsidRPr="00225D4D">
        <w:t>nærmare</w:t>
      </w:r>
      <w:proofErr w:type="spellEnd"/>
      <w:r w:rsidRPr="00225D4D">
        <w:t xml:space="preserve"> definerte tilfelle av utelukking </w:t>
      </w:r>
      <w:proofErr w:type="spellStart"/>
      <w:r w:rsidRPr="00225D4D">
        <w:t>frå</w:t>
      </w:r>
      <w:proofErr w:type="spellEnd"/>
      <w:r w:rsidRPr="00225D4D">
        <w:t xml:space="preserve"> fellesskap, bruk av tryggingsseng og tryggingscelle </w:t>
      </w:r>
      <w:proofErr w:type="spellStart"/>
      <w:r w:rsidRPr="00225D4D">
        <w:t>tekne</w:t>
      </w:r>
      <w:proofErr w:type="spellEnd"/>
      <w:r w:rsidRPr="00225D4D">
        <w:t xml:space="preserve"> inn som prioriterte saker </w:t>
      </w:r>
      <w:proofErr w:type="spellStart"/>
      <w:r w:rsidRPr="00225D4D">
        <w:t>utan</w:t>
      </w:r>
      <w:proofErr w:type="spellEnd"/>
      <w:r w:rsidRPr="00225D4D">
        <w:t xml:space="preserve"> behovsprøving etter rettshjelpslova. For saker som </w:t>
      </w:r>
      <w:proofErr w:type="spellStart"/>
      <w:r w:rsidRPr="00225D4D">
        <w:t>ikkje</w:t>
      </w:r>
      <w:proofErr w:type="spellEnd"/>
      <w:r w:rsidRPr="00225D4D">
        <w:t xml:space="preserve"> er omfatta av det som er </w:t>
      </w:r>
      <w:proofErr w:type="spellStart"/>
      <w:r w:rsidRPr="00225D4D">
        <w:t>teke</w:t>
      </w:r>
      <w:proofErr w:type="spellEnd"/>
      <w:r w:rsidRPr="00225D4D">
        <w:t xml:space="preserve"> inn som prioriterte område etter rettshjelpslova, vil det </w:t>
      </w:r>
      <w:proofErr w:type="spellStart"/>
      <w:r w:rsidRPr="00225D4D">
        <w:t>vere</w:t>
      </w:r>
      <w:proofErr w:type="spellEnd"/>
      <w:r w:rsidRPr="00225D4D">
        <w:t xml:space="preserve"> </w:t>
      </w:r>
      <w:proofErr w:type="spellStart"/>
      <w:r w:rsidRPr="00225D4D">
        <w:t>mogleg</w:t>
      </w:r>
      <w:proofErr w:type="spellEnd"/>
      <w:r w:rsidRPr="00225D4D">
        <w:t xml:space="preserve"> å søke om rettshjelp etter unntaksføresegna i rettshjelpslova § 11. </w:t>
      </w:r>
      <w:proofErr w:type="spellStart"/>
      <w:r w:rsidRPr="00225D4D">
        <w:t>Lovendringane</w:t>
      </w:r>
      <w:proofErr w:type="spellEnd"/>
      <w:r w:rsidRPr="00225D4D">
        <w:t xml:space="preserve"> tredde i kraft 1. juli 2025.</w:t>
      </w:r>
    </w:p>
    <w:p w14:paraId="701BC432" w14:textId="77777777" w:rsidR="00D60186" w:rsidRPr="00225D4D" w:rsidRDefault="00D60186" w:rsidP="00225D4D">
      <w:pPr>
        <w:pStyle w:val="avsnitt-tittel"/>
      </w:pPr>
      <w:proofErr w:type="spellStart"/>
      <w:r w:rsidRPr="00225D4D">
        <w:t>Forbod</w:t>
      </w:r>
      <w:proofErr w:type="spellEnd"/>
      <w:r w:rsidRPr="00225D4D">
        <w:t xml:space="preserve"> mot </w:t>
      </w:r>
      <w:proofErr w:type="spellStart"/>
      <w:r w:rsidRPr="00225D4D">
        <w:t>marknadsføring</w:t>
      </w:r>
      <w:proofErr w:type="spellEnd"/>
      <w:r w:rsidRPr="00225D4D">
        <w:t xml:space="preserve"> av kreditt</w:t>
      </w:r>
    </w:p>
    <w:p w14:paraId="7442B031" w14:textId="77777777" w:rsidR="00D60186" w:rsidRPr="00225D4D" w:rsidRDefault="00D60186" w:rsidP="00225D4D">
      <w:pPr>
        <w:pStyle w:val="avsnitt-undertittel"/>
      </w:pPr>
      <w:r w:rsidRPr="00225D4D">
        <w:t>Vedtak nr. 109, 7. desember 2023</w:t>
      </w:r>
    </w:p>
    <w:p w14:paraId="3D6E35B9" w14:textId="77777777" w:rsidR="00D60186" w:rsidRPr="00225D4D" w:rsidRDefault="00D60186" w:rsidP="00225D4D">
      <w:pPr>
        <w:pStyle w:val="blokksit"/>
        <w:rPr>
          <w:rStyle w:val="kursiv"/>
        </w:rPr>
      </w:pPr>
      <w:r w:rsidRPr="00225D4D">
        <w:rPr>
          <w:rStyle w:val="kursiv"/>
        </w:rPr>
        <w:t>«Stortinget ber regjeringen fremme forslag om å innføre forbud mot markedsføring av kreditt (usikret lån) og forbrukslån.»</w:t>
      </w:r>
    </w:p>
    <w:p w14:paraId="480FBFAA" w14:textId="77777777" w:rsidR="00D60186" w:rsidRPr="00225D4D" w:rsidRDefault="00D60186" w:rsidP="00225D4D">
      <w:r w:rsidRPr="00225D4D">
        <w:t xml:space="preserve">Dokumenta som ligg til grunn for vedtaket, er Dokument 8:5 S (2023–2024) og </w:t>
      </w:r>
      <w:proofErr w:type="spellStart"/>
      <w:r w:rsidRPr="00225D4D">
        <w:t>Innst</w:t>
      </w:r>
      <w:proofErr w:type="spellEnd"/>
      <w:r w:rsidRPr="00225D4D">
        <w:t xml:space="preserve">. 81 S (2023–2024) </w:t>
      </w:r>
      <w:proofErr w:type="spellStart"/>
      <w:r w:rsidRPr="00225D4D">
        <w:t>frå</w:t>
      </w:r>
      <w:proofErr w:type="spellEnd"/>
      <w:r w:rsidRPr="00225D4D">
        <w:t xml:space="preserve"> justiskomiteen.</w:t>
      </w:r>
    </w:p>
    <w:p w14:paraId="1F38C536" w14:textId="77777777" w:rsidR="00D60186" w:rsidRPr="00225D4D" w:rsidRDefault="00D60186" w:rsidP="00225D4D">
      <w:r w:rsidRPr="00225D4D">
        <w:t xml:space="preserve">Vedtaket er under behandling. EU har </w:t>
      </w:r>
      <w:proofErr w:type="spellStart"/>
      <w:r w:rsidRPr="00225D4D">
        <w:t>vedteke</w:t>
      </w:r>
      <w:proofErr w:type="spellEnd"/>
      <w:r w:rsidRPr="00225D4D">
        <w:t xml:space="preserve"> nytt direktiv om </w:t>
      </w:r>
      <w:proofErr w:type="spellStart"/>
      <w:r w:rsidRPr="00225D4D">
        <w:t>forbrukarkredittavtalar</w:t>
      </w:r>
      <w:proofErr w:type="spellEnd"/>
      <w:r w:rsidRPr="00225D4D">
        <w:t xml:space="preserve">, (EU) 2023/2225, som bl.a. </w:t>
      </w:r>
      <w:proofErr w:type="spellStart"/>
      <w:r w:rsidRPr="00225D4D">
        <w:t>inneheld</w:t>
      </w:r>
      <w:proofErr w:type="spellEnd"/>
      <w:r w:rsidRPr="00225D4D">
        <w:t xml:space="preserve"> </w:t>
      </w:r>
      <w:proofErr w:type="spellStart"/>
      <w:r w:rsidRPr="00225D4D">
        <w:t>reglar</w:t>
      </w:r>
      <w:proofErr w:type="spellEnd"/>
      <w:r w:rsidRPr="00225D4D">
        <w:t xml:space="preserve"> om </w:t>
      </w:r>
      <w:proofErr w:type="spellStart"/>
      <w:r w:rsidRPr="00225D4D">
        <w:t>marknadsføring</w:t>
      </w:r>
      <w:proofErr w:type="spellEnd"/>
      <w:r w:rsidRPr="00225D4D">
        <w:t xml:space="preserve"> av </w:t>
      </w:r>
      <w:proofErr w:type="spellStart"/>
      <w:r w:rsidRPr="00225D4D">
        <w:t>kredittavtalar</w:t>
      </w:r>
      <w:proofErr w:type="spellEnd"/>
      <w:r w:rsidRPr="00225D4D">
        <w:t xml:space="preserve">. Frist for </w:t>
      </w:r>
      <w:proofErr w:type="spellStart"/>
      <w:r w:rsidRPr="00225D4D">
        <w:t>iverksetjing</w:t>
      </w:r>
      <w:proofErr w:type="spellEnd"/>
      <w:r w:rsidRPr="00225D4D">
        <w:t xml:space="preserve"> av direktivet i EU er 20. november 2026. Justis- og beredskapsdepartementet arbeider med </w:t>
      </w:r>
      <w:proofErr w:type="spellStart"/>
      <w:r w:rsidRPr="00225D4D">
        <w:t>eit</w:t>
      </w:r>
      <w:proofErr w:type="spellEnd"/>
      <w:r w:rsidRPr="00225D4D">
        <w:t xml:space="preserve"> </w:t>
      </w:r>
      <w:proofErr w:type="spellStart"/>
      <w:r w:rsidRPr="00225D4D">
        <w:t>høyringsnotat</w:t>
      </w:r>
      <w:proofErr w:type="spellEnd"/>
      <w:r w:rsidRPr="00225D4D">
        <w:t>.</w:t>
      </w:r>
    </w:p>
    <w:p w14:paraId="5FF26409" w14:textId="77777777" w:rsidR="00D60186" w:rsidRPr="00225D4D" w:rsidRDefault="00D60186" w:rsidP="00225D4D">
      <w:pPr>
        <w:pStyle w:val="avsnitt-tittel"/>
      </w:pPr>
      <w:r w:rsidRPr="00225D4D">
        <w:t xml:space="preserve">Omvend </w:t>
      </w:r>
      <w:proofErr w:type="spellStart"/>
      <w:r w:rsidRPr="00225D4D">
        <w:t>valdsalarm</w:t>
      </w:r>
      <w:proofErr w:type="spellEnd"/>
      <w:r w:rsidRPr="00225D4D">
        <w:t xml:space="preserve"> skal </w:t>
      </w:r>
      <w:proofErr w:type="spellStart"/>
      <w:r w:rsidRPr="00225D4D">
        <w:t>vurderast</w:t>
      </w:r>
      <w:proofErr w:type="spellEnd"/>
      <w:r w:rsidRPr="00225D4D">
        <w:t xml:space="preserve"> før </w:t>
      </w:r>
      <w:proofErr w:type="spellStart"/>
      <w:r w:rsidRPr="00225D4D">
        <w:t>hemmeleg</w:t>
      </w:r>
      <w:proofErr w:type="spellEnd"/>
      <w:r w:rsidRPr="00225D4D">
        <w:t xml:space="preserve"> adresse for barn</w:t>
      </w:r>
    </w:p>
    <w:p w14:paraId="70F488AE" w14:textId="77777777" w:rsidR="00D60186" w:rsidRPr="00225D4D" w:rsidRDefault="00D60186" w:rsidP="00225D4D">
      <w:pPr>
        <w:pStyle w:val="avsnitt-undertittel"/>
      </w:pPr>
      <w:r w:rsidRPr="00225D4D">
        <w:t>Vedtak nr. 136, 12. desember 2023</w:t>
      </w:r>
    </w:p>
    <w:p w14:paraId="702C6C20" w14:textId="77777777" w:rsidR="00D60186" w:rsidRPr="00225D4D" w:rsidRDefault="00D60186" w:rsidP="00225D4D">
      <w:pPr>
        <w:pStyle w:val="blokksit"/>
        <w:rPr>
          <w:rStyle w:val="kursiv"/>
        </w:rPr>
      </w:pPr>
      <w:r w:rsidRPr="00225D4D">
        <w:rPr>
          <w:rStyle w:val="kursiv"/>
        </w:rPr>
        <w:t>«Stortinget ber regjeringen utrede bruk av omvendt voldsalarm før beslutning om at barn må flytte og bo på hemmelig adresse/kode 6.»</w:t>
      </w:r>
    </w:p>
    <w:p w14:paraId="733CFDA2"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128 L (2022–2023) og </w:t>
      </w:r>
      <w:proofErr w:type="spellStart"/>
      <w:r w:rsidRPr="00225D4D">
        <w:t>Innst</w:t>
      </w:r>
      <w:proofErr w:type="spellEnd"/>
      <w:r w:rsidRPr="00225D4D">
        <w:t xml:space="preserve">. 89 L (2023–2024) </w:t>
      </w:r>
      <w:proofErr w:type="spellStart"/>
      <w:r w:rsidRPr="00225D4D">
        <w:t>frå</w:t>
      </w:r>
      <w:proofErr w:type="spellEnd"/>
      <w:r w:rsidRPr="00225D4D">
        <w:t xml:space="preserve"> justiskomiteen.</w:t>
      </w:r>
    </w:p>
    <w:p w14:paraId="05DB335B" w14:textId="77777777" w:rsidR="00D60186" w:rsidRPr="00225D4D" w:rsidRDefault="00D60186" w:rsidP="00225D4D">
      <w:r w:rsidRPr="00225D4D">
        <w:t>Vedtaket er under behandling.</w:t>
      </w:r>
    </w:p>
    <w:p w14:paraId="454DD524" w14:textId="77777777" w:rsidR="00D60186" w:rsidRPr="00225D4D" w:rsidRDefault="00D60186" w:rsidP="00225D4D">
      <w:pPr>
        <w:pStyle w:val="avsnitt-tittel"/>
      </w:pPr>
      <w:r w:rsidRPr="00225D4D">
        <w:t xml:space="preserve">Omsynet til barnet skal </w:t>
      </w:r>
      <w:proofErr w:type="spellStart"/>
      <w:r w:rsidRPr="00225D4D">
        <w:t>følgje</w:t>
      </w:r>
      <w:proofErr w:type="spellEnd"/>
      <w:r w:rsidRPr="00225D4D">
        <w:t xml:space="preserve"> direkte av lova ved elektronisk kontroll av </w:t>
      </w:r>
      <w:proofErr w:type="spellStart"/>
      <w:r w:rsidRPr="00225D4D">
        <w:t>besøksforbod</w:t>
      </w:r>
      <w:proofErr w:type="spellEnd"/>
    </w:p>
    <w:p w14:paraId="55F6B0ED" w14:textId="77777777" w:rsidR="00D60186" w:rsidRPr="00225D4D" w:rsidRDefault="00D60186" w:rsidP="00225D4D">
      <w:pPr>
        <w:pStyle w:val="avsnitt-undertittel"/>
      </w:pPr>
      <w:r w:rsidRPr="00225D4D">
        <w:t>Vedtak nr. 137, 12. desember 2023</w:t>
      </w:r>
    </w:p>
    <w:p w14:paraId="73EE4EAF" w14:textId="77777777" w:rsidR="00D60186" w:rsidRPr="00225D4D" w:rsidRDefault="00D60186" w:rsidP="00225D4D">
      <w:pPr>
        <w:pStyle w:val="blokksit"/>
        <w:rPr>
          <w:rStyle w:val="kursiv"/>
        </w:rPr>
      </w:pPr>
      <w:r w:rsidRPr="00225D4D">
        <w:rPr>
          <w:rStyle w:val="kursiv"/>
        </w:rPr>
        <w:t>«Stortinget ber regjeringen komme tilbake til Stortinget med et forslag om at det skal fremgå direkte av loven at hensynet til barn skal ha særlig vekt i vurderingen av om elektronisk kontroll ved besøksforbud er nødvendig og forholdsmessig.»</w:t>
      </w:r>
    </w:p>
    <w:p w14:paraId="184D8092"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128 L (2022–2023) og </w:t>
      </w:r>
      <w:proofErr w:type="spellStart"/>
      <w:r w:rsidRPr="00225D4D">
        <w:t>Innst</w:t>
      </w:r>
      <w:proofErr w:type="spellEnd"/>
      <w:r w:rsidRPr="00225D4D">
        <w:t xml:space="preserve">. 89 L (2023–2024) </w:t>
      </w:r>
      <w:proofErr w:type="spellStart"/>
      <w:r w:rsidRPr="00225D4D">
        <w:t>frå</w:t>
      </w:r>
      <w:proofErr w:type="spellEnd"/>
      <w:r w:rsidRPr="00225D4D">
        <w:t xml:space="preserve"> justiskomiteen.</w:t>
      </w:r>
    </w:p>
    <w:p w14:paraId="704A1137" w14:textId="77777777" w:rsidR="00D60186" w:rsidRPr="00225D4D" w:rsidRDefault="00D60186" w:rsidP="00225D4D">
      <w:r w:rsidRPr="00225D4D">
        <w:t>Vedtaket er under behandling.</w:t>
      </w:r>
    </w:p>
    <w:p w14:paraId="64836350" w14:textId="77777777" w:rsidR="00D60186" w:rsidRPr="00225D4D" w:rsidRDefault="00D60186" w:rsidP="00225D4D">
      <w:pPr>
        <w:pStyle w:val="avsnitt-tittel"/>
      </w:pPr>
      <w:r w:rsidRPr="00225D4D">
        <w:t>Finansiering av senteret C-REX</w:t>
      </w:r>
    </w:p>
    <w:p w14:paraId="1F85E97A" w14:textId="77777777" w:rsidR="00D60186" w:rsidRPr="00225D4D" w:rsidRDefault="00D60186" w:rsidP="00225D4D">
      <w:pPr>
        <w:pStyle w:val="avsnitt-undertittel"/>
      </w:pPr>
      <w:r w:rsidRPr="00225D4D">
        <w:t>Vedtak nr. 139, 12. desember 2023</w:t>
      </w:r>
    </w:p>
    <w:p w14:paraId="6F5AB8FF" w14:textId="77777777" w:rsidR="00D60186" w:rsidRPr="00225D4D" w:rsidRDefault="00D60186" w:rsidP="00225D4D">
      <w:pPr>
        <w:pStyle w:val="blokksit"/>
        <w:rPr>
          <w:rStyle w:val="kursiv"/>
        </w:rPr>
      </w:pPr>
      <w:r w:rsidRPr="00225D4D">
        <w:rPr>
          <w:rStyle w:val="kursiv"/>
        </w:rPr>
        <w:t>«Stortinget ber regjeringen sikre fortsatt finansiering av senteret C-REX også ut over 2026 og komme tilbake til Stortinget på egnet måte.»</w:t>
      </w:r>
    </w:p>
    <w:p w14:paraId="0677FA03" w14:textId="77777777" w:rsidR="00D60186" w:rsidRPr="00225D4D" w:rsidRDefault="00D60186" w:rsidP="00225D4D">
      <w:r w:rsidRPr="00225D4D">
        <w:t xml:space="preserve">Dokumenta som ligg til grunn for oppmodingsvedtaket, er Dokument 8:246 S (2022–2023) og </w:t>
      </w:r>
      <w:proofErr w:type="spellStart"/>
      <w:r w:rsidRPr="00225D4D">
        <w:t>Innst</w:t>
      </w:r>
      <w:proofErr w:type="spellEnd"/>
      <w:r w:rsidRPr="00225D4D">
        <w:t>. 93 S (2023–2024).</w:t>
      </w:r>
    </w:p>
    <w:p w14:paraId="43BF03CE" w14:textId="77777777" w:rsidR="00D60186" w:rsidRPr="00225D4D" w:rsidRDefault="00D60186" w:rsidP="00225D4D">
      <w:r w:rsidRPr="00225D4D">
        <w:t xml:space="preserve">Departementet foreslår å </w:t>
      </w:r>
      <w:proofErr w:type="spellStart"/>
      <w:r w:rsidRPr="00225D4D">
        <w:t>følgje</w:t>
      </w:r>
      <w:proofErr w:type="spellEnd"/>
      <w:r w:rsidRPr="00225D4D">
        <w:t xml:space="preserve"> opp oppmodingsvedtaket med ei </w:t>
      </w:r>
      <w:proofErr w:type="spellStart"/>
      <w:r w:rsidRPr="00225D4D">
        <w:t>noko</w:t>
      </w:r>
      <w:proofErr w:type="spellEnd"/>
      <w:r w:rsidRPr="00225D4D">
        <w:t xml:space="preserve"> anna innretning enn </w:t>
      </w:r>
      <w:proofErr w:type="spellStart"/>
      <w:r w:rsidRPr="00225D4D">
        <w:t>vidare</w:t>
      </w:r>
      <w:proofErr w:type="spellEnd"/>
      <w:r w:rsidRPr="00225D4D">
        <w:t xml:space="preserve"> finansiering av C-REX. Departementet </w:t>
      </w:r>
      <w:proofErr w:type="spellStart"/>
      <w:r w:rsidRPr="00225D4D">
        <w:t>legg</w:t>
      </w:r>
      <w:proofErr w:type="spellEnd"/>
      <w:r w:rsidRPr="00225D4D">
        <w:t xml:space="preserve"> til grunn at Stortingets intensjon med vedtaket er å sikre forsking om </w:t>
      </w:r>
      <w:proofErr w:type="spellStart"/>
      <w:r w:rsidRPr="00225D4D">
        <w:t>dei</w:t>
      </w:r>
      <w:proofErr w:type="spellEnd"/>
      <w:r w:rsidRPr="00225D4D">
        <w:t xml:space="preserve"> største </w:t>
      </w:r>
      <w:proofErr w:type="spellStart"/>
      <w:r w:rsidRPr="00225D4D">
        <w:t>terrortrugslane</w:t>
      </w:r>
      <w:proofErr w:type="spellEnd"/>
      <w:r w:rsidRPr="00225D4D">
        <w:t xml:space="preserve"> mot </w:t>
      </w:r>
      <w:proofErr w:type="spellStart"/>
      <w:r w:rsidRPr="00225D4D">
        <w:t>Noreg</w:t>
      </w:r>
      <w:proofErr w:type="spellEnd"/>
      <w:r w:rsidRPr="00225D4D">
        <w:t xml:space="preserve"> som </w:t>
      </w:r>
      <w:proofErr w:type="spellStart"/>
      <w:r w:rsidRPr="00225D4D">
        <w:t>eit</w:t>
      </w:r>
      <w:proofErr w:type="spellEnd"/>
      <w:r w:rsidRPr="00225D4D">
        <w:t xml:space="preserve"> sentralt </w:t>
      </w:r>
      <w:proofErr w:type="spellStart"/>
      <w:r w:rsidRPr="00225D4D">
        <w:t>verkemiddel</w:t>
      </w:r>
      <w:proofErr w:type="spellEnd"/>
      <w:r w:rsidRPr="00225D4D">
        <w:t xml:space="preserve"> i arbeidet med å </w:t>
      </w:r>
      <w:proofErr w:type="spellStart"/>
      <w:r w:rsidRPr="00225D4D">
        <w:t>førebyggje</w:t>
      </w:r>
      <w:proofErr w:type="spellEnd"/>
      <w:r w:rsidRPr="00225D4D">
        <w:t xml:space="preserve"> radikalisering og framvekst av ekstremisme og terrorisme. Ekstremismefeltet er svært relevant for politikkutforming på feltet og utviklinga og </w:t>
      </w:r>
      <w:proofErr w:type="spellStart"/>
      <w:r w:rsidRPr="00225D4D">
        <w:t>trugselbiletet</w:t>
      </w:r>
      <w:proofErr w:type="spellEnd"/>
      <w:r w:rsidRPr="00225D4D">
        <w:t xml:space="preserve"> er i stadig endring. Departementet meiner derfor at det ved behov bør </w:t>
      </w:r>
      <w:proofErr w:type="spellStart"/>
      <w:r w:rsidRPr="00225D4D">
        <w:t>opnast</w:t>
      </w:r>
      <w:proofErr w:type="spellEnd"/>
      <w:r w:rsidRPr="00225D4D">
        <w:t xml:space="preserve"> opp for å justere innretninga på </w:t>
      </w:r>
      <w:proofErr w:type="spellStart"/>
      <w:r w:rsidRPr="00225D4D">
        <w:t>dei</w:t>
      </w:r>
      <w:proofErr w:type="spellEnd"/>
      <w:r w:rsidRPr="00225D4D">
        <w:t xml:space="preserve"> tematiske rammene som </w:t>
      </w:r>
      <w:proofErr w:type="spellStart"/>
      <w:r w:rsidRPr="00225D4D">
        <w:t>midlane</w:t>
      </w:r>
      <w:proofErr w:type="spellEnd"/>
      <w:r w:rsidRPr="00225D4D">
        <w:t xml:space="preserve"> til ekstremismeforsking skal dekke. </w:t>
      </w:r>
      <w:proofErr w:type="spellStart"/>
      <w:r w:rsidRPr="00225D4D">
        <w:t>Vidare</w:t>
      </w:r>
      <w:proofErr w:type="spellEnd"/>
      <w:r w:rsidRPr="00225D4D">
        <w:t xml:space="preserve"> at </w:t>
      </w:r>
      <w:proofErr w:type="spellStart"/>
      <w:r w:rsidRPr="00225D4D">
        <w:t>fleire</w:t>
      </w:r>
      <w:proofErr w:type="spellEnd"/>
      <w:r w:rsidRPr="00225D4D">
        <w:t xml:space="preserve"> fagmiljø </w:t>
      </w:r>
      <w:proofErr w:type="spellStart"/>
      <w:r w:rsidRPr="00225D4D">
        <w:t>jamleg</w:t>
      </w:r>
      <w:proofErr w:type="spellEnd"/>
      <w:r w:rsidRPr="00225D4D">
        <w:t xml:space="preserve"> kan konkurrere om </w:t>
      </w:r>
      <w:proofErr w:type="spellStart"/>
      <w:r w:rsidRPr="00225D4D">
        <w:t>midlar</w:t>
      </w:r>
      <w:proofErr w:type="spellEnd"/>
      <w:r w:rsidRPr="00225D4D">
        <w:t xml:space="preserve"> og bidra til å styrke forskinga. Slik </w:t>
      </w:r>
      <w:proofErr w:type="spellStart"/>
      <w:r w:rsidRPr="00225D4D">
        <w:t>sikrar</w:t>
      </w:r>
      <w:proofErr w:type="spellEnd"/>
      <w:r w:rsidRPr="00225D4D">
        <w:t xml:space="preserve"> vi </w:t>
      </w:r>
      <w:proofErr w:type="spellStart"/>
      <w:r w:rsidRPr="00225D4D">
        <w:t>eit</w:t>
      </w:r>
      <w:proofErr w:type="spellEnd"/>
      <w:r w:rsidRPr="00225D4D">
        <w:t xml:space="preserve"> solid og relevant fagmiljø i </w:t>
      </w:r>
      <w:proofErr w:type="spellStart"/>
      <w:r w:rsidRPr="00225D4D">
        <w:t>Noreg</w:t>
      </w:r>
      <w:proofErr w:type="spellEnd"/>
      <w:r w:rsidRPr="00225D4D">
        <w:t xml:space="preserve">. Sjå elles stortingsmeldinga om </w:t>
      </w:r>
      <w:proofErr w:type="spellStart"/>
      <w:r w:rsidRPr="00225D4D">
        <w:t>førebygging</w:t>
      </w:r>
      <w:proofErr w:type="spellEnd"/>
      <w:r w:rsidRPr="00225D4D">
        <w:t xml:space="preserve"> av ekstremisme, Meld. St. 13 (2024–2025). Departementet vil be </w:t>
      </w:r>
      <w:proofErr w:type="spellStart"/>
      <w:r w:rsidRPr="00225D4D">
        <w:t>Noregs</w:t>
      </w:r>
      <w:proofErr w:type="spellEnd"/>
      <w:r w:rsidRPr="00225D4D">
        <w:t xml:space="preserve"> forskingsråd om å </w:t>
      </w:r>
      <w:proofErr w:type="spellStart"/>
      <w:r w:rsidRPr="00225D4D">
        <w:t>halde</w:t>
      </w:r>
      <w:proofErr w:type="spellEnd"/>
      <w:r w:rsidRPr="00225D4D">
        <w:t xml:space="preserve"> fram å forvalte </w:t>
      </w:r>
      <w:proofErr w:type="spellStart"/>
      <w:r w:rsidRPr="00225D4D">
        <w:t>midlane</w:t>
      </w:r>
      <w:proofErr w:type="spellEnd"/>
      <w:r w:rsidRPr="00225D4D">
        <w:t xml:space="preserve"> til forsking på ekstremisme, og å lyse ut </w:t>
      </w:r>
      <w:proofErr w:type="spellStart"/>
      <w:r w:rsidRPr="00225D4D">
        <w:t>midlane</w:t>
      </w:r>
      <w:proofErr w:type="spellEnd"/>
      <w:r w:rsidRPr="00225D4D">
        <w:t xml:space="preserve"> i </w:t>
      </w:r>
      <w:proofErr w:type="spellStart"/>
      <w:r w:rsidRPr="00225D4D">
        <w:t>ein</w:t>
      </w:r>
      <w:proofErr w:type="spellEnd"/>
      <w:r w:rsidRPr="00225D4D">
        <w:t xml:space="preserve"> ny, </w:t>
      </w:r>
      <w:proofErr w:type="spellStart"/>
      <w:r w:rsidRPr="00225D4D">
        <w:t>open</w:t>
      </w:r>
      <w:proofErr w:type="spellEnd"/>
      <w:r w:rsidRPr="00225D4D">
        <w:t xml:space="preserve"> konkurranse, slik Forskingsrådet </w:t>
      </w:r>
      <w:proofErr w:type="spellStart"/>
      <w:r w:rsidRPr="00225D4D">
        <w:t>sjølv</w:t>
      </w:r>
      <w:proofErr w:type="spellEnd"/>
      <w:r w:rsidRPr="00225D4D">
        <w:t xml:space="preserve"> tilrår. Gjennomføring av </w:t>
      </w:r>
      <w:proofErr w:type="spellStart"/>
      <w:r w:rsidRPr="00225D4D">
        <w:t>ein</w:t>
      </w:r>
      <w:proofErr w:type="spellEnd"/>
      <w:r w:rsidRPr="00225D4D">
        <w:t xml:space="preserve"> slik konkurranse vil ta </w:t>
      </w:r>
      <w:proofErr w:type="spellStart"/>
      <w:r w:rsidRPr="00225D4D">
        <w:t>noko</w:t>
      </w:r>
      <w:proofErr w:type="spellEnd"/>
      <w:r w:rsidRPr="00225D4D">
        <w:t xml:space="preserve"> tid, men vil kunne </w:t>
      </w:r>
      <w:proofErr w:type="spellStart"/>
      <w:r w:rsidRPr="00225D4D">
        <w:t>sluttførast</w:t>
      </w:r>
      <w:proofErr w:type="spellEnd"/>
      <w:r w:rsidRPr="00225D4D">
        <w:t xml:space="preserve"> </w:t>
      </w:r>
      <w:proofErr w:type="spellStart"/>
      <w:r w:rsidRPr="00225D4D">
        <w:t>innan</w:t>
      </w:r>
      <w:proofErr w:type="spellEnd"/>
      <w:r w:rsidRPr="00225D4D">
        <w:t xml:space="preserve"> desember 2026. Justis- og beredskapsdepartementet foreslår derfor at løyvinga til C-REX blir </w:t>
      </w:r>
      <w:proofErr w:type="spellStart"/>
      <w:r w:rsidRPr="00225D4D">
        <w:t>vidareført</w:t>
      </w:r>
      <w:proofErr w:type="spellEnd"/>
      <w:r w:rsidRPr="00225D4D">
        <w:t xml:space="preserve"> ut 2026.</w:t>
      </w:r>
    </w:p>
    <w:p w14:paraId="1201D0F4" w14:textId="77777777" w:rsidR="00D60186" w:rsidRPr="00225D4D" w:rsidRDefault="00D60186" w:rsidP="00225D4D">
      <w:pPr>
        <w:pStyle w:val="avsnitt-tittel"/>
      </w:pPr>
      <w:r w:rsidRPr="00225D4D">
        <w:t xml:space="preserve">Betre reintegrering av </w:t>
      </w:r>
      <w:proofErr w:type="spellStart"/>
      <w:r w:rsidRPr="00225D4D">
        <w:t>ekstremistar</w:t>
      </w:r>
      <w:proofErr w:type="spellEnd"/>
    </w:p>
    <w:p w14:paraId="6AB9CF52" w14:textId="77777777" w:rsidR="00D60186" w:rsidRPr="00225D4D" w:rsidRDefault="00D60186" w:rsidP="00225D4D">
      <w:pPr>
        <w:pStyle w:val="avsnitt-undertittel"/>
      </w:pPr>
      <w:r w:rsidRPr="00225D4D">
        <w:t>Vedtak nr. 140, 12. desember 2023</w:t>
      </w:r>
    </w:p>
    <w:p w14:paraId="75535CD8" w14:textId="77777777" w:rsidR="00D60186" w:rsidRPr="00225D4D" w:rsidRDefault="00D60186" w:rsidP="00225D4D">
      <w:pPr>
        <w:pStyle w:val="blokksit"/>
        <w:rPr>
          <w:rStyle w:val="kursiv"/>
        </w:rPr>
      </w:pPr>
      <w:r w:rsidRPr="00225D4D">
        <w:rPr>
          <w:rStyle w:val="kursiv"/>
        </w:rPr>
        <w:t>«Stortinget ber regjeringen sikre bedre reintegrering av ekstreme gjennom forbedrede exit-program, blant annet gjennom å oppdatere veilederen for exit-arbeid.»</w:t>
      </w:r>
    </w:p>
    <w:p w14:paraId="1A1DC56E" w14:textId="77777777" w:rsidR="00D60186" w:rsidRPr="00225D4D" w:rsidRDefault="00D60186" w:rsidP="00225D4D">
      <w:r w:rsidRPr="00225D4D">
        <w:t xml:space="preserve">Dokumenta som ligg til grunn for vedtaket, er Dokument 8:246 S (2022–2023) og </w:t>
      </w:r>
      <w:proofErr w:type="spellStart"/>
      <w:r w:rsidRPr="00225D4D">
        <w:t>Innst</w:t>
      </w:r>
      <w:proofErr w:type="spellEnd"/>
      <w:r w:rsidRPr="00225D4D">
        <w:t>. 93 S (2023–2024).</w:t>
      </w:r>
    </w:p>
    <w:p w14:paraId="032BC34A" w14:textId="77777777" w:rsidR="00D60186" w:rsidRPr="00225D4D" w:rsidRDefault="00D60186" w:rsidP="00225D4D">
      <w:r w:rsidRPr="00225D4D">
        <w:t xml:space="preserve">Vedtaket er under behandling. I </w:t>
      </w:r>
      <w:proofErr w:type="spellStart"/>
      <w:r w:rsidRPr="00225D4D">
        <w:t>Noreg</w:t>
      </w:r>
      <w:proofErr w:type="spellEnd"/>
      <w:r w:rsidRPr="00225D4D">
        <w:t xml:space="preserve"> har vi </w:t>
      </w:r>
      <w:proofErr w:type="spellStart"/>
      <w:r w:rsidRPr="00225D4D">
        <w:t>ikkje</w:t>
      </w:r>
      <w:proofErr w:type="spellEnd"/>
      <w:r w:rsidRPr="00225D4D">
        <w:t xml:space="preserve"> </w:t>
      </w:r>
      <w:proofErr w:type="spellStart"/>
      <w:r w:rsidRPr="00225D4D">
        <w:t>eit</w:t>
      </w:r>
      <w:proofErr w:type="spellEnd"/>
      <w:r w:rsidRPr="00225D4D">
        <w:t xml:space="preserve"> eige nasjonalt exit-program for </w:t>
      </w:r>
      <w:proofErr w:type="spellStart"/>
      <w:r w:rsidRPr="00225D4D">
        <w:t>enkeltpersonar</w:t>
      </w:r>
      <w:proofErr w:type="spellEnd"/>
      <w:r w:rsidRPr="00225D4D">
        <w:t xml:space="preserve"> som søker bistand for å </w:t>
      </w:r>
      <w:proofErr w:type="spellStart"/>
      <w:r w:rsidRPr="00225D4D">
        <w:t>trekkje</w:t>
      </w:r>
      <w:proofErr w:type="spellEnd"/>
      <w:r w:rsidRPr="00225D4D">
        <w:t xml:space="preserve"> seg ut av ekstreme miljø. Dette arbeidet blir handtert i </w:t>
      </w:r>
      <w:proofErr w:type="spellStart"/>
      <w:r w:rsidRPr="00225D4D">
        <w:t>dei</w:t>
      </w:r>
      <w:proofErr w:type="spellEnd"/>
      <w:r w:rsidRPr="00225D4D">
        <w:t xml:space="preserve"> etablerte </w:t>
      </w:r>
      <w:proofErr w:type="spellStart"/>
      <w:r w:rsidRPr="00225D4D">
        <w:t>strukturane</w:t>
      </w:r>
      <w:proofErr w:type="spellEnd"/>
      <w:r w:rsidRPr="00225D4D">
        <w:t xml:space="preserve"> som har ansvar for og kompetanse til å </w:t>
      </w:r>
      <w:proofErr w:type="spellStart"/>
      <w:r w:rsidRPr="00225D4D">
        <w:t>førebyggje</w:t>
      </w:r>
      <w:proofErr w:type="spellEnd"/>
      <w:r w:rsidRPr="00225D4D">
        <w:t xml:space="preserve"> radikalisering og ekstremisme. Exit-arbeidet blir </w:t>
      </w:r>
      <w:proofErr w:type="spellStart"/>
      <w:r w:rsidRPr="00225D4D">
        <w:t>skreddarsydd</w:t>
      </w:r>
      <w:proofErr w:type="spellEnd"/>
      <w:r w:rsidRPr="00225D4D">
        <w:t xml:space="preserve"> til den enkelte som </w:t>
      </w:r>
      <w:proofErr w:type="spellStart"/>
      <w:r w:rsidRPr="00225D4D">
        <w:t>ønskjer</w:t>
      </w:r>
      <w:proofErr w:type="spellEnd"/>
      <w:r w:rsidRPr="00225D4D">
        <w:t xml:space="preserve"> seg ut av </w:t>
      </w:r>
      <w:proofErr w:type="spellStart"/>
      <w:r w:rsidRPr="00225D4D">
        <w:t>eit</w:t>
      </w:r>
      <w:proofErr w:type="spellEnd"/>
      <w:r w:rsidRPr="00225D4D">
        <w:t xml:space="preserve"> ekstremistisk miljø eller tankesett, og blir gjennomført på tvers av </w:t>
      </w:r>
      <w:proofErr w:type="spellStart"/>
      <w:r w:rsidRPr="00225D4D">
        <w:t>etatar</w:t>
      </w:r>
      <w:proofErr w:type="spellEnd"/>
      <w:r w:rsidRPr="00225D4D">
        <w:t xml:space="preserve"> og fagmiljø. Regjeringa vil, som nemnd i Meld. St. 13 (2024–2025), gi relevante </w:t>
      </w:r>
      <w:proofErr w:type="spellStart"/>
      <w:r w:rsidRPr="00225D4D">
        <w:t>underliggjande</w:t>
      </w:r>
      <w:proofErr w:type="spellEnd"/>
      <w:r w:rsidRPr="00225D4D">
        <w:t xml:space="preserve"> </w:t>
      </w:r>
      <w:proofErr w:type="spellStart"/>
      <w:r w:rsidRPr="00225D4D">
        <w:t>verksemder</w:t>
      </w:r>
      <w:proofErr w:type="spellEnd"/>
      <w:r w:rsidRPr="00225D4D">
        <w:t xml:space="preserve"> i oppdrag til å oppdatere </w:t>
      </w:r>
      <w:proofErr w:type="spellStart"/>
      <w:r w:rsidRPr="00225D4D">
        <w:t>rettleiaren</w:t>
      </w:r>
      <w:proofErr w:type="spellEnd"/>
      <w:r w:rsidRPr="00225D4D">
        <w:t xml:space="preserve"> for exit-arbeid.</w:t>
      </w:r>
    </w:p>
    <w:p w14:paraId="40EF9572" w14:textId="77777777" w:rsidR="00D60186" w:rsidRPr="00225D4D" w:rsidRDefault="00D60186" w:rsidP="00225D4D">
      <w:pPr>
        <w:pStyle w:val="avsnitt-tittel"/>
      </w:pPr>
      <w:r w:rsidRPr="00225D4D">
        <w:t>Oppfølging etter straffesoning</w:t>
      </w:r>
    </w:p>
    <w:p w14:paraId="42450CA9" w14:textId="77777777" w:rsidR="00D60186" w:rsidRPr="00225D4D" w:rsidRDefault="00D60186" w:rsidP="00225D4D">
      <w:pPr>
        <w:pStyle w:val="avsnitt-undertittel"/>
      </w:pPr>
      <w:r w:rsidRPr="00225D4D">
        <w:t>Vedtak nr. 141, 12. desember 2023</w:t>
      </w:r>
    </w:p>
    <w:p w14:paraId="6E037C7E" w14:textId="77777777" w:rsidR="00D60186" w:rsidRPr="00225D4D" w:rsidRDefault="00D60186" w:rsidP="00225D4D">
      <w:pPr>
        <w:pStyle w:val="blokksit"/>
        <w:rPr>
          <w:rStyle w:val="kursiv"/>
        </w:rPr>
      </w:pPr>
      <w:r w:rsidRPr="00225D4D">
        <w:rPr>
          <w:rStyle w:val="kursiv"/>
        </w:rPr>
        <w:t>«Stortinget ber regjeringen følge opp evalueringsrapporten om reintegreringstiltak etter endt straffesoning.»</w:t>
      </w:r>
    </w:p>
    <w:p w14:paraId="16CBEA75" w14:textId="77777777" w:rsidR="00D60186" w:rsidRPr="00225D4D" w:rsidRDefault="00D60186" w:rsidP="00225D4D">
      <w:r w:rsidRPr="00225D4D">
        <w:t xml:space="preserve">Dokumenta som ligg til grunn for vedtaket, er Dokument 8:246 S (2022–2023) og </w:t>
      </w:r>
      <w:proofErr w:type="spellStart"/>
      <w:r w:rsidRPr="00225D4D">
        <w:t>Innst</w:t>
      </w:r>
      <w:proofErr w:type="spellEnd"/>
      <w:r w:rsidRPr="00225D4D">
        <w:t>. 93 S (2023–2024).</w:t>
      </w:r>
    </w:p>
    <w:p w14:paraId="27EE4792"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Justis- og beredskapsdepartementet </w:t>
      </w:r>
      <w:proofErr w:type="spellStart"/>
      <w:r w:rsidRPr="00225D4D">
        <w:t>legg</w:t>
      </w:r>
      <w:proofErr w:type="spellEnd"/>
      <w:r w:rsidRPr="00225D4D">
        <w:t xml:space="preserve"> til grunn at evalueringsrapporten som regjeringa blir </w:t>
      </w:r>
      <w:proofErr w:type="spellStart"/>
      <w:r w:rsidRPr="00225D4D">
        <w:t>beden</w:t>
      </w:r>
      <w:proofErr w:type="spellEnd"/>
      <w:r w:rsidRPr="00225D4D">
        <w:t xml:space="preserve"> om å </w:t>
      </w:r>
      <w:proofErr w:type="spellStart"/>
      <w:r w:rsidRPr="00225D4D">
        <w:t>følgje</w:t>
      </w:r>
      <w:proofErr w:type="spellEnd"/>
      <w:r w:rsidRPr="00225D4D">
        <w:t xml:space="preserve"> opp, er rapporten </w:t>
      </w:r>
      <w:r w:rsidRPr="00225D4D">
        <w:rPr>
          <w:rStyle w:val="kursiv"/>
        </w:rPr>
        <w:t>Evaluering av forebyggingstiltak mot radikalisering under straffegjennomføringen,</w:t>
      </w:r>
      <w:r w:rsidRPr="00225D4D">
        <w:t xml:space="preserve"> som vart utarbeidd av Rambøll på oppdrag </w:t>
      </w:r>
      <w:proofErr w:type="spellStart"/>
      <w:r w:rsidRPr="00225D4D">
        <w:t>frå</w:t>
      </w:r>
      <w:proofErr w:type="spellEnd"/>
      <w:r w:rsidRPr="00225D4D">
        <w:t xml:space="preserve"> kriminalomsorga, og </w:t>
      </w:r>
      <w:proofErr w:type="spellStart"/>
      <w:r w:rsidRPr="00225D4D">
        <w:t>offentleggjord</w:t>
      </w:r>
      <w:proofErr w:type="spellEnd"/>
      <w:r w:rsidRPr="00225D4D">
        <w:t xml:space="preserve"> i april 2023. Kriminalomsorgsdirektoratet har vurdert rapporten og </w:t>
      </w:r>
      <w:proofErr w:type="spellStart"/>
      <w:r w:rsidRPr="00225D4D">
        <w:t>følgt</w:t>
      </w:r>
      <w:proofErr w:type="spellEnd"/>
      <w:r w:rsidRPr="00225D4D">
        <w:t xml:space="preserve"> opp </w:t>
      </w:r>
      <w:proofErr w:type="spellStart"/>
      <w:r w:rsidRPr="00225D4D">
        <w:t>dei</w:t>
      </w:r>
      <w:proofErr w:type="spellEnd"/>
      <w:r w:rsidRPr="00225D4D">
        <w:t xml:space="preserve"> relevante tiltaka, gitt direktoratet sine </w:t>
      </w:r>
      <w:proofErr w:type="spellStart"/>
      <w:r w:rsidRPr="00225D4D">
        <w:t>gjeldande</w:t>
      </w:r>
      <w:proofErr w:type="spellEnd"/>
      <w:r w:rsidRPr="00225D4D">
        <w:t xml:space="preserve"> budsjettrammer.</w:t>
      </w:r>
    </w:p>
    <w:p w14:paraId="7B3C874C" w14:textId="77777777" w:rsidR="00D60186" w:rsidRPr="00225D4D" w:rsidRDefault="00D60186" w:rsidP="00225D4D">
      <w:pPr>
        <w:pStyle w:val="avsnitt-tittel"/>
      </w:pPr>
      <w:r w:rsidRPr="00225D4D">
        <w:t xml:space="preserve">Lovverk knytt til teieplikt og informasjonsplikt i samband med </w:t>
      </w:r>
      <w:proofErr w:type="spellStart"/>
      <w:r w:rsidRPr="00225D4D">
        <w:t>lovbrot</w:t>
      </w:r>
      <w:proofErr w:type="spellEnd"/>
      <w:r w:rsidRPr="00225D4D">
        <w:t xml:space="preserve"> som blir utførte av barn og unge</w:t>
      </w:r>
    </w:p>
    <w:p w14:paraId="5C1F77F4" w14:textId="77777777" w:rsidR="00D60186" w:rsidRPr="00225D4D" w:rsidRDefault="00D60186" w:rsidP="00225D4D">
      <w:pPr>
        <w:pStyle w:val="avsnitt-undertittel"/>
      </w:pPr>
      <w:r w:rsidRPr="00225D4D">
        <w:t>Vedtak nr. 160, 12. desember 2023</w:t>
      </w:r>
    </w:p>
    <w:p w14:paraId="3E49A388" w14:textId="77777777" w:rsidR="00D60186" w:rsidRPr="00225D4D" w:rsidRDefault="00D60186" w:rsidP="00225D4D">
      <w:pPr>
        <w:pStyle w:val="blokksit"/>
        <w:rPr>
          <w:rStyle w:val="kursiv"/>
        </w:rPr>
      </w:pPr>
      <w:r w:rsidRPr="00225D4D">
        <w:rPr>
          <w:rStyle w:val="kursiv"/>
        </w:rPr>
        <w:t>«Stortinget ber regjeringen foreta en juridisk gjennomgang av relevant lovverk knyttet til taushetsplikt og informasjonsplikt for alle relevante instanser som jobber med barn og unge som har høy risiko for å begå alvorlige lovbrudd, med spesielt henblikk på mulighetsrommet for informasjonsflyt.»</w:t>
      </w:r>
    </w:p>
    <w:p w14:paraId="2A1374B8"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139 L (2022–2023), </w:t>
      </w:r>
      <w:proofErr w:type="spellStart"/>
      <w:r w:rsidRPr="00225D4D">
        <w:t>Innst</w:t>
      </w:r>
      <w:proofErr w:type="spellEnd"/>
      <w:r w:rsidRPr="00225D4D">
        <w:t xml:space="preserve">. 86 L (2023–2024) </w:t>
      </w:r>
      <w:proofErr w:type="spellStart"/>
      <w:r w:rsidRPr="00225D4D">
        <w:t>frå</w:t>
      </w:r>
      <w:proofErr w:type="spellEnd"/>
      <w:r w:rsidRPr="00225D4D">
        <w:t xml:space="preserve"> justiskomiteen og Lovvedtak 23 (2023–2024).</w:t>
      </w:r>
    </w:p>
    <w:p w14:paraId="4771884A"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Vedtaket blir sett i </w:t>
      </w:r>
      <w:proofErr w:type="spellStart"/>
      <w:r w:rsidRPr="00225D4D">
        <w:t>samanheng</w:t>
      </w:r>
      <w:proofErr w:type="spellEnd"/>
      <w:r w:rsidRPr="00225D4D">
        <w:t xml:space="preserve"> med arbeidet til ekspertgruppa som skal greie ut betre </w:t>
      </w:r>
      <w:proofErr w:type="spellStart"/>
      <w:r w:rsidRPr="00225D4D">
        <w:t>tverretatleg</w:t>
      </w:r>
      <w:proofErr w:type="spellEnd"/>
      <w:r w:rsidRPr="00225D4D">
        <w:t xml:space="preserve"> samarbeid og informasjonsutveksling ved </w:t>
      </w:r>
      <w:proofErr w:type="spellStart"/>
      <w:r w:rsidRPr="00225D4D">
        <w:t>førebygging</w:t>
      </w:r>
      <w:proofErr w:type="spellEnd"/>
      <w:r w:rsidRPr="00225D4D">
        <w:t xml:space="preserve"> av barne- og ungdomskriminalitet, ekstremisme og mishandling i nære </w:t>
      </w:r>
      <w:proofErr w:type="spellStart"/>
      <w:r w:rsidRPr="00225D4D">
        <w:t>relasjonar</w:t>
      </w:r>
      <w:proofErr w:type="spellEnd"/>
      <w:r w:rsidRPr="00225D4D">
        <w:t xml:space="preserve">. Ekspertgruppa blir leidd av professor Asbjørn Strandbakken og skal levere utgreiinga si i løpet av </w:t>
      </w:r>
      <w:proofErr w:type="spellStart"/>
      <w:r w:rsidRPr="00225D4D">
        <w:t>sommaren</w:t>
      </w:r>
      <w:proofErr w:type="spellEnd"/>
      <w:r w:rsidRPr="00225D4D">
        <w:t xml:space="preserve"> 2026.</w:t>
      </w:r>
    </w:p>
    <w:p w14:paraId="698669BA" w14:textId="77777777" w:rsidR="00D60186" w:rsidRPr="00225D4D" w:rsidRDefault="00D60186" w:rsidP="00225D4D">
      <w:pPr>
        <w:pStyle w:val="avsnitt-tittel"/>
      </w:pPr>
      <w:r w:rsidRPr="00225D4D">
        <w:t xml:space="preserve">Styrke den kommunale beredskapen for </w:t>
      </w:r>
      <w:proofErr w:type="spellStart"/>
      <w:r w:rsidRPr="00225D4D">
        <w:t>ekstremvêr</w:t>
      </w:r>
      <w:proofErr w:type="spellEnd"/>
      <w:r w:rsidRPr="00225D4D">
        <w:t xml:space="preserve"> og </w:t>
      </w:r>
      <w:proofErr w:type="spellStart"/>
      <w:r w:rsidRPr="00225D4D">
        <w:t>følgjehendingar</w:t>
      </w:r>
      <w:proofErr w:type="spellEnd"/>
    </w:p>
    <w:p w14:paraId="64930585" w14:textId="77777777" w:rsidR="00D60186" w:rsidRPr="00225D4D" w:rsidRDefault="00D60186" w:rsidP="00225D4D">
      <w:pPr>
        <w:pStyle w:val="avsnitt-undertittel"/>
      </w:pPr>
      <w:r w:rsidRPr="00225D4D">
        <w:t>Vedtak nr. 457, 16. januar 2024</w:t>
      </w:r>
    </w:p>
    <w:p w14:paraId="7747B04E" w14:textId="77777777" w:rsidR="00D60186" w:rsidRPr="00225D4D" w:rsidRDefault="00D60186" w:rsidP="00225D4D">
      <w:pPr>
        <w:pStyle w:val="blokksit"/>
        <w:rPr>
          <w:rStyle w:val="kursiv"/>
        </w:rPr>
      </w:pPr>
      <w:r w:rsidRPr="00225D4D">
        <w:rPr>
          <w:rStyle w:val="kursiv"/>
        </w:rPr>
        <w:t>«Stortinget ber regjeringen vurdere tiltak for å styrke den kommunale beredskapen for ekstremvær og følgehendelser, herunder støtte oppunder økt øvingsfrekvens, og komme tilbake til Stortinget på egnet måte.»</w:t>
      </w:r>
    </w:p>
    <w:p w14:paraId="14439D3F" w14:textId="77777777" w:rsidR="00D60186" w:rsidRPr="00225D4D" w:rsidRDefault="00D60186" w:rsidP="00225D4D">
      <w:r w:rsidRPr="00225D4D">
        <w:t xml:space="preserve">Dokumenta som ligg til grunn for vedtaket, er Meld. St. 26 (2022–2023) </w:t>
      </w:r>
      <w:r w:rsidRPr="00225D4D">
        <w:rPr>
          <w:rStyle w:val="kursiv"/>
        </w:rPr>
        <w:t xml:space="preserve">Klima i endring – sammen for et </w:t>
      </w:r>
      <w:proofErr w:type="gramStart"/>
      <w:r w:rsidRPr="00225D4D">
        <w:rPr>
          <w:rStyle w:val="kursiv"/>
        </w:rPr>
        <w:t>klimarobust</w:t>
      </w:r>
      <w:proofErr w:type="gramEnd"/>
      <w:r w:rsidRPr="00225D4D">
        <w:rPr>
          <w:rStyle w:val="kursiv"/>
        </w:rPr>
        <w:t xml:space="preserve"> samfunn </w:t>
      </w:r>
      <w:r w:rsidRPr="00225D4D">
        <w:t xml:space="preserve">og </w:t>
      </w:r>
      <w:proofErr w:type="spellStart"/>
      <w:r w:rsidRPr="00225D4D">
        <w:t>Innst</w:t>
      </w:r>
      <w:proofErr w:type="spellEnd"/>
      <w:r w:rsidRPr="00225D4D">
        <w:t>. 161 S (2023–2024).</w:t>
      </w:r>
    </w:p>
    <w:p w14:paraId="00F42593"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Meld. St. 27 (2023–2024) </w:t>
      </w:r>
      <w:proofErr w:type="spellStart"/>
      <w:r w:rsidRPr="00225D4D">
        <w:rPr>
          <w:rStyle w:val="kursiv"/>
        </w:rPr>
        <w:t>Tryggare</w:t>
      </w:r>
      <w:proofErr w:type="spellEnd"/>
      <w:r w:rsidRPr="00225D4D">
        <w:rPr>
          <w:rStyle w:val="kursiv"/>
        </w:rPr>
        <w:t xml:space="preserve"> framtid – førebudd på </w:t>
      </w:r>
      <w:proofErr w:type="spellStart"/>
      <w:r w:rsidRPr="00225D4D">
        <w:rPr>
          <w:rStyle w:val="kursiv"/>
        </w:rPr>
        <w:t>flaum</w:t>
      </w:r>
      <w:proofErr w:type="spellEnd"/>
      <w:r w:rsidRPr="00225D4D">
        <w:rPr>
          <w:rStyle w:val="kursiv"/>
        </w:rPr>
        <w:t xml:space="preserve"> og skred </w:t>
      </w:r>
      <w:r w:rsidRPr="00225D4D">
        <w:t xml:space="preserve">beskriver tiltak for å styrke den kommunale beredskapen. Oppfølgingstiltaka som blir vurderte er bl.a. å skjerpe krava til kunnskapsgrunnlaget som skal </w:t>
      </w:r>
      <w:proofErr w:type="spellStart"/>
      <w:r w:rsidRPr="00225D4D">
        <w:t>leggjast</w:t>
      </w:r>
      <w:proofErr w:type="spellEnd"/>
      <w:r w:rsidRPr="00225D4D">
        <w:t xml:space="preserve"> til grunn ved utarbeiding av </w:t>
      </w:r>
      <w:proofErr w:type="spellStart"/>
      <w:r w:rsidRPr="00225D4D">
        <w:t>heilskapleg</w:t>
      </w:r>
      <w:proofErr w:type="spellEnd"/>
      <w:r w:rsidRPr="00225D4D">
        <w:t xml:space="preserve"> ROS, og å betre oppfølginga av funn i </w:t>
      </w:r>
      <w:proofErr w:type="spellStart"/>
      <w:r w:rsidRPr="00225D4D">
        <w:t>heilskapleg</w:t>
      </w:r>
      <w:proofErr w:type="spellEnd"/>
      <w:r w:rsidRPr="00225D4D">
        <w:t xml:space="preserve"> ROS. I tildelingsbrevet for 2025 har DSB fått i oppdrag å bidra i utarbeidinga av nasjonal klimasårbarheitsanalyse. Analysen skal </w:t>
      </w:r>
      <w:proofErr w:type="spellStart"/>
      <w:r w:rsidRPr="00225D4D">
        <w:t>gje</w:t>
      </w:r>
      <w:proofErr w:type="spellEnd"/>
      <w:r w:rsidRPr="00225D4D">
        <w:t xml:space="preserve"> </w:t>
      </w:r>
      <w:proofErr w:type="spellStart"/>
      <w:r w:rsidRPr="00225D4D">
        <w:t>eit</w:t>
      </w:r>
      <w:proofErr w:type="spellEnd"/>
      <w:r w:rsidRPr="00225D4D">
        <w:t xml:space="preserve"> </w:t>
      </w:r>
      <w:proofErr w:type="spellStart"/>
      <w:r w:rsidRPr="00225D4D">
        <w:t>heilskapleg</w:t>
      </w:r>
      <w:proofErr w:type="spellEnd"/>
      <w:r w:rsidRPr="00225D4D">
        <w:t xml:space="preserve"> </w:t>
      </w:r>
      <w:proofErr w:type="spellStart"/>
      <w:r w:rsidRPr="00225D4D">
        <w:t>bilete</w:t>
      </w:r>
      <w:proofErr w:type="spellEnd"/>
      <w:r w:rsidRPr="00225D4D">
        <w:t xml:space="preserve"> av klimasårbarheit i </w:t>
      </w:r>
      <w:proofErr w:type="spellStart"/>
      <w:r w:rsidRPr="00225D4D">
        <w:t>Noreg</w:t>
      </w:r>
      <w:proofErr w:type="spellEnd"/>
      <w:r w:rsidRPr="00225D4D">
        <w:t xml:space="preserve"> framover, og vil fungere som </w:t>
      </w:r>
      <w:proofErr w:type="spellStart"/>
      <w:r w:rsidRPr="00225D4D">
        <w:t>eit</w:t>
      </w:r>
      <w:proofErr w:type="spellEnd"/>
      <w:r w:rsidRPr="00225D4D">
        <w:t xml:space="preserve"> breitt kunnskapsgrunnlag i arbeidet med klimatilpassing. Med bakgrunn i </w:t>
      </w:r>
      <w:proofErr w:type="spellStart"/>
      <w:r w:rsidRPr="00225D4D">
        <w:t>dei</w:t>
      </w:r>
      <w:proofErr w:type="spellEnd"/>
      <w:r w:rsidRPr="00225D4D">
        <w:t xml:space="preserve"> </w:t>
      </w:r>
      <w:proofErr w:type="spellStart"/>
      <w:r w:rsidRPr="00225D4D">
        <w:t>analysane</w:t>
      </w:r>
      <w:proofErr w:type="spellEnd"/>
      <w:r w:rsidRPr="00225D4D">
        <w:t xml:space="preserve"> og </w:t>
      </w:r>
      <w:proofErr w:type="spellStart"/>
      <w:r w:rsidRPr="00225D4D">
        <w:t>vurderingane</w:t>
      </w:r>
      <w:proofErr w:type="spellEnd"/>
      <w:r w:rsidRPr="00225D4D">
        <w:t xml:space="preserve"> som er gjorde, vil regjeringa </w:t>
      </w:r>
      <w:proofErr w:type="spellStart"/>
      <w:r w:rsidRPr="00225D4D">
        <w:t>kome</w:t>
      </w:r>
      <w:proofErr w:type="spellEnd"/>
      <w:r w:rsidRPr="00225D4D">
        <w:t xml:space="preserve"> tilbake til Stortinget om </w:t>
      </w:r>
      <w:proofErr w:type="spellStart"/>
      <w:r w:rsidRPr="00225D4D">
        <w:t>vidare</w:t>
      </w:r>
      <w:proofErr w:type="spellEnd"/>
      <w:r w:rsidRPr="00225D4D">
        <w:t xml:space="preserve"> oppfølging av problemstillinga.</w:t>
      </w:r>
    </w:p>
    <w:p w14:paraId="315227E8" w14:textId="77777777" w:rsidR="00D60186" w:rsidRPr="00225D4D" w:rsidRDefault="00D60186" w:rsidP="00225D4D">
      <w:pPr>
        <w:pStyle w:val="avsnitt-tittel"/>
      </w:pPr>
      <w:r w:rsidRPr="00225D4D">
        <w:t>Habilitet</w:t>
      </w:r>
    </w:p>
    <w:p w14:paraId="37D1CF44" w14:textId="77777777" w:rsidR="00D60186" w:rsidRPr="00225D4D" w:rsidRDefault="00D60186" w:rsidP="00225D4D">
      <w:pPr>
        <w:pStyle w:val="avsnitt-undertittel"/>
      </w:pPr>
      <w:r w:rsidRPr="00225D4D">
        <w:t>Vedtak nr. 507, 5. mars 2024</w:t>
      </w:r>
    </w:p>
    <w:p w14:paraId="07093CD6" w14:textId="77777777" w:rsidR="00D60186" w:rsidRPr="00225D4D" w:rsidRDefault="00D60186" w:rsidP="00225D4D">
      <w:pPr>
        <w:pStyle w:val="blokksit"/>
        <w:rPr>
          <w:rStyle w:val="kursiv"/>
        </w:rPr>
      </w:pPr>
      <w:r w:rsidRPr="00225D4D">
        <w:rPr>
          <w:rStyle w:val="kursiv"/>
        </w:rPr>
        <w:t>«Stortinget ber regjeringen gjennomføre en tverrgående analyse av hvordan departementene driver opplæring i habilitetsregelverket, hvordan det praktiseres, og hvordan embetsverket bistår politisk ledelse. Basert på dette ber Stortinget regjeringen om å vurdere å utforme en felles mønsterpraksis som legges til grunn som et minimum i alle departementene.»</w:t>
      </w:r>
    </w:p>
    <w:p w14:paraId="086F805D"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215 S (2023–2024).</w:t>
      </w:r>
    </w:p>
    <w:p w14:paraId="389C201D"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gjennom </w:t>
      </w:r>
      <w:proofErr w:type="spellStart"/>
      <w:r w:rsidRPr="00225D4D">
        <w:t>ein</w:t>
      </w:r>
      <w:proofErr w:type="spellEnd"/>
      <w:r w:rsidRPr="00225D4D">
        <w:t xml:space="preserve"> brei gjennomgang av opplegget for opplæring av den politiske </w:t>
      </w:r>
      <w:proofErr w:type="spellStart"/>
      <w:r w:rsidRPr="00225D4D">
        <w:t>leiinga</w:t>
      </w:r>
      <w:proofErr w:type="spellEnd"/>
      <w:r w:rsidRPr="00225D4D">
        <w:t xml:space="preserve"> i departementa. Revisjonen </w:t>
      </w:r>
      <w:proofErr w:type="spellStart"/>
      <w:r w:rsidRPr="00225D4D">
        <w:t>inneber</w:t>
      </w:r>
      <w:proofErr w:type="spellEnd"/>
      <w:r w:rsidRPr="00225D4D">
        <w:t xml:space="preserve"> bl.a. ei omstrukturering av </w:t>
      </w:r>
      <w:r w:rsidRPr="00225D4D">
        <w:rPr>
          <w:rStyle w:val="kursiv"/>
        </w:rPr>
        <w:t>Håndbok for politisk ledelse</w:t>
      </w:r>
      <w:r w:rsidRPr="00225D4D">
        <w:t xml:space="preserve">, slik at handboka </w:t>
      </w:r>
      <w:proofErr w:type="spellStart"/>
      <w:r w:rsidRPr="00225D4D">
        <w:t>tydelegare</w:t>
      </w:r>
      <w:proofErr w:type="spellEnd"/>
      <w:r w:rsidRPr="00225D4D">
        <w:t xml:space="preserve"> </w:t>
      </w:r>
      <w:proofErr w:type="spellStart"/>
      <w:r w:rsidRPr="00225D4D">
        <w:t>skil</w:t>
      </w:r>
      <w:proofErr w:type="spellEnd"/>
      <w:r w:rsidRPr="00225D4D">
        <w:t xml:space="preserve"> mellom forhold som angår arbeidsvilkåra for den politiske </w:t>
      </w:r>
      <w:proofErr w:type="spellStart"/>
      <w:r w:rsidRPr="00225D4D">
        <w:t>leiinga</w:t>
      </w:r>
      <w:proofErr w:type="spellEnd"/>
      <w:r w:rsidRPr="00225D4D">
        <w:t xml:space="preserve"> i departementa på den </w:t>
      </w:r>
      <w:proofErr w:type="spellStart"/>
      <w:r w:rsidRPr="00225D4D">
        <w:t>eine</w:t>
      </w:r>
      <w:proofErr w:type="spellEnd"/>
      <w:r w:rsidRPr="00225D4D">
        <w:t xml:space="preserve"> sida, og oversikt over generelle </w:t>
      </w:r>
      <w:proofErr w:type="spellStart"/>
      <w:r w:rsidRPr="00225D4D">
        <w:t>rettsreglar</w:t>
      </w:r>
      <w:proofErr w:type="spellEnd"/>
      <w:r w:rsidRPr="00225D4D">
        <w:t xml:space="preserve"> som skal sikre tillit til avgjerdene som blir </w:t>
      </w:r>
      <w:proofErr w:type="spellStart"/>
      <w:r w:rsidRPr="00225D4D">
        <w:t>tekne</w:t>
      </w:r>
      <w:proofErr w:type="spellEnd"/>
      <w:r w:rsidRPr="00225D4D">
        <w:t xml:space="preserve"> av departementa og regjeringa på den andre. Det er også innført felles retningslinjer for opplæring av den politiske </w:t>
      </w:r>
      <w:proofErr w:type="spellStart"/>
      <w:r w:rsidRPr="00225D4D">
        <w:t>leiinga</w:t>
      </w:r>
      <w:proofErr w:type="spellEnd"/>
      <w:r w:rsidRPr="00225D4D">
        <w:t xml:space="preserve"> i </w:t>
      </w:r>
      <w:proofErr w:type="spellStart"/>
      <w:r w:rsidRPr="00225D4D">
        <w:t>dei</w:t>
      </w:r>
      <w:proofErr w:type="spellEnd"/>
      <w:r w:rsidRPr="00225D4D">
        <w:t xml:space="preserve"> enkelt departementa, med utgangspunkt i standardiserte </w:t>
      </w:r>
      <w:proofErr w:type="spellStart"/>
      <w:r w:rsidRPr="00225D4D">
        <w:t>plansjar</w:t>
      </w:r>
      <w:proofErr w:type="spellEnd"/>
      <w:r w:rsidRPr="00225D4D">
        <w:t xml:space="preserve"> som er utarbeidde i samarbeid mellom Statsministerens kontor og </w:t>
      </w:r>
      <w:proofErr w:type="spellStart"/>
      <w:r w:rsidRPr="00225D4D">
        <w:t>dei</w:t>
      </w:r>
      <w:proofErr w:type="spellEnd"/>
      <w:r w:rsidRPr="00225D4D">
        <w:t xml:space="preserve"> enkelte fagdepartementa. Det vil bli gjennomført felles </w:t>
      </w:r>
      <w:proofErr w:type="spellStart"/>
      <w:r w:rsidRPr="00225D4D">
        <w:t>samlingar</w:t>
      </w:r>
      <w:proofErr w:type="spellEnd"/>
      <w:r w:rsidRPr="00225D4D">
        <w:t xml:space="preserve"> for </w:t>
      </w:r>
      <w:proofErr w:type="spellStart"/>
      <w:r w:rsidRPr="00225D4D">
        <w:t>dei</w:t>
      </w:r>
      <w:proofErr w:type="spellEnd"/>
      <w:r w:rsidRPr="00225D4D">
        <w:t xml:space="preserve"> som skal </w:t>
      </w:r>
      <w:proofErr w:type="spellStart"/>
      <w:r w:rsidRPr="00225D4D">
        <w:t>halde</w:t>
      </w:r>
      <w:proofErr w:type="spellEnd"/>
      <w:r w:rsidRPr="00225D4D">
        <w:t xml:space="preserve"> opplæring i departementa. Opplæringa </w:t>
      </w:r>
      <w:proofErr w:type="spellStart"/>
      <w:r w:rsidRPr="00225D4D">
        <w:t>omfattar</w:t>
      </w:r>
      <w:proofErr w:type="spellEnd"/>
      <w:r w:rsidRPr="00225D4D">
        <w:t xml:space="preserve"> </w:t>
      </w:r>
      <w:proofErr w:type="spellStart"/>
      <w:r w:rsidRPr="00225D4D">
        <w:t>ikkje</w:t>
      </w:r>
      <w:proofErr w:type="spellEnd"/>
      <w:r w:rsidRPr="00225D4D">
        <w:t xml:space="preserve"> </w:t>
      </w:r>
      <w:proofErr w:type="spellStart"/>
      <w:r w:rsidRPr="00225D4D">
        <w:t>berre</w:t>
      </w:r>
      <w:proofErr w:type="spellEnd"/>
      <w:r w:rsidRPr="00225D4D">
        <w:t xml:space="preserve"> habilitetsregelverket, men det er </w:t>
      </w:r>
      <w:proofErr w:type="spellStart"/>
      <w:r w:rsidRPr="00225D4D">
        <w:t>eit</w:t>
      </w:r>
      <w:proofErr w:type="spellEnd"/>
      <w:r w:rsidRPr="00225D4D">
        <w:t xml:space="preserve"> sentralt tema. Spørsmålet om </w:t>
      </w:r>
      <w:proofErr w:type="spellStart"/>
      <w:r w:rsidRPr="00225D4D">
        <w:t>offentlegheit</w:t>
      </w:r>
      <w:proofErr w:type="spellEnd"/>
      <w:r w:rsidRPr="00225D4D">
        <w:t xml:space="preserve"> rundt </w:t>
      </w:r>
      <w:proofErr w:type="spellStart"/>
      <w:r w:rsidRPr="00225D4D">
        <w:t>habilitetsvurderingar</w:t>
      </w:r>
      <w:proofErr w:type="spellEnd"/>
      <w:r w:rsidRPr="00225D4D">
        <w:t xml:space="preserve"> blir òg </w:t>
      </w:r>
      <w:proofErr w:type="spellStart"/>
      <w:r w:rsidRPr="00225D4D">
        <w:t>teke</w:t>
      </w:r>
      <w:proofErr w:type="spellEnd"/>
      <w:r w:rsidRPr="00225D4D">
        <w:t xml:space="preserve"> opp. I utgangspunktet er </w:t>
      </w:r>
      <w:proofErr w:type="spellStart"/>
      <w:r w:rsidRPr="00225D4D">
        <w:t>habilitetsvurderingar</w:t>
      </w:r>
      <w:proofErr w:type="spellEnd"/>
      <w:r w:rsidRPr="00225D4D">
        <w:t xml:space="preserve"> interne i departementa eller i regjeringa, men i </w:t>
      </w:r>
      <w:proofErr w:type="spellStart"/>
      <w:r w:rsidRPr="00225D4D">
        <w:t>dei</w:t>
      </w:r>
      <w:proofErr w:type="spellEnd"/>
      <w:r w:rsidRPr="00225D4D">
        <w:t xml:space="preserve"> tilfella der det ligg føre </w:t>
      </w:r>
      <w:proofErr w:type="spellStart"/>
      <w:r w:rsidRPr="00225D4D">
        <w:t>habilitetsutfordringar</w:t>
      </w:r>
      <w:proofErr w:type="spellEnd"/>
      <w:r w:rsidRPr="00225D4D">
        <w:t xml:space="preserve">, er det praksis for å opplyse om at det har blitt gjort ei vurdering. Den konkrete habilitetsvurderinga blir normalt </w:t>
      </w:r>
      <w:proofErr w:type="spellStart"/>
      <w:r w:rsidRPr="00225D4D">
        <w:t>ikkje</w:t>
      </w:r>
      <w:proofErr w:type="spellEnd"/>
      <w:r w:rsidRPr="00225D4D">
        <w:t xml:space="preserve"> gitt ut. Bakgrunnen for det er behovet for å </w:t>
      </w:r>
      <w:proofErr w:type="spellStart"/>
      <w:r w:rsidRPr="00225D4D">
        <w:t>leggje</w:t>
      </w:r>
      <w:proofErr w:type="spellEnd"/>
      <w:r w:rsidRPr="00225D4D">
        <w:t xml:space="preserve"> til rette for at </w:t>
      </w:r>
      <w:proofErr w:type="spellStart"/>
      <w:r w:rsidRPr="00225D4D">
        <w:t>dei</w:t>
      </w:r>
      <w:proofErr w:type="spellEnd"/>
      <w:r w:rsidRPr="00225D4D">
        <w:t xml:space="preserve"> som </w:t>
      </w:r>
      <w:proofErr w:type="spellStart"/>
      <w:r w:rsidRPr="00225D4D">
        <w:t>ønskjer</w:t>
      </w:r>
      <w:proofErr w:type="spellEnd"/>
      <w:r w:rsidRPr="00225D4D">
        <w:t xml:space="preserve"> det, skal kunne få bistand til habilitetsvurderinga i </w:t>
      </w:r>
      <w:proofErr w:type="spellStart"/>
      <w:r w:rsidRPr="00225D4D">
        <w:t>fortrulegheit</w:t>
      </w:r>
      <w:proofErr w:type="spellEnd"/>
      <w:r w:rsidRPr="00225D4D">
        <w:t xml:space="preserve">. Forholdet som personen har behov for å undersøke, kan </w:t>
      </w:r>
      <w:proofErr w:type="spellStart"/>
      <w:r w:rsidRPr="00225D4D">
        <w:t>vere</w:t>
      </w:r>
      <w:proofErr w:type="spellEnd"/>
      <w:r w:rsidRPr="00225D4D">
        <w:t xml:space="preserve"> av </w:t>
      </w:r>
      <w:proofErr w:type="spellStart"/>
      <w:r w:rsidRPr="00225D4D">
        <w:t>personleg</w:t>
      </w:r>
      <w:proofErr w:type="spellEnd"/>
      <w:r w:rsidRPr="00225D4D">
        <w:t xml:space="preserve"> karakter, og det er viktig at omsynet til </w:t>
      </w:r>
      <w:proofErr w:type="spellStart"/>
      <w:r w:rsidRPr="00225D4D">
        <w:t>openheit</w:t>
      </w:r>
      <w:proofErr w:type="spellEnd"/>
      <w:r w:rsidRPr="00225D4D">
        <w:t xml:space="preserve"> </w:t>
      </w:r>
      <w:proofErr w:type="spellStart"/>
      <w:r w:rsidRPr="00225D4D">
        <w:t>ikkje</w:t>
      </w:r>
      <w:proofErr w:type="spellEnd"/>
      <w:r w:rsidRPr="00225D4D">
        <w:t xml:space="preserve"> kjem i vegen for </w:t>
      </w:r>
      <w:proofErr w:type="spellStart"/>
      <w:r w:rsidRPr="00225D4D">
        <w:t>moglegheita</w:t>
      </w:r>
      <w:proofErr w:type="spellEnd"/>
      <w:r w:rsidRPr="00225D4D">
        <w:t xml:space="preserve"> til den politiske </w:t>
      </w:r>
      <w:proofErr w:type="spellStart"/>
      <w:r w:rsidRPr="00225D4D">
        <w:t>leiinga</w:t>
      </w:r>
      <w:proofErr w:type="spellEnd"/>
      <w:r w:rsidRPr="00225D4D">
        <w:t xml:space="preserve"> til å ha fortrulege </w:t>
      </w:r>
      <w:proofErr w:type="spellStart"/>
      <w:r w:rsidRPr="00225D4D">
        <w:t>drøftingar</w:t>
      </w:r>
      <w:proofErr w:type="spellEnd"/>
      <w:r w:rsidRPr="00225D4D">
        <w:t xml:space="preserve"> med embetsverket sitt. Dersom </w:t>
      </w:r>
      <w:proofErr w:type="spellStart"/>
      <w:r w:rsidRPr="00225D4D">
        <w:t>ein</w:t>
      </w:r>
      <w:proofErr w:type="spellEnd"/>
      <w:r w:rsidRPr="00225D4D">
        <w:t xml:space="preserve"> har konkludert med at </w:t>
      </w:r>
      <w:proofErr w:type="spellStart"/>
      <w:r w:rsidRPr="00225D4D">
        <w:t>ein</w:t>
      </w:r>
      <w:proofErr w:type="spellEnd"/>
      <w:r w:rsidRPr="00225D4D">
        <w:t xml:space="preserve"> statsråd er inhabil, er det </w:t>
      </w:r>
      <w:proofErr w:type="spellStart"/>
      <w:r w:rsidRPr="00225D4D">
        <w:t>vanleg</w:t>
      </w:r>
      <w:proofErr w:type="spellEnd"/>
      <w:r w:rsidRPr="00225D4D">
        <w:t xml:space="preserve"> å opplyse kort om årsaka til inhabiliteten. Inhabilitet på eige område </w:t>
      </w:r>
      <w:proofErr w:type="spellStart"/>
      <w:r w:rsidRPr="00225D4D">
        <w:t>inneber</w:t>
      </w:r>
      <w:proofErr w:type="spellEnd"/>
      <w:r w:rsidRPr="00225D4D">
        <w:t xml:space="preserve"> òg at det blir </w:t>
      </w:r>
      <w:proofErr w:type="spellStart"/>
      <w:r w:rsidRPr="00225D4D">
        <w:t>utnemnt</w:t>
      </w:r>
      <w:proofErr w:type="spellEnd"/>
      <w:r w:rsidRPr="00225D4D">
        <w:t xml:space="preserve"> </w:t>
      </w:r>
      <w:proofErr w:type="spellStart"/>
      <w:r w:rsidRPr="00225D4D">
        <w:t>ein</w:t>
      </w:r>
      <w:proofErr w:type="spellEnd"/>
      <w:r w:rsidRPr="00225D4D">
        <w:t xml:space="preserve"> </w:t>
      </w:r>
      <w:proofErr w:type="spellStart"/>
      <w:r w:rsidRPr="00225D4D">
        <w:t>setjestatsråd</w:t>
      </w:r>
      <w:proofErr w:type="spellEnd"/>
      <w:r w:rsidRPr="00225D4D">
        <w:t>.</w:t>
      </w:r>
    </w:p>
    <w:p w14:paraId="5888D871" w14:textId="77777777" w:rsidR="00D60186" w:rsidRPr="00225D4D" w:rsidRDefault="00D60186" w:rsidP="00225D4D">
      <w:pPr>
        <w:pStyle w:val="avsnitt-tittel"/>
      </w:pPr>
      <w:r w:rsidRPr="00225D4D">
        <w:t>Habilitet</w:t>
      </w:r>
    </w:p>
    <w:p w14:paraId="14E45413" w14:textId="77777777" w:rsidR="00D60186" w:rsidRPr="00225D4D" w:rsidRDefault="00D60186" w:rsidP="00225D4D">
      <w:pPr>
        <w:pStyle w:val="avsnitt-undertittel"/>
      </w:pPr>
      <w:r w:rsidRPr="00225D4D">
        <w:t>Vedtak nr. 508, 5. mars 2024</w:t>
      </w:r>
    </w:p>
    <w:p w14:paraId="167A1B65" w14:textId="77777777" w:rsidR="00D60186" w:rsidRPr="00225D4D" w:rsidRDefault="00D60186" w:rsidP="00225D4D">
      <w:pPr>
        <w:pStyle w:val="blokksit"/>
        <w:rPr>
          <w:rStyle w:val="kursiv"/>
        </w:rPr>
      </w:pPr>
      <w:r w:rsidRPr="00225D4D">
        <w:rPr>
          <w:rStyle w:val="kursiv"/>
        </w:rPr>
        <w:t>«Stortinget ber regjeringen fremme en proposisjon med forslag til fornyelse av habilitetsreguleringen i forvaltningsloven basert på NOU 2019: 5. Proposisjonen må fremmes i tide for at den kan behandles av Stortinget i inneværende stortingsperiode.»</w:t>
      </w:r>
    </w:p>
    <w:p w14:paraId="6579B7E6"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215 S (2023–2024).</w:t>
      </w:r>
    </w:p>
    <w:p w14:paraId="0990D3F7"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i </w:t>
      </w:r>
      <w:proofErr w:type="spellStart"/>
      <w:r w:rsidRPr="00225D4D">
        <w:t>Prop</w:t>
      </w:r>
      <w:proofErr w:type="spellEnd"/>
      <w:r w:rsidRPr="00225D4D">
        <w:t xml:space="preserve">. 79 L (2024–2025) </w:t>
      </w:r>
      <w:r w:rsidRPr="00225D4D">
        <w:rPr>
          <w:rStyle w:val="kursiv"/>
        </w:rPr>
        <w:t>Lov om saksbehandlingen i offentlig forvaltning (forvaltningsloven)</w:t>
      </w:r>
      <w:r w:rsidRPr="00225D4D">
        <w:t>, som vart fremma i april 2025.</w:t>
      </w:r>
    </w:p>
    <w:p w14:paraId="1420634E" w14:textId="77777777" w:rsidR="00D60186" w:rsidRPr="00225D4D" w:rsidRDefault="00D60186" w:rsidP="00225D4D">
      <w:pPr>
        <w:pStyle w:val="avsnitt-tittel"/>
      </w:pPr>
      <w:r w:rsidRPr="00225D4D">
        <w:t>Habilitet</w:t>
      </w:r>
    </w:p>
    <w:p w14:paraId="398E6022" w14:textId="77777777" w:rsidR="00D60186" w:rsidRPr="00225D4D" w:rsidRDefault="00D60186" w:rsidP="00225D4D">
      <w:pPr>
        <w:pStyle w:val="avsnitt-undertittel"/>
      </w:pPr>
      <w:r w:rsidRPr="00225D4D">
        <w:t>Vedtak nr. 509, 5. mars 2024</w:t>
      </w:r>
    </w:p>
    <w:p w14:paraId="260AC60E" w14:textId="77777777" w:rsidR="00D60186" w:rsidRPr="00225D4D" w:rsidRDefault="00D60186" w:rsidP="00225D4D">
      <w:pPr>
        <w:pStyle w:val="blokksit"/>
        <w:rPr>
          <w:rStyle w:val="kursiv"/>
        </w:rPr>
      </w:pPr>
      <w:r w:rsidRPr="00225D4D">
        <w:rPr>
          <w:rStyle w:val="kursiv"/>
        </w:rPr>
        <w:t>«Stortinget ber regjeringen på egnet måte gjøre en gjennomgang av gjeldende rutiner og regelverk, der man både er tydeligere på hvilke føringer som er regulert på hvilket nivå, og samtidig vurderer hva som bør reguleres på hvilket nivå.»</w:t>
      </w:r>
    </w:p>
    <w:p w14:paraId="065CC86D"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215 S (2023–2024).</w:t>
      </w:r>
    </w:p>
    <w:p w14:paraId="3081C00F"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I arbeidet med </w:t>
      </w:r>
      <w:proofErr w:type="spellStart"/>
      <w:r w:rsidRPr="00225D4D">
        <w:t>Prop</w:t>
      </w:r>
      <w:proofErr w:type="spellEnd"/>
      <w:r w:rsidRPr="00225D4D">
        <w:t xml:space="preserve">. 79 L (2024–2025) (ny forvaltningslov) har det blitt gjort ei grundig vurdering av kva for </w:t>
      </w:r>
      <w:proofErr w:type="spellStart"/>
      <w:r w:rsidRPr="00225D4D">
        <w:t>reglar</w:t>
      </w:r>
      <w:proofErr w:type="spellEnd"/>
      <w:r w:rsidRPr="00225D4D">
        <w:t xml:space="preserve"> som bør </w:t>
      </w:r>
      <w:proofErr w:type="spellStart"/>
      <w:r w:rsidRPr="00225D4D">
        <w:t>følgje</w:t>
      </w:r>
      <w:proofErr w:type="spellEnd"/>
      <w:r w:rsidRPr="00225D4D">
        <w:t xml:space="preserve"> av lova, og det er gjort ei grundig vurdering av </w:t>
      </w:r>
      <w:proofErr w:type="spellStart"/>
      <w:r w:rsidRPr="00225D4D">
        <w:t>rutinar</w:t>
      </w:r>
      <w:proofErr w:type="spellEnd"/>
      <w:r w:rsidRPr="00225D4D">
        <w:t xml:space="preserve"> og retningslinjer i samband med oppfølginga av vedtak nr. 507.</w:t>
      </w:r>
    </w:p>
    <w:p w14:paraId="7CB1DDB5" w14:textId="77777777" w:rsidR="00D60186" w:rsidRPr="00225D4D" w:rsidRDefault="00D60186" w:rsidP="00225D4D">
      <w:pPr>
        <w:pStyle w:val="avsnitt-tittel"/>
      </w:pPr>
      <w:r w:rsidRPr="00225D4D">
        <w:t>Habilitet</w:t>
      </w:r>
    </w:p>
    <w:p w14:paraId="4E9355ED" w14:textId="77777777" w:rsidR="00D60186" w:rsidRPr="00225D4D" w:rsidRDefault="00D60186" w:rsidP="00225D4D">
      <w:pPr>
        <w:pStyle w:val="avsnitt-undertittel"/>
      </w:pPr>
      <w:r w:rsidRPr="00225D4D">
        <w:t>Vedtak 510, 5. mars 2024</w:t>
      </w:r>
    </w:p>
    <w:p w14:paraId="0554319A" w14:textId="77777777" w:rsidR="00D60186" w:rsidRPr="00225D4D" w:rsidRDefault="00D60186" w:rsidP="00225D4D">
      <w:pPr>
        <w:pStyle w:val="blokksit"/>
        <w:rPr>
          <w:rStyle w:val="kursiv"/>
        </w:rPr>
      </w:pPr>
      <w:r w:rsidRPr="00225D4D">
        <w:rPr>
          <w:rStyle w:val="kursiv"/>
        </w:rPr>
        <w:t xml:space="preserve">«Stortinget ber regjeringen vurdere å innføre en rutine om å </w:t>
      </w:r>
      <w:proofErr w:type="spellStart"/>
      <w:r w:rsidRPr="00225D4D">
        <w:rPr>
          <w:rStyle w:val="kursiv"/>
        </w:rPr>
        <w:t>skriftliggjøre</w:t>
      </w:r>
      <w:proofErr w:type="spellEnd"/>
      <w:r w:rsidRPr="00225D4D">
        <w:rPr>
          <w:rStyle w:val="kursiv"/>
        </w:rPr>
        <w:t xml:space="preserve"> habilitetsvurderinger gjort av statsråder, statssekretærer og politiske rådgivere.»</w:t>
      </w:r>
    </w:p>
    <w:p w14:paraId="09FFA5E2"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215 S (2023–2024).</w:t>
      </w:r>
    </w:p>
    <w:p w14:paraId="2F8B86C6"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I </w:t>
      </w:r>
      <w:proofErr w:type="spellStart"/>
      <w:r w:rsidRPr="00225D4D">
        <w:t>Prop</w:t>
      </w:r>
      <w:proofErr w:type="spellEnd"/>
      <w:r w:rsidRPr="00225D4D">
        <w:t xml:space="preserve">. 79 L (2024–2025) (ny forvaltningslov) er det gitt </w:t>
      </w:r>
      <w:proofErr w:type="spellStart"/>
      <w:r w:rsidRPr="00225D4D">
        <w:t>føringar</w:t>
      </w:r>
      <w:proofErr w:type="spellEnd"/>
      <w:r w:rsidRPr="00225D4D">
        <w:t xml:space="preserve"> for når det er behov for å </w:t>
      </w:r>
      <w:proofErr w:type="spellStart"/>
      <w:r w:rsidRPr="00225D4D">
        <w:t>skriftleggjere</w:t>
      </w:r>
      <w:proofErr w:type="spellEnd"/>
      <w:r w:rsidRPr="00225D4D">
        <w:t xml:space="preserve"> </w:t>
      </w:r>
      <w:proofErr w:type="spellStart"/>
      <w:r w:rsidRPr="00225D4D">
        <w:t>habilitetsvurderingar</w:t>
      </w:r>
      <w:proofErr w:type="spellEnd"/>
      <w:r w:rsidRPr="00225D4D">
        <w:t>.</w:t>
      </w:r>
    </w:p>
    <w:p w14:paraId="16BE3233" w14:textId="77777777" w:rsidR="00D60186" w:rsidRPr="00225D4D" w:rsidRDefault="00D60186" w:rsidP="00225D4D">
      <w:pPr>
        <w:pStyle w:val="avsnitt-tittel"/>
      </w:pPr>
      <w:r w:rsidRPr="00225D4D">
        <w:t>Habilitet</w:t>
      </w:r>
    </w:p>
    <w:p w14:paraId="199880F5" w14:textId="77777777" w:rsidR="00D60186" w:rsidRPr="00225D4D" w:rsidRDefault="00D60186" w:rsidP="00225D4D">
      <w:pPr>
        <w:pStyle w:val="avsnitt-undertittel"/>
      </w:pPr>
      <w:r w:rsidRPr="00225D4D">
        <w:t>Vedtak 511, 5. mars 2024</w:t>
      </w:r>
    </w:p>
    <w:p w14:paraId="0A97F3D9" w14:textId="77777777" w:rsidR="00D60186" w:rsidRPr="00225D4D" w:rsidRDefault="00D60186" w:rsidP="00225D4D">
      <w:pPr>
        <w:pStyle w:val="blokksit"/>
        <w:rPr>
          <w:rStyle w:val="kursiv"/>
        </w:rPr>
      </w:pPr>
      <w:r w:rsidRPr="00225D4D">
        <w:rPr>
          <w:rStyle w:val="kursiv"/>
        </w:rPr>
        <w:t>«Stortinget ber regjeringen vurdere en større grad av åpenhet om habilitetsvurderinger som foretas i departementene av politisk ledelse i departementene.»</w:t>
      </w:r>
    </w:p>
    <w:p w14:paraId="02729232"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215 S (2023–2024)</w:t>
      </w:r>
    </w:p>
    <w:p w14:paraId="005F2AC9"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Som </w:t>
      </w:r>
      <w:proofErr w:type="spellStart"/>
      <w:r w:rsidRPr="00225D4D">
        <w:t>nemnt</w:t>
      </w:r>
      <w:proofErr w:type="spellEnd"/>
      <w:r w:rsidRPr="00225D4D">
        <w:t xml:space="preserve"> i omtalen av oppfølginga av vedtak nr. 507 blir spørsmålet om </w:t>
      </w:r>
      <w:proofErr w:type="spellStart"/>
      <w:r w:rsidRPr="00225D4D">
        <w:t>offentlegheit</w:t>
      </w:r>
      <w:proofErr w:type="spellEnd"/>
      <w:r w:rsidRPr="00225D4D">
        <w:t xml:space="preserve"> rundt </w:t>
      </w:r>
      <w:proofErr w:type="spellStart"/>
      <w:r w:rsidRPr="00225D4D">
        <w:t>habilitetsvurderingar</w:t>
      </w:r>
      <w:proofErr w:type="spellEnd"/>
      <w:r w:rsidRPr="00225D4D">
        <w:t xml:space="preserve"> av den politiske </w:t>
      </w:r>
      <w:proofErr w:type="spellStart"/>
      <w:r w:rsidRPr="00225D4D">
        <w:t>leiinga</w:t>
      </w:r>
      <w:proofErr w:type="spellEnd"/>
      <w:r w:rsidRPr="00225D4D">
        <w:t xml:space="preserve"> i departementa </w:t>
      </w:r>
      <w:proofErr w:type="spellStart"/>
      <w:r w:rsidRPr="00225D4D">
        <w:t>teke</w:t>
      </w:r>
      <w:proofErr w:type="spellEnd"/>
      <w:r w:rsidRPr="00225D4D">
        <w:t xml:space="preserve"> opp i opplæringa i habilitetsregelverket. I utgangspunktet er slike </w:t>
      </w:r>
      <w:proofErr w:type="spellStart"/>
      <w:r w:rsidRPr="00225D4D">
        <w:t>habilitetsvurderingar</w:t>
      </w:r>
      <w:proofErr w:type="spellEnd"/>
      <w:r w:rsidRPr="00225D4D">
        <w:t xml:space="preserve"> interne i departementa eller i regjeringa, men i </w:t>
      </w:r>
      <w:proofErr w:type="spellStart"/>
      <w:r w:rsidRPr="00225D4D">
        <w:t>dei</w:t>
      </w:r>
      <w:proofErr w:type="spellEnd"/>
      <w:r w:rsidRPr="00225D4D">
        <w:t xml:space="preserve"> tilfella der det ligg føre </w:t>
      </w:r>
      <w:proofErr w:type="spellStart"/>
      <w:r w:rsidRPr="00225D4D">
        <w:t>habilitetsutfordringar</w:t>
      </w:r>
      <w:proofErr w:type="spellEnd"/>
      <w:r w:rsidRPr="00225D4D">
        <w:t xml:space="preserve">, er det praksis for å opplyse om at det er gjort ei vurdering. Den konkrete habilitetsvurderinga gir </w:t>
      </w:r>
      <w:proofErr w:type="spellStart"/>
      <w:r w:rsidRPr="00225D4D">
        <w:t>ein</w:t>
      </w:r>
      <w:proofErr w:type="spellEnd"/>
      <w:r w:rsidRPr="00225D4D">
        <w:t xml:space="preserve"> normalt </w:t>
      </w:r>
      <w:proofErr w:type="spellStart"/>
      <w:r w:rsidRPr="00225D4D">
        <w:t>ikkje</w:t>
      </w:r>
      <w:proofErr w:type="spellEnd"/>
      <w:r w:rsidRPr="00225D4D">
        <w:t xml:space="preserve"> ut. Bakgrunnen for det er behovet for å </w:t>
      </w:r>
      <w:proofErr w:type="spellStart"/>
      <w:r w:rsidRPr="00225D4D">
        <w:t>leggje</w:t>
      </w:r>
      <w:proofErr w:type="spellEnd"/>
      <w:r w:rsidRPr="00225D4D">
        <w:t xml:space="preserve"> til rette for at </w:t>
      </w:r>
      <w:proofErr w:type="spellStart"/>
      <w:r w:rsidRPr="00225D4D">
        <w:t>dei</w:t>
      </w:r>
      <w:proofErr w:type="spellEnd"/>
      <w:r w:rsidRPr="00225D4D">
        <w:t xml:space="preserve"> som </w:t>
      </w:r>
      <w:proofErr w:type="spellStart"/>
      <w:r w:rsidRPr="00225D4D">
        <w:t>ønskjer</w:t>
      </w:r>
      <w:proofErr w:type="spellEnd"/>
      <w:r w:rsidRPr="00225D4D">
        <w:t xml:space="preserve"> det, skal kunne få bistand til habilitetsvurderinga i </w:t>
      </w:r>
      <w:proofErr w:type="spellStart"/>
      <w:r w:rsidRPr="00225D4D">
        <w:t>fortrulegheit</w:t>
      </w:r>
      <w:proofErr w:type="spellEnd"/>
      <w:r w:rsidRPr="00225D4D">
        <w:t xml:space="preserve">. Forholdet som personen har behov for å undersøke, kan </w:t>
      </w:r>
      <w:proofErr w:type="spellStart"/>
      <w:r w:rsidRPr="00225D4D">
        <w:t>vere</w:t>
      </w:r>
      <w:proofErr w:type="spellEnd"/>
      <w:r w:rsidRPr="00225D4D">
        <w:t xml:space="preserve"> av svært </w:t>
      </w:r>
      <w:proofErr w:type="spellStart"/>
      <w:r w:rsidRPr="00225D4D">
        <w:t>personleg</w:t>
      </w:r>
      <w:proofErr w:type="spellEnd"/>
      <w:r w:rsidRPr="00225D4D">
        <w:t xml:space="preserve"> karakter, og det er viktig at omsynet til </w:t>
      </w:r>
      <w:proofErr w:type="spellStart"/>
      <w:r w:rsidRPr="00225D4D">
        <w:t>openheit</w:t>
      </w:r>
      <w:proofErr w:type="spellEnd"/>
      <w:r w:rsidRPr="00225D4D">
        <w:t xml:space="preserve"> </w:t>
      </w:r>
      <w:proofErr w:type="spellStart"/>
      <w:r w:rsidRPr="00225D4D">
        <w:t>ikkje</w:t>
      </w:r>
      <w:proofErr w:type="spellEnd"/>
      <w:r w:rsidRPr="00225D4D">
        <w:t xml:space="preserve"> kjem i vegen for </w:t>
      </w:r>
      <w:proofErr w:type="spellStart"/>
      <w:r w:rsidRPr="00225D4D">
        <w:t>moglegheita</w:t>
      </w:r>
      <w:proofErr w:type="spellEnd"/>
      <w:r w:rsidRPr="00225D4D">
        <w:t xml:space="preserve"> til den politiske </w:t>
      </w:r>
      <w:proofErr w:type="spellStart"/>
      <w:r w:rsidRPr="00225D4D">
        <w:t>leiinga</w:t>
      </w:r>
      <w:proofErr w:type="spellEnd"/>
      <w:r w:rsidRPr="00225D4D">
        <w:t xml:space="preserve"> til å ha fortrulege </w:t>
      </w:r>
      <w:proofErr w:type="spellStart"/>
      <w:r w:rsidRPr="00225D4D">
        <w:t>drøftingar</w:t>
      </w:r>
      <w:proofErr w:type="spellEnd"/>
      <w:r w:rsidRPr="00225D4D">
        <w:t xml:space="preserve"> med embetsverket sitt. Dersom </w:t>
      </w:r>
      <w:proofErr w:type="spellStart"/>
      <w:r w:rsidRPr="00225D4D">
        <w:t>ein</w:t>
      </w:r>
      <w:proofErr w:type="spellEnd"/>
      <w:r w:rsidRPr="00225D4D">
        <w:t xml:space="preserve"> har konkludert med at </w:t>
      </w:r>
      <w:proofErr w:type="spellStart"/>
      <w:r w:rsidRPr="00225D4D">
        <w:t>ein</w:t>
      </w:r>
      <w:proofErr w:type="spellEnd"/>
      <w:r w:rsidRPr="00225D4D">
        <w:t xml:space="preserve"> statsråd er inhabil, er det </w:t>
      </w:r>
      <w:proofErr w:type="spellStart"/>
      <w:r w:rsidRPr="00225D4D">
        <w:t>vanleg</w:t>
      </w:r>
      <w:proofErr w:type="spellEnd"/>
      <w:r w:rsidRPr="00225D4D">
        <w:t xml:space="preserve"> å opplyse kort om årsaka til inhabiliteten. Inhabilitet på </w:t>
      </w:r>
      <w:proofErr w:type="spellStart"/>
      <w:r w:rsidRPr="00225D4D">
        <w:t>eiget</w:t>
      </w:r>
      <w:proofErr w:type="spellEnd"/>
      <w:r w:rsidRPr="00225D4D">
        <w:t xml:space="preserve"> område </w:t>
      </w:r>
      <w:proofErr w:type="spellStart"/>
      <w:r w:rsidRPr="00225D4D">
        <w:t>inneber</w:t>
      </w:r>
      <w:proofErr w:type="spellEnd"/>
      <w:r w:rsidRPr="00225D4D">
        <w:t xml:space="preserve"> òg at det blir </w:t>
      </w:r>
      <w:proofErr w:type="spellStart"/>
      <w:r w:rsidRPr="00225D4D">
        <w:t>utnemnt</w:t>
      </w:r>
      <w:proofErr w:type="spellEnd"/>
      <w:r w:rsidRPr="00225D4D">
        <w:t xml:space="preserve"> </w:t>
      </w:r>
      <w:proofErr w:type="spellStart"/>
      <w:r w:rsidRPr="00225D4D">
        <w:t>ein</w:t>
      </w:r>
      <w:proofErr w:type="spellEnd"/>
      <w:r w:rsidRPr="00225D4D">
        <w:t xml:space="preserve"> </w:t>
      </w:r>
      <w:proofErr w:type="spellStart"/>
      <w:r w:rsidRPr="00225D4D">
        <w:t>setjestatsråd</w:t>
      </w:r>
      <w:proofErr w:type="spellEnd"/>
      <w:r w:rsidRPr="00225D4D">
        <w:t>.</w:t>
      </w:r>
    </w:p>
    <w:p w14:paraId="5DF91159" w14:textId="77777777" w:rsidR="00D60186" w:rsidRPr="00225D4D" w:rsidRDefault="00D60186" w:rsidP="00225D4D">
      <w:r w:rsidRPr="00225D4D">
        <w:t xml:space="preserve">Oppfølginga av vedtaket blir sett i </w:t>
      </w:r>
      <w:proofErr w:type="spellStart"/>
      <w:r w:rsidRPr="00225D4D">
        <w:t>samanheng</w:t>
      </w:r>
      <w:proofErr w:type="spellEnd"/>
      <w:r w:rsidRPr="00225D4D">
        <w:t xml:space="preserve"> med </w:t>
      </w:r>
      <w:proofErr w:type="spellStart"/>
      <w:r w:rsidRPr="00225D4D">
        <w:t>prosessar</w:t>
      </w:r>
      <w:proofErr w:type="spellEnd"/>
      <w:r w:rsidRPr="00225D4D">
        <w:t xml:space="preserve"> som er knytte til oppfølginga av vedtak nr. 507.</w:t>
      </w:r>
    </w:p>
    <w:p w14:paraId="371B7A3D" w14:textId="77777777" w:rsidR="00D60186" w:rsidRPr="00225D4D" w:rsidRDefault="00D60186" w:rsidP="00225D4D">
      <w:pPr>
        <w:pStyle w:val="avsnitt-tittel"/>
      </w:pPr>
      <w:r w:rsidRPr="00225D4D">
        <w:t>Forsyningstryggleik – oppfølging av totalberedskapskommisjonen</w:t>
      </w:r>
    </w:p>
    <w:p w14:paraId="342D49DB" w14:textId="77777777" w:rsidR="00D60186" w:rsidRPr="00225D4D" w:rsidRDefault="00D60186" w:rsidP="00225D4D">
      <w:pPr>
        <w:pStyle w:val="avsnitt-undertittel"/>
      </w:pPr>
      <w:r w:rsidRPr="00225D4D">
        <w:t>Vedtak nr. 561, 18. april 2024</w:t>
      </w:r>
    </w:p>
    <w:p w14:paraId="48772C47" w14:textId="77777777" w:rsidR="00D60186" w:rsidRPr="00225D4D" w:rsidRDefault="00D60186" w:rsidP="00225D4D">
      <w:pPr>
        <w:pStyle w:val="blokksit"/>
        <w:rPr>
          <w:rStyle w:val="kursiv"/>
        </w:rPr>
      </w:pPr>
      <w:r w:rsidRPr="00225D4D">
        <w:rPr>
          <w:rStyle w:val="kursiv"/>
        </w:rPr>
        <w:t>«Stortinget ber regjeringen vektlegge Norges beredskapspotensial i den videre oppfølgingen av Totalberedskapskommisjonens rapport NOU 2023: 17.»</w:t>
      </w:r>
    </w:p>
    <w:p w14:paraId="1EEA71D7" w14:textId="77777777" w:rsidR="00D60186" w:rsidRPr="00225D4D" w:rsidRDefault="00D60186" w:rsidP="00225D4D">
      <w:r w:rsidRPr="00225D4D">
        <w:t xml:space="preserve">Dokumenta som ligg til grunn for vedtaket, er Meld. St. 11 (2023–2024) </w:t>
      </w:r>
      <w:r w:rsidRPr="00225D4D">
        <w:rPr>
          <w:rStyle w:val="kursiv"/>
        </w:rPr>
        <w:t xml:space="preserve">Strategi for </w:t>
      </w:r>
      <w:proofErr w:type="spellStart"/>
      <w:r w:rsidRPr="00225D4D">
        <w:rPr>
          <w:rStyle w:val="kursiv"/>
        </w:rPr>
        <w:t>auka</w:t>
      </w:r>
      <w:proofErr w:type="spellEnd"/>
      <w:r w:rsidRPr="00225D4D">
        <w:rPr>
          <w:rStyle w:val="kursiv"/>
        </w:rPr>
        <w:t xml:space="preserve"> </w:t>
      </w:r>
      <w:proofErr w:type="spellStart"/>
      <w:r w:rsidRPr="00225D4D">
        <w:rPr>
          <w:rStyle w:val="kursiv"/>
        </w:rPr>
        <w:t>sjølvforsyning</w:t>
      </w:r>
      <w:proofErr w:type="spellEnd"/>
      <w:r w:rsidRPr="00225D4D">
        <w:rPr>
          <w:rStyle w:val="kursiv"/>
        </w:rPr>
        <w:t xml:space="preserve"> av jordbruksvarer og plan for opptrapping av </w:t>
      </w:r>
      <w:proofErr w:type="spellStart"/>
      <w:r w:rsidRPr="00225D4D">
        <w:rPr>
          <w:rStyle w:val="kursiv"/>
        </w:rPr>
        <w:t>inntektsmoglegheitene</w:t>
      </w:r>
      <w:proofErr w:type="spellEnd"/>
      <w:r w:rsidRPr="00225D4D">
        <w:rPr>
          <w:rStyle w:val="kursiv"/>
        </w:rPr>
        <w:t xml:space="preserve"> i jordbruket</w:t>
      </w:r>
      <w:r w:rsidRPr="00225D4D">
        <w:t xml:space="preserve"> og </w:t>
      </w:r>
      <w:proofErr w:type="spellStart"/>
      <w:r w:rsidRPr="00225D4D">
        <w:t>Innst</w:t>
      </w:r>
      <w:proofErr w:type="spellEnd"/>
      <w:r w:rsidRPr="00225D4D">
        <w:t>. 258 S (2023–2024).</w:t>
      </w:r>
    </w:p>
    <w:p w14:paraId="231E1AFA"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På bakgrunn av bl.a. Totalberedskapskommisjonens rapport NOU 2023: 17 har regjeringa i Meld. St. 9 (2024–2025) </w:t>
      </w:r>
      <w:r w:rsidRPr="00225D4D">
        <w:rPr>
          <w:rStyle w:val="kursiv"/>
        </w:rPr>
        <w:t>Totalberedskapsmeldinga</w:t>
      </w:r>
      <w:r w:rsidRPr="00225D4D">
        <w:t xml:space="preserve"> påpekt at nok og trygg mat er </w:t>
      </w:r>
      <w:proofErr w:type="spellStart"/>
      <w:r w:rsidRPr="00225D4D">
        <w:t>ein</w:t>
      </w:r>
      <w:proofErr w:type="spellEnd"/>
      <w:r w:rsidRPr="00225D4D">
        <w:t xml:space="preserve"> forutsetning for </w:t>
      </w:r>
      <w:proofErr w:type="spellStart"/>
      <w:r w:rsidRPr="00225D4D">
        <w:t>eit</w:t>
      </w:r>
      <w:proofErr w:type="spellEnd"/>
      <w:r w:rsidRPr="00225D4D">
        <w:t xml:space="preserve"> samfunn, og regjeringa har prioritert å styrke norsk matproduksjon og tiltak for </w:t>
      </w:r>
      <w:proofErr w:type="spellStart"/>
      <w:r w:rsidRPr="00225D4D">
        <w:t>auka</w:t>
      </w:r>
      <w:proofErr w:type="spellEnd"/>
      <w:r w:rsidRPr="00225D4D">
        <w:t xml:space="preserve"> mattryggleik høgt </w:t>
      </w:r>
      <w:proofErr w:type="spellStart"/>
      <w:r w:rsidRPr="00225D4D">
        <w:t>sidan</w:t>
      </w:r>
      <w:proofErr w:type="spellEnd"/>
      <w:r w:rsidRPr="00225D4D">
        <w:t xml:space="preserve"> den tilrådde. Norsk matforsyning er basert på nasjonal produksjon og fordeling av råvarer </w:t>
      </w:r>
      <w:proofErr w:type="spellStart"/>
      <w:r w:rsidRPr="00225D4D">
        <w:t>frå</w:t>
      </w:r>
      <w:proofErr w:type="spellEnd"/>
      <w:r w:rsidRPr="00225D4D">
        <w:t xml:space="preserve"> landbruk, fiskeri og havbruk samt import av rå- og ferdigvarer. Regjeringas politikk om økt </w:t>
      </w:r>
      <w:proofErr w:type="spellStart"/>
      <w:r w:rsidRPr="00225D4D">
        <w:t>sjølvforsyning</w:t>
      </w:r>
      <w:proofErr w:type="spellEnd"/>
      <w:r w:rsidRPr="00225D4D">
        <w:t xml:space="preserve">, beredskapslagring av korn og </w:t>
      </w:r>
      <w:proofErr w:type="spellStart"/>
      <w:r w:rsidRPr="00225D4D">
        <w:t>eit</w:t>
      </w:r>
      <w:proofErr w:type="spellEnd"/>
      <w:r w:rsidRPr="00225D4D">
        <w:t xml:space="preserve"> sterkt jordvern vil gi </w:t>
      </w:r>
      <w:proofErr w:type="spellStart"/>
      <w:r w:rsidRPr="00225D4D">
        <w:t>synlege</w:t>
      </w:r>
      <w:proofErr w:type="spellEnd"/>
      <w:r w:rsidRPr="00225D4D">
        <w:t xml:space="preserve"> resultat i form av </w:t>
      </w:r>
      <w:proofErr w:type="spellStart"/>
      <w:r w:rsidRPr="00225D4D">
        <w:t>auka</w:t>
      </w:r>
      <w:proofErr w:type="spellEnd"/>
      <w:r w:rsidRPr="00225D4D">
        <w:t xml:space="preserve"> beredskap og tryggleik. Regjeringa har derfor i meldinga varsla at vi vil legge til rette for </w:t>
      </w:r>
      <w:proofErr w:type="spellStart"/>
      <w:r w:rsidRPr="00225D4D">
        <w:t>auka</w:t>
      </w:r>
      <w:proofErr w:type="spellEnd"/>
      <w:r w:rsidRPr="00225D4D">
        <w:t xml:space="preserve"> samarbeid med nordiske land om mattryggleik og matberedskap, bygge opp beredskapslagringen av matkorn til tre </w:t>
      </w:r>
      <w:proofErr w:type="spellStart"/>
      <w:r w:rsidRPr="00225D4D">
        <w:t>månaders</w:t>
      </w:r>
      <w:proofErr w:type="spellEnd"/>
      <w:r w:rsidRPr="00225D4D">
        <w:t xml:space="preserve"> forbruk, </w:t>
      </w:r>
      <w:proofErr w:type="spellStart"/>
      <w:r w:rsidRPr="00225D4D">
        <w:t>auke</w:t>
      </w:r>
      <w:proofErr w:type="spellEnd"/>
      <w:r w:rsidRPr="00225D4D">
        <w:t xml:space="preserve"> graden av </w:t>
      </w:r>
      <w:proofErr w:type="spellStart"/>
      <w:r w:rsidRPr="00225D4D">
        <w:t>sjølvforsyning</w:t>
      </w:r>
      <w:proofErr w:type="spellEnd"/>
      <w:r w:rsidRPr="00225D4D">
        <w:t xml:space="preserve"> av jordbruksvarer og sikre </w:t>
      </w:r>
      <w:proofErr w:type="spellStart"/>
      <w:r w:rsidRPr="00225D4D">
        <w:t>eit</w:t>
      </w:r>
      <w:proofErr w:type="spellEnd"/>
      <w:r w:rsidRPr="00225D4D">
        <w:t xml:space="preserve"> sterkt jordvern, redusere vår </w:t>
      </w:r>
      <w:proofErr w:type="spellStart"/>
      <w:r w:rsidRPr="00225D4D">
        <w:t>avhengigheit</w:t>
      </w:r>
      <w:proofErr w:type="spellEnd"/>
      <w:r w:rsidRPr="00225D4D">
        <w:t xml:space="preserve"> til andre kva gjeld kritiske varer eller funksjoner og sikre </w:t>
      </w:r>
      <w:proofErr w:type="spellStart"/>
      <w:r w:rsidRPr="00225D4D">
        <w:t>eit</w:t>
      </w:r>
      <w:proofErr w:type="spellEnd"/>
      <w:r w:rsidRPr="00225D4D">
        <w:t xml:space="preserve"> godt samarbeid om forsyningstryggleik med allierte og nære strategiske </w:t>
      </w:r>
      <w:proofErr w:type="spellStart"/>
      <w:r w:rsidRPr="00225D4D">
        <w:t>partnarar</w:t>
      </w:r>
      <w:proofErr w:type="spellEnd"/>
      <w:r w:rsidRPr="00225D4D">
        <w:t>.</w:t>
      </w:r>
    </w:p>
    <w:p w14:paraId="54FDA270" w14:textId="77777777" w:rsidR="00D60186" w:rsidRPr="00225D4D" w:rsidRDefault="00D60186" w:rsidP="00225D4D">
      <w:pPr>
        <w:pStyle w:val="avsnitt-tittel"/>
      </w:pPr>
      <w:r w:rsidRPr="00225D4D">
        <w:t xml:space="preserve">Forsyningstryggleik – sikre mest </w:t>
      </w:r>
      <w:proofErr w:type="spellStart"/>
      <w:r w:rsidRPr="00225D4D">
        <w:t>mogleg</w:t>
      </w:r>
      <w:proofErr w:type="spellEnd"/>
      <w:r w:rsidRPr="00225D4D">
        <w:t xml:space="preserve"> normal handel med og produksjon av mat i kriser</w:t>
      </w:r>
    </w:p>
    <w:p w14:paraId="214D96AE" w14:textId="77777777" w:rsidR="00D60186" w:rsidRPr="00225D4D" w:rsidRDefault="00D60186" w:rsidP="00225D4D">
      <w:pPr>
        <w:pStyle w:val="avsnitt-undertittel"/>
      </w:pPr>
      <w:r w:rsidRPr="00225D4D">
        <w:t>Vedtak nr. 562, 18. april 2024</w:t>
      </w:r>
    </w:p>
    <w:p w14:paraId="389A4B95" w14:textId="77777777" w:rsidR="00D60186" w:rsidRPr="00225D4D" w:rsidRDefault="00D60186" w:rsidP="00225D4D">
      <w:pPr>
        <w:pStyle w:val="blokksit"/>
        <w:rPr>
          <w:rStyle w:val="kursiv"/>
        </w:rPr>
      </w:pPr>
      <w:r w:rsidRPr="00225D4D">
        <w:rPr>
          <w:rStyle w:val="kursiv"/>
        </w:rPr>
        <w:t>«Stortinget ber regjeringen sikre at kritiske samfunnsfunksjoner gis fortrinn ved kriser slik at blant annet handel og produksjon av matvarer går mest mulig normalt under en krise.»</w:t>
      </w:r>
    </w:p>
    <w:p w14:paraId="125259B7" w14:textId="77777777" w:rsidR="00D60186" w:rsidRPr="00225D4D" w:rsidRDefault="00D60186" w:rsidP="00225D4D">
      <w:r w:rsidRPr="00225D4D">
        <w:t xml:space="preserve">Dokumenta som ligg til grunn for vedtaket er Meld. St. 11 (2023–2024) </w:t>
      </w:r>
      <w:r w:rsidRPr="00225D4D">
        <w:rPr>
          <w:rStyle w:val="kursiv"/>
        </w:rPr>
        <w:t xml:space="preserve">Strategi for </w:t>
      </w:r>
      <w:proofErr w:type="spellStart"/>
      <w:r w:rsidRPr="00225D4D">
        <w:rPr>
          <w:rStyle w:val="kursiv"/>
        </w:rPr>
        <w:t>auka</w:t>
      </w:r>
      <w:proofErr w:type="spellEnd"/>
      <w:r w:rsidRPr="00225D4D">
        <w:rPr>
          <w:rStyle w:val="kursiv"/>
        </w:rPr>
        <w:t xml:space="preserve"> </w:t>
      </w:r>
      <w:proofErr w:type="spellStart"/>
      <w:r w:rsidRPr="00225D4D">
        <w:rPr>
          <w:rStyle w:val="kursiv"/>
        </w:rPr>
        <w:t>sjølvforsyning</w:t>
      </w:r>
      <w:proofErr w:type="spellEnd"/>
      <w:r w:rsidRPr="00225D4D">
        <w:rPr>
          <w:rStyle w:val="kursiv"/>
        </w:rPr>
        <w:t xml:space="preserve"> av jordbruksvarer og plan for opptrapping av </w:t>
      </w:r>
      <w:proofErr w:type="spellStart"/>
      <w:r w:rsidRPr="00225D4D">
        <w:rPr>
          <w:rStyle w:val="kursiv"/>
        </w:rPr>
        <w:t>inntektsmoglegheitene</w:t>
      </w:r>
      <w:proofErr w:type="spellEnd"/>
      <w:r w:rsidRPr="00225D4D">
        <w:rPr>
          <w:rStyle w:val="kursiv"/>
        </w:rPr>
        <w:t xml:space="preserve"> i jordbruket </w:t>
      </w:r>
      <w:r w:rsidRPr="00225D4D">
        <w:t xml:space="preserve">og </w:t>
      </w:r>
      <w:proofErr w:type="spellStart"/>
      <w:r w:rsidRPr="00225D4D">
        <w:t>Innst</w:t>
      </w:r>
      <w:proofErr w:type="spellEnd"/>
      <w:r w:rsidRPr="00225D4D">
        <w:t>. 258 S (2023–2024).</w:t>
      </w:r>
    </w:p>
    <w:p w14:paraId="7C487900" w14:textId="77777777" w:rsidR="00D60186" w:rsidRPr="00225D4D" w:rsidRDefault="00D60186" w:rsidP="00225D4D">
      <w:r w:rsidRPr="00225D4D">
        <w:t xml:space="preserve">Vedtaket er under behandling. Justis- og beredskapsdepartementet vil vurdere vedtaket i samband med arbeidet med oppfølginga av Totalberedskapsmeldinga og regjeringas nye Nasjonale </w:t>
      </w:r>
      <w:proofErr w:type="spellStart"/>
      <w:r w:rsidRPr="00225D4D">
        <w:t>tryggleiksstrategi</w:t>
      </w:r>
      <w:proofErr w:type="spellEnd"/>
      <w:r w:rsidRPr="00225D4D">
        <w:t xml:space="preserve">. Nasjonal </w:t>
      </w:r>
      <w:proofErr w:type="spellStart"/>
      <w:r w:rsidRPr="00225D4D">
        <w:t>tryggleiksstrategi</w:t>
      </w:r>
      <w:proofErr w:type="spellEnd"/>
      <w:r w:rsidRPr="00225D4D">
        <w:t xml:space="preserve"> slår bl.a. fast at vi må ha god matvareberedskap og </w:t>
      </w:r>
      <w:proofErr w:type="gramStart"/>
      <w:r w:rsidRPr="00225D4D">
        <w:t>trygg mat- og vann</w:t>
      </w:r>
      <w:proofErr w:type="gramEnd"/>
      <w:r w:rsidRPr="00225D4D">
        <w:t xml:space="preserve"> forsyning.</w:t>
      </w:r>
    </w:p>
    <w:p w14:paraId="0356E5B2" w14:textId="77777777" w:rsidR="00D60186" w:rsidRPr="00225D4D" w:rsidRDefault="00D60186" w:rsidP="00225D4D">
      <w:pPr>
        <w:pStyle w:val="avsnitt-tittel"/>
      </w:pPr>
      <w:r w:rsidRPr="00225D4D">
        <w:t xml:space="preserve">Utgreiing av forslag til lovfesting av kommunale </w:t>
      </w:r>
      <w:proofErr w:type="spellStart"/>
      <w:r w:rsidRPr="00225D4D">
        <w:t>handlingsplanar</w:t>
      </w:r>
      <w:proofErr w:type="spellEnd"/>
    </w:p>
    <w:p w14:paraId="37B69855" w14:textId="77777777" w:rsidR="00D60186" w:rsidRPr="00225D4D" w:rsidRDefault="00D60186" w:rsidP="00225D4D">
      <w:pPr>
        <w:pStyle w:val="avsnitt-undertittel"/>
      </w:pPr>
      <w:r w:rsidRPr="00225D4D">
        <w:t>Vedtak nr. 613, 7. mai 2024</w:t>
      </w:r>
    </w:p>
    <w:p w14:paraId="72FED755" w14:textId="77777777" w:rsidR="00D60186" w:rsidRPr="00225D4D" w:rsidRDefault="00D60186" w:rsidP="00225D4D">
      <w:pPr>
        <w:pStyle w:val="blokksit"/>
        <w:rPr>
          <w:rStyle w:val="kursiv"/>
        </w:rPr>
      </w:pPr>
      <w:r w:rsidRPr="00225D4D">
        <w:rPr>
          <w:rStyle w:val="kursiv"/>
        </w:rPr>
        <w:t>«Stortinget ber regjeringen utrede forslag til lovfesting av kommunale handlingsplaner mot vold i nære relasjoner og sende lovforslag på høring innen våren 2025.»</w:t>
      </w:r>
    </w:p>
    <w:p w14:paraId="3597CBA5" w14:textId="77777777" w:rsidR="00D60186" w:rsidRPr="00225D4D" w:rsidRDefault="00D60186" w:rsidP="00225D4D">
      <w:r w:rsidRPr="00225D4D">
        <w:t xml:space="preserve">Dokumenta som ligg til grunn for vedtaket, er 36 S (2023–2024) og </w:t>
      </w:r>
      <w:proofErr w:type="spellStart"/>
      <w:r w:rsidRPr="00225D4D">
        <w:t>Innst</w:t>
      </w:r>
      <w:proofErr w:type="spellEnd"/>
      <w:r w:rsidRPr="00225D4D">
        <w:t xml:space="preserve">. 259 S (2023–2024) </w:t>
      </w:r>
      <w:proofErr w:type="spellStart"/>
      <w:r w:rsidRPr="00225D4D">
        <w:t>frå</w:t>
      </w:r>
      <w:proofErr w:type="spellEnd"/>
      <w:r w:rsidRPr="00225D4D">
        <w:t xml:space="preserve"> justiskomiteen.</w:t>
      </w:r>
    </w:p>
    <w:p w14:paraId="1B6C44D9" w14:textId="77777777" w:rsidR="00D60186" w:rsidRPr="00225D4D" w:rsidRDefault="00D60186" w:rsidP="00225D4D">
      <w:r w:rsidRPr="00225D4D">
        <w:t xml:space="preserve">Vedtaket er under behandling. Ei tverrdepartemental arbeidsgruppe under leiing av Justis- og beredskapsdepartementet, med </w:t>
      </w:r>
      <w:proofErr w:type="spellStart"/>
      <w:r w:rsidRPr="00225D4D">
        <w:t>representantar</w:t>
      </w:r>
      <w:proofErr w:type="spellEnd"/>
      <w:r w:rsidRPr="00225D4D">
        <w:t xml:space="preserve"> </w:t>
      </w:r>
      <w:proofErr w:type="spellStart"/>
      <w:r w:rsidRPr="00225D4D">
        <w:t>frå</w:t>
      </w:r>
      <w:proofErr w:type="spellEnd"/>
      <w:r w:rsidRPr="00225D4D">
        <w:t xml:space="preserve"> Arbeids- og inkluderingsdepartementet, Barne- og familiedepartementet, Helse- og omsorgsdepartementet og Kommunal- og </w:t>
      </w:r>
      <w:proofErr w:type="spellStart"/>
      <w:r w:rsidRPr="00225D4D">
        <w:t>distriktsdepartementet</w:t>
      </w:r>
      <w:proofErr w:type="spellEnd"/>
      <w:r w:rsidRPr="00225D4D">
        <w:t xml:space="preserve">, har </w:t>
      </w:r>
      <w:proofErr w:type="spellStart"/>
      <w:r w:rsidRPr="00225D4D">
        <w:t>følgt</w:t>
      </w:r>
      <w:proofErr w:type="spellEnd"/>
      <w:r w:rsidRPr="00225D4D">
        <w:t xml:space="preserve"> opp oppmodingsvedtaket og greidd ut lovfesting av kommunale </w:t>
      </w:r>
      <w:proofErr w:type="spellStart"/>
      <w:r w:rsidRPr="00225D4D">
        <w:t>handlingsplanar</w:t>
      </w:r>
      <w:proofErr w:type="spellEnd"/>
      <w:r w:rsidRPr="00225D4D">
        <w:t xml:space="preserve">. Utgreiinga, med tilråding, </w:t>
      </w:r>
      <w:proofErr w:type="spellStart"/>
      <w:r w:rsidRPr="00225D4D">
        <w:t>vart</w:t>
      </w:r>
      <w:proofErr w:type="spellEnd"/>
      <w:r w:rsidRPr="00225D4D">
        <w:t xml:space="preserve"> ferdigstilt </w:t>
      </w:r>
      <w:proofErr w:type="spellStart"/>
      <w:r w:rsidRPr="00225D4D">
        <w:t>sommaren</w:t>
      </w:r>
      <w:proofErr w:type="spellEnd"/>
      <w:r w:rsidRPr="00225D4D">
        <w:t xml:space="preserve"> 2025.</w:t>
      </w:r>
    </w:p>
    <w:p w14:paraId="2399EC62" w14:textId="77777777" w:rsidR="00D60186" w:rsidRPr="00225D4D" w:rsidRDefault="00D60186" w:rsidP="00225D4D">
      <w:pPr>
        <w:pStyle w:val="avsnitt-tittel"/>
      </w:pPr>
      <w:r w:rsidRPr="00225D4D">
        <w:t>Utvide målgruppa for barnehusa</w:t>
      </w:r>
    </w:p>
    <w:p w14:paraId="630E443D" w14:textId="77777777" w:rsidR="00D60186" w:rsidRPr="00225D4D" w:rsidRDefault="00D60186" w:rsidP="00225D4D">
      <w:pPr>
        <w:pStyle w:val="avsnitt-undertittel"/>
      </w:pPr>
      <w:r w:rsidRPr="00225D4D">
        <w:t>Vedtak nr. 616, 7. mai 2024</w:t>
      </w:r>
    </w:p>
    <w:p w14:paraId="355CD3CB" w14:textId="77777777" w:rsidR="00D60186" w:rsidRPr="00225D4D" w:rsidRDefault="00D60186" w:rsidP="00225D4D">
      <w:pPr>
        <w:pStyle w:val="blokksit"/>
        <w:rPr>
          <w:rStyle w:val="kursiv"/>
        </w:rPr>
      </w:pPr>
      <w:r w:rsidRPr="00225D4D">
        <w:rPr>
          <w:rStyle w:val="kursiv"/>
        </w:rPr>
        <w:t>«Stortinget ber regjeringen i løpet av planperioden (2024–2028) utvide målgruppen for barnehusene til å gjelde mistenkte barn, innenfor de lovbruddstyper som gjelder for utsatte.»</w:t>
      </w:r>
    </w:p>
    <w:p w14:paraId="4535E159"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36 S (2023–2024) og </w:t>
      </w:r>
      <w:proofErr w:type="spellStart"/>
      <w:r w:rsidRPr="00225D4D">
        <w:t>Innst</w:t>
      </w:r>
      <w:proofErr w:type="spellEnd"/>
      <w:r w:rsidRPr="00225D4D">
        <w:t xml:space="preserve">. 259 S (2023–2024) </w:t>
      </w:r>
      <w:proofErr w:type="spellStart"/>
      <w:r w:rsidRPr="00225D4D">
        <w:t>frå</w:t>
      </w:r>
      <w:proofErr w:type="spellEnd"/>
      <w:r w:rsidRPr="00225D4D">
        <w:t xml:space="preserve"> justiskomiteen.</w:t>
      </w:r>
    </w:p>
    <w:p w14:paraId="3F12DB90" w14:textId="77777777" w:rsidR="00D60186" w:rsidRPr="00225D4D" w:rsidRDefault="00D60186" w:rsidP="00225D4D">
      <w:r w:rsidRPr="00225D4D">
        <w:t xml:space="preserve">Vedtaket er under behandling. </w:t>
      </w:r>
      <w:proofErr w:type="spellStart"/>
      <w:r w:rsidRPr="00225D4D">
        <w:t>Frå</w:t>
      </w:r>
      <w:proofErr w:type="spellEnd"/>
      <w:r w:rsidRPr="00225D4D">
        <w:t xml:space="preserve"> 2024 er målgruppa for barnehusa utvida slik at mistenkte under 16 år i saker som </w:t>
      </w:r>
      <w:proofErr w:type="spellStart"/>
      <w:r w:rsidRPr="00225D4D">
        <w:t>gjeld</w:t>
      </w:r>
      <w:proofErr w:type="spellEnd"/>
      <w:r w:rsidRPr="00225D4D">
        <w:t xml:space="preserve"> seksuelle overgrep, er omfatta òg. Med utgangspunkt i </w:t>
      </w:r>
      <w:proofErr w:type="spellStart"/>
      <w:r w:rsidRPr="00225D4D">
        <w:t>erfaringane</w:t>
      </w:r>
      <w:proofErr w:type="spellEnd"/>
      <w:r w:rsidRPr="00225D4D">
        <w:t xml:space="preserve"> som blir innhenta, vil regjeringa </w:t>
      </w:r>
      <w:proofErr w:type="spellStart"/>
      <w:r w:rsidRPr="00225D4D">
        <w:t>planleggje</w:t>
      </w:r>
      <w:proofErr w:type="spellEnd"/>
      <w:r w:rsidRPr="00225D4D">
        <w:t xml:space="preserve"> for ei utviding av målgruppa slik at ho </w:t>
      </w:r>
      <w:proofErr w:type="spellStart"/>
      <w:r w:rsidRPr="00225D4D">
        <w:t>omfattar</w:t>
      </w:r>
      <w:proofErr w:type="spellEnd"/>
      <w:r w:rsidRPr="00225D4D">
        <w:t xml:space="preserve"> mindreårige som er mistenkte for </w:t>
      </w:r>
      <w:proofErr w:type="spellStart"/>
      <w:r w:rsidRPr="00225D4D">
        <w:t>dei</w:t>
      </w:r>
      <w:proofErr w:type="spellEnd"/>
      <w:r w:rsidRPr="00225D4D">
        <w:t xml:space="preserve"> same </w:t>
      </w:r>
      <w:proofErr w:type="spellStart"/>
      <w:r w:rsidRPr="00225D4D">
        <w:t>typane</w:t>
      </w:r>
      <w:proofErr w:type="spellEnd"/>
      <w:r w:rsidRPr="00225D4D">
        <w:t xml:space="preserve"> </w:t>
      </w:r>
      <w:proofErr w:type="spellStart"/>
      <w:r w:rsidRPr="00225D4D">
        <w:t>lovbrot</w:t>
      </w:r>
      <w:proofErr w:type="spellEnd"/>
      <w:r w:rsidRPr="00225D4D">
        <w:t xml:space="preserve"> som </w:t>
      </w:r>
      <w:proofErr w:type="spellStart"/>
      <w:r w:rsidRPr="00225D4D">
        <w:t>gjeld</w:t>
      </w:r>
      <w:proofErr w:type="spellEnd"/>
      <w:r w:rsidRPr="00225D4D">
        <w:t xml:space="preserve"> for mindreårige fornærma i dag.</w:t>
      </w:r>
    </w:p>
    <w:p w14:paraId="517E010C" w14:textId="77777777" w:rsidR="00D60186" w:rsidRPr="00225D4D" w:rsidRDefault="00D60186" w:rsidP="00225D4D">
      <w:pPr>
        <w:pStyle w:val="avsnitt-tittel"/>
      </w:pPr>
      <w:r w:rsidRPr="00225D4D">
        <w:t>Forslag om å utvide målgruppa for barnehusa til barn mellom 16 og 18 år</w:t>
      </w:r>
    </w:p>
    <w:p w14:paraId="69FB0C1D" w14:textId="77777777" w:rsidR="00D60186" w:rsidRPr="00225D4D" w:rsidRDefault="00D60186" w:rsidP="00225D4D">
      <w:pPr>
        <w:pStyle w:val="avsnitt-undertittel"/>
      </w:pPr>
      <w:r w:rsidRPr="00225D4D">
        <w:t>Vedtak nr. 617, 7. mai 2024</w:t>
      </w:r>
    </w:p>
    <w:p w14:paraId="5F0C9DCF" w14:textId="77777777" w:rsidR="00D60186" w:rsidRPr="00225D4D" w:rsidRDefault="00D60186" w:rsidP="00225D4D">
      <w:pPr>
        <w:pStyle w:val="blokksit"/>
        <w:rPr>
          <w:rStyle w:val="kursiv"/>
        </w:rPr>
      </w:pPr>
      <w:r w:rsidRPr="00225D4D">
        <w:rPr>
          <w:rStyle w:val="kursiv"/>
        </w:rPr>
        <w:t>«Stortinget ber regjeringen i løpet av første halvdel av planperioden (2024–2028) utrede og komme tilbake til Stortinget med et forslag om å utvide målgruppen for barnehusene, slik at også barn mellom 16 og 18 år kan få tilrettelagte avhør på lik linje med andre barn».</w:t>
      </w:r>
    </w:p>
    <w:p w14:paraId="020EEFE9" w14:textId="77777777" w:rsidR="00D60186" w:rsidRPr="00225D4D" w:rsidRDefault="00D60186" w:rsidP="00225D4D">
      <w:r w:rsidRPr="00225D4D">
        <w:t xml:space="preserve">Dokumenta som ligg til grunn for vedtaket, er 36 S (2023–2024) og </w:t>
      </w:r>
      <w:proofErr w:type="spellStart"/>
      <w:r w:rsidRPr="00225D4D">
        <w:t>Innst</w:t>
      </w:r>
      <w:proofErr w:type="spellEnd"/>
      <w:r w:rsidRPr="00225D4D">
        <w:t xml:space="preserve">. 259 S (2023–2024) (2023–2024) </w:t>
      </w:r>
      <w:proofErr w:type="spellStart"/>
      <w:r w:rsidRPr="00225D4D">
        <w:t>frå</w:t>
      </w:r>
      <w:proofErr w:type="spellEnd"/>
      <w:r w:rsidRPr="00225D4D">
        <w:t xml:space="preserve"> justiskomiteen.</w:t>
      </w:r>
    </w:p>
    <w:p w14:paraId="12166BBB" w14:textId="77777777" w:rsidR="00D60186" w:rsidRPr="00225D4D" w:rsidRDefault="00D60186" w:rsidP="00225D4D">
      <w:r w:rsidRPr="00225D4D">
        <w:t xml:space="preserve">Vedtaket krev ei </w:t>
      </w:r>
      <w:proofErr w:type="spellStart"/>
      <w:r w:rsidRPr="00225D4D">
        <w:t>nærmare</w:t>
      </w:r>
      <w:proofErr w:type="spellEnd"/>
      <w:r w:rsidRPr="00225D4D">
        <w:t xml:space="preserve"> utgreiing som førebels </w:t>
      </w:r>
      <w:proofErr w:type="spellStart"/>
      <w:r w:rsidRPr="00225D4D">
        <w:t>ikkje</w:t>
      </w:r>
      <w:proofErr w:type="spellEnd"/>
      <w:r w:rsidRPr="00225D4D">
        <w:t xml:space="preserve"> er igangsett. Det må bl.a. </w:t>
      </w:r>
      <w:proofErr w:type="spellStart"/>
      <w:r w:rsidRPr="00225D4D">
        <w:t>greiast</w:t>
      </w:r>
      <w:proofErr w:type="spellEnd"/>
      <w:r w:rsidRPr="00225D4D">
        <w:t xml:space="preserve"> ut om ei utviding av målgruppa for tilrettelagt </w:t>
      </w:r>
      <w:proofErr w:type="spellStart"/>
      <w:r w:rsidRPr="00225D4D">
        <w:t>avhøyr</w:t>
      </w:r>
      <w:proofErr w:type="spellEnd"/>
      <w:r w:rsidRPr="00225D4D">
        <w:t xml:space="preserve"> vil </w:t>
      </w:r>
      <w:proofErr w:type="spellStart"/>
      <w:r w:rsidRPr="00225D4D">
        <w:t>innebere</w:t>
      </w:r>
      <w:proofErr w:type="spellEnd"/>
      <w:r w:rsidRPr="00225D4D">
        <w:t xml:space="preserve"> ei utviding av tilgangen til å forklare seg </w:t>
      </w:r>
      <w:proofErr w:type="spellStart"/>
      <w:r w:rsidRPr="00225D4D">
        <w:t>utanfor</w:t>
      </w:r>
      <w:proofErr w:type="spellEnd"/>
      <w:r w:rsidRPr="00225D4D">
        <w:t xml:space="preserve"> retten òg, </w:t>
      </w:r>
      <w:proofErr w:type="spellStart"/>
      <w:r w:rsidRPr="00225D4D">
        <w:t>sidan</w:t>
      </w:r>
      <w:proofErr w:type="spellEnd"/>
      <w:r w:rsidRPr="00225D4D">
        <w:t xml:space="preserve"> </w:t>
      </w:r>
      <w:proofErr w:type="spellStart"/>
      <w:r w:rsidRPr="00225D4D">
        <w:t>fleire</w:t>
      </w:r>
      <w:proofErr w:type="spellEnd"/>
      <w:r w:rsidRPr="00225D4D">
        <w:t xml:space="preserve"> då vil bli omfatta av føresegna om tilrettelagde </w:t>
      </w:r>
      <w:proofErr w:type="spellStart"/>
      <w:r w:rsidRPr="00225D4D">
        <w:t>avhøyr</w:t>
      </w:r>
      <w:proofErr w:type="spellEnd"/>
      <w:r w:rsidRPr="00225D4D">
        <w:t>.</w:t>
      </w:r>
    </w:p>
    <w:p w14:paraId="012F8D40" w14:textId="77777777" w:rsidR="00D60186" w:rsidRPr="00225D4D" w:rsidRDefault="00D60186" w:rsidP="00225D4D">
      <w:pPr>
        <w:pStyle w:val="avsnitt-tittel"/>
      </w:pPr>
      <w:r w:rsidRPr="00225D4D">
        <w:t xml:space="preserve">Gjennomgang av </w:t>
      </w:r>
      <w:proofErr w:type="spellStart"/>
      <w:r w:rsidRPr="00225D4D">
        <w:t>reglane</w:t>
      </w:r>
      <w:proofErr w:type="spellEnd"/>
      <w:r w:rsidRPr="00225D4D">
        <w:t xml:space="preserve"> for </w:t>
      </w:r>
      <w:proofErr w:type="spellStart"/>
      <w:r w:rsidRPr="00225D4D">
        <w:t>dødsstadsundersøkingar</w:t>
      </w:r>
      <w:proofErr w:type="spellEnd"/>
    </w:p>
    <w:p w14:paraId="184A9017" w14:textId="77777777" w:rsidR="00D60186" w:rsidRPr="00225D4D" w:rsidRDefault="00D60186" w:rsidP="00225D4D">
      <w:pPr>
        <w:pStyle w:val="avsnitt-undertittel"/>
      </w:pPr>
      <w:r w:rsidRPr="00225D4D">
        <w:t>Vedtak nr. 618, 7. mai 2024</w:t>
      </w:r>
    </w:p>
    <w:p w14:paraId="7F8692E7" w14:textId="77777777" w:rsidR="00D60186" w:rsidRPr="00225D4D" w:rsidRDefault="00D60186" w:rsidP="00225D4D">
      <w:pPr>
        <w:pStyle w:val="blokksit"/>
        <w:rPr>
          <w:rStyle w:val="kursiv"/>
        </w:rPr>
      </w:pPr>
      <w:r w:rsidRPr="00225D4D">
        <w:rPr>
          <w:rStyle w:val="kursiv"/>
        </w:rPr>
        <w:t>«Stortinget ber regjeringen gjennomgå reglene om dødsstedsundersøkelse når barn dør plutselig og uventet, og vurdere behovet for lovendringer.»</w:t>
      </w:r>
    </w:p>
    <w:p w14:paraId="68BE975F" w14:textId="77777777" w:rsidR="00D60186" w:rsidRPr="00225D4D" w:rsidRDefault="00D60186" w:rsidP="00225D4D">
      <w:r w:rsidRPr="00225D4D">
        <w:t xml:space="preserve">Dokumenta som ligg til grunn for vedtaket, er Dokument 36 S (2023–2024) og </w:t>
      </w:r>
      <w:proofErr w:type="spellStart"/>
      <w:r w:rsidRPr="00225D4D">
        <w:t>Innst</w:t>
      </w:r>
      <w:proofErr w:type="spellEnd"/>
      <w:r w:rsidRPr="00225D4D">
        <w:t xml:space="preserve">. 259 S (2023–2024) (2023–2024) </w:t>
      </w:r>
      <w:proofErr w:type="spellStart"/>
      <w:r w:rsidRPr="00225D4D">
        <w:t>frå</w:t>
      </w:r>
      <w:proofErr w:type="spellEnd"/>
      <w:r w:rsidRPr="00225D4D">
        <w:t xml:space="preserve"> justiskomiteen.</w:t>
      </w:r>
    </w:p>
    <w:p w14:paraId="72C20BDF" w14:textId="77777777" w:rsidR="00D60186" w:rsidRPr="00225D4D" w:rsidRDefault="00D60186" w:rsidP="00225D4D">
      <w:r w:rsidRPr="00225D4D">
        <w:t xml:space="preserve">Vedtaket er under behandling. I ei tolkingsfråsegn </w:t>
      </w:r>
      <w:proofErr w:type="spellStart"/>
      <w:r w:rsidRPr="00225D4D">
        <w:t>frå</w:t>
      </w:r>
      <w:proofErr w:type="spellEnd"/>
      <w:r w:rsidRPr="00225D4D">
        <w:t xml:space="preserve"> 2009 har Lovavdelinga gitt uttrykk for at det er </w:t>
      </w:r>
      <w:proofErr w:type="spellStart"/>
      <w:r w:rsidRPr="00225D4D">
        <w:t>tvilsamt</w:t>
      </w:r>
      <w:proofErr w:type="spellEnd"/>
      <w:r w:rsidRPr="00225D4D">
        <w:t xml:space="preserve"> om </w:t>
      </w:r>
      <w:proofErr w:type="spellStart"/>
      <w:r w:rsidRPr="00225D4D">
        <w:t>ein</w:t>
      </w:r>
      <w:proofErr w:type="spellEnd"/>
      <w:r w:rsidRPr="00225D4D">
        <w:t xml:space="preserve"> kan etablere ei ordning med obligatorisk dødsstadsundersøking </w:t>
      </w:r>
      <w:proofErr w:type="spellStart"/>
      <w:r w:rsidRPr="00225D4D">
        <w:t>innanfor</w:t>
      </w:r>
      <w:proofErr w:type="spellEnd"/>
      <w:r w:rsidRPr="00225D4D">
        <w:t xml:space="preserve"> ramma av Grunnlova § 102 (og EMK artikkel 8), men det er </w:t>
      </w:r>
      <w:proofErr w:type="spellStart"/>
      <w:r w:rsidRPr="00225D4D">
        <w:t>ikkje</w:t>
      </w:r>
      <w:proofErr w:type="spellEnd"/>
      <w:r w:rsidRPr="00225D4D">
        <w:t xml:space="preserve"> gjort ei full ny vurdering av dette spørsmålet. Det kan </w:t>
      </w:r>
      <w:proofErr w:type="spellStart"/>
      <w:r w:rsidRPr="00225D4D">
        <w:t>ikkje</w:t>
      </w:r>
      <w:proofErr w:type="spellEnd"/>
      <w:r w:rsidRPr="00225D4D">
        <w:t xml:space="preserve"> </w:t>
      </w:r>
      <w:proofErr w:type="spellStart"/>
      <w:r w:rsidRPr="00225D4D">
        <w:t>utelukkast</w:t>
      </w:r>
      <w:proofErr w:type="spellEnd"/>
      <w:r w:rsidRPr="00225D4D">
        <w:t xml:space="preserve"> at det kan </w:t>
      </w:r>
      <w:proofErr w:type="spellStart"/>
      <w:r w:rsidRPr="00225D4D">
        <w:t>vere</w:t>
      </w:r>
      <w:proofErr w:type="spellEnd"/>
      <w:r w:rsidRPr="00225D4D">
        <w:t xml:space="preserve"> rom for å gi </w:t>
      </w:r>
      <w:proofErr w:type="spellStart"/>
      <w:r w:rsidRPr="00225D4D">
        <w:t>reglar</w:t>
      </w:r>
      <w:proofErr w:type="spellEnd"/>
      <w:r w:rsidRPr="00225D4D">
        <w:t xml:space="preserve"> som </w:t>
      </w:r>
      <w:proofErr w:type="spellStart"/>
      <w:r w:rsidRPr="00225D4D">
        <w:t>opnar</w:t>
      </w:r>
      <w:proofErr w:type="spellEnd"/>
      <w:r w:rsidRPr="00225D4D">
        <w:t xml:space="preserve"> for dødsstadsundersøking i </w:t>
      </w:r>
      <w:proofErr w:type="spellStart"/>
      <w:r w:rsidRPr="00225D4D">
        <w:t>fleire</w:t>
      </w:r>
      <w:proofErr w:type="spellEnd"/>
      <w:r w:rsidRPr="00225D4D">
        <w:t xml:space="preserve"> tilfelle enn i dag, men det </w:t>
      </w:r>
      <w:proofErr w:type="spellStart"/>
      <w:r w:rsidRPr="00225D4D">
        <w:t>føreset</w:t>
      </w:r>
      <w:proofErr w:type="spellEnd"/>
      <w:r w:rsidRPr="00225D4D">
        <w:t xml:space="preserve"> </w:t>
      </w:r>
      <w:proofErr w:type="spellStart"/>
      <w:r w:rsidRPr="00225D4D">
        <w:t>krevjande</w:t>
      </w:r>
      <w:proofErr w:type="spellEnd"/>
      <w:r w:rsidRPr="00225D4D">
        <w:t xml:space="preserve"> </w:t>
      </w:r>
      <w:proofErr w:type="spellStart"/>
      <w:r w:rsidRPr="00225D4D">
        <w:t>rettslege</w:t>
      </w:r>
      <w:proofErr w:type="spellEnd"/>
      <w:r w:rsidRPr="00225D4D">
        <w:t xml:space="preserve"> </w:t>
      </w:r>
      <w:proofErr w:type="spellStart"/>
      <w:r w:rsidRPr="00225D4D">
        <w:t>vurderingar</w:t>
      </w:r>
      <w:proofErr w:type="spellEnd"/>
      <w:r w:rsidRPr="00225D4D">
        <w:t>.</w:t>
      </w:r>
    </w:p>
    <w:p w14:paraId="194E6D97" w14:textId="77777777" w:rsidR="00D60186" w:rsidRPr="00225D4D" w:rsidRDefault="00D60186" w:rsidP="00225D4D">
      <w:r w:rsidRPr="00225D4D">
        <w:t xml:space="preserve">Før det eventuelt blir sett i gang </w:t>
      </w:r>
      <w:proofErr w:type="spellStart"/>
      <w:r w:rsidRPr="00225D4D">
        <w:t>nærmare</w:t>
      </w:r>
      <w:proofErr w:type="spellEnd"/>
      <w:r w:rsidRPr="00225D4D">
        <w:t xml:space="preserve"> </w:t>
      </w:r>
      <w:proofErr w:type="spellStart"/>
      <w:r w:rsidRPr="00225D4D">
        <w:t>vurderingar</w:t>
      </w:r>
      <w:proofErr w:type="spellEnd"/>
      <w:r w:rsidRPr="00225D4D">
        <w:t xml:space="preserve"> av det </w:t>
      </w:r>
      <w:proofErr w:type="spellStart"/>
      <w:r w:rsidRPr="00225D4D">
        <w:t>rettslege</w:t>
      </w:r>
      <w:proofErr w:type="spellEnd"/>
      <w:r w:rsidRPr="00225D4D">
        <w:t xml:space="preserve"> handlingsrommet, må behovet for obligatorisk dødsstadsundersøking, og korleis ei slik ordning bør </w:t>
      </w:r>
      <w:proofErr w:type="spellStart"/>
      <w:r w:rsidRPr="00225D4D">
        <w:t>avgrensast</w:t>
      </w:r>
      <w:proofErr w:type="spellEnd"/>
      <w:r w:rsidRPr="00225D4D">
        <w:t xml:space="preserve">, </w:t>
      </w:r>
      <w:proofErr w:type="spellStart"/>
      <w:r w:rsidRPr="00225D4D">
        <w:t>greiast</w:t>
      </w:r>
      <w:proofErr w:type="spellEnd"/>
      <w:r w:rsidRPr="00225D4D">
        <w:t xml:space="preserve"> ut.</w:t>
      </w:r>
    </w:p>
    <w:p w14:paraId="70CEEBD4" w14:textId="77777777" w:rsidR="00D60186" w:rsidRPr="00225D4D" w:rsidRDefault="00D60186" w:rsidP="00225D4D">
      <w:pPr>
        <w:pStyle w:val="avsnitt-tittel"/>
      </w:pPr>
      <w:proofErr w:type="spellStart"/>
      <w:r w:rsidRPr="00225D4D">
        <w:t>Endringar</w:t>
      </w:r>
      <w:proofErr w:type="spellEnd"/>
      <w:r w:rsidRPr="00225D4D">
        <w:t xml:space="preserve"> i politilova og </w:t>
      </w:r>
      <w:proofErr w:type="spellStart"/>
      <w:r w:rsidRPr="00225D4D">
        <w:t>vaktverksemdlova</w:t>
      </w:r>
      <w:proofErr w:type="spellEnd"/>
    </w:p>
    <w:p w14:paraId="4D3A2A23" w14:textId="77777777" w:rsidR="00D60186" w:rsidRPr="00225D4D" w:rsidRDefault="00D60186" w:rsidP="00225D4D">
      <w:pPr>
        <w:pStyle w:val="avsnitt-undertittel"/>
      </w:pPr>
      <w:r w:rsidRPr="00225D4D">
        <w:t>Vedtak nr. 634, 14. mai 2024</w:t>
      </w:r>
    </w:p>
    <w:p w14:paraId="4B6F5FF3" w14:textId="77777777" w:rsidR="00D60186" w:rsidRPr="00225D4D" w:rsidRDefault="00D60186" w:rsidP="00225D4D">
      <w:pPr>
        <w:pStyle w:val="blokksit"/>
        <w:rPr>
          <w:rStyle w:val="kursiv"/>
        </w:rPr>
      </w:pPr>
      <w:r w:rsidRPr="00225D4D">
        <w:rPr>
          <w:rStyle w:val="kursiv"/>
        </w:rPr>
        <w:t>«Stortinget ber regjeringen komme tilbake med nytt forslag til endringer i vaktvirksomhetsloven § 2. I arbeidet med et nytt forslag må berørte parter involveres, med hensikt å unngå negative følger for yrkesgrupper som jobber på lufthavner.»</w:t>
      </w:r>
    </w:p>
    <w:p w14:paraId="0AC0C1F3" w14:textId="77777777" w:rsidR="00D60186" w:rsidRPr="00225D4D" w:rsidRDefault="00D60186" w:rsidP="00225D4D">
      <w:r w:rsidRPr="00225D4D">
        <w:t xml:space="preserve">Dokumentet som ligg til grunn for vedtaket, er </w:t>
      </w:r>
      <w:proofErr w:type="spellStart"/>
      <w:r w:rsidRPr="00225D4D">
        <w:t>Prop</w:t>
      </w:r>
      <w:proofErr w:type="spellEnd"/>
      <w:r w:rsidRPr="00225D4D">
        <w:t xml:space="preserve">. 45 L (2023–2024) og </w:t>
      </w:r>
      <w:proofErr w:type="spellStart"/>
      <w:r w:rsidRPr="00225D4D">
        <w:t>Innst</w:t>
      </w:r>
      <w:proofErr w:type="spellEnd"/>
      <w:r w:rsidRPr="00225D4D">
        <w:t xml:space="preserve">. 275 L (2023–2024) </w:t>
      </w:r>
      <w:proofErr w:type="spellStart"/>
      <w:r w:rsidRPr="00225D4D">
        <w:t>frå</w:t>
      </w:r>
      <w:proofErr w:type="spellEnd"/>
      <w:r w:rsidRPr="00225D4D">
        <w:t xml:space="preserve"> kontroll- og konstitusjonskomiteen.</w:t>
      </w:r>
    </w:p>
    <w:p w14:paraId="1FDD447F" w14:textId="77777777" w:rsidR="00D60186" w:rsidRPr="00225D4D" w:rsidRDefault="00D60186" w:rsidP="00225D4D">
      <w:r w:rsidRPr="00225D4D">
        <w:t xml:space="preserve">Vedtaket er under behandling. Justis- og beredskapsdepartementet og Samferdselsdepartementet jobbar med forslag til </w:t>
      </w:r>
      <w:proofErr w:type="spellStart"/>
      <w:r w:rsidRPr="00225D4D">
        <w:t>endringar</w:t>
      </w:r>
      <w:proofErr w:type="spellEnd"/>
      <w:r w:rsidRPr="00225D4D">
        <w:t xml:space="preserve"> i verkeområdet til </w:t>
      </w:r>
      <w:proofErr w:type="spellStart"/>
      <w:r w:rsidRPr="00225D4D">
        <w:t>vaktverksemdlova</w:t>
      </w:r>
      <w:proofErr w:type="spellEnd"/>
      <w:r w:rsidRPr="00225D4D">
        <w:t xml:space="preserve"> og vil etter planen </w:t>
      </w:r>
      <w:proofErr w:type="spellStart"/>
      <w:r w:rsidRPr="00225D4D">
        <w:t>leggje</w:t>
      </w:r>
      <w:proofErr w:type="spellEnd"/>
      <w:r w:rsidRPr="00225D4D">
        <w:t xml:space="preserve"> fram </w:t>
      </w:r>
      <w:proofErr w:type="spellStart"/>
      <w:r w:rsidRPr="00225D4D">
        <w:t>ein</w:t>
      </w:r>
      <w:proofErr w:type="spellEnd"/>
      <w:r w:rsidRPr="00225D4D">
        <w:t xml:space="preserve"> ny lovproposisjon </w:t>
      </w:r>
      <w:proofErr w:type="spellStart"/>
      <w:r w:rsidRPr="00225D4D">
        <w:t>hausten</w:t>
      </w:r>
      <w:proofErr w:type="spellEnd"/>
      <w:r w:rsidRPr="00225D4D">
        <w:t xml:space="preserve"> 2025.</w:t>
      </w:r>
    </w:p>
    <w:p w14:paraId="06997EFA" w14:textId="77777777" w:rsidR="00D60186" w:rsidRPr="00225D4D" w:rsidRDefault="00D60186" w:rsidP="00225D4D">
      <w:pPr>
        <w:pStyle w:val="avsnitt-tittel"/>
      </w:pPr>
      <w:r w:rsidRPr="00225D4D">
        <w:t xml:space="preserve">Tiltak mot </w:t>
      </w:r>
      <w:proofErr w:type="spellStart"/>
      <w:r w:rsidRPr="00225D4D">
        <w:t>æreskriminalitet</w:t>
      </w:r>
      <w:proofErr w:type="spellEnd"/>
      <w:r w:rsidRPr="00225D4D">
        <w:t>, lik rett til skilsmisse</w:t>
      </w:r>
    </w:p>
    <w:p w14:paraId="49A8F132" w14:textId="77777777" w:rsidR="00D60186" w:rsidRPr="00225D4D" w:rsidRDefault="00D60186" w:rsidP="00225D4D">
      <w:pPr>
        <w:pStyle w:val="avsnitt-undertittel"/>
      </w:pPr>
      <w:r w:rsidRPr="00225D4D">
        <w:t>Vedtak nr. 658, 23. mai 2024</w:t>
      </w:r>
    </w:p>
    <w:p w14:paraId="7139E3BA" w14:textId="77777777" w:rsidR="00D60186" w:rsidRPr="00225D4D" w:rsidRDefault="00D60186" w:rsidP="00225D4D">
      <w:pPr>
        <w:pStyle w:val="blokksit"/>
        <w:rPr>
          <w:rStyle w:val="kursiv"/>
        </w:rPr>
      </w:pPr>
      <w:r w:rsidRPr="00225D4D">
        <w:rPr>
          <w:rStyle w:val="kursiv"/>
        </w:rPr>
        <w:t>«Stortinget ber regjeringen komme tilbake til Stortinget med forslag om at det ved familiegjenforening stilles krav om erklæring om at ekteskapet er inngått av egen fri vilje og at man anerkjenner hverandres like rett til skilsmisse.»</w:t>
      </w:r>
    </w:p>
    <w:p w14:paraId="54E24B3C" w14:textId="77777777" w:rsidR="00D60186" w:rsidRPr="00225D4D" w:rsidRDefault="00D60186" w:rsidP="00225D4D">
      <w:r w:rsidRPr="00225D4D">
        <w:t xml:space="preserve">Dokumenta som ligg til grunn for vedtaket, er Dokument 8: 96 S (2023–2024) og </w:t>
      </w:r>
      <w:proofErr w:type="spellStart"/>
      <w:r w:rsidRPr="00225D4D">
        <w:t>Innst</w:t>
      </w:r>
      <w:proofErr w:type="spellEnd"/>
      <w:r w:rsidRPr="00225D4D">
        <w:t xml:space="preserve">. 320 S (2023–2024) </w:t>
      </w:r>
      <w:proofErr w:type="spellStart"/>
      <w:r w:rsidRPr="00225D4D">
        <w:t>frå</w:t>
      </w:r>
      <w:proofErr w:type="spellEnd"/>
      <w:r w:rsidRPr="00225D4D">
        <w:t xml:space="preserve"> justiskomiteen.</w:t>
      </w:r>
    </w:p>
    <w:p w14:paraId="086D0F99" w14:textId="77777777" w:rsidR="00D60186" w:rsidRPr="00225D4D" w:rsidRDefault="00D60186" w:rsidP="00225D4D">
      <w:r w:rsidRPr="00225D4D">
        <w:t>Vedtaket er under behandling.</w:t>
      </w:r>
    </w:p>
    <w:p w14:paraId="5AFC090B" w14:textId="77777777" w:rsidR="00D60186" w:rsidRPr="00225D4D" w:rsidRDefault="00D60186" w:rsidP="00225D4D">
      <w:pPr>
        <w:pStyle w:val="avsnitt-tittel"/>
      </w:pPr>
      <w:r w:rsidRPr="00225D4D">
        <w:t xml:space="preserve">Organisering av </w:t>
      </w:r>
      <w:proofErr w:type="spellStart"/>
      <w:r w:rsidRPr="00225D4D">
        <w:t>advokatverksemd</w:t>
      </w:r>
      <w:proofErr w:type="spellEnd"/>
    </w:p>
    <w:p w14:paraId="11F3C823" w14:textId="77777777" w:rsidR="00D60186" w:rsidRPr="00225D4D" w:rsidRDefault="00D60186" w:rsidP="00225D4D">
      <w:pPr>
        <w:pStyle w:val="avsnitt-undertittel"/>
      </w:pPr>
      <w:r w:rsidRPr="00225D4D">
        <w:t>Vedtak nr. 719, 6. juni 2024</w:t>
      </w:r>
    </w:p>
    <w:p w14:paraId="505191B9" w14:textId="77777777" w:rsidR="00D60186" w:rsidRPr="00225D4D" w:rsidRDefault="00D60186" w:rsidP="00225D4D">
      <w:pPr>
        <w:pStyle w:val="blokksit"/>
        <w:rPr>
          <w:rStyle w:val="kursiv"/>
        </w:rPr>
      </w:pPr>
      <w:r w:rsidRPr="00225D4D">
        <w:rPr>
          <w:rStyle w:val="kursiv"/>
        </w:rPr>
        <w:t xml:space="preserve">«Stortinget ber regjeringen forskriftsfeste at forsikringsadvokater kan utøve advokatvirksomhet som en del av </w:t>
      </w:r>
      <w:proofErr w:type="spellStart"/>
      <w:r w:rsidRPr="00225D4D">
        <w:rPr>
          <w:rStyle w:val="kursiv"/>
        </w:rPr>
        <w:t>rettshjelpforsikringen</w:t>
      </w:r>
      <w:proofErr w:type="spellEnd"/>
      <w:r w:rsidRPr="00225D4D">
        <w:rPr>
          <w:rStyle w:val="kursiv"/>
        </w:rPr>
        <w:t xml:space="preserve"> i tråd med forslag til ny forskrift § 9 som tidligere foreslått i høring.»</w:t>
      </w:r>
    </w:p>
    <w:p w14:paraId="64504A16"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61 L (2023–2024) </w:t>
      </w:r>
      <w:r w:rsidRPr="00225D4D">
        <w:rPr>
          <w:rStyle w:val="kursiv"/>
        </w:rPr>
        <w:t>Lov om endringer i advokatloven mv. (overgangsregler mv.)</w:t>
      </w:r>
      <w:r w:rsidRPr="00225D4D">
        <w:t xml:space="preserve">, </w:t>
      </w:r>
      <w:proofErr w:type="spellStart"/>
      <w:r w:rsidRPr="00225D4D">
        <w:t>Innst</w:t>
      </w:r>
      <w:proofErr w:type="spellEnd"/>
      <w:r w:rsidRPr="00225D4D">
        <w:t>. 392 L (2023–2024) og Lovvedtak 84 (2023–2024).</w:t>
      </w:r>
    </w:p>
    <w:p w14:paraId="77370CB3" w14:textId="77777777" w:rsidR="00D60186" w:rsidRPr="00225D4D" w:rsidRDefault="00D60186" w:rsidP="00225D4D">
      <w:r w:rsidRPr="00225D4D">
        <w:t xml:space="preserve">Vedtaket er under behandling. Ny </w:t>
      </w:r>
      <w:proofErr w:type="spellStart"/>
      <w:r w:rsidRPr="00225D4D">
        <w:t>advokatlov</w:t>
      </w:r>
      <w:proofErr w:type="spellEnd"/>
      <w:r w:rsidRPr="00225D4D">
        <w:t xml:space="preserve">, ny advokatforskrift og </w:t>
      </w:r>
      <w:proofErr w:type="spellStart"/>
      <w:r w:rsidRPr="00225D4D">
        <w:t>overgangsreglar</w:t>
      </w:r>
      <w:proofErr w:type="spellEnd"/>
      <w:r w:rsidRPr="00225D4D">
        <w:t xml:space="preserve">, </w:t>
      </w:r>
      <w:proofErr w:type="spellStart"/>
      <w:r w:rsidRPr="00225D4D">
        <w:t>irekna</w:t>
      </w:r>
      <w:proofErr w:type="spellEnd"/>
      <w:r w:rsidRPr="00225D4D">
        <w:t xml:space="preserve"> for </w:t>
      </w:r>
      <w:proofErr w:type="spellStart"/>
      <w:r w:rsidRPr="00225D4D">
        <w:t>internadvokatar</w:t>
      </w:r>
      <w:proofErr w:type="spellEnd"/>
      <w:r w:rsidRPr="00225D4D">
        <w:t xml:space="preserve"> (bl.a. </w:t>
      </w:r>
      <w:proofErr w:type="spellStart"/>
      <w:r w:rsidRPr="00225D4D">
        <w:t>forsikringsadvokatar</w:t>
      </w:r>
      <w:proofErr w:type="spellEnd"/>
      <w:r w:rsidRPr="00225D4D">
        <w:t xml:space="preserve">), har tredd i kraft. Oppfølginga av oppmodingsvedtaket krev at </w:t>
      </w:r>
      <w:proofErr w:type="spellStart"/>
      <w:r w:rsidRPr="00225D4D">
        <w:t>ein</w:t>
      </w:r>
      <w:proofErr w:type="spellEnd"/>
      <w:r w:rsidRPr="00225D4D">
        <w:t xml:space="preserve"> vurderer </w:t>
      </w:r>
      <w:proofErr w:type="spellStart"/>
      <w:r w:rsidRPr="00225D4D">
        <w:t>endringane</w:t>
      </w:r>
      <w:proofErr w:type="spellEnd"/>
      <w:r w:rsidRPr="00225D4D">
        <w:t xml:space="preserve"> i lov og forskrift. Vurderinga er </w:t>
      </w:r>
      <w:proofErr w:type="spellStart"/>
      <w:r w:rsidRPr="00225D4D">
        <w:t>påbyrja</w:t>
      </w:r>
      <w:proofErr w:type="spellEnd"/>
      <w:r w:rsidRPr="00225D4D">
        <w:t xml:space="preserve">. Oppmodingsvedtaket blir </w:t>
      </w:r>
      <w:proofErr w:type="spellStart"/>
      <w:r w:rsidRPr="00225D4D">
        <w:t>følgt</w:t>
      </w:r>
      <w:proofErr w:type="spellEnd"/>
      <w:r w:rsidRPr="00225D4D">
        <w:t xml:space="preserve"> opp så raskt som </w:t>
      </w:r>
      <w:proofErr w:type="spellStart"/>
      <w:r w:rsidRPr="00225D4D">
        <w:t>mogleg</w:t>
      </w:r>
      <w:proofErr w:type="spellEnd"/>
      <w:r w:rsidRPr="00225D4D">
        <w:t xml:space="preserve">, og i god tid før overgangsregelen i advokatlova § 73 </w:t>
      </w:r>
      <w:proofErr w:type="spellStart"/>
      <w:r w:rsidRPr="00225D4D">
        <w:t>trettande</w:t>
      </w:r>
      <w:proofErr w:type="spellEnd"/>
      <w:r w:rsidRPr="00225D4D">
        <w:t xml:space="preserve"> ledd løper ut.</w:t>
      </w:r>
    </w:p>
    <w:p w14:paraId="15EF1FA6" w14:textId="77777777" w:rsidR="00D60186" w:rsidRPr="00225D4D" w:rsidRDefault="00D60186" w:rsidP="00225D4D">
      <w:pPr>
        <w:pStyle w:val="avsnitt-tittel"/>
      </w:pPr>
      <w:r w:rsidRPr="00225D4D">
        <w:t>Evaluering av valdserstatningslova</w:t>
      </w:r>
    </w:p>
    <w:p w14:paraId="119DD715" w14:textId="77777777" w:rsidR="00D60186" w:rsidRPr="00225D4D" w:rsidRDefault="00D60186" w:rsidP="00225D4D">
      <w:pPr>
        <w:pStyle w:val="avsnitt-undertittel"/>
      </w:pPr>
      <w:r w:rsidRPr="00225D4D">
        <w:t>Vedtak nr. 723, 6. juni 2024</w:t>
      </w:r>
    </w:p>
    <w:p w14:paraId="6F5107CF" w14:textId="77777777" w:rsidR="00D60186" w:rsidRPr="00225D4D" w:rsidRDefault="00D60186" w:rsidP="00225D4D">
      <w:pPr>
        <w:pStyle w:val="blokksit"/>
        <w:rPr>
          <w:rStyle w:val="kursiv"/>
        </w:rPr>
      </w:pPr>
      <w:r w:rsidRPr="00225D4D">
        <w:rPr>
          <w:rStyle w:val="kursiv"/>
        </w:rPr>
        <w:t>«Stortinget ber regjeringen evaluere ny voldserstatningslov to år etter ikrafttredelse.»</w:t>
      </w:r>
    </w:p>
    <w:p w14:paraId="12A57F79" w14:textId="77777777" w:rsidR="00D60186" w:rsidRPr="00225D4D" w:rsidRDefault="00D60186" w:rsidP="00225D4D">
      <w:r w:rsidRPr="00225D4D">
        <w:t xml:space="preserve">Dokumenta som ligg til grunn for vedtaket, er Dokument 8:123 S (2023–2024) og </w:t>
      </w:r>
      <w:proofErr w:type="spellStart"/>
      <w:r w:rsidRPr="00225D4D">
        <w:t>Innst</w:t>
      </w:r>
      <w:proofErr w:type="spellEnd"/>
      <w:r w:rsidRPr="00225D4D">
        <w:t xml:space="preserve">. 415 S (2023–2024) </w:t>
      </w:r>
      <w:proofErr w:type="spellStart"/>
      <w:r w:rsidRPr="00225D4D">
        <w:t>frå</w:t>
      </w:r>
      <w:proofErr w:type="spellEnd"/>
      <w:r w:rsidRPr="00225D4D">
        <w:t xml:space="preserve"> justiskomiteen.</w:t>
      </w:r>
    </w:p>
    <w:p w14:paraId="7217EE64" w14:textId="77777777" w:rsidR="00D60186" w:rsidRPr="00225D4D" w:rsidRDefault="00D60186" w:rsidP="00225D4D">
      <w:r w:rsidRPr="00225D4D">
        <w:t xml:space="preserve">Vedtaket er </w:t>
      </w:r>
      <w:proofErr w:type="spellStart"/>
      <w:r w:rsidRPr="00225D4D">
        <w:t>følgt</w:t>
      </w:r>
      <w:proofErr w:type="spellEnd"/>
      <w:r w:rsidRPr="00225D4D">
        <w:t xml:space="preserve"> opp. Oppdraget med å evaluere lova </w:t>
      </w:r>
      <w:proofErr w:type="spellStart"/>
      <w:r w:rsidRPr="00225D4D">
        <w:t>vart</w:t>
      </w:r>
      <w:proofErr w:type="spellEnd"/>
      <w:r w:rsidRPr="00225D4D">
        <w:t xml:space="preserve"> tildelt i januar 2025, og evalueringa er i rute. Den </w:t>
      </w:r>
      <w:proofErr w:type="spellStart"/>
      <w:r w:rsidRPr="00225D4D">
        <w:t>endelege</w:t>
      </w:r>
      <w:proofErr w:type="spellEnd"/>
      <w:r w:rsidRPr="00225D4D">
        <w:t xml:space="preserve"> rapporten blir levert i juni 2026.</w:t>
      </w:r>
    </w:p>
    <w:p w14:paraId="1B215D54" w14:textId="77777777" w:rsidR="00D60186" w:rsidRPr="00225D4D" w:rsidRDefault="00D60186" w:rsidP="00225D4D">
      <w:pPr>
        <w:pStyle w:val="avsnitt-tittel"/>
      </w:pPr>
      <w:r w:rsidRPr="00225D4D">
        <w:t>Fri rettshjelp til offer for lønnstjuveri</w:t>
      </w:r>
    </w:p>
    <w:p w14:paraId="6A0621AD" w14:textId="77777777" w:rsidR="00D60186" w:rsidRPr="00225D4D" w:rsidRDefault="00D60186" w:rsidP="00225D4D">
      <w:pPr>
        <w:pStyle w:val="avsnitt-undertittel"/>
      </w:pPr>
      <w:r w:rsidRPr="00225D4D">
        <w:t>Vedtak nr. 727, 6. juni 2024</w:t>
      </w:r>
    </w:p>
    <w:p w14:paraId="0846D29A" w14:textId="77777777" w:rsidR="00D60186" w:rsidRPr="00225D4D" w:rsidRDefault="00D60186" w:rsidP="00225D4D">
      <w:pPr>
        <w:pStyle w:val="blokksit"/>
        <w:rPr>
          <w:rStyle w:val="kursiv"/>
        </w:rPr>
      </w:pPr>
      <w:r w:rsidRPr="00225D4D">
        <w:rPr>
          <w:rStyle w:val="kursiv"/>
        </w:rPr>
        <w:t>«Stortinget ber regjeringen utrede hvordan den juridiske hjelpen til ofre for lønnstyveri kan styrkes, herunder om den bør innlemmes i ordningene med fri rettshjelp eller rettsråd, og komme tilbake til Stortinget innen statsbudsjettet for 2025.»</w:t>
      </w:r>
    </w:p>
    <w:p w14:paraId="200A0EE0" w14:textId="77777777" w:rsidR="00D60186" w:rsidRPr="00225D4D" w:rsidRDefault="00D60186" w:rsidP="00225D4D">
      <w:r w:rsidRPr="00225D4D">
        <w:t xml:space="preserve">Dokumenta som ligg til grunn for vedtaket, er Dokument 8:142 S (2023–2024) og </w:t>
      </w:r>
      <w:proofErr w:type="spellStart"/>
      <w:r w:rsidRPr="00225D4D">
        <w:t>Innst</w:t>
      </w:r>
      <w:proofErr w:type="spellEnd"/>
      <w:r w:rsidRPr="00225D4D">
        <w:t xml:space="preserve">. 376 S (2023–2024) </w:t>
      </w:r>
      <w:proofErr w:type="spellStart"/>
      <w:r w:rsidRPr="00225D4D">
        <w:t>frå</w:t>
      </w:r>
      <w:proofErr w:type="spellEnd"/>
      <w:r w:rsidRPr="00225D4D">
        <w:t xml:space="preserve"> justiskomiteen.</w:t>
      </w:r>
    </w:p>
    <w:p w14:paraId="3CE9724E"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jf. </w:t>
      </w:r>
      <w:proofErr w:type="spellStart"/>
      <w:r w:rsidRPr="00225D4D">
        <w:t>Prop</w:t>
      </w:r>
      <w:proofErr w:type="spellEnd"/>
      <w:r w:rsidRPr="00225D4D">
        <w:t xml:space="preserve">. 103 L (2024–2025), </w:t>
      </w:r>
      <w:proofErr w:type="spellStart"/>
      <w:r w:rsidRPr="00225D4D">
        <w:t>Innst</w:t>
      </w:r>
      <w:proofErr w:type="spellEnd"/>
      <w:r w:rsidRPr="00225D4D">
        <w:t xml:space="preserve">. 468 L (2024–2025) og Lovvedtak 114 (2024–2025). Lovvedtaket </w:t>
      </w:r>
      <w:proofErr w:type="spellStart"/>
      <w:r w:rsidRPr="00225D4D">
        <w:t>inneber</w:t>
      </w:r>
      <w:proofErr w:type="spellEnd"/>
      <w:r w:rsidRPr="00225D4D">
        <w:t xml:space="preserve"> at </w:t>
      </w:r>
      <w:proofErr w:type="spellStart"/>
      <w:r w:rsidRPr="00225D4D">
        <w:t>innkrevjing</w:t>
      </w:r>
      <w:proofErr w:type="spellEnd"/>
      <w:r w:rsidRPr="00225D4D">
        <w:t xml:space="preserve"> av lønn blir </w:t>
      </w:r>
      <w:proofErr w:type="spellStart"/>
      <w:r w:rsidRPr="00225D4D">
        <w:t>ein</w:t>
      </w:r>
      <w:proofErr w:type="spellEnd"/>
      <w:r w:rsidRPr="00225D4D">
        <w:t xml:space="preserve"> prioritert sakstype på rettsrådsstadiet. Tidspunktet for i </w:t>
      </w:r>
      <w:proofErr w:type="spellStart"/>
      <w:r w:rsidRPr="00225D4D">
        <w:t>kraftsetjing</w:t>
      </w:r>
      <w:proofErr w:type="spellEnd"/>
      <w:r w:rsidRPr="00225D4D">
        <w:t xml:space="preserve"> avhenger av at det blir løyvd </w:t>
      </w:r>
      <w:proofErr w:type="spellStart"/>
      <w:r w:rsidRPr="00225D4D">
        <w:t>midlar</w:t>
      </w:r>
      <w:proofErr w:type="spellEnd"/>
      <w:r w:rsidRPr="00225D4D">
        <w:t xml:space="preserve"> til formålet.</w:t>
      </w:r>
    </w:p>
    <w:p w14:paraId="62D2E663" w14:textId="77777777" w:rsidR="00D60186" w:rsidRPr="00225D4D" w:rsidRDefault="00D60186" w:rsidP="00225D4D">
      <w:pPr>
        <w:pStyle w:val="avsnitt-tittel"/>
      </w:pPr>
      <w:r w:rsidRPr="00225D4D">
        <w:t xml:space="preserve">Førehandsdeklarering av inn- og utførsel av </w:t>
      </w:r>
      <w:proofErr w:type="spellStart"/>
      <w:r w:rsidRPr="00225D4D">
        <w:t>kontantar</w:t>
      </w:r>
      <w:proofErr w:type="spellEnd"/>
    </w:p>
    <w:p w14:paraId="4FDD4BD1" w14:textId="77777777" w:rsidR="00D60186" w:rsidRPr="00225D4D" w:rsidRDefault="00D60186" w:rsidP="00225D4D">
      <w:pPr>
        <w:pStyle w:val="avsnitt-undertittel"/>
      </w:pPr>
      <w:r w:rsidRPr="00225D4D">
        <w:t>Vedtak nr. 753, dato 12. juni 2024</w:t>
      </w:r>
    </w:p>
    <w:p w14:paraId="77B26152" w14:textId="77777777" w:rsidR="00D60186" w:rsidRPr="00225D4D" w:rsidRDefault="00D60186" w:rsidP="00225D4D">
      <w:pPr>
        <w:pStyle w:val="blokksit"/>
        <w:rPr>
          <w:rStyle w:val="kursiv"/>
        </w:rPr>
      </w:pPr>
      <w:r w:rsidRPr="00225D4D">
        <w:rPr>
          <w:rStyle w:val="kursiv"/>
        </w:rPr>
        <w:t>«Stortinget ber regjeringen stille krav om elektronisk forhåndsdeklarering av større pengeverdier som skal fraktes inn og ut av landet, samt innføre krav om å opplyse om pengenes opprinnelse, og komme tilbake til Stortinget om dette innen revidert nasjonalbudsjett for 2025.»</w:t>
      </w:r>
    </w:p>
    <w:p w14:paraId="114C832C" w14:textId="77777777" w:rsidR="00D60186" w:rsidRPr="00225D4D" w:rsidRDefault="00D60186" w:rsidP="00225D4D">
      <w:r w:rsidRPr="00225D4D">
        <w:t xml:space="preserve">Dokumenta som ligg til grunn for vedtaket, er Meld. St. 15 (2023–2024) og </w:t>
      </w:r>
      <w:proofErr w:type="spellStart"/>
      <w:r w:rsidRPr="00225D4D">
        <w:t>Innst</w:t>
      </w:r>
      <w:proofErr w:type="spellEnd"/>
      <w:r w:rsidRPr="00225D4D">
        <w:t xml:space="preserve">. 412 S (2023–2024) </w:t>
      </w:r>
      <w:proofErr w:type="spellStart"/>
      <w:r w:rsidRPr="00225D4D">
        <w:t>frå</w:t>
      </w:r>
      <w:proofErr w:type="spellEnd"/>
      <w:r w:rsidRPr="00225D4D">
        <w:t xml:space="preserve"> justiskomiteen.</w:t>
      </w:r>
    </w:p>
    <w:p w14:paraId="3F50F68B" w14:textId="77777777" w:rsidR="00D60186" w:rsidRPr="00225D4D" w:rsidRDefault="00D60186" w:rsidP="00225D4D">
      <w:r w:rsidRPr="00225D4D">
        <w:t xml:space="preserve">Vedtaket er under behandling. Justis- og beredskapsdepartementet vil i samråd med Finansdepartementet gi </w:t>
      </w:r>
      <w:proofErr w:type="spellStart"/>
      <w:r w:rsidRPr="00225D4D">
        <w:t>eit</w:t>
      </w:r>
      <w:proofErr w:type="spellEnd"/>
      <w:r w:rsidRPr="00225D4D">
        <w:t xml:space="preserve"> oppdrag til relevante </w:t>
      </w:r>
      <w:proofErr w:type="spellStart"/>
      <w:r w:rsidRPr="00225D4D">
        <w:t>etatar</w:t>
      </w:r>
      <w:proofErr w:type="spellEnd"/>
      <w:r w:rsidRPr="00225D4D">
        <w:t xml:space="preserve"> i løpet av </w:t>
      </w:r>
      <w:proofErr w:type="spellStart"/>
      <w:r w:rsidRPr="00225D4D">
        <w:t>hausten</w:t>
      </w:r>
      <w:proofErr w:type="spellEnd"/>
      <w:r w:rsidRPr="00225D4D">
        <w:t xml:space="preserve"> 2025.</w:t>
      </w:r>
    </w:p>
    <w:p w14:paraId="200EF7E2" w14:textId="77777777" w:rsidR="00D60186" w:rsidRPr="00225D4D" w:rsidRDefault="00D60186" w:rsidP="00225D4D">
      <w:pPr>
        <w:pStyle w:val="avsnitt-tittel"/>
      </w:pPr>
      <w:r w:rsidRPr="00225D4D">
        <w:t xml:space="preserve">Opprette nytt </w:t>
      </w:r>
      <w:proofErr w:type="spellStart"/>
      <w:r w:rsidRPr="00225D4D">
        <w:t>politirolleutval</w:t>
      </w:r>
      <w:proofErr w:type="spellEnd"/>
    </w:p>
    <w:p w14:paraId="79485438" w14:textId="77777777" w:rsidR="00D60186" w:rsidRPr="00225D4D" w:rsidRDefault="00D60186" w:rsidP="00225D4D">
      <w:pPr>
        <w:pStyle w:val="avsnitt-undertittel"/>
      </w:pPr>
      <w:r w:rsidRPr="00225D4D">
        <w:t>Vedtak nr. 754, 12. juni 2024</w:t>
      </w:r>
    </w:p>
    <w:p w14:paraId="66D3CE3F" w14:textId="77777777" w:rsidR="00D60186" w:rsidRPr="00225D4D" w:rsidRDefault="00D60186" w:rsidP="00225D4D">
      <w:pPr>
        <w:pStyle w:val="blokksit"/>
        <w:rPr>
          <w:rStyle w:val="kursiv"/>
        </w:rPr>
      </w:pPr>
      <w:r w:rsidRPr="00225D4D">
        <w:rPr>
          <w:rStyle w:val="kursiv"/>
        </w:rPr>
        <w:t>«Stortinget ber regjeringen opprette et nytt politirolleutvalg hvor målet er en bred politisk forankring av hva politiets rolle er og skal være fremover, og hvilke oppgaver politiet skal utføre og eventuelt fritas for.»</w:t>
      </w:r>
    </w:p>
    <w:p w14:paraId="669C21EC" w14:textId="77777777" w:rsidR="00D60186" w:rsidRPr="00225D4D" w:rsidRDefault="00D60186" w:rsidP="00225D4D">
      <w:r w:rsidRPr="00225D4D">
        <w:t xml:space="preserve">Dokumenta som ligg til grunn for vedtaket, er Meld. St. 15 (2023–2024) og </w:t>
      </w:r>
      <w:proofErr w:type="spellStart"/>
      <w:r w:rsidRPr="00225D4D">
        <w:t>Innst</w:t>
      </w:r>
      <w:proofErr w:type="spellEnd"/>
      <w:r w:rsidRPr="00225D4D">
        <w:t xml:space="preserve">. 412 S (2023–2024) </w:t>
      </w:r>
      <w:proofErr w:type="spellStart"/>
      <w:r w:rsidRPr="00225D4D">
        <w:t>frå</w:t>
      </w:r>
      <w:proofErr w:type="spellEnd"/>
      <w:r w:rsidRPr="00225D4D">
        <w:t xml:space="preserve"> justiskomiteen.</w:t>
      </w:r>
    </w:p>
    <w:p w14:paraId="0ECE4F2D" w14:textId="77777777" w:rsidR="00D60186" w:rsidRPr="00225D4D" w:rsidRDefault="00D60186" w:rsidP="00225D4D">
      <w:r w:rsidRPr="00225D4D">
        <w:t xml:space="preserve">Vedtaket er </w:t>
      </w:r>
      <w:proofErr w:type="spellStart"/>
      <w:r w:rsidRPr="00225D4D">
        <w:t>følgt</w:t>
      </w:r>
      <w:proofErr w:type="spellEnd"/>
      <w:r w:rsidRPr="00225D4D">
        <w:t xml:space="preserve"> opp. Den 24. juni 2025 sette regjeringa ned </w:t>
      </w:r>
      <w:proofErr w:type="spellStart"/>
      <w:r w:rsidRPr="00225D4D">
        <w:t>eit</w:t>
      </w:r>
      <w:proofErr w:type="spellEnd"/>
      <w:r w:rsidRPr="00225D4D">
        <w:t xml:space="preserve"> </w:t>
      </w:r>
      <w:proofErr w:type="spellStart"/>
      <w:r w:rsidRPr="00225D4D">
        <w:t>utval</w:t>
      </w:r>
      <w:proofErr w:type="spellEnd"/>
      <w:r w:rsidRPr="00225D4D">
        <w:t xml:space="preserve"> som skal bidra til å definere og </w:t>
      </w:r>
      <w:proofErr w:type="spellStart"/>
      <w:r w:rsidRPr="00225D4D">
        <w:t>tydeleggjere</w:t>
      </w:r>
      <w:proofErr w:type="spellEnd"/>
      <w:r w:rsidRPr="00225D4D">
        <w:t xml:space="preserve"> politirolla. Sjå elles omtale under kategori 06.40.</w:t>
      </w:r>
    </w:p>
    <w:p w14:paraId="1BC02F2B" w14:textId="77777777" w:rsidR="00D60186" w:rsidRPr="00225D4D" w:rsidRDefault="00D60186" w:rsidP="00225D4D">
      <w:pPr>
        <w:pStyle w:val="avsnitt-tittel"/>
      </w:pPr>
      <w:proofErr w:type="spellStart"/>
      <w:r w:rsidRPr="00225D4D">
        <w:t>Fleirårige</w:t>
      </w:r>
      <w:proofErr w:type="spellEnd"/>
      <w:r w:rsidRPr="00225D4D">
        <w:t xml:space="preserve"> planar for politiet</w:t>
      </w:r>
    </w:p>
    <w:p w14:paraId="36DE327A" w14:textId="77777777" w:rsidR="00D60186" w:rsidRPr="00225D4D" w:rsidRDefault="00D60186" w:rsidP="00225D4D">
      <w:pPr>
        <w:pStyle w:val="avsnitt-undertittel"/>
      </w:pPr>
      <w:r w:rsidRPr="00225D4D">
        <w:t>Vedtak nr. 755, 12. juni 2024</w:t>
      </w:r>
    </w:p>
    <w:p w14:paraId="05435275" w14:textId="77777777" w:rsidR="00D60186" w:rsidRPr="00225D4D" w:rsidRDefault="00D60186" w:rsidP="00225D4D">
      <w:pPr>
        <w:pStyle w:val="blokksit"/>
        <w:rPr>
          <w:rStyle w:val="kursiv"/>
        </w:rPr>
      </w:pPr>
      <w:r w:rsidRPr="00225D4D">
        <w:rPr>
          <w:rStyle w:val="kursiv"/>
        </w:rPr>
        <w:t>«Stortinget ber regjeringen legge til rette for flerårige planer for politiet og komme tilbake i statsbudsjettet for 2025 med forslag om hvordan dette skal gjennomføres.»</w:t>
      </w:r>
    </w:p>
    <w:p w14:paraId="02BF07B5" w14:textId="77777777" w:rsidR="00D60186" w:rsidRPr="00225D4D" w:rsidRDefault="00D60186" w:rsidP="00225D4D">
      <w:r w:rsidRPr="00225D4D">
        <w:t xml:space="preserve">Dokumenta som ligg til grunn for vedtaket, er Meld. St. 15 (2023–2024) og </w:t>
      </w:r>
      <w:proofErr w:type="spellStart"/>
      <w:r w:rsidRPr="00225D4D">
        <w:t>Innst</w:t>
      </w:r>
      <w:proofErr w:type="spellEnd"/>
      <w:r w:rsidRPr="00225D4D">
        <w:t xml:space="preserve">. 412 S (2023–2024) </w:t>
      </w:r>
      <w:proofErr w:type="spellStart"/>
      <w:r w:rsidRPr="00225D4D">
        <w:t>frå</w:t>
      </w:r>
      <w:proofErr w:type="spellEnd"/>
      <w:r w:rsidRPr="00225D4D">
        <w:t xml:space="preserve"> justiskomiteen.</w:t>
      </w:r>
    </w:p>
    <w:p w14:paraId="75975CE1" w14:textId="77777777" w:rsidR="00D60186" w:rsidRPr="00225D4D" w:rsidRDefault="00D60186" w:rsidP="00225D4D">
      <w:r w:rsidRPr="00225D4D">
        <w:t xml:space="preserve">Vedtaket er </w:t>
      </w:r>
      <w:proofErr w:type="spellStart"/>
      <w:r w:rsidRPr="00225D4D">
        <w:t>følgt</w:t>
      </w:r>
      <w:proofErr w:type="spellEnd"/>
      <w:r w:rsidRPr="00225D4D">
        <w:t xml:space="preserve"> opp. Regjeringa arbeider med å innføre </w:t>
      </w:r>
      <w:proofErr w:type="spellStart"/>
      <w:r w:rsidRPr="00225D4D">
        <w:t>langtidsplanar</w:t>
      </w:r>
      <w:proofErr w:type="spellEnd"/>
      <w:r w:rsidRPr="00225D4D">
        <w:t xml:space="preserve"> for politiet. Langtidsplanarbeidet er delt inn i to trinn. Regjeringa vil i første trinn prioritere tiltak for å få kontroll på den </w:t>
      </w:r>
      <w:proofErr w:type="spellStart"/>
      <w:r w:rsidRPr="00225D4D">
        <w:t>underliggjande</w:t>
      </w:r>
      <w:proofErr w:type="spellEnd"/>
      <w:r w:rsidRPr="00225D4D">
        <w:t xml:space="preserve"> utgiftsveksten og effektivisere drifta for å få ei </w:t>
      </w:r>
      <w:proofErr w:type="spellStart"/>
      <w:r w:rsidRPr="00225D4D">
        <w:t>berekraftig</w:t>
      </w:r>
      <w:proofErr w:type="spellEnd"/>
      <w:r w:rsidRPr="00225D4D">
        <w:t xml:space="preserve"> utvikling av politiet. For </w:t>
      </w:r>
      <w:proofErr w:type="gramStart"/>
      <w:r w:rsidRPr="00225D4D">
        <w:t>å sikra</w:t>
      </w:r>
      <w:proofErr w:type="gramEnd"/>
      <w:r w:rsidRPr="00225D4D">
        <w:t xml:space="preserve"> ei </w:t>
      </w:r>
      <w:proofErr w:type="spellStart"/>
      <w:r w:rsidRPr="00225D4D">
        <w:t>tydeleg</w:t>
      </w:r>
      <w:proofErr w:type="spellEnd"/>
      <w:r w:rsidRPr="00225D4D">
        <w:t xml:space="preserve"> retning i første del av langtidsplanarbeidet, er samfunnsmålet konkretisert i tre effektmål, </w:t>
      </w:r>
      <w:proofErr w:type="spellStart"/>
      <w:r w:rsidRPr="00225D4D">
        <w:t>høvesvis</w:t>
      </w:r>
      <w:proofErr w:type="spellEnd"/>
      <w:r w:rsidRPr="00225D4D">
        <w:t xml:space="preserve"> </w:t>
      </w:r>
      <w:proofErr w:type="spellStart"/>
      <w:r w:rsidRPr="00225D4D">
        <w:t>eit</w:t>
      </w:r>
      <w:proofErr w:type="spellEnd"/>
      <w:r w:rsidRPr="00225D4D">
        <w:t xml:space="preserve"> politi som har effektiv ressursutnytting, </w:t>
      </w:r>
      <w:proofErr w:type="spellStart"/>
      <w:r w:rsidRPr="00225D4D">
        <w:t>eit</w:t>
      </w:r>
      <w:proofErr w:type="spellEnd"/>
      <w:r w:rsidRPr="00225D4D">
        <w:t xml:space="preserve"> politi som har </w:t>
      </w:r>
      <w:proofErr w:type="spellStart"/>
      <w:r w:rsidRPr="00225D4D">
        <w:t>føreseielege</w:t>
      </w:r>
      <w:proofErr w:type="spellEnd"/>
      <w:r w:rsidRPr="00225D4D">
        <w:t xml:space="preserve"> rammevilkår som gir handlingsrom til utvikling, og </w:t>
      </w:r>
      <w:proofErr w:type="spellStart"/>
      <w:r w:rsidRPr="00225D4D">
        <w:t>eit</w:t>
      </w:r>
      <w:proofErr w:type="spellEnd"/>
      <w:r w:rsidRPr="00225D4D">
        <w:t xml:space="preserve"> politi som har </w:t>
      </w:r>
      <w:proofErr w:type="spellStart"/>
      <w:r w:rsidRPr="00225D4D">
        <w:t>ein</w:t>
      </w:r>
      <w:proofErr w:type="spellEnd"/>
      <w:r w:rsidRPr="00225D4D">
        <w:t xml:space="preserve"> </w:t>
      </w:r>
      <w:proofErr w:type="spellStart"/>
      <w:r w:rsidRPr="00225D4D">
        <w:t>oppgåveportefølje</w:t>
      </w:r>
      <w:proofErr w:type="spellEnd"/>
      <w:r w:rsidRPr="00225D4D">
        <w:t xml:space="preserve"> som </w:t>
      </w:r>
      <w:proofErr w:type="spellStart"/>
      <w:r w:rsidRPr="00225D4D">
        <w:t>støttar</w:t>
      </w:r>
      <w:proofErr w:type="spellEnd"/>
      <w:r w:rsidRPr="00225D4D">
        <w:t xml:space="preserve"> opp under samfunnsoppdraget. I trinn 2 av langtidsplanarbeidet er ambisjonen ei </w:t>
      </w:r>
      <w:proofErr w:type="spellStart"/>
      <w:r w:rsidRPr="00225D4D">
        <w:t>meir</w:t>
      </w:r>
      <w:proofErr w:type="spellEnd"/>
      <w:r w:rsidRPr="00225D4D">
        <w:t xml:space="preserve"> </w:t>
      </w:r>
      <w:proofErr w:type="spellStart"/>
      <w:r w:rsidRPr="00225D4D">
        <w:t>gjennomgripande</w:t>
      </w:r>
      <w:proofErr w:type="spellEnd"/>
      <w:r w:rsidRPr="00225D4D">
        <w:t xml:space="preserve"> endring i retning av ei </w:t>
      </w:r>
      <w:proofErr w:type="spellStart"/>
      <w:r w:rsidRPr="00225D4D">
        <w:t>meir</w:t>
      </w:r>
      <w:proofErr w:type="spellEnd"/>
      <w:r w:rsidRPr="00225D4D">
        <w:t xml:space="preserve"> kunnskapsbasert styring og utvikling av politisektoren. Her inngår politirolleutvalgets utgreiing, som vil </w:t>
      </w:r>
      <w:proofErr w:type="spellStart"/>
      <w:r w:rsidRPr="00225D4D">
        <w:t>leggje</w:t>
      </w:r>
      <w:proofErr w:type="spellEnd"/>
      <w:r w:rsidRPr="00225D4D">
        <w:t xml:space="preserve"> til rette for å behandle </w:t>
      </w:r>
      <w:proofErr w:type="spellStart"/>
      <w:r w:rsidRPr="00225D4D">
        <w:t>retningsval</w:t>
      </w:r>
      <w:proofErr w:type="spellEnd"/>
      <w:r w:rsidRPr="00225D4D">
        <w:t xml:space="preserve"> for politiet. Sjå elles omtale under kategori 06.40.</w:t>
      </w:r>
    </w:p>
    <w:p w14:paraId="4AD3116F" w14:textId="77777777" w:rsidR="00D60186" w:rsidRPr="00225D4D" w:rsidRDefault="00D60186" w:rsidP="00225D4D">
      <w:pPr>
        <w:pStyle w:val="avsnitt-tittel"/>
      </w:pPr>
      <w:r w:rsidRPr="00225D4D">
        <w:t xml:space="preserve">Utgreiing av søknadsplikt ved kjøp av visse </w:t>
      </w:r>
      <w:proofErr w:type="spellStart"/>
      <w:r w:rsidRPr="00225D4D">
        <w:t>eigedommar</w:t>
      </w:r>
      <w:proofErr w:type="spellEnd"/>
      <w:r w:rsidRPr="00225D4D">
        <w:t xml:space="preserve"> i </w:t>
      </w:r>
      <w:proofErr w:type="spellStart"/>
      <w:r w:rsidRPr="00225D4D">
        <w:t>Noreg</w:t>
      </w:r>
      <w:proofErr w:type="spellEnd"/>
    </w:p>
    <w:p w14:paraId="1E50BD3F" w14:textId="77777777" w:rsidR="00D60186" w:rsidRPr="00225D4D" w:rsidRDefault="00D60186" w:rsidP="00225D4D">
      <w:pPr>
        <w:pStyle w:val="avsnitt-undertittel"/>
      </w:pPr>
      <w:r w:rsidRPr="00225D4D">
        <w:t>Vedtak nr. 758, 12. juni 2024</w:t>
      </w:r>
    </w:p>
    <w:p w14:paraId="1A78DF46" w14:textId="77777777" w:rsidR="00D60186" w:rsidRPr="00225D4D" w:rsidRDefault="00D60186" w:rsidP="00225D4D">
      <w:pPr>
        <w:pStyle w:val="blokksit"/>
        <w:rPr>
          <w:rStyle w:val="kursiv"/>
        </w:rPr>
      </w:pPr>
      <w:r w:rsidRPr="00225D4D">
        <w:rPr>
          <w:rStyle w:val="kursiv"/>
        </w:rPr>
        <w:t>«Stortinget ber regjeringen utrede en plikt til å søke tillatelse til kjøp av visse eiendommer, herunder om det bør være begrensninger i hvem som kan kjøpe eiendom nær viktige militære installasjoner.»</w:t>
      </w:r>
    </w:p>
    <w:p w14:paraId="2A1A3B8D" w14:textId="77777777" w:rsidR="00D60186" w:rsidRPr="00225D4D" w:rsidRDefault="00D60186" w:rsidP="00225D4D">
      <w:r w:rsidRPr="00225D4D">
        <w:t xml:space="preserve">Dokumenta som ligg til grunn for vedtaket, er Meld. St. 15 (2023–2024) og </w:t>
      </w:r>
      <w:proofErr w:type="spellStart"/>
      <w:r w:rsidRPr="00225D4D">
        <w:t>Innst</w:t>
      </w:r>
      <w:proofErr w:type="spellEnd"/>
      <w:r w:rsidRPr="00225D4D">
        <w:t xml:space="preserve">. 412 S (2023–2024) </w:t>
      </w:r>
      <w:proofErr w:type="spellStart"/>
      <w:r w:rsidRPr="00225D4D">
        <w:t>frå</w:t>
      </w:r>
      <w:proofErr w:type="spellEnd"/>
      <w:r w:rsidRPr="00225D4D">
        <w:t xml:space="preserve"> justiskomiteen.</w:t>
      </w:r>
    </w:p>
    <w:p w14:paraId="4B6B4FC3" w14:textId="77777777" w:rsidR="00D60186" w:rsidRPr="00225D4D" w:rsidRDefault="00D60186" w:rsidP="00225D4D">
      <w:r w:rsidRPr="00225D4D">
        <w:t xml:space="preserve">Vedtaket er under behandling. I totalberedskapsmeldinga går det fram at regjeringa vil </w:t>
      </w:r>
      <w:proofErr w:type="spellStart"/>
      <w:r w:rsidRPr="00225D4D">
        <w:t>auke</w:t>
      </w:r>
      <w:proofErr w:type="spellEnd"/>
      <w:r w:rsidRPr="00225D4D">
        <w:t xml:space="preserve"> kontrollen med </w:t>
      </w:r>
      <w:proofErr w:type="spellStart"/>
      <w:r w:rsidRPr="00225D4D">
        <w:t>eigedom</w:t>
      </w:r>
      <w:proofErr w:type="spellEnd"/>
      <w:r w:rsidRPr="00225D4D">
        <w:t xml:space="preserve"> av omsyn til nasjonal tryggleik. Regjeringa vil greie ut pliktig </w:t>
      </w:r>
      <w:proofErr w:type="spellStart"/>
      <w:r w:rsidRPr="00225D4D">
        <w:t>eigarskapsregistrering</w:t>
      </w:r>
      <w:proofErr w:type="spellEnd"/>
      <w:r w:rsidRPr="00225D4D">
        <w:t xml:space="preserve"> for å oppnå </w:t>
      </w:r>
      <w:proofErr w:type="spellStart"/>
      <w:r w:rsidRPr="00225D4D">
        <w:t>tilstrekkeleg</w:t>
      </w:r>
      <w:proofErr w:type="spellEnd"/>
      <w:r w:rsidRPr="00225D4D">
        <w:t xml:space="preserve"> oversikt over og kontroll med </w:t>
      </w:r>
      <w:proofErr w:type="spellStart"/>
      <w:r w:rsidRPr="00225D4D">
        <w:t>eigarskap</w:t>
      </w:r>
      <w:proofErr w:type="spellEnd"/>
      <w:r w:rsidRPr="00225D4D">
        <w:t xml:space="preserve"> til fast </w:t>
      </w:r>
      <w:proofErr w:type="spellStart"/>
      <w:r w:rsidRPr="00225D4D">
        <w:t>eigedom</w:t>
      </w:r>
      <w:proofErr w:type="spellEnd"/>
      <w:r w:rsidRPr="00225D4D">
        <w:t xml:space="preserve">, og vil foreslå nødvendige </w:t>
      </w:r>
      <w:proofErr w:type="spellStart"/>
      <w:r w:rsidRPr="00225D4D">
        <w:t>regelendringar</w:t>
      </w:r>
      <w:proofErr w:type="spellEnd"/>
      <w:r w:rsidRPr="00225D4D">
        <w:t xml:space="preserve"> som </w:t>
      </w:r>
      <w:proofErr w:type="spellStart"/>
      <w:r w:rsidRPr="00225D4D">
        <w:t>sikrar</w:t>
      </w:r>
      <w:proofErr w:type="spellEnd"/>
      <w:r w:rsidRPr="00225D4D">
        <w:t xml:space="preserve"> </w:t>
      </w:r>
      <w:proofErr w:type="spellStart"/>
      <w:r w:rsidRPr="00225D4D">
        <w:t>ein</w:t>
      </w:r>
      <w:proofErr w:type="spellEnd"/>
      <w:r w:rsidRPr="00225D4D">
        <w:t xml:space="preserve"> godkjenningsmekanisme for kjøp av visse </w:t>
      </w:r>
      <w:proofErr w:type="spellStart"/>
      <w:r w:rsidRPr="00225D4D">
        <w:t>eigedommar</w:t>
      </w:r>
      <w:proofErr w:type="spellEnd"/>
      <w:r w:rsidRPr="00225D4D">
        <w:t xml:space="preserve">. Kartverket har gjennomført ei </w:t>
      </w:r>
      <w:proofErr w:type="spellStart"/>
      <w:r w:rsidRPr="00225D4D">
        <w:t>konseptvalutgreiing</w:t>
      </w:r>
      <w:proofErr w:type="spellEnd"/>
      <w:r w:rsidRPr="00225D4D">
        <w:t xml:space="preserve"> for pliktig </w:t>
      </w:r>
      <w:proofErr w:type="spellStart"/>
      <w:r w:rsidRPr="00225D4D">
        <w:t>eigarskapsregistrering</w:t>
      </w:r>
      <w:proofErr w:type="spellEnd"/>
      <w:r w:rsidRPr="00225D4D">
        <w:t xml:space="preserve">. Rapporten </w:t>
      </w:r>
      <w:proofErr w:type="spellStart"/>
      <w:r w:rsidRPr="00225D4D">
        <w:t>vart</w:t>
      </w:r>
      <w:proofErr w:type="spellEnd"/>
      <w:r w:rsidRPr="00225D4D">
        <w:t xml:space="preserve"> overlevert til kommunal- og </w:t>
      </w:r>
      <w:proofErr w:type="spellStart"/>
      <w:r w:rsidRPr="00225D4D">
        <w:t>distriktsministeren</w:t>
      </w:r>
      <w:proofErr w:type="spellEnd"/>
      <w:r w:rsidRPr="00225D4D">
        <w:t xml:space="preserve"> 19. juni 2025. Regjeringa arbeider med å finne ei </w:t>
      </w:r>
      <w:proofErr w:type="spellStart"/>
      <w:r w:rsidRPr="00225D4D">
        <w:t>formålstenleg</w:t>
      </w:r>
      <w:proofErr w:type="spellEnd"/>
      <w:r w:rsidRPr="00225D4D">
        <w:t xml:space="preserve"> innretning på </w:t>
      </w:r>
      <w:proofErr w:type="spellStart"/>
      <w:r w:rsidRPr="00225D4D">
        <w:t>ein</w:t>
      </w:r>
      <w:proofErr w:type="spellEnd"/>
      <w:r w:rsidRPr="00225D4D">
        <w:t xml:space="preserve"> godkjenningsmekanisme for kjøp av visse </w:t>
      </w:r>
      <w:proofErr w:type="spellStart"/>
      <w:r w:rsidRPr="00225D4D">
        <w:t>eigedommar</w:t>
      </w:r>
      <w:proofErr w:type="spellEnd"/>
      <w:r w:rsidRPr="00225D4D">
        <w:t>.</w:t>
      </w:r>
    </w:p>
    <w:p w14:paraId="6EDFC6E0" w14:textId="77777777" w:rsidR="00D60186" w:rsidRPr="00225D4D" w:rsidRDefault="00D60186" w:rsidP="00225D4D">
      <w:pPr>
        <w:pStyle w:val="avsnitt-tittel"/>
      </w:pPr>
      <w:r w:rsidRPr="00225D4D">
        <w:t xml:space="preserve">Nasjonal </w:t>
      </w:r>
      <w:proofErr w:type="spellStart"/>
      <w:r w:rsidRPr="00225D4D">
        <w:t>tryggleiksstrategi</w:t>
      </w:r>
      <w:proofErr w:type="spellEnd"/>
    </w:p>
    <w:p w14:paraId="19DD73D1" w14:textId="77777777" w:rsidR="00D60186" w:rsidRPr="00225D4D" w:rsidRDefault="00D60186" w:rsidP="00225D4D">
      <w:pPr>
        <w:pStyle w:val="avsnitt-undertittel"/>
      </w:pPr>
      <w:r w:rsidRPr="00225D4D">
        <w:t>Vedtak nr. 762, 12. juni 2024</w:t>
      </w:r>
    </w:p>
    <w:p w14:paraId="5FB0D6E4" w14:textId="77777777" w:rsidR="00D60186" w:rsidRPr="00225D4D" w:rsidRDefault="00D60186" w:rsidP="00225D4D">
      <w:pPr>
        <w:pStyle w:val="blokksit"/>
        <w:rPr>
          <w:rStyle w:val="kursiv"/>
        </w:rPr>
      </w:pPr>
      <w:r w:rsidRPr="00225D4D">
        <w:rPr>
          <w:rStyle w:val="kursiv"/>
        </w:rPr>
        <w:t>«Stortinget ber regjeringen utarbeide en nasjonal sikkerhetsstrategi.»</w:t>
      </w:r>
    </w:p>
    <w:p w14:paraId="1E30CAFD" w14:textId="77777777" w:rsidR="00D60186" w:rsidRPr="00225D4D" w:rsidRDefault="00D60186" w:rsidP="00225D4D">
      <w:r w:rsidRPr="00225D4D">
        <w:t xml:space="preserve">Dokumenta som ligg til grunn for vedtaket, er Dokument 8:124 S (2023–2024) og </w:t>
      </w:r>
      <w:proofErr w:type="spellStart"/>
      <w:r w:rsidRPr="00225D4D">
        <w:t>Innst</w:t>
      </w:r>
      <w:proofErr w:type="spellEnd"/>
      <w:r w:rsidRPr="00225D4D">
        <w:t>. 414 S (2023–2024).</w:t>
      </w:r>
    </w:p>
    <w:p w14:paraId="50E7FD70"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Den nasjonale </w:t>
      </w:r>
      <w:proofErr w:type="spellStart"/>
      <w:r w:rsidRPr="00225D4D">
        <w:t>tryggleiksstrategien</w:t>
      </w:r>
      <w:proofErr w:type="spellEnd"/>
      <w:r w:rsidRPr="00225D4D">
        <w:t xml:space="preserve"> </w:t>
      </w:r>
      <w:proofErr w:type="spellStart"/>
      <w:r w:rsidRPr="00225D4D">
        <w:t>vart</w:t>
      </w:r>
      <w:proofErr w:type="spellEnd"/>
      <w:r w:rsidRPr="00225D4D">
        <w:t xml:space="preserve"> lagt fram 8. mai 2025, som den første samla strategien for å styrke </w:t>
      </w:r>
      <w:proofErr w:type="spellStart"/>
      <w:r w:rsidRPr="00225D4D">
        <w:t>Noregs</w:t>
      </w:r>
      <w:proofErr w:type="spellEnd"/>
      <w:r w:rsidRPr="00225D4D">
        <w:t xml:space="preserve"> tryggleik. Strategien gjev </w:t>
      </w:r>
      <w:proofErr w:type="gramStart"/>
      <w:r w:rsidRPr="00225D4D">
        <w:t>ei oversikt</w:t>
      </w:r>
      <w:proofErr w:type="gramEnd"/>
      <w:r w:rsidRPr="00225D4D">
        <w:t xml:space="preserve"> over </w:t>
      </w:r>
      <w:proofErr w:type="spellStart"/>
      <w:r w:rsidRPr="00225D4D">
        <w:t>dei</w:t>
      </w:r>
      <w:proofErr w:type="spellEnd"/>
      <w:r w:rsidRPr="00225D4D">
        <w:t xml:space="preserve"> </w:t>
      </w:r>
      <w:proofErr w:type="spellStart"/>
      <w:r w:rsidRPr="00225D4D">
        <w:t>grunnleggjande</w:t>
      </w:r>
      <w:proofErr w:type="spellEnd"/>
      <w:r w:rsidRPr="00225D4D">
        <w:t xml:space="preserve"> tryggleiksinteressene til landet, vurderer den aktuelle </w:t>
      </w:r>
      <w:proofErr w:type="spellStart"/>
      <w:r w:rsidRPr="00225D4D">
        <w:t>tryggleikssituasjonen</w:t>
      </w:r>
      <w:proofErr w:type="spellEnd"/>
      <w:r w:rsidRPr="00225D4D">
        <w:t xml:space="preserve">, og </w:t>
      </w:r>
      <w:proofErr w:type="spellStart"/>
      <w:r w:rsidRPr="00225D4D">
        <w:t>peikar</w:t>
      </w:r>
      <w:proofErr w:type="spellEnd"/>
      <w:r w:rsidRPr="00225D4D">
        <w:t xml:space="preserve"> ut </w:t>
      </w:r>
      <w:proofErr w:type="spellStart"/>
      <w:r w:rsidRPr="00225D4D">
        <w:t>dei</w:t>
      </w:r>
      <w:proofErr w:type="spellEnd"/>
      <w:r w:rsidRPr="00225D4D">
        <w:t xml:space="preserve"> </w:t>
      </w:r>
      <w:proofErr w:type="spellStart"/>
      <w:r w:rsidRPr="00225D4D">
        <w:t>viktigaste</w:t>
      </w:r>
      <w:proofErr w:type="spellEnd"/>
      <w:r w:rsidRPr="00225D4D">
        <w:t xml:space="preserve"> strategiske </w:t>
      </w:r>
      <w:proofErr w:type="spellStart"/>
      <w:r w:rsidRPr="00225D4D">
        <w:t>prioriteringane</w:t>
      </w:r>
      <w:proofErr w:type="spellEnd"/>
      <w:r w:rsidRPr="00225D4D">
        <w:t xml:space="preserve"> framover.</w:t>
      </w:r>
    </w:p>
    <w:p w14:paraId="6EF28DFF" w14:textId="77777777" w:rsidR="00D60186" w:rsidRPr="00225D4D" w:rsidRDefault="00D60186" w:rsidP="00225D4D">
      <w:pPr>
        <w:pStyle w:val="avsnitt-tittel"/>
      </w:pPr>
      <w:proofErr w:type="spellStart"/>
      <w:r w:rsidRPr="00225D4D">
        <w:t>Forelding</w:t>
      </w:r>
      <w:proofErr w:type="spellEnd"/>
      <w:r w:rsidRPr="00225D4D">
        <w:t xml:space="preserve"> av krav som er under klagebehandling</w:t>
      </w:r>
    </w:p>
    <w:p w14:paraId="6A3E6772" w14:textId="77777777" w:rsidR="00D60186" w:rsidRPr="00225D4D" w:rsidRDefault="00D60186" w:rsidP="00225D4D">
      <w:pPr>
        <w:pStyle w:val="avsnitt-undertittel"/>
      </w:pPr>
      <w:r w:rsidRPr="00225D4D">
        <w:t>Vedtak nr. 766, 12. juni 2024</w:t>
      </w:r>
    </w:p>
    <w:p w14:paraId="77136B55" w14:textId="77777777" w:rsidR="00D60186" w:rsidRPr="00225D4D" w:rsidRDefault="00D60186" w:rsidP="00225D4D">
      <w:pPr>
        <w:pStyle w:val="blokksit"/>
        <w:rPr>
          <w:rStyle w:val="kursiv"/>
        </w:rPr>
      </w:pPr>
      <w:r w:rsidRPr="00225D4D">
        <w:rPr>
          <w:rStyle w:val="kursiv"/>
        </w:rPr>
        <w:t>«Stortinget ber regjeringen utrede og foreslå lovendringer for å sikre at foreldelsesfristen ikke begynner å løpe så lenge et krav er gjenstand for klagebehandling i forvaltningen eller gjenstand for klagebehandling hos privat motpart.»</w:t>
      </w:r>
    </w:p>
    <w:p w14:paraId="3F09A3CD" w14:textId="77777777" w:rsidR="00D60186" w:rsidRPr="00225D4D" w:rsidRDefault="00D60186" w:rsidP="00225D4D">
      <w:r w:rsidRPr="00225D4D">
        <w:t xml:space="preserve">Dokumenta som ligg til grunn for vedtaket, er Dokument 8:75 S (2023–2024) og </w:t>
      </w:r>
      <w:proofErr w:type="spellStart"/>
      <w:r w:rsidRPr="00225D4D">
        <w:t>Innst</w:t>
      </w:r>
      <w:proofErr w:type="spellEnd"/>
      <w:r w:rsidRPr="00225D4D">
        <w:t>. 418 S (2023–2024).</w:t>
      </w:r>
    </w:p>
    <w:p w14:paraId="6FDDB621" w14:textId="77777777" w:rsidR="00D60186" w:rsidRPr="00225D4D" w:rsidRDefault="00D60186" w:rsidP="00225D4D">
      <w:r w:rsidRPr="00225D4D">
        <w:t>Vedtaket er under behandling.</w:t>
      </w:r>
    </w:p>
    <w:p w14:paraId="27A0F4D8" w14:textId="77777777" w:rsidR="00D60186" w:rsidRPr="00225D4D" w:rsidRDefault="00D60186" w:rsidP="00225D4D">
      <w:pPr>
        <w:pStyle w:val="avsnitt-tittel"/>
      </w:pPr>
      <w:r w:rsidRPr="00225D4D">
        <w:t xml:space="preserve">Bevisførsel om opplysning som er </w:t>
      </w:r>
      <w:proofErr w:type="spellStart"/>
      <w:r w:rsidRPr="00225D4D">
        <w:t>underlagd</w:t>
      </w:r>
      <w:proofErr w:type="spellEnd"/>
      <w:r w:rsidRPr="00225D4D">
        <w:t xml:space="preserve"> teieplikt hos </w:t>
      </w:r>
      <w:proofErr w:type="spellStart"/>
      <w:r w:rsidRPr="00225D4D">
        <w:t>Sivilombodet</w:t>
      </w:r>
      <w:proofErr w:type="spellEnd"/>
    </w:p>
    <w:p w14:paraId="64DDC8D3" w14:textId="77777777" w:rsidR="00D60186" w:rsidRPr="00225D4D" w:rsidRDefault="00D60186" w:rsidP="00225D4D">
      <w:pPr>
        <w:pStyle w:val="avsnitt-undertittel"/>
      </w:pPr>
      <w:r w:rsidRPr="00225D4D">
        <w:t>Vedtak nr. 767, 12. juni 2024</w:t>
      </w:r>
    </w:p>
    <w:p w14:paraId="2B6E35FF" w14:textId="77777777" w:rsidR="00D60186" w:rsidRPr="00225D4D" w:rsidRDefault="00D60186" w:rsidP="00225D4D">
      <w:pPr>
        <w:pStyle w:val="blokksit"/>
        <w:rPr>
          <w:rStyle w:val="kursiv"/>
        </w:rPr>
      </w:pPr>
      <w:r w:rsidRPr="00225D4D">
        <w:rPr>
          <w:rStyle w:val="kursiv"/>
        </w:rPr>
        <w:t>«Stortinget ber regjeringen følge opp brev til Stortingets presidentskap fra Sivilombudet av 20.april 2023 om – Oppfølging av Dokument 21 (2020–2021) – bevisførsel om opplysning underlagt taushetsplikt hos Sivilombudet – og komme tilbake til Stortinget med et lovforslag som ivaretar intensjonen i brevet.»</w:t>
      </w:r>
    </w:p>
    <w:p w14:paraId="3E1A4E54" w14:textId="77777777" w:rsidR="00D60186" w:rsidRPr="00225D4D" w:rsidRDefault="00D60186" w:rsidP="00225D4D">
      <w:r w:rsidRPr="00225D4D">
        <w:t xml:space="preserve">Dokumenta som ligg til grunn for vedtaket er, Dokument 21 (2020–2021) og </w:t>
      </w:r>
      <w:proofErr w:type="spellStart"/>
      <w:r w:rsidRPr="00225D4D">
        <w:t>Innst</w:t>
      </w:r>
      <w:proofErr w:type="spellEnd"/>
      <w:r w:rsidRPr="00225D4D">
        <w:t>. 352 L (2023–2024).</w:t>
      </w:r>
    </w:p>
    <w:p w14:paraId="123BCC6D" w14:textId="77777777" w:rsidR="00D60186" w:rsidRPr="00225D4D" w:rsidRDefault="00D60186" w:rsidP="00225D4D">
      <w:r w:rsidRPr="00225D4D">
        <w:t>Vedtaket er under behandling.</w:t>
      </w:r>
    </w:p>
    <w:p w14:paraId="1B1E3842" w14:textId="77777777" w:rsidR="00D60186" w:rsidRPr="00225D4D" w:rsidRDefault="00D60186" w:rsidP="00225D4D">
      <w:pPr>
        <w:pStyle w:val="avsnitt-tittel"/>
      </w:pPr>
      <w:proofErr w:type="spellStart"/>
      <w:r w:rsidRPr="00225D4D">
        <w:t>Utanlandske</w:t>
      </w:r>
      <w:proofErr w:type="spellEnd"/>
      <w:r w:rsidRPr="00225D4D">
        <w:t xml:space="preserve"> kvinner som blir utsette for vald, </w:t>
      </w:r>
      <w:proofErr w:type="spellStart"/>
      <w:r w:rsidRPr="00225D4D">
        <w:t>vidare</w:t>
      </w:r>
      <w:proofErr w:type="spellEnd"/>
      <w:r w:rsidRPr="00225D4D">
        <w:t xml:space="preserve"> </w:t>
      </w:r>
      <w:proofErr w:type="spellStart"/>
      <w:r w:rsidRPr="00225D4D">
        <w:t>opphald</w:t>
      </w:r>
      <w:proofErr w:type="spellEnd"/>
    </w:p>
    <w:p w14:paraId="7160FA77" w14:textId="77777777" w:rsidR="00D60186" w:rsidRPr="00225D4D" w:rsidRDefault="00D60186" w:rsidP="00225D4D">
      <w:pPr>
        <w:pStyle w:val="avsnitt-undertittel"/>
      </w:pPr>
      <w:r w:rsidRPr="00225D4D">
        <w:t>Vedtak nr. 771, 12. juni 2024</w:t>
      </w:r>
    </w:p>
    <w:p w14:paraId="307593CE" w14:textId="77777777" w:rsidR="00D60186" w:rsidRPr="00225D4D" w:rsidRDefault="00D60186" w:rsidP="00225D4D">
      <w:pPr>
        <w:pStyle w:val="blokksit"/>
        <w:rPr>
          <w:rStyle w:val="kursiv"/>
        </w:rPr>
      </w:pPr>
      <w:r w:rsidRPr="00225D4D">
        <w:rPr>
          <w:rStyle w:val="kursiv"/>
        </w:rPr>
        <w:t xml:space="preserve">«Stortinget ber regjeringen komme tilbake til Stortinget med nødvendige endringsforslag </w:t>
      </w:r>
      <w:proofErr w:type="gramStart"/>
      <w:r w:rsidRPr="00225D4D">
        <w:rPr>
          <w:rStyle w:val="kursiv"/>
        </w:rPr>
        <w:t>vedrørende</w:t>
      </w:r>
      <w:proofErr w:type="gramEnd"/>
      <w:r w:rsidRPr="00225D4D">
        <w:rPr>
          <w:rStyle w:val="kursiv"/>
        </w:rPr>
        <w:t xml:space="preserve"> oppfølgingen av kvinner som utsettes for vold, men som ikke tør å be om hjelp av bekymring for å bli sendt til hjemlandet. Saken må inkludere en vurdering av utlendingsloven § 53 b, som i dag regulerer fortsatt opphold etter samlivsbrudd på bakgrunn av vold.»</w:t>
      </w:r>
    </w:p>
    <w:p w14:paraId="29B400F5"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99 L (2023–2024) </w:t>
      </w:r>
      <w:r w:rsidRPr="00225D4D">
        <w:rPr>
          <w:rStyle w:val="kursiv"/>
        </w:rPr>
        <w:t>Endringer i ekteskapsloven (forbud mot ekteskap mellom nære slektninger)</w:t>
      </w:r>
      <w:r w:rsidRPr="00225D4D">
        <w:t xml:space="preserve"> og </w:t>
      </w:r>
      <w:proofErr w:type="spellStart"/>
      <w:r w:rsidRPr="00225D4D">
        <w:t>Innst</w:t>
      </w:r>
      <w:proofErr w:type="spellEnd"/>
      <w:r w:rsidRPr="00225D4D">
        <w:t>. 427 L (2023–2024).</w:t>
      </w:r>
    </w:p>
    <w:p w14:paraId="7995768A" w14:textId="77777777" w:rsidR="00D60186" w:rsidRPr="00225D4D" w:rsidRDefault="00D60186" w:rsidP="00225D4D">
      <w:r w:rsidRPr="00225D4D">
        <w:t>Vedtaket er under behandling.</w:t>
      </w:r>
    </w:p>
    <w:p w14:paraId="75F18D88" w14:textId="77777777" w:rsidR="00D60186" w:rsidRPr="00225D4D" w:rsidRDefault="00D60186" w:rsidP="00225D4D">
      <w:pPr>
        <w:pStyle w:val="avsnitt-tittel"/>
      </w:pPr>
      <w:r w:rsidRPr="00225D4D">
        <w:t xml:space="preserve">Lov om </w:t>
      </w:r>
      <w:proofErr w:type="spellStart"/>
      <w:r w:rsidRPr="00225D4D">
        <w:t>forbrukarleige</w:t>
      </w:r>
      <w:proofErr w:type="spellEnd"/>
      <w:r w:rsidRPr="00225D4D">
        <w:t xml:space="preserve"> av ting</w:t>
      </w:r>
    </w:p>
    <w:p w14:paraId="4ECF8EEB" w14:textId="77777777" w:rsidR="00D60186" w:rsidRPr="00225D4D" w:rsidRDefault="00D60186" w:rsidP="00225D4D">
      <w:pPr>
        <w:pStyle w:val="avsnitt-undertittel"/>
      </w:pPr>
      <w:r w:rsidRPr="00225D4D">
        <w:t>Vedtak nr. 916, 21. juni 2024</w:t>
      </w:r>
    </w:p>
    <w:p w14:paraId="0BAAB899" w14:textId="77777777" w:rsidR="00D60186" w:rsidRPr="00225D4D" w:rsidRDefault="00D60186" w:rsidP="00225D4D">
      <w:pPr>
        <w:pStyle w:val="blokksit"/>
        <w:rPr>
          <w:rStyle w:val="kursiv"/>
        </w:rPr>
      </w:pPr>
      <w:r w:rsidRPr="00225D4D">
        <w:rPr>
          <w:rStyle w:val="kursiv"/>
        </w:rPr>
        <w:t>«Stortinget ber regjeringen utrede og komme tilbake til Stortinget i løpet av vårsesjonen 2026 med forslag om en forbrukerlovgivning for leie av ting, for å sikre et heldekkende forbrukervern for leie, leasing og delingstjenester.»</w:t>
      </w:r>
    </w:p>
    <w:p w14:paraId="2F787649" w14:textId="77777777" w:rsidR="00D60186" w:rsidRPr="00225D4D" w:rsidRDefault="00D60186" w:rsidP="00225D4D">
      <w:r w:rsidRPr="00225D4D">
        <w:t xml:space="preserve">Dokumenta som ligg til grunn for vedtaket, er Meld. St. 2 (2023–2024) og </w:t>
      </w:r>
      <w:proofErr w:type="spellStart"/>
      <w:r w:rsidRPr="00225D4D">
        <w:t>Innst</w:t>
      </w:r>
      <w:proofErr w:type="spellEnd"/>
      <w:r w:rsidRPr="00225D4D">
        <w:t>. 447 S (2023–2024).</w:t>
      </w:r>
    </w:p>
    <w:p w14:paraId="3B5EAAE8" w14:textId="77777777" w:rsidR="00D60186" w:rsidRPr="00225D4D" w:rsidRDefault="00D60186" w:rsidP="00225D4D">
      <w:r w:rsidRPr="00225D4D">
        <w:t>Vedtaket er under behandling.</w:t>
      </w:r>
    </w:p>
    <w:p w14:paraId="39CF5EB3" w14:textId="77777777" w:rsidR="00D60186" w:rsidRPr="00225D4D" w:rsidRDefault="00D60186" w:rsidP="00225D4D">
      <w:pPr>
        <w:pStyle w:val="Overskrift3"/>
      </w:pPr>
      <w:r w:rsidRPr="00225D4D">
        <w:t>Stortingssesjonen 2022–2023</w:t>
      </w:r>
    </w:p>
    <w:p w14:paraId="6370B964" w14:textId="77777777" w:rsidR="00D60186" w:rsidRPr="00225D4D" w:rsidRDefault="00D60186" w:rsidP="00225D4D">
      <w:pPr>
        <w:pStyle w:val="avsnitt-tittel"/>
      </w:pPr>
      <w:r w:rsidRPr="00225D4D">
        <w:t xml:space="preserve">Nasjonalt </w:t>
      </w:r>
      <w:proofErr w:type="spellStart"/>
      <w:r w:rsidRPr="00225D4D">
        <w:t>førebyggingsprogram</w:t>
      </w:r>
      <w:proofErr w:type="spellEnd"/>
      <w:r w:rsidRPr="00225D4D">
        <w:t xml:space="preserve"> mot </w:t>
      </w:r>
      <w:proofErr w:type="spellStart"/>
      <w:r w:rsidRPr="00225D4D">
        <w:t>partnarvald</w:t>
      </w:r>
      <w:proofErr w:type="spellEnd"/>
      <w:r w:rsidRPr="00225D4D">
        <w:t xml:space="preserve"> og </w:t>
      </w:r>
      <w:proofErr w:type="spellStart"/>
      <w:r w:rsidRPr="00225D4D">
        <w:t>partnardrap</w:t>
      </w:r>
      <w:proofErr w:type="spellEnd"/>
    </w:p>
    <w:p w14:paraId="76850C4A" w14:textId="77777777" w:rsidR="00D60186" w:rsidRPr="00225D4D" w:rsidRDefault="00D60186" w:rsidP="00225D4D">
      <w:pPr>
        <w:pStyle w:val="avsnitt-undertittel"/>
      </w:pPr>
      <w:r w:rsidRPr="00225D4D">
        <w:t>Vedtak nr. 132, 6. desember 2022</w:t>
      </w:r>
    </w:p>
    <w:p w14:paraId="6935605A" w14:textId="77777777" w:rsidR="00D60186" w:rsidRPr="00225D4D" w:rsidRDefault="00D60186" w:rsidP="00225D4D">
      <w:pPr>
        <w:pStyle w:val="blokksit"/>
        <w:rPr>
          <w:rStyle w:val="kursiv"/>
        </w:rPr>
      </w:pPr>
      <w:r w:rsidRPr="00225D4D">
        <w:rPr>
          <w:rStyle w:val="kursiv"/>
        </w:rPr>
        <w:t>«Stortinget ber regjeringen utarbeide et nasjonalt forebyggingsprogram for en samordnet innsats mot partnervold og partnerdrap.»</w:t>
      </w:r>
    </w:p>
    <w:p w14:paraId="3FBE4512" w14:textId="77777777" w:rsidR="00D60186" w:rsidRPr="00225D4D" w:rsidRDefault="00D60186" w:rsidP="00225D4D">
      <w:r w:rsidRPr="00225D4D">
        <w:t xml:space="preserve">Dokumenta som ligg til grunn for vedtaket, er Dokument 8:218 S (2021–2022) og </w:t>
      </w:r>
      <w:proofErr w:type="spellStart"/>
      <w:r w:rsidRPr="00225D4D">
        <w:t>Innst</w:t>
      </w:r>
      <w:proofErr w:type="spellEnd"/>
      <w:r w:rsidRPr="00225D4D">
        <w:t xml:space="preserve">. 64 S (2022–2023) </w:t>
      </w:r>
      <w:proofErr w:type="spellStart"/>
      <w:r w:rsidRPr="00225D4D">
        <w:t>frå</w:t>
      </w:r>
      <w:proofErr w:type="spellEnd"/>
      <w:r w:rsidRPr="00225D4D">
        <w:t xml:space="preserve"> justiskomiteen.</w:t>
      </w:r>
    </w:p>
    <w:p w14:paraId="016C9E5B" w14:textId="77777777" w:rsidR="00D60186" w:rsidRPr="00225D4D" w:rsidRDefault="00D60186" w:rsidP="00225D4D">
      <w:r w:rsidRPr="00225D4D">
        <w:t xml:space="preserve">Vedtaket er under behandling. Justis- og beredskapsdepartementet er i dialog med den nyetablerte </w:t>
      </w:r>
      <w:proofErr w:type="spellStart"/>
      <w:r w:rsidRPr="00225D4D">
        <w:t>direktoratsgruppa</w:t>
      </w:r>
      <w:proofErr w:type="spellEnd"/>
      <w:r w:rsidRPr="00225D4D">
        <w:t xml:space="preserve"> som følgjer arbeidet mot vald mot barn og vald i nære </w:t>
      </w:r>
      <w:proofErr w:type="spellStart"/>
      <w:r w:rsidRPr="00225D4D">
        <w:t>relasjonar</w:t>
      </w:r>
      <w:proofErr w:type="spellEnd"/>
      <w:r w:rsidRPr="00225D4D">
        <w:t xml:space="preserve"> for utforming av </w:t>
      </w:r>
      <w:proofErr w:type="spellStart"/>
      <w:r w:rsidRPr="00225D4D">
        <w:t>eit</w:t>
      </w:r>
      <w:proofErr w:type="spellEnd"/>
      <w:r w:rsidRPr="00225D4D">
        <w:t xml:space="preserve"> nasjonalt </w:t>
      </w:r>
      <w:proofErr w:type="spellStart"/>
      <w:r w:rsidRPr="00225D4D">
        <w:t>førebyggingsprogram</w:t>
      </w:r>
      <w:proofErr w:type="spellEnd"/>
      <w:r w:rsidRPr="00225D4D">
        <w:t xml:space="preserve">. Statens sivilrettsforvaltning (SRF), som har sekretariatsansvar for </w:t>
      </w:r>
      <w:proofErr w:type="spellStart"/>
      <w:r w:rsidRPr="00225D4D">
        <w:t>partnardrapskommisjonen</w:t>
      </w:r>
      <w:proofErr w:type="spellEnd"/>
      <w:r w:rsidRPr="00225D4D">
        <w:t xml:space="preserve">, </w:t>
      </w:r>
      <w:proofErr w:type="spellStart"/>
      <w:r w:rsidRPr="00225D4D">
        <w:t>deltek</w:t>
      </w:r>
      <w:proofErr w:type="spellEnd"/>
      <w:r w:rsidRPr="00225D4D">
        <w:t xml:space="preserve"> i </w:t>
      </w:r>
      <w:proofErr w:type="spellStart"/>
      <w:r w:rsidRPr="00225D4D">
        <w:t>direktoratsgruppa</w:t>
      </w:r>
      <w:proofErr w:type="spellEnd"/>
      <w:r w:rsidRPr="00225D4D">
        <w:t>.</w:t>
      </w:r>
    </w:p>
    <w:p w14:paraId="3F03C23B" w14:textId="77777777" w:rsidR="00D60186" w:rsidRPr="00225D4D" w:rsidRDefault="00D60186" w:rsidP="00225D4D">
      <w:pPr>
        <w:pStyle w:val="avsnitt-tittel"/>
      </w:pPr>
      <w:r w:rsidRPr="00225D4D">
        <w:t xml:space="preserve">Kommunale </w:t>
      </w:r>
      <w:proofErr w:type="spellStart"/>
      <w:r w:rsidRPr="00225D4D">
        <w:t>handlingsplanar</w:t>
      </w:r>
      <w:proofErr w:type="spellEnd"/>
      <w:r w:rsidRPr="00225D4D">
        <w:t xml:space="preserve"> mot vald i nære </w:t>
      </w:r>
      <w:proofErr w:type="spellStart"/>
      <w:r w:rsidRPr="00225D4D">
        <w:t>relasjonar</w:t>
      </w:r>
      <w:proofErr w:type="spellEnd"/>
    </w:p>
    <w:p w14:paraId="0E3F1B9E" w14:textId="77777777" w:rsidR="00D60186" w:rsidRPr="00225D4D" w:rsidRDefault="00D60186" w:rsidP="00225D4D">
      <w:pPr>
        <w:pStyle w:val="avsnitt-undertittel"/>
      </w:pPr>
      <w:r w:rsidRPr="00225D4D">
        <w:t>Vedtak nr. 133, 6. desember 2022</w:t>
      </w:r>
    </w:p>
    <w:p w14:paraId="26133499" w14:textId="77777777" w:rsidR="00D60186" w:rsidRPr="00225D4D" w:rsidRDefault="00D60186" w:rsidP="00225D4D">
      <w:pPr>
        <w:pStyle w:val="blokksit"/>
        <w:rPr>
          <w:rStyle w:val="kursiv"/>
        </w:rPr>
      </w:pPr>
      <w:r w:rsidRPr="00225D4D">
        <w:rPr>
          <w:rStyle w:val="kursiv"/>
        </w:rPr>
        <w:t>«Stortinget ber regjeringen påse at kommunene, enten i egen regi eller i interkommunalt samarbeid, har vedtatt en handlingsplan mot vold i nære relasjoner.»</w:t>
      </w:r>
    </w:p>
    <w:p w14:paraId="49D58DE6" w14:textId="77777777" w:rsidR="00D60186" w:rsidRPr="00225D4D" w:rsidRDefault="00D60186" w:rsidP="00225D4D">
      <w:r w:rsidRPr="00225D4D">
        <w:t xml:space="preserve">Dokumenta som ligg til grunn for vedtaket, er Dokument 8:218 S (2021–2022) og </w:t>
      </w:r>
      <w:proofErr w:type="spellStart"/>
      <w:r w:rsidRPr="00225D4D">
        <w:t>Innst</w:t>
      </w:r>
      <w:proofErr w:type="spellEnd"/>
      <w:r w:rsidRPr="00225D4D">
        <w:t xml:space="preserve">. 64 S (2022–2023) </w:t>
      </w:r>
      <w:proofErr w:type="spellStart"/>
      <w:r w:rsidRPr="00225D4D">
        <w:t>frå</w:t>
      </w:r>
      <w:proofErr w:type="spellEnd"/>
      <w:r w:rsidRPr="00225D4D">
        <w:t xml:space="preserve"> justiskomiteen.</w:t>
      </w:r>
    </w:p>
    <w:p w14:paraId="20B192DD" w14:textId="77777777" w:rsidR="00D60186" w:rsidRPr="00225D4D" w:rsidRDefault="00D60186" w:rsidP="00225D4D">
      <w:r w:rsidRPr="00225D4D">
        <w:t xml:space="preserve">Vedtaket er under behandling og må </w:t>
      </w:r>
      <w:proofErr w:type="spellStart"/>
      <w:r w:rsidRPr="00225D4D">
        <w:t>sjåast</w:t>
      </w:r>
      <w:proofErr w:type="spellEnd"/>
      <w:r w:rsidRPr="00225D4D">
        <w:t xml:space="preserve"> i </w:t>
      </w:r>
      <w:proofErr w:type="spellStart"/>
      <w:r w:rsidRPr="00225D4D">
        <w:t>samanheng</w:t>
      </w:r>
      <w:proofErr w:type="spellEnd"/>
      <w:r w:rsidRPr="00225D4D">
        <w:t xml:space="preserve"> med vedtak nr. 613 av 7. mai 2024.</w:t>
      </w:r>
    </w:p>
    <w:p w14:paraId="575BE7C0" w14:textId="77777777" w:rsidR="00D60186" w:rsidRPr="00225D4D" w:rsidRDefault="00D60186" w:rsidP="00225D4D">
      <w:pPr>
        <w:pStyle w:val="avsnitt-tittel"/>
      </w:pPr>
      <w:r w:rsidRPr="00225D4D">
        <w:t>Betre dokumentering og informasjonsutveksling i hjelpeapparatet</w:t>
      </w:r>
    </w:p>
    <w:p w14:paraId="7BD684D1" w14:textId="77777777" w:rsidR="00D60186" w:rsidRPr="00225D4D" w:rsidRDefault="00D60186" w:rsidP="00225D4D">
      <w:pPr>
        <w:pStyle w:val="avsnitt-undertittel"/>
      </w:pPr>
      <w:r w:rsidRPr="00225D4D">
        <w:t>Vedtak nr. 136, 6. desember 2022</w:t>
      </w:r>
    </w:p>
    <w:p w14:paraId="6FB23E7C" w14:textId="77777777" w:rsidR="00D60186" w:rsidRPr="00225D4D" w:rsidRDefault="00D60186" w:rsidP="00225D4D">
      <w:pPr>
        <w:pStyle w:val="blokksit"/>
        <w:rPr>
          <w:rStyle w:val="kursiv"/>
        </w:rPr>
      </w:pPr>
      <w:r w:rsidRPr="00225D4D">
        <w:rPr>
          <w:rStyle w:val="kursiv"/>
        </w:rPr>
        <w:t>«Stortinget ber regjeringen legge til rette for bedre dokumentasjonsrutiner og styrke kompetansen på reglene om informasjonsutveksling mellom politi og annet hjelpeapparat, i tråd med partnerdrapsutvalgets anbefaling.»</w:t>
      </w:r>
    </w:p>
    <w:p w14:paraId="2413FEEE" w14:textId="77777777" w:rsidR="00D60186" w:rsidRPr="00225D4D" w:rsidRDefault="00D60186" w:rsidP="00225D4D">
      <w:r w:rsidRPr="00225D4D">
        <w:t xml:space="preserve">Dokumenta som ligg til grunn for vedtaket, er Dokument 8:218 S (2021–2022) og </w:t>
      </w:r>
      <w:proofErr w:type="spellStart"/>
      <w:r w:rsidRPr="00225D4D">
        <w:t>Innst</w:t>
      </w:r>
      <w:proofErr w:type="spellEnd"/>
      <w:r w:rsidRPr="00225D4D">
        <w:t xml:space="preserve">. 64 S (2022–2023) </w:t>
      </w:r>
      <w:proofErr w:type="spellStart"/>
      <w:r w:rsidRPr="00225D4D">
        <w:t>frå</w:t>
      </w:r>
      <w:proofErr w:type="spellEnd"/>
      <w:r w:rsidRPr="00225D4D">
        <w:t xml:space="preserve"> justiskomiteen.</w:t>
      </w:r>
    </w:p>
    <w:p w14:paraId="2E27A8E2"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Vedtaket blir sett i </w:t>
      </w:r>
      <w:proofErr w:type="spellStart"/>
      <w:r w:rsidRPr="00225D4D">
        <w:t>samanheng</w:t>
      </w:r>
      <w:proofErr w:type="spellEnd"/>
      <w:r w:rsidRPr="00225D4D">
        <w:t xml:space="preserve"> med arbeidet til ekspertgruppa som skal greie ut betre </w:t>
      </w:r>
      <w:proofErr w:type="spellStart"/>
      <w:r w:rsidRPr="00225D4D">
        <w:t>tverretatleg</w:t>
      </w:r>
      <w:proofErr w:type="spellEnd"/>
      <w:r w:rsidRPr="00225D4D">
        <w:t xml:space="preserve"> samarbeid og informasjonsutveksling ved </w:t>
      </w:r>
      <w:proofErr w:type="spellStart"/>
      <w:r w:rsidRPr="00225D4D">
        <w:t>førebygging</w:t>
      </w:r>
      <w:proofErr w:type="spellEnd"/>
      <w:r w:rsidRPr="00225D4D">
        <w:t xml:space="preserve"> av barne- og </w:t>
      </w:r>
      <w:proofErr w:type="spellStart"/>
      <w:r w:rsidRPr="00225D4D">
        <w:t>ungdomskriminalitetet</w:t>
      </w:r>
      <w:proofErr w:type="spellEnd"/>
      <w:r w:rsidRPr="00225D4D">
        <w:t xml:space="preserve">, ekstremisme og mishandling i nære </w:t>
      </w:r>
      <w:proofErr w:type="spellStart"/>
      <w:r w:rsidRPr="00225D4D">
        <w:t>relasjonar</w:t>
      </w:r>
      <w:proofErr w:type="spellEnd"/>
      <w:r w:rsidRPr="00225D4D">
        <w:t xml:space="preserve">. Ekspertgruppa skal levere utgreiinga si i løpet av </w:t>
      </w:r>
      <w:proofErr w:type="spellStart"/>
      <w:r w:rsidRPr="00225D4D">
        <w:t>sommaren</w:t>
      </w:r>
      <w:proofErr w:type="spellEnd"/>
      <w:r w:rsidRPr="00225D4D">
        <w:t xml:space="preserve"> 2026. Det er sett i gang spreiing av informasjon om </w:t>
      </w:r>
      <w:proofErr w:type="spellStart"/>
      <w:r w:rsidRPr="00225D4D">
        <w:t>rettleiar</w:t>
      </w:r>
      <w:proofErr w:type="spellEnd"/>
      <w:r w:rsidRPr="00225D4D">
        <w:t xml:space="preserve"> for teieplikt, </w:t>
      </w:r>
      <w:proofErr w:type="spellStart"/>
      <w:r w:rsidRPr="00225D4D">
        <w:t>opplysingsrett</w:t>
      </w:r>
      <w:proofErr w:type="spellEnd"/>
      <w:r w:rsidRPr="00225D4D">
        <w:t xml:space="preserve"> og </w:t>
      </w:r>
      <w:proofErr w:type="spellStart"/>
      <w:r w:rsidRPr="00225D4D">
        <w:t>opplysingsplikt</w:t>
      </w:r>
      <w:proofErr w:type="spellEnd"/>
      <w:r w:rsidRPr="00225D4D">
        <w:t xml:space="preserve">, gitt ut av Justis- og beredskapsdepartementet i 2023, i regi av </w:t>
      </w:r>
      <w:proofErr w:type="spellStart"/>
      <w:r w:rsidRPr="00225D4D">
        <w:t>nettstadene</w:t>
      </w:r>
      <w:proofErr w:type="spellEnd"/>
      <w:r w:rsidRPr="00225D4D">
        <w:t xml:space="preserve"> dinutvei.no og plikt.no.</w:t>
      </w:r>
    </w:p>
    <w:p w14:paraId="4286B753" w14:textId="77777777" w:rsidR="00D60186" w:rsidRPr="00225D4D" w:rsidRDefault="00D60186" w:rsidP="00225D4D">
      <w:pPr>
        <w:pStyle w:val="avsnitt-tittel"/>
      </w:pPr>
      <w:r w:rsidRPr="00225D4D">
        <w:t>Elektronisk kontroll ved fotlenke med GPS-</w:t>
      </w:r>
      <w:proofErr w:type="spellStart"/>
      <w:r w:rsidRPr="00225D4D">
        <w:t>sendar</w:t>
      </w:r>
      <w:proofErr w:type="spellEnd"/>
      <w:r w:rsidRPr="00225D4D">
        <w:t xml:space="preserve"> for </w:t>
      </w:r>
      <w:proofErr w:type="spellStart"/>
      <w:r w:rsidRPr="00225D4D">
        <w:t>forvaringsdømde</w:t>
      </w:r>
      <w:proofErr w:type="spellEnd"/>
    </w:p>
    <w:p w14:paraId="4533C118" w14:textId="77777777" w:rsidR="00D60186" w:rsidRPr="00225D4D" w:rsidRDefault="00D60186" w:rsidP="00225D4D">
      <w:pPr>
        <w:pStyle w:val="avsnitt-undertittel"/>
      </w:pPr>
      <w:r w:rsidRPr="00225D4D">
        <w:t>Vedtak nr. 139, 6. desember 2022</w:t>
      </w:r>
    </w:p>
    <w:p w14:paraId="6D839CAB" w14:textId="77777777" w:rsidR="00D60186" w:rsidRPr="00225D4D" w:rsidRDefault="00D60186" w:rsidP="00225D4D">
      <w:pPr>
        <w:pStyle w:val="blokksit"/>
        <w:rPr>
          <w:rStyle w:val="kursiv"/>
        </w:rPr>
      </w:pPr>
      <w:r w:rsidRPr="00225D4D">
        <w:rPr>
          <w:rStyle w:val="kursiv"/>
        </w:rPr>
        <w:t>«Stortinget ber regjeringen sikre adgang til å sette vilkår om elektronisk kontroll ved fotlenke med GPS-sender for forvaringsdømte under permisjon fra soning, og om nødvendig fremme forslag om nødvendige lovendringer for å oppnå formålet.»</w:t>
      </w:r>
    </w:p>
    <w:p w14:paraId="6D1E3BFD" w14:textId="77777777" w:rsidR="00D60186" w:rsidRPr="00225D4D" w:rsidRDefault="00D60186" w:rsidP="00225D4D">
      <w:r w:rsidRPr="00225D4D">
        <w:t xml:space="preserve">Dokumenta som ligg til grunn for vedtaket, er Dokument 8:261 S (2021–2022) og </w:t>
      </w:r>
      <w:proofErr w:type="spellStart"/>
      <w:r w:rsidRPr="00225D4D">
        <w:t>Innst</w:t>
      </w:r>
      <w:proofErr w:type="spellEnd"/>
      <w:r w:rsidRPr="00225D4D">
        <w:t>. 93 S (2022–2023).</w:t>
      </w:r>
    </w:p>
    <w:p w14:paraId="3BF03A18" w14:textId="77777777" w:rsidR="00D60186" w:rsidRPr="00225D4D" w:rsidRDefault="00D60186" w:rsidP="00225D4D">
      <w:r w:rsidRPr="00225D4D">
        <w:t xml:space="preserve">Vedtaket er under behandling. </w:t>
      </w:r>
      <w:proofErr w:type="spellStart"/>
      <w:r w:rsidRPr="00225D4D">
        <w:t>Eit</w:t>
      </w:r>
      <w:proofErr w:type="spellEnd"/>
      <w:r w:rsidRPr="00225D4D">
        <w:t xml:space="preserve"> forslag som følgjer opp oppmodingsvedtaket, </w:t>
      </w:r>
      <w:proofErr w:type="spellStart"/>
      <w:r w:rsidRPr="00225D4D">
        <w:t>vart</w:t>
      </w:r>
      <w:proofErr w:type="spellEnd"/>
      <w:r w:rsidRPr="00225D4D">
        <w:t xml:space="preserve"> sendt på </w:t>
      </w:r>
      <w:proofErr w:type="spellStart"/>
      <w:r w:rsidRPr="00225D4D">
        <w:t>høyring</w:t>
      </w:r>
      <w:proofErr w:type="spellEnd"/>
      <w:r w:rsidRPr="00225D4D">
        <w:t xml:space="preserve"> 8. mai 2024, sjå </w:t>
      </w:r>
      <w:proofErr w:type="spellStart"/>
      <w:r w:rsidRPr="00225D4D">
        <w:t>høyring</w:t>
      </w:r>
      <w:proofErr w:type="spellEnd"/>
      <w:r w:rsidRPr="00225D4D">
        <w:t xml:space="preserve"> av </w:t>
      </w:r>
      <w:r w:rsidRPr="00225D4D">
        <w:rPr>
          <w:rStyle w:val="kursiv"/>
        </w:rPr>
        <w:t xml:space="preserve">forslag til endring av straffegjennomføringsloven og forskrift om straffegjennomføring mv. (bruk av elektronisk kontroll og digitale kontrolltiltak i kriminalomsorgen), </w:t>
      </w:r>
      <w:r w:rsidRPr="00225D4D">
        <w:t xml:space="preserve">punkt 7.7 </w:t>
      </w:r>
      <w:r w:rsidRPr="00225D4D">
        <w:rPr>
          <w:rStyle w:val="kursiv"/>
        </w:rPr>
        <w:t>Nærmere om forslaget om å åpne for bruk av digitale kontrolltiltak ved utganger og prøveløslatelse fra forvaring</w:t>
      </w:r>
      <w:r w:rsidRPr="00225D4D">
        <w:t xml:space="preserve">. </w:t>
      </w:r>
      <w:proofErr w:type="spellStart"/>
      <w:r w:rsidRPr="00225D4D">
        <w:t>Høyringsfristen</w:t>
      </w:r>
      <w:proofErr w:type="spellEnd"/>
      <w:r w:rsidRPr="00225D4D">
        <w:t xml:space="preserve"> var 2. september 2024. Departementet følgjer </w:t>
      </w:r>
      <w:proofErr w:type="spellStart"/>
      <w:r w:rsidRPr="00225D4D">
        <w:t>no</w:t>
      </w:r>
      <w:proofErr w:type="spellEnd"/>
      <w:r w:rsidRPr="00225D4D">
        <w:t xml:space="preserve"> opp </w:t>
      </w:r>
      <w:proofErr w:type="spellStart"/>
      <w:r w:rsidRPr="00225D4D">
        <w:t>høyringa</w:t>
      </w:r>
      <w:proofErr w:type="spellEnd"/>
      <w:r w:rsidRPr="00225D4D">
        <w:t>.</w:t>
      </w:r>
    </w:p>
    <w:p w14:paraId="09F174D4" w14:textId="77777777" w:rsidR="00D60186" w:rsidRPr="00225D4D" w:rsidRDefault="00D60186" w:rsidP="00225D4D">
      <w:pPr>
        <w:pStyle w:val="avsnitt-tittel"/>
      </w:pPr>
      <w:r w:rsidRPr="00225D4D">
        <w:t>Greie ut forliksrådsordninga</w:t>
      </w:r>
    </w:p>
    <w:p w14:paraId="0F1B8EC8" w14:textId="77777777" w:rsidR="00D60186" w:rsidRPr="00225D4D" w:rsidRDefault="00D60186" w:rsidP="00225D4D">
      <w:pPr>
        <w:pStyle w:val="avsnitt-undertittel"/>
      </w:pPr>
      <w:r w:rsidRPr="00225D4D">
        <w:t>Vedtak nr. 445, 5. januar 2023</w:t>
      </w:r>
    </w:p>
    <w:p w14:paraId="2F41571D" w14:textId="77777777" w:rsidR="00D60186" w:rsidRPr="00225D4D" w:rsidRDefault="00D60186" w:rsidP="00225D4D">
      <w:pPr>
        <w:pStyle w:val="blokksit"/>
        <w:rPr>
          <w:rStyle w:val="kursiv"/>
        </w:rPr>
      </w:pPr>
      <w:r w:rsidRPr="00225D4D">
        <w:rPr>
          <w:rStyle w:val="kursiv"/>
        </w:rPr>
        <w:t>«Stortinget ber regjeringen utrede forliksrådsordningen med sikte på å styrke og forbedre den.»</w:t>
      </w:r>
    </w:p>
    <w:p w14:paraId="78B7BFCF" w14:textId="77777777" w:rsidR="00D60186" w:rsidRPr="00225D4D" w:rsidRDefault="00D60186" w:rsidP="00225D4D">
      <w:r w:rsidRPr="00225D4D">
        <w:t xml:space="preserve">Dokumenta som ligg til grunn for saka, er Dokument 8:6 S (2022–2023) og </w:t>
      </w:r>
      <w:proofErr w:type="spellStart"/>
      <w:r w:rsidRPr="00225D4D">
        <w:t>Innst</w:t>
      </w:r>
      <w:proofErr w:type="spellEnd"/>
      <w:r w:rsidRPr="00225D4D">
        <w:t>. 123 S (2022–2023).</w:t>
      </w:r>
    </w:p>
    <w:p w14:paraId="3C4664F5" w14:textId="77777777" w:rsidR="00D60186" w:rsidRPr="00225D4D" w:rsidRDefault="00D60186" w:rsidP="00225D4D">
      <w:r w:rsidRPr="00225D4D">
        <w:t xml:space="preserve">Vedtaket er </w:t>
      </w:r>
      <w:proofErr w:type="spellStart"/>
      <w:r w:rsidRPr="00225D4D">
        <w:t>følgt</w:t>
      </w:r>
      <w:proofErr w:type="spellEnd"/>
      <w:r w:rsidRPr="00225D4D">
        <w:t xml:space="preserve"> opp. På oppdrag </w:t>
      </w:r>
      <w:proofErr w:type="spellStart"/>
      <w:r w:rsidRPr="00225D4D">
        <w:t>frå</w:t>
      </w:r>
      <w:proofErr w:type="spellEnd"/>
      <w:r w:rsidRPr="00225D4D">
        <w:t xml:space="preserve"> Justisdepartementet leverte Politihøgskolen </w:t>
      </w:r>
      <w:proofErr w:type="spellStart"/>
      <w:r w:rsidRPr="00225D4D">
        <w:t>ein</w:t>
      </w:r>
      <w:proofErr w:type="spellEnd"/>
      <w:r w:rsidRPr="00225D4D">
        <w:t xml:space="preserve"> rapport om forliksrådsordninga i januar 2025. Rapporten er til oppfølging i departementet. Statens sivilrettsforvaltning har fått i oppdrag </w:t>
      </w:r>
      <w:proofErr w:type="gramStart"/>
      <w:r w:rsidRPr="00225D4D">
        <w:t>å sjå</w:t>
      </w:r>
      <w:proofErr w:type="gramEnd"/>
      <w:r w:rsidRPr="00225D4D">
        <w:t xml:space="preserve"> på innretninga av opplæringa av medlemmene i forliksråda. Dei har utvikla </w:t>
      </w:r>
      <w:proofErr w:type="spellStart"/>
      <w:r w:rsidRPr="00225D4D">
        <w:t>eit</w:t>
      </w:r>
      <w:proofErr w:type="spellEnd"/>
      <w:r w:rsidRPr="00225D4D">
        <w:t xml:space="preserve"> nytt system for opplæring som starta i januar 2025, og jobbar </w:t>
      </w:r>
      <w:proofErr w:type="spellStart"/>
      <w:r w:rsidRPr="00225D4D">
        <w:t>vidare</w:t>
      </w:r>
      <w:proofErr w:type="spellEnd"/>
      <w:r w:rsidRPr="00225D4D">
        <w:t xml:space="preserve"> med utvikling av kurs og opplæringssystem.</w:t>
      </w:r>
    </w:p>
    <w:p w14:paraId="739BCF1C" w14:textId="77777777" w:rsidR="00D60186" w:rsidRPr="00225D4D" w:rsidRDefault="00D60186" w:rsidP="00225D4D">
      <w:pPr>
        <w:pStyle w:val="avsnitt-tittel"/>
      </w:pPr>
      <w:proofErr w:type="spellStart"/>
      <w:r w:rsidRPr="00225D4D">
        <w:t>Endringar</w:t>
      </w:r>
      <w:proofErr w:type="spellEnd"/>
      <w:r w:rsidRPr="00225D4D">
        <w:t xml:space="preserve"> i tvistelova – innstilling av saker i forliksrådet som </w:t>
      </w:r>
      <w:proofErr w:type="spellStart"/>
      <w:r w:rsidRPr="00225D4D">
        <w:t>følgje</w:t>
      </w:r>
      <w:proofErr w:type="spellEnd"/>
      <w:r w:rsidRPr="00225D4D">
        <w:t xml:space="preserve"> av lang behandlingstid</w:t>
      </w:r>
    </w:p>
    <w:p w14:paraId="3B6569A5" w14:textId="77777777" w:rsidR="00D60186" w:rsidRPr="00225D4D" w:rsidRDefault="00D60186" w:rsidP="00225D4D">
      <w:pPr>
        <w:pStyle w:val="avsnitt-undertittel"/>
      </w:pPr>
      <w:r w:rsidRPr="00225D4D">
        <w:t>Vedtak nr. 616, 25. april 2023</w:t>
      </w:r>
    </w:p>
    <w:p w14:paraId="3C92BE2D" w14:textId="77777777" w:rsidR="00D60186" w:rsidRPr="00225D4D" w:rsidRDefault="00D60186" w:rsidP="00225D4D">
      <w:pPr>
        <w:pStyle w:val="blokksit"/>
        <w:rPr>
          <w:rStyle w:val="kursiv"/>
        </w:rPr>
      </w:pPr>
      <w:r w:rsidRPr="00225D4D">
        <w:rPr>
          <w:rStyle w:val="kursiv"/>
        </w:rPr>
        <w:t>«Stortinget ber regjeringen vurdere endringer i tvisteloven kapittel 6 for saker som kreves innstilt som følge av at behandlingen ikke er avsluttet innen fristen i § 6-11 fjerde ledd.»</w:t>
      </w:r>
    </w:p>
    <w:p w14:paraId="64969904"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273 L (2022–2023).</w:t>
      </w:r>
    </w:p>
    <w:p w14:paraId="00791209" w14:textId="77777777" w:rsidR="00D60186" w:rsidRPr="00225D4D" w:rsidRDefault="00D60186" w:rsidP="00225D4D">
      <w:r w:rsidRPr="00225D4D">
        <w:t>Vedtaket er under behandling.</w:t>
      </w:r>
    </w:p>
    <w:p w14:paraId="3FB5A61B" w14:textId="77777777" w:rsidR="00D60186" w:rsidRPr="00225D4D" w:rsidRDefault="00D60186" w:rsidP="00225D4D">
      <w:pPr>
        <w:pStyle w:val="avsnitt-tittel"/>
      </w:pPr>
      <w:r w:rsidRPr="00225D4D">
        <w:t>Sakskostnader i sivile saker</w:t>
      </w:r>
    </w:p>
    <w:p w14:paraId="36B2348C" w14:textId="77777777" w:rsidR="00D60186" w:rsidRPr="00225D4D" w:rsidRDefault="00D60186" w:rsidP="00225D4D">
      <w:pPr>
        <w:pStyle w:val="avsnitt-undertittel"/>
      </w:pPr>
      <w:r w:rsidRPr="00225D4D">
        <w:t>Vedtak nr. 618, 25. april 2023</w:t>
      </w:r>
    </w:p>
    <w:p w14:paraId="6D96C2E3" w14:textId="77777777" w:rsidR="00D60186" w:rsidRPr="00225D4D" w:rsidRDefault="00D60186" w:rsidP="00225D4D">
      <w:pPr>
        <w:pStyle w:val="blokksit"/>
        <w:rPr>
          <w:rStyle w:val="kursiv"/>
        </w:rPr>
      </w:pPr>
      <w:r w:rsidRPr="00225D4D">
        <w:rPr>
          <w:rStyle w:val="kursiv"/>
        </w:rPr>
        <w:t>«Stortinget ber regjeringen utrede hvordan partenes sakskostnader i sivile saker kan bli lavere, og komme tilbake til Stortinget på egnet måte.»</w:t>
      </w:r>
    </w:p>
    <w:p w14:paraId="4BBF6B1C"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34 L (2022–2023) og </w:t>
      </w:r>
      <w:proofErr w:type="spellStart"/>
      <w:r w:rsidRPr="00225D4D">
        <w:t>Innst</w:t>
      </w:r>
      <w:proofErr w:type="spellEnd"/>
      <w:r w:rsidRPr="00225D4D">
        <w:t>. 273 L (2022–2023).</w:t>
      </w:r>
    </w:p>
    <w:p w14:paraId="097CF9B3" w14:textId="77777777" w:rsidR="00D60186" w:rsidRPr="00225D4D" w:rsidRDefault="00D60186" w:rsidP="00225D4D">
      <w:r w:rsidRPr="00225D4D">
        <w:t>Vedtaket er under behandling.</w:t>
      </w:r>
    </w:p>
    <w:p w14:paraId="1A840A6B" w14:textId="77777777" w:rsidR="00D60186" w:rsidRPr="00225D4D" w:rsidRDefault="00D60186" w:rsidP="00225D4D">
      <w:pPr>
        <w:pStyle w:val="avsnitt-tittel"/>
      </w:pPr>
      <w:proofErr w:type="spellStart"/>
      <w:r w:rsidRPr="00225D4D">
        <w:t>Enklare</w:t>
      </w:r>
      <w:proofErr w:type="spellEnd"/>
      <w:r w:rsidRPr="00225D4D">
        <w:t xml:space="preserve"> og </w:t>
      </w:r>
      <w:proofErr w:type="spellStart"/>
      <w:r w:rsidRPr="00225D4D">
        <w:t>meir</w:t>
      </w:r>
      <w:proofErr w:type="spellEnd"/>
      <w:r w:rsidRPr="00225D4D">
        <w:t xml:space="preserve"> </w:t>
      </w:r>
      <w:proofErr w:type="spellStart"/>
      <w:r w:rsidRPr="00225D4D">
        <w:t>forbrukarvennleg</w:t>
      </w:r>
      <w:proofErr w:type="spellEnd"/>
      <w:r w:rsidRPr="00225D4D">
        <w:t xml:space="preserve"> regelverk for </w:t>
      </w:r>
      <w:proofErr w:type="spellStart"/>
      <w:r w:rsidRPr="00225D4D">
        <w:t>gåvekort</w:t>
      </w:r>
      <w:proofErr w:type="spellEnd"/>
    </w:p>
    <w:p w14:paraId="56905BCC" w14:textId="77777777" w:rsidR="00D60186" w:rsidRPr="00225D4D" w:rsidRDefault="00D60186" w:rsidP="00225D4D">
      <w:pPr>
        <w:pStyle w:val="avsnitt-undertittel"/>
      </w:pPr>
      <w:r w:rsidRPr="00225D4D">
        <w:t>Vedtak nr. 644, 9. mai 2023</w:t>
      </w:r>
    </w:p>
    <w:p w14:paraId="7B1E9266" w14:textId="77777777" w:rsidR="00D60186" w:rsidRPr="00225D4D" w:rsidRDefault="00D60186" w:rsidP="00225D4D">
      <w:pPr>
        <w:pStyle w:val="blokksit"/>
        <w:rPr>
          <w:rStyle w:val="kursiv"/>
        </w:rPr>
      </w:pPr>
      <w:r w:rsidRPr="00225D4D">
        <w:rPr>
          <w:rStyle w:val="kursiv"/>
        </w:rPr>
        <w:t>«Stortinget ber regjeringen vurdere en styrking av forbrukernes rettigheter ved erverv og bruk av gavekort. Videre bes regjeringen vurdere innføring av et forbud mot at gavekortutsteder kan trekke gebyr fra kortet etter at det er solgt og overlevert til kunden, samt å innføre plikt til at de avtalerettslige prinsippene som gjelder for gavekortet, synliggjøres på selve kortet. Det bes om at regjeringen kommer tilbake til Stortinget på egnet måte.»</w:t>
      </w:r>
    </w:p>
    <w:p w14:paraId="5EE34578" w14:textId="77777777" w:rsidR="00D60186" w:rsidRPr="00225D4D" w:rsidRDefault="00D60186" w:rsidP="00225D4D">
      <w:r w:rsidRPr="00225D4D">
        <w:t xml:space="preserve">Dokumenta som ligg til grunn for vedtaket, er Dokument 8:122 S (2022–2023) og </w:t>
      </w:r>
      <w:proofErr w:type="spellStart"/>
      <w:r w:rsidRPr="00225D4D">
        <w:t>Innst</w:t>
      </w:r>
      <w:proofErr w:type="spellEnd"/>
      <w:r w:rsidRPr="00225D4D">
        <w:t>. 299 S (2022–2023).</w:t>
      </w:r>
    </w:p>
    <w:p w14:paraId="4FECF485" w14:textId="77777777" w:rsidR="00D60186" w:rsidRPr="00225D4D" w:rsidRDefault="00D60186" w:rsidP="00225D4D">
      <w:r w:rsidRPr="00225D4D">
        <w:t>Vedtaket er under behandling.</w:t>
      </w:r>
    </w:p>
    <w:p w14:paraId="506D69AF" w14:textId="77777777" w:rsidR="00D60186" w:rsidRPr="00225D4D" w:rsidRDefault="00D60186" w:rsidP="00225D4D">
      <w:pPr>
        <w:pStyle w:val="avsnitt-tittel"/>
      </w:pPr>
      <w:r w:rsidRPr="00225D4D">
        <w:t>Stortingsmelding om kriminalomsorga</w:t>
      </w:r>
    </w:p>
    <w:p w14:paraId="107C3079" w14:textId="77777777" w:rsidR="00D60186" w:rsidRPr="00225D4D" w:rsidRDefault="00D60186" w:rsidP="00225D4D">
      <w:pPr>
        <w:pStyle w:val="avsnitt-undertittel"/>
      </w:pPr>
      <w:r w:rsidRPr="00225D4D">
        <w:t>Vedtak nr. 653, 11. mai 2023</w:t>
      </w:r>
    </w:p>
    <w:p w14:paraId="075C59E4" w14:textId="77777777" w:rsidR="00D60186" w:rsidRPr="00225D4D" w:rsidRDefault="00D60186" w:rsidP="00225D4D">
      <w:pPr>
        <w:pStyle w:val="blokksit"/>
        <w:rPr>
          <w:rStyle w:val="kursiv"/>
        </w:rPr>
      </w:pPr>
      <w:r w:rsidRPr="00225D4D">
        <w:rPr>
          <w:rStyle w:val="kursiv"/>
        </w:rPr>
        <w:t>«Stortinget ber regjeringen, som en del av en helhetlig stortingsmelding om kriminalomsorgen, utrede de samlede behovene og vurdere nødvendige tiltak for å sikre likeverdige soningsforhold for kvinnelige og mannlige innsatte.»</w:t>
      </w:r>
    </w:p>
    <w:p w14:paraId="7CF141B0" w14:textId="77777777" w:rsidR="00D60186" w:rsidRPr="00225D4D" w:rsidRDefault="00D60186" w:rsidP="00225D4D">
      <w:r w:rsidRPr="00225D4D">
        <w:t xml:space="preserve">Dokumenta som ligg til grunn for vedtaket, er Dokument 8:152 S (2022–2023) og </w:t>
      </w:r>
      <w:proofErr w:type="spellStart"/>
      <w:r w:rsidRPr="00225D4D">
        <w:t>Innst</w:t>
      </w:r>
      <w:proofErr w:type="spellEnd"/>
      <w:r w:rsidRPr="00225D4D">
        <w:t>. 318 S (2022–2023).</w:t>
      </w:r>
    </w:p>
    <w:p w14:paraId="4E71F02D"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Regjeringa la fram Meld. St. 31 (2024–2025) </w:t>
      </w:r>
      <w:r w:rsidRPr="00225D4D">
        <w:rPr>
          <w:rStyle w:val="kursiv"/>
        </w:rPr>
        <w:t xml:space="preserve">Straff som virker – straffegjennomføring for et tryggere Norge </w:t>
      </w:r>
      <w:r w:rsidRPr="00225D4D">
        <w:t>20. juni 2025.</w:t>
      </w:r>
    </w:p>
    <w:p w14:paraId="0417D647" w14:textId="77777777" w:rsidR="00D60186" w:rsidRPr="00225D4D" w:rsidRDefault="00D60186" w:rsidP="00225D4D">
      <w:pPr>
        <w:pStyle w:val="avsnitt-tittel"/>
      </w:pPr>
      <w:r w:rsidRPr="00225D4D">
        <w:t>A-krimsenter</w:t>
      </w:r>
    </w:p>
    <w:p w14:paraId="218412CC" w14:textId="77777777" w:rsidR="00D60186" w:rsidRPr="00225D4D" w:rsidRDefault="00D60186" w:rsidP="00225D4D">
      <w:pPr>
        <w:pStyle w:val="avsnitt-undertittel"/>
      </w:pPr>
      <w:r w:rsidRPr="00225D4D">
        <w:t>Vedtak nr. 729, 1. juni 2023</w:t>
      </w:r>
    </w:p>
    <w:p w14:paraId="62D1EE01" w14:textId="77777777" w:rsidR="00D60186" w:rsidRPr="00225D4D" w:rsidRDefault="00D60186" w:rsidP="00225D4D">
      <w:pPr>
        <w:pStyle w:val="blokksit"/>
        <w:rPr>
          <w:rStyle w:val="kursiv"/>
        </w:rPr>
      </w:pPr>
      <w:r w:rsidRPr="00225D4D">
        <w:rPr>
          <w:rStyle w:val="kursiv"/>
        </w:rPr>
        <w:t>«Stortinget ber regjeringen sikre at politiet har tydelige hjemler for deltakelse i kontrollgruppen og kunnskapsbyggingen ved a-krimsentrene, og om nødvendig komme tilbake til Stortinget med forslag til oppdaterte lovhjemler.»</w:t>
      </w:r>
    </w:p>
    <w:p w14:paraId="2AA48AA9" w14:textId="77777777" w:rsidR="00D60186" w:rsidRPr="00225D4D" w:rsidRDefault="00D60186" w:rsidP="00225D4D">
      <w:r w:rsidRPr="00225D4D">
        <w:t xml:space="preserve">Dokumenta som ligg til grunn for vedtaket, er Dokument 8:198 S (2022–2023) og </w:t>
      </w:r>
      <w:proofErr w:type="spellStart"/>
      <w:r w:rsidRPr="00225D4D">
        <w:t>Innst</w:t>
      </w:r>
      <w:proofErr w:type="spellEnd"/>
      <w:r w:rsidRPr="00225D4D">
        <w:t>. 388 S (2022–2023).</w:t>
      </w:r>
    </w:p>
    <w:p w14:paraId="05683743" w14:textId="77777777" w:rsidR="00D60186" w:rsidRPr="00225D4D" w:rsidRDefault="00D60186" w:rsidP="00225D4D">
      <w:r w:rsidRPr="00225D4D">
        <w:t xml:space="preserve">Vedtaket er under behandling i </w:t>
      </w:r>
      <w:proofErr w:type="spellStart"/>
      <w:r w:rsidRPr="00225D4D">
        <w:t>eit</w:t>
      </w:r>
      <w:proofErr w:type="spellEnd"/>
      <w:r w:rsidRPr="00225D4D">
        <w:t xml:space="preserve"> samarbeid mellom Justis- og beredskapsdepartementet, Arbeids- og inkluderingsdepartementet og Finansdepartementet. </w:t>
      </w:r>
      <w:proofErr w:type="spellStart"/>
      <w:r w:rsidRPr="00225D4D">
        <w:t>Eit</w:t>
      </w:r>
      <w:proofErr w:type="spellEnd"/>
      <w:r w:rsidRPr="00225D4D">
        <w:t xml:space="preserve"> lovforslag </w:t>
      </w:r>
      <w:proofErr w:type="spellStart"/>
      <w:r w:rsidRPr="00225D4D">
        <w:t>frå</w:t>
      </w:r>
      <w:proofErr w:type="spellEnd"/>
      <w:r w:rsidRPr="00225D4D">
        <w:t xml:space="preserve"> Arbeids- og inkluderingsdepartementet </w:t>
      </w:r>
      <w:proofErr w:type="spellStart"/>
      <w:r w:rsidRPr="00225D4D">
        <w:t>vart</w:t>
      </w:r>
      <w:proofErr w:type="spellEnd"/>
      <w:r w:rsidRPr="00225D4D">
        <w:t xml:space="preserve"> sendt på </w:t>
      </w:r>
      <w:proofErr w:type="spellStart"/>
      <w:r w:rsidRPr="00225D4D">
        <w:t>høyring</w:t>
      </w:r>
      <w:proofErr w:type="spellEnd"/>
      <w:r w:rsidRPr="00225D4D">
        <w:t xml:space="preserve"> i starten av juli 2024, med </w:t>
      </w:r>
      <w:proofErr w:type="spellStart"/>
      <w:r w:rsidRPr="00225D4D">
        <w:t>høyringsfrist</w:t>
      </w:r>
      <w:proofErr w:type="spellEnd"/>
      <w:r w:rsidRPr="00225D4D">
        <w:t xml:space="preserve"> 15. oktober 2024.</w:t>
      </w:r>
    </w:p>
    <w:p w14:paraId="0A1CABDB" w14:textId="77777777" w:rsidR="00D60186" w:rsidRPr="00225D4D" w:rsidRDefault="00D60186" w:rsidP="00225D4D">
      <w:pPr>
        <w:pStyle w:val="Overskrift3"/>
      </w:pPr>
      <w:r w:rsidRPr="00225D4D">
        <w:t>Stortingssesjonen 2021–2022</w:t>
      </w:r>
    </w:p>
    <w:p w14:paraId="08F9B1FA" w14:textId="77777777" w:rsidR="00D60186" w:rsidRPr="00225D4D" w:rsidRDefault="00D60186" w:rsidP="00225D4D">
      <w:pPr>
        <w:pStyle w:val="avsnitt-tittel"/>
      </w:pPr>
      <w:r w:rsidRPr="00225D4D">
        <w:t>Ny rettshjelpsordning</w:t>
      </w:r>
    </w:p>
    <w:p w14:paraId="6E2D66E2" w14:textId="77777777" w:rsidR="00D60186" w:rsidRPr="00225D4D" w:rsidRDefault="00D60186" w:rsidP="00225D4D">
      <w:pPr>
        <w:pStyle w:val="avsnitt-undertittel"/>
      </w:pPr>
      <w:r w:rsidRPr="00225D4D">
        <w:t>Vedtak nr. 35.49, 2. desember 2021</w:t>
      </w:r>
    </w:p>
    <w:p w14:paraId="5ED0EC9A" w14:textId="77777777" w:rsidR="00D60186" w:rsidRPr="00225D4D" w:rsidRDefault="00D60186" w:rsidP="00225D4D">
      <w:pPr>
        <w:pStyle w:val="blokksit"/>
        <w:rPr>
          <w:rStyle w:val="kursiv"/>
        </w:rPr>
      </w:pPr>
      <w:r w:rsidRPr="00225D4D">
        <w:rPr>
          <w:rStyle w:val="kursiv"/>
        </w:rPr>
        <w:t>«Stortinget ber regjeringen om å legge frem forslag til ny lov om støtte til rettshjelp i løpet av våren 2023, og vurdere ulike tiltak som kan forsterke rettshjelpsordningen for befolkningen, herunder forslagene i NOU 2020: 5»</w:t>
      </w:r>
    </w:p>
    <w:p w14:paraId="1011BD92" w14:textId="77777777" w:rsidR="00D60186" w:rsidRPr="00225D4D" w:rsidRDefault="00D60186" w:rsidP="00225D4D">
      <w:r w:rsidRPr="00225D4D">
        <w:t xml:space="preserve">Dokumenta som ligg til grunn for vedtaket, er Meld. St. 1 (2021–2022), </w:t>
      </w:r>
      <w:proofErr w:type="spellStart"/>
      <w:r w:rsidRPr="00225D4D">
        <w:t>Prop</w:t>
      </w:r>
      <w:proofErr w:type="spellEnd"/>
      <w:r w:rsidRPr="00225D4D">
        <w:t xml:space="preserve">. 1 S (2021–2022), </w:t>
      </w:r>
      <w:proofErr w:type="spellStart"/>
      <w:r w:rsidRPr="00225D4D">
        <w:t>Prop</w:t>
      </w:r>
      <w:proofErr w:type="spellEnd"/>
      <w:r w:rsidRPr="00225D4D">
        <w:t xml:space="preserve">. 1 S Tillegg 1 (2021–2022) og </w:t>
      </w:r>
      <w:proofErr w:type="spellStart"/>
      <w:r w:rsidRPr="00225D4D">
        <w:t>Innst</w:t>
      </w:r>
      <w:proofErr w:type="spellEnd"/>
      <w:r w:rsidRPr="00225D4D">
        <w:t>. 2 S (2021–2022).</w:t>
      </w:r>
    </w:p>
    <w:p w14:paraId="13A2338D"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dels gjennom </w:t>
      </w:r>
      <w:r w:rsidRPr="00225D4D">
        <w:rPr>
          <w:rStyle w:val="kursiv"/>
        </w:rPr>
        <w:t xml:space="preserve">lov 20. desember 2023 nr. 109 om endringer i rettshjelpsloven (ny modell for økonomisk behovsprøving) </w:t>
      </w:r>
      <w:r w:rsidRPr="00225D4D">
        <w:t xml:space="preserve">som vart </w:t>
      </w:r>
      <w:proofErr w:type="spellStart"/>
      <w:r w:rsidRPr="00225D4D">
        <w:t>vedteken</w:t>
      </w:r>
      <w:proofErr w:type="spellEnd"/>
      <w:r w:rsidRPr="00225D4D">
        <w:t xml:space="preserve"> av Stortinget i desember 2023, og dels gjennom </w:t>
      </w:r>
      <w:proofErr w:type="spellStart"/>
      <w:r w:rsidRPr="00225D4D">
        <w:t>Prop</w:t>
      </w:r>
      <w:proofErr w:type="spellEnd"/>
      <w:r w:rsidRPr="00225D4D">
        <w:t xml:space="preserve">. 103 L (2024–2025), </w:t>
      </w:r>
      <w:proofErr w:type="spellStart"/>
      <w:r w:rsidRPr="00225D4D">
        <w:t>Innst</w:t>
      </w:r>
      <w:proofErr w:type="spellEnd"/>
      <w:r w:rsidRPr="00225D4D">
        <w:t xml:space="preserve">. 468 L (2024–2025) og Lovvedtak 114 (2024–2025). Forslag til ny rettshjelpsforskrift </w:t>
      </w:r>
      <w:proofErr w:type="spellStart"/>
      <w:r w:rsidRPr="00225D4D">
        <w:t>vart</w:t>
      </w:r>
      <w:proofErr w:type="spellEnd"/>
      <w:r w:rsidRPr="00225D4D">
        <w:t xml:space="preserve"> sendt på </w:t>
      </w:r>
      <w:proofErr w:type="spellStart"/>
      <w:r w:rsidRPr="00225D4D">
        <w:t>høyring</w:t>
      </w:r>
      <w:proofErr w:type="spellEnd"/>
      <w:r w:rsidRPr="00225D4D">
        <w:t xml:space="preserve"> med frist 26. august 2024, og trer i kraft </w:t>
      </w:r>
      <w:proofErr w:type="spellStart"/>
      <w:r w:rsidRPr="00225D4D">
        <w:t>hausten</w:t>
      </w:r>
      <w:proofErr w:type="spellEnd"/>
      <w:r w:rsidRPr="00225D4D">
        <w:t xml:space="preserve"> 2025.</w:t>
      </w:r>
    </w:p>
    <w:p w14:paraId="50A073D3" w14:textId="77777777" w:rsidR="00D60186" w:rsidRPr="00225D4D" w:rsidRDefault="00D60186" w:rsidP="00225D4D">
      <w:pPr>
        <w:pStyle w:val="avsnitt-tittel"/>
      </w:pPr>
      <w:r w:rsidRPr="00225D4D">
        <w:t xml:space="preserve">Utgreiing av </w:t>
      </w:r>
      <w:proofErr w:type="spellStart"/>
      <w:r w:rsidRPr="00225D4D">
        <w:t>fråvikelege</w:t>
      </w:r>
      <w:proofErr w:type="spellEnd"/>
      <w:r w:rsidRPr="00225D4D">
        <w:t xml:space="preserve"> </w:t>
      </w:r>
      <w:proofErr w:type="spellStart"/>
      <w:r w:rsidRPr="00225D4D">
        <w:t>lovreglar</w:t>
      </w:r>
      <w:proofErr w:type="spellEnd"/>
      <w:r w:rsidRPr="00225D4D">
        <w:t xml:space="preserve"> om </w:t>
      </w:r>
      <w:proofErr w:type="spellStart"/>
      <w:r w:rsidRPr="00225D4D">
        <w:t>sambuarskap</w:t>
      </w:r>
      <w:proofErr w:type="spellEnd"/>
    </w:p>
    <w:p w14:paraId="36884A0F" w14:textId="77777777" w:rsidR="00D60186" w:rsidRPr="00225D4D" w:rsidRDefault="00D60186" w:rsidP="00225D4D">
      <w:pPr>
        <w:pStyle w:val="avsnitt-undertittel"/>
      </w:pPr>
      <w:r w:rsidRPr="00225D4D">
        <w:t>Vedtak nr. 372, 3. februar 2022</w:t>
      </w:r>
    </w:p>
    <w:p w14:paraId="258DE436" w14:textId="77777777" w:rsidR="00D60186" w:rsidRPr="00225D4D" w:rsidRDefault="00D60186" w:rsidP="00225D4D">
      <w:pPr>
        <w:pStyle w:val="blokksit"/>
        <w:rPr>
          <w:rStyle w:val="kursiv"/>
        </w:rPr>
      </w:pPr>
      <w:r w:rsidRPr="00225D4D">
        <w:rPr>
          <w:rStyle w:val="kursiv"/>
        </w:rPr>
        <w:t xml:space="preserve">«Stortinget ber regjeringen utrede en fravikelig </w:t>
      </w:r>
      <w:proofErr w:type="spellStart"/>
      <w:r w:rsidRPr="00225D4D">
        <w:rPr>
          <w:rStyle w:val="kursiv"/>
        </w:rPr>
        <w:t>samboerlov</w:t>
      </w:r>
      <w:proofErr w:type="spellEnd"/>
      <w:r w:rsidRPr="00225D4D">
        <w:rPr>
          <w:rStyle w:val="kursiv"/>
        </w:rPr>
        <w:t>.»</w:t>
      </w:r>
    </w:p>
    <w:p w14:paraId="4F78BF63" w14:textId="77777777" w:rsidR="00D60186" w:rsidRPr="00225D4D" w:rsidRDefault="00D60186" w:rsidP="00225D4D">
      <w:r w:rsidRPr="00225D4D">
        <w:t xml:space="preserve">Dokumenta som ligg til grunn for vedtaket, er Dokument 8:5 S (2021–2022) og </w:t>
      </w:r>
      <w:proofErr w:type="spellStart"/>
      <w:r w:rsidRPr="00225D4D">
        <w:t>Innst</w:t>
      </w:r>
      <w:proofErr w:type="spellEnd"/>
      <w:r w:rsidRPr="00225D4D">
        <w:t xml:space="preserve">. 121 S (2021–2022) </w:t>
      </w:r>
      <w:proofErr w:type="spellStart"/>
      <w:r w:rsidRPr="00225D4D">
        <w:t>frå</w:t>
      </w:r>
      <w:proofErr w:type="spellEnd"/>
      <w:r w:rsidRPr="00225D4D">
        <w:t xml:space="preserve"> familie- og kulturkomiteen.</w:t>
      </w:r>
    </w:p>
    <w:p w14:paraId="665315A6"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w:t>
      </w:r>
      <w:proofErr w:type="spellStart"/>
      <w:r w:rsidRPr="00225D4D">
        <w:t>Sambuarlovutvalet</w:t>
      </w:r>
      <w:proofErr w:type="spellEnd"/>
      <w:r w:rsidRPr="00225D4D">
        <w:t xml:space="preserve"> vart </w:t>
      </w:r>
      <w:proofErr w:type="spellStart"/>
      <w:r w:rsidRPr="00225D4D">
        <w:t>oppnemnt</w:t>
      </w:r>
      <w:proofErr w:type="spellEnd"/>
      <w:r w:rsidRPr="00225D4D">
        <w:t xml:space="preserve"> i mars 2023. Utgreiinga </w:t>
      </w:r>
      <w:proofErr w:type="spellStart"/>
      <w:r w:rsidRPr="00225D4D">
        <w:t>frå</w:t>
      </w:r>
      <w:proofErr w:type="spellEnd"/>
      <w:r w:rsidRPr="00225D4D">
        <w:t xml:space="preserve"> </w:t>
      </w:r>
      <w:proofErr w:type="spellStart"/>
      <w:r w:rsidRPr="00225D4D">
        <w:t>utvalet</w:t>
      </w:r>
      <w:proofErr w:type="spellEnd"/>
      <w:r w:rsidRPr="00225D4D">
        <w:t xml:space="preserve">, NOU 2025: 6 </w:t>
      </w:r>
      <w:r w:rsidRPr="00225D4D">
        <w:rPr>
          <w:rStyle w:val="kursiv"/>
        </w:rPr>
        <w:t xml:space="preserve">Samboerloven – Regulering av det økonomiske forholdet mellom samboere, </w:t>
      </w:r>
      <w:proofErr w:type="spellStart"/>
      <w:r w:rsidRPr="00225D4D">
        <w:t>vart</w:t>
      </w:r>
      <w:proofErr w:type="spellEnd"/>
      <w:r w:rsidRPr="00225D4D">
        <w:t xml:space="preserve"> overlevert til Justis- og beredskapsdepartementet 23. mai 2025. Utgreiinga er sendt på </w:t>
      </w:r>
      <w:proofErr w:type="spellStart"/>
      <w:r w:rsidRPr="00225D4D">
        <w:t>offentleg</w:t>
      </w:r>
      <w:proofErr w:type="spellEnd"/>
      <w:r w:rsidRPr="00225D4D">
        <w:t xml:space="preserve"> </w:t>
      </w:r>
      <w:proofErr w:type="spellStart"/>
      <w:r w:rsidRPr="00225D4D">
        <w:t>høyring</w:t>
      </w:r>
      <w:proofErr w:type="spellEnd"/>
      <w:r w:rsidRPr="00225D4D">
        <w:t xml:space="preserve">, med frist for </w:t>
      </w:r>
      <w:proofErr w:type="spellStart"/>
      <w:r w:rsidRPr="00225D4D">
        <w:t>innspel</w:t>
      </w:r>
      <w:proofErr w:type="spellEnd"/>
      <w:r w:rsidRPr="00225D4D">
        <w:t xml:space="preserve"> 1. desember 2025.</w:t>
      </w:r>
    </w:p>
    <w:p w14:paraId="1C727599" w14:textId="77777777" w:rsidR="00D60186" w:rsidRPr="00225D4D" w:rsidRDefault="00D60186" w:rsidP="00225D4D">
      <w:pPr>
        <w:pStyle w:val="avsnitt-tittel"/>
      </w:pPr>
      <w:r w:rsidRPr="00225D4D">
        <w:t>Straffeføresegn om seksuell utnytting av barn</w:t>
      </w:r>
    </w:p>
    <w:p w14:paraId="6E161E75" w14:textId="77777777" w:rsidR="00D60186" w:rsidRPr="00225D4D" w:rsidRDefault="00D60186" w:rsidP="00225D4D">
      <w:pPr>
        <w:pStyle w:val="avsnitt-undertittel"/>
      </w:pPr>
      <w:r w:rsidRPr="00225D4D">
        <w:t>Vedtak nr. 420, 8. mars 2022</w:t>
      </w:r>
    </w:p>
    <w:p w14:paraId="619B7154" w14:textId="77777777" w:rsidR="00D60186" w:rsidRPr="00225D4D" w:rsidRDefault="00D60186" w:rsidP="00225D4D">
      <w:pPr>
        <w:pStyle w:val="blokksit"/>
        <w:rPr>
          <w:rStyle w:val="kursiv"/>
        </w:rPr>
      </w:pPr>
      <w:r w:rsidRPr="00225D4D">
        <w:rPr>
          <w:rStyle w:val="kursiv"/>
        </w:rPr>
        <w:t>«Stortinget ber regjeringen vurdere om ordet ‘livssituasjon’ i straffeloven § 295 første ledd bokstav c bør endres til ‘situasjon’, slik at bestemmelsen rammer det ‘å utnytte en person under 18 år i en særlig sårbar situasjon’.»</w:t>
      </w:r>
    </w:p>
    <w:p w14:paraId="2357830D" w14:textId="77777777" w:rsidR="00D60186" w:rsidRPr="00225D4D" w:rsidRDefault="00D60186" w:rsidP="00225D4D">
      <w:r w:rsidRPr="00225D4D">
        <w:t xml:space="preserve">Dokumenta som ligg til grunn for vedtaket, er Dokument 8:26 S (2021–2022) og </w:t>
      </w:r>
      <w:proofErr w:type="spellStart"/>
      <w:r w:rsidRPr="00225D4D">
        <w:t>Innst</w:t>
      </w:r>
      <w:proofErr w:type="spellEnd"/>
      <w:r w:rsidRPr="00225D4D">
        <w:t xml:space="preserve">. 177 S (2021–2022) </w:t>
      </w:r>
      <w:proofErr w:type="spellStart"/>
      <w:r w:rsidRPr="00225D4D">
        <w:t>frå</w:t>
      </w:r>
      <w:proofErr w:type="spellEnd"/>
      <w:r w:rsidRPr="00225D4D">
        <w:t xml:space="preserve"> justiskomiteen.</w:t>
      </w:r>
    </w:p>
    <w:p w14:paraId="6F4B53E6"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I </w:t>
      </w:r>
      <w:proofErr w:type="spellStart"/>
      <w:r w:rsidRPr="00225D4D">
        <w:t>Prop</w:t>
      </w:r>
      <w:proofErr w:type="spellEnd"/>
      <w:r w:rsidRPr="00225D4D">
        <w:t xml:space="preserve">. 132 L (2024–2025) som vart fremma i april 2025, </w:t>
      </w:r>
      <w:proofErr w:type="spellStart"/>
      <w:r w:rsidRPr="00225D4D">
        <w:t>vart</w:t>
      </w:r>
      <w:proofErr w:type="spellEnd"/>
      <w:r w:rsidRPr="00225D4D">
        <w:t xml:space="preserve"> det foreslått at straffelova § 295 første ledd bokstav c skulle </w:t>
      </w:r>
      <w:proofErr w:type="spellStart"/>
      <w:r w:rsidRPr="00225D4D">
        <w:t>endrast</w:t>
      </w:r>
      <w:proofErr w:type="spellEnd"/>
      <w:r w:rsidRPr="00225D4D">
        <w:t xml:space="preserve"> slik at føresegna </w:t>
      </w:r>
      <w:proofErr w:type="spellStart"/>
      <w:r w:rsidRPr="00225D4D">
        <w:t>rammar</w:t>
      </w:r>
      <w:proofErr w:type="spellEnd"/>
      <w:r w:rsidRPr="00225D4D">
        <w:t xml:space="preserve"> den som </w:t>
      </w:r>
      <w:proofErr w:type="spellStart"/>
      <w:r w:rsidRPr="00225D4D">
        <w:t>skaffar</w:t>
      </w:r>
      <w:proofErr w:type="spellEnd"/>
      <w:r w:rsidRPr="00225D4D">
        <w:t xml:space="preserve"> seg </w:t>
      </w:r>
      <w:proofErr w:type="spellStart"/>
      <w:r w:rsidRPr="00225D4D">
        <w:t>sjølv</w:t>
      </w:r>
      <w:proofErr w:type="spellEnd"/>
      <w:r w:rsidRPr="00225D4D">
        <w:t xml:space="preserve"> eller </w:t>
      </w:r>
      <w:proofErr w:type="spellStart"/>
      <w:r w:rsidRPr="00225D4D">
        <w:t>ein</w:t>
      </w:r>
      <w:proofErr w:type="spellEnd"/>
      <w:r w:rsidRPr="00225D4D">
        <w:t xml:space="preserve"> </w:t>
      </w:r>
      <w:proofErr w:type="spellStart"/>
      <w:r w:rsidRPr="00225D4D">
        <w:t>annan</w:t>
      </w:r>
      <w:proofErr w:type="spellEnd"/>
      <w:r w:rsidRPr="00225D4D">
        <w:t xml:space="preserve"> seksuell omgang, eller får </w:t>
      </w:r>
      <w:proofErr w:type="spellStart"/>
      <w:r w:rsidRPr="00225D4D">
        <w:t>nokon</w:t>
      </w:r>
      <w:proofErr w:type="spellEnd"/>
      <w:r w:rsidRPr="00225D4D">
        <w:t xml:space="preserve"> til å utføre </w:t>
      </w:r>
      <w:proofErr w:type="spellStart"/>
      <w:r w:rsidRPr="00225D4D">
        <w:t>handlingar</w:t>
      </w:r>
      <w:proofErr w:type="spellEnd"/>
      <w:r w:rsidRPr="00225D4D">
        <w:t xml:space="preserve"> som svarer til seksuell omgang med seg </w:t>
      </w:r>
      <w:proofErr w:type="spellStart"/>
      <w:r w:rsidRPr="00225D4D">
        <w:t>sjølv</w:t>
      </w:r>
      <w:proofErr w:type="spellEnd"/>
      <w:r w:rsidRPr="00225D4D">
        <w:t xml:space="preserve">, ved «å utnytte en person under 18 år i en særlig sårbar situasjon». Lovforslaget vart </w:t>
      </w:r>
      <w:proofErr w:type="spellStart"/>
      <w:r w:rsidRPr="00225D4D">
        <w:t>einstemmig</w:t>
      </w:r>
      <w:proofErr w:type="spellEnd"/>
      <w:r w:rsidRPr="00225D4D">
        <w:t xml:space="preserve"> </w:t>
      </w:r>
      <w:proofErr w:type="spellStart"/>
      <w:r w:rsidRPr="00225D4D">
        <w:t>vedteke</w:t>
      </w:r>
      <w:proofErr w:type="spellEnd"/>
      <w:r w:rsidRPr="00225D4D">
        <w:t xml:space="preserve"> av Stortinget, jf. </w:t>
      </w:r>
      <w:proofErr w:type="spellStart"/>
      <w:r w:rsidRPr="00225D4D">
        <w:t>Innst</w:t>
      </w:r>
      <w:proofErr w:type="spellEnd"/>
      <w:r w:rsidRPr="00225D4D">
        <w:t>. 451 L (2024–2025) og lovvedtak 112 (2024–2025), og tredde i kraft 1. juli 2025.</w:t>
      </w:r>
    </w:p>
    <w:p w14:paraId="37DE9804" w14:textId="77777777" w:rsidR="00D60186" w:rsidRPr="00225D4D" w:rsidRDefault="00D60186" w:rsidP="00225D4D">
      <w:pPr>
        <w:pStyle w:val="avsnitt-tittel"/>
      </w:pPr>
      <w:r w:rsidRPr="00225D4D">
        <w:t xml:space="preserve">Organisering av </w:t>
      </w:r>
      <w:proofErr w:type="spellStart"/>
      <w:r w:rsidRPr="00225D4D">
        <w:t>advokatverksemd</w:t>
      </w:r>
      <w:proofErr w:type="spellEnd"/>
    </w:p>
    <w:p w14:paraId="717A95DC" w14:textId="77777777" w:rsidR="00D60186" w:rsidRPr="00225D4D" w:rsidRDefault="00D60186" w:rsidP="00225D4D">
      <w:pPr>
        <w:pStyle w:val="avsnitt-undertittel"/>
      </w:pPr>
      <w:r w:rsidRPr="00225D4D">
        <w:t>Vedtak nr. 504, 28. april 2022</w:t>
      </w:r>
    </w:p>
    <w:p w14:paraId="06D412E9" w14:textId="77777777" w:rsidR="00D60186" w:rsidRPr="00225D4D" w:rsidRDefault="00D60186" w:rsidP="00225D4D">
      <w:pPr>
        <w:pStyle w:val="blokksit"/>
        <w:rPr>
          <w:rStyle w:val="kursiv"/>
        </w:rPr>
      </w:pPr>
      <w:r w:rsidRPr="00225D4D">
        <w:rPr>
          <w:rStyle w:val="kursiv"/>
        </w:rPr>
        <w:t xml:space="preserve">«Stortinget ber regjeringen utarbeide forskrift etter § 19 andre ledd, hvor forsikringsselskap kan tilby advokatbistand gjennom </w:t>
      </w:r>
      <w:proofErr w:type="spellStart"/>
      <w:r w:rsidRPr="00225D4D">
        <w:rPr>
          <w:rStyle w:val="kursiv"/>
        </w:rPr>
        <w:t>rettshjelpforsikring</w:t>
      </w:r>
      <w:proofErr w:type="spellEnd"/>
      <w:r w:rsidRPr="00225D4D">
        <w:rPr>
          <w:rStyle w:val="kursiv"/>
        </w:rPr>
        <w:t>.»</w:t>
      </w:r>
    </w:p>
    <w:p w14:paraId="10E61D09"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214 L (2020–2021) </w:t>
      </w:r>
      <w:r w:rsidRPr="00225D4D">
        <w:rPr>
          <w:rStyle w:val="kursiv"/>
        </w:rPr>
        <w:t>Lov om advokater og andre som yter rettslig bistand (advokatloven)</w:t>
      </w:r>
      <w:r w:rsidRPr="00225D4D">
        <w:t xml:space="preserve">, </w:t>
      </w:r>
      <w:proofErr w:type="spellStart"/>
      <w:r w:rsidRPr="00225D4D">
        <w:t>Innst</w:t>
      </w:r>
      <w:proofErr w:type="spellEnd"/>
      <w:r w:rsidRPr="00225D4D">
        <w:t>. 234 L (2021–2022) og Lovvedtak 61 (2021–2022).</w:t>
      </w:r>
    </w:p>
    <w:p w14:paraId="66F49212" w14:textId="77777777" w:rsidR="00D60186" w:rsidRPr="00225D4D" w:rsidRDefault="00D60186" w:rsidP="00225D4D">
      <w:r w:rsidRPr="00225D4D">
        <w:t xml:space="preserve">Vedtaket er under behandling. Ny </w:t>
      </w:r>
      <w:proofErr w:type="spellStart"/>
      <w:r w:rsidRPr="00225D4D">
        <w:t>advokatlov</w:t>
      </w:r>
      <w:proofErr w:type="spellEnd"/>
      <w:r w:rsidRPr="00225D4D">
        <w:t xml:space="preserve">, ny advokatforskrift og </w:t>
      </w:r>
      <w:proofErr w:type="spellStart"/>
      <w:r w:rsidRPr="00225D4D">
        <w:t>overgangsreglar</w:t>
      </w:r>
      <w:proofErr w:type="spellEnd"/>
      <w:r w:rsidRPr="00225D4D">
        <w:t xml:space="preserve">, </w:t>
      </w:r>
      <w:proofErr w:type="spellStart"/>
      <w:r w:rsidRPr="00225D4D">
        <w:t>irekna</w:t>
      </w:r>
      <w:proofErr w:type="spellEnd"/>
      <w:r w:rsidRPr="00225D4D">
        <w:t xml:space="preserve"> for </w:t>
      </w:r>
      <w:proofErr w:type="spellStart"/>
      <w:r w:rsidRPr="00225D4D">
        <w:t>internadvokatar</w:t>
      </w:r>
      <w:proofErr w:type="spellEnd"/>
      <w:r w:rsidRPr="00225D4D">
        <w:t xml:space="preserve"> (bl.a. </w:t>
      </w:r>
      <w:proofErr w:type="spellStart"/>
      <w:r w:rsidRPr="00225D4D">
        <w:t>forsikringsadvokatar</w:t>
      </w:r>
      <w:proofErr w:type="spellEnd"/>
      <w:r w:rsidRPr="00225D4D">
        <w:t xml:space="preserve">), har tredd i kraft. Oppfølginga av oppmodingsvedtaket krev at </w:t>
      </w:r>
      <w:proofErr w:type="spellStart"/>
      <w:r w:rsidRPr="00225D4D">
        <w:t>ein</w:t>
      </w:r>
      <w:proofErr w:type="spellEnd"/>
      <w:r w:rsidRPr="00225D4D">
        <w:t xml:space="preserve"> vurderer </w:t>
      </w:r>
      <w:proofErr w:type="spellStart"/>
      <w:r w:rsidRPr="00225D4D">
        <w:t>endringane</w:t>
      </w:r>
      <w:proofErr w:type="spellEnd"/>
      <w:r w:rsidRPr="00225D4D">
        <w:t xml:space="preserve"> i lov og forskrift. Vurderinga er </w:t>
      </w:r>
      <w:proofErr w:type="spellStart"/>
      <w:r w:rsidRPr="00225D4D">
        <w:t>påbyrja</w:t>
      </w:r>
      <w:proofErr w:type="spellEnd"/>
      <w:r w:rsidRPr="00225D4D">
        <w:t xml:space="preserve">. Oppmodingsvedtaket blir </w:t>
      </w:r>
      <w:proofErr w:type="spellStart"/>
      <w:r w:rsidRPr="00225D4D">
        <w:t>følgt</w:t>
      </w:r>
      <w:proofErr w:type="spellEnd"/>
      <w:r w:rsidRPr="00225D4D">
        <w:t xml:space="preserve"> opp så raskt som </w:t>
      </w:r>
      <w:proofErr w:type="spellStart"/>
      <w:r w:rsidRPr="00225D4D">
        <w:t>mogleg</w:t>
      </w:r>
      <w:proofErr w:type="spellEnd"/>
      <w:r w:rsidRPr="00225D4D">
        <w:t xml:space="preserve">, og i god tid før overgangsregelen i advokatlova § 73 </w:t>
      </w:r>
      <w:proofErr w:type="spellStart"/>
      <w:r w:rsidRPr="00225D4D">
        <w:t>trettande</w:t>
      </w:r>
      <w:proofErr w:type="spellEnd"/>
      <w:r w:rsidRPr="00225D4D">
        <w:t xml:space="preserve"> ledd løper ut.</w:t>
      </w:r>
    </w:p>
    <w:p w14:paraId="4F94B865" w14:textId="77777777" w:rsidR="00D60186" w:rsidRPr="00225D4D" w:rsidRDefault="00D60186" w:rsidP="00225D4D">
      <w:pPr>
        <w:pStyle w:val="avsnitt-undertittel"/>
      </w:pPr>
      <w:r w:rsidRPr="00225D4D">
        <w:t>Vedtak nr. 506, 28. april 2022</w:t>
      </w:r>
    </w:p>
    <w:p w14:paraId="1772DE33" w14:textId="77777777" w:rsidR="00D60186" w:rsidRPr="00225D4D" w:rsidRDefault="00D60186" w:rsidP="00225D4D">
      <w:pPr>
        <w:pStyle w:val="blokksit"/>
        <w:rPr>
          <w:rStyle w:val="kursiv"/>
        </w:rPr>
      </w:pPr>
      <w:r w:rsidRPr="00225D4D">
        <w:rPr>
          <w:rStyle w:val="kursiv"/>
        </w:rPr>
        <w:t>«Stortinget ber regjeringen iverksette forskrift for berørte forsikringsselskap i god tid før overgangsreglene som vil bli fremmet i forbindelse med ikraftsettingen av advokatloven, utløper i tid.»</w:t>
      </w:r>
    </w:p>
    <w:p w14:paraId="2CC30666"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214 L (2020–2021) </w:t>
      </w:r>
      <w:r w:rsidRPr="00225D4D">
        <w:rPr>
          <w:rStyle w:val="kursiv"/>
        </w:rPr>
        <w:t>Lov om advokater og andre som yter rettslig bistand (advokatloven)</w:t>
      </w:r>
      <w:r w:rsidRPr="00225D4D">
        <w:t xml:space="preserve">, </w:t>
      </w:r>
      <w:proofErr w:type="spellStart"/>
      <w:r w:rsidRPr="00225D4D">
        <w:t>Innst</w:t>
      </w:r>
      <w:proofErr w:type="spellEnd"/>
      <w:r w:rsidRPr="00225D4D">
        <w:t>. 234 L (2021–2022) og Lovvedtak 61 (2021–2022).</w:t>
      </w:r>
    </w:p>
    <w:p w14:paraId="50D92F8D" w14:textId="77777777" w:rsidR="00D60186" w:rsidRPr="00225D4D" w:rsidRDefault="00D60186" w:rsidP="00225D4D">
      <w:r w:rsidRPr="00225D4D">
        <w:t xml:space="preserve">Vedtaket er under behandling. Ny </w:t>
      </w:r>
      <w:proofErr w:type="spellStart"/>
      <w:r w:rsidRPr="00225D4D">
        <w:t>advokatlov</w:t>
      </w:r>
      <w:proofErr w:type="spellEnd"/>
      <w:r w:rsidRPr="00225D4D">
        <w:t xml:space="preserve">, ny advokatforskrift og </w:t>
      </w:r>
      <w:proofErr w:type="spellStart"/>
      <w:r w:rsidRPr="00225D4D">
        <w:t>overgangsreglar</w:t>
      </w:r>
      <w:proofErr w:type="spellEnd"/>
      <w:r w:rsidRPr="00225D4D">
        <w:t xml:space="preserve">, </w:t>
      </w:r>
      <w:proofErr w:type="spellStart"/>
      <w:r w:rsidRPr="00225D4D">
        <w:t>irekna</w:t>
      </w:r>
      <w:proofErr w:type="spellEnd"/>
      <w:r w:rsidRPr="00225D4D">
        <w:t xml:space="preserve"> for </w:t>
      </w:r>
      <w:proofErr w:type="spellStart"/>
      <w:r w:rsidRPr="00225D4D">
        <w:t>internadvokatar</w:t>
      </w:r>
      <w:proofErr w:type="spellEnd"/>
      <w:r w:rsidRPr="00225D4D">
        <w:t xml:space="preserve"> (bl.a. </w:t>
      </w:r>
      <w:proofErr w:type="spellStart"/>
      <w:r w:rsidRPr="00225D4D">
        <w:t>forsikringsadvokatar</w:t>
      </w:r>
      <w:proofErr w:type="spellEnd"/>
      <w:r w:rsidRPr="00225D4D">
        <w:t xml:space="preserve">), har tredd i kraft. Oppfølginga av oppmodingsvedtaket krev at </w:t>
      </w:r>
      <w:proofErr w:type="spellStart"/>
      <w:r w:rsidRPr="00225D4D">
        <w:t>ein</w:t>
      </w:r>
      <w:proofErr w:type="spellEnd"/>
      <w:r w:rsidRPr="00225D4D">
        <w:t xml:space="preserve"> vurderer </w:t>
      </w:r>
      <w:proofErr w:type="spellStart"/>
      <w:r w:rsidRPr="00225D4D">
        <w:t>endringane</w:t>
      </w:r>
      <w:proofErr w:type="spellEnd"/>
      <w:r w:rsidRPr="00225D4D">
        <w:t xml:space="preserve"> i lov og forskrift. Vurderinga er </w:t>
      </w:r>
      <w:proofErr w:type="spellStart"/>
      <w:r w:rsidRPr="00225D4D">
        <w:t>påbyrja</w:t>
      </w:r>
      <w:proofErr w:type="spellEnd"/>
      <w:r w:rsidRPr="00225D4D">
        <w:t xml:space="preserve">. Oppmodingsvedtaket blir </w:t>
      </w:r>
      <w:proofErr w:type="spellStart"/>
      <w:r w:rsidRPr="00225D4D">
        <w:t>følgt</w:t>
      </w:r>
      <w:proofErr w:type="spellEnd"/>
      <w:r w:rsidRPr="00225D4D">
        <w:t xml:space="preserve"> opp så raskt som </w:t>
      </w:r>
      <w:proofErr w:type="spellStart"/>
      <w:r w:rsidRPr="00225D4D">
        <w:t>mogleg</w:t>
      </w:r>
      <w:proofErr w:type="spellEnd"/>
      <w:r w:rsidRPr="00225D4D">
        <w:t xml:space="preserve">, og i god tid før overgangsregelen i advokatlova § 73 </w:t>
      </w:r>
      <w:proofErr w:type="spellStart"/>
      <w:r w:rsidRPr="00225D4D">
        <w:t>trettande</w:t>
      </w:r>
      <w:proofErr w:type="spellEnd"/>
      <w:r w:rsidRPr="00225D4D">
        <w:t xml:space="preserve"> ledd løper ut.</w:t>
      </w:r>
    </w:p>
    <w:p w14:paraId="37020C6A" w14:textId="77777777" w:rsidR="00D60186" w:rsidRPr="00225D4D" w:rsidRDefault="00D60186" w:rsidP="00225D4D">
      <w:pPr>
        <w:pStyle w:val="avsnitt-tittel"/>
      </w:pPr>
      <w:r w:rsidRPr="00225D4D">
        <w:t>Vurdering av naturskadeforsikringsordninga</w:t>
      </w:r>
    </w:p>
    <w:p w14:paraId="64A31054" w14:textId="77777777" w:rsidR="00D60186" w:rsidRPr="00225D4D" w:rsidRDefault="00D60186" w:rsidP="00225D4D">
      <w:pPr>
        <w:pStyle w:val="avsnitt-undertittel"/>
      </w:pPr>
      <w:r w:rsidRPr="00225D4D">
        <w:t>Vedtak nr. 579, 24. mai 2022</w:t>
      </w:r>
    </w:p>
    <w:p w14:paraId="5EB64DD7" w14:textId="77777777" w:rsidR="00D60186" w:rsidRPr="00225D4D" w:rsidRDefault="00D60186" w:rsidP="00225D4D">
      <w:pPr>
        <w:pStyle w:val="blokksit"/>
        <w:rPr>
          <w:rStyle w:val="kursiv"/>
        </w:rPr>
      </w:pPr>
      <w:r w:rsidRPr="00225D4D">
        <w:rPr>
          <w:rStyle w:val="kursiv"/>
        </w:rPr>
        <w:t>«Stortinget ber regjeringen vurdere mulighetene for å innrette naturskadeforsikringsordningen slik at den bedre ivaretar hensynet til forebygging, men likevel slik at dette ikke går på bekostning av prinsippet om en solidarisk og lik premiefastsettelse for forsikringskunder i hele landet.»</w:t>
      </w:r>
    </w:p>
    <w:p w14:paraId="12D51D74" w14:textId="77777777" w:rsidR="00D60186" w:rsidRPr="00225D4D" w:rsidRDefault="00D60186" w:rsidP="00225D4D">
      <w:r w:rsidRPr="00225D4D">
        <w:t xml:space="preserve">Dokumenta som ligg til grunn for forslaget, er </w:t>
      </w:r>
      <w:proofErr w:type="spellStart"/>
      <w:r w:rsidRPr="00225D4D">
        <w:t>Prop</w:t>
      </w:r>
      <w:proofErr w:type="spellEnd"/>
      <w:r w:rsidRPr="00225D4D">
        <w:t xml:space="preserve">. 62 L (2021–2022) og </w:t>
      </w:r>
      <w:proofErr w:type="spellStart"/>
      <w:r w:rsidRPr="00225D4D">
        <w:t>Innst</w:t>
      </w:r>
      <w:proofErr w:type="spellEnd"/>
      <w:r w:rsidRPr="00225D4D">
        <w:t>. 308 L (2021–2022).</w:t>
      </w:r>
    </w:p>
    <w:p w14:paraId="14D7B7A5"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Departementet vurderte </w:t>
      </w:r>
      <w:proofErr w:type="spellStart"/>
      <w:r w:rsidRPr="00225D4D">
        <w:t>moglegheitene</w:t>
      </w:r>
      <w:proofErr w:type="spellEnd"/>
      <w:r w:rsidRPr="00225D4D">
        <w:t xml:space="preserve"> for å innrette naturskadeforsikringslova slik at ho betre tar omsyn til </w:t>
      </w:r>
      <w:proofErr w:type="spellStart"/>
      <w:r w:rsidRPr="00225D4D">
        <w:t>førebygging</w:t>
      </w:r>
      <w:proofErr w:type="spellEnd"/>
      <w:r w:rsidRPr="00225D4D">
        <w:t xml:space="preserve">, i </w:t>
      </w:r>
      <w:proofErr w:type="spellStart"/>
      <w:r w:rsidRPr="00225D4D">
        <w:t>høyringsnotat</w:t>
      </w:r>
      <w:proofErr w:type="spellEnd"/>
      <w:r w:rsidRPr="00225D4D">
        <w:t xml:space="preserve"> om ny naturskadeforsikringslov 24. juni 2024.</w:t>
      </w:r>
    </w:p>
    <w:p w14:paraId="32ACF9E0" w14:textId="77777777" w:rsidR="00D60186" w:rsidRPr="00225D4D" w:rsidRDefault="00D60186" w:rsidP="00225D4D">
      <w:pPr>
        <w:pStyle w:val="avsnitt-tittel"/>
      </w:pPr>
      <w:r w:rsidRPr="00225D4D">
        <w:t xml:space="preserve">Utgreiing av meldeplikt for norske </w:t>
      </w:r>
      <w:proofErr w:type="spellStart"/>
      <w:r w:rsidRPr="00225D4D">
        <w:t>tenesteleverandørar</w:t>
      </w:r>
      <w:proofErr w:type="spellEnd"/>
    </w:p>
    <w:p w14:paraId="30FAE469" w14:textId="77777777" w:rsidR="00D60186" w:rsidRPr="00225D4D" w:rsidRDefault="00D60186" w:rsidP="00225D4D">
      <w:pPr>
        <w:pStyle w:val="avsnitt-undertittel"/>
      </w:pPr>
      <w:r w:rsidRPr="00225D4D">
        <w:t>Vedtak nr. 581, 30. mai 2022</w:t>
      </w:r>
    </w:p>
    <w:p w14:paraId="24196869" w14:textId="77777777" w:rsidR="00D60186" w:rsidRPr="00225D4D" w:rsidRDefault="00D60186" w:rsidP="00225D4D">
      <w:pPr>
        <w:pStyle w:val="blokksit"/>
        <w:rPr>
          <w:rStyle w:val="kursiv"/>
        </w:rPr>
      </w:pPr>
      <w:r w:rsidRPr="00225D4D">
        <w:rPr>
          <w:rStyle w:val="kursiv"/>
        </w:rPr>
        <w:t>«Stortinget ber regjeringen utrede innføring av en plikt for norske tjenesteleverandører til å melde fra dersom de oppdager at deres tjenester brukes til straffbar oppbevaring eller distribusjon av overgrepsmateriale.»</w:t>
      </w:r>
    </w:p>
    <w:p w14:paraId="7DC75CEE" w14:textId="77777777" w:rsidR="00D60186" w:rsidRPr="00225D4D" w:rsidRDefault="00D60186" w:rsidP="00225D4D">
      <w:r w:rsidRPr="00225D4D">
        <w:t xml:space="preserve">Dokumenta som ligg til grunn for vedtaket, er Dokument 8:126 S (2021–2022) og </w:t>
      </w:r>
      <w:proofErr w:type="spellStart"/>
      <w:r w:rsidRPr="00225D4D">
        <w:t>Innst</w:t>
      </w:r>
      <w:proofErr w:type="spellEnd"/>
      <w:r w:rsidRPr="00225D4D">
        <w:t xml:space="preserve">. 309 S (2021–2022) </w:t>
      </w:r>
      <w:proofErr w:type="spellStart"/>
      <w:r w:rsidRPr="00225D4D">
        <w:t>frå</w:t>
      </w:r>
      <w:proofErr w:type="spellEnd"/>
      <w:r w:rsidRPr="00225D4D">
        <w:t xml:space="preserve"> justiskomiteen.</w:t>
      </w:r>
    </w:p>
    <w:p w14:paraId="64452007" w14:textId="77777777" w:rsidR="00D60186" w:rsidRPr="00225D4D" w:rsidRDefault="00D60186" w:rsidP="00225D4D">
      <w:r w:rsidRPr="00225D4D">
        <w:t xml:space="preserve">Vedtaket er under behandling. Departementet ser denne saka i </w:t>
      </w:r>
      <w:proofErr w:type="spellStart"/>
      <w:r w:rsidRPr="00225D4D">
        <w:t>samanheng</w:t>
      </w:r>
      <w:proofErr w:type="spellEnd"/>
      <w:r w:rsidRPr="00225D4D">
        <w:t xml:space="preserve"> med EUs forslag om å innføre ei </w:t>
      </w:r>
      <w:proofErr w:type="spellStart"/>
      <w:r w:rsidRPr="00225D4D">
        <w:t>tilsvarande</w:t>
      </w:r>
      <w:proofErr w:type="spellEnd"/>
      <w:r w:rsidRPr="00225D4D">
        <w:t xml:space="preserve"> plikt, men EUs arbeid er </w:t>
      </w:r>
      <w:proofErr w:type="spellStart"/>
      <w:r w:rsidRPr="00225D4D">
        <w:t>forseinka</w:t>
      </w:r>
      <w:proofErr w:type="spellEnd"/>
      <w:r w:rsidRPr="00225D4D">
        <w:t xml:space="preserve">, då det </w:t>
      </w:r>
      <w:proofErr w:type="spellStart"/>
      <w:r w:rsidRPr="00225D4D">
        <w:t>ikkje</w:t>
      </w:r>
      <w:proofErr w:type="spellEnd"/>
      <w:r w:rsidRPr="00225D4D">
        <w:t xml:space="preserve"> er semje om heile forordninga. Ei mellombels forordning er </w:t>
      </w:r>
      <w:proofErr w:type="spellStart"/>
      <w:r w:rsidRPr="00225D4D">
        <w:t>vedteken</w:t>
      </w:r>
      <w:proofErr w:type="spellEnd"/>
      <w:r w:rsidRPr="00225D4D">
        <w:t xml:space="preserve">, som gir </w:t>
      </w:r>
      <w:proofErr w:type="spellStart"/>
      <w:r w:rsidRPr="00225D4D">
        <w:t>tenestetilbydarane</w:t>
      </w:r>
      <w:proofErr w:type="spellEnd"/>
      <w:r w:rsidRPr="00225D4D">
        <w:t xml:space="preserve"> </w:t>
      </w:r>
      <w:proofErr w:type="spellStart"/>
      <w:r w:rsidRPr="00225D4D">
        <w:t>ein</w:t>
      </w:r>
      <w:proofErr w:type="spellEnd"/>
      <w:r w:rsidRPr="00225D4D">
        <w:t xml:space="preserve"> heimel til å melde </w:t>
      </w:r>
      <w:proofErr w:type="spellStart"/>
      <w:r w:rsidRPr="00225D4D">
        <w:t>frå</w:t>
      </w:r>
      <w:proofErr w:type="spellEnd"/>
      <w:r w:rsidRPr="00225D4D">
        <w:t xml:space="preserve"> om </w:t>
      </w:r>
      <w:proofErr w:type="spellStart"/>
      <w:r w:rsidRPr="00225D4D">
        <w:t>mogleg</w:t>
      </w:r>
      <w:proofErr w:type="spellEnd"/>
      <w:r w:rsidRPr="00225D4D">
        <w:t xml:space="preserve"> overgrepsmateriale, og forordninga vil bli teken inn i norsk rett ved </w:t>
      </w:r>
      <w:proofErr w:type="spellStart"/>
      <w:r w:rsidRPr="00225D4D">
        <w:t>ikraftsetjinga</w:t>
      </w:r>
      <w:proofErr w:type="spellEnd"/>
      <w:r w:rsidRPr="00225D4D">
        <w:t xml:space="preserve"> av den nye e-komlova. I samband med arbeidet er det gjennomført </w:t>
      </w:r>
      <w:proofErr w:type="spellStart"/>
      <w:r w:rsidRPr="00225D4D">
        <w:t>ein</w:t>
      </w:r>
      <w:proofErr w:type="spellEnd"/>
      <w:r w:rsidRPr="00225D4D">
        <w:t xml:space="preserve"> </w:t>
      </w:r>
      <w:proofErr w:type="spellStart"/>
      <w:r w:rsidRPr="00225D4D">
        <w:t>høyring</w:t>
      </w:r>
      <w:proofErr w:type="spellEnd"/>
      <w:r w:rsidRPr="00225D4D">
        <w:t xml:space="preserve"> av et </w:t>
      </w:r>
      <w:proofErr w:type="spellStart"/>
      <w:r w:rsidRPr="00225D4D">
        <w:t>tidligare</w:t>
      </w:r>
      <w:proofErr w:type="spellEnd"/>
      <w:r w:rsidRPr="00225D4D">
        <w:t xml:space="preserve"> utkast </w:t>
      </w:r>
      <w:proofErr w:type="spellStart"/>
      <w:r w:rsidRPr="00225D4D">
        <w:t>frå</w:t>
      </w:r>
      <w:proofErr w:type="spellEnd"/>
      <w:r w:rsidRPr="00225D4D">
        <w:t xml:space="preserve"> Kommisjonen, og ei interdepartemental arbeidsgruppe har hatt </w:t>
      </w:r>
      <w:proofErr w:type="spellStart"/>
      <w:r w:rsidRPr="00225D4D">
        <w:t>fleire</w:t>
      </w:r>
      <w:proofErr w:type="spellEnd"/>
      <w:r w:rsidRPr="00225D4D">
        <w:t xml:space="preserve"> møter, også med Nasjonal kommunikasjonsmyndigheit (</w:t>
      </w:r>
      <w:proofErr w:type="spellStart"/>
      <w:r w:rsidRPr="00225D4D">
        <w:t>Nkom</w:t>
      </w:r>
      <w:proofErr w:type="spellEnd"/>
      <w:r w:rsidRPr="00225D4D">
        <w:t xml:space="preserve">), Kripos og Datatilsynet. Da </w:t>
      </w:r>
      <w:proofErr w:type="spellStart"/>
      <w:r w:rsidRPr="00225D4D">
        <w:t>forhandlingane</w:t>
      </w:r>
      <w:proofErr w:type="spellEnd"/>
      <w:r w:rsidRPr="00225D4D">
        <w:t xml:space="preserve"> i EU har tatt lenger tid enn venta, er den </w:t>
      </w:r>
      <w:proofErr w:type="spellStart"/>
      <w:r w:rsidRPr="00225D4D">
        <w:t>mellombelse</w:t>
      </w:r>
      <w:proofErr w:type="spellEnd"/>
      <w:r w:rsidRPr="00225D4D">
        <w:t xml:space="preserve"> forordninga forlenga til 3. april 2026, og anmodningsvedtaket vil </w:t>
      </w:r>
      <w:proofErr w:type="spellStart"/>
      <w:r w:rsidRPr="00225D4D">
        <w:t>følgast</w:t>
      </w:r>
      <w:proofErr w:type="spellEnd"/>
      <w:r w:rsidRPr="00225D4D">
        <w:t xml:space="preserve"> opp innafor den </w:t>
      </w:r>
      <w:proofErr w:type="spellStart"/>
      <w:r w:rsidRPr="00225D4D">
        <w:t>endelege</w:t>
      </w:r>
      <w:proofErr w:type="spellEnd"/>
      <w:r w:rsidRPr="00225D4D">
        <w:t xml:space="preserve"> forordninga i EU når denne er </w:t>
      </w:r>
      <w:proofErr w:type="spellStart"/>
      <w:r w:rsidRPr="00225D4D">
        <w:t>vedteke</w:t>
      </w:r>
      <w:proofErr w:type="spellEnd"/>
      <w:r w:rsidRPr="00225D4D">
        <w:t>.</w:t>
      </w:r>
    </w:p>
    <w:p w14:paraId="4AEA9943" w14:textId="77777777" w:rsidR="00D60186" w:rsidRPr="00225D4D" w:rsidRDefault="00D60186" w:rsidP="00225D4D">
      <w:pPr>
        <w:pStyle w:val="avsnitt-tittel"/>
      </w:pPr>
      <w:r w:rsidRPr="00225D4D">
        <w:t xml:space="preserve">Regelverk om varsling </w:t>
      </w:r>
      <w:proofErr w:type="spellStart"/>
      <w:r w:rsidRPr="00225D4D">
        <w:t>frå</w:t>
      </w:r>
      <w:proofErr w:type="spellEnd"/>
      <w:r w:rsidRPr="00225D4D">
        <w:t xml:space="preserve"> kriminalomsorga</w:t>
      </w:r>
    </w:p>
    <w:p w14:paraId="25068EAF" w14:textId="77777777" w:rsidR="00D60186" w:rsidRPr="00225D4D" w:rsidRDefault="00D60186" w:rsidP="00225D4D">
      <w:pPr>
        <w:pStyle w:val="avsnitt-undertittel"/>
      </w:pPr>
      <w:r w:rsidRPr="00225D4D">
        <w:t>Vedtak nr. 582, 30. mai 2022</w:t>
      </w:r>
    </w:p>
    <w:p w14:paraId="079CA645" w14:textId="77777777" w:rsidR="00D60186" w:rsidRPr="00225D4D" w:rsidRDefault="00D60186" w:rsidP="00225D4D">
      <w:pPr>
        <w:pStyle w:val="blokksit"/>
        <w:rPr>
          <w:rStyle w:val="kursiv"/>
        </w:rPr>
      </w:pPr>
      <w:r w:rsidRPr="00225D4D">
        <w:rPr>
          <w:rStyle w:val="kursiv"/>
        </w:rPr>
        <w:t>«Stortinget ber regjeringen gjennomføre et regelverksarbeid om varsling fra kriminalomsorgen, der hensynet til fornærmede og etterlatte vektlegges sterkere enn det som ligger i dagens regler.»</w:t>
      </w:r>
    </w:p>
    <w:p w14:paraId="1FA35E9D" w14:textId="77777777" w:rsidR="00D60186" w:rsidRPr="00225D4D" w:rsidRDefault="00D60186" w:rsidP="00225D4D">
      <w:r w:rsidRPr="00225D4D">
        <w:t xml:space="preserve">Dokumenta som ligg til grunn for vedtaket, er Dokument 8:133 S (2021–2022) og </w:t>
      </w:r>
      <w:proofErr w:type="spellStart"/>
      <w:r w:rsidRPr="00225D4D">
        <w:t>Innst</w:t>
      </w:r>
      <w:proofErr w:type="spellEnd"/>
      <w:r w:rsidRPr="00225D4D">
        <w:t xml:space="preserve">. 311 S (2021–2022) </w:t>
      </w:r>
      <w:proofErr w:type="spellStart"/>
      <w:r w:rsidRPr="00225D4D">
        <w:t>frå</w:t>
      </w:r>
      <w:proofErr w:type="spellEnd"/>
      <w:r w:rsidRPr="00225D4D">
        <w:t xml:space="preserve"> justiskomiteen.</w:t>
      </w:r>
    </w:p>
    <w:p w14:paraId="597173B1" w14:textId="77777777" w:rsidR="00D60186" w:rsidRPr="00225D4D" w:rsidRDefault="00D60186" w:rsidP="00225D4D">
      <w:r w:rsidRPr="00225D4D">
        <w:t xml:space="preserve">Vedtaket er under behandling. </w:t>
      </w:r>
      <w:proofErr w:type="spellStart"/>
      <w:r w:rsidRPr="00225D4D">
        <w:t>Eit</w:t>
      </w:r>
      <w:proofErr w:type="spellEnd"/>
      <w:r w:rsidRPr="00225D4D">
        <w:t xml:space="preserve"> forslag om varslingsplikt for kriminalomsorga om straffegjennomføringa til domfelte har </w:t>
      </w:r>
      <w:proofErr w:type="spellStart"/>
      <w:r w:rsidRPr="00225D4D">
        <w:t>vore</w:t>
      </w:r>
      <w:proofErr w:type="spellEnd"/>
      <w:r w:rsidRPr="00225D4D">
        <w:t xml:space="preserve"> på </w:t>
      </w:r>
      <w:proofErr w:type="spellStart"/>
      <w:r w:rsidRPr="00225D4D">
        <w:t>høyring</w:t>
      </w:r>
      <w:proofErr w:type="spellEnd"/>
      <w:r w:rsidRPr="00225D4D">
        <w:t xml:space="preserve">. </w:t>
      </w:r>
      <w:proofErr w:type="spellStart"/>
      <w:r w:rsidRPr="00225D4D">
        <w:t>Høyringsfristen</w:t>
      </w:r>
      <w:proofErr w:type="spellEnd"/>
      <w:r w:rsidRPr="00225D4D">
        <w:t xml:space="preserve"> gjekk ut 1. april 2025 og </w:t>
      </w:r>
      <w:proofErr w:type="spellStart"/>
      <w:r w:rsidRPr="00225D4D">
        <w:t>høyringa</w:t>
      </w:r>
      <w:proofErr w:type="spellEnd"/>
      <w:r w:rsidRPr="00225D4D">
        <w:t xml:space="preserve"> er </w:t>
      </w:r>
      <w:proofErr w:type="spellStart"/>
      <w:r w:rsidRPr="00225D4D">
        <w:t>no</w:t>
      </w:r>
      <w:proofErr w:type="spellEnd"/>
      <w:r w:rsidRPr="00225D4D">
        <w:t xml:space="preserve"> til oppfølging i departementet.</w:t>
      </w:r>
    </w:p>
    <w:p w14:paraId="70703227" w14:textId="77777777" w:rsidR="00D60186" w:rsidRPr="00225D4D" w:rsidRDefault="00D60186" w:rsidP="00225D4D">
      <w:pPr>
        <w:pStyle w:val="avsnitt-tittel"/>
      </w:pPr>
      <w:r w:rsidRPr="00225D4D">
        <w:t xml:space="preserve">Tryggleik for </w:t>
      </w:r>
      <w:proofErr w:type="spellStart"/>
      <w:r w:rsidRPr="00225D4D">
        <w:t>personar</w:t>
      </w:r>
      <w:proofErr w:type="spellEnd"/>
      <w:r w:rsidRPr="00225D4D">
        <w:t xml:space="preserve"> med funksjonshindring</w:t>
      </w:r>
    </w:p>
    <w:p w14:paraId="1B40EEBE" w14:textId="77777777" w:rsidR="00D60186" w:rsidRPr="00225D4D" w:rsidRDefault="00D60186" w:rsidP="00225D4D">
      <w:pPr>
        <w:pStyle w:val="avsnitt-undertittel"/>
      </w:pPr>
      <w:r w:rsidRPr="00225D4D">
        <w:t>Vedtak nr. 654, 3. juni 2022</w:t>
      </w:r>
    </w:p>
    <w:p w14:paraId="2513AA25" w14:textId="77777777" w:rsidR="00D60186" w:rsidRPr="00225D4D" w:rsidRDefault="00D60186" w:rsidP="00225D4D">
      <w:pPr>
        <w:pStyle w:val="blokksit"/>
        <w:rPr>
          <w:rStyle w:val="kursiv"/>
        </w:rPr>
      </w:pPr>
      <w:r w:rsidRPr="00225D4D">
        <w:rPr>
          <w:rStyle w:val="kursiv"/>
        </w:rPr>
        <w:t>«Stortinget ber regjeringen se på hvordan myndighetene kan treffe nødvendige tiltak for å sikre funksjonshindrede beskyttelse og sikkerhet i risikosituasjoner i hele krisespekteret, og sikre at funksjonshindredes organisasjoner høres i forbindelse med dette.»</w:t>
      </w:r>
    </w:p>
    <w:p w14:paraId="7E730CFA" w14:textId="77777777" w:rsidR="00D60186" w:rsidRPr="00225D4D" w:rsidRDefault="00D60186" w:rsidP="00225D4D">
      <w:r w:rsidRPr="00225D4D">
        <w:t xml:space="preserve">Dokumenta som ligg til grunn for vedtaket, er Dokument 8:213 S (2021–2022) og </w:t>
      </w:r>
      <w:proofErr w:type="spellStart"/>
      <w:r w:rsidRPr="00225D4D">
        <w:t>Innst</w:t>
      </w:r>
      <w:proofErr w:type="spellEnd"/>
      <w:r w:rsidRPr="00225D4D">
        <w:t xml:space="preserve">. 367 S (2021–2022) </w:t>
      </w:r>
      <w:proofErr w:type="spellStart"/>
      <w:r w:rsidRPr="00225D4D">
        <w:t>frå</w:t>
      </w:r>
      <w:proofErr w:type="spellEnd"/>
      <w:r w:rsidRPr="00225D4D">
        <w:t xml:space="preserve"> justiskomiteen.</w:t>
      </w:r>
    </w:p>
    <w:p w14:paraId="1EC5D439" w14:textId="77777777" w:rsidR="00D60186" w:rsidRPr="00225D4D" w:rsidRDefault="00D60186" w:rsidP="00225D4D">
      <w:r w:rsidRPr="00225D4D">
        <w:t xml:space="preserve">Vedtaket er under behandling og vil </w:t>
      </w:r>
      <w:proofErr w:type="spellStart"/>
      <w:r w:rsidRPr="00225D4D">
        <w:t>sjåast</w:t>
      </w:r>
      <w:proofErr w:type="spellEnd"/>
      <w:r w:rsidRPr="00225D4D">
        <w:t xml:space="preserve"> i </w:t>
      </w:r>
      <w:proofErr w:type="spellStart"/>
      <w:r w:rsidRPr="00225D4D">
        <w:t>samanheng</w:t>
      </w:r>
      <w:proofErr w:type="spellEnd"/>
      <w:r w:rsidRPr="00225D4D">
        <w:t xml:space="preserve"> med </w:t>
      </w:r>
      <w:proofErr w:type="spellStart"/>
      <w:r w:rsidRPr="00225D4D">
        <w:t>pågåande</w:t>
      </w:r>
      <w:proofErr w:type="spellEnd"/>
      <w:r w:rsidRPr="00225D4D">
        <w:t xml:space="preserve"> arbeidet med utvikling av nytt vernekonsept og nye kriterium for bygging av vernerom. Forslag til nytt regelverk vil bli sendt på </w:t>
      </w:r>
      <w:proofErr w:type="spellStart"/>
      <w:r w:rsidRPr="00225D4D">
        <w:t>alminneleg</w:t>
      </w:r>
      <w:proofErr w:type="spellEnd"/>
      <w:r w:rsidRPr="00225D4D">
        <w:t xml:space="preserve"> </w:t>
      </w:r>
      <w:proofErr w:type="spellStart"/>
      <w:r w:rsidRPr="00225D4D">
        <w:t>høyring</w:t>
      </w:r>
      <w:proofErr w:type="spellEnd"/>
      <w:r w:rsidRPr="00225D4D">
        <w:t xml:space="preserve"> slik at også funksjonshindras </w:t>
      </w:r>
      <w:proofErr w:type="spellStart"/>
      <w:r w:rsidRPr="00225D4D">
        <w:t>organisasjonar</w:t>
      </w:r>
      <w:proofErr w:type="spellEnd"/>
      <w:r w:rsidRPr="00225D4D">
        <w:t xml:space="preserve"> vil bli </w:t>
      </w:r>
      <w:proofErr w:type="spellStart"/>
      <w:r w:rsidRPr="00225D4D">
        <w:t>høyrt</w:t>
      </w:r>
      <w:proofErr w:type="spellEnd"/>
      <w:r w:rsidRPr="00225D4D">
        <w:t>.</w:t>
      </w:r>
    </w:p>
    <w:p w14:paraId="266B5CDC" w14:textId="77777777" w:rsidR="00D60186" w:rsidRPr="00225D4D" w:rsidRDefault="00D60186" w:rsidP="00225D4D">
      <w:pPr>
        <w:pStyle w:val="avsnitt-tittel"/>
      </w:pPr>
      <w:proofErr w:type="spellStart"/>
      <w:r w:rsidRPr="00225D4D">
        <w:t>Forbod</w:t>
      </w:r>
      <w:proofErr w:type="spellEnd"/>
      <w:r w:rsidRPr="00225D4D">
        <w:t xml:space="preserve"> mot sal av forfalne </w:t>
      </w:r>
      <w:proofErr w:type="spellStart"/>
      <w:r w:rsidRPr="00225D4D">
        <w:t>fordringar</w:t>
      </w:r>
      <w:proofErr w:type="spellEnd"/>
    </w:p>
    <w:p w14:paraId="7FD628B4" w14:textId="77777777" w:rsidR="00D60186" w:rsidRPr="00225D4D" w:rsidRDefault="00D60186" w:rsidP="00225D4D">
      <w:pPr>
        <w:pStyle w:val="avsnitt-undertittel"/>
      </w:pPr>
      <w:r w:rsidRPr="00225D4D">
        <w:t>Vedtak nr. 795, 15. juni 2022</w:t>
      </w:r>
    </w:p>
    <w:p w14:paraId="55E477DA" w14:textId="77777777" w:rsidR="00D60186" w:rsidRPr="00225D4D" w:rsidRDefault="00D60186" w:rsidP="00225D4D">
      <w:pPr>
        <w:pStyle w:val="blokksit"/>
        <w:rPr>
          <w:rStyle w:val="kursiv"/>
        </w:rPr>
      </w:pPr>
      <w:r w:rsidRPr="00225D4D">
        <w:rPr>
          <w:rStyle w:val="kursiv"/>
        </w:rPr>
        <w:t>«Stortinget ber regjeringen utrede muligheten for å forby salg av forfalte fordringer hvor forbruker er debitor.»</w:t>
      </w:r>
    </w:p>
    <w:p w14:paraId="38D6C6C7" w14:textId="77777777" w:rsidR="00D60186" w:rsidRPr="00225D4D" w:rsidRDefault="00D60186" w:rsidP="00225D4D">
      <w:r w:rsidRPr="00225D4D">
        <w:t xml:space="preserve">Dokumenta som ligg til grunn for vedtaket, er Dokument 8:200 S (2021–2022) og </w:t>
      </w:r>
      <w:proofErr w:type="spellStart"/>
      <w:r w:rsidRPr="00225D4D">
        <w:t>Innst</w:t>
      </w:r>
      <w:proofErr w:type="spellEnd"/>
      <w:r w:rsidRPr="00225D4D">
        <w:t>. 373 S (2021–2022).</w:t>
      </w:r>
    </w:p>
    <w:p w14:paraId="22949F4E" w14:textId="77777777" w:rsidR="00D60186" w:rsidRPr="00225D4D" w:rsidRDefault="00D60186" w:rsidP="00225D4D">
      <w:r w:rsidRPr="00225D4D">
        <w:t xml:space="preserve">Vedtaket er under behandling. Departementet vil behandle vedtaket i samband med arbeidet med ny inkassolov og sjå vedtaket i </w:t>
      </w:r>
      <w:proofErr w:type="spellStart"/>
      <w:r w:rsidRPr="00225D4D">
        <w:t>samanheng</w:t>
      </w:r>
      <w:proofErr w:type="spellEnd"/>
      <w:r w:rsidRPr="00225D4D">
        <w:t xml:space="preserve"> med </w:t>
      </w:r>
      <w:proofErr w:type="spellStart"/>
      <w:r w:rsidRPr="00225D4D">
        <w:t>reglar</w:t>
      </w:r>
      <w:proofErr w:type="spellEnd"/>
      <w:r w:rsidRPr="00225D4D">
        <w:t xml:space="preserve"> i direktiv (EU) 2021/2167 om kredittenestefirma og </w:t>
      </w:r>
      <w:proofErr w:type="spellStart"/>
      <w:r w:rsidRPr="00225D4D">
        <w:t>kredittkjøparar</w:t>
      </w:r>
      <w:proofErr w:type="spellEnd"/>
      <w:r w:rsidRPr="00225D4D">
        <w:t xml:space="preserve"> og direktiv (EU) 2023/2225 om </w:t>
      </w:r>
      <w:proofErr w:type="spellStart"/>
      <w:r w:rsidRPr="00225D4D">
        <w:t>forbrukarkredittavtalar</w:t>
      </w:r>
      <w:proofErr w:type="spellEnd"/>
      <w:r w:rsidRPr="00225D4D">
        <w:t>.</w:t>
      </w:r>
    </w:p>
    <w:p w14:paraId="3AB0331A" w14:textId="77777777" w:rsidR="00D60186" w:rsidRPr="00225D4D" w:rsidRDefault="00D60186" w:rsidP="00225D4D">
      <w:pPr>
        <w:pStyle w:val="Overskrift3"/>
      </w:pPr>
      <w:r w:rsidRPr="00225D4D">
        <w:t>Stortingssesjonen 2020–2021</w:t>
      </w:r>
    </w:p>
    <w:p w14:paraId="14A53607" w14:textId="77777777" w:rsidR="00D60186" w:rsidRPr="00225D4D" w:rsidRDefault="00D60186" w:rsidP="00225D4D">
      <w:pPr>
        <w:pStyle w:val="avsnitt-tittel"/>
      </w:pPr>
      <w:r w:rsidRPr="00225D4D">
        <w:t xml:space="preserve">Utviding av </w:t>
      </w:r>
      <w:proofErr w:type="spellStart"/>
      <w:r w:rsidRPr="00225D4D">
        <w:t>avverjingsplikta</w:t>
      </w:r>
      <w:proofErr w:type="spellEnd"/>
    </w:p>
    <w:p w14:paraId="21166C42" w14:textId="77777777" w:rsidR="00D60186" w:rsidRPr="00225D4D" w:rsidRDefault="00D60186" w:rsidP="00225D4D">
      <w:pPr>
        <w:pStyle w:val="avsnitt-undertittel"/>
      </w:pPr>
      <w:r w:rsidRPr="00225D4D">
        <w:t>Vedtak nr. 47, 3. november 2020</w:t>
      </w:r>
    </w:p>
    <w:p w14:paraId="7443DEEA" w14:textId="77777777" w:rsidR="00D60186" w:rsidRPr="00225D4D" w:rsidRDefault="00D60186" w:rsidP="00225D4D">
      <w:pPr>
        <w:pStyle w:val="blokksit"/>
        <w:rPr>
          <w:rStyle w:val="kursiv"/>
        </w:rPr>
      </w:pPr>
      <w:r w:rsidRPr="00225D4D">
        <w:rPr>
          <w:rStyle w:val="kursiv"/>
        </w:rPr>
        <w:t>«Stortinget ber regjeringen utrede om avvergingsplikten i straffeloven § 196 bør utvides til også å omfatte flere straffbare handlinger, særlig straffeloven §§ 257, 260, 261, 272 b, 292, 293, 294, 300,301, 302, 304 og 305.»</w:t>
      </w:r>
    </w:p>
    <w:p w14:paraId="6ACBA706"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66 L (2019–2020) og </w:t>
      </w:r>
      <w:proofErr w:type="spellStart"/>
      <w:r w:rsidRPr="00225D4D">
        <w:t>Innst</w:t>
      </w:r>
      <w:proofErr w:type="spellEnd"/>
      <w:r w:rsidRPr="00225D4D">
        <w:t>. 41 L (2020–2021).</w:t>
      </w:r>
    </w:p>
    <w:p w14:paraId="21D3804D" w14:textId="77777777" w:rsidR="00D60186" w:rsidRPr="00225D4D" w:rsidRDefault="00D60186" w:rsidP="00225D4D">
      <w:r w:rsidRPr="00225D4D">
        <w:t xml:space="preserve">Vedtaket er under behandling. </w:t>
      </w:r>
      <w:proofErr w:type="spellStart"/>
      <w:r w:rsidRPr="00225D4D">
        <w:t>Lovbrot</w:t>
      </w:r>
      <w:proofErr w:type="spellEnd"/>
      <w:r w:rsidRPr="00225D4D">
        <w:t xml:space="preserve"> som </w:t>
      </w:r>
      <w:proofErr w:type="spellStart"/>
      <w:r w:rsidRPr="00225D4D">
        <w:t>nemnde</w:t>
      </w:r>
      <w:proofErr w:type="spellEnd"/>
      <w:r w:rsidRPr="00225D4D">
        <w:t xml:space="preserve"> i straffelova § 293 (grov </w:t>
      </w:r>
      <w:proofErr w:type="spellStart"/>
      <w:r w:rsidRPr="00225D4D">
        <w:t>valdtekt</w:t>
      </w:r>
      <w:proofErr w:type="spellEnd"/>
      <w:r w:rsidRPr="00225D4D">
        <w:t xml:space="preserve">), § 300 (minstestraff for </w:t>
      </w:r>
      <w:proofErr w:type="spellStart"/>
      <w:r w:rsidRPr="00225D4D">
        <w:t>valdtekt</w:t>
      </w:r>
      <w:proofErr w:type="spellEnd"/>
      <w:r w:rsidRPr="00225D4D">
        <w:t xml:space="preserve"> til samleie av barn under 14 år) og § 301 (grov </w:t>
      </w:r>
      <w:proofErr w:type="spellStart"/>
      <w:r w:rsidRPr="00225D4D">
        <w:t>valdtekt</w:t>
      </w:r>
      <w:proofErr w:type="spellEnd"/>
      <w:r w:rsidRPr="00225D4D">
        <w:t xml:space="preserve"> av barn under 14 år) var omfatta av </w:t>
      </w:r>
      <w:proofErr w:type="spellStart"/>
      <w:r w:rsidRPr="00225D4D">
        <w:t>avverjingsplikta</w:t>
      </w:r>
      <w:proofErr w:type="spellEnd"/>
      <w:r w:rsidRPr="00225D4D">
        <w:t xml:space="preserve"> </w:t>
      </w:r>
      <w:proofErr w:type="spellStart"/>
      <w:r w:rsidRPr="00225D4D">
        <w:t>allereie</w:t>
      </w:r>
      <w:proofErr w:type="spellEnd"/>
      <w:r w:rsidRPr="00225D4D">
        <w:t xml:space="preserve"> då oppmodingsvedtaket vart fatta, jf. at § 291 (</w:t>
      </w:r>
      <w:proofErr w:type="spellStart"/>
      <w:r w:rsidRPr="00225D4D">
        <w:t>valdtekt</w:t>
      </w:r>
      <w:proofErr w:type="spellEnd"/>
      <w:r w:rsidRPr="00225D4D">
        <w:t>) og § 299 (</w:t>
      </w:r>
      <w:proofErr w:type="spellStart"/>
      <w:r w:rsidRPr="00225D4D">
        <w:t>valdtekt</w:t>
      </w:r>
      <w:proofErr w:type="spellEnd"/>
      <w:r w:rsidRPr="00225D4D">
        <w:t xml:space="preserve"> av barn under 14 år) er, og var, </w:t>
      </w:r>
      <w:proofErr w:type="spellStart"/>
      <w:r w:rsidRPr="00225D4D">
        <w:t>nemnde</w:t>
      </w:r>
      <w:proofErr w:type="spellEnd"/>
      <w:r w:rsidRPr="00225D4D">
        <w:t xml:space="preserve"> i § 196. Straffelova § 292 er oppheva med verknad </w:t>
      </w:r>
      <w:proofErr w:type="spellStart"/>
      <w:r w:rsidRPr="00225D4D">
        <w:t>frå</w:t>
      </w:r>
      <w:proofErr w:type="spellEnd"/>
      <w:r w:rsidRPr="00225D4D">
        <w:t xml:space="preserve"> 1. juli 2025. Resten av vedtaket er under behandling. </w:t>
      </w:r>
      <w:proofErr w:type="spellStart"/>
      <w:r w:rsidRPr="00225D4D">
        <w:t>Lovutvalet</w:t>
      </w:r>
      <w:proofErr w:type="spellEnd"/>
      <w:r w:rsidRPr="00225D4D">
        <w:t xml:space="preserve"> om negativ sosial kontroll m.m. har i NOU 2024: 13 foreslått at </w:t>
      </w:r>
      <w:proofErr w:type="spellStart"/>
      <w:r w:rsidRPr="00225D4D">
        <w:t>avverjingsplikta</w:t>
      </w:r>
      <w:proofErr w:type="spellEnd"/>
      <w:r w:rsidRPr="00225D4D">
        <w:t xml:space="preserve"> blir utvida til å omfatte </w:t>
      </w:r>
      <w:proofErr w:type="spellStart"/>
      <w:r w:rsidRPr="00225D4D">
        <w:t>lovbrota</w:t>
      </w:r>
      <w:proofErr w:type="spellEnd"/>
      <w:r w:rsidRPr="00225D4D">
        <w:t xml:space="preserve"> som er </w:t>
      </w:r>
      <w:proofErr w:type="spellStart"/>
      <w:r w:rsidRPr="00225D4D">
        <w:t>nemnde</w:t>
      </w:r>
      <w:proofErr w:type="spellEnd"/>
      <w:r w:rsidRPr="00225D4D">
        <w:t xml:space="preserve"> i straffelova § 261 (</w:t>
      </w:r>
      <w:proofErr w:type="spellStart"/>
      <w:r w:rsidRPr="00225D4D">
        <w:t>omsorgsunndraging</w:t>
      </w:r>
      <w:proofErr w:type="spellEnd"/>
      <w:r w:rsidRPr="00225D4D">
        <w:t xml:space="preserve">). Utgreiinga vart send på </w:t>
      </w:r>
      <w:proofErr w:type="spellStart"/>
      <w:r w:rsidRPr="00225D4D">
        <w:t>høyring</w:t>
      </w:r>
      <w:proofErr w:type="spellEnd"/>
      <w:r w:rsidRPr="00225D4D">
        <w:t xml:space="preserve"> 28. juni 2024, med </w:t>
      </w:r>
      <w:proofErr w:type="spellStart"/>
      <w:r w:rsidRPr="00225D4D">
        <w:t>høyringsfrist</w:t>
      </w:r>
      <w:proofErr w:type="spellEnd"/>
      <w:r w:rsidRPr="00225D4D">
        <w:t xml:space="preserve"> 28. oktober 2024.</w:t>
      </w:r>
    </w:p>
    <w:p w14:paraId="49EDCBD6" w14:textId="77777777" w:rsidR="00D60186" w:rsidRPr="00225D4D" w:rsidRDefault="00D60186" w:rsidP="00225D4D">
      <w:pPr>
        <w:pStyle w:val="avsnitt-tittel"/>
      </w:pPr>
      <w:proofErr w:type="spellStart"/>
      <w:r w:rsidRPr="00225D4D">
        <w:t>Forelding</w:t>
      </w:r>
      <w:proofErr w:type="spellEnd"/>
      <w:r w:rsidRPr="00225D4D">
        <w:t xml:space="preserve"> av </w:t>
      </w:r>
      <w:proofErr w:type="spellStart"/>
      <w:r w:rsidRPr="00225D4D">
        <w:t>lovbrot</w:t>
      </w:r>
      <w:proofErr w:type="spellEnd"/>
      <w:r w:rsidRPr="00225D4D">
        <w:t xml:space="preserve"> mot mindreårige</w:t>
      </w:r>
    </w:p>
    <w:p w14:paraId="42B19D9E" w14:textId="77777777" w:rsidR="00D60186" w:rsidRPr="00225D4D" w:rsidRDefault="00D60186" w:rsidP="00225D4D">
      <w:pPr>
        <w:pStyle w:val="avsnitt-undertittel"/>
      </w:pPr>
      <w:r w:rsidRPr="00225D4D">
        <w:t>Vedtak nr. 50, 3. november 2020</w:t>
      </w:r>
    </w:p>
    <w:p w14:paraId="32F89E2D" w14:textId="77777777" w:rsidR="00D60186" w:rsidRPr="00225D4D" w:rsidRDefault="00D60186" w:rsidP="00225D4D">
      <w:pPr>
        <w:pStyle w:val="blokksit"/>
        <w:rPr>
          <w:rStyle w:val="kursiv"/>
        </w:rPr>
      </w:pPr>
      <w:r w:rsidRPr="00225D4D">
        <w:rPr>
          <w:rStyle w:val="kursiv"/>
        </w:rPr>
        <w:t>«Stortinget ber regjeringen foreta en helhetlig gjennomgang av foreldelsesreglene for seksuallovbrudd og voldsforbrytelser mot mindreårige, og komme tilbake til Stortinget med forslag til lovendringer som hever det generelle nivået på foreldelsesfrister for denne typen lovbrudd.»</w:t>
      </w:r>
    </w:p>
    <w:p w14:paraId="06D8EDC8"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66 L (2019–2020) og </w:t>
      </w:r>
      <w:proofErr w:type="spellStart"/>
      <w:r w:rsidRPr="00225D4D">
        <w:t>Innst</w:t>
      </w:r>
      <w:proofErr w:type="spellEnd"/>
      <w:r w:rsidRPr="00225D4D">
        <w:t>. 41 L (2020–2021).</w:t>
      </w:r>
    </w:p>
    <w:p w14:paraId="4B26C56E" w14:textId="77777777" w:rsidR="00D60186" w:rsidRPr="00225D4D" w:rsidRDefault="00D60186" w:rsidP="00225D4D">
      <w:r w:rsidRPr="00225D4D">
        <w:t>Vedtaket er under behandling. Sjå òg vedtak nr. 1159 av 7. juni 2021.</w:t>
      </w:r>
    </w:p>
    <w:p w14:paraId="2970FA82" w14:textId="77777777" w:rsidR="00D60186" w:rsidRPr="00225D4D" w:rsidRDefault="00D60186" w:rsidP="00225D4D">
      <w:pPr>
        <w:pStyle w:val="avsnitt-tittel"/>
      </w:pPr>
      <w:proofErr w:type="spellStart"/>
      <w:r w:rsidRPr="00225D4D">
        <w:t>Tilgjengelege</w:t>
      </w:r>
      <w:proofErr w:type="spellEnd"/>
      <w:r w:rsidRPr="00225D4D">
        <w:t xml:space="preserve"> </w:t>
      </w:r>
      <w:proofErr w:type="spellStart"/>
      <w:r w:rsidRPr="00225D4D">
        <w:t>dopingopplysningar</w:t>
      </w:r>
      <w:proofErr w:type="spellEnd"/>
    </w:p>
    <w:p w14:paraId="6E471621" w14:textId="77777777" w:rsidR="00D60186" w:rsidRPr="00225D4D" w:rsidRDefault="00D60186" w:rsidP="00225D4D">
      <w:pPr>
        <w:pStyle w:val="avsnitt-undertittel"/>
      </w:pPr>
      <w:r w:rsidRPr="00225D4D">
        <w:t>Vedtak nr. 64, 10. november 2020</w:t>
      </w:r>
    </w:p>
    <w:p w14:paraId="3828E613" w14:textId="77777777" w:rsidR="00D60186" w:rsidRPr="00225D4D" w:rsidRDefault="00D60186" w:rsidP="00225D4D">
      <w:pPr>
        <w:pStyle w:val="blokksit"/>
        <w:rPr>
          <w:rStyle w:val="kursiv"/>
        </w:rPr>
      </w:pPr>
      <w:r w:rsidRPr="00225D4D">
        <w:rPr>
          <w:rStyle w:val="kursiv"/>
        </w:rPr>
        <w:t xml:space="preserve">«Stortinget ber regjeringen vurdere hvordan opplysninger om idrettsutøvere og støtteapparat som straffes for </w:t>
      </w:r>
      <w:proofErr w:type="spellStart"/>
      <w:r w:rsidRPr="00225D4D">
        <w:rPr>
          <w:rStyle w:val="kursiv"/>
        </w:rPr>
        <w:t>dopingkriminalitet</w:t>
      </w:r>
      <w:proofErr w:type="spellEnd"/>
      <w:r w:rsidRPr="00225D4D">
        <w:rPr>
          <w:rStyle w:val="kursiv"/>
        </w:rPr>
        <w:t>, også kan gjøres tilgjengelig for antidopingorganisasjonene, herunder eventuelle behov for endring av lovgivning.»</w:t>
      </w:r>
    </w:p>
    <w:p w14:paraId="140F4AEF" w14:textId="77777777" w:rsidR="00D60186" w:rsidRPr="00225D4D" w:rsidRDefault="00D60186" w:rsidP="00225D4D">
      <w:r w:rsidRPr="00225D4D">
        <w:t xml:space="preserve">Dokumenta som ligg til grunn for vedtaket, er Dokument 8:95 S (2018–2019) og </w:t>
      </w:r>
      <w:proofErr w:type="spellStart"/>
      <w:r w:rsidRPr="00225D4D">
        <w:t>Innst</w:t>
      </w:r>
      <w:proofErr w:type="spellEnd"/>
      <w:r w:rsidRPr="00225D4D">
        <w:t xml:space="preserve">. 48 S (2020–2021) </w:t>
      </w:r>
      <w:proofErr w:type="spellStart"/>
      <w:r w:rsidRPr="00225D4D">
        <w:t>frå</w:t>
      </w:r>
      <w:proofErr w:type="spellEnd"/>
      <w:r w:rsidRPr="00225D4D">
        <w:t xml:space="preserve"> justiskomiteen.</w:t>
      </w:r>
    </w:p>
    <w:p w14:paraId="29BA791C" w14:textId="77777777" w:rsidR="00D60186" w:rsidRPr="00225D4D" w:rsidRDefault="00D60186" w:rsidP="00225D4D">
      <w:r w:rsidRPr="00225D4D">
        <w:t>Vedtaket er under behandling.</w:t>
      </w:r>
    </w:p>
    <w:p w14:paraId="71C4E92E" w14:textId="77777777" w:rsidR="00D60186" w:rsidRPr="00225D4D" w:rsidRDefault="00D60186" w:rsidP="00225D4D">
      <w:pPr>
        <w:pStyle w:val="avsnitt-tittel"/>
      </w:pPr>
      <w:r w:rsidRPr="00225D4D">
        <w:t xml:space="preserve">Straff for den som </w:t>
      </w:r>
      <w:proofErr w:type="spellStart"/>
      <w:r w:rsidRPr="00225D4D">
        <w:t>tener</w:t>
      </w:r>
      <w:proofErr w:type="spellEnd"/>
      <w:r w:rsidRPr="00225D4D">
        <w:t xml:space="preserve"> </w:t>
      </w:r>
      <w:proofErr w:type="spellStart"/>
      <w:r w:rsidRPr="00225D4D">
        <w:t>pengar</w:t>
      </w:r>
      <w:proofErr w:type="spellEnd"/>
      <w:r w:rsidRPr="00225D4D">
        <w:t xml:space="preserve"> på </w:t>
      </w:r>
      <w:proofErr w:type="spellStart"/>
      <w:r w:rsidRPr="00225D4D">
        <w:t>idrettsprestasjonar</w:t>
      </w:r>
      <w:proofErr w:type="spellEnd"/>
      <w:r w:rsidRPr="00225D4D">
        <w:t xml:space="preserve"> som </w:t>
      </w:r>
      <w:proofErr w:type="spellStart"/>
      <w:r w:rsidRPr="00225D4D">
        <w:t>følgje</w:t>
      </w:r>
      <w:proofErr w:type="spellEnd"/>
      <w:r w:rsidRPr="00225D4D">
        <w:t xml:space="preserve"> av doping</w:t>
      </w:r>
    </w:p>
    <w:p w14:paraId="2A328AE4" w14:textId="77777777" w:rsidR="00D60186" w:rsidRPr="00225D4D" w:rsidRDefault="00D60186" w:rsidP="00225D4D">
      <w:pPr>
        <w:pStyle w:val="avsnitt-undertittel"/>
      </w:pPr>
      <w:r w:rsidRPr="00225D4D">
        <w:t>Vedtak nr. 65, 10. november 2020</w:t>
      </w:r>
    </w:p>
    <w:p w14:paraId="700705FF" w14:textId="77777777" w:rsidR="00D60186" w:rsidRPr="00225D4D" w:rsidRDefault="00D60186" w:rsidP="00225D4D">
      <w:pPr>
        <w:pStyle w:val="blokksit"/>
        <w:rPr>
          <w:rStyle w:val="kursiv"/>
        </w:rPr>
      </w:pPr>
      <w:r w:rsidRPr="00225D4D">
        <w:rPr>
          <w:rStyle w:val="kursiv"/>
        </w:rPr>
        <w:t>«Stortinget ber regjeringen vurdere muligheter for nye bestemmelser i straffeloven for å kunne straffeforfølge de som tjener penger på idrettsprestasjoner som følge av doping, og mulighet for inndragning.»</w:t>
      </w:r>
    </w:p>
    <w:p w14:paraId="587DF82E" w14:textId="77777777" w:rsidR="00D60186" w:rsidRPr="00225D4D" w:rsidRDefault="00D60186" w:rsidP="00225D4D">
      <w:r w:rsidRPr="00225D4D">
        <w:t xml:space="preserve">Dokumenta som ligg til grunn for vedtaket, er Dokument 8:95 S (2018–2019) og </w:t>
      </w:r>
      <w:proofErr w:type="spellStart"/>
      <w:r w:rsidRPr="00225D4D">
        <w:t>Innst</w:t>
      </w:r>
      <w:proofErr w:type="spellEnd"/>
      <w:r w:rsidRPr="00225D4D">
        <w:t xml:space="preserve">. 48 S (2020–2021) </w:t>
      </w:r>
      <w:proofErr w:type="spellStart"/>
      <w:r w:rsidRPr="00225D4D">
        <w:t>frå</w:t>
      </w:r>
      <w:proofErr w:type="spellEnd"/>
      <w:r w:rsidRPr="00225D4D">
        <w:t xml:space="preserve"> justiskomiteen.</w:t>
      </w:r>
    </w:p>
    <w:p w14:paraId="73A6CFF4" w14:textId="77777777" w:rsidR="00D60186" w:rsidRPr="00225D4D" w:rsidRDefault="00D60186" w:rsidP="00225D4D">
      <w:r w:rsidRPr="00225D4D">
        <w:t>Vedtaket er under behandling.</w:t>
      </w:r>
    </w:p>
    <w:p w14:paraId="6184BC46" w14:textId="77777777" w:rsidR="00D60186" w:rsidRPr="00225D4D" w:rsidRDefault="00D60186" w:rsidP="00225D4D">
      <w:pPr>
        <w:pStyle w:val="avsnitt-tittel"/>
      </w:pPr>
      <w:proofErr w:type="spellStart"/>
      <w:r w:rsidRPr="00225D4D">
        <w:t>Klarare</w:t>
      </w:r>
      <w:proofErr w:type="spellEnd"/>
      <w:r w:rsidRPr="00225D4D">
        <w:t xml:space="preserve"> </w:t>
      </w:r>
      <w:proofErr w:type="spellStart"/>
      <w:r w:rsidRPr="00225D4D">
        <w:t>skilje</w:t>
      </w:r>
      <w:proofErr w:type="spellEnd"/>
      <w:r w:rsidRPr="00225D4D">
        <w:t xml:space="preserve"> mellom </w:t>
      </w:r>
      <w:proofErr w:type="spellStart"/>
      <w:r w:rsidRPr="00225D4D">
        <w:t>konvensjonsstatus</w:t>
      </w:r>
      <w:proofErr w:type="spellEnd"/>
      <w:r w:rsidRPr="00225D4D">
        <w:t xml:space="preserve"> (asyl) og subsidiært vern</w:t>
      </w:r>
    </w:p>
    <w:p w14:paraId="3C37B45A" w14:textId="77777777" w:rsidR="00D60186" w:rsidRPr="00225D4D" w:rsidRDefault="00D60186" w:rsidP="00225D4D">
      <w:pPr>
        <w:pStyle w:val="avsnitt-undertittel"/>
      </w:pPr>
      <w:r w:rsidRPr="00225D4D">
        <w:t>Vedtak nr. 206, 7. desember 2020</w:t>
      </w:r>
    </w:p>
    <w:p w14:paraId="400EC241" w14:textId="77777777" w:rsidR="00D60186" w:rsidRPr="00225D4D" w:rsidRDefault="00D60186" w:rsidP="00225D4D">
      <w:pPr>
        <w:pStyle w:val="blokksit"/>
        <w:rPr>
          <w:rStyle w:val="kursiv"/>
        </w:rPr>
      </w:pPr>
      <w:r w:rsidRPr="00225D4D">
        <w:rPr>
          <w:rStyle w:val="kursiv"/>
        </w:rPr>
        <w:t xml:space="preserve">«Stortinget ber regjeringen komme tilbake med forslag til lovendringer som innenfor rammen av internasjonale forpliktelser gir et klarere skille mellom </w:t>
      </w:r>
      <w:proofErr w:type="spellStart"/>
      <w:r w:rsidRPr="00225D4D">
        <w:rPr>
          <w:rStyle w:val="kursiv"/>
        </w:rPr>
        <w:t>konvensjonstatus</w:t>
      </w:r>
      <w:proofErr w:type="spellEnd"/>
      <w:r w:rsidRPr="00225D4D">
        <w:rPr>
          <w:rStyle w:val="kursiv"/>
        </w:rPr>
        <w:t xml:space="preserve"> (asyl) og subsidiær beskyttelse, gjennom å begrense retten til familiegjenforening samt utvide bruken av midlertidige tillatelser ved subsidiær beskyttelse.»</w:t>
      </w:r>
    </w:p>
    <w:p w14:paraId="113EFE20" w14:textId="77777777" w:rsidR="00D60186" w:rsidRPr="00225D4D" w:rsidRDefault="00D60186" w:rsidP="00225D4D">
      <w:r w:rsidRPr="00225D4D">
        <w:t>Dokumentet som ligg til grunn for vedtaket, er Dokument 8:71 L (2020–2021).</w:t>
      </w:r>
    </w:p>
    <w:p w14:paraId="38A7C22E" w14:textId="77777777" w:rsidR="00D60186" w:rsidRPr="00225D4D" w:rsidRDefault="00D60186" w:rsidP="00225D4D">
      <w:r w:rsidRPr="00225D4D">
        <w:t>Vedtaket er under behandling.</w:t>
      </w:r>
    </w:p>
    <w:p w14:paraId="16D12D2A" w14:textId="77777777" w:rsidR="00D60186" w:rsidRPr="00225D4D" w:rsidRDefault="00D60186" w:rsidP="00225D4D">
      <w:pPr>
        <w:pStyle w:val="avsnitt-tittel"/>
      </w:pPr>
      <w:r w:rsidRPr="00225D4D">
        <w:t>Klarlegging av identitet</w:t>
      </w:r>
    </w:p>
    <w:p w14:paraId="71BE5E8D" w14:textId="77777777" w:rsidR="00D60186" w:rsidRPr="00225D4D" w:rsidRDefault="00D60186" w:rsidP="00225D4D">
      <w:pPr>
        <w:pStyle w:val="avsnitt-undertittel"/>
      </w:pPr>
      <w:r w:rsidRPr="00225D4D">
        <w:t>Vedtak nr. 208, 7. desember 2020</w:t>
      </w:r>
    </w:p>
    <w:p w14:paraId="2F3E2D34" w14:textId="77777777" w:rsidR="00D60186" w:rsidRPr="00225D4D" w:rsidRDefault="00D60186" w:rsidP="00225D4D">
      <w:pPr>
        <w:pStyle w:val="blokksit"/>
        <w:rPr>
          <w:rStyle w:val="kursiv"/>
        </w:rPr>
      </w:pPr>
      <w:r w:rsidRPr="00225D4D">
        <w:rPr>
          <w:rStyle w:val="kursiv"/>
        </w:rPr>
        <w:t>«Stortinget ber regjeringen stille de samme krav til klarlegging av identitet for permanent oppholdstillatelse og familieetablering som for statsborgerskap.»</w:t>
      </w:r>
    </w:p>
    <w:p w14:paraId="7F58DF9B" w14:textId="77777777" w:rsidR="00D60186" w:rsidRPr="00225D4D" w:rsidRDefault="00D60186" w:rsidP="00225D4D">
      <w:r w:rsidRPr="00225D4D">
        <w:t>Dokumentet som ligg til grunn for vedtaket, er Dokument 8:71 L (2020–2021).</w:t>
      </w:r>
    </w:p>
    <w:p w14:paraId="0F873499" w14:textId="77777777" w:rsidR="00D60186" w:rsidRPr="00225D4D" w:rsidRDefault="00D60186" w:rsidP="00225D4D">
      <w:r w:rsidRPr="00225D4D">
        <w:t xml:space="preserve">Det blir lagt til grunn at intensjonen bak oppmodingsvedtaket er </w:t>
      </w:r>
      <w:proofErr w:type="spellStart"/>
      <w:r w:rsidRPr="00225D4D">
        <w:t>eit</w:t>
      </w:r>
      <w:proofErr w:type="spellEnd"/>
      <w:r w:rsidRPr="00225D4D">
        <w:t xml:space="preserve"> ønske om </w:t>
      </w:r>
      <w:proofErr w:type="spellStart"/>
      <w:r w:rsidRPr="00225D4D">
        <w:t>strengare</w:t>
      </w:r>
      <w:proofErr w:type="spellEnd"/>
      <w:r w:rsidRPr="00225D4D">
        <w:t xml:space="preserve"> kontroll av identiteten til </w:t>
      </w:r>
      <w:proofErr w:type="spellStart"/>
      <w:r w:rsidRPr="00225D4D">
        <w:t>utlendingar</w:t>
      </w:r>
      <w:proofErr w:type="spellEnd"/>
      <w:r w:rsidRPr="00225D4D">
        <w:t xml:space="preserve"> med </w:t>
      </w:r>
      <w:proofErr w:type="spellStart"/>
      <w:r w:rsidRPr="00225D4D">
        <w:t>opphaldsløyve</w:t>
      </w:r>
      <w:proofErr w:type="spellEnd"/>
      <w:r w:rsidRPr="00225D4D">
        <w:t xml:space="preserve"> i </w:t>
      </w:r>
      <w:proofErr w:type="spellStart"/>
      <w:r w:rsidRPr="00225D4D">
        <w:t>Noreg</w:t>
      </w:r>
      <w:proofErr w:type="spellEnd"/>
      <w:r w:rsidRPr="00225D4D">
        <w:t xml:space="preserve">. Departementet meiner at det å kjenne identiteten til </w:t>
      </w:r>
      <w:proofErr w:type="spellStart"/>
      <w:r w:rsidRPr="00225D4D">
        <w:t>utlendingar</w:t>
      </w:r>
      <w:proofErr w:type="spellEnd"/>
      <w:r w:rsidRPr="00225D4D">
        <w:t xml:space="preserve"> som </w:t>
      </w:r>
      <w:proofErr w:type="spellStart"/>
      <w:r w:rsidRPr="00225D4D">
        <w:t>oppheld</w:t>
      </w:r>
      <w:proofErr w:type="spellEnd"/>
      <w:r w:rsidRPr="00225D4D">
        <w:t xml:space="preserve"> seg i </w:t>
      </w:r>
      <w:proofErr w:type="spellStart"/>
      <w:r w:rsidRPr="00225D4D">
        <w:t>Noreg</w:t>
      </w:r>
      <w:proofErr w:type="spellEnd"/>
      <w:r w:rsidRPr="00225D4D">
        <w:t xml:space="preserve"> er viktig både for utlendingsstyresmaktene og for politiet. </w:t>
      </w:r>
      <w:proofErr w:type="spellStart"/>
      <w:r w:rsidRPr="00225D4D">
        <w:t>Ein</w:t>
      </w:r>
      <w:proofErr w:type="spellEnd"/>
      <w:r w:rsidRPr="00225D4D">
        <w:t xml:space="preserve"> gjennomgang av regelverk og praksis viser likevel at innføring av vilkår om klarlagt identitet i </w:t>
      </w:r>
      <w:proofErr w:type="spellStart"/>
      <w:r w:rsidRPr="00225D4D">
        <w:t>dei</w:t>
      </w:r>
      <w:proofErr w:type="spellEnd"/>
      <w:r w:rsidRPr="00225D4D">
        <w:t xml:space="preserve"> to </w:t>
      </w:r>
      <w:proofErr w:type="spellStart"/>
      <w:r w:rsidRPr="00225D4D">
        <w:t>nemnde</w:t>
      </w:r>
      <w:proofErr w:type="spellEnd"/>
      <w:r w:rsidRPr="00225D4D">
        <w:t xml:space="preserve"> </w:t>
      </w:r>
      <w:proofErr w:type="spellStart"/>
      <w:r w:rsidRPr="00225D4D">
        <w:t>sakstypane</w:t>
      </w:r>
      <w:proofErr w:type="spellEnd"/>
      <w:r w:rsidRPr="00225D4D">
        <w:t xml:space="preserve"> </w:t>
      </w:r>
      <w:proofErr w:type="spellStart"/>
      <w:r w:rsidRPr="00225D4D">
        <w:t>berre</w:t>
      </w:r>
      <w:proofErr w:type="spellEnd"/>
      <w:r w:rsidRPr="00225D4D">
        <w:t xml:space="preserve"> i svært avgrensa grad vil </w:t>
      </w:r>
      <w:proofErr w:type="spellStart"/>
      <w:r w:rsidRPr="00225D4D">
        <w:t>innebere</w:t>
      </w:r>
      <w:proofErr w:type="spellEnd"/>
      <w:r w:rsidRPr="00225D4D">
        <w:t xml:space="preserve"> </w:t>
      </w:r>
      <w:proofErr w:type="spellStart"/>
      <w:r w:rsidRPr="00225D4D">
        <w:t>ein</w:t>
      </w:r>
      <w:proofErr w:type="spellEnd"/>
      <w:r w:rsidRPr="00225D4D">
        <w:t xml:space="preserve"> </w:t>
      </w:r>
      <w:proofErr w:type="spellStart"/>
      <w:r w:rsidRPr="00225D4D">
        <w:t>høgare</w:t>
      </w:r>
      <w:proofErr w:type="spellEnd"/>
      <w:r w:rsidRPr="00225D4D">
        <w:t xml:space="preserve"> juridisk terskel </w:t>
      </w:r>
      <w:proofErr w:type="spellStart"/>
      <w:r w:rsidRPr="00225D4D">
        <w:t>samanlikna</w:t>
      </w:r>
      <w:proofErr w:type="spellEnd"/>
      <w:r w:rsidRPr="00225D4D">
        <w:t xml:space="preserve"> med </w:t>
      </w:r>
      <w:proofErr w:type="spellStart"/>
      <w:r w:rsidRPr="00225D4D">
        <w:t>dei</w:t>
      </w:r>
      <w:proofErr w:type="spellEnd"/>
      <w:r w:rsidRPr="00225D4D">
        <w:t xml:space="preserve"> </w:t>
      </w:r>
      <w:proofErr w:type="spellStart"/>
      <w:r w:rsidRPr="00225D4D">
        <w:t>gjeldande</w:t>
      </w:r>
      <w:proofErr w:type="spellEnd"/>
      <w:r w:rsidRPr="00225D4D">
        <w:t xml:space="preserve"> vilkåra om dokumentert og sannsynleggjord identitet. Unntaka </w:t>
      </w:r>
      <w:proofErr w:type="spellStart"/>
      <w:r w:rsidRPr="00225D4D">
        <w:t>frå</w:t>
      </w:r>
      <w:proofErr w:type="spellEnd"/>
      <w:r w:rsidRPr="00225D4D">
        <w:t xml:space="preserve"> ID-krava er tilnærma identiske i </w:t>
      </w:r>
      <w:proofErr w:type="spellStart"/>
      <w:r w:rsidRPr="00225D4D">
        <w:t>statsborgarforskrifta</w:t>
      </w:r>
      <w:proofErr w:type="spellEnd"/>
      <w:r w:rsidRPr="00225D4D">
        <w:t xml:space="preserve"> og utlendingsforskrifta. </w:t>
      </w:r>
      <w:proofErr w:type="spellStart"/>
      <w:r w:rsidRPr="00225D4D">
        <w:t>Eit</w:t>
      </w:r>
      <w:proofErr w:type="spellEnd"/>
      <w:r w:rsidRPr="00225D4D">
        <w:t xml:space="preserve"> endra beviskrav vil få utslag i </w:t>
      </w:r>
      <w:proofErr w:type="spellStart"/>
      <w:r w:rsidRPr="00225D4D">
        <w:t>ein</w:t>
      </w:r>
      <w:proofErr w:type="spellEnd"/>
      <w:r w:rsidRPr="00225D4D">
        <w:t xml:space="preserve"> svært liten del av søknadene. Samtidig vil saksbehandlinga bli </w:t>
      </w:r>
      <w:proofErr w:type="spellStart"/>
      <w:r w:rsidRPr="00225D4D">
        <w:t>meir</w:t>
      </w:r>
      <w:proofErr w:type="spellEnd"/>
      <w:r w:rsidRPr="00225D4D">
        <w:t xml:space="preserve"> </w:t>
      </w:r>
      <w:proofErr w:type="spellStart"/>
      <w:r w:rsidRPr="00225D4D">
        <w:t>ressurskrevjande</w:t>
      </w:r>
      <w:proofErr w:type="spellEnd"/>
      <w:r w:rsidRPr="00225D4D">
        <w:t xml:space="preserve">, og </w:t>
      </w:r>
      <w:proofErr w:type="spellStart"/>
      <w:r w:rsidRPr="00225D4D">
        <w:t>truleg</w:t>
      </w:r>
      <w:proofErr w:type="spellEnd"/>
      <w:r w:rsidRPr="00225D4D">
        <w:t xml:space="preserve"> òg føre til </w:t>
      </w:r>
      <w:proofErr w:type="spellStart"/>
      <w:r w:rsidRPr="00225D4D">
        <w:t>auka</w:t>
      </w:r>
      <w:proofErr w:type="spellEnd"/>
      <w:r w:rsidRPr="00225D4D">
        <w:t xml:space="preserve"> ressursbruk til rettleiing til </w:t>
      </w:r>
      <w:proofErr w:type="spellStart"/>
      <w:r w:rsidRPr="00225D4D">
        <w:t>søkarar</w:t>
      </w:r>
      <w:proofErr w:type="spellEnd"/>
      <w:r w:rsidRPr="00225D4D">
        <w:t xml:space="preserve"> og intern opplæring. Det blir bl.a. vist til at vedtaket </w:t>
      </w:r>
      <w:proofErr w:type="spellStart"/>
      <w:r w:rsidRPr="00225D4D">
        <w:t>inneber</w:t>
      </w:r>
      <w:proofErr w:type="spellEnd"/>
      <w:r w:rsidRPr="00225D4D">
        <w:t xml:space="preserve"> at ID-kravet i saker om familieinnvandring blir ulikt i saker om etablering og </w:t>
      </w:r>
      <w:proofErr w:type="spellStart"/>
      <w:r w:rsidRPr="00225D4D">
        <w:t>gjenforeining</w:t>
      </w:r>
      <w:proofErr w:type="spellEnd"/>
      <w:r w:rsidRPr="00225D4D">
        <w:t>, slik at utlendingsstyresmaktene må vurdere kva kategori saken fell inn under (</w:t>
      </w:r>
      <w:proofErr w:type="spellStart"/>
      <w:r w:rsidRPr="00225D4D">
        <w:t>utan</w:t>
      </w:r>
      <w:proofErr w:type="spellEnd"/>
      <w:r w:rsidRPr="00225D4D">
        <w:t xml:space="preserve"> at dette </w:t>
      </w:r>
      <w:proofErr w:type="spellStart"/>
      <w:r w:rsidRPr="00225D4D">
        <w:t>skiljet</w:t>
      </w:r>
      <w:proofErr w:type="spellEnd"/>
      <w:r w:rsidRPr="00225D4D">
        <w:t xml:space="preserve"> elles har </w:t>
      </w:r>
      <w:proofErr w:type="spellStart"/>
      <w:r w:rsidRPr="00225D4D">
        <w:t>nokon</w:t>
      </w:r>
      <w:proofErr w:type="spellEnd"/>
      <w:r w:rsidRPr="00225D4D">
        <w:t xml:space="preserve"> praktisk betydning for saka).</w:t>
      </w:r>
    </w:p>
    <w:p w14:paraId="50F98BA7" w14:textId="77777777" w:rsidR="00D60186" w:rsidRPr="00225D4D" w:rsidRDefault="00D60186" w:rsidP="00225D4D">
      <w:r w:rsidRPr="00225D4D">
        <w:t xml:space="preserve">Samla sett meiner departementet at tiltaket </w:t>
      </w:r>
      <w:proofErr w:type="spellStart"/>
      <w:r w:rsidRPr="00225D4D">
        <w:t>berre</w:t>
      </w:r>
      <w:proofErr w:type="spellEnd"/>
      <w:r w:rsidRPr="00225D4D">
        <w:t xml:space="preserve"> i svært avgrensa grad </w:t>
      </w:r>
      <w:proofErr w:type="spellStart"/>
      <w:r w:rsidRPr="00225D4D">
        <w:t>sikrar</w:t>
      </w:r>
      <w:proofErr w:type="spellEnd"/>
      <w:r w:rsidRPr="00225D4D">
        <w:t xml:space="preserve"> betre ID-kontroll, samtidig som saksbehandlinga vil bli </w:t>
      </w:r>
      <w:proofErr w:type="spellStart"/>
      <w:r w:rsidRPr="00225D4D">
        <w:t>meir</w:t>
      </w:r>
      <w:proofErr w:type="spellEnd"/>
      <w:r w:rsidRPr="00225D4D">
        <w:t xml:space="preserve"> </w:t>
      </w:r>
      <w:proofErr w:type="spellStart"/>
      <w:r w:rsidRPr="00225D4D">
        <w:t>ressurskrevjande</w:t>
      </w:r>
      <w:proofErr w:type="spellEnd"/>
      <w:r w:rsidRPr="00225D4D">
        <w:t xml:space="preserve">, </w:t>
      </w:r>
      <w:proofErr w:type="spellStart"/>
      <w:r w:rsidRPr="00225D4D">
        <w:t>særleg</w:t>
      </w:r>
      <w:proofErr w:type="spellEnd"/>
      <w:r w:rsidRPr="00225D4D">
        <w:t xml:space="preserve"> i saker om familieinnvandring. Regjeringa foreslår at vedtaket blir oppheva.</w:t>
      </w:r>
    </w:p>
    <w:p w14:paraId="106F56BE" w14:textId="77777777" w:rsidR="00D60186" w:rsidRPr="00225D4D" w:rsidRDefault="00D60186" w:rsidP="00225D4D">
      <w:pPr>
        <w:pStyle w:val="avsnitt-tittel"/>
      </w:pPr>
      <w:proofErr w:type="spellStart"/>
      <w:r w:rsidRPr="00225D4D">
        <w:t>Høgare</w:t>
      </w:r>
      <w:proofErr w:type="spellEnd"/>
      <w:r w:rsidRPr="00225D4D">
        <w:t xml:space="preserve"> straff for barn som er involverte i gjenteken kriminalitet</w:t>
      </w:r>
    </w:p>
    <w:p w14:paraId="1A5F7F08" w14:textId="77777777" w:rsidR="00D60186" w:rsidRPr="00225D4D" w:rsidRDefault="00D60186" w:rsidP="00225D4D">
      <w:pPr>
        <w:pStyle w:val="avsnitt-undertittel"/>
      </w:pPr>
      <w:r w:rsidRPr="00225D4D">
        <w:t>Vedtak nr. 443, 18. desember 2020</w:t>
      </w:r>
    </w:p>
    <w:p w14:paraId="5C991EBC" w14:textId="77777777" w:rsidR="00D60186" w:rsidRPr="00225D4D" w:rsidRDefault="00D60186" w:rsidP="00225D4D">
      <w:pPr>
        <w:pStyle w:val="blokksit"/>
        <w:rPr>
          <w:rStyle w:val="kursiv"/>
        </w:rPr>
      </w:pPr>
      <w:r w:rsidRPr="00225D4D">
        <w:rPr>
          <w:rStyle w:val="kursiv"/>
        </w:rPr>
        <w:t>«Stortinget ber regjeringen utrede om man i særlige tilfeller kan åpne for forhøyet straff ved nytt lovbrudd av samme art også for kriminelle gjengangere under 18 år.»</w:t>
      </w:r>
    </w:p>
    <w:p w14:paraId="793D016A" w14:textId="77777777" w:rsidR="00D60186" w:rsidRPr="00225D4D" w:rsidRDefault="00D60186" w:rsidP="00225D4D">
      <w:r w:rsidRPr="00225D4D">
        <w:t xml:space="preserve">Dokumenta som ligg til grunn for vedtaket, er Dokument 8:115 S (2019–2020) og </w:t>
      </w:r>
      <w:proofErr w:type="spellStart"/>
      <w:r w:rsidRPr="00225D4D">
        <w:t>Innst</w:t>
      </w:r>
      <w:proofErr w:type="spellEnd"/>
      <w:r w:rsidRPr="00225D4D">
        <w:t xml:space="preserve">. 147 S (2020–2021) </w:t>
      </w:r>
      <w:proofErr w:type="spellStart"/>
      <w:r w:rsidRPr="00225D4D">
        <w:t>frå</w:t>
      </w:r>
      <w:proofErr w:type="spellEnd"/>
      <w:r w:rsidRPr="00225D4D">
        <w:t xml:space="preserve"> justiskomiteen.</w:t>
      </w:r>
    </w:p>
    <w:p w14:paraId="346C27A9" w14:textId="77777777" w:rsidR="00D60186" w:rsidRPr="00225D4D" w:rsidRDefault="00D60186" w:rsidP="00225D4D">
      <w:r w:rsidRPr="00225D4D">
        <w:t>Vedtaket er under behandling.</w:t>
      </w:r>
    </w:p>
    <w:p w14:paraId="343A4474" w14:textId="77777777" w:rsidR="00D60186" w:rsidRPr="00225D4D" w:rsidRDefault="00D60186" w:rsidP="00225D4D">
      <w:pPr>
        <w:pStyle w:val="avsnitt-tittel"/>
      </w:pPr>
      <w:r w:rsidRPr="00225D4D">
        <w:t xml:space="preserve">Tiltak for å </w:t>
      </w:r>
      <w:proofErr w:type="spellStart"/>
      <w:r w:rsidRPr="00225D4D">
        <w:t>auke</w:t>
      </w:r>
      <w:proofErr w:type="spellEnd"/>
      <w:r w:rsidRPr="00225D4D">
        <w:t xml:space="preserve"> </w:t>
      </w:r>
      <w:proofErr w:type="spellStart"/>
      <w:r w:rsidRPr="00225D4D">
        <w:t>talet</w:t>
      </w:r>
      <w:proofErr w:type="spellEnd"/>
      <w:r w:rsidRPr="00225D4D">
        <w:t xml:space="preserve"> på </w:t>
      </w:r>
      <w:proofErr w:type="spellStart"/>
      <w:r w:rsidRPr="00225D4D">
        <w:t>inndragingar</w:t>
      </w:r>
      <w:proofErr w:type="spellEnd"/>
    </w:p>
    <w:p w14:paraId="3A60E99D" w14:textId="77777777" w:rsidR="00D60186" w:rsidRPr="00225D4D" w:rsidRDefault="00D60186" w:rsidP="00225D4D">
      <w:pPr>
        <w:pStyle w:val="avsnitt-undertittel"/>
      </w:pPr>
      <w:r w:rsidRPr="00225D4D">
        <w:t>Vedtak nr. 446, 18. desember 2020</w:t>
      </w:r>
    </w:p>
    <w:p w14:paraId="32EEECD9" w14:textId="77777777" w:rsidR="00D60186" w:rsidRPr="00225D4D" w:rsidRDefault="00D60186" w:rsidP="00225D4D">
      <w:pPr>
        <w:pStyle w:val="blokksit"/>
        <w:rPr>
          <w:rStyle w:val="kursiv"/>
        </w:rPr>
      </w:pPr>
      <w:r w:rsidRPr="00225D4D">
        <w:rPr>
          <w:rStyle w:val="kursiv"/>
        </w:rPr>
        <w:t>«Stortinget ber regjeringen i inneværende stortingsperiode legge fram tiltak og forslag til lovendringer for å øke omfanget av antallet inndragninger og gjøre det enklere for politiet å inndra verdier som er tilegnet gjennom kriminelle handlinger, både gjennom sivilrettslig inndragning og i straffesaker.»</w:t>
      </w:r>
    </w:p>
    <w:p w14:paraId="13011F3F" w14:textId="77777777" w:rsidR="00D60186" w:rsidRPr="00225D4D" w:rsidRDefault="00D60186" w:rsidP="00225D4D">
      <w:r w:rsidRPr="00225D4D">
        <w:t xml:space="preserve">Dokumenta som ligg til grunn for vedtaket, er Dokument 8:115 S (2019–2020) og </w:t>
      </w:r>
      <w:proofErr w:type="spellStart"/>
      <w:r w:rsidRPr="00225D4D">
        <w:t>Innst</w:t>
      </w:r>
      <w:proofErr w:type="spellEnd"/>
      <w:r w:rsidRPr="00225D4D">
        <w:t xml:space="preserve">. 147 S (2020–2021) </w:t>
      </w:r>
      <w:proofErr w:type="spellStart"/>
      <w:r w:rsidRPr="00225D4D">
        <w:t>frå</w:t>
      </w:r>
      <w:proofErr w:type="spellEnd"/>
      <w:r w:rsidRPr="00225D4D">
        <w:t xml:space="preserve"> justiskomiteen.</w:t>
      </w:r>
    </w:p>
    <w:p w14:paraId="2D186245"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Regjeringa fremma 24. september 2021 ei </w:t>
      </w:r>
      <w:proofErr w:type="spellStart"/>
      <w:r w:rsidRPr="00225D4D">
        <w:t>rekkje</w:t>
      </w:r>
      <w:proofErr w:type="spellEnd"/>
      <w:r w:rsidRPr="00225D4D">
        <w:t xml:space="preserve"> forslag til </w:t>
      </w:r>
      <w:proofErr w:type="spellStart"/>
      <w:r w:rsidRPr="00225D4D">
        <w:t>endringar</w:t>
      </w:r>
      <w:proofErr w:type="spellEnd"/>
      <w:r w:rsidRPr="00225D4D">
        <w:t xml:space="preserve"> som </w:t>
      </w:r>
      <w:proofErr w:type="spellStart"/>
      <w:r w:rsidRPr="00225D4D">
        <w:t>bidreg</w:t>
      </w:r>
      <w:proofErr w:type="spellEnd"/>
      <w:r w:rsidRPr="00225D4D">
        <w:t xml:space="preserve"> til </w:t>
      </w:r>
      <w:proofErr w:type="spellStart"/>
      <w:r w:rsidRPr="00225D4D">
        <w:t>eit</w:t>
      </w:r>
      <w:proofErr w:type="spellEnd"/>
      <w:r w:rsidRPr="00225D4D">
        <w:t xml:space="preserve"> </w:t>
      </w:r>
      <w:proofErr w:type="spellStart"/>
      <w:r w:rsidRPr="00225D4D">
        <w:t>meir</w:t>
      </w:r>
      <w:proofErr w:type="spellEnd"/>
      <w:r w:rsidRPr="00225D4D">
        <w:t xml:space="preserve"> effektivt og pedagogisk regelverk om </w:t>
      </w:r>
      <w:proofErr w:type="spellStart"/>
      <w:r w:rsidRPr="00225D4D">
        <w:t>inndraging</w:t>
      </w:r>
      <w:proofErr w:type="spellEnd"/>
      <w:r w:rsidRPr="00225D4D">
        <w:t xml:space="preserve">, sjå </w:t>
      </w:r>
      <w:proofErr w:type="spellStart"/>
      <w:r w:rsidRPr="00225D4D">
        <w:t>Prop</w:t>
      </w:r>
      <w:proofErr w:type="spellEnd"/>
      <w:r w:rsidRPr="00225D4D">
        <w:t xml:space="preserve">. 241 L (2020–2021). Forslaga vart </w:t>
      </w:r>
      <w:proofErr w:type="spellStart"/>
      <w:r w:rsidRPr="00225D4D">
        <w:t>vedtekne</w:t>
      </w:r>
      <w:proofErr w:type="spellEnd"/>
      <w:r w:rsidRPr="00225D4D">
        <w:t xml:space="preserve"> av Stortinget i april 2022, jf. </w:t>
      </w:r>
      <w:r w:rsidRPr="00225D4D">
        <w:rPr>
          <w:rStyle w:val="kursiv"/>
        </w:rPr>
        <w:t>lov 8. april 2022 nr. 22 om endringer i straffeloven mv. (klargjøring av inndragningsregler m.m.)</w:t>
      </w:r>
      <w:r w:rsidRPr="00225D4D">
        <w:t xml:space="preserve">, og tredde i kraft 1. juli 2022. Regjeringa la 22. mars 2024 fram ei stortingsmelding om økonomisk kriminalitet, sjå Meld. St. 15 (2023–2024). I meldinga er det foreslått ei </w:t>
      </w:r>
      <w:proofErr w:type="spellStart"/>
      <w:r w:rsidRPr="00225D4D">
        <w:t>rekkje</w:t>
      </w:r>
      <w:proofErr w:type="spellEnd"/>
      <w:r w:rsidRPr="00225D4D">
        <w:t xml:space="preserve"> tiltak for å betre resultata </w:t>
      </w:r>
      <w:proofErr w:type="spellStart"/>
      <w:r w:rsidRPr="00225D4D">
        <w:t>innanfor</w:t>
      </w:r>
      <w:proofErr w:type="spellEnd"/>
      <w:r w:rsidRPr="00225D4D">
        <w:t xml:space="preserve"> </w:t>
      </w:r>
      <w:proofErr w:type="spellStart"/>
      <w:r w:rsidRPr="00225D4D">
        <w:t>inndraging</w:t>
      </w:r>
      <w:proofErr w:type="spellEnd"/>
      <w:r w:rsidRPr="00225D4D">
        <w:t xml:space="preserve"> av utbytte, inkludert </w:t>
      </w:r>
      <w:proofErr w:type="spellStart"/>
      <w:r w:rsidRPr="00225D4D">
        <w:t>endringar</w:t>
      </w:r>
      <w:proofErr w:type="spellEnd"/>
      <w:r w:rsidRPr="00225D4D">
        <w:t xml:space="preserve"> i lovverket. </w:t>
      </w:r>
      <w:proofErr w:type="spellStart"/>
      <w:r w:rsidRPr="00225D4D">
        <w:t>Eit</w:t>
      </w:r>
      <w:proofErr w:type="spellEnd"/>
      <w:r w:rsidRPr="00225D4D">
        <w:t xml:space="preserve"> lovforslag om </w:t>
      </w:r>
      <w:proofErr w:type="spellStart"/>
      <w:r w:rsidRPr="00225D4D">
        <w:t>sivilrettsleg</w:t>
      </w:r>
      <w:proofErr w:type="spellEnd"/>
      <w:r w:rsidRPr="00225D4D">
        <w:t xml:space="preserve"> </w:t>
      </w:r>
      <w:proofErr w:type="spellStart"/>
      <w:r w:rsidRPr="00225D4D">
        <w:t>inndraging</w:t>
      </w:r>
      <w:proofErr w:type="spellEnd"/>
      <w:r w:rsidRPr="00225D4D">
        <w:t xml:space="preserve"> av utbytte </w:t>
      </w:r>
      <w:proofErr w:type="spellStart"/>
      <w:r w:rsidRPr="00225D4D">
        <w:t>frå</w:t>
      </w:r>
      <w:proofErr w:type="spellEnd"/>
      <w:r w:rsidRPr="00225D4D">
        <w:t xml:space="preserve"> straffbare </w:t>
      </w:r>
      <w:proofErr w:type="spellStart"/>
      <w:r w:rsidRPr="00225D4D">
        <w:t>handlingar</w:t>
      </w:r>
      <w:proofErr w:type="spellEnd"/>
      <w:r w:rsidRPr="00225D4D">
        <w:t xml:space="preserve"> har </w:t>
      </w:r>
      <w:proofErr w:type="spellStart"/>
      <w:r w:rsidRPr="00225D4D">
        <w:t>vore</w:t>
      </w:r>
      <w:proofErr w:type="spellEnd"/>
      <w:r w:rsidRPr="00225D4D">
        <w:t xml:space="preserve"> på </w:t>
      </w:r>
      <w:proofErr w:type="spellStart"/>
      <w:r w:rsidRPr="00225D4D">
        <w:t>høyring</w:t>
      </w:r>
      <w:proofErr w:type="spellEnd"/>
      <w:r w:rsidRPr="00225D4D">
        <w:t xml:space="preserve">, og regjeringa vil </w:t>
      </w:r>
      <w:proofErr w:type="spellStart"/>
      <w:r w:rsidRPr="00225D4D">
        <w:t>følgje</w:t>
      </w:r>
      <w:proofErr w:type="spellEnd"/>
      <w:r w:rsidRPr="00225D4D">
        <w:t xml:space="preserve"> opp forslaget med </w:t>
      </w:r>
      <w:proofErr w:type="spellStart"/>
      <w:r w:rsidRPr="00225D4D">
        <w:t>ein</w:t>
      </w:r>
      <w:proofErr w:type="spellEnd"/>
      <w:r w:rsidRPr="00225D4D">
        <w:t xml:space="preserve"> proposisjon med forslag til </w:t>
      </w:r>
      <w:proofErr w:type="spellStart"/>
      <w:r w:rsidRPr="00225D4D">
        <w:t>lovendringar</w:t>
      </w:r>
      <w:proofErr w:type="spellEnd"/>
      <w:r w:rsidRPr="00225D4D">
        <w:t xml:space="preserve"> som kan </w:t>
      </w:r>
      <w:proofErr w:type="spellStart"/>
      <w:r w:rsidRPr="00225D4D">
        <w:t>handsamast</w:t>
      </w:r>
      <w:proofErr w:type="spellEnd"/>
      <w:r w:rsidRPr="00225D4D">
        <w:t xml:space="preserve"> i </w:t>
      </w:r>
      <w:proofErr w:type="spellStart"/>
      <w:r w:rsidRPr="00225D4D">
        <w:t>inneverande</w:t>
      </w:r>
      <w:proofErr w:type="spellEnd"/>
      <w:r w:rsidRPr="00225D4D">
        <w:t xml:space="preserve"> stortingssesjon, sjå òg vedtak nr. 473, 20. februar 2025.</w:t>
      </w:r>
    </w:p>
    <w:p w14:paraId="1B7EB541" w14:textId="77777777" w:rsidR="00D60186" w:rsidRPr="00225D4D" w:rsidRDefault="00D60186" w:rsidP="00225D4D">
      <w:pPr>
        <w:pStyle w:val="avsnitt-tittel"/>
      </w:pPr>
      <w:r w:rsidRPr="00225D4D">
        <w:t>Fornyingsordning for barneomsorgsattest</w:t>
      </w:r>
    </w:p>
    <w:p w14:paraId="66FC3D54" w14:textId="77777777" w:rsidR="00D60186" w:rsidRPr="00225D4D" w:rsidRDefault="00D60186" w:rsidP="00225D4D">
      <w:pPr>
        <w:pStyle w:val="avsnitt-undertittel"/>
      </w:pPr>
      <w:r w:rsidRPr="00225D4D">
        <w:t>Vedtak nr. 627, 18. februar 2021</w:t>
      </w:r>
    </w:p>
    <w:p w14:paraId="75C99AA0" w14:textId="77777777" w:rsidR="00D60186" w:rsidRPr="00225D4D" w:rsidRDefault="00D60186" w:rsidP="00225D4D">
      <w:pPr>
        <w:pStyle w:val="blokksit"/>
        <w:rPr>
          <w:rStyle w:val="kursiv"/>
        </w:rPr>
      </w:pPr>
      <w:r w:rsidRPr="00225D4D">
        <w:rPr>
          <w:rStyle w:val="kursiv"/>
        </w:rPr>
        <w:t>«Stortinget ber regjeringen komme tilbake til Stortinget med en sak om å gjeninnføre en fornyelsesordning for barneomsorgsattest.»</w:t>
      </w:r>
    </w:p>
    <w:p w14:paraId="523DE788" w14:textId="77777777" w:rsidR="00D60186" w:rsidRPr="00225D4D" w:rsidRDefault="00D60186" w:rsidP="00225D4D">
      <w:r w:rsidRPr="00225D4D">
        <w:t xml:space="preserve">Dokumenta som ligg til grunn for vedtaket, er Dokument 8:136 S (2019–2020) og </w:t>
      </w:r>
      <w:proofErr w:type="spellStart"/>
      <w:r w:rsidRPr="00225D4D">
        <w:t>Innst</w:t>
      </w:r>
      <w:proofErr w:type="spellEnd"/>
      <w:r w:rsidRPr="00225D4D">
        <w:t xml:space="preserve">. 210 S (2020–2021) </w:t>
      </w:r>
      <w:proofErr w:type="spellStart"/>
      <w:r w:rsidRPr="00225D4D">
        <w:t>frå</w:t>
      </w:r>
      <w:proofErr w:type="spellEnd"/>
      <w:r w:rsidRPr="00225D4D">
        <w:t xml:space="preserve"> justiskomiteen.</w:t>
      </w:r>
    </w:p>
    <w:p w14:paraId="2BE82C8A" w14:textId="77777777" w:rsidR="00D60186" w:rsidRPr="00225D4D" w:rsidRDefault="00D60186" w:rsidP="00225D4D">
      <w:r w:rsidRPr="00225D4D">
        <w:t xml:space="preserve">Vedtaket er under behandling. Departementet har fått </w:t>
      </w:r>
      <w:proofErr w:type="spellStart"/>
      <w:r w:rsidRPr="00225D4D">
        <w:t>vurderingar</w:t>
      </w:r>
      <w:proofErr w:type="spellEnd"/>
      <w:r w:rsidRPr="00225D4D">
        <w:t xml:space="preserve"> og </w:t>
      </w:r>
      <w:proofErr w:type="spellStart"/>
      <w:r w:rsidRPr="00225D4D">
        <w:t>førebelse</w:t>
      </w:r>
      <w:proofErr w:type="spellEnd"/>
      <w:r w:rsidRPr="00225D4D">
        <w:t xml:space="preserve"> </w:t>
      </w:r>
      <w:proofErr w:type="spellStart"/>
      <w:r w:rsidRPr="00225D4D">
        <w:t>berekningar</w:t>
      </w:r>
      <w:proofErr w:type="spellEnd"/>
      <w:r w:rsidRPr="00225D4D">
        <w:t xml:space="preserve"> </w:t>
      </w:r>
      <w:proofErr w:type="spellStart"/>
      <w:r w:rsidRPr="00225D4D">
        <w:t>frå</w:t>
      </w:r>
      <w:proofErr w:type="spellEnd"/>
      <w:r w:rsidRPr="00225D4D">
        <w:t xml:space="preserve"> Politidirektoratet av økonomiske og administrative </w:t>
      </w:r>
      <w:proofErr w:type="spellStart"/>
      <w:r w:rsidRPr="00225D4D">
        <w:t>konsekvensar</w:t>
      </w:r>
      <w:proofErr w:type="spellEnd"/>
      <w:r w:rsidRPr="00225D4D">
        <w:t xml:space="preserve"> ved å innføre ei fornyingsordning for </w:t>
      </w:r>
      <w:proofErr w:type="spellStart"/>
      <w:r w:rsidRPr="00225D4D">
        <w:t>politiattestar</w:t>
      </w:r>
      <w:proofErr w:type="spellEnd"/>
      <w:r w:rsidRPr="00225D4D">
        <w:t xml:space="preserve"> generelt og </w:t>
      </w:r>
      <w:proofErr w:type="spellStart"/>
      <w:r w:rsidRPr="00225D4D">
        <w:t>barneomsorgsattestar</w:t>
      </w:r>
      <w:proofErr w:type="spellEnd"/>
      <w:r w:rsidRPr="00225D4D">
        <w:t xml:space="preserve"> spesielt. Departementet vurderer behovet for </w:t>
      </w:r>
      <w:proofErr w:type="spellStart"/>
      <w:r w:rsidRPr="00225D4D">
        <w:t>regelendringar</w:t>
      </w:r>
      <w:proofErr w:type="spellEnd"/>
      <w:r w:rsidRPr="00225D4D">
        <w:t xml:space="preserve"> og eventuelle andre tiltak. Sjå òg omtale under vedtak nr. 628 av 18. februar 2021.</w:t>
      </w:r>
    </w:p>
    <w:p w14:paraId="050185B3" w14:textId="77777777" w:rsidR="00D60186" w:rsidRPr="00225D4D" w:rsidRDefault="00D60186" w:rsidP="00225D4D">
      <w:pPr>
        <w:pStyle w:val="avsnitt-tittel"/>
      </w:pPr>
      <w:r w:rsidRPr="00225D4D">
        <w:t>Gjennomgang av barneomsorgsattestordninga</w:t>
      </w:r>
    </w:p>
    <w:p w14:paraId="2672D628" w14:textId="77777777" w:rsidR="00D60186" w:rsidRPr="00225D4D" w:rsidRDefault="00D60186" w:rsidP="00225D4D">
      <w:pPr>
        <w:pStyle w:val="avsnitt-undertittel"/>
      </w:pPr>
      <w:r w:rsidRPr="00225D4D">
        <w:t>Vedtak nr. 628, 18. februar 2021</w:t>
      </w:r>
    </w:p>
    <w:p w14:paraId="1E8E83DE" w14:textId="77777777" w:rsidR="00D60186" w:rsidRPr="00225D4D" w:rsidRDefault="00D60186" w:rsidP="00225D4D">
      <w:pPr>
        <w:pStyle w:val="blokksit"/>
        <w:rPr>
          <w:rStyle w:val="kursiv"/>
        </w:rPr>
      </w:pPr>
      <w:r w:rsidRPr="00225D4D">
        <w:rPr>
          <w:rStyle w:val="kursiv"/>
        </w:rPr>
        <w:t>«Stortinget ber regjeringen foreta en gjennomgang av barneomsorgsattestordningen, som også innbefatter en utredning av digitale forenklingsmuligheter, en vurdering av muligheten for informasjonsdeling av gjeldende lovbrudd i andre land og en vurdering av om straffeloven § 272 og § 273 skal være en del av politiattesten.»</w:t>
      </w:r>
    </w:p>
    <w:p w14:paraId="5C658C20" w14:textId="77777777" w:rsidR="00D60186" w:rsidRPr="00225D4D" w:rsidRDefault="00D60186" w:rsidP="00225D4D">
      <w:r w:rsidRPr="00225D4D">
        <w:t xml:space="preserve">Dokumenta som ligg til grunn for vedtaket, er Dokument 8:136 S (2019–2020) og </w:t>
      </w:r>
      <w:proofErr w:type="spellStart"/>
      <w:r w:rsidRPr="00225D4D">
        <w:t>Innst</w:t>
      </w:r>
      <w:proofErr w:type="spellEnd"/>
      <w:r w:rsidRPr="00225D4D">
        <w:t xml:space="preserve">. 210 S (2020–2021) </w:t>
      </w:r>
      <w:proofErr w:type="spellStart"/>
      <w:r w:rsidRPr="00225D4D">
        <w:t>frå</w:t>
      </w:r>
      <w:proofErr w:type="spellEnd"/>
      <w:r w:rsidRPr="00225D4D">
        <w:t xml:space="preserve"> justiskomiteen.</w:t>
      </w:r>
    </w:p>
    <w:p w14:paraId="3EBD9578" w14:textId="77777777" w:rsidR="00D60186" w:rsidRPr="00225D4D" w:rsidRDefault="00D60186" w:rsidP="00225D4D">
      <w:r w:rsidRPr="00225D4D">
        <w:t xml:space="preserve">Vedtaket er under behandling. Departementet arbeider med </w:t>
      </w:r>
      <w:proofErr w:type="spellStart"/>
      <w:r w:rsidRPr="00225D4D">
        <w:t>ein</w:t>
      </w:r>
      <w:proofErr w:type="spellEnd"/>
      <w:r w:rsidRPr="00225D4D">
        <w:t xml:space="preserve"> gjennomgang av barneomsorgsattestordninga. Departementet har fått </w:t>
      </w:r>
      <w:proofErr w:type="spellStart"/>
      <w:r w:rsidRPr="00225D4D">
        <w:t>vurderingar</w:t>
      </w:r>
      <w:proofErr w:type="spellEnd"/>
      <w:r w:rsidRPr="00225D4D">
        <w:t xml:space="preserve"> og </w:t>
      </w:r>
      <w:proofErr w:type="spellStart"/>
      <w:r w:rsidRPr="00225D4D">
        <w:t>førebelse</w:t>
      </w:r>
      <w:proofErr w:type="spellEnd"/>
      <w:r w:rsidRPr="00225D4D">
        <w:t xml:space="preserve"> </w:t>
      </w:r>
      <w:proofErr w:type="spellStart"/>
      <w:r w:rsidRPr="00225D4D">
        <w:t>berekningar</w:t>
      </w:r>
      <w:proofErr w:type="spellEnd"/>
      <w:r w:rsidRPr="00225D4D">
        <w:t xml:space="preserve"> </w:t>
      </w:r>
      <w:proofErr w:type="spellStart"/>
      <w:r w:rsidRPr="00225D4D">
        <w:t>frå</w:t>
      </w:r>
      <w:proofErr w:type="spellEnd"/>
      <w:r w:rsidRPr="00225D4D">
        <w:t xml:space="preserve"> Politidirektoratet av økonomiske og administrative </w:t>
      </w:r>
      <w:proofErr w:type="spellStart"/>
      <w:r w:rsidRPr="00225D4D">
        <w:t>konsekvensar</w:t>
      </w:r>
      <w:proofErr w:type="spellEnd"/>
      <w:r w:rsidRPr="00225D4D">
        <w:t xml:space="preserve"> av ulike digitale </w:t>
      </w:r>
      <w:proofErr w:type="spellStart"/>
      <w:r w:rsidRPr="00225D4D">
        <w:t>forenklingsmoglegheiter</w:t>
      </w:r>
      <w:proofErr w:type="spellEnd"/>
      <w:r w:rsidRPr="00225D4D">
        <w:t xml:space="preserve">. I samråd med andre involverte departement vurderer Justis- og beredskapsdepartementet behovet for å utvide barneomsorgsattesten slik at han gir merknader om </w:t>
      </w:r>
      <w:proofErr w:type="spellStart"/>
      <w:r w:rsidRPr="00225D4D">
        <w:t>fleire</w:t>
      </w:r>
      <w:proofErr w:type="spellEnd"/>
      <w:r w:rsidRPr="00225D4D">
        <w:t xml:space="preserve"> </w:t>
      </w:r>
      <w:proofErr w:type="spellStart"/>
      <w:r w:rsidRPr="00225D4D">
        <w:t>straffebod</w:t>
      </w:r>
      <w:proofErr w:type="spellEnd"/>
      <w:r w:rsidRPr="00225D4D">
        <w:t>. Sjå òg omtale under vedtak nr. 627 av 18. februar 2021.</w:t>
      </w:r>
    </w:p>
    <w:p w14:paraId="0A1C0160" w14:textId="77777777" w:rsidR="00D60186" w:rsidRPr="00225D4D" w:rsidRDefault="00D60186" w:rsidP="00225D4D">
      <w:pPr>
        <w:pStyle w:val="avsnitt-tittel"/>
      </w:pPr>
      <w:r w:rsidRPr="00225D4D">
        <w:t xml:space="preserve">Oppretting av </w:t>
      </w:r>
      <w:proofErr w:type="spellStart"/>
      <w:r w:rsidRPr="00225D4D">
        <w:t>eit</w:t>
      </w:r>
      <w:proofErr w:type="spellEnd"/>
      <w:r w:rsidRPr="00225D4D">
        <w:t xml:space="preserve"> nasjonalt våpenregister</w:t>
      </w:r>
    </w:p>
    <w:p w14:paraId="6F6D7F1D" w14:textId="77777777" w:rsidR="00D60186" w:rsidRPr="00225D4D" w:rsidRDefault="00D60186" w:rsidP="00225D4D">
      <w:pPr>
        <w:pStyle w:val="avsnitt-undertittel"/>
      </w:pPr>
      <w:r w:rsidRPr="00225D4D">
        <w:t>Vedtak nr. 681, 25. februar 2021</w:t>
      </w:r>
    </w:p>
    <w:p w14:paraId="56B26110" w14:textId="77777777" w:rsidR="00D60186" w:rsidRPr="00225D4D" w:rsidRDefault="00D60186" w:rsidP="00225D4D">
      <w:pPr>
        <w:pStyle w:val="blokksit"/>
        <w:rPr>
          <w:rStyle w:val="kursiv"/>
        </w:rPr>
      </w:pPr>
      <w:r w:rsidRPr="00225D4D">
        <w:rPr>
          <w:rStyle w:val="kursiv"/>
        </w:rPr>
        <w:t>«Stortinget ber regjeringen opprette et nasjonalt våpenregister som legges til Brønnøysundregistrene og til Nordland politidistrikt med forvaltning i Mosjøen.»</w:t>
      </w:r>
    </w:p>
    <w:p w14:paraId="14428173" w14:textId="77777777" w:rsidR="00D60186" w:rsidRPr="00225D4D" w:rsidRDefault="00D60186" w:rsidP="00225D4D">
      <w:r w:rsidRPr="00225D4D">
        <w:t xml:space="preserve">Dokumenta som ligg til grunn for vedtaket, er Meld. St. 29 (2019–2020) og </w:t>
      </w:r>
      <w:proofErr w:type="spellStart"/>
      <w:r w:rsidRPr="00225D4D">
        <w:t>Innst</w:t>
      </w:r>
      <w:proofErr w:type="spellEnd"/>
      <w:r w:rsidRPr="00225D4D">
        <w:t xml:space="preserve">. 248 S (2020–2021) </w:t>
      </w:r>
      <w:proofErr w:type="spellStart"/>
      <w:r w:rsidRPr="00225D4D">
        <w:t>frå</w:t>
      </w:r>
      <w:proofErr w:type="spellEnd"/>
      <w:r w:rsidRPr="00225D4D">
        <w:t xml:space="preserve"> justiskomiteen.</w:t>
      </w:r>
    </w:p>
    <w:p w14:paraId="566CDC10"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Politidirektoratet har fått i oppdrag å </w:t>
      </w:r>
      <w:proofErr w:type="spellStart"/>
      <w:r w:rsidRPr="00225D4D">
        <w:t>setje</w:t>
      </w:r>
      <w:proofErr w:type="spellEnd"/>
      <w:r w:rsidRPr="00225D4D">
        <w:t xml:space="preserve"> i gang </w:t>
      </w:r>
      <w:proofErr w:type="spellStart"/>
      <w:r w:rsidRPr="00225D4D">
        <w:t>eit</w:t>
      </w:r>
      <w:proofErr w:type="spellEnd"/>
      <w:r w:rsidRPr="00225D4D">
        <w:t xml:space="preserve"> prosjekt for ei ny digital våpenforvaltning, der </w:t>
      </w:r>
      <w:proofErr w:type="spellStart"/>
      <w:r w:rsidRPr="00225D4D">
        <w:t>ein</w:t>
      </w:r>
      <w:proofErr w:type="spellEnd"/>
      <w:r w:rsidRPr="00225D4D">
        <w:t xml:space="preserve"> </w:t>
      </w:r>
      <w:proofErr w:type="spellStart"/>
      <w:r w:rsidRPr="00225D4D">
        <w:t>tek</w:t>
      </w:r>
      <w:proofErr w:type="spellEnd"/>
      <w:r w:rsidRPr="00225D4D">
        <w:t xml:space="preserve"> omsyn til dette oppmodingsvedtaket. </w:t>
      </w:r>
      <w:proofErr w:type="spellStart"/>
      <w:r w:rsidRPr="00225D4D">
        <w:t>Brønnøysundregistera</w:t>
      </w:r>
      <w:proofErr w:type="spellEnd"/>
      <w:r w:rsidRPr="00225D4D">
        <w:t xml:space="preserve"> og Politidirektoratet har inngått </w:t>
      </w:r>
      <w:proofErr w:type="spellStart"/>
      <w:r w:rsidRPr="00225D4D">
        <w:t>ein</w:t>
      </w:r>
      <w:proofErr w:type="spellEnd"/>
      <w:r w:rsidRPr="00225D4D">
        <w:t xml:space="preserve"> avtale for å utvikle ei digital løysing for våpenforvaltning som er planlagt ferdigstilt </w:t>
      </w:r>
      <w:proofErr w:type="spellStart"/>
      <w:r w:rsidRPr="00225D4D">
        <w:t>innan</w:t>
      </w:r>
      <w:proofErr w:type="spellEnd"/>
      <w:r w:rsidRPr="00225D4D">
        <w:t xml:space="preserve"> utgangen av 2025. Parallelt har </w:t>
      </w:r>
      <w:proofErr w:type="spellStart"/>
      <w:r w:rsidRPr="00225D4D">
        <w:t>Brønnøysundregistera</w:t>
      </w:r>
      <w:proofErr w:type="spellEnd"/>
      <w:r w:rsidRPr="00225D4D">
        <w:t xml:space="preserve"> starta utviklinga av </w:t>
      </w:r>
      <w:proofErr w:type="spellStart"/>
      <w:r w:rsidRPr="00225D4D">
        <w:t>eit</w:t>
      </w:r>
      <w:proofErr w:type="spellEnd"/>
      <w:r w:rsidRPr="00225D4D">
        <w:t xml:space="preserve"> nytt nasjonalt våpenregister. Arbeidet med å etablere </w:t>
      </w:r>
      <w:proofErr w:type="spellStart"/>
      <w:r w:rsidRPr="00225D4D">
        <w:t>eit</w:t>
      </w:r>
      <w:proofErr w:type="spellEnd"/>
      <w:r w:rsidRPr="00225D4D">
        <w:t xml:space="preserve"> våpenforvaltningskontor i Mosjøen er i gang, og oppstarten er </w:t>
      </w:r>
      <w:proofErr w:type="spellStart"/>
      <w:r w:rsidRPr="00225D4D">
        <w:t>planlagd</w:t>
      </w:r>
      <w:proofErr w:type="spellEnd"/>
      <w:r w:rsidRPr="00225D4D">
        <w:t xml:space="preserve"> i løpet av </w:t>
      </w:r>
      <w:proofErr w:type="spellStart"/>
      <w:r w:rsidRPr="00225D4D">
        <w:t>hausten</w:t>
      </w:r>
      <w:proofErr w:type="spellEnd"/>
      <w:r w:rsidRPr="00225D4D">
        <w:t xml:space="preserve"> 2025.</w:t>
      </w:r>
    </w:p>
    <w:p w14:paraId="29433000" w14:textId="77777777" w:rsidR="00D60186" w:rsidRPr="00225D4D" w:rsidRDefault="00D60186" w:rsidP="00225D4D">
      <w:pPr>
        <w:pStyle w:val="avsnitt-tittel"/>
      </w:pPr>
      <w:r w:rsidRPr="00225D4D">
        <w:t xml:space="preserve">Identitetsskjerming for </w:t>
      </w:r>
      <w:proofErr w:type="spellStart"/>
      <w:r w:rsidRPr="00225D4D">
        <w:t>polititilsette</w:t>
      </w:r>
      <w:proofErr w:type="spellEnd"/>
    </w:p>
    <w:p w14:paraId="11952FD8" w14:textId="77777777" w:rsidR="00D60186" w:rsidRPr="00225D4D" w:rsidRDefault="00D60186" w:rsidP="00225D4D">
      <w:pPr>
        <w:pStyle w:val="avsnitt-undertittel"/>
      </w:pPr>
      <w:r w:rsidRPr="00225D4D">
        <w:t>Vedtak nr. 682, 25. februar 2021</w:t>
      </w:r>
    </w:p>
    <w:p w14:paraId="23591BA8" w14:textId="77777777" w:rsidR="00D60186" w:rsidRPr="00225D4D" w:rsidRDefault="00D60186" w:rsidP="00225D4D">
      <w:pPr>
        <w:pStyle w:val="blokksit"/>
        <w:rPr>
          <w:rStyle w:val="kursiv"/>
        </w:rPr>
      </w:pPr>
      <w:r w:rsidRPr="00225D4D">
        <w:rPr>
          <w:rStyle w:val="kursiv"/>
        </w:rPr>
        <w:t>«Stortinget ber regjeringen i forbindelse med forslag til ny straffeprosesslov sikre full identitetsskjerming for politiansatte.»</w:t>
      </w:r>
    </w:p>
    <w:p w14:paraId="2C86B9A0" w14:textId="77777777" w:rsidR="00D60186" w:rsidRPr="00225D4D" w:rsidRDefault="00D60186" w:rsidP="00225D4D">
      <w:r w:rsidRPr="00225D4D">
        <w:t xml:space="preserve">Dokumenta som ligg til grunn for vedtaket, er Meld. St. 29. (2019–2020) og </w:t>
      </w:r>
      <w:proofErr w:type="spellStart"/>
      <w:r w:rsidRPr="00225D4D">
        <w:t>Innst</w:t>
      </w:r>
      <w:proofErr w:type="spellEnd"/>
      <w:r w:rsidRPr="00225D4D">
        <w:t xml:space="preserve">. 248 S (2020–2021) </w:t>
      </w:r>
      <w:proofErr w:type="spellStart"/>
      <w:r w:rsidRPr="00225D4D">
        <w:t>frå</w:t>
      </w:r>
      <w:proofErr w:type="spellEnd"/>
      <w:r w:rsidRPr="00225D4D">
        <w:t xml:space="preserve"> justiskomiteen.</w:t>
      </w:r>
    </w:p>
    <w:p w14:paraId="478BEE70" w14:textId="77777777" w:rsidR="00D60186" w:rsidRPr="00225D4D" w:rsidRDefault="00D60186" w:rsidP="00225D4D">
      <w:r w:rsidRPr="00225D4D">
        <w:t xml:space="preserve">Vedtaket er under behandling. NOU 2024: 5 </w:t>
      </w:r>
      <w:r w:rsidRPr="00225D4D">
        <w:rPr>
          <w:rStyle w:val="kursiv"/>
        </w:rPr>
        <w:t xml:space="preserve">Maktens ansikt – Skjermet identitet for ansatte i politiet og </w:t>
      </w:r>
      <w:proofErr w:type="gramStart"/>
      <w:r w:rsidRPr="00225D4D">
        <w:rPr>
          <w:rStyle w:val="kursiv"/>
        </w:rPr>
        <w:t>kriminalomsorgen</w:t>
      </w:r>
      <w:r w:rsidRPr="00225D4D">
        <w:t>?,</w:t>
      </w:r>
      <w:proofErr w:type="gramEnd"/>
      <w:r w:rsidRPr="00225D4D">
        <w:t xml:space="preserve"> som </w:t>
      </w:r>
      <w:proofErr w:type="spellStart"/>
      <w:r w:rsidRPr="00225D4D">
        <w:t>vart</w:t>
      </w:r>
      <w:proofErr w:type="spellEnd"/>
      <w:r w:rsidRPr="00225D4D">
        <w:t xml:space="preserve"> overlevert til Justis- og beredskapsdepartementet 21. mars 2024, har </w:t>
      </w:r>
      <w:proofErr w:type="spellStart"/>
      <w:r w:rsidRPr="00225D4D">
        <w:t>vore</w:t>
      </w:r>
      <w:proofErr w:type="spellEnd"/>
      <w:r w:rsidRPr="00225D4D">
        <w:t xml:space="preserve"> på </w:t>
      </w:r>
      <w:proofErr w:type="spellStart"/>
      <w:r w:rsidRPr="00225D4D">
        <w:t>høyring</w:t>
      </w:r>
      <w:proofErr w:type="spellEnd"/>
      <w:r w:rsidRPr="00225D4D">
        <w:t xml:space="preserve"> med frist 15. august 2024. Departementet vurderer korleis forslaga i utgreiinga skal </w:t>
      </w:r>
      <w:proofErr w:type="spellStart"/>
      <w:r w:rsidRPr="00225D4D">
        <w:t>følgjast</w:t>
      </w:r>
      <w:proofErr w:type="spellEnd"/>
      <w:r w:rsidRPr="00225D4D">
        <w:t xml:space="preserve"> opp.</w:t>
      </w:r>
    </w:p>
    <w:p w14:paraId="5E472B2F" w14:textId="77777777" w:rsidR="00D60186" w:rsidRPr="00225D4D" w:rsidRDefault="00D60186" w:rsidP="00225D4D">
      <w:pPr>
        <w:pStyle w:val="avsnitt-tittel"/>
      </w:pPr>
      <w:r w:rsidRPr="00225D4D">
        <w:t>Straff for å tvinge barn til utlandet</w:t>
      </w:r>
    </w:p>
    <w:p w14:paraId="6B508483" w14:textId="77777777" w:rsidR="00D60186" w:rsidRPr="00225D4D" w:rsidRDefault="00D60186" w:rsidP="00225D4D">
      <w:pPr>
        <w:pStyle w:val="avsnitt-undertittel"/>
      </w:pPr>
      <w:r w:rsidRPr="00225D4D">
        <w:t>Vedtak nr. 712, 9. mars 2021</w:t>
      </w:r>
    </w:p>
    <w:p w14:paraId="0AF878A6" w14:textId="77777777" w:rsidR="00D60186" w:rsidRPr="00225D4D" w:rsidRDefault="00D60186" w:rsidP="00225D4D">
      <w:pPr>
        <w:pStyle w:val="blokksit"/>
        <w:rPr>
          <w:rStyle w:val="kursiv"/>
        </w:rPr>
      </w:pPr>
      <w:r w:rsidRPr="00225D4D">
        <w:rPr>
          <w:rStyle w:val="kursiv"/>
        </w:rPr>
        <w:t>«Stortinget ber regjeringen utrede straffeforbudet mot frihetsberøvelse i situasjoner hvor barn vil bli, eller allerede er, sendt til utlandet mot sin vilje, og fremme forslag til lovendringer som sikrer at påtvungne utenlandsopphold kan straffes.»</w:t>
      </w:r>
    </w:p>
    <w:p w14:paraId="793930DF" w14:textId="77777777" w:rsidR="00D60186" w:rsidRPr="00225D4D" w:rsidRDefault="00D60186" w:rsidP="00225D4D">
      <w:r w:rsidRPr="00225D4D">
        <w:t xml:space="preserve">Dokumenta som ligg til grunn for vedtaket, er Dokument 8:137 S (2019–2020) og </w:t>
      </w:r>
      <w:proofErr w:type="spellStart"/>
      <w:r w:rsidRPr="00225D4D">
        <w:t>Innst</w:t>
      </w:r>
      <w:proofErr w:type="spellEnd"/>
      <w:r w:rsidRPr="00225D4D">
        <w:t xml:space="preserve">. 269 S (2020–2021) </w:t>
      </w:r>
      <w:proofErr w:type="spellStart"/>
      <w:r w:rsidRPr="00225D4D">
        <w:t>frå</w:t>
      </w:r>
      <w:proofErr w:type="spellEnd"/>
      <w:r w:rsidRPr="00225D4D">
        <w:t xml:space="preserve"> familie- og kulturkomiteen.</w:t>
      </w:r>
    </w:p>
    <w:p w14:paraId="2214E089"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w:t>
      </w:r>
      <w:proofErr w:type="spellStart"/>
      <w:r w:rsidRPr="00225D4D">
        <w:t>Lovutvalet</w:t>
      </w:r>
      <w:proofErr w:type="spellEnd"/>
      <w:r w:rsidRPr="00225D4D">
        <w:t xml:space="preserve"> om negativ sosial kontroll mv. har sett </w:t>
      </w:r>
      <w:proofErr w:type="spellStart"/>
      <w:r w:rsidRPr="00225D4D">
        <w:t>nærmare</w:t>
      </w:r>
      <w:proofErr w:type="spellEnd"/>
      <w:r w:rsidRPr="00225D4D">
        <w:t xml:space="preserve"> på kva </w:t>
      </w:r>
      <w:proofErr w:type="spellStart"/>
      <w:r w:rsidRPr="00225D4D">
        <w:t>straffebod</w:t>
      </w:r>
      <w:proofErr w:type="spellEnd"/>
      <w:r w:rsidRPr="00225D4D">
        <w:t xml:space="preserve"> som gjeld i saker der barn og unge ufrivillig blir </w:t>
      </w:r>
      <w:proofErr w:type="spellStart"/>
      <w:r w:rsidRPr="00225D4D">
        <w:t>etterlatne</w:t>
      </w:r>
      <w:proofErr w:type="spellEnd"/>
      <w:r w:rsidRPr="00225D4D">
        <w:t xml:space="preserve"> i utlandet, og om det er behov for å </w:t>
      </w:r>
      <w:proofErr w:type="spellStart"/>
      <w:r w:rsidRPr="00225D4D">
        <w:t>klargjere</w:t>
      </w:r>
      <w:proofErr w:type="spellEnd"/>
      <w:r w:rsidRPr="00225D4D">
        <w:t xml:space="preserve"> </w:t>
      </w:r>
      <w:proofErr w:type="spellStart"/>
      <w:r w:rsidRPr="00225D4D">
        <w:t>heimlar</w:t>
      </w:r>
      <w:proofErr w:type="spellEnd"/>
      <w:r w:rsidRPr="00225D4D">
        <w:t xml:space="preserve"> i straffelova som held foreldre </w:t>
      </w:r>
      <w:proofErr w:type="spellStart"/>
      <w:r w:rsidRPr="00225D4D">
        <w:t>ansvarlege</w:t>
      </w:r>
      <w:proofErr w:type="spellEnd"/>
      <w:r w:rsidRPr="00225D4D">
        <w:t xml:space="preserve"> dersom barn blir sende på </w:t>
      </w:r>
      <w:proofErr w:type="spellStart"/>
      <w:r w:rsidRPr="00225D4D">
        <w:t>utanlandsopphald</w:t>
      </w:r>
      <w:proofErr w:type="spellEnd"/>
      <w:r w:rsidRPr="00225D4D">
        <w:t xml:space="preserve"> mot </w:t>
      </w:r>
      <w:proofErr w:type="gramStart"/>
      <w:r w:rsidRPr="00225D4D">
        <w:t>sin eigen vilje</w:t>
      </w:r>
      <w:proofErr w:type="gramEnd"/>
      <w:r w:rsidRPr="00225D4D">
        <w:t xml:space="preserve">. I NOU 2024: 13 </w:t>
      </w:r>
      <w:proofErr w:type="spellStart"/>
      <w:r w:rsidRPr="00225D4D">
        <w:t>peikar</w:t>
      </w:r>
      <w:proofErr w:type="spellEnd"/>
      <w:r w:rsidRPr="00225D4D">
        <w:t xml:space="preserve"> </w:t>
      </w:r>
      <w:proofErr w:type="spellStart"/>
      <w:r w:rsidRPr="00225D4D">
        <w:t>utvalet</w:t>
      </w:r>
      <w:proofErr w:type="spellEnd"/>
      <w:r w:rsidRPr="00225D4D">
        <w:t xml:space="preserve"> på at </w:t>
      </w:r>
      <w:proofErr w:type="spellStart"/>
      <w:r w:rsidRPr="00225D4D">
        <w:t>ein</w:t>
      </w:r>
      <w:proofErr w:type="spellEnd"/>
      <w:r w:rsidRPr="00225D4D">
        <w:t xml:space="preserve"> del ufrivillige </w:t>
      </w:r>
      <w:proofErr w:type="spellStart"/>
      <w:r w:rsidRPr="00225D4D">
        <w:t>utanlandsopphald</w:t>
      </w:r>
      <w:proofErr w:type="spellEnd"/>
      <w:r w:rsidRPr="00225D4D">
        <w:t xml:space="preserve"> vil bli ramma av straffelova § 254 (om fridomsrøving), § 261 (om </w:t>
      </w:r>
      <w:proofErr w:type="spellStart"/>
      <w:r w:rsidRPr="00225D4D">
        <w:t>omsorgsunndraging</w:t>
      </w:r>
      <w:proofErr w:type="spellEnd"/>
      <w:r w:rsidRPr="00225D4D">
        <w:t xml:space="preserve">) eller § 288 (om å etterlate </w:t>
      </w:r>
      <w:proofErr w:type="spellStart"/>
      <w:r w:rsidRPr="00225D4D">
        <w:t>nokon</w:t>
      </w:r>
      <w:proofErr w:type="spellEnd"/>
      <w:r w:rsidRPr="00225D4D">
        <w:t xml:space="preserve"> i hjelpelaus tilstand). </w:t>
      </w:r>
      <w:proofErr w:type="spellStart"/>
      <w:r w:rsidRPr="00225D4D">
        <w:t>Utvalet</w:t>
      </w:r>
      <w:proofErr w:type="spellEnd"/>
      <w:r w:rsidRPr="00225D4D">
        <w:t xml:space="preserve"> foreslår </w:t>
      </w:r>
      <w:proofErr w:type="spellStart"/>
      <w:r w:rsidRPr="00225D4D">
        <w:t>fleire</w:t>
      </w:r>
      <w:proofErr w:type="spellEnd"/>
      <w:r w:rsidRPr="00225D4D">
        <w:t xml:space="preserve"> </w:t>
      </w:r>
      <w:proofErr w:type="spellStart"/>
      <w:r w:rsidRPr="00225D4D">
        <w:t>lovendringar</w:t>
      </w:r>
      <w:proofErr w:type="spellEnd"/>
      <w:r w:rsidRPr="00225D4D">
        <w:t xml:space="preserve"> for å styrke barns </w:t>
      </w:r>
      <w:proofErr w:type="spellStart"/>
      <w:r w:rsidRPr="00225D4D">
        <w:t>strafferettslege</w:t>
      </w:r>
      <w:proofErr w:type="spellEnd"/>
      <w:r w:rsidRPr="00225D4D">
        <w:t xml:space="preserve"> vern mot </w:t>
      </w:r>
      <w:proofErr w:type="spellStart"/>
      <w:r w:rsidRPr="00225D4D">
        <w:t>skadelege</w:t>
      </w:r>
      <w:proofErr w:type="spellEnd"/>
      <w:r w:rsidRPr="00225D4D">
        <w:t xml:space="preserve"> </w:t>
      </w:r>
      <w:proofErr w:type="spellStart"/>
      <w:r w:rsidRPr="00225D4D">
        <w:t>utanlandsopphald</w:t>
      </w:r>
      <w:proofErr w:type="spellEnd"/>
      <w:r w:rsidRPr="00225D4D">
        <w:t xml:space="preserve">, mellom anna nye føresegner om </w:t>
      </w:r>
      <w:proofErr w:type="spellStart"/>
      <w:r w:rsidRPr="00225D4D">
        <w:t>utreiseforbod</w:t>
      </w:r>
      <w:proofErr w:type="spellEnd"/>
      <w:r w:rsidRPr="00225D4D">
        <w:t xml:space="preserve"> i barnevernslova og ei endring i straffelovens føresegn </w:t>
      </w:r>
      <w:proofErr w:type="spellStart"/>
      <w:r w:rsidRPr="00225D4D">
        <w:t>omsorgsunndraging</w:t>
      </w:r>
      <w:proofErr w:type="spellEnd"/>
      <w:r w:rsidRPr="00225D4D">
        <w:t xml:space="preserve"> slik at ho </w:t>
      </w:r>
      <w:proofErr w:type="spellStart"/>
      <w:r w:rsidRPr="00225D4D">
        <w:t>omfattar</w:t>
      </w:r>
      <w:proofErr w:type="spellEnd"/>
      <w:r w:rsidRPr="00225D4D">
        <w:t xml:space="preserve"> </w:t>
      </w:r>
      <w:proofErr w:type="spellStart"/>
      <w:r w:rsidRPr="00225D4D">
        <w:t>brot</w:t>
      </w:r>
      <w:proofErr w:type="spellEnd"/>
      <w:r w:rsidRPr="00225D4D">
        <w:t xml:space="preserve"> på </w:t>
      </w:r>
      <w:proofErr w:type="spellStart"/>
      <w:r w:rsidRPr="00225D4D">
        <w:t>utreiseforbod</w:t>
      </w:r>
      <w:proofErr w:type="spellEnd"/>
      <w:r w:rsidRPr="00225D4D">
        <w:t xml:space="preserve">. I </w:t>
      </w:r>
      <w:proofErr w:type="spellStart"/>
      <w:r w:rsidRPr="00225D4D">
        <w:t>Prop</w:t>
      </w:r>
      <w:proofErr w:type="spellEnd"/>
      <w:r w:rsidRPr="00225D4D">
        <w:t xml:space="preserve">. 159 L (2024–2025), som vart fremma i juni 2025, har regjeringa </w:t>
      </w:r>
      <w:proofErr w:type="spellStart"/>
      <w:r w:rsidRPr="00225D4D">
        <w:t>følgt</w:t>
      </w:r>
      <w:proofErr w:type="spellEnd"/>
      <w:r w:rsidRPr="00225D4D">
        <w:t xml:space="preserve"> opp dette forslaget. Etter lovforslaget kan barneverns- og helsenemnda vedta straffesanksjonerte </w:t>
      </w:r>
      <w:proofErr w:type="spellStart"/>
      <w:r w:rsidRPr="00225D4D">
        <w:t>utreiseforbod</w:t>
      </w:r>
      <w:proofErr w:type="spellEnd"/>
      <w:r w:rsidRPr="00225D4D">
        <w:t xml:space="preserve"> for barn i tilfelle der det er </w:t>
      </w:r>
      <w:proofErr w:type="spellStart"/>
      <w:r w:rsidRPr="00225D4D">
        <w:t>ein</w:t>
      </w:r>
      <w:proofErr w:type="spellEnd"/>
      <w:r w:rsidRPr="00225D4D">
        <w:t xml:space="preserve"> </w:t>
      </w:r>
      <w:proofErr w:type="spellStart"/>
      <w:r w:rsidRPr="00225D4D">
        <w:t>nærliggjande</w:t>
      </w:r>
      <w:proofErr w:type="spellEnd"/>
      <w:r w:rsidRPr="00225D4D">
        <w:t xml:space="preserve"> fare for at barnet vil bli utsett for mishandling, </w:t>
      </w:r>
      <w:proofErr w:type="spellStart"/>
      <w:r w:rsidRPr="00225D4D">
        <w:t>alvorleg</w:t>
      </w:r>
      <w:proofErr w:type="spellEnd"/>
      <w:r w:rsidRPr="00225D4D">
        <w:t xml:space="preserve"> fare for livet eller helsa til barnet eller </w:t>
      </w:r>
      <w:proofErr w:type="spellStart"/>
      <w:r w:rsidRPr="00225D4D">
        <w:t>annan</w:t>
      </w:r>
      <w:proofErr w:type="spellEnd"/>
      <w:r w:rsidRPr="00225D4D">
        <w:t xml:space="preserve"> </w:t>
      </w:r>
      <w:proofErr w:type="spellStart"/>
      <w:r w:rsidRPr="00225D4D">
        <w:t>alvorleg</w:t>
      </w:r>
      <w:proofErr w:type="spellEnd"/>
      <w:r w:rsidRPr="00225D4D">
        <w:t xml:space="preserve"> omsorgssvikt i utlandet. Barnevernstenesta kan treffe straffesanksjonerte akuttvedtak. Som varsla i handlingsplanen mot negativ sosial kontroll og </w:t>
      </w:r>
      <w:proofErr w:type="spellStart"/>
      <w:r w:rsidRPr="00225D4D">
        <w:t>æresmotivert</w:t>
      </w:r>
      <w:proofErr w:type="spellEnd"/>
      <w:r w:rsidRPr="00225D4D">
        <w:t xml:space="preserve"> vald for 2025–2028 vil regjeringa vurdere </w:t>
      </w:r>
      <w:proofErr w:type="spellStart"/>
      <w:r w:rsidRPr="00225D4D">
        <w:t>dei</w:t>
      </w:r>
      <w:proofErr w:type="spellEnd"/>
      <w:r w:rsidRPr="00225D4D">
        <w:t xml:space="preserve"> andre forslaga til </w:t>
      </w:r>
      <w:proofErr w:type="spellStart"/>
      <w:r w:rsidRPr="00225D4D">
        <w:t>lovutvalet</w:t>
      </w:r>
      <w:proofErr w:type="spellEnd"/>
      <w:r w:rsidRPr="00225D4D">
        <w:t>.</w:t>
      </w:r>
    </w:p>
    <w:p w14:paraId="15F6B59F" w14:textId="77777777" w:rsidR="00D60186" w:rsidRPr="00225D4D" w:rsidRDefault="00D60186" w:rsidP="00225D4D">
      <w:pPr>
        <w:pStyle w:val="avsnitt-tittel"/>
      </w:pPr>
      <w:r w:rsidRPr="00225D4D">
        <w:t>Nasjonal langtidsplan for beredskap</w:t>
      </w:r>
    </w:p>
    <w:p w14:paraId="34A26409" w14:textId="77777777" w:rsidR="00D60186" w:rsidRPr="00860A09" w:rsidRDefault="00D60186" w:rsidP="00860A09">
      <w:pPr>
        <w:pStyle w:val="avsnitt-undertittel"/>
      </w:pPr>
      <w:r w:rsidRPr="00860A09">
        <w:t>Vedtak nr. 729, 11. mars 2021</w:t>
      </w:r>
    </w:p>
    <w:p w14:paraId="54E48DDA" w14:textId="77777777" w:rsidR="00D60186" w:rsidRPr="00225D4D" w:rsidRDefault="00D60186" w:rsidP="00225D4D">
      <w:pPr>
        <w:pStyle w:val="blokksit"/>
        <w:rPr>
          <w:rStyle w:val="kursiv"/>
        </w:rPr>
      </w:pPr>
      <w:r w:rsidRPr="00225D4D">
        <w:rPr>
          <w:rStyle w:val="kursiv"/>
        </w:rPr>
        <w:t>«Stortinget ber regjeringen innføre en nasjonal langtidsplan for beredskap, som ser beredskapsressursene nasjonalt og regionalt i en sammenheng og legger grunnlaget for konkrete planer for utbedringer.»</w:t>
      </w:r>
    </w:p>
    <w:p w14:paraId="5F22C334" w14:textId="77777777" w:rsidR="00D60186" w:rsidRPr="00225D4D" w:rsidRDefault="00D60186" w:rsidP="00225D4D">
      <w:r w:rsidRPr="00225D4D">
        <w:t xml:space="preserve">Dokumenta som ligg til grunn for vedtaket, er Meld. St. 5 (2020–2021) og </w:t>
      </w:r>
      <w:proofErr w:type="spellStart"/>
      <w:r w:rsidRPr="00225D4D">
        <w:t>Innst</w:t>
      </w:r>
      <w:proofErr w:type="spellEnd"/>
      <w:r w:rsidRPr="00225D4D">
        <w:t xml:space="preserve">. 275 S (2020–2021) </w:t>
      </w:r>
      <w:proofErr w:type="spellStart"/>
      <w:r w:rsidRPr="00225D4D">
        <w:t>frå</w:t>
      </w:r>
      <w:proofErr w:type="spellEnd"/>
      <w:r w:rsidRPr="00225D4D">
        <w:t xml:space="preserve"> justiskomiteen.</w:t>
      </w:r>
    </w:p>
    <w:p w14:paraId="53A78804"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Langtidsplanen for sivil beredskap skal </w:t>
      </w:r>
      <w:proofErr w:type="spellStart"/>
      <w:r w:rsidRPr="00225D4D">
        <w:t>leggje</w:t>
      </w:r>
      <w:proofErr w:type="spellEnd"/>
      <w:r w:rsidRPr="00225D4D">
        <w:t xml:space="preserve"> til rette for langsiktig og </w:t>
      </w:r>
      <w:proofErr w:type="spellStart"/>
      <w:r w:rsidRPr="00225D4D">
        <w:t>heilskapleg</w:t>
      </w:r>
      <w:proofErr w:type="spellEnd"/>
      <w:r w:rsidRPr="00225D4D">
        <w:t xml:space="preserve"> styring, planlegging og utvikling av sentrale </w:t>
      </w:r>
      <w:proofErr w:type="spellStart"/>
      <w:r w:rsidRPr="00225D4D">
        <w:t>beredskapsressursar</w:t>
      </w:r>
      <w:proofErr w:type="spellEnd"/>
      <w:r w:rsidRPr="00225D4D">
        <w:t xml:space="preserve"> i sivile </w:t>
      </w:r>
      <w:proofErr w:type="spellStart"/>
      <w:r w:rsidRPr="00225D4D">
        <w:t>sektorar</w:t>
      </w:r>
      <w:proofErr w:type="spellEnd"/>
      <w:r w:rsidRPr="00225D4D">
        <w:t xml:space="preserve">, og sikre evna til å prioritere på tvers av </w:t>
      </w:r>
      <w:proofErr w:type="spellStart"/>
      <w:r w:rsidRPr="00225D4D">
        <w:t>sektorar</w:t>
      </w:r>
      <w:proofErr w:type="spellEnd"/>
      <w:r w:rsidRPr="00225D4D">
        <w:t xml:space="preserve">, jf. totalberedskapsmeldinga. Arbeidet med å utvikle planen er starta. Ho må favne </w:t>
      </w:r>
      <w:proofErr w:type="spellStart"/>
      <w:r w:rsidRPr="00225D4D">
        <w:t>breidda</w:t>
      </w:r>
      <w:proofErr w:type="spellEnd"/>
      <w:r w:rsidRPr="00225D4D">
        <w:t xml:space="preserve"> i beredskapsarbeidet, men samstundes kunne </w:t>
      </w:r>
      <w:proofErr w:type="spellStart"/>
      <w:r w:rsidRPr="00225D4D">
        <w:t>spissast</w:t>
      </w:r>
      <w:proofErr w:type="spellEnd"/>
      <w:r w:rsidRPr="00225D4D">
        <w:t xml:space="preserve"> mot </w:t>
      </w:r>
      <w:proofErr w:type="spellStart"/>
      <w:r w:rsidRPr="00225D4D">
        <w:t>utvalde</w:t>
      </w:r>
      <w:proofErr w:type="spellEnd"/>
      <w:r w:rsidRPr="00225D4D">
        <w:t xml:space="preserve"> beredskapsområde eller </w:t>
      </w:r>
      <w:proofErr w:type="spellStart"/>
      <w:r w:rsidRPr="00225D4D">
        <w:t>utfordringar</w:t>
      </w:r>
      <w:proofErr w:type="spellEnd"/>
      <w:r w:rsidRPr="00225D4D">
        <w:t xml:space="preserve"> dersom </w:t>
      </w:r>
      <w:proofErr w:type="spellStart"/>
      <w:r w:rsidRPr="00225D4D">
        <w:t>utfordringsbiletet</w:t>
      </w:r>
      <w:proofErr w:type="spellEnd"/>
      <w:r w:rsidRPr="00225D4D">
        <w:t xml:space="preserve"> </w:t>
      </w:r>
      <w:proofErr w:type="spellStart"/>
      <w:r w:rsidRPr="00225D4D">
        <w:t>tilseier</w:t>
      </w:r>
      <w:proofErr w:type="spellEnd"/>
      <w:r w:rsidRPr="00225D4D">
        <w:t xml:space="preserve"> det. Planen må òg </w:t>
      </w:r>
      <w:proofErr w:type="spellStart"/>
      <w:r w:rsidRPr="00225D4D">
        <w:t>avstemmast</w:t>
      </w:r>
      <w:proofErr w:type="spellEnd"/>
      <w:r w:rsidRPr="00225D4D">
        <w:t xml:space="preserve"> med strategiske dokument i ulike </w:t>
      </w:r>
      <w:proofErr w:type="spellStart"/>
      <w:r w:rsidRPr="00225D4D">
        <w:t>sektorar</w:t>
      </w:r>
      <w:proofErr w:type="spellEnd"/>
      <w:r w:rsidRPr="00225D4D">
        <w:t xml:space="preserve">, som Nasjonal transportplan og Langtidsplanen for forsvarssektoren. </w:t>
      </w:r>
      <w:proofErr w:type="spellStart"/>
      <w:r w:rsidRPr="00225D4D">
        <w:t>Vidare</w:t>
      </w:r>
      <w:proofErr w:type="spellEnd"/>
      <w:r w:rsidRPr="00225D4D">
        <w:t xml:space="preserve"> må planen </w:t>
      </w:r>
      <w:proofErr w:type="spellStart"/>
      <w:r w:rsidRPr="00225D4D">
        <w:t>utviklast</w:t>
      </w:r>
      <w:proofErr w:type="spellEnd"/>
      <w:r w:rsidRPr="00225D4D">
        <w:t xml:space="preserve"> over tid, og utviklingsarbeidet må </w:t>
      </w:r>
      <w:proofErr w:type="spellStart"/>
      <w:r w:rsidRPr="00225D4D">
        <w:t>sjåast</w:t>
      </w:r>
      <w:proofErr w:type="spellEnd"/>
      <w:r w:rsidRPr="00225D4D">
        <w:t xml:space="preserve"> i </w:t>
      </w:r>
      <w:proofErr w:type="spellStart"/>
      <w:r w:rsidRPr="00225D4D">
        <w:t>samanheng</w:t>
      </w:r>
      <w:proofErr w:type="spellEnd"/>
      <w:r w:rsidRPr="00225D4D">
        <w:t xml:space="preserve"> med etableringa av den nye rådsstrukturen (sjå Del 1, tryggleik i samfunnet, tiltak). </w:t>
      </w:r>
      <w:proofErr w:type="spellStart"/>
      <w:r w:rsidRPr="00225D4D">
        <w:t>Innspel</w:t>
      </w:r>
      <w:proofErr w:type="spellEnd"/>
      <w:r w:rsidRPr="00225D4D">
        <w:t xml:space="preserve"> </w:t>
      </w:r>
      <w:proofErr w:type="spellStart"/>
      <w:r w:rsidRPr="00225D4D">
        <w:t>frå</w:t>
      </w:r>
      <w:proofErr w:type="spellEnd"/>
      <w:r w:rsidRPr="00225D4D">
        <w:t xml:space="preserve"> </w:t>
      </w:r>
      <w:proofErr w:type="spellStart"/>
      <w:r w:rsidRPr="00225D4D">
        <w:t>tilstandsvurderingane</w:t>
      </w:r>
      <w:proofErr w:type="spellEnd"/>
      <w:r w:rsidRPr="00225D4D">
        <w:t xml:space="preserve"> i den nye rådsstrukturen vil </w:t>
      </w:r>
      <w:proofErr w:type="spellStart"/>
      <w:r w:rsidRPr="00225D4D">
        <w:t>vere</w:t>
      </w:r>
      <w:proofErr w:type="spellEnd"/>
      <w:r w:rsidRPr="00225D4D">
        <w:t xml:space="preserve"> viktige bidrag til utarbeidinga av planen.</w:t>
      </w:r>
    </w:p>
    <w:p w14:paraId="5D19F165" w14:textId="77777777" w:rsidR="00D60186" w:rsidRPr="00225D4D" w:rsidRDefault="00D60186" w:rsidP="00225D4D">
      <w:pPr>
        <w:pStyle w:val="avsnitt-tittel"/>
      </w:pPr>
      <w:proofErr w:type="spellStart"/>
      <w:r w:rsidRPr="00225D4D">
        <w:t>Totalberedskapsutval</w:t>
      </w:r>
      <w:proofErr w:type="spellEnd"/>
    </w:p>
    <w:p w14:paraId="474E97C4" w14:textId="77777777" w:rsidR="00D60186" w:rsidRPr="00225D4D" w:rsidRDefault="00D60186" w:rsidP="00225D4D">
      <w:pPr>
        <w:pStyle w:val="avsnitt-undertittel"/>
      </w:pPr>
      <w:r w:rsidRPr="00225D4D">
        <w:t>Vedtak nr. 730, 11. mars 2021</w:t>
      </w:r>
    </w:p>
    <w:p w14:paraId="2D211F82" w14:textId="77777777" w:rsidR="00D60186" w:rsidRPr="00225D4D" w:rsidRDefault="00D60186" w:rsidP="00225D4D">
      <w:pPr>
        <w:pStyle w:val="blokksit"/>
        <w:rPr>
          <w:rStyle w:val="kursiv"/>
        </w:rPr>
      </w:pPr>
      <w:r w:rsidRPr="00225D4D">
        <w:rPr>
          <w:rStyle w:val="kursiv"/>
        </w:rPr>
        <w:t>«Stortinget ber regjeringen etablere et fast totalberedskapsutvalg som rapporterer til regjeringen hvert år, slik at man sikrer koordinert ledelse overordnet og på tvers, og helhetlige og koordinerte trusselvurderinger. Både beredskapsmyndigheter, samfunnets organisasjoner og næringsliv skal være representert i utvalget.»</w:t>
      </w:r>
    </w:p>
    <w:p w14:paraId="6AC287E1" w14:textId="77777777" w:rsidR="00D60186" w:rsidRPr="00225D4D" w:rsidRDefault="00D60186" w:rsidP="00225D4D">
      <w:r w:rsidRPr="00225D4D">
        <w:t xml:space="preserve">Dokumenta som ligg til grunn for vedtaket, er Meld. St. 5 (2020–2021) og </w:t>
      </w:r>
      <w:proofErr w:type="spellStart"/>
      <w:r w:rsidRPr="00225D4D">
        <w:t>Innst</w:t>
      </w:r>
      <w:proofErr w:type="spellEnd"/>
      <w:r w:rsidRPr="00225D4D">
        <w:t xml:space="preserve">. 275 S (2020–2021) </w:t>
      </w:r>
      <w:proofErr w:type="spellStart"/>
      <w:r w:rsidRPr="00225D4D">
        <w:t>frå</w:t>
      </w:r>
      <w:proofErr w:type="spellEnd"/>
      <w:r w:rsidRPr="00225D4D">
        <w:t xml:space="preserve"> justiskomiteen.</w:t>
      </w:r>
    </w:p>
    <w:p w14:paraId="43E3B1C8" w14:textId="77777777" w:rsidR="00D60186" w:rsidRPr="00225D4D" w:rsidRDefault="00D60186" w:rsidP="00225D4D">
      <w:r w:rsidRPr="00225D4D">
        <w:t xml:space="preserve">Vedtaket er </w:t>
      </w:r>
      <w:proofErr w:type="spellStart"/>
      <w:r w:rsidRPr="00225D4D">
        <w:t>følgt</w:t>
      </w:r>
      <w:proofErr w:type="spellEnd"/>
      <w:r w:rsidRPr="00225D4D">
        <w:t xml:space="preserve"> opp. Regjeringa etablerer </w:t>
      </w:r>
      <w:proofErr w:type="spellStart"/>
      <w:r w:rsidRPr="00225D4D">
        <w:t>ein</w:t>
      </w:r>
      <w:proofErr w:type="spellEnd"/>
      <w:r w:rsidRPr="00225D4D">
        <w:t xml:space="preserve"> ny rådsstruktur for </w:t>
      </w:r>
      <w:proofErr w:type="spellStart"/>
      <w:r w:rsidRPr="00225D4D">
        <w:t>tilstandsvurderingar</w:t>
      </w:r>
      <w:proofErr w:type="spellEnd"/>
      <w:r w:rsidRPr="00225D4D">
        <w:t xml:space="preserve"> og beredskapsplanlegging på nasjonalt, regionalt og lokalt nivå. Privat næringsliv og frivillige skal </w:t>
      </w:r>
      <w:proofErr w:type="spellStart"/>
      <w:r w:rsidRPr="00225D4D">
        <w:t>vere</w:t>
      </w:r>
      <w:proofErr w:type="spellEnd"/>
      <w:r w:rsidRPr="00225D4D">
        <w:t xml:space="preserve"> involverte i strukturen. På sentralt nivå vil det bli </w:t>
      </w:r>
      <w:proofErr w:type="spellStart"/>
      <w:r w:rsidRPr="00225D4D">
        <w:t>peika</w:t>
      </w:r>
      <w:proofErr w:type="spellEnd"/>
      <w:r w:rsidRPr="00225D4D">
        <w:t xml:space="preserve"> ut kritiske samfunnsområde med </w:t>
      </w:r>
      <w:proofErr w:type="spellStart"/>
      <w:r w:rsidRPr="00225D4D">
        <w:t>eit</w:t>
      </w:r>
      <w:proofErr w:type="spellEnd"/>
      <w:r w:rsidRPr="00225D4D">
        <w:t xml:space="preserve"> </w:t>
      </w:r>
      <w:proofErr w:type="spellStart"/>
      <w:r w:rsidRPr="00225D4D">
        <w:t>ansvarleg</w:t>
      </w:r>
      <w:proofErr w:type="spellEnd"/>
      <w:r w:rsidRPr="00225D4D">
        <w:t xml:space="preserve"> departement for kvart område. </w:t>
      </w:r>
      <w:proofErr w:type="spellStart"/>
      <w:r w:rsidRPr="00225D4D">
        <w:t>Innanfor</w:t>
      </w:r>
      <w:proofErr w:type="spellEnd"/>
      <w:r w:rsidRPr="00225D4D">
        <w:t xml:space="preserve"> </w:t>
      </w:r>
      <w:proofErr w:type="spellStart"/>
      <w:r w:rsidRPr="00225D4D">
        <w:t>desse</w:t>
      </w:r>
      <w:proofErr w:type="spellEnd"/>
      <w:r w:rsidRPr="00225D4D">
        <w:t xml:space="preserve"> områda skal det </w:t>
      </w:r>
      <w:proofErr w:type="spellStart"/>
      <w:r w:rsidRPr="00225D4D">
        <w:t>etablerast</w:t>
      </w:r>
      <w:proofErr w:type="spellEnd"/>
      <w:r w:rsidRPr="00225D4D">
        <w:t xml:space="preserve"> </w:t>
      </w:r>
      <w:proofErr w:type="spellStart"/>
      <w:r w:rsidRPr="00225D4D">
        <w:t>eit</w:t>
      </w:r>
      <w:proofErr w:type="spellEnd"/>
      <w:r w:rsidRPr="00225D4D">
        <w:t xml:space="preserve"> råd leia av departementet, med </w:t>
      </w:r>
      <w:proofErr w:type="spellStart"/>
      <w:r w:rsidRPr="00225D4D">
        <w:t>høveleg</w:t>
      </w:r>
      <w:proofErr w:type="spellEnd"/>
      <w:r w:rsidRPr="00225D4D">
        <w:t xml:space="preserve"> deltaking </w:t>
      </w:r>
      <w:proofErr w:type="spellStart"/>
      <w:r w:rsidRPr="00225D4D">
        <w:t>frå</w:t>
      </w:r>
      <w:proofErr w:type="spellEnd"/>
      <w:r w:rsidRPr="00225D4D">
        <w:t xml:space="preserve"> private og frivillige </w:t>
      </w:r>
      <w:proofErr w:type="spellStart"/>
      <w:r w:rsidRPr="00225D4D">
        <w:t>aktørar</w:t>
      </w:r>
      <w:proofErr w:type="spellEnd"/>
      <w:r w:rsidRPr="00225D4D">
        <w:t xml:space="preserve">. Rådsstrukturen skal mellom anna brukast til å utarbeide </w:t>
      </w:r>
      <w:proofErr w:type="spellStart"/>
      <w:r w:rsidRPr="00225D4D">
        <w:t>tilstandsvurderingar</w:t>
      </w:r>
      <w:proofErr w:type="spellEnd"/>
      <w:r w:rsidRPr="00225D4D">
        <w:t xml:space="preserve">, som skal </w:t>
      </w:r>
      <w:proofErr w:type="spellStart"/>
      <w:r w:rsidRPr="00225D4D">
        <w:t>vere</w:t>
      </w:r>
      <w:proofErr w:type="spellEnd"/>
      <w:r w:rsidRPr="00225D4D">
        <w:t xml:space="preserve"> </w:t>
      </w:r>
      <w:proofErr w:type="spellStart"/>
      <w:r w:rsidRPr="00225D4D">
        <w:t>ein</w:t>
      </w:r>
      <w:proofErr w:type="spellEnd"/>
      <w:r w:rsidRPr="00225D4D">
        <w:t xml:space="preserve"> del av grunnlaget for regjeringa sine </w:t>
      </w:r>
      <w:proofErr w:type="spellStart"/>
      <w:r w:rsidRPr="00225D4D">
        <w:t>prioriteringar</w:t>
      </w:r>
      <w:proofErr w:type="spellEnd"/>
      <w:r w:rsidRPr="00225D4D">
        <w:t xml:space="preserve"> knytte til arbeidet med tryggleik og beredskap.</w:t>
      </w:r>
    </w:p>
    <w:p w14:paraId="112826D7" w14:textId="77777777" w:rsidR="00D60186" w:rsidRPr="00225D4D" w:rsidRDefault="00D60186" w:rsidP="00225D4D">
      <w:pPr>
        <w:pStyle w:val="avsnitt-tittel"/>
      </w:pPr>
      <w:r w:rsidRPr="00225D4D">
        <w:t xml:space="preserve">Nordisk samarbeid </w:t>
      </w:r>
      <w:proofErr w:type="spellStart"/>
      <w:r w:rsidRPr="00225D4D">
        <w:t>innan</w:t>
      </w:r>
      <w:proofErr w:type="spellEnd"/>
      <w:r w:rsidRPr="00225D4D">
        <w:t xml:space="preserve"> samfunnstryggleik</w:t>
      </w:r>
    </w:p>
    <w:p w14:paraId="4C66D022" w14:textId="77777777" w:rsidR="00D60186" w:rsidRPr="00225D4D" w:rsidRDefault="00D60186" w:rsidP="00225D4D">
      <w:pPr>
        <w:pStyle w:val="avsnitt-undertittel"/>
      </w:pPr>
      <w:r w:rsidRPr="00225D4D">
        <w:t>Vedtak nr. 739, 11. mars 2021</w:t>
      </w:r>
    </w:p>
    <w:p w14:paraId="1F4B93E0" w14:textId="77777777" w:rsidR="00D60186" w:rsidRPr="00225D4D" w:rsidRDefault="00D60186" w:rsidP="00225D4D">
      <w:pPr>
        <w:pStyle w:val="blokksit"/>
        <w:rPr>
          <w:rStyle w:val="kursiv"/>
        </w:rPr>
      </w:pPr>
      <w:r w:rsidRPr="00225D4D">
        <w:rPr>
          <w:rStyle w:val="kursiv"/>
        </w:rPr>
        <w:t>«Stortinget ber regjeringen komme tilbake til Stortinget med en vurdering av muligheten for tettere samarbeid med nordiske naboland knyttet til samfunnssikkerhet og beredskap, herunder felles sikkerhetsklarering, planverk på tvers av landegrensene og øvelser på tvers av landegrensene.»</w:t>
      </w:r>
    </w:p>
    <w:p w14:paraId="3174C4F4" w14:textId="77777777" w:rsidR="00D60186" w:rsidRPr="00225D4D" w:rsidRDefault="00D60186" w:rsidP="00225D4D">
      <w:r w:rsidRPr="00225D4D">
        <w:t xml:space="preserve">Dokumenta som ligg til grunn for vedtaket, er Meld. St. 5 (2020–2021) og </w:t>
      </w:r>
      <w:proofErr w:type="spellStart"/>
      <w:r w:rsidRPr="00225D4D">
        <w:t>Innst</w:t>
      </w:r>
      <w:proofErr w:type="spellEnd"/>
      <w:r w:rsidRPr="00225D4D">
        <w:t xml:space="preserve">. 275 S (2020–2021) </w:t>
      </w:r>
      <w:proofErr w:type="spellStart"/>
      <w:r w:rsidRPr="00225D4D">
        <w:t>frå</w:t>
      </w:r>
      <w:proofErr w:type="spellEnd"/>
      <w:r w:rsidRPr="00225D4D">
        <w:t xml:space="preserve"> justiskomiteen.</w:t>
      </w:r>
    </w:p>
    <w:p w14:paraId="67B4908A"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w:t>
      </w:r>
      <w:proofErr w:type="spellStart"/>
      <w:r w:rsidRPr="00225D4D">
        <w:t>Sidan</w:t>
      </w:r>
      <w:proofErr w:type="spellEnd"/>
      <w:r w:rsidRPr="00225D4D">
        <w:t xml:space="preserve"> 2021 har det </w:t>
      </w:r>
      <w:proofErr w:type="spellStart"/>
      <w:r w:rsidRPr="00225D4D">
        <w:t>vore</w:t>
      </w:r>
      <w:proofErr w:type="spellEnd"/>
      <w:r w:rsidRPr="00225D4D">
        <w:t xml:space="preserve"> ei brei intensivering av både sivilt og militært samarbeid mellom </w:t>
      </w:r>
      <w:proofErr w:type="spellStart"/>
      <w:r w:rsidRPr="00225D4D">
        <w:t>dei</w:t>
      </w:r>
      <w:proofErr w:type="spellEnd"/>
      <w:r w:rsidRPr="00225D4D">
        <w:t xml:space="preserve"> nordiske landa, både gjennom </w:t>
      </w:r>
      <w:proofErr w:type="spellStart"/>
      <w:r w:rsidRPr="00225D4D">
        <w:t>tidlegare</w:t>
      </w:r>
      <w:proofErr w:type="spellEnd"/>
      <w:r w:rsidRPr="00225D4D">
        <w:t xml:space="preserve"> </w:t>
      </w:r>
      <w:proofErr w:type="spellStart"/>
      <w:r w:rsidRPr="00225D4D">
        <w:t>eksisterande</w:t>
      </w:r>
      <w:proofErr w:type="spellEnd"/>
      <w:r w:rsidRPr="00225D4D">
        <w:t xml:space="preserve"> samarbeidsarenaer som Haga-samarbeidet og NORDEFCO, men òg gjennom NATO etter at Sverige og Finland </w:t>
      </w:r>
      <w:proofErr w:type="spellStart"/>
      <w:r w:rsidRPr="00225D4D">
        <w:t>vart</w:t>
      </w:r>
      <w:proofErr w:type="spellEnd"/>
      <w:r w:rsidRPr="00225D4D">
        <w:t xml:space="preserve"> med.</w:t>
      </w:r>
    </w:p>
    <w:p w14:paraId="1519FE6A" w14:textId="77777777" w:rsidR="00D60186" w:rsidRPr="00225D4D" w:rsidRDefault="00D60186" w:rsidP="00225D4D">
      <w:r w:rsidRPr="00225D4D">
        <w:t xml:space="preserve">Når det gjeld </w:t>
      </w:r>
      <w:proofErr w:type="spellStart"/>
      <w:r w:rsidRPr="00225D4D">
        <w:t>tryggingsklareringar</w:t>
      </w:r>
      <w:proofErr w:type="spellEnd"/>
      <w:r w:rsidRPr="00225D4D">
        <w:t xml:space="preserve">, </w:t>
      </w:r>
      <w:proofErr w:type="spellStart"/>
      <w:r w:rsidRPr="00225D4D">
        <w:t>finst</w:t>
      </w:r>
      <w:proofErr w:type="spellEnd"/>
      <w:r w:rsidRPr="00225D4D">
        <w:t xml:space="preserve"> det i dag </w:t>
      </w:r>
      <w:proofErr w:type="spellStart"/>
      <w:r w:rsidRPr="00225D4D">
        <w:t>tryggingsavtalar</w:t>
      </w:r>
      <w:proofErr w:type="spellEnd"/>
      <w:r w:rsidRPr="00225D4D">
        <w:t xml:space="preserve"> mellom </w:t>
      </w:r>
      <w:proofErr w:type="spellStart"/>
      <w:r w:rsidRPr="00225D4D">
        <w:t>Noreg</w:t>
      </w:r>
      <w:proofErr w:type="spellEnd"/>
      <w:r w:rsidRPr="00225D4D">
        <w:t xml:space="preserve"> og </w:t>
      </w:r>
      <w:proofErr w:type="spellStart"/>
      <w:r w:rsidRPr="00225D4D">
        <w:t>dei</w:t>
      </w:r>
      <w:proofErr w:type="spellEnd"/>
      <w:r w:rsidRPr="00225D4D">
        <w:t xml:space="preserve"> nordiske nabolanda som </w:t>
      </w:r>
      <w:proofErr w:type="spellStart"/>
      <w:r w:rsidRPr="00225D4D">
        <w:t>gjer</w:t>
      </w:r>
      <w:proofErr w:type="spellEnd"/>
      <w:r w:rsidRPr="00225D4D">
        <w:t xml:space="preserve"> det </w:t>
      </w:r>
      <w:proofErr w:type="spellStart"/>
      <w:r w:rsidRPr="00225D4D">
        <w:t>mogleg</w:t>
      </w:r>
      <w:proofErr w:type="spellEnd"/>
      <w:r w:rsidRPr="00225D4D">
        <w:t xml:space="preserve"> å utveksle gradert informasjon mellom landa. </w:t>
      </w:r>
      <w:proofErr w:type="spellStart"/>
      <w:r w:rsidRPr="00225D4D">
        <w:t>Avtalane</w:t>
      </w:r>
      <w:proofErr w:type="spellEnd"/>
      <w:r w:rsidRPr="00225D4D">
        <w:t xml:space="preserve"> </w:t>
      </w:r>
      <w:proofErr w:type="spellStart"/>
      <w:r w:rsidRPr="00225D4D">
        <w:t>omfattar</w:t>
      </w:r>
      <w:proofErr w:type="spellEnd"/>
      <w:r w:rsidRPr="00225D4D">
        <w:t xml:space="preserve"> òg gjensidig godkjenning av </w:t>
      </w:r>
      <w:proofErr w:type="spellStart"/>
      <w:r w:rsidRPr="00225D4D">
        <w:t>kvarandre</w:t>
      </w:r>
      <w:proofErr w:type="spellEnd"/>
      <w:r w:rsidRPr="00225D4D">
        <w:t xml:space="preserve"> sine </w:t>
      </w:r>
      <w:proofErr w:type="spellStart"/>
      <w:r w:rsidRPr="00225D4D">
        <w:t>tryggingsklareringar</w:t>
      </w:r>
      <w:proofErr w:type="spellEnd"/>
      <w:r w:rsidRPr="00225D4D">
        <w:t xml:space="preserve">. </w:t>
      </w:r>
      <w:proofErr w:type="spellStart"/>
      <w:r w:rsidRPr="00225D4D">
        <w:t>Vidare</w:t>
      </w:r>
      <w:proofErr w:type="spellEnd"/>
      <w:r w:rsidRPr="00225D4D">
        <w:t xml:space="preserve"> vil Sverige og Finland bli innlemma i NATOs system for </w:t>
      </w:r>
      <w:proofErr w:type="spellStart"/>
      <w:r w:rsidRPr="00225D4D">
        <w:t>tryggingsklareringar</w:t>
      </w:r>
      <w:proofErr w:type="spellEnd"/>
      <w:r w:rsidRPr="00225D4D">
        <w:t xml:space="preserve"> og deltaking i gradert informasjonsdeling, </w:t>
      </w:r>
      <w:proofErr w:type="spellStart"/>
      <w:r w:rsidRPr="00225D4D">
        <w:t>noko</w:t>
      </w:r>
      <w:proofErr w:type="spellEnd"/>
      <w:r w:rsidRPr="00225D4D">
        <w:t xml:space="preserve"> som vil </w:t>
      </w:r>
      <w:proofErr w:type="spellStart"/>
      <w:r w:rsidRPr="00225D4D">
        <w:t>gjere</w:t>
      </w:r>
      <w:proofErr w:type="spellEnd"/>
      <w:r w:rsidRPr="00225D4D">
        <w:t xml:space="preserve"> samhandlinga </w:t>
      </w:r>
      <w:proofErr w:type="spellStart"/>
      <w:r w:rsidRPr="00225D4D">
        <w:t>enklare</w:t>
      </w:r>
      <w:proofErr w:type="spellEnd"/>
      <w:r w:rsidRPr="00225D4D">
        <w:t>.</w:t>
      </w:r>
    </w:p>
    <w:p w14:paraId="2141DAC9" w14:textId="77777777" w:rsidR="00D60186" w:rsidRPr="00225D4D" w:rsidRDefault="00D60186" w:rsidP="00225D4D">
      <w:pPr>
        <w:pStyle w:val="avsnitt-tittel"/>
      </w:pPr>
      <w:r w:rsidRPr="00225D4D">
        <w:t>Brann til sjøs</w:t>
      </w:r>
    </w:p>
    <w:p w14:paraId="76732649" w14:textId="77777777" w:rsidR="00D60186" w:rsidRPr="00225D4D" w:rsidRDefault="00D60186" w:rsidP="00225D4D">
      <w:pPr>
        <w:pStyle w:val="avsnitt-undertittel"/>
      </w:pPr>
      <w:r w:rsidRPr="00225D4D">
        <w:t>Vedtak nr. 742, 11. mars 2021</w:t>
      </w:r>
    </w:p>
    <w:p w14:paraId="3A90B37C" w14:textId="77777777" w:rsidR="00D60186" w:rsidRPr="00225D4D" w:rsidRDefault="00D60186" w:rsidP="00225D4D">
      <w:pPr>
        <w:pStyle w:val="blokksit"/>
        <w:rPr>
          <w:rStyle w:val="kursiv"/>
        </w:rPr>
      </w:pPr>
      <w:r w:rsidRPr="00225D4D">
        <w:rPr>
          <w:rStyle w:val="kursiv"/>
        </w:rPr>
        <w:t>«Stortinget ber regjeringen styrke Redningsselskapet og gjennomgå hvordan de kan bistå brann- og redningsetaten ved brann til sjøs.»</w:t>
      </w:r>
    </w:p>
    <w:p w14:paraId="5C42645A" w14:textId="77777777" w:rsidR="00D60186" w:rsidRPr="00225D4D" w:rsidRDefault="00D60186" w:rsidP="00225D4D">
      <w:r w:rsidRPr="00225D4D">
        <w:t xml:space="preserve">Dokumenta som ligg til grunn for vedtaket, er Meld. St. 5 (2020–2021) og </w:t>
      </w:r>
      <w:proofErr w:type="spellStart"/>
      <w:r w:rsidRPr="00225D4D">
        <w:t>Innst</w:t>
      </w:r>
      <w:proofErr w:type="spellEnd"/>
      <w:r w:rsidRPr="00225D4D">
        <w:t xml:space="preserve">. 275 S (2020–2021) </w:t>
      </w:r>
      <w:proofErr w:type="spellStart"/>
      <w:r w:rsidRPr="00225D4D">
        <w:t>frå</w:t>
      </w:r>
      <w:proofErr w:type="spellEnd"/>
      <w:r w:rsidRPr="00225D4D">
        <w:t xml:space="preserve"> justiskomiteen.</w:t>
      </w:r>
    </w:p>
    <w:p w14:paraId="7A10B565"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w:t>
      </w:r>
      <w:proofErr w:type="spellStart"/>
      <w:r w:rsidRPr="00225D4D">
        <w:t>Tilskotet</w:t>
      </w:r>
      <w:proofErr w:type="spellEnd"/>
      <w:r w:rsidRPr="00225D4D">
        <w:t xml:space="preserve"> til Redningsselskapet (RS) har hatt </w:t>
      </w:r>
      <w:proofErr w:type="spellStart"/>
      <w:r w:rsidRPr="00225D4D">
        <w:t>ein</w:t>
      </w:r>
      <w:proofErr w:type="spellEnd"/>
      <w:r w:rsidRPr="00225D4D">
        <w:t xml:space="preserve"> jamn og kraftig </w:t>
      </w:r>
      <w:proofErr w:type="spellStart"/>
      <w:r w:rsidRPr="00225D4D">
        <w:t>auke</w:t>
      </w:r>
      <w:proofErr w:type="spellEnd"/>
      <w:r w:rsidRPr="00225D4D">
        <w:t xml:space="preserve"> </w:t>
      </w:r>
      <w:proofErr w:type="spellStart"/>
      <w:r w:rsidRPr="00225D4D">
        <w:t>dei</w:t>
      </w:r>
      <w:proofErr w:type="spellEnd"/>
      <w:r w:rsidRPr="00225D4D">
        <w:t xml:space="preserve"> </w:t>
      </w:r>
      <w:proofErr w:type="spellStart"/>
      <w:r w:rsidRPr="00225D4D">
        <w:t>seinare</w:t>
      </w:r>
      <w:proofErr w:type="spellEnd"/>
      <w:r w:rsidRPr="00225D4D">
        <w:t xml:space="preserve"> åra, </w:t>
      </w:r>
      <w:proofErr w:type="spellStart"/>
      <w:r w:rsidRPr="00225D4D">
        <w:t>frå</w:t>
      </w:r>
      <w:proofErr w:type="spellEnd"/>
      <w:r w:rsidRPr="00225D4D">
        <w:t xml:space="preserve"> om lag 56 mill. kroner i 2013 til om lag 140 mill. kroner i 2023.</w:t>
      </w:r>
    </w:p>
    <w:p w14:paraId="6E0BE8B0" w14:textId="77777777" w:rsidR="00D60186" w:rsidRPr="00225D4D" w:rsidRDefault="00D60186" w:rsidP="00225D4D">
      <w:pPr>
        <w:pStyle w:val="avsnitt-tittel"/>
      </w:pPr>
      <w:r w:rsidRPr="00225D4D">
        <w:t>Tilfluktsrom</w:t>
      </w:r>
    </w:p>
    <w:p w14:paraId="59EA91A9" w14:textId="77777777" w:rsidR="00D60186" w:rsidRPr="00225D4D" w:rsidRDefault="00D60186" w:rsidP="00225D4D">
      <w:pPr>
        <w:pStyle w:val="avsnitt-undertittel"/>
      </w:pPr>
      <w:r w:rsidRPr="00225D4D">
        <w:t>Vedtak nr. 743, 11. mars 2021</w:t>
      </w:r>
    </w:p>
    <w:p w14:paraId="16E2E5A0" w14:textId="77777777" w:rsidR="00D60186" w:rsidRPr="00225D4D" w:rsidRDefault="00D60186" w:rsidP="00225D4D">
      <w:pPr>
        <w:pStyle w:val="blokksit"/>
        <w:rPr>
          <w:rStyle w:val="kursiv"/>
        </w:rPr>
      </w:pPr>
      <w:r w:rsidRPr="00225D4D">
        <w:rPr>
          <w:rStyle w:val="kursiv"/>
        </w:rPr>
        <w:t>«Stortinget ber regjeringen komme tilbake til Stortinget med en vurdering av hvordan eksisterende tilfluktsrom i større grad kan benyttes slik at de holdes i stand samt inngår som en del av den nasjonale beredskapen i forbindelse med for eksempel migrasjon, pandemi eller forsyningskrise.»</w:t>
      </w:r>
    </w:p>
    <w:p w14:paraId="198FEDD0" w14:textId="77777777" w:rsidR="00D60186" w:rsidRPr="00225D4D" w:rsidRDefault="00D60186" w:rsidP="00225D4D">
      <w:r w:rsidRPr="00225D4D">
        <w:t xml:space="preserve">Dokumenta som ligg til grunn for vedtaket, er Meld. St. 5 (2020–2021) og </w:t>
      </w:r>
      <w:proofErr w:type="spellStart"/>
      <w:r w:rsidRPr="00225D4D">
        <w:t>Innst</w:t>
      </w:r>
      <w:proofErr w:type="spellEnd"/>
      <w:r w:rsidRPr="00225D4D">
        <w:t xml:space="preserve">. 275 S (2020–2021) </w:t>
      </w:r>
      <w:proofErr w:type="spellStart"/>
      <w:r w:rsidRPr="00225D4D">
        <w:t>frå</w:t>
      </w:r>
      <w:proofErr w:type="spellEnd"/>
      <w:r w:rsidRPr="00225D4D">
        <w:t xml:space="preserve"> justiskomiteen.</w:t>
      </w:r>
    </w:p>
    <w:p w14:paraId="41A3115D" w14:textId="77777777" w:rsidR="00D60186" w:rsidRPr="00815696" w:rsidRDefault="00D60186" w:rsidP="00225D4D">
      <w:pPr>
        <w:rPr>
          <w:lang w:val="en-GB"/>
        </w:rPr>
      </w:pPr>
      <w:r w:rsidRPr="00225D4D">
        <w:t xml:space="preserve">Vedtaket er </w:t>
      </w:r>
      <w:proofErr w:type="spellStart"/>
      <w:r w:rsidRPr="00225D4D">
        <w:t>følgt</w:t>
      </w:r>
      <w:proofErr w:type="spellEnd"/>
      <w:r w:rsidRPr="00225D4D">
        <w:t xml:space="preserve"> opp ifm. </w:t>
      </w:r>
      <w:r w:rsidRPr="00815696">
        <w:rPr>
          <w:lang w:val="en-GB"/>
        </w:rPr>
        <w:t xml:space="preserve">Meld. St. 9 (2024–2025), </w:t>
      </w:r>
      <w:proofErr w:type="spellStart"/>
      <w:r w:rsidRPr="00815696">
        <w:rPr>
          <w:lang w:val="en-GB"/>
        </w:rPr>
        <w:t>jf</w:t>
      </w:r>
      <w:proofErr w:type="spellEnd"/>
      <w:r w:rsidRPr="00815696">
        <w:rPr>
          <w:lang w:val="en-GB"/>
        </w:rPr>
        <w:t xml:space="preserve">. </w:t>
      </w:r>
      <w:proofErr w:type="spellStart"/>
      <w:r w:rsidRPr="00815696">
        <w:rPr>
          <w:lang w:val="en-GB"/>
        </w:rPr>
        <w:t>Innst</w:t>
      </w:r>
      <w:proofErr w:type="spellEnd"/>
      <w:r w:rsidRPr="00815696">
        <w:rPr>
          <w:lang w:val="en-GB"/>
        </w:rPr>
        <w:t>. 242 S (2024–2025).</w:t>
      </w:r>
    </w:p>
    <w:p w14:paraId="27DDFD98" w14:textId="77777777" w:rsidR="00D60186" w:rsidRPr="00225D4D" w:rsidRDefault="00D60186" w:rsidP="00225D4D">
      <w:r w:rsidRPr="00225D4D">
        <w:t xml:space="preserve">Oppmodinga er vurdert og viser at det er lite </w:t>
      </w:r>
      <w:proofErr w:type="spellStart"/>
      <w:r w:rsidRPr="00225D4D">
        <w:t>formålstenleg</w:t>
      </w:r>
      <w:proofErr w:type="spellEnd"/>
      <w:r w:rsidRPr="00225D4D">
        <w:t xml:space="preserve"> å nytte </w:t>
      </w:r>
      <w:proofErr w:type="spellStart"/>
      <w:r w:rsidRPr="00225D4D">
        <w:t>eksisterande</w:t>
      </w:r>
      <w:proofErr w:type="spellEnd"/>
      <w:r w:rsidRPr="00225D4D">
        <w:t xml:space="preserve"> private tilfluktsrom til andre beredskapsformål, bl.a. grunna </w:t>
      </w:r>
      <w:proofErr w:type="spellStart"/>
      <w:r w:rsidRPr="00225D4D">
        <w:t>klargjeringstid</w:t>
      </w:r>
      <w:proofErr w:type="spellEnd"/>
      <w:r w:rsidRPr="00225D4D">
        <w:t xml:space="preserve"> og at tilfluktsromma er </w:t>
      </w:r>
      <w:proofErr w:type="spellStart"/>
      <w:r w:rsidRPr="00225D4D">
        <w:t>byggeigar</w:t>
      </w:r>
      <w:proofErr w:type="spellEnd"/>
      <w:r w:rsidRPr="00225D4D">
        <w:t xml:space="preserve"> sin </w:t>
      </w:r>
      <w:proofErr w:type="spellStart"/>
      <w:r w:rsidRPr="00225D4D">
        <w:t>eigedel</w:t>
      </w:r>
      <w:proofErr w:type="spellEnd"/>
      <w:r w:rsidRPr="00225D4D">
        <w:t xml:space="preserve">. I tillegg vil ei </w:t>
      </w:r>
      <w:proofErr w:type="spellStart"/>
      <w:r w:rsidRPr="00225D4D">
        <w:t>bandlegging</w:t>
      </w:r>
      <w:proofErr w:type="spellEnd"/>
      <w:r w:rsidRPr="00225D4D">
        <w:t xml:space="preserve"> av areala til beredskapsformål gå ut over </w:t>
      </w:r>
      <w:proofErr w:type="spellStart"/>
      <w:r w:rsidRPr="00225D4D">
        <w:t>eigar</w:t>
      </w:r>
      <w:proofErr w:type="spellEnd"/>
      <w:r w:rsidRPr="00225D4D">
        <w:t xml:space="preserve"> sin råderett over eigen </w:t>
      </w:r>
      <w:proofErr w:type="spellStart"/>
      <w:r w:rsidRPr="00225D4D">
        <w:t>eigedom</w:t>
      </w:r>
      <w:proofErr w:type="spellEnd"/>
      <w:r w:rsidRPr="00225D4D">
        <w:t xml:space="preserve">. Enkelte </w:t>
      </w:r>
      <w:proofErr w:type="spellStart"/>
      <w:r w:rsidRPr="00225D4D">
        <w:t>offentlege</w:t>
      </w:r>
      <w:proofErr w:type="spellEnd"/>
      <w:r w:rsidRPr="00225D4D">
        <w:t xml:space="preserve"> tilfluktsrom har </w:t>
      </w:r>
      <w:proofErr w:type="spellStart"/>
      <w:r w:rsidRPr="00225D4D">
        <w:t>ein</w:t>
      </w:r>
      <w:proofErr w:type="spellEnd"/>
      <w:r w:rsidRPr="00225D4D">
        <w:t xml:space="preserve"> </w:t>
      </w:r>
      <w:proofErr w:type="spellStart"/>
      <w:r w:rsidRPr="00225D4D">
        <w:t>fleirbruksfunksjon</w:t>
      </w:r>
      <w:proofErr w:type="spellEnd"/>
      <w:r w:rsidRPr="00225D4D">
        <w:t xml:space="preserve">. Slik funksjonalitet vil også </w:t>
      </w:r>
      <w:proofErr w:type="spellStart"/>
      <w:r w:rsidRPr="00225D4D">
        <w:t>vere</w:t>
      </w:r>
      <w:proofErr w:type="spellEnd"/>
      <w:r w:rsidRPr="00225D4D">
        <w:t xml:space="preserve"> relevant å vurdere ved ei eventuell framtidig etablering av </w:t>
      </w:r>
      <w:proofErr w:type="spellStart"/>
      <w:r w:rsidRPr="00225D4D">
        <w:t>offentlege</w:t>
      </w:r>
      <w:proofErr w:type="spellEnd"/>
      <w:r w:rsidRPr="00225D4D">
        <w:t xml:space="preserve"> tilfluktsrom eller dekningsrom.</w:t>
      </w:r>
    </w:p>
    <w:p w14:paraId="0A567DC6" w14:textId="77777777" w:rsidR="00D60186" w:rsidRPr="00225D4D" w:rsidRDefault="00D60186" w:rsidP="00225D4D">
      <w:pPr>
        <w:pStyle w:val="avsnitt-tittel"/>
      </w:pPr>
      <w:r w:rsidRPr="00225D4D">
        <w:t>ADR-kontroll</w:t>
      </w:r>
    </w:p>
    <w:p w14:paraId="3323C855" w14:textId="77777777" w:rsidR="00D60186" w:rsidRPr="00225D4D" w:rsidRDefault="00D60186" w:rsidP="00225D4D">
      <w:pPr>
        <w:pStyle w:val="avsnitt-undertittel"/>
      </w:pPr>
      <w:r w:rsidRPr="00225D4D">
        <w:t>Vedtak nr. 799, 13. april 2021</w:t>
      </w:r>
    </w:p>
    <w:p w14:paraId="7EC92F94" w14:textId="77777777" w:rsidR="00D60186" w:rsidRPr="00225D4D" w:rsidRDefault="00D60186" w:rsidP="00225D4D">
      <w:pPr>
        <w:pStyle w:val="blokksit"/>
        <w:rPr>
          <w:rStyle w:val="kursiv"/>
        </w:rPr>
      </w:pPr>
      <w:r w:rsidRPr="00225D4D">
        <w:rPr>
          <w:rStyle w:val="kursiv"/>
        </w:rPr>
        <w:t>«Stortinget ber regjeringen utrede muligheten for å overføre myndighet til å gjennomføre ADR-kontroll til godkjente tungbilverksteder.»</w:t>
      </w:r>
    </w:p>
    <w:p w14:paraId="073344A5" w14:textId="77777777" w:rsidR="00D60186" w:rsidRPr="00225D4D" w:rsidRDefault="00D60186" w:rsidP="00225D4D">
      <w:r w:rsidRPr="00225D4D">
        <w:t xml:space="preserve">Dokumenta som ligg til grunn for vedtaket, er Dokument 8:106 S (2020–2021) og </w:t>
      </w:r>
      <w:proofErr w:type="spellStart"/>
      <w:r w:rsidRPr="00225D4D">
        <w:t>Innst</w:t>
      </w:r>
      <w:proofErr w:type="spellEnd"/>
      <w:r w:rsidRPr="00225D4D">
        <w:t xml:space="preserve">. 311 S (2020–2021) </w:t>
      </w:r>
      <w:proofErr w:type="spellStart"/>
      <w:r w:rsidRPr="00225D4D">
        <w:t>frå</w:t>
      </w:r>
      <w:proofErr w:type="spellEnd"/>
      <w:r w:rsidRPr="00225D4D">
        <w:t xml:space="preserve"> transport- og kommunikasjonskomiteen.</w:t>
      </w:r>
    </w:p>
    <w:p w14:paraId="54DD156D"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DSB har vurdert </w:t>
      </w:r>
      <w:proofErr w:type="spellStart"/>
      <w:r w:rsidRPr="00225D4D">
        <w:t>moglegheita</w:t>
      </w:r>
      <w:proofErr w:type="spellEnd"/>
      <w:r w:rsidRPr="00225D4D">
        <w:t xml:space="preserve"> for å overføre </w:t>
      </w:r>
      <w:proofErr w:type="spellStart"/>
      <w:r w:rsidRPr="00225D4D">
        <w:t>myndigheit</w:t>
      </w:r>
      <w:proofErr w:type="spellEnd"/>
      <w:r w:rsidRPr="00225D4D">
        <w:t xml:space="preserve"> til å gjennomføre ADR-kontroll til både </w:t>
      </w:r>
      <w:proofErr w:type="spellStart"/>
      <w:r w:rsidRPr="00225D4D">
        <w:t>godkjende</w:t>
      </w:r>
      <w:proofErr w:type="spellEnd"/>
      <w:r w:rsidRPr="00225D4D">
        <w:t xml:space="preserve"> </w:t>
      </w:r>
      <w:proofErr w:type="spellStart"/>
      <w:r w:rsidRPr="00225D4D">
        <w:t>tungbilverkstader</w:t>
      </w:r>
      <w:proofErr w:type="spellEnd"/>
      <w:r w:rsidRPr="00225D4D">
        <w:t xml:space="preserve"> og andre </w:t>
      </w:r>
      <w:proofErr w:type="spellStart"/>
      <w:r w:rsidRPr="00225D4D">
        <w:t>godkjende</w:t>
      </w:r>
      <w:proofErr w:type="spellEnd"/>
      <w:r w:rsidRPr="00225D4D">
        <w:t xml:space="preserve"> </w:t>
      </w:r>
      <w:proofErr w:type="spellStart"/>
      <w:r w:rsidRPr="00225D4D">
        <w:t>køyretøyverkstader</w:t>
      </w:r>
      <w:proofErr w:type="spellEnd"/>
      <w:r w:rsidRPr="00225D4D">
        <w:t xml:space="preserve"> som er </w:t>
      </w:r>
      <w:proofErr w:type="spellStart"/>
      <w:r w:rsidRPr="00225D4D">
        <w:t>godkjende</w:t>
      </w:r>
      <w:proofErr w:type="spellEnd"/>
      <w:r w:rsidRPr="00225D4D">
        <w:t xml:space="preserve"> som kontrollorgan for periodisk </w:t>
      </w:r>
      <w:proofErr w:type="spellStart"/>
      <w:r w:rsidRPr="00225D4D">
        <w:t>køyretøykontroll</w:t>
      </w:r>
      <w:proofErr w:type="spellEnd"/>
      <w:r w:rsidRPr="00225D4D">
        <w:t xml:space="preserve"> (PKK) òg. Det er Statens vegvesen som utfører ADR-kontroll i dag, </w:t>
      </w:r>
      <w:proofErr w:type="spellStart"/>
      <w:r w:rsidRPr="00225D4D">
        <w:t>medan</w:t>
      </w:r>
      <w:proofErr w:type="spellEnd"/>
      <w:r w:rsidRPr="00225D4D">
        <w:t xml:space="preserve"> PKK blir utført av private </w:t>
      </w:r>
      <w:proofErr w:type="spellStart"/>
      <w:r w:rsidRPr="00225D4D">
        <w:t>aktørar</w:t>
      </w:r>
      <w:proofErr w:type="spellEnd"/>
      <w:r w:rsidRPr="00225D4D">
        <w:t>. Det er ca. 4 500 ADR-</w:t>
      </w:r>
      <w:proofErr w:type="spellStart"/>
      <w:r w:rsidRPr="00225D4D">
        <w:t>godkjende</w:t>
      </w:r>
      <w:proofErr w:type="spellEnd"/>
      <w:r w:rsidRPr="00225D4D">
        <w:t xml:space="preserve"> </w:t>
      </w:r>
      <w:proofErr w:type="spellStart"/>
      <w:r w:rsidRPr="00225D4D">
        <w:t>køyretøy</w:t>
      </w:r>
      <w:proofErr w:type="spellEnd"/>
      <w:r w:rsidRPr="00225D4D">
        <w:t xml:space="preserve"> i </w:t>
      </w:r>
      <w:proofErr w:type="spellStart"/>
      <w:r w:rsidRPr="00225D4D">
        <w:t>Noreg</w:t>
      </w:r>
      <w:proofErr w:type="spellEnd"/>
      <w:r w:rsidRPr="00225D4D">
        <w:t xml:space="preserve">, og </w:t>
      </w:r>
      <w:proofErr w:type="spellStart"/>
      <w:r w:rsidRPr="00225D4D">
        <w:t>berre</w:t>
      </w:r>
      <w:proofErr w:type="spellEnd"/>
      <w:r w:rsidRPr="00225D4D">
        <w:t xml:space="preserve"> omkring 1 800 av </w:t>
      </w:r>
      <w:proofErr w:type="spellStart"/>
      <w:r w:rsidRPr="00225D4D">
        <w:t>desse</w:t>
      </w:r>
      <w:proofErr w:type="spellEnd"/>
      <w:r w:rsidRPr="00225D4D">
        <w:t xml:space="preserve"> er tunge </w:t>
      </w:r>
      <w:proofErr w:type="spellStart"/>
      <w:r w:rsidRPr="00225D4D">
        <w:t>køyretøy</w:t>
      </w:r>
      <w:proofErr w:type="spellEnd"/>
      <w:r w:rsidRPr="00225D4D">
        <w:t xml:space="preserve">. Til </w:t>
      </w:r>
      <w:proofErr w:type="spellStart"/>
      <w:r w:rsidRPr="00225D4D">
        <w:t>samanlikning</w:t>
      </w:r>
      <w:proofErr w:type="spellEnd"/>
      <w:r w:rsidRPr="00225D4D">
        <w:t xml:space="preserve"> blir det gjennomført over to </w:t>
      </w:r>
      <w:proofErr w:type="spellStart"/>
      <w:r w:rsidRPr="00225D4D">
        <w:t>millionar</w:t>
      </w:r>
      <w:proofErr w:type="spellEnd"/>
      <w:r w:rsidRPr="00225D4D">
        <w:t xml:space="preserve"> PKK-ar </w:t>
      </w:r>
      <w:proofErr w:type="spellStart"/>
      <w:r w:rsidRPr="00225D4D">
        <w:t>årleg</w:t>
      </w:r>
      <w:proofErr w:type="spellEnd"/>
      <w:r w:rsidRPr="00225D4D">
        <w:t>.</w:t>
      </w:r>
    </w:p>
    <w:p w14:paraId="408BEC3C" w14:textId="77777777" w:rsidR="00D60186" w:rsidRPr="00225D4D" w:rsidRDefault="00D60186" w:rsidP="00225D4D">
      <w:r w:rsidRPr="00225D4D">
        <w:t xml:space="preserve">DSB tilrår </w:t>
      </w:r>
      <w:proofErr w:type="spellStart"/>
      <w:r w:rsidRPr="00225D4D">
        <w:t>ikkje</w:t>
      </w:r>
      <w:proofErr w:type="spellEnd"/>
      <w:r w:rsidRPr="00225D4D">
        <w:t xml:space="preserve"> ei overføring av ADR-</w:t>
      </w:r>
      <w:proofErr w:type="spellStart"/>
      <w:r w:rsidRPr="00225D4D">
        <w:t>kontrollar</w:t>
      </w:r>
      <w:proofErr w:type="spellEnd"/>
      <w:r w:rsidRPr="00225D4D">
        <w:t xml:space="preserve"> til private </w:t>
      </w:r>
      <w:proofErr w:type="spellStart"/>
      <w:r w:rsidRPr="00225D4D">
        <w:t>aktørar</w:t>
      </w:r>
      <w:proofErr w:type="spellEnd"/>
      <w:r w:rsidRPr="00225D4D">
        <w:t xml:space="preserve">. </w:t>
      </w:r>
      <w:proofErr w:type="spellStart"/>
      <w:r w:rsidRPr="00225D4D">
        <w:t>Køyretøya</w:t>
      </w:r>
      <w:proofErr w:type="spellEnd"/>
      <w:r w:rsidRPr="00225D4D">
        <w:t xml:space="preserve"> som skal inn til </w:t>
      </w:r>
      <w:proofErr w:type="spellStart"/>
      <w:r w:rsidRPr="00225D4D">
        <w:t>årleg</w:t>
      </w:r>
      <w:proofErr w:type="spellEnd"/>
      <w:r w:rsidRPr="00225D4D">
        <w:t xml:space="preserve"> ADR-kontroll, er </w:t>
      </w:r>
      <w:proofErr w:type="spellStart"/>
      <w:r w:rsidRPr="00225D4D">
        <w:t>dei</w:t>
      </w:r>
      <w:proofErr w:type="spellEnd"/>
      <w:r w:rsidRPr="00225D4D">
        <w:t xml:space="preserve"> som utfører den mest risikofylte transporten av </w:t>
      </w:r>
      <w:proofErr w:type="spellStart"/>
      <w:r w:rsidRPr="00225D4D">
        <w:t>farleg</w:t>
      </w:r>
      <w:proofErr w:type="spellEnd"/>
      <w:r w:rsidRPr="00225D4D">
        <w:t xml:space="preserve"> gods på norske veger. For at risikoen for </w:t>
      </w:r>
      <w:proofErr w:type="spellStart"/>
      <w:r w:rsidRPr="00225D4D">
        <w:t>ulukker</w:t>
      </w:r>
      <w:proofErr w:type="spellEnd"/>
      <w:r w:rsidRPr="00225D4D">
        <w:t xml:space="preserve"> med </w:t>
      </w:r>
      <w:proofErr w:type="spellStart"/>
      <w:r w:rsidRPr="00225D4D">
        <w:t>farleg</w:t>
      </w:r>
      <w:proofErr w:type="spellEnd"/>
      <w:r w:rsidRPr="00225D4D">
        <w:t xml:space="preserve"> gods </w:t>
      </w:r>
      <w:proofErr w:type="spellStart"/>
      <w:r w:rsidRPr="00225D4D">
        <w:t>ikkje</w:t>
      </w:r>
      <w:proofErr w:type="spellEnd"/>
      <w:r w:rsidRPr="00225D4D">
        <w:t xml:space="preserve"> skal </w:t>
      </w:r>
      <w:proofErr w:type="spellStart"/>
      <w:r w:rsidRPr="00225D4D">
        <w:t>auke</w:t>
      </w:r>
      <w:proofErr w:type="spellEnd"/>
      <w:r w:rsidRPr="00225D4D">
        <w:t xml:space="preserve">, er det viktig at </w:t>
      </w:r>
      <w:proofErr w:type="spellStart"/>
      <w:r w:rsidRPr="00225D4D">
        <w:t>kontrollane</w:t>
      </w:r>
      <w:proofErr w:type="spellEnd"/>
      <w:r w:rsidRPr="00225D4D">
        <w:t xml:space="preserve"> blir gjennomførte </w:t>
      </w:r>
      <w:proofErr w:type="spellStart"/>
      <w:r w:rsidRPr="00225D4D">
        <w:t>einskapleg</w:t>
      </w:r>
      <w:proofErr w:type="spellEnd"/>
      <w:r w:rsidRPr="00225D4D">
        <w:t xml:space="preserve"> og av kompetente </w:t>
      </w:r>
      <w:proofErr w:type="spellStart"/>
      <w:r w:rsidRPr="00225D4D">
        <w:t>kontrollørar</w:t>
      </w:r>
      <w:proofErr w:type="spellEnd"/>
      <w:r w:rsidRPr="00225D4D">
        <w:t xml:space="preserve"> som held kompetansen sin ved like, bl.a. ved å gjennomføre ei </w:t>
      </w:r>
      <w:proofErr w:type="spellStart"/>
      <w:r w:rsidRPr="00225D4D">
        <w:t>tilstrekkeleg</w:t>
      </w:r>
      <w:proofErr w:type="spellEnd"/>
      <w:r w:rsidRPr="00225D4D">
        <w:t xml:space="preserve"> </w:t>
      </w:r>
      <w:proofErr w:type="spellStart"/>
      <w:r w:rsidRPr="00225D4D">
        <w:t>mengd</w:t>
      </w:r>
      <w:proofErr w:type="spellEnd"/>
      <w:r w:rsidRPr="00225D4D">
        <w:t xml:space="preserve"> </w:t>
      </w:r>
      <w:proofErr w:type="spellStart"/>
      <w:r w:rsidRPr="00225D4D">
        <w:t>kontrollar</w:t>
      </w:r>
      <w:proofErr w:type="spellEnd"/>
      <w:r w:rsidRPr="00225D4D">
        <w:t xml:space="preserve"> kvart år.</w:t>
      </w:r>
    </w:p>
    <w:p w14:paraId="52F29A61" w14:textId="77777777" w:rsidR="00D60186" w:rsidRPr="00225D4D" w:rsidRDefault="00D60186" w:rsidP="00225D4D">
      <w:r w:rsidRPr="00225D4D">
        <w:t xml:space="preserve">ADR-kontroll og PKK blir vurderte som vesensforskjellige med omsyn til både </w:t>
      </w:r>
      <w:proofErr w:type="spellStart"/>
      <w:r w:rsidRPr="00225D4D">
        <w:t>innhald</w:t>
      </w:r>
      <w:proofErr w:type="spellEnd"/>
      <w:r w:rsidRPr="00225D4D">
        <w:t xml:space="preserve"> og kommersiell </w:t>
      </w:r>
      <w:proofErr w:type="spellStart"/>
      <w:r w:rsidRPr="00225D4D">
        <w:t>lønnsemd</w:t>
      </w:r>
      <w:proofErr w:type="spellEnd"/>
      <w:r w:rsidRPr="00225D4D">
        <w:t xml:space="preserve">. Statens vegvesen har i dag </w:t>
      </w:r>
      <w:proofErr w:type="spellStart"/>
      <w:r w:rsidRPr="00225D4D">
        <w:t>eit</w:t>
      </w:r>
      <w:proofErr w:type="spellEnd"/>
      <w:r w:rsidRPr="00225D4D">
        <w:t xml:space="preserve"> </w:t>
      </w:r>
      <w:proofErr w:type="spellStart"/>
      <w:r w:rsidRPr="00225D4D">
        <w:t>landsdekkjande</w:t>
      </w:r>
      <w:proofErr w:type="spellEnd"/>
      <w:r w:rsidRPr="00225D4D">
        <w:t xml:space="preserve">, </w:t>
      </w:r>
      <w:proofErr w:type="spellStart"/>
      <w:r w:rsidRPr="00225D4D">
        <w:t>einskapleg</w:t>
      </w:r>
      <w:proofErr w:type="spellEnd"/>
      <w:r w:rsidRPr="00225D4D">
        <w:t xml:space="preserve"> og gratis </w:t>
      </w:r>
      <w:proofErr w:type="spellStart"/>
      <w:r w:rsidRPr="00225D4D">
        <w:t>tilbod</w:t>
      </w:r>
      <w:proofErr w:type="spellEnd"/>
      <w:r w:rsidRPr="00225D4D">
        <w:t xml:space="preserve"> om ADR-</w:t>
      </w:r>
      <w:proofErr w:type="spellStart"/>
      <w:r w:rsidRPr="00225D4D">
        <w:t>kontrollar</w:t>
      </w:r>
      <w:proofErr w:type="spellEnd"/>
      <w:r w:rsidRPr="00225D4D">
        <w:t xml:space="preserve">. Ei overføring til private </w:t>
      </w:r>
      <w:proofErr w:type="spellStart"/>
      <w:r w:rsidRPr="00225D4D">
        <w:t>aktørar</w:t>
      </w:r>
      <w:proofErr w:type="spellEnd"/>
      <w:r w:rsidRPr="00225D4D">
        <w:t xml:space="preserve"> vil føre til at </w:t>
      </w:r>
      <w:proofErr w:type="spellStart"/>
      <w:r w:rsidRPr="00225D4D">
        <w:t>tilbydarar</w:t>
      </w:r>
      <w:proofErr w:type="spellEnd"/>
      <w:r w:rsidRPr="00225D4D">
        <w:t xml:space="preserve"> må ta betalt for </w:t>
      </w:r>
      <w:proofErr w:type="spellStart"/>
      <w:r w:rsidRPr="00225D4D">
        <w:t>tenesta</w:t>
      </w:r>
      <w:proofErr w:type="spellEnd"/>
      <w:r w:rsidRPr="00225D4D">
        <w:t xml:space="preserve">. ADR-kontroll vil føre til kostnader for </w:t>
      </w:r>
      <w:proofErr w:type="spellStart"/>
      <w:r w:rsidRPr="00225D4D">
        <w:t>dei</w:t>
      </w:r>
      <w:proofErr w:type="spellEnd"/>
      <w:r w:rsidRPr="00225D4D">
        <w:t xml:space="preserve"> private </w:t>
      </w:r>
      <w:proofErr w:type="spellStart"/>
      <w:r w:rsidRPr="00225D4D">
        <w:t>aktørane</w:t>
      </w:r>
      <w:proofErr w:type="spellEnd"/>
      <w:r w:rsidRPr="00225D4D">
        <w:t xml:space="preserve">, bl.a. til personell, utvikling av kompetanse og system. Etter DSB </w:t>
      </w:r>
      <w:proofErr w:type="spellStart"/>
      <w:r w:rsidRPr="00225D4D">
        <w:t>si</w:t>
      </w:r>
      <w:proofErr w:type="spellEnd"/>
      <w:r w:rsidRPr="00225D4D">
        <w:t xml:space="preserve"> vurdering vil det </w:t>
      </w:r>
      <w:proofErr w:type="spellStart"/>
      <w:r w:rsidRPr="00225D4D">
        <w:t>vere</w:t>
      </w:r>
      <w:proofErr w:type="spellEnd"/>
      <w:r w:rsidRPr="00225D4D">
        <w:t xml:space="preserve"> for få ADR-</w:t>
      </w:r>
      <w:proofErr w:type="spellStart"/>
      <w:r w:rsidRPr="00225D4D">
        <w:t>køyretøy</w:t>
      </w:r>
      <w:proofErr w:type="spellEnd"/>
      <w:r w:rsidRPr="00225D4D">
        <w:t xml:space="preserve"> på landsbasis som skal kontrollerast kvart år, til at mange nok </w:t>
      </w:r>
      <w:proofErr w:type="spellStart"/>
      <w:r w:rsidRPr="00225D4D">
        <w:t>køyretøyverkstader</w:t>
      </w:r>
      <w:proofErr w:type="spellEnd"/>
      <w:r w:rsidRPr="00225D4D">
        <w:t xml:space="preserve"> vil sjå på ADR-kontroll som ei </w:t>
      </w:r>
      <w:proofErr w:type="spellStart"/>
      <w:r w:rsidRPr="00225D4D">
        <w:t>lønnsam</w:t>
      </w:r>
      <w:proofErr w:type="spellEnd"/>
      <w:r w:rsidRPr="00225D4D">
        <w:t xml:space="preserve"> </w:t>
      </w:r>
      <w:proofErr w:type="spellStart"/>
      <w:r w:rsidRPr="00225D4D">
        <w:t>teneste</w:t>
      </w:r>
      <w:proofErr w:type="spellEnd"/>
      <w:r w:rsidRPr="00225D4D">
        <w:t xml:space="preserve">. Dersom </w:t>
      </w:r>
      <w:proofErr w:type="spellStart"/>
      <w:r w:rsidRPr="00225D4D">
        <w:t>verkstader</w:t>
      </w:r>
      <w:proofErr w:type="spellEnd"/>
      <w:r w:rsidRPr="00225D4D">
        <w:t xml:space="preserve"> </w:t>
      </w:r>
      <w:proofErr w:type="spellStart"/>
      <w:r w:rsidRPr="00225D4D">
        <w:t>ønskjer</w:t>
      </w:r>
      <w:proofErr w:type="spellEnd"/>
      <w:r w:rsidRPr="00225D4D">
        <w:t xml:space="preserve"> å tilby </w:t>
      </w:r>
      <w:proofErr w:type="spellStart"/>
      <w:r w:rsidRPr="00225D4D">
        <w:t>tenesta</w:t>
      </w:r>
      <w:proofErr w:type="spellEnd"/>
      <w:r w:rsidRPr="00225D4D">
        <w:t xml:space="preserve">, vil det mest </w:t>
      </w:r>
      <w:proofErr w:type="spellStart"/>
      <w:r w:rsidRPr="00225D4D">
        <w:t>sannsynleg</w:t>
      </w:r>
      <w:proofErr w:type="spellEnd"/>
      <w:r w:rsidRPr="00225D4D">
        <w:t xml:space="preserve"> </w:t>
      </w:r>
      <w:proofErr w:type="spellStart"/>
      <w:r w:rsidRPr="00225D4D">
        <w:t>vere</w:t>
      </w:r>
      <w:proofErr w:type="spellEnd"/>
      <w:r w:rsidRPr="00225D4D">
        <w:t xml:space="preserve"> i område med stor </w:t>
      </w:r>
      <w:proofErr w:type="spellStart"/>
      <w:r w:rsidRPr="00225D4D">
        <w:t>etterspurnad</w:t>
      </w:r>
      <w:proofErr w:type="spellEnd"/>
      <w:r w:rsidRPr="00225D4D">
        <w:t xml:space="preserve">. Med ei privatisering vil det dermed </w:t>
      </w:r>
      <w:proofErr w:type="spellStart"/>
      <w:r w:rsidRPr="00225D4D">
        <w:t>vere</w:t>
      </w:r>
      <w:proofErr w:type="spellEnd"/>
      <w:r w:rsidRPr="00225D4D">
        <w:t xml:space="preserve"> </w:t>
      </w:r>
      <w:proofErr w:type="spellStart"/>
      <w:r w:rsidRPr="00225D4D">
        <w:t>ein</w:t>
      </w:r>
      <w:proofErr w:type="spellEnd"/>
      <w:r w:rsidRPr="00225D4D">
        <w:t xml:space="preserve"> risiko for færre og </w:t>
      </w:r>
      <w:proofErr w:type="spellStart"/>
      <w:r w:rsidRPr="00225D4D">
        <w:t>meir</w:t>
      </w:r>
      <w:proofErr w:type="spellEnd"/>
      <w:r w:rsidRPr="00225D4D">
        <w:t xml:space="preserve"> sentraliserte ADR-</w:t>
      </w:r>
      <w:proofErr w:type="spellStart"/>
      <w:r w:rsidRPr="00225D4D">
        <w:t>kontrollstasjonar</w:t>
      </w:r>
      <w:proofErr w:type="spellEnd"/>
      <w:r w:rsidRPr="00225D4D">
        <w:t xml:space="preserve"> enn i dag, og dermed </w:t>
      </w:r>
      <w:proofErr w:type="spellStart"/>
      <w:r w:rsidRPr="00225D4D">
        <w:t>eit</w:t>
      </w:r>
      <w:proofErr w:type="spellEnd"/>
      <w:r w:rsidRPr="00225D4D">
        <w:t xml:space="preserve"> </w:t>
      </w:r>
      <w:proofErr w:type="spellStart"/>
      <w:r w:rsidRPr="00225D4D">
        <w:t>dårlegare</w:t>
      </w:r>
      <w:proofErr w:type="spellEnd"/>
      <w:r w:rsidRPr="00225D4D">
        <w:t xml:space="preserve"> </w:t>
      </w:r>
      <w:proofErr w:type="spellStart"/>
      <w:r w:rsidRPr="00225D4D">
        <w:t>distriktstilbod</w:t>
      </w:r>
      <w:proofErr w:type="spellEnd"/>
      <w:r w:rsidRPr="00225D4D">
        <w:t xml:space="preserve"> med lengre </w:t>
      </w:r>
      <w:proofErr w:type="spellStart"/>
      <w:r w:rsidRPr="00225D4D">
        <w:t>avstandar</w:t>
      </w:r>
      <w:proofErr w:type="spellEnd"/>
      <w:r w:rsidRPr="00225D4D">
        <w:t xml:space="preserve">. På bakgrunn av rapporten til DSB er det etter Justis- og beredskapsdepartementet </w:t>
      </w:r>
      <w:proofErr w:type="spellStart"/>
      <w:r w:rsidRPr="00225D4D">
        <w:t>si</w:t>
      </w:r>
      <w:proofErr w:type="spellEnd"/>
      <w:r w:rsidRPr="00225D4D">
        <w:t xml:space="preserve"> vurdering </w:t>
      </w:r>
      <w:proofErr w:type="spellStart"/>
      <w:r w:rsidRPr="00225D4D">
        <w:t>ikkje</w:t>
      </w:r>
      <w:proofErr w:type="spellEnd"/>
      <w:r w:rsidRPr="00225D4D">
        <w:t xml:space="preserve"> </w:t>
      </w:r>
      <w:proofErr w:type="spellStart"/>
      <w:r w:rsidRPr="00225D4D">
        <w:t>tilrådeleg</w:t>
      </w:r>
      <w:proofErr w:type="spellEnd"/>
      <w:r w:rsidRPr="00225D4D">
        <w:t xml:space="preserve"> å overføre </w:t>
      </w:r>
      <w:proofErr w:type="spellStart"/>
      <w:r w:rsidRPr="00225D4D">
        <w:t>myndigheit</w:t>
      </w:r>
      <w:proofErr w:type="spellEnd"/>
      <w:r w:rsidRPr="00225D4D">
        <w:t xml:space="preserve"> til å gjennomføre ADR-kontroll til </w:t>
      </w:r>
      <w:proofErr w:type="spellStart"/>
      <w:r w:rsidRPr="00225D4D">
        <w:t>godkjende</w:t>
      </w:r>
      <w:proofErr w:type="spellEnd"/>
      <w:r w:rsidRPr="00225D4D">
        <w:t xml:space="preserve"> </w:t>
      </w:r>
      <w:proofErr w:type="spellStart"/>
      <w:r w:rsidRPr="00225D4D">
        <w:t>tungbilverkstader</w:t>
      </w:r>
      <w:proofErr w:type="spellEnd"/>
      <w:r w:rsidRPr="00225D4D">
        <w:t xml:space="preserve"> no.</w:t>
      </w:r>
    </w:p>
    <w:p w14:paraId="40195A3F" w14:textId="77777777" w:rsidR="00D60186" w:rsidRPr="00225D4D" w:rsidRDefault="00D60186" w:rsidP="00225D4D">
      <w:pPr>
        <w:pStyle w:val="avsnitt-tittel"/>
      </w:pPr>
      <w:r w:rsidRPr="00225D4D">
        <w:t xml:space="preserve">Nasjonal </w:t>
      </w:r>
      <w:proofErr w:type="spellStart"/>
      <w:r w:rsidRPr="00225D4D">
        <w:t>eigarskap</w:t>
      </w:r>
      <w:proofErr w:type="spellEnd"/>
      <w:r w:rsidRPr="00225D4D">
        <w:t xml:space="preserve"> og kontroll</w:t>
      </w:r>
    </w:p>
    <w:p w14:paraId="27A80904" w14:textId="77777777" w:rsidR="00D60186" w:rsidRPr="00225D4D" w:rsidRDefault="00D60186" w:rsidP="00225D4D">
      <w:pPr>
        <w:pStyle w:val="avsnitt-undertittel"/>
      </w:pPr>
      <w:r w:rsidRPr="00225D4D">
        <w:t>Vedtak nr. 814, 20. april 2021</w:t>
      </w:r>
    </w:p>
    <w:p w14:paraId="746EA808" w14:textId="77777777" w:rsidR="00D60186" w:rsidRPr="00225D4D" w:rsidRDefault="00D60186" w:rsidP="00225D4D">
      <w:pPr>
        <w:pStyle w:val="blokksit"/>
        <w:rPr>
          <w:rStyle w:val="kursiv"/>
        </w:rPr>
      </w:pPr>
      <w:r w:rsidRPr="00225D4D">
        <w:rPr>
          <w:rStyle w:val="kursiv"/>
        </w:rPr>
        <w:t xml:space="preserve">«Stortinget ber regjeringa sikre norsk </w:t>
      </w:r>
      <w:proofErr w:type="spellStart"/>
      <w:r w:rsidRPr="00225D4D">
        <w:rPr>
          <w:rStyle w:val="kursiv"/>
        </w:rPr>
        <w:t>eigarskap</w:t>
      </w:r>
      <w:proofErr w:type="spellEnd"/>
      <w:r w:rsidRPr="00225D4D">
        <w:rPr>
          <w:rStyle w:val="kursiv"/>
        </w:rPr>
        <w:t xml:space="preserve"> av kritisk infrastruktur og </w:t>
      </w:r>
      <w:proofErr w:type="spellStart"/>
      <w:r w:rsidRPr="00225D4D">
        <w:rPr>
          <w:rStyle w:val="kursiv"/>
        </w:rPr>
        <w:t>eigedom</w:t>
      </w:r>
      <w:proofErr w:type="spellEnd"/>
      <w:r w:rsidRPr="00225D4D">
        <w:rPr>
          <w:rStyle w:val="kursiv"/>
        </w:rPr>
        <w:t xml:space="preserve"> samt nasjonal kontroll over </w:t>
      </w:r>
      <w:proofErr w:type="spellStart"/>
      <w:r w:rsidRPr="00225D4D">
        <w:rPr>
          <w:rStyle w:val="kursiv"/>
        </w:rPr>
        <w:t>naturressursar</w:t>
      </w:r>
      <w:proofErr w:type="spellEnd"/>
      <w:r w:rsidRPr="00225D4D">
        <w:rPr>
          <w:rStyle w:val="kursiv"/>
        </w:rPr>
        <w:t xml:space="preserve"> i nordområda.»</w:t>
      </w:r>
    </w:p>
    <w:p w14:paraId="543122FB" w14:textId="77777777" w:rsidR="00D60186" w:rsidRPr="00225D4D" w:rsidRDefault="00D60186" w:rsidP="00225D4D">
      <w:r w:rsidRPr="00225D4D">
        <w:t xml:space="preserve">Dokumenta som ligg til grunn for vedtaket, er Meld. St. 9 (2020–2021) og </w:t>
      </w:r>
      <w:proofErr w:type="spellStart"/>
      <w:r w:rsidRPr="00225D4D">
        <w:t>Innst</w:t>
      </w:r>
      <w:proofErr w:type="spellEnd"/>
      <w:r w:rsidRPr="00225D4D">
        <w:t xml:space="preserve">. 289 S (2020–2021) </w:t>
      </w:r>
      <w:proofErr w:type="spellStart"/>
      <w:r w:rsidRPr="00225D4D">
        <w:t>frå</w:t>
      </w:r>
      <w:proofErr w:type="spellEnd"/>
      <w:r w:rsidRPr="00225D4D">
        <w:t xml:space="preserve"> </w:t>
      </w:r>
      <w:proofErr w:type="spellStart"/>
      <w:r w:rsidRPr="00225D4D">
        <w:t>utanriks</w:t>
      </w:r>
      <w:proofErr w:type="spellEnd"/>
      <w:r w:rsidRPr="00225D4D">
        <w:t>- og forsvarskomiteen.</w:t>
      </w:r>
    </w:p>
    <w:p w14:paraId="7C17DC8F" w14:textId="77777777" w:rsidR="00D60186" w:rsidRPr="00225D4D" w:rsidRDefault="00D60186" w:rsidP="00225D4D">
      <w:r w:rsidRPr="00225D4D">
        <w:t xml:space="preserve">Vedtaket er </w:t>
      </w:r>
      <w:proofErr w:type="spellStart"/>
      <w:r w:rsidRPr="00225D4D">
        <w:t>følgt</w:t>
      </w:r>
      <w:proofErr w:type="spellEnd"/>
      <w:r w:rsidRPr="00225D4D">
        <w:t xml:space="preserve"> opp. Meld. St. 9 (2022–2023) </w:t>
      </w:r>
      <w:r w:rsidRPr="00225D4D">
        <w:rPr>
          <w:rStyle w:val="kursiv"/>
        </w:rPr>
        <w:t>Nasjonal kontroll og digital motstandskraft for å ivareta nasjonal sikkerhet</w:t>
      </w:r>
      <w:r w:rsidRPr="00225D4D">
        <w:t xml:space="preserve">, jf. </w:t>
      </w:r>
      <w:proofErr w:type="spellStart"/>
      <w:r w:rsidRPr="00225D4D">
        <w:t>Innst</w:t>
      </w:r>
      <w:proofErr w:type="spellEnd"/>
      <w:r w:rsidRPr="00225D4D">
        <w:t xml:space="preserve">. 247 S (2022–2023), vart behandla i Stortinget 30. mars 2023. Ei </w:t>
      </w:r>
      <w:proofErr w:type="spellStart"/>
      <w:r w:rsidRPr="00225D4D">
        <w:t>rekkje</w:t>
      </w:r>
      <w:proofErr w:type="spellEnd"/>
      <w:r w:rsidRPr="00225D4D">
        <w:t xml:space="preserve"> tiltak i meldinga </w:t>
      </w:r>
      <w:proofErr w:type="spellStart"/>
      <w:r w:rsidRPr="00225D4D">
        <w:t>peikar</w:t>
      </w:r>
      <w:proofErr w:type="spellEnd"/>
      <w:r w:rsidRPr="00225D4D">
        <w:t xml:space="preserve"> på korleis regjeringa skal bidra til å sikre nasjonal kontroll og </w:t>
      </w:r>
      <w:proofErr w:type="spellStart"/>
      <w:r w:rsidRPr="00225D4D">
        <w:t>eigarskap</w:t>
      </w:r>
      <w:proofErr w:type="spellEnd"/>
      <w:r w:rsidRPr="00225D4D">
        <w:t xml:space="preserve"> over strategisk viktig infrastruktur og </w:t>
      </w:r>
      <w:proofErr w:type="spellStart"/>
      <w:r w:rsidRPr="00225D4D">
        <w:t>eigedom</w:t>
      </w:r>
      <w:proofErr w:type="spellEnd"/>
      <w:r w:rsidRPr="00225D4D">
        <w:t xml:space="preserve"> og over </w:t>
      </w:r>
      <w:proofErr w:type="spellStart"/>
      <w:r w:rsidRPr="00225D4D">
        <w:t>naturressursar</w:t>
      </w:r>
      <w:proofErr w:type="spellEnd"/>
      <w:r w:rsidRPr="00225D4D">
        <w:t xml:space="preserve">. Regjeringa har trappa opp arbeidet med å </w:t>
      </w:r>
      <w:proofErr w:type="spellStart"/>
      <w:r w:rsidRPr="00225D4D">
        <w:t>kartleggje</w:t>
      </w:r>
      <w:proofErr w:type="spellEnd"/>
      <w:r w:rsidRPr="00225D4D">
        <w:t xml:space="preserve"> </w:t>
      </w:r>
      <w:proofErr w:type="spellStart"/>
      <w:r w:rsidRPr="00225D4D">
        <w:t>verdiar</w:t>
      </w:r>
      <w:proofErr w:type="spellEnd"/>
      <w:r w:rsidRPr="00225D4D">
        <w:t xml:space="preserve"> med heimel i tryggingslova, bl.a. ved å forsterke arbeidet med å </w:t>
      </w:r>
      <w:proofErr w:type="spellStart"/>
      <w:r w:rsidRPr="00225D4D">
        <w:t>leggje</w:t>
      </w:r>
      <w:proofErr w:type="spellEnd"/>
      <w:r w:rsidRPr="00225D4D">
        <w:t xml:space="preserve"> </w:t>
      </w:r>
      <w:proofErr w:type="spellStart"/>
      <w:r w:rsidRPr="00225D4D">
        <w:t>verksemder</w:t>
      </w:r>
      <w:proofErr w:type="spellEnd"/>
      <w:r w:rsidRPr="00225D4D">
        <w:t xml:space="preserve"> under tryggingslova.</w:t>
      </w:r>
    </w:p>
    <w:p w14:paraId="3A7550F0" w14:textId="77777777" w:rsidR="00D60186" w:rsidRPr="00225D4D" w:rsidRDefault="00D60186" w:rsidP="00225D4D">
      <w:r w:rsidRPr="00225D4D">
        <w:t xml:space="preserve">Regjeringa vurderer òg korleis </w:t>
      </w:r>
      <w:proofErr w:type="spellStart"/>
      <w:r w:rsidRPr="00225D4D">
        <w:t>ein</w:t>
      </w:r>
      <w:proofErr w:type="spellEnd"/>
      <w:r w:rsidRPr="00225D4D">
        <w:t xml:space="preserve"> kan få betre oversikt over </w:t>
      </w:r>
      <w:proofErr w:type="spellStart"/>
      <w:r w:rsidRPr="00225D4D">
        <w:t>verksemder</w:t>
      </w:r>
      <w:proofErr w:type="spellEnd"/>
      <w:r w:rsidRPr="00225D4D">
        <w:t xml:space="preserve"> og </w:t>
      </w:r>
      <w:proofErr w:type="spellStart"/>
      <w:r w:rsidRPr="00225D4D">
        <w:t>verdiar</w:t>
      </w:r>
      <w:proofErr w:type="spellEnd"/>
      <w:r w:rsidRPr="00225D4D">
        <w:t xml:space="preserve"> som </w:t>
      </w:r>
      <w:proofErr w:type="spellStart"/>
      <w:r w:rsidRPr="00225D4D">
        <w:t>ikkje</w:t>
      </w:r>
      <w:proofErr w:type="spellEnd"/>
      <w:r w:rsidRPr="00225D4D">
        <w:t xml:space="preserve"> er omfatta av tryggingslova, men som likevel kan ha </w:t>
      </w:r>
      <w:proofErr w:type="spellStart"/>
      <w:r w:rsidRPr="00225D4D">
        <w:t>betyding</w:t>
      </w:r>
      <w:proofErr w:type="spellEnd"/>
      <w:r w:rsidRPr="00225D4D">
        <w:t xml:space="preserve"> for nasjonal tryggleik, bl.a. ved </w:t>
      </w:r>
      <w:proofErr w:type="spellStart"/>
      <w:r w:rsidRPr="00225D4D">
        <w:t>gjennomgangar</w:t>
      </w:r>
      <w:proofErr w:type="spellEnd"/>
      <w:r w:rsidRPr="00225D4D">
        <w:t xml:space="preserve"> av </w:t>
      </w:r>
      <w:proofErr w:type="spellStart"/>
      <w:r w:rsidRPr="00225D4D">
        <w:t>sektorar</w:t>
      </w:r>
      <w:proofErr w:type="spellEnd"/>
      <w:r w:rsidRPr="00225D4D">
        <w:t>.</w:t>
      </w:r>
    </w:p>
    <w:p w14:paraId="41AECBBF" w14:textId="77777777" w:rsidR="00D60186" w:rsidRPr="00225D4D" w:rsidRDefault="00D60186" w:rsidP="00225D4D">
      <w:r w:rsidRPr="00225D4D">
        <w:t xml:space="preserve">I tillegg vil regjeringa vurdere korleis </w:t>
      </w:r>
      <w:proofErr w:type="spellStart"/>
      <w:r w:rsidRPr="00225D4D">
        <w:t>ein</w:t>
      </w:r>
      <w:proofErr w:type="spellEnd"/>
      <w:r w:rsidRPr="00225D4D">
        <w:t xml:space="preserve"> kan få betre oversikt over kven som er reelle </w:t>
      </w:r>
      <w:proofErr w:type="spellStart"/>
      <w:r w:rsidRPr="00225D4D">
        <w:t>eigarar</w:t>
      </w:r>
      <w:proofErr w:type="spellEnd"/>
      <w:r w:rsidRPr="00225D4D">
        <w:t xml:space="preserve"> av </w:t>
      </w:r>
      <w:proofErr w:type="spellStart"/>
      <w:r w:rsidRPr="00225D4D">
        <w:t>verdiar</w:t>
      </w:r>
      <w:proofErr w:type="spellEnd"/>
      <w:r w:rsidRPr="00225D4D">
        <w:t xml:space="preserve"> av </w:t>
      </w:r>
      <w:proofErr w:type="spellStart"/>
      <w:r w:rsidRPr="00225D4D">
        <w:t>betyding</w:t>
      </w:r>
      <w:proofErr w:type="spellEnd"/>
      <w:r w:rsidRPr="00225D4D">
        <w:t xml:space="preserve"> for nasjonal tryggleik. </w:t>
      </w:r>
      <w:proofErr w:type="spellStart"/>
      <w:r w:rsidRPr="00225D4D">
        <w:t>Frå</w:t>
      </w:r>
      <w:proofErr w:type="spellEnd"/>
      <w:r w:rsidRPr="00225D4D">
        <w:t xml:space="preserve"> 1. oktober 2024 har selskap og andre juridiske </w:t>
      </w:r>
      <w:proofErr w:type="spellStart"/>
      <w:r w:rsidRPr="00225D4D">
        <w:t>einingar</w:t>
      </w:r>
      <w:proofErr w:type="spellEnd"/>
      <w:r w:rsidRPr="00225D4D">
        <w:t xml:space="preserve"> hatt høve til å registrere </w:t>
      </w:r>
      <w:proofErr w:type="spellStart"/>
      <w:r w:rsidRPr="00225D4D">
        <w:t>opplysningar</w:t>
      </w:r>
      <w:proofErr w:type="spellEnd"/>
      <w:r w:rsidRPr="00225D4D">
        <w:t xml:space="preserve"> i det nye registeret over reelle </w:t>
      </w:r>
      <w:proofErr w:type="spellStart"/>
      <w:r w:rsidRPr="00225D4D">
        <w:t>rettshavarar</w:t>
      </w:r>
      <w:proofErr w:type="spellEnd"/>
      <w:r w:rsidRPr="00225D4D">
        <w:t xml:space="preserve"> i </w:t>
      </w:r>
      <w:proofErr w:type="spellStart"/>
      <w:r w:rsidRPr="00225D4D">
        <w:t>Brønnøysundregistera</w:t>
      </w:r>
      <w:proofErr w:type="spellEnd"/>
      <w:r w:rsidRPr="00225D4D">
        <w:t xml:space="preserve">. </w:t>
      </w:r>
      <w:proofErr w:type="spellStart"/>
      <w:r w:rsidRPr="00225D4D">
        <w:t>Frå</w:t>
      </w:r>
      <w:proofErr w:type="spellEnd"/>
      <w:r w:rsidRPr="00225D4D">
        <w:t xml:space="preserve"> 31. juli 2025 er det plikt til å registrere slike </w:t>
      </w:r>
      <w:proofErr w:type="spellStart"/>
      <w:r w:rsidRPr="00225D4D">
        <w:t>opplysningar</w:t>
      </w:r>
      <w:proofErr w:type="spellEnd"/>
      <w:r w:rsidRPr="00225D4D">
        <w:t xml:space="preserve">. Verdikartlegginga og innsikta i reell </w:t>
      </w:r>
      <w:proofErr w:type="spellStart"/>
      <w:r w:rsidRPr="00225D4D">
        <w:t>eigarskap</w:t>
      </w:r>
      <w:proofErr w:type="spellEnd"/>
      <w:r w:rsidRPr="00225D4D">
        <w:t xml:space="preserve"> vil danne grunnlag for å vurdere relevante </w:t>
      </w:r>
      <w:proofErr w:type="spellStart"/>
      <w:r w:rsidRPr="00225D4D">
        <w:t>verkemiddel</w:t>
      </w:r>
      <w:proofErr w:type="spellEnd"/>
      <w:r w:rsidRPr="00225D4D">
        <w:t xml:space="preserve"> for å vareta nasjonal tryggleik, bl.a. gjennom </w:t>
      </w:r>
      <w:proofErr w:type="spellStart"/>
      <w:r w:rsidRPr="00225D4D">
        <w:t>førebyggjande</w:t>
      </w:r>
      <w:proofErr w:type="spellEnd"/>
      <w:r w:rsidRPr="00225D4D">
        <w:t xml:space="preserve"> tryggingstiltak med heimel i tryggingslova, bruk av anna relevant regelverk og nasjonal </w:t>
      </w:r>
      <w:proofErr w:type="spellStart"/>
      <w:r w:rsidRPr="00225D4D">
        <w:t>eigarskap</w:t>
      </w:r>
      <w:proofErr w:type="spellEnd"/>
      <w:r w:rsidRPr="00225D4D">
        <w:t xml:space="preserve">. Regjeringa har sett i gang </w:t>
      </w:r>
      <w:proofErr w:type="spellStart"/>
      <w:r w:rsidRPr="00225D4D">
        <w:t>eit</w:t>
      </w:r>
      <w:proofErr w:type="spellEnd"/>
      <w:r w:rsidRPr="00225D4D">
        <w:t xml:space="preserve"> arbeid for å greie ut korleis pliktig </w:t>
      </w:r>
      <w:proofErr w:type="spellStart"/>
      <w:r w:rsidRPr="00225D4D">
        <w:t>eigarregistrering</w:t>
      </w:r>
      <w:proofErr w:type="spellEnd"/>
      <w:r w:rsidRPr="00225D4D">
        <w:t xml:space="preserve"> kan gi norske </w:t>
      </w:r>
      <w:proofErr w:type="spellStart"/>
      <w:r w:rsidRPr="00225D4D">
        <w:t>myndigheiter</w:t>
      </w:r>
      <w:proofErr w:type="spellEnd"/>
      <w:r w:rsidRPr="00225D4D">
        <w:t xml:space="preserve"> </w:t>
      </w:r>
      <w:proofErr w:type="spellStart"/>
      <w:r w:rsidRPr="00225D4D">
        <w:t>tilstrekkeleg</w:t>
      </w:r>
      <w:proofErr w:type="spellEnd"/>
      <w:r w:rsidRPr="00225D4D">
        <w:t xml:space="preserve"> kontroll over </w:t>
      </w:r>
      <w:proofErr w:type="spellStart"/>
      <w:r w:rsidRPr="00225D4D">
        <w:t>eigarskap</w:t>
      </w:r>
      <w:proofErr w:type="spellEnd"/>
      <w:r w:rsidRPr="00225D4D">
        <w:t xml:space="preserve"> i fast </w:t>
      </w:r>
      <w:proofErr w:type="spellStart"/>
      <w:r w:rsidRPr="00225D4D">
        <w:t>eigedom</w:t>
      </w:r>
      <w:proofErr w:type="spellEnd"/>
      <w:r w:rsidRPr="00225D4D">
        <w:t>.</w:t>
      </w:r>
    </w:p>
    <w:p w14:paraId="69CB3FF1" w14:textId="77777777" w:rsidR="00D60186" w:rsidRPr="00225D4D" w:rsidRDefault="00D60186" w:rsidP="00225D4D">
      <w:r w:rsidRPr="00225D4D">
        <w:t xml:space="preserve">Regjeringa går òg gjennom relevant </w:t>
      </w:r>
      <w:proofErr w:type="spellStart"/>
      <w:r w:rsidRPr="00225D4D">
        <w:t>eksisterande</w:t>
      </w:r>
      <w:proofErr w:type="spellEnd"/>
      <w:r w:rsidRPr="00225D4D">
        <w:t xml:space="preserve"> lovverk for å sørge for at omsyn til nasjonal tryggleik inngår som vurderingskriterium der det er aktuelt. På bakgrunn av forslag i </w:t>
      </w:r>
      <w:proofErr w:type="spellStart"/>
      <w:r w:rsidRPr="00225D4D">
        <w:t>Prop</w:t>
      </w:r>
      <w:proofErr w:type="spellEnd"/>
      <w:r w:rsidRPr="00225D4D">
        <w:t xml:space="preserve">. 95 L (2022–2023) </w:t>
      </w:r>
      <w:r w:rsidRPr="00225D4D">
        <w:rPr>
          <w:rStyle w:val="kursiv"/>
        </w:rPr>
        <w:t>Endringer i sikkerhetsloven (eierskapskontroll og lovens virkeområde),</w:t>
      </w:r>
      <w:r w:rsidRPr="00225D4D">
        <w:t xml:space="preserve"> vedtok Stortinget i juni 2023 ei plikt for </w:t>
      </w:r>
      <w:proofErr w:type="spellStart"/>
      <w:r w:rsidRPr="00225D4D">
        <w:t>eigarar</w:t>
      </w:r>
      <w:proofErr w:type="spellEnd"/>
      <w:r w:rsidRPr="00225D4D">
        <w:t xml:space="preserve"> av skjermingsverdige objekt eller skjermingsverdig infrastruktur til å identifisere </w:t>
      </w:r>
      <w:proofErr w:type="spellStart"/>
      <w:r w:rsidRPr="00225D4D">
        <w:t>eigedom</w:t>
      </w:r>
      <w:proofErr w:type="spellEnd"/>
      <w:r w:rsidRPr="00225D4D">
        <w:t xml:space="preserve"> som på grunn av plasseringa kan </w:t>
      </w:r>
      <w:proofErr w:type="spellStart"/>
      <w:r w:rsidRPr="00225D4D">
        <w:t>leggje</w:t>
      </w:r>
      <w:proofErr w:type="spellEnd"/>
      <w:r w:rsidRPr="00225D4D">
        <w:t xml:space="preserve"> til rette for </w:t>
      </w:r>
      <w:proofErr w:type="spellStart"/>
      <w:r w:rsidRPr="00225D4D">
        <w:t>truslar</w:t>
      </w:r>
      <w:proofErr w:type="spellEnd"/>
      <w:r w:rsidRPr="00225D4D">
        <w:t xml:space="preserve"> mot det skjermingsverdige objektet eller den skjermingsverdige infrastrukturen til </w:t>
      </w:r>
      <w:proofErr w:type="spellStart"/>
      <w:r w:rsidRPr="00225D4D">
        <w:t>verksemda</w:t>
      </w:r>
      <w:proofErr w:type="spellEnd"/>
      <w:r w:rsidRPr="00225D4D">
        <w:t>.</w:t>
      </w:r>
    </w:p>
    <w:p w14:paraId="3560ED6C" w14:textId="77777777" w:rsidR="00D60186" w:rsidRPr="00225D4D" w:rsidRDefault="00D60186" w:rsidP="00225D4D">
      <w:r w:rsidRPr="00225D4D">
        <w:t xml:space="preserve">Regjeringa </w:t>
      </w:r>
      <w:proofErr w:type="spellStart"/>
      <w:r w:rsidRPr="00225D4D">
        <w:t>gjer</w:t>
      </w:r>
      <w:proofErr w:type="spellEnd"/>
      <w:r w:rsidRPr="00225D4D">
        <w:t xml:space="preserve"> </w:t>
      </w:r>
      <w:proofErr w:type="spellStart"/>
      <w:r w:rsidRPr="00225D4D">
        <w:t>fortløpande</w:t>
      </w:r>
      <w:proofErr w:type="spellEnd"/>
      <w:r w:rsidRPr="00225D4D">
        <w:t xml:space="preserve"> </w:t>
      </w:r>
      <w:proofErr w:type="spellStart"/>
      <w:r w:rsidRPr="00225D4D">
        <w:t>vurderingar</w:t>
      </w:r>
      <w:proofErr w:type="spellEnd"/>
      <w:r w:rsidRPr="00225D4D">
        <w:t xml:space="preserve"> og </w:t>
      </w:r>
      <w:proofErr w:type="spellStart"/>
      <w:r w:rsidRPr="00225D4D">
        <w:t>set</w:t>
      </w:r>
      <w:proofErr w:type="spellEnd"/>
      <w:r w:rsidRPr="00225D4D">
        <w:t xml:space="preserve"> inn nødvendige tiltak for å sikre norsk </w:t>
      </w:r>
      <w:proofErr w:type="spellStart"/>
      <w:r w:rsidRPr="00225D4D">
        <w:t>eigarskap</w:t>
      </w:r>
      <w:proofErr w:type="spellEnd"/>
      <w:r w:rsidRPr="00225D4D">
        <w:t xml:space="preserve"> til kritisk infrastruktur og </w:t>
      </w:r>
      <w:proofErr w:type="spellStart"/>
      <w:r w:rsidRPr="00225D4D">
        <w:t>eigedom</w:t>
      </w:r>
      <w:proofErr w:type="spellEnd"/>
      <w:r w:rsidRPr="00225D4D">
        <w:t xml:space="preserve">, samt nasjonal kontroll over </w:t>
      </w:r>
      <w:proofErr w:type="spellStart"/>
      <w:r w:rsidRPr="00225D4D">
        <w:t>naturressursar</w:t>
      </w:r>
      <w:proofErr w:type="spellEnd"/>
      <w:r w:rsidRPr="00225D4D">
        <w:t xml:space="preserve"> i nordområda.</w:t>
      </w:r>
    </w:p>
    <w:p w14:paraId="62811F26" w14:textId="77777777" w:rsidR="00D60186" w:rsidRPr="00225D4D" w:rsidRDefault="00D60186" w:rsidP="00225D4D">
      <w:pPr>
        <w:pStyle w:val="avsnitt-tittel"/>
      </w:pPr>
      <w:proofErr w:type="spellStart"/>
      <w:r w:rsidRPr="00225D4D">
        <w:t>Heilskapleg</w:t>
      </w:r>
      <w:proofErr w:type="spellEnd"/>
      <w:r w:rsidRPr="00225D4D">
        <w:t xml:space="preserve"> gjennomgang av </w:t>
      </w:r>
      <w:proofErr w:type="spellStart"/>
      <w:r w:rsidRPr="00225D4D">
        <w:t>verjemålsordninga</w:t>
      </w:r>
      <w:proofErr w:type="spellEnd"/>
    </w:p>
    <w:p w14:paraId="0E94E99F" w14:textId="77777777" w:rsidR="00D60186" w:rsidRPr="00225D4D" w:rsidRDefault="00D60186" w:rsidP="00225D4D">
      <w:pPr>
        <w:pStyle w:val="avsnitt-undertittel"/>
      </w:pPr>
      <w:r w:rsidRPr="00225D4D">
        <w:t>Vedtak nr. 848, 27. april 2021</w:t>
      </w:r>
    </w:p>
    <w:p w14:paraId="01D3330F" w14:textId="77777777" w:rsidR="00D60186" w:rsidRPr="00225D4D" w:rsidRDefault="00D60186" w:rsidP="00225D4D">
      <w:pPr>
        <w:pStyle w:val="blokksit"/>
        <w:rPr>
          <w:rStyle w:val="kursiv"/>
        </w:rPr>
      </w:pPr>
      <w:r w:rsidRPr="00225D4D">
        <w:rPr>
          <w:rStyle w:val="kursiv"/>
        </w:rPr>
        <w:t>«Stortinget ber regjeringen foreta en helhetlig gjennomgang av vergemålsordningen og legge frem forslag til lovendringer som styrker og forbedrer den.»</w:t>
      </w:r>
    </w:p>
    <w:p w14:paraId="1E5A8611" w14:textId="77777777" w:rsidR="00D60186" w:rsidRPr="00225D4D" w:rsidRDefault="00D60186" w:rsidP="00225D4D">
      <w:r w:rsidRPr="00225D4D">
        <w:t xml:space="preserve">Dokumenta som ligg til grunn for vedtaket, er Dokument 8:77 S (2020–2021) og </w:t>
      </w:r>
      <w:proofErr w:type="spellStart"/>
      <w:r w:rsidRPr="00225D4D">
        <w:t>Innst</w:t>
      </w:r>
      <w:proofErr w:type="spellEnd"/>
      <w:r w:rsidRPr="00225D4D">
        <w:t xml:space="preserve">. 285 S (2020–2021) </w:t>
      </w:r>
      <w:proofErr w:type="spellStart"/>
      <w:r w:rsidRPr="00225D4D">
        <w:t>frå</w:t>
      </w:r>
      <w:proofErr w:type="spellEnd"/>
      <w:r w:rsidRPr="00225D4D">
        <w:t xml:space="preserve"> justiskomiteen.</w:t>
      </w:r>
    </w:p>
    <w:p w14:paraId="11D5F5D3" w14:textId="77777777" w:rsidR="00D60186" w:rsidRPr="00225D4D" w:rsidRDefault="00D60186" w:rsidP="00225D4D">
      <w:r w:rsidRPr="00225D4D">
        <w:t xml:space="preserve">Vedtaket er under behandling. Stortinget vedtok i mars 2023 </w:t>
      </w:r>
      <w:proofErr w:type="spellStart"/>
      <w:r w:rsidRPr="00225D4D">
        <w:t>endringar</w:t>
      </w:r>
      <w:proofErr w:type="spellEnd"/>
      <w:r w:rsidRPr="00225D4D">
        <w:t xml:space="preserve"> i </w:t>
      </w:r>
      <w:proofErr w:type="spellStart"/>
      <w:r w:rsidRPr="00225D4D">
        <w:t>verjemålslova</w:t>
      </w:r>
      <w:proofErr w:type="spellEnd"/>
      <w:r w:rsidRPr="00225D4D">
        <w:t xml:space="preserve">, som tredde i kraft 1. april 2023 (endringslov 31. mars 2023 nr. 5). Etter </w:t>
      </w:r>
      <w:proofErr w:type="spellStart"/>
      <w:r w:rsidRPr="00225D4D">
        <w:t>endringane</w:t>
      </w:r>
      <w:proofErr w:type="spellEnd"/>
      <w:r w:rsidRPr="00225D4D">
        <w:t xml:space="preserve"> er bl.a. prinsippet om </w:t>
      </w:r>
      <w:proofErr w:type="spellStart"/>
      <w:r w:rsidRPr="00225D4D">
        <w:t>sjølvråderett</w:t>
      </w:r>
      <w:proofErr w:type="spellEnd"/>
      <w:r w:rsidRPr="00225D4D">
        <w:t xml:space="preserve"> </w:t>
      </w:r>
      <w:proofErr w:type="spellStart"/>
      <w:r w:rsidRPr="00225D4D">
        <w:t>tydeleggjort</w:t>
      </w:r>
      <w:proofErr w:type="spellEnd"/>
      <w:r w:rsidRPr="00225D4D">
        <w:t xml:space="preserve"> i </w:t>
      </w:r>
      <w:proofErr w:type="spellStart"/>
      <w:r w:rsidRPr="00225D4D">
        <w:t>fleire</w:t>
      </w:r>
      <w:proofErr w:type="spellEnd"/>
      <w:r w:rsidRPr="00225D4D">
        <w:t xml:space="preserve"> føresegner i </w:t>
      </w:r>
      <w:proofErr w:type="spellStart"/>
      <w:r w:rsidRPr="00225D4D">
        <w:t>verjemålslova</w:t>
      </w:r>
      <w:proofErr w:type="spellEnd"/>
      <w:r w:rsidRPr="00225D4D">
        <w:t xml:space="preserve">. I </w:t>
      </w:r>
      <w:proofErr w:type="spellStart"/>
      <w:r w:rsidRPr="00225D4D">
        <w:t>Prop</w:t>
      </w:r>
      <w:proofErr w:type="spellEnd"/>
      <w:r w:rsidRPr="00225D4D">
        <w:t xml:space="preserve">. 141 L (2021–2022), punkt 2.4 gjorde departementet greie for </w:t>
      </w:r>
      <w:proofErr w:type="spellStart"/>
      <w:r w:rsidRPr="00225D4D">
        <w:t>nokre</w:t>
      </w:r>
      <w:proofErr w:type="spellEnd"/>
      <w:r w:rsidRPr="00225D4D">
        <w:t xml:space="preserve"> </w:t>
      </w:r>
      <w:proofErr w:type="spellStart"/>
      <w:r w:rsidRPr="00225D4D">
        <w:t>prioriteringar</w:t>
      </w:r>
      <w:proofErr w:type="spellEnd"/>
      <w:r w:rsidRPr="00225D4D">
        <w:t xml:space="preserve"> for den </w:t>
      </w:r>
      <w:proofErr w:type="spellStart"/>
      <w:r w:rsidRPr="00225D4D">
        <w:t>vidare</w:t>
      </w:r>
      <w:proofErr w:type="spellEnd"/>
      <w:r w:rsidRPr="00225D4D">
        <w:t xml:space="preserve"> oppfølginga av oppmodingsvedtaket, bl.a. at terminologien i lova skulle </w:t>
      </w:r>
      <w:proofErr w:type="spellStart"/>
      <w:r w:rsidRPr="00225D4D">
        <w:t>vurderast</w:t>
      </w:r>
      <w:proofErr w:type="spellEnd"/>
      <w:r w:rsidRPr="00225D4D">
        <w:t xml:space="preserve"> </w:t>
      </w:r>
      <w:proofErr w:type="spellStart"/>
      <w:r w:rsidRPr="00225D4D">
        <w:t>nærmare</w:t>
      </w:r>
      <w:proofErr w:type="spellEnd"/>
      <w:r w:rsidRPr="00225D4D">
        <w:t xml:space="preserve">. </w:t>
      </w:r>
      <w:proofErr w:type="spellStart"/>
      <w:r w:rsidRPr="00225D4D">
        <w:t>Fleire</w:t>
      </w:r>
      <w:proofErr w:type="spellEnd"/>
      <w:r w:rsidRPr="00225D4D">
        <w:t xml:space="preserve"> </w:t>
      </w:r>
      <w:proofErr w:type="spellStart"/>
      <w:r w:rsidRPr="00225D4D">
        <w:t>endringar</w:t>
      </w:r>
      <w:proofErr w:type="spellEnd"/>
      <w:r w:rsidRPr="00225D4D">
        <w:t xml:space="preserve"> i lova, bl.a. i terminologien, </w:t>
      </w:r>
      <w:proofErr w:type="spellStart"/>
      <w:r w:rsidRPr="00225D4D">
        <w:t>vart</w:t>
      </w:r>
      <w:proofErr w:type="spellEnd"/>
      <w:r w:rsidRPr="00225D4D">
        <w:t xml:space="preserve"> foreslått i </w:t>
      </w:r>
      <w:proofErr w:type="spellStart"/>
      <w:r w:rsidRPr="00225D4D">
        <w:t>eit</w:t>
      </w:r>
      <w:proofErr w:type="spellEnd"/>
      <w:r w:rsidRPr="00225D4D">
        <w:t xml:space="preserve"> </w:t>
      </w:r>
      <w:proofErr w:type="spellStart"/>
      <w:r w:rsidRPr="00225D4D">
        <w:t>høyringsnotat</w:t>
      </w:r>
      <w:proofErr w:type="spellEnd"/>
      <w:r w:rsidRPr="00225D4D">
        <w:t xml:space="preserve"> datert 18. november 2024, med </w:t>
      </w:r>
      <w:proofErr w:type="spellStart"/>
      <w:r w:rsidRPr="00225D4D">
        <w:t>høyringsfrist</w:t>
      </w:r>
      <w:proofErr w:type="spellEnd"/>
      <w:r w:rsidRPr="00225D4D">
        <w:t xml:space="preserve"> 14. februar 2025. Departementet arbeider </w:t>
      </w:r>
      <w:proofErr w:type="spellStart"/>
      <w:r w:rsidRPr="00225D4D">
        <w:t>no</w:t>
      </w:r>
      <w:proofErr w:type="spellEnd"/>
      <w:r w:rsidRPr="00225D4D">
        <w:t xml:space="preserve"> </w:t>
      </w:r>
      <w:proofErr w:type="spellStart"/>
      <w:r w:rsidRPr="00225D4D">
        <w:t>vidare</w:t>
      </w:r>
      <w:proofErr w:type="spellEnd"/>
      <w:r w:rsidRPr="00225D4D">
        <w:t xml:space="preserve"> med oppfølginga av </w:t>
      </w:r>
      <w:proofErr w:type="spellStart"/>
      <w:r w:rsidRPr="00225D4D">
        <w:t>høyringa</w:t>
      </w:r>
      <w:proofErr w:type="spellEnd"/>
      <w:r w:rsidRPr="00225D4D">
        <w:t xml:space="preserve"> og den </w:t>
      </w:r>
      <w:proofErr w:type="spellStart"/>
      <w:r w:rsidRPr="00225D4D">
        <w:t>vidare</w:t>
      </w:r>
      <w:proofErr w:type="spellEnd"/>
      <w:r w:rsidRPr="00225D4D">
        <w:t xml:space="preserve"> gjennomgangen av ordninga. </w:t>
      </w:r>
      <w:proofErr w:type="spellStart"/>
      <w:r w:rsidRPr="00225D4D">
        <w:t>Vidare</w:t>
      </w:r>
      <w:proofErr w:type="spellEnd"/>
      <w:r w:rsidRPr="00225D4D">
        <w:t xml:space="preserve"> </w:t>
      </w:r>
      <w:proofErr w:type="spellStart"/>
      <w:r w:rsidRPr="00225D4D">
        <w:t>vart</w:t>
      </w:r>
      <w:proofErr w:type="spellEnd"/>
      <w:r w:rsidRPr="00225D4D">
        <w:t xml:space="preserve"> det innført </w:t>
      </w:r>
      <w:proofErr w:type="spellStart"/>
      <w:r w:rsidRPr="00225D4D">
        <w:t>ein</w:t>
      </w:r>
      <w:proofErr w:type="spellEnd"/>
      <w:r w:rsidRPr="00225D4D">
        <w:t xml:space="preserve"> ny modell for </w:t>
      </w:r>
      <w:proofErr w:type="spellStart"/>
      <w:r w:rsidRPr="00225D4D">
        <w:t>godtgjering</w:t>
      </w:r>
      <w:proofErr w:type="spellEnd"/>
      <w:r w:rsidRPr="00225D4D">
        <w:t xml:space="preserve"> til </w:t>
      </w:r>
      <w:proofErr w:type="spellStart"/>
      <w:r w:rsidRPr="00225D4D">
        <w:t>verjer</w:t>
      </w:r>
      <w:proofErr w:type="spellEnd"/>
      <w:r w:rsidRPr="00225D4D">
        <w:t xml:space="preserve"> </w:t>
      </w:r>
      <w:proofErr w:type="spellStart"/>
      <w:r w:rsidRPr="00225D4D">
        <w:t>frå</w:t>
      </w:r>
      <w:proofErr w:type="spellEnd"/>
      <w:r w:rsidRPr="00225D4D">
        <w:t xml:space="preserve"> og med 1. januar 2025. Sjå </w:t>
      </w:r>
      <w:proofErr w:type="spellStart"/>
      <w:r w:rsidRPr="00225D4D">
        <w:t>nærmare</w:t>
      </w:r>
      <w:proofErr w:type="spellEnd"/>
      <w:r w:rsidRPr="00225D4D">
        <w:t xml:space="preserve"> omtale under programkategori 06.70. Arbeidet med den </w:t>
      </w:r>
      <w:proofErr w:type="spellStart"/>
      <w:r w:rsidRPr="00225D4D">
        <w:t>vidare</w:t>
      </w:r>
      <w:proofErr w:type="spellEnd"/>
      <w:r w:rsidRPr="00225D4D">
        <w:t xml:space="preserve"> revisjonen av lova blir gjennomført i dialog med sivilt samfunn og andre relevante </w:t>
      </w:r>
      <w:proofErr w:type="spellStart"/>
      <w:r w:rsidRPr="00225D4D">
        <w:t>aktørar</w:t>
      </w:r>
      <w:proofErr w:type="spellEnd"/>
      <w:r w:rsidRPr="00225D4D">
        <w:t>.</w:t>
      </w:r>
    </w:p>
    <w:p w14:paraId="58445A3F" w14:textId="77777777" w:rsidR="00D60186" w:rsidRPr="00225D4D" w:rsidRDefault="00D60186" w:rsidP="00225D4D">
      <w:pPr>
        <w:pStyle w:val="avsnitt-tittel"/>
      </w:pPr>
      <w:r w:rsidRPr="00225D4D">
        <w:t xml:space="preserve">Etablering av ny redningshelikopterbase i Tromsø og felles operasjon med </w:t>
      </w:r>
      <w:proofErr w:type="spellStart"/>
      <w:r w:rsidRPr="00225D4D">
        <w:t>helikoptertenesta</w:t>
      </w:r>
      <w:proofErr w:type="spellEnd"/>
      <w:r w:rsidRPr="00225D4D">
        <w:t xml:space="preserve"> til </w:t>
      </w:r>
      <w:proofErr w:type="spellStart"/>
      <w:r w:rsidRPr="00225D4D">
        <w:t>Sysselmeisteren</w:t>
      </w:r>
      <w:proofErr w:type="spellEnd"/>
    </w:p>
    <w:p w14:paraId="5146FE60" w14:textId="77777777" w:rsidR="00D60186" w:rsidRPr="00225D4D" w:rsidRDefault="00D60186" w:rsidP="00225D4D">
      <w:pPr>
        <w:pStyle w:val="avsnitt-under-undertittel"/>
      </w:pPr>
      <w:r w:rsidRPr="00225D4D">
        <w:t>Vedtak nr. 983, 25. mai 2021</w:t>
      </w:r>
    </w:p>
    <w:p w14:paraId="2B997A66" w14:textId="77777777" w:rsidR="00D60186" w:rsidRPr="00225D4D" w:rsidRDefault="00D60186" w:rsidP="00225D4D">
      <w:pPr>
        <w:pStyle w:val="blokksit"/>
        <w:rPr>
          <w:rStyle w:val="kursiv"/>
        </w:rPr>
      </w:pPr>
      <w:r w:rsidRPr="00225D4D">
        <w:rPr>
          <w:rStyle w:val="kursiv"/>
        </w:rPr>
        <w:t>«Stortinget ber regjeringen starte nødvendige forberedelser som sikrer at Forsvaret overtar som operatør av redningshelikopterbasen i Tromsø når kontrakten med sivil operatør går ut.»</w:t>
      </w:r>
    </w:p>
    <w:p w14:paraId="39F96682"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85 S (2020–2021) og </w:t>
      </w:r>
      <w:proofErr w:type="spellStart"/>
      <w:r w:rsidRPr="00225D4D">
        <w:t>Innst</w:t>
      </w:r>
      <w:proofErr w:type="spellEnd"/>
      <w:r w:rsidRPr="00225D4D">
        <w:t xml:space="preserve">. 393 S (2020–2021) </w:t>
      </w:r>
      <w:proofErr w:type="spellStart"/>
      <w:r w:rsidRPr="00225D4D">
        <w:t>frå</w:t>
      </w:r>
      <w:proofErr w:type="spellEnd"/>
      <w:r w:rsidRPr="00225D4D">
        <w:t xml:space="preserve"> justiskomiteen.</w:t>
      </w:r>
    </w:p>
    <w:p w14:paraId="2FDE5FB2" w14:textId="77777777" w:rsidR="00D60186" w:rsidRPr="00225D4D" w:rsidRDefault="00D60186" w:rsidP="00225D4D">
      <w:r w:rsidRPr="00225D4D">
        <w:t xml:space="preserve">Vedtaket er under behandling. </w:t>
      </w:r>
      <w:proofErr w:type="spellStart"/>
      <w:r w:rsidRPr="00225D4D">
        <w:t>Hovudredningssentralen</w:t>
      </w:r>
      <w:proofErr w:type="spellEnd"/>
      <w:r w:rsidRPr="00225D4D">
        <w:t xml:space="preserve"> (HRS) har levert ei utgreiing av </w:t>
      </w:r>
      <w:proofErr w:type="spellStart"/>
      <w:r w:rsidRPr="00225D4D">
        <w:t>konsekvensane</w:t>
      </w:r>
      <w:proofErr w:type="spellEnd"/>
      <w:r w:rsidRPr="00225D4D">
        <w:t xml:space="preserve"> ved å gjennomføre vedtaket. Utgreiinga </w:t>
      </w:r>
      <w:proofErr w:type="spellStart"/>
      <w:r w:rsidRPr="00225D4D">
        <w:t>synleggjer</w:t>
      </w:r>
      <w:proofErr w:type="spellEnd"/>
      <w:r w:rsidRPr="00225D4D">
        <w:t xml:space="preserve"> to </w:t>
      </w:r>
      <w:proofErr w:type="spellStart"/>
      <w:r w:rsidRPr="00225D4D">
        <w:t>modellar</w:t>
      </w:r>
      <w:proofErr w:type="spellEnd"/>
      <w:r w:rsidRPr="00225D4D">
        <w:t xml:space="preserve"> som begge vil kunne levere </w:t>
      </w:r>
      <w:proofErr w:type="spellStart"/>
      <w:r w:rsidRPr="00225D4D">
        <w:t>tilfredsstillande</w:t>
      </w:r>
      <w:proofErr w:type="spellEnd"/>
      <w:r w:rsidRPr="00225D4D">
        <w:t xml:space="preserve"> </w:t>
      </w:r>
      <w:proofErr w:type="spellStart"/>
      <w:r w:rsidRPr="00225D4D">
        <w:t>redningshelikoptertenester</w:t>
      </w:r>
      <w:proofErr w:type="spellEnd"/>
      <w:r w:rsidRPr="00225D4D">
        <w:t xml:space="preserve">, men som kvar på sin måte har ulike </w:t>
      </w:r>
      <w:proofErr w:type="spellStart"/>
      <w:r w:rsidRPr="00225D4D">
        <w:t>fordelar</w:t>
      </w:r>
      <w:proofErr w:type="spellEnd"/>
      <w:r w:rsidRPr="00225D4D">
        <w:t xml:space="preserve"> og ulemper: </w:t>
      </w:r>
      <w:proofErr w:type="spellStart"/>
      <w:r w:rsidRPr="00225D4D">
        <w:t>ein</w:t>
      </w:r>
      <w:proofErr w:type="spellEnd"/>
      <w:r w:rsidRPr="00225D4D">
        <w:t xml:space="preserve"> modell med </w:t>
      </w:r>
      <w:proofErr w:type="spellStart"/>
      <w:r w:rsidRPr="00225D4D">
        <w:t>vidareføring</w:t>
      </w:r>
      <w:proofErr w:type="spellEnd"/>
      <w:r w:rsidRPr="00225D4D">
        <w:t xml:space="preserve"> av sivil operatør, og </w:t>
      </w:r>
      <w:proofErr w:type="spellStart"/>
      <w:r w:rsidRPr="00225D4D">
        <w:t>ein</w:t>
      </w:r>
      <w:proofErr w:type="spellEnd"/>
      <w:r w:rsidRPr="00225D4D">
        <w:t xml:space="preserve"> modell der Forsvaret </w:t>
      </w:r>
      <w:proofErr w:type="spellStart"/>
      <w:r w:rsidRPr="00225D4D">
        <w:t>overtek</w:t>
      </w:r>
      <w:proofErr w:type="spellEnd"/>
      <w:r w:rsidRPr="00225D4D">
        <w:t xml:space="preserve"> som operatør av basen i Tromsø når kontrakten med sivil operatør går ut. Utgreiinga skal </w:t>
      </w:r>
      <w:proofErr w:type="spellStart"/>
      <w:r w:rsidRPr="00225D4D">
        <w:t>følgjast</w:t>
      </w:r>
      <w:proofErr w:type="spellEnd"/>
      <w:r w:rsidRPr="00225D4D">
        <w:t xml:space="preserve"> opp </w:t>
      </w:r>
      <w:proofErr w:type="spellStart"/>
      <w:r w:rsidRPr="00225D4D">
        <w:t>vidare</w:t>
      </w:r>
      <w:proofErr w:type="spellEnd"/>
      <w:r w:rsidRPr="00225D4D">
        <w:t>.</w:t>
      </w:r>
    </w:p>
    <w:p w14:paraId="0109FAAC" w14:textId="77777777" w:rsidR="00D60186" w:rsidRPr="00225D4D" w:rsidRDefault="00D60186" w:rsidP="00225D4D">
      <w:pPr>
        <w:pStyle w:val="avsnitt-tittel"/>
      </w:pPr>
      <w:r w:rsidRPr="00225D4D">
        <w:t xml:space="preserve">Sperring av </w:t>
      </w:r>
      <w:proofErr w:type="spellStart"/>
      <w:r w:rsidRPr="00225D4D">
        <w:t>opplysningar</w:t>
      </w:r>
      <w:proofErr w:type="spellEnd"/>
      <w:r w:rsidRPr="00225D4D">
        <w:t xml:space="preserve"> i reaksjonsregisteret</w:t>
      </w:r>
    </w:p>
    <w:p w14:paraId="76E24523" w14:textId="77777777" w:rsidR="00D60186" w:rsidRPr="00225D4D" w:rsidRDefault="00D60186" w:rsidP="00225D4D">
      <w:pPr>
        <w:pStyle w:val="avsnitt-undertittel"/>
      </w:pPr>
      <w:r w:rsidRPr="00225D4D">
        <w:t>Vedtak nr. 1116, 3. juni 2021</w:t>
      </w:r>
    </w:p>
    <w:p w14:paraId="618359CF" w14:textId="77777777" w:rsidR="00D60186" w:rsidRPr="00225D4D" w:rsidRDefault="00D60186" w:rsidP="00225D4D">
      <w:pPr>
        <w:pStyle w:val="blokksit"/>
        <w:rPr>
          <w:rStyle w:val="kursiv"/>
        </w:rPr>
      </w:pPr>
      <w:r w:rsidRPr="00225D4D">
        <w:rPr>
          <w:rStyle w:val="kursiv"/>
        </w:rPr>
        <w:t>«Stortinget ber regjeringen sørge for at opplysninger i reaksjonsregisteret om personer som er ilagt strafferettslige reaksjoner for bruk og besittelse av narkotika til eget bruk, sperres etter tre år. Sperring forutsetter at det ikke er registrert flere straffbare forhold i den aktuelle perioden.»</w:t>
      </w:r>
    </w:p>
    <w:p w14:paraId="07193697"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92 L (2020–2021), </w:t>
      </w:r>
      <w:proofErr w:type="spellStart"/>
      <w:r w:rsidRPr="00225D4D">
        <w:t>Innst</w:t>
      </w:r>
      <w:proofErr w:type="spellEnd"/>
      <w:r w:rsidRPr="00225D4D">
        <w:t>. 612 L (2020–2021) og Lovvedtak 148 (2020–2021).</w:t>
      </w:r>
    </w:p>
    <w:p w14:paraId="6D4FF0E8" w14:textId="77777777" w:rsidR="00D60186" w:rsidRPr="00225D4D" w:rsidRDefault="00D60186" w:rsidP="00225D4D">
      <w:r w:rsidRPr="00225D4D">
        <w:t xml:space="preserve">Vedtaket er </w:t>
      </w:r>
      <w:proofErr w:type="spellStart"/>
      <w:r w:rsidRPr="00225D4D">
        <w:t>følgt</w:t>
      </w:r>
      <w:proofErr w:type="spellEnd"/>
      <w:r w:rsidRPr="00225D4D">
        <w:t xml:space="preserve"> opp. Behovet for sperring av </w:t>
      </w:r>
      <w:proofErr w:type="spellStart"/>
      <w:r w:rsidRPr="00225D4D">
        <w:t>ilagde</w:t>
      </w:r>
      <w:proofErr w:type="spellEnd"/>
      <w:r w:rsidRPr="00225D4D">
        <w:t xml:space="preserve"> </w:t>
      </w:r>
      <w:proofErr w:type="spellStart"/>
      <w:r w:rsidRPr="00225D4D">
        <w:t>reaksjonar</w:t>
      </w:r>
      <w:proofErr w:type="spellEnd"/>
      <w:r w:rsidRPr="00225D4D">
        <w:t xml:space="preserve"> for </w:t>
      </w:r>
      <w:proofErr w:type="spellStart"/>
      <w:r w:rsidRPr="00225D4D">
        <w:t>brot</w:t>
      </w:r>
      <w:proofErr w:type="spellEnd"/>
      <w:r w:rsidRPr="00225D4D">
        <w:t xml:space="preserve"> på legemiddellova § 24 er endra etter at Stortinget har </w:t>
      </w:r>
      <w:proofErr w:type="spellStart"/>
      <w:r w:rsidRPr="00225D4D">
        <w:t>vedteke</w:t>
      </w:r>
      <w:proofErr w:type="spellEnd"/>
      <w:r w:rsidRPr="00225D4D">
        <w:t xml:space="preserve"> den nye </w:t>
      </w:r>
      <w:proofErr w:type="spellStart"/>
      <w:r w:rsidRPr="00225D4D">
        <w:t>rusreforma</w:t>
      </w:r>
      <w:proofErr w:type="spellEnd"/>
      <w:r w:rsidRPr="00225D4D">
        <w:t xml:space="preserve">. Regjeringa vil </w:t>
      </w:r>
      <w:proofErr w:type="spellStart"/>
      <w:r w:rsidRPr="00225D4D">
        <w:t>gjere</w:t>
      </w:r>
      <w:proofErr w:type="spellEnd"/>
      <w:r w:rsidRPr="00225D4D">
        <w:t xml:space="preserve"> greie for </w:t>
      </w:r>
      <w:proofErr w:type="spellStart"/>
      <w:r w:rsidRPr="00225D4D">
        <w:t>og</w:t>
      </w:r>
      <w:proofErr w:type="spellEnd"/>
      <w:r w:rsidRPr="00225D4D">
        <w:t xml:space="preserve"> vurdere </w:t>
      </w:r>
      <w:proofErr w:type="spellStart"/>
      <w:r w:rsidRPr="00225D4D">
        <w:t>reglane</w:t>
      </w:r>
      <w:proofErr w:type="spellEnd"/>
      <w:r w:rsidRPr="00225D4D">
        <w:t xml:space="preserve"> om sperring i samband med </w:t>
      </w:r>
      <w:proofErr w:type="spellStart"/>
      <w:r w:rsidRPr="00225D4D">
        <w:t>vidare</w:t>
      </w:r>
      <w:proofErr w:type="spellEnd"/>
      <w:r w:rsidRPr="00225D4D">
        <w:t xml:space="preserve"> oppfølging av </w:t>
      </w:r>
      <w:proofErr w:type="spellStart"/>
      <w:r w:rsidRPr="00225D4D">
        <w:t>rusreforma</w:t>
      </w:r>
      <w:proofErr w:type="spellEnd"/>
      <w:r w:rsidRPr="00225D4D">
        <w:t>.</w:t>
      </w:r>
    </w:p>
    <w:p w14:paraId="2ED9DB02" w14:textId="77777777" w:rsidR="00D60186" w:rsidRPr="00225D4D" w:rsidRDefault="00D60186" w:rsidP="00225D4D">
      <w:pPr>
        <w:pStyle w:val="avsnitt-tittel"/>
      </w:pPr>
      <w:r w:rsidRPr="00225D4D">
        <w:t xml:space="preserve">Unntak </w:t>
      </w:r>
      <w:proofErr w:type="spellStart"/>
      <w:r w:rsidRPr="00225D4D">
        <w:t>frå</w:t>
      </w:r>
      <w:proofErr w:type="spellEnd"/>
      <w:r w:rsidRPr="00225D4D">
        <w:t xml:space="preserve"> </w:t>
      </w:r>
      <w:proofErr w:type="spellStart"/>
      <w:r w:rsidRPr="00225D4D">
        <w:t>forelding</w:t>
      </w:r>
      <w:proofErr w:type="spellEnd"/>
      <w:r w:rsidRPr="00225D4D">
        <w:t xml:space="preserve"> for </w:t>
      </w:r>
      <w:proofErr w:type="spellStart"/>
      <w:r w:rsidRPr="00225D4D">
        <w:t>seksuallovbrot</w:t>
      </w:r>
      <w:proofErr w:type="spellEnd"/>
      <w:r w:rsidRPr="00225D4D">
        <w:t xml:space="preserve"> mot barn</w:t>
      </w:r>
    </w:p>
    <w:p w14:paraId="76B3B6C3" w14:textId="77777777" w:rsidR="00D60186" w:rsidRPr="00225D4D" w:rsidRDefault="00D60186" w:rsidP="00225D4D">
      <w:pPr>
        <w:pStyle w:val="avsnitt-undertittel"/>
      </w:pPr>
      <w:r w:rsidRPr="00225D4D">
        <w:t>Vedtak nr. 1159, 7. juni 2021</w:t>
      </w:r>
    </w:p>
    <w:p w14:paraId="67774B47" w14:textId="77777777" w:rsidR="00D60186" w:rsidRPr="00225D4D" w:rsidRDefault="00D60186" w:rsidP="00225D4D">
      <w:pPr>
        <w:pStyle w:val="blokksit"/>
        <w:rPr>
          <w:rStyle w:val="kursiv"/>
        </w:rPr>
      </w:pPr>
      <w:r w:rsidRPr="00225D4D">
        <w:rPr>
          <w:rStyle w:val="kursiv"/>
        </w:rPr>
        <w:t>«Stortinget ber regjeringen legge frem forslag til lovendringer som fjerner foreldelsesfristen for alle typer seksualforbrytelser mot barn.»</w:t>
      </w:r>
    </w:p>
    <w:p w14:paraId="668FC71F" w14:textId="77777777" w:rsidR="00D60186" w:rsidRPr="00225D4D" w:rsidRDefault="00D60186" w:rsidP="00225D4D">
      <w:r w:rsidRPr="00225D4D">
        <w:t xml:space="preserve">Dokumenta som ligg til grunn for vedtaket, er Dokument 8:273 S (2020–2021) og </w:t>
      </w:r>
      <w:proofErr w:type="spellStart"/>
      <w:r w:rsidRPr="00225D4D">
        <w:t>Innst</w:t>
      </w:r>
      <w:proofErr w:type="spellEnd"/>
      <w:r w:rsidRPr="00225D4D">
        <w:t>. 634 S (2020–2021).</w:t>
      </w:r>
    </w:p>
    <w:p w14:paraId="34D6D26B" w14:textId="77777777" w:rsidR="00D60186" w:rsidRPr="00225D4D" w:rsidRDefault="00D60186" w:rsidP="00225D4D">
      <w:r w:rsidRPr="00225D4D">
        <w:t>Vedtaket er under behandling. Sjå òg vedtak nr. 50 av 3. november 2020.</w:t>
      </w:r>
    </w:p>
    <w:p w14:paraId="30532AC3" w14:textId="77777777" w:rsidR="00D60186" w:rsidRPr="00225D4D" w:rsidRDefault="00D60186" w:rsidP="00225D4D">
      <w:pPr>
        <w:pStyle w:val="avsnitt-tittel"/>
      </w:pPr>
      <w:r w:rsidRPr="00225D4D">
        <w:t xml:space="preserve">Internasjonale kriminelle </w:t>
      </w:r>
      <w:proofErr w:type="spellStart"/>
      <w:r w:rsidRPr="00225D4D">
        <w:t>organisasjonar</w:t>
      </w:r>
      <w:proofErr w:type="spellEnd"/>
    </w:p>
    <w:p w14:paraId="019C5728" w14:textId="77777777" w:rsidR="00D60186" w:rsidRPr="00225D4D" w:rsidRDefault="00D60186" w:rsidP="00225D4D">
      <w:pPr>
        <w:pStyle w:val="avsnitt-undertittel"/>
      </w:pPr>
      <w:r w:rsidRPr="00225D4D">
        <w:t>Vedtak nr. 1161, 11. juni 2021</w:t>
      </w:r>
    </w:p>
    <w:p w14:paraId="65C8449D" w14:textId="77777777" w:rsidR="00D60186" w:rsidRPr="00225D4D" w:rsidRDefault="00D60186" w:rsidP="00225D4D">
      <w:pPr>
        <w:pStyle w:val="blokksit"/>
        <w:rPr>
          <w:rStyle w:val="kursiv"/>
        </w:rPr>
      </w:pPr>
      <w:r w:rsidRPr="00225D4D">
        <w:rPr>
          <w:rStyle w:val="kursiv"/>
        </w:rPr>
        <w:t>«Stortinget ber regjeringen komme tilbake til Stortinget med strengere regler dersom det nye regelverket ikke i tilstrekkelig grad hindrer etableringer av internasjonale kriminelle gjenger og mafiaorganisasjoner.»</w:t>
      </w:r>
    </w:p>
    <w:p w14:paraId="4EFD25E2"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190 L (2020–2021) og </w:t>
      </w:r>
      <w:proofErr w:type="spellStart"/>
      <w:r w:rsidRPr="00225D4D">
        <w:t>Innst</w:t>
      </w:r>
      <w:proofErr w:type="spellEnd"/>
      <w:r w:rsidRPr="00225D4D">
        <w:t>. 629 L (2020–2021).</w:t>
      </w:r>
    </w:p>
    <w:p w14:paraId="60A33527" w14:textId="77777777" w:rsidR="00D60186" w:rsidRPr="00225D4D" w:rsidRDefault="00D60186" w:rsidP="00225D4D">
      <w:r w:rsidRPr="00225D4D">
        <w:t xml:space="preserve">Vedtaket er </w:t>
      </w:r>
      <w:proofErr w:type="spellStart"/>
      <w:r w:rsidRPr="00225D4D">
        <w:t>følgt</w:t>
      </w:r>
      <w:proofErr w:type="spellEnd"/>
      <w:r w:rsidRPr="00225D4D">
        <w:t xml:space="preserve"> opp. I orskurd 8. oktober 2024 stadfesta Høgsterett </w:t>
      </w:r>
      <w:proofErr w:type="spellStart"/>
      <w:r w:rsidRPr="00225D4D">
        <w:t>eit</w:t>
      </w:r>
      <w:proofErr w:type="spellEnd"/>
      <w:r w:rsidRPr="00225D4D">
        <w:t xml:space="preserve"> </w:t>
      </w:r>
      <w:proofErr w:type="spellStart"/>
      <w:r w:rsidRPr="00225D4D">
        <w:t>forbod</w:t>
      </w:r>
      <w:proofErr w:type="spellEnd"/>
      <w:r w:rsidRPr="00225D4D">
        <w:t xml:space="preserve"> mot </w:t>
      </w:r>
      <w:proofErr w:type="spellStart"/>
      <w:r w:rsidRPr="00225D4D">
        <w:t>ein</w:t>
      </w:r>
      <w:proofErr w:type="spellEnd"/>
      <w:r w:rsidRPr="00225D4D">
        <w:t xml:space="preserve"> motorsykkelklubb som dermed ble </w:t>
      </w:r>
      <w:proofErr w:type="spellStart"/>
      <w:r w:rsidRPr="00225D4D">
        <w:t>rekna</w:t>
      </w:r>
      <w:proofErr w:type="spellEnd"/>
      <w:r w:rsidRPr="00225D4D">
        <w:t xml:space="preserve"> som </w:t>
      </w:r>
      <w:proofErr w:type="spellStart"/>
      <w:r w:rsidRPr="00225D4D">
        <w:t>ein</w:t>
      </w:r>
      <w:proofErr w:type="spellEnd"/>
      <w:r w:rsidRPr="00225D4D">
        <w:t xml:space="preserve"> kriminell samanslutning. Klubben hadde opphav i utlandet. Orskurden er </w:t>
      </w:r>
      <w:proofErr w:type="spellStart"/>
      <w:r w:rsidRPr="00225D4D">
        <w:t>eit</w:t>
      </w:r>
      <w:proofErr w:type="spellEnd"/>
      <w:r w:rsidRPr="00225D4D">
        <w:t xml:space="preserve"> uttrykk for at </w:t>
      </w:r>
      <w:proofErr w:type="spellStart"/>
      <w:r w:rsidRPr="00225D4D">
        <w:t>reglane</w:t>
      </w:r>
      <w:proofErr w:type="spellEnd"/>
      <w:r w:rsidRPr="00225D4D">
        <w:t xml:space="preserve"> som ble </w:t>
      </w:r>
      <w:proofErr w:type="spellStart"/>
      <w:r w:rsidRPr="00225D4D">
        <w:t>vedtekne</w:t>
      </w:r>
      <w:proofErr w:type="spellEnd"/>
      <w:r w:rsidRPr="00225D4D">
        <w:t xml:space="preserve"> i 2021 </w:t>
      </w:r>
      <w:proofErr w:type="spellStart"/>
      <w:r w:rsidRPr="00225D4D">
        <w:t>verkar</w:t>
      </w:r>
      <w:proofErr w:type="spellEnd"/>
      <w:r w:rsidRPr="00225D4D">
        <w:t xml:space="preserve"> etter siktemålet, og er egna til å hindre </w:t>
      </w:r>
      <w:proofErr w:type="spellStart"/>
      <w:r w:rsidRPr="00225D4D">
        <w:t>etableringar</w:t>
      </w:r>
      <w:proofErr w:type="spellEnd"/>
      <w:r w:rsidRPr="00225D4D">
        <w:t xml:space="preserve"> av slike </w:t>
      </w:r>
      <w:proofErr w:type="spellStart"/>
      <w:r w:rsidRPr="00225D4D">
        <w:t>samanslutningar</w:t>
      </w:r>
      <w:proofErr w:type="spellEnd"/>
      <w:r w:rsidRPr="00225D4D">
        <w:t xml:space="preserve">, også </w:t>
      </w:r>
      <w:proofErr w:type="spellStart"/>
      <w:r w:rsidRPr="00225D4D">
        <w:t>dei</w:t>
      </w:r>
      <w:proofErr w:type="spellEnd"/>
      <w:r w:rsidRPr="00225D4D">
        <w:t xml:space="preserve"> med internasjonale </w:t>
      </w:r>
      <w:proofErr w:type="spellStart"/>
      <w:r w:rsidRPr="00225D4D">
        <w:t>forgreiningar</w:t>
      </w:r>
      <w:proofErr w:type="spellEnd"/>
      <w:r w:rsidRPr="00225D4D">
        <w:t xml:space="preserve">. Departementet har </w:t>
      </w:r>
      <w:proofErr w:type="gramStart"/>
      <w:r w:rsidRPr="00225D4D">
        <w:t>for øvrig</w:t>
      </w:r>
      <w:proofErr w:type="gramEnd"/>
      <w:r w:rsidRPr="00225D4D">
        <w:t xml:space="preserve"> sett i gang </w:t>
      </w:r>
      <w:proofErr w:type="spellStart"/>
      <w:r w:rsidRPr="00225D4D">
        <w:t>eit</w:t>
      </w:r>
      <w:proofErr w:type="spellEnd"/>
      <w:r w:rsidRPr="00225D4D">
        <w:t xml:space="preserve"> større arbeid knytt til regelverksutvikling for å </w:t>
      </w:r>
      <w:proofErr w:type="spellStart"/>
      <w:r w:rsidRPr="00225D4D">
        <w:t>motverke</w:t>
      </w:r>
      <w:proofErr w:type="spellEnd"/>
      <w:r w:rsidRPr="00225D4D">
        <w:t xml:space="preserve"> gjengkriminalitet, og vil i den </w:t>
      </w:r>
      <w:proofErr w:type="spellStart"/>
      <w:r w:rsidRPr="00225D4D">
        <w:t>samanhengen</w:t>
      </w:r>
      <w:proofErr w:type="spellEnd"/>
      <w:r w:rsidRPr="00225D4D">
        <w:t xml:space="preserve"> vurdere behovet for </w:t>
      </w:r>
      <w:proofErr w:type="spellStart"/>
      <w:r w:rsidRPr="00225D4D">
        <w:t>ytterlegare</w:t>
      </w:r>
      <w:proofErr w:type="spellEnd"/>
      <w:r w:rsidRPr="00225D4D">
        <w:t xml:space="preserve"> </w:t>
      </w:r>
      <w:proofErr w:type="spellStart"/>
      <w:r w:rsidRPr="00225D4D">
        <w:t>lovendringar</w:t>
      </w:r>
      <w:proofErr w:type="spellEnd"/>
      <w:r w:rsidRPr="00225D4D">
        <w:t>.</w:t>
      </w:r>
    </w:p>
    <w:p w14:paraId="703B0224" w14:textId="77777777" w:rsidR="00D60186" w:rsidRPr="00225D4D" w:rsidRDefault="00D60186" w:rsidP="00225D4D">
      <w:pPr>
        <w:pStyle w:val="avsnitt-tittel"/>
      </w:pPr>
      <w:r w:rsidRPr="00225D4D">
        <w:t>Tilgang på straffeprosessuelle tvangsmiddel</w:t>
      </w:r>
    </w:p>
    <w:p w14:paraId="22CE0B47" w14:textId="77777777" w:rsidR="00D60186" w:rsidRPr="00225D4D" w:rsidRDefault="00D60186" w:rsidP="00225D4D">
      <w:pPr>
        <w:pStyle w:val="avsnitt-undertittel"/>
      </w:pPr>
      <w:r w:rsidRPr="00225D4D">
        <w:t>Vedtak nr. 1162, 11. juni 2021</w:t>
      </w:r>
    </w:p>
    <w:p w14:paraId="5593615B" w14:textId="77777777" w:rsidR="00D60186" w:rsidRPr="00225D4D" w:rsidRDefault="00D60186" w:rsidP="00225D4D">
      <w:pPr>
        <w:pStyle w:val="blokksit"/>
        <w:rPr>
          <w:rStyle w:val="kursiv"/>
        </w:rPr>
      </w:pPr>
      <w:r w:rsidRPr="00225D4D">
        <w:rPr>
          <w:rStyle w:val="kursiv"/>
        </w:rPr>
        <w:t>«Stortinget ber regjeringen utrede særskilt om politiet bør gis tilgang på straffeprosessuelle tvangsmidler ut over det den foreslåtte strafferammen på tre års fengsel for deltagelse, rekruttering eller videreføring av en kriminell sammenslutning, tilsier.»</w:t>
      </w:r>
    </w:p>
    <w:p w14:paraId="120AD39A"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190 L (2020–2021) og </w:t>
      </w:r>
      <w:proofErr w:type="spellStart"/>
      <w:r w:rsidRPr="00225D4D">
        <w:t>Innst</w:t>
      </w:r>
      <w:proofErr w:type="spellEnd"/>
      <w:r w:rsidRPr="00225D4D">
        <w:t>. 629 L (2020–2021).</w:t>
      </w:r>
    </w:p>
    <w:p w14:paraId="446471DE" w14:textId="77777777" w:rsidR="00D60186" w:rsidRPr="00225D4D" w:rsidRDefault="00D60186" w:rsidP="00225D4D">
      <w:r w:rsidRPr="00225D4D">
        <w:t xml:space="preserve">Vedtaket er under behandling. Departementet vil vurdere behovet for </w:t>
      </w:r>
      <w:proofErr w:type="spellStart"/>
      <w:r w:rsidRPr="00225D4D">
        <w:t>fleire</w:t>
      </w:r>
      <w:proofErr w:type="spellEnd"/>
      <w:r w:rsidRPr="00225D4D">
        <w:t xml:space="preserve"> straffeprosessuelle tvangsmiddel når </w:t>
      </w:r>
      <w:proofErr w:type="spellStart"/>
      <w:r w:rsidRPr="00225D4D">
        <w:t>dei</w:t>
      </w:r>
      <w:proofErr w:type="spellEnd"/>
      <w:r w:rsidRPr="00225D4D">
        <w:t xml:space="preserve"> </w:t>
      </w:r>
      <w:proofErr w:type="spellStart"/>
      <w:r w:rsidRPr="00225D4D">
        <w:t>gjeldande</w:t>
      </w:r>
      <w:proofErr w:type="spellEnd"/>
      <w:r w:rsidRPr="00225D4D">
        <w:t xml:space="preserve"> føresegnene har fått verke ei tid. Departementet </w:t>
      </w:r>
      <w:proofErr w:type="spellStart"/>
      <w:r w:rsidRPr="00225D4D">
        <w:t>tek</w:t>
      </w:r>
      <w:proofErr w:type="spellEnd"/>
      <w:r w:rsidRPr="00225D4D">
        <w:t xml:space="preserve"> sikte på å vurdere spørsmålet i </w:t>
      </w:r>
      <w:proofErr w:type="spellStart"/>
      <w:r w:rsidRPr="00225D4D">
        <w:t>samanheng</w:t>
      </w:r>
      <w:proofErr w:type="spellEnd"/>
      <w:r w:rsidRPr="00225D4D">
        <w:t xml:space="preserve"> med </w:t>
      </w:r>
      <w:proofErr w:type="spellStart"/>
      <w:r w:rsidRPr="00225D4D">
        <w:t>eit</w:t>
      </w:r>
      <w:proofErr w:type="spellEnd"/>
      <w:r w:rsidRPr="00225D4D">
        <w:t xml:space="preserve"> større arbeid knytt til regelverksutvikling for å </w:t>
      </w:r>
      <w:proofErr w:type="spellStart"/>
      <w:r w:rsidRPr="00225D4D">
        <w:t>motverke</w:t>
      </w:r>
      <w:proofErr w:type="spellEnd"/>
      <w:r w:rsidRPr="00225D4D">
        <w:t xml:space="preserve"> gjengkriminalitet.</w:t>
      </w:r>
    </w:p>
    <w:p w14:paraId="5C7130F5" w14:textId="77777777" w:rsidR="00D60186" w:rsidRPr="00225D4D" w:rsidRDefault="00D60186" w:rsidP="00225D4D">
      <w:pPr>
        <w:pStyle w:val="avsnitt-tittel"/>
      </w:pPr>
      <w:r w:rsidRPr="00225D4D">
        <w:t xml:space="preserve">Kompensasjonsordning for tapt </w:t>
      </w:r>
      <w:proofErr w:type="spellStart"/>
      <w:r w:rsidRPr="00225D4D">
        <w:t>arbeidsforteneste</w:t>
      </w:r>
      <w:proofErr w:type="spellEnd"/>
      <w:r w:rsidRPr="00225D4D">
        <w:t xml:space="preserve"> for frivillige i </w:t>
      </w:r>
      <w:proofErr w:type="spellStart"/>
      <w:r w:rsidRPr="00225D4D">
        <w:t>redningstenesta</w:t>
      </w:r>
      <w:proofErr w:type="spellEnd"/>
    </w:p>
    <w:p w14:paraId="7D7002A3" w14:textId="77777777" w:rsidR="00D60186" w:rsidRPr="00225D4D" w:rsidRDefault="00D60186" w:rsidP="00225D4D">
      <w:pPr>
        <w:pStyle w:val="avsnitt-undertittel"/>
      </w:pPr>
      <w:r w:rsidRPr="00225D4D">
        <w:t>Vedtak nr. 1343, 18. juni 2021</w:t>
      </w:r>
    </w:p>
    <w:p w14:paraId="4D222D09" w14:textId="77777777" w:rsidR="00D60186" w:rsidRPr="00225D4D" w:rsidRDefault="00D60186" w:rsidP="00225D4D">
      <w:pPr>
        <w:pStyle w:val="blokksit"/>
        <w:rPr>
          <w:rStyle w:val="kursiv"/>
        </w:rPr>
      </w:pPr>
      <w:r w:rsidRPr="00225D4D">
        <w:rPr>
          <w:rStyle w:val="kursiv"/>
        </w:rPr>
        <w:t>«Stortinget ber regjeringen i forbindelse med statsbudsjettet for 2022 legge frem en vurdering av om det bør innføres en kompensasjonsordning for tapt arbeidsfortjestene for frivillige som blir anmodet av nødetatene om å bistå i redningsoppdrag.»</w:t>
      </w:r>
    </w:p>
    <w:p w14:paraId="33269BFF"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195 S (2020–2021) og </w:t>
      </w:r>
      <w:proofErr w:type="spellStart"/>
      <w:r w:rsidRPr="00225D4D">
        <w:t>Innst</w:t>
      </w:r>
      <w:proofErr w:type="spellEnd"/>
      <w:r w:rsidRPr="00225D4D">
        <w:t>. 600 S (2020–2021).</w:t>
      </w:r>
    </w:p>
    <w:p w14:paraId="6B3B446D" w14:textId="77777777" w:rsidR="00D60186" w:rsidRPr="00225D4D" w:rsidRDefault="00D60186" w:rsidP="00225D4D">
      <w:r w:rsidRPr="00225D4D">
        <w:t xml:space="preserve">Vedtaket er </w:t>
      </w:r>
      <w:proofErr w:type="spellStart"/>
      <w:r w:rsidRPr="00225D4D">
        <w:t>følgt</w:t>
      </w:r>
      <w:proofErr w:type="spellEnd"/>
      <w:r w:rsidRPr="00225D4D">
        <w:t xml:space="preserve"> opp. Regjeringa har i Meld. St. 9 (2024–2025) Totalberedskapsmeldinga gjort greie for </w:t>
      </w:r>
      <w:proofErr w:type="spellStart"/>
      <w:r w:rsidRPr="00225D4D">
        <w:t>frivilligheita</w:t>
      </w:r>
      <w:proofErr w:type="spellEnd"/>
      <w:r w:rsidRPr="00225D4D">
        <w:t xml:space="preserve"> </w:t>
      </w:r>
      <w:proofErr w:type="spellStart"/>
      <w:r w:rsidRPr="00225D4D">
        <w:t>si</w:t>
      </w:r>
      <w:proofErr w:type="spellEnd"/>
      <w:r w:rsidRPr="00225D4D">
        <w:t xml:space="preserve"> rolle i totalberedskapen, og behovet for å </w:t>
      </w:r>
      <w:proofErr w:type="spellStart"/>
      <w:r w:rsidRPr="00225D4D">
        <w:t>styrkje</w:t>
      </w:r>
      <w:proofErr w:type="spellEnd"/>
      <w:r w:rsidRPr="00225D4D">
        <w:t xml:space="preserve"> og formalisere samarbeidet mellom </w:t>
      </w:r>
      <w:proofErr w:type="spellStart"/>
      <w:r w:rsidRPr="00225D4D">
        <w:t>offentlege</w:t>
      </w:r>
      <w:proofErr w:type="spellEnd"/>
      <w:r w:rsidRPr="00225D4D">
        <w:t xml:space="preserve"> </w:t>
      </w:r>
      <w:proofErr w:type="spellStart"/>
      <w:r w:rsidRPr="00225D4D">
        <w:t>myndigheiter</w:t>
      </w:r>
      <w:proofErr w:type="spellEnd"/>
      <w:r w:rsidRPr="00225D4D">
        <w:t xml:space="preserve"> og frivillige </w:t>
      </w:r>
      <w:proofErr w:type="spellStart"/>
      <w:r w:rsidRPr="00225D4D">
        <w:t>beredskapsorganisasjonar</w:t>
      </w:r>
      <w:proofErr w:type="spellEnd"/>
      <w:r w:rsidRPr="00225D4D">
        <w:t xml:space="preserve">. Meldinga viser òg at regjeringa vil </w:t>
      </w:r>
      <w:proofErr w:type="spellStart"/>
      <w:r w:rsidRPr="00225D4D">
        <w:t>styrkje</w:t>
      </w:r>
      <w:proofErr w:type="spellEnd"/>
      <w:r w:rsidRPr="00225D4D">
        <w:t xml:space="preserve"> </w:t>
      </w:r>
      <w:proofErr w:type="spellStart"/>
      <w:r w:rsidRPr="00225D4D">
        <w:t>dei</w:t>
      </w:r>
      <w:proofErr w:type="spellEnd"/>
      <w:r w:rsidRPr="00225D4D">
        <w:t xml:space="preserve"> økonomiske rammene for frivillige </w:t>
      </w:r>
      <w:proofErr w:type="spellStart"/>
      <w:r w:rsidRPr="00225D4D">
        <w:t>organisasjonar</w:t>
      </w:r>
      <w:proofErr w:type="spellEnd"/>
      <w:r w:rsidRPr="00225D4D">
        <w:t xml:space="preserve"> i </w:t>
      </w:r>
      <w:proofErr w:type="spellStart"/>
      <w:r w:rsidRPr="00225D4D">
        <w:t>redningstenesta</w:t>
      </w:r>
      <w:proofErr w:type="spellEnd"/>
      <w:r w:rsidRPr="00225D4D">
        <w:t xml:space="preserve">, og formalisere samarbeidet gjennom </w:t>
      </w:r>
      <w:proofErr w:type="spellStart"/>
      <w:r w:rsidRPr="00225D4D">
        <w:t>beredskapsavtalar</w:t>
      </w:r>
      <w:proofErr w:type="spellEnd"/>
      <w:r w:rsidRPr="00225D4D">
        <w:t xml:space="preserve"> og </w:t>
      </w:r>
      <w:proofErr w:type="spellStart"/>
      <w:r w:rsidRPr="00225D4D">
        <w:t>tydeleggjering</w:t>
      </w:r>
      <w:proofErr w:type="spellEnd"/>
      <w:r w:rsidRPr="00225D4D">
        <w:t xml:space="preserve"> av roller. I det </w:t>
      </w:r>
      <w:proofErr w:type="spellStart"/>
      <w:r w:rsidRPr="00225D4D">
        <w:t>vidare</w:t>
      </w:r>
      <w:proofErr w:type="spellEnd"/>
      <w:r w:rsidRPr="00225D4D">
        <w:t xml:space="preserve"> arbeidet med oppfølging av meldinga og utvikling av </w:t>
      </w:r>
      <w:proofErr w:type="spellStart"/>
      <w:r w:rsidRPr="00225D4D">
        <w:t>tilskotsordningar</w:t>
      </w:r>
      <w:proofErr w:type="spellEnd"/>
      <w:r w:rsidRPr="00225D4D">
        <w:t xml:space="preserve"> vil regjeringa vurdere korleis innsatsen </w:t>
      </w:r>
      <w:proofErr w:type="spellStart"/>
      <w:r w:rsidRPr="00225D4D">
        <w:t>frå</w:t>
      </w:r>
      <w:proofErr w:type="spellEnd"/>
      <w:r w:rsidRPr="00225D4D">
        <w:t xml:space="preserve"> frivillige kan kompenserast på </w:t>
      </w:r>
      <w:proofErr w:type="spellStart"/>
      <w:r w:rsidRPr="00225D4D">
        <w:t>ein</w:t>
      </w:r>
      <w:proofErr w:type="spellEnd"/>
      <w:r w:rsidRPr="00225D4D">
        <w:t xml:space="preserve"> rettferdig og </w:t>
      </w:r>
      <w:proofErr w:type="spellStart"/>
      <w:r w:rsidRPr="00225D4D">
        <w:t>berekraftig</w:t>
      </w:r>
      <w:proofErr w:type="spellEnd"/>
      <w:r w:rsidRPr="00225D4D">
        <w:t xml:space="preserve"> måte.</w:t>
      </w:r>
    </w:p>
    <w:p w14:paraId="5BBCEBAD" w14:textId="77777777" w:rsidR="00D60186" w:rsidRPr="00225D4D" w:rsidRDefault="00D60186" w:rsidP="00225D4D">
      <w:pPr>
        <w:pStyle w:val="Overskrift3"/>
      </w:pPr>
      <w:r w:rsidRPr="00225D4D">
        <w:t>Stortingssesjonen 2019–2020</w:t>
      </w:r>
    </w:p>
    <w:p w14:paraId="79AA4335" w14:textId="77777777" w:rsidR="00D60186" w:rsidRPr="00225D4D" w:rsidRDefault="00D60186" w:rsidP="00225D4D">
      <w:pPr>
        <w:pStyle w:val="avsnitt-tittel"/>
      </w:pPr>
      <w:r w:rsidRPr="00225D4D">
        <w:t>Elektroniske fraktbrev</w:t>
      </w:r>
    </w:p>
    <w:p w14:paraId="13E12FA8" w14:textId="77777777" w:rsidR="00D60186" w:rsidRPr="00225D4D" w:rsidRDefault="00D60186" w:rsidP="00225D4D">
      <w:pPr>
        <w:pStyle w:val="avsnitt-undertittel"/>
      </w:pPr>
      <w:r w:rsidRPr="00225D4D">
        <w:t>Vedtak nr. 436, 31. mars 2020</w:t>
      </w:r>
    </w:p>
    <w:p w14:paraId="40EE0CFC" w14:textId="77777777" w:rsidR="00D60186" w:rsidRPr="00225D4D" w:rsidRDefault="00D60186" w:rsidP="00225D4D">
      <w:pPr>
        <w:pStyle w:val="blokksit"/>
        <w:rPr>
          <w:rStyle w:val="kursiv"/>
        </w:rPr>
      </w:pPr>
      <w:r w:rsidRPr="00225D4D">
        <w:rPr>
          <w:rStyle w:val="kursiv"/>
        </w:rPr>
        <w:t>«Stortinget ber regjeringen sikre at nye elektroniske fraktbrev som er planlagt i CRM-direktivet, gjøres obligatoriske.»</w:t>
      </w:r>
    </w:p>
    <w:p w14:paraId="0774E7EE"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 LS (2019–2020) og </w:t>
      </w:r>
      <w:proofErr w:type="spellStart"/>
      <w:r w:rsidRPr="00225D4D">
        <w:t>Innst</w:t>
      </w:r>
      <w:proofErr w:type="spellEnd"/>
      <w:r w:rsidRPr="00225D4D">
        <w:t>. 214 S (2019–2020).</w:t>
      </w:r>
    </w:p>
    <w:p w14:paraId="2AF25AC5"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Fraktbrev regulerer forholdet mellom </w:t>
      </w:r>
      <w:proofErr w:type="spellStart"/>
      <w:r w:rsidRPr="00225D4D">
        <w:t>avsendaren</w:t>
      </w:r>
      <w:proofErr w:type="spellEnd"/>
      <w:r w:rsidRPr="00225D4D">
        <w:t xml:space="preserve">, </w:t>
      </w:r>
      <w:proofErr w:type="spellStart"/>
      <w:r w:rsidRPr="00225D4D">
        <w:t>fraktføraren</w:t>
      </w:r>
      <w:proofErr w:type="spellEnd"/>
      <w:r w:rsidRPr="00225D4D">
        <w:t xml:space="preserve"> og </w:t>
      </w:r>
      <w:proofErr w:type="spellStart"/>
      <w:r w:rsidRPr="00225D4D">
        <w:t>mottakaren</w:t>
      </w:r>
      <w:proofErr w:type="spellEnd"/>
      <w:r w:rsidRPr="00225D4D">
        <w:t xml:space="preserve"> ved godstransport. Ved internasjonal transport krev CMR-konvensjonen papirbaserte fraktbrev, men med </w:t>
      </w:r>
      <w:proofErr w:type="spellStart"/>
      <w:r w:rsidRPr="00225D4D">
        <w:t>eCMR</w:t>
      </w:r>
      <w:proofErr w:type="spellEnd"/>
      <w:r w:rsidRPr="00225D4D">
        <w:t xml:space="preserve"> er det </w:t>
      </w:r>
      <w:proofErr w:type="spellStart"/>
      <w:r w:rsidRPr="00225D4D">
        <w:t>opna</w:t>
      </w:r>
      <w:proofErr w:type="spellEnd"/>
      <w:r w:rsidRPr="00225D4D">
        <w:t xml:space="preserve"> for elektroniske alternativ. Tilleggsprotokollen, som vart </w:t>
      </w:r>
      <w:proofErr w:type="spellStart"/>
      <w:r w:rsidRPr="00225D4D">
        <w:t>gjeldande</w:t>
      </w:r>
      <w:proofErr w:type="spellEnd"/>
      <w:r w:rsidRPr="00225D4D">
        <w:t xml:space="preserve"> i </w:t>
      </w:r>
      <w:proofErr w:type="spellStart"/>
      <w:r w:rsidRPr="00225D4D">
        <w:t>Noreg</w:t>
      </w:r>
      <w:proofErr w:type="spellEnd"/>
      <w:r w:rsidRPr="00225D4D">
        <w:t xml:space="preserve"> i 2020, </w:t>
      </w:r>
      <w:proofErr w:type="spellStart"/>
      <w:r w:rsidRPr="00225D4D">
        <w:t>gjer</w:t>
      </w:r>
      <w:proofErr w:type="spellEnd"/>
      <w:r w:rsidRPr="00225D4D">
        <w:t xml:space="preserve"> elektroniske fraktbrev og digitale </w:t>
      </w:r>
      <w:proofErr w:type="spellStart"/>
      <w:r w:rsidRPr="00225D4D">
        <w:t>signaturar</w:t>
      </w:r>
      <w:proofErr w:type="spellEnd"/>
      <w:r w:rsidRPr="00225D4D">
        <w:t xml:space="preserve"> til </w:t>
      </w:r>
      <w:proofErr w:type="spellStart"/>
      <w:r w:rsidRPr="00225D4D">
        <w:t>eit</w:t>
      </w:r>
      <w:proofErr w:type="spellEnd"/>
      <w:r w:rsidRPr="00225D4D">
        <w:t xml:space="preserve"> frivillig og fullverdig alternativ både </w:t>
      </w:r>
      <w:proofErr w:type="spellStart"/>
      <w:r w:rsidRPr="00225D4D">
        <w:t>innanlands</w:t>
      </w:r>
      <w:proofErr w:type="spellEnd"/>
      <w:r w:rsidRPr="00225D4D">
        <w:t xml:space="preserve"> og internasjonalt.</w:t>
      </w:r>
    </w:p>
    <w:p w14:paraId="2E911215" w14:textId="77777777" w:rsidR="00D60186" w:rsidRPr="00225D4D" w:rsidRDefault="00D60186" w:rsidP="00225D4D">
      <w:proofErr w:type="spellStart"/>
      <w:r w:rsidRPr="00225D4D">
        <w:t>Eit</w:t>
      </w:r>
      <w:proofErr w:type="spellEnd"/>
      <w:r w:rsidRPr="00225D4D">
        <w:t xml:space="preserve"> krav om elektroniske fraktbrev ved </w:t>
      </w:r>
      <w:proofErr w:type="spellStart"/>
      <w:r w:rsidRPr="00225D4D">
        <w:t>innanriks</w:t>
      </w:r>
      <w:proofErr w:type="spellEnd"/>
      <w:r w:rsidRPr="00225D4D">
        <w:t xml:space="preserve"> transport kan føre til ulik behandling av </w:t>
      </w:r>
      <w:proofErr w:type="spellStart"/>
      <w:r w:rsidRPr="00225D4D">
        <w:t>aktørar</w:t>
      </w:r>
      <w:proofErr w:type="spellEnd"/>
      <w:r w:rsidRPr="00225D4D">
        <w:t xml:space="preserve">, </w:t>
      </w:r>
      <w:proofErr w:type="spellStart"/>
      <w:r w:rsidRPr="00225D4D">
        <w:t>sidan</w:t>
      </w:r>
      <w:proofErr w:type="spellEnd"/>
      <w:r w:rsidRPr="00225D4D">
        <w:t xml:space="preserve"> </w:t>
      </w:r>
      <w:proofErr w:type="spellStart"/>
      <w:r w:rsidRPr="00225D4D">
        <w:t>berre</w:t>
      </w:r>
      <w:proofErr w:type="spellEnd"/>
      <w:r w:rsidRPr="00225D4D">
        <w:t xml:space="preserve"> </w:t>
      </w:r>
      <w:proofErr w:type="spellStart"/>
      <w:r w:rsidRPr="00225D4D">
        <w:t>innanriks</w:t>
      </w:r>
      <w:proofErr w:type="spellEnd"/>
      <w:r w:rsidRPr="00225D4D">
        <w:t xml:space="preserve"> </w:t>
      </w:r>
      <w:proofErr w:type="spellStart"/>
      <w:r w:rsidRPr="00225D4D">
        <w:t>transportørar</w:t>
      </w:r>
      <w:proofErr w:type="spellEnd"/>
      <w:r w:rsidRPr="00225D4D">
        <w:t xml:space="preserve"> blir pålagde </w:t>
      </w:r>
      <w:proofErr w:type="spellStart"/>
      <w:r w:rsidRPr="00225D4D">
        <w:t>investeringar</w:t>
      </w:r>
      <w:proofErr w:type="spellEnd"/>
      <w:r w:rsidRPr="00225D4D">
        <w:t xml:space="preserve">. </w:t>
      </w:r>
      <w:proofErr w:type="spellStart"/>
      <w:r w:rsidRPr="00225D4D">
        <w:t>Reglane</w:t>
      </w:r>
      <w:proofErr w:type="spellEnd"/>
      <w:r w:rsidRPr="00225D4D">
        <w:t xml:space="preserve"> må </w:t>
      </w:r>
      <w:proofErr w:type="spellStart"/>
      <w:r w:rsidRPr="00225D4D">
        <w:t>utformast</w:t>
      </w:r>
      <w:proofErr w:type="spellEnd"/>
      <w:r w:rsidRPr="00225D4D">
        <w:t xml:space="preserve"> slik at </w:t>
      </w:r>
      <w:proofErr w:type="spellStart"/>
      <w:r w:rsidRPr="00225D4D">
        <w:t>dei</w:t>
      </w:r>
      <w:proofErr w:type="spellEnd"/>
      <w:r w:rsidRPr="00225D4D">
        <w:t xml:space="preserve"> </w:t>
      </w:r>
      <w:proofErr w:type="spellStart"/>
      <w:r w:rsidRPr="00225D4D">
        <w:t>ikkje</w:t>
      </w:r>
      <w:proofErr w:type="spellEnd"/>
      <w:r w:rsidRPr="00225D4D">
        <w:t xml:space="preserve"> </w:t>
      </w:r>
      <w:proofErr w:type="spellStart"/>
      <w:r w:rsidRPr="00225D4D">
        <w:t>hindrar</w:t>
      </w:r>
      <w:proofErr w:type="spellEnd"/>
      <w:r w:rsidRPr="00225D4D">
        <w:t xml:space="preserve"> </w:t>
      </w:r>
      <w:proofErr w:type="spellStart"/>
      <w:r w:rsidRPr="00225D4D">
        <w:t>utanlandske</w:t>
      </w:r>
      <w:proofErr w:type="spellEnd"/>
      <w:r w:rsidRPr="00225D4D">
        <w:t xml:space="preserve"> EØS-selskap </w:t>
      </w:r>
      <w:proofErr w:type="spellStart"/>
      <w:r w:rsidRPr="00225D4D">
        <w:t>frå</w:t>
      </w:r>
      <w:proofErr w:type="spellEnd"/>
      <w:r w:rsidRPr="00225D4D">
        <w:t xml:space="preserve"> å operere i </w:t>
      </w:r>
      <w:proofErr w:type="spellStart"/>
      <w:r w:rsidRPr="00225D4D">
        <w:t>Noreg</w:t>
      </w:r>
      <w:proofErr w:type="spellEnd"/>
      <w:r w:rsidRPr="00225D4D">
        <w:t xml:space="preserve">. </w:t>
      </w:r>
      <w:proofErr w:type="spellStart"/>
      <w:r w:rsidRPr="00225D4D">
        <w:t>Noreg</w:t>
      </w:r>
      <w:proofErr w:type="spellEnd"/>
      <w:r w:rsidRPr="00225D4D">
        <w:t xml:space="preserve"> må </w:t>
      </w:r>
      <w:proofErr w:type="spellStart"/>
      <w:r w:rsidRPr="00225D4D">
        <w:t>framleis</w:t>
      </w:r>
      <w:proofErr w:type="spellEnd"/>
      <w:r w:rsidRPr="00225D4D">
        <w:t xml:space="preserve"> godta papirfraktbrev ved </w:t>
      </w:r>
      <w:proofErr w:type="spellStart"/>
      <w:r w:rsidRPr="00225D4D">
        <w:t>grensekryssande</w:t>
      </w:r>
      <w:proofErr w:type="spellEnd"/>
      <w:r w:rsidRPr="00225D4D">
        <w:t xml:space="preserve"> transport. Det er òg usikkert om fraktbrev er eigna til å oppfylle intensjonen bak forslaget, </w:t>
      </w:r>
      <w:proofErr w:type="spellStart"/>
      <w:r w:rsidRPr="00225D4D">
        <w:t>sidan</w:t>
      </w:r>
      <w:proofErr w:type="spellEnd"/>
      <w:r w:rsidRPr="00225D4D">
        <w:t xml:space="preserve"> </w:t>
      </w:r>
      <w:proofErr w:type="spellStart"/>
      <w:r w:rsidRPr="00225D4D">
        <w:t>partane</w:t>
      </w:r>
      <w:proofErr w:type="spellEnd"/>
      <w:r w:rsidRPr="00225D4D">
        <w:t xml:space="preserve"> har stor avtalefridom og kan endre transportoppdraget undervegs. Det blir derfor </w:t>
      </w:r>
      <w:proofErr w:type="spellStart"/>
      <w:r w:rsidRPr="00225D4D">
        <w:t>ikkje</w:t>
      </w:r>
      <w:proofErr w:type="spellEnd"/>
      <w:r w:rsidRPr="00225D4D">
        <w:t xml:space="preserve"> innført krav om obligatorisk bruk av elektroniske fraktbrev ved </w:t>
      </w:r>
      <w:proofErr w:type="spellStart"/>
      <w:r w:rsidRPr="00225D4D">
        <w:t>innanriks</w:t>
      </w:r>
      <w:proofErr w:type="spellEnd"/>
      <w:r w:rsidRPr="00225D4D">
        <w:t xml:space="preserve"> godstransport no.</w:t>
      </w:r>
    </w:p>
    <w:p w14:paraId="0E6F734B" w14:textId="77777777" w:rsidR="00D60186" w:rsidRPr="00225D4D" w:rsidRDefault="00D60186" w:rsidP="00225D4D">
      <w:r w:rsidRPr="00225D4D">
        <w:t xml:space="preserve">Det blir </w:t>
      </w:r>
      <w:proofErr w:type="spellStart"/>
      <w:r w:rsidRPr="00225D4D">
        <w:t>vidare</w:t>
      </w:r>
      <w:proofErr w:type="spellEnd"/>
      <w:r w:rsidRPr="00225D4D">
        <w:t xml:space="preserve"> vist til at EUs mobilitetspakke og regjeringa sin handlingsplan mot sosial dumping </w:t>
      </w:r>
      <w:proofErr w:type="spellStart"/>
      <w:r w:rsidRPr="00225D4D">
        <w:t>inneheld</w:t>
      </w:r>
      <w:proofErr w:type="spellEnd"/>
      <w:r w:rsidRPr="00225D4D">
        <w:t xml:space="preserve"> </w:t>
      </w:r>
      <w:proofErr w:type="spellStart"/>
      <w:r w:rsidRPr="00225D4D">
        <w:t>fleire</w:t>
      </w:r>
      <w:proofErr w:type="spellEnd"/>
      <w:r w:rsidRPr="00225D4D">
        <w:t xml:space="preserve"> tiltak for rettvise vilkår og betre kontroll i transportsektoren. Tiltaka </w:t>
      </w:r>
      <w:proofErr w:type="spellStart"/>
      <w:r w:rsidRPr="00225D4D">
        <w:t>omfattar</w:t>
      </w:r>
      <w:proofErr w:type="spellEnd"/>
      <w:r w:rsidRPr="00225D4D">
        <w:t xml:space="preserve"> nye </w:t>
      </w:r>
      <w:proofErr w:type="spellStart"/>
      <w:r w:rsidRPr="00225D4D">
        <w:t>reglar</w:t>
      </w:r>
      <w:proofErr w:type="spellEnd"/>
      <w:r w:rsidRPr="00225D4D">
        <w:t xml:space="preserve">, styrkt kontroll og krav om smarte </w:t>
      </w:r>
      <w:proofErr w:type="spellStart"/>
      <w:r w:rsidRPr="00225D4D">
        <w:t>fartsskrivarar</w:t>
      </w:r>
      <w:proofErr w:type="spellEnd"/>
      <w:r w:rsidRPr="00225D4D">
        <w:t xml:space="preserve">. Ei ny forskrift gir høve til å </w:t>
      </w:r>
      <w:proofErr w:type="spellStart"/>
      <w:r w:rsidRPr="00225D4D">
        <w:t>ileggje</w:t>
      </w:r>
      <w:proofErr w:type="spellEnd"/>
      <w:r w:rsidRPr="00225D4D">
        <w:t xml:space="preserve"> gebyr på staden ved </w:t>
      </w:r>
      <w:proofErr w:type="spellStart"/>
      <w:r w:rsidRPr="00225D4D">
        <w:t>brot</w:t>
      </w:r>
      <w:proofErr w:type="spellEnd"/>
      <w:r w:rsidRPr="00225D4D">
        <w:t xml:space="preserve"> på </w:t>
      </w:r>
      <w:proofErr w:type="spellStart"/>
      <w:r w:rsidRPr="00225D4D">
        <w:t>transportreglane</w:t>
      </w:r>
      <w:proofErr w:type="spellEnd"/>
      <w:r w:rsidRPr="00225D4D">
        <w:t>. Samferdselsdepartementet arbeider òg med å gjennomføre EU-</w:t>
      </w:r>
      <w:proofErr w:type="spellStart"/>
      <w:r w:rsidRPr="00225D4D">
        <w:t>reglar</w:t>
      </w:r>
      <w:proofErr w:type="spellEnd"/>
      <w:r w:rsidRPr="00225D4D">
        <w:t xml:space="preserve"> om elektronisk dokumentasjon ved godstransport.</w:t>
      </w:r>
    </w:p>
    <w:p w14:paraId="64A6B88B" w14:textId="77777777" w:rsidR="00D60186" w:rsidRPr="00225D4D" w:rsidRDefault="00D60186" w:rsidP="00225D4D">
      <w:pPr>
        <w:pStyle w:val="avsnitt-tittel"/>
      </w:pPr>
      <w:r w:rsidRPr="00225D4D">
        <w:t xml:space="preserve">Reklamasjonsfrist på </w:t>
      </w:r>
      <w:proofErr w:type="spellStart"/>
      <w:r w:rsidRPr="00225D4D">
        <w:t>bustader</w:t>
      </w:r>
      <w:proofErr w:type="spellEnd"/>
    </w:p>
    <w:p w14:paraId="6B02A474" w14:textId="77777777" w:rsidR="00D60186" w:rsidRPr="00225D4D" w:rsidRDefault="00D60186" w:rsidP="00225D4D">
      <w:pPr>
        <w:pStyle w:val="avsnitt-undertittel"/>
      </w:pPr>
      <w:r w:rsidRPr="00225D4D">
        <w:t>Vedtak nr. 515, 21. april 2020</w:t>
      </w:r>
    </w:p>
    <w:p w14:paraId="5F6BEEEC" w14:textId="77777777" w:rsidR="00D60186" w:rsidRPr="00225D4D" w:rsidRDefault="00D60186" w:rsidP="00225D4D">
      <w:pPr>
        <w:pStyle w:val="blokksit"/>
        <w:rPr>
          <w:rStyle w:val="kursiv"/>
        </w:rPr>
      </w:pPr>
      <w:r w:rsidRPr="00225D4D">
        <w:rPr>
          <w:rStyle w:val="kursiv"/>
        </w:rPr>
        <w:t>«Stortinget ber regjeringen utrede om reklamasjonsfristen på nyoppførte boliger skal økes fra fem til ti år, samt konsekvensene av en eventuell utvidelse.»</w:t>
      </w:r>
    </w:p>
    <w:p w14:paraId="4AB9CC72" w14:textId="77777777" w:rsidR="00D60186" w:rsidRPr="00225D4D" w:rsidRDefault="00D60186" w:rsidP="00225D4D">
      <w:r w:rsidRPr="00225D4D">
        <w:t xml:space="preserve">Dokumenta som ligg til grunn for vedtaket, er Meld. St. 25 (2018–2019) og </w:t>
      </w:r>
      <w:proofErr w:type="spellStart"/>
      <w:r w:rsidRPr="00225D4D">
        <w:t>Innst</w:t>
      </w:r>
      <w:proofErr w:type="spellEnd"/>
      <w:r w:rsidRPr="00225D4D">
        <w:t>. 171 S (2019–2020).</w:t>
      </w:r>
    </w:p>
    <w:p w14:paraId="54E4FCCA" w14:textId="77777777" w:rsidR="00D60186" w:rsidRPr="00225D4D" w:rsidRDefault="00D60186" w:rsidP="00225D4D">
      <w:r w:rsidRPr="00225D4D">
        <w:t xml:space="preserve">Vedtaket er under behandling. EU har </w:t>
      </w:r>
      <w:proofErr w:type="spellStart"/>
      <w:r w:rsidRPr="00225D4D">
        <w:t>vedteke</w:t>
      </w:r>
      <w:proofErr w:type="spellEnd"/>
      <w:r w:rsidRPr="00225D4D">
        <w:t xml:space="preserve"> nye </w:t>
      </w:r>
      <w:proofErr w:type="spellStart"/>
      <w:r w:rsidRPr="00225D4D">
        <w:t>forbrukarvernreglar</w:t>
      </w:r>
      <w:proofErr w:type="spellEnd"/>
      <w:r w:rsidRPr="00225D4D">
        <w:t xml:space="preserve"> som </w:t>
      </w:r>
      <w:proofErr w:type="spellStart"/>
      <w:r w:rsidRPr="00225D4D">
        <w:t>gjere</w:t>
      </w:r>
      <w:proofErr w:type="spellEnd"/>
      <w:r w:rsidRPr="00225D4D">
        <w:t xml:space="preserve"> at </w:t>
      </w:r>
      <w:proofErr w:type="spellStart"/>
      <w:r w:rsidRPr="00225D4D">
        <w:t>ein</w:t>
      </w:r>
      <w:proofErr w:type="spellEnd"/>
      <w:r w:rsidRPr="00225D4D">
        <w:t xml:space="preserve"> bør vurdere norske </w:t>
      </w:r>
      <w:proofErr w:type="spellStart"/>
      <w:r w:rsidRPr="00225D4D">
        <w:t>reglar</w:t>
      </w:r>
      <w:proofErr w:type="spellEnd"/>
      <w:r w:rsidRPr="00225D4D">
        <w:t xml:space="preserve"> om absolutte </w:t>
      </w:r>
      <w:proofErr w:type="spellStart"/>
      <w:r w:rsidRPr="00225D4D">
        <w:t>reklamasjonsfristar</w:t>
      </w:r>
      <w:proofErr w:type="spellEnd"/>
      <w:r w:rsidRPr="00225D4D">
        <w:t xml:space="preserve"> i </w:t>
      </w:r>
      <w:proofErr w:type="spellStart"/>
      <w:r w:rsidRPr="00225D4D">
        <w:t>ein</w:t>
      </w:r>
      <w:proofErr w:type="spellEnd"/>
      <w:r w:rsidRPr="00225D4D">
        <w:t xml:space="preserve"> større </w:t>
      </w:r>
      <w:proofErr w:type="spellStart"/>
      <w:r w:rsidRPr="00225D4D">
        <w:t>samanheng</w:t>
      </w:r>
      <w:proofErr w:type="spellEnd"/>
      <w:r w:rsidRPr="00225D4D">
        <w:t>.</w:t>
      </w:r>
    </w:p>
    <w:p w14:paraId="6FC2C73E" w14:textId="77777777" w:rsidR="00D60186" w:rsidRPr="00225D4D" w:rsidRDefault="00D60186" w:rsidP="00225D4D">
      <w:pPr>
        <w:pStyle w:val="Overskrift3"/>
      </w:pPr>
      <w:r w:rsidRPr="00225D4D">
        <w:t>Stortingssesjonen 2017–2018</w:t>
      </w:r>
    </w:p>
    <w:p w14:paraId="1E628B03" w14:textId="77777777" w:rsidR="00D60186" w:rsidRPr="00225D4D" w:rsidRDefault="00D60186" w:rsidP="00225D4D">
      <w:pPr>
        <w:pStyle w:val="avsnitt-tittel"/>
      </w:pPr>
      <w:proofErr w:type="spellStart"/>
      <w:r w:rsidRPr="00225D4D">
        <w:t>Utanlandsopphald</w:t>
      </w:r>
      <w:proofErr w:type="spellEnd"/>
    </w:p>
    <w:p w14:paraId="457BC4BC" w14:textId="77777777" w:rsidR="00D60186" w:rsidRPr="00225D4D" w:rsidRDefault="00D60186" w:rsidP="00225D4D">
      <w:pPr>
        <w:pStyle w:val="avsnitt-undertittel"/>
      </w:pPr>
      <w:r w:rsidRPr="00225D4D">
        <w:t>Vedtak nr. 788, 29. mai 2018</w:t>
      </w:r>
    </w:p>
    <w:p w14:paraId="3837478D" w14:textId="77777777" w:rsidR="00D60186" w:rsidRPr="00225D4D" w:rsidRDefault="00D60186" w:rsidP="00225D4D">
      <w:pPr>
        <w:pStyle w:val="blokksit"/>
        <w:rPr>
          <w:rStyle w:val="kursiv"/>
        </w:rPr>
      </w:pPr>
      <w:r w:rsidRPr="00225D4D">
        <w:rPr>
          <w:rStyle w:val="kursiv"/>
        </w:rPr>
        <w:t>«Stortinget ber regjeringen foreslå tydeliggjøring av hjemler i straffeloven som holder foreldre ansvarlige dersom barn sendes på utenlandsopphold mot sin vilje.»</w:t>
      </w:r>
    </w:p>
    <w:p w14:paraId="3BC0AB3D" w14:textId="77777777" w:rsidR="00D60186" w:rsidRPr="00225D4D" w:rsidRDefault="00D60186" w:rsidP="00225D4D">
      <w:r w:rsidRPr="00225D4D">
        <w:t xml:space="preserve">Dokumenta som ligg til grunn for vedtaket, er Dokument 8:118 S (2017–2018) og </w:t>
      </w:r>
      <w:proofErr w:type="spellStart"/>
      <w:r w:rsidRPr="00225D4D">
        <w:t>Innst</w:t>
      </w:r>
      <w:proofErr w:type="spellEnd"/>
      <w:r w:rsidRPr="00225D4D">
        <w:t xml:space="preserve">. 260 S (2017–2018) </w:t>
      </w:r>
      <w:proofErr w:type="spellStart"/>
      <w:r w:rsidRPr="00225D4D">
        <w:t>frå</w:t>
      </w:r>
      <w:proofErr w:type="spellEnd"/>
      <w:r w:rsidRPr="00225D4D">
        <w:t xml:space="preserve"> justiskomiteen om tiltak mot sosial kontroll og </w:t>
      </w:r>
      <w:proofErr w:type="spellStart"/>
      <w:r w:rsidRPr="00225D4D">
        <w:t>æresvald</w:t>
      </w:r>
      <w:proofErr w:type="spellEnd"/>
      <w:r w:rsidRPr="00225D4D">
        <w:t>.</w:t>
      </w:r>
    </w:p>
    <w:p w14:paraId="697613C8" w14:textId="77777777" w:rsidR="00D60186" w:rsidRPr="00225D4D" w:rsidRDefault="00D60186" w:rsidP="00225D4D">
      <w:r w:rsidRPr="00225D4D">
        <w:t xml:space="preserve">Vedtaket har blitt </w:t>
      </w:r>
      <w:proofErr w:type="spellStart"/>
      <w:r w:rsidRPr="00225D4D">
        <w:t>følgt</w:t>
      </w:r>
      <w:proofErr w:type="spellEnd"/>
      <w:r w:rsidRPr="00225D4D">
        <w:t xml:space="preserve"> opp. Sjå omtale under vedtak nr. 712 av 9. mars 2021.</w:t>
      </w:r>
    </w:p>
    <w:p w14:paraId="71E1CA94" w14:textId="77777777" w:rsidR="00D60186" w:rsidRPr="00225D4D" w:rsidRDefault="00D60186" w:rsidP="00225D4D">
      <w:pPr>
        <w:pStyle w:val="avsnitt-tittel"/>
      </w:pPr>
      <w:r w:rsidRPr="00225D4D">
        <w:t>Eige lovverk for Statens barnehus</w:t>
      </w:r>
    </w:p>
    <w:p w14:paraId="7E257152" w14:textId="77777777" w:rsidR="00D60186" w:rsidRPr="00225D4D" w:rsidRDefault="00D60186" w:rsidP="00225D4D">
      <w:pPr>
        <w:pStyle w:val="avsnitt-undertittel"/>
      </w:pPr>
      <w:r w:rsidRPr="00225D4D">
        <w:t>Vedtak nr. 795, 29. mai 2018</w:t>
      </w:r>
    </w:p>
    <w:p w14:paraId="7D7943CE" w14:textId="77777777" w:rsidR="00D60186" w:rsidRPr="00225D4D" w:rsidRDefault="00D60186" w:rsidP="00225D4D">
      <w:pPr>
        <w:pStyle w:val="blokksit"/>
        <w:rPr>
          <w:rStyle w:val="kursiv"/>
        </w:rPr>
      </w:pPr>
      <w:r w:rsidRPr="00225D4D">
        <w:rPr>
          <w:rStyle w:val="kursiv"/>
        </w:rPr>
        <w:t>«Stortinget ber regjeringen fremme forslag om et eget lovverk for Statens barnehus som sikrer ivaretakelse av hele mandatet til Statens barnehus.»</w:t>
      </w:r>
    </w:p>
    <w:p w14:paraId="302B4121" w14:textId="77777777" w:rsidR="00D60186" w:rsidRPr="00225D4D" w:rsidRDefault="00D60186" w:rsidP="00225D4D">
      <w:r w:rsidRPr="00225D4D">
        <w:t xml:space="preserve">Dokumenta som ligg til grunn for vedtaket, er Dokument 8:140 S (2017–2018) og </w:t>
      </w:r>
      <w:proofErr w:type="spellStart"/>
      <w:r w:rsidRPr="00225D4D">
        <w:t>Innst</w:t>
      </w:r>
      <w:proofErr w:type="spellEnd"/>
      <w:r w:rsidRPr="00225D4D">
        <w:t>. 316 S (2017–2018).</w:t>
      </w:r>
    </w:p>
    <w:p w14:paraId="066E5C3E" w14:textId="77777777" w:rsidR="00D60186" w:rsidRPr="00225D4D" w:rsidRDefault="00D60186" w:rsidP="00225D4D">
      <w:r w:rsidRPr="00225D4D">
        <w:t xml:space="preserve">Vedtaket er under behandling. Departementet vil i samarbeid med Politidirektoratet </w:t>
      </w:r>
      <w:proofErr w:type="spellStart"/>
      <w:r w:rsidRPr="00225D4D">
        <w:t>setje</w:t>
      </w:r>
      <w:proofErr w:type="spellEnd"/>
      <w:r w:rsidRPr="00225D4D">
        <w:t xml:space="preserve"> i gang </w:t>
      </w:r>
      <w:proofErr w:type="spellStart"/>
      <w:r w:rsidRPr="00225D4D">
        <w:t>eit</w:t>
      </w:r>
      <w:proofErr w:type="spellEnd"/>
      <w:r w:rsidRPr="00225D4D">
        <w:t xml:space="preserve"> utgreiingsarbeid om </w:t>
      </w:r>
      <w:proofErr w:type="spellStart"/>
      <w:r w:rsidRPr="00225D4D">
        <w:t>eit</w:t>
      </w:r>
      <w:proofErr w:type="spellEnd"/>
      <w:r w:rsidRPr="00225D4D">
        <w:t xml:space="preserve"> eige lovverk for Statens barnehus. Oppstarten av ei slik utgreiing vil skje etter at Politidirektoratet har avslutta revisjonen av</w:t>
      </w:r>
      <w:r w:rsidRPr="00225D4D">
        <w:rPr>
          <w:rStyle w:val="kursiv"/>
        </w:rPr>
        <w:t xml:space="preserve"> Felles retningslinjer for Statens barnehus </w:t>
      </w:r>
      <w:r w:rsidRPr="00225D4D">
        <w:t xml:space="preserve">i samarbeid med Helsedirektoratet og Barne-, ungdoms- og familiedirektoratet. Revisjonen av </w:t>
      </w:r>
      <w:proofErr w:type="spellStart"/>
      <w:r w:rsidRPr="00225D4D">
        <w:t>retningslinene</w:t>
      </w:r>
      <w:proofErr w:type="spellEnd"/>
      <w:r w:rsidRPr="00225D4D">
        <w:t xml:space="preserve"> skal ferdigstillast </w:t>
      </w:r>
      <w:proofErr w:type="spellStart"/>
      <w:r w:rsidRPr="00225D4D">
        <w:t>innan</w:t>
      </w:r>
      <w:proofErr w:type="spellEnd"/>
      <w:r w:rsidRPr="00225D4D">
        <w:t xml:space="preserve"> utgangen av 2025.</w:t>
      </w:r>
    </w:p>
    <w:p w14:paraId="52D5746A" w14:textId="77777777" w:rsidR="00D60186" w:rsidRPr="00225D4D" w:rsidRDefault="00D60186" w:rsidP="00225D4D">
      <w:pPr>
        <w:pStyle w:val="Overskrift3"/>
      </w:pPr>
      <w:r w:rsidRPr="00225D4D">
        <w:t>Stortingssesjonen 2016–2017</w:t>
      </w:r>
    </w:p>
    <w:p w14:paraId="61DFE1B2" w14:textId="77777777" w:rsidR="00D60186" w:rsidRPr="00225D4D" w:rsidRDefault="00D60186" w:rsidP="00225D4D">
      <w:pPr>
        <w:pStyle w:val="avsnitt-tittel"/>
      </w:pPr>
      <w:r w:rsidRPr="00225D4D">
        <w:t>Korrupsjonsføresegnene i straffelova</w:t>
      </w:r>
    </w:p>
    <w:p w14:paraId="64E245AD" w14:textId="77777777" w:rsidR="00D60186" w:rsidRPr="00225D4D" w:rsidRDefault="00D60186" w:rsidP="00225D4D">
      <w:pPr>
        <w:pStyle w:val="avsnitt-undertittel"/>
      </w:pPr>
      <w:r w:rsidRPr="00225D4D">
        <w:t>Vedtak nr. 523, 23. mars 2017</w:t>
      </w:r>
    </w:p>
    <w:p w14:paraId="5797D9C9" w14:textId="77777777" w:rsidR="00D60186" w:rsidRPr="00225D4D" w:rsidRDefault="00D60186" w:rsidP="00225D4D">
      <w:pPr>
        <w:pStyle w:val="blokksit"/>
        <w:rPr>
          <w:rStyle w:val="kursiv"/>
        </w:rPr>
      </w:pPr>
      <w:r w:rsidRPr="00225D4D">
        <w:rPr>
          <w:rStyle w:val="kursiv"/>
        </w:rPr>
        <w:t>«Stortinget ber regjeringen fremme forslag om endring av straffeloven som innebærer at for overtredelser av straffelovens korrupsjonsbestemmelser kan foretaket også straffes når handlingen er utført av noen som gjennom sine forbindelser med selskapet må assosieres med det. Det må vurderes straffefrihet for selskap som har gjort det de kan for å forebygge korrupsjon.»</w:t>
      </w:r>
    </w:p>
    <w:p w14:paraId="778AC8FC" w14:textId="77777777" w:rsidR="00D60186" w:rsidRPr="00225D4D" w:rsidRDefault="00D60186" w:rsidP="00225D4D">
      <w:r w:rsidRPr="00225D4D">
        <w:t xml:space="preserve">Dokumentet som ligg til grunn for vedtaket, er </w:t>
      </w:r>
      <w:proofErr w:type="spellStart"/>
      <w:r w:rsidRPr="00225D4D">
        <w:t>Innst</w:t>
      </w:r>
      <w:proofErr w:type="spellEnd"/>
      <w:r w:rsidRPr="00225D4D">
        <w:t xml:space="preserve">. 191 L (2016–2017) </w:t>
      </w:r>
      <w:proofErr w:type="spellStart"/>
      <w:r w:rsidRPr="00225D4D">
        <w:t>frå</w:t>
      </w:r>
      <w:proofErr w:type="spellEnd"/>
      <w:r w:rsidRPr="00225D4D">
        <w:t xml:space="preserve"> justiskomiteen om å utvide ansvaret som selskap har for </w:t>
      </w:r>
      <w:proofErr w:type="spellStart"/>
      <w:r w:rsidRPr="00225D4D">
        <w:t>korrupsjonshandlingar</w:t>
      </w:r>
      <w:proofErr w:type="spellEnd"/>
      <w:r w:rsidRPr="00225D4D">
        <w:t>.</w:t>
      </w:r>
    </w:p>
    <w:p w14:paraId="224D6B01" w14:textId="77777777" w:rsidR="00D60186" w:rsidRPr="00225D4D" w:rsidRDefault="00D60186" w:rsidP="00225D4D">
      <w:r w:rsidRPr="00225D4D">
        <w:t xml:space="preserve">Vedtaket er under behandling. Justis- og beredskapsdepartementet gav </w:t>
      </w:r>
      <w:proofErr w:type="spellStart"/>
      <w:r w:rsidRPr="00225D4D">
        <w:t>ein</w:t>
      </w:r>
      <w:proofErr w:type="spellEnd"/>
      <w:r w:rsidRPr="00225D4D">
        <w:t xml:space="preserve"> fagperson i oppdrag å drøfte </w:t>
      </w:r>
      <w:proofErr w:type="spellStart"/>
      <w:r w:rsidRPr="00225D4D">
        <w:t>dei</w:t>
      </w:r>
      <w:proofErr w:type="spellEnd"/>
      <w:r w:rsidRPr="00225D4D">
        <w:t xml:space="preserve"> aktuelle spørsmåla og komme med forslag til </w:t>
      </w:r>
      <w:proofErr w:type="spellStart"/>
      <w:r w:rsidRPr="00225D4D">
        <w:t>lovendringar</w:t>
      </w:r>
      <w:proofErr w:type="spellEnd"/>
      <w:r w:rsidRPr="00225D4D">
        <w:t xml:space="preserve">. Rapporten </w:t>
      </w:r>
      <w:proofErr w:type="spellStart"/>
      <w:r w:rsidRPr="00225D4D">
        <w:t>vart</w:t>
      </w:r>
      <w:proofErr w:type="spellEnd"/>
      <w:r w:rsidRPr="00225D4D">
        <w:t xml:space="preserve"> overlevert i mai 2021 og har </w:t>
      </w:r>
      <w:proofErr w:type="spellStart"/>
      <w:r w:rsidRPr="00225D4D">
        <w:t>vore</w:t>
      </w:r>
      <w:proofErr w:type="spellEnd"/>
      <w:r w:rsidRPr="00225D4D">
        <w:t xml:space="preserve"> på </w:t>
      </w:r>
      <w:proofErr w:type="spellStart"/>
      <w:r w:rsidRPr="00225D4D">
        <w:t>høyring</w:t>
      </w:r>
      <w:proofErr w:type="spellEnd"/>
      <w:r w:rsidRPr="00225D4D">
        <w:t xml:space="preserve">. Rapporten er </w:t>
      </w:r>
      <w:proofErr w:type="spellStart"/>
      <w:r w:rsidRPr="00225D4D">
        <w:t>no</w:t>
      </w:r>
      <w:proofErr w:type="spellEnd"/>
      <w:r w:rsidRPr="00225D4D">
        <w:t xml:space="preserve"> til oppfølging i departementet.</w:t>
      </w:r>
    </w:p>
    <w:p w14:paraId="0F0EB7CB" w14:textId="77777777" w:rsidR="00D60186" w:rsidRPr="00225D4D" w:rsidRDefault="00D60186" w:rsidP="00225D4D">
      <w:pPr>
        <w:pStyle w:val="Overskrift1"/>
      </w:pPr>
      <w:r w:rsidRPr="00225D4D">
        <w:t>Klima- og miljødepartementet</w:t>
      </w:r>
    </w:p>
    <w:p w14:paraId="42ADA397" w14:textId="77777777" w:rsidR="00D60186" w:rsidRPr="00225D4D" w:rsidRDefault="00D60186" w:rsidP="00225D4D">
      <w:r w:rsidRPr="00225D4D">
        <w:t>Nedenfor gis en oversikt over oppfølging av anmodnings- og utredningsvedtak under</w:t>
      </w:r>
    </w:p>
    <w:p w14:paraId="1A699E37" w14:textId="77777777" w:rsidR="00D60186" w:rsidRPr="00225D4D" w:rsidRDefault="00D60186" w:rsidP="00225D4D">
      <w:r w:rsidRPr="00225D4D">
        <w:t xml:space="preserve">Klima- og miljødepartementet. Oversikten inkluderer alle vedtak fra stortingssesjonen 2024-2025, samt de vedtakene fra tidligere stortingssesjoner som kontroll- og konstitusjonskomiteen i </w:t>
      </w:r>
      <w:proofErr w:type="spellStart"/>
      <w:r w:rsidRPr="00225D4D">
        <w:t>lnnst</w:t>
      </w:r>
      <w:proofErr w:type="spellEnd"/>
      <w:r w:rsidRPr="00225D4D">
        <w:t>. 216 S (2024-2025) mente ikke var kvittert ut. I tabellen nedenfor angis det også hvorvidt departementet planlegger at rapporteringen knyttet til anmodningsvedtaket nå avsluttes eller om departementet vil rapportere konkret på vedtaket også i neste års budsjettproposisjon. Tabell 10.1 Oversikt over anmodnings- og utredningsvedtak, ordnet etter sesjon og nummer.</w:t>
      </w:r>
    </w:p>
    <w:p w14:paraId="3FC68573" w14:textId="3DFA742E" w:rsidR="00330F87" w:rsidRPr="00225D4D" w:rsidRDefault="00330F87" w:rsidP="00225D4D">
      <w:pPr>
        <w:pStyle w:val="tabell-tittel"/>
      </w:pPr>
      <w:r w:rsidRPr="00225D4D">
        <w:t>Oversikt over anmodnings- og utredningsvedtak, ordnet etter sesjon og nummer</w:t>
      </w:r>
    </w:p>
    <w:p w14:paraId="60E76CF5" w14:textId="77777777" w:rsidR="00D60186" w:rsidRPr="00225D4D" w:rsidRDefault="00D60186" w:rsidP="00225D4D">
      <w:pPr>
        <w:pStyle w:val="Tabellnavn"/>
      </w:pPr>
      <w:r w:rsidRPr="00225D4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600"/>
        <w:gridCol w:w="1400"/>
      </w:tblGrid>
      <w:tr w:rsidR="00E76DC8" w:rsidRPr="00225D4D" w14:paraId="4EFA51EF"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024314" w14:textId="77777777" w:rsidR="00D60186" w:rsidRPr="00FD49F3" w:rsidRDefault="00D60186" w:rsidP="00225D4D">
            <w:pPr>
              <w:rPr>
                <w:sz w:val="21"/>
                <w:szCs w:val="21"/>
              </w:rPr>
            </w:pPr>
            <w:r w:rsidRPr="00FD49F3">
              <w:rPr>
                <w:sz w:val="21"/>
                <w:szCs w:val="21"/>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D43B1E" w14:textId="77777777" w:rsidR="00D60186" w:rsidRPr="00FD49F3" w:rsidRDefault="00D60186" w:rsidP="00FD49F3">
            <w:pPr>
              <w:ind w:right="113"/>
              <w:jc w:val="right"/>
              <w:rPr>
                <w:sz w:val="21"/>
                <w:szCs w:val="21"/>
              </w:rPr>
            </w:pPr>
            <w:r w:rsidRPr="00FD49F3">
              <w:rPr>
                <w:sz w:val="21"/>
                <w:szCs w:val="21"/>
              </w:rPr>
              <w:t>Vedtak nr.</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ECDA78" w14:textId="77777777" w:rsidR="00D60186" w:rsidRPr="00FD49F3" w:rsidRDefault="00D60186" w:rsidP="00225D4D">
            <w:pPr>
              <w:rPr>
                <w:sz w:val="21"/>
                <w:szCs w:val="21"/>
              </w:rPr>
            </w:pPr>
            <w:r w:rsidRPr="00FD49F3">
              <w:rPr>
                <w:sz w:val="21"/>
                <w:szCs w:val="21"/>
              </w:rPr>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860F00" w14:textId="77777777" w:rsidR="00D60186" w:rsidRPr="00FD49F3" w:rsidRDefault="00D60186" w:rsidP="00FD49F3">
            <w:pPr>
              <w:jc w:val="right"/>
              <w:rPr>
                <w:sz w:val="21"/>
                <w:szCs w:val="21"/>
              </w:rPr>
            </w:pPr>
            <w:r w:rsidRPr="00FD49F3">
              <w:rPr>
                <w:sz w:val="21"/>
                <w:szCs w:val="21"/>
              </w:rPr>
              <w:t xml:space="preserve">Rapportering avsluttes </w:t>
            </w:r>
            <w:r w:rsidRPr="00FD49F3">
              <w:rPr>
                <w:sz w:val="21"/>
                <w:szCs w:val="21"/>
              </w:rPr>
              <w:br/>
              <w:t>(ja/nei)</w:t>
            </w:r>
          </w:p>
        </w:tc>
      </w:tr>
      <w:tr w:rsidR="00E76DC8" w:rsidRPr="00225D4D" w14:paraId="46180B72" w14:textId="77777777">
        <w:trPr>
          <w:trHeight w:val="380"/>
        </w:trPr>
        <w:tc>
          <w:tcPr>
            <w:tcW w:w="1400" w:type="dxa"/>
            <w:tcBorders>
              <w:top w:val="nil"/>
              <w:left w:val="nil"/>
              <w:bottom w:val="nil"/>
              <w:right w:val="nil"/>
            </w:tcBorders>
            <w:tcMar>
              <w:top w:w="128" w:type="dxa"/>
              <w:left w:w="43" w:type="dxa"/>
              <w:bottom w:w="43" w:type="dxa"/>
              <w:right w:w="43" w:type="dxa"/>
            </w:tcMar>
          </w:tcPr>
          <w:p w14:paraId="74261CFB"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532BD3F" w14:textId="77777777" w:rsidR="00D60186" w:rsidRPr="00FD49F3" w:rsidRDefault="00D60186" w:rsidP="00FD49F3">
            <w:pPr>
              <w:ind w:right="113"/>
              <w:jc w:val="right"/>
              <w:rPr>
                <w:sz w:val="21"/>
                <w:szCs w:val="21"/>
              </w:rPr>
            </w:pPr>
            <w:r w:rsidRPr="00FD49F3">
              <w:rPr>
                <w:sz w:val="21"/>
                <w:szCs w:val="21"/>
              </w:rPr>
              <w:t>27</w:t>
            </w:r>
          </w:p>
        </w:tc>
        <w:tc>
          <w:tcPr>
            <w:tcW w:w="5600" w:type="dxa"/>
            <w:tcBorders>
              <w:top w:val="nil"/>
              <w:left w:val="nil"/>
              <w:bottom w:val="nil"/>
              <w:right w:val="nil"/>
            </w:tcBorders>
            <w:tcMar>
              <w:top w:w="128" w:type="dxa"/>
              <w:left w:w="43" w:type="dxa"/>
              <w:bottom w:w="43" w:type="dxa"/>
              <w:right w:w="43" w:type="dxa"/>
            </w:tcMar>
          </w:tcPr>
          <w:p w14:paraId="369301AA" w14:textId="77777777" w:rsidR="00D60186" w:rsidRPr="00FD49F3" w:rsidRDefault="00D60186" w:rsidP="00225D4D">
            <w:pPr>
              <w:rPr>
                <w:sz w:val="21"/>
                <w:szCs w:val="21"/>
              </w:rPr>
            </w:pPr>
            <w:r w:rsidRPr="00FD49F3">
              <w:rPr>
                <w:sz w:val="21"/>
                <w:szCs w:val="21"/>
              </w:rPr>
              <w:t xml:space="preserve">Kvenske/norskfinske og skogfinske kulturminner </w:t>
            </w:r>
          </w:p>
        </w:tc>
        <w:tc>
          <w:tcPr>
            <w:tcW w:w="1400" w:type="dxa"/>
            <w:tcBorders>
              <w:top w:val="nil"/>
              <w:left w:val="nil"/>
              <w:bottom w:val="nil"/>
              <w:right w:val="nil"/>
            </w:tcBorders>
            <w:tcMar>
              <w:top w:w="128" w:type="dxa"/>
              <w:left w:w="43" w:type="dxa"/>
              <w:bottom w:w="43" w:type="dxa"/>
              <w:right w:w="43" w:type="dxa"/>
            </w:tcMar>
          </w:tcPr>
          <w:p w14:paraId="40B3A043" w14:textId="77777777" w:rsidR="00D60186" w:rsidRPr="00FD49F3" w:rsidRDefault="00D60186" w:rsidP="00FD49F3">
            <w:pPr>
              <w:jc w:val="right"/>
              <w:rPr>
                <w:sz w:val="21"/>
                <w:szCs w:val="21"/>
              </w:rPr>
            </w:pPr>
            <w:r w:rsidRPr="00FD49F3">
              <w:rPr>
                <w:sz w:val="21"/>
                <w:szCs w:val="21"/>
              </w:rPr>
              <w:t>Nei</w:t>
            </w:r>
          </w:p>
        </w:tc>
      </w:tr>
      <w:tr w:rsidR="00E76DC8" w:rsidRPr="00225D4D" w14:paraId="58ACF584" w14:textId="77777777">
        <w:trPr>
          <w:trHeight w:val="380"/>
        </w:trPr>
        <w:tc>
          <w:tcPr>
            <w:tcW w:w="1400" w:type="dxa"/>
            <w:tcBorders>
              <w:top w:val="nil"/>
              <w:left w:val="nil"/>
              <w:bottom w:val="nil"/>
              <w:right w:val="nil"/>
            </w:tcBorders>
            <w:tcMar>
              <w:top w:w="128" w:type="dxa"/>
              <w:left w:w="43" w:type="dxa"/>
              <w:bottom w:w="43" w:type="dxa"/>
              <w:right w:w="43" w:type="dxa"/>
            </w:tcMar>
          </w:tcPr>
          <w:p w14:paraId="237BFDD7"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6C5EA62" w14:textId="77777777" w:rsidR="00D60186" w:rsidRPr="00FD49F3" w:rsidRDefault="00D60186" w:rsidP="00FD49F3">
            <w:pPr>
              <w:ind w:right="113"/>
              <w:jc w:val="right"/>
              <w:rPr>
                <w:sz w:val="21"/>
                <w:szCs w:val="21"/>
              </w:rPr>
            </w:pPr>
            <w:r w:rsidRPr="00FD49F3">
              <w:rPr>
                <w:sz w:val="21"/>
                <w:szCs w:val="21"/>
              </w:rPr>
              <w:t>75</w:t>
            </w:r>
          </w:p>
        </w:tc>
        <w:tc>
          <w:tcPr>
            <w:tcW w:w="5600" w:type="dxa"/>
            <w:tcBorders>
              <w:top w:val="nil"/>
              <w:left w:val="nil"/>
              <w:bottom w:val="nil"/>
              <w:right w:val="nil"/>
            </w:tcBorders>
            <w:tcMar>
              <w:top w:w="128" w:type="dxa"/>
              <w:left w:w="43" w:type="dxa"/>
              <w:bottom w:w="43" w:type="dxa"/>
              <w:right w:w="43" w:type="dxa"/>
            </w:tcMar>
          </w:tcPr>
          <w:p w14:paraId="51BDA42B" w14:textId="77777777" w:rsidR="00D60186" w:rsidRPr="00FD49F3" w:rsidRDefault="00D60186" w:rsidP="00225D4D">
            <w:pPr>
              <w:rPr>
                <w:sz w:val="21"/>
                <w:szCs w:val="21"/>
              </w:rPr>
            </w:pPr>
            <w:r w:rsidRPr="00FD49F3">
              <w:rPr>
                <w:sz w:val="21"/>
                <w:szCs w:val="21"/>
              </w:rPr>
              <w:t>Gjenbruk av kasserte elbilbatterier</w:t>
            </w:r>
          </w:p>
        </w:tc>
        <w:tc>
          <w:tcPr>
            <w:tcW w:w="1400" w:type="dxa"/>
            <w:tcBorders>
              <w:top w:val="nil"/>
              <w:left w:val="nil"/>
              <w:bottom w:val="nil"/>
              <w:right w:val="nil"/>
            </w:tcBorders>
            <w:tcMar>
              <w:top w:w="128" w:type="dxa"/>
              <w:left w:w="43" w:type="dxa"/>
              <w:bottom w:w="43" w:type="dxa"/>
              <w:right w:w="43" w:type="dxa"/>
            </w:tcMar>
          </w:tcPr>
          <w:p w14:paraId="734FD50B" w14:textId="77777777" w:rsidR="00D60186" w:rsidRPr="00FD49F3" w:rsidRDefault="00D60186" w:rsidP="00FD49F3">
            <w:pPr>
              <w:jc w:val="right"/>
              <w:rPr>
                <w:sz w:val="21"/>
                <w:szCs w:val="21"/>
              </w:rPr>
            </w:pPr>
            <w:r w:rsidRPr="00FD49F3">
              <w:rPr>
                <w:sz w:val="21"/>
                <w:szCs w:val="21"/>
              </w:rPr>
              <w:t>Nei</w:t>
            </w:r>
          </w:p>
        </w:tc>
      </w:tr>
      <w:tr w:rsidR="00E76DC8" w:rsidRPr="00225D4D" w14:paraId="0367109B" w14:textId="77777777">
        <w:trPr>
          <w:trHeight w:val="380"/>
        </w:trPr>
        <w:tc>
          <w:tcPr>
            <w:tcW w:w="1400" w:type="dxa"/>
            <w:tcBorders>
              <w:top w:val="nil"/>
              <w:left w:val="nil"/>
              <w:bottom w:val="nil"/>
              <w:right w:val="nil"/>
            </w:tcBorders>
            <w:tcMar>
              <w:top w:w="128" w:type="dxa"/>
              <w:left w:w="43" w:type="dxa"/>
              <w:bottom w:w="43" w:type="dxa"/>
              <w:right w:w="43" w:type="dxa"/>
            </w:tcMar>
          </w:tcPr>
          <w:p w14:paraId="7E539FCB"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9261C97" w14:textId="77777777" w:rsidR="00D60186" w:rsidRPr="00FD49F3" w:rsidRDefault="00D60186" w:rsidP="00FD49F3">
            <w:pPr>
              <w:ind w:right="113"/>
              <w:jc w:val="right"/>
              <w:rPr>
                <w:sz w:val="21"/>
                <w:szCs w:val="21"/>
              </w:rPr>
            </w:pPr>
            <w:r w:rsidRPr="00FD49F3">
              <w:rPr>
                <w:sz w:val="21"/>
                <w:szCs w:val="21"/>
              </w:rPr>
              <w:t>76</w:t>
            </w:r>
          </w:p>
        </w:tc>
        <w:tc>
          <w:tcPr>
            <w:tcW w:w="5600" w:type="dxa"/>
            <w:tcBorders>
              <w:top w:val="nil"/>
              <w:left w:val="nil"/>
              <w:bottom w:val="nil"/>
              <w:right w:val="nil"/>
            </w:tcBorders>
            <w:tcMar>
              <w:top w:w="128" w:type="dxa"/>
              <w:left w:w="43" w:type="dxa"/>
              <w:bottom w:w="43" w:type="dxa"/>
              <w:right w:w="43" w:type="dxa"/>
            </w:tcMar>
          </w:tcPr>
          <w:p w14:paraId="7623B1C8" w14:textId="77777777" w:rsidR="00D60186" w:rsidRPr="00FD49F3" w:rsidRDefault="00D60186" w:rsidP="00225D4D">
            <w:pPr>
              <w:rPr>
                <w:sz w:val="21"/>
                <w:szCs w:val="21"/>
              </w:rPr>
            </w:pPr>
            <w:r w:rsidRPr="00FD49F3">
              <w:rPr>
                <w:sz w:val="21"/>
                <w:szCs w:val="21"/>
              </w:rPr>
              <w:t>Emballasjeforordningen og det norske pantesystemet</w:t>
            </w:r>
          </w:p>
        </w:tc>
        <w:tc>
          <w:tcPr>
            <w:tcW w:w="1400" w:type="dxa"/>
            <w:tcBorders>
              <w:top w:val="nil"/>
              <w:left w:val="nil"/>
              <w:bottom w:val="nil"/>
              <w:right w:val="nil"/>
            </w:tcBorders>
            <w:tcMar>
              <w:top w:w="128" w:type="dxa"/>
              <w:left w:w="43" w:type="dxa"/>
              <w:bottom w:w="43" w:type="dxa"/>
              <w:right w:w="43" w:type="dxa"/>
            </w:tcMar>
          </w:tcPr>
          <w:p w14:paraId="52683932" w14:textId="77777777" w:rsidR="00D60186" w:rsidRPr="00FD49F3" w:rsidRDefault="00D60186" w:rsidP="00FD49F3">
            <w:pPr>
              <w:jc w:val="right"/>
              <w:rPr>
                <w:sz w:val="21"/>
                <w:szCs w:val="21"/>
              </w:rPr>
            </w:pPr>
            <w:r w:rsidRPr="00FD49F3">
              <w:rPr>
                <w:sz w:val="21"/>
                <w:szCs w:val="21"/>
              </w:rPr>
              <w:t>Nei</w:t>
            </w:r>
          </w:p>
        </w:tc>
      </w:tr>
      <w:tr w:rsidR="00E76DC8" w:rsidRPr="00225D4D" w14:paraId="5C2A4670" w14:textId="77777777">
        <w:trPr>
          <w:trHeight w:val="380"/>
        </w:trPr>
        <w:tc>
          <w:tcPr>
            <w:tcW w:w="1400" w:type="dxa"/>
            <w:tcBorders>
              <w:top w:val="nil"/>
              <w:left w:val="nil"/>
              <w:bottom w:val="nil"/>
              <w:right w:val="nil"/>
            </w:tcBorders>
            <w:tcMar>
              <w:top w:w="128" w:type="dxa"/>
              <w:left w:w="43" w:type="dxa"/>
              <w:bottom w:w="43" w:type="dxa"/>
              <w:right w:w="43" w:type="dxa"/>
            </w:tcMar>
          </w:tcPr>
          <w:p w14:paraId="23F4AAD4"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C4A5A68" w14:textId="77777777" w:rsidR="00D60186" w:rsidRPr="00FD49F3" w:rsidRDefault="00D60186" w:rsidP="00FD49F3">
            <w:pPr>
              <w:ind w:right="113"/>
              <w:jc w:val="right"/>
              <w:rPr>
                <w:sz w:val="21"/>
                <w:szCs w:val="21"/>
              </w:rPr>
            </w:pPr>
            <w:r w:rsidRPr="00FD49F3">
              <w:rPr>
                <w:sz w:val="21"/>
                <w:szCs w:val="21"/>
              </w:rPr>
              <w:t>77</w:t>
            </w:r>
          </w:p>
        </w:tc>
        <w:tc>
          <w:tcPr>
            <w:tcW w:w="5600" w:type="dxa"/>
            <w:tcBorders>
              <w:top w:val="nil"/>
              <w:left w:val="nil"/>
              <w:bottom w:val="nil"/>
              <w:right w:val="nil"/>
            </w:tcBorders>
            <w:tcMar>
              <w:top w:w="128" w:type="dxa"/>
              <w:left w:w="43" w:type="dxa"/>
              <w:bottom w:w="43" w:type="dxa"/>
              <w:right w:w="43" w:type="dxa"/>
            </w:tcMar>
          </w:tcPr>
          <w:p w14:paraId="4B7B4E5A" w14:textId="77777777" w:rsidR="00D60186" w:rsidRPr="00FD49F3" w:rsidRDefault="00D60186" w:rsidP="00225D4D">
            <w:pPr>
              <w:rPr>
                <w:sz w:val="21"/>
                <w:szCs w:val="21"/>
              </w:rPr>
            </w:pPr>
            <w:r w:rsidRPr="00FD49F3">
              <w:rPr>
                <w:sz w:val="21"/>
                <w:szCs w:val="21"/>
              </w:rPr>
              <w:t>Virkemidler for økt materialgjenvinning av isolerglassruter</w:t>
            </w:r>
          </w:p>
        </w:tc>
        <w:tc>
          <w:tcPr>
            <w:tcW w:w="1400" w:type="dxa"/>
            <w:tcBorders>
              <w:top w:val="nil"/>
              <w:left w:val="nil"/>
              <w:bottom w:val="nil"/>
              <w:right w:val="nil"/>
            </w:tcBorders>
            <w:tcMar>
              <w:top w:w="128" w:type="dxa"/>
              <w:left w:w="43" w:type="dxa"/>
              <w:bottom w:w="43" w:type="dxa"/>
              <w:right w:w="43" w:type="dxa"/>
            </w:tcMar>
          </w:tcPr>
          <w:p w14:paraId="5479B53A" w14:textId="77777777" w:rsidR="00D60186" w:rsidRPr="00FD49F3" w:rsidRDefault="00D60186" w:rsidP="00FD49F3">
            <w:pPr>
              <w:jc w:val="right"/>
              <w:rPr>
                <w:sz w:val="21"/>
                <w:szCs w:val="21"/>
              </w:rPr>
            </w:pPr>
            <w:r w:rsidRPr="00FD49F3">
              <w:rPr>
                <w:sz w:val="21"/>
                <w:szCs w:val="21"/>
              </w:rPr>
              <w:t>Nei</w:t>
            </w:r>
          </w:p>
        </w:tc>
      </w:tr>
      <w:tr w:rsidR="00E76DC8" w:rsidRPr="00225D4D" w14:paraId="5C78438A" w14:textId="77777777">
        <w:trPr>
          <w:trHeight w:val="380"/>
        </w:trPr>
        <w:tc>
          <w:tcPr>
            <w:tcW w:w="1400" w:type="dxa"/>
            <w:tcBorders>
              <w:top w:val="nil"/>
              <w:left w:val="nil"/>
              <w:bottom w:val="nil"/>
              <w:right w:val="nil"/>
            </w:tcBorders>
            <w:tcMar>
              <w:top w:w="128" w:type="dxa"/>
              <w:left w:w="43" w:type="dxa"/>
              <w:bottom w:w="43" w:type="dxa"/>
              <w:right w:w="43" w:type="dxa"/>
            </w:tcMar>
          </w:tcPr>
          <w:p w14:paraId="5CDD24C1"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AD7F9CC" w14:textId="77777777" w:rsidR="00D60186" w:rsidRPr="00FD49F3" w:rsidRDefault="00D60186" w:rsidP="00FD49F3">
            <w:pPr>
              <w:ind w:right="113"/>
              <w:jc w:val="right"/>
              <w:rPr>
                <w:sz w:val="21"/>
                <w:szCs w:val="21"/>
              </w:rPr>
            </w:pPr>
            <w:r w:rsidRPr="00FD49F3">
              <w:rPr>
                <w:sz w:val="21"/>
                <w:szCs w:val="21"/>
              </w:rPr>
              <w:t>93</w:t>
            </w:r>
          </w:p>
        </w:tc>
        <w:tc>
          <w:tcPr>
            <w:tcW w:w="5600" w:type="dxa"/>
            <w:tcBorders>
              <w:top w:val="nil"/>
              <w:left w:val="nil"/>
              <w:bottom w:val="nil"/>
              <w:right w:val="nil"/>
            </w:tcBorders>
            <w:tcMar>
              <w:top w:w="128" w:type="dxa"/>
              <w:left w:w="43" w:type="dxa"/>
              <w:bottom w:w="43" w:type="dxa"/>
              <w:right w:w="43" w:type="dxa"/>
            </w:tcMar>
          </w:tcPr>
          <w:p w14:paraId="3A96E05A" w14:textId="77777777" w:rsidR="00D60186" w:rsidRPr="00FD49F3" w:rsidRDefault="00D60186" w:rsidP="00225D4D">
            <w:pPr>
              <w:rPr>
                <w:sz w:val="21"/>
                <w:szCs w:val="21"/>
              </w:rPr>
            </w:pPr>
            <w:r w:rsidRPr="00FD49F3">
              <w:rPr>
                <w:sz w:val="21"/>
                <w:szCs w:val="21"/>
              </w:rPr>
              <w:t xml:space="preserve">Utslippskutt og strømsparing – </w:t>
            </w:r>
            <w:proofErr w:type="spellStart"/>
            <w:r w:rsidRPr="00FD49F3">
              <w:rPr>
                <w:sz w:val="21"/>
                <w:szCs w:val="21"/>
              </w:rPr>
              <w:t>Enova</w:t>
            </w:r>
            <w:proofErr w:type="spellEnd"/>
          </w:p>
        </w:tc>
        <w:tc>
          <w:tcPr>
            <w:tcW w:w="1400" w:type="dxa"/>
            <w:tcBorders>
              <w:top w:val="nil"/>
              <w:left w:val="nil"/>
              <w:bottom w:val="nil"/>
              <w:right w:val="nil"/>
            </w:tcBorders>
            <w:tcMar>
              <w:top w:w="128" w:type="dxa"/>
              <w:left w:w="43" w:type="dxa"/>
              <w:bottom w:w="43" w:type="dxa"/>
              <w:right w:w="43" w:type="dxa"/>
            </w:tcMar>
          </w:tcPr>
          <w:p w14:paraId="49299CFC" w14:textId="77777777" w:rsidR="00D60186" w:rsidRPr="00FD49F3" w:rsidRDefault="00D60186" w:rsidP="00FD49F3">
            <w:pPr>
              <w:jc w:val="right"/>
              <w:rPr>
                <w:sz w:val="21"/>
                <w:szCs w:val="21"/>
              </w:rPr>
            </w:pPr>
            <w:r w:rsidRPr="00FD49F3">
              <w:rPr>
                <w:sz w:val="21"/>
                <w:szCs w:val="21"/>
              </w:rPr>
              <w:t>Ja</w:t>
            </w:r>
          </w:p>
        </w:tc>
      </w:tr>
      <w:tr w:rsidR="00E76DC8" w:rsidRPr="00225D4D" w14:paraId="43BE36F4" w14:textId="77777777">
        <w:trPr>
          <w:trHeight w:val="380"/>
        </w:trPr>
        <w:tc>
          <w:tcPr>
            <w:tcW w:w="1400" w:type="dxa"/>
            <w:tcBorders>
              <w:top w:val="nil"/>
              <w:left w:val="nil"/>
              <w:bottom w:val="nil"/>
              <w:right w:val="nil"/>
            </w:tcBorders>
            <w:tcMar>
              <w:top w:w="128" w:type="dxa"/>
              <w:left w:w="43" w:type="dxa"/>
              <w:bottom w:w="43" w:type="dxa"/>
              <w:right w:w="43" w:type="dxa"/>
            </w:tcMar>
          </w:tcPr>
          <w:p w14:paraId="0CC3F6BA"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4DCFF22" w14:textId="77777777" w:rsidR="00D60186" w:rsidRPr="00FD49F3" w:rsidRDefault="00D60186" w:rsidP="00FD49F3">
            <w:pPr>
              <w:ind w:right="113"/>
              <w:jc w:val="right"/>
              <w:rPr>
                <w:sz w:val="21"/>
                <w:szCs w:val="21"/>
              </w:rPr>
            </w:pPr>
            <w:r w:rsidRPr="00FD49F3">
              <w:rPr>
                <w:sz w:val="21"/>
                <w:szCs w:val="21"/>
              </w:rPr>
              <w:t>94</w:t>
            </w:r>
          </w:p>
        </w:tc>
        <w:tc>
          <w:tcPr>
            <w:tcW w:w="5600" w:type="dxa"/>
            <w:tcBorders>
              <w:top w:val="nil"/>
              <w:left w:val="nil"/>
              <w:bottom w:val="nil"/>
              <w:right w:val="nil"/>
            </w:tcBorders>
            <w:tcMar>
              <w:top w:w="128" w:type="dxa"/>
              <w:left w:w="43" w:type="dxa"/>
              <w:bottom w:w="43" w:type="dxa"/>
              <w:right w:w="43" w:type="dxa"/>
            </w:tcMar>
          </w:tcPr>
          <w:p w14:paraId="3D3492B8" w14:textId="77777777" w:rsidR="00D60186" w:rsidRPr="00FD49F3" w:rsidRDefault="00D60186" w:rsidP="00225D4D">
            <w:pPr>
              <w:rPr>
                <w:sz w:val="21"/>
                <w:szCs w:val="21"/>
              </w:rPr>
            </w:pPr>
            <w:r w:rsidRPr="00FD49F3">
              <w:rPr>
                <w:sz w:val="21"/>
                <w:szCs w:val="21"/>
              </w:rPr>
              <w:t>Utredning av tekstilavgift</w:t>
            </w:r>
          </w:p>
        </w:tc>
        <w:tc>
          <w:tcPr>
            <w:tcW w:w="1400" w:type="dxa"/>
            <w:tcBorders>
              <w:top w:val="nil"/>
              <w:left w:val="nil"/>
              <w:bottom w:val="nil"/>
              <w:right w:val="nil"/>
            </w:tcBorders>
            <w:tcMar>
              <w:top w:w="128" w:type="dxa"/>
              <w:left w:w="43" w:type="dxa"/>
              <w:bottom w:w="43" w:type="dxa"/>
              <w:right w:w="43" w:type="dxa"/>
            </w:tcMar>
          </w:tcPr>
          <w:p w14:paraId="24ED6EBE" w14:textId="77777777" w:rsidR="00D60186" w:rsidRPr="00FD49F3" w:rsidRDefault="00D60186" w:rsidP="00FD49F3">
            <w:pPr>
              <w:jc w:val="right"/>
              <w:rPr>
                <w:sz w:val="21"/>
                <w:szCs w:val="21"/>
              </w:rPr>
            </w:pPr>
            <w:r w:rsidRPr="00FD49F3">
              <w:rPr>
                <w:sz w:val="21"/>
                <w:szCs w:val="21"/>
              </w:rPr>
              <w:t>Ja</w:t>
            </w:r>
          </w:p>
        </w:tc>
      </w:tr>
      <w:tr w:rsidR="00E76DC8" w:rsidRPr="00225D4D" w14:paraId="3A5212BF" w14:textId="77777777">
        <w:trPr>
          <w:trHeight w:val="380"/>
        </w:trPr>
        <w:tc>
          <w:tcPr>
            <w:tcW w:w="1400" w:type="dxa"/>
            <w:tcBorders>
              <w:top w:val="nil"/>
              <w:left w:val="nil"/>
              <w:bottom w:val="nil"/>
              <w:right w:val="nil"/>
            </w:tcBorders>
            <w:tcMar>
              <w:top w:w="128" w:type="dxa"/>
              <w:left w:w="43" w:type="dxa"/>
              <w:bottom w:w="43" w:type="dxa"/>
              <w:right w:w="43" w:type="dxa"/>
            </w:tcMar>
          </w:tcPr>
          <w:p w14:paraId="734F16DD"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C2D0F87" w14:textId="77777777" w:rsidR="00D60186" w:rsidRPr="00FD49F3" w:rsidRDefault="00D60186" w:rsidP="00FD49F3">
            <w:pPr>
              <w:ind w:right="113"/>
              <w:jc w:val="right"/>
              <w:rPr>
                <w:sz w:val="21"/>
                <w:szCs w:val="21"/>
              </w:rPr>
            </w:pPr>
            <w:r w:rsidRPr="00FD49F3">
              <w:rPr>
                <w:sz w:val="21"/>
                <w:szCs w:val="21"/>
              </w:rPr>
              <w:t>96</w:t>
            </w:r>
          </w:p>
        </w:tc>
        <w:tc>
          <w:tcPr>
            <w:tcW w:w="5600" w:type="dxa"/>
            <w:tcBorders>
              <w:top w:val="nil"/>
              <w:left w:val="nil"/>
              <w:bottom w:val="nil"/>
              <w:right w:val="nil"/>
            </w:tcBorders>
            <w:tcMar>
              <w:top w:w="128" w:type="dxa"/>
              <w:left w:w="43" w:type="dxa"/>
              <w:bottom w:w="43" w:type="dxa"/>
              <w:right w:w="43" w:type="dxa"/>
            </w:tcMar>
          </w:tcPr>
          <w:p w14:paraId="27B96F9B" w14:textId="77777777" w:rsidR="00D60186" w:rsidRPr="00FD49F3" w:rsidRDefault="00D60186" w:rsidP="00225D4D">
            <w:pPr>
              <w:rPr>
                <w:sz w:val="21"/>
                <w:szCs w:val="21"/>
              </w:rPr>
            </w:pPr>
            <w:r w:rsidRPr="00FD49F3">
              <w:rPr>
                <w:sz w:val="21"/>
                <w:szCs w:val="21"/>
              </w:rPr>
              <w:t xml:space="preserve">Reguleringer for cruisenæringen </w:t>
            </w:r>
          </w:p>
        </w:tc>
        <w:tc>
          <w:tcPr>
            <w:tcW w:w="1400" w:type="dxa"/>
            <w:tcBorders>
              <w:top w:val="nil"/>
              <w:left w:val="nil"/>
              <w:bottom w:val="nil"/>
              <w:right w:val="nil"/>
            </w:tcBorders>
            <w:tcMar>
              <w:top w:w="128" w:type="dxa"/>
              <w:left w:w="43" w:type="dxa"/>
              <w:bottom w:w="43" w:type="dxa"/>
              <w:right w:w="43" w:type="dxa"/>
            </w:tcMar>
          </w:tcPr>
          <w:p w14:paraId="0FFB64AE" w14:textId="77777777" w:rsidR="00D60186" w:rsidRPr="00FD49F3" w:rsidRDefault="00D60186" w:rsidP="00FD49F3">
            <w:pPr>
              <w:jc w:val="right"/>
              <w:rPr>
                <w:sz w:val="21"/>
                <w:szCs w:val="21"/>
              </w:rPr>
            </w:pPr>
            <w:r w:rsidRPr="00FD49F3">
              <w:rPr>
                <w:sz w:val="21"/>
                <w:szCs w:val="21"/>
              </w:rPr>
              <w:t>Ja</w:t>
            </w:r>
          </w:p>
        </w:tc>
      </w:tr>
      <w:tr w:rsidR="00E76DC8" w:rsidRPr="00225D4D" w14:paraId="6E897F9F" w14:textId="77777777">
        <w:trPr>
          <w:trHeight w:val="380"/>
        </w:trPr>
        <w:tc>
          <w:tcPr>
            <w:tcW w:w="1400" w:type="dxa"/>
            <w:tcBorders>
              <w:top w:val="nil"/>
              <w:left w:val="nil"/>
              <w:bottom w:val="nil"/>
              <w:right w:val="nil"/>
            </w:tcBorders>
            <w:tcMar>
              <w:top w:w="128" w:type="dxa"/>
              <w:left w:w="43" w:type="dxa"/>
              <w:bottom w:w="43" w:type="dxa"/>
              <w:right w:w="43" w:type="dxa"/>
            </w:tcMar>
          </w:tcPr>
          <w:p w14:paraId="79A5F151"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E2798A6" w14:textId="77777777" w:rsidR="00D60186" w:rsidRPr="00FD49F3" w:rsidRDefault="00D60186" w:rsidP="00FD49F3">
            <w:pPr>
              <w:ind w:right="113"/>
              <w:jc w:val="right"/>
              <w:rPr>
                <w:sz w:val="21"/>
                <w:szCs w:val="21"/>
              </w:rPr>
            </w:pPr>
            <w:r w:rsidRPr="00FD49F3">
              <w:rPr>
                <w:sz w:val="21"/>
                <w:szCs w:val="21"/>
              </w:rPr>
              <w:t>659</w:t>
            </w:r>
          </w:p>
        </w:tc>
        <w:tc>
          <w:tcPr>
            <w:tcW w:w="5600" w:type="dxa"/>
            <w:tcBorders>
              <w:top w:val="nil"/>
              <w:left w:val="nil"/>
              <w:bottom w:val="nil"/>
              <w:right w:val="nil"/>
            </w:tcBorders>
            <w:tcMar>
              <w:top w:w="128" w:type="dxa"/>
              <w:left w:w="43" w:type="dxa"/>
              <w:bottom w:w="43" w:type="dxa"/>
              <w:right w:w="43" w:type="dxa"/>
            </w:tcMar>
          </w:tcPr>
          <w:p w14:paraId="00180BA0" w14:textId="77777777" w:rsidR="00D60186" w:rsidRPr="00FD49F3" w:rsidRDefault="00D60186" w:rsidP="00225D4D">
            <w:pPr>
              <w:rPr>
                <w:sz w:val="21"/>
                <w:szCs w:val="21"/>
              </w:rPr>
            </w:pPr>
            <w:proofErr w:type="spellStart"/>
            <w:r w:rsidRPr="00FD49F3">
              <w:rPr>
                <w:sz w:val="21"/>
                <w:szCs w:val="21"/>
              </w:rPr>
              <w:t>Blyforbud</w:t>
            </w:r>
            <w:proofErr w:type="spellEnd"/>
            <w:r w:rsidRPr="00FD49F3">
              <w:rPr>
                <w:sz w:val="21"/>
                <w:szCs w:val="21"/>
              </w:rPr>
              <w:t xml:space="preserve"> i kjemikalieregelverket REACH, skytebaner</w:t>
            </w:r>
          </w:p>
        </w:tc>
        <w:tc>
          <w:tcPr>
            <w:tcW w:w="1400" w:type="dxa"/>
            <w:tcBorders>
              <w:top w:val="nil"/>
              <w:left w:val="nil"/>
              <w:bottom w:val="nil"/>
              <w:right w:val="nil"/>
            </w:tcBorders>
            <w:tcMar>
              <w:top w:w="128" w:type="dxa"/>
              <w:left w:w="43" w:type="dxa"/>
              <w:bottom w:w="43" w:type="dxa"/>
              <w:right w:w="43" w:type="dxa"/>
            </w:tcMar>
          </w:tcPr>
          <w:p w14:paraId="35829B38" w14:textId="77777777" w:rsidR="00D60186" w:rsidRPr="00FD49F3" w:rsidRDefault="00D60186" w:rsidP="00FD49F3">
            <w:pPr>
              <w:jc w:val="right"/>
              <w:rPr>
                <w:sz w:val="21"/>
                <w:szCs w:val="21"/>
              </w:rPr>
            </w:pPr>
            <w:r w:rsidRPr="00FD49F3">
              <w:rPr>
                <w:sz w:val="21"/>
                <w:szCs w:val="21"/>
              </w:rPr>
              <w:t>Ja</w:t>
            </w:r>
          </w:p>
        </w:tc>
      </w:tr>
      <w:tr w:rsidR="00E76DC8" w:rsidRPr="00225D4D" w14:paraId="24B20C8E" w14:textId="77777777">
        <w:trPr>
          <w:trHeight w:val="640"/>
        </w:trPr>
        <w:tc>
          <w:tcPr>
            <w:tcW w:w="1400" w:type="dxa"/>
            <w:tcBorders>
              <w:top w:val="nil"/>
              <w:left w:val="nil"/>
              <w:bottom w:val="nil"/>
              <w:right w:val="nil"/>
            </w:tcBorders>
            <w:tcMar>
              <w:top w:w="128" w:type="dxa"/>
              <w:left w:w="43" w:type="dxa"/>
              <w:bottom w:w="43" w:type="dxa"/>
              <w:right w:w="43" w:type="dxa"/>
            </w:tcMar>
          </w:tcPr>
          <w:p w14:paraId="2BF1DACB"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863641A" w14:textId="77777777" w:rsidR="00D60186" w:rsidRPr="00FD49F3" w:rsidRDefault="00D60186" w:rsidP="00FD49F3">
            <w:pPr>
              <w:ind w:right="113"/>
              <w:jc w:val="right"/>
              <w:rPr>
                <w:sz w:val="21"/>
                <w:szCs w:val="21"/>
              </w:rPr>
            </w:pPr>
            <w:r w:rsidRPr="00FD49F3">
              <w:rPr>
                <w:sz w:val="21"/>
                <w:szCs w:val="21"/>
              </w:rPr>
              <w:t>674</w:t>
            </w:r>
          </w:p>
        </w:tc>
        <w:tc>
          <w:tcPr>
            <w:tcW w:w="5600" w:type="dxa"/>
            <w:tcBorders>
              <w:top w:val="nil"/>
              <w:left w:val="nil"/>
              <w:bottom w:val="nil"/>
              <w:right w:val="nil"/>
            </w:tcBorders>
            <w:tcMar>
              <w:top w:w="128" w:type="dxa"/>
              <w:left w:w="43" w:type="dxa"/>
              <w:bottom w:w="43" w:type="dxa"/>
              <w:right w:w="43" w:type="dxa"/>
            </w:tcMar>
          </w:tcPr>
          <w:p w14:paraId="180428CB" w14:textId="77777777" w:rsidR="00D60186" w:rsidRPr="00FD49F3" w:rsidRDefault="00D60186" w:rsidP="00225D4D">
            <w:pPr>
              <w:rPr>
                <w:sz w:val="21"/>
                <w:szCs w:val="21"/>
              </w:rPr>
            </w:pPr>
            <w:r w:rsidRPr="00FD49F3">
              <w:rPr>
                <w:sz w:val="21"/>
                <w:szCs w:val="21"/>
              </w:rPr>
              <w:t>Vurdere hvordan myndighetene kan bidra til økt bruk av biogass til industrielle formål</w:t>
            </w:r>
          </w:p>
        </w:tc>
        <w:tc>
          <w:tcPr>
            <w:tcW w:w="1400" w:type="dxa"/>
            <w:tcBorders>
              <w:top w:val="nil"/>
              <w:left w:val="nil"/>
              <w:bottom w:val="nil"/>
              <w:right w:val="nil"/>
            </w:tcBorders>
            <w:tcMar>
              <w:top w:w="128" w:type="dxa"/>
              <w:left w:w="43" w:type="dxa"/>
              <w:bottom w:w="43" w:type="dxa"/>
              <w:right w:w="43" w:type="dxa"/>
            </w:tcMar>
          </w:tcPr>
          <w:p w14:paraId="729DA439" w14:textId="77777777" w:rsidR="00D60186" w:rsidRPr="00FD49F3" w:rsidRDefault="00D60186" w:rsidP="00FD49F3">
            <w:pPr>
              <w:jc w:val="right"/>
              <w:rPr>
                <w:sz w:val="21"/>
                <w:szCs w:val="21"/>
              </w:rPr>
            </w:pPr>
            <w:r w:rsidRPr="00FD49F3">
              <w:rPr>
                <w:sz w:val="21"/>
                <w:szCs w:val="21"/>
              </w:rPr>
              <w:t>Nei</w:t>
            </w:r>
          </w:p>
        </w:tc>
      </w:tr>
      <w:tr w:rsidR="00E76DC8" w:rsidRPr="00225D4D" w14:paraId="13B75560" w14:textId="77777777">
        <w:trPr>
          <w:trHeight w:val="640"/>
        </w:trPr>
        <w:tc>
          <w:tcPr>
            <w:tcW w:w="1400" w:type="dxa"/>
            <w:tcBorders>
              <w:top w:val="nil"/>
              <w:left w:val="nil"/>
              <w:bottom w:val="nil"/>
              <w:right w:val="nil"/>
            </w:tcBorders>
            <w:tcMar>
              <w:top w:w="128" w:type="dxa"/>
              <w:left w:w="43" w:type="dxa"/>
              <w:bottom w:w="43" w:type="dxa"/>
              <w:right w:w="43" w:type="dxa"/>
            </w:tcMar>
          </w:tcPr>
          <w:p w14:paraId="5D986226"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9FA3F58" w14:textId="77777777" w:rsidR="00D60186" w:rsidRPr="00FD49F3" w:rsidRDefault="00D60186" w:rsidP="00FD49F3">
            <w:pPr>
              <w:ind w:right="113"/>
              <w:jc w:val="right"/>
              <w:rPr>
                <w:sz w:val="21"/>
                <w:szCs w:val="21"/>
              </w:rPr>
            </w:pPr>
            <w:r w:rsidRPr="00FD49F3">
              <w:rPr>
                <w:sz w:val="21"/>
                <w:szCs w:val="21"/>
              </w:rPr>
              <w:t>675</w:t>
            </w:r>
          </w:p>
        </w:tc>
        <w:tc>
          <w:tcPr>
            <w:tcW w:w="5600" w:type="dxa"/>
            <w:tcBorders>
              <w:top w:val="nil"/>
              <w:left w:val="nil"/>
              <w:bottom w:val="nil"/>
              <w:right w:val="nil"/>
            </w:tcBorders>
            <w:tcMar>
              <w:top w:w="128" w:type="dxa"/>
              <w:left w:w="43" w:type="dxa"/>
              <w:bottom w:w="43" w:type="dxa"/>
              <w:right w:w="43" w:type="dxa"/>
            </w:tcMar>
          </w:tcPr>
          <w:p w14:paraId="505CF041" w14:textId="77777777" w:rsidR="00D60186" w:rsidRPr="00FD49F3" w:rsidRDefault="00D60186" w:rsidP="00225D4D">
            <w:pPr>
              <w:rPr>
                <w:sz w:val="21"/>
                <w:szCs w:val="21"/>
              </w:rPr>
            </w:pPr>
            <w:r w:rsidRPr="00FD49F3">
              <w:rPr>
                <w:sz w:val="21"/>
                <w:szCs w:val="21"/>
              </w:rPr>
              <w:t xml:space="preserve">Kartlegge og vurdere rammevilkår for import og eksport </w:t>
            </w:r>
            <w:r w:rsidRPr="00FD49F3">
              <w:rPr>
                <w:sz w:val="21"/>
                <w:szCs w:val="21"/>
              </w:rPr>
              <w:br/>
              <w:t>av biogass</w:t>
            </w:r>
          </w:p>
        </w:tc>
        <w:tc>
          <w:tcPr>
            <w:tcW w:w="1400" w:type="dxa"/>
            <w:tcBorders>
              <w:top w:val="nil"/>
              <w:left w:val="nil"/>
              <w:bottom w:val="nil"/>
              <w:right w:val="nil"/>
            </w:tcBorders>
            <w:tcMar>
              <w:top w:w="128" w:type="dxa"/>
              <w:left w:w="43" w:type="dxa"/>
              <w:bottom w:w="43" w:type="dxa"/>
              <w:right w:w="43" w:type="dxa"/>
            </w:tcMar>
          </w:tcPr>
          <w:p w14:paraId="1879CCED" w14:textId="77777777" w:rsidR="00D60186" w:rsidRPr="00FD49F3" w:rsidRDefault="00D60186" w:rsidP="00FD49F3">
            <w:pPr>
              <w:jc w:val="right"/>
              <w:rPr>
                <w:sz w:val="21"/>
                <w:szCs w:val="21"/>
              </w:rPr>
            </w:pPr>
            <w:r w:rsidRPr="00FD49F3">
              <w:rPr>
                <w:sz w:val="21"/>
                <w:szCs w:val="21"/>
              </w:rPr>
              <w:t>Ja</w:t>
            </w:r>
          </w:p>
        </w:tc>
      </w:tr>
      <w:tr w:rsidR="00E76DC8" w:rsidRPr="00225D4D" w14:paraId="183AF7BE" w14:textId="77777777">
        <w:trPr>
          <w:trHeight w:val="380"/>
        </w:trPr>
        <w:tc>
          <w:tcPr>
            <w:tcW w:w="1400" w:type="dxa"/>
            <w:tcBorders>
              <w:top w:val="nil"/>
              <w:left w:val="nil"/>
              <w:bottom w:val="nil"/>
              <w:right w:val="nil"/>
            </w:tcBorders>
            <w:tcMar>
              <w:top w:w="128" w:type="dxa"/>
              <w:left w:w="43" w:type="dxa"/>
              <w:bottom w:w="43" w:type="dxa"/>
              <w:right w:w="43" w:type="dxa"/>
            </w:tcMar>
          </w:tcPr>
          <w:p w14:paraId="7B52FCF8"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9BF9FAB" w14:textId="77777777" w:rsidR="00D60186" w:rsidRPr="00FD49F3" w:rsidRDefault="00D60186" w:rsidP="00FD49F3">
            <w:pPr>
              <w:ind w:right="113"/>
              <w:jc w:val="right"/>
              <w:rPr>
                <w:sz w:val="21"/>
                <w:szCs w:val="21"/>
              </w:rPr>
            </w:pPr>
            <w:r w:rsidRPr="00FD49F3">
              <w:rPr>
                <w:sz w:val="21"/>
                <w:szCs w:val="21"/>
              </w:rPr>
              <w:t>676</w:t>
            </w:r>
          </w:p>
        </w:tc>
        <w:tc>
          <w:tcPr>
            <w:tcW w:w="5600" w:type="dxa"/>
            <w:tcBorders>
              <w:top w:val="nil"/>
              <w:left w:val="nil"/>
              <w:bottom w:val="nil"/>
              <w:right w:val="nil"/>
            </w:tcBorders>
            <w:tcMar>
              <w:top w:w="128" w:type="dxa"/>
              <w:left w:w="43" w:type="dxa"/>
              <w:bottom w:w="43" w:type="dxa"/>
              <w:right w:w="43" w:type="dxa"/>
            </w:tcMar>
          </w:tcPr>
          <w:p w14:paraId="075D3A6B" w14:textId="77777777" w:rsidR="00D60186" w:rsidRPr="00FD49F3" w:rsidRDefault="00D60186" w:rsidP="00225D4D">
            <w:pPr>
              <w:rPr>
                <w:sz w:val="21"/>
                <w:szCs w:val="21"/>
              </w:rPr>
            </w:pPr>
            <w:r w:rsidRPr="00FD49F3">
              <w:rPr>
                <w:sz w:val="21"/>
                <w:szCs w:val="21"/>
              </w:rPr>
              <w:t>Tilrettelegge for årlig økning i biogassproduksjon</w:t>
            </w:r>
          </w:p>
        </w:tc>
        <w:tc>
          <w:tcPr>
            <w:tcW w:w="1400" w:type="dxa"/>
            <w:tcBorders>
              <w:top w:val="nil"/>
              <w:left w:val="nil"/>
              <w:bottom w:val="nil"/>
              <w:right w:val="nil"/>
            </w:tcBorders>
            <w:tcMar>
              <w:top w:w="128" w:type="dxa"/>
              <w:left w:w="43" w:type="dxa"/>
              <w:bottom w:w="43" w:type="dxa"/>
              <w:right w:w="43" w:type="dxa"/>
            </w:tcMar>
          </w:tcPr>
          <w:p w14:paraId="1E96BF70" w14:textId="77777777" w:rsidR="00D60186" w:rsidRPr="00FD49F3" w:rsidRDefault="00D60186" w:rsidP="00FD49F3">
            <w:pPr>
              <w:jc w:val="right"/>
              <w:rPr>
                <w:sz w:val="21"/>
                <w:szCs w:val="21"/>
              </w:rPr>
            </w:pPr>
            <w:r w:rsidRPr="00FD49F3">
              <w:rPr>
                <w:sz w:val="21"/>
                <w:szCs w:val="21"/>
              </w:rPr>
              <w:t>Nei</w:t>
            </w:r>
          </w:p>
        </w:tc>
      </w:tr>
      <w:tr w:rsidR="00E76DC8" w:rsidRPr="00225D4D" w14:paraId="23512047" w14:textId="77777777">
        <w:trPr>
          <w:trHeight w:val="640"/>
        </w:trPr>
        <w:tc>
          <w:tcPr>
            <w:tcW w:w="1400" w:type="dxa"/>
            <w:tcBorders>
              <w:top w:val="nil"/>
              <w:left w:val="nil"/>
              <w:bottom w:val="nil"/>
              <w:right w:val="nil"/>
            </w:tcBorders>
            <w:tcMar>
              <w:top w:w="128" w:type="dxa"/>
              <w:left w:w="43" w:type="dxa"/>
              <w:bottom w:w="43" w:type="dxa"/>
              <w:right w:w="43" w:type="dxa"/>
            </w:tcMar>
          </w:tcPr>
          <w:p w14:paraId="293EF583"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F5D72FC" w14:textId="77777777" w:rsidR="00D60186" w:rsidRPr="00FD49F3" w:rsidRDefault="00D60186" w:rsidP="00FD49F3">
            <w:pPr>
              <w:ind w:right="113"/>
              <w:jc w:val="right"/>
              <w:rPr>
                <w:sz w:val="21"/>
                <w:szCs w:val="21"/>
              </w:rPr>
            </w:pPr>
            <w:r w:rsidRPr="00FD49F3">
              <w:rPr>
                <w:sz w:val="21"/>
                <w:szCs w:val="21"/>
              </w:rPr>
              <w:t>677</w:t>
            </w:r>
          </w:p>
        </w:tc>
        <w:tc>
          <w:tcPr>
            <w:tcW w:w="5600" w:type="dxa"/>
            <w:tcBorders>
              <w:top w:val="nil"/>
              <w:left w:val="nil"/>
              <w:bottom w:val="nil"/>
              <w:right w:val="nil"/>
            </w:tcBorders>
            <w:tcMar>
              <w:top w:w="128" w:type="dxa"/>
              <w:left w:w="43" w:type="dxa"/>
              <w:bottom w:w="43" w:type="dxa"/>
              <w:right w:w="43" w:type="dxa"/>
            </w:tcMar>
          </w:tcPr>
          <w:p w14:paraId="6F1129ED" w14:textId="77777777" w:rsidR="00D60186" w:rsidRPr="00FD49F3" w:rsidRDefault="00D60186" w:rsidP="00225D4D">
            <w:pPr>
              <w:rPr>
                <w:sz w:val="21"/>
                <w:szCs w:val="21"/>
              </w:rPr>
            </w:pPr>
            <w:r w:rsidRPr="00FD49F3">
              <w:rPr>
                <w:sz w:val="21"/>
                <w:szCs w:val="21"/>
              </w:rPr>
              <w:t xml:space="preserve">Harmonisere rammevilkårene for biogassproduksjon </w:t>
            </w:r>
            <w:r w:rsidRPr="00FD49F3">
              <w:rPr>
                <w:sz w:val="21"/>
                <w:szCs w:val="21"/>
              </w:rPr>
              <w:br/>
              <w:t>i Norden</w:t>
            </w:r>
          </w:p>
        </w:tc>
        <w:tc>
          <w:tcPr>
            <w:tcW w:w="1400" w:type="dxa"/>
            <w:tcBorders>
              <w:top w:val="nil"/>
              <w:left w:val="nil"/>
              <w:bottom w:val="nil"/>
              <w:right w:val="nil"/>
            </w:tcBorders>
            <w:tcMar>
              <w:top w:w="128" w:type="dxa"/>
              <w:left w:w="43" w:type="dxa"/>
              <w:bottom w:w="43" w:type="dxa"/>
              <w:right w:w="43" w:type="dxa"/>
            </w:tcMar>
          </w:tcPr>
          <w:p w14:paraId="00825706" w14:textId="77777777" w:rsidR="00D60186" w:rsidRPr="00FD49F3" w:rsidRDefault="00D60186" w:rsidP="00FD49F3">
            <w:pPr>
              <w:jc w:val="right"/>
              <w:rPr>
                <w:sz w:val="21"/>
                <w:szCs w:val="21"/>
              </w:rPr>
            </w:pPr>
            <w:r w:rsidRPr="00FD49F3">
              <w:rPr>
                <w:sz w:val="21"/>
                <w:szCs w:val="21"/>
              </w:rPr>
              <w:t>Ja</w:t>
            </w:r>
          </w:p>
        </w:tc>
      </w:tr>
      <w:tr w:rsidR="00E76DC8" w:rsidRPr="00225D4D" w14:paraId="176C93D1" w14:textId="77777777">
        <w:trPr>
          <w:trHeight w:val="380"/>
        </w:trPr>
        <w:tc>
          <w:tcPr>
            <w:tcW w:w="1400" w:type="dxa"/>
            <w:tcBorders>
              <w:top w:val="nil"/>
              <w:left w:val="nil"/>
              <w:bottom w:val="nil"/>
              <w:right w:val="nil"/>
            </w:tcBorders>
            <w:tcMar>
              <w:top w:w="128" w:type="dxa"/>
              <w:left w:w="43" w:type="dxa"/>
              <w:bottom w:w="43" w:type="dxa"/>
              <w:right w:w="43" w:type="dxa"/>
            </w:tcMar>
          </w:tcPr>
          <w:p w14:paraId="7A5005E1"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AFE7605" w14:textId="77777777" w:rsidR="00D60186" w:rsidRPr="00FD49F3" w:rsidRDefault="00D60186" w:rsidP="00FD49F3">
            <w:pPr>
              <w:ind w:right="113"/>
              <w:jc w:val="right"/>
              <w:rPr>
                <w:sz w:val="21"/>
                <w:szCs w:val="21"/>
              </w:rPr>
            </w:pPr>
            <w:r w:rsidRPr="00FD49F3">
              <w:rPr>
                <w:sz w:val="21"/>
                <w:szCs w:val="21"/>
              </w:rPr>
              <w:t>726</w:t>
            </w:r>
          </w:p>
        </w:tc>
        <w:tc>
          <w:tcPr>
            <w:tcW w:w="5600" w:type="dxa"/>
            <w:tcBorders>
              <w:top w:val="nil"/>
              <w:left w:val="nil"/>
              <w:bottom w:val="nil"/>
              <w:right w:val="nil"/>
            </w:tcBorders>
            <w:tcMar>
              <w:top w:w="128" w:type="dxa"/>
              <w:left w:w="43" w:type="dxa"/>
              <w:bottom w:w="43" w:type="dxa"/>
              <w:right w:w="43" w:type="dxa"/>
            </w:tcMar>
          </w:tcPr>
          <w:p w14:paraId="3F0287FD" w14:textId="77777777" w:rsidR="00D60186" w:rsidRPr="00FD49F3" w:rsidRDefault="00D60186" w:rsidP="00225D4D">
            <w:pPr>
              <w:rPr>
                <w:sz w:val="21"/>
                <w:szCs w:val="21"/>
              </w:rPr>
            </w:pPr>
            <w:r w:rsidRPr="00FD49F3">
              <w:rPr>
                <w:sz w:val="21"/>
                <w:szCs w:val="21"/>
              </w:rPr>
              <w:t>Uttak av jerv</w:t>
            </w:r>
          </w:p>
        </w:tc>
        <w:tc>
          <w:tcPr>
            <w:tcW w:w="1400" w:type="dxa"/>
            <w:tcBorders>
              <w:top w:val="nil"/>
              <w:left w:val="nil"/>
              <w:bottom w:val="nil"/>
              <w:right w:val="nil"/>
            </w:tcBorders>
            <w:tcMar>
              <w:top w:w="128" w:type="dxa"/>
              <w:left w:w="43" w:type="dxa"/>
              <w:bottom w:w="43" w:type="dxa"/>
              <w:right w:w="43" w:type="dxa"/>
            </w:tcMar>
          </w:tcPr>
          <w:p w14:paraId="5F27DD95" w14:textId="77777777" w:rsidR="00D60186" w:rsidRPr="00FD49F3" w:rsidRDefault="00D60186" w:rsidP="00FD49F3">
            <w:pPr>
              <w:jc w:val="right"/>
              <w:rPr>
                <w:sz w:val="21"/>
                <w:szCs w:val="21"/>
              </w:rPr>
            </w:pPr>
            <w:r w:rsidRPr="00FD49F3">
              <w:rPr>
                <w:sz w:val="21"/>
                <w:szCs w:val="21"/>
              </w:rPr>
              <w:t>Ja</w:t>
            </w:r>
          </w:p>
        </w:tc>
      </w:tr>
      <w:tr w:rsidR="00E76DC8" w:rsidRPr="00225D4D" w14:paraId="6A7ED793" w14:textId="77777777">
        <w:trPr>
          <w:trHeight w:val="380"/>
        </w:trPr>
        <w:tc>
          <w:tcPr>
            <w:tcW w:w="1400" w:type="dxa"/>
            <w:tcBorders>
              <w:top w:val="nil"/>
              <w:left w:val="nil"/>
              <w:bottom w:val="nil"/>
              <w:right w:val="nil"/>
            </w:tcBorders>
            <w:tcMar>
              <w:top w:w="128" w:type="dxa"/>
              <w:left w:w="43" w:type="dxa"/>
              <w:bottom w:w="43" w:type="dxa"/>
              <w:right w:w="43" w:type="dxa"/>
            </w:tcMar>
          </w:tcPr>
          <w:p w14:paraId="3B6F87FA"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0C04D80" w14:textId="77777777" w:rsidR="00D60186" w:rsidRPr="00FD49F3" w:rsidRDefault="00D60186" w:rsidP="00FD49F3">
            <w:pPr>
              <w:ind w:right="113"/>
              <w:jc w:val="right"/>
              <w:rPr>
                <w:sz w:val="21"/>
                <w:szCs w:val="21"/>
              </w:rPr>
            </w:pPr>
            <w:r w:rsidRPr="00FD49F3">
              <w:rPr>
                <w:sz w:val="21"/>
                <w:szCs w:val="21"/>
              </w:rPr>
              <w:t>727</w:t>
            </w:r>
          </w:p>
        </w:tc>
        <w:tc>
          <w:tcPr>
            <w:tcW w:w="5600" w:type="dxa"/>
            <w:tcBorders>
              <w:top w:val="nil"/>
              <w:left w:val="nil"/>
              <w:bottom w:val="nil"/>
              <w:right w:val="nil"/>
            </w:tcBorders>
            <w:tcMar>
              <w:top w:w="128" w:type="dxa"/>
              <w:left w:w="43" w:type="dxa"/>
              <w:bottom w:w="43" w:type="dxa"/>
              <w:right w:w="43" w:type="dxa"/>
            </w:tcMar>
          </w:tcPr>
          <w:p w14:paraId="2C69EC83" w14:textId="77777777" w:rsidR="00D60186" w:rsidRPr="00FD49F3" w:rsidRDefault="00D60186" w:rsidP="00225D4D">
            <w:pPr>
              <w:rPr>
                <w:sz w:val="21"/>
                <w:szCs w:val="21"/>
              </w:rPr>
            </w:pPr>
            <w:r w:rsidRPr="00FD49F3">
              <w:rPr>
                <w:sz w:val="21"/>
                <w:szCs w:val="21"/>
              </w:rPr>
              <w:t>Verneprosesser under ny havvernlov</w:t>
            </w:r>
          </w:p>
        </w:tc>
        <w:tc>
          <w:tcPr>
            <w:tcW w:w="1400" w:type="dxa"/>
            <w:tcBorders>
              <w:top w:val="nil"/>
              <w:left w:val="nil"/>
              <w:bottom w:val="nil"/>
              <w:right w:val="nil"/>
            </w:tcBorders>
            <w:tcMar>
              <w:top w:w="128" w:type="dxa"/>
              <w:left w:w="43" w:type="dxa"/>
              <w:bottom w:w="43" w:type="dxa"/>
              <w:right w:w="43" w:type="dxa"/>
            </w:tcMar>
          </w:tcPr>
          <w:p w14:paraId="76A31C3A" w14:textId="77777777" w:rsidR="00D60186" w:rsidRPr="00FD49F3" w:rsidRDefault="00D60186" w:rsidP="00FD49F3">
            <w:pPr>
              <w:jc w:val="right"/>
              <w:rPr>
                <w:sz w:val="21"/>
                <w:szCs w:val="21"/>
              </w:rPr>
            </w:pPr>
            <w:r w:rsidRPr="00FD49F3">
              <w:rPr>
                <w:sz w:val="21"/>
                <w:szCs w:val="21"/>
              </w:rPr>
              <w:t>Ja</w:t>
            </w:r>
          </w:p>
        </w:tc>
      </w:tr>
      <w:tr w:rsidR="00E76DC8" w:rsidRPr="00225D4D" w14:paraId="5327314A" w14:textId="77777777">
        <w:trPr>
          <w:trHeight w:val="380"/>
        </w:trPr>
        <w:tc>
          <w:tcPr>
            <w:tcW w:w="1400" w:type="dxa"/>
            <w:tcBorders>
              <w:top w:val="nil"/>
              <w:left w:val="nil"/>
              <w:bottom w:val="nil"/>
              <w:right w:val="nil"/>
            </w:tcBorders>
            <w:tcMar>
              <w:top w:w="128" w:type="dxa"/>
              <w:left w:w="43" w:type="dxa"/>
              <w:bottom w:w="43" w:type="dxa"/>
              <w:right w:w="43" w:type="dxa"/>
            </w:tcMar>
          </w:tcPr>
          <w:p w14:paraId="1F212202"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5226704" w14:textId="77777777" w:rsidR="00D60186" w:rsidRPr="00FD49F3" w:rsidRDefault="00D60186" w:rsidP="00FD49F3">
            <w:pPr>
              <w:ind w:right="113"/>
              <w:jc w:val="right"/>
              <w:rPr>
                <w:sz w:val="21"/>
                <w:szCs w:val="21"/>
              </w:rPr>
            </w:pPr>
            <w:r w:rsidRPr="00FD49F3">
              <w:rPr>
                <w:sz w:val="21"/>
                <w:szCs w:val="21"/>
              </w:rPr>
              <w:t>854</w:t>
            </w:r>
          </w:p>
        </w:tc>
        <w:tc>
          <w:tcPr>
            <w:tcW w:w="5600" w:type="dxa"/>
            <w:tcBorders>
              <w:top w:val="nil"/>
              <w:left w:val="nil"/>
              <w:bottom w:val="nil"/>
              <w:right w:val="nil"/>
            </w:tcBorders>
            <w:tcMar>
              <w:top w:w="128" w:type="dxa"/>
              <w:left w:w="43" w:type="dxa"/>
              <w:bottom w:w="43" w:type="dxa"/>
              <w:right w:w="43" w:type="dxa"/>
            </w:tcMar>
          </w:tcPr>
          <w:p w14:paraId="23D6D873" w14:textId="77777777" w:rsidR="00D60186" w:rsidRPr="00FD49F3" w:rsidRDefault="00D60186" w:rsidP="00225D4D">
            <w:pPr>
              <w:rPr>
                <w:sz w:val="21"/>
                <w:szCs w:val="21"/>
              </w:rPr>
            </w:pPr>
            <w:r w:rsidRPr="00FD49F3">
              <w:rPr>
                <w:sz w:val="21"/>
                <w:szCs w:val="21"/>
              </w:rPr>
              <w:t>Gjennomgang av rammevilkårene for avfallsforbrenning</w:t>
            </w:r>
          </w:p>
        </w:tc>
        <w:tc>
          <w:tcPr>
            <w:tcW w:w="1400" w:type="dxa"/>
            <w:tcBorders>
              <w:top w:val="nil"/>
              <w:left w:val="nil"/>
              <w:bottom w:val="nil"/>
              <w:right w:val="nil"/>
            </w:tcBorders>
            <w:tcMar>
              <w:top w:w="128" w:type="dxa"/>
              <w:left w:w="43" w:type="dxa"/>
              <w:bottom w:w="43" w:type="dxa"/>
              <w:right w:w="43" w:type="dxa"/>
            </w:tcMar>
          </w:tcPr>
          <w:p w14:paraId="043A7F02" w14:textId="77777777" w:rsidR="00D60186" w:rsidRPr="00FD49F3" w:rsidRDefault="00D60186" w:rsidP="00FD49F3">
            <w:pPr>
              <w:jc w:val="right"/>
              <w:rPr>
                <w:sz w:val="21"/>
                <w:szCs w:val="21"/>
              </w:rPr>
            </w:pPr>
            <w:r w:rsidRPr="00FD49F3">
              <w:rPr>
                <w:sz w:val="21"/>
                <w:szCs w:val="21"/>
              </w:rPr>
              <w:t>Nei</w:t>
            </w:r>
          </w:p>
        </w:tc>
      </w:tr>
      <w:tr w:rsidR="00E76DC8" w:rsidRPr="00225D4D" w14:paraId="62E2DE8E" w14:textId="77777777">
        <w:trPr>
          <w:trHeight w:val="640"/>
        </w:trPr>
        <w:tc>
          <w:tcPr>
            <w:tcW w:w="1400" w:type="dxa"/>
            <w:tcBorders>
              <w:top w:val="nil"/>
              <w:left w:val="nil"/>
              <w:bottom w:val="nil"/>
              <w:right w:val="nil"/>
            </w:tcBorders>
            <w:tcMar>
              <w:top w:w="128" w:type="dxa"/>
              <w:left w:w="43" w:type="dxa"/>
              <w:bottom w:w="43" w:type="dxa"/>
              <w:right w:w="43" w:type="dxa"/>
            </w:tcMar>
          </w:tcPr>
          <w:p w14:paraId="219ABB40"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80E5825" w14:textId="77777777" w:rsidR="00D60186" w:rsidRPr="00FD49F3" w:rsidRDefault="00D60186" w:rsidP="00FD49F3">
            <w:pPr>
              <w:ind w:right="113"/>
              <w:jc w:val="right"/>
              <w:rPr>
                <w:sz w:val="21"/>
                <w:szCs w:val="21"/>
              </w:rPr>
            </w:pPr>
            <w:r w:rsidRPr="00FD49F3">
              <w:rPr>
                <w:sz w:val="21"/>
                <w:szCs w:val="21"/>
              </w:rPr>
              <w:t>979</w:t>
            </w:r>
          </w:p>
        </w:tc>
        <w:tc>
          <w:tcPr>
            <w:tcW w:w="5600" w:type="dxa"/>
            <w:tcBorders>
              <w:top w:val="nil"/>
              <w:left w:val="nil"/>
              <w:bottom w:val="nil"/>
              <w:right w:val="nil"/>
            </w:tcBorders>
            <w:tcMar>
              <w:top w:w="128" w:type="dxa"/>
              <w:left w:w="43" w:type="dxa"/>
              <w:bottom w:w="43" w:type="dxa"/>
              <w:right w:w="43" w:type="dxa"/>
            </w:tcMar>
          </w:tcPr>
          <w:p w14:paraId="695871BC" w14:textId="77777777" w:rsidR="00D60186" w:rsidRPr="00FD49F3" w:rsidRDefault="00D60186" w:rsidP="00225D4D">
            <w:pPr>
              <w:rPr>
                <w:sz w:val="21"/>
                <w:szCs w:val="21"/>
              </w:rPr>
            </w:pPr>
            <w:r w:rsidRPr="00FD49F3">
              <w:rPr>
                <w:sz w:val="21"/>
                <w:szCs w:val="21"/>
              </w:rPr>
              <w:t>Legge til rette for at utviklingen mot nullutslipps hurtigbåter fortsetter</w:t>
            </w:r>
          </w:p>
        </w:tc>
        <w:tc>
          <w:tcPr>
            <w:tcW w:w="1400" w:type="dxa"/>
            <w:tcBorders>
              <w:top w:val="nil"/>
              <w:left w:val="nil"/>
              <w:bottom w:val="nil"/>
              <w:right w:val="nil"/>
            </w:tcBorders>
            <w:tcMar>
              <w:top w:w="128" w:type="dxa"/>
              <w:left w:w="43" w:type="dxa"/>
              <w:bottom w:w="43" w:type="dxa"/>
              <w:right w:w="43" w:type="dxa"/>
            </w:tcMar>
          </w:tcPr>
          <w:p w14:paraId="01102187" w14:textId="77777777" w:rsidR="00D60186" w:rsidRPr="00FD49F3" w:rsidRDefault="00D60186" w:rsidP="00FD49F3">
            <w:pPr>
              <w:jc w:val="right"/>
              <w:rPr>
                <w:sz w:val="21"/>
                <w:szCs w:val="21"/>
              </w:rPr>
            </w:pPr>
            <w:r w:rsidRPr="00FD49F3">
              <w:rPr>
                <w:sz w:val="21"/>
                <w:szCs w:val="21"/>
              </w:rPr>
              <w:t>Nei</w:t>
            </w:r>
          </w:p>
        </w:tc>
      </w:tr>
      <w:tr w:rsidR="00E76DC8" w:rsidRPr="00225D4D" w14:paraId="734C6357" w14:textId="77777777">
        <w:trPr>
          <w:trHeight w:val="380"/>
        </w:trPr>
        <w:tc>
          <w:tcPr>
            <w:tcW w:w="1400" w:type="dxa"/>
            <w:tcBorders>
              <w:top w:val="nil"/>
              <w:left w:val="nil"/>
              <w:bottom w:val="nil"/>
              <w:right w:val="nil"/>
            </w:tcBorders>
            <w:tcMar>
              <w:top w:w="128" w:type="dxa"/>
              <w:left w:w="43" w:type="dxa"/>
              <w:bottom w:w="43" w:type="dxa"/>
              <w:right w:w="43" w:type="dxa"/>
            </w:tcMar>
          </w:tcPr>
          <w:p w14:paraId="3480D55D"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D8625AE" w14:textId="77777777" w:rsidR="00D60186" w:rsidRPr="00FD49F3" w:rsidRDefault="00D60186" w:rsidP="00FD49F3">
            <w:pPr>
              <w:ind w:right="113"/>
              <w:jc w:val="right"/>
              <w:rPr>
                <w:sz w:val="21"/>
                <w:szCs w:val="21"/>
              </w:rPr>
            </w:pPr>
            <w:r w:rsidRPr="00FD49F3">
              <w:rPr>
                <w:sz w:val="21"/>
                <w:szCs w:val="21"/>
              </w:rPr>
              <w:t>980</w:t>
            </w:r>
          </w:p>
        </w:tc>
        <w:tc>
          <w:tcPr>
            <w:tcW w:w="5600" w:type="dxa"/>
            <w:tcBorders>
              <w:top w:val="nil"/>
              <w:left w:val="nil"/>
              <w:bottom w:val="nil"/>
              <w:right w:val="nil"/>
            </w:tcBorders>
            <w:tcMar>
              <w:top w:w="128" w:type="dxa"/>
              <w:left w:w="43" w:type="dxa"/>
              <w:bottom w:w="43" w:type="dxa"/>
              <w:right w:w="43" w:type="dxa"/>
            </w:tcMar>
          </w:tcPr>
          <w:p w14:paraId="2E605655" w14:textId="77777777" w:rsidR="00D60186" w:rsidRPr="00FD49F3" w:rsidRDefault="00D60186" w:rsidP="00225D4D">
            <w:pPr>
              <w:rPr>
                <w:sz w:val="21"/>
                <w:szCs w:val="21"/>
              </w:rPr>
            </w:pPr>
            <w:r w:rsidRPr="00FD49F3">
              <w:rPr>
                <w:sz w:val="21"/>
                <w:szCs w:val="21"/>
              </w:rPr>
              <w:t xml:space="preserve">Handlingsplan og mål for økt karbonlagring i skog </w:t>
            </w:r>
          </w:p>
        </w:tc>
        <w:tc>
          <w:tcPr>
            <w:tcW w:w="1400" w:type="dxa"/>
            <w:tcBorders>
              <w:top w:val="nil"/>
              <w:left w:val="nil"/>
              <w:bottom w:val="nil"/>
              <w:right w:val="nil"/>
            </w:tcBorders>
            <w:tcMar>
              <w:top w:w="128" w:type="dxa"/>
              <w:left w:w="43" w:type="dxa"/>
              <w:bottom w:w="43" w:type="dxa"/>
              <w:right w:w="43" w:type="dxa"/>
            </w:tcMar>
          </w:tcPr>
          <w:p w14:paraId="40DCD7B7" w14:textId="77777777" w:rsidR="00D60186" w:rsidRPr="00FD49F3" w:rsidRDefault="00D60186" w:rsidP="00FD49F3">
            <w:pPr>
              <w:jc w:val="right"/>
              <w:rPr>
                <w:sz w:val="21"/>
                <w:szCs w:val="21"/>
              </w:rPr>
            </w:pPr>
            <w:r w:rsidRPr="00FD49F3">
              <w:rPr>
                <w:sz w:val="21"/>
                <w:szCs w:val="21"/>
              </w:rPr>
              <w:t>Nei</w:t>
            </w:r>
          </w:p>
        </w:tc>
      </w:tr>
      <w:tr w:rsidR="00E76DC8" w:rsidRPr="00225D4D" w14:paraId="505BA498" w14:textId="77777777">
        <w:trPr>
          <w:trHeight w:val="380"/>
        </w:trPr>
        <w:tc>
          <w:tcPr>
            <w:tcW w:w="1400" w:type="dxa"/>
            <w:tcBorders>
              <w:top w:val="nil"/>
              <w:left w:val="nil"/>
              <w:bottom w:val="nil"/>
              <w:right w:val="nil"/>
            </w:tcBorders>
            <w:tcMar>
              <w:top w:w="128" w:type="dxa"/>
              <w:left w:w="43" w:type="dxa"/>
              <w:bottom w:w="43" w:type="dxa"/>
              <w:right w:w="43" w:type="dxa"/>
            </w:tcMar>
          </w:tcPr>
          <w:p w14:paraId="548BF4F8"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841AB62" w14:textId="77777777" w:rsidR="00D60186" w:rsidRPr="00FD49F3" w:rsidRDefault="00D60186" w:rsidP="00FD49F3">
            <w:pPr>
              <w:ind w:right="113"/>
              <w:jc w:val="right"/>
              <w:rPr>
                <w:sz w:val="21"/>
                <w:szCs w:val="21"/>
              </w:rPr>
            </w:pPr>
            <w:r w:rsidRPr="00FD49F3">
              <w:rPr>
                <w:sz w:val="21"/>
                <w:szCs w:val="21"/>
              </w:rPr>
              <w:t>982</w:t>
            </w:r>
          </w:p>
        </w:tc>
        <w:tc>
          <w:tcPr>
            <w:tcW w:w="5600" w:type="dxa"/>
            <w:tcBorders>
              <w:top w:val="nil"/>
              <w:left w:val="nil"/>
              <w:bottom w:val="nil"/>
              <w:right w:val="nil"/>
            </w:tcBorders>
            <w:tcMar>
              <w:top w:w="128" w:type="dxa"/>
              <w:left w:w="43" w:type="dxa"/>
              <w:bottom w:w="43" w:type="dxa"/>
              <w:right w:w="43" w:type="dxa"/>
            </w:tcMar>
          </w:tcPr>
          <w:p w14:paraId="2A58878C" w14:textId="77777777" w:rsidR="00D60186" w:rsidRPr="00FD49F3" w:rsidRDefault="00D60186" w:rsidP="00225D4D">
            <w:pPr>
              <w:rPr>
                <w:sz w:val="21"/>
                <w:szCs w:val="21"/>
              </w:rPr>
            </w:pPr>
            <w:r w:rsidRPr="00FD49F3">
              <w:rPr>
                <w:sz w:val="21"/>
                <w:szCs w:val="21"/>
              </w:rPr>
              <w:t>Gjenbruk av overskuddsmasser</w:t>
            </w:r>
          </w:p>
        </w:tc>
        <w:tc>
          <w:tcPr>
            <w:tcW w:w="1400" w:type="dxa"/>
            <w:tcBorders>
              <w:top w:val="nil"/>
              <w:left w:val="nil"/>
              <w:bottom w:val="nil"/>
              <w:right w:val="nil"/>
            </w:tcBorders>
            <w:tcMar>
              <w:top w:w="128" w:type="dxa"/>
              <w:left w:w="43" w:type="dxa"/>
              <w:bottom w:w="43" w:type="dxa"/>
              <w:right w:w="43" w:type="dxa"/>
            </w:tcMar>
          </w:tcPr>
          <w:p w14:paraId="2154E180" w14:textId="77777777" w:rsidR="00D60186" w:rsidRPr="00FD49F3" w:rsidRDefault="00D60186" w:rsidP="00FD49F3">
            <w:pPr>
              <w:jc w:val="right"/>
              <w:rPr>
                <w:sz w:val="21"/>
                <w:szCs w:val="21"/>
              </w:rPr>
            </w:pPr>
            <w:r w:rsidRPr="00FD49F3">
              <w:rPr>
                <w:sz w:val="21"/>
                <w:szCs w:val="21"/>
              </w:rPr>
              <w:t>Nei</w:t>
            </w:r>
          </w:p>
        </w:tc>
      </w:tr>
      <w:tr w:rsidR="00E76DC8" w:rsidRPr="00225D4D" w14:paraId="48CF546F" w14:textId="77777777">
        <w:trPr>
          <w:trHeight w:val="380"/>
        </w:trPr>
        <w:tc>
          <w:tcPr>
            <w:tcW w:w="1400" w:type="dxa"/>
            <w:tcBorders>
              <w:top w:val="nil"/>
              <w:left w:val="nil"/>
              <w:bottom w:val="nil"/>
              <w:right w:val="nil"/>
            </w:tcBorders>
            <w:tcMar>
              <w:top w:w="128" w:type="dxa"/>
              <w:left w:w="43" w:type="dxa"/>
              <w:bottom w:w="43" w:type="dxa"/>
              <w:right w:w="43" w:type="dxa"/>
            </w:tcMar>
          </w:tcPr>
          <w:p w14:paraId="66C644CA"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F49F6F6" w14:textId="77777777" w:rsidR="00D60186" w:rsidRPr="00FD49F3" w:rsidRDefault="00D60186" w:rsidP="00FD49F3">
            <w:pPr>
              <w:ind w:right="113"/>
              <w:jc w:val="right"/>
              <w:rPr>
                <w:sz w:val="21"/>
                <w:szCs w:val="21"/>
              </w:rPr>
            </w:pPr>
            <w:r w:rsidRPr="00FD49F3">
              <w:rPr>
                <w:sz w:val="21"/>
                <w:szCs w:val="21"/>
              </w:rPr>
              <w:t>985</w:t>
            </w:r>
          </w:p>
        </w:tc>
        <w:tc>
          <w:tcPr>
            <w:tcW w:w="5600" w:type="dxa"/>
            <w:tcBorders>
              <w:top w:val="nil"/>
              <w:left w:val="nil"/>
              <w:bottom w:val="nil"/>
              <w:right w:val="nil"/>
            </w:tcBorders>
            <w:tcMar>
              <w:top w:w="128" w:type="dxa"/>
              <w:left w:w="43" w:type="dxa"/>
              <w:bottom w:w="43" w:type="dxa"/>
              <w:right w:w="43" w:type="dxa"/>
            </w:tcMar>
          </w:tcPr>
          <w:p w14:paraId="339425B1" w14:textId="77777777" w:rsidR="00D60186" w:rsidRPr="00FD49F3" w:rsidRDefault="00D60186" w:rsidP="00225D4D">
            <w:pPr>
              <w:rPr>
                <w:sz w:val="21"/>
                <w:szCs w:val="21"/>
              </w:rPr>
            </w:pPr>
            <w:r w:rsidRPr="00FD49F3">
              <w:rPr>
                <w:sz w:val="21"/>
                <w:szCs w:val="21"/>
              </w:rPr>
              <w:t>Felles klima- og energimelding</w:t>
            </w:r>
          </w:p>
        </w:tc>
        <w:tc>
          <w:tcPr>
            <w:tcW w:w="1400" w:type="dxa"/>
            <w:tcBorders>
              <w:top w:val="nil"/>
              <w:left w:val="nil"/>
              <w:bottom w:val="nil"/>
              <w:right w:val="nil"/>
            </w:tcBorders>
            <w:tcMar>
              <w:top w:w="128" w:type="dxa"/>
              <w:left w:w="43" w:type="dxa"/>
              <w:bottom w:w="43" w:type="dxa"/>
              <w:right w:w="43" w:type="dxa"/>
            </w:tcMar>
          </w:tcPr>
          <w:p w14:paraId="5576C779" w14:textId="77777777" w:rsidR="00D60186" w:rsidRPr="00FD49F3" w:rsidRDefault="00D60186" w:rsidP="00FD49F3">
            <w:pPr>
              <w:jc w:val="right"/>
              <w:rPr>
                <w:sz w:val="21"/>
                <w:szCs w:val="21"/>
              </w:rPr>
            </w:pPr>
            <w:r w:rsidRPr="00FD49F3">
              <w:rPr>
                <w:sz w:val="21"/>
                <w:szCs w:val="21"/>
              </w:rPr>
              <w:t>Nei</w:t>
            </w:r>
          </w:p>
        </w:tc>
      </w:tr>
      <w:tr w:rsidR="00E76DC8" w:rsidRPr="00225D4D" w14:paraId="6099E0E9" w14:textId="77777777">
        <w:trPr>
          <w:trHeight w:val="380"/>
        </w:trPr>
        <w:tc>
          <w:tcPr>
            <w:tcW w:w="1400" w:type="dxa"/>
            <w:tcBorders>
              <w:top w:val="nil"/>
              <w:left w:val="nil"/>
              <w:bottom w:val="nil"/>
              <w:right w:val="nil"/>
            </w:tcBorders>
            <w:tcMar>
              <w:top w:w="128" w:type="dxa"/>
              <w:left w:w="43" w:type="dxa"/>
              <w:bottom w:w="43" w:type="dxa"/>
              <w:right w:w="43" w:type="dxa"/>
            </w:tcMar>
          </w:tcPr>
          <w:p w14:paraId="54E6FA3E"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C1B0726" w14:textId="77777777" w:rsidR="00D60186" w:rsidRPr="00FD49F3" w:rsidRDefault="00D60186" w:rsidP="00FD49F3">
            <w:pPr>
              <w:ind w:right="113"/>
              <w:jc w:val="right"/>
              <w:rPr>
                <w:sz w:val="21"/>
                <w:szCs w:val="21"/>
              </w:rPr>
            </w:pPr>
            <w:r w:rsidRPr="00FD49F3">
              <w:rPr>
                <w:sz w:val="21"/>
                <w:szCs w:val="21"/>
              </w:rPr>
              <w:t>986</w:t>
            </w:r>
          </w:p>
        </w:tc>
        <w:tc>
          <w:tcPr>
            <w:tcW w:w="5600" w:type="dxa"/>
            <w:tcBorders>
              <w:top w:val="nil"/>
              <w:left w:val="nil"/>
              <w:bottom w:val="nil"/>
              <w:right w:val="nil"/>
            </w:tcBorders>
            <w:tcMar>
              <w:top w:w="128" w:type="dxa"/>
              <w:left w:w="43" w:type="dxa"/>
              <w:bottom w:w="43" w:type="dxa"/>
              <w:right w:w="43" w:type="dxa"/>
            </w:tcMar>
          </w:tcPr>
          <w:p w14:paraId="73EE027C" w14:textId="77777777" w:rsidR="00D60186" w:rsidRPr="00FD49F3" w:rsidRDefault="00D60186" w:rsidP="00225D4D">
            <w:pPr>
              <w:rPr>
                <w:sz w:val="21"/>
                <w:szCs w:val="21"/>
              </w:rPr>
            </w:pPr>
            <w:r w:rsidRPr="00FD49F3">
              <w:rPr>
                <w:sz w:val="21"/>
                <w:szCs w:val="21"/>
              </w:rPr>
              <w:t>Videreføring av samarbeidet med EU etter 2030</w:t>
            </w:r>
          </w:p>
        </w:tc>
        <w:tc>
          <w:tcPr>
            <w:tcW w:w="1400" w:type="dxa"/>
            <w:tcBorders>
              <w:top w:val="nil"/>
              <w:left w:val="nil"/>
              <w:bottom w:val="nil"/>
              <w:right w:val="nil"/>
            </w:tcBorders>
            <w:tcMar>
              <w:top w:w="128" w:type="dxa"/>
              <w:left w:w="43" w:type="dxa"/>
              <w:bottom w:w="43" w:type="dxa"/>
              <w:right w:w="43" w:type="dxa"/>
            </w:tcMar>
          </w:tcPr>
          <w:p w14:paraId="0CE24C68" w14:textId="77777777" w:rsidR="00D60186" w:rsidRPr="00FD49F3" w:rsidRDefault="00D60186" w:rsidP="00FD49F3">
            <w:pPr>
              <w:jc w:val="right"/>
              <w:rPr>
                <w:sz w:val="21"/>
                <w:szCs w:val="21"/>
              </w:rPr>
            </w:pPr>
            <w:r w:rsidRPr="00FD49F3">
              <w:rPr>
                <w:sz w:val="21"/>
                <w:szCs w:val="21"/>
              </w:rPr>
              <w:t>Nei</w:t>
            </w:r>
          </w:p>
        </w:tc>
      </w:tr>
      <w:tr w:rsidR="00E76DC8" w:rsidRPr="00225D4D" w14:paraId="7DE28287" w14:textId="77777777">
        <w:trPr>
          <w:trHeight w:val="640"/>
        </w:trPr>
        <w:tc>
          <w:tcPr>
            <w:tcW w:w="1400" w:type="dxa"/>
            <w:tcBorders>
              <w:top w:val="nil"/>
              <w:left w:val="nil"/>
              <w:bottom w:val="nil"/>
              <w:right w:val="nil"/>
            </w:tcBorders>
            <w:tcMar>
              <w:top w:w="128" w:type="dxa"/>
              <w:left w:w="43" w:type="dxa"/>
              <w:bottom w:w="43" w:type="dxa"/>
              <w:right w:w="43" w:type="dxa"/>
            </w:tcMar>
          </w:tcPr>
          <w:p w14:paraId="0A562E27"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7354A0A" w14:textId="77777777" w:rsidR="00D60186" w:rsidRPr="00FD49F3" w:rsidRDefault="00D60186" w:rsidP="00FD49F3">
            <w:pPr>
              <w:ind w:right="113"/>
              <w:jc w:val="right"/>
              <w:rPr>
                <w:sz w:val="21"/>
                <w:szCs w:val="21"/>
              </w:rPr>
            </w:pPr>
            <w:r w:rsidRPr="00FD49F3">
              <w:rPr>
                <w:sz w:val="21"/>
                <w:szCs w:val="21"/>
              </w:rPr>
              <w:t>987</w:t>
            </w:r>
          </w:p>
        </w:tc>
        <w:tc>
          <w:tcPr>
            <w:tcW w:w="5600" w:type="dxa"/>
            <w:tcBorders>
              <w:top w:val="nil"/>
              <w:left w:val="nil"/>
              <w:bottom w:val="nil"/>
              <w:right w:val="nil"/>
            </w:tcBorders>
            <w:tcMar>
              <w:top w:w="128" w:type="dxa"/>
              <w:left w:w="43" w:type="dxa"/>
              <w:bottom w:w="43" w:type="dxa"/>
              <w:right w:w="43" w:type="dxa"/>
            </w:tcMar>
          </w:tcPr>
          <w:p w14:paraId="42661A21" w14:textId="77777777" w:rsidR="00D60186" w:rsidRPr="00FD49F3" w:rsidRDefault="00D60186" w:rsidP="00225D4D">
            <w:pPr>
              <w:rPr>
                <w:sz w:val="21"/>
                <w:szCs w:val="21"/>
              </w:rPr>
            </w:pPr>
            <w:r w:rsidRPr="00FD49F3">
              <w:rPr>
                <w:sz w:val="21"/>
                <w:szCs w:val="21"/>
              </w:rPr>
              <w:t xml:space="preserve">Plan for økt bruk av biogass spesielt innen transportsektoren og for </w:t>
            </w:r>
            <w:proofErr w:type="spellStart"/>
            <w:r w:rsidRPr="00FD49F3">
              <w:rPr>
                <w:sz w:val="21"/>
                <w:szCs w:val="21"/>
              </w:rPr>
              <w:t>BioCCS</w:t>
            </w:r>
            <w:proofErr w:type="spellEnd"/>
            <w:r w:rsidRPr="00FD49F3">
              <w:rPr>
                <w:sz w:val="21"/>
                <w:szCs w:val="21"/>
              </w:rPr>
              <w:t xml:space="preserve"> for å realisere Norges klimamål</w:t>
            </w:r>
          </w:p>
        </w:tc>
        <w:tc>
          <w:tcPr>
            <w:tcW w:w="1400" w:type="dxa"/>
            <w:tcBorders>
              <w:top w:val="nil"/>
              <w:left w:val="nil"/>
              <w:bottom w:val="nil"/>
              <w:right w:val="nil"/>
            </w:tcBorders>
            <w:tcMar>
              <w:top w:w="128" w:type="dxa"/>
              <w:left w:w="43" w:type="dxa"/>
              <w:bottom w:w="43" w:type="dxa"/>
              <w:right w:w="43" w:type="dxa"/>
            </w:tcMar>
          </w:tcPr>
          <w:p w14:paraId="62053C2D" w14:textId="77777777" w:rsidR="00D60186" w:rsidRPr="00FD49F3" w:rsidRDefault="00D60186" w:rsidP="00FD49F3">
            <w:pPr>
              <w:jc w:val="right"/>
              <w:rPr>
                <w:sz w:val="21"/>
                <w:szCs w:val="21"/>
              </w:rPr>
            </w:pPr>
            <w:r w:rsidRPr="00FD49F3">
              <w:rPr>
                <w:sz w:val="21"/>
                <w:szCs w:val="21"/>
              </w:rPr>
              <w:t>Nei</w:t>
            </w:r>
          </w:p>
        </w:tc>
      </w:tr>
      <w:tr w:rsidR="00E76DC8" w:rsidRPr="00225D4D" w14:paraId="6D836883" w14:textId="77777777">
        <w:trPr>
          <w:trHeight w:val="380"/>
        </w:trPr>
        <w:tc>
          <w:tcPr>
            <w:tcW w:w="1400" w:type="dxa"/>
            <w:tcBorders>
              <w:top w:val="nil"/>
              <w:left w:val="nil"/>
              <w:bottom w:val="nil"/>
              <w:right w:val="nil"/>
            </w:tcBorders>
            <w:tcMar>
              <w:top w:w="128" w:type="dxa"/>
              <w:left w:w="43" w:type="dxa"/>
              <w:bottom w:w="43" w:type="dxa"/>
              <w:right w:w="43" w:type="dxa"/>
            </w:tcMar>
          </w:tcPr>
          <w:p w14:paraId="75B682BB"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5C22C5A" w14:textId="77777777" w:rsidR="00D60186" w:rsidRPr="00FD49F3" w:rsidRDefault="00D60186" w:rsidP="00FD49F3">
            <w:pPr>
              <w:ind w:right="113"/>
              <w:jc w:val="right"/>
              <w:rPr>
                <w:sz w:val="21"/>
                <w:szCs w:val="21"/>
              </w:rPr>
            </w:pPr>
            <w:r w:rsidRPr="00FD49F3">
              <w:rPr>
                <w:sz w:val="21"/>
                <w:szCs w:val="21"/>
              </w:rPr>
              <w:t>989</w:t>
            </w:r>
          </w:p>
        </w:tc>
        <w:tc>
          <w:tcPr>
            <w:tcW w:w="5600" w:type="dxa"/>
            <w:tcBorders>
              <w:top w:val="nil"/>
              <w:left w:val="nil"/>
              <w:bottom w:val="nil"/>
              <w:right w:val="nil"/>
            </w:tcBorders>
            <w:tcMar>
              <w:top w:w="128" w:type="dxa"/>
              <w:left w:w="43" w:type="dxa"/>
              <w:bottom w:w="43" w:type="dxa"/>
              <w:right w:w="43" w:type="dxa"/>
            </w:tcMar>
          </w:tcPr>
          <w:p w14:paraId="352C729B" w14:textId="77777777" w:rsidR="00D60186" w:rsidRPr="00FD49F3" w:rsidRDefault="00D60186" w:rsidP="00225D4D">
            <w:pPr>
              <w:rPr>
                <w:sz w:val="21"/>
                <w:szCs w:val="21"/>
              </w:rPr>
            </w:pPr>
            <w:r w:rsidRPr="00FD49F3">
              <w:rPr>
                <w:sz w:val="21"/>
                <w:szCs w:val="21"/>
              </w:rPr>
              <w:t>Forsterke arbeidet mot forsøpling på land og i havet</w:t>
            </w:r>
          </w:p>
        </w:tc>
        <w:tc>
          <w:tcPr>
            <w:tcW w:w="1400" w:type="dxa"/>
            <w:tcBorders>
              <w:top w:val="nil"/>
              <w:left w:val="nil"/>
              <w:bottom w:val="nil"/>
              <w:right w:val="nil"/>
            </w:tcBorders>
            <w:tcMar>
              <w:top w:w="128" w:type="dxa"/>
              <w:left w:w="43" w:type="dxa"/>
              <w:bottom w:w="43" w:type="dxa"/>
              <w:right w:w="43" w:type="dxa"/>
            </w:tcMar>
          </w:tcPr>
          <w:p w14:paraId="05356C2B" w14:textId="77777777" w:rsidR="00D60186" w:rsidRPr="00FD49F3" w:rsidRDefault="00D60186" w:rsidP="00FD49F3">
            <w:pPr>
              <w:jc w:val="right"/>
              <w:rPr>
                <w:sz w:val="21"/>
                <w:szCs w:val="21"/>
              </w:rPr>
            </w:pPr>
            <w:r w:rsidRPr="00FD49F3">
              <w:rPr>
                <w:sz w:val="21"/>
                <w:szCs w:val="21"/>
              </w:rPr>
              <w:t>Ja</w:t>
            </w:r>
          </w:p>
        </w:tc>
      </w:tr>
      <w:tr w:rsidR="00E76DC8" w:rsidRPr="00225D4D" w14:paraId="16216518" w14:textId="77777777">
        <w:trPr>
          <w:trHeight w:val="640"/>
        </w:trPr>
        <w:tc>
          <w:tcPr>
            <w:tcW w:w="1400" w:type="dxa"/>
            <w:tcBorders>
              <w:top w:val="nil"/>
              <w:left w:val="nil"/>
              <w:bottom w:val="nil"/>
              <w:right w:val="nil"/>
            </w:tcBorders>
            <w:tcMar>
              <w:top w:w="128" w:type="dxa"/>
              <w:left w:w="43" w:type="dxa"/>
              <w:bottom w:w="43" w:type="dxa"/>
              <w:right w:w="43" w:type="dxa"/>
            </w:tcMar>
          </w:tcPr>
          <w:p w14:paraId="654D60F3"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48D31C0" w14:textId="77777777" w:rsidR="00D60186" w:rsidRPr="00FD49F3" w:rsidRDefault="00D60186" w:rsidP="00FD49F3">
            <w:pPr>
              <w:ind w:right="113"/>
              <w:jc w:val="right"/>
              <w:rPr>
                <w:sz w:val="21"/>
                <w:szCs w:val="21"/>
              </w:rPr>
            </w:pPr>
            <w:r w:rsidRPr="00FD49F3">
              <w:rPr>
                <w:sz w:val="21"/>
                <w:szCs w:val="21"/>
              </w:rPr>
              <w:t>991</w:t>
            </w:r>
          </w:p>
        </w:tc>
        <w:tc>
          <w:tcPr>
            <w:tcW w:w="5600" w:type="dxa"/>
            <w:tcBorders>
              <w:top w:val="nil"/>
              <w:left w:val="nil"/>
              <w:bottom w:val="nil"/>
              <w:right w:val="nil"/>
            </w:tcBorders>
            <w:tcMar>
              <w:top w:w="128" w:type="dxa"/>
              <w:left w:w="43" w:type="dxa"/>
              <w:bottom w:w="43" w:type="dxa"/>
              <w:right w:w="43" w:type="dxa"/>
            </w:tcMar>
          </w:tcPr>
          <w:p w14:paraId="17BA8D09" w14:textId="77777777" w:rsidR="00D60186" w:rsidRPr="00FD49F3" w:rsidRDefault="00D60186" w:rsidP="00225D4D">
            <w:pPr>
              <w:rPr>
                <w:sz w:val="21"/>
                <w:szCs w:val="21"/>
              </w:rPr>
            </w:pPr>
            <w:r w:rsidRPr="00FD49F3">
              <w:rPr>
                <w:sz w:val="21"/>
                <w:szCs w:val="21"/>
              </w:rPr>
              <w:t>Planlegge for at det lovbestemte klimamålet for 2035 skal nås med utslippskutt i Norge og i samarbeid med EU</w:t>
            </w:r>
          </w:p>
        </w:tc>
        <w:tc>
          <w:tcPr>
            <w:tcW w:w="1400" w:type="dxa"/>
            <w:tcBorders>
              <w:top w:val="nil"/>
              <w:left w:val="nil"/>
              <w:bottom w:val="nil"/>
              <w:right w:val="nil"/>
            </w:tcBorders>
            <w:tcMar>
              <w:top w:w="128" w:type="dxa"/>
              <w:left w:w="43" w:type="dxa"/>
              <w:bottom w:w="43" w:type="dxa"/>
              <w:right w:w="43" w:type="dxa"/>
            </w:tcMar>
          </w:tcPr>
          <w:p w14:paraId="6AC15687" w14:textId="77777777" w:rsidR="00D60186" w:rsidRPr="00FD49F3" w:rsidRDefault="00D60186" w:rsidP="00FD49F3">
            <w:pPr>
              <w:jc w:val="right"/>
              <w:rPr>
                <w:sz w:val="21"/>
                <w:szCs w:val="21"/>
              </w:rPr>
            </w:pPr>
            <w:r w:rsidRPr="00FD49F3">
              <w:rPr>
                <w:sz w:val="21"/>
                <w:szCs w:val="21"/>
              </w:rPr>
              <w:t>Nei</w:t>
            </w:r>
          </w:p>
        </w:tc>
      </w:tr>
      <w:tr w:rsidR="00E76DC8" w:rsidRPr="00225D4D" w14:paraId="43C12A7F" w14:textId="77777777">
        <w:trPr>
          <w:trHeight w:val="380"/>
        </w:trPr>
        <w:tc>
          <w:tcPr>
            <w:tcW w:w="1400" w:type="dxa"/>
            <w:tcBorders>
              <w:top w:val="nil"/>
              <w:left w:val="nil"/>
              <w:bottom w:val="nil"/>
              <w:right w:val="nil"/>
            </w:tcBorders>
            <w:tcMar>
              <w:top w:w="128" w:type="dxa"/>
              <w:left w:w="43" w:type="dxa"/>
              <w:bottom w:w="43" w:type="dxa"/>
              <w:right w:w="43" w:type="dxa"/>
            </w:tcMar>
          </w:tcPr>
          <w:p w14:paraId="1A2FFA5A"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DA3FDC0" w14:textId="77777777" w:rsidR="00D60186" w:rsidRPr="00FD49F3" w:rsidRDefault="00D60186" w:rsidP="00FD49F3">
            <w:pPr>
              <w:ind w:right="113"/>
              <w:jc w:val="right"/>
              <w:rPr>
                <w:sz w:val="21"/>
                <w:szCs w:val="21"/>
              </w:rPr>
            </w:pPr>
            <w:r w:rsidRPr="00FD49F3">
              <w:rPr>
                <w:sz w:val="21"/>
                <w:szCs w:val="21"/>
              </w:rPr>
              <w:t>992</w:t>
            </w:r>
          </w:p>
        </w:tc>
        <w:tc>
          <w:tcPr>
            <w:tcW w:w="5600" w:type="dxa"/>
            <w:tcBorders>
              <w:top w:val="nil"/>
              <w:left w:val="nil"/>
              <w:bottom w:val="nil"/>
              <w:right w:val="nil"/>
            </w:tcBorders>
            <w:tcMar>
              <w:top w:w="128" w:type="dxa"/>
              <w:left w:w="43" w:type="dxa"/>
              <w:bottom w:w="43" w:type="dxa"/>
              <w:right w:w="43" w:type="dxa"/>
            </w:tcMar>
          </w:tcPr>
          <w:p w14:paraId="574A8B49" w14:textId="77777777" w:rsidR="00D60186" w:rsidRPr="00FD49F3" w:rsidRDefault="00D60186" w:rsidP="00225D4D">
            <w:pPr>
              <w:rPr>
                <w:sz w:val="21"/>
                <w:szCs w:val="21"/>
              </w:rPr>
            </w:pPr>
            <w:r w:rsidRPr="00FD49F3">
              <w:rPr>
                <w:sz w:val="21"/>
                <w:szCs w:val="21"/>
              </w:rPr>
              <w:t>Vurdere konsekvensene av EUs klimamål</w:t>
            </w:r>
          </w:p>
        </w:tc>
        <w:tc>
          <w:tcPr>
            <w:tcW w:w="1400" w:type="dxa"/>
            <w:tcBorders>
              <w:top w:val="nil"/>
              <w:left w:val="nil"/>
              <w:bottom w:val="nil"/>
              <w:right w:val="nil"/>
            </w:tcBorders>
            <w:tcMar>
              <w:top w:w="128" w:type="dxa"/>
              <w:left w:w="43" w:type="dxa"/>
              <w:bottom w:w="43" w:type="dxa"/>
              <w:right w:w="43" w:type="dxa"/>
            </w:tcMar>
          </w:tcPr>
          <w:p w14:paraId="61CE55DF" w14:textId="77777777" w:rsidR="00D60186" w:rsidRPr="00FD49F3" w:rsidRDefault="00D60186" w:rsidP="00FD49F3">
            <w:pPr>
              <w:jc w:val="right"/>
              <w:rPr>
                <w:sz w:val="21"/>
                <w:szCs w:val="21"/>
              </w:rPr>
            </w:pPr>
            <w:r w:rsidRPr="00FD49F3">
              <w:rPr>
                <w:sz w:val="21"/>
                <w:szCs w:val="21"/>
              </w:rPr>
              <w:t>Nei</w:t>
            </w:r>
          </w:p>
        </w:tc>
      </w:tr>
      <w:tr w:rsidR="00E76DC8" w:rsidRPr="00225D4D" w14:paraId="0BE84C07" w14:textId="77777777">
        <w:trPr>
          <w:trHeight w:val="640"/>
        </w:trPr>
        <w:tc>
          <w:tcPr>
            <w:tcW w:w="1400" w:type="dxa"/>
            <w:tcBorders>
              <w:top w:val="nil"/>
              <w:left w:val="nil"/>
              <w:bottom w:val="nil"/>
              <w:right w:val="nil"/>
            </w:tcBorders>
            <w:tcMar>
              <w:top w:w="128" w:type="dxa"/>
              <w:left w:w="43" w:type="dxa"/>
              <w:bottom w:w="43" w:type="dxa"/>
              <w:right w:w="43" w:type="dxa"/>
            </w:tcMar>
          </w:tcPr>
          <w:p w14:paraId="648825D9"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620DC42" w14:textId="77777777" w:rsidR="00D60186" w:rsidRPr="00FD49F3" w:rsidRDefault="00D60186" w:rsidP="00FD49F3">
            <w:pPr>
              <w:ind w:right="113"/>
              <w:jc w:val="right"/>
              <w:rPr>
                <w:sz w:val="21"/>
                <w:szCs w:val="21"/>
              </w:rPr>
            </w:pPr>
            <w:r w:rsidRPr="00FD49F3">
              <w:rPr>
                <w:sz w:val="21"/>
                <w:szCs w:val="21"/>
              </w:rPr>
              <w:t>1059</w:t>
            </w:r>
          </w:p>
        </w:tc>
        <w:tc>
          <w:tcPr>
            <w:tcW w:w="5600" w:type="dxa"/>
            <w:tcBorders>
              <w:top w:val="nil"/>
              <w:left w:val="nil"/>
              <w:bottom w:val="nil"/>
              <w:right w:val="nil"/>
            </w:tcBorders>
            <w:tcMar>
              <w:top w:w="128" w:type="dxa"/>
              <w:left w:w="43" w:type="dxa"/>
              <w:bottom w:w="43" w:type="dxa"/>
              <w:right w:w="43" w:type="dxa"/>
            </w:tcMar>
          </w:tcPr>
          <w:p w14:paraId="45AEB56E" w14:textId="77777777" w:rsidR="00D60186" w:rsidRPr="00FD49F3" w:rsidRDefault="00D60186" w:rsidP="00225D4D">
            <w:pPr>
              <w:rPr>
                <w:sz w:val="21"/>
                <w:szCs w:val="21"/>
              </w:rPr>
            </w:pPr>
            <w:r w:rsidRPr="00FD49F3">
              <w:rPr>
                <w:sz w:val="21"/>
                <w:szCs w:val="21"/>
              </w:rPr>
              <w:t>Hjemmel i ny motorferdsellov for de med undersøkelsesrett etter mineralloven</w:t>
            </w:r>
          </w:p>
        </w:tc>
        <w:tc>
          <w:tcPr>
            <w:tcW w:w="1400" w:type="dxa"/>
            <w:tcBorders>
              <w:top w:val="nil"/>
              <w:left w:val="nil"/>
              <w:bottom w:val="nil"/>
              <w:right w:val="nil"/>
            </w:tcBorders>
            <w:tcMar>
              <w:top w:w="128" w:type="dxa"/>
              <w:left w:w="43" w:type="dxa"/>
              <w:bottom w:w="43" w:type="dxa"/>
              <w:right w:w="43" w:type="dxa"/>
            </w:tcMar>
          </w:tcPr>
          <w:p w14:paraId="5A73148D" w14:textId="77777777" w:rsidR="00D60186" w:rsidRPr="00FD49F3" w:rsidRDefault="00D60186" w:rsidP="00FD49F3">
            <w:pPr>
              <w:jc w:val="right"/>
              <w:rPr>
                <w:sz w:val="21"/>
                <w:szCs w:val="21"/>
              </w:rPr>
            </w:pPr>
            <w:r w:rsidRPr="00FD49F3">
              <w:rPr>
                <w:sz w:val="21"/>
                <w:szCs w:val="21"/>
              </w:rPr>
              <w:t>Nei</w:t>
            </w:r>
          </w:p>
        </w:tc>
      </w:tr>
      <w:tr w:rsidR="00E76DC8" w:rsidRPr="00225D4D" w14:paraId="4BA94DA2" w14:textId="77777777">
        <w:trPr>
          <w:trHeight w:val="380"/>
        </w:trPr>
        <w:tc>
          <w:tcPr>
            <w:tcW w:w="1400" w:type="dxa"/>
            <w:tcBorders>
              <w:top w:val="nil"/>
              <w:left w:val="nil"/>
              <w:bottom w:val="nil"/>
              <w:right w:val="nil"/>
            </w:tcBorders>
            <w:tcMar>
              <w:top w:w="128" w:type="dxa"/>
              <w:left w:w="43" w:type="dxa"/>
              <w:bottom w:w="43" w:type="dxa"/>
              <w:right w:w="43" w:type="dxa"/>
            </w:tcMar>
          </w:tcPr>
          <w:p w14:paraId="69B9641C"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8426F86" w14:textId="77777777" w:rsidR="00D60186" w:rsidRPr="00FD49F3" w:rsidRDefault="00D60186" w:rsidP="00FD49F3">
            <w:pPr>
              <w:ind w:right="113"/>
              <w:jc w:val="right"/>
              <w:rPr>
                <w:sz w:val="21"/>
                <w:szCs w:val="21"/>
              </w:rPr>
            </w:pPr>
            <w:r w:rsidRPr="00FD49F3">
              <w:rPr>
                <w:sz w:val="21"/>
                <w:szCs w:val="21"/>
              </w:rPr>
              <w:t>1062</w:t>
            </w:r>
          </w:p>
        </w:tc>
        <w:tc>
          <w:tcPr>
            <w:tcW w:w="5600" w:type="dxa"/>
            <w:tcBorders>
              <w:top w:val="nil"/>
              <w:left w:val="nil"/>
              <w:bottom w:val="nil"/>
              <w:right w:val="nil"/>
            </w:tcBorders>
            <w:tcMar>
              <w:top w:w="128" w:type="dxa"/>
              <w:left w:w="43" w:type="dxa"/>
              <w:bottom w:w="43" w:type="dxa"/>
              <w:right w:w="43" w:type="dxa"/>
            </w:tcMar>
          </w:tcPr>
          <w:p w14:paraId="77BD29FD" w14:textId="77777777" w:rsidR="00D60186" w:rsidRPr="00FD49F3" w:rsidRDefault="00D60186" w:rsidP="00225D4D">
            <w:pPr>
              <w:rPr>
                <w:sz w:val="21"/>
                <w:szCs w:val="21"/>
              </w:rPr>
            </w:pPr>
            <w:r w:rsidRPr="00FD49F3">
              <w:rPr>
                <w:sz w:val="21"/>
                <w:szCs w:val="21"/>
              </w:rPr>
              <w:t>Sikre at 98-oktan bensin forblir etanolfri i fremtiden</w:t>
            </w:r>
          </w:p>
        </w:tc>
        <w:tc>
          <w:tcPr>
            <w:tcW w:w="1400" w:type="dxa"/>
            <w:tcBorders>
              <w:top w:val="nil"/>
              <w:left w:val="nil"/>
              <w:bottom w:val="nil"/>
              <w:right w:val="nil"/>
            </w:tcBorders>
            <w:tcMar>
              <w:top w:w="128" w:type="dxa"/>
              <w:left w:w="43" w:type="dxa"/>
              <w:bottom w:w="43" w:type="dxa"/>
              <w:right w:w="43" w:type="dxa"/>
            </w:tcMar>
          </w:tcPr>
          <w:p w14:paraId="2F00C599" w14:textId="77777777" w:rsidR="00D60186" w:rsidRPr="00FD49F3" w:rsidRDefault="00D60186" w:rsidP="00FD49F3">
            <w:pPr>
              <w:jc w:val="right"/>
              <w:rPr>
                <w:sz w:val="21"/>
                <w:szCs w:val="21"/>
              </w:rPr>
            </w:pPr>
            <w:r w:rsidRPr="00FD49F3">
              <w:rPr>
                <w:sz w:val="21"/>
                <w:szCs w:val="21"/>
              </w:rPr>
              <w:t>Nei</w:t>
            </w:r>
          </w:p>
        </w:tc>
      </w:tr>
      <w:tr w:rsidR="00E76DC8" w:rsidRPr="00225D4D" w14:paraId="11F47E77" w14:textId="77777777">
        <w:trPr>
          <w:trHeight w:val="380"/>
        </w:trPr>
        <w:tc>
          <w:tcPr>
            <w:tcW w:w="1400" w:type="dxa"/>
            <w:tcBorders>
              <w:top w:val="nil"/>
              <w:left w:val="nil"/>
              <w:bottom w:val="nil"/>
              <w:right w:val="nil"/>
            </w:tcBorders>
            <w:tcMar>
              <w:top w:w="128" w:type="dxa"/>
              <w:left w:w="43" w:type="dxa"/>
              <w:bottom w:w="43" w:type="dxa"/>
              <w:right w:w="43" w:type="dxa"/>
            </w:tcMar>
          </w:tcPr>
          <w:p w14:paraId="39140B88"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10B256A" w14:textId="77777777" w:rsidR="00D60186" w:rsidRPr="00FD49F3" w:rsidRDefault="00D60186" w:rsidP="00FD49F3">
            <w:pPr>
              <w:ind w:right="113"/>
              <w:jc w:val="right"/>
              <w:rPr>
                <w:sz w:val="21"/>
                <w:szCs w:val="21"/>
              </w:rPr>
            </w:pPr>
            <w:r w:rsidRPr="00FD49F3">
              <w:rPr>
                <w:sz w:val="21"/>
                <w:szCs w:val="21"/>
              </w:rPr>
              <w:t>1065</w:t>
            </w:r>
          </w:p>
        </w:tc>
        <w:tc>
          <w:tcPr>
            <w:tcW w:w="5600" w:type="dxa"/>
            <w:tcBorders>
              <w:top w:val="nil"/>
              <w:left w:val="nil"/>
              <w:bottom w:val="nil"/>
              <w:right w:val="nil"/>
            </w:tcBorders>
            <w:tcMar>
              <w:top w:w="128" w:type="dxa"/>
              <w:left w:w="43" w:type="dxa"/>
              <w:bottom w:w="43" w:type="dxa"/>
              <w:right w:w="43" w:type="dxa"/>
            </w:tcMar>
          </w:tcPr>
          <w:p w14:paraId="33A73883" w14:textId="77777777" w:rsidR="00D60186" w:rsidRPr="00FD49F3" w:rsidRDefault="00D60186" w:rsidP="00225D4D">
            <w:pPr>
              <w:rPr>
                <w:sz w:val="21"/>
                <w:szCs w:val="21"/>
              </w:rPr>
            </w:pPr>
            <w:r w:rsidRPr="00FD49F3">
              <w:rPr>
                <w:sz w:val="21"/>
                <w:szCs w:val="21"/>
              </w:rPr>
              <w:t>Styrke forskning på plast og plastkjemikalier</w:t>
            </w:r>
          </w:p>
        </w:tc>
        <w:tc>
          <w:tcPr>
            <w:tcW w:w="1400" w:type="dxa"/>
            <w:tcBorders>
              <w:top w:val="nil"/>
              <w:left w:val="nil"/>
              <w:bottom w:val="nil"/>
              <w:right w:val="nil"/>
            </w:tcBorders>
            <w:tcMar>
              <w:top w:w="128" w:type="dxa"/>
              <w:left w:w="43" w:type="dxa"/>
              <w:bottom w:w="43" w:type="dxa"/>
              <w:right w:w="43" w:type="dxa"/>
            </w:tcMar>
          </w:tcPr>
          <w:p w14:paraId="312FCDBC" w14:textId="77777777" w:rsidR="00D60186" w:rsidRPr="00FD49F3" w:rsidRDefault="00D60186" w:rsidP="00FD49F3">
            <w:pPr>
              <w:jc w:val="right"/>
              <w:rPr>
                <w:sz w:val="21"/>
                <w:szCs w:val="21"/>
              </w:rPr>
            </w:pPr>
            <w:r w:rsidRPr="00FD49F3">
              <w:rPr>
                <w:sz w:val="21"/>
                <w:szCs w:val="21"/>
              </w:rPr>
              <w:t>Nei</w:t>
            </w:r>
          </w:p>
        </w:tc>
      </w:tr>
      <w:tr w:rsidR="00E76DC8" w:rsidRPr="00225D4D" w14:paraId="4B450240" w14:textId="77777777">
        <w:trPr>
          <w:trHeight w:val="640"/>
        </w:trPr>
        <w:tc>
          <w:tcPr>
            <w:tcW w:w="1400" w:type="dxa"/>
            <w:tcBorders>
              <w:top w:val="nil"/>
              <w:left w:val="nil"/>
              <w:bottom w:val="nil"/>
              <w:right w:val="nil"/>
            </w:tcBorders>
            <w:tcMar>
              <w:top w:w="128" w:type="dxa"/>
              <w:left w:w="43" w:type="dxa"/>
              <w:bottom w:w="43" w:type="dxa"/>
              <w:right w:w="43" w:type="dxa"/>
            </w:tcMar>
          </w:tcPr>
          <w:p w14:paraId="6BA4548C"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A4C7D57" w14:textId="77777777" w:rsidR="00D60186" w:rsidRPr="00FD49F3" w:rsidRDefault="00D60186" w:rsidP="00FD49F3">
            <w:pPr>
              <w:ind w:right="113"/>
              <w:jc w:val="right"/>
              <w:rPr>
                <w:sz w:val="21"/>
                <w:szCs w:val="21"/>
              </w:rPr>
            </w:pPr>
            <w:r w:rsidRPr="00FD49F3">
              <w:rPr>
                <w:sz w:val="21"/>
                <w:szCs w:val="21"/>
              </w:rPr>
              <w:t>1098</w:t>
            </w:r>
          </w:p>
        </w:tc>
        <w:tc>
          <w:tcPr>
            <w:tcW w:w="5600" w:type="dxa"/>
            <w:tcBorders>
              <w:top w:val="nil"/>
              <w:left w:val="nil"/>
              <w:bottom w:val="nil"/>
              <w:right w:val="nil"/>
            </w:tcBorders>
            <w:tcMar>
              <w:top w:w="128" w:type="dxa"/>
              <w:left w:w="43" w:type="dxa"/>
              <w:bottom w:w="43" w:type="dxa"/>
              <w:right w:w="43" w:type="dxa"/>
            </w:tcMar>
          </w:tcPr>
          <w:p w14:paraId="03713D76" w14:textId="77777777" w:rsidR="00D60186" w:rsidRPr="00FD49F3" w:rsidRDefault="00D60186" w:rsidP="00225D4D">
            <w:pPr>
              <w:rPr>
                <w:sz w:val="21"/>
                <w:szCs w:val="21"/>
              </w:rPr>
            </w:pPr>
            <w:r w:rsidRPr="00FD49F3">
              <w:rPr>
                <w:sz w:val="21"/>
                <w:szCs w:val="21"/>
              </w:rPr>
              <w:t>Ny motorferdsellov som oppfølgning av anmodningsvedtak nr. 973 25. mai 2021</w:t>
            </w:r>
          </w:p>
        </w:tc>
        <w:tc>
          <w:tcPr>
            <w:tcW w:w="1400" w:type="dxa"/>
            <w:tcBorders>
              <w:top w:val="nil"/>
              <w:left w:val="nil"/>
              <w:bottom w:val="nil"/>
              <w:right w:val="nil"/>
            </w:tcBorders>
            <w:tcMar>
              <w:top w:w="128" w:type="dxa"/>
              <w:left w:w="43" w:type="dxa"/>
              <w:bottom w:w="43" w:type="dxa"/>
              <w:right w:w="43" w:type="dxa"/>
            </w:tcMar>
          </w:tcPr>
          <w:p w14:paraId="2A4F9CF4" w14:textId="77777777" w:rsidR="00D60186" w:rsidRPr="00FD49F3" w:rsidRDefault="00D60186" w:rsidP="00FD49F3">
            <w:pPr>
              <w:jc w:val="right"/>
              <w:rPr>
                <w:sz w:val="21"/>
                <w:szCs w:val="21"/>
              </w:rPr>
            </w:pPr>
            <w:r w:rsidRPr="00FD49F3">
              <w:rPr>
                <w:sz w:val="21"/>
                <w:szCs w:val="21"/>
              </w:rPr>
              <w:t>Nei</w:t>
            </w:r>
          </w:p>
        </w:tc>
      </w:tr>
      <w:tr w:rsidR="00E76DC8" w:rsidRPr="00225D4D" w14:paraId="6F938822" w14:textId="77777777">
        <w:trPr>
          <w:trHeight w:val="380"/>
        </w:trPr>
        <w:tc>
          <w:tcPr>
            <w:tcW w:w="1400" w:type="dxa"/>
            <w:tcBorders>
              <w:top w:val="nil"/>
              <w:left w:val="nil"/>
              <w:bottom w:val="nil"/>
              <w:right w:val="nil"/>
            </w:tcBorders>
            <w:tcMar>
              <w:top w:w="128" w:type="dxa"/>
              <w:left w:w="43" w:type="dxa"/>
              <w:bottom w:w="43" w:type="dxa"/>
              <w:right w:w="43" w:type="dxa"/>
            </w:tcMar>
          </w:tcPr>
          <w:p w14:paraId="31742146"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F2D53F8" w14:textId="77777777" w:rsidR="00D60186" w:rsidRPr="00FD49F3" w:rsidRDefault="00D60186" w:rsidP="00FD49F3">
            <w:pPr>
              <w:ind w:right="113"/>
              <w:jc w:val="right"/>
              <w:rPr>
                <w:sz w:val="21"/>
                <w:szCs w:val="21"/>
              </w:rPr>
            </w:pPr>
            <w:r w:rsidRPr="00FD49F3">
              <w:rPr>
                <w:sz w:val="21"/>
                <w:szCs w:val="21"/>
              </w:rPr>
              <w:t>1109</w:t>
            </w:r>
          </w:p>
        </w:tc>
        <w:tc>
          <w:tcPr>
            <w:tcW w:w="5600" w:type="dxa"/>
            <w:tcBorders>
              <w:top w:val="nil"/>
              <w:left w:val="nil"/>
              <w:bottom w:val="nil"/>
              <w:right w:val="nil"/>
            </w:tcBorders>
            <w:tcMar>
              <w:top w:w="128" w:type="dxa"/>
              <w:left w:w="43" w:type="dxa"/>
              <w:bottom w:w="43" w:type="dxa"/>
              <w:right w:w="43" w:type="dxa"/>
            </w:tcMar>
          </w:tcPr>
          <w:p w14:paraId="18FB2D42" w14:textId="77777777" w:rsidR="00D60186" w:rsidRPr="00FD49F3" w:rsidRDefault="00D60186" w:rsidP="00225D4D">
            <w:pPr>
              <w:rPr>
                <w:sz w:val="21"/>
                <w:szCs w:val="21"/>
              </w:rPr>
            </w:pPr>
            <w:r w:rsidRPr="00FD49F3">
              <w:rPr>
                <w:sz w:val="21"/>
                <w:szCs w:val="21"/>
              </w:rPr>
              <w:t xml:space="preserve"> Restaureringsprosjekt for Oslofjorden</w:t>
            </w:r>
          </w:p>
        </w:tc>
        <w:tc>
          <w:tcPr>
            <w:tcW w:w="1400" w:type="dxa"/>
            <w:tcBorders>
              <w:top w:val="nil"/>
              <w:left w:val="nil"/>
              <w:bottom w:val="nil"/>
              <w:right w:val="nil"/>
            </w:tcBorders>
            <w:tcMar>
              <w:top w:w="128" w:type="dxa"/>
              <w:left w:w="43" w:type="dxa"/>
              <w:bottom w:w="43" w:type="dxa"/>
              <w:right w:w="43" w:type="dxa"/>
            </w:tcMar>
          </w:tcPr>
          <w:p w14:paraId="7704007C" w14:textId="77777777" w:rsidR="00D60186" w:rsidRPr="00FD49F3" w:rsidRDefault="00D60186" w:rsidP="00FD49F3">
            <w:pPr>
              <w:jc w:val="right"/>
              <w:rPr>
                <w:sz w:val="21"/>
                <w:szCs w:val="21"/>
              </w:rPr>
            </w:pPr>
            <w:r w:rsidRPr="00FD49F3">
              <w:rPr>
                <w:sz w:val="21"/>
                <w:szCs w:val="21"/>
              </w:rPr>
              <w:t>Nei</w:t>
            </w:r>
          </w:p>
        </w:tc>
      </w:tr>
      <w:tr w:rsidR="00E76DC8" w:rsidRPr="00225D4D" w14:paraId="417CB4D5" w14:textId="77777777">
        <w:trPr>
          <w:trHeight w:val="380"/>
        </w:trPr>
        <w:tc>
          <w:tcPr>
            <w:tcW w:w="1400" w:type="dxa"/>
            <w:tcBorders>
              <w:top w:val="nil"/>
              <w:left w:val="nil"/>
              <w:bottom w:val="nil"/>
              <w:right w:val="nil"/>
            </w:tcBorders>
            <w:tcMar>
              <w:top w:w="128" w:type="dxa"/>
              <w:left w:w="43" w:type="dxa"/>
              <w:bottom w:w="43" w:type="dxa"/>
              <w:right w:w="43" w:type="dxa"/>
            </w:tcMar>
          </w:tcPr>
          <w:p w14:paraId="09DA808F"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E829956" w14:textId="77777777" w:rsidR="00D60186" w:rsidRPr="00FD49F3" w:rsidRDefault="00D60186" w:rsidP="00FD49F3">
            <w:pPr>
              <w:ind w:right="113"/>
              <w:jc w:val="right"/>
              <w:rPr>
                <w:sz w:val="21"/>
                <w:szCs w:val="21"/>
              </w:rPr>
            </w:pPr>
            <w:r w:rsidRPr="00FD49F3">
              <w:rPr>
                <w:sz w:val="21"/>
                <w:szCs w:val="21"/>
              </w:rPr>
              <w:t>1118</w:t>
            </w:r>
          </w:p>
        </w:tc>
        <w:tc>
          <w:tcPr>
            <w:tcW w:w="5600" w:type="dxa"/>
            <w:tcBorders>
              <w:top w:val="nil"/>
              <w:left w:val="nil"/>
              <w:bottom w:val="nil"/>
              <w:right w:val="nil"/>
            </w:tcBorders>
            <w:tcMar>
              <w:top w:w="128" w:type="dxa"/>
              <w:left w:w="43" w:type="dxa"/>
              <w:bottom w:w="43" w:type="dxa"/>
              <w:right w:w="43" w:type="dxa"/>
            </w:tcMar>
          </w:tcPr>
          <w:p w14:paraId="1341323D" w14:textId="77777777" w:rsidR="00D60186" w:rsidRPr="00FD49F3" w:rsidRDefault="00D60186" w:rsidP="00225D4D">
            <w:pPr>
              <w:rPr>
                <w:sz w:val="21"/>
                <w:szCs w:val="21"/>
              </w:rPr>
            </w:pPr>
            <w:r w:rsidRPr="00FD49F3">
              <w:rPr>
                <w:sz w:val="21"/>
                <w:szCs w:val="21"/>
              </w:rPr>
              <w:t>Returordning for landbruksplast</w:t>
            </w:r>
          </w:p>
        </w:tc>
        <w:tc>
          <w:tcPr>
            <w:tcW w:w="1400" w:type="dxa"/>
            <w:tcBorders>
              <w:top w:val="nil"/>
              <w:left w:val="nil"/>
              <w:bottom w:val="nil"/>
              <w:right w:val="nil"/>
            </w:tcBorders>
            <w:tcMar>
              <w:top w:w="128" w:type="dxa"/>
              <w:left w:w="43" w:type="dxa"/>
              <w:bottom w:w="43" w:type="dxa"/>
              <w:right w:w="43" w:type="dxa"/>
            </w:tcMar>
          </w:tcPr>
          <w:p w14:paraId="47311844" w14:textId="77777777" w:rsidR="00D60186" w:rsidRPr="00FD49F3" w:rsidRDefault="00D60186" w:rsidP="00FD49F3">
            <w:pPr>
              <w:jc w:val="right"/>
              <w:rPr>
                <w:sz w:val="21"/>
                <w:szCs w:val="21"/>
              </w:rPr>
            </w:pPr>
            <w:r w:rsidRPr="00FD49F3">
              <w:rPr>
                <w:sz w:val="21"/>
                <w:szCs w:val="21"/>
              </w:rPr>
              <w:t>Ja</w:t>
            </w:r>
          </w:p>
        </w:tc>
      </w:tr>
      <w:tr w:rsidR="00E76DC8" w:rsidRPr="00225D4D" w14:paraId="611A4FCF" w14:textId="77777777">
        <w:trPr>
          <w:trHeight w:val="380"/>
        </w:trPr>
        <w:tc>
          <w:tcPr>
            <w:tcW w:w="1400" w:type="dxa"/>
            <w:tcBorders>
              <w:top w:val="nil"/>
              <w:left w:val="nil"/>
              <w:bottom w:val="nil"/>
              <w:right w:val="nil"/>
            </w:tcBorders>
            <w:tcMar>
              <w:top w:w="128" w:type="dxa"/>
              <w:left w:w="43" w:type="dxa"/>
              <w:bottom w:w="43" w:type="dxa"/>
              <w:right w:w="43" w:type="dxa"/>
            </w:tcMar>
          </w:tcPr>
          <w:p w14:paraId="683217D5"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4C93904" w14:textId="77777777" w:rsidR="00D60186" w:rsidRPr="00FD49F3" w:rsidRDefault="00D60186" w:rsidP="00FD49F3">
            <w:pPr>
              <w:ind w:right="113"/>
              <w:jc w:val="right"/>
              <w:rPr>
                <w:sz w:val="21"/>
                <w:szCs w:val="21"/>
              </w:rPr>
            </w:pPr>
            <w:r w:rsidRPr="00FD49F3">
              <w:rPr>
                <w:sz w:val="21"/>
                <w:szCs w:val="21"/>
              </w:rPr>
              <w:t>1216</w:t>
            </w:r>
          </w:p>
        </w:tc>
        <w:tc>
          <w:tcPr>
            <w:tcW w:w="5600" w:type="dxa"/>
            <w:tcBorders>
              <w:top w:val="nil"/>
              <w:left w:val="nil"/>
              <w:bottom w:val="nil"/>
              <w:right w:val="nil"/>
            </w:tcBorders>
            <w:tcMar>
              <w:top w:w="128" w:type="dxa"/>
              <w:left w:w="43" w:type="dxa"/>
              <w:bottom w:w="43" w:type="dxa"/>
              <w:right w:w="43" w:type="dxa"/>
            </w:tcMar>
          </w:tcPr>
          <w:p w14:paraId="169D4B36" w14:textId="77777777" w:rsidR="00D60186" w:rsidRPr="00FD49F3" w:rsidRDefault="00D60186" w:rsidP="00225D4D">
            <w:pPr>
              <w:rPr>
                <w:sz w:val="21"/>
                <w:szCs w:val="21"/>
              </w:rPr>
            </w:pPr>
            <w:r w:rsidRPr="00FD49F3">
              <w:rPr>
                <w:sz w:val="21"/>
                <w:szCs w:val="21"/>
              </w:rPr>
              <w:t>Kart grått areal</w:t>
            </w:r>
          </w:p>
        </w:tc>
        <w:tc>
          <w:tcPr>
            <w:tcW w:w="1400" w:type="dxa"/>
            <w:tcBorders>
              <w:top w:val="nil"/>
              <w:left w:val="nil"/>
              <w:bottom w:val="nil"/>
              <w:right w:val="nil"/>
            </w:tcBorders>
            <w:tcMar>
              <w:top w:w="128" w:type="dxa"/>
              <w:left w:w="43" w:type="dxa"/>
              <w:bottom w:w="43" w:type="dxa"/>
              <w:right w:w="43" w:type="dxa"/>
            </w:tcMar>
          </w:tcPr>
          <w:p w14:paraId="2B5B1AA7" w14:textId="77777777" w:rsidR="00D60186" w:rsidRPr="00FD49F3" w:rsidRDefault="00D60186" w:rsidP="00FD49F3">
            <w:pPr>
              <w:jc w:val="right"/>
              <w:rPr>
                <w:sz w:val="21"/>
                <w:szCs w:val="21"/>
              </w:rPr>
            </w:pPr>
            <w:r w:rsidRPr="00FD49F3">
              <w:rPr>
                <w:sz w:val="21"/>
                <w:szCs w:val="21"/>
              </w:rPr>
              <w:t>Nei</w:t>
            </w:r>
          </w:p>
        </w:tc>
      </w:tr>
      <w:tr w:rsidR="00E76DC8" w:rsidRPr="00225D4D" w14:paraId="7F4C66CC" w14:textId="77777777">
        <w:trPr>
          <w:trHeight w:val="380"/>
        </w:trPr>
        <w:tc>
          <w:tcPr>
            <w:tcW w:w="1400" w:type="dxa"/>
            <w:tcBorders>
              <w:top w:val="nil"/>
              <w:left w:val="nil"/>
              <w:bottom w:val="nil"/>
              <w:right w:val="nil"/>
            </w:tcBorders>
            <w:tcMar>
              <w:top w:w="128" w:type="dxa"/>
              <w:left w:w="43" w:type="dxa"/>
              <w:bottom w:w="43" w:type="dxa"/>
              <w:right w:w="43" w:type="dxa"/>
            </w:tcMar>
          </w:tcPr>
          <w:p w14:paraId="49749B8E"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9806AE2" w14:textId="77777777" w:rsidR="00D60186" w:rsidRPr="00FD49F3" w:rsidRDefault="00D60186" w:rsidP="00FD49F3">
            <w:pPr>
              <w:ind w:right="113"/>
              <w:jc w:val="right"/>
              <w:rPr>
                <w:sz w:val="21"/>
                <w:szCs w:val="21"/>
              </w:rPr>
            </w:pPr>
            <w:r w:rsidRPr="00FD49F3">
              <w:rPr>
                <w:sz w:val="21"/>
                <w:szCs w:val="21"/>
              </w:rPr>
              <w:t>1222</w:t>
            </w:r>
          </w:p>
        </w:tc>
        <w:tc>
          <w:tcPr>
            <w:tcW w:w="5600" w:type="dxa"/>
            <w:tcBorders>
              <w:top w:val="nil"/>
              <w:left w:val="nil"/>
              <w:bottom w:val="nil"/>
              <w:right w:val="nil"/>
            </w:tcBorders>
            <w:tcMar>
              <w:top w:w="128" w:type="dxa"/>
              <w:left w:w="43" w:type="dxa"/>
              <w:bottom w:w="43" w:type="dxa"/>
              <w:right w:w="43" w:type="dxa"/>
            </w:tcMar>
          </w:tcPr>
          <w:p w14:paraId="6E9120D6" w14:textId="77777777" w:rsidR="00D60186" w:rsidRPr="00FD49F3" w:rsidRDefault="00D60186" w:rsidP="00225D4D">
            <w:pPr>
              <w:rPr>
                <w:sz w:val="21"/>
                <w:szCs w:val="21"/>
              </w:rPr>
            </w:pPr>
            <w:r w:rsidRPr="00FD49F3">
              <w:rPr>
                <w:sz w:val="21"/>
                <w:szCs w:val="21"/>
              </w:rPr>
              <w:t>Tiltaksplan for Oslofjorden</w:t>
            </w:r>
          </w:p>
        </w:tc>
        <w:tc>
          <w:tcPr>
            <w:tcW w:w="1400" w:type="dxa"/>
            <w:tcBorders>
              <w:top w:val="nil"/>
              <w:left w:val="nil"/>
              <w:bottom w:val="nil"/>
              <w:right w:val="nil"/>
            </w:tcBorders>
            <w:tcMar>
              <w:top w:w="128" w:type="dxa"/>
              <w:left w:w="43" w:type="dxa"/>
              <w:bottom w:w="43" w:type="dxa"/>
              <w:right w:w="43" w:type="dxa"/>
            </w:tcMar>
          </w:tcPr>
          <w:p w14:paraId="50A5AF8C" w14:textId="77777777" w:rsidR="00D60186" w:rsidRPr="00FD49F3" w:rsidRDefault="00D60186" w:rsidP="00FD49F3">
            <w:pPr>
              <w:jc w:val="right"/>
              <w:rPr>
                <w:sz w:val="21"/>
                <w:szCs w:val="21"/>
              </w:rPr>
            </w:pPr>
            <w:r w:rsidRPr="00FD49F3">
              <w:rPr>
                <w:sz w:val="21"/>
                <w:szCs w:val="21"/>
              </w:rPr>
              <w:t>Nei</w:t>
            </w:r>
          </w:p>
        </w:tc>
      </w:tr>
      <w:tr w:rsidR="00E76DC8" w:rsidRPr="00225D4D" w14:paraId="63B6E73F" w14:textId="77777777">
        <w:trPr>
          <w:trHeight w:val="380"/>
        </w:trPr>
        <w:tc>
          <w:tcPr>
            <w:tcW w:w="1400" w:type="dxa"/>
            <w:tcBorders>
              <w:top w:val="nil"/>
              <w:left w:val="nil"/>
              <w:bottom w:val="nil"/>
              <w:right w:val="nil"/>
            </w:tcBorders>
            <w:tcMar>
              <w:top w:w="128" w:type="dxa"/>
              <w:left w:w="43" w:type="dxa"/>
              <w:bottom w:w="43" w:type="dxa"/>
              <w:right w:w="43" w:type="dxa"/>
            </w:tcMar>
          </w:tcPr>
          <w:p w14:paraId="31109141"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3A128E0" w14:textId="77777777" w:rsidR="00D60186" w:rsidRPr="00FD49F3" w:rsidRDefault="00D60186" w:rsidP="00FD49F3">
            <w:pPr>
              <w:ind w:right="113"/>
              <w:jc w:val="right"/>
              <w:rPr>
                <w:sz w:val="21"/>
                <w:szCs w:val="21"/>
              </w:rPr>
            </w:pPr>
            <w:r w:rsidRPr="00FD49F3">
              <w:rPr>
                <w:sz w:val="21"/>
                <w:szCs w:val="21"/>
              </w:rPr>
              <w:t>1225</w:t>
            </w:r>
          </w:p>
        </w:tc>
        <w:tc>
          <w:tcPr>
            <w:tcW w:w="5600" w:type="dxa"/>
            <w:tcBorders>
              <w:top w:val="nil"/>
              <w:left w:val="nil"/>
              <w:bottom w:val="nil"/>
              <w:right w:val="nil"/>
            </w:tcBorders>
            <w:tcMar>
              <w:top w:w="128" w:type="dxa"/>
              <w:left w:w="43" w:type="dxa"/>
              <w:bottom w:w="43" w:type="dxa"/>
              <w:right w:w="43" w:type="dxa"/>
            </w:tcMar>
          </w:tcPr>
          <w:p w14:paraId="38AA1768" w14:textId="77777777" w:rsidR="00D60186" w:rsidRPr="00FD49F3" w:rsidRDefault="00D60186" w:rsidP="00225D4D">
            <w:pPr>
              <w:rPr>
                <w:sz w:val="21"/>
                <w:szCs w:val="21"/>
              </w:rPr>
            </w:pPr>
            <w:proofErr w:type="spellStart"/>
            <w:r w:rsidRPr="00FD49F3">
              <w:rPr>
                <w:sz w:val="21"/>
                <w:szCs w:val="21"/>
              </w:rPr>
              <w:t>Forbod</w:t>
            </w:r>
            <w:proofErr w:type="spellEnd"/>
            <w:r w:rsidRPr="00FD49F3">
              <w:rPr>
                <w:sz w:val="21"/>
                <w:szCs w:val="21"/>
              </w:rPr>
              <w:t xml:space="preserve"> mot fossil fyring</w:t>
            </w:r>
          </w:p>
        </w:tc>
        <w:tc>
          <w:tcPr>
            <w:tcW w:w="1400" w:type="dxa"/>
            <w:tcBorders>
              <w:top w:val="nil"/>
              <w:left w:val="nil"/>
              <w:bottom w:val="nil"/>
              <w:right w:val="nil"/>
            </w:tcBorders>
            <w:tcMar>
              <w:top w:w="128" w:type="dxa"/>
              <w:left w:w="43" w:type="dxa"/>
              <w:bottom w:w="43" w:type="dxa"/>
              <w:right w:w="43" w:type="dxa"/>
            </w:tcMar>
          </w:tcPr>
          <w:p w14:paraId="7050B82F" w14:textId="77777777" w:rsidR="00D60186" w:rsidRPr="00FD49F3" w:rsidRDefault="00D60186" w:rsidP="00FD49F3">
            <w:pPr>
              <w:jc w:val="right"/>
              <w:rPr>
                <w:sz w:val="21"/>
                <w:szCs w:val="21"/>
              </w:rPr>
            </w:pPr>
            <w:r w:rsidRPr="00FD49F3">
              <w:rPr>
                <w:sz w:val="21"/>
                <w:szCs w:val="21"/>
              </w:rPr>
              <w:t>Nei</w:t>
            </w:r>
          </w:p>
        </w:tc>
      </w:tr>
      <w:tr w:rsidR="00E76DC8" w:rsidRPr="00225D4D" w14:paraId="57920F6E" w14:textId="77777777">
        <w:trPr>
          <w:trHeight w:val="380"/>
        </w:trPr>
        <w:tc>
          <w:tcPr>
            <w:tcW w:w="1400" w:type="dxa"/>
            <w:tcBorders>
              <w:top w:val="nil"/>
              <w:left w:val="nil"/>
              <w:bottom w:val="nil"/>
              <w:right w:val="nil"/>
            </w:tcBorders>
            <w:tcMar>
              <w:top w:w="128" w:type="dxa"/>
              <w:left w:w="43" w:type="dxa"/>
              <w:bottom w:w="43" w:type="dxa"/>
              <w:right w:w="43" w:type="dxa"/>
            </w:tcMar>
          </w:tcPr>
          <w:p w14:paraId="7AD2459B"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FC556D3" w14:textId="77777777" w:rsidR="00D60186" w:rsidRPr="00FD49F3" w:rsidRDefault="00D60186" w:rsidP="00FD49F3">
            <w:pPr>
              <w:ind w:right="113"/>
              <w:jc w:val="right"/>
              <w:rPr>
                <w:sz w:val="21"/>
                <w:szCs w:val="21"/>
              </w:rPr>
            </w:pPr>
            <w:r w:rsidRPr="00FD49F3">
              <w:rPr>
                <w:sz w:val="21"/>
                <w:szCs w:val="21"/>
              </w:rPr>
              <w:t>1227</w:t>
            </w:r>
          </w:p>
        </w:tc>
        <w:tc>
          <w:tcPr>
            <w:tcW w:w="5600" w:type="dxa"/>
            <w:tcBorders>
              <w:top w:val="nil"/>
              <w:left w:val="nil"/>
              <w:bottom w:val="nil"/>
              <w:right w:val="nil"/>
            </w:tcBorders>
            <w:tcMar>
              <w:top w:w="128" w:type="dxa"/>
              <w:left w:w="43" w:type="dxa"/>
              <w:bottom w:w="43" w:type="dxa"/>
              <w:right w:w="43" w:type="dxa"/>
            </w:tcMar>
          </w:tcPr>
          <w:p w14:paraId="00A0BEE3" w14:textId="77777777" w:rsidR="00D60186" w:rsidRPr="00FD49F3" w:rsidRDefault="00D60186" w:rsidP="00225D4D">
            <w:pPr>
              <w:rPr>
                <w:sz w:val="21"/>
                <w:szCs w:val="21"/>
              </w:rPr>
            </w:pPr>
            <w:r w:rsidRPr="00FD49F3">
              <w:rPr>
                <w:sz w:val="21"/>
                <w:szCs w:val="21"/>
              </w:rPr>
              <w:t>Reduksjonsmål for forbruksbaserte utslipp</w:t>
            </w:r>
          </w:p>
        </w:tc>
        <w:tc>
          <w:tcPr>
            <w:tcW w:w="1400" w:type="dxa"/>
            <w:tcBorders>
              <w:top w:val="nil"/>
              <w:left w:val="nil"/>
              <w:bottom w:val="nil"/>
              <w:right w:val="nil"/>
            </w:tcBorders>
            <w:tcMar>
              <w:top w:w="128" w:type="dxa"/>
              <w:left w:w="43" w:type="dxa"/>
              <w:bottom w:w="43" w:type="dxa"/>
              <w:right w:w="43" w:type="dxa"/>
            </w:tcMar>
          </w:tcPr>
          <w:p w14:paraId="31C7C309" w14:textId="77777777" w:rsidR="00D60186" w:rsidRPr="00FD49F3" w:rsidRDefault="00D60186" w:rsidP="00FD49F3">
            <w:pPr>
              <w:jc w:val="right"/>
              <w:rPr>
                <w:sz w:val="21"/>
                <w:szCs w:val="21"/>
              </w:rPr>
            </w:pPr>
            <w:r w:rsidRPr="00FD49F3">
              <w:rPr>
                <w:sz w:val="21"/>
                <w:szCs w:val="21"/>
              </w:rPr>
              <w:t>Nei</w:t>
            </w:r>
          </w:p>
        </w:tc>
      </w:tr>
      <w:tr w:rsidR="00E76DC8" w:rsidRPr="00225D4D" w14:paraId="7977BA86" w14:textId="77777777">
        <w:trPr>
          <w:trHeight w:val="380"/>
        </w:trPr>
        <w:tc>
          <w:tcPr>
            <w:tcW w:w="1400" w:type="dxa"/>
            <w:tcBorders>
              <w:top w:val="nil"/>
              <w:left w:val="nil"/>
              <w:bottom w:val="nil"/>
              <w:right w:val="nil"/>
            </w:tcBorders>
            <w:tcMar>
              <w:top w:w="128" w:type="dxa"/>
              <w:left w:w="43" w:type="dxa"/>
              <w:bottom w:w="43" w:type="dxa"/>
              <w:right w:w="43" w:type="dxa"/>
            </w:tcMar>
          </w:tcPr>
          <w:p w14:paraId="1966C82A"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719C349" w14:textId="77777777" w:rsidR="00D60186" w:rsidRPr="00FD49F3" w:rsidRDefault="00D60186" w:rsidP="00FD49F3">
            <w:pPr>
              <w:ind w:right="113"/>
              <w:jc w:val="right"/>
              <w:rPr>
                <w:sz w:val="21"/>
                <w:szCs w:val="21"/>
              </w:rPr>
            </w:pPr>
            <w:r w:rsidRPr="00FD49F3">
              <w:rPr>
                <w:sz w:val="21"/>
                <w:szCs w:val="21"/>
              </w:rPr>
              <w:t>1235</w:t>
            </w:r>
          </w:p>
        </w:tc>
        <w:tc>
          <w:tcPr>
            <w:tcW w:w="5600" w:type="dxa"/>
            <w:tcBorders>
              <w:top w:val="nil"/>
              <w:left w:val="nil"/>
              <w:bottom w:val="nil"/>
              <w:right w:val="nil"/>
            </w:tcBorders>
            <w:tcMar>
              <w:top w:w="128" w:type="dxa"/>
              <w:left w:w="43" w:type="dxa"/>
              <w:bottom w:w="43" w:type="dxa"/>
              <w:right w:w="43" w:type="dxa"/>
            </w:tcMar>
          </w:tcPr>
          <w:p w14:paraId="52657AB2" w14:textId="77777777" w:rsidR="00D60186" w:rsidRPr="00FD49F3" w:rsidRDefault="00D60186" w:rsidP="00225D4D">
            <w:pPr>
              <w:rPr>
                <w:sz w:val="21"/>
                <w:szCs w:val="21"/>
              </w:rPr>
            </w:pPr>
            <w:r w:rsidRPr="00FD49F3">
              <w:rPr>
                <w:sz w:val="21"/>
                <w:szCs w:val="21"/>
              </w:rPr>
              <w:t>Klagesak forurensning – Billerud Viken AS</w:t>
            </w:r>
          </w:p>
        </w:tc>
        <w:tc>
          <w:tcPr>
            <w:tcW w:w="1400" w:type="dxa"/>
            <w:tcBorders>
              <w:top w:val="nil"/>
              <w:left w:val="nil"/>
              <w:bottom w:val="nil"/>
              <w:right w:val="nil"/>
            </w:tcBorders>
            <w:tcMar>
              <w:top w:w="128" w:type="dxa"/>
              <w:left w:w="43" w:type="dxa"/>
              <w:bottom w:w="43" w:type="dxa"/>
              <w:right w:w="43" w:type="dxa"/>
            </w:tcMar>
          </w:tcPr>
          <w:p w14:paraId="1A20DAD4" w14:textId="77777777" w:rsidR="00D60186" w:rsidRPr="00FD49F3" w:rsidRDefault="00D60186" w:rsidP="00FD49F3">
            <w:pPr>
              <w:jc w:val="right"/>
              <w:rPr>
                <w:sz w:val="21"/>
                <w:szCs w:val="21"/>
              </w:rPr>
            </w:pPr>
            <w:r w:rsidRPr="00FD49F3">
              <w:rPr>
                <w:sz w:val="21"/>
                <w:szCs w:val="21"/>
              </w:rPr>
              <w:t>Ja</w:t>
            </w:r>
          </w:p>
        </w:tc>
      </w:tr>
      <w:tr w:rsidR="00E76DC8" w:rsidRPr="00225D4D" w14:paraId="19310DD9" w14:textId="77777777">
        <w:trPr>
          <w:trHeight w:val="380"/>
        </w:trPr>
        <w:tc>
          <w:tcPr>
            <w:tcW w:w="1400" w:type="dxa"/>
            <w:tcBorders>
              <w:top w:val="nil"/>
              <w:left w:val="nil"/>
              <w:bottom w:val="nil"/>
              <w:right w:val="nil"/>
            </w:tcBorders>
            <w:tcMar>
              <w:top w:w="128" w:type="dxa"/>
              <w:left w:w="43" w:type="dxa"/>
              <w:bottom w:w="43" w:type="dxa"/>
              <w:right w:w="43" w:type="dxa"/>
            </w:tcMar>
          </w:tcPr>
          <w:p w14:paraId="013B99C6"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686F467" w14:textId="77777777" w:rsidR="00D60186" w:rsidRPr="00FD49F3" w:rsidRDefault="00D60186" w:rsidP="00FD49F3">
            <w:pPr>
              <w:ind w:right="113"/>
              <w:jc w:val="right"/>
              <w:rPr>
                <w:sz w:val="21"/>
                <w:szCs w:val="21"/>
              </w:rPr>
            </w:pPr>
            <w:r w:rsidRPr="00FD49F3">
              <w:rPr>
                <w:sz w:val="21"/>
                <w:szCs w:val="21"/>
              </w:rPr>
              <w:t>1237</w:t>
            </w:r>
          </w:p>
        </w:tc>
        <w:tc>
          <w:tcPr>
            <w:tcW w:w="5600" w:type="dxa"/>
            <w:tcBorders>
              <w:top w:val="nil"/>
              <w:left w:val="nil"/>
              <w:bottom w:val="nil"/>
              <w:right w:val="nil"/>
            </w:tcBorders>
            <w:tcMar>
              <w:top w:w="128" w:type="dxa"/>
              <w:left w:w="43" w:type="dxa"/>
              <w:bottom w:w="43" w:type="dxa"/>
              <w:right w:w="43" w:type="dxa"/>
            </w:tcMar>
          </w:tcPr>
          <w:p w14:paraId="625B0B74" w14:textId="77777777" w:rsidR="00D60186" w:rsidRPr="00FD49F3" w:rsidRDefault="00D60186" w:rsidP="00225D4D">
            <w:pPr>
              <w:rPr>
                <w:sz w:val="21"/>
                <w:szCs w:val="21"/>
              </w:rPr>
            </w:pPr>
            <w:r w:rsidRPr="00FD49F3">
              <w:rPr>
                <w:sz w:val="21"/>
                <w:szCs w:val="21"/>
              </w:rPr>
              <w:t>Redusere klima- og miljøpåvirkningen fra tekstiler</w:t>
            </w:r>
          </w:p>
        </w:tc>
        <w:tc>
          <w:tcPr>
            <w:tcW w:w="1400" w:type="dxa"/>
            <w:tcBorders>
              <w:top w:val="nil"/>
              <w:left w:val="nil"/>
              <w:bottom w:val="nil"/>
              <w:right w:val="nil"/>
            </w:tcBorders>
            <w:tcMar>
              <w:top w:w="128" w:type="dxa"/>
              <w:left w:w="43" w:type="dxa"/>
              <w:bottom w:w="43" w:type="dxa"/>
              <w:right w:w="43" w:type="dxa"/>
            </w:tcMar>
          </w:tcPr>
          <w:p w14:paraId="59D345FE" w14:textId="77777777" w:rsidR="00D60186" w:rsidRPr="00FD49F3" w:rsidRDefault="00D60186" w:rsidP="00FD49F3">
            <w:pPr>
              <w:jc w:val="right"/>
              <w:rPr>
                <w:sz w:val="21"/>
                <w:szCs w:val="21"/>
              </w:rPr>
            </w:pPr>
            <w:r w:rsidRPr="00FD49F3">
              <w:rPr>
                <w:sz w:val="21"/>
                <w:szCs w:val="21"/>
              </w:rPr>
              <w:t>Nei</w:t>
            </w:r>
          </w:p>
        </w:tc>
      </w:tr>
      <w:tr w:rsidR="00E76DC8" w:rsidRPr="00225D4D" w14:paraId="66B11176" w14:textId="77777777">
        <w:trPr>
          <w:trHeight w:val="380"/>
        </w:trPr>
        <w:tc>
          <w:tcPr>
            <w:tcW w:w="1400" w:type="dxa"/>
            <w:tcBorders>
              <w:top w:val="nil"/>
              <w:left w:val="nil"/>
              <w:bottom w:val="nil"/>
              <w:right w:val="nil"/>
            </w:tcBorders>
            <w:tcMar>
              <w:top w:w="128" w:type="dxa"/>
              <w:left w:w="43" w:type="dxa"/>
              <w:bottom w:w="43" w:type="dxa"/>
              <w:right w:w="43" w:type="dxa"/>
            </w:tcMar>
          </w:tcPr>
          <w:p w14:paraId="09ECF8E1"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314884F" w14:textId="77777777" w:rsidR="00D60186" w:rsidRPr="00FD49F3" w:rsidRDefault="00D60186" w:rsidP="00FD49F3">
            <w:pPr>
              <w:ind w:right="113"/>
              <w:jc w:val="right"/>
              <w:rPr>
                <w:sz w:val="21"/>
                <w:szCs w:val="21"/>
              </w:rPr>
            </w:pPr>
            <w:r w:rsidRPr="00FD49F3">
              <w:rPr>
                <w:sz w:val="21"/>
                <w:szCs w:val="21"/>
              </w:rPr>
              <w:t>1238</w:t>
            </w:r>
          </w:p>
        </w:tc>
        <w:tc>
          <w:tcPr>
            <w:tcW w:w="5600" w:type="dxa"/>
            <w:tcBorders>
              <w:top w:val="nil"/>
              <w:left w:val="nil"/>
              <w:bottom w:val="nil"/>
              <w:right w:val="nil"/>
            </w:tcBorders>
            <w:tcMar>
              <w:top w:w="128" w:type="dxa"/>
              <w:left w:w="43" w:type="dxa"/>
              <w:bottom w:w="43" w:type="dxa"/>
              <w:right w:w="43" w:type="dxa"/>
            </w:tcMar>
          </w:tcPr>
          <w:p w14:paraId="25BE1DDC" w14:textId="77777777" w:rsidR="00D60186" w:rsidRPr="00FD49F3" w:rsidRDefault="00D60186" w:rsidP="00225D4D">
            <w:pPr>
              <w:rPr>
                <w:sz w:val="21"/>
                <w:szCs w:val="21"/>
              </w:rPr>
            </w:pPr>
            <w:r w:rsidRPr="00FD49F3">
              <w:rPr>
                <w:sz w:val="21"/>
                <w:szCs w:val="21"/>
              </w:rPr>
              <w:t xml:space="preserve">Nytt salgsmål </w:t>
            </w:r>
            <w:proofErr w:type="spellStart"/>
            <w:r w:rsidRPr="00FD49F3">
              <w:rPr>
                <w:sz w:val="21"/>
                <w:szCs w:val="21"/>
              </w:rPr>
              <w:t>elvarebiler</w:t>
            </w:r>
            <w:proofErr w:type="spellEnd"/>
          </w:p>
        </w:tc>
        <w:tc>
          <w:tcPr>
            <w:tcW w:w="1400" w:type="dxa"/>
            <w:tcBorders>
              <w:top w:val="nil"/>
              <w:left w:val="nil"/>
              <w:bottom w:val="nil"/>
              <w:right w:val="nil"/>
            </w:tcBorders>
            <w:tcMar>
              <w:top w:w="128" w:type="dxa"/>
              <w:left w:w="43" w:type="dxa"/>
              <w:bottom w:w="43" w:type="dxa"/>
              <w:right w:w="43" w:type="dxa"/>
            </w:tcMar>
          </w:tcPr>
          <w:p w14:paraId="098C4EA0" w14:textId="77777777" w:rsidR="00D60186" w:rsidRPr="00FD49F3" w:rsidRDefault="00D60186" w:rsidP="00FD49F3">
            <w:pPr>
              <w:jc w:val="right"/>
              <w:rPr>
                <w:sz w:val="21"/>
                <w:szCs w:val="21"/>
              </w:rPr>
            </w:pPr>
            <w:r w:rsidRPr="00FD49F3">
              <w:rPr>
                <w:sz w:val="21"/>
                <w:szCs w:val="21"/>
              </w:rPr>
              <w:t>Ja</w:t>
            </w:r>
          </w:p>
        </w:tc>
      </w:tr>
      <w:tr w:rsidR="00E76DC8" w:rsidRPr="00225D4D" w14:paraId="4C73BC44" w14:textId="77777777">
        <w:trPr>
          <w:trHeight w:val="380"/>
        </w:trPr>
        <w:tc>
          <w:tcPr>
            <w:tcW w:w="1400" w:type="dxa"/>
            <w:tcBorders>
              <w:top w:val="nil"/>
              <w:left w:val="nil"/>
              <w:bottom w:val="nil"/>
              <w:right w:val="nil"/>
            </w:tcBorders>
            <w:tcMar>
              <w:top w:w="128" w:type="dxa"/>
              <w:left w:w="43" w:type="dxa"/>
              <w:bottom w:w="43" w:type="dxa"/>
              <w:right w:w="43" w:type="dxa"/>
            </w:tcMar>
          </w:tcPr>
          <w:p w14:paraId="31F7C4B1"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9419890" w14:textId="77777777" w:rsidR="00D60186" w:rsidRPr="00FD49F3" w:rsidRDefault="00D60186" w:rsidP="00FD49F3">
            <w:pPr>
              <w:ind w:right="113"/>
              <w:jc w:val="right"/>
              <w:rPr>
                <w:sz w:val="21"/>
                <w:szCs w:val="21"/>
              </w:rPr>
            </w:pPr>
            <w:r w:rsidRPr="00FD49F3">
              <w:rPr>
                <w:sz w:val="21"/>
                <w:szCs w:val="21"/>
              </w:rPr>
              <w:t>40</w:t>
            </w:r>
          </w:p>
        </w:tc>
        <w:tc>
          <w:tcPr>
            <w:tcW w:w="5600" w:type="dxa"/>
            <w:tcBorders>
              <w:top w:val="nil"/>
              <w:left w:val="nil"/>
              <w:bottom w:val="nil"/>
              <w:right w:val="nil"/>
            </w:tcBorders>
            <w:tcMar>
              <w:top w:w="128" w:type="dxa"/>
              <w:left w:w="43" w:type="dxa"/>
              <w:bottom w:w="43" w:type="dxa"/>
              <w:right w:w="43" w:type="dxa"/>
            </w:tcMar>
          </w:tcPr>
          <w:p w14:paraId="3486931F" w14:textId="77777777" w:rsidR="00D60186" w:rsidRPr="00FD49F3" w:rsidRDefault="00D60186" w:rsidP="00225D4D">
            <w:pPr>
              <w:rPr>
                <w:sz w:val="21"/>
                <w:szCs w:val="21"/>
              </w:rPr>
            </w:pPr>
            <w:r w:rsidRPr="00FD49F3">
              <w:rPr>
                <w:sz w:val="21"/>
                <w:szCs w:val="21"/>
              </w:rPr>
              <w:t xml:space="preserve">Forurensningsfri fotballglede </w:t>
            </w:r>
          </w:p>
        </w:tc>
        <w:tc>
          <w:tcPr>
            <w:tcW w:w="1400" w:type="dxa"/>
            <w:tcBorders>
              <w:top w:val="nil"/>
              <w:left w:val="nil"/>
              <w:bottom w:val="nil"/>
              <w:right w:val="nil"/>
            </w:tcBorders>
            <w:tcMar>
              <w:top w:w="128" w:type="dxa"/>
              <w:left w:w="43" w:type="dxa"/>
              <w:bottom w:w="43" w:type="dxa"/>
              <w:right w:w="43" w:type="dxa"/>
            </w:tcMar>
          </w:tcPr>
          <w:p w14:paraId="29C6D8B1" w14:textId="77777777" w:rsidR="00D60186" w:rsidRPr="00FD49F3" w:rsidRDefault="00D60186" w:rsidP="00FD49F3">
            <w:pPr>
              <w:jc w:val="right"/>
              <w:rPr>
                <w:sz w:val="21"/>
                <w:szCs w:val="21"/>
              </w:rPr>
            </w:pPr>
            <w:r w:rsidRPr="00FD49F3">
              <w:rPr>
                <w:sz w:val="21"/>
                <w:szCs w:val="21"/>
              </w:rPr>
              <w:t>Nei</w:t>
            </w:r>
          </w:p>
        </w:tc>
      </w:tr>
      <w:tr w:rsidR="00E76DC8" w:rsidRPr="00225D4D" w14:paraId="0F344524" w14:textId="77777777">
        <w:trPr>
          <w:trHeight w:val="380"/>
        </w:trPr>
        <w:tc>
          <w:tcPr>
            <w:tcW w:w="1400" w:type="dxa"/>
            <w:tcBorders>
              <w:top w:val="nil"/>
              <w:left w:val="nil"/>
              <w:bottom w:val="nil"/>
              <w:right w:val="nil"/>
            </w:tcBorders>
            <w:tcMar>
              <w:top w:w="128" w:type="dxa"/>
              <w:left w:w="43" w:type="dxa"/>
              <w:bottom w:w="43" w:type="dxa"/>
              <w:right w:w="43" w:type="dxa"/>
            </w:tcMar>
          </w:tcPr>
          <w:p w14:paraId="0F0A5EDD"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BE5F5D1" w14:textId="77777777" w:rsidR="00D60186" w:rsidRPr="00FD49F3" w:rsidRDefault="00D60186" w:rsidP="00FD49F3">
            <w:pPr>
              <w:ind w:right="113"/>
              <w:jc w:val="right"/>
              <w:rPr>
                <w:sz w:val="21"/>
                <w:szCs w:val="21"/>
              </w:rPr>
            </w:pPr>
            <w:r w:rsidRPr="00FD49F3">
              <w:rPr>
                <w:sz w:val="21"/>
                <w:szCs w:val="21"/>
              </w:rPr>
              <w:t>57</w:t>
            </w:r>
          </w:p>
        </w:tc>
        <w:tc>
          <w:tcPr>
            <w:tcW w:w="5600" w:type="dxa"/>
            <w:tcBorders>
              <w:top w:val="nil"/>
              <w:left w:val="nil"/>
              <w:bottom w:val="nil"/>
              <w:right w:val="nil"/>
            </w:tcBorders>
            <w:tcMar>
              <w:top w:w="128" w:type="dxa"/>
              <w:left w:w="43" w:type="dxa"/>
              <w:bottom w:w="43" w:type="dxa"/>
              <w:right w:w="43" w:type="dxa"/>
            </w:tcMar>
          </w:tcPr>
          <w:p w14:paraId="601408DF" w14:textId="77777777" w:rsidR="00D60186" w:rsidRPr="00FD49F3" w:rsidRDefault="00D60186" w:rsidP="00225D4D">
            <w:pPr>
              <w:rPr>
                <w:sz w:val="21"/>
                <w:szCs w:val="21"/>
              </w:rPr>
            </w:pPr>
            <w:r w:rsidRPr="00FD49F3">
              <w:rPr>
                <w:sz w:val="21"/>
                <w:szCs w:val="21"/>
              </w:rPr>
              <w:t xml:space="preserve">Fensfeltet og naturvennlig, sirkulær gruvedrift </w:t>
            </w:r>
          </w:p>
        </w:tc>
        <w:tc>
          <w:tcPr>
            <w:tcW w:w="1400" w:type="dxa"/>
            <w:tcBorders>
              <w:top w:val="nil"/>
              <w:left w:val="nil"/>
              <w:bottom w:val="nil"/>
              <w:right w:val="nil"/>
            </w:tcBorders>
            <w:tcMar>
              <w:top w:w="128" w:type="dxa"/>
              <w:left w:w="43" w:type="dxa"/>
              <w:bottom w:w="43" w:type="dxa"/>
              <w:right w:w="43" w:type="dxa"/>
            </w:tcMar>
          </w:tcPr>
          <w:p w14:paraId="7BA54AD2" w14:textId="77777777" w:rsidR="00D60186" w:rsidRPr="00FD49F3" w:rsidRDefault="00D60186" w:rsidP="00FD49F3">
            <w:pPr>
              <w:jc w:val="right"/>
              <w:rPr>
                <w:sz w:val="21"/>
                <w:szCs w:val="21"/>
              </w:rPr>
            </w:pPr>
            <w:r w:rsidRPr="00FD49F3">
              <w:rPr>
                <w:sz w:val="21"/>
                <w:szCs w:val="21"/>
              </w:rPr>
              <w:t>Nei</w:t>
            </w:r>
          </w:p>
        </w:tc>
      </w:tr>
      <w:tr w:rsidR="00E76DC8" w:rsidRPr="00225D4D" w14:paraId="5655760E" w14:textId="77777777">
        <w:trPr>
          <w:trHeight w:val="380"/>
        </w:trPr>
        <w:tc>
          <w:tcPr>
            <w:tcW w:w="1400" w:type="dxa"/>
            <w:tcBorders>
              <w:top w:val="nil"/>
              <w:left w:val="nil"/>
              <w:bottom w:val="nil"/>
              <w:right w:val="nil"/>
            </w:tcBorders>
            <w:tcMar>
              <w:top w:w="128" w:type="dxa"/>
              <w:left w:w="43" w:type="dxa"/>
              <w:bottom w:w="43" w:type="dxa"/>
              <w:right w:w="43" w:type="dxa"/>
            </w:tcMar>
          </w:tcPr>
          <w:p w14:paraId="634D2A74"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2627CB5" w14:textId="77777777" w:rsidR="00D60186" w:rsidRPr="00FD49F3" w:rsidRDefault="00D60186" w:rsidP="00FD49F3">
            <w:pPr>
              <w:ind w:right="113"/>
              <w:jc w:val="right"/>
              <w:rPr>
                <w:sz w:val="21"/>
                <w:szCs w:val="21"/>
              </w:rPr>
            </w:pPr>
            <w:r w:rsidRPr="00FD49F3">
              <w:rPr>
                <w:sz w:val="21"/>
                <w:szCs w:val="21"/>
              </w:rPr>
              <w:t>75</w:t>
            </w:r>
          </w:p>
        </w:tc>
        <w:tc>
          <w:tcPr>
            <w:tcW w:w="5600" w:type="dxa"/>
            <w:tcBorders>
              <w:top w:val="nil"/>
              <w:left w:val="nil"/>
              <w:bottom w:val="nil"/>
              <w:right w:val="nil"/>
            </w:tcBorders>
            <w:tcMar>
              <w:top w:w="128" w:type="dxa"/>
              <w:left w:w="43" w:type="dxa"/>
              <w:bottom w:w="43" w:type="dxa"/>
              <w:right w:w="43" w:type="dxa"/>
            </w:tcMar>
          </w:tcPr>
          <w:p w14:paraId="3756FA0E" w14:textId="77777777" w:rsidR="00D60186" w:rsidRPr="00FD49F3" w:rsidRDefault="00D60186" w:rsidP="00225D4D">
            <w:pPr>
              <w:rPr>
                <w:sz w:val="21"/>
                <w:szCs w:val="21"/>
              </w:rPr>
            </w:pPr>
            <w:r w:rsidRPr="00FD49F3">
              <w:rPr>
                <w:sz w:val="21"/>
                <w:szCs w:val="21"/>
              </w:rPr>
              <w:t>Klimamål i tildelingsbrev</w:t>
            </w:r>
          </w:p>
        </w:tc>
        <w:tc>
          <w:tcPr>
            <w:tcW w:w="1400" w:type="dxa"/>
            <w:tcBorders>
              <w:top w:val="nil"/>
              <w:left w:val="nil"/>
              <w:bottom w:val="nil"/>
              <w:right w:val="nil"/>
            </w:tcBorders>
            <w:tcMar>
              <w:top w:w="128" w:type="dxa"/>
              <w:left w:w="43" w:type="dxa"/>
              <w:bottom w:w="43" w:type="dxa"/>
              <w:right w:w="43" w:type="dxa"/>
            </w:tcMar>
          </w:tcPr>
          <w:p w14:paraId="1EC3BDCF" w14:textId="77777777" w:rsidR="00D60186" w:rsidRPr="00FD49F3" w:rsidRDefault="00D60186" w:rsidP="00FD49F3">
            <w:pPr>
              <w:jc w:val="right"/>
              <w:rPr>
                <w:sz w:val="21"/>
                <w:szCs w:val="21"/>
              </w:rPr>
            </w:pPr>
            <w:r w:rsidRPr="00FD49F3">
              <w:rPr>
                <w:sz w:val="21"/>
                <w:szCs w:val="21"/>
              </w:rPr>
              <w:t>Ja</w:t>
            </w:r>
          </w:p>
        </w:tc>
      </w:tr>
      <w:tr w:rsidR="00E76DC8" w:rsidRPr="00225D4D" w14:paraId="3B5F84B8" w14:textId="77777777">
        <w:trPr>
          <w:trHeight w:val="380"/>
        </w:trPr>
        <w:tc>
          <w:tcPr>
            <w:tcW w:w="1400" w:type="dxa"/>
            <w:tcBorders>
              <w:top w:val="nil"/>
              <w:left w:val="nil"/>
              <w:bottom w:val="nil"/>
              <w:right w:val="nil"/>
            </w:tcBorders>
            <w:tcMar>
              <w:top w:w="128" w:type="dxa"/>
              <w:left w:w="43" w:type="dxa"/>
              <w:bottom w:w="43" w:type="dxa"/>
              <w:right w:w="43" w:type="dxa"/>
            </w:tcMar>
          </w:tcPr>
          <w:p w14:paraId="279ED858"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3DE78F8" w14:textId="77777777" w:rsidR="00D60186" w:rsidRPr="00FD49F3" w:rsidRDefault="00D60186" w:rsidP="00FD49F3">
            <w:pPr>
              <w:ind w:right="113"/>
              <w:jc w:val="right"/>
              <w:rPr>
                <w:sz w:val="21"/>
                <w:szCs w:val="21"/>
              </w:rPr>
            </w:pPr>
            <w:r w:rsidRPr="00FD49F3">
              <w:rPr>
                <w:sz w:val="21"/>
                <w:szCs w:val="21"/>
              </w:rPr>
              <w:t>406</w:t>
            </w:r>
          </w:p>
        </w:tc>
        <w:tc>
          <w:tcPr>
            <w:tcW w:w="5600" w:type="dxa"/>
            <w:tcBorders>
              <w:top w:val="nil"/>
              <w:left w:val="nil"/>
              <w:bottom w:val="nil"/>
              <w:right w:val="nil"/>
            </w:tcBorders>
            <w:tcMar>
              <w:top w:w="128" w:type="dxa"/>
              <w:left w:w="43" w:type="dxa"/>
              <w:bottom w:w="43" w:type="dxa"/>
              <w:right w:w="43" w:type="dxa"/>
            </w:tcMar>
          </w:tcPr>
          <w:p w14:paraId="58D38321" w14:textId="77777777" w:rsidR="00D60186" w:rsidRPr="00FD49F3" w:rsidRDefault="00D60186" w:rsidP="00225D4D">
            <w:pPr>
              <w:rPr>
                <w:sz w:val="21"/>
                <w:szCs w:val="21"/>
              </w:rPr>
            </w:pPr>
            <w:r w:rsidRPr="00FD49F3">
              <w:rPr>
                <w:sz w:val="21"/>
                <w:szCs w:val="21"/>
              </w:rPr>
              <w:t>Utrede forbud mot fossil gass til oppvarming</w:t>
            </w:r>
          </w:p>
        </w:tc>
        <w:tc>
          <w:tcPr>
            <w:tcW w:w="1400" w:type="dxa"/>
            <w:tcBorders>
              <w:top w:val="nil"/>
              <w:left w:val="nil"/>
              <w:bottom w:val="nil"/>
              <w:right w:val="nil"/>
            </w:tcBorders>
            <w:tcMar>
              <w:top w:w="128" w:type="dxa"/>
              <w:left w:w="43" w:type="dxa"/>
              <w:bottom w:w="43" w:type="dxa"/>
              <w:right w:w="43" w:type="dxa"/>
            </w:tcMar>
          </w:tcPr>
          <w:p w14:paraId="455A7C4E" w14:textId="77777777" w:rsidR="00D60186" w:rsidRPr="00FD49F3" w:rsidRDefault="00D60186" w:rsidP="00FD49F3">
            <w:pPr>
              <w:jc w:val="right"/>
              <w:rPr>
                <w:sz w:val="21"/>
                <w:szCs w:val="21"/>
              </w:rPr>
            </w:pPr>
            <w:r w:rsidRPr="00FD49F3">
              <w:rPr>
                <w:sz w:val="21"/>
                <w:szCs w:val="21"/>
              </w:rPr>
              <w:t>Ja</w:t>
            </w:r>
          </w:p>
        </w:tc>
      </w:tr>
      <w:tr w:rsidR="00E76DC8" w:rsidRPr="00225D4D" w14:paraId="21A62377" w14:textId="77777777">
        <w:trPr>
          <w:trHeight w:val="640"/>
        </w:trPr>
        <w:tc>
          <w:tcPr>
            <w:tcW w:w="1400" w:type="dxa"/>
            <w:tcBorders>
              <w:top w:val="nil"/>
              <w:left w:val="nil"/>
              <w:bottom w:val="nil"/>
              <w:right w:val="nil"/>
            </w:tcBorders>
            <w:tcMar>
              <w:top w:w="128" w:type="dxa"/>
              <w:left w:w="43" w:type="dxa"/>
              <w:bottom w:w="43" w:type="dxa"/>
              <w:right w:w="43" w:type="dxa"/>
            </w:tcMar>
          </w:tcPr>
          <w:p w14:paraId="5A734C27"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43D4EAF" w14:textId="77777777" w:rsidR="00D60186" w:rsidRPr="00FD49F3" w:rsidRDefault="00D60186" w:rsidP="00FD49F3">
            <w:pPr>
              <w:ind w:right="113"/>
              <w:jc w:val="right"/>
              <w:rPr>
                <w:sz w:val="21"/>
                <w:szCs w:val="21"/>
              </w:rPr>
            </w:pPr>
            <w:r w:rsidRPr="00FD49F3">
              <w:rPr>
                <w:sz w:val="21"/>
                <w:szCs w:val="21"/>
              </w:rPr>
              <w:t>458</w:t>
            </w:r>
          </w:p>
        </w:tc>
        <w:tc>
          <w:tcPr>
            <w:tcW w:w="5600" w:type="dxa"/>
            <w:tcBorders>
              <w:top w:val="nil"/>
              <w:left w:val="nil"/>
              <w:bottom w:val="nil"/>
              <w:right w:val="nil"/>
            </w:tcBorders>
            <w:tcMar>
              <w:top w:w="128" w:type="dxa"/>
              <w:left w:w="43" w:type="dxa"/>
              <w:bottom w:w="43" w:type="dxa"/>
              <w:right w:w="43" w:type="dxa"/>
            </w:tcMar>
          </w:tcPr>
          <w:p w14:paraId="0F00533D" w14:textId="77777777" w:rsidR="00D60186" w:rsidRPr="00FD49F3" w:rsidRDefault="00D60186" w:rsidP="00225D4D">
            <w:pPr>
              <w:rPr>
                <w:sz w:val="21"/>
                <w:szCs w:val="21"/>
              </w:rPr>
            </w:pPr>
            <w:r w:rsidRPr="00FD49F3">
              <w:rPr>
                <w:sz w:val="21"/>
                <w:szCs w:val="21"/>
              </w:rPr>
              <w:t>Styrket fagkompetanse innen klimatilpasning for kommunesektoren</w:t>
            </w:r>
          </w:p>
        </w:tc>
        <w:tc>
          <w:tcPr>
            <w:tcW w:w="1400" w:type="dxa"/>
            <w:tcBorders>
              <w:top w:val="nil"/>
              <w:left w:val="nil"/>
              <w:bottom w:val="nil"/>
              <w:right w:val="nil"/>
            </w:tcBorders>
            <w:tcMar>
              <w:top w:w="128" w:type="dxa"/>
              <w:left w:w="43" w:type="dxa"/>
              <w:bottom w:w="43" w:type="dxa"/>
              <w:right w:w="43" w:type="dxa"/>
            </w:tcMar>
          </w:tcPr>
          <w:p w14:paraId="1A85FF76" w14:textId="77777777" w:rsidR="00D60186" w:rsidRPr="00FD49F3" w:rsidRDefault="00D60186" w:rsidP="00FD49F3">
            <w:pPr>
              <w:jc w:val="right"/>
              <w:rPr>
                <w:sz w:val="21"/>
                <w:szCs w:val="21"/>
              </w:rPr>
            </w:pPr>
            <w:r w:rsidRPr="00FD49F3">
              <w:rPr>
                <w:sz w:val="21"/>
                <w:szCs w:val="21"/>
              </w:rPr>
              <w:t>Nei</w:t>
            </w:r>
          </w:p>
        </w:tc>
      </w:tr>
      <w:tr w:rsidR="00E76DC8" w:rsidRPr="00225D4D" w14:paraId="08A701C2" w14:textId="77777777">
        <w:trPr>
          <w:trHeight w:val="640"/>
        </w:trPr>
        <w:tc>
          <w:tcPr>
            <w:tcW w:w="1400" w:type="dxa"/>
            <w:tcBorders>
              <w:top w:val="nil"/>
              <w:left w:val="nil"/>
              <w:bottom w:val="nil"/>
              <w:right w:val="nil"/>
            </w:tcBorders>
            <w:tcMar>
              <w:top w:w="128" w:type="dxa"/>
              <w:left w:w="43" w:type="dxa"/>
              <w:bottom w:w="43" w:type="dxa"/>
              <w:right w:w="43" w:type="dxa"/>
            </w:tcMar>
          </w:tcPr>
          <w:p w14:paraId="7DAB5EA6"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25AFF04" w14:textId="77777777" w:rsidR="00D60186" w:rsidRPr="00FD49F3" w:rsidRDefault="00D60186" w:rsidP="00FD49F3">
            <w:pPr>
              <w:ind w:right="113"/>
              <w:jc w:val="right"/>
              <w:rPr>
                <w:sz w:val="21"/>
                <w:szCs w:val="21"/>
              </w:rPr>
            </w:pPr>
            <w:r w:rsidRPr="00FD49F3">
              <w:rPr>
                <w:sz w:val="21"/>
                <w:szCs w:val="21"/>
              </w:rPr>
              <w:t>459</w:t>
            </w:r>
          </w:p>
        </w:tc>
        <w:tc>
          <w:tcPr>
            <w:tcW w:w="5600" w:type="dxa"/>
            <w:tcBorders>
              <w:top w:val="nil"/>
              <w:left w:val="nil"/>
              <w:bottom w:val="nil"/>
              <w:right w:val="nil"/>
            </w:tcBorders>
            <w:tcMar>
              <w:top w:w="128" w:type="dxa"/>
              <w:left w:w="43" w:type="dxa"/>
              <w:bottom w:w="43" w:type="dxa"/>
              <w:right w:w="43" w:type="dxa"/>
            </w:tcMar>
          </w:tcPr>
          <w:p w14:paraId="67F607E7" w14:textId="77777777" w:rsidR="00D60186" w:rsidRPr="00FD49F3" w:rsidRDefault="00D60186" w:rsidP="00225D4D">
            <w:pPr>
              <w:rPr>
                <w:sz w:val="21"/>
                <w:szCs w:val="21"/>
              </w:rPr>
            </w:pPr>
            <w:r w:rsidRPr="00FD49F3">
              <w:rPr>
                <w:sz w:val="21"/>
                <w:szCs w:val="21"/>
              </w:rPr>
              <w:t>Regionale klimatilpasningsnettverk – Vurdere å utvide ordningen til alle fylker</w:t>
            </w:r>
          </w:p>
        </w:tc>
        <w:tc>
          <w:tcPr>
            <w:tcW w:w="1400" w:type="dxa"/>
            <w:tcBorders>
              <w:top w:val="nil"/>
              <w:left w:val="nil"/>
              <w:bottom w:val="nil"/>
              <w:right w:val="nil"/>
            </w:tcBorders>
            <w:tcMar>
              <w:top w:w="128" w:type="dxa"/>
              <w:left w:w="43" w:type="dxa"/>
              <w:bottom w:w="43" w:type="dxa"/>
              <w:right w:w="43" w:type="dxa"/>
            </w:tcMar>
          </w:tcPr>
          <w:p w14:paraId="649A25BF" w14:textId="77777777" w:rsidR="00D60186" w:rsidRPr="00FD49F3" w:rsidRDefault="00D60186" w:rsidP="00FD49F3">
            <w:pPr>
              <w:jc w:val="right"/>
              <w:rPr>
                <w:sz w:val="21"/>
                <w:szCs w:val="21"/>
              </w:rPr>
            </w:pPr>
            <w:r w:rsidRPr="00FD49F3">
              <w:rPr>
                <w:sz w:val="21"/>
                <w:szCs w:val="21"/>
              </w:rPr>
              <w:t>Nei</w:t>
            </w:r>
          </w:p>
        </w:tc>
      </w:tr>
      <w:tr w:rsidR="00E76DC8" w:rsidRPr="00225D4D" w14:paraId="2EBF80CA" w14:textId="77777777">
        <w:trPr>
          <w:trHeight w:val="640"/>
        </w:trPr>
        <w:tc>
          <w:tcPr>
            <w:tcW w:w="1400" w:type="dxa"/>
            <w:tcBorders>
              <w:top w:val="nil"/>
              <w:left w:val="nil"/>
              <w:bottom w:val="nil"/>
              <w:right w:val="nil"/>
            </w:tcBorders>
            <w:tcMar>
              <w:top w:w="128" w:type="dxa"/>
              <w:left w:w="43" w:type="dxa"/>
              <w:bottom w:w="43" w:type="dxa"/>
              <w:right w:w="43" w:type="dxa"/>
            </w:tcMar>
          </w:tcPr>
          <w:p w14:paraId="09FB1C23"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1732816" w14:textId="77777777" w:rsidR="00D60186" w:rsidRPr="00FD49F3" w:rsidRDefault="00D60186" w:rsidP="00FD49F3">
            <w:pPr>
              <w:ind w:right="113"/>
              <w:jc w:val="right"/>
              <w:rPr>
                <w:sz w:val="21"/>
                <w:szCs w:val="21"/>
              </w:rPr>
            </w:pPr>
            <w:r w:rsidRPr="00FD49F3">
              <w:rPr>
                <w:sz w:val="21"/>
                <w:szCs w:val="21"/>
              </w:rPr>
              <w:t>793</w:t>
            </w:r>
          </w:p>
        </w:tc>
        <w:tc>
          <w:tcPr>
            <w:tcW w:w="5600" w:type="dxa"/>
            <w:tcBorders>
              <w:top w:val="nil"/>
              <w:left w:val="nil"/>
              <w:bottom w:val="nil"/>
              <w:right w:val="nil"/>
            </w:tcBorders>
            <w:tcMar>
              <w:top w:w="128" w:type="dxa"/>
              <w:left w:w="43" w:type="dxa"/>
              <w:bottom w:w="43" w:type="dxa"/>
              <w:right w:w="43" w:type="dxa"/>
            </w:tcMar>
          </w:tcPr>
          <w:p w14:paraId="39D57E67" w14:textId="77777777" w:rsidR="00D60186" w:rsidRPr="00FD49F3" w:rsidRDefault="00D60186" w:rsidP="00225D4D">
            <w:pPr>
              <w:rPr>
                <w:sz w:val="21"/>
                <w:szCs w:val="21"/>
              </w:rPr>
            </w:pPr>
            <w:r w:rsidRPr="00FD49F3">
              <w:rPr>
                <w:sz w:val="21"/>
                <w:szCs w:val="21"/>
              </w:rPr>
              <w:t>Sikre følgeforskning for best mulig kunnskapsgrunnlag om tiltak for Oslofjorden</w:t>
            </w:r>
          </w:p>
        </w:tc>
        <w:tc>
          <w:tcPr>
            <w:tcW w:w="1400" w:type="dxa"/>
            <w:tcBorders>
              <w:top w:val="nil"/>
              <w:left w:val="nil"/>
              <w:bottom w:val="nil"/>
              <w:right w:val="nil"/>
            </w:tcBorders>
            <w:tcMar>
              <w:top w:w="128" w:type="dxa"/>
              <w:left w:w="43" w:type="dxa"/>
              <w:bottom w:w="43" w:type="dxa"/>
              <w:right w:w="43" w:type="dxa"/>
            </w:tcMar>
          </w:tcPr>
          <w:p w14:paraId="4E5F07EA" w14:textId="77777777" w:rsidR="00D60186" w:rsidRPr="00FD49F3" w:rsidRDefault="00D60186" w:rsidP="00FD49F3">
            <w:pPr>
              <w:jc w:val="right"/>
              <w:rPr>
                <w:sz w:val="21"/>
                <w:szCs w:val="21"/>
              </w:rPr>
            </w:pPr>
            <w:r w:rsidRPr="00FD49F3">
              <w:rPr>
                <w:sz w:val="21"/>
                <w:szCs w:val="21"/>
              </w:rPr>
              <w:t>Nei</w:t>
            </w:r>
          </w:p>
        </w:tc>
      </w:tr>
      <w:tr w:rsidR="00E76DC8" w:rsidRPr="00225D4D" w14:paraId="3BFD52FB" w14:textId="77777777">
        <w:trPr>
          <w:trHeight w:val="380"/>
        </w:trPr>
        <w:tc>
          <w:tcPr>
            <w:tcW w:w="1400" w:type="dxa"/>
            <w:tcBorders>
              <w:top w:val="nil"/>
              <w:left w:val="nil"/>
              <w:bottom w:val="nil"/>
              <w:right w:val="nil"/>
            </w:tcBorders>
            <w:tcMar>
              <w:top w:w="128" w:type="dxa"/>
              <w:left w:w="43" w:type="dxa"/>
              <w:bottom w:w="43" w:type="dxa"/>
              <w:right w:w="43" w:type="dxa"/>
            </w:tcMar>
          </w:tcPr>
          <w:p w14:paraId="03BC84A0"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238AD49" w14:textId="77777777" w:rsidR="00D60186" w:rsidRPr="00FD49F3" w:rsidRDefault="00D60186" w:rsidP="00FD49F3">
            <w:pPr>
              <w:ind w:right="113"/>
              <w:jc w:val="right"/>
              <w:rPr>
                <w:sz w:val="21"/>
                <w:szCs w:val="21"/>
              </w:rPr>
            </w:pPr>
            <w:r w:rsidRPr="00FD49F3">
              <w:rPr>
                <w:sz w:val="21"/>
                <w:szCs w:val="21"/>
              </w:rPr>
              <w:t>783</w:t>
            </w:r>
          </w:p>
        </w:tc>
        <w:tc>
          <w:tcPr>
            <w:tcW w:w="5600" w:type="dxa"/>
            <w:tcBorders>
              <w:top w:val="nil"/>
              <w:left w:val="nil"/>
              <w:bottom w:val="nil"/>
              <w:right w:val="nil"/>
            </w:tcBorders>
            <w:tcMar>
              <w:top w:w="128" w:type="dxa"/>
              <w:left w:w="43" w:type="dxa"/>
              <w:bottom w:w="43" w:type="dxa"/>
              <w:right w:w="43" w:type="dxa"/>
            </w:tcMar>
          </w:tcPr>
          <w:p w14:paraId="035CCE72" w14:textId="77777777" w:rsidR="00D60186" w:rsidRPr="00FD49F3" w:rsidRDefault="00D60186" w:rsidP="00225D4D">
            <w:pPr>
              <w:rPr>
                <w:sz w:val="21"/>
                <w:szCs w:val="21"/>
              </w:rPr>
            </w:pPr>
            <w:r w:rsidRPr="00FD49F3">
              <w:rPr>
                <w:sz w:val="21"/>
                <w:szCs w:val="21"/>
              </w:rPr>
              <w:t>Villreinfangsten på Dovre</w:t>
            </w:r>
          </w:p>
        </w:tc>
        <w:tc>
          <w:tcPr>
            <w:tcW w:w="1400" w:type="dxa"/>
            <w:tcBorders>
              <w:top w:val="nil"/>
              <w:left w:val="nil"/>
              <w:bottom w:val="nil"/>
              <w:right w:val="nil"/>
            </w:tcBorders>
            <w:tcMar>
              <w:top w:w="128" w:type="dxa"/>
              <w:left w:w="43" w:type="dxa"/>
              <w:bottom w:w="43" w:type="dxa"/>
              <w:right w:w="43" w:type="dxa"/>
            </w:tcMar>
          </w:tcPr>
          <w:p w14:paraId="1A68A7E2" w14:textId="77777777" w:rsidR="00D60186" w:rsidRPr="00FD49F3" w:rsidRDefault="00D60186" w:rsidP="00FD49F3">
            <w:pPr>
              <w:jc w:val="right"/>
              <w:rPr>
                <w:sz w:val="21"/>
                <w:szCs w:val="21"/>
              </w:rPr>
            </w:pPr>
            <w:r w:rsidRPr="00FD49F3">
              <w:rPr>
                <w:sz w:val="21"/>
                <w:szCs w:val="21"/>
              </w:rPr>
              <w:t>Nei</w:t>
            </w:r>
          </w:p>
        </w:tc>
      </w:tr>
      <w:tr w:rsidR="00E76DC8" w:rsidRPr="00225D4D" w14:paraId="3179C637" w14:textId="77777777">
        <w:trPr>
          <w:trHeight w:val="380"/>
        </w:trPr>
        <w:tc>
          <w:tcPr>
            <w:tcW w:w="1400" w:type="dxa"/>
            <w:tcBorders>
              <w:top w:val="nil"/>
              <w:left w:val="nil"/>
              <w:bottom w:val="nil"/>
              <w:right w:val="nil"/>
            </w:tcBorders>
            <w:tcMar>
              <w:top w:w="128" w:type="dxa"/>
              <w:left w:w="43" w:type="dxa"/>
              <w:bottom w:w="43" w:type="dxa"/>
              <w:right w:w="43" w:type="dxa"/>
            </w:tcMar>
          </w:tcPr>
          <w:p w14:paraId="006544C6"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480C0E63" w14:textId="77777777" w:rsidR="00D60186" w:rsidRPr="00FD49F3" w:rsidRDefault="00D60186" w:rsidP="00FD49F3">
            <w:pPr>
              <w:ind w:right="113"/>
              <w:jc w:val="right"/>
              <w:rPr>
                <w:sz w:val="21"/>
                <w:szCs w:val="21"/>
              </w:rPr>
            </w:pPr>
            <w:r w:rsidRPr="00FD49F3">
              <w:rPr>
                <w:sz w:val="21"/>
                <w:szCs w:val="21"/>
              </w:rPr>
              <w:t>785</w:t>
            </w:r>
          </w:p>
        </w:tc>
        <w:tc>
          <w:tcPr>
            <w:tcW w:w="5600" w:type="dxa"/>
            <w:tcBorders>
              <w:top w:val="nil"/>
              <w:left w:val="nil"/>
              <w:bottom w:val="nil"/>
              <w:right w:val="nil"/>
            </w:tcBorders>
            <w:tcMar>
              <w:top w:w="128" w:type="dxa"/>
              <w:left w:w="43" w:type="dxa"/>
              <w:bottom w:w="43" w:type="dxa"/>
              <w:right w:w="43" w:type="dxa"/>
            </w:tcMar>
          </w:tcPr>
          <w:p w14:paraId="1190B71F" w14:textId="77777777" w:rsidR="00D60186" w:rsidRPr="00FD49F3" w:rsidRDefault="00D60186" w:rsidP="00225D4D">
            <w:pPr>
              <w:rPr>
                <w:sz w:val="21"/>
                <w:szCs w:val="21"/>
              </w:rPr>
            </w:pPr>
            <w:r w:rsidRPr="00FD49F3">
              <w:rPr>
                <w:sz w:val="21"/>
                <w:szCs w:val="21"/>
              </w:rPr>
              <w:t>Avbøtende tiltak for frivilling sektor</w:t>
            </w:r>
          </w:p>
        </w:tc>
        <w:tc>
          <w:tcPr>
            <w:tcW w:w="1400" w:type="dxa"/>
            <w:tcBorders>
              <w:top w:val="nil"/>
              <w:left w:val="nil"/>
              <w:bottom w:val="nil"/>
              <w:right w:val="nil"/>
            </w:tcBorders>
            <w:tcMar>
              <w:top w:w="128" w:type="dxa"/>
              <w:left w:w="43" w:type="dxa"/>
              <w:bottom w:w="43" w:type="dxa"/>
              <w:right w:w="43" w:type="dxa"/>
            </w:tcMar>
          </w:tcPr>
          <w:p w14:paraId="77CDE93D" w14:textId="77777777" w:rsidR="00D60186" w:rsidRPr="00FD49F3" w:rsidRDefault="00D60186" w:rsidP="00FD49F3">
            <w:pPr>
              <w:jc w:val="right"/>
              <w:rPr>
                <w:sz w:val="21"/>
                <w:szCs w:val="21"/>
              </w:rPr>
            </w:pPr>
            <w:r w:rsidRPr="00FD49F3">
              <w:rPr>
                <w:sz w:val="21"/>
                <w:szCs w:val="21"/>
              </w:rPr>
              <w:t>Nei</w:t>
            </w:r>
          </w:p>
        </w:tc>
      </w:tr>
      <w:tr w:rsidR="00E76DC8" w:rsidRPr="00225D4D" w14:paraId="3B0B8967" w14:textId="77777777">
        <w:trPr>
          <w:trHeight w:val="380"/>
        </w:trPr>
        <w:tc>
          <w:tcPr>
            <w:tcW w:w="1400" w:type="dxa"/>
            <w:tcBorders>
              <w:top w:val="nil"/>
              <w:left w:val="nil"/>
              <w:bottom w:val="nil"/>
              <w:right w:val="nil"/>
            </w:tcBorders>
            <w:tcMar>
              <w:top w:w="128" w:type="dxa"/>
              <w:left w:w="43" w:type="dxa"/>
              <w:bottom w:w="43" w:type="dxa"/>
              <w:right w:w="43" w:type="dxa"/>
            </w:tcMar>
          </w:tcPr>
          <w:p w14:paraId="27B60BF7"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DF5D05C" w14:textId="77777777" w:rsidR="00D60186" w:rsidRPr="00FD49F3" w:rsidRDefault="00D60186" w:rsidP="00FD49F3">
            <w:pPr>
              <w:ind w:right="113"/>
              <w:jc w:val="right"/>
              <w:rPr>
                <w:sz w:val="21"/>
                <w:szCs w:val="21"/>
              </w:rPr>
            </w:pPr>
            <w:r w:rsidRPr="00FD49F3">
              <w:rPr>
                <w:sz w:val="21"/>
                <w:szCs w:val="21"/>
              </w:rPr>
              <w:t>786</w:t>
            </w:r>
          </w:p>
        </w:tc>
        <w:tc>
          <w:tcPr>
            <w:tcW w:w="5600" w:type="dxa"/>
            <w:tcBorders>
              <w:top w:val="nil"/>
              <w:left w:val="nil"/>
              <w:bottom w:val="nil"/>
              <w:right w:val="nil"/>
            </w:tcBorders>
            <w:tcMar>
              <w:top w:w="128" w:type="dxa"/>
              <w:left w:w="43" w:type="dxa"/>
              <w:bottom w:w="43" w:type="dxa"/>
              <w:right w:w="43" w:type="dxa"/>
            </w:tcMar>
          </w:tcPr>
          <w:p w14:paraId="2A4713CB" w14:textId="77777777" w:rsidR="00D60186" w:rsidRPr="00FD49F3" w:rsidRDefault="00D60186" w:rsidP="00225D4D">
            <w:pPr>
              <w:rPr>
                <w:sz w:val="21"/>
                <w:szCs w:val="21"/>
              </w:rPr>
            </w:pPr>
            <w:r w:rsidRPr="00FD49F3">
              <w:rPr>
                <w:sz w:val="21"/>
                <w:szCs w:val="21"/>
              </w:rPr>
              <w:t>Reetablere villrein i Nordfjella</w:t>
            </w:r>
          </w:p>
        </w:tc>
        <w:tc>
          <w:tcPr>
            <w:tcW w:w="1400" w:type="dxa"/>
            <w:tcBorders>
              <w:top w:val="nil"/>
              <w:left w:val="nil"/>
              <w:bottom w:val="nil"/>
              <w:right w:val="nil"/>
            </w:tcBorders>
            <w:tcMar>
              <w:top w:w="128" w:type="dxa"/>
              <w:left w:w="43" w:type="dxa"/>
              <w:bottom w:w="43" w:type="dxa"/>
              <w:right w:w="43" w:type="dxa"/>
            </w:tcMar>
          </w:tcPr>
          <w:p w14:paraId="03CF1955" w14:textId="77777777" w:rsidR="00D60186" w:rsidRPr="00FD49F3" w:rsidRDefault="00D60186" w:rsidP="00FD49F3">
            <w:pPr>
              <w:jc w:val="right"/>
              <w:rPr>
                <w:sz w:val="21"/>
                <w:szCs w:val="21"/>
              </w:rPr>
            </w:pPr>
            <w:r w:rsidRPr="00FD49F3">
              <w:rPr>
                <w:sz w:val="21"/>
                <w:szCs w:val="21"/>
              </w:rPr>
              <w:t>Nei</w:t>
            </w:r>
          </w:p>
        </w:tc>
      </w:tr>
      <w:tr w:rsidR="00E76DC8" w:rsidRPr="00225D4D" w14:paraId="01615B34" w14:textId="77777777">
        <w:trPr>
          <w:trHeight w:val="380"/>
        </w:trPr>
        <w:tc>
          <w:tcPr>
            <w:tcW w:w="1400" w:type="dxa"/>
            <w:tcBorders>
              <w:top w:val="nil"/>
              <w:left w:val="nil"/>
              <w:bottom w:val="nil"/>
              <w:right w:val="nil"/>
            </w:tcBorders>
            <w:tcMar>
              <w:top w:w="128" w:type="dxa"/>
              <w:left w:w="43" w:type="dxa"/>
              <w:bottom w:w="43" w:type="dxa"/>
              <w:right w:w="43" w:type="dxa"/>
            </w:tcMar>
          </w:tcPr>
          <w:p w14:paraId="44A2FEBF"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C13C66B" w14:textId="77777777" w:rsidR="00D60186" w:rsidRPr="00FD49F3" w:rsidRDefault="00D60186" w:rsidP="00FD49F3">
            <w:pPr>
              <w:ind w:right="113"/>
              <w:jc w:val="right"/>
              <w:rPr>
                <w:sz w:val="21"/>
                <w:szCs w:val="21"/>
              </w:rPr>
            </w:pPr>
            <w:r w:rsidRPr="00FD49F3">
              <w:rPr>
                <w:sz w:val="21"/>
                <w:szCs w:val="21"/>
              </w:rPr>
              <w:t>914</w:t>
            </w:r>
          </w:p>
        </w:tc>
        <w:tc>
          <w:tcPr>
            <w:tcW w:w="5600" w:type="dxa"/>
            <w:tcBorders>
              <w:top w:val="nil"/>
              <w:left w:val="nil"/>
              <w:bottom w:val="nil"/>
              <w:right w:val="nil"/>
            </w:tcBorders>
            <w:tcMar>
              <w:top w:w="128" w:type="dxa"/>
              <w:left w:w="43" w:type="dxa"/>
              <w:bottom w:w="43" w:type="dxa"/>
              <w:right w:w="43" w:type="dxa"/>
            </w:tcMar>
          </w:tcPr>
          <w:p w14:paraId="5DAFD953" w14:textId="77777777" w:rsidR="00D60186" w:rsidRPr="00FD49F3" w:rsidRDefault="00D60186" w:rsidP="00225D4D">
            <w:pPr>
              <w:rPr>
                <w:sz w:val="21"/>
                <w:szCs w:val="21"/>
              </w:rPr>
            </w:pPr>
            <w:r w:rsidRPr="00FD49F3">
              <w:rPr>
                <w:sz w:val="21"/>
                <w:szCs w:val="21"/>
              </w:rPr>
              <w:t>Forbud mot torvuttak</w:t>
            </w:r>
          </w:p>
        </w:tc>
        <w:tc>
          <w:tcPr>
            <w:tcW w:w="1400" w:type="dxa"/>
            <w:tcBorders>
              <w:top w:val="nil"/>
              <w:left w:val="nil"/>
              <w:bottom w:val="nil"/>
              <w:right w:val="nil"/>
            </w:tcBorders>
            <w:tcMar>
              <w:top w:w="128" w:type="dxa"/>
              <w:left w:w="43" w:type="dxa"/>
              <w:bottom w:w="43" w:type="dxa"/>
              <w:right w:w="43" w:type="dxa"/>
            </w:tcMar>
          </w:tcPr>
          <w:p w14:paraId="3E3138EB" w14:textId="77777777" w:rsidR="00D60186" w:rsidRPr="00FD49F3" w:rsidRDefault="00D60186" w:rsidP="00FD49F3">
            <w:pPr>
              <w:jc w:val="right"/>
              <w:rPr>
                <w:sz w:val="21"/>
                <w:szCs w:val="21"/>
              </w:rPr>
            </w:pPr>
            <w:r w:rsidRPr="00FD49F3">
              <w:rPr>
                <w:sz w:val="21"/>
                <w:szCs w:val="21"/>
              </w:rPr>
              <w:t>Ja</w:t>
            </w:r>
          </w:p>
        </w:tc>
      </w:tr>
      <w:tr w:rsidR="00E76DC8" w:rsidRPr="00225D4D" w14:paraId="230912A6" w14:textId="77777777">
        <w:trPr>
          <w:trHeight w:val="380"/>
        </w:trPr>
        <w:tc>
          <w:tcPr>
            <w:tcW w:w="1400" w:type="dxa"/>
            <w:tcBorders>
              <w:top w:val="nil"/>
              <w:left w:val="nil"/>
              <w:bottom w:val="nil"/>
              <w:right w:val="nil"/>
            </w:tcBorders>
            <w:tcMar>
              <w:top w:w="128" w:type="dxa"/>
              <w:left w:w="43" w:type="dxa"/>
              <w:bottom w:w="43" w:type="dxa"/>
              <w:right w:w="43" w:type="dxa"/>
            </w:tcMar>
          </w:tcPr>
          <w:p w14:paraId="0EF4867A"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55D7ACB8" w14:textId="77777777" w:rsidR="00D60186" w:rsidRPr="00FD49F3" w:rsidRDefault="00D60186" w:rsidP="00FD49F3">
            <w:pPr>
              <w:ind w:right="113"/>
              <w:jc w:val="right"/>
              <w:rPr>
                <w:sz w:val="21"/>
                <w:szCs w:val="21"/>
              </w:rPr>
            </w:pPr>
            <w:r w:rsidRPr="00FD49F3">
              <w:rPr>
                <w:sz w:val="21"/>
                <w:szCs w:val="21"/>
              </w:rPr>
              <w:t>92</w:t>
            </w:r>
          </w:p>
        </w:tc>
        <w:tc>
          <w:tcPr>
            <w:tcW w:w="5600" w:type="dxa"/>
            <w:tcBorders>
              <w:top w:val="nil"/>
              <w:left w:val="nil"/>
              <w:bottom w:val="nil"/>
              <w:right w:val="nil"/>
            </w:tcBorders>
            <w:tcMar>
              <w:top w:w="128" w:type="dxa"/>
              <w:left w:w="43" w:type="dxa"/>
              <w:bottom w:w="43" w:type="dxa"/>
              <w:right w:w="43" w:type="dxa"/>
            </w:tcMar>
          </w:tcPr>
          <w:p w14:paraId="4E09EF3D" w14:textId="77777777" w:rsidR="00D60186" w:rsidRPr="00FD49F3" w:rsidRDefault="00D60186" w:rsidP="00225D4D">
            <w:pPr>
              <w:rPr>
                <w:sz w:val="21"/>
                <w:szCs w:val="21"/>
              </w:rPr>
            </w:pPr>
            <w:r w:rsidRPr="00FD49F3">
              <w:rPr>
                <w:sz w:val="21"/>
                <w:szCs w:val="21"/>
              </w:rPr>
              <w:t>Fremme krav om lav- og nullutslipp til offshore</w:t>
            </w:r>
          </w:p>
        </w:tc>
        <w:tc>
          <w:tcPr>
            <w:tcW w:w="1400" w:type="dxa"/>
            <w:tcBorders>
              <w:top w:val="nil"/>
              <w:left w:val="nil"/>
              <w:bottom w:val="nil"/>
              <w:right w:val="nil"/>
            </w:tcBorders>
            <w:tcMar>
              <w:top w:w="128" w:type="dxa"/>
              <w:left w:w="43" w:type="dxa"/>
              <w:bottom w:w="43" w:type="dxa"/>
              <w:right w:w="43" w:type="dxa"/>
            </w:tcMar>
          </w:tcPr>
          <w:p w14:paraId="6E2BD7F7" w14:textId="77777777" w:rsidR="00D60186" w:rsidRPr="00FD49F3" w:rsidRDefault="00D60186" w:rsidP="00FD49F3">
            <w:pPr>
              <w:jc w:val="right"/>
              <w:rPr>
                <w:sz w:val="21"/>
                <w:szCs w:val="21"/>
              </w:rPr>
            </w:pPr>
            <w:r w:rsidRPr="00FD49F3">
              <w:rPr>
                <w:sz w:val="21"/>
                <w:szCs w:val="21"/>
              </w:rPr>
              <w:t>Nei</w:t>
            </w:r>
          </w:p>
        </w:tc>
      </w:tr>
      <w:tr w:rsidR="00E76DC8" w:rsidRPr="00225D4D" w14:paraId="5A1516FA" w14:textId="77777777">
        <w:trPr>
          <w:trHeight w:val="640"/>
        </w:trPr>
        <w:tc>
          <w:tcPr>
            <w:tcW w:w="1400" w:type="dxa"/>
            <w:tcBorders>
              <w:top w:val="nil"/>
              <w:left w:val="nil"/>
              <w:bottom w:val="nil"/>
              <w:right w:val="nil"/>
            </w:tcBorders>
            <w:tcMar>
              <w:top w:w="128" w:type="dxa"/>
              <w:left w:w="43" w:type="dxa"/>
              <w:bottom w:w="43" w:type="dxa"/>
              <w:right w:w="43" w:type="dxa"/>
            </w:tcMar>
          </w:tcPr>
          <w:p w14:paraId="2E1D1DC8"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2E0C5354" w14:textId="77777777" w:rsidR="00D60186" w:rsidRPr="00FD49F3" w:rsidRDefault="00D60186" w:rsidP="00FD49F3">
            <w:pPr>
              <w:ind w:right="113"/>
              <w:jc w:val="right"/>
              <w:rPr>
                <w:sz w:val="21"/>
                <w:szCs w:val="21"/>
              </w:rPr>
            </w:pPr>
            <w:r w:rsidRPr="00FD49F3">
              <w:rPr>
                <w:sz w:val="21"/>
                <w:szCs w:val="21"/>
              </w:rPr>
              <w:t>108</w:t>
            </w:r>
          </w:p>
        </w:tc>
        <w:tc>
          <w:tcPr>
            <w:tcW w:w="5600" w:type="dxa"/>
            <w:tcBorders>
              <w:top w:val="nil"/>
              <w:left w:val="nil"/>
              <w:bottom w:val="nil"/>
              <w:right w:val="nil"/>
            </w:tcBorders>
            <w:tcMar>
              <w:top w:w="128" w:type="dxa"/>
              <w:left w:w="43" w:type="dxa"/>
              <w:bottom w:w="43" w:type="dxa"/>
              <w:right w:w="43" w:type="dxa"/>
            </w:tcMar>
          </w:tcPr>
          <w:p w14:paraId="29E596E8" w14:textId="77777777" w:rsidR="00D60186" w:rsidRPr="00FD49F3" w:rsidRDefault="00D60186" w:rsidP="00225D4D">
            <w:pPr>
              <w:rPr>
                <w:sz w:val="21"/>
                <w:szCs w:val="21"/>
              </w:rPr>
            </w:pPr>
            <w:r w:rsidRPr="00FD49F3">
              <w:rPr>
                <w:sz w:val="21"/>
                <w:szCs w:val="21"/>
              </w:rPr>
              <w:t>Fremme forslag om forbud mot nedbygging av myr til utbyggingsformål i 2023</w:t>
            </w:r>
          </w:p>
        </w:tc>
        <w:tc>
          <w:tcPr>
            <w:tcW w:w="1400" w:type="dxa"/>
            <w:tcBorders>
              <w:top w:val="nil"/>
              <w:left w:val="nil"/>
              <w:bottom w:val="nil"/>
              <w:right w:val="nil"/>
            </w:tcBorders>
            <w:tcMar>
              <w:top w:w="128" w:type="dxa"/>
              <w:left w:w="43" w:type="dxa"/>
              <w:bottom w:w="43" w:type="dxa"/>
              <w:right w:w="43" w:type="dxa"/>
            </w:tcMar>
          </w:tcPr>
          <w:p w14:paraId="67DB1081" w14:textId="77777777" w:rsidR="00D60186" w:rsidRPr="00FD49F3" w:rsidRDefault="00D60186" w:rsidP="00FD49F3">
            <w:pPr>
              <w:jc w:val="right"/>
              <w:rPr>
                <w:sz w:val="21"/>
                <w:szCs w:val="21"/>
              </w:rPr>
            </w:pPr>
            <w:r w:rsidRPr="00FD49F3">
              <w:rPr>
                <w:sz w:val="21"/>
                <w:szCs w:val="21"/>
              </w:rPr>
              <w:t>Nei</w:t>
            </w:r>
          </w:p>
        </w:tc>
      </w:tr>
      <w:tr w:rsidR="00E76DC8" w:rsidRPr="00225D4D" w14:paraId="0FE3093A" w14:textId="77777777">
        <w:trPr>
          <w:trHeight w:val="640"/>
        </w:trPr>
        <w:tc>
          <w:tcPr>
            <w:tcW w:w="1400" w:type="dxa"/>
            <w:tcBorders>
              <w:top w:val="nil"/>
              <w:left w:val="nil"/>
              <w:bottom w:val="nil"/>
              <w:right w:val="nil"/>
            </w:tcBorders>
            <w:tcMar>
              <w:top w:w="128" w:type="dxa"/>
              <w:left w:w="43" w:type="dxa"/>
              <w:bottom w:w="43" w:type="dxa"/>
              <w:right w:w="43" w:type="dxa"/>
            </w:tcMar>
          </w:tcPr>
          <w:p w14:paraId="761F6728"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2DC570C7" w14:textId="77777777" w:rsidR="00D60186" w:rsidRPr="00FD49F3" w:rsidRDefault="00D60186" w:rsidP="00FD49F3">
            <w:pPr>
              <w:ind w:right="113"/>
              <w:jc w:val="right"/>
              <w:rPr>
                <w:sz w:val="21"/>
                <w:szCs w:val="21"/>
              </w:rPr>
            </w:pPr>
            <w:r w:rsidRPr="00FD49F3">
              <w:rPr>
                <w:sz w:val="21"/>
                <w:szCs w:val="21"/>
              </w:rPr>
              <w:t>113</w:t>
            </w:r>
          </w:p>
        </w:tc>
        <w:tc>
          <w:tcPr>
            <w:tcW w:w="5600" w:type="dxa"/>
            <w:tcBorders>
              <w:top w:val="nil"/>
              <w:left w:val="nil"/>
              <w:bottom w:val="nil"/>
              <w:right w:val="nil"/>
            </w:tcBorders>
            <w:tcMar>
              <w:top w:w="128" w:type="dxa"/>
              <w:left w:w="43" w:type="dxa"/>
              <w:bottom w:w="43" w:type="dxa"/>
              <w:right w:w="43" w:type="dxa"/>
            </w:tcMar>
          </w:tcPr>
          <w:p w14:paraId="0A8456E4" w14:textId="77777777" w:rsidR="00D60186" w:rsidRPr="00FD49F3" w:rsidRDefault="00D60186" w:rsidP="00225D4D">
            <w:pPr>
              <w:rPr>
                <w:sz w:val="21"/>
                <w:szCs w:val="21"/>
              </w:rPr>
            </w:pPr>
            <w:r w:rsidRPr="00FD49F3">
              <w:rPr>
                <w:sz w:val="21"/>
                <w:szCs w:val="21"/>
              </w:rPr>
              <w:t xml:space="preserve">Utrede og fremme forslag om forbud mot bruk av fossil gass i </w:t>
            </w:r>
            <w:proofErr w:type="spellStart"/>
            <w:r w:rsidRPr="00FD49F3">
              <w:rPr>
                <w:sz w:val="21"/>
                <w:szCs w:val="21"/>
              </w:rPr>
              <w:t>byggvarme</w:t>
            </w:r>
            <w:proofErr w:type="spellEnd"/>
          </w:p>
        </w:tc>
        <w:tc>
          <w:tcPr>
            <w:tcW w:w="1400" w:type="dxa"/>
            <w:tcBorders>
              <w:top w:val="nil"/>
              <w:left w:val="nil"/>
              <w:bottom w:val="nil"/>
              <w:right w:val="nil"/>
            </w:tcBorders>
            <w:tcMar>
              <w:top w:w="128" w:type="dxa"/>
              <w:left w:w="43" w:type="dxa"/>
              <w:bottom w:w="43" w:type="dxa"/>
              <w:right w:w="43" w:type="dxa"/>
            </w:tcMar>
          </w:tcPr>
          <w:p w14:paraId="12061F14" w14:textId="77777777" w:rsidR="00D60186" w:rsidRPr="00FD49F3" w:rsidRDefault="00D60186" w:rsidP="00FD49F3">
            <w:pPr>
              <w:jc w:val="right"/>
              <w:rPr>
                <w:sz w:val="21"/>
                <w:szCs w:val="21"/>
              </w:rPr>
            </w:pPr>
            <w:r w:rsidRPr="00FD49F3">
              <w:rPr>
                <w:sz w:val="21"/>
                <w:szCs w:val="21"/>
              </w:rPr>
              <w:t>ja</w:t>
            </w:r>
          </w:p>
        </w:tc>
      </w:tr>
      <w:tr w:rsidR="00E76DC8" w:rsidRPr="00225D4D" w14:paraId="0BF0F195" w14:textId="77777777">
        <w:trPr>
          <w:trHeight w:val="640"/>
        </w:trPr>
        <w:tc>
          <w:tcPr>
            <w:tcW w:w="1400" w:type="dxa"/>
            <w:tcBorders>
              <w:top w:val="nil"/>
              <w:left w:val="nil"/>
              <w:bottom w:val="nil"/>
              <w:right w:val="nil"/>
            </w:tcBorders>
            <w:tcMar>
              <w:top w:w="128" w:type="dxa"/>
              <w:left w:w="43" w:type="dxa"/>
              <w:bottom w:w="43" w:type="dxa"/>
              <w:right w:w="43" w:type="dxa"/>
            </w:tcMar>
          </w:tcPr>
          <w:p w14:paraId="13E5AA13"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6CBA50A0" w14:textId="77777777" w:rsidR="00D60186" w:rsidRPr="00FD49F3" w:rsidRDefault="00D60186" w:rsidP="00FD49F3">
            <w:pPr>
              <w:ind w:right="113"/>
              <w:jc w:val="right"/>
              <w:rPr>
                <w:sz w:val="21"/>
                <w:szCs w:val="21"/>
              </w:rPr>
            </w:pPr>
            <w:r w:rsidRPr="00FD49F3">
              <w:rPr>
                <w:sz w:val="21"/>
                <w:szCs w:val="21"/>
              </w:rPr>
              <w:t>632</w:t>
            </w:r>
          </w:p>
        </w:tc>
        <w:tc>
          <w:tcPr>
            <w:tcW w:w="5600" w:type="dxa"/>
            <w:tcBorders>
              <w:top w:val="nil"/>
              <w:left w:val="nil"/>
              <w:bottom w:val="nil"/>
              <w:right w:val="nil"/>
            </w:tcBorders>
            <w:tcMar>
              <w:top w:w="128" w:type="dxa"/>
              <w:left w:w="43" w:type="dxa"/>
              <w:bottom w:w="43" w:type="dxa"/>
              <w:right w:w="43" w:type="dxa"/>
            </w:tcMar>
          </w:tcPr>
          <w:p w14:paraId="42B3ED08" w14:textId="77777777" w:rsidR="00D60186" w:rsidRPr="00FD49F3" w:rsidRDefault="00D60186" w:rsidP="00225D4D">
            <w:pPr>
              <w:rPr>
                <w:sz w:val="21"/>
                <w:szCs w:val="21"/>
              </w:rPr>
            </w:pPr>
            <w:r w:rsidRPr="00FD49F3">
              <w:rPr>
                <w:sz w:val="21"/>
                <w:szCs w:val="21"/>
              </w:rPr>
              <w:t xml:space="preserve">En plan for hvordan Norge kan få en ledende posisjon </w:t>
            </w:r>
            <w:r w:rsidRPr="00FD49F3">
              <w:rPr>
                <w:sz w:val="21"/>
                <w:szCs w:val="21"/>
              </w:rPr>
              <w:br/>
              <w:t>i produksjonen av bærekraftig drivstoff</w:t>
            </w:r>
          </w:p>
        </w:tc>
        <w:tc>
          <w:tcPr>
            <w:tcW w:w="1400" w:type="dxa"/>
            <w:tcBorders>
              <w:top w:val="nil"/>
              <w:left w:val="nil"/>
              <w:bottom w:val="nil"/>
              <w:right w:val="nil"/>
            </w:tcBorders>
            <w:tcMar>
              <w:top w:w="128" w:type="dxa"/>
              <w:left w:w="43" w:type="dxa"/>
              <w:bottom w:w="43" w:type="dxa"/>
              <w:right w:w="43" w:type="dxa"/>
            </w:tcMar>
          </w:tcPr>
          <w:p w14:paraId="0B991CC2" w14:textId="77777777" w:rsidR="00D60186" w:rsidRPr="00FD49F3" w:rsidRDefault="00D60186" w:rsidP="00FD49F3">
            <w:pPr>
              <w:jc w:val="right"/>
              <w:rPr>
                <w:sz w:val="21"/>
                <w:szCs w:val="21"/>
              </w:rPr>
            </w:pPr>
            <w:r w:rsidRPr="00FD49F3">
              <w:rPr>
                <w:sz w:val="21"/>
                <w:szCs w:val="21"/>
              </w:rPr>
              <w:t>Ja</w:t>
            </w:r>
          </w:p>
        </w:tc>
      </w:tr>
      <w:tr w:rsidR="00E76DC8" w:rsidRPr="00225D4D" w14:paraId="5AF3D55D" w14:textId="77777777">
        <w:trPr>
          <w:trHeight w:val="640"/>
        </w:trPr>
        <w:tc>
          <w:tcPr>
            <w:tcW w:w="1400" w:type="dxa"/>
            <w:tcBorders>
              <w:top w:val="nil"/>
              <w:left w:val="nil"/>
              <w:bottom w:val="nil"/>
              <w:right w:val="nil"/>
            </w:tcBorders>
            <w:tcMar>
              <w:top w:w="128" w:type="dxa"/>
              <w:left w:w="43" w:type="dxa"/>
              <w:bottom w:w="43" w:type="dxa"/>
              <w:right w:w="43" w:type="dxa"/>
            </w:tcMar>
          </w:tcPr>
          <w:p w14:paraId="35708FF6"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3A4F9800" w14:textId="77777777" w:rsidR="00D60186" w:rsidRPr="00FD49F3" w:rsidRDefault="00D60186" w:rsidP="00FD49F3">
            <w:pPr>
              <w:ind w:right="113"/>
              <w:jc w:val="right"/>
              <w:rPr>
                <w:sz w:val="21"/>
                <w:szCs w:val="21"/>
              </w:rPr>
            </w:pPr>
            <w:r w:rsidRPr="00FD49F3">
              <w:rPr>
                <w:sz w:val="21"/>
                <w:szCs w:val="21"/>
              </w:rPr>
              <w:t>633</w:t>
            </w:r>
          </w:p>
        </w:tc>
        <w:tc>
          <w:tcPr>
            <w:tcW w:w="5600" w:type="dxa"/>
            <w:tcBorders>
              <w:top w:val="nil"/>
              <w:left w:val="nil"/>
              <w:bottom w:val="nil"/>
              <w:right w:val="nil"/>
            </w:tcBorders>
            <w:tcMar>
              <w:top w:w="128" w:type="dxa"/>
              <w:left w:w="43" w:type="dxa"/>
              <w:bottom w:w="43" w:type="dxa"/>
              <w:right w:w="43" w:type="dxa"/>
            </w:tcMar>
          </w:tcPr>
          <w:p w14:paraId="1A87045B" w14:textId="77777777" w:rsidR="00D60186" w:rsidRPr="00FD49F3" w:rsidRDefault="00D60186" w:rsidP="00225D4D">
            <w:pPr>
              <w:rPr>
                <w:sz w:val="21"/>
                <w:szCs w:val="21"/>
              </w:rPr>
            </w:pPr>
            <w:r w:rsidRPr="00FD49F3">
              <w:rPr>
                <w:sz w:val="21"/>
                <w:szCs w:val="21"/>
              </w:rPr>
              <w:t xml:space="preserve">En plan for å øke produksjonen av avansert biodrivstoff </w:t>
            </w:r>
            <w:r w:rsidRPr="00FD49F3">
              <w:rPr>
                <w:sz w:val="21"/>
                <w:szCs w:val="21"/>
              </w:rPr>
              <w:br/>
              <w:t>i Norge</w:t>
            </w:r>
          </w:p>
        </w:tc>
        <w:tc>
          <w:tcPr>
            <w:tcW w:w="1400" w:type="dxa"/>
            <w:tcBorders>
              <w:top w:val="nil"/>
              <w:left w:val="nil"/>
              <w:bottom w:val="nil"/>
              <w:right w:val="nil"/>
            </w:tcBorders>
            <w:tcMar>
              <w:top w:w="128" w:type="dxa"/>
              <w:left w:w="43" w:type="dxa"/>
              <w:bottom w:w="43" w:type="dxa"/>
              <w:right w:w="43" w:type="dxa"/>
            </w:tcMar>
          </w:tcPr>
          <w:p w14:paraId="48BECE0E" w14:textId="77777777" w:rsidR="00D60186" w:rsidRPr="00FD49F3" w:rsidRDefault="00D60186" w:rsidP="00FD49F3">
            <w:pPr>
              <w:jc w:val="right"/>
              <w:rPr>
                <w:sz w:val="21"/>
                <w:szCs w:val="21"/>
              </w:rPr>
            </w:pPr>
            <w:r w:rsidRPr="00FD49F3">
              <w:rPr>
                <w:sz w:val="21"/>
                <w:szCs w:val="21"/>
              </w:rPr>
              <w:t>Ja</w:t>
            </w:r>
          </w:p>
        </w:tc>
      </w:tr>
      <w:tr w:rsidR="00E76DC8" w:rsidRPr="00225D4D" w14:paraId="490066F5" w14:textId="77777777">
        <w:trPr>
          <w:trHeight w:val="640"/>
        </w:trPr>
        <w:tc>
          <w:tcPr>
            <w:tcW w:w="1400" w:type="dxa"/>
            <w:tcBorders>
              <w:top w:val="nil"/>
              <w:left w:val="nil"/>
              <w:bottom w:val="nil"/>
              <w:right w:val="nil"/>
            </w:tcBorders>
            <w:tcMar>
              <w:top w:w="128" w:type="dxa"/>
              <w:left w:w="43" w:type="dxa"/>
              <w:bottom w:w="43" w:type="dxa"/>
              <w:right w:w="43" w:type="dxa"/>
            </w:tcMar>
          </w:tcPr>
          <w:p w14:paraId="574D284D"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60FF1CE" w14:textId="77777777" w:rsidR="00D60186" w:rsidRPr="00FD49F3" w:rsidRDefault="00D60186" w:rsidP="00FD49F3">
            <w:pPr>
              <w:ind w:right="113"/>
              <w:jc w:val="right"/>
              <w:rPr>
                <w:sz w:val="21"/>
                <w:szCs w:val="21"/>
              </w:rPr>
            </w:pPr>
            <w:r w:rsidRPr="00FD49F3">
              <w:rPr>
                <w:sz w:val="21"/>
                <w:szCs w:val="21"/>
              </w:rPr>
              <w:t>917</w:t>
            </w:r>
          </w:p>
        </w:tc>
        <w:tc>
          <w:tcPr>
            <w:tcW w:w="5600" w:type="dxa"/>
            <w:tcBorders>
              <w:top w:val="nil"/>
              <w:left w:val="nil"/>
              <w:bottom w:val="nil"/>
              <w:right w:val="nil"/>
            </w:tcBorders>
            <w:tcMar>
              <w:top w:w="128" w:type="dxa"/>
              <w:left w:w="43" w:type="dxa"/>
              <w:bottom w:w="43" w:type="dxa"/>
              <w:right w:w="43" w:type="dxa"/>
            </w:tcMar>
          </w:tcPr>
          <w:p w14:paraId="6CBC51E3" w14:textId="77777777" w:rsidR="00D60186" w:rsidRPr="00FD49F3" w:rsidRDefault="00D60186" w:rsidP="00225D4D">
            <w:pPr>
              <w:rPr>
                <w:sz w:val="21"/>
                <w:szCs w:val="21"/>
              </w:rPr>
            </w:pPr>
            <w:r w:rsidRPr="00FD49F3">
              <w:rPr>
                <w:sz w:val="21"/>
                <w:szCs w:val="21"/>
              </w:rPr>
              <w:t>Øke omsetningskravet for biodrivstoff for ikke-</w:t>
            </w:r>
            <w:proofErr w:type="spellStart"/>
            <w:r w:rsidRPr="00FD49F3">
              <w:rPr>
                <w:sz w:val="21"/>
                <w:szCs w:val="21"/>
              </w:rPr>
              <w:t>veigående</w:t>
            </w:r>
            <w:proofErr w:type="spellEnd"/>
            <w:r w:rsidRPr="00FD49F3">
              <w:rPr>
                <w:sz w:val="21"/>
                <w:szCs w:val="21"/>
              </w:rPr>
              <w:t xml:space="preserve"> maskiner </w:t>
            </w:r>
          </w:p>
        </w:tc>
        <w:tc>
          <w:tcPr>
            <w:tcW w:w="1400" w:type="dxa"/>
            <w:tcBorders>
              <w:top w:val="nil"/>
              <w:left w:val="nil"/>
              <w:bottom w:val="nil"/>
              <w:right w:val="nil"/>
            </w:tcBorders>
            <w:tcMar>
              <w:top w:w="128" w:type="dxa"/>
              <w:left w:w="43" w:type="dxa"/>
              <w:bottom w:w="43" w:type="dxa"/>
              <w:right w:w="43" w:type="dxa"/>
            </w:tcMar>
          </w:tcPr>
          <w:p w14:paraId="0F9E5A71" w14:textId="77777777" w:rsidR="00D60186" w:rsidRPr="00FD49F3" w:rsidRDefault="00D60186" w:rsidP="00FD49F3">
            <w:pPr>
              <w:jc w:val="right"/>
              <w:rPr>
                <w:sz w:val="21"/>
                <w:szCs w:val="21"/>
              </w:rPr>
            </w:pPr>
            <w:r w:rsidRPr="00FD49F3">
              <w:rPr>
                <w:sz w:val="21"/>
                <w:szCs w:val="21"/>
              </w:rPr>
              <w:t>Ja</w:t>
            </w:r>
          </w:p>
        </w:tc>
      </w:tr>
      <w:tr w:rsidR="00E76DC8" w:rsidRPr="00225D4D" w14:paraId="7DC3A4F7" w14:textId="77777777">
        <w:trPr>
          <w:trHeight w:val="380"/>
        </w:trPr>
        <w:tc>
          <w:tcPr>
            <w:tcW w:w="1400" w:type="dxa"/>
            <w:tcBorders>
              <w:top w:val="nil"/>
              <w:left w:val="nil"/>
              <w:bottom w:val="nil"/>
              <w:right w:val="nil"/>
            </w:tcBorders>
            <w:tcMar>
              <w:top w:w="128" w:type="dxa"/>
              <w:left w:w="43" w:type="dxa"/>
              <w:bottom w:w="43" w:type="dxa"/>
              <w:right w:w="43" w:type="dxa"/>
            </w:tcMar>
          </w:tcPr>
          <w:p w14:paraId="2F7AB0E7"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10E156FA" w14:textId="77777777" w:rsidR="00D60186" w:rsidRPr="00FD49F3" w:rsidRDefault="00D60186" w:rsidP="00FD49F3">
            <w:pPr>
              <w:ind w:right="113"/>
              <w:jc w:val="right"/>
              <w:rPr>
                <w:sz w:val="21"/>
                <w:szCs w:val="21"/>
              </w:rPr>
            </w:pPr>
            <w:r w:rsidRPr="00FD49F3">
              <w:rPr>
                <w:sz w:val="21"/>
                <w:szCs w:val="21"/>
              </w:rPr>
              <w:t>918</w:t>
            </w:r>
          </w:p>
        </w:tc>
        <w:tc>
          <w:tcPr>
            <w:tcW w:w="5600" w:type="dxa"/>
            <w:tcBorders>
              <w:top w:val="nil"/>
              <w:left w:val="nil"/>
              <w:bottom w:val="nil"/>
              <w:right w:val="nil"/>
            </w:tcBorders>
            <w:tcMar>
              <w:top w:w="128" w:type="dxa"/>
              <w:left w:w="43" w:type="dxa"/>
              <w:bottom w:w="43" w:type="dxa"/>
              <w:right w:w="43" w:type="dxa"/>
            </w:tcMar>
          </w:tcPr>
          <w:p w14:paraId="2FD26C1E" w14:textId="77777777" w:rsidR="00D60186" w:rsidRPr="00FD49F3" w:rsidRDefault="00D60186" w:rsidP="00225D4D">
            <w:pPr>
              <w:rPr>
                <w:sz w:val="21"/>
                <w:szCs w:val="21"/>
              </w:rPr>
            </w:pPr>
            <w:r w:rsidRPr="00FD49F3">
              <w:rPr>
                <w:sz w:val="21"/>
                <w:szCs w:val="21"/>
              </w:rPr>
              <w:t xml:space="preserve">Øke omsetningskravet for biodrivstoff til sjøfart </w:t>
            </w:r>
          </w:p>
        </w:tc>
        <w:tc>
          <w:tcPr>
            <w:tcW w:w="1400" w:type="dxa"/>
            <w:tcBorders>
              <w:top w:val="nil"/>
              <w:left w:val="nil"/>
              <w:bottom w:val="nil"/>
              <w:right w:val="nil"/>
            </w:tcBorders>
            <w:tcMar>
              <w:top w:w="128" w:type="dxa"/>
              <w:left w:w="43" w:type="dxa"/>
              <w:bottom w:w="43" w:type="dxa"/>
              <w:right w:w="43" w:type="dxa"/>
            </w:tcMar>
          </w:tcPr>
          <w:p w14:paraId="368A96B0" w14:textId="77777777" w:rsidR="00D60186" w:rsidRPr="00FD49F3" w:rsidRDefault="00D60186" w:rsidP="00FD49F3">
            <w:pPr>
              <w:jc w:val="right"/>
              <w:rPr>
                <w:sz w:val="21"/>
                <w:szCs w:val="21"/>
              </w:rPr>
            </w:pPr>
            <w:r w:rsidRPr="00FD49F3">
              <w:rPr>
                <w:sz w:val="21"/>
                <w:szCs w:val="21"/>
              </w:rPr>
              <w:t>Ja</w:t>
            </w:r>
          </w:p>
        </w:tc>
      </w:tr>
      <w:tr w:rsidR="00E76DC8" w:rsidRPr="00225D4D" w14:paraId="7DD3B2A9" w14:textId="77777777">
        <w:trPr>
          <w:trHeight w:val="380"/>
        </w:trPr>
        <w:tc>
          <w:tcPr>
            <w:tcW w:w="1400" w:type="dxa"/>
            <w:tcBorders>
              <w:top w:val="nil"/>
              <w:left w:val="nil"/>
              <w:bottom w:val="nil"/>
              <w:right w:val="nil"/>
            </w:tcBorders>
            <w:tcMar>
              <w:top w:w="128" w:type="dxa"/>
              <w:left w:w="43" w:type="dxa"/>
              <w:bottom w:w="43" w:type="dxa"/>
              <w:right w:w="43" w:type="dxa"/>
            </w:tcMar>
          </w:tcPr>
          <w:p w14:paraId="559C9F6D"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749CF0A3" w14:textId="77777777" w:rsidR="00D60186" w:rsidRPr="00FD49F3" w:rsidRDefault="00D60186" w:rsidP="00FD49F3">
            <w:pPr>
              <w:ind w:right="113"/>
              <w:jc w:val="right"/>
              <w:rPr>
                <w:sz w:val="21"/>
                <w:szCs w:val="21"/>
              </w:rPr>
            </w:pPr>
            <w:r w:rsidRPr="00FD49F3">
              <w:rPr>
                <w:sz w:val="21"/>
                <w:szCs w:val="21"/>
              </w:rPr>
              <w:t>919</w:t>
            </w:r>
          </w:p>
        </w:tc>
        <w:tc>
          <w:tcPr>
            <w:tcW w:w="5600" w:type="dxa"/>
            <w:tcBorders>
              <w:top w:val="nil"/>
              <w:left w:val="nil"/>
              <w:bottom w:val="nil"/>
              <w:right w:val="nil"/>
            </w:tcBorders>
            <w:tcMar>
              <w:top w:w="128" w:type="dxa"/>
              <w:left w:w="43" w:type="dxa"/>
              <w:bottom w:w="43" w:type="dxa"/>
              <w:right w:w="43" w:type="dxa"/>
            </w:tcMar>
          </w:tcPr>
          <w:p w14:paraId="43C88777" w14:textId="77777777" w:rsidR="00D60186" w:rsidRPr="00FD49F3" w:rsidRDefault="00D60186" w:rsidP="00225D4D">
            <w:pPr>
              <w:rPr>
                <w:sz w:val="21"/>
                <w:szCs w:val="21"/>
              </w:rPr>
            </w:pPr>
            <w:r w:rsidRPr="00FD49F3">
              <w:rPr>
                <w:sz w:val="21"/>
                <w:szCs w:val="21"/>
              </w:rPr>
              <w:t>Rett prising av negative utslepp</w:t>
            </w:r>
          </w:p>
        </w:tc>
        <w:tc>
          <w:tcPr>
            <w:tcW w:w="1400" w:type="dxa"/>
            <w:tcBorders>
              <w:top w:val="nil"/>
              <w:left w:val="nil"/>
              <w:bottom w:val="nil"/>
              <w:right w:val="nil"/>
            </w:tcBorders>
            <w:tcMar>
              <w:top w:w="128" w:type="dxa"/>
              <w:left w:w="43" w:type="dxa"/>
              <w:bottom w:w="43" w:type="dxa"/>
              <w:right w:w="43" w:type="dxa"/>
            </w:tcMar>
          </w:tcPr>
          <w:p w14:paraId="7F01A995" w14:textId="77777777" w:rsidR="00D60186" w:rsidRPr="00FD49F3" w:rsidRDefault="00D60186" w:rsidP="00FD49F3">
            <w:pPr>
              <w:jc w:val="right"/>
              <w:rPr>
                <w:sz w:val="21"/>
                <w:szCs w:val="21"/>
              </w:rPr>
            </w:pPr>
            <w:r w:rsidRPr="00FD49F3">
              <w:rPr>
                <w:sz w:val="21"/>
                <w:szCs w:val="21"/>
              </w:rPr>
              <w:t>Ja</w:t>
            </w:r>
          </w:p>
        </w:tc>
      </w:tr>
      <w:tr w:rsidR="00E76DC8" w:rsidRPr="00225D4D" w14:paraId="483FB0F7" w14:textId="77777777">
        <w:trPr>
          <w:trHeight w:val="640"/>
        </w:trPr>
        <w:tc>
          <w:tcPr>
            <w:tcW w:w="1400" w:type="dxa"/>
            <w:tcBorders>
              <w:top w:val="nil"/>
              <w:left w:val="nil"/>
              <w:bottom w:val="nil"/>
              <w:right w:val="nil"/>
            </w:tcBorders>
            <w:tcMar>
              <w:top w:w="128" w:type="dxa"/>
              <w:left w:w="43" w:type="dxa"/>
              <w:bottom w:w="43" w:type="dxa"/>
              <w:right w:w="43" w:type="dxa"/>
            </w:tcMar>
          </w:tcPr>
          <w:p w14:paraId="3D79EF36" w14:textId="77777777" w:rsidR="00D60186" w:rsidRPr="00FD49F3" w:rsidRDefault="00D60186" w:rsidP="00225D4D">
            <w:pPr>
              <w:rPr>
                <w:sz w:val="21"/>
                <w:szCs w:val="21"/>
              </w:rPr>
            </w:pPr>
            <w:r w:rsidRPr="00FD49F3">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09DAC12A" w14:textId="77777777" w:rsidR="00D60186" w:rsidRPr="00FD49F3" w:rsidRDefault="00D60186" w:rsidP="00FD49F3">
            <w:pPr>
              <w:ind w:right="113"/>
              <w:jc w:val="right"/>
              <w:rPr>
                <w:sz w:val="21"/>
                <w:szCs w:val="21"/>
              </w:rPr>
            </w:pPr>
            <w:r w:rsidRPr="00FD49F3">
              <w:rPr>
                <w:sz w:val="21"/>
                <w:szCs w:val="21"/>
              </w:rPr>
              <w:t>35.10</w:t>
            </w:r>
          </w:p>
        </w:tc>
        <w:tc>
          <w:tcPr>
            <w:tcW w:w="5600" w:type="dxa"/>
            <w:tcBorders>
              <w:top w:val="nil"/>
              <w:left w:val="nil"/>
              <w:bottom w:val="nil"/>
              <w:right w:val="nil"/>
            </w:tcBorders>
            <w:tcMar>
              <w:top w:w="128" w:type="dxa"/>
              <w:left w:w="43" w:type="dxa"/>
              <w:bottom w:w="43" w:type="dxa"/>
              <w:right w:w="43" w:type="dxa"/>
            </w:tcMar>
          </w:tcPr>
          <w:p w14:paraId="283113DE" w14:textId="77777777" w:rsidR="00D60186" w:rsidRPr="00FD49F3" w:rsidRDefault="00D60186" w:rsidP="00225D4D">
            <w:pPr>
              <w:rPr>
                <w:sz w:val="21"/>
                <w:szCs w:val="21"/>
              </w:rPr>
            </w:pPr>
            <w:r w:rsidRPr="00FD49F3">
              <w:rPr>
                <w:sz w:val="21"/>
                <w:szCs w:val="21"/>
              </w:rPr>
              <w:t xml:space="preserve">Krav om nullutslipp og fossilfrie bygge- og anleggsplasser </w:t>
            </w:r>
            <w:r w:rsidRPr="00FD49F3">
              <w:rPr>
                <w:sz w:val="21"/>
                <w:szCs w:val="21"/>
              </w:rPr>
              <w:br/>
              <w:t>i offentlige anbud</w:t>
            </w:r>
          </w:p>
        </w:tc>
        <w:tc>
          <w:tcPr>
            <w:tcW w:w="1400" w:type="dxa"/>
            <w:tcBorders>
              <w:top w:val="nil"/>
              <w:left w:val="nil"/>
              <w:bottom w:val="nil"/>
              <w:right w:val="nil"/>
            </w:tcBorders>
            <w:tcMar>
              <w:top w:w="128" w:type="dxa"/>
              <w:left w:w="43" w:type="dxa"/>
              <w:bottom w:w="43" w:type="dxa"/>
              <w:right w:w="43" w:type="dxa"/>
            </w:tcMar>
          </w:tcPr>
          <w:p w14:paraId="7DD3FA8B" w14:textId="77777777" w:rsidR="00D60186" w:rsidRPr="00FD49F3" w:rsidRDefault="00D60186" w:rsidP="00FD49F3">
            <w:pPr>
              <w:jc w:val="right"/>
              <w:rPr>
                <w:sz w:val="21"/>
                <w:szCs w:val="21"/>
              </w:rPr>
            </w:pPr>
            <w:r w:rsidRPr="00FD49F3">
              <w:rPr>
                <w:sz w:val="21"/>
                <w:szCs w:val="21"/>
              </w:rPr>
              <w:t>Ja</w:t>
            </w:r>
          </w:p>
        </w:tc>
      </w:tr>
      <w:tr w:rsidR="00E76DC8" w:rsidRPr="00225D4D" w14:paraId="7E1B6AC5" w14:textId="77777777">
        <w:trPr>
          <w:trHeight w:val="380"/>
        </w:trPr>
        <w:tc>
          <w:tcPr>
            <w:tcW w:w="1400" w:type="dxa"/>
            <w:tcBorders>
              <w:top w:val="nil"/>
              <w:left w:val="nil"/>
              <w:bottom w:val="nil"/>
              <w:right w:val="nil"/>
            </w:tcBorders>
            <w:tcMar>
              <w:top w:w="128" w:type="dxa"/>
              <w:left w:w="43" w:type="dxa"/>
              <w:bottom w:w="43" w:type="dxa"/>
              <w:right w:w="43" w:type="dxa"/>
            </w:tcMar>
          </w:tcPr>
          <w:p w14:paraId="4E74C0FB" w14:textId="77777777" w:rsidR="00D60186" w:rsidRPr="00FD49F3" w:rsidRDefault="00D60186" w:rsidP="00225D4D">
            <w:pPr>
              <w:rPr>
                <w:sz w:val="21"/>
                <w:szCs w:val="21"/>
              </w:rPr>
            </w:pPr>
            <w:r w:rsidRPr="00FD49F3">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701C416F" w14:textId="77777777" w:rsidR="00D60186" w:rsidRPr="00FD49F3" w:rsidRDefault="00D60186" w:rsidP="00FD49F3">
            <w:pPr>
              <w:ind w:right="113"/>
              <w:jc w:val="right"/>
              <w:rPr>
                <w:sz w:val="21"/>
                <w:szCs w:val="21"/>
              </w:rPr>
            </w:pPr>
            <w:r w:rsidRPr="00FD49F3">
              <w:rPr>
                <w:sz w:val="21"/>
                <w:szCs w:val="21"/>
              </w:rPr>
              <w:t>35.11</w:t>
            </w:r>
          </w:p>
        </w:tc>
        <w:tc>
          <w:tcPr>
            <w:tcW w:w="5600" w:type="dxa"/>
            <w:tcBorders>
              <w:top w:val="nil"/>
              <w:left w:val="nil"/>
              <w:bottom w:val="nil"/>
              <w:right w:val="nil"/>
            </w:tcBorders>
            <w:tcMar>
              <w:top w:w="128" w:type="dxa"/>
              <w:left w:w="43" w:type="dxa"/>
              <w:bottom w:w="43" w:type="dxa"/>
              <w:right w:w="43" w:type="dxa"/>
            </w:tcMar>
          </w:tcPr>
          <w:p w14:paraId="070740E1" w14:textId="77777777" w:rsidR="00D60186" w:rsidRPr="00FD49F3" w:rsidRDefault="00D60186" w:rsidP="00225D4D">
            <w:pPr>
              <w:rPr>
                <w:sz w:val="21"/>
                <w:szCs w:val="21"/>
              </w:rPr>
            </w:pPr>
            <w:r w:rsidRPr="00FD49F3">
              <w:rPr>
                <w:sz w:val="21"/>
                <w:szCs w:val="21"/>
              </w:rPr>
              <w:t>Forbud mot bruk av fossile brensler på byggeplasser</w:t>
            </w:r>
          </w:p>
        </w:tc>
        <w:tc>
          <w:tcPr>
            <w:tcW w:w="1400" w:type="dxa"/>
            <w:tcBorders>
              <w:top w:val="nil"/>
              <w:left w:val="nil"/>
              <w:bottom w:val="nil"/>
              <w:right w:val="nil"/>
            </w:tcBorders>
            <w:tcMar>
              <w:top w:w="128" w:type="dxa"/>
              <w:left w:w="43" w:type="dxa"/>
              <w:bottom w:w="43" w:type="dxa"/>
              <w:right w:w="43" w:type="dxa"/>
            </w:tcMar>
          </w:tcPr>
          <w:p w14:paraId="3C50AD76" w14:textId="77777777" w:rsidR="00D60186" w:rsidRPr="00FD49F3" w:rsidRDefault="00D60186" w:rsidP="00FD49F3">
            <w:pPr>
              <w:jc w:val="right"/>
              <w:rPr>
                <w:sz w:val="21"/>
                <w:szCs w:val="21"/>
              </w:rPr>
            </w:pPr>
            <w:r w:rsidRPr="00FD49F3">
              <w:rPr>
                <w:sz w:val="21"/>
                <w:szCs w:val="21"/>
              </w:rPr>
              <w:t>Ja</w:t>
            </w:r>
          </w:p>
        </w:tc>
      </w:tr>
      <w:tr w:rsidR="00E76DC8" w:rsidRPr="00225D4D" w14:paraId="4064AF58" w14:textId="77777777">
        <w:trPr>
          <w:trHeight w:val="640"/>
        </w:trPr>
        <w:tc>
          <w:tcPr>
            <w:tcW w:w="1400" w:type="dxa"/>
            <w:tcBorders>
              <w:top w:val="nil"/>
              <w:left w:val="nil"/>
              <w:bottom w:val="nil"/>
              <w:right w:val="nil"/>
            </w:tcBorders>
            <w:tcMar>
              <w:top w:w="128" w:type="dxa"/>
              <w:left w:w="43" w:type="dxa"/>
              <w:bottom w:w="43" w:type="dxa"/>
              <w:right w:w="43" w:type="dxa"/>
            </w:tcMar>
          </w:tcPr>
          <w:p w14:paraId="7CDBFEC6" w14:textId="77777777" w:rsidR="00D60186" w:rsidRPr="00FD49F3" w:rsidRDefault="00D60186" w:rsidP="00225D4D">
            <w:pPr>
              <w:rPr>
                <w:sz w:val="21"/>
                <w:szCs w:val="21"/>
              </w:rPr>
            </w:pPr>
            <w:r w:rsidRPr="00FD49F3">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1EC9F1D6" w14:textId="77777777" w:rsidR="00D60186" w:rsidRPr="00FD49F3" w:rsidRDefault="00D60186" w:rsidP="00FD49F3">
            <w:pPr>
              <w:ind w:right="113"/>
              <w:jc w:val="right"/>
              <w:rPr>
                <w:sz w:val="21"/>
                <w:szCs w:val="21"/>
              </w:rPr>
            </w:pPr>
            <w:r w:rsidRPr="00FD49F3">
              <w:rPr>
                <w:sz w:val="21"/>
                <w:szCs w:val="21"/>
              </w:rPr>
              <w:t>35.20</w:t>
            </w:r>
          </w:p>
        </w:tc>
        <w:tc>
          <w:tcPr>
            <w:tcW w:w="5600" w:type="dxa"/>
            <w:tcBorders>
              <w:top w:val="nil"/>
              <w:left w:val="nil"/>
              <w:bottom w:val="nil"/>
              <w:right w:val="nil"/>
            </w:tcBorders>
            <w:tcMar>
              <w:top w:w="128" w:type="dxa"/>
              <w:left w:w="43" w:type="dxa"/>
              <w:bottom w:w="43" w:type="dxa"/>
              <w:right w:w="43" w:type="dxa"/>
            </w:tcMar>
          </w:tcPr>
          <w:p w14:paraId="444F549E" w14:textId="77777777" w:rsidR="00D60186" w:rsidRPr="00FD49F3" w:rsidRDefault="00D60186" w:rsidP="00225D4D">
            <w:pPr>
              <w:rPr>
                <w:sz w:val="21"/>
                <w:szCs w:val="21"/>
              </w:rPr>
            </w:pPr>
            <w:r w:rsidRPr="00FD49F3">
              <w:rPr>
                <w:sz w:val="21"/>
                <w:szCs w:val="21"/>
              </w:rPr>
              <w:t>Oppfylle mål om 10 pst. vern av kyst- og havområder og fremme nasjonal plan for marint vern</w:t>
            </w:r>
          </w:p>
        </w:tc>
        <w:tc>
          <w:tcPr>
            <w:tcW w:w="1400" w:type="dxa"/>
            <w:tcBorders>
              <w:top w:val="nil"/>
              <w:left w:val="nil"/>
              <w:bottom w:val="nil"/>
              <w:right w:val="nil"/>
            </w:tcBorders>
            <w:tcMar>
              <w:top w:w="128" w:type="dxa"/>
              <w:left w:w="43" w:type="dxa"/>
              <w:bottom w:w="43" w:type="dxa"/>
              <w:right w:w="43" w:type="dxa"/>
            </w:tcMar>
          </w:tcPr>
          <w:p w14:paraId="326DFBE1" w14:textId="77777777" w:rsidR="00D60186" w:rsidRPr="00FD49F3" w:rsidRDefault="00D60186" w:rsidP="00FD49F3">
            <w:pPr>
              <w:jc w:val="right"/>
              <w:rPr>
                <w:sz w:val="21"/>
                <w:szCs w:val="21"/>
              </w:rPr>
            </w:pPr>
            <w:r w:rsidRPr="00FD49F3">
              <w:rPr>
                <w:sz w:val="21"/>
                <w:szCs w:val="21"/>
              </w:rPr>
              <w:t>Nei</w:t>
            </w:r>
          </w:p>
        </w:tc>
      </w:tr>
      <w:tr w:rsidR="00E76DC8" w:rsidRPr="00225D4D" w14:paraId="530D3B6E" w14:textId="77777777">
        <w:trPr>
          <w:trHeight w:val="640"/>
        </w:trPr>
        <w:tc>
          <w:tcPr>
            <w:tcW w:w="1400" w:type="dxa"/>
            <w:tcBorders>
              <w:top w:val="nil"/>
              <w:left w:val="nil"/>
              <w:bottom w:val="nil"/>
              <w:right w:val="nil"/>
            </w:tcBorders>
            <w:tcMar>
              <w:top w:w="128" w:type="dxa"/>
              <w:left w:w="43" w:type="dxa"/>
              <w:bottom w:w="43" w:type="dxa"/>
              <w:right w:w="43" w:type="dxa"/>
            </w:tcMar>
          </w:tcPr>
          <w:p w14:paraId="71A79D2E" w14:textId="77777777" w:rsidR="00D60186" w:rsidRPr="00FD49F3" w:rsidRDefault="00D60186" w:rsidP="00225D4D">
            <w:pPr>
              <w:rPr>
                <w:sz w:val="21"/>
                <w:szCs w:val="21"/>
              </w:rPr>
            </w:pPr>
            <w:r w:rsidRPr="00FD49F3">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4645E239" w14:textId="77777777" w:rsidR="00D60186" w:rsidRPr="00FD49F3" w:rsidRDefault="00D60186" w:rsidP="00FD49F3">
            <w:pPr>
              <w:ind w:right="113"/>
              <w:jc w:val="right"/>
              <w:rPr>
                <w:sz w:val="21"/>
                <w:szCs w:val="21"/>
              </w:rPr>
            </w:pPr>
            <w:r w:rsidRPr="00FD49F3">
              <w:rPr>
                <w:sz w:val="21"/>
                <w:szCs w:val="21"/>
              </w:rPr>
              <w:t>713</w:t>
            </w:r>
          </w:p>
        </w:tc>
        <w:tc>
          <w:tcPr>
            <w:tcW w:w="5600" w:type="dxa"/>
            <w:tcBorders>
              <w:top w:val="nil"/>
              <w:left w:val="nil"/>
              <w:bottom w:val="nil"/>
              <w:right w:val="nil"/>
            </w:tcBorders>
            <w:tcMar>
              <w:top w:w="128" w:type="dxa"/>
              <w:left w:w="43" w:type="dxa"/>
              <w:bottom w:w="43" w:type="dxa"/>
              <w:right w:w="43" w:type="dxa"/>
            </w:tcMar>
          </w:tcPr>
          <w:p w14:paraId="02048FEF" w14:textId="77777777" w:rsidR="00D60186" w:rsidRPr="00FD49F3" w:rsidRDefault="00D60186" w:rsidP="00225D4D">
            <w:pPr>
              <w:rPr>
                <w:sz w:val="21"/>
                <w:szCs w:val="21"/>
              </w:rPr>
            </w:pPr>
            <w:r w:rsidRPr="00FD49F3">
              <w:rPr>
                <w:sz w:val="21"/>
                <w:szCs w:val="21"/>
              </w:rPr>
              <w:t>Virkemidler som kan bidra til å gjøre direkte karbonfangst fra luft (DAC) lønnsomt</w:t>
            </w:r>
          </w:p>
        </w:tc>
        <w:tc>
          <w:tcPr>
            <w:tcW w:w="1400" w:type="dxa"/>
            <w:tcBorders>
              <w:top w:val="nil"/>
              <w:left w:val="nil"/>
              <w:bottom w:val="nil"/>
              <w:right w:val="nil"/>
            </w:tcBorders>
            <w:tcMar>
              <w:top w:w="128" w:type="dxa"/>
              <w:left w:w="43" w:type="dxa"/>
              <w:bottom w:w="43" w:type="dxa"/>
              <w:right w:w="43" w:type="dxa"/>
            </w:tcMar>
          </w:tcPr>
          <w:p w14:paraId="04127488" w14:textId="77777777" w:rsidR="00D60186" w:rsidRPr="00FD49F3" w:rsidRDefault="00D60186" w:rsidP="00FD49F3">
            <w:pPr>
              <w:jc w:val="right"/>
              <w:rPr>
                <w:sz w:val="21"/>
                <w:szCs w:val="21"/>
              </w:rPr>
            </w:pPr>
            <w:r w:rsidRPr="00FD49F3">
              <w:rPr>
                <w:sz w:val="21"/>
                <w:szCs w:val="21"/>
              </w:rPr>
              <w:t>Nei</w:t>
            </w:r>
          </w:p>
        </w:tc>
      </w:tr>
      <w:tr w:rsidR="00E76DC8" w:rsidRPr="00225D4D" w14:paraId="40620656" w14:textId="77777777">
        <w:trPr>
          <w:trHeight w:val="640"/>
        </w:trPr>
        <w:tc>
          <w:tcPr>
            <w:tcW w:w="1400" w:type="dxa"/>
            <w:tcBorders>
              <w:top w:val="nil"/>
              <w:left w:val="nil"/>
              <w:bottom w:val="nil"/>
              <w:right w:val="nil"/>
            </w:tcBorders>
            <w:tcMar>
              <w:top w:w="128" w:type="dxa"/>
              <w:left w:w="43" w:type="dxa"/>
              <w:bottom w:w="43" w:type="dxa"/>
              <w:right w:w="43" w:type="dxa"/>
            </w:tcMar>
          </w:tcPr>
          <w:p w14:paraId="3DADDA5F" w14:textId="77777777" w:rsidR="00D60186" w:rsidRPr="00FD49F3" w:rsidRDefault="00D60186" w:rsidP="00225D4D">
            <w:pPr>
              <w:rPr>
                <w:sz w:val="21"/>
                <w:szCs w:val="21"/>
              </w:rPr>
            </w:pPr>
            <w:r w:rsidRPr="00FD49F3">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519F3CE3" w14:textId="77777777" w:rsidR="00D60186" w:rsidRPr="00FD49F3" w:rsidRDefault="00D60186" w:rsidP="00FD49F3">
            <w:pPr>
              <w:ind w:right="113"/>
              <w:jc w:val="right"/>
              <w:rPr>
                <w:sz w:val="21"/>
                <w:szCs w:val="21"/>
              </w:rPr>
            </w:pPr>
            <w:r w:rsidRPr="00FD49F3">
              <w:rPr>
                <w:sz w:val="21"/>
                <w:szCs w:val="21"/>
              </w:rPr>
              <w:t>753</w:t>
            </w:r>
          </w:p>
        </w:tc>
        <w:tc>
          <w:tcPr>
            <w:tcW w:w="5600" w:type="dxa"/>
            <w:tcBorders>
              <w:top w:val="nil"/>
              <w:left w:val="nil"/>
              <w:bottom w:val="nil"/>
              <w:right w:val="nil"/>
            </w:tcBorders>
            <w:tcMar>
              <w:top w:w="128" w:type="dxa"/>
              <w:left w:w="43" w:type="dxa"/>
              <w:bottom w:w="43" w:type="dxa"/>
              <w:right w:w="43" w:type="dxa"/>
            </w:tcMar>
          </w:tcPr>
          <w:p w14:paraId="64EFAA27" w14:textId="77777777" w:rsidR="00D60186" w:rsidRPr="00FD49F3" w:rsidRDefault="00D60186" w:rsidP="00225D4D">
            <w:pPr>
              <w:rPr>
                <w:sz w:val="21"/>
                <w:szCs w:val="21"/>
              </w:rPr>
            </w:pPr>
            <w:r w:rsidRPr="00FD49F3">
              <w:rPr>
                <w:sz w:val="21"/>
                <w:szCs w:val="21"/>
              </w:rPr>
              <w:t>Levere en plan for harmonisering av rammeverk for biogass i Norden</w:t>
            </w:r>
          </w:p>
        </w:tc>
        <w:tc>
          <w:tcPr>
            <w:tcW w:w="1400" w:type="dxa"/>
            <w:tcBorders>
              <w:top w:val="nil"/>
              <w:left w:val="nil"/>
              <w:bottom w:val="nil"/>
              <w:right w:val="nil"/>
            </w:tcBorders>
            <w:tcMar>
              <w:top w:w="128" w:type="dxa"/>
              <w:left w:w="43" w:type="dxa"/>
              <w:bottom w:w="43" w:type="dxa"/>
              <w:right w:w="43" w:type="dxa"/>
            </w:tcMar>
          </w:tcPr>
          <w:p w14:paraId="595F8444" w14:textId="77777777" w:rsidR="00D60186" w:rsidRPr="00FD49F3" w:rsidRDefault="00D60186" w:rsidP="00FD49F3">
            <w:pPr>
              <w:jc w:val="right"/>
              <w:rPr>
                <w:sz w:val="21"/>
                <w:szCs w:val="21"/>
              </w:rPr>
            </w:pPr>
            <w:r w:rsidRPr="00FD49F3">
              <w:rPr>
                <w:sz w:val="21"/>
                <w:szCs w:val="21"/>
              </w:rPr>
              <w:t>Ja</w:t>
            </w:r>
          </w:p>
        </w:tc>
      </w:tr>
      <w:tr w:rsidR="00E76DC8" w:rsidRPr="00225D4D" w14:paraId="2607DDF6" w14:textId="77777777">
        <w:trPr>
          <w:trHeight w:val="380"/>
        </w:trPr>
        <w:tc>
          <w:tcPr>
            <w:tcW w:w="1400" w:type="dxa"/>
            <w:tcBorders>
              <w:top w:val="nil"/>
              <w:left w:val="nil"/>
              <w:bottom w:val="nil"/>
              <w:right w:val="nil"/>
            </w:tcBorders>
            <w:tcMar>
              <w:top w:w="128" w:type="dxa"/>
              <w:left w:w="43" w:type="dxa"/>
              <w:bottom w:w="43" w:type="dxa"/>
              <w:right w:w="43" w:type="dxa"/>
            </w:tcMar>
          </w:tcPr>
          <w:p w14:paraId="0B99DEB9" w14:textId="77777777" w:rsidR="00D60186" w:rsidRPr="00FD49F3" w:rsidRDefault="00D60186" w:rsidP="00225D4D">
            <w:pPr>
              <w:rPr>
                <w:sz w:val="21"/>
                <w:szCs w:val="21"/>
              </w:rPr>
            </w:pPr>
            <w:r w:rsidRPr="00FD49F3">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29020BA4" w14:textId="77777777" w:rsidR="00D60186" w:rsidRPr="00FD49F3" w:rsidRDefault="00D60186" w:rsidP="00FD49F3">
            <w:pPr>
              <w:ind w:right="113"/>
              <w:jc w:val="right"/>
              <w:rPr>
                <w:sz w:val="21"/>
                <w:szCs w:val="21"/>
              </w:rPr>
            </w:pPr>
            <w:r w:rsidRPr="00FD49F3">
              <w:rPr>
                <w:sz w:val="21"/>
                <w:szCs w:val="21"/>
              </w:rPr>
              <w:t>973</w:t>
            </w:r>
          </w:p>
        </w:tc>
        <w:tc>
          <w:tcPr>
            <w:tcW w:w="5600" w:type="dxa"/>
            <w:tcBorders>
              <w:top w:val="nil"/>
              <w:left w:val="nil"/>
              <w:bottom w:val="nil"/>
              <w:right w:val="nil"/>
            </w:tcBorders>
            <w:tcMar>
              <w:top w:w="128" w:type="dxa"/>
              <w:left w:w="43" w:type="dxa"/>
              <w:bottom w:w="43" w:type="dxa"/>
              <w:right w:w="43" w:type="dxa"/>
            </w:tcMar>
          </w:tcPr>
          <w:p w14:paraId="4E856167" w14:textId="77777777" w:rsidR="00D60186" w:rsidRPr="00FD49F3" w:rsidRDefault="00D60186" w:rsidP="00225D4D">
            <w:pPr>
              <w:rPr>
                <w:sz w:val="21"/>
                <w:szCs w:val="21"/>
              </w:rPr>
            </w:pPr>
            <w:r w:rsidRPr="00FD49F3">
              <w:rPr>
                <w:sz w:val="21"/>
                <w:szCs w:val="21"/>
              </w:rPr>
              <w:t>Forslag om revidering av motorferdselloven</w:t>
            </w:r>
          </w:p>
        </w:tc>
        <w:tc>
          <w:tcPr>
            <w:tcW w:w="1400" w:type="dxa"/>
            <w:tcBorders>
              <w:top w:val="nil"/>
              <w:left w:val="nil"/>
              <w:bottom w:val="nil"/>
              <w:right w:val="nil"/>
            </w:tcBorders>
            <w:tcMar>
              <w:top w:w="128" w:type="dxa"/>
              <w:left w:w="43" w:type="dxa"/>
              <w:bottom w:w="43" w:type="dxa"/>
              <w:right w:w="43" w:type="dxa"/>
            </w:tcMar>
          </w:tcPr>
          <w:p w14:paraId="6DF6898D" w14:textId="77777777" w:rsidR="00D60186" w:rsidRPr="00FD49F3" w:rsidRDefault="00D60186" w:rsidP="00FD49F3">
            <w:pPr>
              <w:jc w:val="right"/>
              <w:rPr>
                <w:sz w:val="21"/>
                <w:szCs w:val="21"/>
              </w:rPr>
            </w:pPr>
            <w:r w:rsidRPr="00FD49F3">
              <w:rPr>
                <w:sz w:val="21"/>
                <w:szCs w:val="21"/>
              </w:rPr>
              <w:t xml:space="preserve">Ja </w:t>
            </w:r>
          </w:p>
        </w:tc>
      </w:tr>
      <w:tr w:rsidR="00E76DC8" w:rsidRPr="00225D4D" w14:paraId="43187A3A" w14:textId="77777777">
        <w:trPr>
          <w:trHeight w:val="640"/>
        </w:trPr>
        <w:tc>
          <w:tcPr>
            <w:tcW w:w="1400" w:type="dxa"/>
            <w:tcBorders>
              <w:top w:val="nil"/>
              <w:left w:val="nil"/>
              <w:bottom w:val="nil"/>
              <w:right w:val="nil"/>
            </w:tcBorders>
            <w:tcMar>
              <w:top w:w="128" w:type="dxa"/>
              <w:left w:w="43" w:type="dxa"/>
              <w:bottom w:w="43" w:type="dxa"/>
              <w:right w:w="43" w:type="dxa"/>
            </w:tcMar>
          </w:tcPr>
          <w:p w14:paraId="16DAE409" w14:textId="77777777" w:rsidR="00D60186" w:rsidRPr="00FD49F3" w:rsidRDefault="00D60186" w:rsidP="00225D4D">
            <w:pPr>
              <w:rPr>
                <w:sz w:val="21"/>
                <w:szCs w:val="21"/>
              </w:rPr>
            </w:pPr>
            <w:r w:rsidRPr="00FD49F3">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666AF38D" w14:textId="77777777" w:rsidR="00D60186" w:rsidRPr="00FD49F3" w:rsidRDefault="00D60186" w:rsidP="00FD49F3">
            <w:pPr>
              <w:ind w:right="113"/>
              <w:jc w:val="right"/>
              <w:rPr>
                <w:sz w:val="21"/>
                <w:szCs w:val="21"/>
              </w:rPr>
            </w:pPr>
            <w:r w:rsidRPr="00FD49F3">
              <w:rPr>
                <w:sz w:val="21"/>
                <w:szCs w:val="21"/>
              </w:rPr>
              <w:t>831</w:t>
            </w:r>
          </w:p>
        </w:tc>
        <w:tc>
          <w:tcPr>
            <w:tcW w:w="5600" w:type="dxa"/>
            <w:tcBorders>
              <w:top w:val="nil"/>
              <w:left w:val="nil"/>
              <w:bottom w:val="nil"/>
              <w:right w:val="nil"/>
            </w:tcBorders>
            <w:tcMar>
              <w:top w:w="128" w:type="dxa"/>
              <w:left w:w="43" w:type="dxa"/>
              <w:bottom w:w="43" w:type="dxa"/>
              <w:right w:w="43" w:type="dxa"/>
            </w:tcMar>
          </w:tcPr>
          <w:p w14:paraId="300E5099" w14:textId="77777777" w:rsidR="00D60186" w:rsidRPr="00FD49F3" w:rsidRDefault="00D60186" w:rsidP="00225D4D">
            <w:pPr>
              <w:rPr>
                <w:sz w:val="21"/>
                <w:szCs w:val="21"/>
              </w:rPr>
            </w:pPr>
            <w:r w:rsidRPr="00FD49F3">
              <w:rPr>
                <w:sz w:val="21"/>
                <w:szCs w:val="21"/>
              </w:rPr>
              <w:t>Nasjonal plan for å gjøre land- og ladestrøm, hydrogen, ammoniakk og andre grønne drivstoff tilgjengelig</w:t>
            </w:r>
          </w:p>
        </w:tc>
        <w:tc>
          <w:tcPr>
            <w:tcW w:w="1400" w:type="dxa"/>
            <w:tcBorders>
              <w:top w:val="nil"/>
              <w:left w:val="nil"/>
              <w:bottom w:val="nil"/>
              <w:right w:val="nil"/>
            </w:tcBorders>
            <w:tcMar>
              <w:top w:w="128" w:type="dxa"/>
              <w:left w:w="43" w:type="dxa"/>
              <w:bottom w:w="43" w:type="dxa"/>
              <w:right w:w="43" w:type="dxa"/>
            </w:tcMar>
          </w:tcPr>
          <w:p w14:paraId="3036D865" w14:textId="77777777" w:rsidR="00D60186" w:rsidRPr="00FD49F3" w:rsidRDefault="00D60186" w:rsidP="00FD49F3">
            <w:pPr>
              <w:jc w:val="right"/>
              <w:rPr>
                <w:sz w:val="21"/>
                <w:szCs w:val="21"/>
              </w:rPr>
            </w:pPr>
            <w:r w:rsidRPr="00FD49F3">
              <w:rPr>
                <w:sz w:val="21"/>
                <w:szCs w:val="21"/>
              </w:rPr>
              <w:t>Ja</w:t>
            </w:r>
          </w:p>
        </w:tc>
      </w:tr>
      <w:tr w:rsidR="00E76DC8" w:rsidRPr="00225D4D" w14:paraId="2B5F93CD" w14:textId="77777777">
        <w:trPr>
          <w:trHeight w:val="640"/>
        </w:trPr>
        <w:tc>
          <w:tcPr>
            <w:tcW w:w="1400" w:type="dxa"/>
            <w:tcBorders>
              <w:top w:val="nil"/>
              <w:left w:val="nil"/>
              <w:bottom w:val="nil"/>
              <w:right w:val="nil"/>
            </w:tcBorders>
            <w:tcMar>
              <w:top w:w="128" w:type="dxa"/>
              <w:left w:w="43" w:type="dxa"/>
              <w:bottom w:w="43" w:type="dxa"/>
              <w:right w:w="43" w:type="dxa"/>
            </w:tcMar>
          </w:tcPr>
          <w:p w14:paraId="1D15CD40" w14:textId="77777777" w:rsidR="00D60186" w:rsidRPr="00FD49F3" w:rsidRDefault="00D60186" w:rsidP="00225D4D">
            <w:pPr>
              <w:rPr>
                <w:sz w:val="21"/>
                <w:szCs w:val="21"/>
              </w:rPr>
            </w:pPr>
            <w:r w:rsidRPr="00FD49F3">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686FE358" w14:textId="77777777" w:rsidR="00D60186" w:rsidRPr="00FD49F3" w:rsidRDefault="00D60186" w:rsidP="00FD49F3">
            <w:pPr>
              <w:ind w:right="113"/>
              <w:jc w:val="right"/>
              <w:rPr>
                <w:sz w:val="21"/>
                <w:szCs w:val="21"/>
              </w:rPr>
            </w:pPr>
            <w:r w:rsidRPr="00FD49F3">
              <w:rPr>
                <w:sz w:val="21"/>
                <w:szCs w:val="21"/>
              </w:rPr>
              <w:t>1009</w:t>
            </w:r>
          </w:p>
        </w:tc>
        <w:tc>
          <w:tcPr>
            <w:tcW w:w="5600" w:type="dxa"/>
            <w:tcBorders>
              <w:top w:val="nil"/>
              <w:left w:val="nil"/>
              <w:bottom w:val="nil"/>
              <w:right w:val="nil"/>
            </w:tcBorders>
            <w:tcMar>
              <w:top w:w="128" w:type="dxa"/>
              <w:left w:w="43" w:type="dxa"/>
              <w:bottom w:w="43" w:type="dxa"/>
              <w:right w:w="43" w:type="dxa"/>
            </w:tcMar>
          </w:tcPr>
          <w:p w14:paraId="277191AB" w14:textId="77777777" w:rsidR="00D60186" w:rsidRPr="00FD49F3" w:rsidRDefault="00D60186" w:rsidP="00225D4D">
            <w:pPr>
              <w:rPr>
                <w:sz w:val="21"/>
                <w:szCs w:val="21"/>
              </w:rPr>
            </w:pPr>
            <w:r w:rsidRPr="00FD49F3">
              <w:rPr>
                <w:sz w:val="21"/>
                <w:szCs w:val="21"/>
              </w:rPr>
              <w:t xml:space="preserve">Harmonisere rammevilkårene for biogassproduksjon </w:t>
            </w:r>
            <w:r w:rsidRPr="00FD49F3">
              <w:rPr>
                <w:sz w:val="21"/>
                <w:szCs w:val="21"/>
              </w:rPr>
              <w:br/>
              <w:t>i Norden</w:t>
            </w:r>
          </w:p>
        </w:tc>
        <w:tc>
          <w:tcPr>
            <w:tcW w:w="1400" w:type="dxa"/>
            <w:tcBorders>
              <w:top w:val="nil"/>
              <w:left w:val="nil"/>
              <w:bottom w:val="nil"/>
              <w:right w:val="nil"/>
            </w:tcBorders>
            <w:tcMar>
              <w:top w:w="128" w:type="dxa"/>
              <w:left w:w="43" w:type="dxa"/>
              <w:bottom w:w="43" w:type="dxa"/>
              <w:right w:w="43" w:type="dxa"/>
            </w:tcMar>
          </w:tcPr>
          <w:p w14:paraId="4AEE19C6" w14:textId="77777777" w:rsidR="00D60186" w:rsidRPr="00FD49F3" w:rsidRDefault="00D60186" w:rsidP="00FD49F3">
            <w:pPr>
              <w:jc w:val="right"/>
              <w:rPr>
                <w:sz w:val="21"/>
                <w:szCs w:val="21"/>
              </w:rPr>
            </w:pPr>
            <w:r w:rsidRPr="00FD49F3">
              <w:rPr>
                <w:sz w:val="21"/>
                <w:szCs w:val="21"/>
              </w:rPr>
              <w:t>Ja</w:t>
            </w:r>
          </w:p>
        </w:tc>
      </w:tr>
      <w:tr w:rsidR="00E76DC8" w:rsidRPr="00225D4D" w14:paraId="24469B3D" w14:textId="77777777">
        <w:trPr>
          <w:trHeight w:val="640"/>
        </w:trPr>
        <w:tc>
          <w:tcPr>
            <w:tcW w:w="1400" w:type="dxa"/>
            <w:tcBorders>
              <w:top w:val="nil"/>
              <w:left w:val="nil"/>
              <w:bottom w:val="nil"/>
              <w:right w:val="nil"/>
            </w:tcBorders>
            <w:tcMar>
              <w:top w:w="128" w:type="dxa"/>
              <w:left w:w="43" w:type="dxa"/>
              <w:bottom w:w="43" w:type="dxa"/>
              <w:right w:w="43" w:type="dxa"/>
            </w:tcMar>
          </w:tcPr>
          <w:p w14:paraId="0CB5F545" w14:textId="77777777" w:rsidR="00D60186" w:rsidRPr="00FD49F3" w:rsidRDefault="00D60186" w:rsidP="00225D4D">
            <w:pPr>
              <w:rPr>
                <w:sz w:val="21"/>
                <w:szCs w:val="21"/>
              </w:rPr>
            </w:pPr>
            <w:r w:rsidRPr="00FD49F3">
              <w:rPr>
                <w:sz w:val="21"/>
                <w:szCs w:val="21"/>
              </w:rPr>
              <w:t>2018–2019</w:t>
            </w:r>
          </w:p>
        </w:tc>
        <w:tc>
          <w:tcPr>
            <w:tcW w:w="1120" w:type="dxa"/>
            <w:tcBorders>
              <w:top w:val="nil"/>
              <w:left w:val="nil"/>
              <w:bottom w:val="nil"/>
              <w:right w:val="nil"/>
            </w:tcBorders>
            <w:tcMar>
              <w:top w:w="128" w:type="dxa"/>
              <w:left w:w="43" w:type="dxa"/>
              <w:bottom w:w="43" w:type="dxa"/>
              <w:right w:w="43" w:type="dxa"/>
            </w:tcMar>
          </w:tcPr>
          <w:p w14:paraId="3B8F0AB8" w14:textId="77777777" w:rsidR="00D60186" w:rsidRPr="00FD49F3" w:rsidRDefault="00D60186" w:rsidP="00FD49F3">
            <w:pPr>
              <w:ind w:right="113"/>
              <w:jc w:val="right"/>
              <w:rPr>
                <w:sz w:val="21"/>
                <w:szCs w:val="21"/>
              </w:rPr>
            </w:pPr>
            <w:r w:rsidRPr="00FD49F3">
              <w:rPr>
                <w:sz w:val="21"/>
                <w:szCs w:val="21"/>
              </w:rPr>
              <w:t>383</w:t>
            </w:r>
          </w:p>
        </w:tc>
        <w:tc>
          <w:tcPr>
            <w:tcW w:w="5600" w:type="dxa"/>
            <w:tcBorders>
              <w:top w:val="nil"/>
              <w:left w:val="nil"/>
              <w:bottom w:val="nil"/>
              <w:right w:val="nil"/>
            </w:tcBorders>
            <w:tcMar>
              <w:top w:w="128" w:type="dxa"/>
              <w:left w:w="43" w:type="dxa"/>
              <w:bottom w:w="43" w:type="dxa"/>
              <w:right w:w="43" w:type="dxa"/>
            </w:tcMar>
          </w:tcPr>
          <w:p w14:paraId="799B0696" w14:textId="77777777" w:rsidR="00D60186" w:rsidRPr="00FD49F3" w:rsidRDefault="00D60186" w:rsidP="00225D4D">
            <w:pPr>
              <w:rPr>
                <w:sz w:val="21"/>
                <w:szCs w:val="21"/>
              </w:rPr>
            </w:pPr>
            <w:r w:rsidRPr="00FD49F3">
              <w:rPr>
                <w:sz w:val="21"/>
                <w:szCs w:val="21"/>
              </w:rPr>
              <w:t xml:space="preserve">Erstatningsreglene ved tap av beitedyr til rovvilt </w:t>
            </w:r>
            <w:r w:rsidRPr="00FD49F3">
              <w:rPr>
                <w:sz w:val="21"/>
                <w:szCs w:val="21"/>
              </w:rPr>
              <w:br/>
              <w:t>og kompensasjonsordningen (FKT)</w:t>
            </w:r>
          </w:p>
        </w:tc>
        <w:tc>
          <w:tcPr>
            <w:tcW w:w="1400" w:type="dxa"/>
            <w:tcBorders>
              <w:top w:val="nil"/>
              <w:left w:val="nil"/>
              <w:bottom w:val="nil"/>
              <w:right w:val="nil"/>
            </w:tcBorders>
            <w:tcMar>
              <w:top w:w="128" w:type="dxa"/>
              <w:left w:w="43" w:type="dxa"/>
              <w:bottom w:w="43" w:type="dxa"/>
              <w:right w:w="43" w:type="dxa"/>
            </w:tcMar>
          </w:tcPr>
          <w:p w14:paraId="4B58AF37" w14:textId="77777777" w:rsidR="00D60186" w:rsidRPr="00FD49F3" w:rsidRDefault="00D60186" w:rsidP="00FD49F3">
            <w:pPr>
              <w:jc w:val="right"/>
              <w:rPr>
                <w:sz w:val="21"/>
                <w:szCs w:val="21"/>
              </w:rPr>
            </w:pPr>
            <w:r w:rsidRPr="00FD49F3">
              <w:rPr>
                <w:sz w:val="21"/>
                <w:szCs w:val="21"/>
              </w:rPr>
              <w:t>Nei</w:t>
            </w:r>
          </w:p>
        </w:tc>
      </w:tr>
      <w:tr w:rsidR="00E76DC8" w:rsidRPr="00225D4D" w14:paraId="71DFF4E0" w14:textId="77777777">
        <w:trPr>
          <w:trHeight w:val="640"/>
        </w:trPr>
        <w:tc>
          <w:tcPr>
            <w:tcW w:w="1400" w:type="dxa"/>
            <w:tcBorders>
              <w:top w:val="nil"/>
              <w:left w:val="nil"/>
              <w:bottom w:val="nil"/>
              <w:right w:val="nil"/>
            </w:tcBorders>
            <w:tcMar>
              <w:top w:w="128" w:type="dxa"/>
              <w:left w:w="43" w:type="dxa"/>
              <w:bottom w:w="43" w:type="dxa"/>
              <w:right w:w="43" w:type="dxa"/>
            </w:tcMar>
          </w:tcPr>
          <w:p w14:paraId="43BE26DC" w14:textId="77777777" w:rsidR="00D60186" w:rsidRPr="00FD49F3" w:rsidRDefault="00D60186" w:rsidP="00225D4D">
            <w:pPr>
              <w:rPr>
                <w:sz w:val="21"/>
                <w:szCs w:val="21"/>
              </w:rPr>
            </w:pPr>
            <w:r w:rsidRPr="00FD49F3">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70E5AC7F" w14:textId="77777777" w:rsidR="00D60186" w:rsidRPr="00FD49F3" w:rsidRDefault="00D60186" w:rsidP="00FD49F3">
            <w:pPr>
              <w:ind w:right="113"/>
              <w:jc w:val="right"/>
              <w:rPr>
                <w:sz w:val="21"/>
                <w:szCs w:val="21"/>
              </w:rPr>
            </w:pPr>
            <w:r w:rsidRPr="00FD49F3">
              <w:rPr>
                <w:sz w:val="21"/>
                <w:szCs w:val="21"/>
              </w:rPr>
              <w:t>661</w:t>
            </w:r>
          </w:p>
        </w:tc>
        <w:tc>
          <w:tcPr>
            <w:tcW w:w="5600" w:type="dxa"/>
            <w:tcBorders>
              <w:top w:val="nil"/>
              <w:left w:val="nil"/>
              <w:bottom w:val="nil"/>
              <w:right w:val="nil"/>
            </w:tcBorders>
            <w:tcMar>
              <w:top w:w="128" w:type="dxa"/>
              <w:left w:w="43" w:type="dxa"/>
              <w:bottom w:w="43" w:type="dxa"/>
              <w:right w:w="43" w:type="dxa"/>
            </w:tcMar>
          </w:tcPr>
          <w:p w14:paraId="36177787" w14:textId="77777777" w:rsidR="00D60186" w:rsidRPr="00FD49F3" w:rsidRDefault="00D60186" w:rsidP="00225D4D">
            <w:pPr>
              <w:rPr>
                <w:sz w:val="21"/>
                <w:szCs w:val="21"/>
              </w:rPr>
            </w:pPr>
            <w:r w:rsidRPr="00FD49F3">
              <w:rPr>
                <w:sz w:val="21"/>
                <w:szCs w:val="21"/>
              </w:rPr>
              <w:t xml:space="preserve">Utrede strengere krav til svartvann- og gråvannsutslipp </w:t>
            </w:r>
            <w:r w:rsidRPr="00FD49F3">
              <w:rPr>
                <w:sz w:val="21"/>
                <w:szCs w:val="21"/>
              </w:rPr>
              <w:br/>
              <w:t>fra cruiseskip</w:t>
            </w:r>
          </w:p>
        </w:tc>
        <w:tc>
          <w:tcPr>
            <w:tcW w:w="1400" w:type="dxa"/>
            <w:tcBorders>
              <w:top w:val="nil"/>
              <w:left w:val="nil"/>
              <w:bottom w:val="nil"/>
              <w:right w:val="nil"/>
            </w:tcBorders>
            <w:tcMar>
              <w:top w:w="128" w:type="dxa"/>
              <w:left w:w="43" w:type="dxa"/>
              <w:bottom w:w="43" w:type="dxa"/>
              <w:right w:w="43" w:type="dxa"/>
            </w:tcMar>
          </w:tcPr>
          <w:p w14:paraId="3D514564" w14:textId="77777777" w:rsidR="00D60186" w:rsidRPr="00FD49F3" w:rsidRDefault="00D60186" w:rsidP="00FD49F3">
            <w:pPr>
              <w:jc w:val="right"/>
              <w:rPr>
                <w:sz w:val="21"/>
                <w:szCs w:val="21"/>
              </w:rPr>
            </w:pPr>
            <w:r w:rsidRPr="00FD49F3">
              <w:rPr>
                <w:sz w:val="21"/>
                <w:szCs w:val="21"/>
              </w:rPr>
              <w:t>Ja</w:t>
            </w:r>
          </w:p>
        </w:tc>
      </w:tr>
      <w:tr w:rsidR="00E76DC8" w:rsidRPr="00225D4D" w14:paraId="0608AFE6" w14:textId="77777777">
        <w:trPr>
          <w:trHeight w:val="640"/>
        </w:trPr>
        <w:tc>
          <w:tcPr>
            <w:tcW w:w="1400" w:type="dxa"/>
            <w:tcBorders>
              <w:top w:val="nil"/>
              <w:left w:val="nil"/>
              <w:bottom w:val="nil"/>
              <w:right w:val="nil"/>
            </w:tcBorders>
            <w:tcMar>
              <w:top w:w="128" w:type="dxa"/>
              <w:left w:w="43" w:type="dxa"/>
              <w:bottom w:w="43" w:type="dxa"/>
              <w:right w:w="43" w:type="dxa"/>
            </w:tcMar>
          </w:tcPr>
          <w:p w14:paraId="37C236A1" w14:textId="77777777" w:rsidR="00D60186" w:rsidRPr="00FD49F3" w:rsidRDefault="00D60186" w:rsidP="00225D4D">
            <w:pPr>
              <w:rPr>
                <w:sz w:val="21"/>
                <w:szCs w:val="21"/>
              </w:rPr>
            </w:pPr>
            <w:r w:rsidRPr="00FD49F3">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30B67EB4" w14:textId="77777777" w:rsidR="00D60186" w:rsidRPr="00FD49F3" w:rsidRDefault="00D60186" w:rsidP="00FD49F3">
            <w:pPr>
              <w:ind w:right="113"/>
              <w:jc w:val="right"/>
              <w:rPr>
                <w:sz w:val="21"/>
                <w:szCs w:val="21"/>
              </w:rPr>
            </w:pPr>
            <w:r w:rsidRPr="00FD49F3">
              <w:rPr>
                <w:sz w:val="21"/>
                <w:szCs w:val="21"/>
              </w:rPr>
              <w:t>672</w:t>
            </w:r>
          </w:p>
        </w:tc>
        <w:tc>
          <w:tcPr>
            <w:tcW w:w="5600" w:type="dxa"/>
            <w:tcBorders>
              <w:top w:val="nil"/>
              <w:left w:val="nil"/>
              <w:bottom w:val="nil"/>
              <w:right w:val="nil"/>
            </w:tcBorders>
            <w:tcMar>
              <w:top w:w="128" w:type="dxa"/>
              <w:left w:w="43" w:type="dxa"/>
              <w:bottom w:w="43" w:type="dxa"/>
              <w:right w:w="43" w:type="dxa"/>
            </w:tcMar>
          </w:tcPr>
          <w:p w14:paraId="64278C6A" w14:textId="77777777" w:rsidR="00D60186" w:rsidRPr="00FD49F3" w:rsidRDefault="00D60186" w:rsidP="00225D4D">
            <w:pPr>
              <w:rPr>
                <w:sz w:val="21"/>
                <w:szCs w:val="21"/>
              </w:rPr>
            </w:pPr>
            <w:proofErr w:type="gramStart"/>
            <w:r w:rsidRPr="00FD49F3">
              <w:rPr>
                <w:sz w:val="21"/>
                <w:szCs w:val="21"/>
              </w:rPr>
              <w:t>Implementere</w:t>
            </w:r>
            <w:proofErr w:type="gramEnd"/>
            <w:r w:rsidRPr="00FD49F3">
              <w:rPr>
                <w:sz w:val="21"/>
                <w:szCs w:val="21"/>
              </w:rPr>
              <w:t xml:space="preserve"> krav og reguleringer til utslipp fra cruiseskip og annen skipstrafikk i turistfjorder </w:t>
            </w:r>
            <w:proofErr w:type="spellStart"/>
            <w:r w:rsidRPr="00FD49F3">
              <w:rPr>
                <w:sz w:val="21"/>
                <w:szCs w:val="21"/>
              </w:rPr>
              <w:t>m.m</w:t>
            </w:r>
            <w:proofErr w:type="spellEnd"/>
          </w:p>
        </w:tc>
        <w:tc>
          <w:tcPr>
            <w:tcW w:w="1400" w:type="dxa"/>
            <w:tcBorders>
              <w:top w:val="nil"/>
              <w:left w:val="nil"/>
              <w:bottom w:val="nil"/>
              <w:right w:val="nil"/>
            </w:tcBorders>
            <w:tcMar>
              <w:top w:w="128" w:type="dxa"/>
              <w:left w:w="43" w:type="dxa"/>
              <w:bottom w:w="43" w:type="dxa"/>
              <w:right w:w="43" w:type="dxa"/>
            </w:tcMar>
          </w:tcPr>
          <w:p w14:paraId="5C42B438" w14:textId="77777777" w:rsidR="00D60186" w:rsidRPr="00FD49F3" w:rsidRDefault="00D60186" w:rsidP="00FD49F3">
            <w:pPr>
              <w:jc w:val="right"/>
              <w:rPr>
                <w:sz w:val="21"/>
                <w:szCs w:val="21"/>
              </w:rPr>
            </w:pPr>
            <w:r w:rsidRPr="00FD49F3">
              <w:rPr>
                <w:sz w:val="21"/>
                <w:szCs w:val="21"/>
              </w:rPr>
              <w:t>Ja</w:t>
            </w:r>
          </w:p>
        </w:tc>
      </w:tr>
      <w:tr w:rsidR="00E76DC8" w:rsidRPr="00225D4D" w14:paraId="3680728C" w14:textId="77777777">
        <w:trPr>
          <w:trHeight w:val="380"/>
        </w:trPr>
        <w:tc>
          <w:tcPr>
            <w:tcW w:w="1400" w:type="dxa"/>
            <w:tcBorders>
              <w:top w:val="nil"/>
              <w:left w:val="nil"/>
              <w:bottom w:val="nil"/>
              <w:right w:val="nil"/>
            </w:tcBorders>
            <w:tcMar>
              <w:top w:w="128" w:type="dxa"/>
              <w:left w:w="43" w:type="dxa"/>
              <w:bottom w:w="43" w:type="dxa"/>
              <w:right w:w="43" w:type="dxa"/>
            </w:tcMar>
          </w:tcPr>
          <w:p w14:paraId="1650BF15" w14:textId="77777777" w:rsidR="00D60186" w:rsidRPr="00FD49F3" w:rsidRDefault="00D60186" w:rsidP="00225D4D">
            <w:pPr>
              <w:rPr>
                <w:sz w:val="21"/>
                <w:szCs w:val="21"/>
              </w:rPr>
            </w:pPr>
            <w:r w:rsidRPr="00FD49F3">
              <w:rPr>
                <w:sz w:val="21"/>
                <w:szCs w:val="21"/>
              </w:rPr>
              <w:t>2016–2017</w:t>
            </w:r>
          </w:p>
        </w:tc>
        <w:tc>
          <w:tcPr>
            <w:tcW w:w="1120" w:type="dxa"/>
            <w:tcBorders>
              <w:top w:val="nil"/>
              <w:left w:val="nil"/>
              <w:bottom w:val="nil"/>
              <w:right w:val="nil"/>
            </w:tcBorders>
            <w:tcMar>
              <w:top w:w="128" w:type="dxa"/>
              <w:left w:w="43" w:type="dxa"/>
              <w:bottom w:w="43" w:type="dxa"/>
              <w:right w:w="43" w:type="dxa"/>
            </w:tcMar>
          </w:tcPr>
          <w:p w14:paraId="32BF48C5" w14:textId="77777777" w:rsidR="00D60186" w:rsidRPr="00FD49F3" w:rsidRDefault="00D60186" w:rsidP="00FD49F3">
            <w:pPr>
              <w:ind w:right="113"/>
              <w:jc w:val="right"/>
              <w:rPr>
                <w:sz w:val="21"/>
                <w:szCs w:val="21"/>
              </w:rPr>
            </w:pPr>
            <w:r w:rsidRPr="00FD49F3">
              <w:rPr>
                <w:sz w:val="21"/>
                <w:szCs w:val="21"/>
              </w:rPr>
              <w:t>914</w:t>
            </w:r>
          </w:p>
        </w:tc>
        <w:tc>
          <w:tcPr>
            <w:tcW w:w="5600" w:type="dxa"/>
            <w:tcBorders>
              <w:top w:val="nil"/>
              <w:left w:val="nil"/>
              <w:bottom w:val="nil"/>
              <w:right w:val="nil"/>
            </w:tcBorders>
            <w:tcMar>
              <w:top w:w="128" w:type="dxa"/>
              <w:left w:w="43" w:type="dxa"/>
              <w:bottom w:w="43" w:type="dxa"/>
              <w:right w:w="43" w:type="dxa"/>
            </w:tcMar>
          </w:tcPr>
          <w:p w14:paraId="6F57739F" w14:textId="77777777" w:rsidR="00D60186" w:rsidRPr="00FD49F3" w:rsidRDefault="00D60186" w:rsidP="00225D4D">
            <w:pPr>
              <w:rPr>
                <w:sz w:val="21"/>
                <w:szCs w:val="21"/>
              </w:rPr>
            </w:pPr>
            <w:r w:rsidRPr="00FD49F3">
              <w:rPr>
                <w:sz w:val="21"/>
                <w:szCs w:val="21"/>
              </w:rPr>
              <w:t>Forslag til tiltak og virkemidler for overvannsproblematikk</w:t>
            </w:r>
          </w:p>
        </w:tc>
        <w:tc>
          <w:tcPr>
            <w:tcW w:w="1400" w:type="dxa"/>
            <w:tcBorders>
              <w:top w:val="nil"/>
              <w:left w:val="nil"/>
              <w:bottom w:val="nil"/>
              <w:right w:val="nil"/>
            </w:tcBorders>
            <w:tcMar>
              <w:top w:w="128" w:type="dxa"/>
              <w:left w:w="43" w:type="dxa"/>
              <w:bottom w:w="43" w:type="dxa"/>
              <w:right w:w="43" w:type="dxa"/>
            </w:tcMar>
          </w:tcPr>
          <w:p w14:paraId="08FB9499" w14:textId="77777777" w:rsidR="00D60186" w:rsidRPr="00FD49F3" w:rsidRDefault="00D60186" w:rsidP="00FD49F3">
            <w:pPr>
              <w:jc w:val="right"/>
              <w:rPr>
                <w:sz w:val="21"/>
                <w:szCs w:val="21"/>
              </w:rPr>
            </w:pPr>
            <w:r w:rsidRPr="00FD49F3">
              <w:rPr>
                <w:sz w:val="21"/>
                <w:szCs w:val="21"/>
              </w:rPr>
              <w:t>Ja</w:t>
            </w:r>
          </w:p>
        </w:tc>
      </w:tr>
      <w:tr w:rsidR="00E76DC8" w:rsidRPr="00225D4D" w14:paraId="71CFFCF0"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78B72AD7" w14:textId="77777777" w:rsidR="00D60186" w:rsidRPr="00FD49F3" w:rsidRDefault="00D60186" w:rsidP="00225D4D">
            <w:pPr>
              <w:rPr>
                <w:sz w:val="21"/>
                <w:szCs w:val="21"/>
              </w:rPr>
            </w:pPr>
            <w:r w:rsidRPr="00FD49F3">
              <w:rPr>
                <w:sz w:val="21"/>
                <w:szCs w:val="21"/>
              </w:rPr>
              <w:t>2015–2016</w:t>
            </w:r>
          </w:p>
        </w:tc>
        <w:tc>
          <w:tcPr>
            <w:tcW w:w="1120" w:type="dxa"/>
            <w:tcBorders>
              <w:top w:val="nil"/>
              <w:left w:val="nil"/>
              <w:bottom w:val="single" w:sz="4" w:space="0" w:color="000000"/>
              <w:right w:val="nil"/>
            </w:tcBorders>
            <w:tcMar>
              <w:top w:w="128" w:type="dxa"/>
              <w:left w:w="43" w:type="dxa"/>
              <w:bottom w:w="43" w:type="dxa"/>
              <w:right w:w="43" w:type="dxa"/>
            </w:tcMar>
          </w:tcPr>
          <w:p w14:paraId="25F36CF9" w14:textId="77777777" w:rsidR="00D60186" w:rsidRPr="00FD49F3" w:rsidRDefault="00D60186" w:rsidP="00FD49F3">
            <w:pPr>
              <w:ind w:right="113"/>
              <w:jc w:val="right"/>
              <w:rPr>
                <w:sz w:val="21"/>
                <w:szCs w:val="21"/>
              </w:rPr>
            </w:pPr>
            <w:r w:rsidRPr="00FD49F3">
              <w:rPr>
                <w:sz w:val="21"/>
                <w:szCs w:val="21"/>
              </w:rPr>
              <w:t>674</w:t>
            </w:r>
          </w:p>
        </w:tc>
        <w:tc>
          <w:tcPr>
            <w:tcW w:w="5600" w:type="dxa"/>
            <w:tcBorders>
              <w:top w:val="nil"/>
              <w:left w:val="nil"/>
              <w:bottom w:val="single" w:sz="4" w:space="0" w:color="000000"/>
              <w:right w:val="nil"/>
            </w:tcBorders>
            <w:tcMar>
              <w:top w:w="128" w:type="dxa"/>
              <w:left w:w="43" w:type="dxa"/>
              <w:bottom w:w="43" w:type="dxa"/>
              <w:right w:w="43" w:type="dxa"/>
            </w:tcMar>
          </w:tcPr>
          <w:p w14:paraId="06A85178" w14:textId="77777777" w:rsidR="00D60186" w:rsidRPr="00FD49F3" w:rsidRDefault="00D60186" w:rsidP="00225D4D">
            <w:pPr>
              <w:rPr>
                <w:sz w:val="21"/>
                <w:szCs w:val="21"/>
              </w:rPr>
            </w:pPr>
            <w:r w:rsidRPr="00FD49F3">
              <w:rPr>
                <w:sz w:val="21"/>
                <w:szCs w:val="21"/>
              </w:rPr>
              <w:t>Handlingsplan for å bedre situasjonen for sjøfugl</w:t>
            </w:r>
          </w:p>
        </w:tc>
        <w:tc>
          <w:tcPr>
            <w:tcW w:w="1400" w:type="dxa"/>
            <w:tcBorders>
              <w:top w:val="nil"/>
              <w:left w:val="nil"/>
              <w:bottom w:val="single" w:sz="4" w:space="0" w:color="000000"/>
              <w:right w:val="nil"/>
            </w:tcBorders>
            <w:tcMar>
              <w:top w:w="128" w:type="dxa"/>
              <w:left w:w="43" w:type="dxa"/>
              <w:bottom w:w="43" w:type="dxa"/>
              <w:right w:w="43" w:type="dxa"/>
            </w:tcMar>
          </w:tcPr>
          <w:p w14:paraId="024A273D" w14:textId="77777777" w:rsidR="00D60186" w:rsidRPr="00FD49F3" w:rsidRDefault="00D60186" w:rsidP="00FD49F3">
            <w:pPr>
              <w:jc w:val="right"/>
              <w:rPr>
                <w:sz w:val="21"/>
                <w:szCs w:val="21"/>
              </w:rPr>
            </w:pPr>
            <w:r w:rsidRPr="00FD49F3">
              <w:rPr>
                <w:sz w:val="21"/>
                <w:szCs w:val="21"/>
              </w:rPr>
              <w:t>Ja</w:t>
            </w:r>
          </w:p>
        </w:tc>
      </w:tr>
    </w:tbl>
    <w:p w14:paraId="2DCE9D3E" w14:textId="77777777" w:rsidR="00D60186" w:rsidRPr="00225D4D" w:rsidRDefault="00D60186" w:rsidP="00FD49F3">
      <w:pPr>
        <w:pStyle w:val="Overskrift2"/>
        <w:numPr>
          <w:ilvl w:val="1"/>
          <w:numId w:val="35"/>
        </w:numPr>
      </w:pPr>
      <w:r w:rsidRPr="00225D4D">
        <w:t>Stortingssesjon 2024–2025</w:t>
      </w:r>
    </w:p>
    <w:p w14:paraId="6A73298A" w14:textId="77777777" w:rsidR="00D60186" w:rsidRPr="00225D4D" w:rsidRDefault="00D60186" w:rsidP="00225D4D">
      <w:pPr>
        <w:pStyle w:val="avsnitt-tittel"/>
      </w:pPr>
      <w:r w:rsidRPr="00225D4D">
        <w:t>Kvenske/norskfinske og skogfinske kulturminner</w:t>
      </w:r>
    </w:p>
    <w:p w14:paraId="5F0D810D" w14:textId="77777777" w:rsidR="00D60186" w:rsidRPr="00225D4D" w:rsidRDefault="00D60186" w:rsidP="00225D4D">
      <w:pPr>
        <w:pStyle w:val="avsnitt-undertittel"/>
      </w:pPr>
      <w:r w:rsidRPr="00225D4D">
        <w:t>Vedtak nr. 27 12. november 2024</w:t>
      </w:r>
    </w:p>
    <w:p w14:paraId="241CBB79" w14:textId="77777777" w:rsidR="00D60186" w:rsidRPr="00225D4D" w:rsidRDefault="00D60186" w:rsidP="00225D4D">
      <w:pPr>
        <w:pStyle w:val="blokksit"/>
        <w:rPr>
          <w:rStyle w:val="kursiv"/>
        </w:rPr>
      </w:pPr>
      <w:r w:rsidRPr="00225D4D">
        <w:rPr>
          <w:rStyle w:val="kursiv"/>
        </w:rPr>
        <w:t>«Stortinget ber regjeringen utarbeide et forslag til endring i kulturminneloven som sikrer automatisk fredning av kvenske/norskfinske og skogfinske kulturminner i tråd med bestemmelsen for samiske kulturminner.»</w:t>
      </w:r>
    </w:p>
    <w:p w14:paraId="7D50CC12" w14:textId="77777777" w:rsidR="00D60186" w:rsidRPr="00225D4D" w:rsidRDefault="00D60186" w:rsidP="00225D4D">
      <w:r w:rsidRPr="00225D4D">
        <w:t xml:space="preserve">Vedtaket ble gjort ved Stortingets behandling av rapport til Stortinget fra Sannhets- og forsoningskommisjonen, jf. </w:t>
      </w:r>
      <w:proofErr w:type="spellStart"/>
      <w:r w:rsidRPr="00225D4D">
        <w:t>Innst</w:t>
      </w:r>
      <w:proofErr w:type="spellEnd"/>
      <w:r w:rsidRPr="00225D4D">
        <w:t>. 30 S (2024–2025).</w:t>
      </w:r>
    </w:p>
    <w:p w14:paraId="1FB1DACF" w14:textId="77777777" w:rsidR="00D60186" w:rsidRPr="00225D4D" w:rsidRDefault="00D60186" w:rsidP="00225D4D">
      <w:r w:rsidRPr="00225D4D">
        <w:t xml:space="preserve">Kulturmiljølovutvalget </w:t>
      </w:r>
      <w:proofErr w:type="gramStart"/>
      <w:r w:rsidRPr="00225D4D">
        <w:t>avga</w:t>
      </w:r>
      <w:proofErr w:type="gramEnd"/>
      <w:r w:rsidRPr="00225D4D">
        <w:t xml:space="preserve"> sin NOU 24. mars 2025. </w:t>
      </w:r>
      <w:proofErr w:type="spellStart"/>
      <w:r w:rsidRPr="00225D4D">
        <w:t>NOUen</w:t>
      </w:r>
      <w:proofErr w:type="spellEnd"/>
      <w:r w:rsidRPr="00225D4D">
        <w:t xml:space="preserve"> har vært på høring, og arbeidet med </w:t>
      </w:r>
      <w:proofErr w:type="spellStart"/>
      <w:r w:rsidRPr="00225D4D">
        <w:t>Prop</w:t>
      </w:r>
      <w:proofErr w:type="spellEnd"/>
      <w:r w:rsidRPr="00225D4D">
        <w:t>. L for ny kulturmiljølov som skal erstatte kulturminneloven har startet opp. Oppfølgingen av anmodningsvedtaket vil bli en del av lovarbeidet.</w:t>
      </w:r>
    </w:p>
    <w:p w14:paraId="0523EBE1" w14:textId="77777777" w:rsidR="00D60186" w:rsidRPr="00225D4D" w:rsidRDefault="00D60186" w:rsidP="00225D4D">
      <w:r w:rsidRPr="00225D4D">
        <w:t>Regjeringen vil komme tilbake til Stortinget på egnet måte.</w:t>
      </w:r>
    </w:p>
    <w:p w14:paraId="4E1CBE73" w14:textId="77777777" w:rsidR="00D60186" w:rsidRPr="00225D4D" w:rsidRDefault="00D60186" w:rsidP="00225D4D">
      <w:pPr>
        <w:pStyle w:val="avsnitt-tittel"/>
      </w:pPr>
      <w:r w:rsidRPr="00225D4D">
        <w:t>Gjenbruk av kasserte elbilbatterier</w:t>
      </w:r>
    </w:p>
    <w:p w14:paraId="3FC325F5" w14:textId="77777777" w:rsidR="00D60186" w:rsidRPr="00225D4D" w:rsidRDefault="00D60186" w:rsidP="00225D4D">
      <w:pPr>
        <w:pStyle w:val="avsnitt-undertittel"/>
      </w:pPr>
      <w:r w:rsidRPr="00225D4D">
        <w:t>Vedtak nr. 75 5. desember 2024</w:t>
      </w:r>
    </w:p>
    <w:p w14:paraId="3C93FC39" w14:textId="77777777" w:rsidR="00D60186" w:rsidRPr="00225D4D" w:rsidRDefault="00D60186" w:rsidP="00225D4D">
      <w:pPr>
        <w:pStyle w:val="blokksit"/>
        <w:rPr>
          <w:rStyle w:val="kursiv"/>
        </w:rPr>
      </w:pPr>
      <w:r w:rsidRPr="00225D4D">
        <w:rPr>
          <w:rStyle w:val="kursiv"/>
        </w:rPr>
        <w:t>«Stortinget ber regjeringen utrede potensialet i Norge for gjenbruk av kasserte elbilbatterier samt økonomiske insentiver for at bedrifter eller husholdninger kan ta slike batterier i bruk.»</w:t>
      </w:r>
    </w:p>
    <w:p w14:paraId="143FF6D8"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8:153 S (2023–2024) </w:t>
      </w:r>
      <w:r w:rsidRPr="00225D4D">
        <w:rPr>
          <w:rStyle w:val="kursiv"/>
        </w:rPr>
        <w:t>representantforslag om å fremme innkjøp, bruk og reparasjon av elbiler med lav miljøbelastning i hele livsløpet</w:t>
      </w:r>
      <w:r w:rsidRPr="00225D4D">
        <w:t xml:space="preserve">, jf. </w:t>
      </w:r>
      <w:proofErr w:type="spellStart"/>
      <w:r w:rsidRPr="00225D4D">
        <w:t>Innst</w:t>
      </w:r>
      <w:proofErr w:type="spellEnd"/>
      <w:r w:rsidRPr="00225D4D">
        <w:t>. 69 S (2024–2025).</w:t>
      </w:r>
    </w:p>
    <w:p w14:paraId="74ED71AA" w14:textId="77777777" w:rsidR="00D60186" w:rsidRPr="00225D4D" w:rsidRDefault="00D60186" w:rsidP="00225D4D">
      <w:r w:rsidRPr="00225D4D">
        <w:t>Departementet har i supplerende tildelingsbrev for 2025 gitt Miljødirektoratet i oppdrag «å utrede potensialet og vurdere og eventuelt anbefale virkemidler for ombruk av elbilbatterier» med frist 31. desember 2025. Regjeringen vil basert på dette vurdere videre oppfølging av utredningen.</w:t>
      </w:r>
    </w:p>
    <w:p w14:paraId="542E859C" w14:textId="77777777" w:rsidR="00D60186" w:rsidRPr="00225D4D" w:rsidRDefault="00D60186" w:rsidP="00225D4D">
      <w:r w:rsidRPr="00225D4D">
        <w:t>Departementet anser med dette vedtaket som fulgt opp.</w:t>
      </w:r>
    </w:p>
    <w:p w14:paraId="17C89F72" w14:textId="77777777" w:rsidR="00D60186" w:rsidRPr="00225D4D" w:rsidRDefault="00D60186" w:rsidP="00225D4D">
      <w:pPr>
        <w:pStyle w:val="avsnitt-tittel"/>
      </w:pPr>
      <w:r w:rsidRPr="00225D4D">
        <w:t>Emballasjeforordningen og det norske pantesystemet</w:t>
      </w:r>
    </w:p>
    <w:p w14:paraId="06998FDD" w14:textId="77777777" w:rsidR="00D60186" w:rsidRPr="00225D4D" w:rsidRDefault="00D60186" w:rsidP="00225D4D">
      <w:pPr>
        <w:pStyle w:val="avsnitt-undertittel"/>
      </w:pPr>
      <w:r w:rsidRPr="00225D4D">
        <w:t>Vedtak nr. 76 5. desember 2024</w:t>
      </w:r>
    </w:p>
    <w:p w14:paraId="4C30D4A5" w14:textId="77777777" w:rsidR="00D60186" w:rsidRPr="00225D4D" w:rsidRDefault="00D60186" w:rsidP="00225D4D">
      <w:pPr>
        <w:pStyle w:val="blokksit"/>
        <w:rPr>
          <w:rStyle w:val="kursiv"/>
        </w:rPr>
      </w:pPr>
      <w:r w:rsidRPr="00225D4D">
        <w:rPr>
          <w:rStyle w:val="kursiv"/>
        </w:rPr>
        <w:t>«Stortinget ber regjeringen sikre at emballasjeforordningen gjennomføres på en måte som ivaretar det eksisterende norske pantesystemet, og sørge for at ikke norske bryggerier må legge ned som en konsekvens av innføringen.»</w:t>
      </w:r>
    </w:p>
    <w:p w14:paraId="085AA319"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8:176 S (2023–2024) representantforslag om en reell handlingsplan for sirkulær økonomi, jf. </w:t>
      </w:r>
      <w:proofErr w:type="spellStart"/>
      <w:r w:rsidRPr="00225D4D">
        <w:t>Innst</w:t>
      </w:r>
      <w:proofErr w:type="spellEnd"/>
      <w:r w:rsidRPr="00225D4D">
        <w:t>. 64 S (2024–2025).</w:t>
      </w:r>
    </w:p>
    <w:p w14:paraId="182FB1CD" w14:textId="77777777" w:rsidR="00D60186" w:rsidRPr="00225D4D" w:rsidRDefault="00D60186" w:rsidP="00225D4D">
      <w:r w:rsidRPr="00225D4D">
        <w:t xml:space="preserve">Miljødirektoratet vurderer hvordan emballasjeforordningen best mulig kan gjennomføres i Norge, gjennom sitt arbeid med å lage forslag til høringsnotat og forslag til en ny forskrift. Direktoratet vil etter planen levere sitt forslag høsten 2025. </w:t>
      </w:r>
    </w:p>
    <w:p w14:paraId="78C4D664" w14:textId="77777777" w:rsidR="00D60186" w:rsidRPr="00225D4D" w:rsidRDefault="00D60186" w:rsidP="00225D4D">
      <w:r w:rsidRPr="00225D4D">
        <w:t>Regjeringen vil komme tilbake til Stortinget på egnet måte.</w:t>
      </w:r>
    </w:p>
    <w:p w14:paraId="3261C120" w14:textId="77777777" w:rsidR="00D60186" w:rsidRPr="00225D4D" w:rsidRDefault="00D60186" w:rsidP="00225D4D">
      <w:pPr>
        <w:pStyle w:val="avsnitt-tittel"/>
      </w:pPr>
      <w:r w:rsidRPr="00225D4D">
        <w:t>Materialgjenvinning av isolerglassruter</w:t>
      </w:r>
    </w:p>
    <w:p w14:paraId="6B3AB9C5" w14:textId="77777777" w:rsidR="00D60186" w:rsidRPr="00225D4D" w:rsidRDefault="00D60186" w:rsidP="00225D4D">
      <w:pPr>
        <w:pStyle w:val="avsnitt-undertittel"/>
      </w:pPr>
      <w:r w:rsidRPr="00225D4D">
        <w:t>Vedtak nr. 77 5. desember 2024</w:t>
      </w:r>
    </w:p>
    <w:p w14:paraId="46F5AFE7" w14:textId="77777777" w:rsidR="00D60186" w:rsidRPr="00225D4D" w:rsidRDefault="00D60186" w:rsidP="00225D4D">
      <w:pPr>
        <w:pStyle w:val="blokksit"/>
        <w:rPr>
          <w:rStyle w:val="kursiv"/>
        </w:rPr>
      </w:pPr>
      <w:r w:rsidRPr="00225D4D">
        <w:rPr>
          <w:rStyle w:val="kursiv"/>
        </w:rPr>
        <w:t xml:space="preserve">«Stortinget ber regjeringa greie ut </w:t>
      </w:r>
      <w:proofErr w:type="spellStart"/>
      <w:r w:rsidRPr="00225D4D">
        <w:rPr>
          <w:rStyle w:val="kursiv"/>
        </w:rPr>
        <w:t>verkemiddel</w:t>
      </w:r>
      <w:proofErr w:type="spellEnd"/>
      <w:r w:rsidRPr="00225D4D">
        <w:rPr>
          <w:rStyle w:val="kursiv"/>
        </w:rPr>
        <w:t xml:space="preserve"> som </w:t>
      </w:r>
      <w:proofErr w:type="spellStart"/>
      <w:r w:rsidRPr="00225D4D">
        <w:rPr>
          <w:rStyle w:val="kursiv"/>
        </w:rPr>
        <w:t>sikrar</w:t>
      </w:r>
      <w:proofErr w:type="spellEnd"/>
      <w:r w:rsidRPr="00225D4D">
        <w:rPr>
          <w:rStyle w:val="kursiv"/>
        </w:rPr>
        <w:t xml:space="preserve"> </w:t>
      </w:r>
      <w:proofErr w:type="spellStart"/>
      <w:r w:rsidRPr="00225D4D">
        <w:rPr>
          <w:rStyle w:val="kursiv"/>
        </w:rPr>
        <w:t>auka</w:t>
      </w:r>
      <w:proofErr w:type="spellEnd"/>
      <w:r w:rsidRPr="00225D4D">
        <w:rPr>
          <w:rStyle w:val="kursiv"/>
        </w:rPr>
        <w:t xml:space="preserve"> materialgjenvinning av isolerglasruter, som </w:t>
      </w:r>
      <w:proofErr w:type="spellStart"/>
      <w:r w:rsidRPr="00225D4D">
        <w:rPr>
          <w:rStyle w:val="kursiv"/>
        </w:rPr>
        <w:t>omfattar</w:t>
      </w:r>
      <w:proofErr w:type="spellEnd"/>
      <w:r w:rsidRPr="00225D4D">
        <w:rPr>
          <w:rStyle w:val="kursiv"/>
        </w:rPr>
        <w:t xml:space="preserve"> eventuelle </w:t>
      </w:r>
      <w:proofErr w:type="spellStart"/>
      <w:r w:rsidRPr="00225D4D">
        <w:rPr>
          <w:rStyle w:val="kursiv"/>
        </w:rPr>
        <w:t>forskriftsendringar</w:t>
      </w:r>
      <w:proofErr w:type="spellEnd"/>
      <w:r w:rsidRPr="00225D4D">
        <w:rPr>
          <w:rStyle w:val="kursiv"/>
        </w:rPr>
        <w:t xml:space="preserve"> og utvida produsentansvar.»</w:t>
      </w:r>
    </w:p>
    <w:p w14:paraId="5A6A1C24"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8:176 S (2023–2024) </w:t>
      </w:r>
      <w:r w:rsidRPr="00225D4D">
        <w:rPr>
          <w:rStyle w:val="kursiv"/>
        </w:rPr>
        <w:t>representantforslag om en reell handlingsplan for sirkulær økonomi</w:t>
      </w:r>
      <w:r w:rsidRPr="00225D4D">
        <w:t xml:space="preserve">, jf. </w:t>
      </w:r>
      <w:proofErr w:type="spellStart"/>
      <w:r w:rsidRPr="00225D4D">
        <w:t>Innst</w:t>
      </w:r>
      <w:proofErr w:type="spellEnd"/>
      <w:r w:rsidRPr="00225D4D">
        <w:t>. 64 S (2024–2025), tilråding romertall II i innstillingen.</w:t>
      </w:r>
    </w:p>
    <w:p w14:paraId="33C66825" w14:textId="77777777" w:rsidR="00D60186" w:rsidRPr="00225D4D" w:rsidRDefault="00D60186" w:rsidP="00225D4D">
      <w:r w:rsidRPr="00225D4D">
        <w:t>Departementet har i supplerende tildelingsbrev for 2025 gitt Miljødirektoratet i oppdrag å vurdere og anbefale virkemidler for økt materialgjenvinning av isolerglassruter. Arbeidet skal inkludere en vurdering av å utvide dagens produsentansvarsordning til å gjelde andre isolerglassruter enn PCB-holdige ruter, og oppdraget har frist 31. desember 2025.</w:t>
      </w:r>
    </w:p>
    <w:p w14:paraId="5D962FD4" w14:textId="77777777" w:rsidR="00D60186" w:rsidRPr="00225D4D" w:rsidRDefault="00D60186" w:rsidP="00225D4D">
      <w:r w:rsidRPr="00225D4D">
        <w:t>Departementet anser med dette vedtaket som fulgt opp.</w:t>
      </w:r>
    </w:p>
    <w:p w14:paraId="65B5B06E" w14:textId="77777777" w:rsidR="00D60186" w:rsidRPr="00225D4D" w:rsidRDefault="00D60186" w:rsidP="00225D4D">
      <w:pPr>
        <w:pStyle w:val="avsnitt-tittel"/>
      </w:pPr>
      <w:r w:rsidRPr="00225D4D">
        <w:t xml:space="preserve">Utslippskutt og strømsparing – </w:t>
      </w:r>
      <w:proofErr w:type="spellStart"/>
      <w:r w:rsidRPr="00225D4D">
        <w:t>Enova</w:t>
      </w:r>
      <w:proofErr w:type="spellEnd"/>
    </w:p>
    <w:p w14:paraId="063E52B1" w14:textId="77777777" w:rsidR="00D60186" w:rsidRPr="00225D4D" w:rsidRDefault="00D60186" w:rsidP="00225D4D">
      <w:pPr>
        <w:pStyle w:val="avsnitt-undertittel"/>
      </w:pPr>
      <w:r w:rsidRPr="00225D4D">
        <w:t>Vedtak nr. 93, 5. desember 2024</w:t>
      </w:r>
    </w:p>
    <w:p w14:paraId="1FF704E7" w14:textId="77777777" w:rsidR="00D60186" w:rsidRPr="00225D4D" w:rsidRDefault="00D60186" w:rsidP="00225D4D">
      <w:pPr>
        <w:pStyle w:val="blokksit"/>
        <w:rPr>
          <w:rStyle w:val="kursiv"/>
        </w:rPr>
      </w:pPr>
      <w:r w:rsidRPr="00225D4D">
        <w:rPr>
          <w:rStyle w:val="kursiv"/>
        </w:rPr>
        <w:t xml:space="preserve">«Stortinget ber regjeringen om at det i ny styringsavtale for </w:t>
      </w:r>
      <w:proofErr w:type="spellStart"/>
      <w:r w:rsidRPr="00225D4D">
        <w:rPr>
          <w:rStyle w:val="kursiv"/>
        </w:rPr>
        <w:t>Enova</w:t>
      </w:r>
      <w:proofErr w:type="spellEnd"/>
      <w:r w:rsidRPr="00225D4D">
        <w:rPr>
          <w:rStyle w:val="kursiv"/>
        </w:rPr>
        <w:t xml:space="preserve"> legges til grunn at </w:t>
      </w:r>
      <w:proofErr w:type="spellStart"/>
      <w:r w:rsidRPr="00225D4D">
        <w:rPr>
          <w:rStyle w:val="kursiv"/>
        </w:rPr>
        <w:t>Enova</w:t>
      </w:r>
      <w:proofErr w:type="spellEnd"/>
      <w:r w:rsidRPr="00225D4D">
        <w:rPr>
          <w:rStyle w:val="kursiv"/>
        </w:rPr>
        <w:t xml:space="preserve"> som del av helhetlige virkemiddelpakker i Klimastatus og plan skal utløse utslippskutt over perioden på minimum 4 millioner tonn CO</w:t>
      </w:r>
      <w:r w:rsidRPr="00225D4D">
        <w:rPr>
          <w:rStyle w:val="skrift-senket"/>
        </w:rPr>
        <w:t>2</w:t>
      </w:r>
      <w:r w:rsidRPr="00225D4D">
        <w:rPr>
          <w:rStyle w:val="kursiv"/>
        </w:rPr>
        <w:t xml:space="preserve">-ekvivalenter i hele økonomien og understøtte regjeringens mål om 10 </w:t>
      </w:r>
      <w:proofErr w:type="spellStart"/>
      <w:r w:rsidRPr="00225D4D">
        <w:rPr>
          <w:rStyle w:val="kursiv"/>
        </w:rPr>
        <w:t>TWh</w:t>
      </w:r>
      <w:proofErr w:type="spellEnd"/>
      <w:r w:rsidRPr="00225D4D">
        <w:rPr>
          <w:rStyle w:val="kursiv"/>
        </w:rPr>
        <w:t xml:space="preserve"> strømsparing i bygg i 2030, sammenlignet med 2015-nivå.»</w:t>
      </w:r>
    </w:p>
    <w:p w14:paraId="6283D906" w14:textId="77777777" w:rsidR="00D60186" w:rsidRPr="00225D4D" w:rsidRDefault="00D60186" w:rsidP="00225D4D">
      <w:r w:rsidRPr="00225D4D">
        <w:t xml:space="preserve">Vedtaket ble gjort ved Stortingets behandling av finansinnstillingen, </w:t>
      </w:r>
      <w:proofErr w:type="spellStart"/>
      <w:r w:rsidRPr="00225D4D">
        <w:t>Innst</w:t>
      </w:r>
      <w:proofErr w:type="spellEnd"/>
      <w:r w:rsidRPr="00225D4D">
        <w:t>. 2 S (2024–2025).</w:t>
      </w:r>
    </w:p>
    <w:p w14:paraId="7729A37A" w14:textId="77777777" w:rsidR="00D60186" w:rsidRPr="00225D4D" w:rsidRDefault="00D60186" w:rsidP="00225D4D">
      <w:r w:rsidRPr="00225D4D">
        <w:t xml:space="preserve">Staten har inngått en ny styringsavtale med </w:t>
      </w:r>
      <w:proofErr w:type="spellStart"/>
      <w:r w:rsidRPr="00225D4D">
        <w:t>Enova</w:t>
      </w:r>
      <w:proofErr w:type="spellEnd"/>
      <w:r w:rsidRPr="00225D4D">
        <w:t xml:space="preserve"> for perioden 2025-2028, og et tillegg til avtalen som følger opp Stortingets vedtak for Statsbudsjettet 2025. Regjeringen vil gjennom statsbudsjettet og sin årlige redegjørelse for Stortinget jf. klimaloven §7, som følges opp i regjeringens Klimastatus og -plan, rapportere på effekten av helhetlige virkemiddelpakker hvor </w:t>
      </w:r>
      <w:proofErr w:type="spellStart"/>
      <w:r w:rsidRPr="00225D4D">
        <w:t>Enova</w:t>
      </w:r>
      <w:proofErr w:type="spellEnd"/>
      <w:r w:rsidRPr="00225D4D">
        <w:t xml:space="preserve"> inngår. Styringsavtalen legger føringer om at </w:t>
      </w:r>
      <w:proofErr w:type="spellStart"/>
      <w:r w:rsidRPr="00225D4D">
        <w:t>Enova</w:t>
      </w:r>
      <w:proofErr w:type="spellEnd"/>
      <w:r w:rsidRPr="00225D4D">
        <w:t xml:space="preserve"> skal tilstrebe å begrense belastningen på kraftsystemet og understøtte målet om en styrket kraft- og effektbalanse. </w:t>
      </w:r>
      <w:proofErr w:type="spellStart"/>
      <w:r w:rsidRPr="00225D4D">
        <w:t>Enova</w:t>
      </w:r>
      <w:proofErr w:type="spellEnd"/>
      <w:r w:rsidRPr="00225D4D">
        <w:t xml:space="preserve"> har også fått et særskilt oppdrag om å gi støtte til energitiltak i husholdningene, som ble lansert i august</w:t>
      </w:r>
      <w:r w:rsidRPr="00225D4D">
        <w:rPr>
          <w:rStyle w:val="halvfet0"/>
        </w:rPr>
        <w:t>.</w:t>
      </w:r>
      <w:r w:rsidRPr="00225D4D">
        <w:t xml:space="preserve"> Føringene i styringsavtalen og det særskilte oppdraget vil understøtte 10 </w:t>
      </w:r>
      <w:proofErr w:type="spellStart"/>
      <w:r w:rsidRPr="00225D4D">
        <w:t>TWh</w:t>
      </w:r>
      <w:proofErr w:type="spellEnd"/>
      <w:r w:rsidRPr="00225D4D">
        <w:t>-målet.</w:t>
      </w:r>
    </w:p>
    <w:p w14:paraId="13717988" w14:textId="77777777" w:rsidR="00D60186" w:rsidRPr="00225D4D" w:rsidRDefault="00D60186" w:rsidP="00225D4D">
      <w:r w:rsidRPr="00225D4D">
        <w:t>Departementet anser med dette vedtaket som fulgt opp.</w:t>
      </w:r>
    </w:p>
    <w:p w14:paraId="035013C7" w14:textId="77777777" w:rsidR="00D60186" w:rsidRPr="00225D4D" w:rsidRDefault="00D60186" w:rsidP="00225D4D">
      <w:pPr>
        <w:pStyle w:val="avsnitt-tittel"/>
      </w:pPr>
      <w:r w:rsidRPr="00225D4D">
        <w:t>Utredning av en tekstilavgift</w:t>
      </w:r>
    </w:p>
    <w:p w14:paraId="321363B4" w14:textId="77777777" w:rsidR="00D60186" w:rsidRPr="00225D4D" w:rsidRDefault="00D60186" w:rsidP="00225D4D">
      <w:pPr>
        <w:pStyle w:val="avsnitt-undertittel"/>
      </w:pPr>
      <w:r w:rsidRPr="00225D4D">
        <w:t>Vedtak nr. 94, 5. desember 2024</w:t>
      </w:r>
    </w:p>
    <w:p w14:paraId="2CE4C2E4" w14:textId="77777777" w:rsidR="00D60186" w:rsidRPr="00225D4D" w:rsidRDefault="00D60186" w:rsidP="00225D4D">
      <w:pPr>
        <w:pStyle w:val="blokksit"/>
        <w:rPr>
          <w:rStyle w:val="kursiv"/>
        </w:rPr>
      </w:pPr>
      <w:r w:rsidRPr="00225D4D">
        <w:rPr>
          <w:rStyle w:val="kursiv"/>
        </w:rPr>
        <w:t>«Stortinget ber regjeringen gi ekspertgruppen for sirkulære aktiviteter et tilleggsoppdrag om å utrede en tekstilavgift. Utredingen skal leveres innen april 2025.»</w:t>
      </w:r>
    </w:p>
    <w:p w14:paraId="5F156EC8" w14:textId="77777777" w:rsidR="00D60186" w:rsidRPr="00225D4D" w:rsidRDefault="00D60186" w:rsidP="00225D4D">
      <w:r w:rsidRPr="00225D4D">
        <w:t xml:space="preserve">Vedtaket ble gjort ved Stortingets behandling av finansinnstillingen, </w:t>
      </w:r>
      <w:proofErr w:type="spellStart"/>
      <w:r w:rsidRPr="00225D4D">
        <w:t>Innst</w:t>
      </w:r>
      <w:proofErr w:type="spellEnd"/>
      <w:r w:rsidRPr="00225D4D">
        <w:t>. 2 S (2024–2025).</w:t>
      </w:r>
    </w:p>
    <w:p w14:paraId="5447D336" w14:textId="77777777" w:rsidR="00D60186" w:rsidRPr="00225D4D" w:rsidRDefault="00D60186" w:rsidP="00225D4D">
      <w:r w:rsidRPr="00225D4D">
        <w:t>Regjeringen satte i mars 2024 ned en ekspertgruppe for å se på virkemidler for å fremme sirkulære aktiviteter. Ekspertgruppen fikk i oppgave å gjøre en helhetlig utredning av virkemidler som kan fremme sirkulære aktiviteter for å gi bedre utnyttelse av fornybare og ikke-fornybare ressurser, bærekraftig produksjon og forbruk, og økt verdiskaping. Det innebærer å identifisere hvilke virkemidler som er samfunnsøkonomisk lønnsomme, og med bakgrunn i dette foreslå eventuelle endringer i dagens virkemiddelbruk.</w:t>
      </w:r>
    </w:p>
    <w:p w14:paraId="627E8F50" w14:textId="77777777" w:rsidR="00D60186" w:rsidRPr="00225D4D" w:rsidRDefault="00D60186" w:rsidP="00225D4D">
      <w:r w:rsidRPr="00225D4D">
        <w:t>Ekspertgruppen avsluttet sitt arbeid 11. april 2025 og overleverte sin rapport «Ikke rett fram» til klima- og miljøministeren 26. mai 2025. Utredning av en tekstilavgift inngår i kapittel 12 i rapporten. Ekspertgruppen anbefaler at det innføres en særavgift på tekstiler. Videre anbefaler de at en slik avgift bør omfatte klær, sko og husholdningstekstiler, og beregnes både ut fra vekt og antall.</w:t>
      </w:r>
    </w:p>
    <w:p w14:paraId="2C4CE1F4" w14:textId="77777777" w:rsidR="00D60186" w:rsidRPr="00225D4D" w:rsidRDefault="00D60186" w:rsidP="00225D4D">
      <w:r w:rsidRPr="00225D4D">
        <w:t>Departementet anser med dette vedtaket som fulgt opp.</w:t>
      </w:r>
    </w:p>
    <w:p w14:paraId="1C852B14" w14:textId="77777777" w:rsidR="00D60186" w:rsidRPr="00225D4D" w:rsidRDefault="00D60186" w:rsidP="00225D4D">
      <w:pPr>
        <w:pStyle w:val="avsnitt-tittel"/>
      </w:pPr>
      <w:r w:rsidRPr="00225D4D">
        <w:t>Reguleringer for cruisenæringen</w:t>
      </w:r>
    </w:p>
    <w:p w14:paraId="3BD26526" w14:textId="77777777" w:rsidR="00D60186" w:rsidRPr="00225D4D" w:rsidRDefault="00D60186" w:rsidP="00225D4D">
      <w:pPr>
        <w:pStyle w:val="avsnitt-undertittel"/>
      </w:pPr>
      <w:r w:rsidRPr="00225D4D">
        <w:t>Vedtak nr. 96, 5. desember 2024</w:t>
      </w:r>
    </w:p>
    <w:p w14:paraId="117F3634" w14:textId="77777777" w:rsidR="00D60186" w:rsidRPr="00225D4D" w:rsidRDefault="00D60186" w:rsidP="00225D4D">
      <w:pPr>
        <w:pStyle w:val="blokksit"/>
        <w:rPr>
          <w:rStyle w:val="kursiv"/>
        </w:rPr>
      </w:pPr>
      <w:r w:rsidRPr="00225D4D">
        <w:rPr>
          <w:rStyle w:val="kursiv"/>
        </w:rPr>
        <w:t>«Stortinget ber regjeringen i løpet av 2025 utrede forslag til reguleringer for cruisenæringen, herunder forslag til konsesjonssystem, basert på tåleevne for natur og kystsamfunn. Utredningen skal inkludere krav til lavutslipp ved seiling og nullutslipp ved kai, samt krav til kjøp av lokale varer og tjenester i anløpshavnene.»</w:t>
      </w:r>
    </w:p>
    <w:p w14:paraId="584F22BC" w14:textId="77777777" w:rsidR="00D60186" w:rsidRPr="00225D4D" w:rsidRDefault="00D60186" w:rsidP="00225D4D">
      <w:r w:rsidRPr="00225D4D">
        <w:t xml:space="preserve">Vedtaket ble gjort ved Stortingets behandling av finansinnstillingen, </w:t>
      </w:r>
      <w:proofErr w:type="spellStart"/>
      <w:r w:rsidRPr="00225D4D">
        <w:t>Innst</w:t>
      </w:r>
      <w:proofErr w:type="spellEnd"/>
      <w:r w:rsidRPr="00225D4D">
        <w:t>. 2 S (2024–2025).</w:t>
      </w:r>
    </w:p>
    <w:p w14:paraId="6EF468D3" w14:textId="77777777" w:rsidR="00D60186" w:rsidRPr="00225D4D" w:rsidRDefault="00D60186" w:rsidP="00225D4D">
      <w:r w:rsidRPr="00225D4D">
        <w:t xml:space="preserve">Nullutslippskrav for cruiseskip i verdensarvfjordene er fastsatt med virkning fra 1. januar 2026 for skip under 10 000 bruttotonn og fra 2032 for større skip. Regjeringen har også bevilget 100 millioner kroner til </w:t>
      </w:r>
      <w:proofErr w:type="spellStart"/>
      <w:r w:rsidRPr="00225D4D">
        <w:t>Enova</w:t>
      </w:r>
      <w:proofErr w:type="spellEnd"/>
      <w:r w:rsidRPr="00225D4D">
        <w:t xml:space="preserve"> for å finansiere landstrømanlegget i Flåm. Videre vil regjeringen utrede mulige innretninger, kostnader og andre konsekvenser ved et nasjonalt krav om bruk av </w:t>
      </w:r>
      <w:proofErr w:type="spellStart"/>
      <w:r w:rsidRPr="00225D4D">
        <w:t>landstrøm</w:t>
      </w:r>
      <w:proofErr w:type="spellEnd"/>
      <w:r w:rsidRPr="00225D4D">
        <w:t xml:space="preserve"> i skipsfarten med sikte på innføring i løpet av 2027. Fra 1. mars 2026 blir Norskehavet nord for 62. breddegrad lavutslippsområde for NO</w:t>
      </w:r>
      <w:r w:rsidRPr="00225D4D">
        <w:rPr>
          <w:rStyle w:val="skrift-senket"/>
        </w:rPr>
        <w:t>x</w:t>
      </w:r>
      <w:r w:rsidRPr="00225D4D">
        <w:t xml:space="preserve"> og </w:t>
      </w:r>
      <w:proofErr w:type="spellStart"/>
      <w:r w:rsidRPr="00225D4D">
        <w:t>SO</w:t>
      </w:r>
      <w:r w:rsidRPr="00225D4D">
        <w:rPr>
          <w:rStyle w:val="skrift-senket"/>
        </w:rPr>
        <w:t>x</w:t>
      </w:r>
      <w:proofErr w:type="spellEnd"/>
      <w:r w:rsidRPr="00225D4D">
        <w:t>. Nordsjøen sør for 62. breddegrad er allerede et lavutslippsområde. Regjeringen viser også til at Stortinget har vedtatt besøksbidragsloven som gir regjeringen mulighet til å innføre en avgift fra cruisevirksomhet.</w:t>
      </w:r>
    </w:p>
    <w:p w14:paraId="31666163" w14:textId="77777777" w:rsidR="00D60186" w:rsidRPr="00225D4D" w:rsidRDefault="00D60186" w:rsidP="00225D4D">
      <w:r w:rsidRPr="00225D4D">
        <w:t>Departementet anser med dette vedtaket som fulgt opp.</w:t>
      </w:r>
    </w:p>
    <w:p w14:paraId="3FB2DAD2" w14:textId="77777777" w:rsidR="00D60186" w:rsidRPr="00225D4D" w:rsidRDefault="00D60186" w:rsidP="00225D4D">
      <w:pPr>
        <w:pStyle w:val="avsnitt-tittel"/>
      </w:pPr>
      <w:proofErr w:type="spellStart"/>
      <w:r w:rsidRPr="00225D4D">
        <w:t>Blyforbud</w:t>
      </w:r>
      <w:proofErr w:type="spellEnd"/>
      <w:r w:rsidRPr="00225D4D">
        <w:t xml:space="preserve"> i kjemikalieregelverket REACH, skytebaner</w:t>
      </w:r>
    </w:p>
    <w:p w14:paraId="4B818B8C" w14:textId="77777777" w:rsidR="00D60186" w:rsidRPr="00225D4D" w:rsidRDefault="00D60186" w:rsidP="00225D4D">
      <w:pPr>
        <w:pStyle w:val="avsnitt-undertittel"/>
      </w:pPr>
      <w:r w:rsidRPr="00225D4D">
        <w:t>Vedtak nr. 659 6. mai 2025</w:t>
      </w:r>
    </w:p>
    <w:p w14:paraId="43D34ADB" w14:textId="77777777" w:rsidR="00D60186" w:rsidRPr="00225D4D" w:rsidRDefault="00D60186" w:rsidP="00225D4D">
      <w:pPr>
        <w:pStyle w:val="blokksit"/>
        <w:rPr>
          <w:rStyle w:val="kursiv"/>
        </w:rPr>
      </w:pPr>
      <w:r w:rsidRPr="00225D4D">
        <w:rPr>
          <w:rStyle w:val="kursiv"/>
        </w:rPr>
        <w:t xml:space="preserve">«Stortinget ber regjeringen i den videre behandlingen av </w:t>
      </w:r>
      <w:proofErr w:type="spellStart"/>
      <w:r w:rsidRPr="00225D4D">
        <w:rPr>
          <w:rStyle w:val="kursiv"/>
        </w:rPr>
        <w:t>blyforbudet</w:t>
      </w:r>
      <w:proofErr w:type="spellEnd"/>
      <w:r w:rsidRPr="00225D4D">
        <w:rPr>
          <w:rStyle w:val="kursiv"/>
        </w:rPr>
        <w:t xml:space="preserve"> i REACH – EUs kjemikalieforordning – støtte EU-kommisjonens forslag om at det etableres et unntak fra </w:t>
      </w:r>
      <w:proofErr w:type="spellStart"/>
      <w:r w:rsidRPr="00225D4D">
        <w:rPr>
          <w:rStyle w:val="kursiv"/>
        </w:rPr>
        <w:t>blyforbudet</w:t>
      </w:r>
      <w:proofErr w:type="spellEnd"/>
      <w:r w:rsidRPr="00225D4D">
        <w:rPr>
          <w:rStyle w:val="kursiv"/>
        </w:rPr>
        <w:t xml:space="preserve"> på private skytebaner.»</w:t>
      </w:r>
    </w:p>
    <w:p w14:paraId="1BEB9AF6"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8:64 S (2024–2025) </w:t>
      </w:r>
      <w:r w:rsidRPr="00225D4D">
        <w:rPr>
          <w:rStyle w:val="kursiv"/>
        </w:rPr>
        <w:t xml:space="preserve">representantforslag om tilpasning i eller reservasjon mot innføring av EUs fremtidige direktiv om </w:t>
      </w:r>
      <w:proofErr w:type="spellStart"/>
      <w:r w:rsidRPr="00225D4D">
        <w:rPr>
          <w:rStyle w:val="kursiv"/>
        </w:rPr>
        <w:t>blyforbud</w:t>
      </w:r>
      <w:proofErr w:type="spellEnd"/>
      <w:r w:rsidRPr="00225D4D">
        <w:rPr>
          <w:rStyle w:val="kursiv"/>
        </w:rPr>
        <w:t xml:space="preserve"> på skytebaner</w:t>
      </w:r>
      <w:r w:rsidRPr="00225D4D">
        <w:t xml:space="preserve">, jf. </w:t>
      </w:r>
      <w:proofErr w:type="spellStart"/>
      <w:r w:rsidRPr="00225D4D">
        <w:t>Innst</w:t>
      </w:r>
      <w:proofErr w:type="spellEnd"/>
      <w:r w:rsidRPr="00225D4D">
        <w:t xml:space="preserve">. 220 S (2024–2025). Norge har ikke hatt innvendinger til EU-kommisjonens forslag om å unnta bruken av </w:t>
      </w:r>
      <w:proofErr w:type="spellStart"/>
      <w:r w:rsidRPr="00225D4D">
        <w:t>blykuler</w:t>
      </w:r>
      <w:proofErr w:type="spellEnd"/>
      <w:r w:rsidRPr="00225D4D">
        <w:t xml:space="preserve"> på skytebaner fra det foreslåtte forbudet i kjemikalieregelverket REACH.</w:t>
      </w:r>
    </w:p>
    <w:p w14:paraId="38A49C52" w14:textId="77777777" w:rsidR="00D60186" w:rsidRPr="00225D4D" w:rsidRDefault="00D60186" w:rsidP="00225D4D">
      <w:r w:rsidRPr="00225D4D">
        <w:t>Departementet anser med dette vedtaket som fulgt opp.</w:t>
      </w:r>
    </w:p>
    <w:p w14:paraId="1E0DBE2C" w14:textId="77777777" w:rsidR="00D60186" w:rsidRPr="00225D4D" w:rsidRDefault="00D60186" w:rsidP="00225D4D">
      <w:pPr>
        <w:pStyle w:val="avsnitt-tittel"/>
      </w:pPr>
      <w:r w:rsidRPr="00225D4D">
        <w:t>Vurdere hvordan myndighetene kan bidra til økt bruk av biogass til industrielle formål</w:t>
      </w:r>
    </w:p>
    <w:p w14:paraId="1045634C" w14:textId="77777777" w:rsidR="00D60186" w:rsidRPr="00225D4D" w:rsidRDefault="00D60186" w:rsidP="00225D4D">
      <w:pPr>
        <w:pStyle w:val="avsnitt-undertittel"/>
      </w:pPr>
      <w:r w:rsidRPr="00225D4D">
        <w:t>Vedtak nr. 674 13. mai 2025</w:t>
      </w:r>
    </w:p>
    <w:p w14:paraId="50FF0EC2" w14:textId="77777777" w:rsidR="00D60186" w:rsidRPr="00225D4D" w:rsidRDefault="00D60186" w:rsidP="00225D4D">
      <w:pPr>
        <w:pStyle w:val="blokksit"/>
        <w:rPr>
          <w:rStyle w:val="kursiv"/>
        </w:rPr>
      </w:pPr>
      <w:r w:rsidRPr="00225D4D">
        <w:rPr>
          <w:rStyle w:val="kursiv"/>
        </w:rPr>
        <w:t>«Stortinget ber regjeringen vurdere hvordan statlige myndigheter kan bidra til økt bruk av biogass til industrielle formål i statlig og kommunal sektor.»</w:t>
      </w:r>
    </w:p>
    <w:p w14:paraId="63E61280"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8:131 S (2024–2025) </w:t>
      </w:r>
      <w:r w:rsidRPr="00225D4D">
        <w:rPr>
          <w:rStyle w:val="kursiv"/>
        </w:rPr>
        <w:t>representantforslag om en større satsing på norsk produksjon av biogass</w:t>
      </w:r>
      <w:r w:rsidRPr="00225D4D">
        <w:t xml:space="preserve">, jf. </w:t>
      </w:r>
      <w:proofErr w:type="spellStart"/>
      <w:r w:rsidRPr="00225D4D">
        <w:t>Innst</w:t>
      </w:r>
      <w:proofErr w:type="spellEnd"/>
      <w:r w:rsidRPr="00225D4D">
        <w:t>. 250 S (2024–2025). Vedtaket er til behandling i departementet.</w:t>
      </w:r>
    </w:p>
    <w:p w14:paraId="0C60932B" w14:textId="77777777" w:rsidR="00D60186" w:rsidRPr="00225D4D" w:rsidRDefault="00D60186" w:rsidP="00225D4D">
      <w:r w:rsidRPr="00225D4D">
        <w:t>Regjeringen vil komme tilbake til Stortinget på egnet måte.</w:t>
      </w:r>
    </w:p>
    <w:p w14:paraId="6FFA83DA" w14:textId="77777777" w:rsidR="00D60186" w:rsidRPr="00225D4D" w:rsidRDefault="00D60186" w:rsidP="00225D4D">
      <w:pPr>
        <w:pStyle w:val="avsnitt-tittel"/>
      </w:pPr>
      <w:r w:rsidRPr="00225D4D">
        <w:t>Kartlegge og vurdere rammevilkår for import og eksport av biogass</w:t>
      </w:r>
    </w:p>
    <w:p w14:paraId="78A13AFA" w14:textId="77777777" w:rsidR="00D60186" w:rsidRPr="00225D4D" w:rsidRDefault="00D60186" w:rsidP="00225D4D">
      <w:pPr>
        <w:pStyle w:val="avsnitt-undertittel"/>
      </w:pPr>
      <w:r w:rsidRPr="00225D4D">
        <w:t>Vedtak nr. 675 13. mai 2025</w:t>
      </w:r>
    </w:p>
    <w:p w14:paraId="5C608187" w14:textId="77777777" w:rsidR="00D60186" w:rsidRPr="00225D4D" w:rsidRDefault="00D60186" w:rsidP="00225D4D">
      <w:pPr>
        <w:pStyle w:val="blokksit"/>
        <w:rPr>
          <w:rStyle w:val="kursiv"/>
        </w:rPr>
      </w:pPr>
      <w:r w:rsidRPr="00225D4D">
        <w:rPr>
          <w:rStyle w:val="kursiv"/>
        </w:rPr>
        <w:t>«Stortinget ber regjeringen kartlegge og vurdere de juridiske rammevilkårene for import og eksport av biogass, med mål om å sikre konkurransekraft for norsk biogass i møte med importert biogass med innblanding av naturgass.»</w:t>
      </w:r>
    </w:p>
    <w:p w14:paraId="7D5609DB"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8:131 S (2024–2025) </w:t>
      </w:r>
      <w:r w:rsidRPr="00225D4D">
        <w:rPr>
          <w:rStyle w:val="kursiv"/>
        </w:rPr>
        <w:t>representantforslag om en større satsing på norsk produksjon av biogass</w:t>
      </w:r>
      <w:r w:rsidRPr="00225D4D">
        <w:t xml:space="preserve">, jf. </w:t>
      </w:r>
      <w:proofErr w:type="spellStart"/>
      <w:r w:rsidRPr="00225D4D">
        <w:t>Innst</w:t>
      </w:r>
      <w:proofErr w:type="spellEnd"/>
      <w:r w:rsidRPr="00225D4D">
        <w:t>. 250 S (2024–2025).</w:t>
      </w:r>
    </w:p>
    <w:p w14:paraId="68C51363" w14:textId="77777777" w:rsidR="00D60186" w:rsidRPr="00225D4D" w:rsidRDefault="00D60186" w:rsidP="00225D4D">
      <w:r w:rsidRPr="00225D4D">
        <w:t xml:space="preserve">Departementet viser til oppdatering på vedtak nr. 753 om å levere en plan for harmonisering av rammeverk for biogassproduksjon i Norden. Støtten fra </w:t>
      </w:r>
      <w:proofErr w:type="spellStart"/>
      <w:r w:rsidRPr="00225D4D">
        <w:t>Enova</w:t>
      </w:r>
      <w:proofErr w:type="spellEnd"/>
      <w:r w:rsidRPr="00225D4D">
        <w:t xml:space="preserve"> til biogassprosjekter har vært økende de siste årene. I 2024 ble det tildelt 550 millioner kroner i støtte til ny biogassproduksjon, noe som tilsier at biogassmarkedet er under utvikling og at prosjekter er lønnsomme gitt dagens rammevilkår og konkurranse. I tiden fremover vil departementet følge med på om alle prosjektene realiseres. Videre følger regjeringen med på utviklingen av EU-regelverk og vurderer løpende konsekvensene for norske næringer og behovet for tilpasninger.</w:t>
      </w:r>
    </w:p>
    <w:p w14:paraId="6B85AE7B" w14:textId="77777777" w:rsidR="00D60186" w:rsidRPr="00225D4D" w:rsidRDefault="00D60186" w:rsidP="00225D4D">
      <w:r w:rsidRPr="00225D4D">
        <w:t>Departementet anser med dette vedtaket som fulgt opp.</w:t>
      </w:r>
    </w:p>
    <w:p w14:paraId="028385A5" w14:textId="77777777" w:rsidR="00D60186" w:rsidRPr="00225D4D" w:rsidRDefault="00D60186" w:rsidP="00225D4D">
      <w:pPr>
        <w:pStyle w:val="avsnitt-tittel"/>
      </w:pPr>
      <w:r w:rsidRPr="00225D4D">
        <w:t>Tilrettelegge for årlig økning i biogassproduksjon</w:t>
      </w:r>
    </w:p>
    <w:p w14:paraId="0AAAC038" w14:textId="77777777" w:rsidR="00D60186" w:rsidRPr="00225D4D" w:rsidRDefault="00D60186" w:rsidP="00225D4D">
      <w:pPr>
        <w:pStyle w:val="avsnitt-undertittel"/>
      </w:pPr>
      <w:r w:rsidRPr="00225D4D">
        <w:t>Vedtak nr. 676 13. mai 2025</w:t>
      </w:r>
    </w:p>
    <w:p w14:paraId="539CDD71" w14:textId="77777777" w:rsidR="00D60186" w:rsidRPr="00225D4D" w:rsidRDefault="00D60186" w:rsidP="00225D4D">
      <w:pPr>
        <w:pStyle w:val="blokksit"/>
        <w:rPr>
          <w:rStyle w:val="kursiv"/>
        </w:rPr>
      </w:pPr>
      <w:r w:rsidRPr="00225D4D">
        <w:rPr>
          <w:rStyle w:val="kursiv"/>
        </w:rPr>
        <w:t xml:space="preserve">«Stortinget ber regjeringen tilrettelegge for en årlig økning i biogassproduksjon på minst 1 </w:t>
      </w:r>
      <w:proofErr w:type="spellStart"/>
      <w:r w:rsidRPr="00225D4D">
        <w:rPr>
          <w:rStyle w:val="kursiv"/>
        </w:rPr>
        <w:t>TWh</w:t>
      </w:r>
      <w:proofErr w:type="spellEnd"/>
      <w:r w:rsidRPr="00225D4D">
        <w:rPr>
          <w:rStyle w:val="kursiv"/>
        </w:rPr>
        <w:t>.»</w:t>
      </w:r>
    </w:p>
    <w:p w14:paraId="43E81241"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8:131 S (2024–2025) </w:t>
      </w:r>
      <w:r w:rsidRPr="00225D4D">
        <w:rPr>
          <w:rStyle w:val="kursiv"/>
        </w:rPr>
        <w:t>representantforslag om en større satsing på norsk produksjon av biogass</w:t>
      </w:r>
      <w:r w:rsidRPr="00225D4D">
        <w:t xml:space="preserve">, jf. </w:t>
      </w:r>
      <w:proofErr w:type="spellStart"/>
      <w:r w:rsidRPr="00225D4D">
        <w:t>Innst</w:t>
      </w:r>
      <w:proofErr w:type="spellEnd"/>
      <w:r w:rsidRPr="00225D4D">
        <w:t>. 250 S (2024–2025). Vedtaket er til behandling i departementet.</w:t>
      </w:r>
    </w:p>
    <w:p w14:paraId="39112CD8" w14:textId="77777777" w:rsidR="00D60186" w:rsidRPr="00225D4D" w:rsidRDefault="00D60186" w:rsidP="00225D4D">
      <w:r w:rsidRPr="00225D4D">
        <w:t>Regjeringen vil komme tilbake til Stortinget på egnet måte.</w:t>
      </w:r>
    </w:p>
    <w:p w14:paraId="62F21D27" w14:textId="77777777" w:rsidR="00D60186" w:rsidRPr="00225D4D" w:rsidRDefault="00D60186" w:rsidP="00225D4D">
      <w:pPr>
        <w:pStyle w:val="avsnitt-tittel"/>
      </w:pPr>
      <w:r w:rsidRPr="00225D4D">
        <w:t>Harmonisere rammevilkårene for biogassproduksjon i Norden</w:t>
      </w:r>
    </w:p>
    <w:p w14:paraId="7D555454" w14:textId="77777777" w:rsidR="00D60186" w:rsidRPr="00225D4D" w:rsidRDefault="00D60186" w:rsidP="00225D4D">
      <w:pPr>
        <w:pStyle w:val="avsnitt-undertittel"/>
      </w:pPr>
      <w:r w:rsidRPr="00225D4D">
        <w:t>Vedtak nr. 677 13. mai 2025</w:t>
      </w:r>
    </w:p>
    <w:p w14:paraId="4D9121B0" w14:textId="77777777" w:rsidR="00D60186" w:rsidRPr="00225D4D" w:rsidRDefault="00D60186" w:rsidP="00225D4D">
      <w:pPr>
        <w:pStyle w:val="blokksit"/>
        <w:rPr>
          <w:rStyle w:val="kursiv"/>
        </w:rPr>
      </w:pPr>
      <w:r w:rsidRPr="00225D4D">
        <w:rPr>
          <w:rStyle w:val="kursiv"/>
        </w:rPr>
        <w:t>«Stortinget ber regjeringen ta initiativ til å harmonisere rammevilkårene for biogassproduksjon i Norden og komme tilbake til Stortinget med en plan for dette for å bidra til å utvikle biogassnæringen i Norge.»</w:t>
      </w:r>
    </w:p>
    <w:p w14:paraId="53C62A7D"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8:131 S (2024–2025) </w:t>
      </w:r>
      <w:r w:rsidRPr="00225D4D">
        <w:rPr>
          <w:rStyle w:val="kursiv"/>
        </w:rPr>
        <w:t>representantforslag om en større satsing på norsk produksjon av biogass</w:t>
      </w:r>
      <w:r w:rsidRPr="00225D4D">
        <w:t xml:space="preserve">, jf. </w:t>
      </w:r>
      <w:proofErr w:type="spellStart"/>
      <w:r w:rsidRPr="00225D4D">
        <w:t>Innst</w:t>
      </w:r>
      <w:proofErr w:type="spellEnd"/>
      <w:r w:rsidRPr="00225D4D">
        <w:t>. 250 S (2024–2025).</w:t>
      </w:r>
    </w:p>
    <w:p w14:paraId="7458D72C" w14:textId="77777777" w:rsidR="00D60186" w:rsidRPr="00225D4D" w:rsidRDefault="00D60186" w:rsidP="00225D4D">
      <w:r w:rsidRPr="00225D4D">
        <w:t xml:space="preserve">Departementet viser til oppdatering på vedtak nr. 753. om å levere en plan for harmonisering av rammeverk for biogass i Norden. På nåværende tidspunkt er det ikke aktuelt for Norge å harmonisere rammevilkårene for produksjon av biogass med Danmark og Sverige. Videre har støtten fra </w:t>
      </w:r>
      <w:proofErr w:type="spellStart"/>
      <w:r w:rsidRPr="00225D4D">
        <w:t>Enova</w:t>
      </w:r>
      <w:proofErr w:type="spellEnd"/>
      <w:r w:rsidRPr="00225D4D">
        <w:t xml:space="preserve"> til biogassprosjekter vært økende de siste årene. I 2024 ble det tildelt 550 millioner kroner i støtte til ny biogassproduksjon, noe som tilsier at biogassmarkedet er under utvikling og at prosjekter er lønnsomme gitt dagens rammevilkår og konkurranse.</w:t>
      </w:r>
    </w:p>
    <w:p w14:paraId="0F43A40E" w14:textId="77777777" w:rsidR="00D60186" w:rsidRPr="00225D4D" w:rsidRDefault="00D60186" w:rsidP="00225D4D">
      <w:r w:rsidRPr="00225D4D">
        <w:t>Departementet anser med dette vedtaket som fulgt opp.</w:t>
      </w:r>
    </w:p>
    <w:p w14:paraId="30F9644F" w14:textId="77777777" w:rsidR="00D60186" w:rsidRPr="00225D4D" w:rsidRDefault="00D60186" w:rsidP="00225D4D">
      <w:pPr>
        <w:pStyle w:val="avsnitt-tittel"/>
      </w:pPr>
      <w:r w:rsidRPr="00225D4D">
        <w:t>Uttak av jerv</w:t>
      </w:r>
    </w:p>
    <w:p w14:paraId="6A89FF84" w14:textId="77777777" w:rsidR="00D60186" w:rsidRPr="00225D4D" w:rsidRDefault="00D60186" w:rsidP="00225D4D">
      <w:pPr>
        <w:pStyle w:val="avsnitt-undertittel"/>
      </w:pPr>
      <w:r w:rsidRPr="00225D4D">
        <w:t>Vedtak nr. 726 26. mai 2025</w:t>
      </w:r>
    </w:p>
    <w:p w14:paraId="4B1C5C78" w14:textId="77777777" w:rsidR="00D60186" w:rsidRPr="00225D4D" w:rsidRDefault="00D60186" w:rsidP="00225D4D">
      <w:pPr>
        <w:pStyle w:val="blokksit"/>
        <w:rPr>
          <w:rStyle w:val="kursiv"/>
        </w:rPr>
      </w:pPr>
      <w:r w:rsidRPr="00225D4D">
        <w:rPr>
          <w:rStyle w:val="kursiv"/>
        </w:rPr>
        <w:t>«Stortinget ber regjeringen fortsette det pågående arbeidet med å sikre at det gjøres målrettede ekstraordinære uttak av jerv i regioner hvor bestanden er over bestandsmålet, for å unngå store skadesituasjoner og tap av beitedyr i tråd med Stortingets tidligere vedtak.»</w:t>
      </w:r>
    </w:p>
    <w:p w14:paraId="1A14488E"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8:137 S (2024–2025) </w:t>
      </w:r>
      <w:r w:rsidRPr="00225D4D">
        <w:rPr>
          <w:rStyle w:val="kursiv"/>
        </w:rPr>
        <w:t>representantforslag om ekstraordinære og effektive uttak av jerv for å sikre beitesesongen</w:t>
      </w:r>
      <w:r w:rsidRPr="00225D4D">
        <w:t xml:space="preserve">, jf. </w:t>
      </w:r>
      <w:proofErr w:type="spellStart"/>
      <w:r w:rsidRPr="00225D4D">
        <w:t>Innst</w:t>
      </w:r>
      <w:proofErr w:type="spellEnd"/>
      <w:r w:rsidRPr="00225D4D">
        <w:t>. 316 S (2024–2025).</w:t>
      </w:r>
    </w:p>
    <w:p w14:paraId="173024B7" w14:textId="77777777" w:rsidR="00D60186" w:rsidRPr="00225D4D" w:rsidRDefault="00D60186" w:rsidP="00225D4D">
      <w:r w:rsidRPr="00225D4D">
        <w:t xml:space="preserve">Departementet har i brev av 2. juli 2025 bedt Miljødirektoratet om å følge opp anmodningsvedtaket i den videre forvaltingen av jerv gjennom å rapportere om antall vedtak om ekstraordinære uttak av jerv, antall vedtak som faktisk blir effektuert, bestandsmål og bestandsstatus for jerv før og etter </w:t>
      </w:r>
      <w:proofErr w:type="spellStart"/>
      <w:r w:rsidRPr="00225D4D">
        <w:t>hiuttak</w:t>
      </w:r>
      <w:proofErr w:type="spellEnd"/>
      <w:r w:rsidRPr="00225D4D">
        <w:t xml:space="preserve"> og en oversikt over dokumenterte tap av beitedyr og antall erstattede beitedyr til jerv sammenlignet med snittet for de fem siste årene i Miljødirektoratet sin årsrapport for perioden 2025 til 2027. Departementet bad om at alle tallene rapporteres for både nasjonalt nivå og per forvaltningsregion.</w:t>
      </w:r>
    </w:p>
    <w:p w14:paraId="2CFD2BA4" w14:textId="77777777" w:rsidR="00D60186" w:rsidRPr="00225D4D" w:rsidRDefault="00D60186" w:rsidP="00225D4D">
      <w:r w:rsidRPr="00225D4D">
        <w:t>Departementet anser med dette vedtaket som fulgt opp.</w:t>
      </w:r>
    </w:p>
    <w:p w14:paraId="077FFE09" w14:textId="77777777" w:rsidR="00D60186" w:rsidRPr="00225D4D" w:rsidRDefault="00D60186" w:rsidP="00225D4D">
      <w:pPr>
        <w:pStyle w:val="avsnitt-tittel"/>
      </w:pPr>
      <w:r w:rsidRPr="00225D4D">
        <w:t>Verneprosesser under ny havvernlov</w:t>
      </w:r>
    </w:p>
    <w:p w14:paraId="54414F5F" w14:textId="77777777" w:rsidR="00D60186" w:rsidRPr="00225D4D" w:rsidRDefault="00D60186" w:rsidP="00225D4D">
      <w:pPr>
        <w:pStyle w:val="avsnitt-undertittel"/>
      </w:pPr>
      <w:r w:rsidRPr="00225D4D">
        <w:t>Vedtak nr. 727 26. mai 2025</w:t>
      </w:r>
    </w:p>
    <w:p w14:paraId="688EE0E0" w14:textId="77777777" w:rsidR="00D60186" w:rsidRPr="00225D4D" w:rsidRDefault="00D60186" w:rsidP="00225D4D">
      <w:pPr>
        <w:pStyle w:val="blokksit"/>
      </w:pPr>
      <w:r w:rsidRPr="00225D4D">
        <w:rPr>
          <w:rStyle w:val="kursiv"/>
        </w:rPr>
        <w:t>«Stortinget ber regjeringen sikre at verneprosesser under ny havvernlov skal være en del av det fremtidige forvaltningsplanarbeidet og bygge videre på kunnskap og kompetanse etablert gjennom mange år.»</w:t>
      </w:r>
    </w:p>
    <w:p w14:paraId="4C55EAC2" w14:textId="77777777" w:rsidR="00D60186" w:rsidRPr="00225D4D" w:rsidRDefault="00D60186" w:rsidP="00225D4D">
      <w:r w:rsidRPr="00225D4D">
        <w:t xml:space="preserve">Vedtaket ble gjort ved Stortingets behandling av </w:t>
      </w:r>
      <w:proofErr w:type="spellStart"/>
      <w:r w:rsidRPr="00225D4D">
        <w:t>Prop</w:t>
      </w:r>
      <w:proofErr w:type="spellEnd"/>
      <w:r w:rsidRPr="00225D4D">
        <w:t xml:space="preserve">. 72 L (2024–2025) </w:t>
      </w:r>
      <w:r w:rsidRPr="00225D4D">
        <w:rPr>
          <w:rStyle w:val="kursiv"/>
        </w:rPr>
        <w:t>Lov om vern av marin natur utenfor territorialfarvannet (havvernloven)</w:t>
      </w:r>
      <w:r w:rsidRPr="00225D4D">
        <w:t xml:space="preserve">, jf. </w:t>
      </w:r>
      <w:proofErr w:type="spellStart"/>
      <w:r w:rsidRPr="00225D4D">
        <w:t>Innst</w:t>
      </w:r>
      <w:proofErr w:type="spellEnd"/>
      <w:r w:rsidRPr="00225D4D">
        <w:t>. 283 L (2024–2025).</w:t>
      </w:r>
    </w:p>
    <w:p w14:paraId="171BF835" w14:textId="77777777" w:rsidR="00D60186" w:rsidRPr="00225D4D" w:rsidRDefault="00D60186" w:rsidP="00225D4D">
      <w:r w:rsidRPr="00225D4D">
        <w:t>Regjeringen har startet arbeid med sikte på vern etter den nye havvernloven, jf. også omtale av vedtak nr. 35.20, 2 desember 2021 om 10 pst. vern av kyst- og havområder, og ser dette arbeidet også i forbindelse med arbeidet med de helhetlige forvaltningsplanene for norske havområder.</w:t>
      </w:r>
    </w:p>
    <w:p w14:paraId="270DDA07" w14:textId="77777777" w:rsidR="00D60186" w:rsidRPr="00225D4D" w:rsidRDefault="00D60186" w:rsidP="00225D4D">
      <w:r w:rsidRPr="00225D4D">
        <w:t>Departementet anser med dette vedtaket som fulgt opp.</w:t>
      </w:r>
    </w:p>
    <w:p w14:paraId="5972110A" w14:textId="77777777" w:rsidR="00D60186" w:rsidRPr="00225D4D" w:rsidRDefault="00D60186" w:rsidP="00225D4D">
      <w:pPr>
        <w:pStyle w:val="avsnitt-tittel"/>
      </w:pPr>
      <w:r w:rsidRPr="00225D4D">
        <w:t>Rammevilkår for avfallsforbrenning</w:t>
      </w:r>
    </w:p>
    <w:p w14:paraId="080485F3" w14:textId="77777777" w:rsidR="00D60186" w:rsidRPr="00225D4D" w:rsidRDefault="00D60186" w:rsidP="00225D4D">
      <w:pPr>
        <w:pStyle w:val="avsnitt-undertittel"/>
      </w:pPr>
      <w:r w:rsidRPr="00225D4D">
        <w:t>Vedtak nr. 854 3. juni 2025</w:t>
      </w:r>
    </w:p>
    <w:p w14:paraId="30938289" w14:textId="77777777" w:rsidR="00D60186" w:rsidRPr="00225D4D" w:rsidRDefault="00D60186" w:rsidP="00225D4D">
      <w:pPr>
        <w:pStyle w:val="blokksit"/>
        <w:rPr>
          <w:rStyle w:val="kursiv"/>
        </w:rPr>
      </w:pPr>
      <w:r w:rsidRPr="00225D4D">
        <w:rPr>
          <w:rStyle w:val="kursiv"/>
        </w:rPr>
        <w:t>«Stortinget ber regjeringen gjennomgå rammevilkårene for avfallsforbrenning for å unngå konkurransevridning, og vurdere konsekvensene for fjernvarme.»</w:t>
      </w:r>
    </w:p>
    <w:p w14:paraId="260391A5" w14:textId="77777777" w:rsidR="00D60186" w:rsidRPr="00225D4D" w:rsidRDefault="00D60186" w:rsidP="00225D4D">
      <w:r w:rsidRPr="00225D4D">
        <w:t xml:space="preserve">Vedtaket ble gjort ved Stortingets behandling av </w:t>
      </w:r>
      <w:proofErr w:type="spellStart"/>
      <w:r w:rsidRPr="00225D4D">
        <w:t>Dok</w:t>
      </w:r>
      <w:proofErr w:type="spellEnd"/>
      <w:r w:rsidRPr="00225D4D">
        <w:t xml:space="preserve"> 8:1644 S (2024–2025) </w:t>
      </w:r>
      <w:r w:rsidRPr="00225D4D">
        <w:rPr>
          <w:rStyle w:val="kursiv"/>
        </w:rPr>
        <w:t>representantforslag om økt fjernvarmesatsing for bedre energisikkerhet og frigjøring av kraft</w:t>
      </w:r>
      <w:r w:rsidRPr="00225D4D">
        <w:t xml:space="preserve">, jf. </w:t>
      </w:r>
      <w:proofErr w:type="spellStart"/>
      <w:r w:rsidRPr="00225D4D">
        <w:t>Innst</w:t>
      </w:r>
      <w:proofErr w:type="spellEnd"/>
      <w:r w:rsidRPr="00225D4D">
        <w:t>. 316 S (2024–2025).</w:t>
      </w:r>
    </w:p>
    <w:p w14:paraId="71F7328B" w14:textId="77777777" w:rsidR="00D60186" w:rsidRPr="00225D4D" w:rsidRDefault="00D60186" w:rsidP="00225D4D">
      <w:r w:rsidRPr="00225D4D">
        <w:t xml:space="preserve">I </w:t>
      </w:r>
      <w:proofErr w:type="spellStart"/>
      <w:r w:rsidRPr="00225D4D">
        <w:t>Prop</w:t>
      </w:r>
      <w:proofErr w:type="spellEnd"/>
      <w:r w:rsidRPr="00225D4D">
        <w:t xml:space="preserve">. 1 LS (2024–2025) kapittel 19 ble det presentert en vurdering av rammevilkår for fjernvarme og virkninger av avgiften på avfallsforbrenning (oppfølging av anmodningsvedtak nr. 514 (2023–2024)). Siden den vurderingen ble lagt fram har det skjedd flere endringer som påvirker avfallsforbrennings- og fjernvarmeaktørene. Satsen for ikke-kvotepliktige virksomheter i avgiften på avfallsforbrenning er redusert til om lag samme nivå som kvoteprisen fra 1. august 2025, som oppfølging av vedtak 3. fra Stortinget i </w:t>
      </w:r>
      <w:proofErr w:type="spellStart"/>
      <w:r w:rsidRPr="00225D4D">
        <w:t>Innst</w:t>
      </w:r>
      <w:proofErr w:type="spellEnd"/>
      <w:r w:rsidRPr="00225D4D">
        <w:t>. 387 S (2024–2025). Alle avfallsforbrenningsanlegg i Sverige og Danmark er underlagt kvoteplikt.</w:t>
      </w:r>
    </w:p>
    <w:p w14:paraId="335AE2E7" w14:textId="77777777" w:rsidR="00D60186" w:rsidRPr="00225D4D" w:rsidRDefault="00D60186" w:rsidP="00225D4D">
      <w:r w:rsidRPr="00225D4D">
        <w:t>Videre har regjeringen innført strømstønad og Norgespris for husholdningskunder som bruker fjernvarme med virkning fra 1. oktober 2025, og samtidig fjernet kravet om at prisreguleringen av fjernvarme skal hensynta strømstønad. Dette medfører at fjernvarmeselskapene vil kunne ta en høyere pris fra husholdningskundene i perioder der strømprisen overstiger terskelverdien i strømstønadsordningen. Dette vil igjen kunne føre til økte inntekter for fjernvarmeselskapene. Regjeringen har vedtatt endringer i energimerkeforskriften for bygninger som gjør at oppvarmingsløsninger som avlaster kraftsystemet, herunder fjernvarme, kommer bedre ut. Endringene trer i kraft 1. januar 2026.</w:t>
      </w:r>
    </w:p>
    <w:p w14:paraId="40BF7AAE" w14:textId="77777777" w:rsidR="00D60186" w:rsidRPr="00225D4D" w:rsidRDefault="00D60186" w:rsidP="00225D4D">
      <w:r w:rsidRPr="00225D4D">
        <w:t xml:space="preserve">I forbindelse med revidert nasjonalbudsjett for 2025 ble det vedtatt å redusere elavgiften med virkning fra 1. oktober 2025. I statsbudsjettet for 2026 foreslår regjeringen å redusere elavgiften ytterligere, og sette ned avgiftssatsen til 4,18 øre per kWh for hele året. I tillegg til å redusere strømregningen for folk og bedrifter vil regjeringen unngå at fjernvarme blir valgt bort til fordel for strøm. Regjeringen vil derfor vurdere om det er behov for tiltak for å opprettholde samfunnsøkonomisk lønnsom fjernvarmeproduksjon, og Energidepartementet vil følge opp dette arbeidet. Fjernvarmeprisen har nær sammenheng med prisen på elektrisk oppvarming som følge av konkurranseforholdene i </w:t>
      </w:r>
      <w:proofErr w:type="spellStart"/>
      <w:r w:rsidRPr="00225D4D">
        <w:t>varmemarkedet</w:t>
      </w:r>
      <w:proofErr w:type="spellEnd"/>
      <w:r w:rsidRPr="00225D4D">
        <w:t>, og prisreguleringen på fjernvarme, og endringen i elavgiften har derfor betydning for fjernvarmeaktørene.</w:t>
      </w:r>
    </w:p>
    <w:p w14:paraId="0CD238FC" w14:textId="77777777" w:rsidR="00D60186" w:rsidRPr="00225D4D" w:rsidRDefault="00D60186" w:rsidP="00225D4D">
      <w:r w:rsidRPr="00225D4D">
        <w:t>Vedtaket bør sees i sammenheng med vedtak 855 og 856 fra 3. juni 2025 som omhandler fjernvarme. Energidepartementet vil i den sammenheng gjennomføre en utredning. Det er forventet at utredningsarbeidet blir ferdigstilt i løpet av 2026. En vurdering av rammevilkårene for avfallsforbrenning og konkvensene for fjernvarme bør sees i sammenheng med dette arbeidet.</w:t>
      </w:r>
    </w:p>
    <w:p w14:paraId="77E0D1DE" w14:textId="77777777" w:rsidR="00D60186" w:rsidRPr="00225D4D" w:rsidRDefault="00D60186" w:rsidP="00225D4D">
      <w:r w:rsidRPr="00225D4D">
        <w:t>Regjeringen vil komme tilbake til Stortinget på egnet måte.</w:t>
      </w:r>
    </w:p>
    <w:p w14:paraId="06E025F1" w14:textId="77777777" w:rsidR="00D60186" w:rsidRPr="00225D4D" w:rsidRDefault="00D60186" w:rsidP="00225D4D">
      <w:pPr>
        <w:pStyle w:val="avsnitt-tittel"/>
      </w:pPr>
      <w:r w:rsidRPr="00225D4D">
        <w:t>Legge til rette for at utviklingen mot nullutslipps hurtigbåter fortsetter</w:t>
      </w:r>
    </w:p>
    <w:p w14:paraId="601C3E6E" w14:textId="77777777" w:rsidR="00D60186" w:rsidRPr="00225D4D" w:rsidRDefault="00D60186" w:rsidP="00225D4D">
      <w:pPr>
        <w:pStyle w:val="avsnitt-undertittel"/>
      </w:pPr>
      <w:r w:rsidRPr="00225D4D">
        <w:t>Vedtak nr. 979 11. juni 2025</w:t>
      </w:r>
    </w:p>
    <w:p w14:paraId="3693DE6C" w14:textId="77777777" w:rsidR="00D60186" w:rsidRPr="00225D4D" w:rsidRDefault="00D60186" w:rsidP="00225D4D">
      <w:pPr>
        <w:pStyle w:val="blokksit"/>
        <w:rPr>
          <w:rStyle w:val="kursiv"/>
        </w:rPr>
      </w:pPr>
      <w:r w:rsidRPr="00225D4D">
        <w:rPr>
          <w:rStyle w:val="kursiv"/>
        </w:rPr>
        <w:t>«Stortinget ber regjeringen legge til rette for at utvikling mot nullutslipps hurtigbåter fortsetter. Dette kan innebære at lavutslipps hurtigbåter også får nødvendig støtte på vei mot en løsning med nullutslipp, og ordninger som premierer lavest mulig CO</w:t>
      </w:r>
      <w:r w:rsidRPr="00225D4D">
        <w:rPr>
          <w:rStyle w:val="skrift-senket"/>
        </w:rPr>
        <w:t>2</w:t>
      </w:r>
      <w:r w:rsidRPr="00225D4D">
        <w:rPr>
          <w:rStyle w:val="kursiv"/>
        </w:rPr>
        <w:t>-avtrykk.»</w:t>
      </w:r>
    </w:p>
    <w:p w14:paraId="61C8B49E" w14:textId="77777777" w:rsidR="00D60186" w:rsidRPr="00225D4D" w:rsidRDefault="00D60186" w:rsidP="00225D4D">
      <w:r w:rsidRPr="00225D4D">
        <w:t xml:space="preserve">Vedtaket ble gjort ved Stortingets behandling av Meld. St. 25 (2024–2025) </w:t>
      </w:r>
      <w:r w:rsidRPr="00225D4D">
        <w:rPr>
          <w:rStyle w:val="kursiv"/>
        </w:rPr>
        <w:t>Klimamelding 2035 – på vei mot lavutslippssamfunnet</w:t>
      </w:r>
      <w:r w:rsidRPr="00225D4D">
        <w:t xml:space="preserve">, jf. </w:t>
      </w:r>
      <w:proofErr w:type="spellStart"/>
      <w:r w:rsidRPr="00225D4D">
        <w:t>Innst</w:t>
      </w:r>
      <w:proofErr w:type="spellEnd"/>
      <w:r w:rsidRPr="00225D4D">
        <w:t>. 520 S (2024–2025).</w:t>
      </w:r>
    </w:p>
    <w:p w14:paraId="6BC5F400" w14:textId="77777777" w:rsidR="00D60186" w:rsidRPr="00225D4D" w:rsidRDefault="00D60186" w:rsidP="00225D4D">
      <w:r w:rsidRPr="00225D4D">
        <w:t xml:space="preserve">Regjeringen varslet i Meld. St. 25 (2024–2025) at den tar sikte på å innføre krav til hurtigbåter på et senere tidspunkt. Et krav om nullutslipp vil medføre betydelige merkostnader for fylkeskommunene tilsvarende behov for statlig økonomisk støtte. For å bidra til teknologiutvikling, utslippskutt og reduksjon av kostnadene ved nullutslippsteknologi, vil regjeringen satse ytterligere på støtteordningen </w:t>
      </w:r>
      <w:r w:rsidRPr="00225D4D">
        <w:rPr>
          <w:rStyle w:val="kursiv"/>
        </w:rPr>
        <w:t>Hurtigbåtprogrammet.</w:t>
      </w:r>
      <w:r w:rsidRPr="00225D4D">
        <w:t xml:space="preserve"> Programmet forvaltes av Miljødirektoratet og har så langt støttet 21 ulike forprosjekter, utviklings- og samarbeidsprosjekter og dekning av merkostnader i anbud med lav- eller nullutslippsløsninger med om lag 300 millioner kroner. I statsbudsjettet for 2025 ble Hurtigbåtprogrammet tilkjent en tilsagnsramme på 240 millioner kroner. Regjeringen foreslår en tilsagnsfullmakt på 663,2 mill. kroner og en ramme for nye tilsagn på 246,7 mill. kroner i 2026.</w:t>
      </w:r>
    </w:p>
    <w:p w14:paraId="242EA5B4" w14:textId="77777777" w:rsidR="00D60186" w:rsidRPr="00225D4D" w:rsidRDefault="00D60186" w:rsidP="00225D4D">
      <w:r w:rsidRPr="00225D4D">
        <w:t>Regjeringen vil komme tilbake til Stortinget på egnet måte.</w:t>
      </w:r>
    </w:p>
    <w:p w14:paraId="2C97AE0D" w14:textId="77777777" w:rsidR="00D60186" w:rsidRPr="00225D4D" w:rsidRDefault="00D60186" w:rsidP="00225D4D">
      <w:pPr>
        <w:pStyle w:val="avsnitt-tittel"/>
      </w:pPr>
      <w:r w:rsidRPr="00225D4D">
        <w:t>Handlingsplan og mål for karbonlagring i skog</w:t>
      </w:r>
    </w:p>
    <w:p w14:paraId="51FD0363" w14:textId="77777777" w:rsidR="00D60186" w:rsidRPr="00225D4D" w:rsidRDefault="00D60186" w:rsidP="00225D4D">
      <w:pPr>
        <w:pStyle w:val="avsnitt-undertittel"/>
      </w:pPr>
      <w:r w:rsidRPr="00225D4D">
        <w:t>Vedtak nr. 980 11. juni 2025</w:t>
      </w:r>
    </w:p>
    <w:p w14:paraId="7277BE8F" w14:textId="77777777" w:rsidR="00D60186" w:rsidRPr="00225D4D" w:rsidRDefault="00D60186" w:rsidP="00225D4D">
      <w:pPr>
        <w:pStyle w:val="blokksit"/>
        <w:rPr>
          <w:rStyle w:val="kursiv"/>
        </w:rPr>
      </w:pPr>
      <w:r w:rsidRPr="00225D4D">
        <w:rPr>
          <w:rStyle w:val="kursiv"/>
        </w:rPr>
        <w:t>«Stortinget ber regjeringen raskt avklare hva slags tiltak som vil gi uttelling som addisjonelle opptak i skog, samordnet med eventuelle karbonkreditter fra skog, og lage en handlingsplan og mål for økt karbonlagring i skog frem mot 2100.»</w:t>
      </w:r>
    </w:p>
    <w:p w14:paraId="76D66CBB" w14:textId="77777777" w:rsidR="00D60186" w:rsidRPr="00225D4D" w:rsidRDefault="00D60186" w:rsidP="00225D4D">
      <w:r w:rsidRPr="00225D4D">
        <w:t xml:space="preserve">Vedtaket ble gjort ved Stortingets behandling av Meld. St. 25 (2024–2025) </w:t>
      </w:r>
      <w:r w:rsidRPr="00225D4D">
        <w:rPr>
          <w:rStyle w:val="kursiv"/>
        </w:rPr>
        <w:t>Klimamelding 2035 – på vei mot lavutslippssamfunnet</w:t>
      </w:r>
      <w:r w:rsidRPr="00225D4D">
        <w:t xml:space="preserve">, jf. </w:t>
      </w:r>
      <w:proofErr w:type="spellStart"/>
      <w:r w:rsidRPr="00225D4D">
        <w:t>Innst</w:t>
      </w:r>
      <w:proofErr w:type="spellEnd"/>
      <w:r w:rsidRPr="00225D4D">
        <w:t>. 520 S (2024–2025). Vedtaket er til behandling i departementet.</w:t>
      </w:r>
    </w:p>
    <w:p w14:paraId="1B163AA5" w14:textId="77777777" w:rsidR="00D60186" w:rsidRPr="00225D4D" w:rsidRDefault="00D60186" w:rsidP="00225D4D">
      <w:r w:rsidRPr="00225D4D">
        <w:t>Regjeringen vil komme tilbake til Stortinget på egnet måte.</w:t>
      </w:r>
    </w:p>
    <w:p w14:paraId="3ED49765" w14:textId="77777777" w:rsidR="00D60186" w:rsidRPr="00225D4D" w:rsidRDefault="00D60186" w:rsidP="00225D4D">
      <w:pPr>
        <w:pStyle w:val="avsnitt-tittel"/>
      </w:pPr>
      <w:r w:rsidRPr="00225D4D">
        <w:t>Gjenbruk av overskuddsmasse</w:t>
      </w:r>
    </w:p>
    <w:p w14:paraId="7CC0D428" w14:textId="77777777" w:rsidR="00D60186" w:rsidRPr="00225D4D" w:rsidRDefault="00D60186" w:rsidP="00225D4D">
      <w:pPr>
        <w:pStyle w:val="avsnitt-undertittel"/>
      </w:pPr>
      <w:r w:rsidRPr="00225D4D">
        <w:t>Vedtak nr. 982 11. juni 2025</w:t>
      </w:r>
    </w:p>
    <w:p w14:paraId="0C97F3E7" w14:textId="77777777" w:rsidR="00D60186" w:rsidRPr="00225D4D" w:rsidRDefault="00D60186" w:rsidP="00225D4D">
      <w:pPr>
        <w:pStyle w:val="blokksit"/>
        <w:rPr>
          <w:rStyle w:val="kursiv"/>
        </w:rPr>
      </w:pPr>
      <w:r w:rsidRPr="00225D4D">
        <w:rPr>
          <w:rStyle w:val="kursiv"/>
        </w:rPr>
        <w:t>«Stortinget ber regjeringen legge til rette for å gjenbruke overskuddsmasser, blant annet ved etablering av digitale markedsplasser for overskuddsmasser, og beregne klimaeffekten av slike tiltak.»</w:t>
      </w:r>
    </w:p>
    <w:p w14:paraId="3C7491A7" w14:textId="77777777" w:rsidR="00D60186" w:rsidRPr="00225D4D" w:rsidRDefault="00D60186" w:rsidP="00225D4D">
      <w:r w:rsidRPr="00225D4D">
        <w:t xml:space="preserve">Vedtaket ble gjort ved Stortingets behandling av Meld. St. 25 (2024–2025) </w:t>
      </w:r>
      <w:r w:rsidRPr="00225D4D">
        <w:rPr>
          <w:rStyle w:val="kursiv"/>
        </w:rPr>
        <w:t>Klimamelding 2035 – på vei mot lavutslippssamfunnet</w:t>
      </w:r>
      <w:r w:rsidRPr="00225D4D">
        <w:t xml:space="preserve">, jf. </w:t>
      </w:r>
      <w:proofErr w:type="spellStart"/>
      <w:r w:rsidRPr="00225D4D">
        <w:t>Innst</w:t>
      </w:r>
      <w:proofErr w:type="spellEnd"/>
      <w:r w:rsidRPr="00225D4D">
        <w:t>. 520 S (2024–2025).</w:t>
      </w:r>
    </w:p>
    <w:p w14:paraId="5F047800" w14:textId="77777777" w:rsidR="00D60186" w:rsidRPr="00225D4D" w:rsidRDefault="00D60186" w:rsidP="00225D4D">
      <w:r w:rsidRPr="00225D4D">
        <w:t xml:space="preserve">Kommunal- og </w:t>
      </w:r>
      <w:proofErr w:type="spellStart"/>
      <w:r w:rsidRPr="00225D4D">
        <w:t>distriktsdepartementet</w:t>
      </w:r>
      <w:proofErr w:type="spellEnd"/>
      <w:r w:rsidRPr="00225D4D">
        <w:t xml:space="preserve"> (KDD) har innhentet en rapport fra </w:t>
      </w:r>
      <w:proofErr w:type="spellStart"/>
      <w:r w:rsidRPr="00225D4D">
        <w:t>Asplan</w:t>
      </w:r>
      <w:proofErr w:type="spellEnd"/>
      <w:r w:rsidRPr="00225D4D">
        <w:t xml:space="preserve"> </w:t>
      </w:r>
      <w:proofErr w:type="spellStart"/>
      <w:r w:rsidRPr="00225D4D">
        <w:t>Viak</w:t>
      </w:r>
      <w:proofErr w:type="spellEnd"/>
      <w:r w:rsidRPr="00225D4D">
        <w:t xml:space="preserve"> AS (2025) som inneholder forslag til hvordan staten kan legge til rette for etablering av digitale markedsplasser for overskuddsmasser ulike steder i landet. På kort sikt vurderer KDD, i samarbeid med andre relevante departement, å opprette et nasjonalt samarbeidsforum for håndtering av overskuddsmasser. Samarbeidsforumet skal blant annet bidra til erfaringsutveksling mellom regioner om bærekraftig massehåndtering og utbredelse av digitale markedsplasser. Delen av vedtaket som omhandler beregning av klimaeffekt er til behandling i departementet.</w:t>
      </w:r>
    </w:p>
    <w:p w14:paraId="497C8B04" w14:textId="77777777" w:rsidR="00D60186" w:rsidRPr="00225D4D" w:rsidRDefault="00D60186" w:rsidP="00225D4D">
      <w:r w:rsidRPr="00225D4D">
        <w:t>Regjeringen vil komme tilbake til Stortinget på egnet måte.</w:t>
      </w:r>
    </w:p>
    <w:p w14:paraId="49EDEB53" w14:textId="77777777" w:rsidR="00D60186" w:rsidRPr="00225D4D" w:rsidRDefault="00D60186" w:rsidP="00225D4D">
      <w:pPr>
        <w:pStyle w:val="avsnitt-tittel"/>
      </w:pPr>
      <w:r w:rsidRPr="00225D4D">
        <w:t>Felles klima- og energimelding</w:t>
      </w:r>
    </w:p>
    <w:p w14:paraId="4769A4F2" w14:textId="77777777" w:rsidR="00D60186" w:rsidRPr="00225D4D" w:rsidRDefault="00D60186" w:rsidP="00225D4D">
      <w:pPr>
        <w:pStyle w:val="avsnitt-undertittel"/>
      </w:pPr>
      <w:r w:rsidRPr="00225D4D">
        <w:t>Vedtak nr. 985, 11. juni 2025</w:t>
      </w:r>
    </w:p>
    <w:p w14:paraId="3AE9B0EE" w14:textId="77777777" w:rsidR="00D60186" w:rsidRPr="00225D4D" w:rsidRDefault="00D60186" w:rsidP="00225D4D">
      <w:pPr>
        <w:pStyle w:val="blokksit"/>
        <w:rPr>
          <w:rStyle w:val="kursiv"/>
        </w:rPr>
      </w:pPr>
      <w:r w:rsidRPr="00225D4D">
        <w:rPr>
          <w:rStyle w:val="kursiv"/>
        </w:rPr>
        <w:t>«Stortinget ber regjeringen komme tilbake til Stortinget i løpet av neste stortingsperiode med en felles klima- og energimelding. Stortingsmeldingen skal legges frem i første halvdel av fireårsperioden, redegjøre for statusen på Norges klimamål og fremheve nødvendige prioriteringer i klima- og energipolitikken.»</w:t>
      </w:r>
    </w:p>
    <w:p w14:paraId="32356C35" w14:textId="77777777" w:rsidR="00D60186" w:rsidRPr="00225D4D" w:rsidRDefault="00D60186" w:rsidP="00225D4D">
      <w:r w:rsidRPr="00225D4D">
        <w:t xml:space="preserve">Vedtaket ble gjort ved Stortingets behandling av Meld. St. 25 (2024–2025) </w:t>
      </w:r>
      <w:r w:rsidRPr="00225D4D">
        <w:rPr>
          <w:rStyle w:val="kursiv"/>
        </w:rPr>
        <w:t>Klimamelding 2035 – på vei mot lavutslippssamfunnet</w:t>
      </w:r>
      <w:r w:rsidRPr="00225D4D">
        <w:t xml:space="preserve">, jf. </w:t>
      </w:r>
      <w:proofErr w:type="spellStart"/>
      <w:r w:rsidRPr="00225D4D">
        <w:t>Innst</w:t>
      </w:r>
      <w:proofErr w:type="spellEnd"/>
      <w:r w:rsidRPr="00225D4D">
        <w:t>. 520 S (2024–2025). Vedtaket er til behandling i departementet.</w:t>
      </w:r>
    </w:p>
    <w:p w14:paraId="46850D9D" w14:textId="77777777" w:rsidR="00D60186" w:rsidRPr="00225D4D" w:rsidRDefault="00D60186" w:rsidP="00225D4D">
      <w:r w:rsidRPr="00225D4D">
        <w:t>Regjeringen vil komme tilbake til Stortinget på egnet måte.</w:t>
      </w:r>
    </w:p>
    <w:p w14:paraId="79680A23" w14:textId="77777777" w:rsidR="00D60186" w:rsidRPr="00225D4D" w:rsidRDefault="00D60186" w:rsidP="00225D4D">
      <w:pPr>
        <w:pStyle w:val="avsnitt-tittel"/>
      </w:pPr>
      <w:r w:rsidRPr="00225D4D">
        <w:t>Klimasamarbeid med EU</w:t>
      </w:r>
    </w:p>
    <w:p w14:paraId="2759D335" w14:textId="77777777" w:rsidR="00D60186" w:rsidRPr="00225D4D" w:rsidRDefault="00D60186" w:rsidP="00225D4D">
      <w:pPr>
        <w:pStyle w:val="avsnitt-undertittel"/>
      </w:pPr>
      <w:r w:rsidRPr="00225D4D">
        <w:t>Vedtak nr. 986, 11. juni 2025</w:t>
      </w:r>
    </w:p>
    <w:p w14:paraId="3C0860B6" w14:textId="77777777" w:rsidR="00D60186" w:rsidRPr="00225D4D" w:rsidRDefault="00D60186" w:rsidP="00225D4D">
      <w:pPr>
        <w:pStyle w:val="blokksit"/>
        <w:rPr>
          <w:rStyle w:val="kursiv"/>
        </w:rPr>
      </w:pPr>
      <w:r w:rsidRPr="00225D4D">
        <w:rPr>
          <w:rStyle w:val="kursiv"/>
        </w:rPr>
        <w:t>«Stortinget ber regjeringen følge opp videreføring av klimasamarbeidet med EU etter 2030 og arbeide for at EUs skogpolitikk fra 2030 tar høyde for utfordringene særlig skogrike land, som Norge, står i.»</w:t>
      </w:r>
    </w:p>
    <w:p w14:paraId="2872F265" w14:textId="77777777" w:rsidR="00D60186" w:rsidRPr="00225D4D" w:rsidRDefault="00D60186" w:rsidP="00225D4D">
      <w:r w:rsidRPr="00225D4D">
        <w:t xml:space="preserve">Vedtaket ble gjort ved Stortingets behandling av Meld. St. 25 (2024–2025) </w:t>
      </w:r>
      <w:r w:rsidRPr="00225D4D">
        <w:rPr>
          <w:rStyle w:val="kursiv"/>
        </w:rPr>
        <w:t>Klimamelding 2035 – på vei mot lavutslippssamfunnet</w:t>
      </w:r>
      <w:r w:rsidRPr="00225D4D">
        <w:t xml:space="preserve">, jf. </w:t>
      </w:r>
      <w:proofErr w:type="spellStart"/>
      <w:r w:rsidRPr="00225D4D">
        <w:t>Innst</w:t>
      </w:r>
      <w:proofErr w:type="spellEnd"/>
      <w:r w:rsidRPr="00225D4D">
        <w:t>. 520 S (2024–2025). Vedtaket er til behandling i departementet.</w:t>
      </w:r>
    </w:p>
    <w:p w14:paraId="5CC9E315" w14:textId="77777777" w:rsidR="00D60186" w:rsidRPr="00225D4D" w:rsidRDefault="00D60186" w:rsidP="00225D4D">
      <w:r w:rsidRPr="00225D4D">
        <w:t>Regjeringen vil komme tilbake til Stortinget på egnet måte.</w:t>
      </w:r>
    </w:p>
    <w:p w14:paraId="48198707" w14:textId="77777777" w:rsidR="00D60186" w:rsidRPr="00225D4D" w:rsidRDefault="00D60186" w:rsidP="00225D4D">
      <w:pPr>
        <w:pStyle w:val="avsnitt-tittel"/>
      </w:pPr>
      <w:r w:rsidRPr="00225D4D">
        <w:t xml:space="preserve">Plan for økt bruk av biogass spesielt innen transportsektoren og for </w:t>
      </w:r>
      <w:proofErr w:type="spellStart"/>
      <w:r w:rsidRPr="00225D4D">
        <w:t>BioCCS</w:t>
      </w:r>
      <w:proofErr w:type="spellEnd"/>
      <w:r w:rsidRPr="00225D4D">
        <w:t xml:space="preserve"> for å realisere Norges klimamål</w:t>
      </w:r>
    </w:p>
    <w:p w14:paraId="165DEEB0" w14:textId="77777777" w:rsidR="00D60186" w:rsidRPr="00225D4D" w:rsidRDefault="00D60186" w:rsidP="00225D4D">
      <w:pPr>
        <w:pStyle w:val="avsnitt-undertittel"/>
      </w:pPr>
      <w:r w:rsidRPr="00225D4D">
        <w:t>Vedtak nr. 987, 11. juni 2025</w:t>
      </w:r>
    </w:p>
    <w:p w14:paraId="2C9A92EE" w14:textId="77777777" w:rsidR="00D60186" w:rsidRPr="00225D4D" w:rsidRDefault="00D60186" w:rsidP="00225D4D">
      <w:pPr>
        <w:pStyle w:val="blokksit"/>
        <w:rPr>
          <w:rStyle w:val="kursiv"/>
        </w:rPr>
      </w:pPr>
      <w:r w:rsidRPr="00225D4D">
        <w:rPr>
          <w:rStyle w:val="kursiv"/>
        </w:rPr>
        <w:t xml:space="preserve">«Stortinget ber regjeringen vurdere hvilke forutsetninger Norge har for en økt nasjonal biogassproduksjon, forventet nasjonal etterspørsel, identifisere barrierer og lage en plan for økt bruk av biogass spesielt innen transportsektoren og for </w:t>
      </w:r>
      <w:proofErr w:type="spellStart"/>
      <w:r w:rsidRPr="00225D4D">
        <w:rPr>
          <w:rStyle w:val="kursiv"/>
        </w:rPr>
        <w:t>BioCCS</w:t>
      </w:r>
      <w:proofErr w:type="spellEnd"/>
      <w:r w:rsidRPr="00225D4D">
        <w:rPr>
          <w:rStyle w:val="kursiv"/>
        </w:rPr>
        <w:t xml:space="preserve"> for å realisere Norges klimamål.»</w:t>
      </w:r>
    </w:p>
    <w:p w14:paraId="410388C1" w14:textId="77777777" w:rsidR="00D60186" w:rsidRPr="00225D4D" w:rsidRDefault="00D60186" w:rsidP="00225D4D">
      <w:r w:rsidRPr="00225D4D">
        <w:t xml:space="preserve">Vedtaket ble gjort ved Stortingets behandling av Meld. St. 25 (2024–2025) </w:t>
      </w:r>
      <w:r w:rsidRPr="00225D4D">
        <w:rPr>
          <w:rStyle w:val="kursiv"/>
        </w:rPr>
        <w:t>Klimamelding 2035 – på vei mot lavutslippssamfunnet</w:t>
      </w:r>
      <w:r w:rsidRPr="00225D4D">
        <w:t xml:space="preserve">, jf. </w:t>
      </w:r>
      <w:proofErr w:type="spellStart"/>
      <w:r w:rsidRPr="00225D4D">
        <w:t>Innst</w:t>
      </w:r>
      <w:proofErr w:type="spellEnd"/>
      <w:r w:rsidRPr="00225D4D">
        <w:t>. 520 S (2024–2025). Vedtaket er til behandling i departementet.</w:t>
      </w:r>
    </w:p>
    <w:p w14:paraId="3FA23B37" w14:textId="77777777" w:rsidR="00D60186" w:rsidRPr="00225D4D" w:rsidRDefault="00D60186" w:rsidP="00225D4D">
      <w:r w:rsidRPr="00225D4D">
        <w:t>Regjeringen vil komme tilbake til Stortinget på egnet måte.</w:t>
      </w:r>
    </w:p>
    <w:p w14:paraId="4DC6846C" w14:textId="77777777" w:rsidR="00D60186" w:rsidRPr="00225D4D" w:rsidRDefault="00D60186" w:rsidP="00225D4D">
      <w:pPr>
        <w:pStyle w:val="avsnitt-tittel"/>
      </w:pPr>
      <w:r w:rsidRPr="00225D4D">
        <w:t>Forsterke arbeidet mot forsøpling på land og i havet</w:t>
      </w:r>
    </w:p>
    <w:p w14:paraId="53D2FC19" w14:textId="77777777" w:rsidR="00D60186" w:rsidRPr="00225D4D" w:rsidRDefault="00D60186" w:rsidP="00225D4D">
      <w:pPr>
        <w:pStyle w:val="avsnitt-undertittel"/>
      </w:pPr>
      <w:r w:rsidRPr="00225D4D">
        <w:t>Vedtak nr. 989 11. juni 2025</w:t>
      </w:r>
    </w:p>
    <w:p w14:paraId="601E3541" w14:textId="77777777" w:rsidR="00D60186" w:rsidRPr="00225D4D" w:rsidRDefault="00D60186" w:rsidP="00225D4D">
      <w:pPr>
        <w:pStyle w:val="blokksit"/>
        <w:rPr>
          <w:rStyle w:val="kursiv"/>
        </w:rPr>
      </w:pPr>
      <w:r w:rsidRPr="00225D4D">
        <w:rPr>
          <w:rStyle w:val="kursiv"/>
        </w:rPr>
        <w:t>«Stortinget</w:t>
      </w:r>
      <w:r w:rsidRPr="00225D4D">
        <w:t xml:space="preserve"> </w:t>
      </w:r>
      <w:r w:rsidRPr="00225D4D">
        <w:rPr>
          <w:rStyle w:val="kursiv"/>
        </w:rPr>
        <w:t>ber regjeringen forsterke arbeidet mot forsøpling på land og i havet.»</w:t>
      </w:r>
    </w:p>
    <w:p w14:paraId="01EDE738" w14:textId="77777777" w:rsidR="00D60186" w:rsidRPr="00225D4D" w:rsidRDefault="00D60186" w:rsidP="00225D4D">
      <w:r w:rsidRPr="00225D4D">
        <w:t xml:space="preserve">Vedtaket ble gjort ved Stortingets behandling av Meld. St. 25 (2024–2025) </w:t>
      </w:r>
      <w:r w:rsidRPr="00225D4D">
        <w:rPr>
          <w:rStyle w:val="kursiv"/>
        </w:rPr>
        <w:t>Klimamelding 2035 – på vei mot lavutslippssamfunnet</w:t>
      </w:r>
      <w:r w:rsidRPr="00225D4D">
        <w:t xml:space="preserve">, jf. </w:t>
      </w:r>
      <w:proofErr w:type="spellStart"/>
      <w:r w:rsidRPr="00225D4D">
        <w:t>Innst</w:t>
      </w:r>
      <w:proofErr w:type="spellEnd"/>
      <w:r w:rsidRPr="00225D4D">
        <w:t>. 520 S (2024–2025).</w:t>
      </w:r>
    </w:p>
    <w:p w14:paraId="1ECBF256" w14:textId="77777777" w:rsidR="00D60186" w:rsidRPr="00225D4D" w:rsidRDefault="00D60186" w:rsidP="00225D4D">
      <w:r w:rsidRPr="00225D4D">
        <w:t>Det gjøres omfattende arbeid både for å forebygge forsøpling og for å rydde opp i eksisterende forsøpling. Regjeringen arbeider blant annet med en rekke regelverksendringer. Det er for eksempel innført et forbud mot enkelte engangsprodukter av plast, og det stilles krav til design av slike produkter. Det arbeides også med innføring av utvidet produsentansvar for hhv. enkelte engangsprodukter av plast og utstyr fra fiskeri, fritidsfiske og akvakultur som inneholder plast. Det finnes også flere tilskuddsordninger som har som formål å forebygge og redusere forsøpling, som for levering og behandling av kasserte fritidsbåter, og tilskudd til tiltak mot marin forsøpling.</w:t>
      </w:r>
    </w:p>
    <w:p w14:paraId="111CA06B" w14:textId="77777777" w:rsidR="00D60186" w:rsidRPr="00225D4D" w:rsidRDefault="00D60186" w:rsidP="00225D4D">
      <w:r w:rsidRPr="00225D4D">
        <w:t>Norge har en aktiv og ledende rolle i de internasjonale forhandlingene om en ny global miljøavtale for å stanse plastforurensning, og en rekke andre internasjonale prosesser som for eksempel Basel-konvensjonen, OSPAR og IMO. Gjennom Norads bistandsprogram bidrar Norge også med støtte til tiltak i utviklingsland.</w:t>
      </w:r>
    </w:p>
    <w:p w14:paraId="1242E4D1" w14:textId="77777777" w:rsidR="00D60186" w:rsidRPr="00225D4D" w:rsidRDefault="00D60186" w:rsidP="00225D4D">
      <w:r w:rsidRPr="00225D4D">
        <w:t>Departementet anser med dette vedtaket som fulgt opp.</w:t>
      </w:r>
    </w:p>
    <w:p w14:paraId="2B50E564" w14:textId="77777777" w:rsidR="00D60186" w:rsidRPr="00225D4D" w:rsidRDefault="00D60186" w:rsidP="00225D4D">
      <w:pPr>
        <w:pStyle w:val="avsnitt-tittel"/>
      </w:pPr>
      <w:r w:rsidRPr="00225D4D">
        <w:t>Planlegge for at det lovbestemte klimamålet for 2035 skal nås med utslippskutt i Norge og i samarbeid med EU</w:t>
      </w:r>
    </w:p>
    <w:p w14:paraId="597D0165" w14:textId="77777777" w:rsidR="00D60186" w:rsidRPr="00225D4D" w:rsidRDefault="00D60186" w:rsidP="00225D4D">
      <w:pPr>
        <w:pStyle w:val="avsnitt-undertittel"/>
      </w:pPr>
      <w:r w:rsidRPr="00225D4D">
        <w:t>Vedtak nr. 991, 11. juni 2025</w:t>
      </w:r>
    </w:p>
    <w:p w14:paraId="2BAB7841" w14:textId="77777777" w:rsidR="00D60186" w:rsidRPr="00225D4D" w:rsidRDefault="00D60186" w:rsidP="00225D4D">
      <w:pPr>
        <w:pStyle w:val="blokksit"/>
        <w:rPr>
          <w:rStyle w:val="kursiv"/>
        </w:rPr>
      </w:pPr>
      <w:r w:rsidRPr="00225D4D">
        <w:rPr>
          <w:rStyle w:val="kursiv"/>
        </w:rPr>
        <w:t>«Stortinget ber regjeringen planlegge for at det lovbestemte klimamålet for 2035 skal nås med utslippskutt i Norge og i samarbeid med EU, og komme tilbake til Stortinget i løpet av 2026 med forslag til hvordan dette kan sikres.»</w:t>
      </w:r>
    </w:p>
    <w:p w14:paraId="6C31130D" w14:textId="77777777" w:rsidR="00D60186" w:rsidRPr="00225D4D" w:rsidRDefault="00D60186" w:rsidP="00225D4D">
      <w:r w:rsidRPr="00225D4D">
        <w:t xml:space="preserve">Vedtaket ble gjort ved Stortingets behandling av innstilling fra energi- og miljøkomiteen om Endringer i klimaloven (klimamål for 2035), </w:t>
      </w:r>
      <w:proofErr w:type="spellStart"/>
      <w:r w:rsidRPr="00225D4D">
        <w:t>Innst</w:t>
      </w:r>
      <w:proofErr w:type="spellEnd"/>
      <w:r w:rsidRPr="00225D4D">
        <w:t>. 519 L. Vedtaket er til behandling i departementet.</w:t>
      </w:r>
    </w:p>
    <w:p w14:paraId="31B4D7D4" w14:textId="77777777" w:rsidR="00D60186" w:rsidRPr="00225D4D" w:rsidRDefault="00D60186" w:rsidP="00225D4D">
      <w:r w:rsidRPr="00225D4D">
        <w:t>Regjeringen vil komme tilbake til Stortinget på egnet måte.</w:t>
      </w:r>
    </w:p>
    <w:p w14:paraId="01C8AE78" w14:textId="77777777" w:rsidR="00D60186" w:rsidRPr="00225D4D" w:rsidRDefault="00D60186" w:rsidP="00225D4D">
      <w:pPr>
        <w:pStyle w:val="avsnitt-tittel"/>
      </w:pPr>
      <w:r w:rsidRPr="00225D4D">
        <w:t>Vurdere konsekvensene av EUs klimamål</w:t>
      </w:r>
    </w:p>
    <w:p w14:paraId="0AD9EBE4" w14:textId="77777777" w:rsidR="00D60186" w:rsidRPr="00225D4D" w:rsidRDefault="00D60186" w:rsidP="00225D4D">
      <w:pPr>
        <w:pStyle w:val="avsnitt-undertittel"/>
      </w:pPr>
      <w:r w:rsidRPr="00225D4D">
        <w:t>Vedtak nr. 992, 11. juni 2025</w:t>
      </w:r>
    </w:p>
    <w:p w14:paraId="653B4971" w14:textId="77777777" w:rsidR="00D60186" w:rsidRPr="00225D4D" w:rsidRDefault="00D60186" w:rsidP="00225D4D">
      <w:pPr>
        <w:pStyle w:val="blokksit"/>
        <w:rPr>
          <w:rStyle w:val="kursiv"/>
        </w:rPr>
      </w:pPr>
      <w:r w:rsidRPr="00225D4D">
        <w:rPr>
          <w:rStyle w:val="kursiv"/>
        </w:rPr>
        <w:t>«Stortinget ber regjeringen vurdere konsekvensene dersom EU vedtar et annet klimamål enn Norge og komme tilbake til Stortinget med en anbefaling om hvordan det følges opp.»</w:t>
      </w:r>
    </w:p>
    <w:p w14:paraId="2E7D6D0D" w14:textId="77777777" w:rsidR="00D60186" w:rsidRPr="00225D4D" w:rsidRDefault="00D60186" w:rsidP="00225D4D">
      <w:r w:rsidRPr="00225D4D">
        <w:t xml:space="preserve">Vedtaket ble gjort ved Stortingets behandling av innstilling fra energi- og miljøkomiteen om Endringer i klimaloven (klimamål for 2035), </w:t>
      </w:r>
      <w:proofErr w:type="spellStart"/>
      <w:r w:rsidRPr="00225D4D">
        <w:t>Innst</w:t>
      </w:r>
      <w:proofErr w:type="spellEnd"/>
      <w:r w:rsidRPr="00225D4D">
        <w:t>. 519 L. Per trykkedato for budsjettdokumentene er EUs nye klimamål under Parisavtalen ikke vedtatt.</w:t>
      </w:r>
    </w:p>
    <w:p w14:paraId="1CCD63B1" w14:textId="77777777" w:rsidR="00D60186" w:rsidRPr="00225D4D" w:rsidRDefault="00D60186" w:rsidP="00225D4D">
      <w:r w:rsidRPr="00225D4D">
        <w:t>Regjeringen vil komme tilbake til Stortinget på egnet måte.</w:t>
      </w:r>
    </w:p>
    <w:p w14:paraId="0E763A39" w14:textId="77777777" w:rsidR="00D60186" w:rsidRPr="00225D4D" w:rsidRDefault="00D60186" w:rsidP="00225D4D">
      <w:pPr>
        <w:pStyle w:val="avsnitt-tittel"/>
      </w:pPr>
      <w:r w:rsidRPr="00225D4D">
        <w:t>Hjemmel i ny motorferdsellov for de med undersøkelsesrett etter mineralloven</w:t>
      </w:r>
    </w:p>
    <w:p w14:paraId="68A443AB" w14:textId="77777777" w:rsidR="00D60186" w:rsidRPr="00225D4D" w:rsidRDefault="00D60186" w:rsidP="00225D4D">
      <w:pPr>
        <w:pStyle w:val="avsnitt-undertittel"/>
      </w:pPr>
      <w:r w:rsidRPr="00225D4D">
        <w:t>Vedtak nr. 1059, 12. juni 2025</w:t>
      </w:r>
    </w:p>
    <w:p w14:paraId="00C4E259" w14:textId="77777777" w:rsidR="00D60186" w:rsidRPr="00225D4D" w:rsidRDefault="00D60186" w:rsidP="00225D4D">
      <w:pPr>
        <w:pStyle w:val="blokksit"/>
        <w:rPr>
          <w:rStyle w:val="kursiv"/>
        </w:rPr>
      </w:pPr>
      <w:r w:rsidRPr="00225D4D">
        <w:rPr>
          <w:rStyle w:val="kursiv"/>
        </w:rPr>
        <w:t>«Stortinget ber regjeringen om at forslag til ny motorferdsellov inneholder hjemmel for at den som får undersøkelsesrett etter mineralloven, også gis tillatelse til bruk av motorkjøretøy, dersom grunneier gir samtykke.»</w:t>
      </w:r>
    </w:p>
    <w:p w14:paraId="1C2C210A" w14:textId="77777777" w:rsidR="00D60186" w:rsidRPr="00225D4D" w:rsidRDefault="00D60186" w:rsidP="00225D4D">
      <w:r w:rsidRPr="00225D4D">
        <w:t xml:space="preserve">Vedtaket ble gjort ved Stortingets behandling av </w:t>
      </w:r>
      <w:proofErr w:type="spellStart"/>
      <w:r w:rsidRPr="00225D4D">
        <w:t>Prop</w:t>
      </w:r>
      <w:proofErr w:type="spellEnd"/>
      <w:r w:rsidRPr="00225D4D">
        <w:t xml:space="preserve">. 71 L (2024–2025) </w:t>
      </w:r>
      <w:r w:rsidRPr="00225D4D">
        <w:rPr>
          <w:rStyle w:val="kursiv"/>
        </w:rPr>
        <w:t>Lov om mineralvirksomhet og forvaltning av mineralressurser (mineralloven)</w:t>
      </w:r>
      <w:r w:rsidRPr="00225D4D">
        <w:t xml:space="preserve">, jf. </w:t>
      </w:r>
      <w:proofErr w:type="spellStart"/>
      <w:r w:rsidRPr="00225D4D">
        <w:t>Innst</w:t>
      </w:r>
      <w:proofErr w:type="spellEnd"/>
      <w:r w:rsidRPr="00225D4D">
        <w:t xml:space="preserve">. 521 L (2024–2025). Oppfølgingen av anmodningsvedtaket vil bli en del av arbeidet med ny motorferdsellov, og det vises </w:t>
      </w:r>
      <w:proofErr w:type="gramStart"/>
      <w:r w:rsidRPr="00225D4D">
        <w:t>for øvrig</w:t>
      </w:r>
      <w:proofErr w:type="gramEnd"/>
      <w:r w:rsidRPr="00225D4D">
        <w:t xml:space="preserve"> til omtale av oppfølgning av vedtak nr. 1098 av 16. juni 2025.</w:t>
      </w:r>
    </w:p>
    <w:p w14:paraId="63FC32A8" w14:textId="77777777" w:rsidR="00D60186" w:rsidRPr="00225D4D" w:rsidRDefault="00D60186" w:rsidP="00225D4D">
      <w:r w:rsidRPr="00225D4D">
        <w:t>Regjeringen kommer tilbake til Stortinget på egnet måte.</w:t>
      </w:r>
    </w:p>
    <w:p w14:paraId="5D303AF2" w14:textId="77777777" w:rsidR="00D60186" w:rsidRPr="00225D4D" w:rsidRDefault="00D60186" w:rsidP="00225D4D">
      <w:pPr>
        <w:pStyle w:val="avsnitt-tittel"/>
      </w:pPr>
      <w:r w:rsidRPr="00225D4D">
        <w:t>Sikre at 98-oktan bensin forblir etanolfri i fremtiden</w:t>
      </w:r>
    </w:p>
    <w:p w14:paraId="1E524B41" w14:textId="77777777" w:rsidR="00D60186" w:rsidRPr="00225D4D" w:rsidRDefault="00D60186" w:rsidP="00225D4D">
      <w:pPr>
        <w:pStyle w:val="avsnitt-undertittel"/>
      </w:pPr>
      <w:r w:rsidRPr="00225D4D">
        <w:t>Vedtak nr. 1062, 12. juni 2025</w:t>
      </w:r>
    </w:p>
    <w:p w14:paraId="561DC152" w14:textId="77777777" w:rsidR="00D60186" w:rsidRPr="00225D4D" w:rsidRDefault="00D60186" w:rsidP="00225D4D">
      <w:pPr>
        <w:pStyle w:val="blokksit"/>
        <w:rPr>
          <w:rStyle w:val="kursiv"/>
        </w:rPr>
      </w:pPr>
      <w:r w:rsidRPr="00225D4D">
        <w:rPr>
          <w:rStyle w:val="kursiv"/>
        </w:rPr>
        <w:t>«Stortinget ber regjeringen utarbeide et forslag som sikrer at 98-oktan bensin også i fremtiden forblir etanolfri, ved at 98-oktan bensin skjermes fra insentivene til å blande inn etanol.»</w:t>
      </w:r>
    </w:p>
    <w:p w14:paraId="4E8E5648" w14:textId="77777777" w:rsidR="00D60186" w:rsidRPr="00225D4D" w:rsidRDefault="00D60186" w:rsidP="00225D4D">
      <w:r w:rsidRPr="00225D4D">
        <w:t xml:space="preserve">Vedtaket ble gjort ved Stortingets behandling </w:t>
      </w:r>
      <w:proofErr w:type="spellStart"/>
      <w:r w:rsidRPr="00225D4D">
        <w:t>Dok</w:t>
      </w:r>
      <w:proofErr w:type="spellEnd"/>
      <w:r w:rsidRPr="00225D4D">
        <w:t xml:space="preserve"> 8:118 S (2024–2025) Representantforslag om tilgang på etanlofri bensin, jf. </w:t>
      </w:r>
      <w:proofErr w:type="spellStart"/>
      <w:r w:rsidRPr="00225D4D">
        <w:t>Innst</w:t>
      </w:r>
      <w:proofErr w:type="spellEnd"/>
      <w:r w:rsidRPr="00225D4D">
        <w:t>. 449 S (2024–2025). Forslaget er til behandling i departementet.</w:t>
      </w:r>
    </w:p>
    <w:p w14:paraId="4590ECC9" w14:textId="77777777" w:rsidR="00D60186" w:rsidRPr="00225D4D" w:rsidRDefault="00D60186" w:rsidP="00225D4D">
      <w:r w:rsidRPr="00225D4D">
        <w:t>Regjeringen vil komme tilbake til Stortinget på egnet måte.</w:t>
      </w:r>
    </w:p>
    <w:p w14:paraId="63D8B2AF" w14:textId="77777777" w:rsidR="00D60186" w:rsidRPr="00225D4D" w:rsidRDefault="00D60186" w:rsidP="00225D4D">
      <w:pPr>
        <w:pStyle w:val="avsnitt-tittel"/>
      </w:pPr>
      <w:r w:rsidRPr="00225D4D">
        <w:t>Styrke forskning på plast og plastkjemikalier</w:t>
      </w:r>
    </w:p>
    <w:p w14:paraId="0B4BD159" w14:textId="77777777" w:rsidR="00D60186" w:rsidRPr="00225D4D" w:rsidRDefault="00D60186" w:rsidP="00225D4D">
      <w:pPr>
        <w:pStyle w:val="avsnitt-undertittel"/>
      </w:pPr>
      <w:r w:rsidRPr="00225D4D">
        <w:t>Vedtak nr. 1065, 12. juni 2025</w:t>
      </w:r>
    </w:p>
    <w:p w14:paraId="76AAFAC7" w14:textId="77777777" w:rsidR="00D60186" w:rsidRPr="00225D4D" w:rsidRDefault="00D60186" w:rsidP="00225D4D">
      <w:pPr>
        <w:pStyle w:val="blokksit"/>
        <w:rPr>
          <w:rStyle w:val="kursiv"/>
        </w:rPr>
      </w:pPr>
      <w:r w:rsidRPr="00225D4D">
        <w:rPr>
          <w:rStyle w:val="kursiv"/>
        </w:rPr>
        <w:t>«Stortinget ber regjeringen, i samarbeid med relevante aktører, styrke forskningen på tiltak for å redusere utslipp av og menneskelig eksponering for plast og plastkjemikalier.»</w:t>
      </w:r>
    </w:p>
    <w:p w14:paraId="18638E05" w14:textId="77777777" w:rsidR="00D60186" w:rsidRPr="00225D4D" w:rsidRDefault="00D60186" w:rsidP="00225D4D">
      <w:r w:rsidRPr="00225D4D">
        <w:t xml:space="preserve">Vedtaket ble gjort ved Stortingets behandling </w:t>
      </w:r>
      <w:proofErr w:type="spellStart"/>
      <w:r w:rsidRPr="00225D4D">
        <w:t>Dok</w:t>
      </w:r>
      <w:proofErr w:type="spellEnd"/>
      <w:r w:rsidRPr="00225D4D">
        <w:t xml:space="preserve"> 8:231 S (2024–2025) </w:t>
      </w:r>
      <w:r w:rsidRPr="00225D4D">
        <w:rPr>
          <w:rStyle w:val="kursiv"/>
        </w:rPr>
        <w:t>Representantforslag om tiltak for å løse mikroplastkrisen</w:t>
      </w:r>
      <w:r w:rsidRPr="00225D4D">
        <w:t xml:space="preserve">, jf. </w:t>
      </w:r>
      <w:proofErr w:type="spellStart"/>
      <w:r w:rsidRPr="00225D4D">
        <w:t>Innst</w:t>
      </w:r>
      <w:proofErr w:type="spellEnd"/>
      <w:r w:rsidRPr="00225D4D">
        <w:t>. 418 S (2024–2025). Forslaget er til behandling i departementet.</w:t>
      </w:r>
    </w:p>
    <w:p w14:paraId="3E4C14AF" w14:textId="77777777" w:rsidR="00D60186" w:rsidRPr="00225D4D" w:rsidRDefault="00D60186" w:rsidP="00225D4D">
      <w:r w:rsidRPr="00225D4D">
        <w:t>Regjeringen vil komme tilbake til Stortinget på egnet måte.</w:t>
      </w:r>
    </w:p>
    <w:p w14:paraId="07C24044" w14:textId="77777777" w:rsidR="00D60186" w:rsidRPr="00225D4D" w:rsidRDefault="00D60186" w:rsidP="00225D4D">
      <w:pPr>
        <w:pStyle w:val="avsnitt-tittel"/>
      </w:pPr>
      <w:r w:rsidRPr="00225D4D">
        <w:t>Ny motorferdsellov som oppfølgning av anmodningsvedtak nr. 973 25. mai 2025</w:t>
      </w:r>
    </w:p>
    <w:p w14:paraId="42281724" w14:textId="77777777" w:rsidR="00D60186" w:rsidRPr="00225D4D" w:rsidRDefault="00D60186" w:rsidP="00225D4D">
      <w:pPr>
        <w:pStyle w:val="avsnitt-undertittel"/>
      </w:pPr>
      <w:r w:rsidRPr="00225D4D">
        <w:t>Vedtak nr. 1098, 16. juni 2025</w:t>
      </w:r>
    </w:p>
    <w:p w14:paraId="170CA0E3" w14:textId="77777777" w:rsidR="00D60186" w:rsidRPr="00225D4D" w:rsidRDefault="00D60186" w:rsidP="00225D4D">
      <w:pPr>
        <w:pStyle w:val="blokksit"/>
        <w:rPr>
          <w:rStyle w:val="kursiv"/>
        </w:rPr>
      </w:pPr>
      <w:r w:rsidRPr="00225D4D">
        <w:rPr>
          <w:rStyle w:val="kursiv"/>
        </w:rPr>
        <w:t xml:space="preserve">«Stortinget ber regjeringen komme tilbake på egnet måte med forslag til ny motorferdsellov som er i tråd med Stortingets føringer som gir kommunene større myndighet, redusert byråkrati knyttet til praktiseringen av loven, samtidig som hensynet til natur og friluftsliv hensyntas, som oppfølging av Stortingets anmodningsvedtak nr. 973 av 25. mai 2021, jf. </w:t>
      </w:r>
      <w:proofErr w:type="spellStart"/>
      <w:r w:rsidRPr="00225D4D">
        <w:rPr>
          <w:rStyle w:val="kursiv"/>
        </w:rPr>
        <w:t>Innst</w:t>
      </w:r>
      <w:proofErr w:type="spellEnd"/>
      <w:r w:rsidRPr="00225D4D">
        <w:rPr>
          <w:rStyle w:val="kursiv"/>
        </w:rPr>
        <w:t>. 429 S (2020–2021).»</w:t>
      </w:r>
    </w:p>
    <w:p w14:paraId="5A84F204" w14:textId="77777777" w:rsidR="00D60186" w:rsidRPr="00225D4D" w:rsidRDefault="00D60186" w:rsidP="00225D4D">
      <w:r w:rsidRPr="00225D4D">
        <w:t xml:space="preserve">Vedtaket ble gjort ved behandling av Representantforslag fra stortingsrepresentantene Heidi Greni, Sandra Borch og Per Olav Tyldum om endringer i motorferdselloven, jf. </w:t>
      </w:r>
      <w:proofErr w:type="spellStart"/>
      <w:r w:rsidRPr="00225D4D">
        <w:t>Dok</w:t>
      </w:r>
      <w:proofErr w:type="spellEnd"/>
      <w:r w:rsidRPr="00225D4D">
        <w:t xml:space="preserve">. 8:246 S (2024-2025) og </w:t>
      </w:r>
      <w:proofErr w:type="spellStart"/>
      <w:r w:rsidRPr="00225D4D">
        <w:t>Innst</w:t>
      </w:r>
      <w:proofErr w:type="spellEnd"/>
      <w:r w:rsidRPr="00225D4D">
        <w:t>. 431 S (2024-2025). På bakgrunn av blant annet Stortingets vedtak nr. 973 den 25. mai 2021, opprettet Kongen i statsråd 3. september 2021 et offentlig utvalg som skulle gjennomgå regelverket om motorferdsel i utmark og vassdrag og foreslå endringer i dette. Motorferdsellovutvalget leverte 21. mai 2024 sin utredning NOU 2024: 10 med forslag til ny motorferdsellov til regjeringen. Det er kommet en rekke høringsinnspill til utredningen og departementet trenger tid på å gjennomføre en helhetlig vurdering. Departementet tar sikte på å fremme en proposisjon for Stortinget 2026. Oppfølgingen av anmodningsvedtak nr. 1098 vil bli en del av arbeidet med ny motorferdsellov.</w:t>
      </w:r>
    </w:p>
    <w:p w14:paraId="39455D38" w14:textId="77777777" w:rsidR="00D60186" w:rsidRPr="00225D4D" w:rsidRDefault="00D60186" w:rsidP="00225D4D">
      <w:r w:rsidRPr="00225D4D">
        <w:t>Regjeringen kommer tilbake til Stortinget på egnet måte.</w:t>
      </w:r>
    </w:p>
    <w:p w14:paraId="3515F80C" w14:textId="77777777" w:rsidR="00D60186" w:rsidRPr="00225D4D" w:rsidRDefault="00D60186" w:rsidP="00225D4D">
      <w:pPr>
        <w:pStyle w:val="avsnitt-tittel"/>
      </w:pPr>
      <w:r w:rsidRPr="00225D4D">
        <w:t>Restaureringsprosjekt for Oslofjorden</w:t>
      </w:r>
    </w:p>
    <w:p w14:paraId="26D9C1DF" w14:textId="77777777" w:rsidR="00D60186" w:rsidRPr="00225D4D" w:rsidRDefault="00D60186" w:rsidP="00225D4D">
      <w:pPr>
        <w:pStyle w:val="avsnitt-undertittel"/>
      </w:pPr>
      <w:r w:rsidRPr="00225D4D">
        <w:t>Vedtak 1109, 18. juni 2025</w:t>
      </w:r>
    </w:p>
    <w:p w14:paraId="0AEF55DE" w14:textId="77777777" w:rsidR="00D60186" w:rsidRPr="00225D4D" w:rsidRDefault="00D60186" w:rsidP="00225D4D">
      <w:pPr>
        <w:pStyle w:val="blokksit"/>
        <w:rPr>
          <w:rStyle w:val="kursiv"/>
        </w:rPr>
      </w:pPr>
      <w:r w:rsidRPr="00225D4D">
        <w:rPr>
          <w:rStyle w:val="kursiv"/>
        </w:rPr>
        <w:t>«Stortinget ber regjeringen, i samråd med berørte fylker og kommuner etablere et restaureringsprosjekt for Oslofjorden, samt tiltak for å redusere nitrogen til faglig anbefalt nivå, og komme tilbake til Stortinget innen utgangen av 2026 med en plan for gjennomføring.»</w:t>
      </w:r>
    </w:p>
    <w:p w14:paraId="1ABDCE90" w14:textId="77777777" w:rsidR="00D60186" w:rsidRPr="00225D4D" w:rsidRDefault="00D60186" w:rsidP="00225D4D">
      <w:r w:rsidRPr="00225D4D">
        <w:t xml:space="preserve">Vedtaket ble fattet i forbindelse med behandling av </w:t>
      </w:r>
      <w:proofErr w:type="spellStart"/>
      <w:r w:rsidRPr="00225D4D">
        <w:t>Prop</w:t>
      </w:r>
      <w:proofErr w:type="spellEnd"/>
      <w:r w:rsidRPr="00225D4D">
        <w:t xml:space="preserve">. 142 S </w:t>
      </w:r>
      <w:r w:rsidRPr="00225D4D">
        <w:rPr>
          <w:rStyle w:val="kursiv"/>
        </w:rPr>
        <w:t>Endringer i statsbudsjettet 2025 under Landbruks- og matdepartementet</w:t>
      </w:r>
      <w:r w:rsidRPr="00225D4D">
        <w:t xml:space="preserve"> (2024-2025), jf. </w:t>
      </w:r>
      <w:proofErr w:type="spellStart"/>
      <w:r w:rsidRPr="00225D4D">
        <w:t>Innst</w:t>
      </w:r>
      <w:proofErr w:type="spellEnd"/>
      <w:r w:rsidRPr="00225D4D">
        <w:t>. 534 S (2024-2025).</w:t>
      </w:r>
    </w:p>
    <w:p w14:paraId="7EAA2487" w14:textId="77777777" w:rsidR="00D60186" w:rsidRPr="00225D4D" w:rsidRDefault="00D60186" w:rsidP="00225D4D">
      <w:r w:rsidRPr="00225D4D">
        <w:t xml:space="preserve">Regjeringen har bevilget 40 mill. kroner til restaureringstiltak i Oslofjorden og Oslofjordens nedbørsfelt. Med midler videreført fra 2025-budsjettet, vil tilskuddsordningen for 2026 bli på totalt 65 mill. kroner. Midlene er en del av regjeringens krafttak for Oslofjorden. Regjeringen følger aktivt opp </w:t>
      </w:r>
      <w:r w:rsidRPr="00225D4D">
        <w:rPr>
          <w:rStyle w:val="kursiv"/>
        </w:rPr>
        <w:t>Helhetlig tiltaksplan for en ren og rik Oslofjord med et aktivt friluftsliv</w:t>
      </w:r>
      <w:r w:rsidRPr="00225D4D">
        <w:t xml:space="preserve"> fra 2021. Planen gjelder frem mot 2026. Det er imidlertid et klart behov for å videreføre og styrke innsatsen også etter 2026. Regjeringen vil i løpet av 2026 utarbeide en ny Oslofjordplan, som i tillegg til tiltak for å øke innsatsen på restaurering, vil inneholde nye tiltak for å redusere tilførsler fra nitrogen og andre miljøforbedrende tiltak for å nå målet om god tilstand. Arbeidet for Oslofjorden er </w:t>
      </w:r>
      <w:proofErr w:type="gramStart"/>
      <w:r w:rsidRPr="00225D4D">
        <w:t>et storskala</w:t>
      </w:r>
      <w:proofErr w:type="gramEnd"/>
      <w:r w:rsidRPr="00225D4D">
        <w:t xml:space="preserve"> restaureringsprosjekt. På sikt vil arbeidet for Oslofjorden bidra til å forbedre og gjenopprette tilstanden i et økosystem som er blitt forringet. Den nye Oslofjordplanen vil utgjøre regjeringens oppfølging av anmodningsvedtaket. Regjeringen vil kommer tilbake til Stortinget på egnet måte.</w:t>
      </w:r>
    </w:p>
    <w:p w14:paraId="6048546A" w14:textId="77777777" w:rsidR="00D60186" w:rsidRPr="00225D4D" w:rsidRDefault="00D60186" w:rsidP="00225D4D">
      <w:pPr>
        <w:pStyle w:val="avsnitt-tittel"/>
      </w:pPr>
      <w:r w:rsidRPr="00225D4D">
        <w:t>Returordning for landbruksplast</w:t>
      </w:r>
    </w:p>
    <w:p w14:paraId="51DB4CA2" w14:textId="77777777" w:rsidR="00D60186" w:rsidRPr="00225D4D" w:rsidRDefault="00D60186" w:rsidP="00225D4D">
      <w:pPr>
        <w:pStyle w:val="avsnitt-undertittel"/>
      </w:pPr>
      <w:r w:rsidRPr="00225D4D">
        <w:t>Vedtak nr. 1118, 18. juni 2025</w:t>
      </w:r>
    </w:p>
    <w:p w14:paraId="6517D2CB" w14:textId="77777777" w:rsidR="00D60186" w:rsidRPr="00225D4D" w:rsidRDefault="00D60186" w:rsidP="00225D4D">
      <w:pPr>
        <w:pStyle w:val="blokksit"/>
        <w:rPr>
          <w:rStyle w:val="kursiv"/>
        </w:rPr>
      </w:pPr>
      <w:r w:rsidRPr="00225D4D">
        <w:rPr>
          <w:rStyle w:val="kursiv"/>
        </w:rPr>
        <w:t>«Stortinget ber regjeringen gjennomgå returordningene for landbruksplast og innføre tiltak som sikrer at all landbruksplast resirkuleres.»</w:t>
      </w:r>
    </w:p>
    <w:p w14:paraId="5DFE9DD2" w14:textId="77777777" w:rsidR="00D60186" w:rsidRPr="00225D4D" w:rsidRDefault="00D60186" w:rsidP="00225D4D">
      <w:r w:rsidRPr="00225D4D">
        <w:t xml:space="preserve">Vedtaket ble gjort ved behandling av </w:t>
      </w:r>
      <w:proofErr w:type="spellStart"/>
      <w:r w:rsidRPr="00225D4D">
        <w:t>Prop</w:t>
      </w:r>
      <w:proofErr w:type="spellEnd"/>
      <w:r w:rsidRPr="00225D4D">
        <w:t xml:space="preserve">. 149 S (2024–2025) </w:t>
      </w:r>
      <w:r w:rsidRPr="00225D4D">
        <w:rPr>
          <w:rStyle w:val="kursiv"/>
        </w:rPr>
        <w:t>Endringer i statsbudsjettet 2025 under Landbruks- og matdepartementet (Jordbruksoppgjøret 2025)</w:t>
      </w:r>
      <w:r w:rsidRPr="00225D4D">
        <w:t xml:space="preserve">, jf. </w:t>
      </w:r>
      <w:proofErr w:type="spellStart"/>
      <w:r w:rsidRPr="00225D4D">
        <w:t>Innst</w:t>
      </w:r>
      <w:proofErr w:type="spellEnd"/>
      <w:r w:rsidRPr="00225D4D">
        <w:t>. 534 S (2024–2025).</w:t>
      </w:r>
    </w:p>
    <w:p w14:paraId="0BF96698" w14:textId="77777777" w:rsidR="00D60186" w:rsidRPr="00225D4D" w:rsidRDefault="00D60186" w:rsidP="00225D4D">
      <w:r w:rsidRPr="00225D4D">
        <w:t>Produsenter som setter plastemballasje som brukes i landbruket på markedet, skal ta ansvar for at denne emballasjen samles inn separat og går til materialgjenvinning når det blir avfall, gjennom å være medlem av et produsentansvarsselskap. Landbruksplast som ikke er emballasje, slik som rundballeplast, er del av en frivillig ordning som er regulert av privatrettslige avtaler. I tillegg plikter alle virksomheter som bruker landbruksplast, å sortere og sørge for separat innsamling og materialgjenvinning av denne. Miljødirektoratet konkluderte nylig med at dagens innsamlingssystem for landbruksplast fungerer tilfredsstillende, med en innsamlingsandel på over 90 prosent for 2023 og 2024. Direktoratet vurderte at det ikke er behov for å iverksette umiddelbare tiltak.</w:t>
      </w:r>
    </w:p>
    <w:p w14:paraId="79E19EDF" w14:textId="77777777" w:rsidR="00D60186" w:rsidRPr="00225D4D" w:rsidRDefault="00D60186" w:rsidP="00225D4D">
      <w:r w:rsidRPr="00225D4D">
        <w:t>Departementet anser med dette vedtaket som fulgt opp.</w:t>
      </w:r>
    </w:p>
    <w:p w14:paraId="5F98C00E" w14:textId="77777777" w:rsidR="00D60186" w:rsidRPr="00225D4D" w:rsidRDefault="00D60186" w:rsidP="00225D4D">
      <w:pPr>
        <w:pStyle w:val="avsnitt-tittel"/>
      </w:pPr>
      <w:r w:rsidRPr="00225D4D">
        <w:t>Tiltaksplan for Oslofjorden</w:t>
      </w:r>
    </w:p>
    <w:p w14:paraId="020CBA6C" w14:textId="77777777" w:rsidR="00D60186" w:rsidRPr="00225D4D" w:rsidRDefault="00D60186" w:rsidP="00225D4D">
      <w:pPr>
        <w:pStyle w:val="avsnitt-undertittel"/>
      </w:pPr>
      <w:r w:rsidRPr="00225D4D">
        <w:t>Vedtak nr. 1122, 20. juni 2025</w:t>
      </w:r>
    </w:p>
    <w:p w14:paraId="3D5872D6" w14:textId="77777777" w:rsidR="00D60186" w:rsidRPr="00225D4D" w:rsidRDefault="00D60186" w:rsidP="00225D4D">
      <w:pPr>
        <w:pStyle w:val="blokksit"/>
        <w:rPr>
          <w:rStyle w:val="kursiv"/>
        </w:rPr>
      </w:pPr>
      <w:r w:rsidRPr="00225D4D">
        <w:rPr>
          <w:rStyle w:val="kursiv"/>
        </w:rPr>
        <w:t>«Stortinget ber regjeringen i 2026 fremme en ny tiltaksplan med økonomiske og andre virkemidler som bidrar til en renere Oslofjord.»</w:t>
      </w:r>
    </w:p>
    <w:p w14:paraId="053A5F07" w14:textId="77777777" w:rsidR="00D60186" w:rsidRPr="00225D4D" w:rsidRDefault="00D60186" w:rsidP="00225D4D">
      <w:r w:rsidRPr="00225D4D">
        <w:t xml:space="preserve">Vedtaket ble gjort ved behandling av Meld. St. 2 (2024–2025) </w:t>
      </w:r>
      <w:r w:rsidRPr="00225D4D">
        <w:rPr>
          <w:rStyle w:val="kursiv"/>
        </w:rPr>
        <w:t>Revidert nasjonalbudsjett 2025</w:t>
      </w:r>
      <w:r w:rsidRPr="00225D4D">
        <w:t xml:space="preserve">, jf. </w:t>
      </w:r>
      <w:proofErr w:type="spellStart"/>
      <w:r w:rsidRPr="00225D4D">
        <w:t>Innst</w:t>
      </w:r>
      <w:proofErr w:type="spellEnd"/>
      <w:r w:rsidRPr="00225D4D">
        <w:t>. 540 S (2024–2025). Klima- og miljødepartementet, i samråd med Miljødirektoratet og andre berørte myndigheter, arbeider med en ny tiltaksplan for Oslofjorden som bygger på tiltaksplanen vedtatt i 2021. Det tas sikte på at regjeringen kommer med en ny tiltaksplan i første halvdel av 2026.</w:t>
      </w:r>
    </w:p>
    <w:p w14:paraId="2B5C4D83" w14:textId="77777777" w:rsidR="00D60186" w:rsidRPr="00225D4D" w:rsidRDefault="00D60186" w:rsidP="00225D4D">
      <w:r w:rsidRPr="00225D4D">
        <w:t>Regjeringen vil komme tilbake til Stortinget på egnet måte.</w:t>
      </w:r>
    </w:p>
    <w:p w14:paraId="0F165663" w14:textId="77777777" w:rsidR="00D60186" w:rsidRPr="00225D4D" w:rsidRDefault="00D60186" w:rsidP="00225D4D">
      <w:pPr>
        <w:pStyle w:val="avsnitt-tittel"/>
      </w:pPr>
      <w:proofErr w:type="spellStart"/>
      <w:r w:rsidRPr="00225D4D">
        <w:t>Forbod</w:t>
      </w:r>
      <w:proofErr w:type="spellEnd"/>
      <w:r w:rsidRPr="00225D4D">
        <w:t xml:space="preserve"> mot fossil fyring</w:t>
      </w:r>
    </w:p>
    <w:p w14:paraId="66FCC57E" w14:textId="77777777" w:rsidR="00D60186" w:rsidRPr="00225D4D" w:rsidRDefault="00D60186" w:rsidP="00225D4D">
      <w:pPr>
        <w:pStyle w:val="avsnitt-undertittel"/>
      </w:pPr>
      <w:r w:rsidRPr="00225D4D">
        <w:t>Vedtak nr. 1125, 20. juni 2025</w:t>
      </w:r>
    </w:p>
    <w:p w14:paraId="0A314F17" w14:textId="77777777" w:rsidR="00D60186" w:rsidRPr="00225D4D" w:rsidRDefault="00D60186" w:rsidP="00225D4D">
      <w:pPr>
        <w:pStyle w:val="blokksit"/>
        <w:rPr>
          <w:rStyle w:val="kursiv"/>
        </w:rPr>
      </w:pPr>
      <w:r w:rsidRPr="00225D4D">
        <w:rPr>
          <w:rStyle w:val="kursiv"/>
        </w:rPr>
        <w:t>«Stortinget ber regjeringen i løpet av 2025 sende på høring et forslag om å innføre et forbud mot fossil fyring, avgrenset til indirekte fyring i kvotepliktig industri i 2030, med mulighet for utsettelse hvis NVE mener det ikke er tilstrekkelig nettkapasitet i området eller i tilfeller der forbudet vil innebære svært høye kostnader målt opp mot nytteverdien eller andre åpenbart urimelige konsekvenser. Det tas sikte på innføring i 2030, et iverksettelsestidspunkt vil vurderes i lys av høring.»</w:t>
      </w:r>
    </w:p>
    <w:p w14:paraId="20B3D071" w14:textId="77777777" w:rsidR="00D60186" w:rsidRPr="00225D4D" w:rsidRDefault="00D60186" w:rsidP="00225D4D">
      <w:r w:rsidRPr="00225D4D">
        <w:t xml:space="preserve">Vedtaket ble gjort ved behandling av Revidert nasjonalbudsjett 2025, jf. </w:t>
      </w:r>
      <w:proofErr w:type="spellStart"/>
      <w:r w:rsidRPr="00225D4D">
        <w:t>Innst</w:t>
      </w:r>
      <w:proofErr w:type="spellEnd"/>
      <w:r w:rsidRPr="00225D4D">
        <w:t>. 540 S (2024–2025). Den 24. juni 2025 ga Klima- og miljødepartementet Miljødirektoratet i oppdrag å utrede konsekvenser og innretninger av et slikt forbud, som et supplement til konsekvensutredningen om forbud mot fossil fyring i industrien, som direktoratet utarbeidet i 2023. Den oppdaterte utredningen skal gi et informasjonsgrunnlag for arbeidet med et forbud, som er basert på oppdaterte anslag og informasjon. Herunder oppdatert informasjon om konsekvenser av et forbud for kraftforsyningen. Miljødirektoratet er også bedt om å utarbeide et forslag til forskrift, som kan sendes på høring i løpet av 2025.</w:t>
      </w:r>
    </w:p>
    <w:p w14:paraId="2D504389" w14:textId="77777777" w:rsidR="00D60186" w:rsidRPr="00225D4D" w:rsidRDefault="00D60186" w:rsidP="00225D4D">
      <w:r w:rsidRPr="00225D4D">
        <w:t>Regjeringen vil komme tilbake til Stortinget på egnet måte.</w:t>
      </w:r>
    </w:p>
    <w:p w14:paraId="7B3BB95B" w14:textId="77777777" w:rsidR="00D60186" w:rsidRPr="00225D4D" w:rsidRDefault="00D60186" w:rsidP="00225D4D">
      <w:pPr>
        <w:pStyle w:val="avsnitt-tittel"/>
      </w:pPr>
      <w:r w:rsidRPr="00225D4D">
        <w:t>Kart over grått areal i Norge</w:t>
      </w:r>
    </w:p>
    <w:p w14:paraId="3D42C90D" w14:textId="77777777" w:rsidR="00D60186" w:rsidRPr="00225D4D" w:rsidRDefault="00D60186" w:rsidP="00225D4D">
      <w:pPr>
        <w:pStyle w:val="avsnitt-undertittel"/>
      </w:pPr>
      <w:r w:rsidRPr="00225D4D">
        <w:t>Vedtak nr. 1216, 20. juni 2025</w:t>
      </w:r>
    </w:p>
    <w:p w14:paraId="4627CE44" w14:textId="77777777" w:rsidR="00D60186" w:rsidRPr="00225D4D" w:rsidRDefault="00D60186" w:rsidP="00225D4D">
      <w:pPr>
        <w:pStyle w:val="blokksit"/>
        <w:rPr>
          <w:rStyle w:val="kursiv"/>
        </w:rPr>
      </w:pPr>
      <w:r w:rsidRPr="00225D4D">
        <w:rPr>
          <w:rStyle w:val="kursiv"/>
        </w:rPr>
        <w:t>«Stortinget ber regjeringen utarbeide et kart over grått areal i Norge.»</w:t>
      </w:r>
    </w:p>
    <w:p w14:paraId="0020D8AE" w14:textId="77777777" w:rsidR="00D60186" w:rsidRPr="00225D4D" w:rsidRDefault="00D60186" w:rsidP="00225D4D">
      <w:r w:rsidRPr="00225D4D">
        <w:t xml:space="preserve">Vedtaket ble gjort ved behandling av Meld. St. 2 (2024–2025) </w:t>
      </w:r>
      <w:r w:rsidRPr="00225D4D">
        <w:rPr>
          <w:rStyle w:val="kursiv"/>
        </w:rPr>
        <w:t>Revidert nasjonalbudsjett 2025</w:t>
      </w:r>
      <w:r w:rsidRPr="00225D4D">
        <w:t xml:space="preserve">, jf. </w:t>
      </w:r>
      <w:proofErr w:type="spellStart"/>
      <w:r w:rsidRPr="00225D4D">
        <w:t>Innst</w:t>
      </w:r>
      <w:proofErr w:type="spellEnd"/>
      <w:r w:rsidRPr="00225D4D">
        <w:t>. 540 S (2024–2025).</w:t>
      </w:r>
    </w:p>
    <w:p w14:paraId="072533C0" w14:textId="77777777" w:rsidR="00D60186" w:rsidRPr="00225D4D" w:rsidRDefault="00D60186" w:rsidP="00225D4D">
      <w:r w:rsidRPr="00225D4D">
        <w:t>Regjeringen vil komme tilbake til Stortinget på egnet måte.</w:t>
      </w:r>
    </w:p>
    <w:p w14:paraId="393F0A7E" w14:textId="77777777" w:rsidR="00D60186" w:rsidRPr="00225D4D" w:rsidRDefault="00D60186" w:rsidP="00225D4D">
      <w:pPr>
        <w:pStyle w:val="avsnitt-tittel"/>
      </w:pPr>
      <w:r w:rsidRPr="00225D4D">
        <w:t>Utrede et reduksjonsmål for Norges forbruksbaserte utslipp</w:t>
      </w:r>
    </w:p>
    <w:p w14:paraId="42825F67" w14:textId="77777777" w:rsidR="00D60186" w:rsidRPr="00225D4D" w:rsidRDefault="00D60186" w:rsidP="00225D4D">
      <w:pPr>
        <w:pStyle w:val="avsnitt-undertittel"/>
      </w:pPr>
      <w:r w:rsidRPr="00225D4D">
        <w:t>Vedtak nr. 1227, 20. juni 2025</w:t>
      </w:r>
    </w:p>
    <w:p w14:paraId="1E92C298" w14:textId="77777777" w:rsidR="00D60186" w:rsidRPr="00225D4D" w:rsidRDefault="00D60186" w:rsidP="00225D4D">
      <w:pPr>
        <w:pStyle w:val="blokksit"/>
        <w:rPr>
          <w:rStyle w:val="kursiv"/>
        </w:rPr>
      </w:pPr>
      <w:r w:rsidRPr="00225D4D">
        <w:rPr>
          <w:rStyle w:val="kursiv"/>
        </w:rPr>
        <w:t>«Stortinget ber regjeringen utrede et reduksjonsmål for Norges forbruksbaserte utslipp og komme tilbake til Stortinget på egnet måte i løpet av 2026.»</w:t>
      </w:r>
    </w:p>
    <w:p w14:paraId="7F400254" w14:textId="77777777" w:rsidR="00D60186" w:rsidRPr="00225D4D" w:rsidRDefault="00D60186" w:rsidP="00225D4D">
      <w:r w:rsidRPr="00225D4D">
        <w:t xml:space="preserve">Vedtaket ble gjort ved behandling av Revidert nasjonalbudsjett 2025, jf. </w:t>
      </w:r>
      <w:proofErr w:type="spellStart"/>
      <w:r w:rsidRPr="00225D4D">
        <w:t>Innst</w:t>
      </w:r>
      <w:proofErr w:type="spellEnd"/>
      <w:r w:rsidRPr="00225D4D">
        <w:t>. 540 S (2024–2025). Vedtaket er til behandling i departementet. Den 24. juni 2025 ga Klima- og miljødepartementet i oppdrag til Miljødirektoratet å bistå i utredningen. Utredningen sees i sammenheng med eksisterende arbeid, herunder estimater for forbruksbaserte utslipp publisert av Miljødirektoratet og det bredere arbeidet med sirkulær økonomi.</w:t>
      </w:r>
    </w:p>
    <w:p w14:paraId="55A64ACC" w14:textId="77777777" w:rsidR="00D60186" w:rsidRPr="00225D4D" w:rsidRDefault="00D60186" w:rsidP="00225D4D">
      <w:r w:rsidRPr="00225D4D">
        <w:t>Regjeringen vil komme tilbake til Stortinget på egnet måte.</w:t>
      </w:r>
    </w:p>
    <w:p w14:paraId="67905EBB" w14:textId="77777777" w:rsidR="00D60186" w:rsidRPr="00225D4D" w:rsidRDefault="00D60186" w:rsidP="00225D4D">
      <w:pPr>
        <w:pStyle w:val="avsnitt-tittel"/>
      </w:pPr>
      <w:r w:rsidRPr="00225D4D">
        <w:t>Klagesak forurensningstillatelse – Billerud Viken AS</w:t>
      </w:r>
    </w:p>
    <w:p w14:paraId="288F17FB" w14:textId="77777777" w:rsidR="00D60186" w:rsidRPr="00225D4D" w:rsidRDefault="00D60186" w:rsidP="00225D4D">
      <w:pPr>
        <w:pStyle w:val="avsnitt-undertittel"/>
      </w:pPr>
      <w:r w:rsidRPr="00225D4D">
        <w:t>Vedtak nr. 1235, 20. juni 2025</w:t>
      </w:r>
    </w:p>
    <w:p w14:paraId="1497CF2E" w14:textId="77777777" w:rsidR="00D60186" w:rsidRPr="00225D4D" w:rsidRDefault="00D60186" w:rsidP="00225D4D">
      <w:pPr>
        <w:pStyle w:val="blokksit"/>
        <w:rPr>
          <w:rStyle w:val="kursiv"/>
        </w:rPr>
      </w:pPr>
      <w:r w:rsidRPr="00225D4D">
        <w:rPr>
          <w:rStyle w:val="kursiv"/>
        </w:rPr>
        <w:t>«Stortinget ber regjeringen raskt avgjøre klagen på avslag på utslippstillatelse i forbindelse med Billerud Viken AS sin søknad om tillatelse til oppstart av treforedlingsindustri på Hønefoss»</w:t>
      </w:r>
    </w:p>
    <w:p w14:paraId="1EF3C6C5" w14:textId="77777777" w:rsidR="00D60186" w:rsidRPr="00225D4D" w:rsidRDefault="00D60186" w:rsidP="00225D4D">
      <w:r w:rsidRPr="00225D4D">
        <w:t xml:space="preserve">Vedtaket ble gjort ved behandling av Revidert nasjonalbudsjett 2025, jf. </w:t>
      </w:r>
      <w:proofErr w:type="spellStart"/>
      <w:r w:rsidRPr="00225D4D">
        <w:t>Innst</w:t>
      </w:r>
      <w:proofErr w:type="spellEnd"/>
      <w:r w:rsidRPr="00225D4D">
        <w:t>. 540 S (2024–2025).</w:t>
      </w:r>
    </w:p>
    <w:p w14:paraId="091D29BE" w14:textId="77777777" w:rsidR="00D60186" w:rsidRPr="00225D4D" w:rsidRDefault="00D60186" w:rsidP="00225D4D">
      <w:r w:rsidRPr="00225D4D">
        <w:t>Billerud Viken AS mottok avslag fra Miljødirektoratet på søknad om tillatelse til ny treforedlingsvirksomhet etter forurensningsloven § 11. Departementet fikk oversendt klagen fra Miljødirektoratet 13. juni. Regjeringen prioriterer klagesaken, og vil raskt avgjøre klagen på utslippstillatelse i forbindelse med Billerud Viden AS sin søknad om tillatelse til oppstart av treforedlingsindustri på Hønefoss.</w:t>
      </w:r>
    </w:p>
    <w:p w14:paraId="3ED71E03" w14:textId="77777777" w:rsidR="00D60186" w:rsidRPr="00225D4D" w:rsidRDefault="00D60186" w:rsidP="00225D4D">
      <w:r w:rsidRPr="00225D4D">
        <w:t>Departementet anser med dette vedtaket som fulgt opp.</w:t>
      </w:r>
    </w:p>
    <w:p w14:paraId="5DA73793" w14:textId="77777777" w:rsidR="00D60186" w:rsidRPr="00225D4D" w:rsidRDefault="00D60186" w:rsidP="00225D4D">
      <w:pPr>
        <w:pStyle w:val="avsnitt-tittel"/>
      </w:pPr>
      <w:r w:rsidRPr="00225D4D">
        <w:t>Redusere klima- og miljøpåvirkningen fra tekstiler</w:t>
      </w:r>
    </w:p>
    <w:p w14:paraId="730BDE1D" w14:textId="77777777" w:rsidR="00D60186" w:rsidRPr="00225D4D" w:rsidRDefault="00D60186" w:rsidP="00225D4D">
      <w:pPr>
        <w:pStyle w:val="avsnitt-undertittel"/>
      </w:pPr>
      <w:r w:rsidRPr="00225D4D">
        <w:t>Vedtak nr. 1237, 20. juni 2025</w:t>
      </w:r>
    </w:p>
    <w:p w14:paraId="2954E4F7" w14:textId="77777777" w:rsidR="00D60186" w:rsidRPr="00225D4D" w:rsidRDefault="00D60186" w:rsidP="00225D4D">
      <w:pPr>
        <w:pStyle w:val="blokksit"/>
        <w:rPr>
          <w:rStyle w:val="kursiv"/>
        </w:rPr>
      </w:pPr>
      <w:r w:rsidRPr="00225D4D">
        <w:rPr>
          <w:rStyle w:val="kursiv"/>
        </w:rPr>
        <w:t>«Stortinget ber regjeringen komme tilbake med forslag til en kombinasjon av virkemidler som kan redusere klima- og miljøpåvirkningen fra tekstiler, herunder vurdere tydeligere merking av plast i klær.»</w:t>
      </w:r>
    </w:p>
    <w:p w14:paraId="38E096E5" w14:textId="77777777" w:rsidR="00D60186" w:rsidRPr="00225D4D" w:rsidRDefault="00D60186" w:rsidP="00225D4D">
      <w:r w:rsidRPr="00225D4D">
        <w:t xml:space="preserve">Vedtaket ble gjort ved behandling av Revidert nasjonalbudsjett 2025, jf. </w:t>
      </w:r>
      <w:proofErr w:type="spellStart"/>
      <w:r w:rsidRPr="00225D4D">
        <w:t>Innst</w:t>
      </w:r>
      <w:proofErr w:type="spellEnd"/>
      <w:r w:rsidRPr="00225D4D">
        <w:t>. 540 S (2024–2025).</w:t>
      </w:r>
    </w:p>
    <w:p w14:paraId="1B09ADC1" w14:textId="77777777" w:rsidR="00D60186" w:rsidRPr="00225D4D" w:rsidRDefault="00D60186" w:rsidP="00225D4D">
      <w:r w:rsidRPr="00225D4D">
        <w:t>Det pågår et bredt arbeid på tekstilområdet. Blant annet utvikles det flere regelverk som skal bidra til å gjøre verdikjeden for tekstiler mer bærekraftig. Våre forpliktelser etter EØS-avtalen og WTO-regelverket gjør det vanskelig for Norge å innføre krav til merking av produkter alene. Det pågår for tiden et arbeid i EU for å gjøre tekstilmerkingen mer tydelig for forbrukere. Ekspertgruppen som har vurdert sirkulære virkemidler leverte sin rapport 26. mai 2025. Rapporten inkluderer en utredning av en tekstilavgift og en rekke anbefalinger på tekstilområdet. Regjeringen vil med bakgrunn i ekspertgruppens anbefalinger vurdere oppfølging av Stortingets vedtak.</w:t>
      </w:r>
    </w:p>
    <w:p w14:paraId="5D5B816E" w14:textId="77777777" w:rsidR="00D60186" w:rsidRPr="00225D4D" w:rsidRDefault="00D60186" w:rsidP="00225D4D">
      <w:r w:rsidRPr="00225D4D">
        <w:t>Regjeringen vil komme tilbake til Stortinget på egnet måte.</w:t>
      </w:r>
    </w:p>
    <w:p w14:paraId="1A813B45" w14:textId="77777777" w:rsidR="00D60186" w:rsidRPr="00225D4D" w:rsidRDefault="00D60186" w:rsidP="00225D4D">
      <w:pPr>
        <w:pStyle w:val="avsnitt-tittel"/>
      </w:pPr>
      <w:r w:rsidRPr="00225D4D">
        <w:t xml:space="preserve">Nytt salgsmål </w:t>
      </w:r>
      <w:proofErr w:type="spellStart"/>
      <w:r w:rsidRPr="00225D4D">
        <w:t>elvarebiler</w:t>
      </w:r>
      <w:proofErr w:type="spellEnd"/>
      <w:r w:rsidRPr="00225D4D">
        <w:t>.</w:t>
      </w:r>
    </w:p>
    <w:p w14:paraId="6ACB8587" w14:textId="77777777" w:rsidR="00D60186" w:rsidRPr="00225D4D" w:rsidRDefault="00D60186" w:rsidP="00225D4D">
      <w:pPr>
        <w:pStyle w:val="avsnitt-undertittel"/>
      </w:pPr>
      <w:r w:rsidRPr="00225D4D">
        <w:t>Vedtak nr. 1238, 20. juni 2025</w:t>
      </w:r>
    </w:p>
    <w:p w14:paraId="1CCE867A" w14:textId="77777777" w:rsidR="00D60186" w:rsidRPr="00225D4D" w:rsidRDefault="00D60186" w:rsidP="00225D4D">
      <w:pPr>
        <w:pStyle w:val="blokksit"/>
        <w:rPr>
          <w:rStyle w:val="kursiv"/>
        </w:rPr>
      </w:pPr>
      <w:r w:rsidRPr="00225D4D">
        <w:rPr>
          <w:rStyle w:val="kursiv"/>
        </w:rPr>
        <w:t>«Stortinget ber regjeringen i statsbudsjettet for 2026 sette et nytt mål for når alle nye varebiler skal være nullutslipp. Målet skal innebære en styrking av dagens ambisjonsnivå.»</w:t>
      </w:r>
    </w:p>
    <w:p w14:paraId="3A09C8AB" w14:textId="77777777" w:rsidR="00D60186" w:rsidRPr="00225D4D" w:rsidRDefault="00D60186" w:rsidP="00225D4D">
      <w:r w:rsidRPr="00225D4D">
        <w:t xml:space="preserve">Vedtaket ble gjort ved behandling av Revidert nasjonalbudsjett 2025, jf. </w:t>
      </w:r>
      <w:proofErr w:type="spellStart"/>
      <w:r w:rsidRPr="00225D4D">
        <w:t>Innst</w:t>
      </w:r>
      <w:proofErr w:type="spellEnd"/>
      <w:r w:rsidRPr="00225D4D">
        <w:t>. 540 S (2024–2025).</w:t>
      </w:r>
    </w:p>
    <w:p w14:paraId="24641380" w14:textId="77777777" w:rsidR="00D60186" w:rsidRPr="00225D4D" w:rsidRDefault="00D60186" w:rsidP="00225D4D">
      <w:r w:rsidRPr="00225D4D">
        <w:t>Regjeringen har satt et nytt salgsmål for varebiler, som er «alle nye varebiler skal være nullutslipp i 2029». Det nye målet er omtalt i Regjeringens klimastatus og -plan for 2026.</w:t>
      </w:r>
    </w:p>
    <w:p w14:paraId="2E4CE500" w14:textId="77777777" w:rsidR="00D60186" w:rsidRPr="00225D4D" w:rsidRDefault="00D60186" w:rsidP="00225D4D">
      <w:r w:rsidRPr="00225D4D">
        <w:t>Departementet anser med dette vedtaket som fulgt opp.</w:t>
      </w:r>
    </w:p>
    <w:p w14:paraId="56FA0020" w14:textId="77777777" w:rsidR="00D60186" w:rsidRPr="00225D4D" w:rsidRDefault="00D60186" w:rsidP="00225D4D">
      <w:pPr>
        <w:pStyle w:val="Overskrift2"/>
      </w:pPr>
      <w:r w:rsidRPr="00225D4D">
        <w:t>Stortingssesjon 2023–2024</w:t>
      </w:r>
    </w:p>
    <w:p w14:paraId="4FE39E45" w14:textId="77777777" w:rsidR="00D60186" w:rsidRPr="00225D4D" w:rsidRDefault="00D60186" w:rsidP="00225D4D">
      <w:pPr>
        <w:pStyle w:val="avsnitt-tittel"/>
      </w:pPr>
      <w:r w:rsidRPr="00225D4D">
        <w:t>Forurensningsfri fotballglede</w:t>
      </w:r>
    </w:p>
    <w:p w14:paraId="6A3BA451" w14:textId="77777777" w:rsidR="00D60186" w:rsidRPr="00225D4D" w:rsidRDefault="00D60186" w:rsidP="00225D4D">
      <w:pPr>
        <w:pStyle w:val="avsnitt-undertittel"/>
      </w:pPr>
      <w:r w:rsidRPr="00225D4D">
        <w:t>Vedtak nr. 40, 21. november 2023</w:t>
      </w:r>
    </w:p>
    <w:p w14:paraId="0D1B9CCF" w14:textId="77777777" w:rsidR="00D60186" w:rsidRPr="00225D4D" w:rsidRDefault="00D60186" w:rsidP="00225D4D">
      <w:pPr>
        <w:pStyle w:val="blokksit"/>
        <w:rPr>
          <w:rStyle w:val="kursiv"/>
        </w:rPr>
      </w:pPr>
      <w:r w:rsidRPr="00225D4D">
        <w:rPr>
          <w:rStyle w:val="kursiv"/>
        </w:rPr>
        <w:t>«Stortinget ber regjeringen legge frem en handlingsplan for omstilling fra bruk av gummigranulat i Norge, som sikrer vår oppnåelse av det vedtatte omsetningsforbudet mot gummigranulat fra REACH-forordningen i EU fra oktober 2031.»</w:t>
      </w:r>
    </w:p>
    <w:p w14:paraId="775B5B75" w14:textId="77777777" w:rsidR="00D60186" w:rsidRPr="00225D4D" w:rsidRDefault="00D60186" w:rsidP="00225D4D">
      <w:r w:rsidRPr="00225D4D">
        <w:t xml:space="preserve">Vedtaket ble gjort ved behandlingen av representantforslag fra stortingsrepresentantene Lan Marie Nguyen Berg og Une </w:t>
      </w:r>
      <w:proofErr w:type="spellStart"/>
      <w:r w:rsidRPr="00225D4D">
        <w:t>Bastholm</w:t>
      </w:r>
      <w:proofErr w:type="spellEnd"/>
      <w:r w:rsidRPr="00225D4D">
        <w:t xml:space="preserve"> om forurensningsfri fotballglede, jf. </w:t>
      </w:r>
      <w:proofErr w:type="spellStart"/>
      <w:r w:rsidRPr="00225D4D">
        <w:t>Dok</w:t>
      </w:r>
      <w:proofErr w:type="spellEnd"/>
      <w:r w:rsidRPr="00225D4D">
        <w:t xml:space="preserve">. 8:265 S (2022–2023) og </w:t>
      </w:r>
      <w:proofErr w:type="spellStart"/>
      <w:r w:rsidRPr="00225D4D">
        <w:t>Innst</w:t>
      </w:r>
      <w:proofErr w:type="spellEnd"/>
      <w:r w:rsidRPr="00225D4D">
        <w:t>. 44 S (2023–2024).</w:t>
      </w:r>
    </w:p>
    <w:p w14:paraId="06D0826E" w14:textId="77777777" w:rsidR="00D60186" w:rsidRPr="00225D4D" w:rsidRDefault="00D60186" w:rsidP="00225D4D">
      <w:r w:rsidRPr="00225D4D">
        <w:t>I 2025 er tilskuddssatsene til idrettsanlegg økt. Tilskudd til ulike tiltak på kunstgressbaner og fotballhaller for å møte det kommende omsetningsforbudet av plastholdig fyll til kunstgressbaner er økt med om lag 100 millioner kroner. Regjeringen har lagt frem en handlingsplan for omstilling fra bruk av gummigranulat i Norge.</w:t>
      </w:r>
    </w:p>
    <w:p w14:paraId="0828713C" w14:textId="77777777" w:rsidR="00D60186" w:rsidRPr="00225D4D" w:rsidRDefault="00D60186" w:rsidP="00225D4D">
      <w:r w:rsidRPr="00225D4D">
        <w:t>Departementet anser med dette vedtaket som fulgt opp.</w:t>
      </w:r>
    </w:p>
    <w:p w14:paraId="128CB1EA" w14:textId="77777777" w:rsidR="00D60186" w:rsidRPr="00225D4D" w:rsidRDefault="00D60186" w:rsidP="00225D4D">
      <w:pPr>
        <w:pStyle w:val="avsnitt-tittel"/>
      </w:pPr>
      <w:r w:rsidRPr="00225D4D">
        <w:t>Fensfeltet og naturvennlig, sirkulær gruvedrift</w:t>
      </w:r>
    </w:p>
    <w:p w14:paraId="3A920A71" w14:textId="77777777" w:rsidR="00D60186" w:rsidRPr="00225D4D" w:rsidRDefault="00D60186" w:rsidP="00225D4D">
      <w:pPr>
        <w:pStyle w:val="avsnitt-undertittel"/>
      </w:pPr>
      <w:r w:rsidRPr="00225D4D">
        <w:t>Vedtak nr. 57, 30. november 2023</w:t>
      </w:r>
    </w:p>
    <w:p w14:paraId="0FA75FE1" w14:textId="77777777" w:rsidR="00D60186" w:rsidRPr="00225D4D" w:rsidRDefault="00D60186" w:rsidP="00225D4D">
      <w:pPr>
        <w:pStyle w:val="blokksit"/>
        <w:rPr>
          <w:rStyle w:val="kursiv"/>
        </w:rPr>
      </w:pPr>
      <w:r w:rsidRPr="00225D4D">
        <w:rPr>
          <w:rStyle w:val="kursiv"/>
        </w:rPr>
        <w:t>«Stortinget ber regjeringen legge fram en plan for økt gjenbruk og gjenvinning av kritiske mineraler, herunder sjeldne jordartsmetaller, og komme tilbake til Stortinget på egnet måte.»</w:t>
      </w:r>
    </w:p>
    <w:p w14:paraId="2315F183" w14:textId="77777777" w:rsidR="00D60186" w:rsidRPr="00225D4D" w:rsidRDefault="00D60186" w:rsidP="00225D4D">
      <w:r w:rsidRPr="00225D4D">
        <w:t xml:space="preserve">Vedtaket ble gjort ved behandlingen av representantforslag fra stortingsrepresentantene Lan Marie Nguyen Berg, Rasmus Hansson og Une </w:t>
      </w:r>
      <w:proofErr w:type="spellStart"/>
      <w:r w:rsidRPr="00225D4D">
        <w:t>Bastholm</w:t>
      </w:r>
      <w:proofErr w:type="spellEnd"/>
      <w:r w:rsidRPr="00225D4D">
        <w:t xml:space="preserve"> om Fensfeltet og naturvennlig, sirkulær gruvedrift jf. </w:t>
      </w:r>
      <w:proofErr w:type="spellStart"/>
      <w:r w:rsidRPr="00225D4D">
        <w:t>Dok</w:t>
      </w:r>
      <w:proofErr w:type="spellEnd"/>
      <w:r w:rsidRPr="00225D4D">
        <w:t xml:space="preserve"> 8:236 S (2022–2023) og </w:t>
      </w:r>
      <w:proofErr w:type="spellStart"/>
      <w:r w:rsidRPr="00225D4D">
        <w:t>Innst</w:t>
      </w:r>
      <w:proofErr w:type="spellEnd"/>
      <w:r w:rsidRPr="00225D4D">
        <w:t>. 74 S (2023–2024). Den 8. mai 2024 ga Klima- og miljødepartementet i oppdrag til Miljødirektoratet å utarbeide et forslag til en helhetlig plan for økt ombruk og materialgjenvinning av kritiske råmaterialer, herunder sjeldne jordardsmetaller.</w:t>
      </w:r>
    </w:p>
    <w:p w14:paraId="1BDEFFF7" w14:textId="77777777" w:rsidR="00D60186" w:rsidRPr="00225D4D" w:rsidRDefault="00D60186" w:rsidP="00225D4D">
      <w:r w:rsidRPr="00225D4D">
        <w:t>Regjeringen kommer tilbake til Stortinget på egnet måte.</w:t>
      </w:r>
    </w:p>
    <w:p w14:paraId="550E643F" w14:textId="77777777" w:rsidR="00D60186" w:rsidRPr="00225D4D" w:rsidRDefault="00D60186" w:rsidP="00225D4D">
      <w:pPr>
        <w:pStyle w:val="avsnitt-tittel"/>
      </w:pPr>
      <w:r w:rsidRPr="00225D4D">
        <w:t>Klimamål i tildelingsbrev</w:t>
      </w:r>
    </w:p>
    <w:p w14:paraId="2428A399" w14:textId="77777777" w:rsidR="00D60186" w:rsidRPr="00225D4D" w:rsidRDefault="00D60186" w:rsidP="00225D4D">
      <w:pPr>
        <w:pStyle w:val="avsnitt-undertittel"/>
      </w:pPr>
      <w:r w:rsidRPr="00225D4D">
        <w:t>Vedtak nr. 75, 4. desember 2023</w:t>
      </w:r>
    </w:p>
    <w:p w14:paraId="4618EED6" w14:textId="77777777" w:rsidR="00D60186" w:rsidRPr="00225D4D" w:rsidRDefault="00D60186" w:rsidP="00225D4D">
      <w:pPr>
        <w:pStyle w:val="blokksit"/>
        <w:rPr>
          <w:rStyle w:val="kursiv"/>
        </w:rPr>
      </w:pPr>
      <w:r w:rsidRPr="00225D4D">
        <w:rPr>
          <w:rStyle w:val="kursiv"/>
        </w:rPr>
        <w:t>«Stortinget ber regjeringen fra og med januar 2024 i årlige tildelingsbrev til samferdselsetatene og -selskapene, de regionale helseforetakene, Sykehusbygg, Forsvarsbygg og Statsbygg, pålegge etatene å utarbeide klimamål og å rapportere på dette.»</w:t>
      </w:r>
    </w:p>
    <w:p w14:paraId="458F61CE" w14:textId="77777777" w:rsidR="00D60186" w:rsidRPr="00225D4D" w:rsidRDefault="00D60186" w:rsidP="00225D4D">
      <w:r w:rsidRPr="00225D4D">
        <w:t xml:space="preserve">Vedtaket ble gjort ved behandlingen av innstilling fra finanskomiteen om nasjonalbudsjettet for 2024 og forslaget til statsbudsjett for 2024, jf. </w:t>
      </w:r>
      <w:proofErr w:type="spellStart"/>
      <w:r w:rsidRPr="00225D4D">
        <w:t>Innst</w:t>
      </w:r>
      <w:proofErr w:type="spellEnd"/>
      <w:r w:rsidRPr="00225D4D">
        <w:t>. 2 S (2023–2024).</w:t>
      </w:r>
    </w:p>
    <w:p w14:paraId="28A8026A" w14:textId="77777777" w:rsidR="00D60186" w:rsidRPr="00225D4D" w:rsidRDefault="00D60186" w:rsidP="00225D4D">
      <w:r w:rsidRPr="00225D4D">
        <w:t xml:space="preserve">Regjeringen styrket forventningene på klima og miljø til selskapene med statlig eierskap i Meld. St. 6 (2022–2023) </w:t>
      </w:r>
      <w:r w:rsidRPr="00225D4D">
        <w:rPr>
          <w:rStyle w:val="kursiv"/>
        </w:rPr>
        <w:t xml:space="preserve">Et grønnere og mer aktivt eierskap. </w:t>
      </w:r>
      <w:r w:rsidRPr="00225D4D">
        <w:t xml:space="preserve">Staten forventer blant annet at selskapene setter mål og iverksetter tiltak for reduksjon i klimagassutslipp på kort og lang sikt i tråd med Parisavtalens mål. </w:t>
      </w:r>
      <w:proofErr w:type="spellStart"/>
      <w:r w:rsidRPr="00225D4D">
        <w:t>Ihht</w:t>
      </w:r>
      <w:proofErr w:type="spellEnd"/>
      <w:r w:rsidRPr="00225D4D">
        <w:t>. rolledelingen mellom eier og styret/ledelse i selskapslovgivningen hører forvaltningen av selskapet, herunder oppfølging av statens forventninger, til styret.</w:t>
      </w:r>
    </w:p>
    <w:p w14:paraId="50716989" w14:textId="77777777" w:rsidR="00D60186" w:rsidRPr="00225D4D" w:rsidRDefault="00D60186" w:rsidP="00225D4D">
      <w:r w:rsidRPr="00225D4D">
        <w:t xml:space="preserve">For 2024 og 2025 har regjeringen også gitt en fellesføring til underliggende virksomheter om systematisk og helhetlig arbeid for å redusere klimagassutslipp. I Meld. St. 25 (2024–2025) </w:t>
      </w:r>
      <w:r w:rsidRPr="00225D4D">
        <w:rPr>
          <w:rStyle w:val="kursiv"/>
        </w:rPr>
        <w:t xml:space="preserve">Klimameldingen 2035 – på vei mot lavutslippssamfunnet </w:t>
      </w:r>
      <w:r w:rsidRPr="00225D4D">
        <w:t>skriver regjeringen at den vil evaluere fellesføringen om systematisk og helhetlig arbeid for å redusere klimagassutslipp, naturfotavtrykk og energibruk. På bakgrunn av denne evalueringen vil regjeringen vurdere om det er hensiktsmessig å innføre målrettede krav/retningslinjer for drift og anskaffelser i alle statlige virksomheter.</w:t>
      </w:r>
    </w:p>
    <w:p w14:paraId="29EA7C1F" w14:textId="77777777" w:rsidR="00D60186" w:rsidRPr="00225D4D" w:rsidRDefault="00D60186" w:rsidP="00225D4D">
      <w:r w:rsidRPr="00225D4D">
        <w:t>Departementet anser med dette vedtaket som fulgt opp.</w:t>
      </w:r>
    </w:p>
    <w:p w14:paraId="23A87274" w14:textId="77777777" w:rsidR="00D60186" w:rsidRPr="00225D4D" w:rsidRDefault="00D60186" w:rsidP="00225D4D">
      <w:pPr>
        <w:pStyle w:val="avsnitt-tittel"/>
      </w:pPr>
      <w:r w:rsidRPr="00225D4D">
        <w:t>Utrede forbud mot fossil gass til oppvarming</w:t>
      </w:r>
    </w:p>
    <w:p w14:paraId="103B80AB" w14:textId="77777777" w:rsidR="00D60186" w:rsidRPr="00225D4D" w:rsidRDefault="00D60186" w:rsidP="00225D4D">
      <w:pPr>
        <w:pStyle w:val="avsnitt-undertittel"/>
      </w:pPr>
      <w:r w:rsidRPr="00225D4D">
        <w:t>Vedtak nr. 406, 20. desember 2023</w:t>
      </w:r>
    </w:p>
    <w:p w14:paraId="55C3E042" w14:textId="77777777" w:rsidR="00D60186" w:rsidRPr="00225D4D" w:rsidRDefault="00D60186" w:rsidP="00225D4D">
      <w:pPr>
        <w:pStyle w:val="blokksit"/>
        <w:rPr>
          <w:rStyle w:val="kursiv"/>
        </w:rPr>
      </w:pPr>
      <w:r w:rsidRPr="00225D4D">
        <w:rPr>
          <w:rStyle w:val="kursiv"/>
        </w:rPr>
        <w:t>«Stortinget ber regjeringen utrede å utvide dagens forbud mot bruk av mineralolje til permanent oppvarming til å inkludere fossil gass med sikte på innføring fra 2028. Konsekvensene for sikkerhet, beredskap og sjølforsyning skal særskilt vektlegges i konsekvensutredningen av endringen.»</w:t>
      </w:r>
    </w:p>
    <w:p w14:paraId="567F3066" w14:textId="77777777" w:rsidR="00D60186" w:rsidRPr="00225D4D" w:rsidRDefault="00D60186" w:rsidP="00225D4D">
      <w:r w:rsidRPr="00225D4D">
        <w:t xml:space="preserve">Vedtaket ble gjort i forbindelse med behandling av energi- og miljøkomiteens innstilling om bevilgninger på statsbudsjettet for 2024, kapitler under Olje- og energidepartementet, Nærings- og fiskeridepartementet og Klima- og miljødepartementet, jf. </w:t>
      </w:r>
      <w:proofErr w:type="spellStart"/>
      <w:r w:rsidRPr="00225D4D">
        <w:t>Innst</w:t>
      </w:r>
      <w:proofErr w:type="spellEnd"/>
      <w:r w:rsidRPr="00225D4D">
        <w:t>. 9 S (2023–2024). Miljødirektoratet leverte 21. mars 2025 en utredning av et forbud mot bruk av fossil gass til permanent oppvarming av bygninger.</w:t>
      </w:r>
    </w:p>
    <w:p w14:paraId="68708C86" w14:textId="77777777" w:rsidR="00D60186" w:rsidRPr="00225D4D" w:rsidRDefault="00D60186" w:rsidP="00225D4D">
      <w:r w:rsidRPr="00225D4D">
        <w:t>Departementet anser med dette vedtaket som fulgt opp.</w:t>
      </w:r>
    </w:p>
    <w:p w14:paraId="40CBD7DB" w14:textId="77777777" w:rsidR="00D60186" w:rsidRPr="00225D4D" w:rsidRDefault="00D60186" w:rsidP="00225D4D">
      <w:pPr>
        <w:pStyle w:val="avsnitt-tittel"/>
      </w:pPr>
      <w:r w:rsidRPr="00225D4D">
        <w:t>Styrket fagkompetanse innen klimatilpasning for kommunesektoren – Vurdere opprettelse av kompetanseprogram</w:t>
      </w:r>
    </w:p>
    <w:p w14:paraId="6724CAF7" w14:textId="77777777" w:rsidR="00D60186" w:rsidRPr="00225D4D" w:rsidRDefault="00D60186" w:rsidP="00225D4D">
      <w:pPr>
        <w:pStyle w:val="avsnitt-undertittel"/>
      </w:pPr>
      <w:r w:rsidRPr="00225D4D">
        <w:t>Vedtak nr. 458, 16. januar 2024</w:t>
      </w:r>
    </w:p>
    <w:p w14:paraId="098B60D7" w14:textId="77777777" w:rsidR="00D60186" w:rsidRPr="00225D4D" w:rsidRDefault="00D60186" w:rsidP="00225D4D">
      <w:pPr>
        <w:pStyle w:val="blokksit"/>
        <w:rPr>
          <w:rStyle w:val="kursiv"/>
        </w:rPr>
      </w:pPr>
      <w:r w:rsidRPr="00225D4D">
        <w:rPr>
          <w:rStyle w:val="kursiv"/>
        </w:rPr>
        <w:t>«Stortinget ber regjeringen, i samarbeid med KS og relevante utdanningsinstitusjoner, vurdere opprettelsen av kortere modulbaserte kompetanseprogram for kommunesektoren for å styrke fagkompetanse innen klimatilpasning.»</w:t>
      </w:r>
    </w:p>
    <w:p w14:paraId="430EDC4A" w14:textId="77777777" w:rsidR="00D60186" w:rsidRPr="00225D4D" w:rsidRDefault="00D60186" w:rsidP="00225D4D">
      <w:r w:rsidRPr="00225D4D">
        <w:t xml:space="preserve">Vedtaket ble gjort i forbindelse med behandling av Meld. St. 26 (2022–2023) </w:t>
      </w:r>
      <w:r w:rsidRPr="00225D4D">
        <w:rPr>
          <w:rStyle w:val="kursiv"/>
        </w:rPr>
        <w:t xml:space="preserve">Klima i endring – sammen for et </w:t>
      </w:r>
      <w:proofErr w:type="gramStart"/>
      <w:r w:rsidRPr="00225D4D">
        <w:rPr>
          <w:rStyle w:val="kursiv"/>
        </w:rPr>
        <w:t>klimarobust</w:t>
      </w:r>
      <w:proofErr w:type="gramEnd"/>
      <w:r w:rsidRPr="00225D4D">
        <w:rPr>
          <w:rStyle w:val="kursiv"/>
        </w:rPr>
        <w:t xml:space="preserve"> samfunn</w:t>
      </w:r>
      <w:r w:rsidRPr="00225D4D">
        <w:t xml:space="preserve">, jf. </w:t>
      </w:r>
      <w:proofErr w:type="spellStart"/>
      <w:r w:rsidRPr="00225D4D">
        <w:t>Innst</w:t>
      </w:r>
      <w:proofErr w:type="spellEnd"/>
      <w:r w:rsidRPr="00225D4D">
        <w:t>. 161 S (2023–2024).</w:t>
      </w:r>
    </w:p>
    <w:p w14:paraId="2C25E7F6" w14:textId="77777777" w:rsidR="00D60186" w:rsidRPr="00225D4D" w:rsidRDefault="00D60186" w:rsidP="00225D4D">
      <w:r w:rsidRPr="00225D4D">
        <w:t>Vedtaket følges opp i sammenheng med vedtak nr. 459. Klima- og miljødepartementet har gitt Miljødirektoratet i oppdrag å innhente, sammenstille og vurdere erfaringer fra eksisterende klimatilpasningsnettverk. Evalueringen skal inneholde en vurdering av hvordan nettverk kan bidra til å styrke de ansattes fagkompetanse.</w:t>
      </w:r>
    </w:p>
    <w:p w14:paraId="4540A37B" w14:textId="77777777" w:rsidR="00D60186" w:rsidRPr="00225D4D" w:rsidRDefault="00D60186" w:rsidP="00225D4D">
      <w:r w:rsidRPr="00225D4D">
        <w:t>Regjeringen vil komme tilbake til Stortinget på egnet måte.</w:t>
      </w:r>
    </w:p>
    <w:p w14:paraId="5BCC7ABA" w14:textId="77777777" w:rsidR="00D60186" w:rsidRPr="00225D4D" w:rsidRDefault="00D60186" w:rsidP="00225D4D">
      <w:pPr>
        <w:pStyle w:val="avsnitt-tittel"/>
      </w:pPr>
      <w:r w:rsidRPr="00225D4D">
        <w:t>Regionale klimatilpasningsnettverk – Vurdere å utvide ordningen til alle fylker</w:t>
      </w:r>
    </w:p>
    <w:p w14:paraId="4E8D11A1" w14:textId="77777777" w:rsidR="00D60186" w:rsidRPr="00225D4D" w:rsidRDefault="00D60186" w:rsidP="00225D4D">
      <w:pPr>
        <w:pStyle w:val="avsnitt-undertittel"/>
      </w:pPr>
      <w:r w:rsidRPr="00225D4D">
        <w:t>Vedtak nr. 459, 16. januar 2024</w:t>
      </w:r>
    </w:p>
    <w:p w14:paraId="14EA2216" w14:textId="77777777" w:rsidR="00D60186" w:rsidRPr="00225D4D" w:rsidRDefault="00D60186" w:rsidP="00225D4D">
      <w:pPr>
        <w:pStyle w:val="blokksit"/>
        <w:rPr>
          <w:rStyle w:val="kursiv"/>
        </w:rPr>
      </w:pPr>
      <w:r w:rsidRPr="00225D4D">
        <w:rPr>
          <w:rStyle w:val="kursiv"/>
        </w:rPr>
        <w:t>«Stortinget ber regjeringen høste erfaringer fra pilotprosjekt med opprettelse og drift av regionale klimatilpasningsnettverk, og vurdere å utvide ordningen til alle fylker.»</w:t>
      </w:r>
    </w:p>
    <w:p w14:paraId="752A5C3D" w14:textId="77777777" w:rsidR="00D60186" w:rsidRPr="00225D4D" w:rsidRDefault="00D60186" w:rsidP="00225D4D">
      <w:r w:rsidRPr="00225D4D">
        <w:t xml:space="preserve">Vedtaket ble gjort i forbindelse med behandling av Meld. St. 26 (2022–2023) </w:t>
      </w:r>
      <w:r w:rsidRPr="00225D4D">
        <w:rPr>
          <w:rStyle w:val="kursiv"/>
        </w:rPr>
        <w:t xml:space="preserve">Klima i endring – sammen for et </w:t>
      </w:r>
      <w:proofErr w:type="gramStart"/>
      <w:r w:rsidRPr="00225D4D">
        <w:rPr>
          <w:rStyle w:val="kursiv"/>
        </w:rPr>
        <w:t>klimarobust</w:t>
      </w:r>
      <w:proofErr w:type="gramEnd"/>
      <w:r w:rsidRPr="00225D4D">
        <w:rPr>
          <w:rStyle w:val="kursiv"/>
        </w:rPr>
        <w:t xml:space="preserve"> samfunn</w:t>
      </w:r>
      <w:r w:rsidRPr="00225D4D">
        <w:t xml:space="preserve">, jf. </w:t>
      </w:r>
      <w:proofErr w:type="spellStart"/>
      <w:r w:rsidRPr="00225D4D">
        <w:t>Innst</w:t>
      </w:r>
      <w:proofErr w:type="spellEnd"/>
      <w:r w:rsidRPr="00225D4D">
        <w:t>. 161 S (2023–2024).</w:t>
      </w:r>
    </w:p>
    <w:p w14:paraId="75217D7A" w14:textId="77777777" w:rsidR="00D60186" w:rsidRPr="00225D4D" w:rsidRDefault="00D60186" w:rsidP="00225D4D">
      <w:r w:rsidRPr="00225D4D">
        <w:t>Klima- og miljødepartementet har gitt Miljødirektoratet i oppdrag å innhente, sammenstille og vurdere erfaringer fra eksisterende klimatilpasningsnettverk, og anbefale om, og eventuelt hvordan, slike nettverk kan etableres i hele landet.</w:t>
      </w:r>
    </w:p>
    <w:p w14:paraId="20D7B220" w14:textId="77777777" w:rsidR="00D60186" w:rsidRPr="00225D4D" w:rsidRDefault="00D60186" w:rsidP="00225D4D">
      <w:r w:rsidRPr="00225D4D">
        <w:t>Regjeringen vil komme tilbake til Stortinget på egnet måte.</w:t>
      </w:r>
    </w:p>
    <w:p w14:paraId="0DD93265" w14:textId="77777777" w:rsidR="00D60186" w:rsidRPr="00225D4D" w:rsidRDefault="00D60186" w:rsidP="00225D4D">
      <w:pPr>
        <w:pStyle w:val="avsnitt-tittel"/>
      </w:pPr>
      <w:r w:rsidRPr="00225D4D">
        <w:t>Sikre følgeforskning for best mulig kunnskapsgrunnlag om tiltak for Oslofjorden</w:t>
      </w:r>
    </w:p>
    <w:p w14:paraId="606F0C14" w14:textId="77777777" w:rsidR="00D60186" w:rsidRPr="00225D4D" w:rsidRDefault="00D60186" w:rsidP="00225D4D">
      <w:pPr>
        <w:pStyle w:val="avsnitt-undertittel"/>
      </w:pPr>
      <w:r w:rsidRPr="00225D4D">
        <w:t>Vedtak nr. 793, 14. juni 2024</w:t>
      </w:r>
    </w:p>
    <w:p w14:paraId="1F2F4EBC" w14:textId="77777777" w:rsidR="00D60186" w:rsidRPr="00225D4D" w:rsidRDefault="00D60186" w:rsidP="00225D4D">
      <w:pPr>
        <w:pStyle w:val="blokksit"/>
        <w:rPr>
          <w:rStyle w:val="kursiv"/>
        </w:rPr>
      </w:pPr>
      <w:r w:rsidRPr="00225D4D">
        <w:rPr>
          <w:rStyle w:val="kursiv"/>
        </w:rPr>
        <w:t>«Stortinget ber regjeringen sørge for at arbeidet med å ta vare på Oslofjorden ledsages av følgeforskning som gir best mulig kunnskapsgrunnlag for vellykket oppbygging av økosystemene over tid.»</w:t>
      </w:r>
    </w:p>
    <w:p w14:paraId="74EC3240" w14:textId="77777777" w:rsidR="00D60186" w:rsidRPr="00225D4D" w:rsidRDefault="00D60186" w:rsidP="00225D4D">
      <w:r w:rsidRPr="00225D4D">
        <w:t xml:space="preserve">Vedtaket ble gjort i forbindelse med </w:t>
      </w:r>
      <w:proofErr w:type="spellStart"/>
      <w:r w:rsidRPr="00225D4D">
        <w:t>Dok</w:t>
      </w:r>
      <w:proofErr w:type="spellEnd"/>
      <w:r w:rsidRPr="00225D4D">
        <w:t xml:space="preserve">. 8:146 S (2023–2024) </w:t>
      </w:r>
      <w:r w:rsidRPr="00225D4D">
        <w:rPr>
          <w:rStyle w:val="kursiv"/>
        </w:rPr>
        <w:t>Representantforslag om å bevare og restaurerer økosystemet i Oslofjorden</w:t>
      </w:r>
      <w:r w:rsidRPr="00225D4D">
        <w:t xml:space="preserve">, jf. </w:t>
      </w:r>
      <w:proofErr w:type="spellStart"/>
      <w:r w:rsidRPr="00225D4D">
        <w:t>Innst</w:t>
      </w:r>
      <w:proofErr w:type="spellEnd"/>
      <w:r w:rsidRPr="00225D4D">
        <w:t>. 402 S (2023–2024). Klima- og miljødepartementet har gitt Miljødirektoratet i oppgave å vurdere behovet for følgeforskning for å sikre best mulig kunnskapsgrunnlag om tiltak for Oslofjorden og anbefale mulig innretning på dette.</w:t>
      </w:r>
    </w:p>
    <w:p w14:paraId="2450A4AF" w14:textId="77777777" w:rsidR="00D60186" w:rsidRPr="00225D4D" w:rsidRDefault="00D60186" w:rsidP="00225D4D">
      <w:r w:rsidRPr="00225D4D">
        <w:t>Regjeringen vil komme tilbake til Stortinget på egnet måte.</w:t>
      </w:r>
    </w:p>
    <w:p w14:paraId="44CA828C" w14:textId="77777777" w:rsidR="00D60186" w:rsidRPr="00225D4D" w:rsidRDefault="00D60186" w:rsidP="00225D4D">
      <w:pPr>
        <w:pStyle w:val="avsnitt-tittel"/>
      </w:pPr>
      <w:r w:rsidRPr="00225D4D">
        <w:t>Villreinfangsten på Dovre</w:t>
      </w:r>
    </w:p>
    <w:p w14:paraId="27FF1ECF" w14:textId="77777777" w:rsidR="00D60186" w:rsidRPr="00225D4D" w:rsidRDefault="00D60186" w:rsidP="00225D4D">
      <w:pPr>
        <w:pStyle w:val="avsnitt-undertittel"/>
      </w:pPr>
      <w:r w:rsidRPr="00225D4D">
        <w:t>Vedtak nr. 783, 13. juni 2024</w:t>
      </w:r>
    </w:p>
    <w:p w14:paraId="014DBEE6" w14:textId="77777777" w:rsidR="00D60186" w:rsidRPr="00225D4D" w:rsidRDefault="00D60186" w:rsidP="00225D4D">
      <w:pPr>
        <w:pStyle w:val="blokksit"/>
        <w:rPr>
          <w:rStyle w:val="kursiv"/>
        </w:rPr>
      </w:pPr>
      <w:r w:rsidRPr="00225D4D">
        <w:rPr>
          <w:rStyle w:val="kursiv"/>
        </w:rPr>
        <w:t xml:space="preserve">«Stortinget ber regjeringa gå </w:t>
      </w:r>
      <w:proofErr w:type="spellStart"/>
      <w:r w:rsidRPr="00225D4D">
        <w:rPr>
          <w:rStyle w:val="kursiv"/>
        </w:rPr>
        <w:t>vidare</w:t>
      </w:r>
      <w:proofErr w:type="spellEnd"/>
      <w:r w:rsidRPr="00225D4D">
        <w:rPr>
          <w:rStyle w:val="kursiv"/>
        </w:rPr>
        <w:t xml:space="preserve"> med å </w:t>
      </w:r>
      <w:proofErr w:type="spellStart"/>
      <w:r w:rsidRPr="00225D4D">
        <w:rPr>
          <w:rStyle w:val="kursiv"/>
        </w:rPr>
        <w:t>setje</w:t>
      </w:r>
      <w:proofErr w:type="spellEnd"/>
      <w:r w:rsidRPr="00225D4D">
        <w:rPr>
          <w:rStyle w:val="kursiv"/>
        </w:rPr>
        <w:t xml:space="preserve"> ‘Villreinfangsten på Dovre’ på </w:t>
      </w:r>
      <w:proofErr w:type="spellStart"/>
      <w:r w:rsidRPr="00225D4D">
        <w:rPr>
          <w:rStyle w:val="kursiv"/>
        </w:rPr>
        <w:t>Noregs</w:t>
      </w:r>
      <w:proofErr w:type="spellEnd"/>
      <w:r w:rsidRPr="00225D4D">
        <w:rPr>
          <w:rStyle w:val="kursiv"/>
        </w:rPr>
        <w:t xml:space="preserve"> tentative liste for verdsarv»</w:t>
      </w:r>
    </w:p>
    <w:p w14:paraId="1EA12CE9" w14:textId="77777777" w:rsidR="00D60186" w:rsidRPr="00225D4D" w:rsidRDefault="00D60186" w:rsidP="00225D4D">
      <w:r w:rsidRPr="00225D4D">
        <w:t xml:space="preserve">Vedtaket ble gjort i forbindelse med behandlingen av Meld. St. 18 (2023–2024) </w:t>
      </w:r>
      <w:proofErr w:type="spellStart"/>
      <w:r w:rsidRPr="00225D4D">
        <w:rPr>
          <w:rStyle w:val="kursiv"/>
        </w:rPr>
        <w:t>Ein</w:t>
      </w:r>
      <w:proofErr w:type="spellEnd"/>
      <w:r w:rsidRPr="00225D4D">
        <w:rPr>
          <w:rStyle w:val="kursiv"/>
        </w:rPr>
        <w:t xml:space="preserve"> </w:t>
      </w:r>
      <w:proofErr w:type="spellStart"/>
      <w:r w:rsidRPr="00225D4D">
        <w:rPr>
          <w:rStyle w:val="kursiv"/>
        </w:rPr>
        <w:t>forbetra</w:t>
      </w:r>
      <w:proofErr w:type="spellEnd"/>
      <w:r w:rsidRPr="00225D4D">
        <w:rPr>
          <w:rStyle w:val="kursiv"/>
        </w:rPr>
        <w:t xml:space="preserve"> tilstand for villrein</w:t>
      </w:r>
      <w:r w:rsidRPr="00225D4D">
        <w:t xml:space="preserve">, jf. </w:t>
      </w:r>
      <w:proofErr w:type="spellStart"/>
      <w:r w:rsidRPr="00225D4D">
        <w:t>Innst</w:t>
      </w:r>
      <w:proofErr w:type="spellEnd"/>
      <w:r w:rsidRPr="00225D4D">
        <w:t>. 374 S (2023–2024). Vedtaket er under oppfølging.</w:t>
      </w:r>
    </w:p>
    <w:p w14:paraId="2844B8B2" w14:textId="77777777" w:rsidR="00D60186" w:rsidRPr="00225D4D" w:rsidRDefault="00D60186" w:rsidP="00225D4D">
      <w:r w:rsidRPr="00225D4D">
        <w:t>Regjeringen vil komme tilbake til Stortinget på egnet måte.</w:t>
      </w:r>
    </w:p>
    <w:p w14:paraId="6F6E3FAB" w14:textId="77777777" w:rsidR="00D60186" w:rsidRPr="00225D4D" w:rsidRDefault="00D60186" w:rsidP="00225D4D">
      <w:pPr>
        <w:pStyle w:val="avsnitt-tittel"/>
      </w:pPr>
      <w:r w:rsidRPr="00225D4D">
        <w:t>Avbøtende tiltak for frivillig sektor</w:t>
      </w:r>
    </w:p>
    <w:p w14:paraId="738D71C0" w14:textId="77777777" w:rsidR="00D60186" w:rsidRPr="00225D4D" w:rsidRDefault="00D60186" w:rsidP="00225D4D">
      <w:pPr>
        <w:pStyle w:val="avsnitt-undertittel"/>
      </w:pPr>
      <w:r w:rsidRPr="00225D4D">
        <w:t>Vedtak nr. 785, 13. juni 2024</w:t>
      </w:r>
    </w:p>
    <w:p w14:paraId="1451C744" w14:textId="77777777" w:rsidR="00D60186" w:rsidRPr="00225D4D" w:rsidRDefault="00D60186" w:rsidP="00225D4D">
      <w:pPr>
        <w:pStyle w:val="blokksit"/>
        <w:rPr>
          <w:rStyle w:val="kursiv"/>
        </w:rPr>
      </w:pPr>
      <w:r w:rsidRPr="00225D4D">
        <w:rPr>
          <w:rStyle w:val="kursiv"/>
        </w:rPr>
        <w:t xml:space="preserve">«Stortinget ber regjeringa sikre gode </w:t>
      </w:r>
      <w:proofErr w:type="spellStart"/>
      <w:r w:rsidRPr="00225D4D">
        <w:rPr>
          <w:rStyle w:val="kursiv"/>
        </w:rPr>
        <w:t>avbøtande</w:t>
      </w:r>
      <w:proofErr w:type="spellEnd"/>
      <w:r w:rsidRPr="00225D4D">
        <w:rPr>
          <w:rStyle w:val="kursiv"/>
        </w:rPr>
        <w:t xml:space="preserve"> tiltak for frivillig sektor i </w:t>
      </w:r>
      <w:proofErr w:type="spellStart"/>
      <w:r w:rsidRPr="00225D4D">
        <w:rPr>
          <w:rStyle w:val="kursiv"/>
        </w:rPr>
        <w:t>dei</w:t>
      </w:r>
      <w:proofErr w:type="spellEnd"/>
      <w:r w:rsidRPr="00225D4D">
        <w:rPr>
          <w:rStyle w:val="kursiv"/>
        </w:rPr>
        <w:t xml:space="preserve"> tilfelle </w:t>
      </w:r>
      <w:proofErr w:type="spellStart"/>
      <w:r w:rsidRPr="00225D4D">
        <w:rPr>
          <w:rStyle w:val="kursiv"/>
        </w:rPr>
        <w:t>merkte</w:t>
      </w:r>
      <w:proofErr w:type="spellEnd"/>
      <w:r w:rsidRPr="00225D4D">
        <w:rPr>
          <w:rStyle w:val="kursiv"/>
        </w:rPr>
        <w:t xml:space="preserve"> </w:t>
      </w:r>
      <w:proofErr w:type="spellStart"/>
      <w:r w:rsidRPr="00225D4D">
        <w:rPr>
          <w:rStyle w:val="kursiv"/>
        </w:rPr>
        <w:t>stiar</w:t>
      </w:r>
      <w:proofErr w:type="spellEnd"/>
      <w:r w:rsidRPr="00225D4D">
        <w:rPr>
          <w:rStyle w:val="kursiv"/>
        </w:rPr>
        <w:t xml:space="preserve"> eller turisthytter må </w:t>
      </w:r>
      <w:proofErr w:type="spellStart"/>
      <w:r w:rsidRPr="00225D4D">
        <w:rPr>
          <w:rStyle w:val="kursiv"/>
        </w:rPr>
        <w:t>leggjast</w:t>
      </w:r>
      <w:proofErr w:type="spellEnd"/>
      <w:r w:rsidRPr="00225D4D">
        <w:rPr>
          <w:rStyle w:val="kursiv"/>
        </w:rPr>
        <w:t xml:space="preserve"> ned eller </w:t>
      </w:r>
      <w:proofErr w:type="spellStart"/>
      <w:r w:rsidRPr="00225D4D">
        <w:rPr>
          <w:rStyle w:val="kursiv"/>
        </w:rPr>
        <w:t>flyttast</w:t>
      </w:r>
      <w:proofErr w:type="spellEnd"/>
      <w:r w:rsidRPr="00225D4D">
        <w:rPr>
          <w:rStyle w:val="kursiv"/>
        </w:rPr>
        <w:t>»</w:t>
      </w:r>
    </w:p>
    <w:p w14:paraId="20564091" w14:textId="77777777" w:rsidR="00D60186" w:rsidRPr="00225D4D" w:rsidRDefault="00D60186" w:rsidP="00225D4D">
      <w:r w:rsidRPr="00225D4D">
        <w:t xml:space="preserve">Vedtaket ble gjort i forbindelse med behandlingen av Meld. St. 18 (2023–2024) </w:t>
      </w:r>
      <w:proofErr w:type="spellStart"/>
      <w:r w:rsidRPr="00225D4D">
        <w:rPr>
          <w:rStyle w:val="kursiv"/>
        </w:rPr>
        <w:t>Ein</w:t>
      </w:r>
      <w:proofErr w:type="spellEnd"/>
      <w:r w:rsidRPr="00225D4D">
        <w:rPr>
          <w:rStyle w:val="kursiv"/>
        </w:rPr>
        <w:t xml:space="preserve"> </w:t>
      </w:r>
      <w:proofErr w:type="spellStart"/>
      <w:r w:rsidRPr="00225D4D">
        <w:rPr>
          <w:rStyle w:val="kursiv"/>
        </w:rPr>
        <w:t>forbetra</w:t>
      </w:r>
      <w:proofErr w:type="spellEnd"/>
      <w:r w:rsidRPr="00225D4D">
        <w:rPr>
          <w:rStyle w:val="kursiv"/>
        </w:rPr>
        <w:t xml:space="preserve"> tilstand for villrein</w:t>
      </w:r>
      <w:r w:rsidRPr="00225D4D">
        <w:t xml:space="preserve">, jf. </w:t>
      </w:r>
      <w:proofErr w:type="spellStart"/>
      <w:r w:rsidRPr="00225D4D">
        <w:t>Innst</w:t>
      </w:r>
      <w:proofErr w:type="spellEnd"/>
      <w:r w:rsidRPr="00225D4D">
        <w:t>. 374 S (2023–2024). Regjeringen foreslår som oppfølging av vedtaket en statlig investeringspost (kap. 1420 post 31) for gjennomføring av tiltak i tiltaksplaner etter kvalitetsnormen for villrein. Departementet anser vedtaket som fulgt opp.</w:t>
      </w:r>
    </w:p>
    <w:p w14:paraId="27F7AB62" w14:textId="77777777" w:rsidR="00D60186" w:rsidRPr="00225D4D" w:rsidRDefault="00D60186" w:rsidP="00225D4D">
      <w:pPr>
        <w:pStyle w:val="avsnitt-tittel"/>
      </w:pPr>
      <w:r w:rsidRPr="00225D4D">
        <w:t>Reetablere villrein i Nordfjella</w:t>
      </w:r>
    </w:p>
    <w:p w14:paraId="6376849F" w14:textId="77777777" w:rsidR="00D60186" w:rsidRPr="00225D4D" w:rsidRDefault="00D60186" w:rsidP="00225D4D">
      <w:pPr>
        <w:pStyle w:val="avsnitt-undertittel"/>
      </w:pPr>
      <w:r w:rsidRPr="00225D4D">
        <w:t>Vedtak nr. 786, 13. juni 2024</w:t>
      </w:r>
    </w:p>
    <w:p w14:paraId="54CAC68A" w14:textId="77777777" w:rsidR="00D60186" w:rsidRPr="00225D4D" w:rsidRDefault="00D60186" w:rsidP="00225D4D">
      <w:pPr>
        <w:pStyle w:val="blokksit"/>
        <w:rPr>
          <w:rStyle w:val="kursiv"/>
        </w:rPr>
      </w:pPr>
      <w:r w:rsidRPr="00225D4D">
        <w:rPr>
          <w:rStyle w:val="kursiv"/>
        </w:rPr>
        <w:t xml:space="preserve">«Stortinget ber regjeringa </w:t>
      </w:r>
      <w:proofErr w:type="spellStart"/>
      <w:r w:rsidRPr="00225D4D">
        <w:rPr>
          <w:rStyle w:val="kursiv"/>
        </w:rPr>
        <w:t>snarast</w:t>
      </w:r>
      <w:proofErr w:type="spellEnd"/>
      <w:r w:rsidRPr="00225D4D">
        <w:rPr>
          <w:rStyle w:val="kursiv"/>
        </w:rPr>
        <w:t xml:space="preserve"> </w:t>
      </w:r>
      <w:proofErr w:type="spellStart"/>
      <w:r w:rsidRPr="00225D4D">
        <w:rPr>
          <w:rStyle w:val="kursiv"/>
        </w:rPr>
        <w:t>mogleg</w:t>
      </w:r>
      <w:proofErr w:type="spellEnd"/>
      <w:r w:rsidRPr="00225D4D">
        <w:rPr>
          <w:rStyle w:val="kursiv"/>
        </w:rPr>
        <w:t xml:space="preserve"> reetablere villrein i Nordfjella i sone 1 med villrein </w:t>
      </w:r>
      <w:proofErr w:type="spellStart"/>
      <w:r w:rsidRPr="00225D4D">
        <w:rPr>
          <w:rStyle w:val="kursiv"/>
        </w:rPr>
        <w:t>frå</w:t>
      </w:r>
      <w:proofErr w:type="spellEnd"/>
      <w:r w:rsidRPr="00225D4D">
        <w:rPr>
          <w:rStyle w:val="kursiv"/>
        </w:rPr>
        <w:t xml:space="preserve"> sone 2 når denne kjeldebestanden er friskmeld på bestandsnivå, slik at risikoen for </w:t>
      </w:r>
      <w:proofErr w:type="spellStart"/>
      <w:r w:rsidRPr="00225D4D">
        <w:rPr>
          <w:rStyle w:val="kursiv"/>
        </w:rPr>
        <w:t>resmitte</w:t>
      </w:r>
      <w:proofErr w:type="spellEnd"/>
      <w:r w:rsidRPr="00225D4D">
        <w:rPr>
          <w:rStyle w:val="kursiv"/>
        </w:rPr>
        <w:t xml:space="preserve"> er handtert på </w:t>
      </w:r>
      <w:proofErr w:type="spellStart"/>
      <w:r w:rsidRPr="00225D4D">
        <w:rPr>
          <w:rStyle w:val="kursiv"/>
        </w:rPr>
        <w:t>eit</w:t>
      </w:r>
      <w:proofErr w:type="spellEnd"/>
      <w:r w:rsidRPr="00225D4D">
        <w:rPr>
          <w:rStyle w:val="kursiv"/>
        </w:rPr>
        <w:t xml:space="preserve"> akseptabelt nivå.»</w:t>
      </w:r>
    </w:p>
    <w:p w14:paraId="022F82DD" w14:textId="77777777" w:rsidR="00D60186" w:rsidRPr="00225D4D" w:rsidRDefault="00D60186" w:rsidP="00225D4D">
      <w:r w:rsidRPr="00225D4D">
        <w:t xml:space="preserve">Vedtaket ble gjort i forbindelse med behandlingen av Meld. St. 18 (2023–2024) </w:t>
      </w:r>
      <w:proofErr w:type="spellStart"/>
      <w:r w:rsidRPr="00225D4D">
        <w:rPr>
          <w:rStyle w:val="kursiv"/>
        </w:rPr>
        <w:t>Ein</w:t>
      </w:r>
      <w:proofErr w:type="spellEnd"/>
      <w:r w:rsidRPr="00225D4D">
        <w:rPr>
          <w:rStyle w:val="kursiv"/>
        </w:rPr>
        <w:t xml:space="preserve"> </w:t>
      </w:r>
      <w:proofErr w:type="spellStart"/>
      <w:r w:rsidRPr="00225D4D">
        <w:rPr>
          <w:rStyle w:val="kursiv"/>
        </w:rPr>
        <w:t>forbetra</w:t>
      </w:r>
      <w:proofErr w:type="spellEnd"/>
      <w:r w:rsidRPr="00225D4D">
        <w:rPr>
          <w:rStyle w:val="kursiv"/>
        </w:rPr>
        <w:t xml:space="preserve"> tilstand for villrein</w:t>
      </w:r>
      <w:r w:rsidRPr="00225D4D">
        <w:t xml:space="preserve">, jf. </w:t>
      </w:r>
      <w:proofErr w:type="spellStart"/>
      <w:r w:rsidRPr="00225D4D">
        <w:t>Innst</w:t>
      </w:r>
      <w:proofErr w:type="spellEnd"/>
      <w:r w:rsidRPr="00225D4D">
        <w:t>. 374 S (2023–2024). Vedtaket er under oppfølging. Klima- og miljødepartementet har oppnevnt en arbeidsgruppe som skal vurdere hvilke risikoreduserende tiltak som må på plass før, under og etter reetableringen. Arbeidsgruppens rapport skal etter planen leveres i november 2025.</w:t>
      </w:r>
    </w:p>
    <w:p w14:paraId="73BC0CE2" w14:textId="77777777" w:rsidR="00D60186" w:rsidRPr="00225D4D" w:rsidRDefault="00D60186" w:rsidP="00225D4D">
      <w:r w:rsidRPr="00225D4D">
        <w:t>Regjeringen vil komme tilbake til Stortinget på egnet måte.</w:t>
      </w:r>
    </w:p>
    <w:p w14:paraId="10472794" w14:textId="77777777" w:rsidR="00D60186" w:rsidRPr="00225D4D" w:rsidRDefault="00D60186" w:rsidP="00225D4D">
      <w:pPr>
        <w:pStyle w:val="avsnitt-tittel"/>
      </w:pPr>
      <w:r w:rsidRPr="00225D4D">
        <w:t>Forbud mot torvuttak</w:t>
      </w:r>
    </w:p>
    <w:p w14:paraId="14C60B58" w14:textId="77777777" w:rsidR="00D60186" w:rsidRPr="00225D4D" w:rsidRDefault="00D60186" w:rsidP="00225D4D">
      <w:pPr>
        <w:pStyle w:val="avsnitt-undertittel"/>
      </w:pPr>
      <w:r w:rsidRPr="00225D4D">
        <w:t>Vedtak nr. 914, 21. juni 2024</w:t>
      </w:r>
    </w:p>
    <w:p w14:paraId="0CADF9C0" w14:textId="77777777" w:rsidR="00D60186" w:rsidRPr="00225D4D" w:rsidRDefault="00D60186" w:rsidP="00225D4D">
      <w:pPr>
        <w:pStyle w:val="blokksit"/>
        <w:rPr>
          <w:rStyle w:val="kursiv"/>
        </w:rPr>
      </w:pPr>
      <w:r w:rsidRPr="00225D4D">
        <w:rPr>
          <w:rStyle w:val="kursiv"/>
        </w:rPr>
        <w:t>«Stortinget ber regjeringen i løpet av 2024 sende på høring forslag om forbud mot nye torvuttak, med ikrafttredelse av forbudet så raskt som mulig og før 1. oktober 2025.»</w:t>
      </w:r>
    </w:p>
    <w:p w14:paraId="0952F8DF" w14:textId="77777777" w:rsidR="00D60186" w:rsidRPr="00225D4D" w:rsidRDefault="00D60186" w:rsidP="00225D4D">
      <w:r w:rsidRPr="00225D4D">
        <w:t xml:space="preserve">Vedtaket ble gjort ved behandlingen av Revidert nasjonalbudsjett 2024, jf. </w:t>
      </w:r>
      <w:proofErr w:type="spellStart"/>
      <w:r w:rsidRPr="00225D4D">
        <w:t>Innst</w:t>
      </w:r>
      <w:proofErr w:type="spellEnd"/>
      <w:r w:rsidRPr="00225D4D">
        <w:t>. 447 S (2023–2024). Miljødirektoratet sendte et forslag til ny bestemmelse i naturmangfoldloven med forbud mot nye torvuttak på høring 19.desember 2024. Regjeringen legger frem et forslag til endring i naturmangfoldloven med forbud mot nye torvuttak for Stortinget høsten 2025.</w:t>
      </w:r>
    </w:p>
    <w:p w14:paraId="4F222661" w14:textId="77777777" w:rsidR="00D60186" w:rsidRPr="00225D4D" w:rsidRDefault="00D60186" w:rsidP="00225D4D">
      <w:r w:rsidRPr="00225D4D">
        <w:t>Departementet anser vedtaket som fulgt opp.</w:t>
      </w:r>
    </w:p>
    <w:p w14:paraId="6C2726E2" w14:textId="77777777" w:rsidR="00D60186" w:rsidRPr="00225D4D" w:rsidRDefault="00D60186" w:rsidP="00225D4D">
      <w:pPr>
        <w:pStyle w:val="Overskrift2"/>
      </w:pPr>
      <w:r w:rsidRPr="00225D4D">
        <w:t>Stortingssesjon 2022–2023</w:t>
      </w:r>
    </w:p>
    <w:p w14:paraId="350BAF87" w14:textId="77777777" w:rsidR="00D60186" w:rsidRPr="00225D4D" w:rsidRDefault="00D60186" w:rsidP="00225D4D">
      <w:pPr>
        <w:pStyle w:val="avsnitt-tittel"/>
      </w:pPr>
      <w:r w:rsidRPr="00225D4D">
        <w:t>Fremme krav om lav- og nullutslipp til offshorefartøy</w:t>
      </w:r>
    </w:p>
    <w:p w14:paraId="1C599899" w14:textId="77777777" w:rsidR="00D60186" w:rsidRPr="00225D4D" w:rsidRDefault="00D60186" w:rsidP="00225D4D">
      <w:pPr>
        <w:pStyle w:val="avsnitt-undertittel"/>
      </w:pPr>
      <w:r w:rsidRPr="00225D4D">
        <w:t>Vedtak nr. 92, 1. desember 2022</w:t>
      </w:r>
    </w:p>
    <w:p w14:paraId="343FF528" w14:textId="77777777" w:rsidR="00D60186" w:rsidRPr="00225D4D" w:rsidRDefault="00D60186" w:rsidP="00225D4D">
      <w:pPr>
        <w:pStyle w:val="blokksit"/>
        <w:rPr>
          <w:rStyle w:val="kursiv"/>
        </w:rPr>
      </w:pPr>
      <w:r w:rsidRPr="00225D4D">
        <w:rPr>
          <w:rStyle w:val="kursiv"/>
        </w:rPr>
        <w:t>«Stortinget ber regjeringen i løpet av 2023 fremme krav om lavutslipp til offshorefartøy med sikte på innføring fra 2025 og nullutslipp fra 2029, eller tilsvarende krav som gir samme utslippseffekt for offshorefartøy.»</w:t>
      </w:r>
    </w:p>
    <w:p w14:paraId="14ACD5A0" w14:textId="77777777" w:rsidR="00D60186" w:rsidRPr="00225D4D" w:rsidRDefault="00D60186" w:rsidP="00225D4D">
      <w:r w:rsidRPr="00225D4D">
        <w:t xml:space="preserve">Vedtaket ble gjort ved behandlingen av innstilling fra finanskomiteen om nasjonalbudsjettet for 2023 og forslaget til statsbudsjett for 2023, jf. </w:t>
      </w:r>
      <w:proofErr w:type="spellStart"/>
      <w:r w:rsidRPr="00225D4D">
        <w:t>Innst</w:t>
      </w:r>
      <w:proofErr w:type="spellEnd"/>
      <w:r w:rsidRPr="00225D4D">
        <w:t>. 2 S (2022–2023).</w:t>
      </w:r>
    </w:p>
    <w:p w14:paraId="458C29A6" w14:textId="77777777" w:rsidR="00D60186" w:rsidRPr="00225D4D" w:rsidRDefault="00D60186" w:rsidP="00225D4D">
      <w:r w:rsidRPr="00225D4D">
        <w:t>Miljødirektoratet har på vegne av Klima- og miljødepartementet sendt på høring forslag til klimakrav rettet mot offshorefartøy i bruk innen petroleumsvirksomhet. Kravet gjelder operatører på norsk sokkel og omfatter fartøy som benyttes i forbindelse med petroleumsvirksomhet. Klimagassintensiteten (g CO</w:t>
      </w:r>
      <w:r w:rsidRPr="00225D4D">
        <w:rPr>
          <w:rStyle w:val="skrift-senket"/>
        </w:rPr>
        <w:t>2</w:t>
      </w:r>
      <w:r w:rsidRPr="00225D4D">
        <w:t>-ekvivalenter/MJ) skal reduseres i fire trinn i forhold til en referanseverdi: 10 % (2029–2031), 15 % (2032–2034), 20 % (2035–2037) og 40 % (2038–2040). Høringsfristen er 3. oktober 2025.</w:t>
      </w:r>
    </w:p>
    <w:p w14:paraId="2D26ACEF" w14:textId="77777777" w:rsidR="00D60186" w:rsidRPr="00225D4D" w:rsidRDefault="00D60186" w:rsidP="00225D4D">
      <w:r w:rsidRPr="00225D4D">
        <w:t>Departementet anser med dette vedtaket som fulgt opp.</w:t>
      </w:r>
    </w:p>
    <w:p w14:paraId="3FC50851" w14:textId="77777777" w:rsidR="00D60186" w:rsidRPr="00225D4D" w:rsidRDefault="00D60186" w:rsidP="00225D4D">
      <w:pPr>
        <w:pStyle w:val="avsnitt-tittel"/>
      </w:pPr>
      <w:r w:rsidRPr="00225D4D">
        <w:t>Fremme forslag om forbud mot nedbygging av myr til utbyggingsformål i 2023</w:t>
      </w:r>
    </w:p>
    <w:p w14:paraId="04DCEDD0" w14:textId="77777777" w:rsidR="00D60186" w:rsidRPr="00225D4D" w:rsidRDefault="00D60186" w:rsidP="00225D4D">
      <w:pPr>
        <w:pStyle w:val="avsnitt-undertittel"/>
      </w:pPr>
      <w:r w:rsidRPr="00225D4D">
        <w:t>Vedtak nr. 108, 1. desember 2022</w:t>
      </w:r>
    </w:p>
    <w:p w14:paraId="2A9BE4A2" w14:textId="77777777" w:rsidR="00D60186" w:rsidRPr="00225D4D" w:rsidRDefault="00D60186" w:rsidP="00225D4D">
      <w:pPr>
        <w:pStyle w:val="blokksit"/>
        <w:rPr>
          <w:rStyle w:val="kursiv"/>
        </w:rPr>
      </w:pPr>
      <w:r w:rsidRPr="00225D4D">
        <w:rPr>
          <w:rStyle w:val="kursiv"/>
        </w:rPr>
        <w:t>«Stortinget ber regjeringen legge frem forslag om forbud mot nedbygging av myr til utbyggingsformål i løpet av 2023. Det skal utredes mulige dispensasjoner fra forbudet for å ta vare på andre arealer med høy verdi og utbygging av samfunnskritisk infrastruktur. Målet er at forbudet reelt sett skal redusere nedbyggingen av myr.»</w:t>
      </w:r>
    </w:p>
    <w:p w14:paraId="399EEACD" w14:textId="77777777" w:rsidR="00D60186" w:rsidRPr="00225D4D" w:rsidRDefault="00D60186" w:rsidP="00225D4D">
      <w:r w:rsidRPr="00225D4D">
        <w:t xml:space="preserve">Vedtaket ble gjort ved behandlingen av innstilling fra finanskomiteen om nasjonalbudsjettet for 2023 og forslaget til statsbudsjett for 2023, jf. </w:t>
      </w:r>
      <w:proofErr w:type="spellStart"/>
      <w:r w:rsidRPr="00225D4D">
        <w:t>Innst</w:t>
      </w:r>
      <w:proofErr w:type="spellEnd"/>
      <w:r w:rsidRPr="00225D4D">
        <w:t>. 2 S (2022–2023).</w:t>
      </w:r>
    </w:p>
    <w:p w14:paraId="20A28D0C" w14:textId="77777777" w:rsidR="00D60186" w:rsidRPr="00225D4D" w:rsidRDefault="00D60186" w:rsidP="00225D4D">
      <w:r w:rsidRPr="00225D4D">
        <w:t>Vedtaket er under oppfølging. Miljødirektoratet har utredet et forbud mot nedbygging av myr, med forslag til ny lovtekst og forskrift. Miljødirektoratets forslag ble levert 1. desember 2023. Et forslag ble sendt på offentlig høring 2. juli med frist 1. november.</w:t>
      </w:r>
    </w:p>
    <w:p w14:paraId="1709BF48" w14:textId="77777777" w:rsidR="00D60186" w:rsidRPr="00225D4D" w:rsidRDefault="00D60186" w:rsidP="00225D4D">
      <w:r w:rsidRPr="00225D4D">
        <w:t>Regjeringen vil komme tilbake til Stortinget på egnet måte.</w:t>
      </w:r>
    </w:p>
    <w:p w14:paraId="6BFBF04A" w14:textId="77777777" w:rsidR="00D60186" w:rsidRPr="00225D4D" w:rsidRDefault="00D60186" w:rsidP="00225D4D">
      <w:pPr>
        <w:pStyle w:val="avsnitt-tittel"/>
      </w:pPr>
      <w:r w:rsidRPr="00225D4D">
        <w:t xml:space="preserve">Utrede og fremme forslag om forbud mot bruk av fossil gass i </w:t>
      </w:r>
      <w:proofErr w:type="spellStart"/>
      <w:r w:rsidRPr="00225D4D">
        <w:t>byggvarme</w:t>
      </w:r>
      <w:proofErr w:type="spellEnd"/>
    </w:p>
    <w:p w14:paraId="3B3E3D7F" w14:textId="77777777" w:rsidR="00D60186" w:rsidRPr="00225D4D" w:rsidRDefault="00D60186" w:rsidP="00225D4D">
      <w:pPr>
        <w:pStyle w:val="avsnitt-undertittel"/>
      </w:pPr>
      <w:r w:rsidRPr="00225D4D">
        <w:t>Vedtak nr. 113, 1. desember 2022</w:t>
      </w:r>
    </w:p>
    <w:p w14:paraId="5DC9F94B" w14:textId="77777777" w:rsidR="00D60186" w:rsidRPr="00225D4D" w:rsidRDefault="00D60186" w:rsidP="00225D4D">
      <w:pPr>
        <w:pStyle w:val="blokksit"/>
        <w:rPr>
          <w:rStyle w:val="kursiv"/>
        </w:rPr>
      </w:pPr>
      <w:r w:rsidRPr="00225D4D">
        <w:rPr>
          <w:rStyle w:val="kursiv"/>
        </w:rPr>
        <w:t xml:space="preserve">«Stortinget ber regjeringen utrede og fremme forslag om forbud mot bruk av fossil gass i </w:t>
      </w:r>
      <w:proofErr w:type="spellStart"/>
      <w:r w:rsidRPr="00225D4D">
        <w:rPr>
          <w:rStyle w:val="kursiv"/>
        </w:rPr>
        <w:t>byggvarme</w:t>
      </w:r>
      <w:proofErr w:type="spellEnd"/>
      <w:r w:rsidRPr="00225D4D">
        <w:rPr>
          <w:rStyle w:val="kursiv"/>
        </w:rPr>
        <w:t>, med sikte på ikrafttredelse i 2025.»</w:t>
      </w:r>
    </w:p>
    <w:p w14:paraId="286D8904" w14:textId="77777777" w:rsidR="00D60186" w:rsidRPr="00225D4D" w:rsidRDefault="00D60186" w:rsidP="00225D4D">
      <w:r w:rsidRPr="00225D4D">
        <w:t xml:space="preserve">Vedtaket ble gjort ved behandlingen av innstilling fra finanskomiteen om nasjonalbudsjettet for 2023 og forslaget til statsbudsjett for 2023, jf. </w:t>
      </w:r>
      <w:proofErr w:type="spellStart"/>
      <w:r w:rsidRPr="00225D4D">
        <w:t>Innst</w:t>
      </w:r>
      <w:proofErr w:type="spellEnd"/>
      <w:r w:rsidRPr="00225D4D">
        <w:t>. 2 S (2022–2023).</w:t>
      </w:r>
    </w:p>
    <w:p w14:paraId="0D2E1EF8" w14:textId="77777777" w:rsidR="00D60186" w:rsidRPr="00225D4D" w:rsidRDefault="00D60186" w:rsidP="00225D4D">
      <w:r w:rsidRPr="00225D4D">
        <w:t xml:space="preserve">Miljødirektoratet sendte et forslag til forbud mot bruk av fossil gass i </w:t>
      </w:r>
      <w:proofErr w:type="spellStart"/>
      <w:r w:rsidRPr="00225D4D">
        <w:t>byggvarme</w:t>
      </w:r>
      <w:proofErr w:type="spellEnd"/>
      <w:r w:rsidRPr="00225D4D">
        <w:t xml:space="preserve"> på høring i mai 2024. Etter høringen var gjennomført bestemte regjeringen å innføre forbud mot bruk av fossil gass til </w:t>
      </w:r>
      <w:proofErr w:type="spellStart"/>
      <w:r w:rsidRPr="00225D4D">
        <w:t>byggvarme</w:t>
      </w:r>
      <w:proofErr w:type="spellEnd"/>
      <w:r w:rsidRPr="00225D4D">
        <w:t xml:space="preserve"> fra 1. juli 2025. I høringen trakk byggenæringen fram herding av </w:t>
      </w:r>
      <w:proofErr w:type="spellStart"/>
      <w:r w:rsidRPr="00225D4D">
        <w:t>plasstøpt</w:t>
      </w:r>
      <w:proofErr w:type="spellEnd"/>
      <w:r w:rsidRPr="00225D4D">
        <w:t xml:space="preserve"> betong og fasadeoppvarming som arbeid der det er særlig krevende å finne gode alternativer til fossil gass på kort sikt. For å gi byggenæringen tid til omstilling gis det derfor unntak for herding av </w:t>
      </w:r>
      <w:proofErr w:type="spellStart"/>
      <w:r w:rsidRPr="00225D4D">
        <w:t>plasstøpt</w:t>
      </w:r>
      <w:proofErr w:type="spellEnd"/>
      <w:r w:rsidRPr="00225D4D">
        <w:t xml:space="preserve"> betong og fasadeoppvarming til 1. juli 2027.</w:t>
      </w:r>
    </w:p>
    <w:p w14:paraId="3D66D2A1" w14:textId="77777777" w:rsidR="00D60186" w:rsidRPr="00225D4D" w:rsidRDefault="00D60186" w:rsidP="00225D4D">
      <w:r w:rsidRPr="00225D4D">
        <w:t>Departementet anser med dette vedtaket som fulgt opp.</w:t>
      </w:r>
    </w:p>
    <w:p w14:paraId="2CAB4FB8" w14:textId="77777777" w:rsidR="00D60186" w:rsidRPr="00225D4D" w:rsidRDefault="00D60186" w:rsidP="00225D4D">
      <w:pPr>
        <w:pStyle w:val="avsnitt-tittel"/>
      </w:pPr>
      <w:r w:rsidRPr="00225D4D">
        <w:t>En plan for hvordan Norge kan få en ledende posisjon i produksjonen av bærekraftig drivstoff</w:t>
      </w:r>
    </w:p>
    <w:p w14:paraId="431E0888" w14:textId="77777777" w:rsidR="00D60186" w:rsidRPr="00225D4D" w:rsidRDefault="00D60186" w:rsidP="00225D4D">
      <w:pPr>
        <w:pStyle w:val="avsnitt-undertittel"/>
      </w:pPr>
      <w:r w:rsidRPr="00225D4D">
        <w:t>Vedtak nr. 632, 2. mai 2023</w:t>
      </w:r>
    </w:p>
    <w:p w14:paraId="723A1634" w14:textId="77777777" w:rsidR="00D60186" w:rsidRPr="00225D4D" w:rsidRDefault="00D60186" w:rsidP="00225D4D">
      <w:pPr>
        <w:pStyle w:val="blokksit"/>
        <w:rPr>
          <w:rStyle w:val="kursiv"/>
        </w:rPr>
      </w:pPr>
      <w:r w:rsidRPr="00225D4D">
        <w:rPr>
          <w:rStyle w:val="kursiv"/>
        </w:rPr>
        <w:t>«Stortinget ber regjeringen legge frem en plan for hvordan Norge kan få en ledende posisjon i produksjonen av bærekraftig drivstoff, slik at Norge er godt posisjonert gjennom et industrielt miljø når innblandingskravene blir innført i EU, og komme tilbake til Stortinget på en egnet måte.»</w:t>
      </w:r>
    </w:p>
    <w:p w14:paraId="3972D010" w14:textId="77777777" w:rsidR="00D60186" w:rsidRPr="00225D4D" w:rsidRDefault="00D60186" w:rsidP="00225D4D">
      <w:r w:rsidRPr="00225D4D">
        <w:t xml:space="preserve">Vedtaket ble gjort ved behandlingen av Meld. St. 10 (2022–2023) </w:t>
      </w:r>
      <w:r w:rsidRPr="00225D4D">
        <w:rPr>
          <w:rStyle w:val="kursiv"/>
        </w:rPr>
        <w:t>Bærekraftig og sikker luftfart – Nasjonal luftfartstrategi</w:t>
      </w:r>
      <w:r w:rsidRPr="00225D4D">
        <w:t xml:space="preserve">, jf. </w:t>
      </w:r>
      <w:proofErr w:type="spellStart"/>
      <w:r w:rsidRPr="00225D4D">
        <w:t>Innst</w:t>
      </w:r>
      <w:proofErr w:type="spellEnd"/>
      <w:r w:rsidRPr="00225D4D">
        <w:t>. 301 S (2022–2023).</w:t>
      </w:r>
    </w:p>
    <w:p w14:paraId="04A4C35E" w14:textId="77777777" w:rsidR="00D60186" w:rsidRPr="00225D4D" w:rsidRDefault="00D60186" w:rsidP="00225D4D">
      <w:r w:rsidRPr="00225D4D">
        <w:t xml:space="preserve">Siden vedtaket ble fattet i 2023 har regjeringen gjennomført flere endringer som påvirker biodrivstoffprodusenter. Bevilgningene til </w:t>
      </w:r>
      <w:proofErr w:type="spellStart"/>
      <w:r w:rsidRPr="00225D4D">
        <w:t>Enova</w:t>
      </w:r>
      <w:proofErr w:type="spellEnd"/>
      <w:r w:rsidRPr="00225D4D">
        <w:t xml:space="preserve"> og Bionova har økt, CO</w:t>
      </w:r>
      <w:r w:rsidRPr="00225D4D">
        <w:rPr>
          <w:rStyle w:val="skrift-senket"/>
        </w:rPr>
        <w:t>2</w:t>
      </w:r>
      <w:r w:rsidRPr="00225D4D">
        <w:t xml:space="preserve">-avgiften har økt, omsetningskravene for biodrivstoff i hele transportsektoren har økt, og det er signalisert at omsetningskravene vil fortsette å øke i årene fremover. I tillegg blir det innført delkrav til avansert biodrivstoff basert på A-råstoff, som flere av biodrivstoffprosjektene i Norge planlegger å bruke som råstoff. Nytt er også at gjennomføring av </w:t>
      </w:r>
      <w:proofErr w:type="spellStart"/>
      <w:r w:rsidRPr="00225D4D">
        <w:t>RefuelEU</w:t>
      </w:r>
      <w:proofErr w:type="spellEnd"/>
      <w:r w:rsidRPr="00225D4D">
        <w:t xml:space="preserve"> </w:t>
      </w:r>
      <w:proofErr w:type="spellStart"/>
      <w:r w:rsidRPr="00225D4D">
        <w:t>Aviation</w:t>
      </w:r>
      <w:proofErr w:type="spellEnd"/>
      <w:r w:rsidRPr="00225D4D">
        <w:t xml:space="preserve"> i norsk rett medfører å innføre delkrav til e-drivstoff (RFNBO) i 2030, og dette kan gi et hjemmemarked for mulige norske produsenter av slikt drivstoff.</w:t>
      </w:r>
    </w:p>
    <w:p w14:paraId="3FE7A08D" w14:textId="77777777" w:rsidR="00D60186" w:rsidRPr="00225D4D" w:rsidRDefault="00D60186" w:rsidP="00225D4D">
      <w:r w:rsidRPr="00225D4D">
        <w:t>Virkemidlene for biodrivstoff vurderes helhetlig i kontrollpunktene for biodrivstoff annethvert år. Utviklingen i produksjon av biodrivstoff i Norge er en del av denne helhetlige vurderingen. Vurderingene ble lagt frem i Klimastatus og -plan for 2025, og vil bli vurdert på nytt i forbindelse med Klimastatus og -plan for 2027, som legges frem høsten 2026. Norge har allerede flere virkemidler som legger til rette for produksjon av biodrivstoff. Samtidig må investeringsbeslutninger skje på markedsmessige vilkår. Hvorvidt norske selskaper får en ledende posisjon på det globale markedet eller ikke, bør være opp til markedet. Å fremme særlige næringer leder til en mindre effektiv allokering av samfunnets ressurser.</w:t>
      </w:r>
    </w:p>
    <w:p w14:paraId="34070BED" w14:textId="77777777" w:rsidR="00D60186" w:rsidRPr="00225D4D" w:rsidRDefault="00D60186" w:rsidP="00225D4D">
      <w:r w:rsidRPr="00225D4D">
        <w:t>På bakgrunn av dette foreslår regjeringen å oppheve anmodningsvedtak nr. 632 om å komme tilbake til Stortinget med en plan for hvordan Norge kan få en ledende posisjon i produksjon av bærekraftig drivstoff, jf. forslag til romertallsvedtak XVI.</w:t>
      </w:r>
    </w:p>
    <w:p w14:paraId="0D61609D" w14:textId="77777777" w:rsidR="00D60186" w:rsidRPr="00225D4D" w:rsidRDefault="00D60186" w:rsidP="00225D4D">
      <w:pPr>
        <w:pStyle w:val="avsnitt-tittel"/>
      </w:pPr>
      <w:r w:rsidRPr="00225D4D">
        <w:t>En plan for å øke produksjonen av avansert biodrivstoff i Norge</w:t>
      </w:r>
    </w:p>
    <w:p w14:paraId="6BC40E85" w14:textId="77777777" w:rsidR="00D60186" w:rsidRPr="00225D4D" w:rsidRDefault="00D60186" w:rsidP="00225D4D">
      <w:pPr>
        <w:pStyle w:val="avsnitt-undertittel"/>
      </w:pPr>
      <w:r w:rsidRPr="00225D4D">
        <w:t>Vedtak nr. 633, 2. mai 2023</w:t>
      </w:r>
    </w:p>
    <w:p w14:paraId="5B6DF9F4" w14:textId="77777777" w:rsidR="00D60186" w:rsidRPr="00225D4D" w:rsidRDefault="00D60186" w:rsidP="00225D4D">
      <w:pPr>
        <w:pStyle w:val="blokksit"/>
        <w:rPr>
          <w:rStyle w:val="kursiv"/>
        </w:rPr>
      </w:pPr>
      <w:r w:rsidRPr="00225D4D">
        <w:rPr>
          <w:rStyle w:val="kursiv"/>
        </w:rPr>
        <w:t>«Stortinget ber regjeringen raskt legge frem en plan for å øke produksjonen av avansert biodrivstoff i Norge.»</w:t>
      </w:r>
    </w:p>
    <w:p w14:paraId="251AE660" w14:textId="77777777" w:rsidR="00D60186" w:rsidRPr="00225D4D" w:rsidRDefault="00D60186" w:rsidP="00225D4D">
      <w:r w:rsidRPr="00225D4D">
        <w:t xml:space="preserve">Vedtaket ble gjort ved behandlingen av Meld. St. 10 (2022–2023) </w:t>
      </w:r>
      <w:r w:rsidRPr="00225D4D">
        <w:rPr>
          <w:rStyle w:val="kursiv"/>
        </w:rPr>
        <w:t>Bærekraftig og sikker luftfart – Nasjonal luftfartstrategi</w:t>
      </w:r>
      <w:r w:rsidRPr="00225D4D">
        <w:t xml:space="preserve">, jf. </w:t>
      </w:r>
      <w:proofErr w:type="spellStart"/>
      <w:r w:rsidRPr="00225D4D">
        <w:t>Innst</w:t>
      </w:r>
      <w:proofErr w:type="spellEnd"/>
      <w:r w:rsidRPr="00225D4D">
        <w:t>. 301 S (2022–2023).</w:t>
      </w:r>
    </w:p>
    <w:p w14:paraId="1404B776" w14:textId="77777777" w:rsidR="00D60186" w:rsidRPr="00225D4D" w:rsidRDefault="00D60186" w:rsidP="00225D4D">
      <w:r w:rsidRPr="00225D4D">
        <w:t>Rundt en prosent av biodrivstoffet som omsettes i Norge er laget av norske råstoff. Flere anlegg planlegger oppstart av storskala biodrivstoffproduksjon.</w:t>
      </w:r>
    </w:p>
    <w:p w14:paraId="13FEE164" w14:textId="77777777" w:rsidR="00D60186" w:rsidRPr="00225D4D" w:rsidRDefault="00D60186" w:rsidP="00225D4D">
      <w:r w:rsidRPr="00225D4D">
        <w:t xml:space="preserve">Norge har flere virkemidler som legger til rette for produksjon av biodrivstoff. Siden vedtak nr. 633 ble fattet i 2023 har regjeringen gjennomført flere endringer som påvirker biodrivstoffprodusenter. Bevilgningene til </w:t>
      </w:r>
      <w:proofErr w:type="spellStart"/>
      <w:r w:rsidRPr="00225D4D">
        <w:t>Enova</w:t>
      </w:r>
      <w:proofErr w:type="spellEnd"/>
      <w:r w:rsidRPr="00225D4D">
        <w:t xml:space="preserve"> og Bionova har økt, CO</w:t>
      </w:r>
      <w:r w:rsidRPr="00225D4D">
        <w:rPr>
          <w:rStyle w:val="skrift-senket"/>
        </w:rPr>
        <w:t>2</w:t>
      </w:r>
      <w:r w:rsidRPr="00225D4D">
        <w:t xml:space="preserve">-avgiften har økt, omsetningskravene for biodrivstoff i hele transportsektoren har økt, og det er signalisert at omsetningskravene vil fortsette å øke i årene fremover. I tillegg blir det innført delkrav til avansert biodrivstoff basert på A-råstoff, som flere av biodrivstoffprosjektene i Norge planlegger å bruke som råstoff. Nytt er også at gjennomføring av </w:t>
      </w:r>
      <w:proofErr w:type="spellStart"/>
      <w:r w:rsidRPr="00225D4D">
        <w:t>RefuelEU</w:t>
      </w:r>
      <w:proofErr w:type="spellEnd"/>
      <w:r w:rsidRPr="00225D4D">
        <w:t xml:space="preserve"> </w:t>
      </w:r>
      <w:proofErr w:type="spellStart"/>
      <w:r w:rsidRPr="00225D4D">
        <w:t>Aviation</w:t>
      </w:r>
      <w:proofErr w:type="spellEnd"/>
      <w:r w:rsidRPr="00225D4D">
        <w:t xml:space="preserve"> i norsk rett medfører å innføre delkrav til e-drivstoff (RFNBO) i 2030, og dette kan gi et hjemmemarked for mulige norske produsenter av slikt drivstoff. Selv om det er innført mange virkemidler for å fremme bruk og produksjon av biodrivstoff og e-drivstoff, har ingen store prosjekter fattet investeringsbeslutning. Aktørene peker på kostnadsbarrierer og manglende tilgang på kraft og nett som viktige barrierer.</w:t>
      </w:r>
    </w:p>
    <w:p w14:paraId="341983A8" w14:textId="77777777" w:rsidR="00D60186" w:rsidRPr="00225D4D" w:rsidRDefault="00D60186" w:rsidP="00225D4D">
      <w:r w:rsidRPr="00225D4D">
        <w:t>Norges produksjon av biodrivstoff har blitt omtalt i både klimamelding 2035 og i kontrollpunktet som ble lagt frem i klimastatus og -plan for 2025. I kontrollpunktet presenteres blant annet Norges produksjon av biodrivstoff og virkemiddelbruken vurderes. I klimastatus og -plan for 2027 og 2029 vil nye kontrollpunkter for biodrivstoffpolitikken bli lagt frem. I kommende kontrollpunkt er det naturlig at også e-drivstoff blir inkludert i vurderingen. Vi mener derfor at norsk produksjon av biodrivstoff og e-drivstoff følges opp tett i andre løp og at det ikke er behov for å utarbeide en plan for Stortinget i tillegg.</w:t>
      </w:r>
    </w:p>
    <w:p w14:paraId="51DCA510" w14:textId="77777777" w:rsidR="00D60186" w:rsidRPr="00225D4D" w:rsidRDefault="00D60186" w:rsidP="00225D4D">
      <w:r w:rsidRPr="00225D4D">
        <w:t>På bakgrunn av dette foreslår regjeringen å oppheve anmodningsvedtak nr. 633 om å komme tilbake til Stortinget med en plan for å øke produksjonen av avansert biodrivstoff i Norge, jf. forslag til romertallsvedtak XVI.</w:t>
      </w:r>
    </w:p>
    <w:p w14:paraId="18B53945" w14:textId="77777777" w:rsidR="00D60186" w:rsidRPr="00225D4D" w:rsidRDefault="00D60186" w:rsidP="00225D4D">
      <w:pPr>
        <w:pStyle w:val="avsnitt-tittel"/>
      </w:pPr>
      <w:r w:rsidRPr="00225D4D">
        <w:t>Øke omsetningskravet for biodrivstoff for ikke-</w:t>
      </w:r>
      <w:proofErr w:type="spellStart"/>
      <w:r w:rsidRPr="00225D4D">
        <w:t>veigående</w:t>
      </w:r>
      <w:proofErr w:type="spellEnd"/>
      <w:r w:rsidRPr="00225D4D">
        <w:t xml:space="preserve"> maskiner</w:t>
      </w:r>
    </w:p>
    <w:p w14:paraId="7B62D977" w14:textId="77777777" w:rsidR="00D60186" w:rsidRPr="00225D4D" w:rsidRDefault="00D60186" w:rsidP="00225D4D">
      <w:pPr>
        <w:pStyle w:val="avsnitt-undertittel"/>
      </w:pPr>
      <w:r w:rsidRPr="00225D4D">
        <w:t>Vedtak nr. 917, 16. juni 2023</w:t>
      </w:r>
    </w:p>
    <w:p w14:paraId="1A3D9C6C" w14:textId="77777777" w:rsidR="00D60186" w:rsidRPr="00225D4D" w:rsidRDefault="00D60186" w:rsidP="00225D4D">
      <w:pPr>
        <w:pStyle w:val="blokksit"/>
        <w:rPr>
          <w:rStyle w:val="kursiv"/>
        </w:rPr>
      </w:pPr>
      <w:r w:rsidRPr="00225D4D">
        <w:rPr>
          <w:rStyle w:val="kursiv"/>
        </w:rPr>
        <w:t>«Stortinget ber regjeringen fremme forslag om å øke omsetningskravet for biodrivstoff for ikke-</w:t>
      </w:r>
      <w:proofErr w:type="spellStart"/>
      <w:r w:rsidRPr="00225D4D">
        <w:rPr>
          <w:rStyle w:val="kursiv"/>
        </w:rPr>
        <w:t>veigående</w:t>
      </w:r>
      <w:proofErr w:type="spellEnd"/>
      <w:r w:rsidRPr="00225D4D">
        <w:rPr>
          <w:rStyle w:val="kursiv"/>
        </w:rPr>
        <w:t xml:space="preserve"> maskiner på høring med sikte på innføring fra 1. januar 2024. Følgende omsetningskrav sendes på høring: 12 pst., 15 pst. og 19 pst.»</w:t>
      </w:r>
    </w:p>
    <w:p w14:paraId="48A6AE2E" w14:textId="77777777" w:rsidR="00D60186" w:rsidRPr="00225D4D" w:rsidRDefault="00D60186" w:rsidP="00225D4D">
      <w:r w:rsidRPr="00225D4D">
        <w:t xml:space="preserve">Vedtaket ble gjort ved behandlingen av Revidert nasjonalbudsjett 2023, jf. </w:t>
      </w:r>
      <w:proofErr w:type="spellStart"/>
      <w:r w:rsidRPr="00225D4D">
        <w:t>Innst</w:t>
      </w:r>
      <w:proofErr w:type="spellEnd"/>
      <w:r w:rsidRPr="00225D4D">
        <w:t>. 490 S (2022–2023).</w:t>
      </w:r>
    </w:p>
    <w:p w14:paraId="3D74F779" w14:textId="77777777" w:rsidR="00D60186" w:rsidRPr="00225D4D" w:rsidRDefault="00D60186" w:rsidP="00225D4D">
      <w:r w:rsidRPr="00225D4D">
        <w:t>I Regjeringens klimastatus og -plan for 2024 ble det signalisert en økning i omsetningskravene for veitrafikk, andre formål og sjøfart til 33, 28 og 18 prosent i 2030. Dette ble gjentatt i Regjeringens klimastatus og -plan for 2025. Et forslag om å øke omsetningskravene for 2026 og 2027 har vært på offentlig høring våren 2025. I høringen ble det presentert en høy og en lav bane for opptrapping av omsetningskravene for årene 2026 og 2027. Fra 1. januar 2026 må drivstoffleverandørene blande inn mer biodrivstoff i bensin og diesel i tråd med en lav opptrappingsbane for 2026 og 2027. Dette innebærer at omsetningskravet for andre formål (ikke-</w:t>
      </w:r>
      <w:proofErr w:type="spellStart"/>
      <w:r w:rsidRPr="00225D4D">
        <w:t>veigående</w:t>
      </w:r>
      <w:proofErr w:type="spellEnd"/>
      <w:r w:rsidRPr="00225D4D">
        <w:t xml:space="preserve"> maskiner) økes til hhv. 11 prosent i 2026 og 12 prosent i 2027. Samtidig innfører regjeringen krav om at økningen skal oppfylles med avansert biodrivstoff.</w:t>
      </w:r>
    </w:p>
    <w:p w14:paraId="4B46B1DA" w14:textId="77777777" w:rsidR="00D60186" w:rsidRPr="00225D4D" w:rsidRDefault="00D60186" w:rsidP="00225D4D">
      <w:r w:rsidRPr="00225D4D">
        <w:t>Departementet anser med dette vedtaket som fulgt opp.</w:t>
      </w:r>
    </w:p>
    <w:p w14:paraId="7221CA50" w14:textId="77777777" w:rsidR="00D60186" w:rsidRPr="00225D4D" w:rsidRDefault="00D60186" w:rsidP="00225D4D">
      <w:pPr>
        <w:pStyle w:val="avsnitt-tittel"/>
      </w:pPr>
      <w:r w:rsidRPr="00225D4D">
        <w:t>Øke omsetningskravet for biodrivstoff til sjøfart</w:t>
      </w:r>
    </w:p>
    <w:p w14:paraId="155B6244" w14:textId="77777777" w:rsidR="00D60186" w:rsidRPr="00225D4D" w:rsidRDefault="00D60186" w:rsidP="00225D4D">
      <w:pPr>
        <w:pStyle w:val="avsnitt-undertittel"/>
      </w:pPr>
      <w:r w:rsidRPr="00225D4D">
        <w:t>Vedtak nr. 918, 16. juni 2023</w:t>
      </w:r>
    </w:p>
    <w:p w14:paraId="6DD58046" w14:textId="77777777" w:rsidR="00D60186" w:rsidRPr="00225D4D" w:rsidRDefault="00D60186" w:rsidP="00225D4D">
      <w:pPr>
        <w:pStyle w:val="blokksit"/>
        <w:rPr>
          <w:rStyle w:val="kursiv"/>
        </w:rPr>
      </w:pPr>
      <w:r w:rsidRPr="00225D4D">
        <w:rPr>
          <w:rStyle w:val="kursiv"/>
        </w:rPr>
        <w:t>«Stortinget ber regjeringen høsten 2023 sende på høring et forslag om å øke omsetningskravet for biodrivstoff til sjøfart. Det sendes på høring forslag om økning til 8 pst., 10 pst. og 12 pst.»</w:t>
      </w:r>
    </w:p>
    <w:p w14:paraId="32A6F8C3" w14:textId="77777777" w:rsidR="00D60186" w:rsidRPr="00225D4D" w:rsidRDefault="00D60186" w:rsidP="00225D4D">
      <w:r w:rsidRPr="00225D4D">
        <w:t xml:space="preserve">Vedtaket ble gjort ved behandlingen av Revidert nasjonalbudsjett 2023, jf. </w:t>
      </w:r>
      <w:proofErr w:type="spellStart"/>
      <w:r w:rsidRPr="00225D4D">
        <w:t>Innst</w:t>
      </w:r>
      <w:proofErr w:type="spellEnd"/>
      <w:r w:rsidRPr="00225D4D">
        <w:t>. 490 S (2022–2023).</w:t>
      </w:r>
    </w:p>
    <w:p w14:paraId="4AA22A14" w14:textId="77777777" w:rsidR="00D60186" w:rsidRPr="00225D4D" w:rsidRDefault="00D60186" w:rsidP="00225D4D">
      <w:r w:rsidRPr="00225D4D">
        <w:t>I Regjeringens klimastatus og -plan for 2024 ble det signalisert en økning i omsetningskravene for veitrafikk, andre formål og sjøfart til 33, 28 og 18 prosent i 2030. Dette ble gjentatt i Regjeringens klimastatus og -plan for 2025. Et forslag om å øke omsetningskravene for 2026 og 2027 har vært på offentlig høring våren 2025. I høringen ble det presentert en høy og en lav bane for opptrapping av omsetningskravene for årene 2026 og 2027. Fra 1. januar 2026 må drivstoffleverandørene blande inn mer biodrivstoff i bensin og diesel i tråd med en lav opptrappingsbane for 2026 og 2027. Dette innebærer at omsetningskravet for sjøfart økes til hhv. 7 prosent i 2026 og 8 prosent i 2027. Samtidig innfører regjeringen krav om at økningen skal oppfylles med avansert biodrivstoff.</w:t>
      </w:r>
    </w:p>
    <w:p w14:paraId="4A3527EB" w14:textId="77777777" w:rsidR="00D60186" w:rsidRPr="00225D4D" w:rsidRDefault="00D60186" w:rsidP="00225D4D">
      <w:r w:rsidRPr="00225D4D">
        <w:t>Departementet anser med dette vedtaket som fulgt opp.</w:t>
      </w:r>
    </w:p>
    <w:p w14:paraId="7449365D" w14:textId="77777777" w:rsidR="00D60186" w:rsidRPr="00225D4D" w:rsidRDefault="00D60186" w:rsidP="00225D4D">
      <w:pPr>
        <w:pStyle w:val="avsnitt-tittel"/>
      </w:pPr>
      <w:r w:rsidRPr="00225D4D">
        <w:t>Rett prising av negative utslipp</w:t>
      </w:r>
    </w:p>
    <w:p w14:paraId="37B77F61" w14:textId="77777777" w:rsidR="00D60186" w:rsidRPr="00225D4D" w:rsidRDefault="00D60186" w:rsidP="00225D4D">
      <w:pPr>
        <w:pStyle w:val="avsnitt-undertittel"/>
      </w:pPr>
      <w:r w:rsidRPr="00225D4D">
        <w:t>Vedtak nr. 919, 16. juni 2023</w:t>
      </w:r>
    </w:p>
    <w:p w14:paraId="159E6DCE" w14:textId="77777777" w:rsidR="00D60186" w:rsidRPr="00225D4D" w:rsidRDefault="00D60186" w:rsidP="00225D4D">
      <w:pPr>
        <w:pStyle w:val="blokksit"/>
        <w:rPr>
          <w:rStyle w:val="kursiv"/>
        </w:rPr>
      </w:pPr>
      <w:r w:rsidRPr="00225D4D">
        <w:rPr>
          <w:rStyle w:val="kursiv"/>
        </w:rPr>
        <w:t>«Stortinget ber regjeringen gjennomføre en ekstern utredning av virkemidler for samfunnsøkonomisk riktig prising av negative utslipp, slik som negativ CO</w:t>
      </w:r>
      <w:r w:rsidRPr="00225D4D">
        <w:rPr>
          <w:rStyle w:val="skrift-senket"/>
        </w:rPr>
        <w:t>2</w:t>
      </w:r>
      <w:r w:rsidRPr="00225D4D">
        <w:rPr>
          <w:rStyle w:val="kursiv"/>
        </w:rPr>
        <w:t>-avgift eller omvendte auksjoner, og vurdere muligheten for at støtte til CO</w:t>
      </w:r>
      <w:r w:rsidRPr="00225D4D">
        <w:rPr>
          <w:rStyle w:val="skrift-senket"/>
        </w:rPr>
        <w:t>2</w:t>
      </w:r>
      <w:r w:rsidRPr="00225D4D">
        <w:rPr>
          <w:rStyle w:val="kursiv"/>
        </w:rPr>
        <w:t>-fjerning (negative utslipp) kan kombineres med salg av klimakreditter.»</w:t>
      </w:r>
    </w:p>
    <w:p w14:paraId="79E728D6" w14:textId="77777777" w:rsidR="00D60186" w:rsidRPr="00225D4D" w:rsidRDefault="00D60186" w:rsidP="00225D4D">
      <w:r w:rsidRPr="00225D4D">
        <w:t xml:space="preserve">Vedtaket ble gjort ved behandlingen av Revidert nasjonalbudsjett 2023, jf. </w:t>
      </w:r>
      <w:proofErr w:type="spellStart"/>
      <w:r w:rsidRPr="00225D4D">
        <w:t>Innst</w:t>
      </w:r>
      <w:proofErr w:type="spellEnd"/>
      <w:r w:rsidRPr="00225D4D">
        <w:t>. 490 S (2022–2023).</w:t>
      </w:r>
    </w:p>
    <w:p w14:paraId="34169201" w14:textId="77777777" w:rsidR="00D60186" w:rsidRPr="00225D4D" w:rsidRDefault="00D60186" w:rsidP="00225D4D">
      <w:r w:rsidRPr="00225D4D">
        <w:t>I 2024 fikk Gassnova SF i oppdrag fra Energidepartementet og Klima- og miljødepartementet å utrede virkemidler for å fremme utvikling og bruk av CO</w:t>
      </w:r>
      <w:r w:rsidRPr="00225D4D">
        <w:rPr>
          <w:rStyle w:val="skrift-senket"/>
        </w:rPr>
        <w:t>2</w:t>
      </w:r>
      <w:r w:rsidRPr="00225D4D">
        <w:t xml:space="preserve">-håndtering i Norge. I arbeidet skulle </w:t>
      </w:r>
      <w:proofErr w:type="spellStart"/>
      <w:r w:rsidRPr="00225D4D">
        <w:t>Enova</w:t>
      </w:r>
      <w:proofErr w:type="spellEnd"/>
      <w:r w:rsidRPr="00225D4D">
        <w:t xml:space="preserve">, Miljødirektoratet og andre relevante statlige aktører involveres. Det ble våren 2025 presisert at utredningen skal prioritere fangst og lagring av negative utslipp, det vil si fjerning av </w:t>
      </w:r>
      <w:proofErr w:type="spellStart"/>
      <w:r w:rsidRPr="00225D4D">
        <w:t>biogent</w:t>
      </w:r>
      <w:proofErr w:type="spellEnd"/>
      <w:r w:rsidRPr="00225D4D">
        <w:t xml:space="preserve"> CO</w:t>
      </w:r>
      <w:r w:rsidRPr="00225D4D">
        <w:rPr>
          <w:rStyle w:val="skrift-senket"/>
        </w:rPr>
        <w:t>2</w:t>
      </w:r>
      <w:r w:rsidRPr="00225D4D">
        <w:t xml:space="preserve"> eller CO</w:t>
      </w:r>
      <w:r w:rsidRPr="00225D4D">
        <w:rPr>
          <w:rStyle w:val="skrift-senket"/>
        </w:rPr>
        <w:t>2</w:t>
      </w:r>
      <w:r w:rsidRPr="00225D4D">
        <w:t xml:space="preserve"> fra lufta (DACCS). Negative utslipp er i dag ikke omfattet av reguleringer som reflekterer samfunnsnytten ved å fjerne CO</w:t>
      </w:r>
      <w:r w:rsidRPr="00225D4D">
        <w:rPr>
          <w:rStyle w:val="skrift-senket"/>
        </w:rPr>
        <w:t>2</w:t>
      </w:r>
      <w:r w:rsidRPr="00225D4D">
        <w:t xml:space="preserve"> fra karbonkretsløpet, selv om klimaeffekten er den samme som ved fossile utslepp. Manglende prising av negative utslipp utgjør derfor en markedssvikt.</w:t>
      </w:r>
    </w:p>
    <w:p w14:paraId="60EBF85E" w14:textId="77777777" w:rsidR="00D60186" w:rsidRPr="00225D4D" w:rsidRDefault="00D60186" w:rsidP="00225D4D">
      <w:r w:rsidRPr="00225D4D">
        <w:t>For å korrigere for denne markedssvikten tar regjeringen sikte på å legge frem et forslag i statsbudsjettet for 2027 til en ordning som gir rett på et fast tilskudd per tonn CO</w:t>
      </w:r>
      <w:r w:rsidRPr="00225D4D">
        <w:rPr>
          <w:rStyle w:val="skrift-senket"/>
        </w:rPr>
        <w:t>2</w:t>
      </w:r>
      <w:r w:rsidRPr="00225D4D">
        <w:t xml:space="preserve"> for negative utslipp. En slik ordning sørger for at det også blir insentiv for reduksjon av </w:t>
      </w:r>
      <w:proofErr w:type="spellStart"/>
      <w:r w:rsidRPr="00225D4D">
        <w:t>biogene</w:t>
      </w:r>
      <w:proofErr w:type="spellEnd"/>
      <w:r w:rsidRPr="00225D4D">
        <w:t xml:space="preserve"> utslipp. Ordningen vil bli tilpasset EU sitt kvotesystem dersom dette på sikt åpner for å inkludere negative utslipp. Departementet vil gå i dialog med ESA for å avklare spørsmål om statsstøtte.</w:t>
      </w:r>
    </w:p>
    <w:p w14:paraId="57A41D57" w14:textId="77777777" w:rsidR="00D60186" w:rsidRPr="00225D4D" w:rsidRDefault="00D60186" w:rsidP="00225D4D">
      <w:r w:rsidRPr="00225D4D">
        <w:t>Departementet anser med dette vedtaket som fulgt opp.</w:t>
      </w:r>
    </w:p>
    <w:p w14:paraId="4E0681B9" w14:textId="77777777" w:rsidR="00D60186" w:rsidRPr="00225D4D" w:rsidRDefault="00D60186" w:rsidP="00225D4D">
      <w:pPr>
        <w:pStyle w:val="Overskrift2"/>
      </w:pPr>
      <w:r w:rsidRPr="00225D4D">
        <w:t>Stortingssesjon 2021–2022</w:t>
      </w:r>
    </w:p>
    <w:p w14:paraId="6AAB7E5B" w14:textId="77777777" w:rsidR="00D60186" w:rsidRPr="00225D4D" w:rsidRDefault="00D60186" w:rsidP="00225D4D">
      <w:pPr>
        <w:pStyle w:val="avsnitt-tittel"/>
      </w:pPr>
      <w:r w:rsidRPr="00225D4D">
        <w:t>Krav om nullutslipp og fossilfrie bygge- og anleggsplasser i offentlige anbud</w:t>
      </w:r>
    </w:p>
    <w:p w14:paraId="501B5554" w14:textId="77777777" w:rsidR="00D60186" w:rsidRPr="00225D4D" w:rsidRDefault="00D60186" w:rsidP="00225D4D">
      <w:pPr>
        <w:pStyle w:val="avsnitt-undertittel"/>
      </w:pPr>
      <w:r w:rsidRPr="00225D4D">
        <w:t>Vedtak nr. 35.10, 2. desember 2021</w:t>
      </w:r>
    </w:p>
    <w:p w14:paraId="43A5636A" w14:textId="77777777" w:rsidR="00D60186" w:rsidRPr="00225D4D" w:rsidRDefault="00D60186" w:rsidP="00225D4D">
      <w:pPr>
        <w:pStyle w:val="blokksit"/>
        <w:rPr>
          <w:rStyle w:val="kursiv"/>
        </w:rPr>
      </w:pPr>
      <w:r w:rsidRPr="00225D4D">
        <w:rPr>
          <w:rStyle w:val="kursiv"/>
        </w:rPr>
        <w:t>«Stortinget ber regjeringen utrede forslag om krav om nullutslipp og fossilfrie bygge- og anleggsplasser i offentlige anbud i løpet av 2022.»</w:t>
      </w:r>
    </w:p>
    <w:p w14:paraId="3AE3A290" w14:textId="77777777" w:rsidR="00D60186" w:rsidRPr="00225D4D" w:rsidRDefault="00D60186" w:rsidP="00225D4D">
      <w:r w:rsidRPr="00225D4D">
        <w:t xml:space="preserve">Vedtaket ble gjort ved behandlingen av innstillingen fra finanskomiteen om nasjonalbudsjettet for 2022 og forslaget til statsbudsjett for 2022, jf. </w:t>
      </w:r>
      <w:proofErr w:type="spellStart"/>
      <w:r w:rsidRPr="00225D4D">
        <w:t>Innst</w:t>
      </w:r>
      <w:proofErr w:type="spellEnd"/>
      <w:r w:rsidRPr="00225D4D">
        <w:t>. 2 S (2021–2022).</w:t>
      </w:r>
    </w:p>
    <w:p w14:paraId="49E04BF9" w14:textId="77777777" w:rsidR="00D60186" w:rsidRPr="00225D4D" w:rsidRDefault="00D60186" w:rsidP="00225D4D">
      <w:r w:rsidRPr="00225D4D">
        <w:t>Som en del av oppfølgingen av dette anmodningsvedtaket har Klima- og miljødepartementet bestilt et oppdatert kunnskapsgrunnlag fra Miljødirektoratet om barrierer og potensial for utslippskutt i bygge- og anleggsbransjen. Dette kunnskapsgrunnlaget ble levert 26. mai 2023. I rapporten er offentlige anbud et av flere virkemiddel som kan bidra til å redusere barrierer for omstillingen av bygge- og anleggsnæringen. Klima- og miljødepartementet har gitt Miljødirektoratet i oppdrag å utrede krav i offentlige anskaffelser. I del 1 av oppdraget gir Miljødirektoratet en vurdering av mulig innretning av et slikt krav, overordnet vurdering av mulige effekter og samspill mellom et krav i offentlige anskaffelser og andre eksisterende og foreslåtte virkemidler. I del 2 av oppdraget foreslår Miljødirektoratet i samarbeid med Direktoratet for forvaltning og økonomistyring en forskriftstekst med tilhørende konsekvensutredning og høringsnotat. Oppdraget ble oversendt Klima- og miljødepartementet 12. mai 2025. I april 2025 fikk kommunene hjemmel i forskrift etter forurensningsloven til å påby bruk av nullutslippsløsninger og biogass på bygge- og anleggsplasser innen kommunegrensen. Oslo kommune har på høring et forslag til innretning av slike krav. Før regjeringen sender et ev. forslag til minimumskrav ved offentlige bygge- og anleggsplasser på høring, vil regjeringen vurdere erfaringer fra kommuner som innfører lignende klimakrav til bygg- og anleggsplasser, herunder konsekvenser for aktiviteten i næringen og utbyggingskostnader. Dersom regjeringen velger å innføre minimumskravene vil det, avhengig av tidspunktet for innføring, kunne gi en reduksjon i utslippene på opptil 0,6 millioner tonn over perioden til 2030.</w:t>
      </w:r>
    </w:p>
    <w:p w14:paraId="3CCF6B3F" w14:textId="77777777" w:rsidR="00D60186" w:rsidRPr="00225D4D" w:rsidRDefault="00D60186" w:rsidP="00225D4D">
      <w:r w:rsidRPr="00225D4D">
        <w:t>Departementet anser med dette vedtaket som fulgt opp.</w:t>
      </w:r>
    </w:p>
    <w:p w14:paraId="7C5216EA" w14:textId="77777777" w:rsidR="00D60186" w:rsidRPr="00225D4D" w:rsidRDefault="00D60186" w:rsidP="00225D4D">
      <w:pPr>
        <w:pStyle w:val="avsnitt-tittel"/>
      </w:pPr>
      <w:r w:rsidRPr="00225D4D">
        <w:t>Forbud mot bruk av fossile brensler på byggeplasser</w:t>
      </w:r>
    </w:p>
    <w:p w14:paraId="744616B3" w14:textId="77777777" w:rsidR="00D60186" w:rsidRPr="00225D4D" w:rsidRDefault="00D60186" w:rsidP="00225D4D">
      <w:pPr>
        <w:pStyle w:val="avsnitt-undertittel"/>
      </w:pPr>
      <w:r w:rsidRPr="00225D4D">
        <w:t>Vedtak nr. 35.11, 2. desember 2021</w:t>
      </w:r>
    </w:p>
    <w:p w14:paraId="3FE1CF6F" w14:textId="77777777" w:rsidR="00D60186" w:rsidRPr="00225D4D" w:rsidRDefault="00D60186" w:rsidP="00225D4D">
      <w:pPr>
        <w:pStyle w:val="blokksit"/>
        <w:rPr>
          <w:rStyle w:val="kursiv"/>
        </w:rPr>
      </w:pPr>
      <w:r w:rsidRPr="00225D4D">
        <w:rPr>
          <w:rStyle w:val="kursiv"/>
        </w:rPr>
        <w:t>«Stortinget ber regjeringen utrede forbud mot bruk av fossile brensler på byggeplasser og melde tilbake til Stortinget senest i forbindelse med revidert nasjonalbudsjett 2022.»</w:t>
      </w:r>
    </w:p>
    <w:p w14:paraId="54DF9949" w14:textId="77777777" w:rsidR="00D60186" w:rsidRPr="00225D4D" w:rsidRDefault="00D60186" w:rsidP="00225D4D">
      <w:r w:rsidRPr="00225D4D">
        <w:t xml:space="preserve">Vedtaket ble gjort ved behandlingen av innstilling fra finanskomiteen om nasjonalbudsjettet for 2022 og forslaget til statsbudsjett for 2022, jf. </w:t>
      </w:r>
      <w:proofErr w:type="spellStart"/>
      <w:r w:rsidRPr="00225D4D">
        <w:t>Innst</w:t>
      </w:r>
      <w:proofErr w:type="spellEnd"/>
      <w:r w:rsidRPr="00225D4D">
        <w:t>. 2 S (2021–2022).</w:t>
      </w:r>
    </w:p>
    <w:p w14:paraId="210855B2" w14:textId="77777777" w:rsidR="00D60186" w:rsidRPr="00225D4D" w:rsidRDefault="00D60186" w:rsidP="00225D4D">
      <w:r w:rsidRPr="00225D4D">
        <w:t>Som en del av oppfølgingen av dette anmodningsvedtaket har Klima- og miljødepartementet bestilt et oppdatert kunnskapsgrunnlag fra Miljødirektoratet om barrierer og potensial for utslippskutt i bygge- og anleggsvirksomhet. Dette kunnskapsgrunnlaget ble levert 26. mai 2023. Fordelene og ulempene ved å varsle et forbud mot fossile brensler langt fram i tid er et virkemiddel som må utredes nærmere. Derfor har Klima- og miljødepartementet gitt Miljødirektoratet i oppdrag å utrede et forbud mot fossile brensler på byggeplasser. Departementet mottok rapporten «Utredning av virkemidler for en omstilling til utslippsfrie bygge- og anleggsplasser – del 1» 27. juni 2025. Direktoratet vurderer at et forbud mot fossile brensler på bygge- og anleggsplasser er et lite egnet virkemiddel for å nå målet om utslippsfrie bygge- og anleggsplasser.</w:t>
      </w:r>
    </w:p>
    <w:p w14:paraId="57CC4EC7" w14:textId="77777777" w:rsidR="00D60186" w:rsidRPr="00225D4D" w:rsidRDefault="00D60186" w:rsidP="00225D4D">
      <w:r w:rsidRPr="00225D4D">
        <w:t>Årsaken er at et slikt forbud åpner opp for bruk av biodrivstoff. For å oppnå en omstilling til utslippsfrie bygge- og anleggsplasser, mener direktoratet at det er mest hensiktsmessig å innføre et krav til utslippsfri energibruk på bygge- og anleggsplasser. Det er imidlertid for tidlig å forskriftsfeste et krav om tilnærmet 100 prosent utslippsfri energibruk på bygge- og anleggsplasser i dag. Basert på behovet for videre markedsutvikling og at aktørene vil måtte begynne å tilpasse seg flere år før et slikt krav trer i kraft, mener direktoratet at innføring av et krav om tilnærmet 100 prosent utslippsfritt kan være aktuelt å innføre nærmere 2040 eller litt senere. Det vil i forkant av dette være behov for en nærmere utredning. Direktoratet anbefaler å følge opp andre virkemidler for innfasing av nullutslippsteknologi på bygge- og anleggsplasser blant annet minimumskrav i offentlige anskaffelser. Dette virkemiddelet vil bli vurdert nærmere, etter å ha høstet erfaring fra kommuner som velger å innføre lignende krav.</w:t>
      </w:r>
    </w:p>
    <w:p w14:paraId="53F6FC36" w14:textId="77777777" w:rsidR="00D60186" w:rsidRPr="00225D4D" w:rsidRDefault="00D60186" w:rsidP="00225D4D">
      <w:r w:rsidRPr="00225D4D">
        <w:t>Departementet anser med dette vedtaket som fulgt opp.</w:t>
      </w:r>
    </w:p>
    <w:p w14:paraId="45368E3D" w14:textId="77777777" w:rsidR="00D60186" w:rsidRPr="00225D4D" w:rsidRDefault="00D60186" w:rsidP="00225D4D">
      <w:pPr>
        <w:pStyle w:val="avsnitt-tittel"/>
      </w:pPr>
      <w:r w:rsidRPr="00225D4D">
        <w:t>Oppfylle mål om 10 pst. vern av kyst- og havområder og fremme nasjonal plan for marint vern</w:t>
      </w:r>
    </w:p>
    <w:p w14:paraId="58FBA635" w14:textId="77777777" w:rsidR="00D60186" w:rsidRPr="00225D4D" w:rsidRDefault="00D60186" w:rsidP="00225D4D">
      <w:pPr>
        <w:pStyle w:val="avsnitt-undertittel"/>
      </w:pPr>
      <w:r w:rsidRPr="00225D4D">
        <w:t>Vedtak nr. 35.20, 2. desember 2021</w:t>
      </w:r>
    </w:p>
    <w:p w14:paraId="4924163F" w14:textId="77777777" w:rsidR="00D60186" w:rsidRPr="00225D4D" w:rsidRDefault="00D60186" w:rsidP="00225D4D">
      <w:pPr>
        <w:pStyle w:val="blokksit"/>
        <w:rPr>
          <w:rStyle w:val="kursiv"/>
        </w:rPr>
      </w:pPr>
      <w:r w:rsidRPr="00225D4D">
        <w:rPr>
          <w:rStyle w:val="kursiv"/>
        </w:rPr>
        <w:t>«Stortinget ber regjeringen oppfylle målet om 10 pst. vern av kyst- og havområder innen 2030, og fremme nasjonal plan for marint vern».</w:t>
      </w:r>
    </w:p>
    <w:p w14:paraId="0876444F" w14:textId="77777777" w:rsidR="00D60186" w:rsidRPr="00225D4D" w:rsidRDefault="00D60186" w:rsidP="00225D4D">
      <w:r w:rsidRPr="00225D4D">
        <w:t xml:space="preserve">Vedtaket ble gjort ved behandlingen av innstilling fra finanskomiteen om nasjonalbudsjettet for 2022 og forslaget til statsbudsjett for 2022, jf. </w:t>
      </w:r>
      <w:proofErr w:type="spellStart"/>
      <w:r w:rsidRPr="00225D4D">
        <w:t>Innst</w:t>
      </w:r>
      <w:proofErr w:type="spellEnd"/>
      <w:r w:rsidRPr="00225D4D">
        <w:t>. 2 S (2021–2022).</w:t>
      </w:r>
    </w:p>
    <w:p w14:paraId="3C2740DF" w14:textId="77777777" w:rsidR="00D60186" w:rsidRPr="00225D4D" w:rsidRDefault="00D60186" w:rsidP="00225D4D">
      <w:r w:rsidRPr="00225D4D">
        <w:t xml:space="preserve">Oppfølgingen av tiltakene i Meld. St. 29 (2020–2021) </w:t>
      </w:r>
      <w:proofErr w:type="spellStart"/>
      <w:r w:rsidRPr="00225D4D">
        <w:rPr>
          <w:rStyle w:val="kursiv"/>
        </w:rPr>
        <w:t>Heilskapleg</w:t>
      </w:r>
      <w:proofErr w:type="spellEnd"/>
      <w:r w:rsidRPr="00225D4D">
        <w:rPr>
          <w:rStyle w:val="kursiv"/>
        </w:rPr>
        <w:t xml:space="preserve"> nasjonal plan for bevaring av viktige område for marin natur</w:t>
      </w:r>
      <w:r w:rsidRPr="00225D4D">
        <w:t xml:space="preserve"> står sentralt i arbeidet med vern av kyst- og havområder, jf. omtale i Meld. St. 21 (2023–2024) </w:t>
      </w:r>
      <w:r w:rsidRPr="00225D4D">
        <w:rPr>
          <w:rStyle w:val="kursiv"/>
        </w:rPr>
        <w:t>Helhetlige forvaltningsplaner for de norske havområdene</w:t>
      </w:r>
      <w:r w:rsidRPr="00225D4D">
        <w:t xml:space="preserve"> og Meld. St. 35 (2023–2024) </w:t>
      </w:r>
      <w:r w:rsidRPr="00225D4D">
        <w:rPr>
          <w:rStyle w:val="kursiv"/>
        </w:rPr>
        <w:t>Bærekraftig bruk og bevaring av natur – Norsk handlingsplan for naturmangfold</w:t>
      </w:r>
      <w:r w:rsidRPr="00225D4D">
        <w:t>. Hittil er ca. 4,2 prosent av norske havområder vernet. Dette inkluderer verneområder ved fastlands-Norge, Svalbard, Jan Mayen og Bouvetøya. 19 av 36 områder langs kysten av fastlands-Norge som ble identifisert som kandidatområder for vern i den marine verneplanen fra 2004, er vernet. Lov 10. juni 2025 nr. 33 om vern av marin natur utenfor territorialfarvannet (havvernloven) gir hjemmel til å opprette marine verneområder i alle havområder under norsk jurisdiksjon utenfor territorialfarvannet og blir et viktig virkemiddel for å gjennomføre vedtaket. Det er videre satt i gang arbeid med å identifisere nye kandidatområder for vern, inkludert utenfor territorialfarvannet.</w:t>
      </w:r>
    </w:p>
    <w:p w14:paraId="48F0915D" w14:textId="77777777" w:rsidR="00D60186" w:rsidRPr="00225D4D" w:rsidRDefault="00D60186" w:rsidP="00225D4D">
      <w:r w:rsidRPr="00225D4D">
        <w:t>Regjeringen vil komme tilbake til Stortinget på egnet måte.</w:t>
      </w:r>
    </w:p>
    <w:p w14:paraId="50057B45" w14:textId="77777777" w:rsidR="00D60186" w:rsidRPr="00225D4D" w:rsidRDefault="00D60186" w:rsidP="00225D4D">
      <w:pPr>
        <w:pStyle w:val="avsnitt-tittel"/>
      </w:pPr>
      <w:r w:rsidRPr="00225D4D">
        <w:t>Virkemidler som kan bidra til å gjøre direkte karbonfangst fra luft (DAC) lønnsomt</w:t>
      </w:r>
    </w:p>
    <w:p w14:paraId="7D56E1C6" w14:textId="77777777" w:rsidR="00D60186" w:rsidRPr="00225D4D" w:rsidRDefault="00D60186" w:rsidP="00225D4D">
      <w:pPr>
        <w:pStyle w:val="avsnitt-undertittel"/>
      </w:pPr>
      <w:r w:rsidRPr="00225D4D">
        <w:t>Vedtak nr. 713, 10. juni 2022</w:t>
      </w:r>
    </w:p>
    <w:p w14:paraId="092075B9" w14:textId="77777777" w:rsidR="00D60186" w:rsidRPr="00225D4D" w:rsidRDefault="00D60186" w:rsidP="00225D4D">
      <w:pPr>
        <w:pStyle w:val="blokksit"/>
        <w:rPr>
          <w:rStyle w:val="kursiv"/>
        </w:rPr>
      </w:pPr>
      <w:r w:rsidRPr="00225D4D">
        <w:rPr>
          <w:rStyle w:val="kursiv"/>
        </w:rPr>
        <w:t>«Stortinget ber regjeringen vurdere virkemidler som kan bidra til å gjøre direkte karbonfangst fra luft (DAC) lønnsomt, herunder hvordan CO</w:t>
      </w:r>
      <w:r w:rsidRPr="00225D4D">
        <w:rPr>
          <w:rStyle w:val="skrift-senket"/>
        </w:rPr>
        <w:t>2</w:t>
      </w:r>
      <w:r w:rsidRPr="00225D4D">
        <w:rPr>
          <w:rStyle w:val="kursiv"/>
        </w:rPr>
        <w:t>-avgiften og handlingsrommet innenfor kvotehandelssystemet kan innrettes for å få til dette.»</w:t>
      </w:r>
    </w:p>
    <w:p w14:paraId="3D50F95F" w14:textId="77777777" w:rsidR="00D60186" w:rsidRPr="00225D4D" w:rsidRDefault="00D60186" w:rsidP="00225D4D">
      <w:r w:rsidRPr="00225D4D">
        <w:t xml:space="preserve">Vedtaket ble gjort i behandlingen av Meld. St. 11 (2021–2022), tilleggsmelding til Meld. St. 36 (2020–2021), jf. </w:t>
      </w:r>
      <w:proofErr w:type="spellStart"/>
      <w:r w:rsidRPr="00225D4D">
        <w:t>Innst</w:t>
      </w:r>
      <w:proofErr w:type="spellEnd"/>
      <w:r w:rsidRPr="00225D4D">
        <w:t>. 446 S (2021–2022).</w:t>
      </w:r>
    </w:p>
    <w:p w14:paraId="667B9012" w14:textId="77777777" w:rsidR="00D60186" w:rsidRPr="00225D4D" w:rsidRDefault="00D60186" w:rsidP="00225D4D">
      <w:r w:rsidRPr="00225D4D">
        <w:t>I 2024 fikk Gassnova SF i oppdrag fra Energidepartementet og Klima- og miljødepartementet å utrede virkemidler for å fremme utvikling og bruk av CO</w:t>
      </w:r>
      <w:r w:rsidRPr="00225D4D">
        <w:rPr>
          <w:rStyle w:val="skrift-senket"/>
        </w:rPr>
        <w:t>2</w:t>
      </w:r>
      <w:r w:rsidRPr="00225D4D">
        <w:t xml:space="preserve">-håndtering i Norge. I arbeidet skulle </w:t>
      </w:r>
      <w:proofErr w:type="spellStart"/>
      <w:r w:rsidRPr="00225D4D">
        <w:t>Enova</w:t>
      </w:r>
      <w:proofErr w:type="spellEnd"/>
      <w:r w:rsidRPr="00225D4D">
        <w:t xml:space="preserve">, Miljødirektoratet og andre relevante statlige aktører involveres. Det ble våren 2025 presisert at utredningen skal prioritere fangst og lagring av negative utslipp, det vil si fjerning av </w:t>
      </w:r>
      <w:proofErr w:type="spellStart"/>
      <w:r w:rsidRPr="00225D4D">
        <w:t>biogent</w:t>
      </w:r>
      <w:proofErr w:type="spellEnd"/>
      <w:r w:rsidRPr="00225D4D">
        <w:t xml:space="preserve"> CO</w:t>
      </w:r>
      <w:r w:rsidRPr="00225D4D">
        <w:rPr>
          <w:rStyle w:val="skrift-senket"/>
        </w:rPr>
        <w:t>2</w:t>
      </w:r>
      <w:r w:rsidRPr="00225D4D">
        <w:t xml:space="preserve"> eller CO</w:t>
      </w:r>
      <w:r w:rsidRPr="00225D4D">
        <w:rPr>
          <w:rStyle w:val="skrift-senket"/>
        </w:rPr>
        <w:t>2</w:t>
      </w:r>
      <w:r w:rsidRPr="00225D4D">
        <w:t xml:space="preserve"> fra lufta (DACCS). Negative utslipp er i dag ikke omfattet av reguleringer som reflekterer samfunnsnytten ved å fjerne CO</w:t>
      </w:r>
      <w:r w:rsidRPr="00225D4D">
        <w:rPr>
          <w:rStyle w:val="skrift-senket"/>
        </w:rPr>
        <w:t>2</w:t>
      </w:r>
      <w:r w:rsidRPr="00225D4D">
        <w:t xml:space="preserve"> fra karbonkretsløpet, selv om klimaeffekten er den samme som ved fossile utslipp. Manglende prising av negative utslipp utgjør derfor en markedssvikt.</w:t>
      </w:r>
    </w:p>
    <w:p w14:paraId="2D52E539" w14:textId="77777777" w:rsidR="00D60186" w:rsidRPr="00225D4D" w:rsidRDefault="00D60186" w:rsidP="00225D4D">
      <w:r w:rsidRPr="00225D4D">
        <w:t>For å korrigere for denne markedssvikten tar regjeringen sikte på å legge frem et forslag til en ordning som gir rett på et fast tilskudd per tonn CO</w:t>
      </w:r>
      <w:r w:rsidRPr="00225D4D">
        <w:rPr>
          <w:rStyle w:val="skrift-senket"/>
        </w:rPr>
        <w:t>2</w:t>
      </w:r>
      <w:r w:rsidRPr="00225D4D">
        <w:t xml:space="preserve"> for negative utslipp i statsbudsjettet for 2027. En slik ordning sørger for at det også blir insentiv for reduksjon av </w:t>
      </w:r>
      <w:proofErr w:type="spellStart"/>
      <w:r w:rsidRPr="00225D4D">
        <w:t>biogene</w:t>
      </w:r>
      <w:proofErr w:type="spellEnd"/>
      <w:r w:rsidRPr="00225D4D">
        <w:t xml:space="preserve"> utslipp.</w:t>
      </w:r>
    </w:p>
    <w:p w14:paraId="603077A6" w14:textId="77777777" w:rsidR="00D60186" w:rsidRPr="00225D4D" w:rsidRDefault="00D60186" w:rsidP="00225D4D">
      <w:r w:rsidRPr="00225D4D">
        <w:t>Departementet anser med dette vedtaket som fulgt opp.</w:t>
      </w:r>
    </w:p>
    <w:p w14:paraId="3E6B0122" w14:textId="77777777" w:rsidR="00D60186" w:rsidRPr="00225D4D" w:rsidRDefault="00D60186" w:rsidP="00225D4D">
      <w:pPr>
        <w:pStyle w:val="avsnitt-tittel"/>
      </w:pPr>
      <w:r w:rsidRPr="00225D4D">
        <w:t>Levere en plan for harmonisering av rammeverk for biogass i Norden</w:t>
      </w:r>
    </w:p>
    <w:p w14:paraId="2A17496C" w14:textId="77777777" w:rsidR="00D60186" w:rsidRPr="00225D4D" w:rsidRDefault="00D60186" w:rsidP="00225D4D">
      <w:pPr>
        <w:pStyle w:val="avsnitt-undertittel"/>
      </w:pPr>
      <w:r w:rsidRPr="00225D4D">
        <w:t>Vedtak nr. 753, 10. juni 2022</w:t>
      </w:r>
    </w:p>
    <w:p w14:paraId="5A68866E" w14:textId="77777777" w:rsidR="00D60186" w:rsidRPr="00225D4D" w:rsidRDefault="00D60186" w:rsidP="00225D4D">
      <w:pPr>
        <w:pStyle w:val="blokksit"/>
        <w:rPr>
          <w:rStyle w:val="kursiv"/>
        </w:rPr>
      </w:pPr>
      <w:r w:rsidRPr="00225D4D">
        <w:rPr>
          <w:rStyle w:val="kursiv"/>
        </w:rPr>
        <w:t>«Stortinget ber regjeringen om å følge opp initiativ til å harmonisere rammevilkårene for biogassproduksjon i Norden og komme tilbake til Stortinget med en plan for dette i forbindelse med budsjett for 2023, samtidig gjennomgå virkemidler for biogass i andre nordiske land og vurdere endringer for å sikre at norske biogassprodusenter er mer konkurransedyktige i møte med utenlandsk gassproduksjon.»</w:t>
      </w:r>
    </w:p>
    <w:p w14:paraId="76FA0DC3" w14:textId="77777777" w:rsidR="00D60186" w:rsidRPr="00225D4D" w:rsidRDefault="00D60186" w:rsidP="00225D4D">
      <w:r w:rsidRPr="00225D4D">
        <w:t xml:space="preserve">Vedtaket ble gjort i behandlingen av Meld. St. 11 (2021–2022), tilleggsmelding til Meld. St. 36 (2020–2021), jf. </w:t>
      </w:r>
      <w:proofErr w:type="spellStart"/>
      <w:r w:rsidRPr="00225D4D">
        <w:t>Innst</w:t>
      </w:r>
      <w:proofErr w:type="spellEnd"/>
      <w:r w:rsidRPr="00225D4D">
        <w:t>. 446 S (2021–2022).</w:t>
      </w:r>
    </w:p>
    <w:p w14:paraId="71EEEFF1" w14:textId="77777777" w:rsidR="00D60186" w:rsidRPr="00225D4D" w:rsidRDefault="00D60186" w:rsidP="00225D4D">
      <w:r w:rsidRPr="00225D4D">
        <w:t>Miljødirektoratet har, på oppdrag fra departementet, levert en rapport som gjennomgår virkemidlene for biogass i Norge, Sverige og Danmark. Alle landene har virkemidler for produksjon og bruk av biogass, men virkemidlene treffer ulike deler av verdikjeden og har ulik størrelse. Landene har i tillegg strukturelle forskjeller som gjør det vanskelig å sammenligne effekten av ulike virkemidler på tvers av landene.</w:t>
      </w:r>
    </w:p>
    <w:p w14:paraId="7677E55C" w14:textId="77777777" w:rsidR="00D60186" w:rsidRPr="00225D4D" w:rsidRDefault="00D60186" w:rsidP="00225D4D">
      <w:r w:rsidRPr="00225D4D">
        <w:t xml:space="preserve">Miljødirektoratet kom ikke med tilrådninger om å endre rammevilkårene i Norge. Den norske modellen med blant annet investeringsstøtte gjennom </w:t>
      </w:r>
      <w:proofErr w:type="spellStart"/>
      <w:r w:rsidRPr="00225D4D">
        <w:t>Enova</w:t>
      </w:r>
      <w:proofErr w:type="spellEnd"/>
      <w:r w:rsidRPr="00225D4D">
        <w:t xml:space="preserve"> og fritak fra CO</w:t>
      </w:r>
      <w:r w:rsidRPr="00225D4D">
        <w:rPr>
          <w:rStyle w:val="skrift-senket"/>
        </w:rPr>
        <w:t>2</w:t>
      </w:r>
      <w:r w:rsidRPr="00225D4D">
        <w:t>-avgiften er basert på å prise ulike eksterne effekter fra bruk av biogass, og kjennetegnes med å være effektive virkemidler i klimapolitikken. På nåværende tidspunkt er det derfor ikke aktuelt for Norge å harmonisere rammevilkårene med Danmark og Sverige.</w:t>
      </w:r>
    </w:p>
    <w:p w14:paraId="70A70184" w14:textId="77777777" w:rsidR="00D60186" w:rsidRPr="00225D4D" w:rsidRDefault="00D60186" w:rsidP="00225D4D">
      <w:r w:rsidRPr="00225D4D">
        <w:t xml:space="preserve">I 2024 bidro </w:t>
      </w:r>
      <w:proofErr w:type="spellStart"/>
      <w:r w:rsidRPr="00225D4D">
        <w:t>Enova</w:t>
      </w:r>
      <w:proofErr w:type="spellEnd"/>
      <w:r w:rsidRPr="00225D4D">
        <w:t xml:space="preserve"> til historisk høy støtte til biogassproduksjon. Økt støtte fra </w:t>
      </w:r>
      <w:proofErr w:type="spellStart"/>
      <w:r w:rsidRPr="00225D4D">
        <w:t>Enova</w:t>
      </w:r>
      <w:proofErr w:type="spellEnd"/>
      <w:r w:rsidRPr="00225D4D">
        <w:t xml:space="preserve"> til flere biogassprosjekter tilsier at markedet for biogass er under utvikling. Fremover vil departementet følge opp om prosjektene realiseres. På bakgrunn av dette, vurderer departementet at det ikke er behov for å utarbeide en egen plan for biogassproduksjon.</w:t>
      </w:r>
    </w:p>
    <w:p w14:paraId="51F211F9" w14:textId="77777777" w:rsidR="00D60186" w:rsidRPr="00225D4D" w:rsidRDefault="00D60186" w:rsidP="00225D4D">
      <w:r w:rsidRPr="00225D4D">
        <w:t>Departementet anser med dette vedtaket som fulgt opp.</w:t>
      </w:r>
    </w:p>
    <w:p w14:paraId="4EA86263" w14:textId="77777777" w:rsidR="00D60186" w:rsidRPr="00225D4D" w:rsidRDefault="00D60186" w:rsidP="00225D4D">
      <w:pPr>
        <w:pStyle w:val="Overskrift2"/>
      </w:pPr>
      <w:r w:rsidRPr="00225D4D">
        <w:t>Stortingssesjon 2020–2021</w:t>
      </w:r>
    </w:p>
    <w:p w14:paraId="2CD33D24" w14:textId="77777777" w:rsidR="00D60186" w:rsidRPr="00225D4D" w:rsidRDefault="00D60186" w:rsidP="00225D4D">
      <w:pPr>
        <w:pStyle w:val="avsnitt-tittel"/>
      </w:pPr>
      <w:r w:rsidRPr="00225D4D">
        <w:t>Nasjonal plan for å gjøre land- og ladestrøm, hydrogen, ammoniakk og andre grønne drivstoff tilgjengelig</w:t>
      </w:r>
    </w:p>
    <w:p w14:paraId="3EDD6B5D" w14:textId="77777777" w:rsidR="00D60186" w:rsidRPr="00225D4D" w:rsidRDefault="00D60186" w:rsidP="00225D4D">
      <w:pPr>
        <w:pStyle w:val="avsnitt-undertittel"/>
      </w:pPr>
      <w:r w:rsidRPr="00225D4D">
        <w:t>Vedtak nr. 831, 22. april 2021</w:t>
      </w:r>
    </w:p>
    <w:p w14:paraId="4F6CAE18" w14:textId="77777777" w:rsidR="00D60186" w:rsidRPr="00225D4D" w:rsidRDefault="00D60186" w:rsidP="00225D4D">
      <w:pPr>
        <w:pStyle w:val="blokksit"/>
        <w:rPr>
          <w:rStyle w:val="kursiv"/>
        </w:rPr>
      </w:pPr>
      <w:r w:rsidRPr="00225D4D">
        <w:rPr>
          <w:rStyle w:val="kursiv"/>
        </w:rPr>
        <w:t>«Stortinget ber regjeringen komme tilbake til Stortinget med en nasjonal plan for å gjøre land- og ladestrøm, hydrogen, ammoniakk og andre grønne drivstoff tilgjengelig.»</w:t>
      </w:r>
    </w:p>
    <w:p w14:paraId="175FAA5C" w14:textId="77777777" w:rsidR="00D60186" w:rsidRPr="00225D4D" w:rsidRDefault="00D60186" w:rsidP="00225D4D">
      <w:r w:rsidRPr="00225D4D">
        <w:t xml:space="preserve">Vedtaket ble gjort ved behandlingen av Meld. St. 10 (2020–2021) </w:t>
      </w:r>
      <w:r w:rsidRPr="00225D4D">
        <w:rPr>
          <w:rStyle w:val="kursiv"/>
        </w:rPr>
        <w:t>Grønnere og smartere – morgendagens maritime næring</w:t>
      </w:r>
      <w:r w:rsidRPr="00225D4D">
        <w:t xml:space="preserve">, jf. </w:t>
      </w:r>
      <w:proofErr w:type="spellStart"/>
      <w:r w:rsidRPr="00225D4D">
        <w:t>Innst</w:t>
      </w:r>
      <w:proofErr w:type="spellEnd"/>
      <w:r w:rsidRPr="00225D4D">
        <w:t>. 338 S (2020–2021).</w:t>
      </w:r>
    </w:p>
    <w:p w14:paraId="4C174484" w14:textId="77777777" w:rsidR="00D60186" w:rsidRPr="00225D4D" w:rsidRDefault="00D60186" w:rsidP="00225D4D">
      <w:r w:rsidRPr="00225D4D">
        <w:t xml:space="preserve">Anmodningsvedtaket er fulgt opp gjennom Meld. St. 25 (2024–2025) </w:t>
      </w:r>
      <w:r w:rsidRPr="00225D4D">
        <w:rPr>
          <w:rStyle w:val="kursiv"/>
        </w:rPr>
        <w:t>Klimamelding 2035 – på vei mot lavutslippssamfunnet</w:t>
      </w:r>
      <w:r w:rsidRPr="00225D4D">
        <w:t xml:space="preserve"> som regjeringen la fram våren 2025. I meldingens kapittel 6.9.2 er regjeringens plan for tilgjengeliggjøring av klimavennlig drivstoff i skipsfarten beskrevet.</w:t>
      </w:r>
    </w:p>
    <w:p w14:paraId="33AC6587" w14:textId="77777777" w:rsidR="00D60186" w:rsidRPr="00225D4D" w:rsidRDefault="00D60186" w:rsidP="00225D4D">
      <w:r w:rsidRPr="00225D4D">
        <w:t>Departementet anser med dette vedtaket som fulgt opp.</w:t>
      </w:r>
    </w:p>
    <w:p w14:paraId="77BFC342" w14:textId="77777777" w:rsidR="00D60186" w:rsidRPr="00225D4D" w:rsidRDefault="00D60186" w:rsidP="00225D4D">
      <w:pPr>
        <w:pStyle w:val="avsnitt-tittel"/>
      </w:pPr>
      <w:r w:rsidRPr="00225D4D">
        <w:t>Forslag om revidering av motorferdselloven</w:t>
      </w:r>
    </w:p>
    <w:p w14:paraId="12B2A54E" w14:textId="77777777" w:rsidR="00D60186" w:rsidRPr="00225D4D" w:rsidRDefault="00D60186" w:rsidP="00225D4D">
      <w:pPr>
        <w:pStyle w:val="avsnitt-undertittel"/>
      </w:pPr>
      <w:r w:rsidRPr="00225D4D">
        <w:t>Vedtak nr. 973, 25. mai 2021</w:t>
      </w:r>
    </w:p>
    <w:p w14:paraId="6A7C4B38" w14:textId="77777777" w:rsidR="00D60186" w:rsidRPr="00225D4D" w:rsidRDefault="00D60186" w:rsidP="00225D4D">
      <w:pPr>
        <w:pStyle w:val="blokksit"/>
        <w:rPr>
          <w:rStyle w:val="kursiv"/>
        </w:rPr>
      </w:pPr>
      <w:r w:rsidRPr="00225D4D">
        <w:rPr>
          <w:rStyle w:val="kursiv"/>
        </w:rPr>
        <w:t>«Stortinget ber regjeringen fremme forslag om revidering av lov om motorferdsel i utmark og vassdrag med sikte på økt lokalt selvstyre og redusert byråkrati knyttet til praktiseringen av loven, samtidig som hensyn til natur og friluftsliv blir ivaretatt.»</w:t>
      </w:r>
    </w:p>
    <w:p w14:paraId="3D5E91CA" w14:textId="77777777" w:rsidR="00D60186" w:rsidRPr="00225D4D" w:rsidRDefault="00D60186" w:rsidP="00225D4D">
      <w:r w:rsidRPr="00225D4D">
        <w:t xml:space="preserve">Vedtaket ble gjort ved behandlingen av Dokument 8:155 S (2020–2021), </w:t>
      </w:r>
      <w:r w:rsidRPr="00225D4D">
        <w:rPr>
          <w:rStyle w:val="kursiv"/>
        </w:rPr>
        <w:t>Representantforslag om lokalt selvstyre over motorisert ferdsel i utmark</w:t>
      </w:r>
      <w:r w:rsidRPr="00225D4D">
        <w:t xml:space="preserve">, og Dokument 8:161 S (2020–2021), </w:t>
      </w:r>
      <w:r w:rsidRPr="00225D4D">
        <w:rPr>
          <w:rStyle w:val="kursiv"/>
        </w:rPr>
        <w:t>Representantforslag om revidering av lov om motorferdsel i utmark og vassdrag med sikte på redusert byråkrati</w:t>
      </w:r>
      <w:r w:rsidRPr="00225D4D">
        <w:t xml:space="preserve">, jf. </w:t>
      </w:r>
      <w:proofErr w:type="spellStart"/>
      <w:r w:rsidRPr="00225D4D">
        <w:t>Innst</w:t>
      </w:r>
      <w:proofErr w:type="spellEnd"/>
      <w:r w:rsidRPr="00225D4D">
        <w:t>. 429 S (2020–2021)</w:t>
      </w:r>
    </w:p>
    <w:p w14:paraId="700BC22E" w14:textId="58899B95" w:rsidR="00D60186" w:rsidRPr="00225D4D" w:rsidRDefault="00D60186" w:rsidP="00225D4D">
      <w:r w:rsidRPr="00225D4D">
        <w:t>Departementet anser at anmodningsvedtaket er erstattet av vedtak nr.</w:t>
      </w:r>
      <w:r w:rsidR="00225D4D">
        <w:t xml:space="preserve"> </w:t>
      </w:r>
      <w:r w:rsidRPr="00225D4D">
        <w:t>1098 som ble fattet 16. juni 2025 og det vises til omtale under dette vedtaket. I tråd med det nyeste vedtaket, tar departementet sikte på å fremme en proposisjon med forslag til ny motorferdsellov for Stortinget 2026.</w:t>
      </w:r>
    </w:p>
    <w:p w14:paraId="0E2549B6" w14:textId="77777777" w:rsidR="00D60186" w:rsidRPr="00225D4D" w:rsidRDefault="00D60186" w:rsidP="00225D4D">
      <w:r w:rsidRPr="00225D4D">
        <w:t>Departementet anser med dette anmodningsvedtaket som fulgt opp.</w:t>
      </w:r>
    </w:p>
    <w:p w14:paraId="47898D47" w14:textId="77777777" w:rsidR="00D60186" w:rsidRPr="00225D4D" w:rsidRDefault="00D60186" w:rsidP="00225D4D">
      <w:pPr>
        <w:pStyle w:val="avsnitt-tittel"/>
      </w:pPr>
      <w:r w:rsidRPr="00225D4D">
        <w:t>Harmonisere rammevilkårene for biogassproduksjon i Norden</w:t>
      </w:r>
    </w:p>
    <w:p w14:paraId="02FDC58C" w14:textId="77777777" w:rsidR="00D60186" w:rsidRPr="00225D4D" w:rsidRDefault="00D60186" w:rsidP="00225D4D">
      <w:pPr>
        <w:pStyle w:val="avsnitt-undertittel"/>
      </w:pPr>
      <w:r w:rsidRPr="00225D4D">
        <w:t>Vedtak nr. 1009, 27. mai 2021</w:t>
      </w:r>
    </w:p>
    <w:p w14:paraId="5C903CC9" w14:textId="77777777" w:rsidR="00D60186" w:rsidRPr="00225D4D" w:rsidRDefault="00D60186" w:rsidP="00225D4D">
      <w:pPr>
        <w:pStyle w:val="blokksit"/>
        <w:rPr>
          <w:rStyle w:val="kursiv"/>
        </w:rPr>
      </w:pPr>
      <w:r w:rsidRPr="00225D4D">
        <w:rPr>
          <w:rStyle w:val="kursiv"/>
        </w:rPr>
        <w:t>«Stortinget ber regjeringen om å ta initiativ til å harmonisere rammevilkårene for biogassproduksjon i Norden og komme tilbake til Stortinget med en plan for dette for å bidra til å utvikle biogassnæringen i Norge.»</w:t>
      </w:r>
    </w:p>
    <w:p w14:paraId="2478DC51" w14:textId="77777777" w:rsidR="00D60186" w:rsidRPr="00225D4D" w:rsidRDefault="00D60186" w:rsidP="00225D4D">
      <w:r w:rsidRPr="00225D4D">
        <w:t xml:space="preserve">Vedtaket ble gjort ved behandlingen av </w:t>
      </w:r>
      <w:proofErr w:type="spellStart"/>
      <w:r w:rsidRPr="00225D4D">
        <w:t>Dok</w:t>
      </w:r>
      <w:proofErr w:type="spellEnd"/>
      <w:r w:rsidRPr="00225D4D">
        <w:t xml:space="preserve">. 8:231 S (2020–2021) </w:t>
      </w:r>
      <w:r w:rsidRPr="00225D4D">
        <w:rPr>
          <w:rStyle w:val="kursiv"/>
        </w:rPr>
        <w:t>Representantforslag om å fjerne de statlige barrierene for produksjon og bruk av biogass</w:t>
      </w:r>
      <w:r w:rsidRPr="00225D4D">
        <w:t xml:space="preserve">, jf. </w:t>
      </w:r>
      <w:proofErr w:type="spellStart"/>
      <w:r w:rsidRPr="00225D4D">
        <w:t>Innst</w:t>
      </w:r>
      <w:proofErr w:type="spellEnd"/>
      <w:r w:rsidRPr="00225D4D">
        <w:t>. 468 S (2020–2021).</w:t>
      </w:r>
    </w:p>
    <w:p w14:paraId="4BA8CC1E" w14:textId="77777777" w:rsidR="00D60186" w:rsidRPr="00225D4D" w:rsidRDefault="00D60186" w:rsidP="00225D4D">
      <w:r w:rsidRPr="00225D4D">
        <w:t>Departementet viser til oppdatering på vedtak nr. 753. om å levere en plan for harmonisering av rammeverk for biogassproduksjon i Norden. Departementet anser med dette vedtaket som fulgt opp.</w:t>
      </w:r>
    </w:p>
    <w:p w14:paraId="25AB79AF" w14:textId="77777777" w:rsidR="00D60186" w:rsidRPr="00225D4D" w:rsidRDefault="00D60186" w:rsidP="00225D4D">
      <w:pPr>
        <w:pStyle w:val="Overskrift2"/>
      </w:pPr>
      <w:r w:rsidRPr="00225D4D">
        <w:t>Stortingssesjon 2018–2019</w:t>
      </w:r>
    </w:p>
    <w:p w14:paraId="3E67FFCC" w14:textId="77777777" w:rsidR="00D60186" w:rsidRPr="00225D4D" w:rsidRDefault="00D60186" w:rsidP="00225D4D">
      <w:pPr>
        <w:pStyle w:val="avsnitt-tittel"/>
      </w:pPr>
      <w:r w:rsidRPr="00225D4D">
        <w:t>Erstatningsreglene ved tap av beitedyr til rovvilt og kompensasjonsordningen (FKT)</w:t>
      </w:r>
    </w:p>
    <w:p w14:paraId="36CD0B0E" w14:textId="77777777" w:rsidR="00D60186" w:rsidRPr="00225D4D" w:rsidRDefault="00D60186" w:rsidP="00225D4D">
      <w:pPr>
        <w:pStyle w:val="avsnitt-undertittel"/>
      </w:pPr>
      <w:r w:rsidRPr="00225D4D">
        <w:t>Vedtak nr. 383, 31. januar 2019</w:t>
      </w:r>
    </w:p>
    <w:p w14:paraId="732DD8AC" w14:textId="77777777" w:rsidR="00D60186" w:rsidRPr="00225D4D" w:rsidRDefault="00D60186" w:rsidP="00225D4D">
      <w:pPr>
        <w:pStyle w:val="blokksit"/>
        <w:rPr>
          <w:rStyle w:val="kursiv"/>
        </w:rPr>
      </w:pPr>
      <w:r w:rsidRPr="00225D4D">
        <w:rPr>
          <w:rStyle w:val="kursiv"/>
        </w:rPr>
        <w:t>«Stortinget ber regjeringen foreta en vurdering av erstatningsordningene for tap av beitedyr til rovvilt og kompensasjonsordningen (FKT) og rapportere til Stortinget på egnet måte.»</w:t>
      </w:r>
    </w:p>
    <w:p w14:paraId="40DE2E5A" w14:textId="77777777" w:rsidR="00D60186" w:rsidRPr="00225D4D" w:rsidRDefault="00D60186" w:rsidP="00225D4D">
      <w:r w:rsidRPr="00225D4D">
        <w:t xml:space="preserve">Vedtaket ble gjort ved behandlingen av Dokument 8:239 S (2017–2018) </w:t>
      </w:r>
      <w:r w:rsidRPr="00225D4D">
        <w:rPr>
          <w:rStyle w:val="kursiv"/>
        </w:rPr>
        <w:t>Representantforslag om</w:t>
      </w:r>
      <w:r w:rsidRPr="00225D4D">
        <w:t xml:space="preserve"> </w:t>
      </w:r>
      <w:r w:rsidRPr="00225D4D">
        <w:rPr>
          <w:rStyle w:val="kursiv"/>
        </w:rPr>
        <w:t>erstatningsreglene ved tap av beitedyr til rovvilt</w:t>
      </w:r>
      <w:r w:rsidRPr="00225D4D">
        <w:t xml:space="preserve">, jf. </w:t>
      </w:r>
      <w:proofErr w:type="spellStart"/>
      <w:r w:rsidRPr="00225D4D">
        <w:t>Innst</w:t>
      </w:r>
      <w:proofErr w:type="spellEnd"/>
      <w:r w:rsidRPr="00225D4D">
        <w:t>. 140 S (2018–2019).</w:t>
      </w:r>
    </w:p>
    <w:p w14:paraId="26A513E1" w14:textId="77777777" w:rsidR="00D60186" w:rsidRPr="00225D4D" w:rsidRDefault="00D60186" w:rsidP="00225D4D">
      <w:r w:rsidRPr="00225D4D">
        <w:t>Departementet er i gang med oppfølgingen av dette vedtaket. Når det gjelder erstatningsordningen for tap av tamrein til rovvilt, har departementet arbeidet en god stund med å vurdere endringer i samarbeid med aktuelle parter. Arbeidet har av ulike årsaker stoppet opp, men det er nå enighet med Sametinget og Norske Reindriftsamers Landsforbund, jf. oppfølgingen av tiltakspakken for reindrift og energi, om å gå videre med å vurdere endringsbehov. Når det gjelder erstatningsordningen for tap av husdyr til rovvilt, er departementet sin vurdering at det kan være behov for enkelte justeringer i ordningen, men at det blant annet av ressursmessige hensyn er tjent at videre vurderinger avventer arbeidet med erstatningsordningen for tamrein. For ordningen med tilskudd til forebyggende tiltak mot rovviltskader og konfliktdempende tiltak (FKT-ordningen), er endringer vedtatt i 2025.</w:t>
      </w:r>
    </w:p>
    <w:p w14:paraId="25F868C5" w14:textId="77777777" w:rsidR="00D60186" w:rsidRPr="00225D4D" w:rsidRDefault="00D60186" w:rsidP="00225D4D">
      <w:r w:rsidRPr="00225D4D">
        <w:t>Regjeringen vil komme tilbake til Stortinget på egnet måte.</w:t>
      </w:r>
    </w:p>
    <w:p w14:paraId="45D812BA" w14:textId="77777777" w:rsidR="00D60186" w:rsidRPr="00225D4D" w:rsidRDefault="00D60186" w:rsidP="00225D4D">
      <w:pPr>
        <w:pStyle w:val="Overskrift2"/>
      </w:pPr>
      <w:r w:rsidRPr="00225D4D">
        <w:t>Stortingssesjon 2017–2018</w:t>
      </w:r>
    </w:p>
    <w:p w14:paraId="0D533627" w14:textId="77777777" w:rsidR="00D60186" w:rsidRPr="00225D4D" w:rsidRDefault="00D60186" w:rsidP="00225D4D">
      <w:pPr>
        <w:pStyle w:val="avsnitt-tittel"/>
      </w:pPr>
      <w:r w:rsidRPr="00225D4D">
        <w:t>Utrede strengere krav til svartvann- og gråvannutslipp fra cruiseskip</w:t>
      </w:r>
    </w:p>
    <w:p w14:paraId="4C511BB5" w14:textId="77777777" w:rsidR="00D60186" w:rsidRPr="00225D4D" w:rsidRDefault="00D60186" w:rsidP="00225D4D">
      <w:pPr>
        <w:pStyle w:val="avsnitt-undertittel"/>
      </w:pPr>
      <w:r w:rsidRPr="00225D4D">
        <w:t>Vedtak nr. 661, 3. mai 2018</w:t>
      </w:r>
    </w:p>
    <w:p w14:paraId="5EA0C8AB" w14:textId="77777777" w:rsidR="00D60186" w:rsidRPr="00225D4D" w:rsidRDefault="00D60186" w:rsidP="00225D4D">
      <w:pPr>
        <w:pStyle w:val="blokksit"/>
        <w:rPr>
          <w:rStyle w:val="kursiv"/>
        </w:rPr>
      </w:pPr>
      <w:r w:rsidRPr="00225D4D">
        <w:rPr>
          <w:rStyle w:val="kursiv"/>
        </w:rPr>
        <w:t>«Stortinget ber regjeringen utrede strengere krav til svartvanns- og gråvannsutslipp fra cruiseskip.»</w:t>
      </w:r>
    </w:p>
    <w:p w14:paraId="593F20C3" w14:textId="77777777" w:rsidR="00D60186" w:rsidRPr="00225D4D" w:rsidRDefault="00D60186" w:rsidP="00225D4D">
      <w:r w:rsidRPr="00225D4D">
        <w:t xml:space="preserve">Vedtaket ble gjort ved behandling av Meld. St. 41 (2016–2017) </w:t>
      </w:r>
      <w:r w:rsidRPr="00225D4D">
        <w:rPr>
          <w:rStyle w:val="kursiv"/>
        </w:rPr>
        <w:t>Klimastrategi for 2030 – norsk omstilling i europeisk samarbeid</w:t>
      </w:r>
      <w:r w:rsidRPr="00225D4D">
        <w:t xml:space="preserve">, jf. </w:t>
      </w:r>
      <w:proofErr w:type="spellStart"/>
      <w:r w:rsidRPr="00225D4D">
        <w:t>Innst</w:t>
      </w:r>
      <w:proofErr w:type="spellEnd"/>
      <w:r w:rsidRPr="00225D4D">
        <w:t>. 253 S (2017–2018).</w:t>
      </w:r>
    </w:p>
    <w:p w14:paraId="65D8AE1B" w14:textId="77777777" w:rsidR="00D60186" w:rsidRPr="00225D4D" w:rsidRDefault="00D60186" w:rsidP="00225D4D">
      <w:r w:rsidRPr="00225D4D">
        <w:t>Sjøfartsdirektoratet har utredet forslag til endring i regelverket for innføring av strengere krav til utslipp av kloakk fra skip langs kysten. En kartlegging fra Miljødirektoratet om mottakskapasiteten for kloakk og kloakkslam i havnene inngår i faggrunnlaget. Sjøfartsdirektoratet har i tildelingsbrevet for 2025 fått i oppdrag å jobbe videre med skjerpede utslippskrav for kloakk langs norskekysten.</w:t>
      </w:r>
    </w:p>
    <w:p w14:paraId="449C36C6" w14:textId="77777777" w:rsidR="00D60186" w:rsidRPr="00225D4D" w:rsidRDefault="00D60186" w:rsidP="00225D4D">
      <w:r w:rsidRPr="00225D4D">
        <w:t>Departementet anser med dette vedtaket som fulgt opp.</w:t>
      </w:r>
    </w:p>
    <w:p w14:paraId="37EE1229" w14:textId="77777777" w:rsidR="00D60186" w:rsidRPr="00225D4D" w:rsidRDefault="00D60186" w:rsidP="00225D4D">
      <w:pPr>
        <w:pStyle w:val="avsnitt-tittel"/>
      </w:pPr>
      <w:proofErr w:type="gramStart"/>
      <w:r w:rsidRPr="00225D4D">
        <w:t>Implementere</w:t>
      </w:r>
      <w:proofErr w:type="gramEnd"/>
      <w:r w:rsidRPr="00225D4D">
        <w:t xml:space="preserve"> krav og reguleringer til utslipp fra cruiseskip og annen skipstrafikk i turistfjorder m.m.</w:t>
      </w:r>
    </w:p>
    <w:p w14:paraId="433B8CA1" w14:textId="77777777" w:rsidR="00D60186" w:rsidRPr="00225D4D" w:rsidRDefault="00D60186" w:rsidP="00225D4D">
      <w:pPr>
        <w:pStyle w:val="avsnitt-undertittel"/>
      </w:pPr>
      <w:r w:rsidRPr="00225D4D">
        <w:t>Vedtak nr. 672, 3. mai 2018</w:t>
      </w:r>
    </w:p>
    <w:p w14:paraId="5E8EDF3E" w14:textId="77777777" w:rsidR="00D60186" w:rsidRPr="00225D4D" w:rsidRDefault="00D60186" w:rsidP="00225D4D">
      <w:pPr>
        <w:pStyle w:val="blokksit"/>
        <w:rPr>
          <w:rStyle w:val="kursiv"/>
        </w:rPr>
      </w:pPr>
      <w:r w:rsidRPr="00225D4D">
        <w:rPr>
          <w:rStyle w:val="kursiv"/>
        </w:rPr>
        <w:t xml:space="preserve">«Stortinget ber regjeringen </w:t>
      </w:r>
      <w:proofErr w:type="gramStart"/>
      <w:r w:rsidRPr="00225D4D">
        <w:rPr>
          <w:rStyle w:val="kursiv"/>
        </w:rPr>
        <w:t>implementere</w:t>
      </w:r>
      <w:proofErr w:type="gramEnd"/>
      <w:r w:rsidRPr="00225D4D">
        <w:rPr>
          <w:rStyle w:val="kursiv"/>
        </w:rPr>
        <w:t xml:space="preserve"> krav og reguleringer til utslipp fra cruiseskip og annen skipstrafikk i turistfjorder samt andre egnede virkemidler for å sørge for innfasing av lav- og null-utslippsløsninger i skipsfarten fram mot 2030, herunder innføre krav om nullutslipp fra turistskip- og ferger i verdensarvfjordene så snart det er teknisk gjennomførbart, og senest innen 2026.»</w:t>
      </w:r>
    </w:p>
    <w:p w14:paraId="2A1736CD" w14:textId="77777777" w:rsidR="00D60186" w:rsidRPr="00225D4D" w:rsidRDefault="00D60186" w:rsidP="00225D4D">
      <w:r w:rsidRPr="00225D4D">
        <w:t xml:space="preserve">Vedtaket ble gjort ved behandling av Meld. St. 41 (2016–2017) </w:t>
      </w:r>
      <w:r w:rsidRPr="00225D4D">
        <w:rPr>
          <w:rStyle w:val="kursiv"/>
        </w:rPr>
        <w:t>Klimastrategi for 2030 – norsk omstilling i europeisk samarbeid</w:t>
      </w:r>
      <w:r w:rsidRPr="00225D4D">
        <w:t xml:space="preserve">, jf. </w:t>
      </w:r>
      <w:proofErr w:type="spellStart"/>
      <w:r w:rsidRPr="00225D4D">
        <w:t>Innst</w:t>
      </w:r>
      <w:proofErr w:type="spellEnd"/>
      <w:r w:rsidRPr="00225D4D">
        <w:t>. 253 S (2017–2018).</w:t>
      </w:r>
    </w:p>
    <w:p w14:paraId="579E11D1" w14:textId="77777777" w:rsidR="00D60186" w:rsidRPr="00225D4D" w:rsidRDefault="00D60186" w:rsidP="00225D4D">
      <w:r w:rsidRPr="00225D4D">
        <w:t>I 2019 ble det innført strengere utslippskrav til skip generelt i verdensarvfjordene. I april 2025 fastsatte Sjøfartsdirektoratet, på vegne av Klima- og miljødepartementet, krav om nullutslipp fra turistskip og ferger i verdensarvfjordene. Dette innebærer krav om nullutslipp fra 1. januar 2026 for alle passasjerskip under 10 000 bruttotonn. For større passasjerskip vil kravene gjelde fra 1. januar 2032. Det er nødvendig med ulik innfasing siden teknologien ikke er moden for de største skipene og for å sikre verdensarvfjordene som anløpshavn også etter 2026 i tråd med anmodningsvedtak nr. 691, 25. februar 2021.</w:t>
      </w:r>
    </w:p>
    <w:p w14:paraId="661E535E" w14:textId="77777777" w:rsidR="00D60186" w:rsidRPr="00225D4D" w:rsidRDefault="00D60186" w:rsidP="00225D4D">
      <w:r w:rsidRPr="00225D4D">
        <w:t>Departementet anser med dette vedtaket som fulgt opp.</w:t>
      </w:r>
    </w:p>
    <w:p w14:paraId="34713230" w14:textId="77777777" w:rsidR="00D60186" w:rsidRPr="00225D4D" w:rsidRDefault="00D60186" w:rsidP="00225D4D">
      <w:pPr>
        <w:pStyle w:val="Overskrift2"/>
      </w:pPr>
      <w:r w:rsidRPr="00225D4D">
        <w:t>Stortingssesjon 2016–2017</w:t>
      </w:r>
    </w:p>
    <w:p w14:paraId="759F2AA2" w14:textId="77777777" w:rsidR="00D60186" w:rsidRPr="00225D4D" w:rsidRDefault="00D60186" w:rsidP="00225D4D">
      <w:pPr>
        <w:pStyle w:val="avsnitt-tittel"/>
      </w:pPr>
      <w:r w:rsidRPr="00225D4D">
        <w:t>Forslag til tiltak og virkemidler for overvannsproblematikk</w:t>
      </w:r>
    </w:p>
    <w:p w14:paraId="763388D3" w14:textId="77777777" w:rsidR="00D60186" w:rsidRPr="00225D4D" w:rsidRDefault="00D60186" w:rsidP="00225D4D">
      <w:pPr>
        <w:pStyle w:val="avsnitt-undertittel"/>
      </w:pPr>
      <w:r w:rsidRPr="00225D4D">
        <w:t>Vedtak nr. 914, 14. juni 2017</w:t>
      </w:r>
    </w:p>
    <w:p w14:paraId="32151026" w14:textId="77777777" w:rsidR="00D60186" w:rsidRPr="00225D4D" w:rsidRDefault="00D60186" w:rsidP="00225D4D">
      <w:pPr>
        <w:pStyle w:val="blokksit"/>
        <w:rPr>
          <w:rStyle w:val="kursiv"/>
        </w:rPr>
      </w:pPr>
      <w:r w:rsidRPr="00225D4D">
        <w:rPr>
          <w:rStyle w:val="kursiv"/>
        </w:rPr>
        <w:t>«Stortinget ber regjeringen gjennomgå anbefalingene fra overvannsutvalget (NOU 2015: 6), og komme tilbake til Stortinget på egnet måte med forslag til tiltak og virkemidler for overvannsproblematikk, inkludert en vurdering av en egen sektorlov for vann- og avløp.»</w:t>
      </w:r>
    </w:p>
    <w:p w14:paraId="6D194144" w14:textId="77777777" w:rsidR="00D60186" w:rsidRPr="00225D4D" w:rsidRDefault="00D60186" w:rsidP="00225D4D">
      <w:r w:rsidRPr="00225D4D">
        <w:t xml:space="preserve">Stortinget gjorde vedtaket ved behandling av </w:t>
      </w:r>
      <w:proofErr w:type="spellStart"/>
      <w:r w:rsidRPr="00225D4D">
        <w:t>Dok</w:t>
      </w:r>
      <w:proofErr w:type="spellEnd"/>
      <w:r w:rsidRPr="00225D4D">
        <w:t xml:space="preserve">. 8:78 S (2016–2017), jf. </w:t>
      </w:r>
      <w:proofErr w:type="spellStart"/>
      <w:r w:rsidRPr="00225D4D">
        <w:t>Innst</w:t>
      </w:r>
      <w:proofErr w:type="spellEnd"/>
      <w:r w:rsidRPr="00225D4D">
        <w:t>. 436 S (2016–2017).</w:t>
      </w:r>
    </w:p>
    <w:p w14:paraId="7CE9C822" w14:textId="77777777" w:rsidR="00D60186" w:rsidRPr="00225D4D" w:rsidRDefault="00D60186" w:rsidP="00225D4D">
      <w:r w:rsidRPr="00225D4D">
        <w:t xml:space="preserve">Overvannsutvalget foreslo en pakke av virkemidler som må sees i sammenheng, og som til sammen vil bidra til å oppnå målene om å forebygge skade på bosetning, infrastruktur, helse og miljø. Endringer i plan- og bygningsloven om håndtering av overvann trådte i kraft 1. januar 2024. Ny vass- og </w:t>
      </w:r>
      <w:proofErr w:type="spellStart"/>
      <w:r w:rsidRPr="00225D4D">
        <w:t>avløpsanleggslov</w:t>
      </w:r>
      <w:proofErr w:type="spellEnd"/>
      <w:r w:rsidRPr="00225D4D">
        <w:t xml:space="preserve"> med endringer i forurensningsloven trer i kraft 1. januar 2026, og ivaretar langt på vei de hensynene som begrunner et ønske om en slik sektorlov. Lovendringene skal bidra til mer effektiv drift av anleggene, og forebygge forurensning og skader fra styrtregn og økte vannmengder. Blant annet tilrettelegger lovendringene for at overvann kan kobles fra avløpsanleggene når det er forsvarlig.</w:t>
      </w:r>
    </w:p>
    <w:p w14:paraId="2FAFB910" w14:textId="77777777" w:rsidR="00D60186" w:rsidRPr="00225D4D" w:rsidRDefault="00D60186" w:rsidP="00225D4D">
      <w:r w:rsidRPr="00225D4D">
        <w:t xml:space="preserve">Som oppfølging av NOU 2015: 16 og Meld. St. 26 </w:t>
      </w:r>
      <w:r w:rsidRPr="00225D4D">
        <w:rPr>
          <w:rStyle w:val="kursiv"/>
        </w:rPr>
        <w:t xml:space="preserve">Klima i endring – sammen for et </w:t>
      </w:r>
      <w:proofErr w:type="gramStart"/>
      <w:r w:rsidRPr="00225D4D">
        <w:rPr>
          <w:rStyle w:val="kursiv"/>
        </w:rPr>
        <w:t>klimarobust</w:t>
      </w:r>
      <w:proofErr w:type="gramEnd"/>
      <w:r w:rsidRPr="00225D4D">
        <w:rPr>
          <w:rStyle w:val="kursiv"/>
        </w:rPr>
        <w:t xml:space="preserve"> samfunn</w:t>
      </w:r>
      <w:r w:rsidRPr="00225D4D">
        <w:t>, har Miljødirektoratet på oppdrag fra Klima- og miljødepartementet sendt forslag til endringer i vass- og avløpsanleggslova og forurensningsforskriften om etablering av overvannsgebyr på høring med frist 15. oktober 2025. I mai 2025 fikk Miljødirektoratet også i oppdrag å sende forslag til nytt kapittel i forurensningsforskriften, med krav til drift, tømming og vedlikehold av sandfang på høring. Miljødirektoratet fikk dessuten et oppdrag i juni 2025 om å beskrive den nåværende rettstilstanden for ansvar for skader forårsaket av avløpsanlegg, samt gjøre en vurdering av om det finnes forhold ved den nåværende rettstilstanden som bør følges opp eller utredes nærmere.</w:t>
      </w:r>
    </w:p>
    <w:p w14:paraId="035B6645" w14:textId="77777777" w:rsidR="00D60186" w:rsidRPr="00225D4D" w:rsidRDefault="00D60186" w:rsidP="00225D4D">
      <w:r w:rsidRPr="00225D4D">
        <w:t>Departementet anser med dette vedtaket som fulgt opp.</w:t>
      </w:r>
    </w:p>
    <w:p w14:paraId="646F152B" w14:textId="77777777" w:rsidR="00D60186" w:rsidRPr="00225D4D" w:rsidRDefault="00D60186" w:rsidP="00225D4D">
      <w:pPr>
        <w:pStyle w:val="Overskrift2"/>
      </w:pPr>
      <w:r w:rsidRPr="00225D4D">
        <w:t>Stortingssesjon 2015–2016</w:t>
      </w:r>
    </w:p>
    <w:p w14:paraId="148C03FE" w14:textId="77777777" w:rsidR="00D60186" w:rsidRPr="00225D4D" w:rsidRDefault="00D60186" w:rsidP="00225D4D">
      <w:pPr>
        <w:pStyle w:val="avsnitt-tittel"/>
      </w:pPr>
      <w:r w:rsidRPr="00225D4D">
        <w:t>Handlingsplan for å bedre situasjonen for sjøfugl</w:t>
      </w:r>
    </w:p>
    <w:p w14:paraId="5A81D3EE" w14:textId="77777777" w:rsidR="00D60186" w:rsidRPr="00225D4D" w:rsidRDefault="00D60186" w:rsidP="00225D4D">
      <w:pPr>
        <w:pStyle w:val="avsnitt-undertittel"/>
      </w:pPr>
      <w:r w:rsidRPr="00225D4D">
        <w:t>Vedtak nr. 674, 23. mai 2016</w:t>
      </w:r>
    </w:p>
    <w:p w14:paraId="41AC3531" w14:textId="77777777" w:rsidR="00D60186" w:rsidRPr="00225D4D" w:rsidRDefault="00D60186" w:rsidP="00225D4D">
      <w:pPr>
        <w:pStyle w:val="blokksit"/>
        <w:rPr>
          <w:rStyle w:val="kursiv"/>
        </w:rPr>
      </w:pPr>
      <w:r w:rsidRPr="00225D4D">
        <w:rPr>
          <w:rStyle w:val="kursiv"/>
        </w:rPr>
        <w:t>«Stortinget ber regjeringen utarbeide en handlingsplan for å bedre situasjonen for sjøfugler. I handlingsplanen må det gjøres en vurdering av hvilke øvrige sjøfugler som bør få status som prioritert art.»</w:t>
      </w:r>
    </w:p>
    <w:p w14:paraId="06816994" w14:textId="77777777" w:rsidR="00D60186" w:rsidRPr="00225D4D" w:rsidRDefault="00D60186" w:rsidP="00225D4D">
      <w:r w:rsidRPr="00225D4D">
        <w:t xml:space="preserve">Vedtaket ble gjort ved stortingsbehandlingen av Meld. St. 14 (2015–2016) </w:t>
      </w:r>
      <w:r w:rsidRPr="00225D4D">
        <w:rPr>
          <w:rStyle w:val="kursiv"/>
        </w:rPr>
        <w:t xml:space="preserve">Natur for livet – Norsk handlingsplan for </w:t>
      </w:r>
      <w:proofErr w:type="spellStart"/>
      <w:r w:rsidRPr="00225D4D">
        <w:rPr>
          <w:rStyle w:val="kursiv"/>
        </w:rPr>
        <w:t>naturmangfald</w:t>
      </w:r>
      <w:proofErr w:type="spellEnd"/>
      <w:r w:rsidRPr="00225D4D">
        <w:rPr>
          <w:rStyle w:val="kursiv"/>
        </w:rPr>
        <w:t>,</w:t>
      </w:r>
      <w:r w:rsidRPr="00225D4D">
        <w:t xml:space="preserve"> jf. </w:t>
      </w:r>
      <w:proofErr w:type="spellStart"/>
      <w:r w:rsidRPr="00225D4D">
        <w:t>Innst</w:t>
      </w:r>
      <w:proofErr w:type="spellEnd"/>
      <w:r w:rsidRPr="00225D4D">
        <w:t>. 294 S (2015–2016).</w:t>
      </w:r>
    </w:p>
    <w:p w14:paraId="2DBBFEE6" w14:textId="77777777" w:rsidR="00D60186" w:rsidRPr="00225D4D" w:rsidRDefault="00D60186" w:rsidP="00225D4D">
      <w:r w:rsidRPr="00225D4D">
        <w:t>Antallet norske sjøfugler har gått tilbake med 80 prosent fra 1970 til 2020, og nesten halvparten av artene er nå oppført som truet på Norsk rødliste for arter. Regjeringen la i januar 2025 frem en handlingsplan for sjøfugl. Handlingsplanen har som mål at de negative påvirkningene på sjøfugl er redusert innen 2035. Gjennom planen fastsettes det nærmere mål, og det fremmes tiltak innenfor fire strategiske områder som skal bidra til å redusere den negative påvirkningen på sjøfugl. De fire strategiske områdene er a) Avbøtende tiltak ved utøvelse av marine næringer, b) Internasjonalt samarbeid, c) Økt kunnskap om årsaker og d) Redusert menneskeskapt dødelighet på sjøfugl. Viser til kapitel 4. i handlingsplanen for konkrete tiltak.</w:t>
      </w:r>
    </w:p>
    <w:p w14:paraId="202E96DF" w14:textId="77777777" w:rsidR="00D60186" w:rsidRPr="00225D4D" w:rsidRDefault="00D60186" w:rsidP="00225D4D">
      <w:r w:rsidRPr="00225D4D">
        <w:t>De viktigste bidragene for å nå målet for sjøfugl vil likevel være tiltak som fører til reduserte klimaendringer og marine økosystemer i god tilstand. Handlingsplanen må derfor ses i sammenheng med relevante tiltak i stortingsmeldinger om klima, naturmangfold og havforvaltning.</w:t>
      </w:r>
    </w:p>
    <w:p w14:paraId="365EB045" w14:textId="77777777" w:rsidR="00D60186" w:rsidRPr="00225D4D" w:rsidRDefault="00D60186" w:rsidP="00225D4D">
      <w:r w:rsidRPr="00225D4D">
        <w:t>Det er i forbindelse med utarbeidelse av handlingsplanen vurdert om noen sjøfuglarter bør få status som prioritert art. For prioriterte arter skal et eventuelt økologisk funksjonsområde være et begrenset område på land og kan ifølge naturmangfoldloven § 24 b om prioritert art ikke strekke seg ut over sjø. I tillegg gjelder ikke de aktuelle bestemmelsene i naturmangfoldloven, som forskrifter om prioriterte arter er hjemlet i, utenfor territorialgrensen på 12 nautiske mil. Fordi mange sjøfuglarter bruker enorme areal både i og utenfor hekkeperioden, og i stor grad oppholder seg til havs, er det vurdert at virkemiddelet ikke er egnet for de norske sjøfuglartene, og at det finnes andre mer hensiktsmessige virkemidler for å ivareta sjøfugl. Det blir derfor ikke fremmet nye forslag til prioriterte arter i forbindelse med denne handlingsplanen.</w:t>
      </w:r>
    </w:p>
    <w:p w14:paraId="699D16F0" w14:textId="77777777" w:rsidR="00D60186" w:rsidRPr="00225D4D" w:rsidRDefault="00D60186" w:rsidP="00225D4D">
      <w:r w:rsidRPr="00225D4D">
        <w:t>Departementet anser med dette vedtaket som fulgt opp.</w:t>
      </w:r>
    </w:p>
    <w:p w14:paraId="0E01A793" w14:textId="77777777" w:rsidR="00D60186" w:rsidRPr="00225D4D" w:rsidRDefault="00D60186" w:rsidP="00225D4D">
      <w:pPr>
        <w:pStyle w:val="Overskrift1"/>
      </w:pPr>
      <w:r w:rsidRPr="00225D4D">
        <w:t xml:space="preserve">Kommunal- og </w:t>
      </w:r>
      <w:proofErr w:type="spellStart"/>
      <w:r w:rsidRPr="00225D4D">
        <w:t>distriktsdepartementet</w:t>
      </w:r>
      <w:proofErr w:type="spellEnd"/>
    </w:p>
    <w:p w14:paraId="70867529" w14:textId="77777777" w:rsidR="00D60186" w:rsidRPr="00225D4D" w:rsidRDefault="00D60186" w:rsidP="00225D4D">
      <w:proofErr w:type="spellStart"/>
      <w:r w:rsidRPr="00225D4D">
        <w:t>Nedanfor</w:t>
      </w:r>
      <w:proofErr w:type="spellEnd"/>
      <w:r w:rsidRPr="00225D4D">
        <w:t xml:space="preserve"> er </w:t>
      </w:r>
      <w:proofErr w:type="gramStart"/>
      <w:r w:rsidRPr="00225D4D">
        <w:t>ei oversikt</w:t>
      </w:r>
      <w:proofErr w:type="gramEnd"/>
      <w:r w:rsidRPr="00225D4D">
        <w:t xml:space="preserve"> over oppfølging av oppmodingsvedtak under Kommunal- og </w:t>
      </w:r>
      <w:proofErr w:type="spellStart"/>
      <w:r w:rsidRPr="00225D4D">
        <w:t>distriktsdepartementet</w:t>
      </w:r>
      <w:proofErr w:type="spellEnd"/>
      <w:r w:rsidRPr="00225D4D">
        <w:t xml:space="preserve">. </w:t>
      </w:r>
      <w:proofErr w:type="spellStart"/>
      <w:r w:rsidRPr="00225D4D">
        <w:t>Oversikta</w:t>
      </w:r>
      <w:proofErr w:type="spellEnd"/>
      <w:r w:rsidRPr="00225D4D">
        <w:t xml:space="preserve"> </w:t>
      </w:r>
      <w:proofErr w:type="spellStart"/>
      <w:r w:rsidRPr="00225D4D">
        <w:t>omfattar</w:t>
      </w:r>
      <w:proofErr w:type="spellEnd"/>
      <w:r w:rsidRPr="00225D4D">
        <w:t xml:space="preserve"> alle vedtak </w:t>
      </w:r>
      <w:proofErr w:type="spellStart"/>
      <w:r w:rsidRPr="00225D4D">
        <w:t>frå</w:t>
      </w:r>
      <w:proofErr w:type="spellEnd"/>
      <w:r w:rsidRPr="00225D4D">
        <w:t xml:space="preserve"> stortingssesjonen 2024–2025 og alle vedtak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sesjonar</w:t>
      </w:r>
      <w:proofErr w:type="spellEnd"/>
      <w:r w:rsidRPr="00225D4D">
        <w:t xml:space="preserve"> som kontroll- og konstitusjonskomiteen i </w:t>
      </w:r>
      <w:proofErr w:type="spellStart"/>
      <w:r w:rsidRPr="00225D4D">
        <w:t>Innst</w:t>
      </w:r>
      <w:proofErr w:type="spellEnd"/>
      <w:r w:rsidRPr="00225D4D">
        <w:t xml:space="preserve">. 216 S (2024–2025) meinte </w:t>
      </w:r>
      <w:proofErr w:type="spellStart"/>
      <w:r w:rsidRPr="00225D4D">
        <w:t>ikkje</w:t>
      </w:r>
      <w:proofErr w:type="spellEnd"/>
      <w:r w:rsidRPr="00225D4D">
        <w:t xml:space="preserve"> var kvittert ut. I tabellen </w:t>
      </w:r>
      <w:proofErr w:type="spellStart"/>
      <w:r w:rsidRPr="00225D4D">
        <w:t>nedanfor</w:t>
      </w:r>
      <w:proofErr w:type="spellEnd"/>
      <w:r w:rsidRPr="00225D4D">
        <w:t xml:space="preserve"> blir det òg opplyst om departementet planlegg at rapporteringa knytt til oppmodingsvedtaket </w:t>
      </w:r>
      <w:proofErr w:type="spellStart"/>
      <w:r w:rsidRPr="00225D4D">
        <w:t>no</w:t>
      </w:r>
      <w:proofErr w:type="spellEnd"/>
      <w:r w:rsidRPr="00225D4D">
        <w:t xml:space="preserve"> blir avslutta eller om departementet òg vil rapportere konkret på vedtaket i budsjettproposisjonen for neste år.</w:t>
      </w:r>
    </w:p>
    <w:p w14:paraId="7149A006" w14:textId="77777777" w:rsidR="00D60186" w:rsidRPr="00225D4D" w:rsidRDefault="00D60186" w:rsidP="00225D4D">
      <w:r w:rsidRPr="00225D4D">
        <w:t xml:space="preserve">Departementet har foreslått å avslutte rapporteringa på </w:t>
      </w:r>
      <w:proofErr w:type="spellStart"/>
      <w:r w:rsidRPr="00225D4D">
        <w:t>fleire</w:t>
      </w:r>
      <w:proofErr w:type="spellEnd"/>
      <w:r w:rsidRPr="00225D4D">
        <w:t xml:space="preserve"> vedtak der vedtaket gir </w:t>
      </w:r>
      <w:proofErr w:type="spellStart"/>
      <w:r w:rsidRPr="00225D4D">
        <w:t>føringar</w:t>
      </w:r>
      <w:proofErr w:type="spellEnd"/>
      <w:r w:rsidRPr="00225D4D">
        <w:t xml:space="preserve"> for politikkutforming på </w:t>
      </w:r>
      <w:proofErr w:type="spellStart"/>
      <w:r w:rsidRPr="00225D4D">
        <w:t>eit</w:t>
      </w:r>
      <w:proofErr w:type="spellEnd"/>
      <w:r w:rsidRPr="00225D4D">
        <w:t xml:space="preserve"> konkret område, og der departementet har </w:t>
      </w:r>
      <w:proofErr w:type="spellStart"/>
      <w:r w:rsidRPr="00225D4D">
        <w:t>omtala</w:t>
      </w:r>
      <w:proofErr w:type="spellEnd"/>
      <w:r w:rsidRPr="00225D4D">
        <w:t xml:space="preserve"> korleis dette skal følges opp i politikken framover. Orientering til Stortinget om det </w:t>
      </w:r>
      <w:proofErr w:type="spellStart"/>
      <w:r w:rsidRPr="00225D4D">
        <w:t>vidare</w:t>
      </w:r>
      <w:proofErr w:type="spellEnd"/>
      <w:r w:rsidRPr="00225D4D">
        <w:t xml:space="preserve"> arbeidet i </w:t>
      </w:r>
      <w:proofErr w:type="spellStart"/>
      <w:r w:rsidRPr="00225D4D">
        <w:t>desse</w:t>
      </w:r>
      <w:proofErr w:type="spellEnd"/>
      <w:r w:rsidRPr="00225D4D">
        <w:t xml:space="preserve"> sakene vil skje i den ordinære omtalen i </w:t>
      </w:r>
      <w:proofErr w:type="spellStart"/>
      <w:r w:rsidRPr="00225D4D">
        <w:t>dei</w:t>
      </w:r>
      <w:proofErr w:type="spellEnd"/>
      <w:r w:rsidRPr="00225D4D">
        <w:t xml:space="preserve"> </w:t>
      </w:r>
      <w:proofErr w:type="spellStart"/>
      <w:r w:rsidRPr="00225D4D">
        <w:t>årlege</w:t>
      </w:r>
      <w:proofErr w:type="spellEnd"/>
      <w:r w:rsidRPr="00225D4D">
        <w:t xml:space="preserve"> budsjettframlegga og i andre dokument til Stortinget.</w:t>
      </w:r>
    </w:p>
    <w:p w14:paraId="7CA949EF" w14:textId="05864818" w:rsidR="00330F87" w:rsidRPr="00225D4D" w:rsidRDefault="00330F87" w:rsidP="00225D4D">
      <w:pPr>
        <w:pStyle w:val="tabell-tittel"/>
      </w:pPr>
      <w:r w:rsidRPr="00225D4D">
        <w:t>Oversikt over oppmodingsvedtak, ordna etter sesjon og nummer</w:t>
      </w:r>
    </w:p>
    <w:p w14:paraId="308D0961" w14:textId="77777777" w:rsidR="00D60186" w:rsidRPr="00225D4D" w:rsidRDefault="00D60186" w:rsidP="00225D4D">
      <w:pPr>
        <w:pStyle w:val="Tabellnavn"/>
      </w:pPr>
      <w:r w:rsidRPr="00225D4D">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60"/>
        <w:gridCol w:w="1280"/>
        <w:gridCol w:w="5360"/>
        <w:gridCol w:w="1640"/>
      </w:tblGrid>
      <w:tr w:rsidR="00E76DC8" w:rsidRPr="00225D4D" w14:paraId="764E06CC" w14:textId="77777777">
        <w:trPr>
          <w:trHeight w:val="600"/>
        </w:trPr>
        <w:tc>
          <w:tcPr>
            <w:tcW w:w="12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E3DD84" w14:textId="77777777" w:rsidR="00D60186" w:rsidRPr="00FD49F3" w:rsidRDefault="00D60186" w:rsidP="00225D4D">
            <w:pPr>
              <w:rPr>
                <w:sz w:val="21"/>
                <w:szCs w:val="21"/>
              </w:rPr>
            </w:pPr>
            <w:r w:rsidRPr="00FD49F3">
              <w:rPr>
                <w:sz w:val="21"/>
                <w:szCs w:val="21"/>
              </w:rPr>
              <w:t>Sesjon</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B5E9BE" w14:textId="77777777" w:rsidR="00D60186" w:rsidRPr="00FD49F3" w:rsidRDefault="00D60186" w:rsidP="00FD49F3">
            <w:pPr>
              <w:ind w:right="113"/>
              <w:jc w:val="right"/>
              <w:rPr>
                <w:sz w:val="21"/>
                <w:szCs w:val="21"/>
              </w:rPr>
            </w:pPr>
            <w:r w:rsidRPr="00FD49F3">
              <w:rPr>
                <w:sz w:val="21"/>
                <w:szCs w:val="21"/>
              </w:rPr>
              <w:t>Vedtak nr.</w:t>
            </w:r>
          </w:p>
        </w:tc>
        <w:tc>
          <w:tcPr>
            <w:tcW w:w="53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D5013A" w14:textId="77777777" w:rsidR="00D60186" w:rsidRPr="00FD49F3" w:rsidRDefault="00D60186" w:rsidP="00225D4D">
            <w:pPr>
              <w:rPr>
                <w:sz w:val="21"/>
                <w:szCs w:val="21"/>
              </w:rPr>
            </w:pPr>
            <w:r w:rsidRPr="00FD49F3">
              <w:rPr>
                <w:sz w:val="21"/>
                <w:szCs w:val="21"/>
              </w:rPr>
              <w:t>Stikkord</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9CFACA" w14:textId="77777777" w:rsidR="00D60186" w:rsidRPr="00FD49F3" w:rsidRDefault="00D60186" w:rsidP="00FD49F3">
            <w:pPr>
              <w:jc w:val="right"/>
              <w:rPr>
                <w:sz w:val="21"/>
                <w:szCs w:val="21"/>
              </w:rPr>
            </w:pPr>
            <w:r w:rsidRPr="00FD49F3">
              <w:rPr>
                <w:sz w:val="21"/>
                <w:szCs w:val="21"/>
              </w:rPr>
              <w:t>Rapporteringa blir avslutta (Ja/Nei)</w:t>
            </w:r>
          </w:p>
        </w:tc>
      </w:tr>
      <w:tr w:rsidR="00E76DC8" w:rsidRPr="00225D4D" w14:paraId="080C083D" w14:textId="77777777" w:rsidTr="00FD49F3">
        <w:trPr>
          <w:trHeight w:val="20"/>
        </w:trPr>
        <w:tc>
          <w:tcPr>
            <w:tcW w:w="1260" w:type="dxa"/>
            <w:tcBorders>
              <w:top w:val="single" w:sz="4" w:space="0" w:color="000000"/>
              <w:left w:val="nil"/>
              <w:bottom w:val="nil"/>
              <w:right w:val="nil"/>
            </w:tcBorders>
            <w:tcMar>
              <w:top w:w="128" w:type="dxa"/>
              <w:left w:w="43" w:type="dxa"/>
              <w:bottom w:w="43" w:type="dxa"/>
              <w:right w:w="43" w:type="dxa"/>
            </w:tcMar>
          </w:tcPr>
          <w:p w14:paraId="2A67C422" w14:textId="77777777" w:rsidR="00D60186" w:rsidRPr="00FD49F3" w:rsidRDefault="00D60186" w:rsidP="00225D4D">
            <w:pPr>
              <w:rPr>
                <w:sz w:val="21"/>
                <w:szCs w:val="21"/>
              </w:rPr>
            </w:pPr>
            <w:r w:rsidRPr="00FD49F3">
              <w:rPr>
                <w:sz w:val="21"/>
                <w:szCs w:val="21"/>
              </w:rPr>
              <w:t>2024–2025</w:t>
            </w:r>
          </w:p>
        </w:tc>
        <w:tc>
          <w:tcPr>
            <w:tcW w:w="1280" w:type="dxa"/>
            <w:tcBorders>
              <w:top w:val="single" w:sz="4" w:space="0" w:color="000000"/>
              <w:left w:val="nil"/>
              <w:bottom w:val="nil"/>
              <w:right w:val="nil"/>
            </w:tcBorders>
            <w:tcMar>
              <w:top w:w="128" w:type="dxa"/>
              <w:left w:w="43" w:type="dxa"/>
              <w:bottom w:w="43" w:type="dxa"/>
              <w:right w:w="43" w:type="dxa"/>
            </w:tcMar>
          </w:tcPr>
          <w:p w14:paraId="69DC2849" w14:textId="77777777" w:rsidR="00D60186" w:rsidRPr="00FD49F3" w:rsidRDefault="00D60186" w:rsidP="00FD49F3">
            <w:pPr>
              <w:ind w:right="113"/>
              <w:jc w:val="right"/>
              <w:rPr>
                <w:sz w:val="21"/>
                <w:szCs w:val="21"/>
              </w:rPr>
            </w:pPr>
            <w:r w:rsidRPr="00FD49F3">
              <w:rPr>
                <w:sz w:val="21"/>
                <w:szCs w:val="21"/>
              </w:rPr>
              <w:t>17</w:t>
            </w:r>
          </w:p>
        </w:tc>
        <w:tc>
          <w:tcPr>
            <w:tcW w:w="5360" w:type="dxa"/>
            <w:tcBorders>
              <w:top w:val="single" w:sz="4" w:space="0" w:color="000000"/>
              <w:left w:val="nil"/>
              <w:bottom w:val="nil"/>
              <w:right w:val="nil"/>
            </w:tcBorders>
            <w:tcMar>
              <w:top w:w="128" w:type="dxa"/>
              <w:left w:w="43" w:type="dxa"/>
              <w:bottom w:w="43" w:type="dxa"/>
              <w:right w:w="43" w:type="dxa"/>
            </w:tcMar>
            <w:vAlign w:val="bottom"/>
          </w:tcPr>
          <w:p w14:paraId="3E0273DA" w14:textId="77777777" w:rsidR="00D60186" w:rsidRPr="00FD49F3" w:rsidRDefault="00D60186" w:rsidP="00225D4D">
            <w:pPr>
              <w:rPr>
                <w:sz w:val="21"/>
                <w:szCs w:val="21"/>
              </w:rPr>
            </w:pPr>
            <w:r w:rsidRPr="00FD49F3">
              <w:rPr>
                <w:sz w:val="21"/>
                <w:szCs w:val="21"/>
              </w:rPr>
              <w:t xml:space="preserve">Sannings- og forsoningskommisjonen – lokale språk- </w:t>
            </w:r>
            <w:r w:rsidRPr="00FD49F3">
              <w:rPr>
                <w:sz w:val="21"/>
                <w:szCs w:val="21"/>
              </w:rPr>
              <w:br/>
              <w:t>og kulturarenaer</w:t>
            </w:r>
          </w:p>
        </w:tc>
        <w:tc>
          <w:tcPr>
            <w:tcW w:w="1640" w:type="dxa"/>
            <w:tcBorders>
              <w:top w:val="single" w:sz="4" w:space="0" w:color="000000"/>
              <w:left w:val="nil"/>
              <w:bottom w:val="nil"/>
              <w:right w:val="nil"/>
            </w:tcBorders>
            <w:tcMar>
              <w:top w:w="128" w:type="dxa"/>
              <w:left w:w="43" w:type="dxa"/>
              <w:bottom w:w="43" w:type="dxa"/>
              <w:right w:w="43" w:type="dxa"/>
            </w:tcMar>
          </w:tcPr>
          <w:p w14:paraId="7F234B48" w14:textId="77777777" w:rsidR="00D60186" w:rsidRPr="00FD49F3" w:rsidRDefault="00D60186" w:rsidP="00FD49F3">
            <w:pPr>
              <w:jc w:val="right"/>
              <w:rPr>
                <w:sz w:val="21"/>
                <w:szCs w:val="21"/>
              </w:rPr>
            </w:pPr>
            <w:r w:rsidRPr="00FD49F3">
              <w:rPr>
                <w:sz w:val="21"/>
                <w:szCs w:val="21"/>
              </w:rPr>
              <w:t>Ja</w:t>
            </w:r>
          </w:p>
        </w:tc>
      </w:tr>
      <w:tr w:rsidR="00E76DC8" w:rsidRPr="00225D4D" w14:paraId="21EA4395"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50A4C208"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BB49DBF" w14:textId="77777777" w:rsidR="00D60186" w:rsidRPr="00FD49F3" w:rsidRDefault="00D60186" w:rsidP="00FD49F3">
            <w:pPr>
              <w:ind w:right="113"/>
              <w:jc w:val="right"/>
              <w:rPr>
                <w:sz w:val="21"/>
                <w:szCs w:val="21"/>
              </w:rPr>
            </w:pPr>
            <w:r w:rsidRPr="00FD49F3">
              <w:rPr>
                <w:sz w:val="21"/>
                <w:szCs w:val="21"/>
              </w:rPr>
              <w:t>19</w:t>
            </w:r>
          </w:p>
        </w:tc>
        <w:tc>
          <w:tcPr>
            <w:tcW w:w="5360" w:type="dxa"/>
            <w:tcBorders>
              <w:top w:val="nil"/>
              <w:left w:val="nil"/>
              <w:bottom w:val="nil"/>
              <w:right w:val="nil"/>
            </w:tcBorders>
            <w:tcMar>
              <w:top w:w="128" w:type="dxa"/>
              <w:left w:w="43" w:type="dxa"/>
              <w:bottom w:w="43" w:type="dxa"/>
              <w:right w:w="43" w:type="dxa"/>
            </w:tcMar>
            <w:vAlign w:val="bottom"/>
          </w:tcPr>
          <w:p w14:paraId="3B14975B" w14:textId="77777777" w:rsidR="00D60186" w:rsidRPr="00FD49F3" w:rsidRDefault="00D60186" w:rsidP="00225D4D">
            <w:pPr>
              <w:rPr>
                <w:sz w:val="21"/>
                <w:szCs w:val="21"/>
              </w:rPr>
            </w:pPr>
            <w:r w:rsidRPr="00FD49F3">
              <w:rPr>
                <w:sz w:val="21"/>
                <w:szCs w:val="21"/>
              </w:rPr>
              <w:t xml:space="preserve">Sannings- og forsoningskommisjonen – økonomiske </w:t>
            </w:r>
            <w:r w:rsidRPr="00FD49F3">
              <w:rPr>
                <w:sz w:val="21"/>
                <w:szCs w:val="21"/>
              </w:rPr>
              <w:br/>
              <w:t xml:space="preserve">rammer for </w:t>
            </w:r>
            <w:proofErr w:type="spellStart"/>
            <w:r w:rsidRPr="00FD49F3">
              <w:rPr>
                <w:sz w:val="21"/>
                <w:szCs w:val="21"/>
              </w:rPr>
              <w:t>kommunar</w:t>
            </w:r>
            <w:proofErr w:type="spellEnd"/>
            <w:r w:rsidRPr="00FD49F3">
              <w:rPr>
                <w:sz w:val="21"/>
                <w:szCs w:val="21"/>
              </w:rPr>
              <w:t xml:space="preserve"> og </w:t>
            </w:r>
            <w:proofErr w:type="spellStart"/>
            <w:r w:rsidRPr="00FD49F3">
              <w:rPr>
                <w:sz w:val="21"/>
                <w:szCs w:val="21"/>
              </w:rPr>
              <w:t>fylkeskommunar</w:t>
            </w:r>
            <w:proofErr w:type="spellEnd"/>
          </w:p>
        </w:tc>
        <w:tc>
          <w:tcPr>
            <w:tcW w:w="1640" w:type="dxa"/>
            <w:tcBorders>
              <w:top w:val="nil"/>
              <w:left w:val="nil"/>
              <w:bottom w:val="nil"/>
              <w:right w:val="nil"/>
            </w:tcBorders>
            <w:tcMar>
              <w:top w:w="128" w:type="dxa"/>
              <w:left w:w="43" w:type="dxa"/>
              <w:bottom w:w="43" w:type="dxa"/>
              <w:right w:w="43" w:type="dxa"/>
            </w:tcMar>
          </w:tcPr>
          <w:p w14:paraId="1FFF5846" w14:textId="77777777" w:rsidR="00D60186" w:rsidRPr="00FD49F3" w:rsidRDefault="00D60186" w:rsidP="00FD49F3">
            <w:pPr>
              <w:jc w:val="right"/>
              <w:rPr>
                <w:sz w:val="21"/>
                <w:szCs w:val="21"/>
              </w:rPr>
            </w:pPr>
            <w:r w:rsidRPr="00FD49F3">
              <w:rPr>
                <w:sz w:val="21"/>
                <w:szCs w:val="21"/>
              </w:rPr>
              <w:t>Ja</w:t>
            </w:r>
          </w:p>
        </w:tc>
      </w:tr>
      <w:tr w:rsidR="00E76DC8" w:rsidRPr="00225D4D" w14:paraId="1D133E7B"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332F6FEA"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DE5341B" w14:textId="77777777" w:rsidR="00D60186" w:rsidRPr="00FD49F3" w:rsidRDefault="00D60186" w:rsidP="00FD49F3">
            <w:pPr>
              <w:ind w:right="113"/>
              <w:jc w:val="right"/>
              <w:rPr>
                <w:sz w:val="21"/>
                <w:szCs w:val="21"/>
              </w:rPr>
            </w:pPr>
            <w:r w:rsidRPr="00FD49F3">
              <w:rPr>
                <w:sz w:val="21"/>
                <w:szCs w:val="21"/>
              </w:rPr>
              <w:t>28</w:t>
            </w:r>
          </w:p>
        </w:tc>
        <w:tc>
          <w:tcPr>
            <w:tcW w:w="5360" w:type="dxa"/>
            <w:tcBorders>
              <w:top w:val="nil"/>
              <w:left w:val="nil"/>
              <w:bottom w:val="nil"/>
              <w:right w:val="nil"/>
            </w:tcBorders>
            <w:tcMar>
              <w:top w:w="128" w:type="dxa"/>
              <w:left w:w="43" w:type="dxa"/>
              <w:bottom w:w="43" w:type="dxa"/>
              <w:right w:w="43" w:type="dxa"/>
            </w:tcMar>
            <w:vAlign w:val="bottom"/>
          </w:tcPr>
          <w:p w14:paraId="1D0CD052" w14:textId="77777777" w:rsidR="00D60186" w:rsidRPr="00FD49F3" w:rsidRDefault="00D60186" w:rsidP="00225D4D">
            <w:pPr>
              <w:rPr>
                <w:sz w:val="21"/>
                <w:szCs w:val="21"/>
              </w:rPr>
            </w:pPr>
            <w:r w:rsidRPr="00FD49F3">
              <w:rPr>
                <w:sz w:val="21"/>
                <w:szCs w:val="21"/>
              </w:rPr>
              <w:t xml:space="preserve">Sannings- og forsoningskommisjonen – </w:t>
            </w:r>
            <w:proofErr w:type="spellStart"/>
            <w:r w:rsidRPr="00FD49F3">
              <w:rPr>
                <w:sz w:val="21"/>
                <w:szCs w:val="21"/>
              </w:rPr>
              <w:t>offentleg</w:t>
            </w:r>
            <w:proofErr w:type="spellEnd"/>
            <w:r w:rsidRPr="00FD49F3">
              <w:rPr>
                <w:sz w:val="21"/>
                <w:szCs w:val="21"/>
              </w:rPr>
              <w:t xml:space="preserve"> tilsette sin kunnskap</w:t>
            </w:r>
          </w:p>
        </w:tc>
        <w:tc>
          <w:tcPr>
            <w:tcW w:w="1640" w:type="dxa"/>
            <w:tcBorders>
              <w:top w:val="nil"/>
              <w:left w:val="nil"/>
              <w:bottom w:val="nil"/>
              <w:right w:val="nil"/>
            </w:tcBorders>
            <w:tcMar>
              <w:top w:w="128" w:type="dxa"/>
              <w:left w:w="43" w:type="dxa"/>
              <w:bottom w:w="43" w:type="dxa"/>
              <w:right w:w="43" w:type="dxa"/>
            </w:tcMar>
          </w:tcPr>
          <w:p w14:paraId="0FA08B78" w14:textId="77777777" w:rsidR="00D60186" w:rsidRPr="00FD49F3" w:rsidRDefault="00D60186" w:rsidP="00FD49F3">
            <w:pPr>
              <w:jc w:val="right"/>
              <w:rPr>
                <w:sz w:val="21"/>
                <w:szCs w:val="21"/>
              </w:rPr>
            </w:pPr>
            <w:r w:rsidRPr="00FD49F3">
              <w:rPr>
                <w:sz w:val="21"/>
                <w:szCs w:val="21"/>
              </w:rPr>
              <w:t>Ja</w:t>
            </w:r>
          </w:p>
        </w:tc>
      </w:tr>
      <w:tr w:rsidR="00E76DC8" w:rsidRPr="00225D4D" w14:paraId="2FAA102E"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0650BDE4"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291990F" w14:textId="77777777" w:rsidR="00D60186" w:rsidRPr="00FD49F3" w:rsidRDefault="00D60186" w:rsidP="00FD49F3">
            <w:pPr>
              <w:ind w:right="113"/>
              <w:jc w:val="right"/>
              <w:rPr>
                <w:sz w:val="21"/>
                <w:szCs w:val="21"/>
              </w:rPr>
            </w:pPr>
            <w:r w:rsidRPr="00FD49F3">
              <w:rPr>
                <w:sz w:val="21"/>
                <w:szCs w:val="21"/>
              </w:rPr>
              <w:t>29</w:t>
            </w:r>
          </w:p>
        </w:tc>
        <w:tc>
          <w:tcPr>
            <w:tcW w:w="5360" w:type="dxa"/>
            <w:tcBorders>
              <w:top w:val="nil"/>
              <w:left w:val="nil"/>
              <w:bottom w:val="nil"/>
              <w:right w:val="nil"/>
            </w:tcBorders>
            <w:tcMar>
              <w:top w:w="128" w:type="dxa"/>
              <w:left w:w="43" w:type="dxa"/>
              <w:bottom w:w="43" w:type="dxa"/>
              <w:right w:w="43" w:type="dxa"/>
            </w:tcMar>
            <w:vAlign w:val="bottom"/>
          </w:tcPr>
          <w:p w14:paraId="06A9CE5D" w14:textId="77777777" w:rsidR="00D60186" w:rsidRPr="00FD49F3" w:rsidRDefault="00D60186" w:rsidP="00225D4D">
            <w:pPr>
              <w:rPr>
                <w:sz w:val="21"/>
                <w:szCs w:val="21"/>
              </w:rPr>
            </w:pPr>
            <w:r w:rsidRPr="00FD49F3">
              <w:rPr>
                <w:sz w:val="21"/>
                <w:szCs w:val="21"/>
              </w:rPr>
              <w:t xml:space="preserve">Sannings- og forsoningskommisjonen – </w:t>
            </w:r>
            <w:proofErr w:type="spellStart"/>
            <w:r w:rsidRPr="00FD49F3">
              <w:rPr>
                <w:sz w:val="21"/>
                <w:szCs w:val="21"/>
              </w:rPr>
              <w:t>forpliktande</w:t>
            </w:r>
            <w:proofErr w:type="spellEnd"/>
            <w:r w:rsidRPr="00FD49F3">
              <w:rPr>
                <w:sz w:val="21"/>
                <w:szCs w:val="21"/>
              </w:rPr>
              <w:t xml:space="preserve"> </w:t>
            </w:r>
            <w:proofErr w:type="spellStart"/>
            <w:r w:rsidRPr="00FD49F3">
              <w:rPr>
                <w:sz w:val="21"/>
                <w:szCs w:val="21"/>
              </w:rPr>
              <w:t>handlingsplanar</w:t>
            </w:r>
            <w:proofErr w:type="spellEnd"/>
          </w:p>
        </w:tc>
        <w:tc>
          <w:tcPr>
            <w:tcW w:w="1640" w:type="dxa"/>
            <w:tcBorders>
              <w:top w:val="nil"/>
              <w:left w:val="nil"/>
              <w:bottom w:val="nil"/>
              <w:right w:val="nil"/>
            </w:tcBorders>
            <w:tcMar>
              <w:top w:w="128" w:type="dxa"/>
              <w:left w:w="43" w:type="dxa"/>
              <w:bottom w:w="43" w:type="dxa"/>
              <w:right w:w="43" w:type="dxa"/>
            </w:tcMar>
          </w:tcPr>
          <w:p w14:paraId="3B5E6734" w14:textId="77777777" w:rsidR="00D60186" w:rsidRPr="00FD49F3" w:rsidRDefault="00D60186" w:rsidP="00FD49F3">
            <w:pPr>
              <w:jc w:val="right"/>
              <w:rPr>
                <w:sz w:val="21"/>
                <w:szCs w:val="21"/>
              </w:rPr>
            </w:pPr>
            <w:r w:rsidRPr="00FD49F3">
              <w:rPr>
                <w:sz w:val="21"/>
                <w:szCs w:val="21"/>
              </w:rPr>
              <w:t>Nei</w:t>
            </w:r>
          </w:p>
        </w:tc>
      </w:tr>
      <w:tr w:rsidR="00E76DC8" w:rsidRPr="00225D4D" w14:paraId="3FD96AA4"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2A3B89D5"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923710B" w14:textId="77777777" w:rsidR="00D60186" w:rsidRPr="00FD49F3" w:rsidRDefault="00D60186" w:rsidP="00FD49F3">
            <w:pPr>
              <w:ind w:right="113"/>
              <w:jc w:val="right"/>
              <w:rPr>
                <w:sz w:val="21"/>
                <w:szCs w:val="21"/>
              </w:rPr>
            </w:pPr>
            <w:r w:rsidRPr="00FD49F3">
              <w:rPr>
                <w:sz w:val="21"/>
                <w:szCs w:val="21"/>
              </w:rPr>
              <w:t>30</w:t>
            </w:r>
          </w:p>
        </w:tc>
        <w:tc>
          <w:tcPr>
            <w:tcW w:w="5360" w:type="dxa"/>
            <w:tcBorders>
              <w:top w:val="nil"/>
              <w:left w:val="nil"/>
              <w:bottom w:val="nil"/>
              <w:right w:val="nil"/>
            </w:tcBorders>
            <w:tcMar>
              <w:top w:w="128" w:type="dxa"/>
              <w:left w:w="43" w:type="dxa"/>
              <w:bottom w:w="43" w:type="dxa"/>
              <w:right w:w="43" w:type="dxa"/>
            </w:tcMar>
            <w:vAlign w:val="bottom"/>
          </w:tcPr>
          <w:p w14:paraId="6FB48377" w14:textId="77777777" w:rsidR="00D60186" w:rsidRPr="00FD49F3" w:rsidRDefault="00D60186" w:rsidP="00225D4D">
            <w:pPr>
              <w:rPr>
                <w:sz w:val="21"/>
                <w:szCs w:val="21"/>
              </w:rPr>
            </w:pPr>
            <w:r w:rsidRPr="00FD49F3">
              <w:rPr>
                <w:sz w:val="21"/>
                <w:szCs w:val="21"/>
              </w:rPr>
              <w:t xml:space="preserve">Sannings- og forsoningskommisjonen – rapportering </w:t>
            </w:r>
            <w:r w:rsidRPr="00FD49F3">
              <w:rPr>
                <w:sz w:val="21"/>
                <w:szCs w:val="21"/>
              </w:rPr>
              <w:br/>
              <w:t>om utvikling av kvensk språk</w:t>
            </w:r>
          </w:p>
        </w:tc>
        <w:tc>
          <w:tcPr>
            <w:tcW w:w="1640" w:type="dxa"/>
            <w:tcBorders>
              <w:top w:val="nil"/>
              <w:left w:val="nil"/>
              <w:bottom w:val="nil"/>
              <w:right w:val="nil"/>
            </w:tcBorders>
            <w:tcMar>
              <w:top w:w="128" w:type="dxa"/>
              <w:left w:w="43" w:type="dxa"/>
              <w:bottom w:w="43" w:type="dxa"/>
              <w:right w:w="43" w:type="dxa"/>
            </w:tcMar>
          </w:tcPr>
          <w:p w14:paraId="7B246F94" w14:textId="77777777" w:rsidR="00D60186" w:rsidRPr="00FD49F3" w:rsidRDefault="00D60186" w:rsidP="00FD49F3">
            <w:pPr>
              <w:jc w:val="right"/>
              <w:rPr>
                <w:sz w:val="21"/>
                <w:szCs w:val="21"/>
              </w:rPr>
            </w:pPr>
            <w:r w:rsidRPr="00FD49F3">
              <w:rPr>
                <w:sz w:val="21"/>
                <w:szCs w:val="21"/>
              </w:rPr>
              <w:t>Ja</w:t>
            </w:r>
          </w:p>
        </w:tc>
      </w:tr>
      <w:tr w:rsidR="00E76DC8" w:rsidRPr="00225D4D" w14:paraId="14956FDA"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12DCE262"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EE5840C" w14:textId="77777777" w:rsidR="00D60186" w:rsidRPr="00FD49F3" w:rsidRDefault="00D60186" w:rsidP="00FD49F3">
            <w:pPr>
              <w:ind w:right="113"/>
              <w:jc w:val="right"/>
              <w:rPr>
                <w:sz w:val="21"/>
                <w:szCs w:val="21"/>
              </w:rPr>
            </w:pPr>
            <w:r w:rsidRPr="00FD49F3">
              <w:rPr>
                <w:sz w:val="21"/>
                <w:szCs w:val="21"/>
              </w:rPr>
              <w:t>31</w:t>
            </w:r>
          </w:p>
        </w:tc>
        <w:tc>
          <w:tcPr>
            <w:tcW w:w="5360" w:type="dxa"/>
            <w:tcBorders>
              <w:top w:val="nil"/>
              <w:left w:val="nil"/>
              <w:bottom w:val="nil"/>
              <w:right w:val="nil"/>
            </w:tcBorders>
            <w:tcMar>
              <w:top w:w="128" w:type="dxa"/>
              <w:left w:w="43" w:type="dxa"/>
              <w:bottom w:w="43" w:type="dxa"/>
              <w:right w:w="43" w:type="dxa"/>
            </w:tcMar>
            <w:vAlign w:val="bottom"/>
          </w:tcPr>
          <w:p w14:paraId="06078DEA" w14:textId="77777777" w:rsidR="00D60186" w:rsidRPr="00FD49F3" w:rsidRDefault="00D60186" w:rsidP="00225D4D">
            <w:pPr>
              <w:rPr>
                <w:sz w:val="21"/>
                <w:szCs w:val="21"/>
              </w:rPr>
            </w:pPr>
            <w:r w:rsidRPr="00FD49F3">
              <w:rPr>
                <w:sz w:val="21"/>
                <w:szCs w:val="21"/>
              </w:rPr>
              <w:t xml:space="preserve">Sannings- og forsoningskommisjonen – rapportering </w:t>
            </w:r>
            <w:r w:rsidRPr="00FD49F3">
              <w:rPr>
                <w:sz w:val="21"/>
                <w:szCs w:val="21"/>
              </w:rPr>
              <w:br/>
              <w:t>til Stortinget</w:t>
            </w:r>
          </w:p>
        </w:tc>
        <w:tc>
          <w:tcPr>
            <w:tcW w:w="1640" w:type="dxa"/>
            <w:tcBorders>
              <w:top w:val="nil"/>
              <w:left w:val="nil"/>
              <w:bottom w:val="nil"/>
              <w:right w:val="nil"/>
            </w:tcBorders>
            <w:tcMar>
              <w:top w:w="128" w:type="dxa"/>
              <w:left w:w="43" w:type="dxa"/>
              <w:bottom w:w="43" w:type="dxa"/>
              <w:right w:w="43" w:type="dxa"/>
            </w:tcMar>
          </w:tcPr>
          <w:p w14:paraId="6ADBFD68" w14:textId="77777777" w:rsidR="00D60186" w:rsidRPr="00FD49F3" w:rsidRDefault="00D60186" w:rsidP="00FD49F3">
            <w:pPr>
              <w:jc w:val="right"/>
              <w:rPr>
                <w:sz w:val="21"/>
                <w:szCs w:val="21"/>
              </w:rPr>
            </w:pPr>
            <w:r w:rsidRPr="00FD49F3">
              <w:rPr>
                <w:sz w:val="21"/>
                <w:szCs w:val="21"/>
              </w:rPr>
              <w:t>Ja</w:t>
            </w:r>
          </w:p>
        </w:tc>
      </w:tr>
      <w:tr w:rsidR="00E76DC8" w:rsidRPr="00225D4D" w14:paraId="663BA091"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3F0B56B"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046C9EB2" w14:textId="77777777" w:rsidR="00D60186" w:rsidRPr="00FD49F3" w:rsidRDefault="00D60186" w:rsidP="00FD49F3">
            <w:pPr>
              <w:ind w:right="113"/>
              <w:jc w:val="right"/>
              <w:rPr>
                <w:sz w:val="21"/>
                <w:szCs w:val="21"/>
              </w:rPr>
            </w:pPr>
            <w:r w:rsidRPr="00FD49F3">
              <w:rPr>
                <w:sz w:val="21"/>
                <w:szCs w:val="21"/>
              </w:rPr>
              <w:t>89</w:t>
            </w:r>
          </w:p>
        </w:tc>
        <w:tc>
          <w:tcPr>
            <w:tcW w:w="5360" w:type="dxa"/>
            <w:tcBorders>
              <w:top w:val="nil"/>
              <w:left w:val="nil"/>
              <w:bottom w:val="nil"/>
              <w:right w:val="nil"/>
            </w:tcBorders>
            <w:tcMar>
              <w:top w:w="128" w:type="dxa"/>
              <w:left w:w="43" w:type="dxa"/>
              <w:bottom w:w="43" w:type="dxa"/>
              <w:right w:w="43" w:type="dxa"/>
            </w:tcMar>
            <w:vAlign w:val="bottom"/>
          </w:tcPr>
          <w:p w14:paraId="5610B774" w14:textId="77777777" w:rsidR="00D60186" w:rsidRPr="00FD49F3" w:rsidRDefault="00D60186" w:rsidP="00225D4D">
            <w:pPr>
              <w:rPr>
                <w:sz w:val="21"/>
                <w:szCs w:val="21"/>
              </w:rPr>
            </w:pPr>
            <w:proofErr w:type="spellStart"/>
            <w:r w:rsidRPr="00FD49F3">
              <w:rPr>
                <w:sz w:val="21"/>
                <w:szCs w:val="21"/>
              </w:rPr>
              <w:t>Distriktstilskot</w:t>
            </w:r>
            <w:proofErr w:type="spellEnd"/>
            <w:r w:rsidRPr="00FD49F3">
              <w:rPr>
                <w:sz w:val="21"/>
                <w:szCs w:val="21"/>
              </w:rPr>
              <w:t xml:space="preserve"> for </w:t>
            </w:r>
            <w:proofErr w:type="spellStart"/>
            <w:r w:rsidRPr="00FD49F3">
              <w:rPr>
                <w:sz w:val="21"/>
                <w:szCs w:val="21"/>
              </w:rPr>
              <w:t>kommunar</w:t>
            </w:r>
            <w:proofErr w:type="spellEnd"/>
            <w:r w:rsidRPr="00FD49F3">
              <w:rPr>
                <w:sz w:val="21"/>
                <w:szCs w:val="21"/>
              </w:rPr>
              <w:t xml:space="preserve"> i innsatssona i Nord-Troms</w:t>
            </w:r>
          </w:p>
        </w:tc>
        <w:tc>
          <w:tcPr>
            <w:tcW w:w="1640" w:type="dxa"/>
            <w:tcBorders>
              <w:top w:val="nil"/>
              <w:left w:val="nil"/>
              <w:bottom w:val="nil"/>
              <w:right w:val="nil"/>
            </w:tcBorders>
            <w:tcMar>
              <w:top w:w="128" w:type="dxa"/>
              <w:left w:w="43" w:type="dxa"/>
              <w:bottom w:w="43" w:type="dxa"/>
              <w:right w:w="43" w:type="dxa"/>
            </w:tcMar>
          </w:tcPr>
          <w:p w14:paraId="5A5ABE19" w14:textId="77777777" w:rsidR="00D60186" w:rsidRPr="00FD49F3" w:rsidRDefault="00D60186" w:rsidP="00FD49F3">
            <w:pPr>
              <w:jc w:val="right"/>
              <w:rPr>
                <w:sz w:val="21"/>
                <w:szCs w:val="21"/>
              </w:rPr>
            </w:pPr>
            <w:r w:rsidRPr="00FD49F3">
              <w:rPr>
                <w:sz w:val="21"/>
                <w:szCs w:val="21"/>
              </w:rPr>
              <w:t>Ja</w:t>
            </w:r>
          </w:p>
        </w:tc>
      </w:tr>
      <w:tr w:rsidR="00E76DC8" w:rsidRPr="00225D4D" w14:paraId="7475256E"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188BD290"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719A9C4" w14:textId="77777777" w:rsidR="00D60186" w:rsidRPr="00FD49F3" w:rsidRDefault="00D60186" w:rsidP="00FD49F3">
            <w:pPr>
              <w:ind w:right="113"/>
              <w:jc w:val="right"/>
              <w:rPr>
                <w:sz w:val="21"/>
                <w:szCs w:val="21"/>
              </w:rPr>
            </w:pPr>
            <w:r w:rsidRPr="00FD49F3">
              <w:rPr>
                <w:sz w:val="21"/>
                <w:szCs w:val="21"/>
              </w:rPr>
              <w:t>451</w:t>
            </w:r>
          </w:p>
        </w:tc>
        <w:tc>
          <w:tcPr>
            <w:tcW w:w="5360" w:type="dxa"/>
            <w:tcBorders>
              <w:top w:val="nil"/>
              <w:left w:val="nil"/>
              <w:bottom w:val="nil"/>
              <w:right w:val="nil"/>
            </w:tcBorders>
            <w:tcMar>
              <w:top w:w="128" w:type="dxa"/>
              <w:left w:w="43" w:type="dxa"/>
              <w:bottom w:w="43" w:type="dxa"/>
              <w:right w:w="43" w:type="dxa"/>
            </w:tcMar>
            <w:vAlign w:val="bottom"/>
          </w:tcPr>
          <w:p w14:paraId="3E929AAC" w14:textId="77777777" w:rsidR="00D60186" w:rsidRPr="00FD49F3" w:rsidRDefault="00D60186" w:rsidP="00225D4D">
            <w:pPr>
              <w:rPr>
                <w:sz w:val="21"/>
                <w:szCs w:val="21"/>
              </w:rPr>
            </w:pPr>
            <w:proofErr w:type="spellStart"/>
            <w:r w:rsidRPr="00FD49F3">
              <w:rPr>
                <w:sz w:val="21"/>
                <w:szCs w:val="21"/>
              </w:rPr>
              <w:t>Sjølvkostregelverk</w:t>
            </w:r>
            <w:proofErr w:type="spellEnd"/>
            <w:r w:rsidRPr="00FD49F3">
              <w:rPr>
                <w:sz w:val="21"/>
                <w:szCs w:val="21"/>
              </w:rPr>
              <w:t>: Forlenge maksimal avskrivingstid</w:t>
            </w:r>
          </w:p>
        </w:tc>
        <w:tc>
          <w:tcPr>
            <w:tcW w:w="1640" w:type="dxa"/>
            <w:tcBorders>
              <w:top w:val="nil"/>
              <w:left w:val="nil"/>
              <w:bottom w:val="nil"/>
              <w:right w:val="nil"/>
            </w:tcBorders>
            <w:tcMar>
              <w:top w:w="128" w:type="dxa"/>
              <w:left w:w="43" w:type="dxa"/>
              <w:bottom w:w="43" w:type="dxa"/>
              <w:right w:w="43" w:type="dxa"/>
            </w:tcMar>
          </w:tcPr>
          <w:p w14:paraId="1944837E" w14:textId="77777777" w:rsidR="00D60186" w:rsidRPr="00FD49F3" w:rsidRDefault="00D60186" w:rsidP="00FD49F3">
            <w:pPr>
              <w:jc w:val="right"/>
              <w:rPr>
                <w:sz w:val="21"/>
                <w:szCs w:val="21"/>
              </w:rPr>
            </w:pPr>
            <w:r w:rsidRPr="00FD49F3">
              <w:rPr>
                <w:sz w:val="21"/>
                <w:szCs w:val="21"/>
              </w:rPr>
              <w:t>Ja</w:t>
            </w:r>
          </w:p>
        </w:tc>
      </w:tr>
      <w:tr w:rsidR="00E76DC8" w:rsidRPr="00225D4D" w14:paraId="54C7740C"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D29D0B1"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837E726" w14:textId="77777777" w:rsidR="00D60186" w:rsidRPr="00FD49F3" w:rsidRDefault="00D60186" w:rsidP="00FD49F3">
            <w:pPr>
              <w:ind w:right="113"/>
              <w:jc w:val="right"/>
              <w:rPr>
                <w:sz w:val="21"/>
                <w:szCs w:val="21"/>
              </w:rPr>
            </w:pPr>
            <w:r w:rsidRPr="00FD49F3">
              <w:rPr>
                <w:sz w:val="21"/>
                <w:szCs w:val="21"/>
              </w:rPr>
              <w:t>452</w:t>
            </w:r>
          </w:p>
        </w:tc>
        <w:tc>
          <w:tcPr>
            <w:tcW w:w="5360" w:type="dxa"/>
            <w:tcBorders>
              <w:top w:val="nil"/>
              <w:left w:val="nil"/>
              <w:bottom w:val="nil"/>
              <w:right w:val="nil"/>
            </w:tcBorders>
            <w:tcMar>
              <w:top w:w="128" w:type="dxa"/>
              <w:left w:w="43" w:type="dxa"/>
              <w:bottom w:w="43" w:type="dxa"/>
              <w:right w:w="43" w:type="dxa"/>
            </w:tcMar>
            <w:vAlign w:val="bottom"/>
          </w:tcPr>
          <w:p w14:paraId="73AB7644" w14:textId="77777777" w:rsidR="00D60186" w:rsidRPr="00FD49F3" w:rsidRDefault="00D60186" w:rsidP="00225D4D">
            <w:pPr>
              <w:rPr>
                <w:sz w:val="21"/>
                <w:szCs w:val="21"/>
              </w:rPr>
            </w:pPr>
            <w:proofErr w:type="spellStart"/>
            <w:r w:rsidRPr="00FD49F3">
              <w:rPr>
                <w:sz w:val="21"/>
                <w:szCs w:val="21"/>
              </w:rPr>
              <w:t>Sjølvkostregelverk</w:t>
            </w:r>
            <w:proofErr w:type="spellEnd"/>
            <w:r w:rsidRPr="00FD49F3">
              <w:rPr>
                <w:sz w:val="21"/>
                <w:szCs w:val="21"/>
              </w:rPr>
              <w:t xml:space="preserve">: Periode for tilbakeføring/framføring av </w:t>
            </w:r>
            <w:proofErr w:type="spellStart"/>
            <w:r w:rsidRPr="00FD49F3">
              <w:rPr>
                <w:sz w:val="21"/>
                <w:szCs w:val="21"/>
              </w:rPr>
              <w:t>overskot</w:t>
            </w:r>
            <w:proofErr w:type="spellEnd"/>
            <w:r w:rsidRPr="00FD49F3">
              <w:rPr>
                <w:sz w:val="21"/>
                <w:szCs w:val="21"/>
              </w:rPr>
              <w:t>/</w:t>
            </w:r>
            <w:proofErr w:type="spellStart"/>
            <w:r w:rsidRPr="00FD49F3">
              <w:rPr>
                <w:sz w:val="21"/>
                <w:szCs w:val="21"/>
              </w:rPr>
              <w:t>underskot</w:t>
            </w:r>
            <w:proofErr w:type="spellEnd"/>
          </w:p>
        </w:tc>
        <w:tc>
          <w:tcPr>
            <w:tcW w:w="1640" w:type="dxa"/>
            <w:tcBorders>
              <w:top w:val="nil"/>
              <w:left w:val="nil"/>
              <w:bottom w:val="nil"/>
              <w:right w:val="nil"/>
            </w:tcBorders>
            <w:tcMar>
              <w:top w:w="128" w:type="dxa"/>
              <w:left w:w="43" w:type="dxa"/>
              <w:bottom w:w="43" w:type="dxa"/>
              <w:right w:w="43" w:type="dxa"/>
            </w:tcMar>
          </w:tcPr>
          <w:p w14:paraId="13E50A43" w14:textId="77777777" w:rsidR="00D60186" w:rsidRPr="00FD49F3" w:rsidRDefault="00D60186" w:rsidP="00FD49F3">
            <w:pPr>
              <w:jc w:val="right"/>
              <w:rPr>
                <w:sz w:val="21"/>
                <w:szCs w:val="21"/>
              </w:rPr>
            </w:pPr>
            <w:r w:rsidRPr="00FD49F3">
              <w:rPr>
                <w:sz w:val="21"/>
                <w:szCs w:val="21"/>
              </w:rPr>
              <w:t>Ja</w:t>
            </w:r>
          </w:p>
        </w:tc>
      </w:tr>
      <w:tr w:rsidR="00E76DC8" w:rsidRPr="00225D4D" w14:paraId="54AB0E66"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02BBC3AF"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84EC373" w14:textId="77777777" w:rsidR="00D60186" w:rsidRPr="00FD49F3" w:rsidRDefault="00D60186" w:rsidP="00FD49F3">
            <w:pPr>
              <w:ind w:right="113"/>
              <w:jc w:val="right"/>
              <w:rPr>
                <w:sz w:val="21"/>
                <w:szCs w:val="21"/>
              </w:rPr>
            </w:pPr>
            <w:r w:rsidRPr="00FD49F3">
              <w:rPr>
                <w:sz w:val="21"/>
                <w:szCs w:val="21"/>
              </w:rPr>
              <w:t>524</w:t>
            </w:r>
          </w:p>
        </w:tc>
        <w:tc>
          <w:tcPr>
            <w:tcW w:w="5360" w:type="dxa"/>
            <w:tcBorders>
              <w:top w:val="nil"/>
              <w:left w:val="nil"/>
              <w:bottom w:val="nil"/>
              <w:right w:val="nil"/>
            </w:tcBorders>
            <w:tcMar>
              <w:top w:w="128" w:type="dxa"/>
              <w:left w:w="43" w:type="dxa"/>
              <w:bottom w:w="43" w:type="dxa"/>
              <w:right w:w="43" w:type="dxa"/>
            </w:tcMar>
            <w:vAlign w:val="bottom"/>
          </w:tcPr>
          <w:p w14:paraId="00ACF970" w14:textId="77777777" w:rsidR="00D60186" w:rsidRPr="00FD49F3" w:rsidRDefault="00D60186" w:rsidP="00225D4D">
            <w:pPr>
              <w:rPr>
                <w:sz w:val="21"/>
                <w:szCs w:val="21"/>
              </w:rPr>
            </w:pPr>
            <w:r w:rsidRPr="00FD49F3">
              <w:rPr>
                <w:sz w:val="21"/>
                <w:szCs w:val="21"/>
              </w:rPr>
              <w:t>Forsøks-/frikommuneprinsippet</w:t>
            </w:r>
          </w:p>
        </w:tc>
        <w:tc>
          <w:tcPr>
            <w:tcW w:w="1640" w:type="dxa"/>
            <w:tcBorders>
              <w:top w:val="nil"/>
              <w:left w:val="nil"/>
              <w:bottom w:val="nil"/>
              <w:right w:val="nil"/>
            </w:tcBorders>
            <w:tcMar>
              <w:top w:w="128" w:type="dxa"/>
              <w:left w:w="43" w:type="dxa"/>
              <w:bottom w:w="43" w:type="dxa"/>
              <w:right w:w="43" w:type="dxa"/>
            </w:tcMar>
          </w:tcPr>
          <w:p w14:paraId="06E9DC0A" w14:textId="77777777" w:rsidR="00D60186" w:rsidRPr="00FD49F3" w:rsidRDefault="00D60186" w:rsidP="00FD49F3">
            <w:pPr>
              <w:jc w:val="right"/>
              <w:rPr>
                <w:sz w:val="21"/>
                <w:szCs w:val="21"/>
              </w:rPr>
            </w:pPr>
            <w:r w:rsidRPr="00FD49F3">
              <w:rPr>
                <w:sz w:val="21"/>
                <w:szCs w:val="21"/>
              </w:rPr>
              <w:t>Ja</w:t>
            </w:r>
          </w:p>
        </w:tc>
      </w:tr>
      <w:tr w:rsidR="00E76DC8" w:rsidRPr="00225D4D" w14:paraId="55AB5508"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1544F2F"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A6EA46D" w14:textId="77777777" w:rsidR="00D60186" w:rsidRPr="00FD49F3" w:rsidRDefault="00D60186" w:rsidP="00FD49F3">
            <w:pPr>
              <w:ind w:right="113"/>
              <w:jc w:val="right"/>
              <w:rPr>
                <w:sz w:val="21"/>
                <w:szCs w:val="21"/>
              </w:rPr>
            </w:pPr>
            <w:r w:rsidRPr="00FD49F3">
              <w:rPr>
                <w:sz w:val="21"/>
                <w:szCs w:val="21"/>
              </w:rPr>
              <w:t>525</w:t>
            </w:r>
          </w:p>
        </w:tc>
        <w:tc>
          <w:tcPr>
            <w:tcW w:w="5360" w:type="dxa"/>
            <w:tcBorders>
              <w:top w:val="nil"/>
              <w:left w:val="nil"/>
              <w:bottom w:val="nil"/>
              <w:right w:val="nil"/>
            </w:tcBorders>
            <w:tcMar>
              <w:top w:w="128" w:type="dxa"/>
              <w:left w:w="43" w:type="dxa"/>
              <w:bottom w:w="43" w:type="dxa"/>
              <w:right w:w="43" w:type="dxa"/>
            </w:tcMar>
            <w:vAlign w:val="bottom"/>
          </w:tcPr>
          <w:p w14:paraId="61A6C815" w14:textId="77777777" w:rsidR="00D60186" w:rsidRPr="00FD49F3" w:rsidRDefault="00D60186" w:rsidP="00225D4D">
            <w:pPr>
              <w:rPr>
                <w:sz w:val="21"/>
                <w:szCs w:val="21"/>
              </w:rPr>
            </w:pPr>
            <w:r w:rsidRPr="00FD49F3">
              <w:rPr>
                <w:sz w:val="21"/>
                <w:szCs w:val="21"/>
              </w:rPr>
              <w:t xml:space="preserve">Gjennomgang av kommunesektorens </w:t>
            </w:r>
            <w:proofErr w:type="spellStart"/>
            <w:r w:rsidRPr="00FD49F3">
              <w:rPr>
                <w:sz w:val="21"/>
                <w:szCs w:val="21"/>
              </w:rPr>
              <w:t>oppgåver</w:t>
            </w:r>
            <w:proofErr w:type="spellEnd"/>
          </w:p>
        </w:tc>
        <w:tc>
          <w:tcPr>
            <w:tcW w:w="1640" w:type="dxa"/>
            <w:tcBorders>
              <w:top w:val="nil"/>
              <w:left w:val="nil"/>
              <w:bottom w:val="nil"/>
              <w:right w:val="nil"/>
            </w:tcBorders>
            <w:tcMar>
              <w:top w:w="128" w:type="dxa"/>
              <w:left w:w="43" w:type="dxa"/>
              <w:bottom w:w="43" w:type="dxa"/>
              <w:right w:w="43" w:type="dxa"/>
            </w:tcMar>
          </w:tcPr>
          <w:p w14:paraId="5656A957" w14:textId="77777777" w:rsidR="00D60186" w:rsidRPr="00FD49F3" w:rsidRDefault="00D60186" w:rsidP="00FD49F3">
            <w:pPr>
              <w:jc w:val="right"/>
              <w:rPr>
                <w:sz w:val="21"/>
                <w:szCs w:val="21"/>
              </w:rPr>
            </w:pPr>
            <w:r w:rsidRPr="00FD49F3">
              <w:rPr>
                <w:sz w:val="21"/>
                <w:szCs w:val="21"/>
              </w:rPr>
              <w:t>Ja</w:t>
            </w:r>
          </w:p>
        </w:tc>
      </w:tr>
      <w:tr w:rsidR="00E76DC8" w:rsidRPr="00225D4D" w14:paraId="28B9A6D4"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28E9F95C"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3101604" w14:textId="77777777" w:rsidR="00D60186" w:rsidRPr="00FD49F3" w:rsidRDefault="00D60186" w:rsidP="00FD49F3">
            <w:pPr>
              <w:ind w:right="113"/>
              <w:jc w:val="right"/>
              <w:rPr>
                <w:sz w:val="21"/>
                <w:szCs w:val="21"/>
              </w:rPr>
            </w:pPr>
            <w:r w:rsidRPr="00FD49F3">
              <w:rPr>
                <w:sz w:val="21"/>
                <w:szCs w:val="21"/>
              </w:rPr>
              <w:t>697</w:t>
            </w:r>
          </w:p>
        </w:tc>
        <w:tc>
          <w:tcPr>
            <w:tcW w:w="5360" w:type="dxa"/>
            <w:tcBorders>
              <w:top w:val="nil"/>
              <w:left w:val="nil"/>
              <w:bottom w:val="nil"/>
              <w:right w:val="nil"/>
            </w:tcBorders>
            <w:tcMar>
              <w:top w:w="128" w:type="dxa"/>
              <w:left w:w="43" w:type="dxa"/>
              <w:bottom w:w="43" w:type="dxa"/>
              <w:right w:w="43" w:type="dxa"/>
            </w:tcMar>
            <w:vAlign w:val="bottom"/>
          </w:tcPr>
          <w:p w14:paraId="0B2957E5" w14:textId="77777777" w:rsidR="00D60186" w:rsidRPr="00FD49F3" w:rsidRDefault="00D60186" w:rsidP="00225D4D">
            <w:pPr>
              <w:rPr>
                <w:sz w:val="21"/>
                <w:szCs w:val="21"/>
              </w:rPr>
            </w:pPr>
            <w:r w:rsidRPr="00FD49F3">
              <w:rPr>
                <w:sz w:val="21"/>
                <w:szCs w:val="21"/>
              </w:rPr>
              <w:t>Gjennomgang av partilova</w:t>
            </w:r>
          </w:p>
        </w:tc>
        <w:tc>
          <w:tcPr>
            <w:tcW w:w="1640" w:type="dxa"/>
            <w:tcBorders>
              <w:top w:val="nil"/>
              <w:left w:val="nil"/>
              <w:bottom w:val="nil"/>
              <w:right w:val="nil"/>
            </w:tcBorders>
            <w:tcMar>
              <w:top w:w="128" w:type="dxa"/>
              <w:left w:w="43" w:type="dxa"/>
              <w:bottom w:w="43" w:type="dxa"/>
              <w:right w:w="43" w:type="dxa"/>
            </w:tcMar>
          </w:tcPr>
          <w:p w14:paraId="4C1DA7C2" w14:textId="77777777" w:rsidR="00D60186" w:rsidRPr="00FD49F3" w:rsidRDefault="00D60186" w:rsidP="00FD49F3">
            <w:pPr>
              <w:jc w:val="right"/>
              <w:rPr>
                <w:sz w:val="21"/>
                <w:szCs w:val="21"/>
              </w:rPr>
            </w:pPr>
            <w:r w:rsidRPr="00FD49F3">
              <w:rPr>
                <w:sz w:val="21"/>
                <w:szCs w:val="21"/>
              </w:rPr>
              <w:t>Nei</w:t>
            </w:r>
          </w:p>
        </w:tc>
      </w:tr>
      <w:tr w:rsidR="00E76DC8" w:rsidRPr="00225D4D" w14:paraId="510D807F"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7541D553"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9A1C7D6" w14:textId="77777777" w:rsidR="00D60186" w:rsidRPr="00FD49F3" w:rsidRDefault="00D60186" w:rsidP="00FD49F3">
            <w:pPr>
              <w:ind w:right="113"/>
              <w:jc w:val="right"/>
              <w:rPr>
                <w:sz w:val="21"/>
                <w:szCs w:val="21"/>
              </w:rPr>
            </w:pPr>
            <w:r w:rsidRPr="00FD49F3">
              <w:rPr>
                <w:sz w:val="21"/>
                <w:szCs w:val="21"/>
              </w:rPr>
              <w:t>878</w:t>
            </w:r>
          </w:p>
        </w:tc>
        <w:tc>
          <w:tcPr>
            <w:tcW w:w="5360" w:type="dxa"/>
            <w:tcBorders>
              <w:top w:val="nil"/>
              <w:left w:val="nil"/>
              <w:bottom w:val="nil"/>
              <w:right w:val="nil"/>
            </w:tcBorders>
            <w:tcMar>
              <w:top w:w="128" w:type="dxa"/>
              <w:left w:w="43" w:type="dxa"/>
              <w:bottom w:w="43" w:type="dxa"/>
              <w:right w:w="43" w:type="dxa"/>
            </w:tcMar>
            <w:vAlign w:val="bottom"/>
          </w:tcPr>
          <w:p w14:paraId="4E7C5227" w14:textId="77777777" w:rsidR="00D60186" w:rsidRPr="00FD49F3" w:rsidRDefault="00D60186" w:rsidP="00225D4D">
            <w:pPr>
              <w:rPr>
                <w:sz w:val="21"/>
                <w:szCs w:val="21"/>
              </w:rPr>
            </w:pPr>
            <w:r w:rsidRPr="00FD49F3">
              <w:rPr>
                <w:sz w:val="21"/>
                <w:szCs w:val="21"/>
              </w:rPr>
              <w:t xml:space="preserve">Mindre </w:t>
            </w:r>
            <w:proofErr w:type="spellStart"/>
            <w:r w:rsidRPr="00FD49F3">
              <w:rPr>
                <w:sz w:val="21"/>
                <w:szCs w:val="21"/>
              </w:rPr>
              <w:t>føringar</w:t>
            </w:r>
            <w:proofErr w:type="spellEnd"/>
            <w:r w:rsidRPr="00FD49F3">
              <w:rPr>
                <w:sz w:val="21"/>
                <w:szCs w:val="21"/>
              </w:rPr>
              <w:t xml:space="preserve"> i areal- og </w:t>
            </w:r>
            <w:proofErr w:type="spellStart"/>
            <w:r w:rsidRPr="00FD49F3">
              <w:rPr>
                <w:sz w:val="21"/>
                <w:szCs w:val="21"/>
              </w:rPr>
              <w:t>transportplanar</w:t>
            </w:r>
            <w:proofErr w:type="spellEnd"/>
          </w:p>
        </w:tc>
        <w:tc>
          <w:tcPr>
            <w:tcW w:w="1640" w:type="dxa"/>
            <w:tcBorders>
              <w:top w:val="nil"/>
              <w:left w:val="nil"/>
              <w:bottom w:val="nil"/>
              <w:right w:val="nil"/>
            </w:tcBorders>
            <w:tcMar>
              <w:top w:w="128" w:type="dxa"/>
              <w:left w:w="43" w:type="dxa"/>
              <w:bottom w:w="43" w:type="dxa"/>
              <w:right w:w="43" w:type="dxa"/>
            </w:tcMar>
          </w:tcPr>
          <w:p w14:paraId="12689449" w14:textId="77777777" w:rsidR="00D60186" w:rsidRPr="00FD49F3" w:rsidRDefault="00D60186" w:rsidP="00FD49F3">
            <w:pPr>
              <w:jc w:val="right"/>
              <w:rPr>
                <w:sz w:val="21"/>
                <w:szCs w:val="21"/>
              </w:rPr>
            </w:pPr>
            <w:r w:rsidRPr="00FD49F3">
              <w:rPr>
                <w:sz w:val="21"/>
                <w:szCs w:val="21"/>
              </w:rPr>
              <w:t>Ja</w:t>
            </w:r>
          </w:p>
        </w:tc>
      </w:tr>
      <w:tr w:rsidR="00E76DC8" w:rsidRPr="00225D4D" w14:paraId="2815F67D"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0E076906"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D54B956" w14:textId="77777777" w:rsidR="00D60186" w:rsidRPr="00FD49F3" w:rsidRDefault="00D60186" w:rsidP="00FD49F3">
            <w:pPr>
              <w:ind w:right="113"/>
              <w:jc w:val="right"/>
              <w:rPr>
                <w:sz w:val="21"/>
                <w:szCs w:val="21"/>
              </w:rPr>
            </w:pPr>
            <w:r w:rsidRPr="00FD49F3">
              <w:rPr>
                <w:sz w:val="21"/>
                <w:szCs w:val="21"/>
              </w:rPr>
              <w:t>880</w:t>
            </w:r>
          </w:p>
        </w:tc>
        <w:tc>
          <w:tcPr>
            <w:tcW w:w="5360" w:type="dxa"/>
            <w:tcBorders>
              <w:top w:val="nil"/>
              <w:left w:val="nil"/>
              <w:bottom w:val="nil"/>
              <w:right w:val="nil"/>
            </w:tcBorders>
            <w:tcMar>
              <w:top w:w="128" w:type="dxa"/>
              <w:left w:w="43" w:type="dxa"/>
              <w:bottom w:w="43" w:type="dxa"/>
              <w:right w:w="43" w:type="dxa"/>
            </w:tcMar>
            <w:vAlign w:val="bottom"/>
          </w:tcPr>
          <w:p w14:paraId="4656EDE3" w14:textId="77777777" w:rsidR="00D60186" w:rsidRPr="00FD49F3" w:rsidRDefault="00D60186" w:rsidP="00225D4D">
            <w:pPr>
              <w:rPr>
                <w:sz w:val="21"/>
                <w:szCs w:val="21"/>
              </w:rPr>
            </w:pPr>
            <w:proofErr w:type="spellStart"/>
            <w:r w:rsidRPr="00FD49F3">
              <w:rPr>
                <w:sz w:val="21"/>
                <w:szCs w:val="21"/>
              </w:rPr>
              <w:t>Enklare</w:t>
            </w:r>
            <w:proofErr w:type="spellEnd"/>
            <w:r w:rsidRPr="00FD49F3">
              <w:rPr>
                <w:sz w:val="21"/>
                <w:szCs w:val="21"/>
              </w:rPr>
              <w:t xml:space="preserve"> handsaming av byggesaker</w:t>
            </w:r>
          </w:p>
        </w:tc>
        <w:tc>
          <w:tcPr>
            <w:tcW w:w="1640" w:type="dxa"/>
            <w:tcBorders>
              <w:top w:val="nil"/>
              <w:left w:val="nil"/>
              <w:bottom w:val="nil"/>
              <w:right w:val="nil"/>
            </w:tcBorders>
            <w:tcMar>
              <w:top w:w="128" w:type="dxa"/>
              <w:left w:w="43" w:type="dxa"/>
              <w:bottom w:w="43" w:type="dxa"/>
              <w:right w:w="43" w:type="dxa"/>
            </w:tcMar>
          </w:tcPr>
          <w:p w14:paraId="0FF0E88C" w14:textId="77777777" w:rsidR="00D60186" w:rsidRPr="00FD49F3" w:rsidRDefault="00D60186" w:rsidP="00FD49F3">
            <w:pPr>
              <w:jc w:val="right"/>
              <w:rPr>
                <w:sz w:val="21"/>
                <w:szCs w:val="21"/>
              </w:rPr>
            </w:pPr>
            <w:r w:rsidRPr="00FD49F3">
              <w:rPr>
                <w:sz w:val="21"/>
                <w:szCs w:val="21"/>
              </w:rPr>
              <w:t>Ja</w:t>
            </w:r>
          </w:p>
        </w:tc>
      </w:tr>
      <w:tr w:rsidR="00E76DC8" w:rsidRPr="00225D4D" w14:paraId="5E1F1A53"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D9DD2A7"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AA7482D" w14:textId="77777777" w:rsidR="00D60186" w:rsidRPr="00FD49F3" w:rsidRDefault="00D60186" w:rsidP="00FD49F3">
            <w:pPr>
              <w:ind w:right="113"/>
              <w:jc w:val="right"/>
              <w:rPr>
                <w:sz w:val="21"/>
                <w:szCs w:val="21"/>
              </w:rPr>
            </w:pPr>
            <w:r w:rsidRPr="00FD49F3">
              <w:rPr>
                <w:sz w:val="21"/>
                <w:szCs w:val="21"/>
              </w:rPr>
              <w:t>885</w:t>
            </w:r>
          </w:p>
        </w:tc>
        <w:tc>
          <w:tcPr>
            <w:tcW w:w="5360" w:type="dxa"/>
            <w:tcBorders>
              <w:top w:val="nil"/>
              <w:left w:val="nil"/>
              <w:bottom w:val="nil"/>
              <w:right w:val="nil"/>
            </w:tcBorders>
            <w:tcMar>
              <w:top w:w="128" w:type="dxa"/>
              <w:left w:w="43" w:type="dxa"/>
              <w:bottom w:w="43" w:type="dxa"/>
              <w:right w:w="43" w:type="dxa"/>
            </w:tcMar>
            <w:vAlign w:val="bottom"/>
          </w:tcPr>
          <w:p w14:paraId="5E88DBC2" w14:textId="77777777" w:rsidR="00D60186" w:rsidRPr="00FD49F3" w:rsidRDefault="00D60186" w:rsidP="00225D4D">
            <w:pPr>
              <w:rPr>
                <w:sz w:val="21"/>
                <w:szCs w:val="21"/>
              </w:rPr>
            </w:pPr>
            <w:r w:rsidRPr="00FD49F3">
              <w:rPr>
                <w:sz w:val="21"/>
                <w:szCs w:val="21"/>
              </w:rPr>
              <w:t>Reduserte plankrav i plan- og bygningslova</w:t>
            </w:r>
          </w:p>
        </w:tc>
        <w:tc>
          <w:tcPr>
            <w:tcW w:w="1640" w:type="dxa"/>
            <w:tcBorders>
              <w:top w:val="nil"/>
              <w:left w:val="nil"/>
              <w:bottom w:val="nil"/>
              <w:right w:val="nil"/>
            </w:tcBorders>
            <w:tcMar>
              <w:top w:w="128" w:type="dxa"/>
              <w:left w:w="43" w:type="dxa"/>
              <w:bottom w:w="43" w:type="dxa"/>
              <w:right w:w="43" w:type="dxa"/>
            </w:tcMar>
          </w:tcPr>
          <w:p w14:paraId="43639384" w14:textId="77777777" w:rsidR="00D60186" w:rsidRPr="00FD49F3" w:rsidRDefault="00D60186" w:rsidP="00FD49F3">
            <w:pPr>
              <w:jc w:val="right"/>
              <w:rPr>
                <w:sz w:val="21"/>
                <w:szCs w:val="21"/>
              </w:rPr>
            </w:pPr>
            <w:r w:rsidRPr="00FD49F3">
              <w:rPr>
                <w:sz w:val="21"/>
                <w:szCs w:val="21"/>
              </w:rPr>
              <w:t>Ja</w:t>
            </w:r>
          </w:p>
        </w:tc>
      </w:tr>
      <w:tr w:rsidR="00E76DC8" w:rsidRPr="00225D4D" w14:paraId="7D0514C9"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A41C727"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8821DAC" w14:textId="77777777" w:rsidR="00D60186" w:rsidRPr="00FD49F3" w:rsidRDefault="00D60186" w:rsidP="00FD49F3">
            <w:pPr>
              <w:ind w:right="113"/>
              <w:jc w:val="right"/>
              <w:rPr>
                <w:sz w:val="21"/>
                <w:szCs w:val="21"/>
              </w:rPr>
            </w:pPr>
            <w:r w:rsidRPr="00FD49F3">
              <w:rPr>
                <w:sz w:val="21"/>
                <w:szCs w:val="21"/>
              </w:rPr>
              <w:t>1026</w:t>
            </w:r>
          </w:p>
        </w:tc>
        <w:tc>
          <w:tcPr>
            <w:tcW w:w="5360" w:type="dxa"/>
            <w:tcBorders>
              <w:top w:val="nil"/>
              <w:left w:val="nil"/>
              <w:bottom w:val="nil"/>
              <w:right w:val="nil"/>
            </w:tcBorders>
            <w:tcMar>
              <w:top w:w="128" w:type="dxa"/>
              <w:left w:w="43" w:type="dxa"/>
              <w:bottom w:w="43" w:type="dxa"/>
              <w:right w:w="43" w:type="dxa"/>
            </w:tcMar>
            <w:vAlign w:val="bottom"/>
          </w:tcPr>
          <w:p w14:paraId="32B94F03" w14:textId="77777777" w:rsidR="00D60186" w:rsidRPr="00FD49F3" w:rsidRDefault="00D60186" w:rsidP="00225D4D">
            <w:pPr>
              <w:rPr>
                <w:sz w:val="21"/>
                <w:szCs w:val="21"/>
              </w:rPr>
            </w:pPr>
            <w:proofErr w:type="spellStart"/>
            <w:r w:rsidRPr="00FD49F3">
              <w:rPr>
                <w:sz w:val="21"/>
                <w:szCs w:val="21"/>
              </w:rPr>
              <w:t>Grunneigarfinansiering</w:t>
            </w:r>
            <w:proofErr w:type="spellEnd"/>
            <w:r w:rsidRPr="00FD49F3">
              <w:rPr>
                <w:sz w:val="21"/>
                <w:szCs w:val="21"/>
              </w:rPr>
              <w:t xml:space="preserve">: Pilotprosjekt med </w:t>
            </w:r>
            <w:proofErr w:type="spellStart"/>
            <w:r w:rsidRPr="00FD49F3">
              <w:rPr>
                <w:sz w:val="21"/>
                <w:szCs w:val="21"/>
              </w:rPr>
              <w:t>utval</w:t>
            </w:r>
            <w:proofErr w:type="spellEnd"/>
            <w:r w:rsidRPr="00FD49F3">
              <w:rPr>
                <w:sz w:val="21"/>
                <w:szCs w:val="21"/>
              </w:rPr>
              <w:t xml:space="preserve"> av </w:t>
            </w:r>
            <w:r w:rsidRPr="00FD49F3">
              <w:rPr>
                <w:sz w:val="21"/>
                <w:szCs w:val="21"/>
              </w:rPr>
              <w:br/>
            </w:r>
            <w:proofErr w:type="spellStart"/>
            <w:r w:rsidRPr="00FD49F3">
              <w:rPr>
                <w:sz w:val="21"/>
                <w:szCs w:val="21"/>
              </w:rPr>
              <w:t>kommunar</w:t>
            </w:r>
            <w:proofErr w:type="spellEnd"/>
          </w:p>
        </w:tc>
        <w:tc>
          <w:tcPr>
            <w:tcW w:w="1640" w:type="dxa"/>
            <w:tcBorders>
              <w:top w:val="nil"/>
              <w:left w:val="nil"/>
              <w:bottom w:val="nil"/>
              <w:right w:val="nil"/>
            </w:tcBorders>
            <w:tcMar>
              <w:top w:w="128" w:type="dxa"/>
              <w:left w:w="43" w:type="dxa"/>
              <w:bottom w:w="43" w:type="dxa"/>
              <w:right w:w="43" w:type="dxa"/>
            </w:tcMar>
          </w:tcPr>
          <w:p w14:paraId="0A1905ED" w14:textId="77777777" w:rsidR="00D60186" w:rsidRPr="00FD49F3" w:rsidRDefault="00D60186" w:rsidP="00FD49F3">
            <w:pPr>
              <w:jc w:val="right"/>
              <w:rPr>
                <w:sz w:val="21"/>
                <w:szCs w:val="21"/>
              </w:rPr>
            </w:pPr>
            <w:r w:rsidRPr="00FD49F3">
              <w:rPr>
                <w:sz w:val="21"/>
                <w:szCs w:val="21"/>
              </w:rPr>
              <w:t>Ja</w:t>
            </w:r>
          </w:p>
        </w:tc>
      </w:tr>
      <w:tr w:rsidR="00E76DC8" w:rsidRPr="00225D4D" w14:paraId="10A3C30D"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6FB4BFE"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19F3B8C" w14:textId="77777777" w:rsidR="00D60186" w:rsidRPr="00FD49F3" w:rsidRDefault="00D60186" w:rsidP="00FD49F3">
            <w:pPr>
              <w:ind w:right="113"/>
              <w:jc w:val="right"/>
              <w:rPr>
                <w:sz w:val="21"/>
                <w:szCs w:val="21"/>
              </w:rPr>
            </w:pPr>
            <w:r w:rsidRPr="00FD49F3">
              <w:rPr>
                <w:sz w:val="21"/>
                <w:szCs w:val="21"/>
              </w:rPr>
              <w:t>1027</w:t>
            </w:r>
          </w:p>
        </w:tc>
        <w:tc>
          <w:tcPr>
            <w:tcW w:w="5360" w:type="dxa"/>
            <w:tcBorders>
              <w:top w:val="nil"/>
              <w:left w:val="nil"/>
              <w:bottom w:val="nil"/>
              <w:right w:val="nil"/>
            </w:tcBorders>
            <w:tcMar>
              <w:top w:w="128" w:type="dxa"/>
              <w:left w:w="43" w:type="dxa"/>
              <w:bottom w:w="43" w:type="dxa"/>
              <w:right w:w="43" w:type="dxa"/>
            </w:tcMar>
            <w:vAlign w:val="bottom"/>
          </w:tcPr>
          <w:p w14:paraId="44BC2F65" w14:textId="77777777" w:rsidR="00D60186" w:rsidRPr="00FD49F3" w:rsidRDefault="00D60186" w:rsidP="00225D4D">
            <w:pPr>
              <w:rPr>
                <w:sz w:val="21"/>
                <w:szCs w:val="21"/>
              </w:rPr>
            </w:pPr>
            <w:proofErr w:type="spellStart"/>
            <w:r w:rsidRPr="00FD49F3">
              <w:rPr>
                <w:sz w:val="21"/>
                <w:szCs w:val="21"/>
              </w:rPr>
              <w:t>Grunneigarfinansiering</w:t>
            </w:r>
            <w:proofErr w:type="spellEnd"/>
            <w:r w:rsidRPr="00FD49F3">
              <w:rPr>
                <w:sz w:val="21"/>
                <w:szCs w:val="21"/>
              </w:rPr>
              <w:t>: Evaluere bruken av omsynssonar</w:t>
            </w:r>
          </w:p>
        </w:tc>
        <w:tc>
          <w:tcPr>
            <w:tcW w:w="1640" w:type="dxa"/>
            <w:tcBorders>
              <w:top w:val="nil"/>
              <w:left w:val="nil"/>
              <w:bottom w:val="nil"/>
              <w:right w:val="nil"/>
            </w:tcBorders>
            <w:tcMar>
              <w:top w:w="128" w:type="dxa"/>
              <w:left w:w="43" w:type="dxa"/>
              <w:bottom w:w="43" w:type="dxa"/>
              <w:right w:w="43" w:type="dxa"/>
            </w:tcMar>
          </w:tcPr>
          <w:p w14:paraId="0272FEC0" w14:textId="77777777" w:rsidR="00D60186" w:rsidRPr="00FD49F3" w:rsidRDefault="00D60186" w:rsidP="00FD49F3">
            <w:pPr>
              <w:jc w:val="right"/>
              <w:rPr>
                <w:sz w:val="21"/>
                <w:szCs w:val="21"/>
              </w:rPr>
            </w:pPr>
            <w:r w:rsidRPr="00FD49F3">
              <w:rPr>
                <w:sz w:val="21"/>
                <w:szCs w:val="21"/>
              </w:rPr>
              <w:t>Ja</w:t>
            </w:r>
          </w:p>
        </w:tc>
      </w:tr>
      <w:tr w:rsidR="00E76DC8" w:rsidRPr="00225D4D" w14:paraId="07F88212"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757E7F25"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0E0B2D8" w14:textId="77777777" w:rsidR="00D60186" w:rsidRPr="00FD49F3" w:rsidRDefault="00D60186" w:rsidP="00FD49F3">
            <w:pPr>
              <w:ind w:right="113"/>
              <w:jc w:val="right"/>
              <w:rPr>
                <w:sz w:val="21"/>
                <w:szCs w:val="21"/>
              </w:rPr>
            </w:pPr>
            <w:r w:rsidRPr="00FD49F3">
              <w:rPr>
                <w:sz w:val="21"/>
                <w:szCs w:val="21"/>
              </w:rPr>
              <w:t>1028</w:t>
            </w:r>
          </w:p>
        </w:tc>
        <w:tc>
          <w:tcPr>
            <w:tcW w:w="5360" w:type="dxa"/>
            <w:tcBorders>
              <w:top w:val="nil"/>
              <w:left w:val="nil"/>
              <w:bottom w:val="nil"/>
              <w:right w:val="nil"/>
            </w:tcBorders>
            <w:tcMar>
              <w:top w:w="128" w:type="dxa"/>
              <w:left w:w="43" w:type="dxa"/>
              <w:bottom w:w="43" w:type="dxa"/>
              <w:right w:w="43" w:type="dxa"/>
            </w:tcMar>
            <w:vAlign w:val="bottom"/>
          </w:tcPr>
          <w:p w14:paraId="1739BA73" w14:textId="77777777" w:rsidR="00D60186" w:rsidRPr="00FD49F3" w:rsidRDefault="00D60186" w:rsidP="00225D4D">
            <w:pPr>
              <w:rPr>
                <w:sz w:val="21"/>
                <w:szCs w:val="21"/>
              </w:rPr>
            </w:pPr>
            <w:proofErr w:type="spellStart"/>
            <w:r w:rsidRPr="00FD49F3">
              <w:rPr>
                <w:sz w:val="21"/>
                <w:szCs w:val="21"/>
              </w:rPr>
              <w:t>Grunneigarfinansiering</w:t>
            </w:r>
            <w:proofErr w:type="spellEnd"/>
            <w:r w:rsidRPr="00FD49F3">
              <w:rPr>
                <w:sz w:val="21"/>
                <w:szCs w:val="21"/>
              </w:rPr>
              <w:t xml:space="preserve">: Unngå utvida bruk av omsynssonar </w:t>
            </w:r>
          </w:p>
        </w:tc>
        <w:tc>
          <w:tcPr>
            <w:tcW w:w="1640" w:type="dxa"/>
            <w:tcBorders>
              <w:top w:val="nil"/>
              <w:left w:val="nil"/>
              <w:bottom w:val="nil"/>
              <w:right w:val="nil"/>
            </w:tcBorders>
            <w:tcMar>
              <w:top w:w="128" w:type="dxa"/>
              <w:left w:w="43" w:type="dxa"/>
              <w:bottom w:w="43" w:type="dxa"/>
              <w:right w:w="43" w:type="dxa"/>
            </w:tcMar>
          </w:tcPr>
          <w:p w14:paraId="1CB2872D" w14:textId="77777777" w:rsidR="00D60186" w:rsidRPr="00FD49F3" w:rsidRDefault="00D60186" w:rsidP="00FD49F3">
            <w:pPr>
              <w:jc w:val="right"/>
              <w:rPr>
                <w:sz w:val="21"/>
                <w:szCs w:val="21"/>
              </w:rPr>
            </w:pPr>
            <w:r w:rsidRPr="00FD49F3">
              <w:rPr>
                <w:sz w:val="21"/>
                <w:szCs w:val="21"/>
              </w:rPr>
              <w:t>Ja</w:t>
            </w:r>
          </w:p>
        </w:tc>
      </w:tr>
      <w:tr w:rsidR="00E76DC8" w:rsidRPr="00225D4D" w14:paraId="70788389"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3A2B345"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3C449E3" w14:textId="77777777" w:rsidR="00D60186" w:rsidRPr="00FD49F3" w:rsidRDefault="00D60186" w:rsidP="00FD49F3">
            <w:pPr>
              <w:ind w:right="113"/>
              <w:jc w:val="right"/>
              <w:rPr>
                <w:sz w:val="21"/>
                <w:szCs w:val="21"/>
              </w:rPr>
            </w:pPr>
            <w:r w:rsidRPr="00FD49F3">
              <w:rPr>
                <w:sz w:val="21"/>
                <w:szCs w:val="21"/>
              </w:rPr>
              <w:t>1103</w:t>
            </w:r>
          </w:p>
        </w:tc>
        <w:tc>
          <w:tcPr>
            <w:tcW w:w="5360" w:type="dxa"/>
            <w:tcBorders>
              <w:top w:val="nil"/>
              <w:left w:val="nil"/>
              <w:bottom w:val="nil"/>
              <w:right w:val="nil"/>
            </w:tcBorders>
            <w:tcMar>
              <w:top w:w="128" w:type="dxa"/>
              <w:left w:w="43" w:type="dxa"/>
              <w:bottom w:w="43" w:type="dxa"/>
              <w:right w:w="43" w:type="dxa"/>
            </w:tcMar>
            <w:vAlign w:val="bottom"/>
          </w:tcPr>
          <w:p w14:paraId="4C5371EA" w14:textId="77777777" w:rsidR="00D60186" w:rsidRPr="00FD49F3" w:rsidRDefault="00D60186" w:rsidP="00225D4D">
            <w:pPr>
              <w:rPr>
                <w:sz w:val="21"/>
                <w:szCs w:val="21"/>
              </w:rPr>
            </w:pPr>
            <w:r w:rsidRPr="00FD49F3">
              <w:rPr>
                <w:sz w:val="21"/>
                <w:szCs w:val="21"/>
              </w:rPr>
              <w:t xml:space="preserve">Kommunalt </w:t>
            </w:r>
            <w:proofErr w:type="spellStart"/>
            <w:r w:rsidRPr="00FD49F3">
              <w:rPr>
                <w:sz w:val="21"/>
                <w:szCs w:val="21"/>
              </w:rPr>
              <w:t>sjølvstyre</w:t>
            </w:r>
            <w:proofErr w:type="spellEnd"/>
            <w:r w:rsidRPr="00FD49F3">
              <w:rPr>
                <w:sz w:val="21"/>
                <w:szCs w:val="21"/>
              </w:rPr>
              <w:t xml:space="preserve"> i plan-, areal- og byggesaker</w:t>
            </w:r>
          </w:p>
        </w:tc>
        <w:tc>
          <w:tcPr>
            <w:tcW w:w="1640" w:type="dxa"/>
            <w:tcBorders>
              <w:top w:val="nil"/>
              <w:left w:val="nil"/>
              <w:bottom w:val="nil"/>
              <w:right w:val="nil"/>
            </w:tcBorders>
            <w:tcMar>
              <w:top w:w="128" w:type="dxa"/>
              <w:left w:w="43" w:type="dxa"/>
              <w:bottom w:w="43" w:type="dxa"/>
              <w:right w:w="43" w:type="dxa"/>
            </w:tcMar>
          </w:tcPr>
          <w:p w14:paraId="3845FFF1" w14:textId="77777777" w:rsidR="00D60186" w:rsidRPr="00FD49F3" w:rsidRDefault="00D60186" w:rsidP="00FD49F3">
            <w:pPr>
              <w:jc w:val="right"/>
              <w:rPr>
                <w:sz w:val="21"/>
                <w:szCs w:val="21"/>
              </w:rPr>
            </w:pPr>
            <w:r w:rsidRPr="00FD49F3">
              <w:rPr>
                <w:sz w:val="21"/>
                <w:szCs w:val="21"/>
              </w:rPr>
              <w:t>Ja</w:t>
            </w:r>
          </w:p>
        </w:tc>
      </w:tr>
      <w:tr w:rsidR="00E76DC8" w:rsidRPr="00225D4D" w14:paraId="23D2ED53"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5A5B0771"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13970CF" w14:textId="77777777" w:rsidR="00D60186" w:rsidRPr="00FD49F3" w:rsidRDefault="00D60186" w:rsidP="00FD49F3">
            <w:pPr>
              <w:ind w:right="113"/>
              <w:jc w:val="right"/>
              <w:rPr>
                <w:sz w:val="21"/>
                <w:szCs w:val="21"/>
              </w:rPr>
            </w:pPr>
            <w:r w:rsidRPr="00FD49F3">
              <w:rPr>
                <w:sz w:val="21"/>
                <w:szCs w:val="21"/>
              </w:rPr>
              <w:t>1104</w:t>
            </w:r>
          </w:p>
        </w:tc>
        <w:tc>
          <w:tcPr>
            <w:tcW w:w="5360" w:type="dxa"/>
            <w:tcBorders>
              <w:top w:val="nil"/>
              <w:left w:val="nil"/>
              <w:bottom w:val="nil"/>
              <w:right w:val="nil"/>
            </w:tcBorders>
            <w:tcMar>
              <w:top w:w="128" w:type="dxa"/>
              <w:left w:w="43" w:type="dxa"/>
              <w:bottom w:w="43" w:type="dxa"/>
              <w:right w:w="43" w:type="dxa"/>
            </w:tcMar>
            <w:vAlign w:val="bottom"/>
          </w:tcPr>
          <w:p w14:paraId="43A9B195" w14:textId="77777777" w:rsidR="00D60186" w:rsidRPr="00FD49F3" w:rsidRDefault="00D60186" w:rsidP="00225D4D">
            <w:pPr>
              <w:rPr>
                <w:sz w:val="21"/>
                <w:szCs w:val="21"/>
              </w:rPr>
            </w:pPr>
            <w:proofErr w:type="spellStart"/>
            <w:r w:rsidRPr="00FD49F3">
              <w:rPr>
                <w:sz w:val="21"/>
                <w:szCs w:val="21"/>
              </w:rPr>
              <w:t>Forbetre</w:t>
            </w:r>
            <w:proofErr w:type="spellEnd"/>
            <w:r w:rsidRPr="00FD49F3">
              <w:rPr>
                <w:sz w:val="21"/>
                <w:szCs w:val="21"/>
              </w:rPr>
              <w:t xml:space="preserve"> ordninga for </w:t>
            </w:r>
            <w:proofErr w:type="spellStart"/>
            <w:r w:rsidRPr="00FD49F3">
              <w:rPr>
                <w:sz w:val="21"/>
                <w:szCs w:val="21"/>
              </w:rPr>
              <w:t>ressurskrevjande</w:t>
            </w:r>
            <w:proofErr w:type="spellEnd"/>
            <w:r w:rsidRPr="00FD49F3">
              <w:rPr>
                <w:sz w:val="21"/>
                <w:szCs w:val="21"/>
              </w:rPr>
              <w:t xml:space="preserve"> </w:t>
            </w:r>
            <w:proofErr w:type="spellStart"/>
            <w:r w:rsidRPr="00FD49F3">
              <w:rPr>
                <w:sz w:val="21"/>
                <w:szCs w:val="21"/>
              </w:rPr>
              <w:t>tenester</w:t>
            </w:r>
            <w:proofErr w:type="spellEnd"/>
          </w:p>
        </w:tc>
        <w:tc>
          <w:tcPr>
            <w:tcW w:w="1640" w:type="dxa"/>
            <w:tcBorders>
              <w:top w:val="nil"/>
              <w:left w:val="nil"/>
              <w:bottom w:val="nil"/>
              <w:right w:val="nil"/>
            </w:tcBorders>
            <w:tcMar>
              <w:top w:w="128" w:type="dxa"/>
              <w:left w:w="43" w:type="dxa"/>
              <w:bottom w:w="43" w:type="dxa"/>
              <w:right w:w="43" w:type="dxa"/>
            </w:tcMar>
          </w:tcPr>
          <w:p w14:paraId="600E68AF" w14:textId="77777777" w:rsidR="00D60186" w:rsidRPr="00FD49F3" w:rsidRDefault="00D60186" w:rsidP="00FD49F3">
            <w:pPr>
              <w:jc w:val="right"/>
              <w:rPr>
                <w:sz w:val="21"/>
                <w:szCs w:val="21"/>
              </w:rPr>
            </w:pPr>
            <w:r w:rsidRPr="00FD49F3">
              <w:rPr>
                <w:sz w:val="21"/>
                <w:szCs w:val="21"/>
              </w:rPr>
              <w:t>Ja</w:t>
            </w:r>
          </w:p>
        </w:tc>
      </w:tr>
      <w:tr w:rsidR="00E76DC8" w:rsidRPr="00225D4D" w14:paraId="043764C8"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DE74445"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C32F0F8" w14:textId="77777777" w:rsidR="00D60186" w:rsidRPr="00FD49F3" w:rsidRDefault="00D60186" w:rsidP="00FD49F3">
            <w:pPr>
              <w:ind w:right="113"/>
              <w:jc w:val="right"/>
              <w:rPr>
                <w:sz w:val="21"/>
                <w:szCs w:val="21"/>
              </w:rPr>
            </w:pPr>
            <w:r w:rsidRPr="00FD49F3">
              <w:rPr>
                <w:sz w:val="21"/>
                <w:szCs w:val="21"/>
              </w:rPr>
              <w:t>1105</w:t>
            </w:r>
          </w:p>
        </w:tc>
        <w:tc>
          <w:tcPr>
            <w:tcW w:w="5360" w:type="dxa"/>
            <w:tcBorders>
              <w:top w:val="nil"/>
              <w:left w:val="nil"/>
              <w:bottom w:val="nil"/>
              <w:right w:val="nil"/>
            </w:tcBorders>
            <w:tcMar>
              <w:top w:w="128" w:type="dxa"/>
              <w:left w:w="43" w:type="dxa"/>
              <w:bottom w:w="43" w:type="dxa"/>
              <w:right w:w="43" w:type="dxa"/>
            </w:tcMar>
            <w:vAlign w:val="bottom"/>
          </w:tcPr>
          <w:p w14:paraId="29533522" w14:textId="77777777" w:rsidR="00D60186" w:rsidRPr="00FD49F3" w:rsidRDefault="00D60186" w:rsidP="00225D4D">
            <w:pPr>
              <w:rPr>
                <w:sz w:val="21"/>
                <w:szCs w:val="21"/>
              </w:rPr>
            </w:pPr>
            <w:proofErr w:type="spellStart"/>
            <w:r w:rsidRPr="00FD49F3">
              <w:rPr>
                <w:sz w:val="21"/>
                <w:szCs w:val="21"/>
              </w:rPr>
              <w:t>Særskild</w:t>
            </w:r>
            <w:proofErr w:type="spellEnd"/>
            <w:r w:rsidRPr="00FD49F3">
              <w:rPr>
                <w:sz w:val="21"/>
                <w:szCs w:val="21"/>
              </w:rPr>
              <w:t xml:space="preserve"> rentekompensasjon for ferjeavløysingsprosjekt</w:t>
            </w:r>
          </w:p>
        </w:tc>
        <w:tc>
          <w:tcPr>
            <w:tcW w:w="1640" w:type="dxa"/>
            <w:tcBorders>
              <w:top w:val="nil"/>
              <w:left w:val="nil"/>
              <w:bottom w:val="nil"/>
              <w:right w:val="nil"/>
            </w:tcBorders>
            <w:tcMar>
              <w:top w:w="128" w:type="dxa"/>
              <w:left w:w="43" w:type="dxa"/>
              <w:bottom w:w="43" w:type="dxa"/>
              <w:right w:w="43" w:type="dxa"/>
            </w:tcMar>
          </w:tcPr>
          <w:p w14:paraId="782A276C" w14:textId="77777777" w:rsidR="00D60186" w:rsidRPr="00FD49F3" w:rsidRDefault="00D60186" w:rsidP="00FD49F3">
            <w:pPr>
              <w:jc w:val="right"/>
              <w:rPr>
                <w:sz w:val="21"/>
                <w:szCs w:val="21"/>
              </w:rPr>
            </w:pPr>
            <w:r w:rsidRPr="00FD49F3">
              <w:rPr>
                <w:sz w:val="21"/>
                <w:szCs w:val="21"/>
              </w:rPr>
              <w:t>Nei</w:t>
            </w:r>
          </w:p>
        </w:tc>
      </w:tr>
      <w:tr w:rsidR="00E76DC8" w:rsidRPr="00225D4D" w14:paraId="60E5D726"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5C21FA96"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E973399" w14:textId="77777777" w:rsidR="00D60186" w:rsidRPr="00FD49F3" w:rsidRDefault="00D60186" w:rsidP="00FD49F3">
            <w:pPr>
              <w:ind w:right="113"/>
              <w:jc w:val="right"/>
              <w:rPr>
                <w:sz w:val="21"/>
                <w:szCs w:val="21"/>
              </w:rPr>
            </w:pPr>
            <w:r w:rsidRPr="00FD49F3">
              <w:rPr>
                <w:sz w:val="21"/>
                <w:szCs w:val="21"/>
              </w:rPr>
              <w:t>1107</w:t>
            </w:r>
          </w:p>
        </w:tc>
        <w:tc>
          <w:tcPr>
            <w:tcW w:w="5360" w:type="dxa"/>
            <w:tcBorders>
              <w:top w:val="nil"/>
              <w:left w:val="nil"/>
              <w:bottom w:val="nil"/>
              <w:right w:val="nil"/>
            </w:tcBorders>
            <w:tcMar>
              <w:top w:w="128" w:type="dxa"/>
              <w:left w:w="43" w:type="dxa"/>
              <w:bottom w:w="43" w:type="dxa"/>
              <w:right w:w="43" w:type="dxa"/>
            </w:tcMar>
            <w:vAlign w:val="bottom"/>
          </w:tcPr>
          <w:p w14:paraId="29A325A9" w14:textId="77777777" w:rsidR="00D60186" w:rsidRPr="00FD49F3" w:rsidRDefault="00D60186" w:rsidP="00225D4D">
            <w:pPr>
              <w:rPr>
                <w:sz w:val="21"/>
                <w:szCs w:val="21"/>
              </w:rPr>
            </w:pPr>
            <w:proofErr w:type="spellStart"/>
            <w:r w:rsidRPr="00FD49F3">
              <w:rPr>
                <w:sz w:val="21"/>
                <w:szCs w:val="21"/>
              </w:rPr>
              <w:t>Tilskot</w:t>
            </w:r>
            <w:proofErr w:type="spellEnd"/>
            <w:r w:rsidRPr="00FD49F3">
              <w:rPr>
                <w:sz w:val="21"/>
                <w:szCs w:val="21"/>
              </w:rPr>
              <w:t xml:space="preserve"> til </w:t>
            </w:r>
            <w:proofErr w:type="spellStart"/>
            <w:r w:rsidRPr="00FD49F3">
              <w:rPr>
                <w:sz w:val="21"/>
                <w:szCs w:val="21"/>
              </w:rPr>
              <w:t>ressurskrevjande</w:t>
            </w:r>
            <w:proofErr w:type="spellEnd"/>
            <w:r w:rsidRPr="00FD49F3">
              <w:rPr>
                <w:sz w:val="21"/>
                <w:szCs w:val="21"/>
              </w:rPr>
              <w:t xml:space="preserve"> </w:t>
            </w:r>
            <w:proofErr w:type="spellStart"/>
            <w:r w:rsidRPr="00FD49F3">
              <w:rPr>
                <w:sz w:val="21"/>
                <w:szCs w:val="21"/>
              </w:rPr>
              <w:t>tenester</w:t>
            </w:r>
            <w:proofErr w:type="spellEnd"/>
            <w:r w:rsidRPr="00FD49F3">
              <w:rPr>
                <w:sz w:val="21"/>
                <w:szCs w:val="21"/>
              </w:rPr>
              <w:t xml:space="preserve"> – </w:t>
            </w:r>
            <w:proofErr w:type="spellStart"/>
            <w:r w:rsidRPr="00FD49F3">
              <w:rPr>
                <w:sz w:val="21"/>
                <w:szCs w:val="21"/>
              </w:rPr>
              <w:t>enklare</w:t>
            </w:r>
            <w:proofErr w:type="spellEnd"/>
            <w:r w:rsidRPr="00FD49F3">
              <w:rPr>
                <w:sz w:val="21"/>
                <w:szCs w:val="21"/>
              </w:rPr>
              <w:t xml:space="preserve"> utforming</w:t>
            </w:r>
          </w:p>
        </w:tc>
        <w:tc>
          <w:tcPr>
            <w:tcW w:w="1640" w:type="dxa"/>
            <w:tcBorders>
              <w:top w:val="nil"/>
              <w:left w:val="nil"/>
              <w:bottom w:val="nil"/>
              <w:right w:val="nil"/>
            </w:tcBorders>
            <w:tcMar>
              <w:top w:w="128" w:type="dxa"/>
              <w:left w:w="43" w:type="dxa"/>
              <w:bottom w:w="43" w:type="dxa"/>
              <w:right w:w="43" w:type="dxa"/>
            </w:tcMar>
          </w:tcPr>
          <w:p w14:paraId="72E89D42" w14:textId="77777777" w:rsidR="00D60186" w:rsidRPr="00FD49F3" w:rsidRDefault="00D60186" w:rsidP="00FD49F3">
            <w:pPr>
              <w:jc w:val="right"/>
              <w:rPr>
                <w:sz w:val="21"/>
                <w:szCs w:val="21"/>
              </w:rPr>
            </w:pPr>
            <w:r w:rsidRPr="00FD49F3">
              <w:rPr>
                <w:sz w:val="21"/>
                <w:szCs w:val="21"/>
              </w:rPr>
              <w:t>Ja</w:t>
            </w:r>
          </w:p>
        </w:tc>
      </w:tr>
      <w:tr w:rsidR="00E76DC8" w:rsidRPr="00225D4D" w14:paraId="30DA5178"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C7BB57A"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0EE0001" w14:textId="77777777" w:rsidR="00D60186" w:rsidRPr="00FD49F3" w:rsidRDefault="00D60186" w:rsidP="00FD49F3">
            <w:pPr>
              <w:ind w:right="113"/>
              <w:jc w:val="right"/>
              <w:rPr>
                <w:sz w:val="21"/>
                <w:szCs w:val="21"/>
              </w:rPr>
            </w:pPr>
            <w:r w:rsidRPr="00FD49F3">
              <w:rPr>
                <w:sz w:val="21"/>
                <w:szCs w:val="21"/>
              </w:rPr>
              <w:t>1108</w:t>
            </w:r>
          </w:p>
        </w:tc>
        <w:tc>
          <w:tcPr>
            <w:tcW w:w="5360" w:type="dxa"/>
            <w:tcBorders>
              <w:top w:val="nil"/>
              <w:left w:val="nil"/>
              <w:bottom w:val="nil"/>
              <w:right w:val="nil"/>
            </w:tcBorders>
            <w:tcMar>
              <w:top w:w="128" w:type="dxa"/>
              <w:left w:w="43" w:type="dxa"/>
              <w:bottom w:w="43" w:type="dxa"/>
              <w:right w:w="43" w:type="dxa"/>
            </w:tcMar>
            <w:vAlign w:val="bottom"/>
          </w:tcPr>
          <w:p w14:paraId="25831BC7" w14:textId="77777777" w:rsidR="00D60186" w:rsidRPr="00FD49F3" w:rsidRDefault="00D60186" w:rsidP="00225D4D">
            <w:pPr>
              <w:rPr>
                <w:sz w:val="21"/>
                <w:szCs w:val="21"/>
              </w:rPr>
            </w:pPr>
            <w:proofErr w:type="spellStart"/>
            <w:r w:rsidRPr="00FD49F3">
              <w:rPr>
                <w:sz w:val="21"/>
                <w:szCs w:val="21"/>
              </w:rPr>
              <w:t>Vidareføring</w:t>
            </w:r>
            <w:proofErr w:type="spellEnd"/>
            <w:r w:rsidRPr="00FD49F3">
              <w:rPr>
                <w:sz w:val="21"/>
                <w:szCs w:val="21"/>
              </w:rPr>
              <w:t xml:space="preserve"> av ferjeavløysingsordninga</w:t>
            </w:r>
          </w:p>
        </w:tc>
        <w:tc>
          <w:tcPr>
            <w:tcW w:w="1640" w:type="dxa"/>
            <w:tcBorders>
              <w:top w:val="nil"/>
              <w:left w:val="nil"/>
              <w:bottom w:val="nil"/>
              <w:right w:val="nil"/>
            </w:tcBorders>
            <w:tcMar>
              <w:top w:w="128" w:type="dxa"/>
              <w:left w:w="43" w:type="dxa"/>
              <w:bottom w:w="43" w:type="dxa"/>
              <w:right w:w="43" w:type="dxa"/>
            </w:tcMar>
          </w:tcPr>
          <w:p w14:paraId="31CD6CF9" w14:textId="77777777" w:rsidR="00D60186" w:rsidRPr="00FD49F3" w:rsidRDefault="00D60186" w:rsidP="00FD49F3">
            <w:pPr>
              <w:jc w:val="right"/>
              <w:rPr>
                <w:sz w:val="21"/>
                <w:szCs w:val="21"/>
              </w:rPr>
            </w:pPr>
            <w:r w:rsidRPr="00FD49F3">
              <w:rPr>
                <w:sz w:val="21"/>
                <w:szCs w:val="21"/>
              </w:rPr>
              <w:t>Ja</w:t>
            </w:r>
          </w:p>
        </w:tc>
      </w:tr>
      <w:tr w:rsidR="00E76DC8" w:rsidRPr="00225D4D" w14:paraId="2F4D911E"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274273C"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D11FCF0" w14:textId="77777777" w:rsidR="00D60186" w:rsidRPr="00FD49F3" w:rsidRDefault="00D60186" w:rsidP="00FD49F3">
            <w:pPr>
              <w:ind w:right="113"/>
              <w:jc w:val="right"/>
              <w:rPr>
                <w:sz w:val="21"/>
                <w:szCs w:val="21"/>
              </w:rPr>
            </w:pPr>
            <w:r w:rsidRPr="00FD49F3">
              <w:rPr>
                <w:sz w:val="21"/>
                <w:szCs w:val="21"/>
              </w:rPr>
              <w:t>1148</w:t>
            </w:r>
          </w:p>
        </w:tc>
        <w:tc>
          <w:tcPr>
            <w:tcW w:w="5360" w:type="dxa"/>
            <w:tcBorders>
              <w:top w:val="nil"/>
              <w:left w:val="nil"/>
              <w:bottom w:val="nil"/>
              <w:right w:val="nil"/>
            </w:tcBorders>
            <w:tcMar>
              <w:top w:w="128" w:type="dxa"/>
              <w:left w:w="43" w:type="dxa"/>
              <w:bottom w:w="43" w:type="dxa"/>
              <w:right w:w="43" w:type="dxa"/>
            </w:tcMar>
            <w:vAlign w:val="bottom"/>
          </w:tcPr>
          <w:p w14:paraId="362182B7" w14:textId="77777777" w:rsidR="00D60186" w:rsidRPr="00FD49F3" w:rsidRDefault="00D60186" w:rsidP="00225D4D">
            <w:pPr>
              <w:rPr>
                <w:sz w:val="21"/>
                <w:szCs w:val="21"/>
              </w:rPr>
            </w:pPr>
            <w:r w:rsidRPr="00FD49F3">
              <w:rPr>
                <w:sz w:val="21"/>
                <w:szCs w:val="21"/>
              </w:rPr>
              <w:t xml:space="preserve">Fordeling av </w:t>
            </w:r>
            <w:proofErr w:type="spellStart"/>
            <w:r w:rsidRPr="00FD49F3">
              <w:rPr>
                <w:sz w:val="21"/>
                <w:szCs w:val="21"/>
              </w:rPr>
              <w:t>auken</w:t>
            </w:r>
            <w:proofErr w:type="spellEnd"/>
            <w:r w:rsidRPr="00FD49F3">
              <w:rPr>
                <w:sz w:val="21"/>
                <w:szCs w:val="21"/>
              </w:rPr>
              <w:t xml:space="preserve"> i </w:t>
            </w:r>
            <w:proofErr w:type="spellStart"/>
            <w:r w:rsidRPr="00FD49F3">
              <w:rPr>
                <w:sz w:val="21"/>
                <w:szCs w:val="21"/>
              </w:rPr>
              <w:t>dei</w:t>
            </w:r>
            <w:proofErr w:type="spellEnd"/>
            <w:r w:rsidRPr="00FD49F3">
              <w:rPr>
                <w:sz w:val="21"/>
                <w:szCs w:val="21"/>
              </w:rPr>
              <w:t xml:space="preserve"> frie inntektene til </w:t>
            </w:r>
            <w:proofErr w:type="spellStart"/>
            <w:r w:rsidRPr="00FD49F3">
              <w:rPr>
                <w:sz w:val="21"/>
                <w:szCs w:val="21"/>
              </w:rPr>
              <w:t>fylkeskommunane</w:t>
            </w:r>
            <w:proofErr w:type="spellEnd"/>
          </w:p>
        </w:tc>
        <w:tc>
          <w:tcPr>
            <w:tcW w:w="1640" w:type="dxa"/>
            <w:tcBorders>
              <w:top w:val="nil"/>
              <w:left w:val="nil"/>
              <w:bottom w:val="nil"/>
              <w:right w:val="nil"/>
            </w:tcBorders>
            <w:tcMar>
              <w:top w:w="128" w:type="dxa"/>
              <w:left w:w="43" w:type="dxa"/>
              <w:bottom w:w="43" w:type="dxa"/>
              <w:right w:w="43" w:type="dxa"/>
            </w:tcMar>
          </w:tcPr>
          <w:p w14:paraId="3EA08650" w14:textId="77777777" w:rsidR="00D60186" w:rsidRPr="00FD49F3" w:rsidRDefault="00D60186" w:rsidP="00FD49F3">
            <w:pPr>
              <w:jc w:val="right"/>
              <w:rPr>
                <w:sz w:val="21"/>
                <w:szCs w:val="21"/>
              </w:rPr>
            </w:pPr>
            <w:r w:rsidRPr="00FD49F3">
              <w:rPr>
                <w:sz w:val="21"/>
                <w:szCs w:val="21"/>
              </w:rPr>
              <w:t>Ja</w:t>
            </w:r>
          </w:p>
        </w:tc>
      </w:tr>
      <w:tr w:rsidR="00E76DC8" w:rsidRPr="00225D4D" w14:paraId="2AD83C9D"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DC4EE82"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6FEDD6D" w14:textId="77777777" w:rsidR="00D60186" w:rsidRPr="00FD49F3" w:rsidRDefault="00D60186" w:rsidP="00FD49F3">
            <w:pPr>
              <w:ind w:right="113"/>
              <w:jc w:val="right"/>
              <w:rPr>
                <w:sz w:val="21"/>
                <w:szCs w:val="21"/>
              </w:rPr>
            </w:pPr>
            <w:r w:rsidRPr="00FD49F3">
              <w:rPr>
                <w:sz w:val="21"/>
                <w:szCs w:val="21"/>
              </w:rPr>
              <w:t>1221</w:t>
            </w:r>
          </w:p>
        </w:tc>
        <w:tc>
          <w:tcPr>
            <w:tcW w:w="5360" w:type="dxa"/>
            <w:tcBorders>
              <w:top w:val="nil"/>
              <w:left w:val="nil"/>
              <w:bottom w:val="nil"/>
              <w:right w:val="nil"/>
            </w:tcBorders>
            <w:tcMar>
              <w:top w:w="128" w:type="dxa"/>
              <w:left w:w="43" w:type="dxa"/>
              <w:bottom w:w="43" w:type="dxa"/>
              <w:right w:w="43" w:type="dxa"/>
            </w:tcMar>
            <w:vAlign w:val="bottom"/>
          </w:tcPr>
          <w:p w14:paraId="4A815D2A" w14:textId="77777777" w:rsidR="00D60186" w:rsidRPr="00FD49F3" w:rsidRDefault="00D60186" w:rsidP="00225D4D">
            <w:pPr>
              <w:rPr>
                <w:sz w:val="21"/>
                <w:szCs w:val="21"/>
              </w:rPr>
            </w:pPr>
            <w:r w:rsidRPr="00FD49F3">
              <w:rPr>
                <w:sz w:val="21"/>
                <w:szCs w:val="21"/>
              </w:rPr>
              <w:t xml:space="preserve">Korttidsutleige av </w:t>
            </w:r>
            <w:proofErr w:type="spellStart"/>
            <w:r w:rsidRPr="00FD49F3">
              <w:rPr>
                <w:sz w:val="21"/>
                <w:szCs w:val="21"/>
              </w:rPr>
              <w:t>bustader</w:t>
            </w:r>
            <w:proofErr w:type="spellEnd"/>
          </w:p>
        </w:tc>
        <w:tc>
          <w:tcPr>
            <w:tcW w:w="1640" w:type="dxa"/>
            <w:tcBorders>
              <w:top w:val="nil"/>
              <w:left w:val="nil"/>
              <w:bottom w:val="nil"/>
              <w:right w:val="nil"/>
            </w:tcBorders>
            <w:tcMar>
              <w:top w:w="128" w:type="dxa"/>
              <w:left w:w="43" w:type="dxa"/>
              <w:bottom w:w="43" w:type="dxa"/>
              <w:right w:w="43" w:type="dxa"/>
            </w:tcMar>
          </w:tcPr>
          <w:p w14:paraId="5FDFE16F" w14:textId="77777777" w:rsidR="00D60186" w:rsidRPr="00FD49F3" w:rsidRDefault="00D60186" w:rsidP="00FD49F3">
            <w:pPr>
              <w:jc w:val="right"/>
              <w:rPr>
                <w:sz w:val="21"/>
                <w:szCs w:val="21"/>
              </w:rPr>
            </w:pPr>
            <w:r w:rsidRPr="00FD49F3">
              <w:rPr>
                <w:sz w:val="21"/>
                <w:szCs w:val="21"/>
              </w:rPr>
              <w:t>Ja</w:t>
            </w:r>
          </w:p>
        </w:tc>
      </w:tr>
      <w:tr w:rsidR="00E76DC8" w:rsidRPr="00225D4D" w14:paraId="586FBE95"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49A0BFB"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4CA77D2" w14:textId="77777777" w:rsidR="00D60186" w:rsidRPr="00FD49F3" w:rsidRDefault="00D60186" w:rsidP="00FD49F3">
            <w:pPr>
              <w:ind w:right="113"/>
              <w:jc w:val="right"/>
              <w:rPr>
                <w:sz w:val="21"/>
                <w:szCs w:val="21"/>
              </w:rPr>
            </w:pPr>
            <w:r w:rsidRPr="00FD49F3">
              <w:rPr>
                <w:sz w:val="21"/>
                <w:szCs w:val="21"/>
              </w:rPr>
              <w:t>1234</w:t>
            </w:r>
          </w:p>
        </w:tc>
        <w:tc>
          <w:tcPr>
            <w:tcW w:w="5360" w:type="dxa"/>
            <w:tcBorders>
              <w:top w:val="nil"/>
              <w:left w:val="nil"/>
              <w:bottom w:val="nil"/>
              <w:right w:val="nil"/>
            </w:tcBorders>
            <w:tcMar>
              <w:top w:w="128" w:type="dxa"/>
              <w:left w:w="43" w:type="dxa"/>
              <w:bottom w:w="43" w:type="dxa"/>
              <w:right w:w="43" w:type="dxa"/>
            </w:tcMar>
            <w:vAlign w:val="bottom"/>
          </w:tcPr>
          <w:p w14:paraId="466392BF" w14:textId="77777777" w:rsidR="00D60186" w:rsidRPr="00FD49F3" w:rsidRDefault="00D60186" w:rsidP="00225D4D">
            <w:pPr>
              <w:rPr>
                <w:sz w:val="21"/>
                <w:szCs w:val="21"/>
              </w:rPr>
            </w:pPr>
            <w:r w:rsidRPr="00FD49F3">
              <w:rPr>
                <w:sz w:val="21"/>
                <w:szCs w:val="21"/>
              </w:rPr>
              <w:t>Merkur-ordninga</w:t>
            </w:r>
          </w:p>
        </w:tc>
        <w:tc>
          <w:tcPr>
            <w:tcW w:w="1640" w:type="dxa"/>
            <w:tcBorders>
              <w:top w:val="nil"/>
              <w:left w:val="nil"/>
              <w:bottom w:val="nil"/>
              <w:right w:val="nil"/>
            </w:tcBorders>
            <w:tcMar>
              <w:top w:w="128" w:type="dxa"/>
              <w:left w:w="43" w:type="dxa"/>
              <w:bottom w:w="43" w:type="dxa"/>
              <w:right w:w="43" w:type="dxa"/>
            </w:tcMar>
          </w:tcPr>
          <w:p w14:paraId="750192F5" w14:textId="77777777" w:rsidR="00D60186" w:rsidRPr="00FD49F3" w:rsidRDefault="00D60186" w:rsidP="00FD49F3">
            <w:pPr>
              <w:jc w:val="right"/>
              <w:rPr>
                <w:sz w:val="21"/>
                <w:szCs w:val="21"/>
              </w:rPr>
            </w:pPr>
            <w:r w:rsidRPr="00FD49F3">
              <w:rPr>
                <w:sz w:val="21"/>
                <w:szCs w:val="21"/>
              </w:rPr>
              <w:t>Ja</w:t>
            </w:r>
          </w:p>
        </w:tc>
      </w:tr>
      <w:tr w:rsidR="00E76DC8" w:rsidRPr="00225D4D" w14:paraId="2FBF9959"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51EF4474"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321E650" w14:textId="77777777" w:rsidR="00D60186" w:rsidRPr="00FD49F3" w:rsidRDefault="00D60186" w:rsidP="00FD49F3">
            <w:pPr>
              <w:ind w:right="113"/>
              <w:jc w:val="right"/>
              <w:rPr>
                <w:sz w:val="21"/>
                <w:szCs w:val="21"/>
              </w:rPr>
            </w:pPr>
            <w:r w:rsidRPr="00FD49F3">
              <w:rPr>
                <w:sz w:val="21"/>
                <w:szCs w:val="21"/>
              </w:rPr>
              <w:t>1241</w:t>
            </w:r>
          </w:p>
        </w:tc>
        <w:tc>
          <w:tcPr>
            <w:tcW w:w="5360" w:type="dxa"/>
            <w:tcBorders>
              <w:top w:val="nil"/>
              <w:left w:val="nil"/>
              <w:bottom w:val="nil"/>
              <w:right w:val="nil"/>
            </w:tcBorders>
            <w:tcMar>
              <w:top w:w="128" w:type="dxa"/>
              <w:left w:w="43" w:type="dxa"/>
              <w:bottom w:w="43" w:type="dxa"/>
              <w:right w:w="43" w:type="dxa"/>
            </w:tcMar>
            <w:vAlign w:val="bottom"/>
          </w:tcPr>
          <w:p w14:paraId="268D728A" w14:textId="77777777" w:rsidR="00D60186" w:rsidRPr="00FD49F3" w:rsidRDefault="00D60186" w:rsidP="00225D4D">
            <w:pPr>
              <w:rPr>
                <w:sz w:val="21"/>
                <w:szCs w:val="21"/>
              </w:rPr>
            </w:pPr>
            <w:r w:rsidRPr="00FD49F3">
              <w:rPr>
                <w:sz w:val="21"/>
                <w:szCs w:val="21"/>
              </w:rPr>
              <w:t>Frie inntekter til kommunesektoren</w:t>
            </w:r>
          </w:p>
        </w:tc>
        <w:tc>
          <w:tcPr>
            <w:tcW w:w="1640" w:type="dxa"/>
            <w:tcBorders>
              <w:top w:val="nil"/>
              <w:left w:val="nil"/>
              <w:bottom w:val="nil"/>
              <w:right w:val="nil"/>
            </w:tcBorders>
            <w:tcMar>
              <w:top w:w="128" w:type="dxa"/>
              <w:left w:w="43" w:type="dxa"/>
              <w:bottom w:w="43" w:type="dxa"/>
              <w:right w:w="43" w:type="dxa"/>
            </w:tcMar>
          </w:tcPr>
          <w:p w14:paraId="1B6FEC0E" w14:textId="77777777" w:rsidR="00D60186" w:rsidRPr="00FD49F3" w:rsidRDefault="00D60186" w:rsidP="00FD49F3">
            <w:pPr>
              <w:jc w:val="right"/>
              <w:rPr>
                <w:sz w:val="21"/>
                <w:szCs w:val="21"/>
              </w:rPr>
            </w:pPr>
            <w:r w:rsidRPr="00FD49F3">
              <w:rPr>
                <w:sz w:val="21"/>
                <w:szCs w:val="21"/>
              </w:rPr>
              <w:t>Ja</w:t>
            </w:r>
          </w:p>
        </w:tc>
      </w:tr>
      <w:tr w:rsidR="00E76DC8" w:rsidRPr="00225D4D" w14:paraId="7551AD5B"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46AB103" w14:textId="77777777" w:rsidR="00D60186" w:rsidRPr="00FD49F3" w:rsidRDefault="00D60186" w:rsidP="00225D4D">
            <w:pPr>
              <w:rPr>
                <w:sz w:val="21"/>
                <w:szCs w:val="21"/>
              </w:rPr>
            </w:pPr>
            <w:r w:rsidRPr="00FD49F3">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C15BD71" w14:textId="77777777" w:rsidR="00D60186" w:rsidRPr="00FD49F3" w:rsidRDefault="00D60186" w:rsidP="00FD49F3">
            <w:pPr>
              <w:ind w:right="113"/>
              <w:jc w:val="right"/>
              <w:rPr>
                <w:sz w:val="21"/>
                <w:szCs w:val="21"/>
              </w:rPr>
            </w:pPr>
            <w:r w:rsidRPr="00FD49F3">
              <w:rPr>
                <w:sz w:val="21"/>
                <w:szCs w:val="21"/>
              </w:rPr>
              <w:t>1258</w:t>
            </w:r>
          </w:p>
        </w:tc>
        <w:tc>
          <w:tcPr>
            <w:tcW w:w="5360" w:type="dxa"/>
            <w:tcBorders>
              <w:top w:val="nil"/>
              <w:left w:val="nil"/>
              <w:bottom w:val="nil"/>
              <w:right w:val="nil"/>
            </w:tcBorders>
            <w:tcMar>
              <w:top w:w="128" w:type="dxa"/>
              <w:left w:w="43" w:type="dxa"/>
              <w:bottom w:w="43" w:type="dxa"/>
              <w:right w:w="43" w:type="dxa"/>
            </w:tcMar>
            <w:vAlign w:val="bottom"/>
          </w:tcPr>
          <w:p w14:paraId="191193D6" w14:textId="77777777" w:rsidR="00D60186" w:rsidRPr="00FD49F3" w:rsidRDefault="00D60186" w:rsidP="00225D4D">
            <w:pPr>
              <w:rPr>
                <w:sz w:val="21"/>
                <w:szCs w:val="21"/>
              </w:rPr>
            </w:pPr>
            <w:r w:rsidRPr="00FD49F3">
              <w:rPr>
                <w:sz w:val="21"/>
                <w:szCs w:val="21"/>
              </w:rPr>
              <w:t>Særskilte tiltak i innsatssonen</w:t>
            </w:r>
          </w:p>
        </w:tc>
        <w:tc>
          <w:tcPr>
            <w:tcW w:w="1640" w:type="dxa"/>
            <w:tcBorders>
              <w:top w:val="nil"/>
              <w:left w:val="nil"/>
              <w:bottom w:val="nil"/>
              <w:right w:val="nil"/>
            </w:tcBorders>
            <w:tcMar>
              <w:top w:w="128" w:type="dxa"/>
              <w:left w:w="43" w:type="dxa"/>
              <w:bottom w:w="43" w:type="dxa"/>
              <w:right w:w="43" w:type="dxa"/>
            </w:tcMar>
          </w:tcPr>
          <w:p w14:paraId="52612EEA" w14:textId="77777777" w:rsidR="00D60186" w:rsidRPr="00FD49F3" w:rsidRDefault="00D60186" w:rsidP="00FD49F3">
            <w:pPr>
              <w:jc w:val="right"/>
              <w:rPr>
                <w:sz w:val="21"/>
                <w:szCs w:val="21"/>
              </w:rPr>
            </w:pPr>
            <w:r w:rsidRPr="00FD49F3">
              <w:rPr>
                <w:sz w:val="21"/>
                <w:szCs w:val="21"/>
              </w:rPr>
              <w:t>Ja</w:t>
            </w:r>
          </w:p>
        </w:tc>
      </w:tr>
      <w:tr w:rsidR="00E76DC8" w:rsidRPr="00225D4D" w14:paraId="168D2F7B"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597480E8"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65822011" w14:textId="77777777" w:rsidR="00D60186" w:rsidRPr="00FD49F3" w:rsidRDefault="00D60186" w:rsidP="00FD49F3">
            <w:pPr>
              <w:ind w:right="113"/>
              <w:jc w:val="right"/>
              <w:rPr>
                <w:sz w:val="21"/>
                <w:szCs w:val="21"/>
              </w:rPr>
            </w:pPr>
            <w:r w:rsidRPr="00FD49F3">
              <w:rPr>
                <w:sz w:val="21"/>
                <w:szCs w:val="21"/>
              </w:rPr>
              <w:t>1</w:t>
            </w:r>
          </w:p>
        </w:tc>
        <w:tc>
          <w:tcPr>
            <w:tcW w:w="5360" w:type="dxa"/>
            <w:tcBorders>
              <w:top w:val="nil"/>
              <w:left w:val="nil"/>
              <w:bottom w:val="nil"/>
              <w:right w:val="nil"/>
            </w:tcBorders>
            <w:tcMar>
              <w:top w:w="128" w:type="dxa"/>
              <w:left w:w="43" w:type="dxa"/>
              <w:bottom w:w="43" w:type="dxa"/>
              <w:right w:w="43" w:type="dxa"/>
            </w:tcMar>
            <w:vAlign w:val="bottom"/>
          </w:tcPr>
          <w:p w14:paraId="4C151992" w14:textId="77777777" w:rsidR="00D60186" w:rsidRPr="00FD49F3" w:rsidRDefault="00D60186" w:rsidP="00225D4D">
            <w:pPr>
              <w:rPr>
                <w:sz w:val="21"/>
                <w:szCs w:val="21"/>
              </w:rPr>
            </w:pPr>
            <w:proofErr w:type="spellStart"/>
            <w:r w:rsidRPr="00FD49F3">
              <w:rPr>
                <w:sz w:val="21"/>
                <w:szCs w:val="21"/>
              </w:rPr>
              <w:t>Endringar</w:t>
            </w:r>
            <w:proofErr w:type="spellEnd"/>
            <w:r w:rsidRPr="00FD49F3">
              <w:rPr>
                <w:sz w:val="21"/>
                <w:szCs w:val="21"/>
              </w:rPr>
              <w:t xml:space="preserve"> i partilova</w:t>
            </w:r>
          </w:p>
        </w:tc>
        <w:tc>
          <w:tcPr>
            <w:tcW w:w="1640" w:type="dxa"/>
            <w:tcBorders>
              <w:top w:val="nil"/>
              <w:left w:val="nil"/>
              <w:bottom w:val="nil"/>
              <w:right w:val="nil"/>
            </w:tcBorders>
            <w:tcMar>
              <w:top w:w="128" w:type="dxa"/>
              <w:left w:w="43" w:type="dxa"/>
              <w:bottom w:w="43" w:type="dxa"/>
              <w:right w:w="43" w:type="dxa"/>
            </w:tcMar>
          </w:tcPr>
          <w:p w14:paraId="6082D75F" w14:textId="77777777" w:rsidR="00D60186" w:rsidRPr="00FD49F3" w:rsidRDefault="00D60186" w:rsidP="00FD49F3">
            <w:pPr>
              <w:jc w:val="right"/>
              <w:rPr>
                <w:sz w:val="21"/>
                <w:szCs w:val="21"/>
              </w:rPr>
            </w:pPr>
            <w:r w:rsidRPr="00FD49F3">
              <w:rPr>
                <w:sz w:val="21"/>
                <w:szCs w:val="21"/>
              </w:rPr>
              <w:t>Ja</w:t>
            </w:r>
          </w:p>
        </w:tc>
      </w:tr>
      <w:tr w:rsidR="00E76DC8" w:rsidRPr="00225D4D" w14:paraId="418034AA"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1633E9A"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17656746" w14:textId="77777777" w:rsidR="00D60186" w:rsidRPr="00FD49F3" w:rsidRDefault="00D60186" w:rsidP="00FD49F3">
            <w:pPr>
              <w:ind w:right="113"/>
              <w:jc w:val="right"/>
              <w:rPr>
                <w:sz w:val="21"/>
                <w:szCs w:val="21"/>
              </w:rPr>
            </w:pPr>
            <w:r w:rsidRPr="00FD49F3">
              <w:rPr>
                <w:sz w:val="21"/>
                <w:szCs w:val="21"/>
              </w:rPr>
              <w:t>74</w:t>
            </w:r>
          </w:p>
        </w:tc>
        <w:tc>
          <w:tcPr>
            <w:tcW w:w="5360" w:type="dxa"/>
            <w:tcBorders>
              <w:top w:val="nil"/>
              <w:left w:val="nil"/>
              <w:bottom w:val="nil"/>
              <w:right w:val="nil"/>
            </w:tcBorders>
            <w:tcMar>
              <w:top w:w="128" w:type="dxa"/>
              <w:left w:w="43" w:type="dxa"/>
              <w:bottom w:w="43" w:type="dxa"/>
              <w:right w:w="43" w:type="dxa"/>
            </w:tcMar>
            <w:vAlign w:val="bottom"/>
          </w:tcPr>
          <w:p w14:paraId="2837AD4A" w14:textId="77777777" w:rsidR="00D60186" w:rsidRPr="00FD49F3" w:rsidRDefault="00D60186" w:rsidP="00225D4D">
            <w:pPr>
              <w:rPr>
                <w:sz w:val="21"/>
                <w:szCs w:val="21"/>
              </w:rPr>
            </w:pPr>
            <w:proofErr w:type="spellStart"/>
            <w:r w:rsidRPr="00FD49F3">
              <w:rPr>
                <w:sz w:val="21"/>
                <w:szCs w:val="21"/>
              </w:rPr>
              <w:t>Klimagassrekneskap</w:t>
            </w:r>
            <w:proofErr w:type="spellEnd"/>
          </w:p>
        </w:tc>
        <w:tc>
          <w:tcPr>
            <w:tcW w:w="1640" w:type="dxa"/>
            <w:tcBorders>
              <w:top w:val="nil"/>
              <w:left w:val="nil"/>
              <w:bottom w:val="nil"/>
              <w:right w:val="nil"/>
            </w:tcBorders>
            <w:tcMar>
              <w:top w:w="128" w:type="dxa"/>
              <w:left w:w="43" w:type="dxa"/>
              <w:bottom w:w="43" w:type="dxa"/>
              <w:right w:w="43" w:type="dxa"/>
            </w:tcMar>
          </w:tcPr>
          <w:p w14:paraId="7AFFC6F2" w14:textId="77777777" w:rsidR="00D60186" w:rsidRPr="00FD49F3" w:rsidRDefault="00D60186" w:rsidP="00FD49F3">
            <w:pPr>
              <w:jc w:val="right"/>
              <w:rPr>
                <w:sz w:val="21"/>
                <w:szCs w:val="21"/>
              </w:rPr>
            </w:pPr>
            <w:r w:rsidRPr="00FD49F3">
              <w:rPr>
                <w:sz w:val="21"/>
                <w:szCs w:val="21"/>
              </w:rPr>
              <w:t>Ja</w:t>
            </w:r>
          </w:p>
        </w:tc>
      </w:tr>
      <w:tr w:rsidR="00E76DC8" w:rsidRPr="00225D4D" w14:paraId="78721CF7"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E71363F"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083AFC96" w14:textId="77777777" w:rsidR="00D60186" w:rsidRPr="00FD49F3" w:rsidRDefault="00D60186" w:rsidP="00FD49F3">
            <w:pPr>
              <w:ind w:right="113"/>
              <w:jc w:val="right"/>
              <w:rPr>
                <w:sz w:val="21"/>
                <w:szCs w:val="21"/>
              </w:rPr>
            </w:pPr>
            <w:r w:rsidRPr="00FD49F3">
              <w:rPr>
                <w:sz w:val="21"/>
                <w:szCs w:val="21"/>
              </w:rPr>
              <w:t>93</w:t>
            </w:r>
          </w:p>
        </w:tc>
        <w:tc>
          <w:tcPr>
            <w:tcW w:w="5360" w:type="dxa"/>
            <w:tcBorders>
              <w:top w:val="nil"/>
              <w:left w:val="nil"/>
              <w:bottom w:val="nil"/>
              <w:right w:val="nil"/>
            </w:tcBorders>
            <w:tcMar>
              <w:top w:w="128" w:type="dxa"/>
              <w:left w:w="43" w:type="dxa"/>
              <w:bottom w:w="43" w:type="dxa"/>
              <w:right w:w="43" w:type="dxa"/>
            </w:tcMar>
            <w:vAlign w:val="bottom"/>
          </w:tcPr>
          <w:p w14:paraId="59F8B6F8" w14:textId="77777777" w:rsidR="00D60186" w:rsidRPr="00FD49F3" w:rsidRDefault="00D60186" w:rsidP="00225D4D">
            <w:pPr>
              <w:rPr>
                <w:sz w:val="21"/>
                <w:szCs w:val="21"/>
              </w:rPr>
            </w:pPr>
            <w:proofErr w:type="spellStart"/>
            <w:r w:rsidRPr="00FD49F3">
              <w:rPr>
                <w:sz w:val="21"/>
                <w:szCs w:val="21"/>
              </w:rPr>
              <w:t>Ikkje</w:t>
            </w:r>
            <w:proofErr w:type="spellEnd"/>
            <w:r w:rsidRPr="00FD49F3">
              <w:rPr>
                <w:sz w:val="21"/>
                <w:szCs w:val="21"/>
              </w:rPr>
              <w:t xml:space="preserve">-kommersielle </w:t>
            </w:r>
            <w:proofErr w:type="spellStart"/>
            <w:r w:rsidRPr="00FD49F3">
              <w:rPr>
                <w:sz w:val="21"/>
                <w:szCs w:val="21"/>
              </w:rPr>
              <w:t>bustader</w:t>
            </w:r>
            <w:proofErr w:type="spellEnd"/>
          </w:p>
        </w:tc>
        <w:tc>
          <w:tcPr>
            <w:tcW w:w="1640" w:type="dxa"/>
            <w:tcBorders>
              <w:top w:val="nil"/>
              <w:left w:val="nil"/>
              <w:bottom w:val="nil"/>
              <w:right w:val="nil"/>
            </w:tcBorders>
            <w:tcMar>
              <w:top w:w="128" w:type="dxa"/>
              <w:left w:w="43" w:type="dxa"/>
              <w:bottom w:w="43" w:type="dxa"/>
              <w:right w:w="43" w:type="dxa"/>
            </w:tcMar>
          </w:tcPr>
          <w:p w14:paraId="359035F1" w14:textId="77777777" w:rsidR="00D60186" w:rsidRPr="00FD49F3" w:rsidRDefault="00D60186" w:rsidP="00FD49F3">
            <w:pPr>
              <w:jc w:val="right"/>
              <w:rPr>
                <w:sz w:val="21"/>
                <w:szCs w:val="21"/>
              </w:rPr>
            </w:pPr>
            <w:r w:rsidRPr="00FD49F3">
              <w:rPr>
                <w:sz w:val="21"/>
                <w:szCs w:val="21"/>
              </w:rPr>
              <w:t>Ja</w:t>
            </w:r>
          </w:p>
        </w:tc>
      </w:tr>
      <w:tr w:rsidR="00E76DC8" w:rsidRPr="00225D4D" w14:paraId="7647F1D3"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CCE1555"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19154369" w14:textId="77777777" w:rsidR="00D60186" w:rsidRPr="00FD49F3" w:rsidRDefault="00D60186" w:rsidP="00FD49F3">
            <w:pPr>
              <w:ind w:right="113"/>
              <w:jc w:val="right"/>
              <w:rPr>
                <w:sz w:val="21"/>
                <w:szCs w:val="21"/>
              </w:rPr>
            </w:pPr>
            <w:r w:rsidRPr="00FD49F3">
              <w:rPr>
                <w:sz w:val="21"/>
                <w:szCs w:val="21"/>
              </w:rPr>
              <w:t>155</w:t>
            </w:r>
          </w:p>
        </w:tc>
        <w:tc>
          <w:tcPr>
            <w:tcW w:w="5360" w:type="dxa"/>
            <w:tcBorders>
              <w:top w:val="nil"/>
              <w:left w:val="nil"/>
              <w:bottom w:val="nil"/>
              <w:right w:val="nil"/>
            </w:tcBorders>
            <w:tcMar>
              <w:top w:w="128" w:type="dxa"/>
              <w:left w:w="43" w:type="dxa"/>
              <w:bottom w:w="43" w:type="dxa"/>
              <w:right w:w="43" w:type="dxa"/>
            </w:tcMar>
            <w:vAlign w:val="bottom"/>
          </w:tcPr>
          <w:p w14:paraId="5FC7CB57" w14:textId="77777777" w:rsidR="00D60186" w:rsidRPr="00FD49F3" w:rsidRDefault="00D60186" w:rsidP="00225D4D">
            <w:pPr>
              <w:rPr>
                <w:sz w:val="21"/>
                <w:szCs w:val="21"/>
              </w:rPr>
            </w:pPr>
            <w:proofErr w:type="spellStart"/>
            <w:r w:rsidRPr="00FD49F3">
              <w:rPr>
                <w:sz w:val="21"/>
                <w:szCs w:val="21"/>
              </w:rPr>
              <w:t>Regjeringsmedlemmar</w:t>
            </w:r>
            <w:proofErr w:type="spellEnd"/>
            <w:r w:rsidRPr="00FD49F3">
              <w:rPr>
                <w:sz w:val="21"/>
                <w:szCs w:val="21"/>
              </w:rPr>
              <w:t xml:space="preserve"> sine verv og økonomiske interesser</w:t>
            </w:r>
          </w:p>
        </w:tc>
        <w:tc>
          <w:tcPr>
            <w:tcW w:w="1640" w:type="dxa"/>
            <w:tcBorders>
              <w:top w:val="nil"/>
              <w:left w:val="nil"/>
              <w:bottom w:val="nil"/>
              <w:right w:val="nil"/>
            </w:tcBorders>
            <w:tcMar>
              <w:top w:w="128" w:type="dxa"/>
              <w:left w:w="43" w:type="dxa"/>
              <w:bottom w:w="43" w:type="dxa"/>
              <w:right w:w="43" w:type="dxa"/>
            </w:tcMar>
          </w:tcPr>
          <w:p w14:paraId="0ED0AB4A" w14:textId="77777777" w:rsidR="00D60186" w:rsidRPr="00FD49F3" w:rsidRDefault="00D60186" w:rsidP="00FD49F3">
            <w:pPr>
              <w:jc w:val="right"/>
              <w:rPr>
                <w:sz w:val="21"/>
                <w:szCs w:val="21"/>
              </w:rPr>
            </w:pPr>
            <w:r w:rsidRPr="00FD49F3">
              <w:rPr>
                <w:sz w:val="21"/>
                <w:szCs w:val="21"/>
              </w:rPr>
              <w:t>Ja</w:t>
            </w:r>
          </w:p>
        </w:tc>
      </w:tr>
      <w:tr w:rsidR="00E76DC8" w:rsidRPr="00225D4D" w14:paraId="1E4667E2"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115117B"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604C6FD4" w14:textId="77777777" w:rsidR="00D60186" w:rsidRPr="00FD49F3" w:rsidRDefault="00D60186" w:rsidP="00FD49F3">
            <w:pPr>
              <w:ind w:right="113"/>
              <w:jc w:val="right"/>
              <w:rPr>
                <w:sz w:val="21"/>
                <w:szCs w:val="21"/>
              </w:rPr>
            </w:pPr>
            <w:r w:rsidRPr="00FD49F3">
              <w:rPr>
                <w:sz w:val="21"/>
                <w:szCs w:val="21"/>
              </w:rPr>
              <w:t>156</w:t>
            </w:r>
          </w:p>
        </w:tc>
        <w:tc>
          <w:tcPr>
            <w:tcW w:w="5360" w:type="dxa"/>
            <w:tcBorders>
              <w:top w:val="nil"/>
              <w:left w:val="nil"/>
              <w:bottom w:val="nil"/>
              <w:right w:val="nil"/>
            </w:tcBorders>
            <w:tcMar>
              <w:top w:w="128" w:type="dxa"/>
              <w:left w:w="43" w:type="dxa"/>
              <w:bottom w:w="43" w:type="dxa"/>
              <w:right w:w="43" w:type="dxa"/>
            </w:tcMar>
            <w:vAlign w:val="bottom"/>
          </w:tcPr>
          <w:p w14:paraId="6F6AF12D" w14:textId="77777777" w:rsidR="00D60186" w:rsidRPr="00FD49F3" w:rsidRDefault="00D60186" w:rsidP="00225D4D">
            <w:pPr>
              <w:rPr>
                <w:sz w:val="21"/>
                <w:szCs w:val="21"/>
              </w:rPr>
            </w:pPr>
            <w:r w:rsidRPr="00FD49F3">
              <w:rPr>
                <w:sz w:val="21"/>
                <w:szCs w:val="21"/>
              </w:rPr>
              <w:t xml:space="preserve">Verv og økonomiske interesser i </w:t>
            </w:r>
            <w:proofErr w:type="spellStart"/>
            <w:r w:rsidRPr="00FD49F3">
              <w:rPr>
                <w:sz w:val="21"/>
                <w:szCs w:val="21"/>
              </w:rPr>
              <w:t>regjeringsmedlemmar</w:t>
            </w:r>
            <w:proofErr w:type="spellEnd"/>
            <w:r w:rsidRPr="00FD49F3">
              <w:rPr>
                <w:sz w:val="21"/>
                <w:szCs w:val="21"/>
              </w:rPr>
              <w:t xml:space="preserve"> sin </w:t>
            </w:r>
            <w:proofErr w:type="spellStart"/>
            <w:r w:rsidRPr="00FD49F3">
              <w:rPr>
                <w:sz w:val="21"/>
                <w:szCs w:val="21"/>
              </w:rPr>
              <w:t>hushalding</w:t>
            </w:r>
            <w:proofErr w:type="spellEnd"/>
          </w:p>
        </w:tc>
        <w:tc>
          <w:tcPr>
            <w:tcW w:w="1640" w:type="dxa"/>
            <w:tcBorders>
              <w:top w:val="nil"/>
              <w:left w:val="nil"/>
              <w:bottom w:val="nil"/>
              <w:right w:val="nil"/>
            </w:tcBorders>
            <w:tcMar>
              <w:top w:w="128" w:type="dxa"/>
              <w:left w:w="43" w:type="dxa"/>
              <w:bottom w:w="43" w:type="dxa"/>
              <w:right w:w="43" w:type="dxa"/>
            </w:tcMar>
          </w:tcPr>
          <w:p w14:paraId="74B35164" w14:textId="77777777" w:rsidR="00D60186" w:rsidRPr="00FD49F3" w:rsidRDefault="00D60186" w:rsidP="00FD49F3">
            <w:pPr>
              <w:jc w:val="right"/>
              <w:rPr>
                <w:sz w:val="21"/>
                <w:szCs w:val="21"/>
              </w:rPr>
            </w:pPr>
            <w:r w:rsidRPr="00FD49F3">
              <w:rPr>
                <w:sz w:val="21"/>
                <w:szCs w:val="21"/>
              </w:rPr>
              <w:t>Ja</w:t>
            </w:r>
          </w:p>
        </w:tc>
      </w:tr>
      <w:tr w:rsidR="00E76DC8" w:rsidRPr="00225D4D" w14:paraId="2A52AAE1"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0E0C1B00"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017496EF" w14:textId="77777777" w:rsidR="00D60186" w:rsidRPr="00FD49F3" w:rsidRDefault="00D60186" w:rsidP="00FD49F3">
            <w:pPr>
              <w:ind w:right="113"/>
              <w:jc w:val="right"/>
              <w:rPr>
                <w:sz w:val="21"/>
                <w:szCs w:val="21"/>
              </w:rPr>
            </w:pPr>
            <w:r w:rsidRPr="00FD49F3">
              <w:rPr>
                <w:sz w:val="21"/>
                <w:szCs w:val="21"/>
              </w:rPr>
              <w:t>456</w:t>
            </w:r>
          </w:p>
        </w:tc>
        <w:tc>
          <w:tcPr>
            <w:tcW w:w="5360" w:type="dxa"/>
            <w:tcBorders>
              <w:top w:val="nil"/>
              <w:left w:val="nil"/>
              <w:bottom w:val="nil"/>
              <w:right w:val="nil"/>
            </w:tcBorders>
            <w:tcMar>
              <w:top w:w="128" w:type="dxa"/>
              <w:left w:w="43" w:type="dxa"/>
              <w:bottom w:w="43" w:type="dxa"/>
              <w:right w:w="43" w:type="dxa"/>
            </w:tcMar>
            <w:vAlign w:val="bottom"/>
          </w:tcPr>
          <w:p w14:paraId="70CF10AF" w14:textId="77777777" w:rsidR="00D60186" w:rsidRPr="00FD49F3" w:rsidRDefault="00D60186" w:rsidP="00225D4D">
            <w:pPr>
              <w:rPr>
                <w:sz w:val="21"/>
                <w:szCs w:val="21"/>
              </w:rPr>
            </w:pPr>
            <w:r w:rsidRPr="00FD49F3">
              <w:rPr>
                <w:sz w:val="21"/>
                <w:szCs w:val="21"/>
              </w:rPr>
              <w:t xml:space="preserve">Organisatoriske tiltak mot </w:t>
            </w:r>
            <w:proofErr w:type="spellStart"/>
            <w:r w:rsidRPr="00FD49F3">
              <w:rPr>
                <w:sz w:val="21"/>
                <w:szCs w:val="21"/>
              </w:rPr>
              <w:t>flaum</w:t>
            </w:r>
            <w:proofErr w:type="spellEnd"/>
          </w:p>
        </w:tc>
        <w:tc>
          <w:tcPr>
            <w:tcW w:w="1640" w:type="dxa"/>
            <w:tcBorders>
              <w:top w:val="nil"/>
              <w:left w:val="nil"/>
              <w:bottom w:val="nil"/>
              <w:right w:val="nil"/>
            </w:tcBorders>
            <w:tcMar>
              <w:top w:w="128" w:type="dxa"/>
              <w:left w:w="43" w:type="dxa"/>
              <w:bottom w:w="43" w:type="dxa"/>
              <w:right w:w="43" w:type="dxa"/>
            </w:tcMar>
          </w:tcPr>
          <w:p w14:paraId="52BFFCD0" w14:textId="77777777" w:rsidR="00D60186" w:rsidRPr="00FD49F3" w:rsidRDefault="00D60186" w:rsidP="00FD49F3">
            <w:pPr>
              <w:jc w:val="right"/>
              <w:rPr>
                <w:sz w:val="21"/>
                <w:szCs w:val="21"/>
              </w:rPr>
            </w:pPr>
            <w:r w:rsidRPr="00FD49F3">
              <w:rPr>
                <w:sz w:val="21"/>
                <w:szCs w:val="21"/>
              </w:rPr>
              <w:t>Ja</w:t>
            </w:r>
          </w:p>
        </w:tc>
      </w:tr>
      <w:tr w:rsidR="00E76DC8" w:rsidRPr="00225D4D" w14:paraId="5167118D"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072421F"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7A5F6491" w14:textId="77777777" w:rsidR="00D60186" w:rsidRPr="00FD49F3" w:rsidRDefault="00D60186" w:rsidP="00FD49F3">
            <w:pPr>
              <w:ind w:right="113"/>
              <w:jc w:val="right"/>
              <w:rPr>
                <w:sz w:val="21"/>
                <w:szCs w:val="21"/>
              </w:rPr>
            </w:pPr>
            <w:r w:rsidRPr="00FD49F3">
              <w:rPr>
                <w:sz w:val="21"/>
                <w:szCs w:val="21"/>
              </w:rPr>
              <w:t>756</w:t>
            </w:r>
          </w:p>
        </w:tc>
        <w:tc>
          <w:tcPr>
            <w:tcW w:w="5360" w:type="dxa"/>
            <w:tcBorders>
              <w:top w:val="nil"/>
              <w:left w:val="nil"/>
              <w:bottom w:val="nil"/>
              <w:right w:val="nil"/>
            </w:tcBorders>
            <w:tcMar>
              <w:top w:w="128" w:type="dxa"/>
              <w:left w:w="43" w:type="dxa"/>
              <w:bottom w:w="43" w:type="dxa"/>
              <w:right w:w="43" w:type="dxa"/>
            </w:tcMar>
            <w:vAlign w:val="bottom"/>
          </w:tcPr>
          <w:p w14:paraId="38A20F8E" w14:textId="77777777" w:rsidR="00D60186" w:rsidRPr="00FD49F3" w:rsidRDefault="00D60186" w:rsidP="00225D4D">
            <w:pPr>
              <w:rPr>
                <w:sz w:val="21"/>
                <w:szCs w:val="21"/>
              </w:rPr>
            </w:pPr>
            <w:r w:rsidRPr="00FD49F3">
              <w:rPr>
                <w:sz w:val="21"/>
                <w:szCs w:val="21"/>
              </w:rPr>
              <w:t xml:space="preserve">Innføre obligatorisk registrering av </w:t>
            </w:r>
            <w:proofErr w:type="spellStart"/>
            <w:r w:rsidRPr="00FD49F3">
              <w:rPr>
                <w:sz w:val="21"/>
                <w:szCs w:val="21"/>
              </w:rPr>
              <w:t>eigarskap</w:t>
            </w:r>
            <w:proofErr w:type="spellEnd"/>
            <w:r w:rsidRPr="00FD49F3">
              <w:rPr>
                <w:sz w:val="21"/>
                <w:szCs w:val="21"/>
              </w:rPr>
              <w:t xml:space="preserve"> i fast </w:t>
            </w:r>
            <w:proofErr w:type="spellStart"/>
            <w:r w:rsidRPr="00FD49F3">
              <w:rPr>
                <w:sz w:val="21"/>
                <w:szCs w:val="21"/>
              </w:rPr>
              <w:t>eigedom</w:t>
            </w:r>
            <w:proofErr w:type="spellEnd"/>
          </w:p>
        </w:tc>
        <w:tc>
          <w:tcPr>
            <w:tcW w:w="1640" w:type="dxa"/>
            <w:tcBorders>
              <w:top w:val="nil"/>
              <w:left w:val="nil"/>
              <w:bottom w:val="nil"/>
              <w:right w:val="nil"/>
            </w:tcBorders>
            <w:tcMar>
              <w:top w:w="128" w:type="dxa"/>
              <w:left w:w="43" w:type="dxa"/>
              <w:bottom w:w="43" w:type="dxa"/>
              <w:right w:w="43" w:type="dxa"/>
            </w:tcMar>
          </w:tcPr>
          <w:p w14:paraId="3C3B7E3F" w14:textId="77777777" w:rsidR="00D60186" w:rsidRPr="00FD49F3" w:rsidRDefault="00D60186" w:rsidP="00FD49F3">
            <w:pPr>
              <w:jc w:val="right"/>
              <w:rPr>
                <w:sz w:val="21"/>
                <w:szCs w:val="21"/>
              </w:rPr>
            </w:pPr>
            <w:r w:rsidRPr="00FD49F3">
              <w:rPr>
                <w:sz w:val="21"/>
                <w:szCs w:val="21"/>
              </w:rPr>
              <w:t>Nei</w:t>
            </w:r>
          </w:p>
        </w:tc>
      </w:tr>
      <w:tr w:rsidR="00E76DC8" w:rsidRPr="00225D4D" w14:paraId="1EDFE92C"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7A191FD1"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30E68DB6" w14:textId="77777777" w:rsidR="00D60186" w:rsidRPr="00FD49F3" w:rsidRDefault="00D60186" w:rsidP="00FD49F3">
            <w:pPr>
              <w:ind w:right="113"/>
              <w:jc w:val="right"/>
              <w:rPr>
                <w:sz w:val="21"/>
                <w:szCs w:val="21"/>
              </w:rPr>
            </w:pPr>
            <w:r w:rsidRPr="00FD49F3">
              <w:rPr>
                <w:sz w:val="21"/>
                <w:szCs w:val="21"/>
              </w:rPr>
              <w:t>757</w:t>
            </w:r>
          </w:p>
        </w:tc>
        <w:tc>
          <w:tcPr>
            <w:tcW w:w="5360" w:type="dxa"/>
            <w:tcBorders>
              <w:top w:val="nil"/>
              <w:left w:val="nil"/>
              <w:bottom w:val="nil"/>
              <w:right w:val="nil"/>
            </w:tcBorders>
            <w:tcMar>
              <w:top w:w="128" w:type="dxa"/>
              <w:left w:w="43" w:type="dxa"/>
              <w:bottom w:w="43" w:type="dxa"/>
              <w:right w:w="43" w:type="dxa"/>
            </w:tcMar>
            <w:vAlign w:val="bottom"/>
          </w:tcPr>
          <w:p w14:paraId="17D75177" w14:textId="77777777" w:rsidR="00D60186" w:rsidRPr="00FD49F3" w:rsidRDefault="00D60186" w:rsidP="00225D4D">
            <w:pPr>
              <w:rPr>
                <w:sz w:val="21"/>
                <w:szCs w:val="21"/>
              </w:rPr>
            </w:pPr>
            <w:proofErr w:type="spellStart"/>
            <w:r w:rsidRPr="00FD49F3">
              <w:rPr>
                <w:sz w:val="21"/>
                <w:szCs w:val="21"/>
              </w:rPr>
              <w:t>Forbod</w:t>
            </w:r>
            <w:proofErr w:type="spellEnd"/>
            <w:r w:rsidRPr="00FD49F3">
              <w:rPr>
                <w:sz w:val="21"/>
                <w:szCs w:val="21"/>
              </w:rPr>
              <w:t xml:space="preserve"> mot </w:t>
            </w:r>
            <w:proofErr w:type="spellStart"/>
            <w:r w:rsidRPr="00FD49F3">
              <w:rPr>
                <w:sz w:val="21"/>
                <w:szCs w:val="21"/>
              </w:rPr>
              <w:t>blankoskøyter</w:t>
            </w:r>
            <w:proofErr w:type="spellEnd"/>
          </w:p>
        </w:tc>
        <w:tc>
          <w:tcPr>
            <w:tcW w:w="1640" w:type="dxa"/>
            <w:tcBorders>
              <w:top w:val="nil"/>
              <w:left w:val="nil"/>
              <w:bottom w:val="nil"/>
              <w:right w:val="nil"/>
            </w:tcBorders>
            <w:tcMar>
              <w:top w:w="128" w:type="dxa"/>
              <w:left w:w="43" w:type="dxa"/>
              <w:bottom w:w="43" w:type="dxa"/>
              <w:right w:w="43" w:type="dxa"/>
            </w:tcMar>
          </w:tcPr>
          <w:p w14:paraId="3A5D0D9C" w14:textId="77777777" w:rsidR="00D60186" w:rsidRPr="00FD49F3" w:rsidRDefault="00D60186" w:rsidP="00FD49F3">
            <w:pPr>
              <w:jc w:val="right"/>
              <w:rPr>
                <w:sz w:val="21"/>
                <w:szCs w:val="21"/>
              </w:rPr>
            </w:pPr>
            <w:r w:rsidRPr="00FD49F3">
              <w:rPr>
                <w:sz w:val="21"/>
                <w:szCs w:val="21"/>
              </w:rPr>
              <w:t>Ja</w:t>
            </w:r>
          </w:p>
        </w:tc>
      </w:tr>
      <w:tr w:rsidR="00E76DC8" w:rsidRPr="00225D4D" w14:paraId="286E8845"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0F010C1D"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363A60D2" w14:textId="77777777" w:rsidR="00D60186" w:rsidRPr="00FD49F3" w:rsidRDefault="00D60186" w:rsidP="00FD49F3">
            <w:pPr>
              <w:ind w:right="113"/>
              <w:jc w:val="right"/>
              <w:rPr>
                <w:sz w:val="21"/>
                <w:szCs w:val="21"/>
              </w:rPr>
            </w:pPr>
            <w:r w:rsidRPr="00FD49F3">
              <w:rPr>
                <w:sz w:val="21"/>
                <w:szCs w:val="21"/>
              </w:rPr>
              <w:t>784</w:t>
            </w:r>
          </w:p>
        </w:tc>
        <w:tc>
          <w:tcPr>
            <w:tcW w:w="5360" w:type="dxa"/>
            <w:tcBorders>
              <w:top w:val="nil"/>
              <w:left w:val="nil"/>
              <w:bottom w:val="nil"/>
              <w:right w:val="nil"/>
            </w:tcBorders>
            <w:tcMar>
              <w:top w:w="128" w:type="dxa"/>
              <w:left w:w="43" w:type="dxa"/>
              <w:bottom w:w="43" w:type="dxa"/>
              <w:right w:w="43" w:type="dxa"/>
            </w:tcMar>
            <w:vAlign w:val="bottom"/>
          </w:tcPr>
          <w:p w14:paraId="78A1192D" w14:textId="77777777" w:rsidR="00D60186" w:rsidRPr="00FD49F3" w:rsidRDefault="00D60186" w:rsidP="00225D4D">
            <w:pPr>
              <w:rPr>
                <w:sz w:val="21"/>
                <w:szCs w:val="21"/>
              </w:rPr>
            </w:pPr>
            <w:r w:rsidRPr="00FD49F3">
              <w:rPr>
                <w:sz w:val="21"/>
                <w:szCs w:val="21"/>
              </w:rPr>
              <w:t>Styringsverktøy for områder med villrein</w:t>
            </w:r>
          </w:p>
        </w:tc>
        <w:tc>
          <w:tcPr>
            <w:tcW w:w="1640" w:type="dxa"/>
            <w:tcBorders>
              <w:top w:val="nil"/>
              <w:left w:val="nil"/>
              <w:bottom w:val="nil"/>
              <w:right w:val="nil"/>
            </w:tcBorders>
            <w:tcMar>
              <w:top w:w="128" w:type="dxa"/>
              <w:left w:w="43" w:type="dxa"/>
              <w:bottom w:w="43" w:type="dxa"/>
              <w:right w:w="43" w:type="dxa"/>
            </w:tcMar>
          </w:tcPr>
          <w:p w14:paraId="574FB8B9" w14:textId="77777777" w:rsidR="00D60186" w:rsidRPr="00FD49F3" w:rsidRDefault="00D60186" w:rsidP="00FD49F3">
            <w:pPr>
              <w:jc w:val="right"/>
              <w:rPr>
                <w:sz w:val="21"/>
                <w:szCs w:val="21"/>
              </w:rPr>
            </w:pPr>
            <w:r w:rsidRPr="00FD49F3">
              <w:rPr>
                <w:sz w:val="21"/>
                <w:szCs w:val="21"/>
              </w:rPr>
              <w:t>Ja</w:t>
            </w:r>
          </w:p>
        </w:tc>
      </w:tr>
      <w:tr w:rsidR="00E76DC8" w:rsidRPr="00225D4D" w14:paraId="7C23CC9F"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336E8A98"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32C7C6A8" w14:textId="77777777" w:rsidR="00D60186" w:rsidRPr="00FD49F3" w:rsidRDefault="00D60186" w:rsidP="00FD49F3">
            <w:pPr>
              <w:ind w:right="113"/>
              <w:jc w:val="right"/>
              <w:rPr>
                <w:sz w:val="21"/>
                <w:szCs w:val="21"/>
              </w:rPr>
            </w:pPr>
            <w:r w:rsidRPr="00FD49F3">
              <w:rPr>
                <w:sz w:val="21"/>
                <w:szCs w:val="21"/>
              </w:rPr>
              <w:t>797</w:t>
            </w:r>
          </w:p>
        </w:tc>
        <w:tc>
          <w:tcPr>
            <w:tcW w:w="5360" w:type="dxa"/>
            <w:tcBorders>
              <w:top w:val="nil"/>
              <w:left w:val="nil"/>
              <w:bottom w:val="nil"/>
              <w:right w:val="nil"/>
            </w:tcBorders>
            <w:tcMar>
              <w:top w:w="128" w:type="dxa"/>
              <w:left w:w="43" w:type="dxa"/>
              <w:bottom w:w="43" w:type="dxa"/>
              <w:right w:w="43" w:type="dxa"/>
            </w:tcMar>
            <w:vAlign w:val="bottom"/>
          </w:tcPr>
          <w:p w14:paraId="351CE1EA" w14:textId="77777777" w:rsidR="00D60186" w:rsidRPr="00FD49F3" w:rsidRDefault="00D60186" w:rsidP="00225D4D">
            <w:pPr>
              <w:rPr>
                <w:sz w:val="21"/>
                <w:szCs w:val="21"/>
              </w:rPr>
            </w:pPr>
            <w:r w:rsidRPr="00FD49F3">
              <w:rPr>
                <w:sz w:val="21"/>
                <w:szCs w:val="21"/>
              </w:rPr>
              <w:t xml:space="preserve">Gjeninnføre </w:t>
            </w:r>
            <w:proofErr w:type="spellStart"/>
            <w:r w:rsidRPr="00FD49F3">
              <w:rPr>
                <w:sz w:val="21"/>
                <w:szCs w:val="21"/>
              </w:rPr>
              <w:t>tilskot</w:t>
            </w:r>
            <w:proofErr w:type="spellEnd"/>
            <w:r w:rsidRPr="00FD49F3">
              <w:rPr>
                <w:sz w:val="21"/>
                <w:szCs w:val="21"/>
              </w:rPr>
              <w:t xml:space="preserve"> til </w:t>
            </w:r>
            <w:proofErr w:type="spellStart"/>
            <w:r w:rsidRPr="00FD49F3">
              <w:rPr>
                <w:sz w:val="21"/>
                <w:szCs w:val="21"/>
              </w:rPr>
              <w:t>utleigebustader</w:t>
            </w:r>
            <w:proofErr w:type="spellEnd"/>
            <w:r w:rsidRPr="00FD49F3">
              <w:rPr>
                <w:sz w:val="21"/>
                <w:szCs w:val="21"/>
              </w:rPr>
              <w:t xml:space="preserve"> </w:t>
            </w:r>
          </w:p>
        </w:tc>
        <w:tc>
          <w:tcPr>
            <w:tcW w:w="1640" w:type="dxa"/>
            <w:tcBorders>
              <w:top w:val="nil"/>
              <w:left w:val="nil"/>
              <w:bottom w:val="nil"/>
              <w:right w:val="nil"/>
            </w:tcBorders>
            <w:tcMar>
              <w:top w:w="128" w:type="dxa"/>
              <w:left w:w="43" w:type="dxa"/>
              <w:bottom w:w="43" w:type="dxa"/>
              <w:right w:w="43" w:type="dxa"/>
            </w:tcMar>
          </w:tcPr>
          <w:p w14:paraId="3013A168" w14:textId="77777777" w:rsidR="00D60186" w:rsidRPr="00FD49F3" w:rsidRDefault="00D60186" w:rsidP="00FD49F3">
            <w:pPr>
              <w:jc w:val="right"/>
              <w:rPr>
                <w:sz w:val="21"/>
                <w:szCs w:val="21"/>
              </w:rPr>
            </w:pPr>
            <w:r w:rsidRPr="00FD49F3">
              <w:rPr>
                <w:sz w:val="21"/>
                <w:szCs w:val="21"/>
              </w:rPr>
              <w:t>Ja</w:t>
            </w:r>
          </w:p>
        </w:tc>
      </w:tr>
      <w:tr w:rsidR="00E76DC8" w:rsidRPr="00225D4D" w14:paraId="202F7F5C"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046DF8A9"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09E9197B" w14:textId="77777777" w:rsidR="00D60186" w:rsidRPr="00FD49F3" w:rsidRDefault="00D60186" w:rsidP="00FD49F3">
            <w:pPr>
              <w:ind w:right="113"/>
              <w:jc w:val="right"/>
              <w:rPr>
                <w:sz w:val="21"/>
                <w:szCs w:val="21"/>
              </w:rPr>
            </w:pPr>
            <w:r w:rsidRPr="00FD49F3">
              <w:rPr>
                <w:sz w:val="21"/>
                <w:szCs w:val="21"/>
              </w:rPr>
              <w:t>813</w:t>
            </w:r>
          </w:p>
        </w:tc>
        <w:tc>
          <w:tcPr>
            <w:tcW w:w="5360" w:type="dxa"/>
            <w:tcBorders>
              <w:top w:val="nil"/>
              <w:left w:val="nil"/>
              <w:bottom w:val="nil"/>
              <w:right w:val="nil"/>
            </w:tcBorders>
            <w:tcMar>
              <w:top w:w="128" w:type="dxa"/>
              <w:left w:w="43" w:type="dxa"/>
              <w:bottom w:w="43" w:type="dxa"/>
              <w:right w:w="43" w:type="dxa"/>
            </w:tcMar>
            <w:vAlign w:val="bottom"/>
          </w:tcPr>
          <w:p w14:paraId="4E832BFF" w14:textId="77777777" w:rsidR="00D60186" w:rsidRPr="00FD49F3" w:rsidRDefault="00D60186" w:rsidP="00225D4D">
            <w:pPr>
              <w:rPr>
                <w:sz w:val="21"/>
                <w:szCs w:val="21"/>
              </w:rPr>
            </w:pPr>
            <w:r w:rsidRPr="00FD49F3">
              <w:rPr>
                <w:sz w:val="21"/>
                <w:szCs w:val="21"/>
              </w:rPr>
              <w:t xml:space="preserve">Evaluering av nytt inntektssystem for </w:t>
            </w:r>
            <w:proofErr w:type="spellStart"/>
            <w:r w:rsidRPr="00FD49F3">
              <w:rPr>
                <w:sz w:val="21"/>
                <w:szCs w:val="21"/>
              </w:rPr>
              <w:t>kommunane</w:t>
            </w:r>
            <w:proofErr w:type="spellEnd"/>
          </w:p>
        </w:tc>
        <w:tc>
          <w:tcPr>
            <w:tcW w:w="1640" w:type="dxa"/>
            <w:tcBorders>
              <w:top w:val="nil"/>
              <w:left w:val="nil"/>
              <w:bottom w:val="nil"/>
              <w:right w:val="nil"/>
            </w:tcBorders>
            <w:tcMar>
              <w:top w:w="128" w:type="dxa"/>
              <w:left w:w="43" w:type="dxa"/>
              <w:bottom w:w="43" w:type="dxa"/>
              <w:right w:w="43" w:type="dxa"/>
            </w:tcMar>
          </w:tcPr>
          <w:p w14:paraId="193BA4D7" w14:textId="77777777" w:rsidR="00D60186" w:rsidRPr="00FD49F3" w:rsidRDefault="00D60186" w:rsidP="00FD49F3">
            <w:pPr>
              <w:jc w:val="right"/>
              <w:rPr>
                <w:sz w:val="21"/>
                <w:szCs w:val="21"/>
              </w:rPr>
            </w:pPr>
            <w:r w:rsidRPr="00FD49F3">
              <w:rPr>
                <w:sz w:val="21"/>
                <w:szCs w:val="21"/>
              </w:rPr>
              <w:t>Ja</w:t>
            </w:r>
          </w:p>
        </w:tc>
      </w:tr>
      <w:tr w:rsidR="00E76DC8" w:rsidRPr="00225D4D" w14:paraId="3E1C9519"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5935A930"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7AA87C30" w14:textId="77777777" w:rsidR="00D60186" w:rsidRPr="00FD49F3" w:rsidRDefault="00D60186" w:rsidP="00FD49F3">
            <w:pPr>
              <w:ind w:right="113"/>
              <w:jc w:val="right"/>
              <w:rPr>
                <w:sz w:val="21"/>
                <w:szCs w:val="21"/>
              </w:rPr>
            </w:pPr>
            <w:r w:rsidRPr="00FD49F3">
              <w:rPr>
                <w:sz w:val="21"/>
                <w:szCs w:val="21"/>
              </w:rPr>
              <w:t>815</w:t>
            </w:r>
          </w:p>
        </w:tc>
        <w:tc>
          <w:tcPr>
            <w:tcW w:w="5360" w:type="dxa"/>
            <w:tcBorders>
              <w:top w:val="nil"/>
              <w:left w:val="nil"/>
              <w:bottom w:val="nil"/>
              <w:right w:val="nil"/>
            </w:tcBorders>
            <w:tcMar>
              <w:top w:w="128" w:type="dxa"/>
              <w:left w:w="43" w:type="dxa"/>
              <w:bottom w:w="43" w:type="dxa"/>
              <w:right w:w="43" w:type="dxa"/>
            </w:tcMar>
            <w:vAlign w:val="bottom"/>
          </w:tcPr>
          <w:p w14:paraId="2CB130E7" w14:textId="77777777" w:rsidR="00D60186" w:rsidRPr="00FD49F3" w:rsidRDefault="00D60186" w:rsidP="00225D4D">
            <w:pPr>
              <w:rPr>
                <w:sz w:val="21"/>
                <w:szCs w:val="21"/>
              </w:rPr>
            </w:pPr>
            <w:r w:rsidRPr="00FD49F3">
              <w:rPr>
                <w:sz w:val="21"/>
                <w:szCs w:val="21"/>
              </w:rPr>
              <w:t>Evaluere omlegginga av toppfinansieringsordninga</w:t>
            </w:r>
          </w:p>
        </w:tc>
        <w:tc>
          <w:tcPr>
            <w:tcW w:w="1640" w:type="dxa"/>
            <w:tcBorders>
              <w:top w:val="nil"/>
              <w:left w:val="nil"/>
              <w:bottom w:val="nil"/>
              <w:right w:val="nil"/>
            </w:tcBorders>
            <w:tcMar>
              <w:top w:w="128" w:type="dxa"/>
              <w:left w:w="43" w:type="dxa"/>
              <w:bottom w:w="43" w:type="dxa"/>
              <w:right w:w="43" w:type="dxa"/>
            </w:tcMar>
          </w:tcPr>
          <w:p w14:paraId="24ADE450" w14:textId="77777777" w:rsidR="00D60186" w:rsidRPr="00FD49F3" w:rsidRDefault="00D60186" w:rsidP="00FD49F3">
            <w:pPr>
              <w:jc w:val="right"/>
              <w:rPr>
                <w:sz w:val="21"/>
                <w:szCs w:val="21"/>
              </w:rPr>
            </w:pPr>
            <w:r w:rsidRPr="00FD49F3">
              <w:rPr>
                <w:sz w:val="21"/>
                <w:szCs w:val="21"/>
              </w:rPr>
              <w:t>Ja</w:t>
            </w:r>
          </w:p>
        </w:tc>
      </w:tr>
      <w:tr w:rsidR="00E76DC8" w:rsidRPr="00225D4D" w14:paraId="6F2EA2F4"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990B739" w14:textId="77777777" w:rsidR="00D60186" w:rsidRPr="00FD49F3" w:rsidRDefault="00D60186" w:rsidP="00225D4D">
            <w:pPr>
              <w:rPr>
                <w:sz w:val="21"/>
                <w:szCs w:val="21"/>
              </w:rPr>
            </w:pPr>
            <w:r w:rsidRPr="00FD49F3">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6FD1E90F" w14:textId="77777777" w:rsidR="00D60186" w:rsidRPr="00FD49F3" w:rsidRDefault="00D60186" w:rsidP="00FD49F3">
            <w:pPr>
              <w:ind w:right="113"/>
              <w:jc w:val="right"/>
              <w:rPr>
                <w:sz w:val="21"/>
                <w:szCs w:val="21"/>
              </w:rPr>
            </w:pPr>
            <w:r w:rsidRPr="00FD49F3">
              <w:rPr>
                <w:sz w:val="21"/>
                <w:szCs w:val="21"/>
              </w:rPr>
              <w:t>909</w:t>
            </w:r>
          </w:p>
        </w:tc>
        <w:tc>
          <w:tcPr>
            <w:tcW w:w="5360" w:type="dxa"/>
            <w:tcBorders>
              <w:top w:val="nil"/>
              <w:left w:val="nil"/>
              <w:bottom w:val="nil"/>
              <w:right w:val="nil"/>
            </w:tcBorders>
            <w:tcMar>
              <w:top w:w="128" w:type="dxa"/>
              <w:left w:w="43" w:type="dxa"/>
              <w:bottom w:w="43" w:type="dxa"/>
              <w:right w:w="43" w:type="dxa"/>
            </w:tcMar>
            <w:vAlign w:val="bottom"/>
          </w:tcPr>
          <w:p w14:paraId="62E6DF1B" w14:textId="77777777" w:rsidR="00D60186" w:rsidRPr="00FD49F3" w:rsidRDefault="00D60186" w:rsidP="00225D4D">
            <w:pPr>
              <w:rPr>
                <w:sz w:val="21"/>
                <w:szCs w:val="21"/>
              </w:rPr>
            </w:pPr>
            <w:r w:rsidRPr="00FD49F3">
              <w:rPr>
                <w:sz w:val="21"/>
                <w:szCs w:val="21"/>
              </w:rPr>
              <w:t xml:space="preserve">Husbanklån til ideelle </w:t>
            </w:r>
            <w:proofErr w:type="spellStart"/>
            <w:r w:rsidRPr="00FD49F3">
              <w:rPr>
                <w:sz w:val="21"/>
                <w:szCs w:val="21"/>
              </w:rPr>
              <w:t>stiftingar</w:t>
            </w:r>
            <w:proofErr w:type="spellEnd"/>
            <w:r w:rsidRPr="00FD49F3">
              <w:rPr>
                <w:sz w:val="21"/>
                <w:szCs w:val="21"/>
              </w:rPr>
              <w:t xml:space="preserve"> til bygging av </w:t>
            </w:r>
            <w:proofErr w:type="spellStart"/>
            <w:r w:rsidRPr="00FD49F3">
              <w:rPr>
                <w:sz w:val="21"/>
                <w:szCs w:val="21"/>
              </w:rPr>
              <w:t>studentbustader</w:t>
            </w:r>
            <w:proofErr w:type="spellEnd"/>
          </w:p>
        </w:tc>
        <w:tc>
          <w:tcPr>
            <w:tcW w:w="1640" w:type="dxa"/>
            <w:tcBorders>
              <w:top w:val="nil"/>
              <w:left w:val="nil"/>
              <w:bottom w:val="nil"/>
              <w:right w:val="nil"/>
            </w:tcBorders>
            <w:tcMar>
              <w:top w:w="128" w:type="dxa"/>
              <w:left w:w="43" w:type="dxa"/>
              <w:bottom w:w="43" w:type="dxa"/>
              <w:right w:w="43" w:type="dxa"/>
            </w:tcMar>
          </w:tcPr>
          <w:p w14:paraId="4E09F5FC" w14:textId="77777777" w:rsidR="00D60186" w:rsidRPr="00FD49F3" w:rsidRDefault="00D60186" w:rsidP="00FD49F3">
            <w:pPr>
              <w:jc w:val="right"/>
              <w:rPr>
                <w:sz w:val="21"/>
                <w:szCs w:val="21"/>
              </w:rPr>
            </w:pPr>
            <w:r w:rsidRPr="00FD49F3">
              <w:rPr>
                <w:sz w:val="21"/>
                <w:szCs w:val="21"/>
              </w:rPr>
              <w:t>Nei</w:t>
            </w:r>
          </w:p>
        </w:tc>
      </w:tr>
      <w:tr w:rsidR="00E76DC8" w:rsidRPr="00225D4D" w14:paraId="0412D5EB"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B2E65BF" w14:textId="77777777" w:rsidR="00D60186" w:rsidRPr="00FD49F3" w:rsidRDefault="00D60186" w:rsidP="00225D4D">
            <w:pPr>
              <w:rPr>
                <w:sz w:val="21"/>
                <w:szCs w:val="21"/>
              </w:rPr>
            </w:pPr>
            <w:r w:rsidRPr="00FD49F3">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6E023B02" w14:textId="77777777" w:rsidR="00D60186" w:rsidRPr="00FD49F3" w:rsidRDefault="00D60186" w:rsidP="00FD49F3">
            <w:pPr>
              <w:ind w:right="113"/>
              <w:jc w:val="right"/>
              <w:rPr>
                <w:sz w:val="21"/>
                <w:szCs w:val="21"/>
              </w:rPr>
            </w:pPr>
            <w:r w:rsidRPr="00FD49F3">
              <w:rPr>
                <w:sz w:val="21"/>
                <w:szCs w:val="21"/>
              </w:rPr>
              <w:t>24</w:t>
            </w:r>
          </w:p>
        </w:tc>
        <w:tc>
          <w:tcPr>
            <w:tcW w:w="5360" w:type="dxa"/>
            <w:tcBorders>
              <w:top w:val="nil"/>
              <w:left w:val="nil"/>
              <w:bottom w:val="nil"/>
              <w:right w:val="nil"/>
            </w:tcBorders>
            <w:tcMar>
              <w:top w:w="128" w:type="dxa"/>
              <w:left w:w="43" w:type="dxa"/>
              <w:bottom w:w="43" w:type="dxa"/>
              <w:right w:w="43" w:type="dxa"/>
            </w:tcMar>
            <w:vAlign w:val="bottom"/>
          </w:tcPr>
          <w:p w14:paraId="669EA7D9" w14:textId="77777777" w:rsidR="00D60186" w:rsidRPr="00FD49F3" w:rsidRDefault="00D60186" w:rsidP="00225D4D">
            <w:pPr>
              <w:rPr>
                <w:sz w:val="21"/>
                <w:szCs w:val="21"/>
              </w:rPr>
            </w:pPr>
            <w:r w:rsidRPr="00FD49F3">
              <w:rPr>
                <w:sz w:val="21"/>
                <w:szCs w:val="21"/>
              </w:rPr>
              <w:t xml:space="preserve">Unntak </w:t>
            </w:r>
            <w:proofErr w:type="spellStart"/>
            <w:r w:rsidRPr="00FD49F3">
              <w:rPr>
                <w:sz w:val="21"/>
                <w:szCs w:val="21"/>
              </w:rPr>
              <w:t>frå</w:t>
            </w:r>
            <w:proofErr w:type="spellEnd"/>
            <w:r w:rsidRPr="00FD49F3">
              <w:rPr>
                <w:sz w:val="21"/>
                <w:szCs w:val="21"/>
              </w:rPr>
              <w:t xml:space="preserve"> søknadsplikta etter plan- og bygningslova for mindre solenergianlegg</w:t>
            </w:r>
          </w:p>
        </w:tc>
        <w:tc>
          <w:tcPr>
            <w:tcW w:w="1640" w:type="dxa"/>
            <w:tcBorders>
              <w:top w:val="nil"/>
              <w:left w:val="nil"/>
              <w:bottom w:val="nil"/>
              <w:right w:val="nil"/>
            </w:tcBorders>
            <w:tcMar>
              <w:top w:w="128" w:type="dxa"/>
              <w:left w:w="43" w:type="dxa"/>
              <w:bottom w:w="43" w:type="dxa"/>
              <w:right w:w="43" w:type="dxa"/>
            </w:tcMar>
          </w:tcPr>
          <w:p w14:paraId="6F9A0DDD" w14:textId="77777777" w:rsidR="00D60186" w:rsidRPr="00FD49F3" w:rsidRDefault="00D60186" w:rsidP="00FD49F3">
            <w:pPr>
              <w:jc w:val="right"/>
              <w:rPr>
                <w:sz w:val="21"/>
                <w:szCs w:val="21"/>
              </w:rPr>
            </w:pPr>
            <w:r w:rsidRPr="00FD49F3">
              <w:rPr>
                <w:sz w:val="21"/>
                <w:szCs w:val="21"/>
              </w:rPr>
              <w:t>Ja</w:t>
            </w:r>
          </w:p>
        </w:tc>
      </w:tr>
      <w:tr w:rsidR="00E76DC8" w:rsidRPr="00225D4D" w14:paraId="49E1716E"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1A54AF2" w14:textId="77777777" w:rsidR="00D60186" w:rsidRPr="00FD49F3" w:rsidRDefault="00D60186" w:rsidP="00225D4D">
            <w:pPr>
              <w:rPr>
                <w:sz w:val="21"/>
                <w:szCs w:val="21"/>
              </w:rPr>
            </w:pPr>
            <w:r w:rsidRPr="00FD49F3">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1D39170F" w14:textId="77777777" w:rsidR="00D60186" w:rsidRPr="00FD49F3" w:rsidRDefault="00D60186" w:rsidP="00FD49F3">
            <w:pPr>
              <w:ind w:right="113"/>
              <w:jc w:val="right"/>
              <w:rPr>
                <w:sz w:val="21"/>
                <w:szCs w:val="21"/>
              </w:rPr>
            </w:pPr>
            <w:r w:rsidRPr="00FD49F3">
              <w:rPr>
                <w:sz w:val="21"/>
                <w:szCs w:val="21"/>
              </w:rPr>
              <w:t>88</w:t>
            </w:r>
          </w:p>
        </w:tc>
        <w:tc>
          <w:tcPr>
            <w:tcW w:w="5360" w:type="dxa"/>
            <w:tcBorders>
              <w:top w:val="nil"/>
              <w:left w:val="nil"/>
              <w:bottom w:val="nil"/>
              <w:right w:val="nil"/>
            </w:tcBorders>
            <w:tcMar>
              <w:top w:w="128" w:type="dxa"/>
              <w:left w:w="43" w:type="dxa"/>
              <w:bottom w:w="43" w:type="dxa"/>
              <w:right w:w="43" w:type="dxa"/>
            </w:tcMar>
            <w:vAlign w:val="bottom"/>
          </w:tcPr>
          <w:p w14:paraId="32365891" w14:textId="77777777" w:rsidR="00D60186" w:rsidRPr="00FD49F3" w:rsidRDefault="00D60186" w:rsidP="00225D4D">
            <w:pPr>
              <w:rPr>
                <w:sz w:val="21"/>
                <w:szCs w:val="21"/>
              </w:rPr>
            </w:pPr>
            <w:proofErr w:type="spellStart"/>
            <w:r w:rsidRPr="00FD49F3">
              <w:rPr>
                <w:sz w:val="21"/>
                <w:szCs w:val="21"/>
              </w:rPr>
              <w:t>Husleigelovutval</w:t>
            </w:r>
            <w:proofErr w:type="spellEnd"/>
          </w:p>
        </w:tc>
        <w:tc>
          <w:tcPr>
            <w:tcW w:w="1640" w:type="dxa"/>
            <w:tcBorders>
              <w:top w:val="nil"/>
              <w:left w:val="nil"/>
              <w:bottom w:val="nil"/>
              <w:right w:val="nil"/>
            </w:tcBorders>
            <w:tcMar>
              <w:top w:w="128" w:type="dxa"/>
              <w:left w:w="43" w:type="dxa"/>
              <w:bottom w:w="43" w:type="dxa"/>
              <w:right w:w="43" w:type="dxa"/>
            </w:tcMar>
          </w:tcPr>
          <w:p w14:paraId="69F07C67" w14:textId="77777777" w:rsidR="00D60186" w:rsidRPr="00FD49F3" w:rsidRDefault="00D60186" w:rsidP="00FD49F3">
            <w:pPr>
              <w:jc w:val="right"/>
              <w:rPr>
                <w:sz w:val="21"/>
                <w:szCs w:val="21"/>
              </w:rPr>
            </w:pPr>
            <w:r w:rsidRPr="00FD49F3">
              <w:rPr>
                <w:sz w:val="21"/>
                <w:szCs w:val="21"/>
              </w:rPr>
              <w:t>Nei</w:t>
            </w:r>
          </w:p>
        </w:tc>
      </w:tr>
      <w:tr w:rsidR="00E76DC8" w:rsidRPr="00225D4D" w14:paraId="48A29FED"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68C96605" w14:textId="77777777" w:rsidR="00D60186" w:rsidRPr="00FD49F3" w:rsidRDefault="00D60186" w:rsidP="00225D4D">
            <w:pPr>
              <w:rPr>
                <w:sz w:val="21"/>
                <w:szCs w:val="21"/>
              </w:rPr>
            </w:pPr>
            <w:r w:rsidRPr="00FD49F3">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115BBE96" w14:textId="77777777" w:rsidR="00D60186" w:rsidRPr="00FD49F3" w:rsidRDefault="00D60186" w:rsidP="00FD49F3">
            <w:pPr>
              <w:ind w:right="113"/>
              <w:jc w:val="right"/>
              <w:rPr>
                <w:sz w:val="21"/>
                <w:szCs w:val="21"/>
              </w:rPr>
            </w:pPr>
            <w:r w:rsidRPr="00FD49F3">
              <w:rPr>
                <w:sz w:val="21"/>
                <w:szCs w:val="21"/>
              </w:rPr>
              <w:t>454</w:t>
            </w:r>
          </w:p>
        </w:tc>
        <w:tc>
          <w:tcPr>
            <w:tcW w:w="5360" w:type="dxa"/>
            <w:tcBorders>
              <w:top w:val="nil"/>
              <w:left w:val="nil"/>
              <w:bottom w:val="nil"/>
              <w:right w:val="nil"/>
            </w:tcBorders>
            <w:tcMar>
              <w:top w:w="128" w:type="dxa"/>
              <w:left w:w="43" w:type="dxa"/>
              <w:bottom w:w="43" w:type="dxa"/>
              <w:right w:w="43" w:type="dxa"/>
            </w:tcMar>
            <w:vAlign w:val="bottom"/>
          </w:tcPr>
          <w:p w14:paraId="07AB4222" w14:textId="77777777" w:rsidR="00D60186" w:rsidRPr="00FD49F3" w:rsidRDefault="00D60186" w:rsidP="00225D4D">
            <w:pPr>
              <w:rPr>
                <w:sz w:val="21"/>
                <w:szCs w:val="21"/>
              </w:rPr>
            </w:pPr>
            <w:r w:rsidRPr="00FD49F3">
              <w:rPr>
                <w:sz w:val="21"/>
                <w:szCs w:val="21"/>
              </w:rPr>
              <w:t xml:space="preserve">Strategi for </w:t>
            </w:r>
            <w:proofErr w:type="spellStart"/>
            <w:r w:rsidRPr="00FD49F3">
              <w:rPr>
                <w:sz w:val="21"/>
                <w:szCs w:val="21"/>
              </w:rPr>
              <w:t>massehandtering</w:t>
            </w:r>
            <w:proofErr w:type="spellEnd"/>
          </w:p>
        </w:tc>
        <w:tc>
          <w:tcPr>
            <w:tcW w:w="1640" w:type="dxa"/>
            <w:tcBorders>
              <w:top w:val="nil"/>
              <w:left w:val="nil"/>
              <w:bottom w:val="nil"/>
              <w:right w:val="nil"/>
            </w:tcBorders>
            <w:tcMar>
              <w:top w:w="128" w:type="dxa"/>
              <w:left w:w="43" w:type="dxa"/>
              <w:bottom w:w="43" w:type="dxa"/>
              <w:right w:w="43" w:type="dxa"/>
            </w:tcMar>
          </w:tcPr>
          <w:p w14:paraId="5014CA53" w14:textId="77777777" w:rsidR="00D60186" w:rsidRPr="00FD49F3" w:rsidRDefault="00D60186" w:rsidP="00FD49F3">
            <w:pPr>
              <w:jc w:val="right"/>
              <w:rPr>
                <w:sz w:val="21"/>
                <w:szCs w:val="21"/>
              </w:rPr>
            </w:pPr>
            <w:r w:rsidRPr="00FD49F3">
              <w:rPr>
                <w:sz w:val="21"/>
                <w:szCs w:val="21"/>
              </w:rPr>
              <w:t>Ja</w:t>
            </w:r>
          </w:p>
        </w:tc>
      </w:tr>
      <w:tr w:rsidR="00E76DC8" w:rsidRPr="00225D4D" w14:paraId="6E97A35D"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21DE35C5" w14:textId="77777777" w:rsidR="00D60186" w:rsidRPr="00FD49F3" w:rsidRDefault="00D60186" w:rsidP="00225D4D">
            <w:pPr>
              <w:rPr>
                <w:sz w:val="21"/>
                <w:szCs w:val="21"/>
              </w:rPr>
            </w:pPr>
            <w:r w:rsidRPr="00FD49F3">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64C184E8" w14:textId="77777777" w:rsidR="00D60186" w:rsidRPr="00FD49F3" w:rsidRDefault="00D60186" w:rsidP="00FD49F3">
            <w:pPr>
              <w:ind w:right="113"/>
              <w:jc w:val="right"/>
              <w:rPr>
                <w:sz w:val="21"/>
                <w:szCs w:val="21"/>
              </w:rPr>
            </w:pPr>
            <w:r w:rsidRPr="00FD49F3">
              <w:rPr>
                <w:sz w:val="21"/>
                <w:szCs w:val="21"/>
              </w:rPr>
              <w:t>455</w:t>
            </w:r>
          </w:p>
        </w:tc>
        <w:tc>
          <w:tcPr>
            <w:tcW w:w="5360" w:type="dxa"/>
            <w:tcBorders>
              <w:top w:val="nil"/>
              <w:left w:val="nil"/>
              <w:bottom w:val="nil"/>
              <w:right w:val="nil"/>
            </w:tcBorders>
            <w:tcMar>
              <w:top w:w="128" w:type="dxa"/>
              <w:left w:w="43" w:type="dxa"/>
              <w:bottom w:w="43" w:type="dxa"/>
              <w:right w:w="43" w:type="dxa"/>
            </w:tcMar>
            <w:vAlign w:val="bottom"/>
          </w:tcPr>
          <w:p w14:paraId="6F1496EA" w14:textId="77777777" w:rsidR="00D60186" w:rsidRPr="00FD49F3" w:rsidRDefault="00D60186" w:rsidP="00225D4D">
            <w:pPr>
              <w:rPr>
                <w:sz w:val="21"/>
                <w:szCs w:val="21"/>
              </w:rPr>
            </w:pPr>
            <w:r w:rsidRPr="00FD49F3">
              <w:rPr>
                <w:sz w:val="21"/>
                <w:szCs w:val="21"/>
              </w:rPr>
              <w:t xml:space="preserve">Digital </w:t>
            </w:r>
            <w:proofErr w:type="spellStart"/>
            <w:r w:rsidRPr="00FD49F3">
              <w:rPr>
                <w:sz w:val="21"/>
                <w:szCs w:val="21"/>
              </w:rPr>
              <w:t>marknadsplass</w:t>
            </w:r>
            <w:proofErr w:type="spellEnd"/>
            <w:r w:rsidRPr="00FD49F3">
              <w:rPr>
                <w:sz w:val="21"/>
                <w:szCs w:val="21"/>
              </w:rPr>
              <w:t xml:space="preserve"> for </w:t>
            </w:r>
            <w:proofErr w:type="spellStart"/>
            <w:r w:rsidRPr="00FD49F3">
              <w:rPr>
                <w:sz w:val="21"/>
                <w:szCs w:val="21"/>
              </w:rPr>
              <w:t>overskotsmassar</w:t>
            </w:r>
            <w:proofErr w:type="spellEnd"/>
          </w:p>
        </w:tc>
        <w:tc>
          <w:tcPr>
            <w:tcW w:w="1640" w:type="dxa"/>
            <w:tcBorders>
              <w:top w:val="nil"/>
              <w:left w:val="nil"/>
              <w:bottom w:val="nil"/>
              <w:right w:val="nil"/>
            </w:tcBorders>
            <w:tcMar>
              <w:top w:w="128" w:type="dxa"/>
              <w:left w:w="43" w:type="dxa"/>
              <w:bottom w:w="43" w:type="dxa"/>
              <w:right w:w="43" w:type="dxa"/>
            </w:tcMar>
          </w:tcPr>
          <w:p w14:paraId="03EE78A9" w14:textId="77777777" w:rsidR="00D60186" w:rsidRPr="00FD49F3" w:rsidRDefault="00D60186" w:rsidP="00FD49F3">
            <w:pPr>
              <w:jc w:val="right"/>
              <w:rPr>
                <w:sz w:val="21"/>
                <w:szCs w:val="21"/>
              </w:rPr>
            </w:pPr>
            <w:r w:rsidRPr="00FD49F3">
              <w:rPr>
                <w:sz w:val="21"/>
                <w:szCs w:val="21"/>
              </w:rPr>
              <w:t>Ja</w:t>
            </w:r>
          </w:p>
        </w:tc>
      </w:tr>
      <w:tr w:rsidR="00E76DC8" w:rsidRPr="00225D4D" w14:paraId="31881C3F"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A631AEC" w14:textId="77777777" w:rsidR="00D60186" w:rsidRPr="00FD49F3" w:rsidRDefault="00D60186" w:rsidP="00225D4D">
            <w:pPr>
              <w:rPr>
                <w:sz w:val="21"/>
                <w:szCs w:val="21"/>
              </w:rPr>
            </w:pPr>
            <w:r w:rsidRPr="00FD49F3">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570CBE8D" w14:textId="77777777" w:rsidR="00D60186" w:rsidRPr="00FD49F3" w:rsidRDefault="00D60186" w:rsidP="00FD49F3">
            <w:pPr>
              <w:ind w:right="113"/>
              <w:jc w:val="right"/>
              <w:rPr>
                <w:sz w:val="21"/>
                <w:szCs w:val="21"/>
              </w:rPr>
            </w:pPr>
            <w:r w:rsidRPr="00FD49F3">
              <w:rPr>
                <w:sz w:val="21"/>
                <w:szCs w:val="21"/>
              </w:rPr>
              <w:t>780</w:t>
            </w:r>
          </w:p>
        </w:tc>
        <w:tc>
          <w:tcPr>
            <w:tcW w:w="5360" w:type="dxa"/>
            <w:tcBorders>
              <w:top w:val="nil"/>
              <w:left w:val="nil"/>
              <w:bottom w:val="nil"/>
              <w:right w:val="nil"/>
            </w:tcBorders>
            <w:tcMar>
              <w:top w:w="128" w:type="dxa"/>
              <w:left w:w="43" w:type="dxa"/>
              <w:bottom w:w="43" w:type="dxa"/>
              <w:right w:w="43" w:type="dxa"/>
            </w:tcMar>
            <w:vAlign w:val="bottom"/>
          </w:tcPr>
          <w:p w14:paraId="1EF719DE" w14:textId="77777777" w:rsidR="00D60186" w:rsidRPr="00FD49F3" w:rsidRDefault="00D60186" w:rsidP="00225D4D">
            <w:pPr>
              <w:rPr>
                <w:sz w:val="21"/>
                <w:szCs w:val="21"/>
              </w:rPr>
            </w:pPr>
            <w:r w:rsidRPr="00FD49F3">
              <w:rPr>
                <w:sz w:val="21"/>
                <w:szCs w:val="21"/>
              </w:rPr>
              <w:t>Fordeling av førehandsstemmer og stemmer på valkrins</w:t>
            </w:r>
          </w:p>
        </w:tc>
        <w:tc>
          <w:tcPr>
            <w:tcW w:w="1640" w:type="dxa"/>
            <w:tcBorders>
              <w:top w:val="nil"/>
              <w:left w:val="nil"/>
              <w:bottom w:val="nil"/>
              <w:right w:val="nil"/>
            </w:tcBorders>
            <w:tcMar>
              <w:top w:w="128" w:type="dxa"/>
              <w:left w:w="43" w:type="dxa"/>
              <w:bottom w:w="43" w:type="dxa"/>
              <w:right w:w="43" w:type="dxa"/>
            </w:tcMar>
          </w:tcPr>
          <w:p w14:paraId="08A809AE" w14:textId="77777777" w:rsidR="00D60186" w:rsidRPr="00FD49F3" w:rsidRDefault="00D60186" w:rsidP="00FD49F3">
            <w:pPr>
              <w:jc w:val="right"/>
              <w:rPr>
                <w:sz w:val="21"/>
                <w:szCs w:val="21"/>
              </w:rPr>
            </w:pPr>
            <w:r w:rsidRPr="00FD49F3">
              <w:rPr>
                <w:sz w:val="21"/>
                <w:szCs w:val="21"/>
              </w:rPr>
              <w:t>Nei</w:t>
            </w:r>
          </w:p>
        </w:tc>
      </w:tr>
      <w:tr w:rsidR="00E76DC8" w:rsidRPr="00225D4D" w14:paraId="42CBC944"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DB07407" w14:textId="77777777" w:rsidR="00D60186" w:rsidRPr="00FD49F3" w:rsidRDefault="00D60186" w:rsidP="00225D4D">
            <w:pPr>
              <w:rPr>
                <w:sz w:val="21"/>
                <w:szCs w:val="21"/>
              </w:rPr>
            </w:pPr>
            <w:r w:rsidRPr="00FD49F3">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056013E7" w14:textId="77777777" w:rsidR="00D60186" w:rsidRPr="00FD49F3" w:rsidRDefault="00D60186" w:rsidP="00FD49F3">
            <w:pPr>
              <w:ind w:right="113"/>
              <w:jc w:val="right"/>
              <w:rPr>
                <w:sz w:val="21"/>
                <w:szCs w:val="21"/>
              </w:rPr>
            </w:pPr>
            <w:r w:rsidRPr="00FD49F3">
              <w:rPr>
                <w:sz w:val="21"/>
                <w:szCs w:val="21"/>
              </w:rPr>
              <w:t>821</w:t>
            </w:r>
          </w:p>
        </w:tc>
        <w:tc>
          <w:tcPr>
            <w:tcW w:w="5360" w:type="dxa"/>
            <w:tcBorders>
              <w:top w:val="nil"/>
              <w:left w:val="nil"/>
              <w:bottom w:val="nil"/>
              <w:right w:val="nil"/>
            </w:tcBorders>
            <w:tcMar>
              <w:top w:w="128" w:type="dxa"/>
              <w:left w:w="43" w:type="dxa"/>
              <w:bottom w:w="43" w:type="dxa"/>
              <w:right w:w="43" w:type="dxa"/>
            </w:tcMar>
            <w:vAlign w:val="bottom"/>
          </w:tcPr>
          <w:p w14:paraId="51E832D9" w14:textId="77777777" w:rsidR="00D60186" w:rsidRPr="00FD49F3" w:rsidRDefault="00D60186" w:rsidP="00225D4D">
            <w:pPr>
              <w:rPr>
                <w:sz w:val="21"/>
                <w:szCs w:val="21"/>
              </w:rPr>
            </w:pPr>
            <w:r w:rsidRPr="00FD49F3">
              <w:rPr>
                <w:sz w:val="21"/>
                <w:szCs w:val="21"/>
              </w:rPr>
              <w:t xml:space="preserve">Evaluering av inntektssystemet for </w:t>
            </w:r>
            <w:proofErr w:type="spellStart"/>
            <w:r w:rsidRPr="00FD49F3">
              <w:rPr>
                <w:sz w:val="21"/>
                <w:szCs w:val="21"/>
              </w:rPr>
              <w:t>fylkeskommunar</w:t>
            </w:r>
            <w:proofErr w:type="spellEnd"/>
          </w:p>
        </w:tc>
        <w:tc>
          <w:tcPr>
            <w:tcW w:w="1640" w:type="dxa"/>
            <w:tcBorders>
              <w:top w:val="nil"/>
              <w:left w:val="nil"/>
              <w:bottom w:val="nil"/>
              <w:right w:val="nil"/>
            </w:tcBorders>
            <w:tcMar>
              <w:top w:w="128" w:type="dxa"/>
              <w:left w:w="43" w:type="dxa"/>
              <w:bottom w:w="43" w:type="dxa"/>
              <w:right w:w="43" w:type="dxa"/>
            </w:tcMar>
          </w:tcPr>
          <w:p w14:paraId="53F395EF" w14:textId="77777777" w:rsidR="00D60186" w:rsidRPr="00FD49F3" w:rsidRDefault="00D60186" w:rsidP="00FD49F3">
            <w:pPr>
              <w:jc w:val="right"/>
              <w:rPr>
                <w:sz w:val="21"/>
                <w:szCs w:val="21"/>
              </w:rPr>
            </w:pPr>
            <w:r w:rsidRPr="00FD49F3">
              <w:rPr>
                <w:sz w:val="21"/>
                <w:szCs w:val="21"/>
              </w:rPr>
              <w:t>Ja</w:t>
            </w:r>
          </w:p>
        </w:tc>
      </w:tr>
      <w:tr w:rsidR="00E76DC8" w:rsidRPr="00225D4D" w14:paraId="685BFC61"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1EF50E92" w14:textId="77777777" w:rsidR="00D60186" w:rsidRPr="00FD49F3" w:rsidRDefault="00D60186" w:rsidP="00225D4D">
            <w:pPr>
              <w:rPr>
                <w:sz w:val="21"/>
                <w:szCs w:val="21"/>
              </w:rPr>
            </w:pPr>
            <w:r w:rsidRPr="00FD49F3">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3A3CBADA" w14:textId="77777777" w:rsidR="00D60186" w:rsidRPr="00FD49F3" w:rsidRDefault="00D60186" w:rsidP="00FD49F3">
            <w:pPr>
              <w:ind w:right="113"/>
              <w:jc w:val="right"/>
              <w:rPr>
                <w:sz w:val="21"/>
                <w:szCs w:val="21"/>
              </w:rPr>
            </w:pPr>
            <w:r w:rsidRPr="00FD49F3">
              <w:rPr>
                <w:sz w:val="21"/>
                <w:szCs w:val="21"/>
              </w:rPr>
              <w:t>824</w:t>
            </w:r>
          </w:p>
        </w:tc>
        <w:tc>
          <w:tcPr>
            <w:tcW w:w="5360" w:type="dxa"/>
            <w:tcBorders>
              <w:top w:val="nil"/>
              <w:left w:val="nil"/>
              <w:bottom w:val="nil"/>
              <w:right w:val="nil"/>
            </w:tcBorders>
            <w:tcMar>
              <w:top w:w="128" w:type="dxa"/>
              <w:left w:w="43" w:type="dxa"/>
              <w:bottom w:w="43" w:type="dxa"/>
              <w:right w:w="43" w:type="dxa"/>
            </w:tcMar>
            <w:vAlign w:val="bottom"/>
          </w:tcPr>
          <w:p w14:paraId="46D8FF6F" w14:textId="77777777" w:rsidR="00D60186" w:rsidRPr="00FD49F3" w:rsidRDefault="00D60186" w:rsidP="00225D4D">
            <w:pPr>
              <w:rPr>
                <w:sz w:val="21"/>
                <w:szCs w:val="21"/>
              </w:rPr>
            </w:pPr>
            <w:r w:rsidRPr="00FD49F3">
              <w:rPr>
                <w:sz w:val="21"/>
                <w:szCs w:val="21"/>
              </w:rPr>
              <w:t>Evaluering av frikommuneforsøk</w:t>
            </w:r>
          </w:p>
        </w:tc>
        <w:tc>
          <w:tcPr>
            <w:tcW w:w="1640" w:type="dxa"/>
            <w:tcBorders>
              <w:top w:val="nil"/>
              <w:left w:val="nil"/>
              <w:bottom w:val="nil"/>
              <w:right w:val="nil"/>
            </w:tcBorders>
            <w:tcMar>
              <w:top w:w="128" w:type="dxa"/>
              <w:left w:w="43" w:type="dxa"/>
              <w:bottom w:w="43" w:type="dxa"/>
              <w:right w:w="43" w:type="dxa"/>
            </w:tcMar>
          </w:tcPr>
          <w:p w14:paraId="0DCC0EAF" w14:textId="77777777" w:rsidR="00D60186" w:rsidRPr="00FD49F3" w:rsidRDefault="00D60186" w:rsidP="00FD49F3">
            <w:pPr>
              <w:jc w:val="right"/>
              <w:rPr>
                <w:sz w:val="21"/>
                <w:szCs w:val="21"/>
              </w:rPr>
            </w:pPr>
            <w:r w:rsidRPr="00FD49F3">
              <w:rPr>
                <w:sz w:val="21"/>
                <w:szCs w:val="21"/>
              </w:rPr>
              <w:t>Ja</w:t>
            </w:r>
          </w:p>
        </w:tc>
      </w:tr>
      <w:tr w:rsidR="00E76DC8" w:rsidRPr="00225D4D" w14:paraId="4111115E"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2BEE06E8" w14:textId="77777777" w:rsidR="00D60186" w:rsidRPr="00FD49F3" w:rsidRDefault="00D60186" w:rsidP="00225D4D">
            <w:pPr>
              <w:rPr>
                <w:sz w:val="21"/>
                <w:szCs w:val="21"/>
              </w:rPr>
            </w:pPr>
            <w:r w:rsidRPr="00FD49F3">
              <w:rPr>
                <w:sz w:val="21"/>
                <w:szCs w:val="21"/>
              </w:rPr>
              <w:t xml:space="preserve">2022–2023 </w:t>
            </w:r>
          </w:p>
        </w:tc>
        <w:tc>
          <w:tcPr>
            <w:tcW w:w="1280" w:type="dxa"/>
            <w:tcBorders>
              <w:top w:val="nil"/>
              <w:left w:val="nil"/>
              <w:bottom w:val="nil"/>
              <w:right w:val="nil"/>
            </w:tcBorders>
            <w:tcMar>
              <w:top w:w="128" w:type="dxa"/>
              <w:left w:w="43" w:type="dxa"/>
              <w:bottom w:w="43" w:type="dxa"/>
              <w:right w:w="43" w:type="dxa"/>
            </w:tcMar>
          </w:tcPr>
          <w:p w14:paraId="658BBACF" w14:textId="77777777" w:rsidR="00D60186" w:rsidRPr="00FD49F3" w:rsidRDefault="00D60186" w:rsidP="00FD49F3">
            <w:pPr>
              <w:ind w:right="113"/>
              <w:jc w:val="right"/>
              <w:rPr>
                <w:sz w:val="21"/>
                <w:szCs w:val="21"/>
              </w:rPr>
            </w:pPr>
            <w:r w:rsidRPr="00FD49F3">
              <w:rPr>
                <w:sz w:val="21"/>
                <w:szCs w:val="21"/>
              </w:rPr>
              <w:t>934</w:t>
            </w:r>
          </w:p>
        </w:tc>
        <w:tc>
          <w:tcPr>
            <w:tcW w:w="5360" w:type="dxa"/>
            <w:tcBorders>
              <w:top w:val="nil"/>
              <w:left w:val="nil"/>
              <w:bottom w:val="nil"/>
              <w:right w:val="nil"/>
            </w:tcBorders>
            <w:tcMar>
              <w:top w:w="128" w:type="dxa"/>
              <w:left w:w="43" w:type="dxa"/>
              <w:bottom w:w="43" w:type="dxa"/>
              <w:right w:w="43" w:type="dxa"/>
            </w:tcMar>
            <w:vAlign w:val="bottom"/>
          </w:tcPr>
          <w:p w14:paraId="3C8A90CF" w14:textId="77777777" w:rsidR="00D60186" w:rsidRPr="00FD49F3" w:rsidRDefault="00D60186" w:rsidP="00225D4D">
            <w:pPr>
              <w:rPr>
                <w:sz w:val="21"/>
                <w:szCs w:val="21"/>
              </w:rPr>
            </w:pPr>
            <w:r w:rsidRPr="00FD49F3">
              <w:rPr>
                <w:sz w:val="21"/>
                <w:szCs w:val="21"/>
              </w:rPr>
              <w:t>Etablering av solceller og/eller lokalprodusert energi på nye næringsbygg</w:t>
            </w:r>
          </w:p>
        </w:tc>
        <w:tc>
          <w:tcPr>
            <w:tcW w:w="1640" w:type="dxa"/>
            <w:tcBorders>
              <w:top w:val="nil"/>
              <w:left w:val="nil"/>
              <w:bottom w:val="nil"/>
              <w:right w:val="nil"/>
            </w:tcBorders>
            <w:tcMar>
              <w:top w:w="128" w:type="dxa"/>
              <w:left w:w="43" w:type="dxa"/>
              <w:bottom w:w="43" w:type="dxa"/>
              <w:right w:w="43" w:type="dxa"/>
            </w:tcMar>
          </w:tcPr>
          <w:p w14:paraId="2AE22779" w14:textId="77777777" w:rsidR="00D60186" w:rsidRPr="00FD49F3" w:rsidRDefault="00D60186" w:rsidP="00FD49F3">
            <w:pPr>
              <w:jc w:val="right"/>
              <w:rPr>
                <w:sz w:val="21"/>
                <w:szCs w:val="21"/>
              </w:rPr>
            </w:pPr>
            <w:r w:rsidRPr="00FD49F3">
              <w:rPr>
                <w:sz w:val="21"/>
                <w:szCs w:val="21"/>
              </w:rPr>
              <w:t>Ja</w:t>
            </w:r>
          </w:p>
        </w:tc>
      </w:tr>
      <w:tr w:rsidR="00E76DC8" w:rsidRPr="00225D4D" w14:paraId="7B23F09E"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46D416C5" w14:textId="77777777" w:rsidR="00D60186" w:rsidRPr="00FD49F3" w:rsidRDefault="00D60186" w:rsidP="00225D4D">
            <w:pPr>
              <w:rPr>
                <w:sz w:val="21"/>
                <w:szCs w:val="21"/>
              </w:rPr>
            </w:pPr>
            <w:r w:rsidRPr="00FD49F3">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517A5251" w14:textId="77777777" w:rsidR="00D60186" w:rsidRPr="00FD49F3" w:rsidRDefault="00D60186" w:rsidP="00FD49F3">
            <w:pPr>
              <w:ind w:right="113"/>
              <w:jc w:val="right"/>
              <w:rPr>
                <w:sz w:val="21"/>
                <w:szCs w:val="21"/>
              </w:rPr>
            </w:pPr>
            <w:r w:rsidRPr="00FD49F3">
              <w:rPr>
                <w:sz w:val="21"/>
                <w:szCs w:val="21"/>
              </w:rPr>
              <w:t>35 nr. 35</w:t>
            </w:r>
          </w:p>
        </w:tc>
        <w:tc>
          <w:tcPr>
            <w:tcW w:w="5360" w:type="dxa"/>
            <w:tcBorders>
              <w:top w:val="nil"/>
              <w:left w:val="nil"/>
              <w:bottom w:val="nil"/>
              <w:right w:val="nil"/>
            </w:tcBorders>
            <w:tcMar>
              <w:top w:w="128" w:type="dxa"/>
              <w:left w:w="43" w:type="dxa"/>
              <w:bottom w:w="43" w:type="dxa"/>
              <w:right w:w="43" w:type="dxa"/>
            </w:tcMar>
            <w:vAlign w:val="bottom"/>
          </w:tcPr>
          <w:p w14:paraId="5CB4C398" w14:textId="77777777" w:rsidR="00D60186" w:rsidRPr="00FD49F3" w:rsidRDefault="00D60186" w:rsidP="00225D4D">
            <w:pPr>
              <w:rPr>
                <w:sz w:val="21"/>
                <w:szCs w:val="21"/>
              </w:rPr>
            </w:pPr>
            <w:proofErr w:type="spellStart"/>
            <w:r w:rsidRPr="00FD49F3">
              <w:rPr>
                <w:sz w:val="21"/>
                <w:szCs w:val="21"/>
              </w:rPr>
              <w:t>Blankoskøyter</w:t>
            </w:r>
            <w:proofErr w:type="spellEnd"/>
            <w:r w:rsidRPr="00FD49F3">
              <w:rPr>
                <w:sz w:val="21"/>
                <w:szCs w:val="21"/>
              </w:rPr>
              <w:t xml:space="preserve"> og plikt til tinglysing</w:t>
            </w:r>
          </w:p>
        </w:tc>
        <w:tc>
          <w:tcPr>
            <w:tcW w:w="1640" w:type="dxa"/>
            <w:tcBorders>
              <w:top w:val="nil"/>
              <w:left w:val="nil"/>
              <w:bottom w:val="nil"/>
              <w:right w:val="nil"/>
            </w:tcBorders>
            <w:tcMar>
              <w:top w:w="128" w:type="dxa"/>
              <w:left w:w="43" w:type="dxa"/>
              <w:bottom w:w="43" w:type="dxa"/>
              <w:right w:w="43" w:type="dxa"/>
            </w:tcMar>
          </w:tcPr>
          <w:p w14:paraId="1DC073B7" w14:textId="77777777" w:rsidR="00D60186" w:rsidRPr="00FD49F3" w:rsidRDefault="00D60186" w:rsidP="00FD49F3">
            <w:pPr>
              <w:jc w:val="right"/>
              <w:rPr>
                <w:sz w:val="21"/>
                <w:szCs w:val="21"/>
              </w:rPr>
            </w:pPr>
            <w:r w:rsidRPr="00FD49F3">
              <w:rPr>
                <w:sz w:val="21"/>
                <w:szCs w:val="21"/>
              </w:rPr>
              <w:t>Ja</w:t>
            </w:r>
          </w:p>
        </w:tc>
      </w:tr>
      <w:tr w:rsidR="00E76DC8" w:rsidRPr="00225D4D" w14:paraId="698EB8F4"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2CD2E5FF" w14:textId="77777777" w:rsidR="00D60186" w:rsidRPr="00FD49F3" w:rsidRDefault="00D60186" w:rsidP="00225D4D">
            <w:pPr>
              <w:rPr>
                <w:sz w:val="21"/>
                <w:szCs w:val="21"/>
              </w:rPr>
            </w:pPr>
            <w:r w:rsidRPr="00FD49F3">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31CE2035" w14:textId="77777777" w:rsidR="00D60186" w:rsidRPr="00FD49F3" w:rsidRDefault="00D60186" w:rsidP="00FD49F3">
            <w:pPr>
              <w:ind w:right="113"/>
              <w:jc w:val="right"/>
              <w:rPr>
                <w:sz w:val="21"/>
                <w:szCs w:val="21"/>
              </w:rPr>
            </w:pPr>
            <w:r w:rsidRPr="00FD49F3">
              <w:rPr>
                <w:sz w:val="21"/>
                <w:szCs w:val="21"/>
              </w:rPr>
              <w:t>35 nr. 54</w:t>
            </w:r>
          </w:p>
        </w:tc>
        <w:tc>
          <w:tcPr>
            <w:tcW w:w="5360" w:type="dxa"/>
            <w:tcBorders>
              <w:top w:val="nil"/>
              <w:left w:val="nil"/>
              <w:bottom w:val="nil"/>
              <w:right w:val="nil"/>
            </w:tcBorders>
            <w:tcMar>
              <w:top w:w="128" w:type="dxa"/>
              <w:left w:w="43" w:type="dxa"/>
              <w:bottom w:w="43" w:type="dxa"/>
              <w:right w:w="43" w:type="dxa"/>
            </w:tcMar>
            <w:vAlign w:val="bottom"/>
          </w:tcPr>
          <w:p w14:paraId="4BB6706A" w14:textId="77777777" w:rsidR="00D60186" w:rsidRPr="00FD49F3" w:rsidRDefault="00D60186" w:rsidP="00225D4D">
            <w:pPr>
              <w:rPr>
                <w:sz w:val="21"/>
                <w:szCs w:val="21"/>
              </w:rPr>
            </w:pPr>
            <w:proofErr w:type="spellStart"/>
            <w:r w:rsidRPr="00FD49F3">
              <w:rPr>
                <w:sz w:val="21"/>
                <w:szCs w:val="21"/>
              </w:rPr>
              <w:t>Studentbustader</w:t>
            </w:r>
            <w:proofErr w:type="spellEnd"/>
            <w:r w:rsidRPr="00FD49F3">
              <w:rPr>
                <w:sz w:val="21"/>
                <w:szCs w:val="21"/>
              </w:rPr>
              <w:t xml:space="preserve"> som eige </w:t>
            </w:r>
            <w:proofErr w:type="spellStart"/>
            <w:r w:rsidRPr="00FD49F3">
              <w:rPr>
                <w:sz w:val="21"/>
                <w:szCs w:val="21"/>
              </w:rPr>
              <w:t>føremål</w:t>
            </w:r>
            <w:proofErr w:type="spellEnd"/>
            <w:r w:rsidRPr="00FD49F3">
              <w:rPr>
                <w:sz w:val="21"/>
                <w:szCs w:val="21"/>
              </w:rPr>
              <w:t xml:space="preserve"> i kommunale </w:t>
            </w:r>
            <w:proofErr w:type="spellStart"/>
            <w:r w:rsidRPr="00FD49F3">
              <w:rPr>
                <w:sz w:val="21"/>
                <w:szCs w:val="21"/>
              </w:rPr>
              <w:t>arealplanar</w:t>
            </w:r>
            <w:proofErr w:type="spellEnd"/>
          </w:p>
        </w:tc>
        <w:tc>
          <w:tcPr>
            <w:tcW w:w="1640" w:type="dxa"/>
            <w:tcBorders>
              <w:top w:val="nil"/>
              <w:left w:val="nil"/>
              <w:bottom w:val="nil"/>
              <w:right w:val="nil"/>
            </w:tcBorders>
            <w:tcMar>
              <w:top w:w="128" w:type="dxa"/>
              <w:left w:w="43" w:type="dxa"/>
              <w:bottom w:w="43" w:type="dxa"/>
              <w:right w:w="43" w:type="dxa"/>
            </w:tcMar>
          </w:tcPr>
          <w:p w14:paraId="31036036" w14:textId="77777777" w:rsidR="00D60186" w:rsidRPr="00FD49F3" w:rsidRDefault="00D60186" w:rsidP="00FD49F3">
            <w:pPr>
              <w:jc w:val="right"/>
              <w:rPr>
                <w:sz w:val="21"/>
                <w:szCs w:val="21"/>
              </w:rPr>
            </w:pPr>
            <w:r w:rsidRPr="00FD49F3">
              <w:rPr>
                <w:sz w:val="21"/>
                <w:szCs w:val="21"/>
              </w:rPr>
              <w:t>Ja</w:t>
            </w:r>
          </w:p>
        </w:tc>
      </w:tr>
      <w:tr w:rsidR="00E76DC8" w:rsidRPr="00225D4D" w14:paraId="104C53EB"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235A5178" w14:textId="77777777" w:rsidR="00D60186" w:rsidRPr="00FD49F3" w:rsidRDefault="00D60186" w:rsidP="00225D4D">
            <w:pPr>
              <w:rPr>
                <w:sz w:val="21"/>
                <w:szCs w:val="21"/>
              </w:rPr>
            </w:pPr>
            <w:r w:rsidRPr="00FD49F3">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5AF4207D" w14:textId="77777777" w:rsidR="00D60186" w:rsidRPr="00FD49F3" w:rsidRDefault="00D60186" w:rsidP="00FD49F3">
            <w:pPr>
              <w:ind w:right="113"/>
              <w:jc w:val="right"/>
              <w:rPr>
                <w:sz w:val="21"/>
                <w:szCs w:val="21"/>
              </w:rPr>
            </w:pPr>
            <w:r w:rsidRPr="00FD49F3">
              <w:rPr>
                <w:sz w:val="21"/>
                <w:szCs w:val="21"/>
              </w:rPr>
              <w:t>726</w:t>
            </w:r>
          </w:p>
        </w:tc>
        <w:tc>
          <w:tcPr>
            <w:tcW w:w="5360" w:type="dxa"/>
            <w:tcBorders>
              <w:top w:val="nil"/>
              <w:left w:val="nil"/>
              <w:bottom w:val="nil"/>
              <w:right w:val="nil"/>
            </w:tcBorders>
            <w:tcMar>
              <w:top w:w="128" w:type="dxa"/>
              <w:left w:w="43" w:type="dxa"/>
              <w:bottom w:w="43" w:type="dxa"/>
              <w:right w:w="43" w:type="dxa"/>
            </w:tcMar>
            <w:vAlign w:val="bottom"/>
          </w:tcPr>
          <w:p w14:paraId="628F4894" w14:textId="77777777" w:rsidR="00D60186" w:rsidRPr="00FD49F3" w:rsidRDefault="00D60186" w:rsidP="00225D4D">
            <w:pPr>
              <w:rPr>
                <w:sz w:val="21"/>
                <w:szCs w:val="21"/>
              </w:rPr>
            </w:pPr>
            <w:r w:rsidRPr="00FD49F3">
              <w:rPr>
                <w:sz w:val="21"/>
                <w:szCs w:val="21"/>
              </w:rPr>
              <w:t>Energifleksibel oppvarming</w:t>
            </w:r>
          </w:p>
        </w:tc>
        <w:tc>
          <w:tcPr>
            <w:tcW w:w="1640" w:type="dxa"/>
            <w:tcBorders>
              <w:top w:val="nil"/>
              <w:left w:val="nil"/>
              <w:bottom w:val="nil"/>
              <w:right w:val="nil"/>
            </w:tcBorders>
            <w:tcMar>
              <w:top w:w="128" w:type="dxa"/>
              <w:left w:w="43" w:type="dxa"/>
              <w:bottom w:w="43" w:type="dxa"/>
              <w:right w:w="43" w:type="dxa"/>
            </w:tcMar>
          </w:tcPr>
          <w:p w14:paraId="2DE0488F" w14:textId="77777777" w:rsidR="00D60186" w:rsidRPr="00FD49F3" w:rsidRDefault="00D60186" w:rsidP="00FD49F3">
            <w:pPr>
              <w:jc w:val="right"/>
              <w:rPr>
                <w:sz w:val="21"/>
                <w:szCs w:val="21"/>
              </w:rPr>
            </w:pPr>
            <w:r w:rsidRPr="00FD49F3">
              <w:rPr>
                <w:sz w:val="21"/>
                <w:szCs w:val="21"/>
              </w:rPr>
              <w:t>Ja</w:t>
            </w:r>
          </w:p>
        </w:tc>
      </w:tr>
      <w:tr w:rsidR="00E76DC8" w:rsidRPr="00225D4D" w14:paraId="26EA91D1" w14:textId="77777777" w:rsidTr="00FD49F3">
        <w:trPr>
          <w:trHeight w:val="20"/>
        </w:trPr>
        <w:tc>
          <w:tcPr>
            <w:tcW w:w="1260" w:type="dxa"/>
            <w:tcBorders>
              <w:top w:val="nil"/>
              <w:left w:val="nil"/>
              <w:bottom w:val="nil"/>
              <w:right w:val="nil"/>
            </w:tcBorders>
            <w:tcMar>
              <w:top w:w="128" w:type="dxa"/>
              <w:left w:w="43" w:type="dxa"/>
              <w:bottom w:w="43" w:type="dxa"/>
              <w:right w:w="43" w:type="dxa"/>
            </w:tcMar>
          </w:tcPr>
          <w:p w14:paraId="5B3C1A2A" w14:textId="77777777" w:rsidR="00D60186" w:rsidRPr="00FD49F3" w:rsidRDefault="00D60186" w:rsidP="00225D4D">
            <w:pPr>
              <w:rPr>
                <w:sz w:val="21"/>
                <w:szCs w:val="21"/>
              </w:rPr>
            </w:pPr>
            <w:r w:rsidRPr="00FD49F3">
              <w:rPr>
                <w:sz w:val="21"/>
                <w:szCs w:val="21"/>
              </w:rPr>
              <w:t>2018–2019</w:t>
            </w:r>
          </w:p>
        </w:tc>
        <w:tc>
          <w:tcPr>
            <w:tcW w:w="1280" w:type="dxa"/>
            <w:tcBorders>
              <w:top w:val="nil"/>
              <w:left w:val="nil"/>
              <w:bottom w:val="nil"/>
              <w:right w:val="nil"/>
            </w:tcBorders>
            <w:tcMar>
              <w:top w:w="128" w:type="dxa"/>
              <w:left w:w="43" w:type="dxa"/>
              <w:bottom w:w="43" w:type="dxa"/>
              <w:right w:w="43" w:type="dxa"/>
            </w:tcMar>
          </w:tcPr>
          <w:p w14:paraId="2BC49526" w14:textId="77777777" w:rsidR="00D60186" w:rsidRPr="00FD49F3" w:rsidRDefault="00D60186" w:rsidP="00FD49F3">
            <w:pPr>
              <w:ind w:right="113"/>
              <w:jc w:val="right"/>
              <w:rPr>
                <w:sz w:val="21"/>
                <w:szCs w:val="21"/>
              </w:rPr>
            </w:pPr>
            <w:r w:rsidRPr="00FD49F3">
              <w:rPr>
                <w:sz w:val="21"/>
                <w:szCs w:val="21"/>
              </w:rPr>
              <w:t>55</w:t>
            </w:r>
          </w:p>
        </w:tc>
        <w:tc>
          <w:tcPr>
            <w:tcW w:w="5360" w:type="dxa"/>
            <w:tcBorders>
              <w:top w:val="nil"/>
              <w:left w:val="nil"/>
              <w:bottom w:val="nil"/>
              <w:right w:val="nil"/>
            </w:tcBorders>
            <w:tcMar>
              <w:top w:w="128" w:type="dxa"/>
              <w:left w:w="43" w:type="dxa"/>
              <w:bottom w:w="43" w:type="dxa"/>
              <w:right w:w="43" w:type="dxa"/>
            </w:tcMar>
            <w:vAlign w:val="bottom"/>
          </w:tcPr>
          <w:p w14:paraId="2F9AAF1E" w14:textId="77777777" w:rsidR="00D60186" w:rsidRPr="00FD49F3" w:rsidRDefault="00D60186" w:rsidP="00225D4D">
            <w:pPr>
              <w:rPr>
                <w:sz w:val="21"/>
                <w:szCs w:val="21"/>
              </w:rPr>
            </w:pPr>
            <w:r w:rsidRPr="00FD49F3">
              <w:rPr>
                <w:sz w:val="21"/>
                <w:szCs w:val="21"/>
              </w:rPr>
              <w:t xml:space="preserve">Opplysningsplikt for </w:t>
            </w:r>
            <w:proofErr w:type="spellStart"/>
            <w:r w:rsidRPr="00FD49F3">
              <w:rPr>
                <w:sz w:val="21"/>
                <w:szCs w:val="21"/>
              </w:rPr>
              <w:t>statsrådar</w:t>
            </w:r>
            <w:proofErr w:type="spellEnd"/>
            <w:r w:rsidRPr="00FD49F3">
              <w:rPr>
                <w:sz w:val="21"/>
                <w:szCs w:val="21"/>
              </w:rPr>
              <w:t xml:space="preserve"> og </w:t>
            </w:r>
            <w:proofErr w:type="spellStart"/>
            <w:r w:rsidRPr="00FD49F3">
              <w:rPr>
                <w:sz w:val="21"/>
                <w:szCs w:val="21"/>
              </w:rPr>
              <w:t>statssekretærar</w:t>
            </w:r>
            <w:proofErr w:type="spellEnd"/>
          </w:p>
        </w:tc>
        <w:tc>
          <w:tcPr>
            <w:tcW w:w="1640" w:type="dxa"/>
            <w:tcBorders>
              <w:top w:val="nil"/>
              <w:left w:val="nil"/>
              <w:bottom w:val="nil"/>
              <w:right w:val="nil"/>
            </w:tcBorders>
            <w:tcMar>
              <w:top w:w="128" w:type="dxa"/>
              <w:left w:w="43" w:type="dxa"/>
              <w:bottom w:w="43" w:type="dxa"/>
              <w:right w:w="43" w:type="dxa"/>
            </w:tcMar>
          </w:tcPr>
          <w:p w14:paraId="5C3CE358" w14:textId="77777777" w:rsidR="00D60186" w:rsidRPr="00FD49F3" w:rsidRDefault="00D60186" w:rsidP="00FD49F3">
            <w:pPr>
              <w:jc w:val="right"/>
              <w:rPr>
                <w:sz w:val="21"/>
                <w:szCs w:val="21"/>
              </w:rPr>
            </w:pPr>
            <w:r w:rsidRPr="00FD49F3">
              <w:rPr>
                <w:sz w:val="21"/>
                <w:szCs w:val="21"/>
              </w:rPr>
              <w:t>Ja</w:t>
            </w:r>
          </w:p>
        </w:tc>
      </w:tr>
      <w:tr w:rsidR="00E76DC8" w:rsidRPr="00225D4D" w14:paraId="696F6C46" w14:textId="77777777" w:rsidTr="00FD49F3">
        <w:trPr>
          <w:trHeight w:val="20"/>
        </w:trPr>
        <w:tc>
          <w:tcPr>
            <w:tcW w:w="1260" w:type="dxa"/>
            <w:tcBorders>
              <w:top w:val="nil"/>
              <w:left w:val="nil"/>
              <w:bottom w:val="single" w:sz="4" w:space="0" w:color="000000"/>
              <w:right w:val="nil"/>
            </w:tcBorders>
            <w:tcMar>
              <w:top w:w="128" w:type="dxa"/>
              <w:left w:w="43" w:type="dxa"/>
              <w:bottom w:w="43" w:type="dxa"/>
              <w:right w:w="43" w:type="dxa"/>
            </w:tcMar>
          </w:tcPr>
          <w:p w14:paraId="0FE8D984" w14:textId="77777777" w:rsidR="00D60186" w:rsidRPr="00FD49F3" w:rsidRDefault="00D60186" w:rsidP="00225D4D">
            <w:pPr>
              <w:rPr>
                <w:sz w:val="21"/>
                <w:szCs w:val="21"/>
              </w:rPr>
            </w:pPr>
            <w:r w:rsidRPr="00FD49F3">
              <w:rPr>
                <w:sz w:val="21"/>
                <w:szCs w:val="21"/>
              </w:rPr>
              <w:t>2015–2016</w:t>
            </w:r>
          </w:p>
        </w:tc>
        <w:tc>
          <w:tcPr>
            <w:tcW w:w="1280" w:type="dxa"/>
            <w:tcBorders>
              <w:top w:val="nil"/>
              <w:left w:val="nil"/>
              <w:bottom w:val="single" w:sz="4" w:space="0" w:color="000000"/>
              <w:right w:val="nil"/>
            </w:tcBorders>
            <w:tcMar>
              <w:top w:w="128" w:type="dxa"/>
              <w:left w:w="43" w:type="dxa"/>
              <w:bottom w:w="43" w:type="dxa"/>
              <w:right w:w="43" w:type="dxa"/>
            </w:tcMar>
          </w:tcPr>
          <w:p w14:paraId="72ED6794" w14:textId="77777777" w:rsidR="00D60186" w:rsidRPr="00FD49F3" w:rsidRDefault="00D60186" w:rsidP="00FD49F3">
            <w:pPr>
              <w:ind w:right="113"/>
              <w:jc w:val="right"/>
              <w:rPr>
                <w:sz w:val="21"/>
                <w:szCs w:val="21"/>
              </w:rPr>
            </w:pPr>
            <w:r w:rsidRPr="00FD49F3">
              <w:rPr>
                <w:sz w:val="21"/>
                <w:szCs w:val="21"/>
              </w:rPr>
              <w:t>646</w:t>
            </w:r>
          </w:p>
        </w:tc>
        <w:tc>
          <w:tcPr>
            <w:tcW w:w="5360" w:type="dxa"/>
            <w:tcBorders>
              <w:top w:val="nil"/>
              <w:left w:val="nil"/>
              <w:bottom w:val="single" w:sz="4" w:space="0" w:color="000000"/>
              <w:right w:val="nil"/>
            </w:tcBorders>
            <w:tcMar>
              <w:top w:w="128" w:type="dxa"/>
              <w:left w:w="43" w:type="dxa"/>
              <w:bottom w:w="43" w:type="dxa"/>
              <w:right w:w="43" w:type="dxa"/>
            </w:tcMar>
            <w:vAlign w:val="bottom"/>
          </w:tcPr>
          <w:p w14:paraId="18AB95AC" w14:textId="77777777" w:rsidR="00D60186" w:rsidRPr="00FD49F3" w:rsidRDefault="00D60186" w:rsidP="00225D4D">
            <w:pPr>
              <w:rPr>
                <w:sz w:val="21"/>
                <w:szCs w:val="21"/>
              </w:rPr>
            </w:pPr>
            <w:r w:rsidRPr="00FD49F3">
              <w:rPr>
                <w:sz w:val="21"/>
                <w:szCs w:val="21"/>
              </w:rPr>
              <w:t xml:space="preserve">Unntak </w:t>
            </w:r>
            <w:proofErr w:type="spellStart"/>
            <w:r w:rsidRPr="00FD49F3">
              <w:rPr>
                <w:sz w:val="21"/>
                <w:szCs w:val="21"/>
              </w:rPr>
              <w:t>frå</w:t>
            </w:r>
            <w:proofErr w:type="spellEnd"/>
            <w:r w:rsidRPr="00FD49F3">
              <w:rPr>
                <w:sz w:val="21"/>
                <w:szCs w:val="21"/>
              </w:rPr>
              <w:t xml:space="preserve"> plan- og bygningslova og grannelova ved nasjonal flyktningkrise</w:t>
            </w:r>
          </w:p>
        </w:tc>
        <w:tc>
          <w:tcPr>
            <w:tcW w:w="1640" w:type="dxa"/>
            <w:tcBorders>
              <w:top w:val="nil"/>
              <w:left w:val="nil"/>
              <w:bottom w:val="single" w:sz="4" w:space="0" w:color="000000"/>
              <w:right w:val="nil"/>
            </w:tcBorders>
            <w:tcMar>
              <w:top w:w="128" w:type="dxa"/>
              <w:left w:w="43" w:type="dxa"/>
              <w:bottom w:w="43" w:type="dxa"/>
              <w:right w:w="43" w:type="dxa"/>
            </w:tcMar>
          </w:tcPr>
          <w:p w14:paraId="0999B989" w14:textId="77777777" w:rsidR="00D60186" w:rsidRPr="00FD49F3" w:rsidRDefault="00D60186" w:rsidP="00FD49F3">
            <w:pPr>
              <w:jc w:val="right"/>
              <w:rPr>
                <w:sz w:val="21"/>
                <w:szCs w:val="21"/>
              </w:rPr>
            </w:pPr>
            <w:r w:rsidRPr="00FD49F3">
              <w:rPr>
                <w:sz w:val="21"/>
                <w:szCs w:val="21"/>
              </w:rPr>
              <w:t>Ja</w:t>
            </w:r>
          </w:p>
        </w:tc>
      </w:tr>
    </w:tbl>
    <w:p w14:paraId="099F4523" w14:textId="77777777" w:rsidR="00D60186" w:rsidRPr="00225D4D" w:rsidRDefault="00D60186" w:rsidP="00FD49F3">
      <w:pPr>
        <w:pStyle w:val="Overskrift2"/>
        <w:numPr>
          <w:ilvl w:val="1"/>
          <w:numId w:val="36"/>
        </w:numPr>
      </w:pPr>
      <w:r w:rsidRPr="00225D4D">
        <w:t>Stortingssesjon 2024–2025</w:t>
      </w:r>
    </w:p>
    <w:p w14:paraId="3E2C0A16" w14:textId="77777777" w:rsidR="00D60186" w:rsidRPr="00225D4D" w:rsidRDefault="00D60186" w:rsidP="00225D4D">
      <w:pPr>
        <w:pStyle w:val="avsnitt-tittel"/>
      </w:pPr>
      <w:r w:rsidRPr="00225D4D">
        <w:t>Sannings- og forsoningskommisjonen – lokale språk- og kulturarenaer</w:t>
      </w:r>
    </w:p>
    <w:p w14:paraId="3A8BB493" w14:textId="77777777" w:rsidR="00D60186" w:rsidRPr="00225D4D" w:rsidRDefault="00D60186" w:rsidP="00225D4D">
      <w:pPr>
        <w:pStyle w:val="avsnitt-undertittel"/>
      </w:pPr>
      <w:r w:rsidRPr="00225D4D">
        <w:t>Vedtak 17, 12. november 2024</w:t>
      </w:r>
    </w:p>
    <w:p w14:paraId="1C9B494A" w14:textId="77777777" w:rsidR="00D60186" w:rsidRPr="00225D4D" w:rsidRDefault="00D60186" w:rsidP="00225D4D">
      <w:pPr>
        <w:pStyle w:val="blokksit"/>
        <w:rPr>
          <w:rStyle w:val="kursiv"/>
        </w:rPr>
      </w:pPr>
      <w:r w:rsidRPr="00225D4D">
        <w:rPr>
          <w:rStyle w:val="kursiv"/>
        </w:rPr>
        <w:t>«Stortinget ber regjeringen gjennomgå status for aktive, lokale språk- og kulturarenaer for urfolk og nasjonale minoriteter og vurdere hva som er nødvendig for å sikre slike arenaer stabil drift over tid.»</w:t>
      </w:r>
    </w:p>
    <w:p w14:paraId="0C576637" w14:textId="77777777" w:rsidR="00D60186" w:rsidRPr="00225D4D" w:rsidRDefault="00D60186" w:rsidP="00225D4D">
      <w:r w:rsidRPr="00225D4D">
        <w:t xml:space="preserve">Dokumenta som ligg til grunn for vedtaket er Dokument 19 (2022–2023) </w:t>
      </w:r>
      <w:r w:rsidRPr="00225D4D">
        <w:rPr>
          <w:rStyle w:val="kursiv"/>
        </w:rPr>
        <w:t>Rapport til Stortinget fra Sannhets- og forsoningskommisjonen</w:t>
      </w:r>
      <w:r w:rsidRPr="00225D4D">
        <w:t xml:space="preserve"> og </w:t>
      </w:r>
      <w:proofErr w:type="spellStart"/>
      <w:r w:rsidRPr="00225D4D">
        <w:t>Innst</w:t>
      </w:r>
      <w:proofErr w:type="spellEnd"/>
      <w:r w:rsidRPr="00225D4D">
        <w:t>. 30 S (2024–2025).</w:t>
      </w:r>
    </w:p>
    <w:p w14:paraId="0FF906A7" w14:textId="77777777" w:rsidR="00D60186" w:rsidRPr="00225D4D" w:rsidRDefault="00D60186" w:rsidP="00225D4D">
      <w:r w:rsidRPr="00225D4D">
        <w:t>Departementet har sett i gang arbeidet med å gjennomgå status for kultur- og språkarenaer og foreslår på denne bakgrunn at rapporteringa blir avslutta.</w:t>
      </w:r>
    </w:p>
    <w:p w14:paraId="5F80F0C2" w14:textId="77777777" w:rsidR="00D60186" w:rsidRPr="00225D4D" w:rsidRDefault="00D60186" w:rsidP="00225D4D">
      <w:pPr>
        <w:pStyle w:val="avsnitt-tittel"/>
      </w:pPr>
      <w:r w:rsidRPr="00225D4D">
        <w:t xml:space="preserve">Sannings- og forsoningskommisjonen – økonomiske rammer for </w:t>
      </w:r>
      <w:proofErr w:type="spellStart"/>
      <w:r w:rsidRPr="00225D4D">
        <w:t>kommunar</w:t>
      </w:r>
      <w:proofErr w:type="spellEnd"/>
      <w:r w:rsidRPr="00225D4D">
        <w:t xml:space="preserve"> og </w:t>
      </w:r>
      <w:proofErr w:type="spellStart"/>
      <w:r w:rsidRPr="00225D4D">
        <w:t>fylkeskommunar</w:t>
      </w:r>
      <w:proofErr w:type="spellEnd"/>
    </w:p>
    <w:p w14:paraId="70A1363D" w14:textId="77777777" w:rsidR="00D60186" w:rsidRPr="00225D4D" w:rsidRDefault="00D60186" w:rsidP="00225D4D">
      <w:pPr>
        <w:pStyle w:val="avsnitt-undertittel"/>
      </w:pPr>
      <w:r w:rsidRPr="00225D4D">
        <w:t>Vedtak 19, 12. november 2024</w:t>
      </w:r>
    </w:p>
    <w:p w14:paraId="73AAB459" w14:textId="77777777" w:rsidR="00D60186" w:rsidRPr="00225D4D" w:rsidRDefault="00D60186" w:rsidP="00225D4D">
      <w:pPr>
        <w:pStyle w:val="blokksit"/>
        <w:rPr>
          <w:rStyle w:val="kursiv"/>
        </w:rPr>
      </w:pPr>
      <w:r w:rsidRPr="00225D4D">
        <w:rPr>
          <w:rStyle w:val="kursiv"/>
        </w:rPr>
        <w:t>«Stortinget ber regjeringen se på de økonomiske rammene for kommuner og fylkeskommuner sitt ansvar for språkutvikling.»</w:t>
      </w:r>
    </w:p>
    <w:p w14:paraId="76D5B3A3" w14:textId="77777777" w:rsidR="00D60186" w:rsidRPr="00225D4D" w:rsidRDefault="00D60186" w:rsidP="00225D4D">
      <w:r w:rsidRPr="00225D4D">
        <w:t xml:space="preserve">Dokumenta som ligg til grunn for vedtaket er Dokument 19 (2022–2023) </w:t>
      </w:r>
      <w:r w:rsidRPr="00225D4D">
        <w:rPr>
          <w:rStyle w:val="kursiv"/>
        </w:rPr>
        <w:t>Rapport til Stortinget fra Sannhets- og forsoningskommisjonen</w:t>
      </w:r>
      <w:r w:rsidRPr="00225D4D">
        <w:t xml:space="preserve"> og </w:t>
      </w:r>
      <w:proofErr w:type="spellStart"/>
      <w:r w:rsidRPr="00225D4D">
        <w:t>Innst</w:t>
      </w:r>
      <w:proofErr w:type="spellEnd"/>
      <w:r w:rsidRPr="00225D4D">
        <w:t>. 30 S (2024–2025).</w:t>
      </w:r>
    </w:p>
    <w:p w14:paraId="7F597769" w14:textId="77777777" w:rsidR="00D60186" w:rsidRPr="00225D4D" w:rsidRDefault="00D60186" w:rsidP="00225D4D">
      <w:r w:rsidRPr="00225D4D">
        <w:t xml:space="preserve">Departementet vil sjå på </w:t>
      </w:r>
      <w:proofErr w:type="spellStart"/>
      <w:r w:rsidRPr="00225D4D">
        <w:t>dei</w:t>
      </w:r>
      <w:proofErr w:type="spellEnd"/>
      <w:r w:rsidRPr="00225D4D">
        <w:t xml:space="preserve"> økonomiske </w:t>
      </w:r>
      <w:proofErr w:type="spellStart"/>
      <w:r w:rsidRPr="00225D4D">
        <w:t>føresetnadene</w:t>
      </w:r>
      <w:proofErr w:type="spellEnd"/>
      <w:r w:rsidRPr="00225D4D">
        <w:t xml:space="preserve"> </w:t>
      </w:r>
      <w:proofErr w:type="spellStart"/>
      <w:r w:rsidRPr="00225D4D">
        <w:t>kommunar</w:t>
      </w:r>
      <w:proofErr w:type="spellEnd"/>
      <w:r w:rsidRPr="00225D4D">
        <w:t xml:space="preserve"> og </w:t>
      </w:r>
      <w:proofErr w:type="spellStart"/>
      <w:r w:rsidRPr="00225D4D">
        <w:t>fylkeskommunar</w:t>
      </w:r>
      <w:proofErr w:type="spellEnd"/>
      <w:r w:rsidRPr="00225D4D">
        <w:t xml:space="preserve"> har for å ivareta språkutvikling og foreslår på denne bakgrunn at rapporteringa blir avslutta.</w:t>
      </w:r>
    </w:p>
    <w:p w14:paraId="2646F972" w14:textId="77777777" w:rsidR="00D60186" w:rsidRPr="00225D4D" w:rsidRDefault="00D60186" w:rsidP="00225D4D">
      <w:pPr>
        <w:pStyle w:val="avsnitt-tittel"/>
      </w:pPr>
      <w:r w:rsidRPr="00225D4D">
        <w:t xml:space="preserve">Sannings- og forsoningskommisjonen – </w:t>
      </w:r>
      <w:proofErr w:type="spellStart"/>
      <w:r w:rsidRPr="00225D4D">
        <w:t>offentleg</w:t>
      </w:r>
      <w:proofErr w:type="spellEnd"/>
      <w:r w:rsidRPr="00225D4D">
        <w:t xml:space="preserve"> tilsette sin kunnskap</w:t>
      </w:r>
    </w:p>
    <w:p w14:paraId="0BDC5F76" w14:textId="77777777" w:rsidR="00D60186" w:rsidRPr="00225D4D" w:rsidRDefault="00D60186" w:rsidP="00225D4D">
      <w:pPr>
        <w:pStyle w:val="avsnitt-undertittel"/>
      </w:pPr>
      <w:r w:rsidRPr="00225D4D">
        <w:t>Vedtak 28, 12. november 2024</w:t>
      </w:r>
    </w:p>
    <w:p w14:paraId="2046EB90" w14:textId="77777777" w:rsidR="00D60186" w:rsidRPr="00225D4D" w:rsidRDefault="00D60186" w:rsidP="00225D4D">
      <w:pPr>
        <w:pStyle w:val="blokksit"/>
        <w:rPr>
          <w:rStyle w:val="kursiv"/>
        </w:rPr>
      </w:pPr>
      <w:r w:rsidRPr="00225D4D">
        <w:rPr>
          <w:rStyle w:val="kursiv"/>
        </w:rPr>
        <w:t>«Stortinget ber regjeringen ta ansvar for en planmessig oppdatering av offentlig ansattes kunnskap om urfolks og nasjonale minoriteters rettigheter, språk, kultur og tradisjoner.»</w:t>
      </w:r>
    </w:p>
    <w:p w14:paraId="5BC7C7E8" w14:textId="77777777" w:rsidR="00D60186" w:rsidRPr="00225D4D" w:rsidRDefault="00D60186" w:rsidP="00225D4D">
      <w:r w:rsidRPr="00225D4D">
        <w:t xml:space="preserve">Dokumenta som ligg til grunn for vedtaket er Dokument 19 (2022–2023) </w:t>
      </w:r>
      <w:r w:rsidRPr="00225D4D">
        <w:rPr>
          <w:rStyle w:val="kursiv"/>
        </w:rPr>
        <w:t>Rapport til Stortinget fra Sannhets- og forsoningskommisjonen</w:t>
      </w:r>
      <w:r w:rsidRPr="00225D4D">
        <w:t xml:space="preserve"> og </w:t>
      </w:r>
      <w:proofErr w:type="spellStart"/>
      <w:r w:rsidRPr="00225D4D">
        <w:t>Innst</w:t>
      </w:r>
      <w:proofErr w:type="spellEnd"/>
      <w:r w:rsidRPr="00225D4D">
        <w:t>. 30 S (2024–2025).</w:t>
      </w:r>
    </w:p>
    <w:p w14:paraId="1A4CEBE5" w14:textId="13380835" w:rsidR="00D60186" w:rsidRPr="00225D4D" w:rsidRDefault="00D60186" w:rsidP="00225D4D">
      <w:r w:rsidRPr="00225D4D">
        <w:t xml:space="preserve">Departementet har </w:t>
      </w:r>
      <w:proofErr w:type="spellStart"/>
      <w:r w:rsidRPr="00225D4D">
        <w:t>eit</w:t>
      </w:r>
      <w:proofErr w:type="spellEnd"/>
      <w:r w:rsidRPr="00225D4D">
        <w:t xml:space="preserve"> e-læringsprogram for </w:t>
      </w:r>
      <w:proofErr w:type="spellStart"/>
      <w:r w:rsidRPr="00225D4D">
        <w:t>offentleg</w:t>
      </w:r>
      <w:proofErr w:type="spellEnd"/>
      <w:r w:rsidRPr="00225D4D">
        <w:t xml:space="preserve"> tilsette om </w:t>
      </w:r>
      <w:proofErr w:type="spellStart"/>
      <w:r w:rsidRPr="00225D4D">
        <w:t>samar</w:t>
      </w:r>
      <w:proofErr w:type="spellEnd"/>
      <w:r w:rsidRPr="00225D4D">
        <w:t xml:space="preserve"> og nasjonale </w:t>
      </w:r>
      <w:proofErr w:type="spellStart"/>
      <w:r w:rsidRPr="00225D4D">
        <w:t>minoritetar</w:t>
      </w:r>
      <w:proofErr w:type="spellEnd"/>
      <w:r w:rsidRPr="00225D4D">
        <w:t xml:space="preserve">, sist oppdatert i 2024. Departementet vil sjå på andre </w:t>
      </w:r>
      <w:proofErr w:type="spellStart"/>
      <w:r w:rsidRPr="00225D4D">
        <w:t>måtar</w:t>
      </w:r>
      <w:proofErr w:type="spellEnd"/>
      <w:r w:rsidRPr="00225D4D">
        <w:t xml:space="preserve"> å nå ut med informasjon om e</w:t>
      </w:r>
      <w:r w:rsidR="00225D4D">
        <w:t>-</w:t>
      </w:r>
      <w:r w:rsidRPr="00225D4D">
        <w:t xml:space="preserve">læringsprogrammet, i tillegg til å vurdere andre tiltak for å </w:t>
      </w:r>
      <w:proofErr w:type="spellStart"/>
      <w:r w:rsidRPr="00225D4D">
        <w:t>spreie</w:t>
      </w:r>
      <w:proofErr w:type="spellEnd"/>
      <w:r w:rsidRPr="00225D4D">
        <w:t xml:space="preserve"> informasjon om gruppene blant </w:t>
      </w:r>
      <w:proofErr w:type="spellStart"/>
      <w:r w:rsidRPr="00225D4D">
        <w:t>offentlege</w:t>
      </w:r>
      <w:proofErr w:type="spellEnd"/>
      <w:r w:rsidRPr="00225D4D">
        <w:t xml:space="preserve"> tilsette.</w:t>
      </w:r>
    </w:p>
    <w:p w14:paraId="14027727" w14:textId="77777777" w:rsidR="00D60186" w:rsidRPr="00225D4D" w:rsidRDefault="00D60186" w:rsidP="00225D4D">
      <w:r w:rsidRPr="00225D4D">
        <w:t xml:space="preserve">Departementet arbeider med å revidere </w:t>
      </w:r>
      <w:proofErr w:type="spellStart"/>
      <w:r w:rsidRPr="00225D4D">
        <w:t>rettleiar</w:t>
      </w:r>
      <w:proofErr w:type="spellEnd"/>
      <w:r w:rsidRPr="00225D4D">
        <w:t xml:space="preserve"> for </w:t>
      </w:r>
      <w:proofErr w:type="spellStart"/>
      <w:r w:rsidRPr="00225D4D">
        <w:t>kommunar</w:t>
      </w:r>
      <w:proofErr w:type="spellEnd"/>
      <w:r w:rsidRPr="00225D4D">
        <w:t xml:space="preserve"> og </w:t>
      </w:r>
      <w:proofErr w:type="spellStart"/>
      <w:r w:rsidRPr="00225D4D">
        <w:t>fylkeskommunar</w:t>
      </w:r>
      <w:proofErr w:type="spellEnd"/>
      <w:r w:rsidRPr="00225D4D">
        <w:t xml:space="preserve"> om </w:t>
      </w:r>
      <w:proofErr w:type="spellStart"/>
      <w:r w:rsidRPr="00225D4D">
        <w:t>konsultasjonar</w:t>
      </w:r>
      <w:proofErr w:type="spellEnd"/>
      <w:r w:rsidRPr="00225D4D">
        <w:t xml:space="preserve"> med samiske interesser.</w:t>
      </w:r>
    </w:p>
    <w:p w14:paraId="3DA1C72B" w14:textId="77777777" w:rsidR="00D60186" w:rsidRPr="00225D4D" w:rsidRDefault="00D60186" w:rsidP="00225D4D">
      <w:r w:rsidRPr="00225D4D">
        <w:t>Departementet foreslår på denne bakgrunn at rapporteringa blir avslutta.</w:t>
      </w:r>
    </w:p>
    <w:p w14:paraId="026298B6" w14:textId="77777777" w:rsidR="00D60186" w:rsidRPr="00225D4D" w:rsidRDefault="00D60186" w:rsidP="00225D4D">
      <w:pPr>
        <w:pStyle w:val="avsnitt-tittel"/>
      </w:pPr>
      <w:r w:rsidRPr="00225D4D">
        <w:t xml:space="preserve">Sannings- og forsoningskommisjonen – </w:t>
      </w:r>
      <w:proofErr w:type="spellStart"/>
      <w:r w:rsidRPr="00225D4D">
        <w:t>forpliktande</w:t>
      </w:r>
      <w:proofErr w:type="spellEnd"/>
      <w:r w:rsidRPr="00225D4D">
        <w:t xml:space="preserve"> </w:t>
      </w:r>
      <w:proofErr w:type="spellStart"/>
      <w:r w:rsidRPr="00225D4D">
        <w:t>handlingsplanar</w:t>
      </w:r>
      <w:proofErr w:type="spellEnd"/>
    </w:p>
    <w:p w14:paraId="1B893AA9" w14:textId="77777777" w:rsidR="00D60186" w:rsidRPr="00225D4D" w:rsidRDefault="00D60186" w:rsidP="00225D4D">
      <w:pPr>
        <w:pStyle w:val="avsnitt-undertittel"/>
      </w:pPr>
      <w:r w:rsidRPr="00225D4D">
        <w:t>Vedtak 29, 12. november 2024</w:t>
      </w:r>
    </w:p>
    <w:p w14:paraId="7A9C363E" w14:textId="77777777" w:rsidR="00D60186" w:rsidRPr="00225D4D" w:rsidRDefault="00D60186" w:rsidP="00225D4D">
      <w:pPr>
        <w:pStyle w:val="blokksit"/>
        <w:rPr>
          <w:rStyle w:val="kursiv"/>
        </w:rPr>
      </w:pPr>
      <w:r w:rsidRPr="00225D4D">
        <w:rPr>
          <w:rStyle w:val="kursiv"/>
        </w:rPr>
        <w:t>«Stortinget ber regjeringen vurdere effektene av gjeldende virkemiddelapparat og å utforme forpliktende handlingsplaner for å styrke språkene som ble utsatt for fornorsking, med et tilpasset ambisjonsnivå, for henholdsvis levende og utdødde språk.»</w:t>
      </w:r>
    </w:p>
    <w:p w14:paraId="55D9D8FD" w14:textId="77777777" w:rsidR="00D60186" w:rsidRPr="00225D4D" w:rsidRDefault="00D60186" w:rsidP="00225D4D">
      <w:r w:rsidRPr="00225D4D">
        <w:t xml:space="preserve">Dokumenta som ligg til grunn for vedtaket er Dokument 19 (2022–2023) </w:t>
      </w:r>
      <w:r w:rsidRPr="00225D4D">
        <w:rPr>
          <w:rStyle w:val="kursiv"/>
        </w:rPr>
        <w:t>Rapport til Stortinget fra Sannhets- og forsoningskommisjonen</w:t>
      </w:r>
      <w:r w:rsidRPr="00225D4D">
        <w:t xml:space="preserve"> og </w:t>
      </w:r>
      <w:proofErr w:type="spellStart"/>
      <w:r w:rsidRPr="00225D4D">
        <w:t>Innst</w:t>
      </w:r>
      <w:proofErr w:type="spellEnd"/>
      <w:r w:rsidRPr="00225D4D">
        <w:t>. 30 S (2024–2025).</w:t>
      </w:r>
    </w:p>
    <w:p w14:paraId="2166547A" w14:textId="77777777" w:rsidR="00D60186" w:rsidRPr="00225D4D" w:rsidRDefault="00D60186" w:rsidP="00225D4D">
      <w:r w:rsidRPr="00225D4D">
        <w:t xml:space="preserve">Vedtaket er under oppfølging. Departementet har starta arbeidet med </w:t>
      </w:r>
      <w:proofErr w:type="spellStart"/>
      <w:r w:rsidRPr="00225D4D">
        <w:t>ein</w:t>
      </w:r>
      <w:proofErr w:type="spellEnd"/>
      <w:r w:rsidRPr="00225D4D">
        <w:t xml:space="preserve"> handlingsplan for kvensk språk. Det er etablert ei referansegruppe med </w:t>
      </w:r>
      <w:proofErr w:type="spellStart"/>
      <w:r w:rsidRPr="00225D4D">
        <w:t>representantar</w:t>
      </w:r>
      <w:proofErr w:type="spellEnd"/>
      <w:r w:rsidRPr="00225D4D">
        <w:t xml:space="preserve"> </w:t>
      </w:r>
      <w:proofErr w:type="spellStart"/>
      <w:r w:rsidRPr="00225D4D">
        <w:t>frå</w:t>
      </w:r>
      <w:proofErr w:type="spellEnd"/>
      <w:r w:rsidRPr="00225D4D">
        <w:t xml:space="preserve"> kvenske </w:t>
      </w:r>
      <w:proofErr w:type="spellStart"/>
      <w:r w:rsidRPr="00225D4D">
        <w:t>organisasjonar</w:t>
      </w:r>
      <w:proofErr w:type="spellEnd"/>
      <w:r w:rsidRPr="00225D4D">
        <w:t xml:space="preserve"> og </w:t>
      </w:r>
      <w:proofErr w:type="spellStart"/>
      <w:r w:rsidRPr="00225D4D">
        <w:t>institusjonar</w:t>
      </w:r>
      <w:proofErr w:type="spellEnd"/>
      <w:r w:rsidRPr="00225D4D">
        <w:t xml:space="preserve"> og ei samarbeidsgruppe med </w:t>
      </w:r>
      <w:proofErr w:type="spellStart"/>
      <w:r w:rsidRPr="00225D4D">
        <w:t>deltakarar</w:t>
      </w:r>
      <w:proofErr w:type="spellEnd"/>
      <w:r w:rsidRPr="00225D4D">
        <w:t xml:space="preserve"> </w:t>
      </w:r>
      <w:proofErr w:type="spellStart"/>
      <w:r w:rsidRPr="00225D4D">
        <w:t>frå</w:t>
      </w:r>
      <w:proofErr w:type="spellEnd"/>
      <w:r w:rsidRPr="00225D4D">
        <w:t xml:space="preserve"> relevante departement og </w:t>
      </w:r>
      <w:proofErr w:type="spellStart"/>
      <w:r w:rsidRPr="00225D4D">
        <w:t>etatar</w:t>
      </w:r>
      <w:proofErr w:type="spellEnd"/>
      <w:r w:rsidRPr="00225D4D">
        <w:t xml:space="preserve">. Det er </w:t>
      </w:r>
      <w:proofErr w:type="spellStart"/>
      <w:r w:rsidRPr="00225D4D">
        <w:t>enno</w:t>
      </w:r>
      <w:proofErr w:type="spellEnd"/>
      <w:r w:rsidRPr="00225D4D">
        <w:t xml:space="preserve"> </w:t>
      </w:r>
      <w:proofErr w:type="spellStart"/>
      <w:r w:rsidRPr="00225D4D">
        <w:t>ikkje</w:t>
      </w:r>
      <w:proofErr w:type="spellEnd"/>
      <w:r w:rsidRPr="00225D4D">
        <w:t xml:space="preserve"> sett dato for når handlingsplanen skal </w:t>
      </w:r>
      <w:proofErr w:type="spellStart"/>
      <w:r w:rsidRPr="00225D4D">
        <w:t>vere</w:t>
      </w:r>
      <w:proofErr w:type="spellEnd"/>
      <w:r w:rsidRPr="00225D4D">
        <w:t xml:space="preserve"> ferdig.</w:t>
      </w:r>
    </w:p>
    <w:p w14:paraId="6DC39BBE" w14:textId="77777777" w:rsidR="00D60186" w:rsidRPr="00225D4D" w:rsidRDefault="00D60186" w:rsidP="00225D4D">
      <w:r w:rsidRPr="00225D4D">
        <w:t xml:space="preserve">Departementet har starta arbeidet med </w:t>
      </w:r>
      <w:proofErr w:type="spellStart"/>
      <w:r w:rsidRPr="00225D4D">
        <w:t>ein</w:t>
      </w:r>
      <w:proofErr w:type="spellEnd"/>
      <w:r w:rsidRPr="00225D4D">
        <w:t xml:space="preserve"> handlingsplan for skogfinsk kulturarv med </w:t>
      </w:r>
      <w:proofErr w:type="spellStart"/>
      <w:r w:rsidRPr="00225D4D">
        <w:t>språklege</w:t>
      </w:r>
      <w:proofErr w:type="spellEnd"/>
      <w:r w:rsidRPr="00225D4D">
        <w:t xml:space="preserve"> element </w:t>
      </w:r>
      <w:proofErr w:type="spellStart"/>
      <w:r w:rsidRPr="00225D4D">
        <w:t>hausten</w:t>
      </w:r>
      <w:proofErr w:type="spellEnd"/>
      <w:r w:rsidRPr="00225D4D">
        <w:t xml:space="preserve"> 2025. Det er etablert ei referansegruppe med </w:t>
      </w:r>
      <w:proofErr w:type="spellStart"/>
      <w:r w:rsidRPr="00225D4D">
        <w:t>representantar</w:t>
      </w:r>
      <w:proofErr w:type="spellEnd"/>
      <w:r w:rsidRPr="00225D4D">
        <w:t xml:space="preserve"> </w:t>
      </w:r>
      <w:proofErr w:type="spellStart"/>
      <w:r w:rsidRPr="00225D4D">
        <w:t>frå</w:t>
      </w:r>
      <w:proofErr w:type="spellEnd"/>
      <w:r w:rsidRPr="00225D4D">
        <w:t xml:space="preserve"> </w:t>
      </w:r>
      <w:proofErr w:type="spellStart"/>
      <w:r w:rsidRPr="00225D4D">
        <w:t>dei</w:t>
      </w:r>
      <w:proofErr w:type="spellEnd"/>
      <w:r w:rsidRPr="00225D4D">
        <w:t xml:space="preserve"> skogfinske </w:t>
      </w:r>
      <w:proofErr w:type="spellStart"/>
      <w:r w:rsidRPr="00225D4D">
        <w:t>organisasjonane</w:t>
      </w:r>
      <w:proofErr w:type="spellEnd"/>
      <w:r w:rsidRPr="00225D4D">
        <w:t xml:space="preserve"> og </w:t>
      </w:r>
      <w:proofErr w:type="spellStart"/>
      <w:r w:rsidRPr="00225D4D">
        <w:t>institusjonane</w:t>
      </w:r>
      <w:proofErr w:type="spellEnd"/>
      <w:r w:rsidRPr="00225D4D">
        <w:t xml:space="preserve">, og ei samarbeidsgruppe med </w:t>
      </w:r>
      <w:proofErr w:type="spellStart"/>
      <w:r w:rsidRPr="00225D4D">
        <w:t>deltakarar</w:t>
      </w:r>
      <w:proofErr w:type="spellEnd"/>
      <w:r w:rsidRPr="00225D4D">
        <w:t xml:space="preserve"> </w:t>
      </w:r>
      <w:proofErr w:type="spellStart"/>
      <w:r w:rsidRPr="00225D4D">
        <w:t>frå</w:t>
      </w:r>
      <w:proofErr w:type="spellEnd"/>
      <w:r w:rsidRPr="00225D4D">
        <w:t xml:space="preserve"> relevante departement og </w:t>
      </w:r>
      <w:proofErr w:type="spellStart"/>
      <w:r w:rsidRPr="00225D4D">
        <w:t>etatar</w:t>
      </w:r>
      <w:proofErr w:type="spellEnd"/>
      <w:r w:rsidRPr="00225D4D">
        <w:t>.</w:t>
      </w:r>
    </w:p>
    <w:p w14:paraId="043AB68C" w14:textId="77777777" w:rsidR="00D60186" w:rsidRPr="00225D4D" w:rsidRDefault="00D60186" w:rsidP="00225D4D">
      <w:r w:rsidRPr="00225D4D">
        <w:t xml:space="preserve">Departementet har planar om å sette i gang arbeid med </w:t>
      </w:r>
      <w:proofErr w:type="spellStart"/>
      <w:r w:rsidRPr="00225D4D">
        <w:t>handlingsplanar</w:t>
      </w:r>
      <w:proofErr w:type="spellEnd"/>
      <w:r w:rsidRPr="00225D4D">
        <w:t xml:space="preserve"> for </w:t>
      </w:r>
      <w:proofErr w:type="spellStart"/>
      <w:r w:rsidRPr="00225D4D">
        <w:t>dei</w:t>
      </w:r>
      <w:proofErr w:type="spellEnd"/>
      <w:r w:rsidRPr="00225D4D">
        <w:t xml:space="preserve"> samiske språka.</w:t>
      </w:r>
    </w:p>
    <w:p w14:paraId="5B79C956" w14:textId="77777777" w:rsidR="00D60186" w:rsidRPr="00225D4D" w:rsidRDefault="00D60186" w:rsidP="00225D4D">
      <w:pPr>
        <w:pStyle w:val="avsnitt-tittel"/>
      </w:pPr>
      <w:r w:rsidRPr="00225D4D">
        <w:t>Sannings- og forsoningskommisjonen – rapportering om utvikling av kvensk språk</w:t>
      </w:r>
    </w:p>
    <w:p w14:paraId="6A2DD616" w14:textId="77777777" w:rsidR="00D60186" w:rsidRPr="00225D4D" w:rsidRDefault="00D60186" w:rsidP="00225D4D">
      <w:pPr>
        <w:pStyle w:val="avsnitt-undertittel"/>
      </w:pPr>
      <w:r w:rsidRPr="00225D4D">
        <w:t>Vedtak 30, 12. november 2024</w:t>
      </w:r>
    </w:p>
    <w:p w14:paraId="7B7AEEC4" w14:textId="77777777" w:rsidR="00D60186" w:rsidRPr="00225D4D" w:rsidRDefault="00D60186" w:rsidP="00225D4D">
      <w:pPr>
        <w:pStyle w:val="blokksit"/>
        <w:rPr>
          <w:rStyle w:val="kursiv"/>
        </w:rPr>
      </w:pPr>
      <w:r w:rsidRPr="00225D4D">
        <w:rPr>
          <w:rStyle w:val="kursiv"/>
        </w:rPr>
        <w:t>«Stortinget ber regjeringen om en regelmessig rapportering om utviklingen av kvensk språk etter modell av dagens rapportering for de samiske språkene, og en vurdering av hva som er et hensiktsmessig omfang av en slik rapportering.»</w:t>
      </w:r>
    </w:p>
    <w:p w14:paraId="3626E12C" w14:textId="77777777" w:rsidR="00D60186" w:rsidRPr="00225D4D" w:rsidRDefault="00D60186" w:rsidP="00225D4D">
      <w:r w:rsidRPr="00225D4D">
        <w:t xml:space="preserve">Dokumenta som ligg til grunn for vedtaket er Dokument 19 (2022–2023) </w:t>
      </w:r>
      <w:r w:rsidRPr="00225D4D">
        <w:rPr>
          <w:rStyle w:val="kursiv"/>
        </w:rPr>
        <w:t>Rapport til Stortinget fra Sannhets- og forsoningskommisjonen</w:t>
      </w:r>
      <w:r w:rsidRPr="00225D4D">
        <w:t xml:space="preserve"> og </w:t>
      </w:r>
      <w:proofErr w:type="spellStart"/>
      <w:r w:rsidRPr="00225D4D">
        <w:t>Innst</w:t>
      </w:r>
      <w:proofErr w:type="spellEnd"/>
      <w:r w:rsidRPr="00225D4D">
        <w:t>. 30 S (2024–2025).</w:t>
      </w:r>
    </w:p>
    <w:p w14:paraId="0C991427" w14:textId="77777777" w:rsidR="00D60186" w:rsidRPr="00225D4D" w:rsidRDefault="00D60186" w:rsidP="00225D4D">
      <w:r w:rsidRPr="00225D4D">
        <w:t xml:space="preserve">Det er i dag inga regelmessig rapportering om utviklinga av </w:t>
      </w:r>
      <w:proofErr w:type="spellStart"/>
      <w:r w:rsidRPr="00225D4D">
        <w:t>dei</w:t>
      </w:r>
      <w:proofErr w:type="spellEnd"/>
      <w:r w:rsidRPr="00225D4D">
        <w:t xml:space="preserve"> samiske språka som kan brukast som modell for rapportering på kvensk språk. Departementet svarer på dette vedtaket ved å vise til rapporteringa på </w:t>
      </w:r>
      <w:proofErr w:type="spellStart"/>
      <w:r w:rsidRPr="00225D4D">
        <w:t>oppmodningsvedtak</w:t>
      </w:r>
      <w:proofErr w:type="spellEnd"/>
      <w:r w:rsidRPr="00225D4D">
        <w:t xml:space="preserve"> 29.</w:t>
      </w:r>
    </w:p>
    <w:p w14:paraId="67A6D45D" w14:textId="77777777" w:rsidR="00D60186" w:rsidRPr="00225D4D" w:rsidRDefault="00D60186" w:rsidP="00225D4D">
      <w:proofErr w:type="spellStart"/>
      <w:r w:rsidRPr="00225D4D">
        <w:t>Noreg</w:t>
      </w:r>
      <w:proofErr w:type="spellEnd"/>
      <w:r w:rsidRPr="00225D4D">
        <w:t xml:space="preserve"> har ratifisert Den europeiske pakta om regions- eller minoritetsspråk og rapporterer kvart femte år til Europarådet om oppfyllinga av </w:t>
      </w:r>
      <w:proofErr w:type="spellStart"/>
      <w:r w:rsidRPr="00225D4D">
        <w:t>forpliktingane</w:t>
      </w:r>
      <w:proofErr w:type="spellEnd"/>
      <w:r w:rsidRPr="00225D4D">
        <w:t xml:space="preserve">, mellom anna når det </w:t>
      </w:r>
      <w:proofErr w:type="spellStart"/>
      <w:r w:rsidRPr="00225D4D">
        <w:t>gjeld</w:t>
      </w:r>
      <w:proofErr w:type="spellEnd"/>
      <w:r w:rsidRPr="00225D4D">
        <w:t xml:space="preserve"> kvensk språk og </w:t>
      </w:r>
      <w:proofErr w:type="spellStart"/>
      <w:r w:rsidRPr="00225D4D">
        <w:t>dei</w:t>
      </w:r>
      <w:proofErr w:type="spellEnd"/>
      <w:r w:rsidRPr="00225D4D">
        <w:t xml:space="preserve"> samiske språka.</w:t>
      </w:r>
    </w:p>
    <w:p w14:paraId="062DD678" w14:textId="77777777" w:rsidR="00D60186" w:rsidRPr="00225D4D" w:rsidRDefault="00D60186" w:rsidP="00225D4D">
      <w:r w:rsidRPr="00225D4D">
        <w:t>Departementet foreslår på denne bakgrunn at rapporteringa blir avslutta.</w:t>
      </w:r>
    </w:p>
    <w:p w14:paraId="2789758A" w14:textId="77777777" w:rsidR="00D60186" w:rsidRPr="00225D4D" w:rsidRDefault="00D60186" w:rsidP="00225D4D">
      <w:pPr>
        <w:pStyle w:val="avsnitt-tittel"/>
      </w:pPr>
      <w:r w:rsidRPr="00225D4D">
        <w:t>Sannings- og forsoningskommisjonen – rapportering til Stortinget</w:t>
      </w:r>
    </w:p>
    <w:p w14:paraId="5F6EEE98" w14:textId="77777777" w:rsidR="00D60186" w:rsidRPr="00225D4D" w:rsidRDefault="00D60186" w:rsidP="00225D4D">
      <w:pPr>
        <w:pStyle w:val="avsnitt-undertittel"/>
      </w:pPr>
      <w:r w:rsidRPr="00225D4D">
        <w:t>Vedtak 31, 12. november 2024</w:t>
      </w:r>
    </w:p>
    <w:p w14:paraId="3DC437A7" w14:textId="77777777" w:rsidR="00D60186" w:rsidRPr="00225D4D" w:rsidRDefault="00D60186" w:rsidP="00225D4D">
      <w:pPr>
        <w:pStyle w:val="blokksit"/>
        <w:rPr>
          <w:rStyle w:val="kursiv"/>
        </w:rPr>
      </w:pPr>
      <w:r w:rsidRPr="00225D4D">
        <w:rPr>
          <w:rStyle w:val="kursiv"/>
        </w:rPr>
        <w:t>«Stortinget ber regjeringen melde tilbake til Stortinget ved fremleggelse av budsjettet hvert år om hvordan arbeidet overfor urfolk og nasjonale minoriteter følges opp i de respektive departementers ansvarsområder. Det skal i tillegg legges frem en helhetlig melding om forsoningspolitikken og status i oppfølgingsarbeidet. Meldingen legges fram for Stortinget en gang i hver stortingsperiode, første gang i 2027.»</w:t>
      </w:r>
    </w:p>
    <w:p w14:paraId="2B97D3DE" w14:textId="77777777" w:rsidR="00D60186" w:rsidRPr="00225D4D" w:rsidRDefault="00D60186" w:rsidP="00225D4D">
      <w:r w:rsidRPr="00225D4D">
        <w:t xml:space="preserve">Dokumenta som ligg til grunn for vedtaket er Dokument 19 (2022–2023) </w:t>
      </w:r>
      <w:r w:rsidRPr="00225D4D">
        <w:rPr>
          <w:rStyle w:val="kursiv"/>
        </w:rPr>
        <w:t>Rapport til Stortinget fra Sannhets- og forsoningskommisjonen</w:t>
      </w:r>
      <w:r w:rsidRPr="00225D4D">
        <w:t xml:space="preserve"> og </w:t>
      </w:r>
      <w:proofErr w:type="spellStart"/>
      <w:r w:rsidRPr="00225D4D">
        <w:t>Innst</w:t>
      </w:r>
      <w:proofErr w:type="spellEnd"/>
      <w:r w:rsidRPr="00225D4D">
        <w:t>. 30 S (2024–2025).</w:t>
      </w:r>
    </w:p>
    <w:p w14:paraId="7AA7A916" w14:textId="77777777" w:rsidR="00D60186" w:rsidRPr="00225D4D" w:rsidRDefault="00D60186" w:rsidP="00225D4D">
      <w:r w:rsidRPr="00225D4D">
        <w:t xml:space="preserve">Regjeringa sin politikk overfor </w:t>
      </w:r>
      <w:proofErr w:type="spellStart"/>
      <w:r w:rsidRPr="00225D4D">
        <w:t>samar</w:t>
      </w:r>
      <w:proofErr w:type="spellEnd"/>
      <w:r w:rsidRPr="00225D4D">
        <w:t xml:space="preserve"> og nasjonale </w:t>
      </w:r>
      <w:proofErr w:type="spellStart"/>
      <w:r w:rsidRPr="00225D4D">
        <w:t>minoritetar</w:t>
      </w:r>
      <w:proofErr w:type="spellEnd"/>
      <w:r w:rsidRPr="00225D4D">
        <w:t xml:space="preserve"> og oppfølginga av </w:t>
      </w:r>
      <w:proofErr w:type="spellStart"/>
      <w:r w:rsidRPr="00225D4D">
        <w:t>oppmodningsvedtaka</w:t>
      </w:r>
      <w:proofErr w:type="spellEnd"/>
      <w:r w:rsidRPr="00225D4D">
        <w:t xml:space="preserve"> går fram av </w:t>
      </w:r>
      <w:proofErr w:type="spellStart"/>
      <w:r w:rsidRPr="00225D4D">
        <w:t>dei</w:t>
      </w:r>
      <w:proofErr w:type="spellEnd"/>
      <w:r w:rsidRPr="00225D4D">
        <w:t xml:space="preserve"> </w:t>
      </w:r>
      <w:proofErr w:type="spellStart"/>
      <w:r w:rsidRPr="00225D4D">
        <w:t>årlege</w:t>
      </w:r>
      <w:proofErr w:type="spellEnd"/>
      <w:r w:rsidRPr="00225D4D">
        <w:t xml:space="preserve"> </w:t>
      </w:r>
      <w:proofErr w:type="spellStart"/>
      <w:r w:rsidRPr="00225D4D">
        <w:t>budsjettproposisjonane</w:t>
      </w:r>
      <w:proofErr w:type="spellEnd"/>
      <w:r w:rsidRPr="00225D4D">
        <w:t xml:space="preserve"> til departementa. Kommunal- og </w:t>
      </w:r>
      <w:proofErr w:type="spellStart"/>
      <w:r w:rsidRPr="00225D4D">
        <w:t>distriktsdepartementet</w:t>
      </w:r>
      <w:proofErr w:type="spellEnd"/>
      <w:r w:rsidRPr="00225D4D">
        <w:t xml:space="preserve"> har òg </w:t>
      </w:r>
      <w:proofErr w:type="spellStart"/>
      <w:r w:rsidRPr="00225D4D">
        <w:t>samanfatta</w:t>
      </w:r>
      <w:proofErr w:type="spellEnd"/>
      <w:r w:rsidRPr="00225D4D">
        <w:t xml:space="preserve"> rapportering på oppmodingsvedtaka i oppfølginga av Sannings- og forsoningskommisjonens rapport, i del III Omtale av </w:t>
      </w:r>
      <w:proofErr w:type="spellStart"/>
      <w:r w:rsidRPr="00225D4D">
        <w:t>særlege</w:t>
      </w:r>
      <w:proofErr w:type="spellEnd"/>
      <w:r w:rsidRPr="00225D4D">
        <w:t xml:space="preserve"> tema.</w:t>
      </w:r>
    </w:p>
    <w:p w14:paraId="0D0EAF1A" w14:textId="77777777" w:rsidR="00D60186" w:rsidRPr="00225D4D" w:rsidRDefault="00D60186" w:rsidP="00225D4D">
      <w:r w:rsidRPr="00225D4D">
        <w:t xml:space="preserve">Kommunal- og </w:t>
      </w:r>
      <w:proofErr w:type="spellStart"/>
      <w:r w:rsidRPr="00225D4D">
        <w:t>distriktsdepartementet</w:t>
      </w:r>
      <w:proofErr w:type="spellEnd"/>
      <w:r w:rsidRPr="00225D4D">
        <w:t xml:space="preserve"> vil starte arbeidet med ei stortingsmelding om forsoning og status for oppfølginga </w:t>
      </w:r>
      <w:proofErr w:type="spellStart"/>
      <w:r w:rsidRPr="00225D4D">
        <w:t>oppmodningsvedtaka</w:t>
      </w:r>
      <w:proofErr w:type="spellEnd"/>
      <w:r w:rsidRPr="00225D4D">
        <w:t xml:space="preserve"> på nyåret 2026, slik at meldinga kan </w:t>
      </w:r>
      <w:proofErr w:type="spellStart"/>
      <w:r w:rsidRPr="00225D4D">
        <w:t>leggast</w:t>
      </w:r>
      <w:proofErr w:type="spellEnd"/>
      <w:r w:rsidRPr="00225D4D">
        <w:t xml:space="preserve"> fram i 2027.</w:t>
      </w:r>
    </w:p>
    <w:p w14:paraId="07602089" w14:textId="77777777" w:rsidR="00D60186" w:rsidRPr="00225D4D" w:rsidRDefault="00D60186" w:rsidP="00225D4D">
      <w:r w:rsidRPr="00225D4D">
        <w:t>Departementet foreslår på denne bakgrunn at rapporteringa blir avslutta.</w:t>
      </w:r>
    </w:p>
    <w:p w14:paraId="0DCCE211" w14:textId="77777777" w:rsidR="00D60186" w:rsidRPr="00225D4D" w:rsidRDefault="00D60186" w:rsidP="00225D4D">
      <w:pPr>
        <w:pStyle w:val="avsnitt-tittel"/>
      </w:pPr>
      <w:proofErr w:type="spellStart"/>
      <w:r w:rsidRPr="00225D4D">
        <w:t>Distriktstilskot</w:t>
      </w:r>
      <w:proofErr w:type="spellEnd"/>
      <w:r w:rsidRPr="00225D4D">
        <w:t xml:space="preserve"> for </w:t>
      </w:r>
      <w:proofErr w:type="spellStart"/>
      <w:r w:rsidRPr="00225D4D">
        <w:t>kommunar</w:t>
      </w:r>
      <w:proofErr w:type="spellEnd"/>
      <w:r w:rsidRPr="00225D4D">
        <w:t xml:space="preserve"> i innsatssonen i Nord-Troms</w:t>
      </w:r>
    </w:p>
    <w:p w14:paraId="080965CB" w14:textId="77777777" w:rsidR="00D60186" w:rsidRPr="00225D4D" w:rsidRDefault="00D60186" w:rsidP="00225D4D">
      <w:pPr>
        <w:pStyle w:val="avsnitt-undertittel"/>
      </w:pPr>
      <w:r w:rsidRPr="00225D4D">
        <w:t>Vedtak 89, 5. desember 2024</w:t>
      </w:r>
    </w:p>
    <w:p w14:paraId="6B92D863" w14:textId="77777777" w:rsidR="00D60186" w:rsidRPr="00225D4D" w:rsidRDefault="00D60186" w:rsidP="00225D4D">
      <w:pPr>
        <w:pStyle w:val="blokksit"/>
        <w:rPr>
          <w:rStyle w:val="kursiv"/>
        </w:rPr>
      </w:pPr>
      <w:r w:rsidRPr="00225D4D">
        <w:rPr>
          <w:rStyle w:val="kursiv"/>
        </w:rPr>
        <w:t>«Stortinget ber regjeringen i kommuneproposisjonen for 2026 utrede behovet for at kommuner i innsatssonen i Nord-Troms skal få distriktstilskudd Nord-Norge mer lik satsene i Finnmark.»</w:t>
      </w:r>
    </w:p>
    <w:p w14:paraId="7B843E47"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 S (2024–2025) </w:t>
      </w:r>
      <w:r w:rsidRPr="00225D4D">
        <w:rPr>
          <w:rStyle w:val="kursiv"/>
        </w:rPr>
        <w:t xml:space="preserve">Statsbudsjettet 2025 </w:t>
      </w:r>
      <w:r w:rsidRPr="00225D4D">
        <w:t xml:space="preserve">og </w:t>
      </w:r>
      <w:proofErr w:type="spellStart"/>
      <w:r w:rsidRPr="00225D4D">
        <w:t>Innst</w:t>
      </w:r>
      <w:proofErr w:type="spellEnd"/>
      <w:r w:rsidRPr="00225D4D">
        <w:t>. 2 S (2024–2025).</w:t>
      </w:r>
    </w:p>
    <w:p w14:paraId="1B5634CA"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oppmodingsvedtaket er </w:t>
      </w:r>
      <w:proofErr w:type="spellStart"/>
      <w:r w:rsidRPr="00225D4D">
        <w:t>følgt</w:t>
      </w:r>
      <w:proofErr w:type="spellEnd"/>
      <w:r w:rsidRPr="00225D4D">
        <w:t xml:space="preserve"> opp gjennom </w:t>
      </w:r>
      <w:proofErr w:type="spellStart"/>
      <w:r w:rsidRPr="00225D4D">
        <w:t>vurderingane</w:t>
      </w:r>
      <w:proofErr w:type="spellEnd"/>
      <w:r w:rsidRPr="00225D4D">
        <w:t xml:space="preserve"> i </w:t>
      </w:r>
      <w:proofErr w:type="spellStart"/>
      <w:r w:rsidRPr="00225D4D">
        <w:t>Prop</w:t>
      </w:r>
      <w:proofErr w:type="spellEnd"/>
      <w:r w:rsidRPr="00225D4D">
        <w:t xml:space="preserve">. 142 S (2024–2025) </w:t>
      </w:r>
      <w:r w:rsidRPr="00225D4D">
        <w:rPr>
          <w:rStyle w:val="kursiv"/>
        </w:rPr>
        <w:t>Kommuneproposisjonen 2026</w:t>
      </w:r>
      <w:r w:rsidRPr="00225D4D">
        <w:t xml:space="preserve">, kap. 3.1.2, der det </w:t>
      </w:r>
      <w:proofErr w:type="spellStart"/>
      <w:r w:rsidRPr="00225D4D">
        <w:t>vart</w:t>
      </w:r>
      <w:proofErr w:type="spellEnd"/>
      <w:r w:rsidRPr="00225D4D">
        <w:t xml:space="preserve"> foreslått å </w:t>
      </w:r>
      <w:proofErr w:type="spellStart"/>
      <w:r w:rsidRPr="00225D4D">
        <w:t>ikkje</w:t>
      </w:r>
      <w:proofErr w:type="spellEnd"/>
      <w:r w:rsidRPr="00225D4D">
        <w:t xml:space="preserve"> endre </w:t>
      </w:r>
      <w:proofErr w:type="spellStart"/>
      <w:r w:rsidRPr="00225D4D">
        <w:t>satsane</w:t>
      </w:r>
      <w:proofErr w:type="spellEnd"/>
      <w:r w:rsidRPr="00225D4D">
        <w:t xml:space="preserve"> for </w:t>
      </w:r>
      <w:proofErr w:type="spellStart"/>
      <w:r w:rsidRPr="00225D4D">
        <w:t>distriktstilskot</w:t>
      </w:r>
      <w:proofErr w:type="spellEnd"/>
      <w:r w:rsidRPr="00225D4D">
        <w:t xml:space="preserve"> Nord-</w:t>
      </w:r>
      <w:proofErr w:type="spellStart"/>
      <w:r w:rsidRPr="00225D4D">
        <w:t>Noreg</w:t>
      </w:r>
      <w:proofErr w:type="spellEnd"/>
      <w:r w:rsidRPr="00225D4D">
        <w:t xml:space="preserve"> for </w:t>
      </w:r>
      <w:proofErr w:type="spellStart"/>
      <w:r w:rsidRPr="00225D4D">
        <w:t>kommunane</w:t>
      </w:r>
      <w:proofErr w:type="spellEnd"/>
      <w:r w:rsidRPr="00225D4D">
        <w:t xml:space="preserve"> i innsatssona i Nord-Troms. </w:t>
      </w:r>
      <w:proofErr w:type="spellStart"/>
      <w:r w:rsidRPr="00225D4D">
        <w:t>Fleirtalet</w:t>
      </w:r>
      <w:proofErr w:type="spellEnd"/>
      <w:r w:rsidRPr="00225D4D">
        <w:t xml:space="preserve"> på Stortinget hadde ingen merknader til dette, jf. </w:t>
      </w:r>
      <w:proofErr w:type="spellStart"/>
      <w:r w:rsidRPr="00225D4D">
        <w:t>Innst</w:t>
      </w:r>
      <w:proofErr w:type="spellEnd"/>
      <w:r w:rsidRPr="00225D4D">
        <w:t>. 532 S (2024–2025).</w:t>
      </w:r>
    </w:p>
    <w:p w14:paraId="5533DAC2"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415C3937" w14:textId="77777777" w:rsidR="00D60186" w:rsidRPr="00225D4D" w:rsidRDefault="00D60186" w:rsidP="00225D4D">
      <w:pPr>
        <w:pStyle w:val="avsnitt-tittel"/>
      </w:pPr>
      <w:proofErr w:type="spellStart"/>
      <w:r w:rsidRPr="00225D4D">
        <w:t>Sjølvkostregelverk</w:t>
      </w:r>
      <w:proofErr w:type="spellEnd"/>
      <w:r w:rsidRPr="00225D4D">
        <w:t>: Forlenge maksimal avskrivingstid</w:t>
      </w:r>
    </w:p>
    <w:p w14:paraId="0A0BCCAC" w14:textId="77777777" w:rsidR="00D60186" w:rsidRPr="00225D4D" w:rsidRDefault="00D60186" w:rsidP="00225D4D">
      <w:pPr>
        <w:pStyle w:val="avsnitt-undertittel"/>
      </w:pPr>
      <w:r w:rsidRPr="00225D4D">
        <w:t>Vedtak 451, 11. februar 2025</w:t>
      </w:r>
    </w:p>
    <w:p w14:paraId="01B7A639" w14:textId="77777777" w:rsidR="00D60186" w:rsidRPr="00225D4D" w:rsidRDefault="00D60186" w:rsidP="00225D4D">
      <w:pPr>
        <w:pStyle w:val="blokksit"/>
        <w:rPr>
          <w:rStyle w:val="kursiv"/>
        </w:rPr>
      </w:pPr>
      <w:r w:rsidRPr="00225D4D">
        <w:rPr>
          <w:rStyle w:val="kursiv"/>
        </w:rPr>
        <w:t>«Stortinget ber regjeringen forlenge maksimal avskrivningstid på renseanlegg, pumpestasjoner, høydebasseng og ledningsnett i forskrift om økonomiplan, årsbudsjett, årsregnskap og årsberetning for kommuner og fylkeskommuner mv. til 80 år i tråd med SØF-rapport nr. 06/24 Selvkost i kommunene – avskrivningstid, kalkylerente og framføringsperiode.»</w:t>
      </w:r>
    </w:p>
    <w:p w14:paraId="7D7093F9"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Anne Kristine Linnestad, Erlend Larsen, Liv Kari Eskeland, Mahmoud </w:t>
      </w:r>
      <w:proofErr w:type="spellStart"/>
      <w:r w:rsidRPr="00225D4D">
        <w:t>Farahmand</w:t>
      </w:r>
      <w:proofErr w:type="spellEnd"/>
      <w:r w:rsidRPr="00225D4D">
        <w:t xml:space="preserve"> og Turid Kristensen om lavere vann- og avløpsgebyr, jf. Dokument 8:21 S og </w:t>
      </w:r>
      <w:proofErr w:type="spellStart"/>
      <w:r w:rsidRPr="00225D4D">
        <w:t>Innst</w:t>
      </w:r>
      <w:proofErr w:type="spellEnd"/>
      <w:r w:rsidRPr="00225D4D">
        <w:t>. 127 S (2024–2025).</w:t>
      </w:r>
    </w:p>
    <w:p w14:paraId="62E9AB4C" w14:textId="77777777" w:rsidR="00D60186" w:rsidRPr="00225D4D" w:rsidRDefault="00D60186" w:rsidP="00225D4D">
      <w:r w:rsidRPr="00225D4D">
        <w:t xml:space="preserve">Kommunal- og </w:t>
      </w:r>
      <w:proofErr w:type="spellStart"/>
      <w:r w:rsidRPr="00225D4D">
        <w:t>distriktsdepartementet</w:t>
      </w:r>
      <w:proofErr w:type="spellEnd"/>
      <w:r w:rsidRPr="00225D4D">
        <w:t xml:space="preserve"> sende 8. mai 2025 ut </w:t>
      </w:r>
      <w:proofErr w:type="spellStart"/>
      <w:r w:rsidRPr="00225D4D">
        <w:t>eit</w:t>
      </w:r>
      <w:proofErr w:type="spellEnd"/>
      <w:r w:rsidRPr="00225D4D">
        <w:t xml:space="preserve"> forslag til </w:t>
      </w:r>
      <w:proofErr w:type="spellStart"/>
      <w:r w:rsidRPr="00225D4D">
        <w:t>endringar</w:t>
      </w:r>
      <w:proofErr w:type="spellEnd"/>
      <w:r w:rsidRPr="00225D4D">
        <w:t xml:space="preserve"> i </w:t>
      </w:r>
      <w:proofErr w:type="spellStart"/>
      <w:r w:rsidRPr="00225D4D">
        <w:t>dei</w:t>
      </w:r>
      <w:proofErr w:type="spellEnd"/>
      <w:r w:rsidRPr="00225D4D">
        <w:t xml:space="preserve"> maksimale avskrivingstidene i budsjett- og </w:t>
      </w:r>
      <w:proofErr w:type="spellStart"/>
      <w:r w:rsidRPr="00225D4D">
        <w:t>rekneskapsforskrifta</w:t>
      </w:r>
      <w:proofErr w:type="spellEnd"/>
      <w:r w:rsidRPr="00225D4D">
        <w:t xml:space="preserve">. </w:t>
      </w:r>
      <w:proofErr w:type="spellStart"/>
      <w:r w:rsidRPr="00225D4D">
        <w:t>Høyringsfristen</w:t>
      </w:r>
      <w:proofErr w:type="spellEnd"/>
      <w:r w:rsidRPr="00225D4D">
        <w:t xml:space="preserve"> var 3. september 2025. Forslaga </w:t>
      </w:r>
      <w:proofErr w:type="spellStart"/>
      <w:r w:rsidRPr="00225D4D">
        <w:t>fekk</w:t>
      </w:r>
      <w:proofErr w:type="spellEnd"/>
      <w:r w:rsidRPr="00225D4D">
        <w:t xml:space="preserve"> god støtte i </w:t>
      </w:r>
      <w:proofErr w:type="spellStart"/>
      <w:r w:rsidRPr="00225D4D">
        <w:t>høyringa</w:t>
      </w:r>
      <w:proofErr w:type="spellEnd"/>
      <w:r w:rsidRPr="00225D4D">
        <w:t xml:space="preserve">. På bakgrunn av dette endra departementet 12. september 2025 forskrifta i tråd med </w:t>
      </w:r>
      <w:proofErr w:type="spellStart"/>
      <w:r w:rsidRPr="00225D4D">
        <w:t>høyringsforslaga</w:t>
      </w:r>
      <w:proofErr w:type="spellEnd"/>
      <w:r w:rsidRPr="00225D4D">
        <w:t xml:space="preserve">. Endringa vil tre i kraft </w:t>
      </w:r>
      <w:proofErr w:type="spellStart"/>
      <w:r w:rsidRPr="00225D4D">
        <w:t>frå</w:t>
      </w:r>
      <w:proofErr w:type="spellEnd"/>
      <w:r w:rsidRPr="00225D4D">
        <w:t xml:space="preserve"> og med budsjett- og </w:t>
      </w:r>
      <w:proofErr w:type="spellStart"/>
      <w:r w:rsidRPr="00225D4D">
        <w:t>rekneskapsåret</w:t>
      </w:r>
      <w:proofErr w:type="spellEnd"/>
      <w:r w:rsidRPr="00225D4D">
        <w:t xml:space="preserve"> 2026.</w:t>
      </w:r>
    </w:p>
    <w:p w14:paraId="395D6C7C" w14:textId="77777777" w:rsidR="00D60186" w:rsidRPr="00225D4D" w:rsidRDefault="00D60186" w:rsidP="00225D4D">
      <w:r w:rsidRPr="00225D4D">
        <w:t xml:space="preserve">Avskrivingstida for </w:t>
      </w:r>
      <w:proofErr w:type="spellStart"/>
      <w:r w:rsidRPr="00225D4D">
        <w:t>leidningsnett</w:t>
      </w:r>
      <w:proofErr w:type="spellEnd"/>
      <w:r w:rsidRPr="00225D4D">
        <w:t xml:space="preserve"> blir endra </w:t>
      </w:r>
      <w:proofErr w:type="spellStart"/>
      <w:r w:rsidRPr="00225D4D">
        <w:t>frå</w:t>
      </w:r>
      <w:proofErr w:type="spellEnd"/>
      <w:r w:rsidRPr="00225D4D">
        <w:t xml:space="preserve"> 40 til 80 år, og det vil gjelde for både </w:t>
      </w:r>
      <w:proofErr w:type="spellStart"/>
      <w:r w:rsidRPr="00225D4D">
        <w:t>tidlegare</w:t>
      </w:r>
      <w:proofErr w:type="spellEnd"/>
      <w:r w:rsidRPr="00225D4D">
        <w:t xml:space="preserve"> og framtidige </w:t>
      </w:r>
      <w:proofErr w:type="spellStart"/>
      <w:r w:rsidRPr="00225D4D">
        <w:t>anskaffingar</w:t>
      </w:r>
      <w:proofErr w:type="spellEnd"/>
      <w:r w:rsidRPr="00225D4D">
        <w:t>.</w:t>
      </w:r>
    </w:p>
    <w:p w14:paraId="50179DC6" w14:textId="77777777" w:rsidR="00D60186" w:rsidRPr="00225D4D" w:rsidRDefault="00D60186" w:rsidP="00225D4D">
      <w:r w:rsidRPr="00225D4D">
        <w:t xml:space="preserve">For </w:t>
      </w:r>
      <w:proofErr w:type="spellStart"/>
      <w:r w:rsidRPr="00225D4D">
        <w:t>reinseanlegg</w:t>
      </w:r>
      <w:proofErr w:type="spellEnd"/>
      <w:r w:rsidRPr="00225D4D">
        <w:t xml:space="preserve">, forbrenningsanlegg, </w:t>
      </w:r>
      <w:proofErr w:type="spellStart"/>
      <w:r w:rsidRPr="00225D4D">
        <w:t>pumpestasjonar</w:t>
      </w:r>
      <w:proofErr w:type="spellEnd"/>
      <w:r w:rsidRPr="00225D4D">
        <w:t xml:space="preserve"> og høgdebasseng blir </w:t>
      </w:r>
      <w:proofErr w:type="spellStart"/>
      <w:r w:rsidRPr="00225D4D">
        <w:t>gjeldande</w:t>
      </w:r>
      <w:proofErr w:type="spellEnd"/>
      <w:r w:rsidRPr="00225D4D">
        <w:t xml:space="preserve"> avskrivingstid på 40 år </w:t>
      </w:r>
      <w:proofErr w:type="spellStart"/>
      <w:r w:rsidRPr="00225D4D">
        <w:t>vidareført</w:t>
      </w:r>
      <w:proofErr w:type="spellEnd"/>
      <w:r w:rsidRPr="00225D4D">
        <w:t xml:space="preserve">. Denne vart endra </w:t>
      </w:r>
      <w:proofErr w:type="spellStart"/>
      <w:r w:rsidRPr="00225D4D">
        <w:t>frå</w:t>
      </w:r>
      <w:proofErr w:type="spellEnd"/>
      <w:r w:rsidRPr="00225D4D">
        <w:t xml:space="preserve"> 20 til 40 år i 2020, men gjaldt då </w:t>
      </w:r>
      <w:proofErr w:type="spellStart"/>
      <w:r w:rsidRPr="00225D4D">
        <w:t>berre</w:t>
      </w:r>
      <w:proofErr w:type="spellEnd"/>
      <w:r w:rsidRPr="00225D4D">
        <w:t xml:space="preserve"> for nye </w:t>
      </w:r>
      <w:proofErr w:type="spellStart"/>
      <w:r w:rsidRPr="00225D4D">
        <w:t>investeringar</w:t>
      </w:r>
      <w:proofErr w:type="spellEnd"/>
      <w:r w:rsidRPr="00225D4D">
        <w:t xml:space="preserve">. No vil òg </w:t>
      </w:r>
      <w:proofErr w:type="spellStart"/>
      <w:r w:rsidRPr="00225D4D">
        <w:t>investeringar</w:t>
      </w:r>
      <w:proofErr w:type="spellEnd"/>
      <w:r w:rsidRPr="00225D4D">
        <w:t xml:space="preserve"> som </w:t>
      </w:r>
      <w:proofErr w:type="spellStart"/>
      <w:r w:rsidRPr="00225D4D">
        <w:t>kommunane</w:t>
      </w:r>
      <w:proofErr w:type="spellEnd"/>
      <w:r w:rsidRPr="00225D4D">
        <w:t xml:space="preserve"> gjorde i slike anlegg fram til og med 2019, få ei maksimal avskrivingstid på 40 år.</w:t>
      </w:r>
    </w:p>
    <w:p w14:paraId="350C8EC5" w14:textId="77777777" w:rsidR="00D60186" w:rsidRPr="00225D4D" w:rsidRDefault="00D60186" w:rsidP="00225D4D">
      <w:proofErr w:type="spellStart"/>
      <w:r w:rsidRPr="00225D4D">
        <w:t>Avskrivingar</w:t>
      </w:r>
      <w:proofErr w:type="spellEnd"/>
      <w:r w:rsidRPr="00225D4D">
        <w:t xml:space="preserve"> er per definisjon ei fordeling av investeringskostnaden over den forventa levetida til investeringa. Avskrivingstida må derfor samsvare med forventa levetid. Samsvar med forventa levetid er </w:t>
      </w:r>
      <w:proofErr w:type="spellStart"/>
      <w:r w:rsidRPr="00225D4D">
        <w:t>ein</w:t>
      </w:r>
      <w:proofErr w:type="spellEnd"/>
      <w:r w:rsidRPr="00225D4D">
        <w:t xml:space="preserve"> </w:t>
      </w:r>
      <w:proofErr w:type="spellStart"/>
      <w:r w:rsidRPr="00225D4D">
        <w:t>føresetnad</w:t>
      </w:r>
      <w:proofErr w:type="spellEnd"/>
      <w:r w:rsidRPr="00225D4D">
        <w:t xml:space="preserve"> for at </w:t>
      </w:r>
      <w:proofErr w:type="spellStart"/>
      <w:r w:rsidRPr="00225D4D">
        <w:t>avskrivingane</w:t>
      </w:r>
      <w:proofErr w:type="spellEnd"/>
      <w:r w:rsidRPr="00225D4D">
        <w:t xml:space="preserve"> skal gi </w:t>
      </w:r>
      <w:proofErr w:type="spellStart"/>
      <w:r w:rsidRPr="00225D4D">
        <w:t>eit</w:t>
      </w:r>
      <w:proofErr w:type="spellEnd"/>
      <w:r w:rsidRPr="00225D4D">
        <w:t xml:space="preserve"> </w:t>
      </w:r>
      <w:proofErr w:type="spellStart"/>
      <w:r w:rsidRPr="00225D4D">
        <w:t>rimeleg</w:t>
      </w:r>
      <w:proofErr w:type="spellEnd"/>
      <w:r w:rsidRPr="00225D4D">
        <w:t xml:space="preserve"> uttrykk for det </w:t>
      </w:r>
      <w:proofErr w:type="spellStart"/>
      <w:r w:rsidRPr="00225D4D">
        <w:t>årlege</w:t>
      </w:r>
      <w:proofErr w:type="spellEnd"/>
      <w:r w:rsidRPr="00225D4D">
        <w:t xml:space="preserve"> kapitalslitet, og for at nedbetalinga av investeringa skal skje over tida investeringa er i bruk, både når det </w:t>
      </w:r>
      <w:proofErr w:type="spellStart"/>
      <w:r w:rsidRPr="00225D4D">
        <w:t>gjeld</w:t>
      </w:r>
      <w:proofErr w:type="spellEnd"/>
      <w:r w:rsidRPr="00225D4D">
        <w:t xml:space="preserve"> nedbetaling av kommunen sine lån og den nedbetalinga som skal bli dekt av gebyr </w:t>
      </w:r>
      <w:proofErr w:type="spellStart"/>
      <w:r w:rsidRPr="00225D4D">
        <w:t>innanfor</w:t>
      </w:r>
      <w:proofErr w:type="spellEnd"/>
      <w:r w:rsidRPr="00225D4D">
        <w:t xml:space="preserve"> </w:t>
      </w:r>
      <w:proofErr w:type="spellStart"/>
      <w:r w:rsidRPr="00225D4D">
        <w:t>sjølvkostområda</w:t>
      </w:r>
      <w:proofErr w:type="spellEnd"/>
      <w:r w:rsidRPr="00225D4D">
        <w:t>. Om avskrivingstida blir sett lengre enn forventa levetid, blir nedbetalingstida for lang.</w:t>
      </w:r>
    </w:p>
    <w:p w14:paraId="3DCDED3D" w14:textId="77777777" w:rsidR="00D60186" w:rsidRPr="00225D4D" w:rsidRDefault="00D60186" w:rsidP="00225D4D">
      <w:r w:rsidRPr="00225D4D">
        <w:t xml:space="preserve">NTNU Samfunnsforskning vurderte forventa bruks-/levetider for kommunale </w:t>
      </w:r>
      <w:proofErr w:type="spellStart"/>
      <w:r w:rsidRPr="00225D4D">
        <w:t>investeringar</w:t>
      </w:r>
      <w:proofErr w:type="spellEnd"/>
      <w:r w:rsidRPr="00225D4D">
        <w:t xml:space="preserve">. Forslaga som departementet sendte på </w:t>
      </w:r>
      <w:proofErr w:type="spellStart"/>
      <w:r w:rsidRPr="00225D4D">
        <w:t>høyring</w:t>
      </w:r>
      <w:proofErr w:type="spellEnd"/>
      <w:r w:rsidRPr="00225D4D">
        <w:t xml:space="preserve">, var i tråd med </w:t>
      </w:r>
      <w:proofErr w:type="spellStart"/>
      <w:r w:rsidRPr="00225D4D">
        <w:t>deira</w:t>
      </w:r>
      <w:proofErr w:type="spellEnd"/>
      <w:r w:rsidRPr="00225D4D">
        <w:t xml:space="preserve"> </w:t>
      </w:r>
      <w:proofErr w:type="spellStart"/>
      <w:r w:rsidRPr="00225D4D">
        <w:t>faglege</w:t>
      </w:r>
      <w:proofErr w:type="spellEnd"/>
      <w:r w:rsidRPr="00225D4D">
        <w:t xml:space="preserve"> </w:t>
      </w:r>
      <w:proofErr w:type="spellStart"/>
      <w:r w:rsidRPr="00225D4D">
        <w:t>anbefalingar</w:t>
      </w:r>
      <w:proofErr w:type="spellEnd"/>
      <w:r w:rsidRPr="00225D4D">
        <w:t xml:space="preserve">. I SØF-rapport nr. 06/24 vart det </w:t>
      </w:r>
      <w:proofErr w:type="spellStart"/>
      <w:r w:rsidRPr="00225D4D">
        <w:t>peika</w:t>
      </w:r>
      <w:proofErr w:type="spellEnd"/>
      <w:r w:rsidRPr="00225D4D">
        <w:t xml:space="preserve"> på at </w:t>
      </w:r>
      <w:proofErr w:type="spellStart"/>
      <w:r w:rsidRPr="00225D4D">
        <w:t>pumpestasjonar</w:t>
      </w:r>
      <w:proofErr w:type="spellEnd"/>
      <w:r w:rsidRPr="00225D4D">
        <w:t xml:space="preserve">, høgdebasseng og </w:t>
      </w:r>
      <w:proofErr w:type="spellStart"/>
      <w:r w:rsidRPr="00225D4D">
        <w:t>reinseanlegg</w:t>
      </w:r>
      <w:proofErr w:type="spellEnd"/>
      <w:r w:rsidRPr="00225D4D">
        <w:t xml:space="preserve"> har ei forventa levetid på ca. 50 år, men </w:t>
      </w:r>
      <w:proofErr w:type="spellStart"/>
      <w:r w:rsidRPr="00225D4D">
        <w:t>komponentar</w:t>
      </w:r>
      <w:proofErr w:type="spellEnd"/>
      <w:r w:rsidRPr="00225D4D">
        <w:t xml:space="preserve"> i </w:t>
      </w:r>
      <w:proofErr w:type="spellStart"/>
      <w:r w:rsidRPr="00225D4D">
        <w:t>desse</w:t>
      </w:r>
      <w:proofErr w:type="spellEnd"/>
      <w:r w:rsidRPr="00225D4D">
        <w:t xml:space="preserve"> anlegga har </w:t>
      </w:r>
      <w:proofErr w:type="spellStart"/>
      <w:r w:rsidRPr="00225D4D">
        <w:t>kortare</w:t>
      </w:r>
      <w:proofErr w:type="spellEnd"/>
      <w:r w:rsidRPr="00225D4D">
        <w:t xml:space="preserve"> levetid. Rapporten anbefalte </w:t>
      </w:r>
      <w:proofErr w:type="spellStart"/>
      <w:r w:rsidRPr="00225D4D">
        <w:t>ikkje</w:t>
      </w:r>
      <w:proofErr w:type="spellEnd"/>
      <w:r w:rsidRPr="00225D4D">
        <w:t xml:space="preserve"> konkrete </w:t>
      </w:r>
      <w:proofErr w:type="spellStart"/>
      <w:r w:rsidRPr="00225D4D">
        <w:t>endringar</w:t>
      </w:r>
      <w:proofErr w:type="spellEnd"/>
      <w:r w:rsidRPr="00225D4D">
        <w:t xml:space="preserve"> i avskrivingstider for </w:t>
      </w:r>
      <w:proofErr w:type="spellStart"/>
      <w:r w:rsidRPr="00225D4D">
        <w:t>desse</w:t>
      </w:r>
      <w:proofErr w:type="spellEnd"/>
      <w:r w:rsidRPr="00225D4D">
        <w:t xml:space="preserve"> anlegga. Rapporten gav altså </w:t>
      </w:r>
      <w:proofErr w:type="spellStart"/>
      <w:r w:rsidRPr="00225D4D">
        <w:t>ikkje</w:t>
      </w:r>
      <w:proofErr w:type="spellEnd"/>
      <w:r w:rsidRPr="00225D4D">
        <w:t xml:space="preserve"> </w:t>
      </w:r>
      <w:proofErr w:type="spellStart"/>
      <w:r w:rsidRPr="00225D4D">
        <w:t>fagleg</w:t>
      </w:r>
      <w:proofErr w:type="spellEnd"/>
      <w:r w:rsidRPr="00225D4D">
        <w:t xml:space="preserve"> grunnlag for å </w:t>
      </w:r>
      <w:proofErr w:type="spellStart"/>
      <w:r w:rsidRPr="00225D4D">
        <w:t>auke</w:t>
      </w:r>
      <w:proofErr w:type="spellEnd"/>
      <w:r w:rsidRPr="00225D4D">
        <w:t xml:space="preserve"> avskrivingstida på </w:t>
      </w:r>
      <w:proofErr w:type="spellStart"/>
      <w:r w:rsidRPr="00225D4D">
        <w:t>pumpestasjonar</w:t>
      </w:r>
      <w:proofErr w:type="spellEnd"/>
      <w:r w:rsidRPr="00225D4D">
        <w:t xml:space="preserve">, høgdebasseng og </w:t>
      </w:r>
      <w:proofErr w:type="spellStart"/>
      <w:r w:rsidRPr="00225D4D">
        <w:t>reinseanlegg</w:t>
      </w:r>
      <w:proofErr w:type="spellEnd"/>
      <w:r w:rsidRPr="00225D4D">
        <w:t xml:space="preserve"> </w:t>
      </w:r>
      <w:proofErr w:type="spellStart"/>
      <w:r w:rsidRPr="00225D4D">
        <w:t>frå</w:t>
      </w:r>
      <w:proofErr w:type="spellEnd"/>
      <w:r w:rsidRPr="00225D4D">
        <w:t xml:space="preserve"> 40 til 80 år.</w:t>
      </w:r>
    </w:p>
    <w:p w14:paraId="2013168D" w14:textId="77777777" w:rsidR="00D60186" w:rsidRPr="00225D4D" w:rsidRDefault="00D60186" w:rsidP="00225D4D">
      <w:r w:rsidRPr="00225D4D">
        <w:t>Departementet foreslår på denne bakgrunn at rapporteringa blir avslutta.</w:t>
      </w:r>
    </w:p>
    <w:p w14:paraId="1754ED73" w14:textId="77777777" w:rsidR="00D60186" w:rsidRPr="00225D4D" w:rsidRDefault="00D60186" w:rsidP="00225D4D">
      <w:pPr>
        <w:pStyle w:val="avsnitt-tittel"/>
      </w:pPr>
      <w:proofErr w:type="spellStart"/>
      <w:r w:rsidRPr="00225D4D">
        <w:t>Sjølvkostregelverk</w:t>
      </w:r>
      <w:proofErr w:type="spellEnd"/>
      <w:r w:rsidRPr="00225D4D">
        <w:t xml:space="preserve">: Periode for tilbakeføring/framføring av </w:t>
      </w:r>
      <w:proofErr w:type="spellStart"/>
      <w:r w:rsidRPr="00225D4D">
        <w:t>overskot</w:t>
      </w:r>
      <w:proofErr w:type="spellEnd"/>
      <w:r w:rsidRPr="00225D4D">
        <w:t>/</w:t>
      </w:r>
      <w:proofErr w:type="spellStart"/>
      <w:r w:rsidRPr="00225D4D">
        <w:t>underskot</w:t>
      </w:r>
      <w:proofErr w:type="spellEnd"/>
    </w:p>
    <w:p w14:paraId="30262088" w14:textId="77777777" w:rsidR="00D60186" w:rsidRPr="00225D4D" w:rsidRDefault="00D60186" w:rsidP="00225D4D">
      <w:pPr>
        <w:pStyle w:val="avsnitt-undertittel"/>
      </w:pPr>
      <w:r w:rsidRPr="00225D4D">
        <w:t>Vedtak 452, 11. februar 2025</w:t>
      </w:r>
    </w:p>
    <w:p w14:paraId="41BACD62" w14:textId="77777777" w:rsidR="00D60186" w:rsidRPr="00225D4D" w:rsidRDefault="00D60186" w:rsidP="00225D4D">
      <w:pPr>
        <w:pStyle w:val="blokksit"/>
        <w:rPr>
          <w:rStyle w:val="kursiv"/>
        </w:rPr>
      </w:pPr>
      <w:r w:rsidRPr="00225D4D">
        <w:rPr>
          <w:rStyle w:val="kursiv"/>
        </w:rPr>
        <w:t>«Stortinget ber regjeringen revidere forskrift om beregning av samlet selvkost for kommunale og fylkeskommunale gebyrer (selvkostforskriften) med mål om å forlenge perioden for når fremtidig overskudd må tilbakeføres eller underskudd kan fremføres.»</w:t>
      </w:r>
    </w:p>
    <w:p w14:paraId="3666097C"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Anne Kristine Linnestad, Erlend Larsen, Liv Kari Eskeland, Mahmoud </w:t>
      </w:r>
      <w:proofErr w:type="spellStart"/>
      <w:r w:rsidRPr="00225D4D">
        <w:t>Farahmand</w:t>
      </w:r>
      <w:proofErr w:type="spellEnd"/>
      <w:r w:rsidRPr="00225D4D">
        <w:t xml:space="preserve"> og Turid Kristensen om lavere vann- og avløpsgebyrer, jf. Dokument 8:21 S og </w:t>
      </w:r>
      <w:proofErr w:type="spellStart"/>
      <w:r w:rsidRPr="00225D4D">
        <w:t>Innst</w:t>
      </w:r>
      <w:proofErr w:type="spellEnd"/>
      <w:r w:rsidRPr="00225D4D">
        <w:t>. 127 S (2024–2025).</w:t>
      </w:r>
    </w:p>
    <w:p w14:paraId="0386AE92" w14:textId="77777777" w:rsidR="00D60186" w:rsidRPr="00225D4D" w:rsidRDefault="00D60186" w:rsidP="00225D4D">
      <w:r w:rsidRPr="00225D4D">
        <w:t xml:space="preserve">Kommunal- og </w:t>
      </w:r>
      <w:proofErr w:type="spellStart"/>
      <w:r w:rsidRPr="00225D4D">
        <w:t>distriktsdepartementet</w:t>
      </w:r>
      <w:proofErr w:type="spellEnd"/>
      <w:r w:rsidRPr="00225D4D">
        <w:t xml:space="preserve"> sende 8. mai 2025 på </w:t>
      </w:r>
      <w:proofErr w:type="spellStart"/>
      <w:r w:rsidRPr="00225D4D">
        <w:t>høyring</w:t>
      </w:r>
      <w:proofErr w:type="spellEnd"/>
      <w:r w:rsidRPr="00225D4D">
        <w:t xml:space="preserve"> forslag om </w:t>
      </w:r>
      <w:proofErr w:type="spellStart"/>
      <w:r w:rsidRPr="00225D4D">
        <w:t>endringar</w:t>
      </w:r>
      <w:proofErr w:type="spellEnd"/>
      <w:r w:rsidRPr="00225D4D">
        <w:t xml:space="preserve"> i budsjett- og </w:t>
      </w:r>
      <w:proofErr w:type="spellStart"/>
      <w:r w:rsidRPr="00225D4D">
        <w:t>rekneskapsforskrifta</w:t>
      </w:r>
      <w:proofErr w:type="spellEnd"/>
      <w:r w:rsidRPr="00225D4D">
        <w:t xml:space="preserve"> for </w:t>
      </w:r>
      <w:proofErr w:type="spellStart"/>
      <w:r w:rsidRPr="00225D4D">
        <w:t>kommunane</w:t>
      </w:r>
      <w:proofErr w:type="spellEnd"/>
      <w:r w:rsidRPr="00225D4D">
        <w:t xml:space="preserve"> og i </w:t>
      </w:r>
      <w:proofErr w:type="spellStart"/>
      <w:r w:rsidRPr="00225D4D">
        <w:t>sjølvkostforskrifta</w:t>
      </w:r>
      <w:proofErr w:type="spellEnd"/>
      <w:r w:rsidRPr="00225D4D">
        <w:t xml:space="preserve">. I </w:t>
      </w:r>
      <w:proofErr w:type="spellStart"/>
      <w:r w:rsidRPr="00225D4D">
        <w:t>høyringa</w:t>
      </w:r>
      <w:proofErr w:type="spellEnd"/>
      <w:r w:rsidRPr="00225D4D">
        <w:t xml:space="preserve"> ba departementet om synspunkt på framføringsperioden for under- og </w:t>
      </w:r>
      <w:proofErr w:type="spellStart"/>
      <w:r w:rsidRPr="00225D4D">
        <w:t>overskot</w:t>
      </w:r>
      <w:proofErr w:type="spellEnd"/>
      <w:r w:rsidRPr="00225D4D">
        <w:t xml:space="preserve"> i </w:t>
      </w:r>
      <w:proofErr w:type="spellStart"/>
      <w:r w:rsidRPr="00225D4D">
        <w:t>sjølvkostrekneskapen</w:t>
      </w:r>
      <w:proofErr w:type="spellEnd"/>
      <w:r w:rsidRPr="00225D4D">
        <w:t xml:space="preserve">, </w:t>
      </w:r>
      <w:proofErr w:type="spellStart"/>
      <w:r w:rsidRPr="00225D4D">
        <w:t>sjølv</w:t>
      </w:r>
      <w:proofErr w:type="spellEnd"/>
      <w:r w:rsidRPr="00225D4D">
        <w:t xml:space="preserve"> om forslaget i </w:t>
      </w:r>
      <w:proofErr w:type="spellStart"/>
      <w:r w:rsidRPr="00225D4D">
        <w:t>høyringsnotatet</w:t>
      </w:r>
      <w:proofErr w:type="spellEnd"/>
      <w:r w:rsidRPr="00225D4D">
        <w:t xml:space="preserve"> var at </w:t>
      </w:r>
      <w:proofErr w:type="spellStart"/>
      <w:r w:rsidRPr="00225D4D">
        <w:t>gjeldande</w:t>
      </w:r>
      <w:proofErr w:type="spellEnd"/>
      <w:r w:rsidRPr="00225D4D">
        <w:t xml:space="preserve"> periode på fem år blir </w:t>
      </w:r>
      <w:proofErr w:type="spellStart"/>
      <w:r w:rsidRPr="00225D4D">
        <w:t>vidareført</w:t>
      </w:r>
      <w:proofErr w:type="spellEnd"/>
      <w:r w:rsidRPr="00225D4D">
        <w:t xml:space="preserve">. </w:t>
      </w:r>
      <w:proofErr w:type="spellStart"/>
      <w:r w:rsidRPr="00225D4D">
        <w:t>Høyringsfristen</w:t>
      </w:r>
      <w:proofErr w:type="spellEnd"/>
      <w:r w:rsidRPr="00225D4D">
        <w:t xml:space="preserve"> var 3. september 2025.</w:t>
      </w:r>
    </w:p>
    <w:p w14:paraId="60E3C651" w14:textId="77777777" w:rsidR="00D60186" w:rsidRPr="00225D4D" w:rsidRDefault="00D60186" w:rsidP="00225D4D">
      <w:proofErr w:type="spellStart"/>
      <w:r w:rsidRPr="00225D4D">
        <w:t>Gjeldande</w:t>
      </w:r>
      <w:proofErr w:type="spellEnd"/>
      <w:r w:rsidRPr="00225D4D">
        <w:t xml:space="preserve"> regel er ei avveging mellom omsynet til at kostnadene ved dagens </w:t>
      </w:r>
      <w:proofErr w:type="spellStart"/>
      <w:r w:rsidRPr="00225D4D">
        <w:t>tenester</w:t>
      </w:r>
      <w:proofErr w:type="spellEnd"/>
      <w:r w:rsidRPr="00225D4D">
        <w:t xml:space="preserve"> skal bli dekte av dagens </w:t>
      </w:r>
      <w:proofErr w:type="spellStart"/>
      <w:r w:rsidRPr="00225D4D">
        <w:t>brukarar</w:t>
      </w:r>
      <w:proofErr w:type="spellEnd"/>
      <w:r w:rsidRPr="00225D4D">
        <w:t xml:space="preserve"> (generasjonsprinsippet) på den </w:t>
      </w:r>
      <w:proofErr w:type="spellStart"/>
      <w:r w:rsidRPr="00225D4D">
        <w:t>eine</w:t>
      </w:r>
      <w:proofErr w:type="spellEnd"/>
      <w:r w:rsidRPr="00225D4D">
        <w:t xml:space="preserve"> sida og omsynet til stabile gebyr og jamne </w:t>
      </w:r>
      <w:proofErr w:type="spellStart"/>
      <w:r w:rsidRPr="00225D4D">
        <w:t>gebyraukar</w:t>
      </w:r>
      <w:proofErr w:type="spellEnd"/>
      <w:r w:rsidRPr="00225D4D">
        <w:t xml:space="preserve"> på den andre. </w:t>
      </w:r>
      <w:proofErr w:type="spellStart"/>
      <w:r w:rsidRPr="00225D4D">
        <w:t>Høyringsinstansane</w:t>
      </w:r>
      <w:proofErr w:type="spellEnd"/>
      <w:r w:rsidRPr="00225D4D">
        <w:t xml:space="preserve"> meinte dagens framføringsperiode på fem år i </w:t>
      </w:r>
      <w:proofErr w:type="spellStart"/>
      <w:r w:rsidRPr="00225D4D">
        <w:t>hovudsak</w:t>
      </w:r>
      <w:proofErr w:type="spellEnd"/>
      <w:r w:rsidRPr="00225D4D">
        <w:t xml:space="preserve"> fungerer godt, og forslaget om å </w:t>
      </w:r>
      <w:proofErr w:type="spellStart"/>
      <w:r w:rsidRPr="00225D4D">
        <w:t>vidareføre</w:t>
      </w:r>
      <w:proofErr w:type="spellEnd"/>
      <w:r w:rsidRPr="00225D4D">
        <w:t xml:space="preserve"> dagens </w:t>
      </w:r>
      <w:proofErr w:type="spellStart"/>
      <w:r w:rsidRPr="00225D4D">
        <w:t>reglar</w:t>
      </w:r>
      <w:proofErr w:type="spellEnd"/>
      <w:r w:rsidRPr="00225D4D">
        <w:t xml:space="preserve"> på dette punktet </w:t>
      </w:r>
      <w:proofErr w:type="spellStart"/>
      <w:r w:rsidRPr="00225D4D">
        <w:t>fekk</w:t>
      </w:r>
      <w:proofErr w:type="spellEnd"/>
      <w:r w:rsidRPr="00225D4D">
        <w:t xml:space="preserve"> god støtte. På bakgrunn av dette vil departementet </w:t>
      </w:r>
      <w:proofErr w:type="spellStart"/>
      <w:r w:rsidRPr="00225D4D">
        <w:t>vidareføre</w:t>
      </w:r>
      <w:proofErr w:type="spellEnd"/>
      <w:r w:rsidRPr="00225D4D">
        <w:t xml:space="preserve"> </w:t>
      </w:r>
      <w:proofErr w:type="spellStart"/>
      <w:r w:rsidRPr="00225D4D">
        <w:t>gjeldande</w:t>
      </w:r>
      <w:proofErr w:type="spellEnd"/>
      <w:r w:rsidRPr="00225D4D">
        <w:t xml:space="preserve"> framføringsperiode på fem år.</w:t>
      </w:r>
    </w:p>
    <w:p w14:paraId="1D3C02DF" w14:textId="77777777" w:rsidR="00D60186" w:rsidRPr="00225D4D" w:rsidRDefault="00D60186" w:rsidP="00225D4D">
      <w:r w:rsidRPr="00225D4D">
        <w:t>Departementet foreslår på denne bakgrunn at rapporteringa blir avslutta.</w:t>
      </w:r>
    </w:p>
    <w:p w14:paraId="2246D8A4" w14:textId="77777777" w:rsidR="00D60186" w:rsidRPr="00225D4D" w:rsidRDefault="00D60186" w:rsidP="00225D4D">
      <w:pPr>
        <w:pStyle w:val="avsnitt-tittel"/>
      </w:pPr>
      <w:r w:rsidRPr="00225D4D">
        <w:t>Forsøks-/frikommuneprinsippet</w:t>
      </w:r>
    </w:p>
    <w:p w14:paraId="12F1C4D4" w14:textId="77777777" w:rsidR="00D60186" w:rsidRPr="00225D4D" w:rsidRDefault="00D60186" w:rsidP="00225D4D">
      <w:pPr>
        <w:pStyle w:val="avsnitt-undertittel"/>
      </w:pPr>
      <w:r w:rsidRPr="00225D4D">
        <w:t>Vedtak 524, 25. mars 2025</w:t>
      </w:r>
    </w:p>
    <w:p w14:paraId="6018A3CC" w14:textId="77777777" w:rsidR="00D60186" w:rsidRPr="00225D4D" w:rsidRDefault="00D60186" w:rsidP="00225D4D">
      <w:pPr>
        <w:pStyle w:val="blokksit"/>
        <w:rPr>
          <w:rStyle w:val="kursiv"/>
        </w:rPr>
      </w:pPr>
      <w:r w:rsidRPr="00225D4D">
        <w:rPr>
          <w:rStyle w:val="kursiv"/>
        </w:rPr>
        <w:t>«Stortinget ber regjeringen legge til rette for at flere kommuner kan gjennomføre forsøk med nye måter å løse sine oppgaver på etter forsøks-/frikommuneprinsippet.»</w:t>
      </w:r>
    </w:p>
    <w:p w14:paraId="2C50BE73"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w:t>
      </w:r>
      <w:proofErr w:type="spellStart"/>
      <w:r w:rsidRPr="00225D4D">
        <w:t>Mudassar</w:t>
      </w:r>
      <w:proofErr w:type="spellEnd"/>
      <w:r w:rsidRPr="00225D4D">
        <w:t xml:space="preserve"> </w:t>
      </w:r>
      <w:proofErr w:type="spellStart"/>
      <w:r w:rsidRPr="00225D4D">
        <w:t>Kapur</w:t>
      </w:r>
      <w:proofErr w:type="spellEnd"/>
      <w:r w:rsidRPr="00225D4D">
        <w:t xml:space="preserve">, Sandra </w:t>
      </w:r>
      <w:proofErr w:type="spellStart"/>
      <w:r w:rsidRPr="00225D4D">
        <w:t>Bruflot</w:t>
      </w:r>
      <w:proofErr w:type="spellEnd"/>
      <w:r w:rsidRPr="00225D4D">
        <w:t xml:space="preserve">, Anne Kristine Linnestad og Charlotte Spurkeland om </w:t>
      </w:r>
      <w:proofErr w:type="spellStart"/>
      <w:r w:rsidRPr="00225D4D">
        <w:t>ein</w:t>
      </w:r>
      <w:proofErr w:type="spellEnd"/>
      <w:r w:rsidRPr="00225D4D">
        <w:t xml:space="preserve"> gjennomgang av kommunesektorens </w:t>
      </w:r>
      <w:proofErr w:type="spellStart"/>
      <w:r w:rsidRPr="00225D4D">
        <w:t>oppgåver</w:t>
      </w:r>
      <w:proofErr w:type="spellEnd"/>
      <w:r w:rsidRPr="00225D4D">
        <w:t xml:space="preserve"> og </w:t>
      </w:r>
      <w:proofErr w:type="spellStart"/>
      <w:r w:rsidRPr="00225D4D">
        <w:t>tilskot</w:t>
      </w:r>
      <w:proofErr w:type="spellEnd"/>
      <w:r w:rsidRPr="00225D4D">
        <w:t xml:space="preserve">, jf. Dokument 8:38 S og </w:t>
      </w:r>
      <w:proofErr w:type="spellStart"/>
      <w:r w:rsidRPr="00225D4D">
        <w:t>Innst</w:t>
      </w:r>
      <w:proofErr w:type="spellEnd"/>
      <w:r w:rsidRPr="00225D4D">
        <w:t>. 163 S (2024–2025).</w:t>
      </w:r>
    </w:p>
    <w:p w14:paraId="30A7067D" w14:textId="77777777" w:rsidR="00D60186" w:rsidRPr="00225D4D" w:rsidRDefault="00D60186" w:rsidP="00225D4D">
      <w:r w:rsidRPr="00225D4D">
        <w:t xml:space="preserve">I mai 2023 inviterte departementet </w:t>
      </w:r>
      <w:proofErr w:type="spellStart"/>
      <w:r w:rsidRPr="00225D4D">
        <w:t>kommunar</w:t>
      </w:r>
      <w:proofErr w:type="spellEnd"/>
      <w:r w:rsidRPr="00225D4D">
        <w:t xml:space="preserve"> og </w:t>
      </w:r>
      <w:proofErr w:type="spellStart"/>
      <w:r w:rsidRPr="00225D4D">
        <w:t>fylkeskommunar</w:t>
      </w:r>
      <w:proofErr w:type="spellEnd"/>
      <w:r w:rsidRPr="00225D4D">
        <w:t xml:space="preserve"> til å søke om forsøk (frikommuneforsøk) – og dermed bli </w:t>
      </w:r>
      <w:proofErr w:type="spellStart"/>
      <w:r w:rsidRPr="00225D4D">
        <w:t>forsøkskommunar</w:t>
      </w:r>
      <w:proofErr w:type="spellEnd"/>
      <w:r w:rsidRPr="00225D4D">
        <w:t xml:space="preserve">. Forsøka måtte </w:t>
      </w:r>
      <w:proofErr w:type="spellStart"/>
      <w:r w:rsidRPr="00225D4D">
        <w:t>vere</w:t>
      </w:r>
      <w:proofErr w:type="spellEnd"/>
      <w:r w:rsidRPr="00225D4D">
        <w:t xml:space="preserve"> </w:t>
      </w:r>
      <w:proofErr w:type="spellStart"/>
      <w:r w:rsidRPr="00225D4D">
        <w:t>innanfor</w:t>
      </w:r>
      <w:proofErr w:type="spellEnd"/>
      <w:r w:rsidRPr="00225D4D">
        <w:t xml:space="preserve"> rammene av </w:t>
      </w:r>
      <w:proofErr w:type="spellStart"/>
      <w:r w:rsidRPr="00225D4D">
        <w:t>eksisterande</w:t>
      </w:r>
      <w:proofErr w:type="spellEnd"/>
      <w:r w:rsidRPr="00225D4D">
        <w:t xml:space="preserve"> </w:t>
      </w:r>
      <w:proofErr w:type="spellStart"/>
      <w:r w:rsidRPr="00225D4D">
        <w:t>forsøksheimlar</w:t>
      </w:r>
      <w:proofErr w:type="spellEnd"/>
      <w:r w:rsidRPr="00225D4D">
        <w:t>.</w:t>
      </w:r>
    </w:p>
    <w:p w14:paraId="12B0B28B" w14:textId="77777777" w:rsidR="00D60186" w:rsidRPr="00225D4D" w:rsidRDefault="00D60186" w:rsidP="00225D4D">
      <w:r w:rsidRPr="00225D4D">
        <w:t xml:space="preserve">Det kom totalt 87 søknader </w:t>
      </w:r>
      <w:proofErr w:type="spellStart"/>
      <w:r w:rsidRPr="00225D4D">
        <w:t>frå</w:t>
      </w:r>
      <w:proofErr w:type="spellEnd"/>
      <w:r w:rsidRPr="00225D4D">
        <w:t xml:space="preserve"> 77 </w:t>
      </w:r>
      <w:proofErr w:type="spellStart"/>
      <w:r w:rsidRPr="00225D4D">
        <w:t>kommunar</w:t>
      </w:r>
      <w:proofErr w:type="spellEnd"/>
      <w:r w:rsidRPr="00225D4D">
        <w:t xml:space="preserve"> og tre </w:t>
      </w:r>
      <w:proofErr w:type="spellStart"/>
      <w:r w:rsidRPr="00225D4D">
        <w:t>fylkeskommunar</w:t>
      </w:r>
      <w:proofErr w:type="spellEnd"/>
      <w:r w:rsidRPr="00225D4D">
        <w:t xml:space="preserve">, og 12 søknader </w:t>
      </w:r>
      <w:proofErr w:type="spellStart"/>
      <w:r w:rsidRPr="00225D4D">
        <w:t>vart</w:t>
      </w:r>
      <w:proofErr w:type="spellEnd"/>
      <w:r w:rsidRPr="00225D4D">
        <w:t xml:space="preserve"> tatt med </w:t>
      </w:r>
      <w:proofErr w:type="spellStart"/>
      <w:r w:rsidRPr="00225D4D">
        <w:t>vidare</w:t>
      </w:r>
      <w:proofErr w:type="spellEnd"/>
      <w:r w:rsidRPr="00225D4D">
        <w:t xml:space="preserve"> i forsøksordninga. </w:t>
      </w:r>
      <w:proofErr w:type="spellStart"/>
      <w:r w:rsidRPr="00225D4D">
        <w:t>Søknadane</w:t>
      </w:r>
      <w:proofErr w:type="spellEnd"/>
      <w:r w:rsidRPr="00225D4D">
        <w:t xml:space="preserve"> </w:t>
      </w:r>
      <w:proofErr w:type="spellStart"/>
      <w:r w:rsidRPr="00225D4D">
        <w:t>vart</w:t>
      </w:r>
      <w:proofErr w:type="spellEnd"/>
      <w:r w:rsidRPr="00225D4D">
        <w:t xml:space="preserve"> vurdert i samarbeid med </w:t>
      </w:r>
      <w:proofErr w:type="spellStart"/>
      <w:r w:rsidRPr="00225D4D">
        <w:t>dei</w:t>
      </w:r>
      <w:proofErr w:type="spellEnd"/>
      <w:r w:rsidRPr="00225D4D">
        <w:t xml:space="preserve"> aktuelle fagdepartementa. Til </w:t>
      </w:r>
      <w:proofErr w:type="spellStart"/>
      <w:r w:rsidRPr="00225D4D">
        <w:t>no</w:t>
      </w:r>
      <w:proofErr w:type="spellEnd"/>
      <w:r w:rsidRPr="00225D4D">
        <w:t xml:space="preserve"> er fire forsøk med unntak </w:t>
      </w:r>
      <w:proofErr w:type="spellStart"/>
      <w:r w:rsidRPr="00225D4D">
        <w:t>frå</w:t>
      </w:r>
      <w:proofErr w:type="spellEnd"/>
      <w:r w:rsidRPr="00225D4D">
        <w:t xml:space="preserve"> </w:t>
      </w:r>
      <w:proofErr w:type="spellStart"/>
      <w:r w:rsidRPr="00225D4D">
        <w:t>opplæringslova</w:t>
      </w:r>
      <w:proofErr w:type="spellEnd"/>
      <w:r w:rsidRPr="00225D4D">
        <w:t xml:space="preserve"> godkjente. I tillegg er det godkjent </w:t>
      </w:r>
      <w:proofErr w:type="spellStart"/>
      <w:r w:rsidRPr="00225D4D">
        <w:t>eit</w:t>
      </w:r>
      <w:proofErr w:type="spellEnd"/>
      <w:r w:rsidRPr="00225D4D">
        <w:t xml:space="preserve"> forsøk i Oslo kommune om delegering av </w:t>
      </w:r>
      <w:proofErr w:type="spellStart"/>
      <w:r w:rsidRPr="00225D4D">
        <w:t>myndigheit</w:t>
      </w:r>
      <w:proofErr w:type="spellEnd"/>
      <w:r w:rsidRPr="00225D4D">
        <w:t xml:space="preserve"> til å fatte vedtak i saker om nedsetting og </w:t>
      </w:r>
      <w:proofErr w:type="spellStart"/>
      <w:r w:rsidRPr="00225D4D">
        <w:t>ettergivnad</w:t>
      </w:r>
      <w:proofErr w:type="spellEnd"/>
      <w:r w:rsidRPr="00225D4D">
        <w:t xml:space="preserve"> av </w:t>
      </w:r>
      <w:proofErr w:type="spellStart"/>
      <w:r w:rsidRPr="00225D4D">
        <w:t>eigedomsskatt</w:t>
      </w:r>
      <w:proofErr w:type="spellEnd"/>
      <w:r w:rsidRPr="00225D4D">
        <w:t xml:space="preserve"> til </w:t>
      </w:r>
      <w:proofErr w:type="spellStart"/>
      <w:r w:rsidRPr="00225D4D">
        <w:t>eigedomsskattekontoret</w:t>
      </w:r>
      <w:proofErr w:type="spellEnd"/>
      <w:r w:rsidRPr="00225D4D">
        <w:t xml:space="preserve">, og </w:t>
      </w:r>
      <w:proofErr w:type="spellStart"/>
      <w:r w:rsidRPr="00225D4D">
        <w:t>eit</w:t>
      </w:r>
      <w:proofErr w:type="spellEnd"/>
      <w:r w:rsidRPr="00225D4D">
        <w:t xml:space="preserve"> forsøk i fire </w:t>
      </w:r>
      <w:proofErr w:type="spellStart"/>
      <w:r w:rsidRPr="00225D4D">
        <w:t>kommunar</w:t>
      </w:r>
      <w:proofErr w:type="spellEnd"/>
      <w:r w:rsidRPr="00225D4D">
        <w:t xml:space="preserve"> i Indre Namdalen om felles </w:t>
      </w:r>
      <w:proofErr w:type="spellStart"/>
      <w:r w:rsidRPr="00225D4D">
        <w:t>legeteneste</w:t>
      </w:r>
      <w:proofErr w:type="spellEnd"/>
      <w:r w:rsidRPr="00225D4D">
        <w:t xml:space="preserve"> i </w:t>
      </w:r>
      <w:proofErr w:type="spellStart"/>
      <w:r w:rsidRPr="00225D4D">
        <w:t>eit</w:t>
      </w:r>
      <w:proofErr w:type="spellEnd"/>
      <w:r w:rsidRPr="00225D4D">
        <w:t xml:space="preserve"> kommunalt </w:t>
      </w:r>
      <w:proofErr w:type="spellStart"/>
      <w:r w:rsidRPr="00225D4D">
        <w:t>oppgåvefellesskap</w:t>
      </w:r>
      <w:proofErr w:type="spellEnd"/>
      <w:r w:rsidRPr="00225D4D">
        <w:t xml:space="preserve"> med </w:t>
      </w:r>
      <w:proofErr w:type="spellStart"/>
      <w:r w:rsidRPr="00225D4D">
        <w:t>myndigheit</w:t>
      </w:r>
      <w:proofErr w:type="spellEnd"/>
      <w:r w:rsidRPr="00225D4D">
        <w:t xml:space="preserve"> til å fatte vedtak. For </w:t>
      </w:r>
      <w:proofErr w:type="spellStart"/>
      <w:r w:rsidRPr="00225D4D">
        <w:t>dei</w:t>
      </w:r>
      <w:proofErr w:type="spellEnd"/>
      <w:r w:rsidRPr="00225D4D">
        <w:t xml:space="preserve"> </w:t>
      </w:r>
      <w:proofErr w:type="spellStart"/>
      <w:r w:rsidRPr="00225D4D">
        <w:t>resterande</w:t>
      </w:r>
      <w:proofErr w:type="spellEnd"/>
      <w:r w:rsidRPr="00225D4D">
        <w:t xml:space="preserve"> </w:t>
      </w:r>
      <w:proofErr w:type="spellStart"/>
      <w:r w:rsidRPr="00225D4D">
        <w:t>søknadane</w:t>
      </w:r>
      <w:proofErr w:type="spellEnd"/>
      <w:r w:rsidRPr="00225D4D">
        <w:t xml:space="preserve"> som vart </w:t>
      </w:r>
      <w:proofErr w:type="spellStart"/>
      <w:r w:rsidRPr="00225D4D">
        <w:t>valde</w:t>
      </w:r>
      <w:proofErr w:type="spellEnd"/>
      <w:r w:rsidRPr="00225D4D">
        <w:t xml:space="preserve"> ut, er arbeidet med å konkretisere prosjekta i gang. Årsaka til at mange søknader </w:t>
      </w:r>
      <w:proofErr w:type="spellStart"/>
      <w:r w:rsidRPr="00225D4D">
        <w:t>ikkje</w:t>
      </w:r>
      <w:proofErr w:type="spellEnd"/>
      <w:r w:rsidRPr="00225D4D">
        <w:t xml:space="preserve"> </w:t>
      </w:r>
      <w:proofErr w:type="spellStart"/>
      <w:r w:rsidRPr="00225D4D">
        <w:t>vart</w:t>
      </w:r>
      <w:proofErr w:type="spellEnd"/>
      <w:r w:rsidRPr="00225D4D">
        <w:t xml:space="preserve"> tatt med </w:t>
      </w:r>
      <w:proofErr w:type="spellStart"/>
      <w:r w:rsidRPr="00225D4D">
        <w:t>vidare</w:t>
      </w:r>
      <w:proofErr w:type="spellEnd"/>
      <w:r w:rsidRPr="00225D4D">
        <w:t xml:space="preserve"> i forsøksordninga var mellom anna at </w:t>
      </w:r>
      <w:proofErr w:type="spellStart"/>
      <w:r w:rsidRPr="00225D4D">
        <w:t>kommunar</w:t>
      </w:r>
      <w:proofErr w:type="spellEnd"/>
      <w:r w:rsidRPr="00225D4D">
        <w:t xml:space="preserve"> søkte om forsøk der det </w:t>
      </w:r>
      <w:proofErr w:type="spellStart"/>
      <w:r w:rsidRPr="00225D4D">
        <w:t>ikkje</w:t>
      </w:r>
      <w:proofErr w:type="spellEnd"/>
      <w:r w:rsidRPr="00225D4D">
        <w:t xml:space="preserve"> var </w:t>
      </w:r>
      <w:proofErr w:type="spellStart"/>
      <w:r w:rsidRPr="00225D4D">
        <w:t>naudsynt</w:t>
      </w:r>
      <w:proofErr w:type="spellEnd"/>
      <w:r w:rsidRPr="00225D4D">
        <w:t xml:space="preserve"> med unntak </w:t>
      </w:r>
      <w:proofErr w:type="spellStart"/>
      <w:r w:rsidRPr="00225D4D">
        <w:t>frå</w:t>
      </w:r>
      <w:proofErr w:type="spellEnd"/>
      <w:r w:rsidRPr="00225D4D">
        <w:t xml:space="preserve"> regelverk for å gjennomføre tiltaket, at det var i gang lovarbeid på området og at søknader var uklare om kva for regelverk </w:t>
      </w:r>
      <w:proofErr w:type="spellStart"/>
      <w:r w:rsidRPr="00225D4D">
        <w:t>ein</w:t>
      </w:r>
      <w:proofErr w:type="spellEnd"/>
      <w:r w:rsidRPr="00225D4D">
        <w:t xml:space="preserve"> søkte unntak </w:t>
      </w:r>
      <w:proofErr w:type="spellStart"/>
      <w:r w:rsidRPr="00225D4D">
        <w:t>frå</w:t>
      </w:r>
      <w:proofErr w:type="spellEnd"/>
      <w:r w:rsidRPr="00225D4D">
        <w:t xml:space="preserve">. I </w:t>
      </w:r>
      <w:proofErr w:type="spellStart"/>
      <w:r w:rsidRPr="00225D4D">
        <w:t>nokre</w:t>
      </w:r>
      <w:proofErr w:type="spellEnd"/>
      <w:r w:rsidRPr="00225D4D">
        <w:t xml:space="preserve"> tilfelle </w:t>
      </w:r>
      <w:proofErr w:type="spellStart"/>
      <w:r w:rsidRPr="00225D4D">
        <w:t>opna</w:t>
      </w:r>
      <w:proofErr w:type="spellEnd"/>
      <w:r w:rsidRPr="00225D4D">
        <w:t xml:space="preserve"> </w:t>
      </w:r>
      <w:proofErr w:type="spellStart"/>
      <w:r w:rsidRPr="00225D4D">
        <w:t>ikkje</w:t>
      </w:r>
      <w:proofErr w:type="spellEnd"/>
      <w:r w:rsidRPr="00225D4D">
        <w:t xml:space="preserve"> forsøksregelverket for det forsøket det var søkt om.</w:t>
      </w:r>
    </w:p>
    <w:p w14:paraId="1FBE3CC4" w14:textId="77777777" w:rsidR="00D60186" w:rsidRPr="00225D4D" w:rsidRDefault="00D60186" w:rsidP="00225D4D">
      <w:r w:rsidRPr="00225D4D">
        <w:t xml:space="preserve">Departementet har inngått avtale med Rambøll Management </w:t>
      </w:r>
      <w:proofErr w:type="spellStart"/>
      <w:r w:rsidRPr="00225D4D">
        <w:t>Consulting</w:t>
      </w:r>
      <w:proofErr w:type="spellEnd"/>
      <w:r w:rsidRPr="00225D4D">
        <w:t xml:space="preserve"> om å evaluere forsøksordninga. Det </w:t>
      </w:r>
      <w:proofErr w:type="spellStart"/>
      <w:r w:rsidRPr="00225D4D">
        <w:t>inneber</w:t>
      </w:r>
      <w:proofErr w:type="spellEnd"/>
      <w:r w:rsidRPr="00225D4D">
        <w:t xml:space="preserve"> å evaluere om rammene for forsøksordninga som regjeringa inviterte til, er </w:t>
      </w:r>
      <w:proofErr w:type="spellStart"/>
      <w:r w:rsidRPr="00225D4D">
        <w:t>ein</w:t>
      </w:r>
      <w:proofErr w:type="spellEnd"/>
      <w:r w:rsidRPr="00225D4D">
        <w:t xml:space="preserve"> </w:t>
      </w:r>
      <w:proofErr w:type="spellStart"/>
      <w:r w:rsidRPr="00225D4D">
        <w:t>føremålstenleg</w:t>
      </w:r>
      <w:proofErr w:type="spellEnd"/>
      <w:r w:rsidRPr="00225D4D">
        <w:t xml:space="preserve"> måte å legge til rette for forsøk på. Denne evalueringa vil òg kunne gi </w:t>
      </w:r>
      <w:proofErr w:type="spellStart"/>
      <w:r w:rsidRPr="00225D4D">
        <w:t>eit</w:t>
      </w:r>
      <w:proofErr w:type="spellEnd"/>
      <w:r w:rsidRPr="00225D4D">
        <w:t xml:space="preserve"> grunnlag for å vurdere eventuelle </w:t>
      </w:r>
      <w:proofErr w:type="spellStart"/>
      <w:r w:rsidRPr="00225D4D">
        <w:t>endringar</w:t>
      </w:r>
      <w:proofErr w:type="spellEnd"/>
      <w:r w:rsidRPr="00225D4D">
        <w:t xml:space="preserve"> i forsøksregelverket på sikt, som igjen vil kunne ha </w:t>
      </w:r>
      <w:proofErr w:type="spellStart"/>
      <w:r w:rsidRPr="00225D4D">
        <w:t>betyding</w:t>
      </w:r>
      <w:proofErr w:type="spellEnd"/>
      <w:r w:rsidRPr="00225D4D">
        <w:t xml:space="preserve"> for kva for forsøk som bør bli iverksett.</w:t>
      </w:r>
    </w:p>
    <w:p w14:paraId="602DDC81" w14:textId="77777777" w:rsidR="00D60186" w:rsidRPr="00225D4D" w:rsidRDefault="00D60186" w:rsidP="00225D4D">
      <w:r w:rsidRPr="00225D4D">
        <w:t xml:space="preserve">Sett i lys av at regjeringa </w:t>
      </w:r>
      <w:proofErr w:type="spellStart"/>
      <w:r w:rsidRPr="00225D4D">
        <w:t>allereie</w:t>
      </w:r>
      <w:proofErr w:type="spellEnd"/>
      <w:r w:rsidRPr="00225D4D">
        <w:t xml:space="preserve"> har invitert </w:t>
      </w:r>
      <w:proofErr w:type="spellStart"/>
      <w:r w:rsidRPr="00225D4D">
        <w:t>kommunar</w:t>
      </w:r>
      <w:proofErr w:type="spellEnd"/>
      <w:r w:rsidRPr="00225D4D">
        <w:t xml:space="preserve"> og </w:t>
      </w:r>
      <w:proofErr w:type="spellStart"/>
      <w:r w:rsidRPr="00225D4D">
        <w:t>fylkeskommunar</w:t>
      </w:r>
      <w:proofErr w:type="spellEnd"/>
      <w:r w:rsidRPr="00225D4D">
        <w:t xml:space="preserve"> til å søke om forsøk, og at </w:t>
      </w:r>
      <w:proofErr w:type="spellStart"/>
      <w:r w:rsidRPr="00225D4D">
        <w:t>kommunar</w:t>
      </w:r>
      <w:proofErr w:type="spellEnd"/>
      <w:r w:rsidRPr="00225D4D">
        <w:t xml:space="preserve"> og </w:t>
      </w:r>
      <w:proofErr w:type="spellStart"/>
      <w:r w:rsidRPr="00225D4D">
        <w:t>fylkeskommunar</w:t>
      </w:r>
      <w:proofErr w:type="spellEnd"/>
      <w:r w:rsidRPr="00225D4D">
        <w:t xml:space="preserve"> når som helst kan søke om forsøk etter </w:t>
      </w:r>
      <w:proofErr w:type="spellStart"/>
      <w:r w:rsidRPr="00225D4D">
        <w:t>dei</w:t>
      </w:r>
      <w:proofErr w:type="spellEnd"/>
      <w:r w:rsidRPr="00225D4D">
        <w:t xml:space="preserve"> </w:t>
      </w:r>
      <w:proofErr w:type="spellStart"/>
      <w:r w:rsidRPr="00225D4D">
        <w:t>forsøksheimlane</w:t>
      </w:r>
      <w:proofErr w:type="spellEnd"/>
      <w:r w:rsidRPr="00225D4D">
        <w:t xml:space="preserve"> som gjeld i dag, meiner departementet at oppmodingsvedtaket er </w:t>
      </w:r>
      <w:proofErr w:type="spellStart"/>
      <w:r w:rsidRPr="00225D4D">
        <w:t>følgt</w:t>
      </w:r>
      <w:proofErr w:type="spellEnd"/>
      <w:r w:rsidRPr="00225D4D">
        <w:t xml:space="preserve"> opp.</w:t>
      </w:r>
    </w:p>
    <w:p w14:paraId="5A712EA2" w14:textId="77777777" w:rsidR="00D60186" w:rsidRPr="00225D4D" w:rsidRDefault="00D60186" w:rsidP="00225D4D">
      <w:pPr>
        <w:pStyle w:val="avsnitt-tittel"/>
      </w:pPr>
      <w:r w:rsidRPr="00225D4D">
        <w:t xml:space="preserve">Gjennomgang av kommunesektorens </w:t>
      </w:r>
      <w:proofErr w:type="spellStart"/>
      <w:r w:rsidRPr="00225D4D">
        <w:t>oppgåver</w:t>
      </w:r>
      <w:proofErr w:type="spellEnd"/>
    </w:p>
    <w:p w14:paraId="4316DAA9" w14:textId="77777777" w:rsidR="00D60186" w:rsidRPr="00225D4D" w:rsidRDefault="00D60186" w:rsidP="00225D4D">
      <w:pPr>
        <w:pStyle w:val="avsnitt-undertittel"/>
      </w:pPr>
      <w:r w:rsidRPr="00225D4D">
        <w:t>Vedtak 525, 25. mars 2025</w:t>
      </w:r>
    </w:p>
    <w:p w14:paraId="5ECF6F1E" w14:textId="77777777" w:rsidR="00D60186" w:rsidRPr="00225D4D" w:rsidRDefault="00D60186" w:rsidP="00225D4D">
      <w:pPr>
        <w:pStyle w:val="blokksit"/>
        <w:rPr>
          <w:rStyle w:val="kursiv"/>
        </w:rPr>
      </w:pPr>
      <w:r w:rsidRPr="00225D4D">
        <w:rPr>
          <w:rStyle w:val="kursiv"/>
        </w:rPr>
        <w:t>«Stortinget ber regjeringen igangsette et arbeid med å gjennomgå kommunesektorens oppgaver, med sikte på at kommunene kan løse oppgaver mer effektivt, tiltrekke seg nødvendig kompetanse og øke det lokale handlingsrommet, slik at kommuner og fylkeskommuner får økt frihet til å prioritere og sikre innbyggernes rettigheter og tjenester av høy kvalitet. Regjeringen bes komme tilbake til Stortinget på egnet måte.»</w:t>
      </w:r>
    </w:p>
    <w:p w14:paraId="56E6B70D"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w:t>
      </w:r>
      <w:proofErr w:type="spellStart"/>
      <w:r w:rsidRPr="00225D4D">
        <w:t>Mudassar</w:t>
      </w:r>
      <w:proofErr w:type="spellEnd"/>
      <w:r w:rsidRPr="00225D4D">
        <w:t xml:space="preserve"> </w:t>
      </w:r>
      <w:proofErr w:type="spellStart"/>
      <w:r w:rsidRPr="00225D4D">
        <w:t>Kapur</w:t>
      </w:r>
      <w:proofErr w:type="spellEnd"/>
      <w:r w:rsidRPr="00225D4D">
        <w:t xml:space="preserve">, Sandra </w:t>
      </w:r>
      <w:proofErr w:type="spellStart"/>
      <w:r w:rsidRPr="00225D4D">
        <w:t>Bruflot</w:t>
      </w:r>
      <w:proofErr w:type="spellEnd"/>
      <w:r w:rsidRPr="00225D4D">
        <w:t xml:space="preserve">, Anne Kristine Linnestad og Charlotte Spurkeland om </w:t>
      </w:r>
      <w:proofErr w:type="spellStart"/>
      <w:r w:rsidRPr="00225D4D">
        <w:t>ein</w:t>
      </w:r>
      <w:proofErr w:type="spellEnd"/>
      <w:r w:rsidRPr="00225D4D">
        <w:t xml:space="preserve"> gjennomgang av kommunesektorens </w:t>
      </w:r>
      <w:proofErr w:type="spellStart"/>
      <w:r w:rsidRPr="00225D4D">
        <w:t>oppgåver</w:t>
      </w:r>
      <w:proofErr w:type="spellEnd"/>
      <w:r w:rsidRPr="00225D4D">
        <w:t xml:space="preserve"> og </w:t>
      </w:r>
      <w:proofErr w:type="spellStart"/>
      <w:r w:rsidRPr="00225D4D">
        <w:t>tilskot</w:t>
      </w:r>
      <w:proofErr w:type="spellEnd"/>
      <w:r w:rsidRPr="00225D4D">
        <w:t xml:space="preserve">, jf. Dokument 8:38 S og </w:t>
      </w:r>
      <w:proofErr w:type="spellStart"/>
      <w:r w:rsidRPr="00225D4D">
        <w:t>Innst</w:t>
      </w:r>
      <w:proofErr w:type="spellEnd"/>
      <w:r w:rsidRPr="00225D4D">
        <w:t>. 163 S (2024–2025).</w:t>
      </w:r>
    </w:p>
    <w:p w14:paraId="6C094FCD" w14:textId="77777777" w:rsidR="00D60186" w:rsidRPr="00225D4D" w:rsidRDefault="00D60186" w:rsidP="00225D4D">
      <w:r w:rsidRPr="00225D4D">
        <w:t xml:space="preserve">Regjeringa har sett ned </w:t>
      </w:r>
      <w:proofErr w:type="spellStart"/>
      <w:r w:rsidRPr="00225D4D">
        <w:t>ein</w:t>
      </w:r>
      <w:proofErr w:type="spellEnd"/>
      <w:r w:rsidRPr="00225D4D">
        <w:t xml:space="preserve"> kommisjon som skal foreslå </w:t>
      </w:r>
      <w:proofErr w:type="spellStart"/>
      <w:r w:rsidRPr="00225D4D">
        <w:t>endringar</w:t>
      </w:r>
      <w:proofErr w:type="spellEnd"/>
      <w:r w:rsidRPr="00225D4D">
        <w:t xml:space="preserve"> i den </w:t>
      </w:r>
      <w:proofErr w:type="spellStart"/>
      <w:r w:rsidRPr="00225D4D">
        <w:t>statlege</w:t>
      </w:r>
      <w:proofErr w:type="spellEnd"/>
      <w:r w:rsidRPr="00225D4D">
        <w:t xml:space="preserve"> styringa av kommunesektoren som legger til rette for god ressursbruk, fleksibel bruk av personell og effektiv </w:t>
      </w:r>
      <w:proofErr w:type="spellStart"/>
      <w:r w:rsidRPr="00225D4D">
        <w:t>oppgåveløysing</w:t>
      </w:r>
      <w:proofErr w:type="spellEnd"/>
      <w:r w:rsidRPr="00225D4D">
        <w:t xml:space="preserve"> i kommunesektoren. Kommisjonen skal òg vurdere og foreslå tiltak om det er andre forhold som binder kompetanse unødvendig, bidrar til unødvendig høge kostnader eller lite effektiv </w:t>
      </w:r>
      <w:proofErr w:type="spellStart"/>
      <w:r w:rsidRPr="00225D4D">
        <w:t>oppgåveløysing</w:t>
      </w:r>
      <w:proofErr w:type="spellEnd"/>
      <w:r w:rsidRPr="00225D4D">
        <w:t xml:space="preserve"> i </w:t>
      </w:r>
      <w:proofErr w:type="spellStart"/>
      <w:r w:rsidRPr="00225D4D">
        <w:t>kommunar</w:t>
      </w:r>
      <w:proofErr w:type="spellEnd"/>
      <w:r w:rsidRPr="00225D4D">
        <w:t xml:space="preserve"> og </w:t>
      </w:r>
      <w:proofErr w:type="spellStart"/>
      <w:r w:rsidRPr="00225D4D">
        <w:t>fylkeskommunar</w:t>
      </w:r>
      <w:proofErr w:type="spellEnd"/>
      <w:r w:rsidRPr="00225D4D">
        <w:t xml:space="preserve">. Kommisjonen skal etter planen levere </w:t>
      </w:r>
      <w:proofErr w:type="spellStart"/>
      <w:r w:rsidRPr="00225D4D">
        <w:t>ein</w:t>
      </w:r>
      <w:proofErr w:type="spellEnd"/>
      <w:r w:rsidRPr="00225D4D">
        <w:t xml:space="preserve"> første rapport før jul i år, </w:t>
      </w:r>
      <w:proofErr w:type="spellStart"/>
      <w:r w:rsidRPr="00225D4D">
        <w:t>medan</w:t>
      </w:r>
      <w:proofErr w:type="spellEnd"/>
      <w:r w:rsidRPr="00225D4D">
        <w:t xml:space="preserve"> neste rapport skal </w:t>
      </w:r>
      <w:proofErr w:type="spellStart"/>
      <w:r w:rsidRPr="00225D4D">
        <w:t>kome</w:t>
      </w:r>
      <w:proofErr w:type="spellEnd"/>
      <w:r w:rsidRPr="00225D4D">
        <w:t xml:space="preserve"> i 2026.</w:t>
      </w:r>
    </w:p>
    <w:p w14:paraId="3C4762C2"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19A48CE9" w14:textId="77777777" w:rsidR="00D60186" w:rsidRPr="00225D4D" w:rsidRDefault="00D60186" w:rsidP="00225D4D">
      <w:pPr>
        <w:pStyle w:val="avsnitt-tittel"/>
      </w:pPr>
      <w:r w:rsidRPr="00225D4D">
        <w:t>Gjennomgang av partilova</w:t>
      </w:r>
    </w:p>
    <w:p w14:paraId="58BE97B7" w14:textId="77777777" w:rsidR="00D60186" w:rsidRPr="00225D4D" w:rsidRDefault="00D60186" w:rsidP="00225D4D">
      <w:pPr>
        <w:pStyle w:val="avsnitt-undertittel"/>
      </w:pPr>
      <w:r w:rsidRPr="00225D4D">
        <w:t>Vedtak 697, 20. mai 2025</w:t>
      </w:r>
    </w:p>
    <w:p w14:paraId="22CF35DA" w14:textId="77777777" w:rsidR="00D60186" w:rsidRPr="00225D4D" w:rsidRDefault="00D60186" w:rsidP="00225D4D">
      <w:pPr>
        <w:pStyle w:val="blokksit"/>
        <w:rPr>
          <w:rStyle w:val="kursiv"/>
        </w:rPr>
      </w:pPr>
      <w:r w:rsidRPr="00225D4D">
        <w:rPr>
          <w:rStyle w:val="kursiv"/>
        </w:rPr>
        <w:t>«Stortinget ber regjeringen foreta en helhetlig gjennomgang av partiloven, herunder regelverket for finansiering av politiske partier, og komme tilbake til Stortinget på egnet måte.»</w:t>
      </w:r>
    </w:p>
    <w:p w14:paraId="0251B508"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w:t>
      </w:r>
      <w:proofErr w:type="spellStart"/>
      <w:r w:rsidRPr="00225D4D">
        <w:t>Mudassar</w:t>
      </w:r>
      <w:proofErr w:type="spellEnd"/>
      <w:r w:rsidRPr="00225D4D">
        <w:t xml:space="preserve"> </w:t>
      </w:r>
      <w:proofErr w:type="spellStart"/>
      <w:r w:rsidRPr="00225D4D">
        <w:t>Kapur</w:t>
      </w:r>
      <w:proofErr w:type="spellEnd"/>
      <w:r w:rsidRPr="00225D4D">
        <w:t xml:space="preserve"> og Trond Helleland om økt </w:t>
      </w:r>
      <w:proofErr w:type="spellStart"/>
      <w:r w:rsidRPr="00225D4D">
        <w:t>openheit</w:t>
      </w:r>
      <w:proofErr w:type="spellEnd"/>
      <w:r w:rsidRPr="00225D4D">
        <w:t xml:space="preserve"> rundt bidrag i form av direkte kandidatstøtte og i form av </w:t>
      </w:r>
      <w:proofErr w:type="spellStart"/>
      <w:r w:rsidRPr="00225D4D">
        <w:t>naturalytingar</w:t>
      </w:r>
      <w:proofErr w:type="spellEnd"/>
      <w:r w:rsidRPr="00225D4D">
        <w:t xml:space="preserve">, jf. Dokument 8:118 L og </w:t>
      </w:r>
      <w:proofErr w:type="spellStart"/>
      <w:r w:rsidRPr="00225D4D">
        <w:t>Innst</w:t>
      </w:r>
      <w:proofErr w:type="spellEnd"/>
      <w:r w:rsidRPr="00225D4D">
        <w:t>. 275 L (2024–2025).</w:t>
      </w:r>
    </w:p>
    <w:p w14:paraId="139A964D" w14:textId="77777777" w:rsidR="00D60186" w:rsidRPr="00225D4D" w:rsidRDefault="00D60186" w:rsidP="00225D4D">
      <w:r w:rsidRPr="00225D4D">
        <w:t xml:space="preserve">Regjeringa vil sette ned </w:t>
      </w:r>
      <w:proofErr w:type="spellStart"/>
      <w:r w:rsidRPr="00225D4D">
        <w:t>eit</w:t>
      </w:r>
      <w:proofErr w:type="spellEnd"/>
      <w:r w:rsidRPr="00225D4D">
        <w:t xml:space="preserve"> </w:t>
      </w:r>
      <w:proofErr w:type="spellStart"/>
      <w:r w:rsidRPr="00225D4D">
        <w:t>utval</w:t>
      </w:r>
      <w:proofErr w:type="spellEnd"/>
      <w:r w:rsidRPr="00225D4D">
        <w:t xml:space="preserve"> som skal foreslå ny </w:t>
      </w:r>
      <w:proofErr w:type="spellStart"/>
      <w:r w:rsidRPr="00225D4D">
        <w:t>partilov</w:t>
      </w:r>
      <w:proofErr w:type="spellEnd"/>
      <w:r w:rsidRPr="00225D4D">
        <w:t xml:space="preserve">. Dei politiske partia på Stortinget skal bidra med </w:t>
      </w:r>
      <w:proofErr w:type="spellStart"/>
      <w:r w:rsidRPr="00225D4D">
        <w:t>innspel</w:t>
      </w:r>
      <w:proofErr w:type="spellEnd"/>
      <w:r w:rsidRPr="00225D4D">
        <w:t xml:space="preserve"> til mandatet.</w:t>
      </w:r>
    </w:p>
    <w:p w14:paraId="2C84C9C3"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eigna måte.</w:t>
      </w:r>
    </w:p>
    <w:p w14:paraId="7D3D1ABF" w14:textId="77777777" w:rsidR="00D60186" w:rsidRPr="00225D4D" w:rsidRDefault="00D60186" w:rsidP="00225D4D">
      <w:pPr>
        <w:pStyle w:val="avsnitt-tittel"/>
      </w:pPr>
      <w:r w:rsidRPr="00225D4D">
        <w:t xml:space="preserve">Mindre </w:t>
      </w:r>
      <w:proofErr w:type="spellStart"/>
      <w:r w:rsidRPr="00225D4D">
        <w:t>føringar</w:t>
      </w:r>
      <w:proofErr w:type="spellEnd"/>
      <w:r w:rsidRPr="00225D4D">
        <w:t xml:space="preserve"> i areal- og </w:t>
      </w:r>
      <w:proofErr w:type="spellStart"/>
      <w:r w:rsidRPr="00225D4D">
        <w:t>transportplanar</w:t>
      </w:r>
      <w:proofErr w:type="spellEnd"/>
    </w:p>
    <w:p w14:paraId="2C381A95" w14:textId="77777777" w:rsidR="00D60186" w:rsidRPr="00225D4D" w:rsidRDefault="00D60186" w:rsidP="00225D4D">
      <w:pPr>
        <w:pStyle w:val="avsnitt-undertittel"/>
      </w:pPr>
      <w:r w:rsidRPr="00225D4D">
        <w:t>Vedtak 878, 4. juni 2025</w:t>
      </w:r>
    </w:p>
    <w:p w14:paraId="7F609014" w14:textId="77777777" w:rsidR="00D60186" w:rsidRPr="00225D4D" w:rsidRDefault="00D60186" w:rsidP="00225D4D">
      <w:pPr>
        <w:pStyle w:val="blokksit"/>
        <w:rPr>
          <w:rStyle w:val="kursiv"/>
        </w:rPr>
      </w:pPr>
      <w:r w:rsidRPr="00225D4D">
        <w:rPr>
          <w:rStyle w:val="kursiv"/>
        </w:rPr>
        <w:t>«Stortinget ber regjeringen påse at fylkeskommunenes areal- og transportplaner ikke legger så sterke føringer på kommunene og lokaldemokratiet at de hindrer boligbygging og gode lokale løsninger og bidrar til sentralisering og ensretting av boligtilbudet.»</w:t>
      </w:r>
    </w:p>
    <w:p w14:paraId="36845A2F"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Erlend Wiborg, Hans Andreas </w:t>
      </w:r>
      <w:proofErr w:type="spellStart"/>
      <w:r w:rsidRPr="00225D4D">
        <w:t>Limi</w:t>
      </w:r>
      <w:proofErr w:type="spellEnd"/>
      <w:r w:rsidRPr="00225D4D">
        <w:t xml:space="preserve">, Per-Willy Amundsen og Terje Halleland om </w:t>
      </w:r>
      <w:proofErr w:type="spellStart"/>
      <w:r w:rsidRPr="00225D4D">
        <w:t>ein</w:t>
      </w:r>
      <w:proofErr w:type="spellEnd"/>
      <w:r w:rsidRPr="00225D4D">
        <w:t xml:space="preserve"> betre politikk for å eie bustad og få bustad- og </w:t>
      </w:r>
      <w:proofErr w:type="spellStart"/>
      <w:r w:rsidRPr="00225D4D">
        <w:t>byggebransjen</w:t>
      </w:r>
      <w:proofErr w:type="spellEnd"/>
      <w:r w:rsidRPr="00225D4D">
        <w:t xml:space="preserve"> i gang, jf. Dokument 8:183 S og </w:t>
      </w:r>
      <w:proofErr w:type="spellStart"/>
      <w:r w:rsidRPr="00225D4D">
        <w:t>Innst</w:t>
      </w:r>
      <w:proofErr w:type="spellEnd"/>
      <w:r w:rsidRPr="00225D4D">
        <w:t>. 339 S (2024–2025).</w:t>
      </w:r>
    </w:p>
    <w:p w14:paraId="0E848DED" w14:textId="77777777" w:rsidR="00D60186" w:rsidRPr="00225D4D" w:rsidRDefault="00D60186" w:rsidP="00225D4D">
      <w:r w:rsidRPr="00225D4D">
        <w:t xml:space="preserve">Regjeringa </w:t>
      </w:r>
      <w:proofErr w:type="spellStart"/>
      <w:r w:rsidRPr="00225D4D">
        <w:t>visar</w:t>
      </w:r>
      <w:proofErr w:type="spellEnd"/>
      <w:r w:rsidRPr="00225D4D">
        <w:t xml:space="preserve"> til at fylkeskommunen etter plan- og bygningslova skal utarbeide regionale planar for spørsmål som er fastsett i regional planstrategi. Dei regionale </w:t>
      </w:r>
      <w:proofErr w:type="spellStart"/>
      <w:r w:rsidRPr="00225D4D">
        <w:t>planane</w:t>
      </w:r>
      <w:proofErr w:type="spellEnd"/>
      <w:r w:rsidRPr="00225D4D">
        <w:t xml:space="preserve"> er </w:t>
      </w:r>
      <w:proofErr w:type="spellStart"/>
      <w:r w:rsidRPr="00225D4D">
        <w:t>retningsgivande</w:t>
      </w:r>
      <w:proofErr w:type="spellEnd"/>
      <w:r w:rsidRPr="00225D4D">
        <w:t xml:space="preserve"> og skal bli lagt til grunn for kommunal og </w:t>
      </w:r>
      <w:proofErr w:type="spellStart"/>
      <w:r w:rsidRPr="00225D4D">
        <w:t>statleg</w:t>
      </w:r>
      <w:proofErr w:type="spellEnd"/>
      <w:r w:rsidRPr="00225D4D">
        <w:t xml:space="preserve"> planlegging.</w:t>
      </w:r>
    </w:p>
    <w:p w14:paraId="0E457034" w14:textId="77777777" w:rsidR="00D60186" w:rsidRPr="00225D4D" w:rsidRDefault="00D60186" w:rsidP="00225D4D">
      <w:r w:rsidRPr="00225D4D">
        <w:t xml:space="preserve">Regjeringa </w:t>
      </w:r>
      <w:proofErr w:type="spellStart"/>
      <w:r w:rsidRPr="00225D4D">
        <w:t>legg</w:t>
      </w:r>
      <w:proofErr w:type="spellEnd"/>
      <w:r w:rsidRPr="00225D4D">
        <w:t xml:space="preserve"> til grunn at </w:t>
      </w:r>
      <w:proofErr w:type="spellStart"/>
      <w:r w:rsidRPr="00225D4D">
        <w:t>kommunane</w:t>
      </w:r>
      <w:proofErr w:type="spellEnd"/>
      <w:r w:rsidRPr="00225D4D">
        <w:t xml:space="preserve"> skal ha </w:t>
      </w:r>
      <w:proofErr w:type="spellStart"/>
      <w:r w:rsidRPr="00225D4D">
        <w:t>friheit</w:t>
      </w:r>
      <w:proofErr w:type="spellEnd"/>
      <w:r w:rsidRPr="00225D4D">
        <w:t xml:space="preserve"> til å styre eigen arealutvikling </w:t>
      </w:r>
      <w:proofErr w:type="spellStart"/>
      <w:r w:rsidRPr="00225D4D">
        <w:t>innanfor</w:t>
      </w:r>
      <w:proofErr w:type="spellEnd"/>
      <w:r w:rsidRPr="00225D4D">
        <w:t xml:space="preserve"> rammene som nasjonale og </w:t>
      </w:r>
      <w:proofErr w:type="spellStart"/>
      <w:r w:rsidRPr="00225D4D">
        <w:t>vesentlege</w:t>
      </w:r>
      <w:proofErr w:type="spellEnd"/>
      <w:r w:rsidRPr="00225D4D">
        <w:t xml:space="preserve"> regionale interesser sett. Der kor </w:t>
      </w:r>
      <w:proofErr w:type="spellStart"/>
      <w:r w:rsidRPr="00225D4D">
        <w:t>konfliktar</w:t>
      </w:r>
      <w:proofErr w:type="spellEnd"/>
      <w:r w:rsidRPr="00225D4D">
        <w:t xml:space="preserve"> om </w:t>
      </w:r>
      <w:proofErr w:type="spellStart"/>
      <w:r w:rsidRPr="00225D4D">
        <w:t>innhaldet</w:t>
      </w:r>
      <w:proofErr w:type="spellEnd"/>
      <w:r w:rsidRPr="00225D4D">
        <w:t xml:space="preserve"> i og praktiseringa av regionale planer ender med føresegn eller </w:t>
      </w:r>
      <w:proofErr w:type="spellStart"/>
      <w:r w:rsidRPr="00225D4D">
        <w:t>vesentlege</w:t>
      </w:r>
      <w:proofErr w:type="spellEnd"/>
      <w:r w:rsidRPr="00225D4D">
        <w:t xml:space="preserve"> </w:t>
      </w:r>
      <w:proofErr w:type="spellStart"/>
      <w:r w:rsidRPr="00225D4D">
        <w:t>innvendingar</w:t>
      </w:r>
      <w:proofErr w:type="spellEnd"/>
      <w:r w:rsidRPr="00225D4D">
        <w:t xml:space="preserve"> vil </w:t>
      </w:r>
      <w:proofErr w:type="spellStart"/>
      <w:r w:rsidRPr="00225D4D">
        <w:t>desse</w:t>
      </w:r>
      <w:proofErr w:type="spellEnd"/>
      <w:r w:rsidRPr="00225D4D">
        <w:t xml:space="preserve"> kunne komme til behandling i Kommunal- og </w:t>
      </w:r>
      <w:proofErr w:type="spellStart"/>
      <w:r w:rsidRPr="00225D4D">
        <w:t>distriktsdepartementet</w:t>
      </w:r>
      <w:proofErr w:type="spellEnd"/>
      <w:r w:rsidRPr="00225D4D">
        <w:t xml:space="preserve">, kor statsråden vil ta stilling </w:t>
      </w:r>
      <w:proofErr w:type="spellStart"/>
      <w:r w:rsidRPr="00225D4D">
        <w:t>frå</w:t>
      </w:r>
      <w:proofErr w:type="spellEnd"/>
      <w:r w:rsidRPr="00225D4D">
        <w:t xml:space="preserve"> sak til sak.</w:t>
      </w:r>
    </w:p>
    <w:p w14:paraId="18EE29B9" w14:textId="77777777" w:rsidR="00D60186" w:rsidRPr="00225D4D" w:rsidRDefault="00D60186" w:rsidP="00225D4D">
      <w:r w:rsidRPr="00225D4D">
        <w:t xml:space="preserve">Plan- og bygningslova </w:t>
      </w:r>
      <w:proofErr w:type="spellStart"/>
      <w:r w:rsidRPr="00225D4D">
        <w:t>seier</w:t>
      </w:r>
      <w:proofErr w:type="spellEnd"/>
      <w:r w:rsidRPr="00225D4D">
        <w:t xml:space="preserve"> at </w:t>
      </w:r>
      <w:proofErr w:type="spellStart"/>
      <w:r w:rsidRPr="00225D4D">
        <w:t>kommunane</w:t>
      </w:r>
      <w:proofErr w:type="spellEnd"/>
      <w:r w:rsidRPr="00225D4D">
        <w:t xml:space="preserve"> skal legge til rette for </w:t>
      </w:r>
      <w:proofErr w:type="spellStart"/>
      <w:r w:rsidRPr="00225D4D">
        <w:t>tilstrekkeleg</w:t>
      </w:r>
      <w:proofErr w:type="spellEnd"/>
      <w:r w:rsidRPr="00225D4D">
        <w:t xml:space="preserve"> bygging av </w:t>
      </w:r>
      <w:proofErr w:type="spellStart"/>
      <w:r w:rsidRPr="00225D4D">
        <w:t>bustader</w:t>
      </w:r>
      <w:proofErr w:type="spellEnd"/>
      <w:r w:rsidRPr="00225D4D">
        <w:t xml:space="preserve">. Lova gir </w:t>
      </w:r>
      <w:proofErr w:type="spellStart"/>
      <w:r w:rsidRPr="00225D4D">
        <w:t>fylkeskommunane</w:t>
      </w:r>
      <w:proofErr w:type="spellEnd"/>
      <w:r w:rsidRPr="00225D4D">
        <w:t xml:space="preserve"> og </w:t>
      </w:r>
      <w:proofErr w:type="spellStart"/>
      <w:r w:rsidRPr="00225D4D">
        <w:t>kommunane</w:t>
      </w:r>
      <w:proofErr w:type="spellEnd"/>
      <w:r w:rsidRPr="00225D4D">
        <w:t xml:space="preserve"> fleksibilitet til å tilpasse planlegginga til behovet for ulike </w:t>
      </w:r>
      <w:proofErr w:type="spellStart"/>
      <w:r w:rsidRPr="00225D4D">
        <w:t>typar</w:t>
      </w:r>
      <w:proofErr w:type="spellEnd"/>
      <w:r w:rsidRPr="00225D4D">
        <w:t xml:space="preserve"> </w:t>
      </w:r>
      <w:proofErr w:type="spellStart"/>
      <w:r w:rsidRPr="00225D4D">
        <w:t>bustader</w:t>
      </w:r>
      <w:proofErr w:type="spellEnd"/>
      <w:r w:rsidRPr="00225D4D">
        <w:t xml:space="preserve">. I </w:t>
      </w:r>
      <w:proofErr w:type="spellStart"/>
      <w:r w:rsidRPr="00225D4D">
        <w:t>dei</w:t>
      </w:r>
      <w:proofErr w:type="spellEnd"/>
      <w:r w:rsidRPr="00225D4D">
        <w:t xml:space="preserve"> nye </w:t>
      </w:r>
      <w:proofErr w:type="spellStart"/>
      <w:r w:rsidRPr="00225D4D">
        <w:t>statlege</w:t>
      </w:r>
      <w:proofErr w:type="spellEnd"/>
      <w:r w:rsidRPr="00225D4D">
        <w:t xml:space="preserve"> planretningslinjene for arealbruk og mobilitet har regjeringa differensiert </w:t>
      </w:r>
      <w:proofErr w:type="spellStart"/>
      <w:r w:rsidRPr="00225D4D">
        <w:t>meir</w:t>
      </w:r>
      <w:proofErr w:type="spellEnd"/>
      <w:r w:rsidRPr="00225D4D">
        <w:t xml:space="preserve"> mellom </w:t>
      </w:r>
      <w:proofErr w:type="spellStart"/>
      <w:r w:rsidRPr="00225D4D">
        <w:t>kommunar</w:t>
      </w:r>
      <w:proofErr w:type="spellEnd"/>
      <w:r w:rsidRPr="00225D4D">
        <w:t xml:space="preserve"> i </w:t>
      </w:r>
      <w:proofErr w:type="spellStart"/>
      <w:r w:rsidRPr="00225D4D">
        <w:t>storregionar</w:t>
      </w:r>
      <w:proofErr w:type="spellEnd"/>
      <w:r w:rsidRPr="00225D4D">
        <w:t xml:space="preserve"> og øvrige </w:t>
      </w:r>
      <w:proofErr w:type="spellStart"/>
      <w:r w:rsidRPr="00225D4D">
        <w:t>kommunar</w:t>
      </w:r>
      <w:proofErr w:type="spellEnd"/>
      <w:r w:rsidRPr="00225D4D">
        <w:t xml:space="preserve">. Når </w:t>
      </w:r>
      <w:proofErr w:type="spellStart"/>
      <w:r w:rsidRPr="00225D4D">
        <w:t>fylkeskommunane</w:t>
      </w:r>
      <w:proofErr w:type="spellEnd"/>
      <w:r w:rsidRPr="00225D4D">
        <w:t xml:space="preserve"> lager regionale planer, bør </w:t>
      </w:r>
      <w:proofErr w:type="spellStart"/>
      <w:r w:rsidRPr="00225D4D">
        <w:t>dei</w:t>
      </w:r>
      <w:proofErr w:type="spellEnd"/>
      <w:r w:rsidRPr="00225D4D">
        <w:t xml:space="preserve"> legge vekt på dette. Dei </w:t>
      </w:r>
      <w:proofErr w:type="spellStart"/>
      <w:r w:rsidRPr="00225D4D">
        <w:t>statlege</w:t>
      </w:r>
      <w:proofErr w:type="spellEnd"/>
      <w:r w:rsidRPr="00225D4D">
        <w:t xml:space="preserve"> planretningslinjene for arealbruk og mobilitet </w:t>
      </w:r>
      <w:proofErr w:type="spellStart"/>
      <w:r w:rsidRPr="00225D4D">
        <w:t>inneheld</w:t>
      </w:r>
      <w:proofErr w:type="spellEnd"/>
      <w:r w:rsidRPr="00225D4D">
        <w:t xml:space="preserve"> </w:t>
      </w:r>
      <w:proofErr w:type="spellStart"/>
      <w:r w:rsidRPr="00225D4D">
        <w:t>ein</w:t>
      </w:r>
      <w:proofErr w:type="spellEnd"/>
      <w:r w:rsidRPr="00225D4D">
        <w:t xml:space="preserve"> eigen retningslinje 3.4 om bustad og bustadsamansetning som ivaretar og avveier hensyna bak </w:t>
      </w:r>
      <w:proofErr w:type="spellStart"/>
      <w:r w:rsidRPr="00225D4D">
        <w:t>oppmodningsvedtaket</w:t>
      </w:r>
      <w:proofErr w:type="spellEnd"/>
      <w:r w:rsidRPr="00225D4D">
        <w:t>: «</w:t>
      </w:r>
      <w:r w:rsidRPr="00225D4D">
        <w:rPr>
          <w:rStyle w:val="kursiv"/>
        </w:rPr>
        <w:t xml:space="preserve">Det skal bli lagt til rette for </w:t>
      </w:r>
      <w:proofErr w:type="spellStart"/>
      <w:r w:rsidRPr="00225D4D">
        <w:rPr>
          <w:rStyle w:val="kursiv"/>
        </w:rPr>
        <w:t>tilstrekkeleg</w:t>
      </w:r>
      <w:proofErr w:type="spellEnd"/>
      <w:r w:rsidRPr="00225D4D">
        <w:rPr>
          <w:rStyle w:val="kursiv"/>
        </w:rPr>
        <w:t xml:space="preserve"> og variert </w:t>
      </w:r>
      <w:proofErr w:type="spellStart"/>
      <w:r w:rsidRPr="00225D4D">
        <w:rPr>
          <w:rStyle w:val="kursiv"/>
        </w:rPr>
        <w:t>bustadbusetnad</w:t>
      </w:r>
      <w:proofErr w:type="spellEnd"/>
      <w:r w:rsidRPr="00225D4D">
        <w:rPr>
          <w:rStyle w:val="kursiv"/>
        </w:rPr>
        <w:t xml:space="preserve">. Planlegginga skal bidra til gode bumiljø for alle. Potensialet for fortetting i bustadområder og andre utbygde areal skal bli kartlagt og bør bli utnytta før det blir lagt til rette for utviding av </w:t>
      </w:r>
      <w:proofErr w:type="spellStart"/>
      <w:r w:rsidRPr="00225D4D">
        <w:rPr>
          <w:rStyle w:val="kursiv"/>
        </w:rPr>
        <w:t>eksisterande</w:t>
      </w:r>
      <w:proofErr w:type="spellEnd"/>
      <w:r w:rsidRPr="00225D4D">
        <w:rPr>
          <w:rStyle w:val="kursiv"/>
        </w:rPr>
        <w:t xml:space="preserve"> bustadområder og utbygging i nye områder</w:t>
      </w:r>
      <w:r w:rsidRPr="00225D4D">
        <w:t>».</w:t>
      </w:r>
    </w:p>
    <w:p w14:paraId="03C365D8" w14:textId="77777777" w:rsidR="00D60186" w:rsidRPr="00225D4D" w:rsidRDefault="00D60186" w:rsidP="00225D4D">
      <w:proofErr w:type="spellStart"/>
      <w:r w:rsidRPr="00225D4D">
        <w:t>Intensjonane</w:t>
      </w:r>
      <w:proofErr w:type="spellEnd"/>
      <w:r w:rsidRPr="00225D4D">
        <w:t xml:space="preserve"> i </w:t>
      </w:r>
      <w:proofErr w:type="spellStart"/>
      <w:r w:rsidRPr="00225D4D">
        <w:t>oppmodningsvedtaket</w:t>
      </w:r>
      <w:proofErr w:type="spellEnd"/>
      <w:r w:rsidRPr="00225D4D">
        <w:t xml:space="preserve"> vil bli </w:t>
      </w:r>
      <w:proofErr w:type="spellStart"/>
      <w:r w:rsidRPr="00225D4D">
        <w:t>følgt</w:t>
      </w:r>
      <w:proofErr w:type="spellEnd"/>
      <w:r w:rsidRPr="00225D4D">
        <w:t xml:space="preserve"> opp gjennom praksis knytt til plan- og bygningslova. I tillegg vil det </w:t>
      </w:r>
      <w:proofErr w:type="spellStart"/>
      <w:r w:rsidRPr="00225D4D">
        <w:t>vere</w:t>
      </w:r>
      <w:proofErr w:type="spellEnd"/>
      <w:r w:rsidRPr="00225D4D">
        <w:t xml:space="preserve"> naturlig å drøfte </w:t>
      </w:r>
      <w:proofErr w:type="spellStart"/>
      <w:r w:rsidRPr="00225D4D">
        <w:t>problemstillingane</w:t>
      </w:r>
      <w:proofErr w:type="spellEnd"/>
      <w:r w:rsidRPr="00225D4D">
        <w:t xml:space="preserve"> i </w:t>
      </w:r>
      <w:proofErr w:type="spellStart"/>
      <w:r w:rsidRPr="00225D4D">
        <w:t>oppmodningsvedtaket</w:t>
      </w:r>
      <w:proofErr w:type="spellEnd"/>
      <w:r w:rsidRPr="00225D4D">
        <w:t xml:space="preserve"> i samband med ei stortingsmelding om arealplanlegging og arkitektur som regjeringa vil igangsette, og som vil inkludere </w:t>
      </w:r>
      <w:proofErr w:type="spellStart"/>
      <w:r w:rsidRPr="00225D4D">
        <w:t>ein</w:t>
      </w:r>
      <w:proofErr w:type="spellEnd"/>
      <w:r w:rsidRPr="00225D4D">
        <w:t xml:space="preserve"> bred </w:t>
      </w:r>
      <w:proofErr w:type="spellStart"/>
      <w:r w:rsidRPr="00225D4D">
        <w:t>medverkings</w:t>
      </w:r>
      <w:proofErr w:type="spellEnd"/>
      <w:r w:rsidRPr="00225D4D">
        <w:t xml:space="preserve">- og </w:t>
      </w:r>
      <w:proofErr w:type="spellStart"/>
      <w:r w:rsidRPr="00225D4D">
        <w:t>innspelsprosess</w:t>
      </w:r>
      <w:proofErr w:type="spellEnd"/>
      <w:r w:rsidRPr="00225D4D">
        <w:t>.</w:t>
      </w:r>
    </w:p>
    <w:p w14:paraId="7A26B574"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3A0C26DE" w14:textId="77777777" w:rsidR="00D60186" w:rsidRPr="00225D4D" w:rsidRDefault="00D60186" w:rsidP="00225D4D">
      <w:pPr>
        <w:pStyle w:val="avsnitt-tittel"/>
      </w:pPr>
      <w:proofErr w:type="spellStart"/>
      <w:r w:rsidRPr="00225D4D">
        <w:t>Enklare</w:t>
      </w:r>
      <w:proofErr w:type="spellEnd"/>
      <w:r w:rsidRPr="00225D4D">
        <w:t xml:space="preserve"> handsaming av byggesaker</w:t>
      </w:r>
    </w:p>
    <w:p w14:paraId="7F3BD2B5" w14:textId="77777777" w:rsidR="00D60186" w:rsidRPr="00225D4D" w:rsidRDefault="00D60186" w:rsidP="00225D4D">
      <w:pPr>
        <w:pStyle w:val="avsnitt-undertittel"/>
      </w:pPr>
      <w:r w:rsidRPr="00225D4D">
        <w:t>Vedtak 880, 4. juni 2025</w:t>
      </w:r>
    </w:p>
    <w:p w14:paraId="350F7592" w14:textId="77777777" w:rsidR="00D60186" w:rsidRPr="00225D4D" w:rsidRDefault="00D60186" w:rsidP="00225D4D">
      <w:pPr>
        <w:pStyle w:val="blokksit"/>
        <w:rPr>
          <w:rStyle w:val="kursiv"/>
        </w:rPr>
      </w:pPr>
      <w:r w:rsidRPr="00225D4D">
        <w:rPr>
          <w:rStyle w:val="kursiv"/>
        </w:rPr>
        <w:t>«Stortinget ber regjeringen avbyråkratisere og forenkle byggesaksbehandlingen og gjennomgå fordyrende tekniske krav med tanke på at slike ikke skal bidra til unødig høye kostnader. Innenfor godkjente reguleringsplaner bør prinsippet om forenklet byggesak gjelde.»</w:t>
      </w:r>
    </w:p>
    <w:p w14:paraId="2D1E39C8"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Erlend Wiborg og Per-Willy Amundsen om </w:t>
      </w:r>
      <w:proofErr w:type="spellStart"/>
      <w:r w:rsidRPr="00225D4D">
        <w:t>dispensasjonar</w:t>
      </w:r>
      <w:proofErr w:type="spellEnd"/>
      <w:r w:rsidRPr="00225D4D">
        <w:t xml:space="preserve">, </w:t>
      </w:r>
      <w:proofErr w:type="spellStart"/>
      <w:r w:rsidRPr="00225D4D">
        <w:t>motsegner</w:t>
      </w:r>
      <w:proofErr w:type="spellEnd"/>
      <w:r w:rsidRPr="00225D4D">
        <w:t xml:space="preserve"> og </w:t>
      </w:r>
      <w:proofErr w:type="spellStart"/>
      <w:r w:rsidRPr="00225D4D">
        <w:t>forenklingar</w:t>
      </w:r>
      <w:proofErr w:type="spellEnd"/>
      <w:r w:rsidRPr="00225D4D">
        <w:t xml:space="preserve"> i plan og bygningsloven for å skape vekst, jf. Dokument 8:185 S og </w:t>
      </w:r>
      <w:proofErr w:type="spellStart"/>
      <w:r w:rsidRPr="00225D4D">
        <w:t>Innst</w:t>
      </w:r>
      <w:proofErr w:type="spellEnd"/>
      <w:r w:rsidRPr="00225D4D">
        <w:t>. 340 S (2024–2025).</w:t>
      </w:r>
    </w:p>
    <w:p w14:paraId="7B9B7C07" w14:textId="77777777" w:rsidR="00D60186" w:rsidRPr="00225D4D" w:rsidRDefault="00D60186" w:rsidP="00225D4D">
      <w:r w:rsidRPr="00225D4D">
        <w:t xml:space="preserve">Det har over </w:t>
      </w:r>
      <w:proofErr w:type="spellStart"/>
      <w:r w:rsidRPr="00225D4D">
        <w:t>fleire</w:t>
      </w:r>
      <w:proofErr w:type="spellEnd"/>
      <w:r w:rsidRPr="00225D4D">
        <w:t xml:space="preserve"> år </w:t>
      </w:r>
      <w:proofErr w:type="spellStart"/>
      <w:r w:rsidRPr="00225D4D">
        <w:t>vore</w:t>
      </w:r>
      <w:proofErr w:type="spellEnd"/>
      <w:r w:rsidRPr="00225D4D">
        <w:t xml:space="preserve"> jobba med å digitalisere og forenkle </w:t>
      </w:r>
      <w:proofErr w:type="spellStart"/>
      <w:r w:rsidRPr="00225D4D">
        <w:t>byggesaksprosessane</w:t>
      </w:r>
      <w:proofErr w:type="spellEnd"/>
      <w:r w:rsidRPr="00225D4D">
        <w:t xml:space="preserve">, </w:t>
      </w:r>
      <w:proofErr w:type="spellStart"/>
      <w:r w:rsidRPr="00225D4D">
        <w:t>noko</w:t>
      </w:r>
      <w:proofErr w:type="spellEnd"/>
      <w:r w:rsidRPr="00225D4D">
        <w:t xml:space="preserve"> som har gitt store </w:t>
      </w:r>
      <w:proofErr w:type="spellStart"/>
      <w:r w:rsidRPr="00225D4D">
        <w:t>innsparingar</w:t>
      </w:r>
      <w:proofErr w:type="spellEnd"/>
      <w:r w:rsidRPr="00225D4D">
        <w:t xml:space="preserve"> for både næringa og </w:t>
      </w:r>
      <w:proofErr w:type="spellStart"/>
      <w:r w:rsidRPr="00225D4D">
        <w:t>kommunane</w:t>
      </w:r>
      <w:proofErr w:type="spellEnd"/>
      <w:r w:rsidRPr="00225D4D">
        <w:t xml:space="preserve">. Digitalisering </w:t>
      </w:r>
      <w:proofErr w:type="spellStart"/>
      <w:r w:rsidRPr="00225D4D">
        <w:t>gjer</w:t>
      </w:r>
      <w:proofErr w:type="spellEnd"/>
      <w:r w:rsidRPr="00225D4D">
        <w:t xml:space="preserve"> sakshandsaminga </w:t>
      </w:r>
      <w:proofErr w:type="spellStart"/>
      <w:r w:rsidRPr="00225D4D">
        <w:t>enklare</w:t>
      </w:r>
      <w:proofErr w:type="spellEnd"/>
      <w:r w:rsidRPr="00225D4D">
        <w:t xml:space="preserve"> og </w:t>
      </w:r>
      <w:proofErr w:type="spellStart"/>
      <w:r w:rsidRPr="00225D4D">
        <w:t>raskare</w:t>
      </w:r>
      <w:proofErr w:type="spellEnd"/>
      <w:r w:rsidRPr="00225D4D">
        <w:t xml:space="preserve">, og kan bidra til å </w:t>
      </w:r>
      <w:proofErr w:type="spellStart"/>
      <w:r w:rsidRPr="00225D4D">
        <w:t>synleggjere</w:t>
      </w:r>
      <w:proofErr w:type="spellEnd"/>
      <w:r w:rsidRPr="00225D4D">
        <w:t xml:space="preserve"> kompliserte, unødvendige eller </w:t>
      </w:r>
      <w:proofErr w:type="spellStart"/>
      <w:r w:rsidRPr="00225D4D">
        <w:t>motstridande</w:t>
      </w:r>
      <w:proofErr w:type="spellEnd"/>
      <w:r w:rsidRPr="00225D4D">
        <w:t xml:space="preserve"> </w:t>
      </w:r>
      <w:proofErr w:type="spellStart"/>
      <w:r w:rsidRPr="00225D4D">
        <w:t>reglar</w:t>
      </w:r>
      <w:proofErr w:type="spellEnd"/>
      <w:r w:rsidRPr="00225D4D">
        <w:t xml:space="preserve">. Regjeringa </w:t>
      </w:r>
      <w:proofErr w:type="spellStart"/>
      <w:r w:rsidRPr="00225D4D">
        <w:t>styrkjer</w:t>
      </w:r>
      <w:proofErr w:type="spellEnd"/>
      <w:r w:rsidRPr="00225D4D">
        <w:t xml:space="preserve"> innsatsen for digitalisering av plan- og byggesaker. Våren 2025 leverte ei arbeidsgruppe med </w:t>
      </w:r>
      <w:proofErr w:type="spellStart"/>
      <w:r w:rsidRPr="00225D4D">
        <w:t>deltakarar</w:t>
      </w:r>
      <w:proofErr w:type="spellEnd"/>
      <w:r w:rsidRPr="00225D4D">
        <w:t xml:space="preserve"> </w:t>
      </w:r>
      <w:proofErr w:type="spellStart"/>
      <w:r w:rsidRPr="00225D4D">
        <w:t>frå</w:t>
      </w:r>
      <w:proofErr w:type="spellEnd"/>
      <w:r w:rsidRPr="00225D4D">
        <w:t xml:space="preserve"> byggenæringa, </w:t>
      </w:r>
      <w:proofErr w:type="spellStart"/>
      <w:r w:rsidRPr="00225D4D">
        <w:t>kommunane</w:t>
      </w:r>
      <w:proofErr w:type="spellEnd"/>
      <w:r w:rsidRPr="00225D4D">
        <w:t xml:space="preserve"> og staten </w:t>
      </w:r>
      <w:proofErr w:type="spellStart"/>
      <w:r w:rsidRPr="00225D4D">
        <w:t>fleire</w:t>
      </w:r>
      <w:proofErr w:type="spellEnd"/>
      <w:r w:rsidRPr="00225D4D">
        <w:t xml:space="preserve"> forslag til tiltak for </w:t>
      </w:r>
      <w:proofErr w:type="spellStart"/>
      <w:r w:rsidRPr="00225D4D">
        <w:t>raskare</w:t>
      </w:r>
      <w:proofErr w:type="spellEnd"/>
      <w:r w:rsidRPr="00225D4D">
        <w:t xml:space="preserve"> plan- og </w:t>
      </w:r>
      <w:proofErr w:type="spellStart"/>
      <w:r w:rsidRPr="00225D4D">
        <w:t>byggesaksprosessar</w:t>
      </w:r>
      <w:proofErr w:type="spellEnd"/>
      <w:r w:rsidRPr="00225D4D">
        <w:t xml:space="preserve">. Arbeidsgruppa </w:t>
      </w:r>
      <w:proofErr w:type="spellStart"/>
      <w:r w:rsidRPr="00225D4D">
        <w:t>peikte</w:t>
      </w:r>
      <w:proofErr w:type="spellEnd"/>
      <w:r w:rsidRPr="00225D4D">
        <w:t xml:space="preserve"> </w:t>
      </w:r>
      <w:proofErr w:type="spellStart"/>
      <w:r w:rsidRPr="00225D4D">
        <w:t>ikkje</w:t>
      </w:r>
      <w:proofErr w:type="spellEnd"/>
      <w:r w:rsidRPr="00225D4D">
        <w:t xml:space="preserve"> på tekniske krav som </w:t>
      </w:r>
      <w:proofErr w:type="spellStart"/>
      <w:r w:rsidRPr="00225D4D">
        <w:t>særleg</w:t>
      </w:r>
      <w:proofErr w:type="spellEnd"/>
      <w:r w:rsidRPr="00225D4D">
        <w:t xml:space="preserve"> </w:t>
      </w:r>
      <w:proofErr w:type="spellStart"/>
      <w:r w:rsidRPr="00225D4D">
        <w:t>utfordrande</w:t>
      </w:r>
      <w:proofErr w:type="spellEnd"/>
      <w:r w:rsidRPr="00225D4D">
        <w:t xml:space="preserve"> for bustadbygging, og meinte </w:t>
      </w:r>
      <w:proofErr w:type="spellStart"/>
      <w:r w:rsidRPr="00225D4D">
        <w:t>desse</w:t>
      </w:r>
      <w:proofErr w:type="spellEnd"/>
      <w:r w:rsidRPr="00225D4D">
        <w:t xml:space="preserve"> i </w:t>
      </w:r>
      <w:proofErr w:type="spellStart"/>
      <w:r w:rsidRPr="00225D4D">
        <w:t>hovudsak</w:t>
      </w:r>
      <w:proofErr w:type="spellEnd"/>
      <w:r w:rsidRPr="00225D4D">
        <w:t xml:space="preserve"> ligg på </w:t>
      </w:r>
      <w:proofErr w:type="spellStart"/>
      <w:r w:rsidRPr="00225D4D">
        <w:t>eit</w:t>
      </w:r>
      <w:proofErr w:type="spellEnd"/>
      <w:r w:rsidRPr="00225D4D">
        <w:t xml:space="preserve"> fornuftig nivå. Likevel er det enkelte krav kan verke lite </w:t>
      </w:r>
      <w:proofErr w:type="spellStart"/>
      <w:r w:rsidRPr="00225D4D">
        <w:t>føremålstenlege</w:t>
      </w:r>
      <w:proofErr w:type="spellEnd"/>
      <w:r w:rsidRPr="00225D4D">
        <w:t xml:space="preserve"> og </w:t>
      </w:r>
      <w:proofErr w:type="spellStart"/>
      <w:r w:rsidRPr="00225D4D">
        <w:t>fordyrande</w:t>
      </w:r>
      <w:proofErr w:type="spellEnd"/>
      <w:r w:rsidRPr="00225D4D">
        <w:t>. Dette følgjer departementet opp.</w:t>
      </w:r>
    </w:p>
    <w:p w14:paraId="16F21899" w14:textId="77777777" w:rsidR="00D60186" w:rsidRPr="00225D4D" w:rsidRDefault="00D60186" w:rsidP="00225D4D">
      <w:r w:rsidRPr="00225D4D">
        <w:t xml:space="preserve">Det er </w:t>
      </w:r>
      <w:proofErr w:type="spellStart"/>
      <w:r w:rsidRPr="00225D4D">
        <w:t>eit</w:t>
      </w:r>
      <w:proofErr w:type="spellEnd"/>
      <w:r w:rsidRPr="00225D4D">
        <w:t xml:space="preserve"> </w:t>
      </w:r>
      <w:proofErr w:type="spellStart"/>
      <w:r w:rsidRPr="00225D4D">
        <w:t>betydeleg</w:t>
      </w:r>
      <w:proofErr w:type="spellEnd"/>
      <w:r w:rsidRPr="00225D4D">
        <w:t xml:space="preserve"> forenklingspotensial i å omstrukturere </w:t>
      </w:r>
      <w:proofErr w:type="spellStart"/>
      <w:r w:rsidRPr="00225D4D">
        <w:t>dei</w:t>
      </w:r>
      <w:proofErr w:type="spellEnd"/>
      <w:r w:rsidRPr="00225D4D">
        <w:t xml:space="preserve"> </w:t>
      </w:r>
      <w:proofErr w:type="spellStart"/>
      <w:r w:rsidRPr="00225D4D">
        <w:t>byggtekniske</w:t>
      </w:r>
      <w:proofErr w:type="spellEnd"/>
      <w:r w:rsidRPr="00225D4D">
        <w:t xml:space="preserve"> krava slik at regelverket blir betre tilrettelagt for digital bruk. Direktoratet for </w:t>
      </w:r>
      <w:proofErr w:type="spellStart"/>
      <w:r w:rsidRPr="00225D4D">
        <w:t>byggkvalitet</w:t>
      </w:r>
      <w:proofErr w:type="spellEnd"/>
      <w:r w:rsidRPr="00225D4D">
        <w:t xml:space="preserve"> er i gang med digitalisering av </w:t>
      </w:r>
      <w:proofErr w:type="spellStart"/>
      <w:r w:rsidRPr="00225D4D">
        <w:t>byggteknisk</w:t>
      </w:r>
      <w:proofErr w:type="spellEnd"/>
      <w:r w:rsidRPr="00225D4D">
        <w:t xml:space="preserve"> forskrift for å </w:t>
      </w:r>
      <w:proofErr w:type="spellStart"/>
      <w:r w:rsidRPr="00225D4D">
        <w:t>gjere</w:t>
      </w:r>
      <w:proofErr w:type="spellEnd"/>
      <w:r w:rsidRPr="00225D4D">
        <w:t xml:space="preserve"> det </w:t>
      </w:r>
      <w:proofErr w:type="spellStart"/>
      <w:r w:rsidRPr="00225D4D">
        <w:t>enklare</w:t>
      </w:r>
      <w:proofErr w:type="spellEnd"/>
      <w:r w:rsidRPr="00225D4D">
        <w:t xml:space="preserve"> å forstå når </w:t>
      </w:r>
      <w:proofErr w:type="spellStart"/>
      <w:r w:rsidRPr="00225D4D">
        <w:t>eit</w:t>
      </w:r>
      <w:proofErr w:type="spellEnd"/>
      <w:r w:rsidRPr="00225D4D">
        <w:t xml:space="preserve"> krav gjeld, kva kravet konkret </w:t>
      </w:r>
      <w:proofErr w:type="spellStart"/>
      <w:r w:rsidRPr="00225D4D">
        <w:t>inneber</w:t>
      </w:r>
      <w:proofErr w:type="spellEnd"/>
      <w:r w:rsidRPr="00225D4D">
        <w:t xml:space="preserve">, og når det er oppfylt. Det er uklart </w:t>
      </w:r>
      <w:proofErr w:type="spellStart"/>
      <w:r w:rsidRPr="00225D4D">
        <w:t>kva</w:t>
      </w:r>
      <w:proofErr w:type="spellEnd"/>
      <w:r w:rsidRPr="00225D4D">
        <w:t xml:space="preserve"> som er meint med at prinsippet om forenkla byggesak skal gjelde </w:t>
      </w:r>
      <w:proofErr w:type="spellStart"/>
      <w:r w:rsidRPr="00225D4D">
        <w:t>innanfor</w:t>
      </w:r>
      <w:proofErr w:type="spellEnd"/>
      <w:r w:rsidRPr="00225D4D">
        <w:t xml:space="preserve"> </w:t>
      </w:r>
      <w:proofErr w:type="spellStart"/>
      <w:r w:rsidRPr="00225D4D">
        <w:t>godkjende</w:t>
      </w:r>
      <w:proofErr w:type="spellEnd"/>
      <w:r w:rsidRPr="00225D4D">
        <w:t xml:space="preserve"> </w:t>
      </w:r>
      <w:proofErr w:type="spellStart"/>
      <w:r w:rsidRPr="00225D4D">
        <w:t>reguleringsplanar</w:t>
      </w:r>
      <w:proofErr w:type="spellEnd"/>
      <w:r w:rsidRPr="00225D4D">
        <w:t xml:space="preserve">. </w:t>
      </w:r>
      <w:proofErr w:type="spellStart"/>
      <w:r w:rsidRPr="00225D4D">
        <w:t>Eit</w:t>
      </w:r>
      <w:proofErr w:type="spellEnd"/>
      <w:r w:rsidRPr="00225D4D">
        <w:t xml:space="preserve"> slikt prinsipp og omgrepsbruk er </w:t>
      </w:r>
      <w:proofErr w:type="spellStart"/>
      <w:r w:rsidRPr="00225D4D">
        <w:t>ikkje</w:t>
      </w:r>
      <w:proofErr w:type="spellEnd"/>
      <w:r w:rsidRPr="00225D4D">
        <w:t xml:space="preserve"> etablert i plan- og bygningsregelverket. Departementet er </w:t>
      </w:r>
      <w:proofErr w:type="spellStart"/>
      <w:r w:rsidRPr="00225D4D">
        <w:t>oppteken</w:t>
      </w:r>
      <w:proofErr w:type="spellEnd"/>
      <w:r w:rsidRPr="00225D4D">
        <w:t xml:space="preserve"> av at byggesakshandsaminga skal </w:t>
      </w:r>
      <w:proofErr w:type="spellStart"/>
      <w:r w:rsidRPr="00225D4D">
        <w:t>vere</w:t>
      </w:r>
      <w:proofErr w:type="spellEnd"/>
      <w:r w:rsidRPr="00225D4D">
        <w:t xml:space="preserve"> enkel og effektiv. Våren 2025 vart </w:t>
      </w:r>
      <w:proofErr w:type="spellStart"/>
      <w:r w:rsidRPr="00225D4D">
        <w:t>eit</w:t>
      </w:r>
      <w:proofErr w:type="spellEnd"/>
      <w:r w:rsidRPr="00225D4D">
        <w:t xml:space="preserve"> forslag til lov- og </w:t>
      </w:r>
      <w:proofErr w:type="spellStart"/>
      <w:r w:rsidRPr="00225D4D">
        <w:t>forskriftsendringar</w:t>
      </w:r>
      <w:proofErr w:type="spellEnd"/>
      <w:r w:rsidRPr="00225D4D">
        <w:t xml:space="preserve"> som skal bidra til </w:t>
      </w:r>
      <w:proofErr w:type="spellStart"/>
      <w:r w:rsidRPr="00225D4D">
        <w:t>raskare</w:t>
      </w:r>
      <w:proofErr w:type="spellEnd"/>
      <w:r w:rsidRPr="00225D4D">
        <w:t xml:space="preserve"> og </w:t>
      </w:r>
      <w:proofErr w:type="spellStart"/>
      <w:r w:rsidRPr="00225D4D">
        <w:t>enklare</w:t>
      </w:r>
      <w:proofErr w:type="spellEnd"/>
      <w:r w:rsidRPr="00225D4D">
        <w:t xml:space="preserve"> handsaming av byggesøknader sendt på </w:t>
      </w:r>
      <w:proofErr w:type="spellStart"/>
      <w:r w:rsidRPr="00225D4D">
        <w:t>høyring</w:t>
      </w:r>
      <w:proofErr w:type="spellEnd"/>
      <w:r w:rsidRPr="00225D4D">
        <w:t xml:space="preserve">. Forslaget skal </w:t>
      </w:r>
      <w:proofErr w:type="spellStart"/>
      <w:r w:rsidRPr="00225D4D">
        <w:t>gjere</w:t>
      </w:r>
      <w:proofErr w:type="spellEnd"/>
      <w:r w:rsidRPr="00225D4D">
        <w:t xml:space="preserve"> det </w:t>
      </w:r>
      <w:proofErr w:type="spellStart"/>
      <w:r w:rsidRPr="00225D4D">
        <w:t>lettare</w:t>
      </w:r>
      <w:proofErr w:type="spellEnd"/>
      <w:r w:rsidRPr="00225D4D">
        <w:t xml:space="preserve"> å utarbeide byggesøknaden på rett måte, slik at </w:t>
      </w:r>
      <w:proofErr w:type="spellStart"/>
      <w:r w:rsidRPr="00225D4D">
        <w:t>kommunane</w:t>
      </w:r>
      <w:proofErr w:type="spellEnd"/>
      <w:r w:rsidRPr="00225D4D">
        <w:t xml:space="preserve"> kan handsame han med </w:t>
      </w:r>
      <w:proofErr w:type="spellStart"/>
      <w:r w:rsidRPr="00225D4D">
        <w:t>ein</w:t>
      </w:r>
      <w:proofErr w:type="spellEnd"/>
      <w:r w:rsidRPr="00225D4D">
        <w:t xml:space="preserve"> gong. Det er i dag òg </w:t>
      </w:r>
      <w:proofErr w:type="spellStart"/>
      <w:r w:rsidRPr="00225D4D">
        <w:t>mogleg</w:t>
      </w:r>
      <w:proofErr w:type="spellEnd"/>
      <w:r w:rsidRPr="00225D4D">
        <w:t xml:space="preserve"> å sende inn byggesøknad som må </w:t>
      </w:r>
      <w:proofErr w:type="spellStart"/>
      <w:r w:rsidRPr="00225D4D">
        <w:t>avgjerast</w:t>
      </w:r>
      <w:proofErr w:type="spellEnd"/>
      <w:r w:rsidRPr="00225D4D">
        <w:t xml:space="preserve"> av kommunen </w:t>
      </w:r>
      <w:proofErr w:type="spellStart"/>
      <w:r w:rsidRPr="00225D4D">
        <w:t>innan</w:t>
      </w:r>
      <w:proofErr w:type="spellEnd"/>
      <w:r w:rsidRPr="00225D4D">
        <w:t xml:space="preserve"> tre veker dersom tiltaket er i samsvar med reguleringsplan, og </w:t>
      </w:r>
      <w:proofErr w:type="spellStart"/>
      <w:r w:rsidRPr="00225D4D">
        <w:t>ein</w:t>
      </w:r>
      <w:proofErr w:type="spellEnd"/>
      <w:r w:rsidRPr="00225D4D">
        <w:t xml:space="preserve"> </w:t>
      </w:r>
      <w:proofErr w:type="spellStart"/>
      <w:r w:rsidRPr="00225D4D">
        <w:t>ikkje</w:t>
      </w:r>
      <w:proofErr w:type="spellEnd"/>
      <w:r w:rsidRPr="00225D4D">
        <w:t xml:space="preserve"> treng </w:t>
      </w:r>
      <w:proofErr w:type="spellStart"/>
      <w:r w:rsidRPr="00225D4D">
        <w:t>ytterlegare</w:t>
      </w:r>
      <w:proofErr w:type="spellEnd"/>
      <w:r w:rsidRPr="00225D4D">
        <w:t xml:space="preserve"> løyve, samtykke eller fråsegn </w:t>
      </w:r>
      <w:proofErr w:type="spellStart"/>
      <w:r w:rsidRPr="00225D4D">
        <w:t>frå</w:t>
      </w:r>
      <w:proofErr w:type="spellEnd"/>
      <w:r w:rsidRPr="00225D4D">
        <w:t xml:space="preserve"> </w:t>
      </w:r>
      <w:proofErr w:type="spellStart"/>
      <w:r w:rsidRPr="00225D4D">
        <w:t>annan</w:t>
      </w:r>
      <w:proofErr w:type="spellEnd"/>
      <w:r w:rsidRPr="00225D4D">
        <w:t xml:space="preserve"> </w:t>
      </w:r>
      <w:proofErr w:type="spellStart"/>
      <w:r w:rsidRPr="00225D4D">
        <w:t>myndigheit</w:t>
      </w:r>
      <w:proofErr w:type="spellEnd"/>
      <w:r w:rsidRPr="00225D4D">
        <w:t xml:space="preserve">, og </w:t>
      </w:r>
      <w:proofErr w:type="spellStart"/>
      <w:r w:rsidRPr="00225D4D">
        <w:t>naboar</w:t>
      </w:r>
      <w:proofErr w:type="spellEnd"/>
      <w:r w:rsidRPr="00225D4D">
        <w:t xml:space="preserve"> </w:t>
      </w:r>
      <w:proofErr w:type="spellStart"/>
      <w:r w:rsidRPr="00225D4D">
        <w:t>ikkje</w:t>
      </w:r>
      <w:proofErr w:type="spellEnd"/>
      <w:r w:rsidRPr="00225D4D">
        <w:t xml:space="preserve"> har merknader.</w:t>
      </w:r>
    </w:p>
    <w:p w14:paraId="60A66964"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6B2609ED" w14:textId="77777777" w:rsidR="00D60186" w:rsidRPr="00225D4D" w:rsidRDefault="00D60186" w:rsidP="00225D4D">
      <w:pPr>
        <w:pStyle w:val="avsnitt-tittel"/>
      </w:pPr>
      <w:r w:rsidRPr="00225D4D">
        <w:t>Redusere plankrav i plan- og bygningslova</w:t>
      </w:r>
    </w:p>
    <w:p w14:paraId="2D57B8D1" w14:textId="77777777" w:rsidR="00D60186" w:rsidRPr="00225D4D" w:rsidRDefault="00D60186" w:rsidP="00225D4D">
      <w:pPr>
        <w:pStyle w:val="avsnitt-undertittel"/>
      </w:pPr>
      <w:r w:rsidRPr="00225D4D">
        <w:t>Vedtak 885, 4. juni 2025</w:t>
      </w:r>
    </w:p>
    <w:p w14:paraId="1959FD2C" w14:textId="77777777" w:rsidR="00D60186" w:rsidRPr="00225D4D" w:rsidRDefault="00D60186" w:rsidP="00225D4D">
      <w:pPr>
        <w:pStyle w:val="blokksit"/>
        <w:rPr>
          <w:rStyle w:val="kursiv"/>
        </w:rPr>
      </w:pPr>
      <w:r w:rsidRPr="00225D4D">
        <w:rPr>
          <w:rStyle w:val="kursiv"/>
        </w:rPr>
        <w:t>«Stortinget ber regjeringen fremme forslag om reduserte plankrav i plan- og bygningsloven.»</w:t>
      </w:r>
    </w:p>
    <w:p w14:paraId="2C525342"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Heidi Greni, Kathrine Kleveland og Sigbjørn Gjelsvik om å gi </w:t>
      </w:r>
      <w:proofErr w:type="spellStart"/>
      <w:r w:rsidRPr="00225D4D">
        <w:t>kommunane</w:t>
      </w:r>
      <w:proofErr w:type="spellEnd"/>
      <w:r w:rsidRPr="00225D4D">
        <w:t xml:space="preserve"> større </w:t>
      </w:r>
      <w:proofErr w:type="spellStart"/>
      <w:r w:rsidRPr="00225D4D">
        <w:t>friheit</w:t>
      </w:r>
      <w:proofErr w:type="spellEnd"/>
      <w:r w:rsidRPr="00225D4D">
        <w:t xml:space="preserve"> til å løyse </w:t>
      </w:r>
      <w:proofErr w:type="spellStart"/>
      <w:r w:rsidRPr="00225D4D">
        <w:t>oppgåvene</w:t>
      </w:r>
      <w:proofErr w:type="spellEnd"/>
      <w:r w:rsidRPr="00225D4D">
        <w:t xml:space="preserve"> og å redusere det </w:t>
      </w:r>
      <w:proofErr w:type="spellStart"/>
      <w:r w:rsidRPr="00225D4D">
        <w:t>statlege</w:t>
      </w:r>
      <w:proofErr w:type="spellEnd"/>
      <w:r w:rsidRPr="00225D4D">
        <w:t xml:space="preserve"> styringstrykket, jf. Dokument 8:247 S og </w:t>
      </w:r>
      <w:proofErr w:type="spellStart"/>
      <w:r w:rsidRPr="00225D4D">
        <w:t>Innst</w:t>
      </w:r>
      <w:proofErr w:type="spellEnd"/>
      <w:r w:rsidRPr="00225D4D">
        <w:t>. 415 S (2024–2025).</w:t>
      </w:r>
    </w:p>
    <w:p w14:paraId="6D50CF62" w14:textId="77777777" w:rsidR="00D60186" w:rsidRPr="00225D4D" w:rsidRDefault="00D60186" w:rsidP="00225D4D">
      <w:proofErr w:type="spellStart"/>
      <w:r w:rsidRPr="00225D4D">
        <w:t>Asplan</w:t>
      </w:r>
      <w:proofErr w:type="spellEnd"/>
      <w:r w:rsidRPr="00225D4D">
        <w:t xml:space="preserve"> </w:t>
      </w:r>
      <w:proofErr w:type="spellStart"/>
      <w:r w:rsidRPr="00225D4D">
        <w:t>Viak</w:t>
      </w:r>
      <w:proofErr w:type="spellEnd"/>
      <w:r w:rsidRPr="00225D4D">
        <w:t xml:space="preserve"> AS har på oppdrag </w:t>
      </w:r>
      <w:proofErr w:type="spellStart"/>
      <w:r w:rsidRPr="00225D4D">
        <w:t>frå</w:t>
      </w:r>
      <w:proofErr w:type="spellEnd"/>
      <w:r w:rsidRPr="00225D4D">
        <w:t xml:space="preserve"> departementet utarbeidd </w:t>
      </w:r>
      <w:proofErr w:type="spellStart"/>
      <w:r w:rsidRPr="00225D4D">
        <w:t>ein</w:t>
      </w:r>
      <w:proofErr w:type="spellEnd"/>
      <w:r w:rsidRPr="00225D4D">
        <w:t xml:space="preserve"> rapport om tidsbruk i plansaker, og har </w:t>
      </w:r>
      <w:proofErr w:type="spellStart"/>
      <w:r w:rsidRPr="00225D4D">
        <w:t>kome</w:t>
      </w:r>
      <w:proofErr w:type="spellEnd"/>
      <w:r w:rsidRPr="00225D4D">
        <w:t xml:space="preserve"> med forslag til tiltak som kan redusere tidsbruken. Rapporten </w:t>
      </w:r>
      <w:proofErr w:type="spellStart"/>
      <w:r w:rsidRPr="00225D4D">
        <w:t>peikar</w:t>
      </w:r>
      <w:proofErr w:type="spellEnd"/>
      <w:r w:rsidRPr="00225D4D">
        <w:t xml:space="preserve"> på at årsaka til </w:t>
      </w:r>
      <w:proofErr w:type="spellStart"/>
      <w:r w:rsidRPr="00225D4D">
        <w:t>auka</w:t>
      </w:r>
      <w:proofErr w:type="spellEnd"/>
      <w:r w:rsidRPr="00225D4D">
        <w:t xml:space="preserve"> tidsbruk ser ut til å </w:t>
      </w:r>
      <w:proofErr w:type="spellStart"/>
      <w:r w:rsidRPr="00225D4D">
        <w:t>vere</w:t>
      </w:r>
      <w:proofErr w:type="spellEnd"/>
      <w:r w:rsidRPr="00225D4D">
        <w:t xml:space="preserve"> </w:t>
      </w:r>
      <w:proofErr w:type="spellStart"/>
      <w:r w:rsidRPr="00225D4D">
        <w:t>meir</w:t>
      </w:r>
      <w:proofErr w:type="spellEnd"/>
      <w:r w:rsidRPr="00225D4D">
        <w:t xml:space="preserve"> komplekse planar og </w:t>
      </w:r>
      <w:proofErr w:type="spellStart"/>
      <w:r w:rsidRPr="00225D4D">
        <w:t>fleire</w:t>
      </w:r>
      <w:proofErr w:type="spellEnd"/>
      <w:r w:rsidRPr="00225D4D">
        <w:t xml:space="preserve"> krav til </w:t>
      </w:r>
      <w:proofErr w:type="spellStart"/>
      <w:r w:rsidRPr="00225D4D">
        <w:t>utgreiingar</w:t>
      </w:r>
      <w:proofErr w:type="spellEnd"/>
      <w:r w:rsidRPr="00225D4D">
        <w:t xml:space="preserve"> i tillegg til </w:t>
      </w:r>
      <w:proofErr w:type="spellStart"/>
      <w:r w:rsidRPr="00225D4D">
        <w:t>motsegn</w:t>
      </w:r>
      <w:proofErr w:type="spellEnd"/>
      <w:r w:rsidRPr="00225D4D">
        <w:t xml:space="preserve"> og klager. Rapporten </w:t>
      </w:r>
      <w:proofErr w:type="spellStart"/>
      <w:r w:rsidRPr="00225D4D">
        <w:t>peikar</w:t>
      </w:r>
      <w:proofErr w:type="spellEnd"/>
      <w:r w:rsidRPr="00225D4D">
        <w:t xml:space="preserve"> </w:t>
      </w:r>
      <w:proofErr w:type="spellStart"/>
      <w:r w:rsidRPr="00225D4D">
        <w:t>vidare</w:t>
      </w:r>
      <w:proofErr w:type="spellEnd"/>
      <w:r w:rsidRPr="00225D4D">
        <w:t xml:space="preserve"> på ei rekke forslag til tiltak som kan bidra til å redusere tidsbruken. Det vert i liten grad </w:t>
      </w:r>
      <w:proofErr w:type="spellStart"/>
      <w:r w:rsidRPr="00225D4D">
        <w:t>peika</w:t>
      </w:r>
      <w:proofErr w:type="spellEnd"/>
      <w:r w:rsidRPr="00225D4D">
        <w:t xml:space="preserve"> på behov for </w:t>
      </w:r>
      <w:proofErr w:type="spellStart"/>
      <w:r w:rsidRPr="00225D4D">
        <w:t>justeringar</w:t>
      </w:r>
      <w:proofErr w:type="spellEnd"/>
      <w:r w:rsidRPr="00225D4D">
        <w:t xml:space="preserve"> i regelverket. Mange kommunale planar har unødvendig mange og komplekse føresegner, men dette er </w:t>
      </w:r>
      <w:proofErr w:type="spellStart"/>
      <w:r w:rsidRPr="00225D4D">
        <w:t>ikkje</w:t>
      </w:r>
      <w:proofErr w:type="spellEnd"/>
      <w:r w:rsidRPr="00225D4D">
        <w:t xml:space="preserve"> ei nødvendig </w:t>
      </w:r>
      <w:proofErr w:type="spellStart"/>
      <w:r w:rsidRPr="00225D4D">
        <w:t>følgje</w:t>
      </w:r>
      <w:proofErr w:type="spellEnd"/>
      <w:r w:rsidRPr="00225D4D">
        <w:t xml:space="preserve"> av plan- og bygningslova. Lova gjev </w:t>
      </w:r>
      <w:proofErr w:type="spellStart"/>
      <w:r w:rsidRPr="00225D4D">
        <w:t>kommunane</w:t>
      </w:r>
      <w:proofErr w:type="spellEnd"/>
      <w:r w:rsidRPr="00225D4D">
        <w:t xml:space="preserve"> ei rekke verktøy til bruk i arealplanlegginga, og stor fleksibilitet og fridom til å bruke </w:t>
      </w:r>
      <w:proofErr w:type="spellStart"/>
      <w:r w:rsidRPr="00225D4D">
        <w:t>desse</w:t>
      </w:r>
      <w:proofErr w:type="spellEnd"/>
      <w:r w:rsidRPr="00225D4D">
        <w:t xml:space="preserve">. I lova § 3-1 går det </w:t>
      </w:r>
      <w:proofErr w:type="spellStart"/>
      <w:r w:rsidRPr="00225D4D">
        <w:t>tydeleg</w:t>
      </w:r>
      <w:proofErr w:type="spellEnd"/>
      <w:r w:rsidRPr="00225D4D">
        <w:t xml:space="preserve"> fram at planar </w:t>
      </w:r>
      <w:proofErr w:type="spellStart"/>
      <w:r w:rsidRPr="00225D4D">
        <w:t>ikkje</w:t>
      </w:r>
      <w:proofErr w:type="spellEnd"/>
      <w:r w:rsidRPr="00225D4D">
        <w:t xml:space="preserve"> skal «</w:t>
      </w:r>
      <w:proofErr w:type="spellStart"/>
      <w:r w:rsidRPr="00225D4D">
        <w:t>vere</w:t>
      </w:r>
      <w:proofErr w:type="spellEnd"/>
      <w:r w:rsidRPr="00225D4D">
        <w:t xml:space="preserve"> </w:t>
      </w:r>
      <w:proofErr w:type="spellStart"/>
      <w:r w:rsidRPr="00225D4D">
        <w:t>meir</w:t>
      </w:r>
      <w:proofErr w:type="spellEnd"/>
      <w:r w:rsidRPr="00225D4D">
        <w:t xml:space="preserve"> </w:t>
      </w:r>
      <w:proofErr w:type="spellStart"/>
      <w:r w:rsidRPr="00225D4D">
        <w:t>omfattande</w:t>
      </w:r>
      <w:proofErr w:type="spellEnd"/>
      <w:r w:rsidRPr="00225D4D">
        <w:t xml:space="preserve"> enn nødvendig». Lova seier òg at det </w:t>
      </w:r>
      <w:proofErr w:type="spellStart"/>
      <w:r w:rsidRPr="00225D4D">
        <w:t>berre</w:t>
      </w:r>
      <w:proofErr w:type="spellEnd"/>
      <w:r w:rsidRPr="00225D4D">
        <w:t xml:space="preserve"> kan </w:t>
      </w:r>
      <w:proofErr w:type="spellStart"/>
      <w:r w:rsidRPr="00225D4D">
        <w:t>gjevast</w:t>
      </w:r>
      <w:proofErr w:type="spellEnd"/>
      <w:r w:rsidRPr="00225D4D">
        <w:t xml:space="preserve"> planføresegner i </w:t>
      </w:r>
      <w:proofErr w:type="spellStart"/>
      <w:r w:rsidRPr="00225D4D">
        <w:t>naudsynt</w:t>
      </w:r>
      <w:proofErr w:type="spellEnd"/>
      <w:r w:rsidRPr="00225D4D">
        <w:t xml:space="preserve"> utstrekning. Erfaringa er at det er praktiseringa av lovas føresegner som </w:t>
      </w:r>
      <w:proofErr w:type="spellStart"/>
      <w:r w:rsidRPr="00225D4D">
        <w:t>gjer</w:t>
      </w:r>
      <w:proofErr w:type="spellEnd"/>
      <w:r w:rsidRPr="00225D4D">
        <w:t xml:space="preserve"> at </w:t>
      </w:r>
      <w:proofErr w:type="spellStart"/>
      <w:r w:rsidRPr="00225D4D">
        <w:t>planane</w:t>
      </w:r>
      <w:proofErr w:type="spellEnd"/>
      <w:r w:rsidRPr="00225D4D">
        <w:t xml:space="preserve"> vert kompliserte og </w:t>
      </w:r>
      <w:proofErr w:type="spellStart"/>
      <w:r w:rsidRPr="00225D4D">
        <w:t>omfattande</w:t>
      </w:r>
      <w:proofErr w:type="spellEnd"/>
      <w:r w:rsidRPr="00225D4D">
        <w:t xml:space="preserve">, </w:t>
      </w:r>
      <w:proofErr w:type="spellStart"/>
      <w:r w:rsidRPr="00225D4D">
        <w:t>ikkje</w:t>
      </w:r>
      <w:proofErr w:type="spellEnd"/>
      <w:r w:rsidRPr="00225D4D">
        <w:t xml:space="preserve"> lova i seg </w:t>
      </w:r>
      <w:proofErr w:type="spellStart"/>
      <w:r w:rsidRPr="00225D4D">
        <w:t>sjølv</w:t>
      </w:r>
      <w:proofErr w:type="spellEnd"/>
      <w:r w:rsidRPr="00225D4D">
        <w:t xml:space="preserve">. </w:t>
      </w:r>
      <w:proofErr w:type="spellStart"/>
      <w:r w:rsidRPr="00225D4D">
        <w:t>Kommunane</w:t>
      </w:r>
      <w:proofErr w:type="spellEnd"/>
      <w:r w:rsidRPr="00225D4D">
        <w:t xml:space="preserve"> treng òg </w:t>
      </w:r>
      <w:proofErr w:type="spellStart"/>
      <w:r w:rsidRPr="00225D4D">
        <w:t>meir</w:t>
      </w:r>
      <w:proofErr w:type="spellEnd"/>
      <w:r w:rsidRPr="00225D4D">
        <w:t xml:space="preserve"> rettleiing om korleis praksis kan </w:t>
      </w:r>
      <w:proofErr w:type="spellStart"/>
      <w:r w:rsidRPr="00225D4D">
        <w:t>forbetrast</w:t>
      </w:r>
      <w:proofErr w:type="spellEnd"/>
      <w:r w:rsidRPr="00225D4D">
        <w:t>.</w:t>
      </w:r>
    </w:p>
    <w:p w14:paraId="5030DC96" w14:textId="77777777" w:rsidR="00D60186" w:rsidRPr="00225D4D" w:rsidRDefault="00D60186" w:rsidP="00225D4D">
      <w:r w:rsidRPr="00225D4D">
        <w:t xml:space="preserve">Departementet har </w:t>
      </w:r>
      <w:proofErr w:type="spellStart"/>
      <w:r w:rsidRPr="00225D4D">
        <w:t>følgt</w:t>
      </w:r>
      <w:proofErr w:type="spellEnd"/>
      <w:r w:rsidRPr="00225D4D">
        <w:t xml:space="preserve"> opp rapporten og har i </w:t>
      </w:r>
      <w:proofErr w:type="spellStart"/>
      <w:r w:rsidRPr="00225D4D">
        <w:t>eit</w:t>
      </w:r>
      <w:proofErr w:type="spellEnd"/>
      <w:r w:rsidRPr="00225D4D">
        <w:t xml:space="preserve"> brev til </w:t>
      </w:r>
      <w:proofErr w:type="spellStart"/>
      <w:r w:rsidRPr="00225D4D">
        <w:t>kommunar</w:t>
      </w:r>
      <w:proofErr w:type="spellEnd"/>
      <w:r w:rsidRPr="00225D4D">
        <w:t xml:space="preserve">, byggenæringa og </w:t>
      </w:r>
      <w:proofErr w:type="spellStart"/>
      <w:r w:rsidRPr="00225D4D">
        <w:t>statlege</w:t>
      </w:r>
      <w:proofErr w:type="spellEnd"/>
      <w:r w:rsidRPr="00225D4D">
        <w:t xml:space="preserve"> styresmakter </w:t>
      </w:r>
      <w:proofErr w:type="spellStart"/>
      <w:r w:rsidRPr="00225D4D">
        <w:t>oppmoda</w:t>
      </w:r>
      <w:proofErr w:type="spellEnd"/>
      <w:r w:rsidRPr="00225D4D">
        <w:t xml:space="preserve"> til </w:t>
      </w:r>
      <w:proofErr w:type="spellStart"/>
      <w:r w:rsidRPr="00225D4D">
        <w:t>auka</w:t>
      </w:r>
      <w:proofErr w:type="spellEnd"/>
      <w:r w:rsidRPr="00225D4D">
        <w:t xml:space="preserve"> innsats, </w:t>
      </w:r>
      <w:proofErr w:type="spellStart"/>
      <w:r w:rsidRPr="00225D4D">
        <w:t>raskare</w:t>
      </w:r>
      <w:proofErr w:type="spellEnd"/>
      <w:r w:rsidRPr="00225D4D">
        <w:t xml:space="preserve"> </w:t>
      </w:r>
      <w:proofErr w:type="spellStart"/>
      <w:r w:rsidRPr="00225D4D">
        <w:t>prosessar</w:t>
      </w:r>
      <w:proofErr w:type="spellEnd"/>
      <w:r w:rsidRPr="00225D4D">
        <w:t xml:space="preserve"> og betre oversikt. I brevet blir </w:t>
      </w:r>
      <w:proofErr w:type="spellStart"/>
      <w:r w:rsidRPr="00225D4D">
        <w:t>kommunane</w:t>
      </w:r>
      <w:proofErr w:type="spellEnd"/>
      <w:r w:rsidRPr="00225D4D">
        <w:t xml:space="preserve"> </w:t>
      </w:r>
      <w:proofErr w:type="spellStart"/>
      <w:r w:rsidRPr="00225D4D">
        <w:t>oppmoda</w:t>
      </w:r>
      <w:proofErr w:type="spellEnd"/>
      <w:r w:rsidRPr="00225D4D">
        <w:t xml:space="preserve"> om ha oversikt over framtidig bustadbehov og </w:t>
      </w:r>
      <w:proofErr w:type="spellStart"/>
      <w:r w:rsidRPr="00225D4D">
        <w:t>setje</w:t>
      </w:r>
      <w:proofErr w:type="spellEnd"/>
      <w:r w:rsidRPr="00225D4D">
        <w:t xml:space="preserve"> av nok areal. Brevet </w:t>
      </w:r>
      <w:proofErr w:type="spellStart"/>
      <w:r w:rsidRPr="00225D4D">
        <w:t>påpeikar</w:t>
      </w:r>
      <w:proofErr w:type="spellEnd"/>
      <w:r w:rsidRPr="00225D4D">
        <w:t xml:space="preserve"> òg at </w:t>
      </w:r>
      <w:proofErr w:type="spellStart"/>
      <w:r w:rsidRPr="00225D4D">
        <w:t>kommunane</w:t>
      </w:r>
      <w:proofErr w:type="spellEnd"/>
      <w:r w:rsidRPr="00225D4D">
        <w:t xml:space="preserve"> må </w:t>
      </w:r>
      <w:proofErr w:type="spellStart"/>
      <w:r w:rsidRPr="00225D4D">
        <w:t>vere</w:t>
      </w:r>
      <w:proofErr w:type="spellEnd"/>
      <w:r w:rsidRPr="00225D4D">
        <w:t xml:space="preserve"> medvitne om kva krav </w:t>
      </w:r>
      <w:proofErr w:type="spellStart"/>
      <w:r w:rsidRPr="00225D4D">
        <w:t>dei</w:t>
      </w:r>
      <w:proofErr w:type="spellEnd"/>
      <w:r w:rsidRPr="00225D4D">
        <w:t xml:space="preserve"> kan stille i plan- og byggesaker. Dei bør unngå å ta inn tekniske krav i planføresegner som høyrer heime i byggesaksbehandlinga, og </w:t>
      </w:r>
      <w:proofErr w:type="spellStart"/>
      <w:r w:rsidRPr="00225D4D">
        <w:t>ikkje</w:t>
      </w:r>
      <w:proofErr w:type="spellEnd"/>
      <w:r w:rsidRPr="00225D4D">
        <w:t xml:space="preserve"> bruke tid på å kontrollere krav som </w:t>
      </w:r>
      <w:proofErr w:type="spellStart"/>
      <w:r w:rsidRPr="00225D4D">
        <w:t>ansvarlege</w:t>
      </w:r>
      <w:proofErr w:type="spellEnd"/>
      <w:r w:rsidRPr="00225D4D">
        <w:t xml:space="preserve"> </w:t>
      </w:r>
      <w:proofErr w:type="spellStart"/>
      <w:r w:rsidRPr="00225D4D">
        <w:t>aktørar</w:t>
      </w:r>
      <w:proofErr w:type="spellEnd"/>
      <w:r w:rsidRPr="00225D4D">
        <w:t xml:space="preserve"> skal dokumentere. Departementet vil sjå på </w:t>
      </w:r>
      <w:proofErr w:type="spellStart"/>
      <w:r w:rsidRPr="00225D4D">
        <w:t>motsegnpraksis</w:t>
      </w:r>
      <w:proofErr w:type="spellEnd"/>
      <w:r w:rsidRPr="00225D4D">
        <w:t xml:space="preserve">, vurdere </w:t>
      </w:r>
      <w:proofErr w:type="spellStart"/>
      <w:r w:rsidRPr="00225D4D">
        <w:t>byggtekniske</w:t>
      </w:r>
      <w:proofErr w:type="spellEnd"/>
      <w:r w:rsidRPr="00225D4D">
        <w:t xml:space="preserve"> krav og </w:t>
      </w:r>
      <w:proofErr w:type="spellStart"/>
      <w:r w:rsidRPr="00225D4D">
        <w:t>styrkje</w:t>
      </w:r>
      <w:proofErr w:type="spellEnd"/>
      <w:r w:rsidRPr="00225D4D">
        <w:t xml:space="preserve"> digitaliseringa av plan- og </w:t>
      </w:r>
      <w:proofErr w:type="spellStart"/>
      <w:r w:rsidRPr="00225D4D">
        <w:t>byggesaksprosessane</w:t>
      </w:r>
      <w:proofErr w:type="spellEnd"/>
      <w:r w:rsidRPr="00225D4D">
        <w:t xml:space="preserve">, i tillegg til å innføre </w:t>
      </w:r>
      <w:proofErr w:type="spellStart"/>
      <w:r w:rsidRPr="00225D4D">
        <w:t>fleire</w:t>
      </w:r>
      <w:proofErr w:type="spellEnd"/>
      <w:r w:rsidRPr="00225D4D">
        <w:t xml:space="preserve"> </w:t>
      </w:r>
      <w:proofErr w:type="spellStart"/>
      <w:r w:rsidRPr="00225D4D">
        <w:t>fristar</w:t>
      </w:r>
      <w:proofErr w:type="spellEnd"/>
      <w:r w:rsidRPr="00225D4D">
        <w:t xml:space="preserve"> som kan redusere tidsbruken.</w:t>
      </w:r>
    </w:p>
    <w:p w14:paraId="7D8B353D" w14:textId="77777777" w:rsidR="00D60186" w:rsidRPr="00225D4D" w:rsidRDefault="00D60186" w:rsidP="00225D4D">
      <w:r w:rsidRPr="00225D4D">
        <w:t xml:space="preserve">Departementet har </w:t>
      </w:r>
      <w:proofErr w:type="spellStart"/>
      <w:r w:rsidRPr="00225D4D">
        <w:t>saman</w:t>
      </w:r>
      <w:proofErr w:type="spellEnd"/>
      <w:r w:rsidRPr="00225D4D">
        <w:t xml:space="preserve"> med Klima- og miljødepartementet sett i gang </w:t>
      </w:r>
      <w:proofErr w:type="spellStart"/>
      <w:r w:rsidRPr="00225D4D">
        <w:t>eit</w:t>
      </w:r>
      <w:proofErr w:type="spellEnd"/>
      <w:r w:rsidRPr="00225D4D">
        <w:t xml:space="preserve"> arbeid med å revidere forskrifta om </w:t>
      </w:r>
      <w:proofErr w:type="spellStart"/>
      <w:r w:rsidRPr="00225D4D">
        <w:t>konsekvensutgreiingar</w:t>
      </w:r>
      <w:proofErr w:type="spellEnd"/>
      <w:r w:rsidRPr="00225D4D">
        <w:t xml:space="preserve">. Det kan i den </w:t>
      </w:r>
      <w:proofErr w:type="spellStart"/>
      <w:r w:rsidRPr="00225D4D">
        <w:t>samanheng</w:t>
      </w:r>
      <w:proofErr w:type="spellEnd"/>
      <w:r w:rsidRPr="00225D4D">
        <w:t xml:space="preserve"> bli </w:t>
      </w:r>
      <w:proofErr w:type="spellStart"/>
      <w:r w:rsidRPr="00225D4D">
        <w:t>naudsynt</w:t>
      </w:r>
      <w:proofErr w:type="spellEnd"/>
      <w:r w:rsidRPr="00225D4D">
        <w:t xml:space="preserve"> med </w:t>
      </w:r>
      <w:proofErr w:type="spellStart"/>
      <w:r w:rsidRPr="00225D4D">
        <w:t>nokre</w:t>
      </w:r>
      <w:proofErr w:type="spellEnd"/>
      <w:r w:rsidRPr="00225D4D">
        <w:t xml:space="preserve"> </w:t>
      </w:r>
      <w:proofErr w:type="spellStart"/>
      <w:r w:rsidRPr="00225D4D">
        <w:t>endringar</w:t>
      </w:r>
      <w:proofErr w:type="spellEnd"/>
      <w:r w:rsidRPr="00225D4D">
        <w:t xml:space="preserve"> i plan- og bygningslova. Det kan då </w:t>
      </w:r>
      <w:proofErr w:type="spellStart"/>
      <w:r w:rsidRPr="00225D4D">
        <w:t>vere</w:t>
      </w:r>
      <w:proofErr w:type="spellEnd"/>
      <w:r w:rsidRPr="00225D4D">
        <w:t xml:space="preserve"> aktuelt å vurdere </w:t>
      </w:r>
      <w:proofErr w:type="spellStart"/>
      <w:r w:rsidRPr="00225D4D">
        <w:t>justeringar</w:t>
      </w:r>
      <w:proofErr w:type="spellEnd"/>
      <w:r w:rsidRPr="00225D4D">
        <w:t xml:space="preserve"> av lova sitt krav om bruk av planprogram.</w:t>
      </w:r>
    </w:p>
    <w:p w14:paraId="608661B0" w14:textId="77777777" w:rsidR="00D60186" w:rsidRPr="00225D4D" w:rsidRDefault="00D60186" w:rsidP="00225D4D">
      <w:r w:rsidRPr="00225D4D">
        <w:t>Departementet foreslår på denne bakgrunn at rapporteringa blir avslutta.</w:t>
      </w:r>
    </w:p>
    <w:p w14:paraId="1E5E98F2" w14:textId="77777777" w:rsidR="00D60186" w:rsidRPr="00225D4D" w:rsidRDefault="00D60186" w:rsidP="00225D4D">
      <w:pPr>
        <w:pStyle w:val="avsnitt-tittel"/>
      </w:pPr>
      <w:proofErr w:type="spellStart"/>
      <w:r w:rsidRPr="00225D4D">
        <w:t>Grunneigarfinansiering</w:t>
      </w:r>
      <w:proofErr w:type="spellEnd"/>
      <w:r w:rsidRPr="00225D4D">
        <w:t xml:space="preserve">: Pilotprosjekt med </w:t>
      </w:r>
      <w:proofErr w:type="spellStart"/>
      <w:r w:rsidRPr="00225D4D">
        <w:t>utval</w:t>
      </w:r>
      <w:proofErr w:type="spellEnd"/>
      <w:r w:rsidRPr="00225D4D">
        <w:t xml:space="preserve"> av </w:t>
      </w:r>
      <w:proofErr w:type="spellStart"/>
      <w:r w:rsidRPr="00225D4D">
        <w:t>kommunar</w:t>
      </w:r>
      <w:proofErr w:type="spellEnd"/>
    </w:p>
    <w:p w14:paraId="2E1E46FE" w14:textId="77777777" w:rsidR="00D60186" w:rsidRPr="00225D4D" w:rsidRDefault="00D60186" w:rsidP="00225D4D">
      <w:pPr>
        <w:pStyle w:val="avsnitt-undertittel"/>
      </w:pPr>
      <w:r w:rsidRPr="00225D4D">
        <w:t>Vedtak 1026, 11. juni 2025</w:t>
      </w:r>
    </w:p>
    <w:p w14:paraId="5A965843" w14:textId="77777777" w:rsidR="00D60186" w:rsidRPr="00225D4D" w:rsidRDefault="00D60186" w:rsidP="00225D4D">
      <w:pPr>
        <w:pStyle w:val="blokksit"/>
        <w:rPr>
          <w:rStyle w:val="kursiv"/>
        </w:rPr>
      </w:pPr>
      <w:r w:rsidRPr="00225D4D">
        <w:rPr>
          <w:rStyle w:val="kursiv"/>
        </w:rPr>
        <w:t>«Stortinget ber regjeringen legge til rette for egnede og begrensede pilotprosjekter med et representativt utvalg av kommuner for å kunne høste tidlige erfaringer.»</w:t>
      </w:r>
    </w:p>
    <w:p w14:paraId="54C4E1F3"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115 L (2024–2025) </w:t>
      </w:r>
      <w:r w:rsidRPr="00225D4D">
        <w:rPr>
          <w:rStyle w:val="kursiv"/>
        </w:rPr>
        <w:t>Endringer i plan- og bygningsloven og matrikkellova (nye virkemidler ved fortetting og transformasjon, grunneierfinansiering av infrastruktur mv.)</w:t>
      </w:r>
      <w:r w:rsidRPr="00225D4D">
        <w:t xml:space="preserve"> og </w:t>
      </w:r>
      <w:proofErr w:type="spellStart"/>
      <w:r w:rsidRPr="00225D4D">
        <w:t>Innst</w:t>
      </w:r>
      <w:proofErr w:type="spellEnd"/>
      <w:r w:rsidRPr="00225D4D">
        <w:t>. 450 L (2024–2025).</w:t>
      </w:r>
    </w:p>
    <w:p w14:paraId="201CF86D" w14:textId="77777777" w:rsidR="00D60186" w:rsidRPr="00225D4D" w:rsidRDefault="00D60186" w:rsidP="00225D4D">
      <w:proofErr w:type="spellStart"/>
      <w:r w:rsidRPr="00225D4D">
        <w:t>Kommunar</w:t>
      </w:r>
      <w:proofErr w:type="spellEnd"/>
      <w:r w:rsidRPr="00225D4D">
        <w:t xml:space="preserve"> som </w:t>
      </w:r>
      <w:proofErr w:type="spellStart"/>
      <w:r w:rsidRPr="00225D4D">
        <w:t>ønskjer</w:t>
      </w:r>
      <w:proofErr w:type="spellEnd"/>
      <w:r w:rsidRPr="00225D4D">
        <w:t xml:space="preserve"> å bruke den nye modellen for finansiering av infrastruktur er inviterte til å ta direkte kontakt med departementet for bistand. Vi vil blant anna på grunnlag av slik kontakt legge til rette for pilotering av modellen.</w:t>
      </w:r>
    </w:p>
    <w:p w14:paraId="12733C93" w14:textId="77777777" w:rsidR="00D60186" w:rsidRPr="00225D4D" w:rsidRDefault="00D60186" w:rsidP="00225D4D">
      <w:r w:rsidRPr="00225D4D">
        <w:t>Departementet foreslår på denne bakgrunn at rapporteringa blir avslutta.</w:t>
      </w:r>
    </w:p>
    <w:p w14:paraId="69E7981C" w14:textId="77777777" w:rsidR="00D60186" w:rsidRPr="00225D4D" w:rsidRDefault="00D60186" w:rsidP="00225D4D">
      <w:pPr>
        <w:pStyle w:val="avsnitt-tittel"/>
      </w:pPr>
      <w:proofErr w:type="spellStart"/>
      <w:r w:rsidRPr="00225D4D">
        <w:t>Grunneigarfinansiering</w:t>
      </w:r>
      <w:proofErr w:type="spellEnd"/>
      <w:r w:rsidRPr="00225D4D">
        <w:t>: Evaluere bruken av omsynssonar</w:t>
      </w:r>
    </w:p>
    <w:p w14:paraId="74C359AA" w14:textId="77777777" w:rsidR="00D60186" w:rsidRPr="00225D4D" w:rsidRDefault="00D60186" w:rsidP="00225D4D">
      <w:pPr>
        <w:pStyle w:val="avsnitt-undertittel"/>
      </w:pPr>
      <w:r w:rsidRPr="00225D4D">
        <w:t>Vedtak 1027, 11. juni 2025</w:t>
      </w:r>
    </w:p>
    <w:p w14:paraId="0553B364" w14:textId="77777777" w:rsidR="00D60186" w:rsidRPr="00225D4D" w:rsidRDefault="00D60186" w:rsidP="00225D4D">
      <w:pPr>
        <w:pStyle w:val="blokksit"/>
        <w:rPr>
          <w:rStyle w:val="kursiv"/>
        </w:rPr>
      </w:pPr>
      <w:r w:rsidRPr="00225D4D">
        <w:rPr>
          <w:rStyle w:val="kursiv"/>
        </w:rPr>
        <w:t>«Stortinget ber regjeringen evaluere bruken av hensynssoner med krav om grunneierfinansiering etter at ordningen har vært virksom i noe tid og komme tilbake til Stortinget ved behov for justeringer.»</w:t>
      </w:r>
    </w:p>
    <w:p w14:paraId="7715B4B4"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115 L (2024–2025) </w:t>
      </w:r>
      <w:r w:rsidRPr="00225D4D">
        <w:rPr>
          <w:rStyle w:val="kursiv"/>
        </w:rPr>
        <w:t>Endringer i plan- og bygningsloven og matrikkellova (nye virkemidler ved fortetting og transformasjon, grunneierfinansiering av infrastruktur mv.)</w:t>
      </w:r>
      <w:r w:rsidRPr="00225D4D">
        <w:t xml:space="preserve"> og </w:t>
      </w:r>
      <w:proofErr w:type="spellStart"/>
      <w:r w:rsidRPr="00225D4D">
        <w:t>Innst</w:t>
      </w:r>
      <w:proofErr w:type="spellEnd"/>
      <w:r w:rsidRPr="00225D4D">
        <w:t>. 450 L (2024–2025).</w:t>
      </w:r>
    </w:p>
    <w:p w14:paraId="16C25222" w14:textId="77777777" w:rsidR="00D60186" w:rsidRPr="00225D4D" w:rsidRDefault="00D60186" w:rsidP="00225D4D">
      <w:r w:rsidRPr="00225D4D">
        <w:t xml:space="preserve">Vedtaket vil bli </w:t>
      </w:r>
      <w:proofErr w:type="spellStart"/>
      <w:r w:rsidRPr="00225D4D">
        <w:t>følgt</w:t>
      </w:r>
      <w:proofErr w:type="spellEnd"/>
      <w:r w:rsidRPr="00225D4D">
        <w:t xml:space="preserve"> opp med ei evaluering av ordninga når ho har </w:t>
      </w:r>
      <w:proofErr w:type="spellStart"/>
      <w:r w:rsidRPr="00225D4D">
        <w:t>vore</w:t>
      </w:r>
      <w:proofErr w:type="spellEnd"/>
      <w:r w:rsidRPr="00225D4D">
        <w:t xml:space="preserve"> i </w:t>
      </w:r>
      <w:proofErr w:type="spellStart"/>
      <w:r w:rsidRPr="00225D4D">
        <w:t>verksemd</w:t>
      </w:r>
      <w:proofErr w:type="spellEnd"/>
      <w:r w:rsidRPr="00225D4D">
        <w:t xml:space="preserve"> ei stund. Dersom departementet ser at det er behov for </w:t>
      </w:r>
      <w:proofErr w:type="spellStart"/>
      <w:r w:rsidRPr="00225D4D">
        <w:t>lovjusteringar</w:t>
      </w:r>
      <w:proofErr w:type="spellEnd"/>
      <w:r w:rsidRPr="00225D4D">
        <w:t xml:space="preserve"> vil vi </w:t>
      </w:r>
      <w:proofErr w:type="spellStart"/>
      <w:r w:rsidRPr="00225D4D">
        <w:t>kome</w:t>
      </w:r>
      <w:proofErr w:type="spellEnd"/>
      <w:r w:rsidRPr="00225D4D">
        <w:t xml:space="preserve"> tilbake til stortinget med </w:t>
      </w:r>
      <w:proofErr w:type="spellStart"/>
      <w:r w:rsidRPr="00225D4D">
        <w:t>eit</w:t>
      </w:r>
      <w:proofErr w:type="spellEnd"/>
      <w:r w:rsidRPr="00225D4D">
        <w:t xml:space="preserve"> forslag om det. Departementet foreslår på denne bakgrunn at rapporteringa blir avslutta.</w:t>
      </w:r>
    </w:p>
    <w:p w14:paraId="37D595D4" w14:textId="77777777" w:rsidR="00D60186" w:rsidRPr="00225D4D" w:rsidRDefault="00D60186" w:rsidP="00225D4D">
      <w:pPr>
        <w:pStyle w:val="avsnitt-tittel"/>
      </w:pPr>
      <w:proofErr w:type="spellStart"/>
      <w:r w:rsidRPr="00225D4D">
        <w:t>Grunneigarfinansiering</w:t>
      </w:r>
      <w:proofErr w:type="spellEnd"/>
      <w:r w:rsidRPr="00225D4D">
        <w:t>: Unngå utvida bruk av omsynssonar</w:t>
      </w:r>
    </w:p>
    <w:p w14:paraId="17E1B7B1" w14:textId="77777777" w:rsidR="00D60186" w:rsidRPr="00225D4D" w:rsidRDefault="00D60186" w:rsidP="00225D4D">
      <w:pPr>
        <w:pStyle w:val="avsnitt-undertittel"/>
      </w:pPr>
      <w:r w:rsidRPr="00225D4D">
        <w:t>Vedtak 1028, 11. juni 2025</w:t>
      </w:r>
    </w:p>
    <w:p w14:paraId="4950B454" w14:textId="77777777" w:rsidR="00D60186" w:rsidRPr="00225D4D" w:rsidRDefault="00D60186" w:rsidP="00225D4D">
      <w:pPr>
        <w:pStyle w:val="blokksit"/>
        <w:rPr>
          <w:rStyle w:val="kursiv"/>
        </w:rPr>
      </w:pPr>
      <w:r w:rsidRPr="00225D4D">
        <w:rPr>
          <w:rStyle w:val="kursiv"/>
        </w:rPr>
        <w:t>«Stortinget ber regjeringen sørge for at reglene om hensynssone med krav om grunneierfinansiering av infrastruktur i praksis ikke gir kommunen et utvidet handlingsrom i vurderingen av hva som er nødvendig infrastruktur, sammenlignet med bruk av utbyggingsavtaler.»</w:t>
      </w:r>
    </w:p>
    <w:p w14:paraId="3822C8BE"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115 L (2024–2025) </w:t>
      </w:r>
      <w:r w:rsidRPr="00225D4D">
        <w:rPr>
          <w:rStyle w:val="kursiv"/>
        </w:rPr>
        <w:t>Endringer i plan- og bygningsloven og matrikkellova (nye virkemidler ved fortetting og transformasjon, grunneierfinansiering av infrastruktur mv.)</w:t>
      </w:r>
      <w:r w:rsidRPr="00225D4D">
        <w:t xml:space="preserve"> og </w:t>
      </w:r>
      <w:proofErr w:type="spellStart"/>
      <w:r w:rsidRPr="00225D4D">
        <w:t>Innst</w:t>
      </w:r>
      <w:proofErr w:type="spellEnd"/>
      <w:r w:rsidRPr="00225D4D">
        <w:t>. 450 L (2024–2025).</w:t>
      </w:r>
    </w:p>
    <w:p w14:paraId="297BECC7" w14:textId="77777777" w:rsidR="00D60186" w:rsidRPr="00225D4D" w:rsidRDefault="00D60186" w:rsidP="00225D4D">
      <w:r w:rsidRPr="00225D4D">
        <w:t xml:space="preserve">Departementet vil i </w:t>
      </w:r>
      <w:proofErr w:type="spellStart"/>
      <w:r w:rsidRPr="00225D4D">
        <w:t>si</w:t>
      </w:r>
      <w:proofErr w:type="spellEnd"/>
      <w:r w:rsidRPr="00225D4D">
        <w:t xml:space="preserve"> rettleiing </w:t>
      </w:r>
      <w:proofErr w:type="spellStart"/>
      <w:r w:rsidRPr="00225D4D">
        <w:t>søkje</w:t>
      </w:r>
      <w:proofErr w:type="spellEnd"/>
      <w:r w:rsidRPr="00225D4D">
        <w:t xml:space="preserve"> å </w:t>
      </w:r>
      <w:proofErr w:type="spellStart"/>
      <w:r w:rsidRPr="00225D4D">
        <w:t>tydeleggjera</w:t>
      </w:r>
      <w:proofErr w:type="spellEnd"/>
      <w:r w:rsidRPr="00225D4D">
        <w:t xml:space="preserve"> kva som skal </w:t>
      </w:r>
      <w:proofErr w:type="spellStart"/>
      <w:r w:rsidRPr="00225D4D">
        <w:t>reknast</w:t>
      </w:r>
      <w:proofErr w:type="spellEnd"/>
      <w:r w:rsidRPr="00225D4D">
        <w:t xml:space="preserve"> som nødvendig infrastruktur. Når ordninga har </w:t>
      </w:r>
      <w:proofErr w:type="spellStart"/>
      <w:r w:rsidRPr="00225D4D">
        <w:t>vore</w:t>
      </w:r>
      <w:proofErr w:type="spellEnd"/>
      <w:r w:rsidRPr="00225D4D">
        <w:t xml:space="preserve"> i </w:t>
      </w:r>
      <w:proofErr w:type="spellStart"/>
      <w:r w:rsidRPr="00225D4D">
        <w:t>verksemd</w:t>
      </w:r>
      <w:proofErr w:type="spellEnd"/>
      <w:r w:rsidRPr="00225D4D">
        <w:t xml:space="preserve"> ei stund, vil departementet vurdere praksisen og behovet for å eventuelt å </w:t>
      </w:r>
      <w:proofErr w:type="spellStart"/>
      <w:r w:rsidRPr="00225D4D">
        <w:t>klargjere</w:t>
      </w:r>
      <w:proofErr w:type="spellEnd"/>
      <w:r w:rsidRPr="00225D4D">
        <w:t xml:space="preserve"> regelverket på dette punktet. Departementet foreslår på denne bakgrunn at rapporteringa blir avslutta.</w:t>
      </w:r>
    </w:p>
    <w:p w14:paraId="12375A46" w14:textId="77777777" w:rsidR="00D60186" w:rsidRPr="00225D4D" w:rsidRDefault="00D60186" w:rsidP="00225D4D">
      <w:pPr>
        <w:pStyle w:val="avsnitt-tittel"/>
      </w:pPr>
      <w:r w:rsidRPr="00225D4D">
        <w:t xml:space="preserve">Kommunalt </w:t>
      </w:r>
      <w:proofErr w:type="spellStart"/>
      <w:r w:rsidRPr="00225D4D">
        <w:t>sjølvstyre</w:t>
      </w:r>
      <w:proofErr w:type="spellEnd"/>
      <w:r w:rsidRPr="00225D4D">
        <w:t xml:space="preserve"> i plan-, areal- og byggesaker</w:t>
      </w:r>
    </w:p>
    <w:p w14:paraId="708EE9F2" w14:textId="77777777" w:rsidR="00D60186" w:rsidRPr="00225D4D" w:rsidRDefault="00D60186" w:rsidP="00225D4D">
      <w:pPr>
        <w:pStyle w:val="avsnitt-undertittel"/>
      </w:pPr>
      <w:r w:rsidRPr="00225D4D">
        <w:t>Vedtak 1103, 17. juni 2025</w:t>
      </w:r>
    </w:p>
    <w:p w14:paraId="35B1E3CC" w14:textId="77777777" w:rsidR="00D60186" w:rsidRPr="00225D4D" w:rsidRDefault="00D60186" w:rsidP="00225D4D">
      <w:pPr>
        <w:pStyle w:val="blokksit"/>
        <w:rPr>
          <w:rStyle w:val="kursiv"/>
        </w:rPr>
      </w:pPr>
      <w:r w:rsidRPr="00225D4D">
        <w:rPr>
          <w:rStyle w:val="kursiv"/>
        </w:rPr>
        <w:t>«Stortinget ber regjeringen vektlegge sterkere det kommunale selvstyret som en grunnleggende verdi i plan-, areal- og byggesaker enn dagens praksis.»</w:t>
      </w:r>
    </w:p>
    <w:p w14:paraId="047CDEC2"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142 S (2024–2025) </w:t>
      </w:r>
      <w:r w:rsidRPr="00225D4D">
        <w:rPr>
          <w:rStyle w:val="kursiv"/>
        </w:rPr>
        <w:t xml:space="preserve">Kommuneproposisjonen 2026 </w:t>
      </w:r>
      <w:r w:rsidRPr="00225D4D">
        <w:t xml:space="preserve">og </w:t>
      </w:r>
      <w:proofErr w:type="spellStart"/>
      <w:r w:rsidRPr="00225D4D">
        <w:t>Innst</w:t>
      </w:r>
      <w:proofErr w:type="spellEnd"/>
      <w:r w:rsidRPr="00225D4D">
        <w:t>. 532 S (2024–2025).</w:t>
      </w:r>
    </w:p>
    <w:p w14:paraId="457A5D31" w14:textId="77777777" w:rsidR="00D60186" w:rsidRPr="00225D4D" w:rsidRDefault="00D60186" w:rsidP="00225D4D">
      <w:r w:rsidRPr="00225D4D">
        <w:t xml:space="preserve">Departementet vil </w:t>
      </w:r>
      <w:proofErr w:type="spellStart"/>
      <w:r w:rsidRPr="00225D4D">
        <w:t>setje</w:t>
      </w:r>
      <w:proofErr w:type="spellEnd"/>
      <w:r w:rsidRPr="00225D4D">
        <w:t xml:space="preserve"> i gang </w:t>
      </w:r>
      <w:proofErr w:type="spellStart"/>
      <w:r w:rsidRPr="00225D4D">
        <w:t>eit</w:t>
      </w:r>
      <w:proofErr w:type="spellEnd"/>
      <w:r w:rsidRPr="00225D4D">
        <w:t xml:space="preserve"> arbeid for å </w:t>
      </w:r>
      <w:proofErr w:type="spellStart"/>
      <w:r w:rsidRPr="00225D4D">
        <w:t>forbetre</w:t>
      </w:r>
      <w:proofErr w:type="spellEnd"/>
      <w:r w:rsidRPr="00225D4D">
        <w:t xml:space="preserve"> og effektivisere dialogen mellom </w:t>
      </w:r>
      <w:proofErr w:type="spellStart"/>
      <w:r w:rsidRPr="00225D4D">
        <w:t>kommunane</w:t>
      </w:r>
      <w:proofErr w:type="spellEnd"/>
      <w:r w:rsidRPr="00225D4D">
        <w:t xml:space="preserve"> og </w:t>
      </w:r>
      <w:proofErr w:type="spellStart"/>
      <w:r w:rsidRPr="00225D4D">
        <w:t>statlege</w:t>
      </w:r>
      <w:proofErr w:type="spellEnd"/>
      <w:r w:rsidRPr="00225D4D">
        <w:t xml:space="preserve"> og regionale styresmakter i </w:t>
      </w:r>
      <w:proofErr w:type="spellStart"/>
      <w:r w:rsidRPr="00225D4D">
        <w:t>planprosessane</w:t>
      </w:r>
      <w:proofErr w:type="spellEnd"/>
      <w:r w:rsidRPr="00225D4D">
        <w:t xml:space="preserve">. Målet er å sikre at </w:t>
      </w:r>
      <w:proofErr w:type="spellStart"/>
      <w:r w:rsidRPr="00225D4D">
        <w:t>planane</w:t>
      </w:r>
      <w:proofErr w:type="spellEnd"/>
      <w:r w:rsidRPr="00225D4D">
        <w:t xml:space="preserve"> </w:t>
      </w:r>
      <w:proofErr w:type="spellStart"/>
      <w:r w:rsidRPr="00225D4D">
        <w:t>legg</w:t>
      </w:r>
      <w:proofErr w:type="spellEnd"/>
      <w:r w:rsidRPr="00225D4D">
        <w:t xml:space="preserve"> grunnlag for ønska lokal utvikling samstundes som nasjonale interesser blir ivaretatt. Departementet vil òg ta initiativ til </w:t>
      </w:r>
      <w:proofErr w:type="spellStart"/>
      <w:r w:rsidRPr="00225D4D">
        <w:t>eit</w:t>
      </w:r>
      <w:proofErr w:type="spellEnd"/>
      <w:r w:rsidRPr="00225D4D">
        <w:t xml:space="preserve"> </w:t>
      </w:r>
      <w:proofErr w:type="spellStart"/>
      <w:r w:rsidRPr="00225D4D">
        <w:t>tettare</w:t>
      </w:r>
      <w:proofErr w:type="spellEnd"/>
      <w:r w:rsidRPr="00225D4D">
        <w:t xml:space="preserve"> samarbeid med </w:t>
      </w:r>
      <w:proofErr w:type="spellStart"/>
      <w:r w:rsidRPr="00225D4D">
        <w:t>dei</w:t>
      </w:r>
      <w:proofErr w:type="spellEnd"/>
      <w:r w:rsidRPr="00225D4D">
        <w:t xml:space="preserve"> departementa som har størst interesser i arealplanlegginga, med mål om betre samordning av den </w:t>
      </w:r>
      <w:proofErr w:type="spellStart"/>
      <w:r w:rsidRPr="00225D4D">
        <w:t>statlege</w:t>
      </w:r>
      <w:proofErr w:type="spellEnd"/>
      <w:r w:rsidRPr="00225D4D">
        <w:t xml:space="preserve"> arealpolitikken. Som </w:t>
      </w:r>
      <w:proofErr w:type="spellStart"/>
      <w:r w:rsidRPr="00225D4D">
        <w:t>ein</w:t>
      </w:r>
      <w:proofErr w:type="spellEnd"/>
      <w:r w:rsidRPr="00225D4D">
        <w:t xml:space="preserve"> del av dette arbeidet vil departementet òg gå nøye gjennom </w:t>
      </w:r>
      <w:proofErr w:type="spellStart"/>
      <w:r w:rsidRPr="00225D4D">
        <w:t>motsegnspraksisen</w:t>
      </w:r>
      <w:proofErr w:type="spellEnd"/>
      <w:r w:rsidRPr="00225D4D">
        <w:t>.</w:t>
      </w:r>
    </w:p>
    <w:p w14:paraId="0255FACB" w14:textId="77777777" w:rsidR="00D60186" w:rsidRPr="00225D4D" w:rsidRDefault="00D60186" w:rsidP="00225D4D">
      <w:r w:rsidRPr="00225D4D">
        <w:t>Departementet foreslår på denne bakgrunn at rapporteringa blir avslutta.</w:t>
      </w:r>
    </w:p>
    <w:p w14:paraId="3782F6FE" w14:textId="77777777" w:rsidR="00D60186" w:rsidRPr="00225D4D" w:rsidRDefault="00D60186" w:rsidP="00225D4D">
      <w:pPr>
        <w:pStyle w:val="avsnitt-tittel"/>
      </w:pPr>
      <w:proofErr w:type="spellStart"/>
      <w:r w:rsidRPr="00225D4D">
        <w:t>Forbetre</w:t>
      </w:r>
      <w:proofErr w:type="spellEnd"/>
      <w:r w:rsidRPr="00225D4D">
        <w:t xml:space="preserve"> ordninga for </w:t>
      </w:r>
      <w:proofErr w:type="spellStart"/>
      <w:r w:rsidRPr="00225D4D">
        <w:t>ressurskrevjande</w:t>
      </w:r>
      <w:proofErr w:type="spellEnd"/>
      <w:r w:rsidRPr="00225D4D">
        <w:t xml:space="preserve"> </w:t>
      </w:r>
      <w:proofErr w:type="spellStart"/>
      <w:r w:rsidRPr="00225D4D">
        <w:t>tenester</w:t>
      </w:r>
      <w:proofErr w:type="spellEnd"/>
    </w:p>
    <w:p w14:paraId="364A3F6D" w14:textId="77777777" w:rsidR="00D60186" w:rsidRPr="00225D4D" w:rsidRDefault="00D60186" w:rsidP="00225D4D">
      <w:pPr>
        <w:pStyle w:val="avsnitt-undertittel"/>
      </w:pPr>
      <w:r w:rsidRPr="00225D4D">
        <w:t>Vedtak 1104, 17. juni 2025</w:t>
      </w:r>
    </w:p>
    <w:p w14:paraId="596FF836" w14:textId="77777777" w:rsidR="00D60186" w:rsidRPr="00225D4D" w:rsidRDefault="00D60186" w:rsidP="00225D4D">
      <w:pPr>
        <w:pStyle w:val="blokksit"/>
        <w:rPr>
          <w:rStyle w:val="kursiv"/>
        </w:rPr>
      </w:pPr>
      <w:r w:rsidRPr="00225D4D">
        <w:rPr>
          <w:rStyle w:val="kursiv"/>
        </w:rPr>
        <w:t>«Stortinget ber regjeringen i forslaget til statsbudsjett for 2026 vurdere å forbedre toppfinansieringsordningen for ressurskrevende tjenester i kommunene.»</w:t>
      </w:r>
    </w:p>
    <w:p w14:paraId="379211A0"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142 S (2024–2025) </w:t>
      </w:r>
      <w:r w:rsidRPr="00225D4D">
        <w:rPr>
          <w:rStyle w:val="kursiv"/>
        </w:rPr>
        <w:t xml:space="preserve">Kommuneproposisjonen 2026 </w:t>
      </w:r>
      <w:r w:rsidRPr="00225D4D">
        <w:t xml:space="preserve">og </w:t>
      </w:r>
      <w:proofErr w:type="spellStart"/>
      <w:r w:rsidRPr="00225D4D">
        <w:t>Innst</w:t>
      </w:r>
      <w:proofErr w:type="spellEnd"/>
      <w:r w:rsidRPr="00225D4D">
        <w:t>. 532 S (2024–2025).</w:t>
      </w:r>
    </w:p>
    <w:p w14:paraId="79BAF113" w14:textId="77777777" w:rsidR="00D60186" w:rsidRPr="00225D4D" w:rsidRDefault="00D60186" w:rsidP="00225D4D">
      <w:r w:rsidRPr="00225D4D">
        <w:t xml:space="preserve">Toppfinansieringsordninga for </w:t>
      </w:r>
      <w:proofErr w:type="spellStart"/>
      <w:r w:rsidRPr="00225D4D">
        <w:t>ressurskrevjande</w:t>
      </w:r>
      <w:proofErr w:type="spellEnd"/>
      <w:r w:rsidRPr="00225D4D">
        <w:t xml:space="preserve"> </w:t>
      </w:r>
      <w:proofErr w:type="spellStart"/>
      <w:r w:rsidRPr="00225D4D">
        <w:t>tenester</w:t>
      </w:r>
      <w:proofErr w:type="spellEnd"/>
      <w:r w:rsidRPr="00225D4D">
        <w:t xml:space="preserve"> vart lagt om og </w:t>
      </w:r>
      <w:proofErr w:type="spellStart"/>
      <w:r w:rsidRPr="00225D4D">
        <w:t>forbetra</w:t>
      </w:r>
      <w:proofErr w:type="spellEnd"/>
      <w:r w:rsidRPr="00225D4D">
        <w:t xml:space="preserve"> </w:t>
      </w:r>
      <w:proofErr w:type="spellStart"/>
      <w:r w:rsidRPr="00225D4D">
        <w:t>frå</w:t>
      </w:r>
      <w:proofErr w:type="spellEnd"/>
      <w:r w:rsidRPr="00225D4D">
        <w:t xml:space="preserve"> 2025. I </w:t>
      </w:r>
      <w:proofErr w:type="spellStart"/>
      <w:r w:rsidRPr="00225D4D">
        <w:t>Prop</w:t>
      </w:r>
      <w:proofErr w:type="spellEnd"/>
      <w:r w:rsidRPr="00225D4D">
        <w:t xml:space="preserve">. 1 S (2025–2026) blir det foreslått </w:t>
      </w:r>
      <w:proofErr w:type="spellStart"/>
      <w:r w:rsidRPr="00225D4D">
        <w:t>endringar</w:t>
      </w:r>
      <w:proofErr w:type="spellEnd"/>
      <w:r w:rsidRPr="00225D4D">
        <w:t xml:space="preserve"> i innslagspunktet i samband med at verdien for kriteriet i inntektssystemet for </w:t>
      </w:r>
      <w:proofErr w:type="spellStart"/>
      <w:r w:rsidRPr="00225D4D">
        <w:t>personar</w:t>
      </w:r>
      <w:proofErr w:type="spellEnd"/>
      <w:r w:rsidRPr="00225D4D">
        <w:t xml:space="preserve"> med utviklingshemming 16 år og over blir redusert. Departementet vurderer at det </w:t>
      </w:r>
      <w:proofErr w:type="spellStart"/>
      <w:r w:rsidRPr="00225D4D">
        <w:t>ikkje</w:t>
      </w:r>
      <w:proofErr w:type="spellEnd"/>
      <w:r w:rsidRPr="00225D4D">
        <w:t xml:space="preserve"> er behov for å </w:t>
      </w:r>
      <w:proofErr w:type="spellStart"/>
      <w:r w:rsidRPr="00225D4D">
        <w:t>gjere</w:t>
      </w:r>
      <w:proofErr w:type="spellEnd"/>
      <w:r w:rsidRPr="00225D4D">
        <w:t xml:space="preserve"> andre </w:t>
      </w:r>
      <w:proofErr w:type="spellStart"/>
      <w:r w:rsidRPr="00225D4D">
        <w:t>endringar</w:t>
      </w:r>
      <w:proofErr w:type="spellEnd"/>
      <w:r w:rsidRPr="00225D4D">
        <w:t xml:space="preserve"> i toppfinansieringsordninga for </w:t>
      </w:r>
      <w:proofErr w:type="spellStart"/>
      <w:r w:rsidRPr="00225D4D">
        <w:t>ressurskrevjande</w:t>
      </w:r>
      <w:proofErr w:type="spellEnd"/>
      <w:r w:rsidRPr="00225D4D">
        <w:t xml:space="preserve"> </w:t>
      </w:r>
      <w:proofErr w:type="spellStart"/>
      <w:r w:rsidRPr="00225D4D">
        <w:t>tenester</w:t>
      </w:r>
      <w:proofErr w:type="spellEnd"/>
      <w:r w:rsidRPr="00225D4D">
        <w:t xml:space="preserve"> no. Sjå òg vedtak 815, 19. juni 2024, der regjeringa </w:t>
      </w:r>
      <w:proofErr w:type="spellStart"/>
      <w:r w:rsidRPr="00225D4D">
        <w:t>vart</w:t>
      </w:r>
      <w:proofErr w:type="spellEnd"/>
      <w:r w:rsidRPr="00225D4D">
        <w:t xml:space="preserve"> bedt om å evaluere omlegginga av ordninga og vurdere innslagspunktet i samband med ordinære </w:t>
      </w:r>
      <w:proofErr w:type="spellStart"/>
      <w:r w:rsidRPr="00225D4D">
        <w:t>budsjettprosessar</w:t>
      </w:r>
      <w:proofErr w:type="spellEnd"/>
      <w:r w:rsidRPr="00225D4D">
        <w:t>.</w:t>
      </w:r>
    </w:p>
    <w:p w14:paraId="13BF70D3"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3257F923" w14:textId="77777777" w:rsidR="00D60186" w:rsidRPr="00225D4D" w:rsidRDefault="00D60186" w:rsidP="00225D4D">
      <w:pPr>
        <w:pStyle w:val="avsnitt-tittel"/>
      </w:pPr>
      <w:proofErr w:type="spellStart"/>
      <w:r w:rsidRPr="00225D4D">
        <w:t>Særskild</w:t>
      </w:r>
      <w:proofErr w:type="spellEnd"/>
      <w:r w:rsidRPr="00225D4D">
        <w:t xml:space="preserve"> rentekompensasjon for ferjeavløysingsprosjekt</w:t>
      </w:r>
    </w:p>
    <w:p w14:paraId="73FD8D2D" w14:textId="77777777" w:rsidR="00D60186" w:rsidRPr="00225D4D" w:rsidRDefault="00D60186" w:rsidP="00225D4D">
      <w:pPr>
        <w:pStyle w:val="avsnitt-undertittel"/>
      </w:pPr>
      <w:r w:rsidRPr="00225D4D">
        <w:t>Vedtak 1105, 17. juni 2025</w:t>
      </w:r>
    </w:p>
    <w:p w14:paraId="611DF2E7" w14:textId="77777777" w:rsidR="00D60186" w:rsidRPr="00225D4D" w:rsidRDefault="00D60186" w:rsidP="00225D4D">
      <w:pPr>
        <w:pStyle w:val="blokksit"/>
        <w:rPr>
          <w:rStyle w:val="kursiv"/>
        </w:rPr>
      </w:pPr>
      <w:r w:rsidRPr="00225D4D">
        <w:rPr>
          <w:rStyle w:val="kursiv"/>
        </w:rPr>
        <w:t xml:space="preserve">«Stortinget ber regjeringa </w:t>
      </w:r>
      <w:proofErr w:type="spellStart"/>
      <w:r w:rsidRPr="00225D4D">
        <w:rPr>
          <w:rStyle w:val="kursiv"/>
        </w:rPr>
        <w:t>vidareføre</w:t>
      </w:r>
      <w:proofErr w:type="spellEnd"/>
      <w:r w:rsidRPr="00225D4D">
        <w:rPr>
          <w:rStyle w:val="kursiv"/>
        </w:rPr>
        <w:t xml:space="preserve"> den </w:t>
      </w:r>
      <w:proofErr w:type="spellStart"/>
      <w:r w:rsidRPr="00225D4D">
        <w:rPr>
          <w:rStyle w:val="kursiv"/>
        </w:rPr>
        <w:t>særskilde</w:t>
      </w:r>
      <w:proofErr w:type="spellEnd"/>
      <w:r w:rsidRPr="00225D4D">
        <w:rPr>
          <w:rStyle w:val="kursiv"/>
        </w:rPr>
        <w:t xml:space="preserve"> rentekompensasjonsordninga for fergeavløsningsprosjektet som Stortinget har vedtatt, der fylkeskommunen får kompensert for inntil 50 prosent av </w:t>
      </w:r>
      <w:proofErr w:type="spellStart"/>
      <w:r w:rsidRPr="00225D4D">
        <w:rPr>
          <w:rStyle w:val="kursiv"/>
        </w:rPr>
        <w:t>dei</w:t>
      </w:r>
      <w:proofErr w:type="spellEnd"/>
      <w:r w:rsidRPr="00225D4D">
        <w:rPr>
          <w:rStyle w:val="kursiv"/>
        </w:rPr>
        <w:t xml:space="preserve"> faktiske årlige rentekostnadene de fem første </w:t>
      </w:r>
      <w:proofErr w:type="spellStart"/>
      <w:r w:rsidRPr="00225D4D">
        <w:rPr>
          <w:rStyle w:val="kursiv"/>
        </w:rPr>
        <w:t>åra</w:t>
      </w:r>
      <w:proofErr w:type="spellEnd"/>
      <w:r w:rsidRPr="00225D4D">
        <w:rPr>
          <w:rStyle w:val="kursiv"/>
        </w:rPr>
        <w:t xml:space="preserve"> etter at veiprosjektet er ferdig, også for prosjekt som vert ferdigstilte etter 2027.»</w:t>
      </w:r>
    </w:p>
    <w:p w14:paraId="54FC75FD"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142 S (2024–2025) </w:t>
      </w:r>
      <w:r w:rsidRPr="00225D4D">
        <w:rPr>
          <w:rStyle w:val="kursiv"/>
        </w:rPr>
        <w:t xml:space="preserve">Kommuneproposisjonen 2026 </w:t>
      </w:r>
      <w:r w:rsidRPr="00225D4D">
        <w:t xml:space="preserve">og </w:t>
      </w:r>
      <w:proofErr w:type="spellStart"/>
      <w:r w:rsidRPr="00225D4D">
        <w:t>Innst</w:t>
      </w:r>
      <w:proofErr w:type="spellEnd"/>
      <w:r w:rsidRPr="00225D4D">
        <w:t>. 532 S (2024–2025).</w:t>
      </w:r>
    </w:p>
    <w:p w14:paraId="74473E3A" w14:textId="77777777" w:rsidR="00D60186" w:rsidRPr="00225D4D" w:rsidRDefault="00D60186" w:rsidP="00225D4D">
      <w:r w:rsidRPr="00225D4D">
        <w:t xml:space="preserve">Den </w:t>
      </w:r>
      <w:proofErr w:type="spellStart"/>
      <w:r w:rsidRPr="00225D4D">
        <w:t>særskilde</w:t>
      </w:r>
      <w:proofErr w:type="spellEnd"/>
      <w:r w:rsidRPr="00225D4D">
        <w:t xml:space="preserve"> rentekompensasjonsordninga, som </w:t>
      </w:r>
      <w:proofErr w:type="spellStart"/>
      <w:r w:rsidRPr="00225D4D">
        <w:t>vart</w:t>
      </w:r>
      <w:proofErr w:type="spellEnd"/>
      <w:r w:rsidRPr="00225D4D">
        <w:t xml:space="preserve"> lagt fram i kommuneproposisjonen for 2022, kan kompensere </w:t>
      </w:r>
      <w:proofErr w:type="spellStart"/>
      <w:r w:rsidRPr="00225D4D">
        <w:t>fylkeskommunane</w:t>
      </w:r>
      <w:proofErr w:type="spellEnd"/>
      <w:r w:rsidRPr="00225D4D">
        <w:t xml:space="preserve"> for inntil 50 pst. av </w:t>
      </w:r>
      <w:proofErr w:type="spellStart"/>
      <w:r w:rsidRPr="00225D4D">
        <w:t>årlege</w:t>
      </w:r>
      <w:proofErr w:type="spellEnd"/>
      <w:r w:rsidRPr="00225D4D">
        <w:t xml:space="preserve">, berekna rentekostnader </w:t>
      </w:r>
      <w:proofErr w:type="spellStart"/>
      <w:r w:rsidRPr="00225D4D">
        <w:t>dei</w:t>
      </w:r>
      <w:proofErr w:type="spellEnd"/>
      <w:r w:rsidRPr="00225D4D">
        <w:t xml:space="preserve"> første fem åra etter at vegprosjektet er ferdig, for ferjeavløysingsprosjekt som blir ferdig mellom 2022 og 2027. Det er </w:t>
      </w:r>
      <w:proofErr w:type="spellStart"/>
      <w:r w:rsidRPr="00225D4D">
        <w:t>ein</w:t>
      </w:r>
      <w:proofErr w:type="spellEnd"/>
      <w:r w:rsidRPr="00225D4D">
        <w:t xml:space="preserve"> </w:t>
      </w:r>
      <w:proofErr w:type="spellStart"/>
      <w:r w:rsidRPr="00225D4D">
        <w:t>føresetnad</w:t>
      </w:r>
      <w:proofErr w:type="spellEnd"/>
      <w:r w:rsidRPr="00225D4D">
        <w:t xml:space="preserve"> at finansieringa av ordninga </w:t>
      </w:r>
      <w:proofErr w:type="spellStart"/>
      <w:r w:rsidRPr="00225D4D">
        <w:t>ikkje</w:t>
      </w:r>
      <w:proofErr w:type="spellEnd"/>
      <w:r w:rsidRPr="00225D4D">
        <w:t xml:space="preserve"> skal gå ut over andre </w:t>
      </w:r>
      <w:proofErr w:type="spellStart"/>
      <w:r w:rsidRPr="00225D4D">
        <w:t>fylkeskommunar</w:t>
      </w:r>
      <w:proofErr w:type="spellEnd"/>
      <w:r w:rsidRPr="00225D4D">
        <w:t xml:space="preserve">. Ordninga som </w:t>
      </w:r>
      <w:proofErr w:type="spellStart"/>
      <w:r w:rsidRPr="00225D4D">
        <w:t>vart</w:t>
      </w:r>
      <w:proofErr w:type="spellEnd"/>
      <w:r w:rsidRPr="00225D4D">
        <w:t xml:space="preserve"> omtalt i kommuneproposisjonen for 2022 hadde </w:t>
      </w:r>
      <w:proofErr w:type="spellStart"/>
      <w:r w:rsidRPr="00225D4D">
        <w:t>ein</w:t>
      </w:r>
      <w:proofErr w:type="spellEnd"/>
      <w:r w:rsidRPr="00225D4D">
        <w:t xml:space="preserve"> </w:t>
      </w:r>
      <w:proofErr w:type="spellStart"/>
      <w:r w:rsidRPr="00225D4D">
        <w:t>årleg</w:t>
      </w:r>
      <w:proofErr w:type="spellEnd"/>
      <w:r w:rsidRPr="00225D4D">
        <w:t xml:space="preserve"> ramme på inntil 50 mill. kroner.</w:t>
      </w:r>
    </w:p>
    <w:p w14:paraId="6C2B36AC" w14:textId="77777777" w:rsidR="00D60186" w:rsidRPr="00225D4D" w:rsidRDefault="00D60186" w:rsidP="00225D4D">
      <w:r w:rsidRPr="00225D4D">
        <w:t xml:space="preserve">Hittil er det Nordøyvegen-prosjektet i Møre og Romsdal som har </w:t>
      </w:r>
      <w:proofErr w:type="spellStart"/>
      <w:r w:rsidRPr="00225D4D">
        <w:t>vore</w:t>
      </w:r>
      <w:proofErr w:type="spellEnd"/>
      <w:r w:rsidRPr="00225D4D">
        <w:t xml:space="preserve"> aktuelt for dette </w:t>
      </w:r>
      <w:proofErr w:type="spellStart"/>
      <w:r w:rsidRPr="00225D4D">
        <w:t>tilskotet</w:t>
      </w:r>
      <w:proofErr w:type="spellEnd"/>
      <w:r w:rsidRPr="00225D4D">
        <w:t xml:space="preserve">. Prosjektet har fått </w:t>
      </w:r>
      <w:proofErr w:type="spellStart"/>
      <w:r w:rsidRPr="00225D4D">
        <w:t>eit</w:t>
      </w:r>
      <w:proofErr w:type="spellEnd"/>
      <w:r w:rsidRPr="00225D4D">
        <w:t xml:space="preserve"> </w:t>
      </w:r>
      <w:proofErr w:type="spellStart"/>
      <w:r w:rsidRPr="00225D4D">
        <w:t>tilskot</w:t>
      </w:r>
      <w:proofErr w:type="spellEnd"/>
      <w:r w:rsidRPr="00225D4D">
        <w:t xml:space="preserve"> til dekking av kapitalkostnader for </w:t>
      </w:r>
      <w:proofErr w:type="spellStart"/>
      <w:r w:rsidRPr="00225D4D">
        <w:t>dei</w:t>
      </w:r>
      <w:proofErr w:type="spellEnd"/>
      <w:r w:rsidRPr="00225D4D">
        <w:t xml:space="preserve"> fem første </w:t>
      </w:r>
      <w:proofErr w:type="spellStart"/>
      <w:r w:rsidRPr="00225D4D">
        <w:t>åra</w:t>
      </w:r>
      <w:proofErr w:type="spellEnd"/>
      <w:r w:rsidRPr="00225D4D">
        <w:t xml:space="preserve"> etter at prosjektet </w:t>
      </w:r>
      <w:proofErr w:type="spellStart"/>
      <w:r w:rsidRPr="00225D4D">
        <w:t>vart</w:t>
      </w:r>
      <w:proofErr w:type="spellEnd"/>
      <w:r w:rsidRPr="00225D4D">
        <w:t xml:space="preserve"> ferdigstilt, men </w:t>
      </w:r>
      <w:proofErr w:type="spellStart"/>
      <w:r w:rsidRPr="00225D4D">
        <w:t>tilskotet</w:t>
      </w:r>
      <w:proofErr w:type="spellEnd"/>
      <w:r w:rsidRPr="00225D4D">
        <w:t xml:space="preserve"> </w:t>
      </w:r>
      <w:proofErr w:type="spellStart"/>
      <w:r w:rsidRPr="00225D4D">
        <w:t>vart</w:t>
      </w:r>
      <w:proofErr w:type="spellEnd"/>
      <w:r w:rsidRPr="00225D4D">
        <w:t xml:space="preserve"> utbetalt over to år (2024 og 2025).</w:t>
      </w:r>
    </w:p>
    <w:p w14:paraId="50DD4B36"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eigna måte.</w:t>
      </w:r>
    </w:p>
    <w:p w14:paraId="549B31A7" w14:textId="77777777" w:rsidR="00D60186" w:rsidRPr="00225D4D" w:rsidRDefault="00D60186" w:rsidP="00225D4D">
      <w:pPr>
        <w:pStyle w:val="avsnitt-tittel"/>
      </w:pPr>
      <w:proofErr w:type="spellStart"/>
      <w:r w:rsidRPr="00225D4D">
        <w:t>Tilskot</w:t>
      </w:r>
      <w:proofErr w:type="spellEnd"/>
      <w:r w:rsidRPr="00225D4D">
        <w:t xml:space="preserve"> til </w:t>
      </w:r>
      <w:proofErr w:type="spellStart"/>
      <w:r w:rsidRPr="00225D4D">
        <w:t>ressurskrevjande</w:t>
      </w:r>
      <w:proofErr w:type="spellEnd"/>
      <w:r w:rsidRPr="00225D4D">
        <w:t xml:space="preserve"> </w:t>
      </w:r>
      <w:proofErr w:type="spellStart"/>
      <w:r w:rsidRPr="00225D4D">
        <w:t>tenester</w:t>
      </w:r>
      <w:proofErr w:type="spellEnd"/>
      <w:r w:rsidRPr="00225D4D">
        <w:t xml:space="preserve"> – </w:t>
      </w:r>
      <w:proofErr w:type="spellStart"/>
      <w:r w:rsidRPr="00225D4D">
        <w:t>enklare</w:t>
      </w:r>
      <w:proofErr w:type="spellEnd"/>
      <w:r w:rsidRPr="00225D4D">
        <w:t xml:space="preserve"> utforming</w:t>
      </w:r>
    </w:p>
    <w:p w14:paraId="60CCC81B" w14:textId="77777777" w:rsidR="00D60186" w:rsidRPr="00225D4D" w:rsidRDefault="00D60186" w:rsidP="00225D4D">
      <w:pPr>
        <w:pStyle w:val="avsnitt-undertittel"/>
      </w:pPr>
      <w:r w:rsidRPr="00225D4D">
        <w:t>Vedtak 1107, 17. juni 2025</w:t>
      </w:r>
    </w:p>
    <w:p w14:paraId="2B2597FD" w14:textId="77777777" w:rsidR="00D60186" w:rsidRPr="00225D4D" w:rsidRDefault="00D60186" w:rsidP="00225D4D">
      <w:pPr>
        <w:pStyle w:val="blokksit"/>
        <w:rPr>
          <w:rStyle w:val="kursiv"/>
        </w:rPr>
      </w:pPr>
      <w:r w:rsidRPr="00225D4D">
        <w:rPr>
          <w:rStyle w:val="kursiv"/>
        </w:rPr>
        <w:t>«Stortinget ber regjeringen følge opp anbefalingene fra Riksrevisjonens rapport om tilskudd til ressurskrevende helse- og omsorgstjenester i kommunene, slik at tilskuddsordningen utformes enklere og mindre administrativt krevende for kommunene, og slik at en unngår forskjellsbehandling og ineffektiv ressursbruk. Regjeringen bes komme tilbake til Stortinget i kommuneproposisjonen for 2027.»</w:t>
      </w:r>
    </w:p>
    <w:p w14:paraId="5C449921"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142 S (2024–2025) </w:t>
      </w:r>
      <w:r w:rsidRPr="00225D4D">
        <w:rPr>
          <w:rStyle w:val="kursiv"/>
        </w:rPr>
        <w:t xml:space="preserve">Kommuneproposisjonen 2026 </w:t>
      </w:r>
      <w:r w:rsidRPr="00225D4D">
        <w:t xml:space="preserve">og </w:t>
      </w:r>
      <w:proofErr w:type="spellStart"/>
      <w:r w:rsidRPr="00225D4D">
        <w:t>Innst</w:t>
      </w:r>
      <w:proofErr w:type="spellEnd"/>
      <w:r w:rsidRPr="00225D4D">
        <w:t>. 532 S (2024–2025).</w:t>
      </w:r>
    </w:p>
    <w:p w14:paraId="4EB3671F" w14:textId="77777777" w:rsidR="00D60186" w:rsidRPr="00225D4D" w:rsidRDefault="00D60186" w:rsidP="00225D4D">
      <w:r w:rsidRPr="00225D4D">
        <w:t xml:space="preserve">Regjeringa vil </w:t>
      </w:r>
      <w:proofErr w:type="spellStart"/>
      <w:r w:rsidRPr="00225D4D">
        <w:t>følgje</w:t>
      </w:r>
      <w:proofErr w:type="spellEnd"/>
      <w:r w:rsidRPr="00225D4D">
        <w:t xml:space="preserve"> opp Riksrevisjonen sin rapport der dette er relevant og hensiktsmessig. Departementet har mellom anna bedt Helsedirektoratet greie ut </w:t>
      </w:r>
      <w:proofErr w:type="spellStart"/>
      <w:r w:rsidRPr="00225D4D">
        <w:t>moglege</w:t>
      </w:r>
      <w:proofErr w:type="spellEnd"/>
      <w:r w:rsidRPr="00225D4D">
        <w:t xml:space="preserve"> </w:t>
      </w:r>
      <w:proofErr w:type="spellStart"/>
      <w:r w:rsidRPr="00225D4D">
        <w:t>forenklingar</w:t>
      </w:r>
      <w:proofErr w:type="spellEnd"/>
      <w:r w:rsidRPr="00225D4D">
        <w:t xml:space="preserve"> i ordninga.</w:t>
      </w:r>
    </w:p>
    <w:p w14:paraId="5387EBD3"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i kommuneproposisjonen for 2027 og foreslår på denne bakgrunn at rapporteringa blir avslutta.</w:t>
      </w:r>
    </w:p>
    <w:p w14:paraId="206ED625" w14:textId="77777777" w:rsidR="00D60186" w:rsidRPr="00225D4D" w:rsidRDefault="00D60186" w:rsidP="00225D4D">
      <w:pPr>
        <w:pStyle w:val="avsnitt-tittel"/>
      </w:pPr>
      <w:proofErr w:type="spellStart"/>
      <w:r w:rsidRPr="00225D4D">
        <w:t>Vidareføring</w:t>
      </w:r>
      <w:proofErr w:type="spellEnd"/>
      <w:r w:rsidRPr="00225D4D">
        <w:t xml:space="preserve"> av ferjeavløysingsordninga</w:t>
      </w:r>
    </w:p>
    <w:p w14:paraId="571A10C6" w14:textId="77777777" w:rsidR="00D60186" w:rsidRPr="00225D4D" w:rsidRDefault="00D60186" w:rsidP="00225D4D">
      <w:pPr>
        <w:pStyle w:val="avsnitt-undertittel"/>
      </w:pPr>
      <w:r w:rsidRPr="00225D4D">
        <w:t>Vedtak 1108, 17. juni 2025</w:t>
      </w:r>
    </w:p>
    <w:p w14:paraId="1E0252C6" w14:textId="77777777" w:rsidR="00D60186" w:rsidRPr="00225D4D" w:rsidRDefault="00D60186" w:rsidP="00225D4D">
      <w:pPr>
        <w:pStyle w:val="blokksit"/>
        <w:rPr>
          <w:rStyle w:val="kursiv"/>
        </w:rPr>
      </w:pPr>
      <w:r w:rsidRPr="00225D4D">
        <w:rPr>
          <w:rStyle w:val="kursiv"/>
        </w:rPr>
        <w:t>«Stortinget ber regjeringen sikre at ferjeavløsningsordningen blir videreført som en del av finansieringen for å erstatte ferjesamband med fast forbindelse.»</w:t>
      </w:r>
    </w:p>
    <w:p w14:paraId="5A2E3D69"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142 S (2024–2025) </w:t>
      </w:r>
      <w:r w:rsidRPr="00225D4D">
        <w:rPr>
          <w:rStyle w:val="kursiv"/>
        </w:rPr>
        <w:t xml:space="preserve">Kommuneproposisjonen 2026 </w:t>
      </w:r>
      <w:r w:rsidRPr="00225D4D">
        <w:t xml:space="preserve">og </w:t>
      </w:r>
      <w:proofErr w:type="spellStart"/>
      <w:r w:rsidRPr="00225D4D">
        <w:t>Innst</w:t>
      </w:r>
      <w:proofErr w:type="spellEnd"/>
      <w:r w:rsidRPr="00225D4D">
        <w:t>. 532 S (2024–2025).</w:t>
      </w:r>
    </w:p>
    <w:p w14:paraId="3AF6C9EC" w14:textId="77777777" w:rsidR="00D60186" w:rsidRPr="00225D4D" w:rsidRDefault="00D60186" w:rsidP="00225D4D">
      <w:proofErr w:type="spellStart"/>
      <w:r w:rsidRPr="00225D4D">
        <w:t>Eit</w:t>
      </w:r>
      <w:proofErr w:type="spellEnd"/>
      <w:r w:rsidRPr="00225D4D">
        <w:t xml:space="preserve"> ferjeavløysingsprosjekt </w:t>
      </w:r>
      <w:proofErr w:type="spellStart"/>
      <w:r w:rsidRPr="00225D4D">
        <w:t>inneber</w:t>
      </w:r>
      <w:proofErr w:type="spellEnd"/>
      <w:r w:rsidRPr="00225D4D">
        <w:t xml:space="preserve"> at det blir bygd </w:t>
      </w:r>
      <w:proofErr w:type="spellStart"/>
      <w:r w:rsidRPr="00225D4D">
        <w:t>eit</w:t>
      </w:r>
      <w:proofErr w:type="spellEnd"/>
      <w:r w:rsidRPr="00225D4D">
        <w:t xml:space="preserve"> nytt vegsamband, </w:t>
      </w:r>
      <w:proofErr w:type="spellStart"/>
      <w:r w:rsidRPr="00225D4D">
        <w:t>vanlegvis</w:t>
      </w:r>
      <w:proofErr w:type="spellEnd"/>
      <w:r w:rsidRPr="00225D4D">
        <w:t xml:space="preserve"> ei bru eller </w:t>
      </w:r>
      <w:proofErr w:type="spellStart"/>
      <w:r w:rsidRPr="00225D4D">
        <w:t>ein</w:t>
      </w:r>
      <w:proofErr w:type="spellEnd"/>
      <w:r w:rsidRPr="00225D4D">
        <w:t xml:space="preserve"> undersjøisk tunnel med </w:t>
      </w:r>
      <w:proofErr w:type="spellStart"/>
      <w:r w:rsidRPr="00225D4D">
        <w:t>tilhøyrande</w:t>
      </w:r>
      <w:proofErr w:type="spellEnd"/>
      <w:r w:rsidRPr="00225D4D">
        <w:t xml:space="preserve"> vegnett, som </w:t>
      </w:r>
      <w:proofErr w:type="spellStart"/>
      <w:r w:rsidRPr="00225D4D">
        <w:t>erstattar</w:t>
      </w:r>
      <w:proofErr w:type="spellEnd"/>
      <w:r w:rsidRPr="00225D4D">
        <w:t xml:space="preserve"> eller </w:t>
      </w:r>
      <w:proofErr w:type="spellStart"/>
      <w:r w:rsidRPr="00225D4D">
        <w:t>kortar</w:t>
      </w:r>
      <w:proofErr w:type="spellEnd"/>
      <w:r w:rsidRPr="00225D4D">
        <w:t xml:space="preserve"> inn på </w:t>
      </w:r>
      <w:proofErr w:type="spellStart"/>
      <w:r w:rsidRPr="00225D4D">
        <w:t>eit</w:t>
      </w:r>
      <w:proofErr w:type="spellEnd"/>
      <w:r w:rsidRPr="00225D4D">
        <w:t xml:space="preserve"> ferjesamband. Ferjeavløysingsordninga </w:t>
      </w:r>
      <w:proofErr w:type="spellStart"/>
      <w:r w:rsidRPr="00225D4D">
        <w:t>inneber</w:t>
      </w:r>
      <w:proofErr w:type="spellEnd"/>
      <w:r w:rsidRPr="00225D4D">
        <w:t xml:space="preserve"> at </w:t>
      </w:r>
      <w:proofErr w:type="spellStart"/>
      <w:r w:rsidRPr="00225D4D">
        <w:t>fylkeskommunane</w:t>
      </w:r>
      <w:proofErr w:type="spellEnd"/>
      <w:r w:rsidRPr="00225D4D">
        <w:t xml:space="preserve"> kan delfinansiere slike prosjekt med </w:t>
      </w:r>
      <w:proofErr w:type="spellStart"/>
      <w:r w:rsidRPr="00225D4D">
        <w:t>midlane</w:t>
      </w:r>
      <w:proofErr w:type="spellEnd"/>
      <w:r w:rsidRPr="00225D4D">
        <w:t xml:space="preserve"> </w:t>
      </w:r>
      <w:proofErr w:type="spellStart"/>
      <w:r w:rsidRPr="00225D4D">
        <w:t>dei</w:t>
      </w:r>
      <w:proofErr w:type="spellEnd"/>
      <w:r w:rsidRPr="00225D4D">
        <w:t xml:space="preserve"> får for ferjesambandet gjennom inntektssystemet. Regjeringa meiner at ferjeavløysingsordninga er ei god ordning for </w:t>
      </w:r>
      <w:proofErr w:type="spellStart"/>
      <w:r w:rsidRPr="00225D4D">
        <w:t>fylkeskommunane</w:t>
      </w:r>
      <w:proofErr w:type="spellEnd"/>
      <w:r w:rsidRPr="00225D4D">
        <w:t xml:space="preserve"> som bidrar til ei stor, langvarig og </w:t>
      </w:r>
      <w:proofErr w:type="spellStart"/>
      <w:r w:rsidRPr="00225D4D">
        <w:t>føreseieleg</w:t>
      </w:r>
      <w:proofErr w:type="spellEnd"/>
      <w:r w:rsidRPr="00225D4D">
        <w:t xml:space="preserve"> delfinansiering av nye vegsamband. Det er òg viktig at </w:t>
      </w:r>
      <w:proofErr w:type="spellStart"/>
      <w:r w:rsidRPr="00225D4D">
        <w:t>fylkeskommunane</w:t>
      </w:r>
      <w:proofErr w:type="spellEnd"/>
      <w:r w:rsidRPr="00225D4D">
        <w:t xml:space="preserve"> er med på å delfinansiere eigne vegprosjekt.</w:t>
      </w:r>
    </w:p>
    <w:p w14:paraId="28AD4857" w14:textId="77777777" w:rsidR="00D60186" w:rsidRPr="00225D4D" w:rsidRDefault="00D60186" w:rsidP="00225D4D">
      <w:r w:rsidRPr="00225D4D">
        <w:t xml:space="preserve">Regjeringa foreslår inga endring i ferjeavløysingsordninga i statsbudsjettet for 2026, og </w:t>
      </w:r>
      <w:proofErr w:type="spellStart"/>
      <w:r w:rsidRPr="00225D4D">
        <w:t>vidarefører</w:t>
      </w:r>
      <w:proofErr w:type="spellEnd"/>
      <w:r w:rsidRPr="00225D4D">
        <w:t xml:space="preserve"> dermed ordninga.</w:t>
      </w:r>
    </w:p>
    <w:p w14:paraId="1ABCF0C6"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5D6D9420" w14:textId="77777777" w:rsidR="00D60186" w:rsidRPr="00225D4D" w:rsidRDefault="00D60186" w:rsidP="00225D4D">
      <w:pPr>
        <w:pStyle w:val="avsnitt-tittel"/>
      </w:pPr>
      <w:r w:rsidRPr="00225D4D">
        <w:t xml:space="preserve">Fordeling av </w:t>
      </w:r>
      <w:proofErr w:type="spellStart"/>
      <w:r w:rsidRPr="00225D4D">
        <w:t>auken</w:t>
      </w:r>
      <w:proofErr w:type="spellEnd"/>
      <w:r w:rsidRPr="00225D4D">
        <w:t xml:space="preserve"> i </w:t>
      </w:r>
      <w:proofErr w:type="spellStart"/>
      <w:r w:rsidRPr="00225D4D">
        <w:t>dei</w:t>
      </w:r>
      <w:proofErr w:type="spellEnd"/>
      <w:r w:rsidRPr="00225D4D">
        <w:t xml:space="preserve"> frie inntektene til </w:t>
      </w:r>
      <w:proofErr w:type="spellStart"/>
      <w:r w:rsidRPr="00225D4D">
        <w:t>fylkeskommunane</w:t>
      </w:r>
      <w:proofErr w:type="spellEnd"/>
    </w:p>
    <w:p w14:paraId="4FD8724E" w14:textId="77777777" w:rsidR="00D60186" w:rsidRPr="00225D4D" w:rsidRDefault="00D60186" w:rsidP="00225D4D">
      <w:pPr>
        <w:pStyle w:val="avsnitt-undertittel"/>
      </w:pPr>
      <w:r w:rsidRPr="00225D4D">
        <w:t>Vedtak 1148, 20. juni 2025</w:t>
      </w:r>
    </w:p>
    <w:p w14:paraId="3DA5FCA4" w14:textId="77777777" w:rsidR="00D60186" w:rsidRPr="00225D4D" w:rsidRDefault="00D60186" w:rsidP="00225D4D">
      <w:pPr>
        <w:pStyle w:val="blokksit"/>
        <w:rPr>
          <w:rStyle w:val="kursiv"/>
        </w:rPr>
      </w:pPr>
      <w:r w:rsidRPr="00225D4D">
        <w:rPr>
          <w:rStyle w:val="kursiv"/>
        </w:rPr>
        <w:t>«Stortinget ber regjeringen fordele midlene tilhørende bevilgning på kap. 572, post 60 på 250 mill. kroner for en satsing på samferdsel i fylkeskommunene etter tabell C-</w:t>
      </w:r>
      <w:proofErr w:type="spellStart"/>
      <w:r w:rsidRPr="00225D4D">
        <w:rPr>
          <w:rStyle w:val="kursiv"/>
        </w:rPr>
        <w:t>fk</w:t>
      </w:r>
      <w:proofErr w:type="spellEnd"/>
      <w:r w:rsidRPr="00225D4D">
        <w:rPr>
          <w:rStyle w:val="kursiv"/>
        </w:rPr>
        <w:t>, kolonne 1, Opprusting og fornying av fylkesvegnettet i Grønt hefte 2025.»</w:t>
      </w:r>
    </w:p>
    <w:p w14:paraId="23DA0568" w14:textId="77777777" w:rsidR="00D60186" w:rsidRPr="00225D4D" w:rsidRDefault="00D60186" w:rsidP="00225D4D">
      <w:r w:rsidRPr="00225D4D">
        <w:t xml:space="preserve">Dokumenta som ligg til grunn for vedtaket er Meld. St. 2 (2024–2025) </w:t>
      </w:r>
      <w:r w:rsidRPr="00225D4D">
        <w:rPr>
          <w:rStyle w:val="kursiv"/>
        </w:rPr>
        <w:t xml:space="preserve">Revidert nasjonalbudsjett 2025 </w:t>
      </w:r>
      <w:r w:rsidRPr="00225D4D">
        <w:t xml:space="preserve">og </w:t>
      </w:r>
      <w:proofErr w:type="spellStart"/>
      <w:r w:rsidRPr="00225D4D">
        <w:t>Innst</w:t>
      </w:r>
      <w:proofErr w:type="spellEnd"/>
      <w:r w:rsidRPr="00225D4D">
        <w:t>. 540 S (2024–2025).</w:t>
      </w:r>
    </w:p>
    <w:p w14:paraId="7E0E3AD9" w14:textId="77777777" w:rsidR="00D60186" w:rsidRPr="00225D4D" w:rsidRDefault="00D60186" w:rsidP="00225D4D">
      <w:r w:rsidRPr="00225D4D">
        <w:t xml:space="preserve">I samband med </w:t>
      </w:r>
      <w:proofErr w:type="spellStart"/>
      <w:r w:rsidRPr="00225D4D">
        <w:t>behandlinga</w:t>
      </w:r>
      <w:proofErr w:type="spellEnd"/>
      <w:r w:rsidRPr="00225D4D">
        <w:t xml:space="preserve"> av revidert nasjonalbudsjett for 2025, vedtok Stortinget å </w:t>
      </w:r>
      <w:proofErr w:type="spellStart"/>
      <w:r w:rsidRPr="00225D4D">
        <w:t>auke</w:t>
      </w:r>
      <w:proofErr w:type="spellEnd"/>
      <w:r w:rsidRPr="00225D4D">
        <w:t xml:space="preserve"> </w:t>
      </w:r>
      <w:proofErr w:type="spellStart"/>
      <w:r w:rsidRPr="00225D4D">
        <w:t>dei</w:t>
      </w:r>
      <w:proofErr w:type="spellEnd"/>
      <w:r w:rsidRPr="00225D4D">
        <w:t xml:space="preserve"> frie inntektene til </w:t>
      </w:r>
      <w:proofErr w:type="spellStart"/>
      <w:r w:rsidRPr="00225D4D">
        <w:t>fylkeskommunane</w:t>
      </w:r>
      <w:proofErr w:type="spellEnd"/>
      <w:r w:rsidRPr="00225D4D">
        <w:t xml:space="preserve"> med totalt 500 mill. kroner, med grunngiving i </w:t>
      </w:r>
      <w:proofErr w:type="spellStart"/>
      <w:r w:rsidRPr="00225D4D">
        <w:t>auka</w:t>
      </w:r>
      <w:proofErr w:type="spellEnd"/>
      <w:r w:rsidRPr="00225D4D">
        <w:t xml:space="preserve"> satsing på </w:t>
      </w:r>
      <w:proofErr w:type="spellStart"/>
      <w:r w:rsidRPr="00225D4D">
        <w:t>samferdsle</w:t>
      </w:r>
      <w:proofErr w:type="spellEnd"/>
      <w:r w:rsidRPr="00225D4D">
        <w:t xml:space="preserve">. Kommunal- og </w:t>
      </w:r>
      <w:proofErr w:type="spellStart"/>
      <w:r w:rsidRPr="00225D4D">
        <w:t>distriktsdepartementet</w:t>
      </w:r>
      <w:proofErr w:type="spellEnd"/>
      <w:r w:rsidRPr="00225D4D">
        <w:t xml:space="preserve"> fordelte 250 mill. kroner av </w:t>
      </w:r>
      <w:proofErr w:type="spellStart"/>
      <w:r w:rsidRPr="00225D4D">
        <w:t>desse</w:t>
      </w:r>
      <w:proofErr w:type="spellEnd"/>
      <w:r w:rsidRPr="00225D4D">
        <w:t xml:space="preserve"> </w:t>
      </w:r>
      <w:proofErr w:type="spellStart"/>
      <w:r w:rsidRPr="00225D4D">
        <w:t>midlane</w:t>
      </w:r>
      <w:proofErr w:type="spellEnd"/>
      <w:r w:rsidRPr="00225D4D">
        <w:t xml:space="preserve"> etter tabell C-saka om opprusting og fornying av fylkesvegnettet i Grønt hefte 2025. </w:t>
      </w:r>
      <w:proofErr w:type="spellStart"/>
      <w:r w:rsidRPr="00225D4D">
        <w:t>Midlane</w:t>
      </w:r>
      <w:proofErr w:type="spellEnd"/>
      <w:r w:rsidRPr="00225D4D">
        <w:t xml:space="preserve"> vart utbetalte til </w:t>
      </w:r>
      <w:proofErr w:type="spellStart"/>
      <w:r w:rsidRPr="00225D4D">
        <w:t>fylkeskommunane</w:t>
      </w:r>
      <w:proofErr w:type="spellEnd"/>
      <w:r w:rsidRPr="00225D4D">
        <w:t xml:space="preserve"> 2. juli 2025.</w:t>
      </w:r>
    </w:p>
    <w:p w14:paraId="02F48F65"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7B2DD334" w14:textId="77777777" w:rsidR="00D60186" w:rsidRPr="00225D4D" w:rsidRDefault="00D60186" w:rsidP="00225D4D">
      <w:pPr>
        <w:pStyle w:val="avsnitt-tittel"/>
      </w:pPr>
      <w:r w:rsidRPr="00225D4D">
        <w:t xml:space="preserve">Korttidsutleige av </w:t>
      </w:r>
      <w:proofErr w:type="spellStart"/>
      <w:r w:rsidRPr="00225D4D">
        <w:t>bustader</w:t>
      </w:r>
      <w:proofErr w:type="spellEnd"/>
    </w:p>
    <w:p w14:paraId="280C76F8" w14:textId="77777777" w:rsidR="00D60186" w:rsidRPr="00225D4D" w:rsidRDefault="00D60186" w:rsidP="00225D4D">
      <w:pPr>
        <w:pStyle w:val="avsnitt-undertittel"/>
      </w:pPr>
      <w:r w:rsidRPr="00225D4D">
        <w:t>Vedtak 1221, 20. juni 2025</w:t>
      </w:r>
    </w:p>
    <w:p w14:paraId="013CC311" w14:textId="77777777" w:rsidR="00D60186" w:rsidRPr="00225D4D" w:rsidRDefault="00D60186" w:rsidP="00225D4D">
      <w:pPr>
        <w:pStyle w:val="blokksit"/>
        <w:rPr>
          <w:rStyle w:val="kursiv"/>
        </w:rPr>
      </w:pPr>
      <w:r w:rsidRPr="00225D4D">
        <w:rPr>
          <w:rStyle w:val="kursiv"/>
        </w:rPr>
        <w:t>«Stortinget ber regjeringen utrede hjemler i løpet av 2026 for at kommuner kan forby kortidsutleie i hele eller deler av kommunen samt at borettslag og sameier bedre kan begrense og håndheve reglene om kortidsutleie.»</w:t>
      </w:r>
    </w:p>
    <w:p w14:paraId="131414C8" w14:textId="77777777" w:rsidR="00D60186" w:rsidRPr="00225D4D" w:rsidRDefault="00D60186" w:rsidP="00225D4D">
      <w:r w:rsidRPr="00225D4D">
        <w:t xml:space="preserve">Dokumenta som ligg til grunn for vedtaket er Meld. St. 2 (2024–2025) </w:t>
      </w:r>
      <w:r w:rsidRPr="00225D4D">
        <w:rPr>
          <w:rStyle w:val="kursiv"/>
        </w:rPr>
        <w:t xml:space="preserve">Revidert nasjonalbudsjett 2025 </w:t>
      </w:r>
      <w:r w:rsidRPr="00225D4D">
        <w:t xml:space="preserve">og </w:t>
      </w:r>
      <w:proofErr w:type="spellStart"/>
      <w:r w:rsidRPr="00225D4D">
        <w:t>Innst</w:t>
      </w:r>
      <w:proofErr w:type="spellEnd"/>
      <w:r w:rsidRPr="00225D4D">
        <w:t>. 540 S (2024–2025).</w:t>
      </w:r>
    </w:p>
    <w:p w14:paraId="046DF994" w14:textId="77777777" w:rsidR="00D60186" w:rsidRPr="00225D4D" w:rsidRDefault="00D60186" w:rsidP="00225D4D">
      <w:r w:rsidRPr="00225D4D">
        <w:t xml:space="preserve">Husbanken er </w:t>
      </w:r>
      <w:proofErr w:type="spellStart"/>
      <w:r w:rsidRPr="00225D4D">
        <w:t>beden</w:t>
      </w:r>
      <w:proofErr w:type="spellEnd"/>
      <w:r w:rsidRPr="00225D4D">
        <w:t xml:space="preserve"> om å </w:t>
      </w:r>
      <w:proofErr w:type="spellStart"/>
      <w:r w:rsidRPr="00225D4D">
        <w:t>auke</w:t>
      </w:r>
      <w:proofErr w:type="spellEnd"/>
      <w:r w:rsidRPr="00225D4D">
        <w:t xml:space="preserve"> kunnskapen om </w:t>
      </w:r>
      <w:proofErr w:type="spellStart"/>
      <w:r w:rsidRPr="00225D4D">
        <w:t>marknaden</w:t>
      </w:r>
      <w:proofErr w:type="spellEnd"/>
      <w:r w:rsidRPr="00225D4D">
        <w:t xml:space="preserve"> for </w:t>
      </w:r>
      <w:proofErr w:type="spellStart"/>
      <w:r w:rsidRPr="00225D4D">
        <w:t>kortidsutleige</w:t>
      </w:r>
      <w:proofErr w:type="spellEnd"/>
      <w:r w:rsidRPr="00225D4D">
        <w:t xml:space="preserve"> av </w:t>
      </w:r>
      <w:proofErr w:type="spellStart"/>
      <w:r w:rsidRPr="00225D4D">
        <w:t>bustader</w:t>
      </w:r>
      <w:proofErr w:type="spellEnd"/>
      <w:r w:rsidRPr="00225D4D">
        <w:t xml:space="preserve">, og å vurdere behovet for rettleiing, presisering av </w:t>
      </w:r>
      <w:proofErr w:type="spellStart"/>
      <w:r w:rsidRPr="00225D4D">
        <w:t>reglane</w:t>
      </w:r>
      <w:proofErr w:type="spellEnd"/>
      <w:r w:rsidRPr="00225D4D">
        <w:t xml:space="preserve"> og nye tiltak. Ut </w:t>
      </w:r>
      <w:proofErr w:type="spellStart"/>
      <w:r w:rsidRPr="00225D4D">
        <w:t>frå</w:t>
      </w:r>
      <w:proofErr w:type="spellEnd"/>
      <w:r w:rsidRPr="00225D4D">
        <w:t xml:space="preserve"> </w:t>
      </w:r>
      <w:proofErr w:type="spellStart"/>
      <w:r w:rsidRPr="00225D4D">
        <w:t>tilrådingane</w:t>
      </w:r>
      <w:proofErr w:type="spellEnd"/>
      <w:r w:rsidRPr="00225D4D">
        <w:t xml:space="preserve"> </w:t>
      </w:r>
      <w:proofErr w:type="spellStart"/>
      <w:r w:rsidRPr="00225D4D">
        <w:t>frå</w:t>
      </w:r>
      <w:proofErr w:type="spellEnd"/>
      <w:r w:rsidRPr="00225D4D">
        <w:t xml:space="preserve"> Husbanken, vil departementet vurdere å foreslå for Stortinget å endre </w:t>
      </w:r>
      <w:proofErr w:type="spellStart"/>
      <w:r w:rsidRPr="00225D4D">
        <w:t>reglane</w:t>
      </w:r>
      <w:proofErr w:type="spellEnd"/>
      <w:r w:rsidRPr="00225D4D">
        <w:t xml:space="preserve"> for </w:t>
      </w:r>
      <w:proofErr w:type="spellStart"/>
      <w:r w:rsidRPr="00225D4D">
        <w:t>kortidsutleige</w:t>
      </w:r>
      <w:proofErr w:type="spellEnd"/>
      <w:r w:rsidRPr="00225D4D">
        <w:t xml:space="preserve"> av </w:t>
      </w:r>
      <w:proofErr w:type="spellStart"/>
      <w:r w:rsidRPr="00225D4D">
        <w:t>bustader</w:t>
      </w:r>
      <w:proofErr w:type="spellEnd"/>
      <w:r w:rsidRPr="00225D4D">
        <w:t>. Departementet foreslår på denne bakgrunn at rapporteringa blir avslutta.</w:t>
      </w:r>
    </w:p>
    <w:p w14:paraId="0A0C553C" w14:textId="77777777" w:rsidR="00D60186" w:rsidRPr="00225D4D" w:rsidRDefault="00D60186" w:rsidP="00225D4D">
      <w:pPr>
        <w:pStyle w:val="avsnitt-tittel"/>
      </w:pPr>
      <w:r w:rsidRPr="00225D4D">
        <w:t>Merkur-ordninga</w:t>
      </w:r>
    </w:p>
    <w:p w14:paraId="162E8BF2" w14:textId="77777777" w:rsidR="00D60186" w:rsidRPr="00225D4D" w:rsidRDefault="00D60186" w:rsidP="00225D4D">
      <w:pPr>
        <w:pStyle w:val="avsnitt-undertittel"/>
      </w:pPr>
      <w:r w:rsidRPr="00225D4D">
        <w:t>Vedtak 1234, 20. juni 2025</w:t>
      </w:r>
    </w:p>
    <w:p w14:paraId="12BB7408" w14:textId="77777777" w:rsidR="00D60186" w:rsidRPr="00225D4D" w:rsidRDefault="00D60186" w:rsidP="00225D4D">
      <w:pPr>
        <w:pStyle w:val="blokksit"/>
        <w:rPr>
          <w:rStyle w:val="kursiv"/>
        </w:rPr>
      </w:pPr>
      <w:r w:rsidRPr="00225D4D">
        <w:rPr>
          <w:rStyle w:val="kursiv"/>
        </w:rPr>
        <w:t>«Stortinget ber regjeringen gi føringer om å øke maksimal årlig støtteramme per butikk under Merkur-ordningen til 800 000 kroner.»</w:t>
      </w:r>
    </w:p>
    <w:p w14:paraId="3C5F2013" w14:textId="77777777" w:rsidR="00D60186" w:rsidRPr="00225D4D" w:rsidRDefault="00D60186" w:rsidP="00225D4D">
      <w:r w:rsidRPr="00225D4D">
        <w:t xml:space="preserve">Dokumenta som ligg til grunn for vedtaket er Meld. St. 2 (2024–2025) </w:t>
      </w:r>
      <w:r w:rsidRPr="00225D4D">
        <w:rPr>
          <w:rStyle w:val="kursiv"/>
        </w:rPr>
        <w:t xml:space="preserve">Revidert nasjonalbudsjett 2025 </w:t>
      </w:r>
      <w:r w:rsidRPr="00225D4D">
        <w:t xml:space="preserve">og </w:t>
      </w:r>
      <w:proofErr w:type="spellStart"/>
      <w:r w:rsidRPr="00225D4D">
        <w:t>Innst</w:t>
      </w:r>
      <w:proofErr w:type="spellEnd"/>
      <w:r w:rsidRPr="00225D4D">
        <w:t>. 540 S (2024–2025).</w:t>
      </w:r>
    </w:p>
    <w:p w14:paraId="285E4DD6" w14:textId="77777777" w:rsidR="00D60186" w:rsidRPr="00225D4D" w:rsidRDefault="00D60186" w:rsidP="00225D4D">
      <w:r w:rsidRPr="00225D4D">
        <w:t xml:space="preserve">Departementet vil justere maksimalt </w:t>
      </w:r>
      <w:proofErr w:type="spellStart"/>
      <w:r w:rsidRPr="00225D4D">
        <w:t>tilskotsbeløp</w:t>
      </w:r>
      <w:proofErr w:type="spellEnd"/>
      <w:r w:rsidRPr="00225D4D">
        <w:t xml:space="preserve"> på Merkur-programmet si investeringsstøtte </w:t>
      </w:r>
      <w:proofErr w:type="spellStart"/>
      <w:r w:rsidRPr="00225D4D">
        <w:t>frå</w:t>
      </w:r>
      <w:proofErr w:type="spellEnd"/>
      <w:r w:rsidRPr="00225D4D">
        <w:t xml:space="preserve"> inntil 600 000 kroner per butikk per år til inntil 800 000 kroner per butikk per år. Før endringa kan </w:t>
      </w:r>
      <w:proofErr w:type="spellStart"/>
      <w:r w:rsidRPr="00225D4D">
        <w:t>settast</w:t>
      </w:r>
      <w:proofErr w:type="spellEnd"/>
      <w:r w:rsidRPr="00225D4D">
        <w:t xml:space="preserve"> i verk må Merkur-forskrifta </w:t>
      </w:r>
      <w:proofErr w:type="spellStart"/>
      <w:r w:rsidRPr="00225D4D">
        <w:t>justerast</w:t>
      </w:r>
      <w:proofErr w:type="spellEnd"/>
      <w:r w:rsidRPr="00225D4D">
        <w:t>.</w:t>
      </w:r>
    </w:p>
    <w:p w14:paraId="44DCCD21" w14:textId="77777777" w:rsidR="00D60186" w:rsidRPr="00225D4D" w:rsidRDefault="00D60186" w:rsidP="00225D4D">
      <w:r w:rsidRPr="00225D4D">
        <w:t xml:space="preserve">Departementet tar sikte på at endringa vil tre i kraft </w:t>
      </w:r>
      <w:proofErr w:type="spellStart"/>
      <w:r w:rsidRPr="00225D4D">
        <w:t>frå</w:t>
      </w:r>
      <w:proofErr w:type="spellEnd"/>
      <w:r w:rsidRPr="00225D4D">
        <w:t xml:space="preserve"> nyttår og meiner med dette at oppmodingsvedtaket er </w:t>
      </w:r>
      <w:proofErr w:type="spellStart"/>
      <w:r w:rsidRPr="00225D4D">
        <w:t>følgt</w:t>
      </w:r>
      <w:proofErr w:type="spellEnd"/>
      <w:r w:rsidRPr="00225D4D">
        <w:t xml:space="preserve"> opp.</w:t>
      </w:r>
    </w:p>
    <w:p w14:paraId="65B64247" w14:textId="77777777" w:rsidR="00D60186" w:rsidRPr="00225D4D" w:rsidRDefault="00D60186" w:rsidP="00225D4D">
      <w:pPr>
        <w:pStyle w:val="avsnitt-tittel"/>
      </w:pPr>
      <w:r w:rsidRPr="00225D4D">
        <w:t>Frie inntekter til kommunesektoren</w:t>
      </w:r>
    </w:p>
    <w:p w14:paraId="1C198F16" w14:textId="77777777" w:rsidR="00D60186" w:rsidRPr="00225D4D" w:rsidRDefault="00D60186" w:rsidP="00225D4D">
      <w:pPr>
        <w:pStyle w:val="avsnitt-undertittel"/>
      </w:pPr>
      <w:r w:rsidRPr="00225D4D">
        <w:t>Vedtak 1241, 20. juni 2025</w:t>
      </w:r>
    </w:p>
    <w:p w14:paraId="1B930B0C" w14:textId="77777777" w:rsidR="00D60186" w:rsidRPr="00225D4D" w:rsidRDefault="00D60186" w:rsidP="00225D4D">
      <w:pPr>
        <w:pStyle w:val="blokksit"/>
        <w:rPr>
          <w:rStyle w:val="kursiv"/>
        </w:rPr>
      </w:pPr>
      <w:r w:rsidRPr="00225D4D">
        <w:rPr>
          <w:rStyle w:val="kursiv"/>
        </w:rPr>
        <w:t>«Stortinget ber regjeringen legge til grunn at vekst i frie inntekter til kommunesektoren for 2026 skal regnes fra vedtatt nivå i revidert budsjett for 2025.»</w:t>
      </w:r>
    </w:p>
    <w:p w14:paraId="731B8CD8" w14:textId="77777777" w:rsidR="00D60186" w:rsidRPr="00225D4D" w:rsidRDefault="00D60186" w:rsidP="00225D4D">
      <w:r w:rsidRPr="00225D4D">
        <w:t xml:space="preserve">Dokumenta som ligg til grunn for vedtaket er Meld. St. 2 (2024–2025) </w:t>
      </w:r>
      <w:r w:rsidRPr="00225D4D">
        <w:rPr>
          <w:rStyle w:val="kursiv"/>
        </w:rPr>
        <w:t xml:space="preserve">Revidert nasjonalbudsjett 2025 </w:t>
      </w:r>
      <w:r w:rsidRPr="00225D4D">
        <w:t xml:space="preserve">og </w:t>
      </w:r>
      <w:proofErr w:type="spellStart"/>
      <w:r w:rsidRPr="00225D4D">
        <w:t>Innst</w:t>
      </w:r>
      <w:proofErr w:type="spellEnd"/>
      <w:r w:rsidRPr="00225D4D">
        <w:t>. 540 S (2024–2025).</w:t>
      </w:r>
    </w:p>
    <w:p w14:paraId="02F7313C" w14:textId="77777777" w:rsidR="00D60186" w:rsidRPr="00225D4D" w:rsidRDefault="00D60186" w:rsidP="00225D4D">
      <w:r w:rsidRPr="00225D4D">
        <w:t xml:space="preserve">Det er </w:t>
      </w:r>
      <w:proofErr w:type="spellStart"/>
      <w:r w:rsidRPr="00225D4D">
        <w:t>vanleg</w:t>
      </w:r>
      <w:proofErr w:type="spellEnd"/>
      <w:r w:rsidRPr="00225D4D">
        <w:t xml:space="preserve"> praksis at vekst i frie inntekter i budsjettåret blir </w:t>
      </w:r>
      <w:proofErr w:type="spellStart"/>
      <w:r w:rsidRPr="00225D4D">
        <w:t>rekna</w:t>
      </w:r>
      <w:proofErr w:type="spellEnd"/>
      <w:r w:rsidRPr="00225D4D">
        <w:t xml:space="preserve"> </w:t>
      </w:r>
      <w:proofErr w:type="spellStart"/>
      <w:r w:rsidRPr="00225D4D">
        <w:t>frå</w:t>
      </w:r>
      <w:proofErr w:type="spellEnd"/>
      <w:r w:rsidRPr="00225D4D">
        <w:t xml:space="preserve"> vedtatt nivå i revidert nasjonalbudsjett året før. Vekst i frie inntekter for 2026 er </w:t>
      </w:r>
      <w:proofErr w:type="spellStart"/>
      <w:r w:rsidRPr="00225D4D">
        <w:t>rekna</w:t>
      </w:r>
      <w:proofErr w:type="spellEnd"/>
      <w:r w:rsidRPr="00225D4D">
        <w:t xml:space="preserve"> </w:t>
      </w:r>
      <w:proofErr w:type="spellStart"/>
      <w:r w:rsidRPr="00225D4D">
        <w:t>frå</w:t>
      </w:r>
      <w:proofErr w:type="spellEnd"/>
      <w:r w:rsidRPr="00225D4D">
        <w:t xml:space="preserve"> vedtatt nivå i revidert nasjonalbudsjett for 2025. I vedtatt nivå inngår mellom anna kompensasjon for </w:t>
      </w:r>
      <w:proofErr w:type="spellStart"/>
      <w:r w:rsidRPr="00225D4D">
        <w:t>meirkostnader</w:t>
      </w:r>
      <w:proofErr w:type="spellEnd"/>
      <w:r w:rsidRPr="00225D4D">
        <w:t xml:space="preserve"> til pensjon på 4,1 mrd. kroner og vekst i frie inntekter på 1,6 mrd. kroner.</w:t>
      </w:r>
    </w:p>
    <w:p w14:paraId="60287A86"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0BF15B93" w14:textId="77777777" w:rsidR="00D60186" w:rsidRPr="00225D4D" w:rsidRDefault="00D60186" w:rsidP="00225D4D">
      <w:pPr>
        <w:pStyle w:val="avsnitt-tittel"/>
      </w:pPr>
      <w:r w:rsidRPr="00225D4D">
        <w:t>Særskilte tiltak i innsatssonen</w:t>
      </w:r>
    </w:p>
    <w:p w14:paraId="4552C84E" w14:textId="77777777" w:rsidR="00D60186" w:rsidRPr="00225D4D" w:rsidRDefault="00D60186" w:rsidP="00225D4D">
      <w:pPr>
        <w:pStyle w:val="avsnitt-undertittel"/>
      </w:pPr>
      <w:r w:rsidRPr="00225D4D">
        <w:t>Vedtak 1258, 20. juni 2025</w:t>
      </w:r>
    </w:p>
    <w:p w14:paraId="13DB3121" w14:textId="77777777" w:rsidR="00D60186" w:rsidRPr="00225D4D" w:rsidRDefault="00D60186" w:rsidP="00225D4D">
      <w:pPr>
        <w:pStyle w:val="blokksit"/>
        <w:rPr>
          <w:rStyle w:val="kursiv"/>
        </w:rPr>
      </w:pPr>
      <w:r w:rsidRPr="00225D4D">
        <w:rPr>
          <w:rStyle w:val="kursiv"/>
        </w:rPr>
        <w:t>«Stortinget ber regjeringen vurdere innretningen av de særskilte tiltakene i Nord-Troms og Finnmark (innsatssonen) for å få bedre resultater for tilflytting og økt verdiskaping.»</w:t>
      </w:r>
    </w:p>
    <w:p w14:paraId="5AF87BD4"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Bengt Rune </w:t>
      </w:r>
      <w:proofErr w:type="spellStart"/>
      <w:r w:rsidRPr="00225D4D">
        <w:t>Strifeldt</w:t>
      </w:r>
      <w:proofErr w:type="spellEnd"/>
      <w:r w:rsidRPr="00225D4D">
        <w:t xml:space="preserve">, Carl I. Hagen, Dagfinn Henrik Olsen, Morten Stordalen, Per-Willy Amundsen og Sylvi Listhaug om </w:t>
      </w:r>
      <w:proofErr w:type="spellStart"/>
      <w:r w:rsidRPr="00225D4D">
        <w:t>ein</w:t>
      </w:r>
      <w:proofErr w:type="spellEnd"/>
      <w:r w:rsidRPr="00225D4D">
        <w:t xml:space="preserve"> tiltakspakke for å styrke næringsliv og befolkningsutvikling i Finnmark, jf. Dokument 8:175 S og </w:t>
      </w:r>
      <w:proofErr w:type="spellStart"/>
      <w:r w:rsidRPr="00225D4D">
        <w:t>Innst</w:t>
      </w:r>
      <w:proofErr w:type="spellEnd"/>
      <w:r w:rsidRPr="00225D4D">
        <w:t>. 541 S (2024–2025).</w:t>
      </w:r>
    </w:p>
    <w:p w14:paraId="09B360BD" w14:textId="77777777" w:rsidR="00D60186" w:rsidRPr="00225D4D" w:rsidRDefault="00D60186" w:rsidP="00225D4D">
      <w:r w:rsidRPr="00225D4D">
        <w:t>Innsatssona (</w:t>
      </w:r>
      <w:proofErr w:type="spellStart"/>
      <w:r w:rsidRPr="00225D4D">
        <w:t>tidlegare</w:t>
      </w:r>
      <w:proofErr w:type="spellEnd"/>
      <w:r w:rsidRPr="00225D4D">
        <w:t xml:space="preserve"> Tiltakssona) er viktig for </w:t>
      </w:r>
      <w:proofErr w:type="spellStart"/>
      <w:r w:rsidRPr="00225D4D">
        <w:t>Noreg</w:t>
      </w:r>
      <w:proofErr w:type="spellEnd"/>
      <w:r w:rsidRPr="00225D4D">
        <w:t xml:space="preserve"> sin tryggleik og beredskap. Målet er at det skal bli </w:t>
      </w:r>
      <w:proofErr w:type="spellStart"/>
      <w:r w:rsidRPr="00225D4D">
        <w:t>meir</w:t>
      </w:r>
      <w:proofErr w:type="spellEnd"/>
      <w:r w:rsidRPr="00225D4D">
        <w:t xml:space="preserve"> attraktivt å bu og flytte til </w:t>
      </w:r>
      <w:proofErr w:type="spellStart"/>
      <w:r w:rsidRPr="00225D4D">
        <w:t>kommunar</w:t>
      </w:r>
      <w:proofErr w:type="spellEnd"/>
      <w:r w:rsidRPr="00225D4D">
        <w:t xml:space="preserve"> i sona. Det er stor etterspørsel etter arbeidskraft og kompetanse i både </w:t>
      </w:r>
      <w:proofErr w:type="spellStart"/>
      <w:r w:rsidRPr="00225D4D">
        <w:t>offentleg</w:t>
      </w:r>
      <w:proofErr w:type="spellEnd"/>
      <w:r w:rsidRPr="00225D4D">
        <w:t xml:space="preserve"> og privat sektor i sona. Regjeringa vurderer </w:t>
      </w:r>
      <w:proofErr w:type="spellStart"/>
      <w:r w:rsidRPr="00225D4D">
        <w:t>fortløpande</w:t>
      </w:r>
      <w:proofErr w:type="spellEnd"/>
      <w:r w:rsidRPr="00225D4D">
        <w:t xml:space="preserve"> tiltak som kan </w:t>
      </w:r>
      <w:proofErr w:type="spellStart"/>
      <w:r w:rsidRPr="00225D4D">
        <w:t>medverke</w:t>
      </w:r>
      <w:proofErr w:type="spellEnd"/>
      <w:r w:rsidRPr="00225D4D">
        <w:t xml:space="preserve"> til </w:t>
      </w:r>
      <w:proofErr w:type="spellStart"/>
      <w:r w:rsidRPr="00225D4D">
        <w:t>auka</w:t>
      </w:r>
      <w:proofErr w:type="spellEnd"/>
      <w:r w:rsidRPr="00225D4D">
        <w:t xml:space="preserve"> busetting og aktivitet. Regjeringa </w:t>
      </w:r>
      <w:proofErr w:type="spellStart"/>
      <w:r w:rsidRPr="00225D4D">
        <w:t>gjer</w:t>
      </w:r>
      <w:proofErr w:type="spellEnd"/>
      <w:r w:rsidRPr="00225D4D">
        <w:t xml:space="preserve"> </w:t>
      </w:r>
      <w:proofErr w:type="spellStart"/>
      <w:r w:rsidRPr="00225D4D">
        <w:t>fleire</w:t>
      </w:r>
      <w:proofErr w:type="spellEnd"/>
      <w:r w:rsidRPr="00225D4D">
        <w:t xml:space="preserve"> tiltak for å styrke og </w:t>
      </w:r>
      <w:proofErr w:type="spellStart"/>
      <w:r w:rsidRPr="00225D4D">
        <w:t>målrette</w:t>
      </w:r>
      <w:proofErr w:type="spellEnd"/>
      <w:r w:rsidRPr="00225D4D">
        <w:t xml:space="preserve"> </w:t>
      </w:r>
      <w:proofErr w:type="spellStart"/>
      <w:r w:rsidRPr="00225D4D">
        <w:t>dei</w:t>
      </w:r>
      <w:proofErr w:type="spellEnd"/>
      <w:r w:rsidRPr="00225D4D">
        <w:t xml:space="preserve"> særskilte tiltak i sona. I samband med revidert nasjonalbudsjett for 2025 </w:t>
      </w:r>
      <w:proofErr w:type="spellStart"/>
      <w:r w:rsidRPr="00225D4D">
        <w:t>vart</w:t>
      </w:r>
      <w:proofErr w:type="spellEnd"/>
      <w:r w:rsidRPr="00225D4D">
        <w:t xml:space="preserve"> det innført </w:t>
      </w:r>
      <w:proofErr w:type="spellStart"/>
      <w:r w:rsidRPr="00225D4D">
        <w:t>eit</w:t>
      </w:r>
      <w:proofErr w:type="spellEnd"/>
      <w:r w:rsidRPr="00225D4D">
        <w:t xml:space="preserve"> Finnmarkstillegg i barnetrygda. I budsjettet for 2026 foreslår regjeringa å </w:t>
      </w:r>
      <w:proofErr w:type="spellStart"/>
      <w:r w:rsidRPr="00225D4D">
        <w:t>auke</w:t>
      </w:r>
      <w:proofErr w:type="spellEnd"/>
      <w:r w:rsidRPr="00225D4D">
        <w:t xml:space="preserve"> </w:t>
      </w:r>
      <w:proofErr w:type="spellStart"/>
      <w:r w:rsidRPr="00225D4D">
        <w:t>Finnmarksfrådraget</w:t>
      </w:r>
      <w:proofErr w:type="spellEnd"/>
      <w:r w:rsidRPr="00225D4D">
        <w:t xml:space="preserve"> og satsen for gjeldsslette i innsatssonen </w:t>
      </w:r>
      <w:proofErr w:type="spellStart"/>
      <w:r w:rsidRPr="00225D4D">
        <w:t>aukar</w:t>
      </w:r>
      <w:proofErr w:type="spellEnd"/>
      <w:r w:rsidRPr="00225D4D">
        <w:t xml:space="preserve"> </w:t>
      </w:r>
      <w:proofErr w:type="spellStart"/>
      <w:r w:rsidRPr="00225D4D">
        <w:t>frå</w:t>
      </w:r>
      <w:proofErr w:type="spellEnd"/>
      <w:r w:rsidRPr="00225D4D">
        <w:t xml:space="preserve"> 30 000 til 60 000 kroner slik regjeringa varsla i samband med budsjettet for 2025.</w:t>
      </w:r>
    </w:p>
    <w:p w14:paraId="4192FBA4" w14:textId="77777777" w:rsidR="00D60186" w:rsidRPr="00225D4D" w:rsidRDefault="00D60186" w:rsidP="00225D4D">
      <w:r w:rsidRPr="00225D4D">
        <w:t>Departementet foreslår på denne bakgrunn at rapporteringa blir avslutta.</w:t>
      </w:r>
    </w:p>
    <w:p w14:paraId="3ECC9945" w14:textId="77777777" w:rsidR="00D60186" w:rsidRPr="00225D4D" w:rsidRDefault="00D60186" w:rsidP="00225D4D">
      <w:pPr>
        <w:pStyle w:val="Overskrift2"/>
      </w:pPr>
      <w:r w:rsidRPr="00225D4D">
        <w:t>Stortingssesjon 2023–2024</w:t>
      </w:r>
    </w:p>
    <w:p w14:paraId="4A20CBF9" w14:textId="77777777" w:rsidR="00D60186" w:rsidRPr="00225D4D" w:rsidRDefault="00D60186" w:rsidP="00225D4D">
      <w:pPr>
        <w:pStyle w:val="avsnitt-tittel"/>
      </w:pPr>
      <w:proofErr w:type="spellStart"/>
      <w:r w:rsidRPr="00225D4D">
        <w:t>Endringar</w:t>
      </w:r>
      <w:proofErr w:type="spellEnd"/>
      <w:r w:rsidRPr="00225D4D">
        <w:t xml:space="preserve"> i partilova</w:t>
      </w:r>
    </w:p>
    <w:p w14:paraId="673DFC7A" w14:textId="77777777" w:rsidR="00D60186" w:rsidRPr="00225D4D" w:rsidRDefault="00D60186" w:rsidP="00225D4D">
      <w:pPr>
        <w:pStyle w:val="avsnitt-undertittel"/>
      </w:pPr>
      <w:r w:rsidRPr="00225D4D">
        <w:t>Vedtak 1, 5. oktober 2023</w:t>
      </w:r>
    </w:p>
    <w:p w14:paraId="500BB92C" w14:textId="77777777" w:rsidR="00D60186" w:rsidRPr="00225D4D" w:rsidRDefault="00D60186" w:rsidP="00225D4D">
      <w:pPr>
        <w:pStyle w:val="blokksit"/>
        <w:rPr>
          <w:rStyle w:val="kursiv"/>
        </w:rPr>
      </w:pPr>
      <w:r w:rsidRPr="00225D4D">
        <w:rPr>
          <w:rStyle w:val="kursiv"/>
        </w:rPr>
        <w:t>«Stortinget ber regjeringen utrede forslag til endring av partiloven som sikrer at reelle bidragsytere av bidrag over de beløpsgrenser som loven fastsetter, innberettes og offentliggjøres. Regjeringen bes om å komme tilbake til Stortinget på egnet måte etter utredningen er gjennomført.»</w:t>
      </w:r>
    </w:p>
    <w:p w14:paraId="6CCBB98E" w14:textId="77777777" w:rsidR="00D60186" w:rsidRPr="00225D4D" w:rsidRDefault="00D60186" w:rsidP="00225D4D">
      <w:r w:rsidRPr="00225D4D">
        <w:t xml:space="preserve">Vedtaket </w:t>
      </w:r>
      <w:proofErr w:type="spellStart"/>
      <w:r w:rsidRPr="00225D4D">
        <w:t>vart</w:t>
      </w:r>
      <w:proofErr w:type="spellEnd"/>
      <w:r w:rsidRPr="00225D4D">
        <w:t xml:space="preserve"> fatta i samband med trontaledebatten 5. oktober 2023.</w:t>
      </w:r>
    </w:p>
    <w:p w14:paraId="5E9A5DFE" w14:textId="77777777" w:rsidR="00D60186" w:rsidRPr="00225D4D" w:rsidRDefault="00D60186" w:rsidP="00225D4D">
      <w:r w:rsidRPr="00225D4D">
        <w:t xml:space="preserve">Regjeringa la i </w:t>
      </w:r>
      <w:proofErr w:type="spellStart"/>
      <w:r w:rsidRPr="00225D4D">
        <w:t>Prop</w:t>
      </w:r>
      <w:proofErr w:type="spellEnd"/>
      <w:r w:rsidRPr="00225D4D">
        <w:t xml:space="preserve">. 144 L (2024–2025) </w:t>
      </w:r>
      <w:r w:rsidRPr="00225D4D">
        <w:rPr>
          <w:rStyle w:val="kursiv"/>
        </w:rPr>
        <w:t xml:space="preserve">Endringer i partiloven (innberetning og offentliggjøring av bidrag fra bakenforliggende givere) </w:t>
      </w:r>
      <w:r w:rsidRPr="00225D4D">
        <w:t xml:space="preserve">fram forslag til </w:t>
      </w:r>
      <w:proofErr w:type="spellStart"/>
      <w:r w:rsidRPr="00225D4D">
        <w:t>endringar</w:t>
      </w:r>
      <w:proofErr w:type="spellEnd"/>
      <w:r w:rsidRPr="00225D4D">
        <w:t xml:space="preserve"> i partilova. Departementet foreslo at bestemte vilkår må </w:t>
      </w:r>
      <w:proofErr w:type="spellStart"/>
      <w:r w:rsidRPr="00225D4D">
        <w:t>vere</w:t>
      </w:r>
      <w:proofErr w:type="spellEnd"/>
      <w:r w:rsidRPr="00225D4D">
        <w:t xml:space="preserve"> oppfylt for at parti og partiledd skal kunne ta imot bidrag </w:t>
      </w:r>
      <w:proofErr w:type="spellStart"/>
      <w:r w:rsidRPr="00225D4D">
        <w:t>frå</w:t>
      </w:r>
      <w:proofErr w:type="spellEnd"/>
      <w:r w:rsidRPr="00225D4D">
        <w:t xml:space="preserve"> juridiske </w:t>
      </w:r>
      <w:proofErr w:type="spellStart"/>
      <w:r w:rsidRPr="00225D4D">
        <w:t>personar</w:t>
      </w:r>
      <w:proofErr w:type="spellEnd"/>
      <w:r w:rsidRPr="00225D4D">
        <w:t xml:space="preserve"> som har som </w:t>
      </w:r>
      <w:proofErr w:type="spellStart"/>
      <w:r w:rsidRPr="00225D4D">
        <w:t>føremål</w:t>
      </w:r>
      <w:proofErr w:type="spellEnd"/>
      <w:r w:rsidRPr="00225D4D">
        <w:t xml:space="preserve"> eller </w:t>
      </w:r>
      <w:proofErr w:type="spellStart"/>
      <w:r w:rsidRPr="00225D4D">
        <w:t>ein</w:t>
      </w:r>
      <w:proofErr w:type="spellEnd"/>
      <w:r w:rsidRPr="00225D4D">
        <w:t xml:space="preserve"> </w:t>
      </w:r>
      <w:proofErr w:type="spellStart"/>
      <w:r w:rsidRPr="00225D4D">
        <w:t>vesentleg</w:t>
      </w:r>
      <w:proofErr w:type="spellEnd"/>
      <w:r w:rsidRPr="00225D4D">
        <w:t xml:space="preserve"> del av si </w:t>
      </w:r>
      <w:proofErr w:type="spellStart"/>
      <w:r w:rsidRPr="00225D4D">
        <w:t>verksemd</w:t>
      </w:r>
      <w:proofErr w:type="spellEnd"/>
      <w:r w:rsidRPr="00225D4D">
        <w:t xml:space="preserve"> å støtte politiske parti økonomisk, eller </w:t>
      </w:r>
      <w:proofErr w:type="spellStart"/>
      <w:r w:rsidRPr="00225D4D">
        <w:t>frå</w:t>
      </w:r>
      <w:proofErr w:type="spellEnd"/>
      <w:r w:rsidRPr="00225D4D">
        <w:t xml:space="preserve"> </w:t>
      </w:r>
      <w:proofErr w:type="spellStart"/>
      <w:r w:rsidRPr="00225D4D">
        <w:t>privatpersonar</w:t>
      </w:r>
      <w:proofErr w:type="spellEnd"/>
      <w:r w:rsidRPr="00225D4D">
        <w:t xml:space="preserve"> som har mottatt bidrag </w:t>
      </w:r>
      <w:proofErr w:type="spellStart"/>
      <w:r w:rsidRPr="00225D4D">
        <w:t>frå</w:t>
      </w:r>
      <w:proofErr w:type="spellEnd"/>
      <w:r w:rsidRPr="00225D4D">
        <w:t xml:space="preserve"> andre for å gi til politiske parti. Politiske parti og partiledd kan </w:t>
      </w:r>
      <w:proofErr w:type="spellStart"/>
      <w:r w:rsidRPr="00225D4D">
        <w:t>berre</w:t>
      </w:r>
      <w:proofErr w:type="spellEnd"/>
      <w:r w:rsidRPr="00225D4D">
        <w:t xml:space="preserve"> motta bidrag </w:t>
      </w:r>
      <w:proofErr w:type="spellStart"/>
      <w:r w:rsidRPr="00225D4D">
        <w:t>frå</w:t>
      </w:r>
      <w:proofErr w:type="spellEnd"/>
      <w:r w:rsidRPr="00225D4D">
        <w:t xml:space="preserve"> </w:t>
      </w:r>
      <w:proofErr w:type="spellStart"/>
      <w:r w:rsidRPr="00225D4D">
        <w:t>desse</w:t>
      </w:r>
      <w:proofErr w:type="spellEnd"/>
      <w:r w:rsidRPr="00225D4D">
        <w:t xml:space="preserve"> </w:t>
      </w:r>
      <w:proofErr w:type="spellStart"/>
      <w:r w:rsidRPr="00225D4D">
        <w:t>givarane</w:t>
      </w:r>
      <w:proofErr w:type="spellEnd"/>
      <w:r w:rsidRPr="00225D4D">
        <w:t xml:space="preserve"> viss </w:t>
      </w:r>
      <w:proofErr w:type="spellStart"/>
      <w:r w:rsidRPr="00225D4D">
        <w:t>dei</w:t>
      </w:r>
      <w:proofErr w:type="spellEnd"/>
      <w:r w:rsidRPr="00225D4D">
        <w:t xml:space="preserve"> har mottatt dokumentasjon </w:t>
      </w:r>
      <w:proofErr w:type="spellStart"/>
      <w:r w:rsidRPr="00225D4D">
        <w:t>frå</w:t>
      </w:r>
      <w:proofErr w:type="spellEnd"/>
      <w:r w:rsidRPr="00225D4D">
        <w:t xml:space="preserve"> </w:t>
      </w:r>
      <w:proofErr w:type="spellStart"/>
      <w:r w:rsidRPr="00225D4D">
        <w:t>givaren</w:t>
      </w:r>
      <w:proofErr w:type="spellEnd"/>
      <w:r w:rsidRPr="00225D4D">
        <w:t xml:space="preserve"> om kven </w:t>
      </w:r>
      <w:proofErr w:type="spellStart"/>
      <w:r w:rsidRPr="00225D4D">
        <w:t>givaren</w:t>
      </w:r>
      <w:proofErr w:type="spellEnd"/>
      <w:r w:rsidRPr="00225D4D">
        <w:t xml:space="preserve"> i </w:t>
      </w:r>
      <w:proofErr w:type="spellStart"/>
      <w:r w:rsidRPr="00225D4D">
        <w:t>inneverande</w:t>
      </w:r>
      <w:proofErr w:type="spellEnd"/>
      <w:r w:rsidRPr="00225D4D">
        <w:t xml:space="preserve"> og </w:t>
      </w:r>
      <w:proofErr w:type="spellStart"/>
      <w:r w:rsidRPr="00225D4D">
        <w:t>førre</w:t>
      </w:r>
      <w:proofErr w:type="spellEnd"/>
      <w:r w:rsidRPr="00225D4D">
        <w:t xml:space="preserve"> kalenderår har mottatt bidrag </w:t>
      </w:r>
      <w:proofErr w:type="spellStart"/>
      <w:r w:rsidRPr="00225D4D">
        <w:t>frå</w:t>
      </w:r>
      <w:proofErr w:type="spellEnd"/>
      <w:r w:rsidRPr="00225D4D">
        <w:t xml:space="preserve">, og på storleiken på bidraget. I tillegg foreslo departementet at parti og partiledd skal rapportere identiteten til </w:t>
      </w:r>
      <w:proofErr w:type="spellStart"/>
      <w:r w:rsidRPr="00225D4D">
        <w:t>dei</w:t>
      </w:r>
      <w:proofErr w:type="spellEnd"/>
      <w:r w:rsidRPr="00225D4D">
        <w:t xml:space="preserve"> </w:t>
      </w:r>
      <w:proofErr w:type="spellStart"/>
      <w:r w:rsidRPr="00225D4D">
        <w:t>bakanforliggande</w:t>
      </w:r>
      <w:proofErr w:type="spellEnd"/>
      <w:r w:rsidRPr="00225D4D">
        <w:t xml:space="preserve"> </w:t>
      </w:r>
      <w:proofErr w:type="spellStart"/>
      <w:r w:rsidRPr="00225D4D">
        <w:t>givarane</w:t>
      </w:r>
      <w:proofErr w:type="spellEnd"/>
      <w:r w:rsidRPr="00225D4D">
        <w:t xml:space="preserve"> og storleiken på bidraga viss bidraga er over </w:t>
      </w:r>
      <w:proofErr w:type="spellStart"/>
      <w:r w:rsidRPr="00225D4D">
        <w:t>dei</w:t>
      </w:r>
      <w:proofErr w:type="spellEnd"/>
      <w:r w:rsidRPr="00225D4D">
        <w:t xml:space="preserve"> fastsette beløpa i lova.</w:t>
      </w:r>
    </w:p>
    <w:p w14:paraId="6314B835" w14:textId="77777777" w:rsidR="00D60186" w:rsidRPr="00225D4D" w:rsidRDefault="00D60186" w:rsidP="00225D4D">
      <w:r w:rsidRPr="00225D4D">
        <w:t xml:space="preserve">Stortinget </w:t>
      </w:r>
      <w:proofErr w:type="spellStart"/>
      <w:r w:rsidRPr="00225D4D">
        <w:t>slutta</w:t>
      </w:r>
      <w:proofErr w:type="spellEnd"/>
      <w:r w:rsidRPr="00225D4D">
        <w:t xml:space="preserve"> seg til forslaget </w:t>
      </w:r>
      <w:proofErr w:type="spellStart"/>
      <w:r w:rsidRPr="00225D4D">
        <w:t>frå</w:t>
      </w:r>
      <w:proofErr w:type="spellEnd"/>
      <w:r w:rsidRPr="00225D4D">
        <w:t xml:space="preserve"> regjeringa, jf. </w:t>
      </w:r>
      <w:proofErr w:type="spellStart"/>
      <w:r w:rsidRPr="00225D4D">
        <w:t>Innst</w:t>
      </w:r>
      <w:proofErr w:type="spellEnd"/>
      <w:r w:rsidRPr="00225D4D">
        <w:t xml:space="preserve">. 528 L (2024–2025), og lovendringa </w:t>
      </w:r>
      <w:proofErr w:type="gramStart"/>
      <w:r w:rsidRPr="00225D4D">
        <w:t>trådde</w:t>
      </w:r>
      <w:proofErr w:type="gramEnd"/>
      <w:r w:rsidRPr="00225D4D">
        <w:t xml:space="preserve"> i kraft </w:t>
      </w:r>
      <w:proofErr w:type="spellStart"/>
      <w:r w:rsidRPr="00225D4D">
        <w:t>frå</w:t>
      </w:r>
      <w:proofErr w:type="spellEnd"/>
      <w:r w:rsidRPr="00225D4D">
        <w:t xml:space="preserve"> og med 1. juli 2025.</w:t>
      </w:r>
    </w:p>
    <w:p w14:paraId="2CEBA86A"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67A8B835" w14:textId="77777777" w:rsidR="00D60186" w:rsidRPr="00225D4D" w:rsidRDefault="00D60186" w:rsidP="00225D4D">
      <w:pPr>
        <w:pStyle w:val="avsnitt-tittel"/>
      </w:pPr>
      <w:proofErr w:type="spellStart"/>
      <w:r w:rsidRPr="00225D4D">
        <w:t>Klimagassrekneskap</w:t>
      </w:r>
      <w:proofErr w:type="spellEnd"/>
    </w:p>
    <w:p w14:paraId="4EAFB0F4" w14:textId="77777777" w:rsidR="00D60186" w:rsidRPr="00225D4D" w:rsidRDefault="00D60186" w:rsidP="00225D4D">
      <w:pPr>
        <w:pStyle w:val="avsnitt-undertittel"/>
      </w:pPr>
      <w:r w:rsidRPr="00225D4D">
        <w:t>Vedtak 74, 4. desember 2023</w:t>
      </w:r>
    </w:p>
    <w:p w14:paraId="45246977" w14:textId="77777777" w:rsidR="00D60186" w:rsidRPr="00225D4D" w:rsidRDefault="00D60186" w:rsidP="00225D4D">
      <w:pPr>
        <w:pStyle w:val="blokksit"/>
        <w:rPr>
          <w:rStyle w:val="kursiv"/>
        </w:rPr>
      </w:pPr>
      <w:r w:rsidRPr="00225D4D">
        <w:rPr>
          <w:rStyle w:val="kursiv"/>
        </w:rPr>
        <w:t>«Stortinget ber regjeringen i løpet av 2024 sikre at data fra klimagassregnskap, som det stilles krav om i TEK 17, samles inn slik at det kan bidra til en faglig utvikling av klimagassregnskapene og kravene som stilles i TEK 17.»</w:t>
      </w:r>
    </w:p>
    <w:p w14:paraId="20EED87E" w14:textId="77777777" w:rsidR="00D60186" w:rsidRPr="00225D4D" w:rsidRDefault="00D60186" w:rsidP="00225D4D">
      <w:r w:rsidRPr="00225D4D">
        <w:t xml:space="preserve">Dokumenta som ligg til grunn for vedtaket er Meld. St. 1 (2023–2024) </w:t>
      </w:r>
      <w:r w:rsidRPr="00225D4D">
        <w:rPr>
          <w:rStyle w:val="kursiv"/>
        </w:rPr>
        <w:t xml:space="preserve">Nasjonalbudsjettet 2024 </w:t>
      </w:r>
      <w:r w:rsidRPr="00225D4D">
        <w:t xml:space="preserve">og </w:t>
      </w:r>
      <w:proofErr w:type="spellStart"/>
      <w:r w:rsidRPr="00225D4D">
        <w:t>Innst</w:t>
      </w:r>
      <w:proofErr w:type="spellEnd"/>
      <w:r w:rsidRPr="00225D4D">
        <w:t>. 2 S (2023–2024).</w:t>
      </w:r>
    </w:p>
    <w:p w14:paraId="05F42096" w14:textId="77777777" w:rsidR="00D60186" w:rsidRPr="00225D4D" w:rsidRDefault="00D60186" w:rsidP="00225D4D">
      <w:r w:rsidRPr="00225D4D">
        <w:t xml:space="preserve">Kravet i </w:t>
      </w:r>
      <w:proofErr w:type="spellStart"/>
      <w:r w:rsidRPr="00225D4D">
        <w:t>byggteknisk</w:t>
      </w:r>
      <w:proofErr w:type="spellEnd"/>
      <w:r w:rsidRPr="00225D4D">
        <w:t xml:space="preserve"> forskrift om at det skal </w:t>
      </w:r>
      <w:proofErr w:type="spellStart"/>
      <w:r w:rsidRPr="00225D4D">
        <w:t>utarbeidast</w:t>
      </w:r>
      <w:proofErr w:type="spellEnd"/>
      <w:r w:rsidRPr="00225D4D">
        <w:t xml:space="preserve"> </w:t>
      </w:r>
      <w:proofErr w:type="spellStart"/>
      <w:r w:rsidRPr="00225D4D">
        <w:t>klimagassrekneskap</w:t>
      </w:r>
      <w:proofErr w:type="spellEnd"/>
      <w:r w:rsidRPr="00225D4D">
        <w:t xml:space="preserve"> for bygging av bustadblokker og yrkesbygg har verknad </w:t>
      </w:r>
      <w:proofErr w:type="spellStart"/>
      <w:r w:rsidRPr="00225D4D">
        <w:t>frå</w:t>
      </w:r>
      <w:proofErr w:type="spellEnd"/>
      <w:r w:rsidRPr="00225D4D">
        <w:t xml:space="preserve"> 1. juli 2023, og gjeld for prosjekt som </w:t>
      </w:r>
      <w:proofErr w:type="spellStart"/>
      <w:r w:rsidRPr="00225D4D">
        <w:t>søkjer</w:t>
      </w:r>
      <w:proofErr w:type="spellEnd"/>
      <w:r w:rsidRPr="00225D4D">
        <w:t xml:space="preserve"> om byggeløyve etter dette. </w:t>
      </w:r>
      <w:proofErr w:type="spellStart"/>
      <w:r w:rsidRPr="00225D4D">
        <w:t>Ein</w:t>
      </w:r>
      <w:proofErr w:type="spellEnd"/>
      <w:r w:rsidRPr="00225D4D">
        <w:t xml:space="preserve"> </w:t>
      </w:r>
      <w:proofErr w:type="spellStart"/>
      <w:r w:rsidRPr="00225D4D">
        <w:t>klimagassrekneskap</w:t>
      </w:r>
      <w:proofErr w:type="spellEnd"/>
      <w:r w:rsidRPr="00225D4D">
        <w:t xml:space="preserve"> blir gjort ferdig først når byggeprosjektet er gjennomført, og det vil derfor ta tid før det </w:t>
      </w:r>
      <w:proofErr w:type="spellStart"/>
      <w:r w:rsidRPr="00225D4D">
        <w:t>finst</w:t>
      </w:r>
      <w:proofErr w:type="spellEnd"/>
      <w:r w:rsidRPr="00225D4D">
        <w:t xml:space="preserve"> data som kan bidra til </w:t>
      </w:r>
      <w:proofErr w:type="spellStart"/>
      <w:r w:rsidRPr="00225D4D">
        <w:t>fagleg</w:t>
      </w:r>
      <w:proofErr w:type="spellEnd"/>
      <w:r w:rsidRPr="00225D4D">
        <w:t xml:space="preserve"> utvikling som </w:t>
      </w:r>
      <w:proofErr w:type="spellStart"/>
      <w:r w:rsidRPr="00225D4D">
        <w:t>følgje</w:t>
      </w:r>
      <w:proofErr w:type="spellEnd"/>
      <w:r w:rsidRPr="00225D4D">
        <w:t xml:space="preserve"> av dette kravet.</w:t>
      </w:r>
    </w:p>
    <w:p w14:paraId="0192C08F" w14:textId="77777777" w:rsidR="00D60186" w:rsidRPr="00225D4D" w:rsidRDefault="00D60186" w:rsidP="00225D4D">
      <w:r w:rsidRPr="00225D4D">
        <w:t xml:space="preserve">Direktoratet for </w:t>
      </w:r>
      <w:proofErr w:type="spellStart"/>
      <w:r w:rsidRPr="00225D4D">
        <w:t>byggkvalitet</w:t>
      </w:r>
      <w:proofErr w:type="spellEnd"/>
      <w:r w:rsidRPr="00225D4D">
        <w:t xml:space="preserve"> har </w:t>
      </w:r>
      <w:proofErr w:type="spellStart"/>
      <w:r w:rsidRPr="00225D4D">
        <w:t>arbeidd</w:t>
      </w:r>
      <w:proofErr w:type="spellEnd"/>
      <w:r w:rsidRPr="00225D4D">
        <w:t xml:space="preserve"> med tiltak knytt til standardisering, rapportering og deling av informasjon </w:t>
      </w:r>
      <w:proofErr w:type="spellStart"/>
      <w:r w:rsidRPr="00225D4D">
        <w:t>frå</w:t>
      </w:r>
      <w:proofErr w:type="spellEnd"/>
      <w:r w:rsidRPr="00225D4D">
        <w:t xml:space="preserve"> byggeprosjekt, og vil etablere ei digital </w:t>
      </w:r>
      <w:proofErr w:type="spellStart"/>
      <w:r w:rsidRPr="00225D4D">
        <w:t>teneste</w:t>
      </w:r>
      <w:proofErr w:type="spellEnd"/>
      <w:r w:rsidRPr="00225D4D">
        <w:t xml:space="preserve"> for frivillig innsending av </w:t>
      </w:r>
      <w:proofErr w:type="spellStart"/>
      <w:r w:rsidRPr="00225D4D">
        <w:t>klimagassrekneskap</w:t>
      </w:r>
      <w:proofErr w:type="spellEnd"/>
      <w:r w:rsidRPr="00225D4D">
        <w:t>.</w:t>
      </w:r>
    </w:p>
    <w:p w14:paraId="75F1EBE9"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5CF4522A" w14:textId="77777777" w:rsidR="00D60186" w:rsidRPr="00225D4D" w:rsidRDefault="00D60186" w:rsidP="00225D4D">
      <w:pPr>
        <w:pStyle w:val="avsnitt-tittel"/>
      </w:pPr>
      <w:proofErr w:type="spellStart"/>
      <w:r w:rsidRPr="00225D4D">
        <w:t>Ikkje</w:t>
      </w:r>
      <w:proofErr w:type="spellEnd"/>
      <w:r w:rsidRPr="00225D4D">
        <w:t xml:space="preserve">-kommersielle </w:t>
      </w:r>
      <w:proofErr w:type="spellStart"/>
      <w:r w:rsidRPr="00225D4D">
        <w:t>bustader</w:t>
      </w:r>
      <w:proofErr w:type="spellEnd"/>
    </w:p>
    <w:p w14:paraId="2400F8B1" w14:textId="77777777" w:rsidR="00D60186" w:rsidRPr="00225D4D" w:rsidRDefault="00D60186" w:rsidP="00225D4D">
      <w:pPr>
        <w:pStyle w:val="avsnitt-undertittel"/>
      </w:pPr>
      <w:r w:rsidRPr="00225D4D">
        <w:t>Vedtak 93, 4. desember 2023</w:t>
      </w:r>
    </w:p>
    <w:p w14:paraId="54515333" w14:textId="77777777" w:rsidR="00D60186" w:rsidRPr="00225D4D" w:rsidRDefault="00D60186" w:rsidP="00225D4D">
      <w:pPr>
        <w:pStyle w:val="blokksit"/>
        <w:rPr>
          <w:rStyle w:val="kursiv"/>
        </w:rPr>
      </w:pPr>
      <w:r w:rsidRPr="00225D4D">
        <w:rPr>
          <w:rStyle w:val="kursiv"/>
        </w:rPr>
        <w:t>«Stortinget ber regjeringen om å utrede hvordan ikke-kommersielle boliger, med pris- og omsetningskontroll, kan defineres, og komme tilbake på egnet måte innen 1. juli 2024.»</w:t>
      </w:r>
    </w:p>
    <w:p w14:paraId="4EF1AE82" w14:textId="77777777" w:rsidR="00D60186" w:rsidRPr="00225D4D" w:rsidRDefault="00D60186" w:rsidP="00225D4D">
      <w:r w:rsidRPr="00225D4D">
        <w:t xml:space="preserve">Dokumenta som ligg til grunn for vedtaket er Meld. St. 1 (2023–2024) </w:t>
      </w:r>
      <w:r w:rsidRPr="00225D4D">
        <w:rPr>
          <w:rStyle w:val="kursiv"/>
        </w:rPr>
        <w:t>Nasjonalbudsjettet 2024</w:t>
      </w:r>
      <w:r w:rsidRPr="00225D4D">
        <w:t xml:space="preserve"> og </w:t>
      </w:r>
      <w:proofErr w:type="spellStart"/>
      <w:r w:rsidRPr="00225D4D">
        <w:t>Innst</w:t>
      </w:r>
      <w:proofErr w:type="spellEnd"/>
      <w:r w:rsidRPr="00225D4D">
        <w:t>. 2 S (2023–2024).</w:t>
      </w:r>
    </w:p>
    <w:p w14:paraId="28C0890B" w14:textId="77777777" w:rsidR="00D60186" w:rsidRPr="00225D4D" w:rsidRDefault="00D60186" w:rsidP="00225D4D">
      <w:r w:rsidRPr="00225D4D">
        <w:t xml:space="preserve">Regjeringa gjorde greie for korleis </w:t>
      </w:r>
      <w:proofErr w:type="spellStart"/>
      <w:r w:rsidRPr="00225D4D">
        <w:t>ikkje</w:t>
      </w:r>
      <w:proofErr w:type="spellEnd"/>
      <w:r w:rsidRPr="00225D4D">
        <w:t xml:space="preserve">-kommersielle </w:t>
      </w:r>
      <w:proofErr w:type="spellStart"/>
      <w:r w:rsidRPr="00225D4D">
        <w:t>bustader</w:t>
      </w:r>
      <w:proofErr w:type="spellEnd"/>
      <w:r w:rsidRPr="00225D4D">
        <w:t xml:space="preserve"> kan </w:t>
      </w:r>
      <w:proofErr w:type="spellStart"/>
      <w:r w:rsidRPr="00225D4D">
        <w:t>definerast</w:t>
      </w:r>
      <w:proofErr w:type="spellEnd"/>
      <w:r w:rsidRPr="00225D4D">
        <w:t xml:space="preserve"> i Meld. St. 13 (2023–2024) </w:t>
      </w:r>
      <w:r w:rsidRPr="00225D4D">
        <w:rPr>
          <w:rStyle w:val="kursiv"/>
        </w:rPr>
        <w:t>Bustadmeldinga</w:t>
      </w:r>
      <w:r w:rsidRPr="00225D4D">
        <w:t xml:space="preserve">. 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regjeringas tilbakemelding om at den i løpet av første halvår 2025 skal </w:t>
      </w:r>
      <w:proofErr w:type="spellStart"/>
      <w:r w:rsidRPr="00225D4D">
        <w:t>kome</w:t>
      </w:r>
      <w:proofErr w:type="spellEnd"/>
      <w:r w:rsidRPr="00225D4D">
        <w:t xml:space="preserve"> tilbake til Stortinget med </w:t>
      </w:r>
      <w:proofErr w:type="spellStart"/>
      <w:r w:rsidRPr="00225D4D">
        <w:t>eit</w:t>
      </w:r>
      <w:proofErr w:type="spellEnd"/>
      <w:r w:rsidRPr="00225D4D">
        <w:t xml:space="preserve"> forslag til korleis </w:t>
      </w:r>
      <w:proofErr w:type="spellStart"/>
      <w:r w:rsidRPr="00225D4D">
        <w:t>ikkje</w:t>
      </w:r>
      <w:proofErr w:type="spellEnd"/>
      <w:r w:rsidRPr="00225D4D">
        <w:t xml:space="preserve">-kommersielle </w:t>
      </w:r>
      <w:proofErr w:type="spellStart"/>
      <w:r w:rsidRPr="00225D4D">
        <w:t>bustader</w:t>
      </w:r>
      <w:proofErr w:type="spellEnd"/>
      <w:r w:rsidRPr="00225D4D">
        <w:t xml:space="preserve">, med pris- og </w:t>
      </w:r>
      <w:proofErr w:type="spellStart"/>
      <w:r w:rsidRPr="00225D4D">
        <w:t>omsetjingskontroll</w:t>
      </w:r>
      <w:proofErr w:type="spellEnd"/>
      <w:r w:rsidRPr="00225D4D">
        <w:t xml:space="preserve">, kan </w:t>
      </w:r>
      <w:proofErr w:type="spellStart"/>
      <w:r w:rsidRPr="00225D4D">
        <w:t>definerast</w:t>
      </w:r>
      <w:proofErr w:type="spellEnd"/>
      <w:r w:rsidRPr="00225D4D">
        <w:t xml:space="preserve"> og brukast i innretninga av juridiske og økonomiske </w:t>
      </w:r>
      <w:proofErr w:type="spellStart"/>
      <w:r w:rsidRPr="00225D4D">
        <w:t>verkemidlar</w:t>
      </w:r>
      <w:proofErr w:type="spellEnd"/>
      <w:r w:rsidRPr="00225D4D">
        <w:t xml:space="preserve">. På denne bakgrunn meiner </w:t>
      </w:r>
      <w:proofErr w:type="spellStart"/>
      <w:r w:rsidRPr="00225D4D">
        <w:t>fleirtalet</w:t>
      </w:r>
      <w:proofErr w:type="spellEnd"/>
      <w:r w:rsidRPr="00225D4D">
        <w:t xml:space="preserve"> rapporteringa </w:t>
      </w:r>
      <w:proofErr w:type="spellStart"/>
      <w:r w:rsidRPr="00225D4D">
        <w:t>ikkje</w:t>
      </w:r>
      <w:proofErr w:type="spellEnd"/>
      <w:r w:rsidRPr="00225D4D">
        <w:t xml:space="preserve"> kan </w:t>
      </w:r>
      <w:proofErr w:type="spellStart"/>
      <w:r w:rsidRPr="00225D4D">
        <w:t>avsluttast</w:t>
      </w:r>
      <w:proofErr w:type="spellEnd"/>
      <w:r w:rsidRPr="00225D4D">
        <w:t>.</w:t>
      </w:r>
    </w:p>
    <w:p w14:paraId="7D564056" w14:textId="77777777" w:rsidR="00D60186" w:rsidRPr="00225D4D" w:rsidRDefault="00D60186" w:rsidP="00225D4D">
      <w:r w:rsidRPr="00225D4D">
        <w:t xml:space="preserve">Departementet </w:t>
      </w:r>
      <w:proofErr w:type="spellStart"/>
      <w:r w:rsidRPr="00225D4D">
        <w:t>gjer</w:t>
      </w:r>
      <w:proofErr w:type="spellEnd"/>
      <w:r w:rsidRPr="00225D4D">
        <w:t xml:space="preserve"> under programkategori 13.80, mål 1 i denne proposisjonen greie for korleis </w:t>
      </w:r>
      <w:proofErr w:type="spellStart"/>
      <w:r w:rsidRPr="00225D4D">
        <w:t>ikkje</w:t>
      </w:r>
      <w:proofErr w:type="spellEnd"/>
      <w:r w:rsidRPr="00225D4D">
        <w:t xml:space="preserve">-kommersielle </w:t>
      </w:r>
      <w:proofErr w:type="spellStart"/>
      <w:r w:rsidRPr="00225D4D">
        <w:t>bustader</w:t>
      </w:r>
      <w:proofErr w:type="spellEnd"/>
      <w:r w:rsidRPr="00225D4D">
        <w:t xml:space="preserve"> med og </w:t>
      </w:r>
      <w:proofErr w:type="spellStart"/>
      <w:r w:rsidRPr="00225D4D">
        <w:t>utan</w:t>
      </w:r>
      <w:proofErr w:type="spellEnd"/>
      <w:r w:rsidRPr="00225D4D">
        <w:t xml:space="preserve"> pris- og </w:t>
      </w:r>
      <w:proofErr w:type="spellStart"/>
      <w:r w:rsidRPr="00225D4D">
        <w:t>omsetjingskontroll</w:t>
      </w:r>
      <w:proofErr w:type="spellEnd"/>
      <w:r w:rsidRPr="00225D4D">
        <w:t xml:space="preserve">, kan bli definert og brukt i juridiske og økonomiske </w:t>
      </w:r>
      <w:proofErr w:type="spellStart"/>
      <w:r w:rsidRPr="00225D4D">
        <w:t>verkemiddel</w:t>
      </w:r>
      <w:proofErr w:type="spellEnd"/>
      <w:r w:rsidRPr="00225D4D">
        <w:t>.</w:t>
      </w:r>
    </w:p>
    <w:p w14:paraId="70EF1F2C"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208BC59C" w14:textId="77777777" w:rsidR="00D60186" w:rsidRPr="00225D4D" w:rsidRDefault="00D60186" w:rsidP="00225D4D">
      <w:pPr>
        <w:pStyle w:val="avsnitt-tittel"/>
      </w:pPr>
      <w:proofErr w:type="spellStart"/>
      <w:r w:rsidRPr="00225D4D">
        <w:t>Regjeringsmedlemmar</w:t>
      </w:r>
      <w:proofErr w:type="spellEnd"/>
      <w:r w:rsidRPr="00225D4D">
        <w:t xml:space="preserve"> sine verv og økonomiske interesser</w:t>
      </w:r>
    </w:p>
    <w:p w14:paraId="2D28B76E" w14:textId="77777777" w:rsidR="00D60186" w:rsidRPr="00225D4D" w:rsidRDefault="00D60186" w:rsidP="00225D4D">
      <w:pPr>
        <w:pStyle w:val="avsnitt-undertittel"/>
      </w:pPr>
      <w:r w:rsidRPr="00225D4D">
        <w:t>Vedtak 155, 12. desember 2023</w:t>
      </w:r>
    </w:p>
    <w:p w14:paraId="0E11D4ED" w14:textId="77777777" w:rsidR="00D60186" w:rsidRPr="00225D4D" w:rsidRDefault="00D60186" w:rsidP="00225D4D">
      <w:pPr>
        <w:pStyle w:val="blokksit"/>
        <w:rPr>
          <w:rStyle w:val="kursiv"/>
        </w:rPr>
      </w:pPr>
      <w:r w:rsidRPr="00225D4D">
        <w:rPr>
          <w:rStyle w:val="kursiv"/>
        </w:rPr>
        <w:t>«Stortinget ber regjeringen sikre at kravene til registreringen av regjeringsmedlemmers verv og økonomiske interesser til enhver tid er minimum like strenge som kravene for stortingsrepresentanter.»</w:t>
      </w:r>
    </w:p>
    <w:p w14:paraId="5D223308"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12 L (2023–2024) </w:t>
      </w:r>
      <w:r w:rsidRPr="00225D4D">
        <w:rPr>
          <w:rStyle w:val="kursiv"/>
        </w:rPr>
        <w:t>Endringer i lov om registrering av regjeringsmedlemmers verv og økonomiske interesser (hjemmel for registreringsplikt for statssekretærer og politiske rådgivere)</w:t>
      </w:r>
      <w:r w:rsidRPr="00225D4D">
        <w:t xml:space="preserve">, </w:t>
      </w:r>
      <w:proofErr w:type="spellStart"/>
      <w:r w:rsidRPr="00225D4D">
        <w:t>Innst</w:t>
      </w:r>
      <w:proofErr w:type="spellEnd"/>
      <w:r w:rsidRPr="00225D4D">
        <w:t>. 121 L (2023–2024) og Lovvedtak 22 (2023–2024).</w:t>
      </w:r>
    </w:p>
    <w:p w14:paraId="040C96D2" w14:textId="77777777" w:rsidR="00D60186" w:rsidRPr="00225D4D" w:rsidRDefault="00D60186" w:rsidP="00225D4D">
      <w:r w:rsidRPr="00225D4D">
        <w:t xml:space="preserve">Registreringsplikta følgjer av forskrift om registrering av regjeringsmedlemmers, statssekretærers og politiske rådgiveres verv og økonomiske interesser. </w:t>
      </w:r>
      <w:proofErr w:type="spellStart"/>
      <w:r w:rsidRPr="00225D4D">
        <w:t>Desse</w:t>
      </w:r>
      <w:proofErr w:type="spellEnd"/>
      <w:r w:rsidRPr="00225D4D">
        <w:t xml:space="preserve"> </w:t>
      </w:r>
      <w:proofErr w:type="spellStart"/>
      <w:r w:rsidRPr="00225D4D">
        <w:t>reglane</w:t>
      </w:r>
      <w:proofErr w:type="spellEnd"/>
      <w:r w:rsidRPr="00225D4D">
        <w:t xml:space="preserve"> er like strenge som </w:t>
      </w:r>
      <w:proofErr w:type="spellStart"/>
      <w:r w:rsidRPr="00225D4D">
        <w:t>reglane</w:t>
      </w:r>
      <w:proofErr w:type="spellEnd"/>
      <w:r w:rsidRPr="00225D4D">
        <w:t xml:space="preserve"> for </w:t>
      </w:r>
      <w:proofErr w:type="spellStart"/>
      <w:r w:rsidRPr="00225D4D">
        <w:t>stortingsrepresentantar</w:t>
      </w:r>
      <w:proofErr w:type="spellEnd"/>
      <w:r w:rsidRPr="00225D4D">
        <w:t>. Se forskrift om registrering av regjeringsmedlemmers, statssekretærers og politiske rådgiveres verv og økonomiske interesser § 3 som viser til reglement om register for stortingsrepresentantenes verv og økonomiske interesser.</w:t>
      </w:r>
    </w:p>
    <w:p w14:paraId="7202B2C1"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6C90865A" w14:textId="77777777" w:rsidR="00D60186" w:rsidRPr="00225D4D" w:rsidRDefault="00D60186" w:rsidP="00225D4D">
      <w:pPr>
        <w:pStyle w:val="avsnitt-tittel"/>
      </w:pPr>
      <w:r w:rsidRPr="00225D4D">
        <w:t xml:space="preserve">Verv og økonomiske interesser i </w:t>
      </w:r>
      <w:proofErr w:type="spellStart"/>
      <w:r w:rsidRPr="00225D4D">
        <w:t>regjeringsmedlemmar</w:t>
      </w:r>
      <w:proofErr w:type="spellEnd"/>
      <w:r w:rsidRPr="00225D4D">
        <w:t xml:space="preserve"> sin </w:t>
      </w:r>
      <w:proofErr w:type="spellStart"/>
      <w:r w:rsidRPr="00225D4D">
        <w:t>hushalding</w:t>
      </w:r>
      <w:proofErr w:type="spellEnd"/>
    </w:p>
    <w:p w14:paraId="7F7F2ECA" w14:textId="77777777" w:rsidR="00D60186" w:rsidRPr="00225D4D" w:rsidRDefault="00D60186" w:rsidP="00225D4D">
      <w:pPr>
        <w:pStyle w:val="avsnitt-undertittel"/>
      </w:pPr>
      <w:r w:rsidRPr="00225D4D">
        <w:t>Vedtak 156, 12. desember 2023</w:t>
      </w:r>
    </w:p>
    <w:p w14:paraId="4D330493" w14:textId="77777777" w:rsidR="00D60186" w:rsidRPr="00225D4D" w:rsidRDefault="00D60186" w:rsidP="00225D4D">
      <w:pPr>
        <w:pStyle w:val="blokksit"/>
        <w:rPr>
          <w:rStyle w:val="kursiv"/>
        </w:rPr>
      </w:pPr>
      <w:r w:rsidRPr="00225D4D">
        <w:rPr>
          <w:rStyle w:val="kursiv"/>
        </w:rPr>
        <w:t>«Stortinget ber regjeringen utrede forslag til registrering av verv og økonomiske interesser for regjeringspolitikeres medlemmer av husholdningen, inkludert ektefeller og samboere, og komme tilbake til Stortinget på egnet måte.»</w:t>
      </w:r>
    </w:p>
    <w:p w14:paraId="39436BB8"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12 L (2023–2024) </w:t>
      </w:r>
      <w:r w:rsidRPr="00225D4D">
        <w:rPr>
          <w:rStyle w:val="kursiv"/>
        </w:rPr>
        <w:t>Endringer i lov om registrering av regjeringsmedlemmers verv og økonomiske interesser (hjemmel for registreringsplikt for statssekretærer og politiske rådgivere)</w:t>
      </w:r>
      <w:r w:rsidRPr="00225D4D">
        <w:t xml:space="preserve">, </w:t>
      </w:r>
      <w:proofErr w:type="spellStart"/>
      <w:r w:rsidRPr="00225D4D">
        <w:t>Innst</w:t>
      </w:r>
      <w:proofErr w:type="spellEnd"/>
      <w:r w:rsidRPr="00225D4D">
        <w:t>. 121 L (2023–2024) og Lovvedtak 22 (2023–2024).</w:t>
      </w:r>
    </w:p>
    <w:p w14:paraId="6A885665" w14:textId="77777777" w:rsidR="00D60186" w:rsidRPr="00225D4D" w:rsidRDefault="00D60186" w:rsidP="00225D4D">
      <w:r w:rsidRPr="00225D4D">
        <w:t xml:space="preserve">Departementet har vurdert forslaget, men vil </w:t>
      </w:r>
      <w:proofErr w:type="spellStart"/>
      <w:r w:rsidRPr="00225D4D">
        <w:t>ikkje</w:t>
      </w:r>
      <w:proofErr w:type="spellEnd"/>
      <w:r w:rsidRPr="00225D4D">
        <w:t xml:space="preserve"> tilrå å innføre ei slik registreringsplikt for </w:t>
      </w:r>
      <w:proofErr w:type="spellStart"/>
      <w:r w:rsidRPr="00225D4D">
        <w:t>personar</w:t>
      </w:r>
      <w:proofErr w:type="spellEnd"/>
      <w:r w:rsidRPr="00225D4D">
        <w:t xml:space="preserve"> som </w:t>
      </w:r>
      <w:proofErr w:type="spellStart"/>
      <w:r w:rsidRPr="00225D4D">
        <w:t>ikkje</w:t>
      </w:r>
      <w:proofErr w:type="spellEnd"/>
      <w:r w:rsidRPr="00225D4D">
        <w:t xml:space="preserve"> sjølve er </w:t>
      </w:r>
      <w:proofErr w:type="spellStart"/>
      <w:r w:rsidRPr="00225D4D">
        <w:t>folkevalde</w:t>
      </w:r>
      <w:proofErr w:type="spellEnd"/>
      <w:r w:rsidRPr="00225D4D">
        <w:t xml:space="preserve">. Departementet vurderer at behovet til </w:t>
      </w:r>
      <w:proofErr w:type="spellStart"/>
      <w:r w:rsidRPr="00225D4D">
        <w:t>allmenta</w:t>
      </w:r>
      <w:proofErr w:type="spellEnd"/>
      <w:r w:rsidRPr="00225D4D">
        <w:t xml:space="preserve"> er </w:t>
      </w:r>
      <w:proofErr w:type="spellStart"/>
      <w:r w:rsidRPr="00225D4D">
        <w:t>tilstrekkeleg</w:t>
      </w:r>
      <w:proofErr w:type="spellEnd"/>
      <w:r w:rsidRPr="00225D4D">
        <w:t xml:space="preserve"> tatt hand om ved at </w:t>
      </w:r>
      <w:proofErr w:type="spellStart"/>
      <w:r w:rsidRPr="00225D4D">
        <w:t>regjeringspolitikaren</w:t>
      </w:r>
      <w:proofErr w:type="spellEnd"/>
      <w:r w:rsidRPr="00225D4D">
        <w:t xml:space="preserve"> sjølve alltid må vurdere eigen habilitet, inkludert inhabilitet som </w:t>
      </w:r>
      <w:proofErr w:type="spellStart"/>
      <w:r w:rsidRPr="00225D4D">
        <w:t>følgje</w:t>
      </w:r>
      <w:proofErr w:type="spellEnd"/>
      <w:r w:rsidRPr="00225D4D">
        <w:t xml:space="preserve"> av til dømes ektefelle eller </w:t>
      </w:r>
      <w:proofErr w:type="spellStart"/>
      <w:r w:rsidRPr="00225D4D">
        <w:t>sambuar</w:t>
      </w:r>
      <w:proofErr w:type="spellEnd"/>
      <w:r w:rsidRPr="00225D4D">
        <w:t xml:space="preserve"> sin </w:t>
      </w:r>
      <w:proofErr w:type="spellStart"/>
      <w:r w:rsidRPr="00225D4D">
        <w:t>tilknyting</w:t>
      </w:r>
      <w:proofErr w:type="spellEnd"/>
      <w:r w:rsidRPr="00225D4D">
        <w:t xml:space="preserve"> til ei sak. Departementet har mellom anna lagt vekt på den </w:t>
      </w:r>
      <w:proofErr w:type="spellStart"/>
      <w:r w:rsidRPr="00225D4D">
        <w:t>nærståande</w:t>
      </w:r>
      <w:proofErr w:type="spellEnd"/>
      <w:r w:rsidRPr="00225D4D">
        <w:t xml:space="preserve"> sitt personvern da </w:t>
      </w:r>
      <w:proofErr w:type="spellStart"/>
      <w:r w:rsidRPr="00225D4D">
        <w:t>vedkommande</w:t>
      </w:r>
      <w:proofErr w:type="spellEnd"/>
      <w:r w:rsidRPr="00225D4D">
        <w:t xml:space="preserve"> </w:t>
      </w:r>
      <w:proofErr w:type="spellStart"/>
      <w:r w:rsidRPr="00225D4D">
        <w:t>ikkje</w:t>
      </w:r>
      <w:proofErr w:type="spellEnd"/>
      <w:r w:rsidRPr="00225D4D">
        <w:t xml:space="preserve"> </w:t>
      </w:r>
      <w:proofErr w:type="spellStart"/>
      <w:r w:rsidRPr="00225D4D">
        <w:t>sjølv</w:t>
      </w:r>
      <w:proofErr w:type="spellEnd"/>
      <w:r w:rsidRPr="00225D4D">
        <w:t xml:space="preserve"> har søkt </w:t>
      </w:r>
      <w:proofErr w:type="spellStart"/>
      <w:r w:rsidRPr="00225D4D">
        <w:t>eit</w:t>
      </w:r>
      <w:proofErr w:type="spellEnd"/>
      <w:r w:rsidRPr="00225D4D">
        <w:t xml:space="preserve"> </w:t>
      </w:r>
      <w:proofErr w:type="spellStart"/>
      <w:r w:rsidRPr="00225D4D">
        <w:t>offentleg</w:t>
      </w:r>
      <w:proofErr w:type="spellEnd"/>
      <w:r w:rsidRPr="00225D4D">
        <w:t xml:space="preserve"> verv. Forslaget er òg </w:t>
      </w:r>
      <w:proofErr w:type="spellStart"/>
      <w:r w:rsidRPr="00225D4D">
        <w:t>vanskeleg</w:t>
      </w:r>
      <w:proofErr w:type="spellEnd"/>
      <w:r w:rsidRPr="00225D4D">
        <w:t xml:space="preserve"> å avgrense. Det </w:t>
      </w:r>
      <w:proofErr w:type="spellStart"/>
      <w:r w:rsidRPr="00225D4D">
        <w:t>gjeld</w:t>
      </w:r>
      <w:proofErr w:type="spellEnd"/>
      <w:r w:rsidRPr="00225D4D">
        <w:t xml:space="preserve"> heller </w:t>
      </w:r>
      <w:proofErr w:type="spellStart"/>
      <w:r w:rsidRPr="00225D4D">
        <w:t>ikkje</w:t>
      </w:r>
      <w:proofErr w:type="spellEnd"/>
      <w:r w:rsidRPr="00225D4D">
        <w:t xml:space="preserve"> ei </w:t>
      </w:r>
      <w:proofErr w:type="spellStart"/>
      <w:r w:rsidRPr="00225D4D">
        <w:t>tilsvarande</w:t>
      </w:r>
      <w:proofErr w:type="spellEnd"/>
      <w:r w:rsidRPr="00225D4D">
        <w:t xml:space="preserve"> plikt for </w:t>
      </w:r>
      <w:proofErr w:type="spellStart"/>
      <w:r w:rsidRPr="00225D4D">
        <w:t>stortingsrepresentantar</w:t>
      </w:r>
      <w:proofErr w:type="spellEnd"/>
      <w:r w:rsidRPr="00225D4D">
        <w:t>.</w:t>
      </w:r>
    </w:p>
    <w:p w14:paraId="0B6757C2" w14:textId="77777777" w:rsidR="00D60186" w:rsidRPr="00225D4D" w:rsidRDefault="00D60186" w:rsidP="00225D4D">
      <w:r w:rsidRPr="00225D4D">
        <w:t>Departementet foreslår på denne bakgrunn at rapporteringa blir avslutta.</w:t>
      </w:r>
    </w:p>
    <w:p w14:paraId="169E52A5" w14:textId="77777777" w:rsidR="00D60186" w:rsidRPr="00225D4D" w:rsidRDefault="00D60186" w:rsidP="00225D4D">
      <w:pPr>
        <w:pStyle w:val="avsnitt-tittel"/>
      </w:pPr>
      <w:r w:rsidRPr="00225D4D">
        <w:t xml:space="preserve">Organisatoriske tiltak mot </w:t>
      </w:r>
      <w:proofErr w:type="spellStart"/>
      <w:r w:rsidRPr="00225D4D">
        <w:t>flaum</w:t>
      </w:r>
      <w:proofErr w:type="spellEnd"/>
    </w:p>
    <w:p w14:paraId="52D53B03" w14:textId="77777777" w:rsidR="00D60186" w:rsidRPr="00225D4D" w:rsidRDefault="00D60186" w:rsidP="00225D4D">
      <w:pPr>
        <w:pStyle w:val="avsnitt-undertittel"/>
      </w:pPr>
      <w:r w:rsidRPr="00225D4D">
        <w:t>Vedtak 456, 16. januar 2024</w:t>
      </w:r>
    </w:p>
    <w:p w14:paraId="5945CF56" w14:textId="77777777" w:rsidR="00D60186" w:rsidRPr="00225D4D" w:rsidRDefault="00D60186" w:rsidP="00225D4D">
      <w:pPr>
        <w:pStyle w:val="blokksit"/>
        <w:rPr>
          <w:rStyle w:val="kursiv"/>
        </w:rPr>
      </w:pPr>
      <w:r w:rsidRPr="00225D4D">
        <w:rPr>
          <w:rStyle w:val="kursiv"/>
        </w:rPr>
        <w:t>«Stortinget ber regjeringen tillate at kommuner kan bruke organisatoriske tiltak fremfor permanent sikring for å sikre ny bebyggelse mot flom, i tråd med anbefalingene fra NVE.»</w:t>
      </w:r>
    </w:p>
    <w:p w14:paraId="662FE9A3" w14:textId="77777777" w:rsidR="00D60186" w:rsidRPr="00225D4D" w:rsidRDefault="00D60186" w:rsidP="00225D4D">
      <w:r w:rsidRPr="00225D4D">
        <w:t xml:space="preserve">Dokumenta som ligg til grunn for vedtaket er Meld. St. 26 (2022–2023) </w:t>
      </w:r>
      <w:r w:rsidRPr="00225D4D">
        <w:rPr>
          <w:rStyle w:val="kursiv"/>
        </w:rPr>
        <w:t xml:space="preserve">Klima i endring – sammen for et </w:t>
      </w:r>
      <w:proofErr w:type="gramStart"/>
      <w:r w:rsidRPr="00225D4D">
        <w:rPr>
          <w:rStyle w:val="kursiv"/>
        </w:rPr>
        <w:t>klimarobust</w:t>
      </w:r>
      <w:proofErr w:type="gramEnd"/>
      <w:r w:rsidRPr="00225D4D">
        <w:rPr>
          <w:rStyle w:val="kursiv"/>
        </w:rPr>
        <w:t xml:space="preserve"> samfunn</w:t>
      </w:r>
      <w:r w:rsidRPr="00225D4D">
        <w:t xml:space="preserve"> og </w:t>
      </w:r>
      <w:proofErr w:type="spellStart"/>
      <w:r w:rsidRPr="00225D4D">
        <w:t>Innst</w:t>
      </w:r>
      <w:proofErr w:type="spellEnd"/>
      <w:r w:rsidRPr="00225D4D">
        <w:t>. 161 S (2023–2024).</w:t>
      </w:r>
    </w:p>
    <w:p w14:paraId="5722F26C" w14:textId="77777777" w:rsidR="00D60186" w:rsidRPr="00225D4D" w:rsidRDefault="00D60186" w:rsidP="00225D4D">
      <w:proofErr w:type="spellStart"/>
      <w:r w:rsidRPr="00225D4D">
        <w:t>Eit</w:t>
      </w:r>
      <w:proofErr w:type="spellEnd"/>
      <w:r w:rsidRPr="00225D4D">
        <w:t xml:space="preserve"> forslag til </w:t>
      </w:r>
      <w:proofErr w:type="spellStart"/>
      <w:r w:rsidRPr="00225D4D">
        <w:t>endringar</w:t>
      </w:r>
      <w:proofErr w:type="spellEnd"/>
      <w:r w:rsidRPr="00225D4D">
        <w:t xml:space="preserve"> i </w:t>
      </w:r>
      <w:proofErr w:type="spellStart"/>
      <w:r w:rsidRPr="00225D4D">
        <w:t>byggteknisk</w:t>
      </w:r>
      <w:proofErr w:type="spellEnd"/>
      <w:r w:rsidRPr="00225D4D">
        <w:t xml:space="preserve"> forskrift (TEK17) som vil </w:t>
      </w:r>
      <w:proofErr w:type="spellStart"/>
      <w:r w:rsidRPr="00225D4D">
        <w:t>opne</w:t>
      </w:r>
      <w:proofErr w:type="spellEnd"/>
      <w:r w:rsidRPr="00225D4D">
        <w:t xml:space="preserve"> for bruk av organisatoriske tiltak på gitte vilkår, </w:t>
      </w:r>
      <w:proofErr w:type="spellStart"/>
      <w:r w:rsidRPr="00225D4D">
        <w:t>vart</w:t>
      </w:r>
      <w:proofErr w:type="spellEnd"/>
      <w:r w:rsidRPr="00225D4D">
        <w:t xml:space="preserve"> sendt på </w:t>
      </w:r>
      <w:proofErr w:type="spellStart"/>
      <w:r w:rsidRPr="00225D4D">
        <w:t>høyring</w:t>
      </w:r>
      <w:proofErr w:type="spellEnd"/>
      <w:r w:rsidRPr="00225D4D">
        <w:t xml:space="preserve"> i juni, med </w:t>
      </w:r>
      <w:proofErr w:type="spellStart"/>
      <w:r w:rsidRPr="00225D4D">
        <w:t>høyringsfrist</w:t>
      </w:r>
      <w:proofErr w:type="spellEnd"/>
      <w:r w:rsidRPr="00225D4D">
        <w:t xml:space="preserve"> 3. oktober 2025. Departementet vil </w:t>
      </w:r>
      <w:proofErr w:type="spellStart"/>
      <w:r w:rsidRPr="00225D4D">
        <w:t>følgje</w:t>
      </w:r>
      <w:proofErr w:type="spellEnd"/>
      <w:r w:rsidRPr="00225D4D">
        <w:t xml:space="preserve"> opp saka </w:t>
      </w:r>
      <w:proofErr w:type="spellStart"/>
      <w:r w:rsidRPr="00225D4D">
        <w:t>vidare</w:t>
      </w:r>
      <w:proofErr w:type="spellEnd"/>
      <w:r w:rsidRPr="00225D4D">
        <w:t>.</w:t>
      </w:r>
    </w:p>
    <w:p w14:paraId="72BAFBC3"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0A596293" w14:textId="77777777" w:rsidR="00D60186" w:rsidRPr="00225D4D" w:rsidRDefault="00D60186" w:rsidP="00225D4D">
      <w:pPr>
        <w:pStyle w:val="avsnitt-tittel"/>
      </w:pPr>
      <w:r w:rsidRPr="00225D4D">
        <w:t xml:space="preserve">Innføre obligatorisk registrering av </w:t>
      </w:r>
      <w:proofErr w:type="spellStart"/>
      <w:r w:rsidRPr="00225D4D">
        <w:t>eigarskap</w:t>
      </w:r>
      <w:proofErr w:type="spellEnd"/>
      <w:r w:rsidRPr="00225D4D">
        <w:t xml:space="preserve"> i fast </w:t>
      </w:r>
      <w:proofErr w:type="spellStart"/>
      <w:r w:rsidRPr="00225D4D">
        <w:t>eigedom</w:t>
      </w:r>
      <w:proofErr w:type="spellEnd"/>
    </w:p>
    <w:p w14:paraId="22276943" w14:textId="77777777" w:rsidR="00D60186" w:rsidRPr="00225D4D" w:rsidRDefault="00D60186" w:rsidP="00225D4D">
      <w:pPr>
        <w:pStyle w:val="avsnitt-undertittel"/>
      </w:pPr>
      <w:r w:rsidRPr="00225D4D">
        <w:t>Vedtak 756, 12. juni 2024</w:t>
      </w:r>
    </w:p>
    <w:p w14:paraId="5CFDEA3B" w14:textId="77777777" w:rsidR="00D60186" w:rsidRPr="00225D4D" w:rsidRDefault="00D60186" w:rsidP="00225D4D">
      <w:pPr>
        <w:pStyle w:val="blokksit"/>
        <w:rPr>
          <w:rStyle w:val="kursiv"/>
        </w:rPr>
      </w:pPr>
      <w:r w:rsidRPr="00225D4D">
        <w:rPr>
          <w:rStyle w:val="kursiv"/>
        </w:rPr>
        <w:t>«Stortinget ber regjeringen komme tilbake til Stortinget med et forslag om å innføre obligatorisk registrering av eierskap i fast eiendom»</w:t>
      </w:r>
    </w:p>
    <w:p w14:paraId="140FD0CC" w14:textId="77777777" w:rsidR="00D60186" w:rsidRPr="00225D4D" w:rsidRDefault="00D60186" w:rsidP="00225D4D">
      <w:r w:rsidRPr="00225D4D">
        <w:t xml:space="preserve">Dokumenta som ligg til grunn for vedtaket er Meld. St. 15 (2023–2024) </w:t>
      </w:r>
      <w:r w:rsidRPr="00225D4D">
        <w:rPr>
          <w:rStyle w:val="kursiv"/>
        </w:rPr>
        <w:t>Styrket innsats for forebygging og bekjempelse av kriminalitet</w:t>
      </w:r>
      <w:r w:rsidRPr="00225D4D">
        <w:t xml:space="preserve"> og </w:t>
      </w:r>
      <w:proofErr w:type="spellStart"/>
      <w:r w:rsidRPr="00225D4D">
        <w:t>Innst</w:t>
      </w:r>
      <w:proofErr w:type="spellEnd"/>
      <w:r w:rsidRPr="00225D4D">
        <w:t>. 412 S (2023–2024).</w:t>
      </w:r>
    </w:p>
    <w:p w14:paraId="3DC9E326" w14:textId="77777777" w:rsidR="00D60186" w:rsidRPr="00225D4D" w:rsidRDefault="00D60186" w:rsidP="00225D4D">
      <w:r w:rsidRPr="00225D4D">
        <w:t xml:space="preserve">Regjeringa ser dette i </w:t>
      </w:r>
      <w:proofErr w:type="spellStart"/>
      <w:r w:rsidRPr="00225D4D">
        <w:t>samanheng</w:t>
      </w:r>
      <w:proofErr w:type="spellEnd"/>
      <w:r w:rsidRPr="00225D4D">
        <w:t xml:space="preserve"> med vedtak 35 nr. 35, 2. desember 2021, der </w:t>
      </w:r>
      <w:r w:rsidRPr="00225D4D">
        <w:rPr>
          <w:rStyle w:val="kursiv"/>
        </w:rPr>
        <w:t xml:space="preserve">«Stortinget ber regjeringen utrede bruken av </w:t>
      </w:r>
      <w:proofErr w:type="spellStart"/>
      <w:r w:rsidRPr="00225D4D">
        <w:rPr>
          <w:rStyle w:val="kursiv"/>
        </w:rPr>
        <w:t>blankoskjøter</w:t>
      </w:r>
      <w:proofErr w:type="spellEnd"/>
      <w:r w:rsidRPr="00225D4D">
        <w:rPr>
          <w:rStyle w:val="kursiv"/>
        </w:rPr>
        <w:t xml:space="preserve"> og plikt til tinglysing ved eiendomskjøp.»</w:t>
      </w:r>
      <w:r w:rsidRPr="00225D4D">
        <w:t xml:space="preserve">, og vedtak 757, 12. juni 2024 </w:t>
      </w:r>
      <w:r w:rsidRPr="00225D4D">
        <w:rPr>
          <w:rStyle w:val="kursiv"/>
        </w:rPr>
        <w:t xml:space="preserve">«Stortinget ber regjeringen komme tilbake til Stortinget med et forslag om å innføre et forbud mot </w:t>
      </w:r>
      <w:proofErr w:type="spellStart"/>
      <w:r w:rsidRPr="00225D4D">
        <w:rPr>
          <w:rStyle w:val="kursiv"/>
        </w:rPr>
        <w:t>blankoskjøter</w:t>
      </w:r>
      <w:proofErr w:type="spellEnd"/>
      <w:r w:rsidRPr="00225D4D">
        <w:rPr>
          <w:rStyle w:val="kursiv"/>
        </w:rPr>
        <w:t>, hvor det vurderes et unntak for utbyggingsprosjekt.»</w:t>
      </w:r>
      <w:r w:rsidRPr="00225D4D">
        <w:t xml:space="preserve">. </w:t>
      </w:r>
      <w:proofErr w:type="spellStart"/>
      <w:r w:rsidRPr="00225D4D">
        <w:t>Ein</w:t>
      </w:r>
      <w:proofErr w:type="spellEnd"/>
      <w:r w:rsidRPr="00225D4D">
        <w:t xml:space="preserve"> eventuell innføring av pliktig </w:t>
      </w:r>
      <w:proofErr w:type="spellStart"/>
      <w:r w:rsidRPr="00225D4D">
        <w:t>eigedomsregistrering</w:t>
      </w:r>
      <w:proofErr w:type="spellEnd"/>
      <w:r w:rsidRPr="00225D4D">
        <w:t xml:space="preserve"> og </w:t>
      </w:r>
      <w:proofErr w:type="spellStart"/>
      <w:r w:rsidRPr="00225D4D">
        <w:t>eit</w:t>
      </w:r>
      <w:proofErr w:type="spellEnd"/>
      <w:r w:rsidRPr="00225D4D">
        <w:t xml:space="preserve"> </w:t>
      </w:r>
      <w:proofErr w:type="spellStart"/>
      <w:r w:rsidRPr="00225D4D">
        <w:t>forbod</w:t>
      </w:r>
      <w:proofErr w:type="spellEnd"/>
      <w:r w:rsidRPr="00225D4D">
        <w:t xml:space="preserve"> mot </w:t>
      </w:r>
      <w:proofErr w:type="spellStart"/>
      <w:r w:rsidRPr="00225D4D">
        <w:t>blankoskøyter</w:t>
      </w:r>
      <w:proofErr w:type="spellEnd"/>
      <w:r w:rsidRPr="00225D4D">
        <w:t xml:space="preserve"> må òg </w:t>
      </w:r>
      <w:proofErr w:type="spellStart"/>
      <w:r w:rsidRPr="00225D4D">
        <w:t>sjåast</w:t>
      </w:r>
      <w:proofErr w:type="spellEnd"/>
      <w:r w:rsidRPr="00225D4D">
        <w:t xml:space="preserve"> i </w:t>
      </w:r>
      <w:proofErr w:type="spellStart"/>
      <w:r w:rsidRPr="00225D4D">
        <w:t>samanheng</w:t>
      </w:r>
      <w:proofErr w:type="spellEnd"/>
      <w:r w:rsidRPr="00225D4D">
        <w:t xml:space="preserve"> med tinglysinga og dokumentavgifta. For at ei slik regelendring skal virke, må den òg </w:t>
      </w:r>
      <w:proofErr w:type="spellStart"/>
      <w:r w:rsidRPr="00225D4D">
        <w:t>koordinerast</w:t>
      </w:r>
      <w:proofErr w:type="spellEnd"/>
      <w:r w:rsidRPr="00225D4D">
        <w:t xml:space="preserve"> med anna arbeid knytt til kven som </w:t>
      </w:r>
      <w:proofErr w:type="spellStart"/>
      <w:r w:rsidRPr="00225D4D">
        <w:t>eiger</w:t>
      </w:r>
      <w:proofErr w:type="spellEnd"/>
      <w:r w:rsidRPr="00225D4D">
        <w:t xml:space="preserve"> </w:t>
      </w:r>
      <w:proofErr w:type="spellStart"/>
      <w:r w:rsidRPr="00225D4D">
        <w:t>eigedom</w:t>
      </w:r>
      <w:proofErr w:type="spellEnd"/>
      <w:r w:rsidRPr="00225D4D">
        <w:t xml:space="preserve"> og selskap.</w:t>
      </w:r>
    </w:p>
    <w:p w14:paraId="051BF5C3" w14:textId="77777777" w:rsidR="00D60186" w:rsidRPr="00225D4D" w:rsidRDefault="00D60186" w:rsidP="00225D4D">
      <w:r w:rsidRPr="00225D4D">
        <w:t xml:space="preserve">Oppmodingsvedtakets </w:t>
      </w:r>
      <w:proofErr w:type="spellStart"/>
      <w:r w:rsidRPr="00225D4D">
        <w:t>underliggande</w:t>
      </w:r>
      <w:proofErr w:type="spellEnd"/>
      <w:r w:rsidRPr="00225D4D">
        <w:t xml:space="preserve"> problemstilling må </w:t>
      </w:r>
      <w:proofErr w:type="spellStart"/>
      <w:r w:rsidRPr="00225D4D">
        <w:t>sjåast</w:t>
      </w:r>
      <w:proofErr w:type="spellEnd"/>
      <w:r w:rsidRPr="00225D4D">
        <w:t xml:space="preserve"> i </w:t>
      </w:r>
      <w:proofErr w:type="spellStart"/>
      <w:r w:rsidRPr="00225D4D">
        <w:t>samanheng</w:t>
      </w:r>
      <w:proofErr w:type="spellEnd"/>
      <w:r w:rsidRPr="00225D4D">
        <w:t xml:space="preserve"> med den </w:t>
      </w:r>
      <w:proofErr w:type="spellStart"/>
      <w:r w:rsidRPr="00225D4D">
        <w:t>moglege</w:t>
      </w:r>
      <w:proofErr w:type="spellEnd"/>
      <w:r w:rsidRPr="00225D4D">
        <w:t xml:space="preserve"> bruken til styresmaktene av </w:t>
      </w:r>
      <w:proofErr w:type="spellStart"/>
      <w:r w:rsidRPr="00225D4D">
        <w:t>opplysningar</w:t>
      </w:r>
      <w:proofErr w:type="spellEnd"/>
      <w:r w:rsidRPr="00225D4D">
        <w:t xml:space="preserve"> om </w:t>
      </w:r>
      <w:proofErr w:type="spellStart"/>
      <w:r w:rsidRPr="00225D4D">
        <w:t>eigarskap</w:t>
      </w:r>
      <w:proofErr w:type="spellEnd"/>
      <w:r w:rsidRPr="00225D4D">
        <w:t xml:space="preserve"> til </w:t>
      </w:r>
      <w:proofErr w:type="spellStart"/>
      <w:r w:rsidRPr="00225D4D">
        <w:t>aksjar</w:t>
      </w:r>
      <w:proofErr w:type="spellEnd"/>
      <w:r w:rsidRPr="00225D4D">
        <w:t xml:space="preserve"> og fast </w:t>
      </w:r>
      <w:proofErr w:type="spellStart"/>
      <w:r w:rsidRPr="00225D4D">
        <w:t>eigedom</w:t>
      </w:r>
      <w:proofErr w:type="spellEnd"/>
      <w:r w:rsidRPr="00225D4D">
        <w:t xml:space="preserve">. Finansdepartementet, Nærings- og fiskeridepartementet og Kommunal- og </w:t>
      </w:r>
      <w:proofErr w:type="spellStart"/>
      <w:r w:rsidRPr="00225D4D">
        <w:t>distriktsdepartementet</w:t>
      </w:r>
      <w:proofErr w:type="spellEnd"/>
      <w:r w:rsidRPr="00225D4D">
        <w:t xml:space="preserve"> ga Skatteetaten, </w:t>
      </w:r>
      <w:proofErr w:type="spellStart"/>
      <w:r w:rsidRPr="00225D4D">
        <w:t>Brønnøysundregistera</w:t>
      </w:r>
      <w:proofErr w:type="spellEnd"/>
      <w:r w:rsidRPr="00225D4D">
        <w:t xml:space="preserve"> og Kartverket i oppdrag å kartlegge styresmaktene si </w:t>
      </w:r>
      <w:proofErr w:type="spellStart"/>
      <w:r w:rsidRPr="00225D4D">
        <w:t>moglege</w:t>
      </w:r>
      <w:proofErr w:type="spellEnd"/>
      <w:r w:rsidRPr="00225D4D">
        <w:t xml:space="preserve"> bruk av </w:t>
      </w:r>
      <w:proofErr w:type="spellStart"/>
      <w:r w:rsidRPr="00225D4D">
        <w:t>opplysningar</w:t>
      </w:r>
      <w:proofErr w:type="spellEnd"/>
      <w:r w:rsidRPr="00225D4D">
        <w:t xml:space="preserve"> om </w:t>
      </w:r>
      <w:proofErr w:type="spellStart"/>
      <w:r w:rsidRPr="00225D4D">
        <w:t>eigarskapsforhold</w:t>
      </w:r>
      <w:proofErr w:type="spellEnd"/>
      <w:r w:rsidRPr="00225D4D">
        <w:t xml:space="preserve"> til </w:t>
      </w:r>
      <w:proofErr w:type="spellStart"/>
      <w:r w:rsidRPr="00225D4D">
        <w:t>aksjar</w:t>
      </w:r>
      <w:proofErr w:type="spellEnd"/>
      <w:r w:rsidRPr="00225D4D">
        <w:t xml:space="preserve"> og fast </w:t>
      </w:r>
      <w:proofErr w:type="spellStart"/>
      <w:r w:rsidRPr="00225D4D">
        <w:t>eigedom</w:t>
      </w:r>
      <w:proofErr w:type="spellEnd"/>
      <w:r w:rsidRPr="00225D4D">
        <w:t>.</w:t>
      </w:r>
    </w:p>
    <w:p w14:paraId="1CAFDBDC" w14:textId="77777777" w:rsidR="00D60186" w:rsidRPr="00225D4D" w:rsidRDefault="00D60186" w:rsidP="00225D4D">
      <w:r w:rsidRPr="00225D4D">
        <w:t xml:space="preserve">Kartverket har som </w:t>
      </w:r>
      <w:proofErr w:type="spellStart"/>
      <w:r w:rsidRPr="00225D4D">
        <w:t>følgje</w:t>
      </w:r>
      <w:proofErr w:type="spellEnd"/>
      <w:r w:rsidRPr="00225D4D">
        <w:t xml:space="preserve"> av oppdraget </w:t>
      </w:r>
      <w:proofErr w:type="spellStart"/>
      <w:r w:rsidRPr="00225D4D">
        <w:t>frå</w:t>
      </w:r>
      <w:proofErr w:type="spellEnd"/>
      <w:r w:rsidRPr="00225D4D">
        <w:t xml:space="preserve"> departementa gjennomført </w:t>
      </w:r>
      <w:proofErr w:type="spellStart"/>
      <w:r w:rsidRPr="00225D4D">
        <w:t>ein</w:t>
      </w:r>
      <w:proofErr w:type="spellEnd"/>
      <w:r w:rsidRPr="00225D4D">
        <w:t xml:space="preserve"> </w:t>
      </w:r>
      <w:proofErr w:type="spellStart"/>
      <w:r w:rsidRPr="00225D4D">
        <w:t>konseptvalutredning</w:t>
      </w:r>
      <w:proofErr w:type="spellEnd"/>
      <w:r w:rsidRPr="00225D4D">
        <w:t xml:space="preserve"> om innsamling, lagring og deling av </w:t>
      </w:r>
      <w:proofErr w:type="spellStart"/>
      <w:r w:rsidRPr="00225D4D">
        <w:t>opplysningar</w:t>
      </w:r>
      <w:proofErr w:type="spellEnd"/>
      <w:r w:rsidRPr="00225D4D">
        <w:t xml:space="preserve"> for å sikre </w:t>
      </w:r>
      <w:proofErr w:type="spellStart"/>
      <w:r w:rsidRPr="00225D4D">
        <w:t>tilstrekkeleg</w:t>
      </w:r>
      <w:proofErr w:type="spellEnd"/>
      <w:r w:rsidRPr="00225D4D">
        <w:t xml:space="preserve"> oversikt over og kontroll med </w:t>
      </w:r>
      <w:proofErr w:type="spellStart"/>
      <w:r w:rsidRPr="00225D4D">
        <w:t>eigarskap</w:t>
      </w:r>
      <w:proofErr w:type="spellEnd"/>
      <w:r w:rsidRPr="00225D4D">
        <w:t xml:space="preserve"> til fast </w:t>
      </w:r>
      <w:proofErr w:type="spellStart"/>
      <w:r w:rsidRPr="00225D4D">
        <w:t>eigedom</w:t>
      </w:r>
      <w:proofErr w:type="spellEnd"/>
      <w:r w:rsidRPr="00225D4D">
        <w:t xml:space="preserve">. Oppdraget bygger blant anna på rapporten </w:t>
      </w:r>
      <w:r w:rsidRPr="00225D4D">
        <w:rPr>
          <w:rStyle w:val="kursiv"/>
        </w:rPr>
        <w:t>Kartlegging av myndighetenes bruk av opplysninger om eierskap av aksjer og fast eiendom</w:t>
      </w:r>
      <w:r w:rsidRPr="00225D4D">
        <w:t>, og er gjennomført i samarbeid med Skatteetaten.</w:t>
      </w:r>
    </w:p>
    <w:p w14:paraId="21924C3C" w14:textId="77777777" w:rsidR="00D60186" w:rsidRPr="00225D4D" w:rsidRDefault="00D60186" w:rsidP="00225D4D">
      <w:r w:rsidRPr="00225D4D">
        <w:t xml:space="preserve">Utgreiinga </w:t>
      </w:r>
      <w:proofErr w:type="spellStart"/>
      <w:r w:rsidRPr="00225D4D">
        <w:t>vart</w:t>
      </w:r>
      <w:proofErr w:type="spellEnd"/>
      <w:r w:rsidRPr="00225D4D">
        <w:t xml:space="preserve"> levert 16. juni 2025 og er lagt ut på </w:t>
      </w:r>
      <w:proofErr w:type="spellStart"/>
      <w:r w:rsidRPr="00225D4D">
        <w:t>høyring</w:t>
      </w:r>
      <w:proofErr w:type="spellEnd"/>
      <w:r w:rsidRPr="00225D4D">
        <w:t xml:space="preserve"> på Kartverket sine heimesider. Det skal </w:t>
      </w:r>
      <w:proofErr w:type="spellStart"/>
      <w:r w:rsidRPr="00225D4D">
        <w:t>no</w:t>
      </w:r>
      <w:proofErr w:type="spellEnd"/>
      <w:r w:rsidRPr="00225D4D">
        <w:t xml:space="preserve"> </w:t>
      </w:r>
      <w:proofErr w:type="spellStart"/>
      <w:r w:rsidRPr="00225D4D">
        <w:t>gjennomførast</w:t>
      </w:r>
      <w:proofErr w:type="spellEnd"/>
      <w:r w:rsidRPr="00225D4D">
        <w:t xml:space="preserve"> KS1 </w:t>
      </w:r>
      <w:proofErr w:type="spellStart"/>
      <w:r w:rsidRPr="00225D4D">
        <w:t>hausten</w:t>
      </w:r>
      <w:proofErr w:type="spellEnd"/>
      <w:r w:rsidRPr="00225D4D">
        <w:t xml:space="preserve"> 2025 med leveranse av sluttrapport </w:t>
      </w:r>
      <w:proofErr w:type="spellStart"/>
      <w:r w:rsidRPr="00225D4D">
        <w:t>innan</w:t>
      </w:r>
      <w:proofErr w:type="spellEnd"/>
      <w:r w:rsidRPr="00225D4D">
        <w:t xml:space="preserve"> utgangen av november. Det må deretter tas stilling til konsept.</w:t>
      </w:r>
    </w:p>
    <w:p w14:paraId="04834DF3"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eigna måte.</w:t>
      </w:r>
    </w:p>
    <w:p w14:paraId="3C5226F0" w14:textId="77777777" w:rsidR="00D60186" w:rsidRPr="00225D4D" w:rsidRDefault="00D60186" w:rsidP="00225D4D">
      <w:pPr>
        <w:pStyle w:val="avsnitt-tittel"/>
      </w:pPr>
      <w:proofErr w:type="spellStart"/>
      <w:r w:rsidRPr="00225D4D">
        <w:t>Forbod</w:t>
      </w:r>
      <w:proofErr w:type="spellEnd"/>
      <w:r w:rsidRPr="00225D4D">
        <w:t xml:space="preserve"> mot </w:t>
      </w:r>
      <w:proofErr w:type="spellStart"/>
      <w:r w:rsidRPr="00225D4D">
        <w:t>blankoskøyter</w:t>
      </w:r>
      <w:proofErr w:type="spellEnd"/>
    </w:p>
    <w:p w14:paraId="36AC9FDA" w14:textId="77777777" w:rsidR="00D60186" w:rsidRPr="00225D4D" w:rsidRDefault="00D60186" w:rsidP="00225D4D">
      <w:pPr>
        <w:pStyle w:val="avsnitt-undertittel"/>
      </w:pPr>
      <w:r w:rsidRPr="00225D4D">
        <w:t>Vedtak 757, 12. juni 2024</w:t>
      </w:r>
    </w:p>
    <w:p w14:paraId="177D3FCC" w14:textId="77777777" w:rsidR="00D60186" w:rsidRPr="00225D4D" w:rsidRDefault="00D60186" w:rsidP="00225D4D">
      <w:pPr>
        <w:pStyle w:val="blokksit"/>
        <w:rPr>
          <w:rStyle w:val="kursiv"/>
        </w:rPr>
      </w:pPr>
      <w:r w:rsidRPr="00225D4D">
        <w:rPr>
          <w:rStyle w:val="kursiv"/>
        </w:rPr>
        <w:t xml:space="preserve">«Stortinget ber regjeringen komme tilbake til Stortinget med et forslag om å innføre et forbud mot </w:t>
      </w:r>
      <w:proofErr w:type="spellStart"/>
      <w:r w:rsidRPr="00225D4D">
        <w:rPr>
          <w:rStyle w:val="kursiv"/>
        </w:rPr>
        <w:t>blankoskjøter</w:t>
      </w:r>
      <w:proofErr w:type="spellEnd"/>
      <w:r w:rsidRPr="00225D4D">
        <w:rPr>
          <w:rStyle w:val="kursiv"/>
        </w:rPr>
        <w:t>, hvor det vurderes et unntak for utbyggingsprosjekt.»</w:t>
      </w:r>
    </w:p>
    <w:p w14:paraId="3B05212B" w14:textId="77777777" w:rsidR="00D60186" w:rsidRPr="00225D4D" w:rsidRDefault="00D60186" w:rsidP="00225D4D">
      <w:r w:rsidRPr="00225D4D">
        <w:t xml:space="preserve">Dokumenta som ligg til grunn for vedtaket er Meld. St. 15 (2023–2024) </w:t>
      </w:r>
      <w:r w:rsidRPr="00225D4D">
        <w:rPr>
          <w:rStyle w:val="kursiv"/>
        </w:rPr>
        <w:t>Styrket innsats for forebygging og bekjempelse av kriminalitet</w:t>
      </w:r>
      <w:r w:rsidRPr="00225D4D">
        <w:t xml:space="preserve"> og </w:t>
      </w:r>
      <w:proofErr w:type="spellStart"/>
      <w:r w:rsidRPr="00225D4D">
        <w:t>Innst</w:t>
      </w:r>
      <w:proofErr w:type="spellEnd"/>
      <w:r w:rsidRPr="00225D4D">
        <w:t>. 412 S (2023–2024).</w:t>
      </w:r>
    </w:p>
    <w:p w14:paraId="4ED640F7" w14:textId="77777777" w:rsidR="00D60186" w:rsidRPr="00225D4D" w:rsidRDefault="00D60186" w:rsidP="00225D4D">
      <w:r w:rsidRPr="00225D4D">
        <w:t xml:space="preserve">Oppfølginga av vedtaket har nær </w:t>
      </w:r>
      <w:proofErr w:type="spellStart"/>
      <w:r w:rsidRPr="00225D4D">
        <w:t>samanheng</w:t>
      </w:r>
      <w:proofErr w:type="spellEnd"/>
      <w:r w:rsidRPr="00225D4D">
        <w:t xml:space="preserve"> med og vil bli </w:t>
      </w:r>
      <w:proofErr w:type="spellStart"/>
      <w:r w:rsidRPr="00225D4D">
        <w:t>følgt</w:t>
      </w:r>
      <w:proofErr w:type="spellEnd"/>
      <w:r w:rsidRPr="00225D4D">
        <w:t xml:space="preserve"> opp under vedtak 756, 12. juni 2024, og det vises til omtale under dette vedtaket. Departementet foreslår på denne bakgrunn at rapporteringa blir avslutta.</w:t>
      </w:r>
    </w:p>
    <w:p w14:paraId="0C87357A" w14:textId="77777777" w:rsidR="00D60186" w:rsidRPr="00225D4D" w:rsidRDefault="00D60186" w:rsidP="00225D4D">
      <w:pPr>
        <w:pStyle w:val="avsnitt-tittel"/>
      </w:pPr>
      <w:r w:rsidRPr="00225D4D">
        <w:t>Styringsverktøy for områder med villrein</w:t>
      </w:r>
    </w:p>
    <w:p w14:paraId="3A1B3275" w14:textId="77777777" w:rsidR="00D60186" w:rsidRPr="00225D4D" w:rsidRDefault="00D60186" w:rsidP="00225D4D">
      <w:pPr>
        <w:pStyle w:val="avsnitt-undertittel"/>
      </w:pPr>
      <w:r w:rsidRPr="00225D4D">
        <w:t>Vedtak 784, 13. juni 2024</w:t>
      </w:r>
    </w:p>
    <w:p w14:paraId="406B81A1" w14:textId="77777777" w:rsidR="00D60186" w:rsidRPr="00225D4D" w:rsidRDefault="00D60186" w:rsidP="00225D4D">
      <w:pPr>
        <w:pStyle w:val="blokksit"/>
        <w:rPr>
          <w:rStyle w:val="kursiv"/>
        </w:rPr>
      </w:pPr>
      <w:r w:rsidRPr="00225D4D">
        <w:rPr>
          <w:rStyle w:val="kursiv"/>
        </w:rPr>
        <w:t xml:space="preserve">«Stortinget ber regjeringa på eigna måte </w:t>
      </w:r>
      <w:proofErr w:type="spellStart"/>
      <w:r w:rsidRPr="00225D4D">
        <w:rPr>
          <w:rStyle w:val="kursiv"/>
        </w:rPr>
        <w:t>sørgje</w:t>
      </w:r>
      <w:proofErr w:type="spellEnd"/>
      <w:r w:rsidRPr="00225D4D">
        <w:rPr>
          <w:rStyle w:val="kursiv"/>
        </w:rPr>
        <w:t xml:space="preserve"> for at alle villreinområda får styringsverktøy </w:t>
      </w:r>
      <w:proofErr w:type="spellStart"/>
      <w:r w:rsidRPr="00225D4D">
        <w:rPr>
          <w:rStyle w:val="kursiv"/>
        </w:rPr>
        <w:t>tilsvarande</w:t>
      </w:r>
      <w:proofErr w:type="spellEnd"/>
      <w:r w:rsidRPr="00225D4D">
        <w:rPr>
          <w:rStyle w:val="kursiv"/>
        </w:rPr>
        <w:t xml:space="preserve"> </w:t>
      </w:r>
      <w:proofErr w:type="spellStart"/>
      <w:r w:rsidRPr="00225D4D">
        <w:rPr>
          <w:rStyle w:val="kursiv"/>
        </w:rPr>
        <w:t>dei</w:t>
      </w:r>
      <w:proofErr w:type="spellEnd"/>
      <w:r w:rsidRPr="00225D4D">
        <w:rPr>
          <w:rStyle w:val="kursiv"/>
        </w:rPr>
        <w:t xml:space="preserve"> regionale </w:t>
      </w:r>
      <w:proofErr w:type="spellStart"/>
      <w:r w:rsidRPr="00225D4D">
        <w:rPr>
          <w:rStyle w:val="kursiv"/>
        </w:rPr>
        <w:t>planane</w:t>
      </w:r>
      <w:proofErr w:type="spellEnd"/>
      <w:r w:rsidRPr="00225D4D">
        <w:rPr>
          <w:rStyle w:val="kursiv"/>
        </w:rPr>
        <w:t xml:space="preserve">, enten gjennom kommunale </w:t>
      </w:r>
      <w:proofErr w:type="spellStart"/>
      <w:r w:rsidRPr="00225D4D">
        <w:rPr>
          <w:rStyle w:val="kursiv"/>
        </w:rPr>
        <w:t>arealplanar</w:t>
      </w:r>
      <w:proofErr w:type="spellEnd"/>
      <w:r w:rsidRPr="00225D4D">
        <w:rPr>
          <w:rStyle w:val="kursiv"/>
        </w:rPr>
        <w:t xml:space="preserve">, regionale planar eller på </w:t>
      </w:r>
      <w:proofErr w:type="spellStart"/>
      <w:r w:rsidRPr="00225D4D">
        <w:rPr>
          <w:rStyle w:val="kursiv"/>
        </w:rPr>
        <w:t>annan</w:t>
      </w:r>
      <w:proofErr w:type="spellEnd"/>
      <w:r w:rsidRPr="00225D4D">
        <w:rPr>
          <w:rStyle w:val="kursiv"/>
        </w:rPr>
        <w:t xml:space="preserve"> eigna måte inkludere eigna føresegner for villreinfjellet i </w:t>
      </w:r>
      <w:proofErr w:type="spellStart"/>
      <w:r w:rsidRPr="00225D4D">
        <w:rPr>
          <w:rStyle w:val="kursiv"/>
        </w:rPr>
        <w:t>eksisterande</w:t>
      </w:r>
      <w:proofErr w:type="spellEnd"/>
      <w:r w:rsidRPr="00225D4D">
        <w:rPr>
          <w:rStyle w:val="kursiv"/>
        </w:rPr>
        <w:t xml:space="preserve"> plansystem som </w:t>
      </w:r>
      <w:proofErr w:type="spellStart"/>
      <w:r w:rsidRPr="00225D4D">
        <w:rPr>
          <w:rStyle w:val="kursiv"/>
        </w:rPr>
        <w:t>kommunane</w:t>
      </w:r>
      <w:proofErr w:type="spellEnd"/>
      <w:r w:rsidRPr="00225D4D">
        <w:rPr>
          <w:rStyle w:val="kursiv"/>
        </w:rPr>
        <w:t xml:space="preserve"> rår over.»</w:t>
      </w:r>
    </w:p>
    <w:p w14:paraId="7758D022" w14:textId="77777777" w:rsidR="00D60186" w:rsidRPr="00225D4D" w:rsidRDefault="00D60186" w:rsidP="00225D4D">
      <w:r w:rsidRPr="00225D4D">
        <w:t xml:space="preserve">Dokumenta som ligg til grunn for vedtaket er Meld. St. 18 (2023–2024) </w:t>
      </w:r>
      <w:proofErr w:type="spellStart"/>
      <w:r w:rsidRPr="00225D4D">
        <w:rPr>
          <w:rStyle w:val="kursiv"/>
        </w:rPr>
        <w:t>Ein</w:t>
      </w:r>
      <w:proofErr w:type="spellEnd"/>
      <w:r w:rsidRPr="00225D4D">
        <w:rPr>
          <w:rStyle w:val="kursiv"/>
        </w:rPr>
        <w:t xml:space="preserve"> </w:t>
      </w:r>
      <w:proofErr w:type="spellStart"/>
      <w:r w:rsidRPr="00225D4D">
        <w:rPr>
          <w:rStyle w:val="kursiv"/>
        </w:rPr>
        <w:t>forbetra</w:t>
      </w:r>
      <w:proofErr w:type="spellEnd"/>
      <w:r w:rsidRPr="00225D4D">
        <w:rPr>
          <w:rStyle w:val="kursiv"/>
        </w:rPr>
        <w:t xml:space="preserve"> tilstand for villrein</w:t>
      </w:r>
      <w:r w:rsidRPr="00225D4D">
        <w:t xml:space="preserve"> og </w:t>
      </w:r>
      <w:proofErr w:type="spellStart"/>
      <w:r w:rsidRPr="00225D4D">
        <w:t>Innst</w:t>
      </w:r>
      <w:proofErr w:type="spellEnd"/>
      <w:r w:rsidRPr="00225D4D">
        <w:t>. 374 S (2023–2024).</w:t>
      </w:r>
    </w:p>
    <w:p w14:paraId="25358F9B" w14:textId="77777777" w:rsidR="00D60186" w:rsidRPr="00225D4D" w:rsidRDefault="00D60186" w:rsidP="00225D4D">
      <w:r w:rsidRPr="00225D4D">
        <w:t xml:space="preserve">Oppfølging av vedtaket vil </w:t>
      </w:r>
      <w:proofErr w:type="spellStart"/>
      <w:r w:rsidRPr="00225D4D">
        <w:t>sjåast</w:t>
      </w:r>
      <w:proofErr w:type="spellEnd"/>
      <w:r w:rsidRPr="00225D4D">
        <w:t xml:space="preserve"> i </w:t>
      </w:r>
      <w:proofErr w:type="spellStart"/>
      <w:r w:rsidRPr="00225D4D">
        <w:t>samanheng</w:t>
      </w:r>
      <w:proofErr w:type="spellEnd"/>
      <w:r w:rsidRPr="00225D4D">
        <w:t xml:space="preserve"> med </w:t>
      </w:r>
      <w:proofErr w:type="spellStart"/>
      <w:r w:rsidRPr="00225D4D">
        <w:t>dei</w:t>
      </w:r>
      <w:proofErr w:type="spellEnd"/>
      <w:r w:rsidRPr="00225D4D">
        <w:t xml:space="preserve"> andre oppmodingsvedtaka (783, 785, 786) knytt til stortingsmeldinga om villrein, og som Klima- og miljødepartementet har ansvar for.</w:t>
      </w:r>
    </w:p>
    <w:p w14:paraId="12D2EC7A" w14:textId="77777777" w:rsidR="00D60186" w:rsidRPr="00225D4D" w:rsidRDefault="00D60186" w:rsidP="00225D4D">
      <w:r w:rsidRPr="00225D4D">
        <w:t xml:space="preserve">Klima- og miljødepartementet og Kommunal- og </w:t>
      </w:r>
      <w:proofErr w:type="spellStart"/>
      <w:r w:rsidRPr="00225D4D">
        <w:t>distriktsdepartementet</w:t>
      </w:r>
      <w:proofErr w:type="spellEnd"/>
      <w:r w:rsidRPr="00225D4D">
        <w:t xml:space="preserve"> følgjer opp </w:t>
      </w:r>
      <w:proofErr w:type="spellStart"/>
      <w:r w:rsidRPr="00225D4D">
        <w:t>oppmodningsvedtaket</w:t>
      </w:r>
      <w:proofErr w:type="spellEnd"/>
      <w:r w:rsidRPr="00225D4D">
        <w:t xml:space="preserve"> </w:t>
      </w:r>
      <w:proofErr w:type="spellStart"/>
      <w:r w:rsidRPr="00225D4D">
        <w:t>saman</w:t>
      </w:r>
      <w:proofErr w:type="spellEnd"/>
      <w:r w:rsidRPr="00225D4D">
        <w:t xml:space="preserve">. </w:t>
      </w:r>
      <w:proofErr w:type="spellStart"/>
      <w:r w:rsidRPr="00225D4D">
        <w:t>Eit</w:t>
      </w:r>
      <w:proofErr w:type="spellEnd"/>
      <w:r w:rsidRPr="00225D4D">
        <w:t xml:space="preserve"> forprosjekt, utført av Norsk villreinsenter, er gjennomført, der planstatusen i alle </w:t>
      </w:r>
      <w:proofErr w:type="spellStart"/>
      <w:r w:rsidRPr="00225D4D">
        <w:t>dei</w:t>
      </w:r>
      <w:proofErr w:type="spellEnd"/>
      <w:r w:rsidRPr="00225D4D">
        <w:t xml:space="preserve"> 24 villreinområda er kartlagt. Det er òg sett på korleis leveområda til villreinen blir forvalta gjennom </w:t>
      </w:r>
      <w:proofErr w:type="spellStart"/>
      <w:r w:rsidRPr="00225D4D">
        <w:t>arealplanar</w:t>
      </w:r>
      <w:proofErr w:type="spellEnd"/>
      <w:r w:rsidRPr="00225D4D">
        <w:t xml:space="preserve"> etter plan- og bygningslova, og verneområde etter </w:t>
      </w:r>
      <w:proofErr w:type="spellStart"/>
      <w:r w:rsidRPr="00225D4D">
        <w:t>naturmangfaldlova</w:t>
      </w:r>
      <w:proofErr w:type="spellEnd"/>
      <w:r w:rsidRPr="00225D4D">
        <w:t xml:space="preserve">. Departementa samarbeider </w:t>
      </w:r>
      <w:proofErr w:type="spellStart"/>
      <w:r w:rsidRPr="00225D4D">
        <w:t>vidare</w:t>
      </w:r>
      <w:proofErr w:type="spellEnd"/>
      <w:r w:rsidRPr="00225D4D">
        <w:t xml:space="preserve"> om ei </w:t>
      </w:r>
      <w:proofErr w:type="spellStart"/>
      <w:r w:rsidRPr="00225D4D">
        <w:t>meir</w:t>
      </w:r>
      <w:proofErr w:type="spellEnd"/>
      <w:r w:rsidRPr="00225D4D">
        <w:t xml:space="preserve"> grundig </w:t>
      </w:r>
      <w:proofErr w:type="spellStart"/>
      <w:r w:rsidRPr="00225D4D">
        <w:t>hovudevaluering</w:t>
      </w:r>
      <w:proofErr w:type="spellEnd"/>
      <w:r w:rsidRPr="00225D4D">
        <w:t xml:space="preserve"> som skal gi </w:t>
      </w:r>
      <w:proofErr w:type="spellStart"/>
      <w:r w:rsidRPr="00225D4D">
        <w:t>eit</w:t>
      </w:r>
      <w:proofErr w:type="spellEnd"/>
      <w:r w:rsidRPr="00225D4D">
        <w:t xml:space="preserve"> </w:t>
      </w:r>
      <w:proofErr w:type="spellStart"/>
      <w:r w:rsidRPr="00225D4D">
        <w:t>fagleg</w:t>
      </w:r>
      <w:proofErr w:type="spellEnd"/>
      <w:r w:rsidRPr="00225D4D">
        <w:t xml:space="preserve"> grunnlag for å vurdere kva for </w:t>
      </w:r>
      <w:proofErr w:type="spellStart"/>
      <w:r w:rsidRPr="00225D4D">
        <w:t>typar</w:t>
      </w:r>
      <w:proofErr w:type="spellEnd"/>
      <w:r w:rsidRPr="00225D4D">
        <w:t xml:space="preserve"> styringsverktøy som er mest </w:t>
      </w:r>
      <w:proofErr w:type="spellStart"/>
      <w:r w:rsidRPr="00225D4D">
        <w:t>føremålstenlege</w:t>
      </w:r>
      <w:proofErr w:type="spellEnd"/>
      <w:r w:rsidRPr="00225D4D">
        <w:t xml:space="preserve">, </w:t>
      </w:r>
      <w:proofErr w:type="spellStart"/>
      <w:r w:rsidRPr="00225D4D">
        <w:t>særleg</w:t>
      </w:r>
      <w:proofErr w:type="spellEnd"/>
      <w:r w:rsidRPr="00225D4D">
        <w:t xml:space="preserve"> med tanke på forvaltinga av </w:t>
      </w:r>
      <w:proofErr w:type="spellStart"/>
      <w:r w:rsidRPr="00225D4D">
        <w:t>dei</w:t>
      </w:r>
      <w:proofErr w:type="spellEnd"/>
      <w:r w:rsidRPr="00225D4D">
        <w:t xml:space="preserve"> villreinområda som i dag </w:t>
      </w:r>
      <w:proofErr w:type="spellStart"/>
      <w:r w:rsidRPr="00225D4D">
        <w:t>ikkje</w:t>
      </w:r>
      <w:proofErr w:type="spellEnd"/>
      <w:r w:rsidRPr="00225D4D">
        <w:t xml:space="preserve"> har regionale planar. Behovet for å revidere </w:t>
      </w:r>
      <w:proofErr w:type="spellStart"/>
      <w:r w:rsidRPr="00225D4D">
        <w:t>eksisterande</w:t>
      </w:r>
      <w:proofErr w:type="spellEnd"/>
      <w:r w:rsidRPr="00225D4D">
        <w:t xml:space="preserve"> planar blir òg vurdert i samband med evalueringa.</w:t>
      </w:r>
    </w:p>
    <w:p w14:paraId="40C6BC84" w14:textId="77777777" w:rsidR="00D60186" w:rsidRPr="00225D4D" w:rsidRDefault="00D60186" w:rsidP="00225D4D">
      <w:r w:rsidRPr="00225D4D">
        <w:t>Departementet foreslår på denne bakgrunn at rapporteringa blir avslutta.</w:t>
      </w:r>
    </w:p>
    <w:p w14:paraId="233AF6A3" w14:textId="77777777" w:rsidR="00D60186" w:rsidRPr="00225D4D" w:rsidRDefault="00D60186" w:rsidP="00225D4D">
      <w:pPr>
        <w:pStyle w:val="avsnitt-tittel"/>
      </w:pPr>
      <w:r w:rsidRPr="00225D4D">
        <w:t xml:space="preserve">Gjeninnføre </w:t>
      </w:r>
      <w:proofErr w:type="spellStart"/>
      <w:r w:rsidRPr="00225D4D">
        <w:t>tilskot</w:t>
      </w:r>
      <w:proofErr w:type="spellEnd"/>
      <w:r w:rsidRPr="00225D4D">
        <w:t xml:space="preserve"> til </w:t>
      </w:r>
      <w:proofErr w:type="spellStart"/>
      <w:r w:rsidRPr="00225D4D">
        <w:t>utleigebustader</w:t>
      </w:r>
      <w:proofErr w:type="spellEnd"/>
    </w:p>
    <w:p w14:paraId="28148729" w14:textId="77777777" w:rsidR="00D60186" w:rsidRPr="00225D4D" w:rsidRDefault="00D60186" w:rsidP="00225D4D">
      <w:pPr>
        <w:pStyle w:val="avsnitt-undertittel"/>
      </w:pPr>
      <w:r w:rsidRPr="00225D4D">
        <w:t>Vedtak 797, 14. juni 2024</w:t>
      </w:r>
    </w:p>
    <w:p w14:paraId="3691EF5C" w14:textId="77777777" w:rsidR="00D60186" w:rsidRPr="00225D4D" w:rsidRDefault="00D60186" w:rsidP="00225D4D">
      <w:pPr>
        <w:pStyle w:val="blokksit"/>
        <w:rPr>
          <w:rStyle w:val="kursiv"/>
        </w:rPr>
      </w:pPr>
      <w:r w:rsidRPr="00225D4D">
        <w:rPr>
          <w:rStyle w:val="kursiv"/>
        </w:rPr>
        <w:t>«Stortinget ber regjeringen gjeninnføre Husbankens tilskuddsordning for utleieboliger og tilhørende virkemidler for å gjøre det enklere å få tilgang på boliger i bosettingsarbeidet.»</w:t>
      </w:r>
    </w:p>
    <w:p w14:paraId="1798707F" w14:textId="77777777" w:rsidR="00D60186" w:rsidRPr="00225D4D" w:rsidRDefault="00D60186" w:rsidP="00225D4D">
      <w:r w:rsidRPr="00225D4D">
        <w:t xml:space="preserve">Dokumenta som ligg til grunn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Abid Raja, André N. Skjelstad, Guri Melby, Ingvild </w:t>
      </w:r>
      <w:proofErr w:type="spellStart"/>
      <w:r w:rsidRPr="00225D4D">
        <w:t>Wetrhus</w:t>
      </w:r>
      <w:proofErr w:type="spellEnd"/>
      <w:r w:rsidRPr="00225D4D">
        <w:t xml:space="preserve"> </w:t>
      </w:r>
      <w:proofErr w:type="spellStart"/>
      <w:r w:rsidRPr="00225D4D">
        <w:t>Thorsvik</w:t>
      </w:r>
      <w:proofErr w:type="spellEnd"/>
      <w:r w:rsidRPr="00225D4D">
        <w:t xml:space="preserve"> og Ola Elvestuen om </w:t>
      </w:r>
      <w:proofErr w:type="spellStart"/>
      <w:r w:rsidRPr="00225D4D">
        <w:t>ein</w:t>
      </w:r>
      <w:proofErr w:type="spellEnd"/>
      <w:r w:rsidRPr="00225D4D">
        <w:t xml:space="preserve"> tiltakspakke for å ruste norske </w:t>
      </w:r>
      <w:proofErr w:type="spellStart"/>
      <w:r w:rsidRPr="00225D4D">
        <w:t>kommunar</w:t>
      </w:r>
      <w:proofErr w:type="spellEnd"/>
      <w:r w:rsidRPr="00225D4D">
        <w:t xml:space="preserve"> i integreringsarbeidet, jf. Dokument 8:103 S og </w:t>
      </w:r>
      <w:proofErr w:type="spellStart"/>
      <w:r w:rsidRPr="00225D4D">
        <w:t>Innst</w:t>
      </w:r>
      <w:proofErr w:type="spellEnd"/>
      <w:r w:rsidRPr="00225D4D">
        <w:t>. 382 S (2023–2024).</w:t>
      </w:r>
    </w:p>
    <w:p w14:paraId="4E2063F8" w14:textId="77777777" w:rsidR="00D60186" w:rsidRPr="00225D4D" w:rsidRDefault="00D60186" w:rsidP="00225D4D">
      <w:r w:rsidRPr="00225D4D">
        <w:t xml:space="preserve">I </w:t>
      </w:r>
      <w:proofErr w:type="spellStart"/>
      <w:r w:rsidRPr="00225D4D">
        <w:t>Innst</w:t>
      </w:r>
      <w:proofErr w:type="spellEnd"/>
      <w:r w:rsidRPr="00225D4D">
        <w:t xml:space="preserve">. 216 S (2024–2025) </w:t>
      </w:r>
      <w:proofErr w:type="spellStart"/>
      <w:r w:rsidRPr="00225D4D">
        <w:t>merkar</w:t>
      </w:r>
      <w:proofErr w:type="spellEnd"/>
      <w:r w:rsidRPr="00225D4D">
        <w:t xml:space="preserve"> </w:t>
      </w:r>
      <w:proofErr w:type="spellStart"/>
      <w:r w:rsidRPr="00225D4D">
        <w:t>fleirtalet</w:t>
      </w:r>
      <w:proofErr w:type="spellEnd"/>
      <w:r w:rsidRPr="00225D4D">
        <w:t xml:space="preserve"> i kontroll- og konstitusjonskomiteen seg at </w:t>
      </w:r>
      <w:proofErr w:type="spellStart"/>
      <w:r w:rsidRPr="00225D4D">
        <w:t>oppmodningsvedtaket</w:t>
      </w:r>
      <w:proofErr w:type="spellEnd"/>
      <w:r w:rsidRPr="00225D4D">
        <w:t xml:space="preserve"> </w:t>
      </w:r>
      <w:proofErr w:type="spellStart"/>
      <w:r w:rsidRPr="00225D4D">
        <w:t>ikkje</w:t>
      </w:r>
      <w:proofErr w:type="spellEnd"/>
      <w:r w:rsidRPr="00225D4D">
        <w:t xml:space="preserve"> vart </w:t>
      </w:r>
      <w:proofErr w:type="spellStart"/>
      <w:r w:rsidRPr="00225D4D">
        <w:t>følgt</w:t>
      </w:r>
      <w:proofErr w:type="spellEnd"/>
      <w:r w:rsidRPr="00225D4D">
        <w:t xml:space="preserve"> opp i statsbudsjettet for 2025, og meiner derfor rapporteringa til Stortinget </w:t>
      </w:r>
      <w:proofErr w:type="spellStart"/>
      <w:r w:rsidRPr="00225D4D">
        <w:t>ikkje</w:t>
      </w:r>
      <w:proofErr w:type="spellEnd"/>
      <w:r w:rsidRPr="00225D4D">
        <w:t xml:space="preserve"> kan </w:t>
      </w:r>
      <w:proofErr w:type="spellStart"/>
      <w:r w:rsidRPr="00225D4D">
        <w:t>avsluttast</w:t>
      </w:r>
      <w:proofErr w:type="spellEnd"/>
      <w:r w:rsidRPr="00225D4D">
        <w:t>.</w:t>
      </w:r>
    </w:p>
    <w:p w14:paraId="4BA804E6" w14:textId="77777777" w:rsidR="00D60186" w:rsidRPr="00225D4D" w:rsidRDefault="00D60186" w:rsidP="00225D4D">
      <w:r w:rsidRPr="00225D4D">
        <w:t xml:space="preserve">På generelt grunnlag meiner regjeringa at </w:t>
      </w:r>
      <w:proofErr w:type="spellStart"/>
      <w:r w:rsidRPr="00225D4D">
        <w:t>offentlege</w:t>
      </w:r>
      <w:proofErr w:type="spellEnd"/>
      <w:r w:rsidRPr="00225D4D">
        <w:t xml:space="preserve"> </w:t>
      </w:r>
      <w:proofErr w:type="spellStart"/>
      <w:r w:rsidRPr="00225D4D">
        <w:t>tilskot</w:t>
      </w:r>
      <w:proofErr w:type="spellEnd"/>
      <w:r w:rsidRPr="00225D4D">
        <w:t xml:space="preserve"> </w:t>
      </w:r>
      <w:proofErr w:type="spellStart"/>
      <w:r w:rsidRPr="00225D4D">
        <w:t>vanskeleg</w:t>
      </w:r>
      <w:proofErr w:type="spellEnd"/>
      <w:r w:rsidRPr="00225D4D">
        <w:t xml:space="preserve"> kan løyse </w:t>
      </w:r>
      <w:proofErr w:type="spellStart"/>
      <w:r w:rsidRPr="00225D4D">
        <w:t>utfordringane</w:t>
      </w:r>
      <w:proofErr w:type="spellEnd"/>
      <w:r w:rsidRPr="00225D4D">
        <w:t xml:space="preserve"> med høge bustad- og </w:t>
      </w:r>
      <w:proofErr w:type="spellStart"/>
      <w:r w:rsidRPr="00225D4D">
        <w:t>leigeprisar</w:t>
      </w:r>
      <w:proofErr w:type="spellEnd"/>
      <w:r w:rsidRPr="00225D4D">
        <w:t xml:space="preserve"> og </w:t>
      </w:r>
      <w:proofErr w:type="spellStart"/>
      <w:r w:rsidRPr="00225D4D">
        <w:t>låg</w:t>
      </w:r>
      <w:proofErr w:type="spellEnd"/>
      <w:r w:rsidRPr="00225D4D">
        <w:t xml:space="preserve"> bustadbygging. Tiltak retta mot </w:t>
      </w:r>
      <w:proofErr w:type="spellStart"/>
      <w:r w:rsidRPr="00225D4D">
        <w:t>tilbodssida</w:t>
      </w:r>
      <w:proofErr w:type="spellEnd"/>
      <w:r w:rsidRPr="00225D4D">
        <w:t xml:space="preserve"> av </w:t>
      </w:r>
      <w:proofErr w:type="spellStart"/>
      <w:r w:rsidRPr="00225D4D">
        <w:t>marknaden</w:t>
      </w:r>
      <w:proofErr w:type="spellEnd"/>
      <w:r w:rsidRPr="00225D4D">
        <w:t xml:space="preserve"> er då </w:t>
      </w:r>
      <w:proofErr w:type="spellStart"/>
      <w:r w:rsidRPr="00225D4D">
        <w:t>meir</w:t>
      </w:r>
      <w:proofErr w:type="spellEnd"/>
      <w:r w:rsidRPr="00225D4D">
        <w:t xml:space="preserve"> effektivt. </w:t>
      </w:r>
      <w:proofErr w:type="spellStart"/>
      <w:r w:rsidRPr="00225D4D">
        <w:t>Vidare</w:t>
      </w:r>
      <w:proofErr w:type="spellEnd"/>
      <w:r w:rsidRPr="00225D4D">
        <w:t xml:space="preserve"> er det </w:t>
      </w:r>
      <w:proofErr w:type="spellStart"/>
      <w:r w:rsidRPr="00225D4D">
        <w:t>integreringstilskotet</w:t>
      </w:r>
      <w:proofErr w:type="spellEnd"/>
      <w:r w:rsidRPr="00225D4D">
        <w:t xml:space="preserve"> som skal dekke utgiftene </w:t>
      </w:r>
      <w:proofErr w:type="spellStart"/>
      <w:r w:rsidRPr="00225D4D">
        <w:t>kommunane</w:t>
      </w:r>
      <w:proofErr w:type="spellEnd"/>
      <w:r w:rsidRPr="00225D4D">
        <w:t xml:space="preserve"> har til busetting og integrering av </w:t>
      </w:r>
      <w:proofErr w:type="spellStart"/>
      <w:r w:rsidRPr="00225D4D">
        <w:t>flyktningar</w:t>
      </w:r>
      <w:proofErr w:type="spellEnd"/>
      <w:r w:rsidRPr="00225D4D">
        <w:t xml:space="preserve">, slik at </w:t>
      </w:r>
      <w:proofErr w:type="spellStart"/>
      <w:r w:rsidRPr="00225D4D">
        <w:t>flyktningane</w:t>
      </w:r>
      <w:proofErr w:type="spellEnd"/>
      <w:r w:rsidRPr="00225D4D">
        <w:t xml:space="preserve"> kan forsørge seg sjølve og ta del i samfunnet.</w:t>
      </w:r>
    </w:p>
    <w:p w14:paraId="07D0C34D" w14:textId="77777777" w:rsidR="00D60186" w:rsidRPr="00225D4D" w:rsidRDefault="00D60186" w:rsidP="00225D4D">
      <w:r w:rsidRPr="00225D4D">
        <w:t>Departementet foreslår på denne bakgrunn at rapporteringa blir avslutta.</w:t>
      </w:r>
    </w:p>
    <w:p w14:paraId="6EE108FB" w14:textId="77777777" w:rsidR="00D60186" w:rsidRPr="00225D4D" w:rsidRDefault="00D60186" w:rsidP="00225D4D">
      <w:pPr>
        <w:pStyle w:val="avsnitt-tittel"/>
      </w:pPr>
      <w:r w:rsidRPr="00225D4D">
        <w:t xml:space="preserve">Evaluering av nytt inntektssystem for </w:t>
      </w:r>
      <w:proofErr w:type="spellStart"/>
      <w:r w:rsidRPr="00225D4D">
        <w:t>kommunane</w:t>
      </w:r>
      <w:proofErr w:type="spellEnd"/>
    </w:p>
    <w:p w14:paraId="4A22853C" w14:textId="77777777" w:rsidR="00D60186" w:rsidRPr="00225D4D" w:rsidRDefault="00D60186" w:rsidP="00225D4D">
      <w:pPr>
        <w:pStyle w:val="avsnitt-undertittel"/>
      </w:pPr>
      <w:r w:rsidRPr="00225D4D">
        <w:t>Vedtak 813, 19. juni 2024</w:t>
      </w:r>
    </w:p>
    <w:p w14:paraId="295E38F9" w14:textId="77777777" w:rsidR="00D60186" w:rsidRPr="00225D4D" w:rsidRDefault="00D60186" w:rsidP="00225D4D">
      <w:pPr>
        <w:pStyle w:val="blokksit"/>
        <w:rPr>
          <w:rStyle w:val="kursiv"/>
        </w:rPr>
      </w:pPr>
      <w:r w:rsidRPr="00225D4D">
        <w:rPr>
          <w:rStyle w:val="kursiv"/>
        </w:rPr>
        <w:t>«Stortinget ber regjeringen evaluere det nye inntektssystemet for kommunene i løpet av 2029.»</w:t>
      </w:r>
    </w:p>
    <w:p w14:paraId="1EBC6AB2"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102 S (2023–2024) </w:t>
      </w:r>
      <w:r w:rsidRPr="00225D4D">
        <w:rPr>
          <w:rStyle w:val="kursiv"/>
        </w:rPr>
        <w:t xml:space="preserve">Kommuneproposisjonen 2025 </w:t>
      </w:r>
      <w:r w:rsidRPr="00225D4D">
        <w:t xml:space="preserve">og </w:t>
      </w:r>
      <w:proofErr w:type="spellStart"/>
      <w:r w:rsidRPr="00225D4D">
        <w:t>Innst</w:t>
      </w:r>
      <w:proofErr w:type="spellEnd"/>
      <w:r w:rsidRPr="00225D4D">
        <w:t>. 440 S (2023–2024).</w:t>
      </w:r>
    </w:p>
    <w:p w14:paraId="3D55F805" w14:textId="77777777" w:rsidR="00D60186" w:rsidRPr="00225D4D" w:rsidRDefault="00D60186" w:rsidP="00225D4D">
      <w:r w:rsidRPr="00225D4D">
        <w:t xml:space="preserve">Departementet tar sikte på å </w:t>
      </w:r>
      <w:proofErr w:type="spellStart"/>
      <w:r w:rsidRPr="00225D4D">
        <w:t>kome</w:t>
      </w:r>
      <w:proofErr w:type="spellEnd"/>
      <w:r w:rsidRPr="00225D4D">
        <w:t xml:space="preserve"> tilbake til saka </w:t>
      </w:r>
      <w:proofErr w:type="spellStart"/>
      <w:r w:rsidRPr="00225D4D">
        <w:t>seinast</w:t>
      </w:r>
      <w:proofErr w:type="spellEnd"/>
      <w:r w:rsidRPr="00225D4D">
        <w:t xml:space="preserve"> i samband med kommuneproposisjonen for 2030, som skal </w:t>
      </w:r>
      <w:proofErr w:type="spellStart"/>
      <w:r w:rsidRPr="00225D4D">
        <w:t>leggast</w:t>
      </w:r>
      <w:proofErr w:type="spellEnd"/>
      <w:r w:rsidRPr="00225D4D">
        <w:t xml:space="preserve"> fram våren 2029, og foreslår på denne bakgrunn at rapporteringa blir avslutta.</w:t>
      </w:r>
    </w:p>
    <w:p w14:paraId="2618AAFD" w14:textId="77777777" w:rsidR="00D60186" w:rsidRPr="00225D4D" w:rsidRDefault="00D60186" w:rsidP="00225D4D">
      <w:pPr>
        <w:pStyle w:val="avsnitt-tittel"/>
      </w:pPr>
      <w:r w:rsidRPr="00225D4D">
        <w:t>Evaluere omlegginga av toppfinansieringsordninga</w:t>
      </w:r>
    </w:p>
    <w:p w14:paraId="1B647737" w14:textId="77777777" w:rsidR="00D60186" w:rsidRPr="00225D4D" w:rsidRDefault="00D60186" w:rsidP="00225D4D">
      <w:pPr>
        <w:pStyle w:val="avsnitt-undertittel"/>
      </w:pPr>
      <w:r w:rsidRPr="00225D4D">
        <w:t>Vedtak 815, 19. juni 2024</w:t>
      </w:r>
    </w:p>
    <w:p w14:paraId="783E4182" w14:textId="77777777" w:rsidR="00D60186" w:rsidRPr="00225D4D" w:rsidRDefault="00D60186" w:rsidP="00225D4D">
      <w:pPr>
        <w:pStyle w:val="blokksit"/>
        <w:rPr>
          <w:rStyle w:val="kursiv"/>
        </w:rPr>
      </w:pPr>
      <w:r w:rsidRPr="00225D4D">
        <w:rPr>
          <w:rStyle w:val="kursiv"/>
        </w:rPr>
        <w:t>«Stortinget ber regjeringen evaluere omleggingen av toppfinansieringsordningen for ressurskrevende tjenester og vurdere innslagspunktet for ressurskrevende tjenester i forbindelse med ordinære budsjettprosesser.»</w:t>
      </w:r>
    </w:p>
    <w:p w14:paraId="076411D7"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102 S (2023–2024) </w:t>
      </w:r>
      <w:r w:rsidRPr="00225D4D">
        <w:rPr>
          <w:rStyle w:val="kursiv"/>
        </w:rPr>
        <w:t xml:space="preserve">Kommuneproposisjonen 2025 </w:t>
      </w:r>
      <w:r w:rsidRPr="00225D4D">
        <w:t xml:space="preserve">og </w:t>
      </w:r>
      <w:proofErr w:type="spellStart"/>
      <w:r w:rsidRPr="00225D4D">
        <w:t>Innst</w:t>
      </w:r>
      <w:proofErr w:type="spellEnd"/>
      <w:r w:rsidRPr="00225D4D">
        <w:t>. 440 S (2023–2024).</w:t>
      </w:r>
    </w:p>
    <w:p w14:paraId="250D1117" w14:textId="77777777" w:rsidR="00D60186" w:rsidRPr="00225D4D" w:rsidRDefault="00D60186" w:rsidP="00225D4D">
      <w:r w:rsidRPr="00225D4D">
        <w:t xml:space="preserve">Før 2025 kompenserte toppfinansieringsordninga for </w:t>
      </w:r>
      <w:proofErr w:type="spellStart"/>
      <w:r w:rsidRPr="00225D4D">
        <w:t>ressurskrevjande</w:t>
      </w:r>
      <w:proofErr w:type="spellEnd"/>
      <w:r w:rsidRPr="00225D4D">
        <w:t xml:space="preserve"> </w:t>
      </w:r>
      <w:proofErr w:type="spellStart"/>
      <w:r w:rsidRPr="00225D4D">
        <w:t>tenester</w:t>
      </w:r>
      <w:proofErr w:type="spellEnd"/>
      <w:r w:rsidRPr="00225D4D">
        <w:t xml:space="preserve"> </w:t>
      </w:r>
      <w:proofErr w:type="spellStart"/>
      <w:r w:rsidRPr="00225D4D">
        <w:t>kommunar</w:t>
      </w:r>
      <w:proofErr w:type="spellEnd"/>
      <w:r w:rsidRPr="00225D4D">
        <w:t xml:space="preserve"> for 80 pst. av netto </w:t>
      </w:r>
      <w:proofErr w:type="spellStart"/>
      <w:r w:rsidRPr="00225D4D">
        <w:t>lønsutgifter</w:t>
      </w:r>
      <w:proofErr w:type="spellEnd"/>
      <w:r w:rsidRPr="00225D4D">
        <w:t xml:space="preserve"> ut over innslagspunktet. Eigenandelen over innslagspunktet var dermed på 20 pst. </w:t>
      </w:r>
      <w:proofErr w:type="spellStart"/>
      <w:r w:rsidRPr="00225D4D">
        <w:t>Inntektssystemutvalet</w:t>
      </w:r>
      <w:proofErr w:type="spellEnd"/>
      <w:r w:rsidRPr="00225D4D">
        <w:t xml:space="preserve"> (NOU 2022: 10) tilrådde å legge om toppfinansieringsmodellen slik at han i større grad tar utgangspunkt i kommunen sine utgifter målt per </w:t>
      </w:r>
      <w:proofErr w:type="spellStart"/>
      <w:r w:rsidRPr="00225D4D">
        <w:t>innbyggar</w:t>
      </w:r>
      <w:proofErr w:type="spellEnd"/>
      <w:r w:rsidRPr="00225D4D">
        <w:t xml:space="preserve"> enn utgiftene for den enkelte </w:t>
      </w:r>
      <w:proofErr w:type="spellStart"/>
      <w:r w:rsidRPr="00225D4D">
        <w:t>mottakar</w:t>
      </w:r>
      <w:proofErr w:type="spellEnd"/>
      <w:r w:rsidRPr="00225D4D">
        <w:t xml:space="preserve">. Bakgrunnen for dette var at i </w:t>
      </w:r>
      <w:proofErr w:type="spellStart"/>
      <w:r w:rsidRPr="00225D4D">
        <w:t>dåverande</w:t>
      </w:r>
      <w:proofErr w:type="spellEnd"/>
      <w:r w:rsidRPr="00225D4D">
        <w:t xml:space="preserve"> modell ville to </w:t>
      </w:r>
      <w:proofErr w:type="spellStart"/>
      <w:r w:rsidRPr="00225D4D">
        <w:t>kommunar</w:t>
      </w:r>
      <w:proofErr w:type="spellEnd"/>
      <w:r w:rsidRPr="00225D4D">
        <w:t xml:space="preserve"> med ulikt </w:t>
      </w:r>
      <w:proofErr w:type="spellStart"/>
      <w:r w:rsidRPr="00225D4D">
        <w:t>innbyggartal</w:t>
      </w:r>
      <w:proofErr w:type="spellEnd"/>
      <w:r w:rsidRPr="00225D4D">
        <w:t xml:space="preserve"> og like høge utgifter til </w:t>
      </w:r>
      <w:proofErr w:type="spellStart"/>
      <w:r w:rsidRPr="00225D4D">
        <w:t>ressurskrevjande</w:t>
      </w:r>
      <w:proofErr w:type="spellEnd"/>
      <w:r w:rsidRPr="00225D4D">
        <w:t xml:space="preserve"> </w:t>
      </w:r>
      <w:proofErr w:type="spellStart"/>
      <w:r w:rsidRPr="00225D4D">
        <w:t>tenester</w:t>
      </w:r>
      <w:proofErr w:type="spellEnd"/>
      <w:r w:rsidRPr="00225D4D">
        <w:t xml:space="preserve">, få like stort </w:t>
      </w:r>
      <w:proofErr w:type="spellStart"/>
      <w:r w:rsidRPr="00225D4D">
        <w:t>tilskot</w:t>
      </w:r>
      <w:proofErr w:type="spellEnd"/>
      <w:r w:rsidRPr="00225D4D">
        <w:t xml:space="preserve">. Dette til tross for at utgiftene til </w:t>
      </w:r>
      <w:proofErr w:type="spellStart"/>
      <w:r w:rsidRPr="00225D4D">
        <w:t>ein</w:t>
      </w:r>
      <w:proofErr w:type="spellEnd"/>
      <w:r w:rsidRPr="00225D4D">
        <w:t xml:space="preserve"> mindre kommune normalt vil </w:t>
      </w:r>
      <w:proofErr w:type="spellStart"/>
      <w:r w:rsidRPr="00225D4D">
        <w:t>vere</w:t>
      </w:r>
      <w:proofErr w:type="spellEnd"/>
      <w:r w:rsidRPr="00225D4D">
        <w:t xml:space="preserve"> ei større belasting for kommuneøkonomien enn for </w:t>
      </w:r>
      <w:proofErr w:type="spellStart"/>
      <w:r w:rsidRPr="00225D4D">
        <w:t>ein</w:t>
      </w:r>
      <w:proofErr w:type="spellEnd"/>
      <w:r w:rsidRPr="00225D4D">
        <w:t xml:space="preserve"> større kommune.</w:t>
      </w:r>
    </w:p>
    <w:p w14:paraId="01556ABD" w14:textId="77777777" w:rsidR="00D60186" w:rsidRPr="00225D4D" w:rsidRDefault="00D60186" w:rsidP="00225D4D">
      <w:r w:rsidRPr="00225D4D">
        <w:t xml:space="preserve">Toppfinansieringsordninga for </w:t>
      </w:r>
      <w:proofErr w:type="spellStart"/>
      <w:r w:rsidRPr="00225D4D">
        <w:t>ressurskrevjande</w:t>
      </w:r>
      <w:proofErr w:type="spellEnd"/>
      <w:r w:rsidRPr="00225D4D">
        <w:t xml:space="preserve"> </w:t>
      </w:r>
      <w:proofErr w:type="spellStart"/>
      <w:r w:rsidRPr="00225D4D">
        <w:t>tenester</w:t>
      </w:r>
      <w:proofErr w:type="spellEnd"/>
      <w:r w:rsidRPr="00225D4D">
        <w:t xml:space="preserve"> vart lagt om </w:t>
      </w:r>
      <w:proofErr w:type="spellStart"/>
      <w:r w:rsidRPr="00225D4D">
        <w:t>frå</w:t>
      </w:r>
      <w:proofErr w:type="spellEnd"/>
      <w:r w:rsidRPr="00225D4D">
        <w:t xml:space="preserve"> 2025. Eigenandelen over innslagspunktet for landet vil </w:t>
      </w:r>
      <w:proofErr w:type="spellStart"/>
      <w:r w:rsidRPr="00225D4D">
        <w:t>framleis</w:t>
      </w:r>
      <w:proofErr w:type="spellEnd"/>
      <w:r w:rsidRPr="00225D4D">
        <w:t xml:space="preserve"> </w:t>
      </w:r>
      <w:proofErr w:type="spellStart"/>
      <w:r w:rsidRPr="00225D4D">
        <w:t>vere</w:t>
      </w:r>
      <w:proofErr w:type="spellEnd"/>
      <w:r w:rsidRPr="00225D4D">
        <w:t xml:space="preserve"> 20 pst., men eigenandelen har blitt delt i to, </w:t>
      </w:r>
      <w:proofErr w:type="spellStart"/>
      <w:r w:rsidRPr="00225D4D">
        <w:t>ein</w:t>
      </w:r>
      <w:proofErr w:type="spellEnd"/>
      <w:r w:rsidRPr="00225D4D">
        <w:t xml:space="preserve"> eigenandel per </w:t>
      </w:r>
      <w:proofErr w:type="spellStart"/>
      <w:r w:rsidRPr="00225D4D">
        <w:t>innbyggar</w:t>
      </w:r>
      <w:proofErr w:type="spellEnd"/>
      <w:r w:rsidRPr="00225D4D">
        <w:t xml:space="preserve">, som er variabel, og </w:t>
      </w:r>
      <w:proofErr w:type="spellStart"/>
      <w:r w:rsidRPr="00225D4D">
        <w:t>ein</w:t>
      </w:r>
      <w:proofErr w:type="spellEnd"/>
      <w:r w:rsidRPr="00225D4D">
        <w:t xml:space="preserve"> eigenandel som er fast. Eigenandelen per </w:t>
      </w:r>
      <w:proofErr w:type="spellStart"/>
      <w:r w:rsidRPr="00225D4D">
        <w:t>innbyggar</w:t>
      </w:r>
      <w:proofErr w:type="spellEnd"/>
      <w:r w:rsidRPr="00225D4D">
        <w:t xml:space="preserve"> tar omsyn til </w:t>
      </w:r>
      <w:proofErr w:type="spellStart"/>
      <w:r w:rsidRPr="00225D4D">
        <w:t>kommunar</w:t>
      </w:r>
      <w:proofErr w:type="spellEnd"/>
      <w:r w:rsidRPr="00225D4D">
        <w:t xml:space="preserve"> med høge utgifter til </w:t>
      </w:r>
      <w:proofErr w:type="spellStart"/>
      <w:r w:rsidRPr="00225D4D">
        <w:t>ressurskrevjande</w:t>
      </w:r>
      <w:proofErr w:type="spellEnd"/>
      <w:r w:rsidRPr="00225D4D">
        <w:t xml:space="preserve"> </w:t>
      </w:r>
      <w:proofErr w:type="spellStart"/>
      <w:r w:rsidRPr="00225D4D">
        <w:t>tenester</w:t>
      </w:r>
      <w:proofErr w:type="spellEnd"/>
      <w:r w:rsidRPr="00225D4D">
        <w:t xml:space="preserve"> i høve til </w:t>
      </w:r>
      <w:proofErr w:type="spellStart"/>
      <w:r w:rsidRPr="00225D4D">
        <w:t>innbyggartalet</w:t>
      </w:r>
      <w:proofErr w:type="spellEnd"/>
      <w:r w:rsidRPr="00225D4D">
        <w:t>.</w:t>
      </w:r>
    </w:p>
    <w:p w14:paraId="44EC7DCC" w14:textId="77777777" w:rsidR="00D60186" w:rsidRPr="00225D4D" w:rsidRDefault="00D60186" w:rsidP="00225D4D">
      <w:proofErr w:type="spellStart"/>
      <w:r w:rsidRPr="00225D4D">
        <w:t>Kommunane</w:t>
      </w:r>
      <w:proofErr w:type="spellEnd"/>
      <w:r w:rsidRPr="00225D4D">
        <w:t xml:space="preserve"> som har rapportert inn låge utgifter til </w:t>
      </w:r>
      <w:proofErr w:type="spellStart"/>
      <w:r w:rsidRPr="00225D4D">
        <w:t>ressurskrevjande</w:t>
      </w:r>
      <w:proofErr w:type="spellEnd"/>
      <w:r w:rsidRPr="00225D4D">
        <w:t xml:space="preserve"> </w:t>
      </w:r>
      <w:proofErr w:type="spellStart"/>
      <w:r w:rsidRPr="00225D4D">
        <w:t>tenester</w:t>
      </w:r>
      <w:proofErr w:type="spellEnd"/>
      <w:r w:rsidRPr="00225D4D">
        <w:t xml:space="preserve"> per </w:t>
      </w:r>
      <w:proofErr w:type="spellStart"/>
      <w:r w:rsidRPr="00225D4D">
        <w:t>innbyggar</w:t>
      </w:r>
      <w:proofErr w:type="spellEnd"/>
      <w:r w:rsidRPr="00225D4D">
        <w:t xml:space="preserve"> i </w:t>
      </w:r>
      <w:proofErr w:type="spellStart"/>
      <w:r w:rsidRPr="00225D4D">
        <w:t>tilskotsordninga</w:t>
      </w:r>
      <w:proofErr w:type="spellEnd"/>
      <w:r w:rsidRPr="00225D4D">
        <w:t xml:space="preserve">, har tapt på omlegginga. </w:t>
      </w:r>
      <w:proofErr w:type="spellStart"/>
      <w:r w:rsidRPr="00225D4D">
        <w:t>Kommunar</w:t>
      </w:r>
      <w:proofErr w:type="spellEnd"/>
      <w:r w:rsidRPr="00225D4D">
        <w:t xml:space="preserve"> som har </w:t>
      </w:r>
      <w:proofErr w:type="spellStart"/>
      <w:r w:rsidRPr="00225D4D">
        <w:t>lågare</w:t>
      </w:r>
      <w:proofErr w:type="spellEnd"/>
      <w:r w:rsidRPr="00225D4D">
        <w:t xml:space="preserve"> enn om lag 3 000 kroner i netto </w:t>
      </w:r>
      <w:proofErr w:type="spellStart"/>
      <w:r w:rsidRPr="00225D4D">
        <w:t>lønsutgifter</w:t>
      </w:r>
      <w:proofErr w:type="spellEnd"/>
      <w:r w:rsidRPr="00225D4D">
        <w:t xml:space="preserve"> over innslagspunktet per </w:t>
      </w:r>
      <w:proofErr w:type="spellStart"/>
      <w:r w:rsidRPr="00225D4D">
        <w:t>innbyggar</w:t>
      </w:r>
      <w:proofErr w:type="spellEnd"/>
      <w:r w:rsidRPr="00225D4D">
        <w:t xml:space="preserve">, taper på den nye modellen. </w:t>
      </w:r>
      <w:proofErr w:type="spellStart"/>
      <w:r w:rsidRPr="00225D4D">
        <w:t>Desse</w:t>
      </w:r>
      <w:proofErr w:type="spellEnd"/>
      <w:r w:rsidRPr="00225D4D">
        <w:t xml:space="preserve"> </w:t>
      </w:r>
      <w:proofErr w:type="spellStart"/>
      <w:r w:rsidRPr="00225D4D">
        <w:t>kommunane</w:t>
      </w:r>
      <w:proofErr w:type="spellEnd"/>
      <w:r w:rsidRPr="00225D4D">
        <w:t xml:space="preserve"> har i gjennomsnitt tapt 78 kroner per </w:t>
      </w:r>
      <w:proofErr w:type="spellStart"/>
      <w:r w:rsidRPr="00225D4D">
        <w:t>innbyggar</w:t>
      </w:r>
      <w:proofErr w:type="spellEnd"/>
      <w:r w:rsidRPr="00225D4D">
        <w:t xml:space="preserve">. </w:t>
      </w:r>
      <w:proofErr w:type="spellStart"/>
      <w:r w:rsidRPr="00225D4D">
        <w:t>Kommunar</w:t>
      </w:r>
      <w:proofErr w:type="spellEnd"/>
      <w:r w:rsidRPr="00225D4D">
        <w:t xml:space="preserve"> som har </w:t>
      </w:r>
      <w:proofErr w:type="spellStart"/>
      <w:r w:rsidRPr="00225D4D">
        <w:t>høgare</w:t>
      </w:r>
      <w:proofErr w:type="spellEnd"/>
      <w:r w:rsidRPr="00225D4D">
        <w:t xml:space="preserve"> enn 3 000 kroner per </w:t>
      </w:r>
      <w:proofErr w:type="spellStart"/>
      <w:r w:rsidRPr="00225D4D">
        <w:t>innbyggar</w:t>
      </w:r>
      <w:proofErr w:type="spellEnd"/>
      <w:r w:rsidRPr="00225D4D">
        <w:t xml:space="preserve"> i netto </w:t>
      </w:r>
      <w:proofErr w:type="spellStart"/>
      <w:r w:rsidRPr="00225D4D">
        <w:t>lønsutgifter</w:t>
      </w:r>
      <w:proofErr w:type="spellEnd"/>
      <w:r w:rsidRPr="00225D4D">
        <w:t xml:space="preserve"> over innslagspunktet, </w:t>
      </w:r>
      <w:proofErr w:type="spellStart"/>
      <w:r w:rsidRPr="00225D4D">
        <w:t>tener</w:t>
      </w:r>
      <w:proofErr w:type="spellEnd"/>
      <w:r w:rsidRPr="00225D4D">
        <w:t xml:space="preserve"> på den nye modellen. Denne gevinsten blir gravis </w:t>
      </w:r>
      <w:proofErr w:type="spellStart"/>
      <w:r w:rsidRPr="00225D4D">
        <w:t>høgare</w:t>
      </w:r>
      <w:proofErr w:type="spellEnd"/>
      <w:r w:rsidRPr="00225D4D">
        <w:t xml:space="preserve"> med </w:t>
      </w:r>
      <w:proofErr w:type="spellStart"/>
      <w:r w:rsidRPr="00225D4D">
        <w:t>auka</w:t>
      </w:r>
      <w:proofErr w:type="spellEnd"/>
      <w:r w:rsidRPr="00225D4D">
        <w:t xml:space="preserve"> </w:t>
      </w:r>
      <w:proofErr w:type="spellStart"/>
      <w:r w:rsidRPr="00225D4D">
        <w:t>lønsutgifter</w:t>
      </w:r>
      <w:proofErr w:type="spellEnd"/>
      <w:r w:rsidRPr="00225D4D">
        <w:t xml:space="preserve"> til </w:t>
      </w:r>
      <w:proofErr w:type="spellStart"/>
      <w:r w:rsidRPr="00225D4D">
        <w:t>ressurskrevjande</w:t>
      </w:r>
      <w:proofErr w:type="spellEnd"/>
      <w:r w:rsidRPr="00225D4D">
        <w:t xml:space="preserve"> </w:t>
      </w:r>
      <w:proofErr w:type="spellStart"/>
      <w:r w:rsidRPr="00225D4D">
        <w:t>tenester</w:t>
      </w:r>
      <w:proofErr w:type="spellEnd"/>
      <w:r w:rsidRPr="00225D4D">
        <w:t xml:space="preserve"> over innslagspunktet per </w:t>
      </w:r>
      <w:proofErr w:type="spellStart"/>
      <w:r w:rsidRPr="00225D4D">
        <w:t>innbyggar</w:t>
      </w:r>
      <w:proofErr w:type="spellEnd"/>
      <w:r w:rsidRPr="00225D4D">
        <w:t>.</w:t>
      </w:r>
    </w:p>
    <w:p w14:paraId="3FA2CA3C" w14:textId="77777777" w:rsidR="00D60186" w:rsidRPr="00225D4D" w:rsidRDefault="00D60186" w:rsidP="00225D4D">
      <w:r w:rsidRPr="00225D4D">
        <w:t xml:space="preserve">Når </w:t>
      </w:r>
      <w:proofErr w:type="spellStart"/>
      <w:r w:rsidRPr="00225D4D">
        <w:t>ein</w:t>
      </w:r>
      <w:proofErr w:type="spellEnd"/>
      <w:r w:rsidRPr="00225D4D">
        <w:t xml:space="preserve"> ser på kommunestorleiken, så er det </w:t>
      </w:r>
      <w:proofErr w:type="spellStart"/>
      <w:r w:rsidRPr="00225D4D">
        <w:t>dei</w:t>
      </w:r>
      <w:proofErr w:type="spellEnd"/>
      <w:r w:rsidRPr="00225D4D">
        <w:t xml:space="preserve"> minste </w:t>
      </w:r>
      <w:proofErr w:type="spellStart"/>
      <w:r w:rsidRPr="00225D4D">
        <w:t>kommunane</w:t>
      </w:r>
      <w:proofErr w:type="spellEnd"/>
      <w:r w:rsidRPr="00225D4D">
        <w:t xml:space="preserve"> (under 3 200 </w:t>
      </w:r>
      <w:proofErr w:type="spellStart"/>
      <w:r w:rsidRPr="00225D4D">
        <w:t>innbyggarar</w:t>
      </w:r>
      <w:proofErr w:type="spellEnd"/>
      <w:r w:rsidRPr="00225D4D">
        <w:t xml:space="preserve">) som </w:t>
      </w:r>
      <w:proofErr w:type="spellStart"/>
      <w:r w:rsidRPr="00225D4D">
        <w:t>tener</w:t>
      </w:r>
      <w:proofErr w:type="spellEnd"/>
      <w:r w:rsidRPr="00225D4D">
        <w:t xml:space="preserve"> mest på den nye modellen. </w:t>
      </w:r>
      <w:proofErr w:type="spellStart"/>
      <w:r w:rsidRPr="00225D4D">
        <w:t>Nokre</w:t>
      </w:r>
      <w:proofErr w:type="spellEnd"/>
      <w:r w:rsidRPr="00225D4D">
        <w:t xml:space="preserve"> av </w:t>
      </w:r>
      <w:proofErr w:type="spellStart"/>
      <w:r w:rsidRPr="00225D4D">
        <w:t>desse</w:t>
      </w:r>
      <w:proofErr w:type="spellEnd"/>
      <w:r w:rsidRPr="00225D4D">
        <w:t xml:space="preserve"> </w:t>
      </w:r>
      <w:proofErr w:type="spellStart"/>
      <w:r w:rsidRPr="00225D4D">
        <w:t>kommunane</w:t>
      </w:r>
      <w:proofErr w:type="spellEnd"/>
      <w:r w:rsidRPr="00225D4D">
        <w:t xml:space="preserve"> får òg tilleggskompensasjon. I gjennomsnitt </w:t>
      </w:r>
      <w:proofErr w:type="spellStart"/>
      <w:r w:rsidRPr="00225D4D">
        <w:t>tener</w:t>
      </w:r>
      <w:proofErr w:type="spellEnd"/>
      <w:r w:rsidRPr="00225D4D">
        <w:t xml:space="preserve"> </w:t>
      </w:r>
      <w:proofErr w:type="spellStart"/>
      <w:r w:rsidRPr="00225D4D">
        <w:t>kommunar</w:t>
      </w:r>
      <w:proofErr w:type="spellEnd"/>
      <w:r w:rsidRPr="00225D4D">
        <w:t xml:space="preserve"> med under 3 200 </w:t>
      </w:r>
      <w:proofErr w:type="spellStart"/>
      <w:r w:rsidRPr="00225D4D">
        <w:t>innbyggarar</w:t>
      </w:r>
      <w:proofErr w:type="spellEnd"/>
      <w:r w:rsidRPr="00225D4D">
        <w:t xml:space="preserve"> 172 kroner per </w:t>
      </w:r>
      <w:proofErr w:type="spellStart"/>
      <w:r w:rsidRPr="00225D4D">
        <w:t>innbyggar</w:t>
      </w:r>
      <w:proofErr w:type="spellEnd"/>
      <w:r w:rsidRPr="00225D4D">
        <w:t xml:space="preserve"> på den nye modellen. </w:t>
      </w:r>
      <w:proofErr w:type="spellStart"/>
      <w:r w:rsidRPr="00225D4D">
        <w:t>Kommunar</w:t>
      </w:r>
      <w:proofErr w:type="spellEnd"/>
      <w:r w:rsidRPr="00225D4D">
        <w:t xml:space="preserve"> med mellom 3 200 </w:t>
      </w:r>
      <w:proofErr w:type="spellStart"/>
      <w:r w:rsidRPr="00225D4D">
        <w:t>innbyggarar</w:t>
      </w:r>
      <w:proofErr w:type="spellEnd"/>
      <w:r w:rsidRPr="00225D4D">
        <w:t xml:space="preserve"> og 50 000 </w:t>
      </w:r>
      <w:proofErr w:type="spellStart"/>
      <w:r w:rsidRPr="00225D4D">
        <w:t>innbyggarar</w:t>
      </w:r>
      <w:proofErr w:type="spellEnd"/>
      <w:r w:rsidRPr="00225D4D">
        <w:t xml:space="preserve"> </w:t>
      </w:r>
      <w:proofErr w:type="spellStart"/>
      <w:r w:rsidRPr="00225D4D">
        <w:t>tener</w:t>
      </w:r>
      <w:proofErr w:type="spellEnd"/>
      <w:r w:rsidRPr="00225D4D">
        <w:t xml:space="preserve"> i gjennomsnitt 43 kroner per </w:t>
      </w:r>
      <w:proofErr w:type="spellStart"/>
      <w:r w:rsidRPr="00225D4D">
        <w:t>innbyggar</w:t>
      </w:r>
      <w:proofErr w:type="spellEnd"/>
      <w:r w:rsidRPr="00225D4D">
        <w:t xml:space="preserve"> på den nye modellen, </w:t>
      </w:r>
      <w:proofErr w:type="spellStart"/>
      <w:r w:rsidRPr="00225D4D">
        <w:t>medan</w:t>
      </w:r>
      <w:proofErr w:type="spellEnd"/>
      <w:r w:rsidRPr="00225D4D">
        <w:t xml:space="preserve"> </w:t>
      </w:r>
      <w:proofErr w:type="spellStart"/>
      <w:r w:rsidRPr="00225D4D">
        <w:t>kommunar</w:t>
      </w:r>
      <w:proofErr w:type="spellEnd"/>
      <w:r w:rsidRPr="00225D4D">
        <w:t xml:space="preserve"> med over 50 000 </w:t>
      </w:r>
      <w:proofErr w:type="spellStart"/>
      <w:r w:rsidRPr="00225D4D">
        <w:t>innbyggarar</w:t>
      </w:r>
      <w:proofErr w:type="spellEnd"/>
      <w:r w:rsidRPr="00225D4D">
        <w:t xml:space="preserve"> taper i gjennomsnitt 60 kroner per </w:t>
      </w:r>
      <w:proofErr w:type="spellStart"/>
      <w:r w:rsidRPr="00225D4D">
        <w:t>innbyggar</w:t>
      </w:r>
      <w:proofErr w:type="spellEnd"/>
      <w:r w:rsidRPr="00225D4D">
        <w:t>. Dette viser at omlegginga har ført til betre fordelingsverknader.</w:t>
      </w:r>
    </w:p>
    <w:p w14:paraId="63353DE8" w14:textId="77777777" w:rsidR="00D60186" w:rsidRPr="00225D4D" w:rsidRDefault="00D60186" w:rsidP="00225D4D">
      <w:r w:rsidRPr="00225D4D">
        <w:t xml:space="preserve">Innslagspunktet blir vurdert i samband med </w:t>
      </w:r>
      <w:proofErr w:type="spellStart"/>
      <w:r w:rsidRPr="00225D4D">
        <w:t>dei</w:t>
      </w:r>
      <w:proofErr w:type="spellEnd"/>
      <w:r w:rsidRPr="00225D4D">
        <w:t xml:space="preserve"> </w:t>
      </w:r>
      <w:proofErr w:type="spellStart"/>
      <w:r w:rsidRPr="00225D4D">
        <w:t>årlege</w:t>
      </w:r>
      <w:proofErr w:type="spellEnd"/>
      <w:r w:rsidRPr="00225D4D">
        <w:t xml:space="preserve"> </w:t>
      </w:r>
      <w:proofErr w:type="spellStart"/>
      <w:r w:rsidRPr="00225D4D">
        <w:t>budsjettprosessane</w:t>
      </w:r>
      <w:proofErr w:type="spellEnd"/>
      <w:r w:rsidRPr="00225D4D">
        <w:t>. For 2026 er innslagspunktet foreslått sett til 1 921 000 kroner. Departementet viser til omtale under kap. 575 om korleis innslagspunktet er berekna.</w:t>
      </w:r>
    </w:p>
    <w:p w14:paraId="0C94CC85"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4376B89F" w14:textId="77777777" w:rsidR="00D60186" w:rsidRPr="00225D4D" w:rsidRDefault="00D60186" w:rsidP="00225D4D">
      <w:pPr>
        <w:pStyle w:val="avsnitt-tittel"/>
      </w:pPr>
      <w:r w:rsidRPr="00225D4D">
        <w:t xml:space="preserve">Husbanklån til ideelle </w:t>
      </w:r>
      <w:proofErr w:type="spellStart"/>
      <w:r w:rsidRPr="00225D4D">
        <w:t>stiftingar</w:t>
      </w:r>
      <w:proofErr w:type="spellEnd"/>
      <w:r w:rsidRPr="00225D4D">
        <w:t xml:space="preserve"> til bygging av </w:t>
      </w:r>
      <w:proofErr w:type="spellStart"/>
      <w:r w:rsidRPr="00225D4D">
        <w:t>studentbustader</w:t>
      </w:r>
      <w:proofErr w:type="spellEnd"/>
    </w:p>
    <w:p w14:paraId="3C958F58" w14:textId="77777777" w:rsidR="00D60186" w:rsidRPr="00225D4D" w:rsidRDefault="00D60186" w:rsidP="00225D4D">
      <w:pPr>
        <w:pStyle w:val="avsnitt-undertittel"/>
      </w:pPr>
      <w:r w:rsidRPr="00225D4D">
        <w:t>Vedtak 909, 21. juni 2024</w:t>
      </w:r>
    </w:p>
    <w:p w14:paraId="50A8E5CE" w14:textId="77777777" w:rsidR="00D60186" w:rsidRPr="00225D4D" w:rsidRDefault="00D60186" w:rsidP="00225D4D">
      <w:pPr>
        <w:pStyle w:val="blokksit"/>
        <w:rPr>
          <w:rStyle w:val="kursiv"/>
        </w:rPr>
      </w:pPr>
      <w:r w:rsidRPr="00225D4D">
        <w:rPr>
          <w:rStyle w:val="kursiv"/>
        </w:rPr>
        <w:t>«Stortinget ber regjeringen i løpet av 2024 sende på høring endrede retningslinjer for tildeling av Husbanklån til studentboliger, slik at også ideelle stiftelser er berettiget husbanklån til bygging av studentboliger.»</w:t>
      </w:r>
    </w:p>
    <w:p w14:paraId="7A84EA92" w14:textId="77777777" w:rsidR="00D60186" w:rsidRPr="00225D4D" w:rsidRDefault="00D60186" w:rsidP="00225D4D">
      <w:r w:rsidRPr="00225D4D">
        <w:t xml:space="preserve">Dokumenta som ligg til grunn for vedtaket er Meld. St. 2 (2023–2024) </w:t>
      </w:r>
      <w:r w:rsidRPr="00225D4D">
        <w:rPr>
          <w:rStyle w:val="kursiv"/>
        </w:rPr>
        <w:t xml:space="preserve">Revidert nasjonalbudsjett 2024 </w:t>
      </w:r>
      <w:r w:rsidRPr="00225D4D">
        <w:t xml:space="preserve">og </w:t>
      </w:r>
      <w:proofErr w:type="spellStart"/>
      <w:r w:rsidRPr="00225D4D">
        <w:t>Innst</w:t>
      </w:r>
      <w:proofErr w:type="spellEnd"/>
      <w:r w:rsidRPr="00225D4D">
        <w:t>. 447 S (2023–2024).</w:t>
      </w:r>
    </w:p>
    <w:p w14:paraId="5827E1F7" w14:textId="77777777" w:rsidR="00D60186" w:rsidRPr="00225D4D" w:rsidRDefault="00D60186" w:rsidP="00225D4D">
      <w:r w:rsidRPr="00225D4D">
        <w:t xml:space="preserve">Vedtaket er under oppfølging. Saka vart </w:t>
      </w:r>
      <w:proofErr w:type="spellStart"/>
      <w:r w:rsidRPr="00225D4D">
        <w:t>ikkje</w:t>
      </w:r>
      <w:proofErr w:type="spellEnd"/>
      <w:r w:rsidRPr="00225D4D">
        <w:t xml:space="preserve"> sendt på </w:t>
      </w:r>
      <w:proofErr w:type="spellStart"/>
      <w:r w:rsidRPr="00225D4D">
        <w:t>høyring</w:t>
      </w:r>
      <w:proofErr w:type="spellEnd"/>
      <w:r w:rsidRPr="00225D4D">
        <w:t xml:space="preserve"> i 2024. Regjeringa vil vurdere saka på nytt etter at lov om registrering av ideelle </w:t>
      </w:r>
      <w:proofErr w:type="spellStart"/>
      <w:r w:rsidRPr="00225D4D">
        <w:t>velferdsaktørar</w:t>
      </w:r>
      <w:proofErr w:type="spellEnd"/>
      <w:r w:rsidRPr="00225D4D">
        <w:t xml:space="preserve"> er på plass, jf. </w:t>
      </w:r>
      <w:proofErr w:type="spellStart"/>
      <w:r w:rsidRPr="00225D4D">
        <w:t>oppmodningsvedtak</w:t>
      </w:r>
      <w:proofErr w:type="spellEnd"/>
      <w:r w:rsidRPr="00225D4D">
        <w:t xml:space="preserve"> nr. 87 (2024–2025), som blir handsama av Digitaliserings- og forvaltningsdepartementet.</w:t>
      </w:r>
    </w:p>
    <w:p w14:paraId="0D14B58C" w14:textId="77777777" w:rsidR="00D60186" w:rsidRPr="00225D4D" w:rsidRDefault="00D60186" w:rsidP="00225D4D">
      <w:pPr>
        <w:pStyle w:val="Overskrift2"/>
      </w:pPr>
      <w:r w:rsidRPr="00225D4D">
        <w:t>Stortingssesjon 2022–2023</w:t>
      </w:r>
    </w:p>
    <w:p w14:paraId="6E857627" w14:textId="77777777" w:rsidR="00D60186" w:rsidRPr="00225D4D" w:rsidRDefault="00D60186" w:rsidP="00225D4D">
      <w:pPr>
        <w:pStyle w:val="avsnitt-tittel"/>
      </w:pPr>
      <w:r w:rsidRPr="00225D4D">
        <w:t xml:space="preserve">Unntak </w:t>
      </w:r>
      <w:proofErr w:type="spellStart"/>
      <w:r w:rsidRPr="00225D4D">
        <w:t>frå</w:t>
      </w:r>
      <w:proofErr w:type="spellEnd"/>
      <w:r w:rsidRPr="00225D4D">
        <w:t xml:space="preserve"> søknadsplikta etter plan- og bygningslova for mindre solenergianlegg</w:t>
      </w:r>
    </w:p>
    <w:p w14:paraId="11129C26" w14:textId="77777777" w:rsidR="00D60186" w:rsidRPr="00225D4D" w:rsidRDefault="00D60186" w:rsidP="00225D4D">
      <w:pPr>
        <w:pStyle w:val="avsnitt-undertittel"/>
      </w:pPr>
      <w:r w:rsidRPr="00225D4D">
        <w:t>Vedtak 24, 18. oktober 2022</w:t>
      </w:r>
    </w:p>
    <w:p w14:paraId="11FD1987" w14:textId="77777777" w:rsidR="00D60186" w:rsidRPr="00225D4D" w:rsidRDefault="00D60186" w:rsidP="00225D4D">
      <w:pPr>
        <w:pStyle w:val="blokksit"/>
        <w:rPr>
          <w:rStyle w:val="kursiv"/>
        </w:rPr>
      </w:pPr>
      <w:r w:rsidRPr="00225D4D">
        <w:rPr>
          <w:rStyle w:val="kursiv"/>
        </w:rPr>
        <w:t>«Stortinget ber regjeringen vurdere å midlertidig eller tidsbegrenset unnta mindre solenergianlegg fra søknadsplikt etter plan- og bygningsloven, med unntak for fredede og verneverdige bygg, og fjerne kravet om nettinnmelding på anlegg under 7 kW.»</w:t>
      </w:r>
    </w:p>
    <w:p w14:paraId="35C8FA9A"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Guri Melby og Ola Elvestuen om ekstraordinære tiltak som </w:t>
      </w:r>
      <w:proofErr w:type="spellStart"/>
      <w:r w:rsidRPr="00225D4D">
        <w:t>følgje</w:t>
      </w:r>
      <w:proofErr w:type="spellEnd"/>
      <w:r w:rsidRPr="00225D4D">
        <w:t xml:space="preserve"> av straumkrisa, jf. Dokument 8:289 S (2021–2022) og </w:t>
      </w:r>
      <w:proofErr w:type="spellStart"/>
      <w:r w:rsidRPr="00225D4D">
        <w:t>Innst</w:t>
      </w:r>
      <w:proofErr w:type="spellEnd"/>
      <w:r w:rsidRPr="00225D4D">
        <w:t>. 25 S (2022–2023).</w:t>
      </w:r>
    </w:p>
    <w:p w14:paraId="7A42C660" w14:textId="77777777" w:rsidR="00D60186" w:rsidRPr="00225D4D" w:rsidRDefault="00D60186" w:rsidP="00225D4D">
      <w:r w:rsidRPr="00225D4D">
        <w:t xml:space="preserve">Forskrift om elektriske </w:t>
      </w:r>
      <w:proofErr w:type="spellStart"/>
      <w:r w:rsidRPr="00225D4D">
        <w:t>lågspenningsanlegg</w:t>
      </w:r>
      <w:proofErr w:type="spellEnd"/>
      <w:r w:rsidRPr="00225D4D">
        <w:t xml:space="preserve"> blir forvalta av Justis- og beredskapsdepartementet. Kravet om førehandsmelding til sentral </w:t>
      </w:r>
      <w:proofErr w:type="spellStart"/>
      <w:r w:rsidRPr="00225D4D">
        <w:t>tilsynsmyndigheit</w:t>
      </w:r>
      <w:proofErr w:type="spellEnd"/>
      <w:r w:rsidRPr="00225D4D">
        <w:t xml:space="preserve"> for mellom anna solenergianlegg, blir </w:t>
      </w:r>
      <w:proofErr w:type="spellStart"/>
      <w:r w:rsidRPr="00225D4D">
        <w:t>nærare</w:t>
      </w:r>
      <w:proofErr w:type="spellEnd"/>
      <w:r w:rsidRPr="00225D4D">
        <w:t xml:space="preserve"> regulert i § 14 i forskrifta. Av tredje ledd i føresegna går det fram at denne meldeplikta i </w:t>
      </w:r>
      <w:proofErr w:type="spellStart"/>
      <w:r w:rsidRPr="00225D4D">
        <w:t>hovudregelen</w:t>
      </w:r>
      <w:proofErr w:type="spellEnd"/>
      <w:r w:rsidRPr="00225D4D">
        <w:t xml:space="preserve"> </w:t>
      </w:r>
      <w:proofErr w:type="spellStart"/>
      <w:r w:rsidRPr="00225D4D">
        <w:t>ikkje</w:t>
      </w:r>
      <w:proofErr w:type="spellEnd"/>
      <w:r w:rsidRPr="00225D4D">
        <w:t xml:space="preserve"> gjeld for anlegg med </w:t>
      </w:r>
      <w:proofErr w:type="spellStart"/>
      <w:r w:rsidRPr="00225D4D">
        <w:t>ytingar</w:t>
      </w:r>
      <w:proofErr w:type="spellEnd"/>
      <w:r w:rsidRPr="00225D4D">
        <w:t xml:space="preserve"> på 10 kW eller </w:t>
      </w:r>
      <w:proofErr w:type="spellStart"/>
      <w:r w:rsidRPr="00225D4D">
        <w:t>lågare</w:t>
      </w:r>
      <w:proofErr w:type="spellEnd"/>
      <w:r w:rsidRPr="00225D4D">
        <w:t xml:space="preserve">. Anlegg med </w:t>
      </w:r>
      <w:proofErr w:type="spellStart"/>
      <w:r w:rsidRPr="00225D4D">
        <w:t>ytingar</w:t>
      </w:r>
      <w:proofErr w:type="spellEnd"/>
      <w:r w:rsidRPr="00225D4D">
        <w:t xml:space="preserve"> under 7 kW er </w:t>
      </w:r>
      <w:proofErr w:type="spellStart"/>
      <w:r w:rsidRPr="00225D4D">
        <w:t>allereie</w:t>
      </w:r>
      <w:proofErr w:type="spellEnd"/>
      <w:r w:rsidRPr="00225D4D">
        <w:t xml:space="preserve"> unntatt </w:t>
      </w:r>
      <w:proofErr w:type="spellStart"/>
      <w:r w:rsidRPr="00225D4D">
        <w:t>frå</w:t>
      </w:r>
      <w:proofErr w:type="spellEnd"/>
      <w:r w:rsidRPr="00225D4D">
        <w:t xml:space="preserve"> kravet om førehandsmelding til sentral </w:t>
      </w:r>
      <w:proofErr w:type="spellStart"/>
      <w:r w:rsidRPr="00225D4D">
        <w:t>tilsynsmyndigheit</w:t>
      </w:r>
      <w:proofErr w:type="spellEnd"/>
      <w:r w:rsidRPr="00225D4D">
        <w:t xml:space="preserve">. Justis- og beredskapsdepartementet meiner med dette at denne delen av </w:t>
      </w:r>
      <w:proofErr w:type="spellStart"/>
      <w:r w:rsidRPr="00225D4D">
        <w:t>oppmodningsvedtaket</w:t>
      </w:r>
      <w:proofErr w:type="spellEnd"/>
      <w:r w:rsidRPr="00225D4D">
        <w:t xml:space="preserve"> er </w:t>
      </w:r>
      <w:proofErr w:type="spellStart"/>
      <w:r w:rsidRPr="00225D4D">
        <w:t>følgt</w:t>
      </w:r>
      <w:proofErr w:type="spellEnd"/>
      <w:r w:rsidRPr="00225D4D">
        <w:t xml:space="preserve"> opp.</w:t>
      </w:r>
    </w:p>
    <w:p w14:paraId="6EC1484F" w14:textId="77777777" w:rsidR="00D60186" w:rsidRPr="00225D4D" w:rsidRDefault="00D60186" w:rsidP="00225D4D">
      <w:proofErr w:type="spellStart"/>
      <w:r w:rsidRPr="00225D4D">
        <w:t>Eit</w:t>
      </w:r>
      <w:proofErr w:type="spellEnd"/>
      <w:r w:rsidRPr="00225D4D">
        <w:t xml:space="preserve"> forslag til </w:t>
      </w:r>
      <w:proofErr w:type="spellStart"/>
      <w:r w:rsidRPr="00225D4D">
        <w:t>endringar</w:t>
      </w:r>
      <w:proofErr w:type="spellEnd"/>
      <w:r w:rsidRPr="00225D4D">
        <w:t xml:space="preserve"> i byggesaksforskrifta (SAK10) som vil gi unntak </w:t>
      </w:r>
      <w:proofErr w:type="spellStart"/>
      <w:r w:rsidRPr="00225D4D">
        <w:t>frå</w:t>
      </w:r>
      <w:proofErr w:type="spellEnd"/>
      <w:r w:rsidRPr="00225D4D">
        <w:t xml:space="preserve"> søknadsplikt for installasjon av solcellepanel og </w:t>
      </w:r>
      <w:proofErr w:type="spellStart"/>
      <w:r w:rsidRPr="00225D4D">
        <w:t>solfangarar</w:t>
      </w:r>
      <w:proofErr w:type="spellEnd"/>
      <w:r w:rsidRPr="00225D4D">
        <w:t xml:space="preserve"> på </w:t>
      </w:r>
      <w:proofErr w:type="spellStart"/>
      <w:r w:rsidRPr="00225D4D">
        <w:t>eksisterande</w:t>
      </w:r>
      <w:proofErr w:type="spellEnd"/>
      <w:r w:rsidRPr="00225D4D">
        <w:t xml:space="preserve"> småhusbygg </w:t>
      </w:r>
      <w:proofErr w:type="spellStart"/>
      <w:r w:rsidRPr="00225D4D">
        <w:t>innanfor</w:t>
      </w:r>
      <w:proofErr w:type="spellEnd"/>
      <w:r w:rsidRPr="00225D4D">
        <w:t xml:space="preserve"> ei </w:t>
      </w:r>
      <w:proofErr w:type="spellStart"/>
      <w:r w:rsidRPr="00225D4D">
        <w:t>branncelle</w:t>
      </w:r>
      <w:proofErr w:type="spellEnd"/>
      <w:r w:rsidRPr="00225D4D">
        <w:t xml:space="preserve">, </w:t>
      </w:r>
      <w:proofErr w:type="spellStart"/>
      <w:r w:rsidRPr="00225D4D">
        <w:t>vart</w:t>
      </w:r>
      <w:proofErr w:type="spellEnd"/>
      <w:r w:rsidRPr="00225D4D">
        <w:t xml:space="preserve"> sendt på </w:t>
      </w:r>
      <w:proofErr w:type="spellStart"/>
      <w:r w:rsidRPr="00225D4D">
        <w:t>høyring</w:t>
      </w:r>
      <w:proofErr w:type="spellEnd"/>
      <w:r w:rsidRPr="00225D4D">
        <w:t xml:space="preserve"> 13. mars 2025. </w:t>
      </w:r>
      <w:proofErr w:type="spellStart"/>
      <w:r w:rsidRPr="00225D4D">
        <w:t>Høyringsfristen</w:t>
      </w:r>
      <w:proofErr w:type="spellEnd"/>
      <w:r w:rsidRPr="00225D4D">
        <w:t xml:space="preserve"> var 13. juni 2025. Departementet vil </w:t>
      </w:r>
      <w:proofErr w:type="spellStart"/>
      <w:r w:rsidRPr="00225D4D">
        <w:t>følgje</w:t>
      </w:r>
      <w:proofErr w:type="spellEnd"/>
      <w:r w:rsidRPr="00225D4D">
        <w:t xml:space="preserve"> opp saka </w:t>
      </w:r>
      <w:proofErr w:type="spellStart"/>
      <w:r w:rsidRPr="00225D4D">
        <w:t>vidare</w:t>
      </w:r>
      <w:proofErr w:type="spellEnd"/>
      <w:r w:rsidRPr="00225D4D">
        <w:t>.</w:t>
      </w:r>
    </w:p>
    <w:p w14:paraId="07FFED39"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003C5431" w14:textId="77777777" w:rsidR="00D60186" w:rsidRPr="00225D4D" w:rsidRDefault="00D60186" w:rsidP="00225D4D">
      <w:pPr>
        <w:pStyle w:val="avsnitt-tittel"/>
      </w:pPr>
      <w:proofErr w:type="spellStart"/>
      <w:r w:rsidRPr="00225D4D">
        <w:t>Husleigelovutval</w:t>
      </w:r>
      <w:proofErr w:type="spellEnd"/>
    </w:p>
    <w:p w14:paraId="25767CEC" w14:textId="77777777" w:rsidR="00D60186" w:rsidRPr="00225D4D" w:rsidRDefault="00D60186" w:rsidP="00225D4D">
      <w:pPr>
        <w:pStyle w:val="avsnitt-undertittel"/>
      </w:pPr>
      <w:r w:rsidRPr="00225D4D">
        <w:t>Vedtak 88, 1. desember 2022</w:t>
      </w:r>
    </w:p>
    <w:p w14:paraId="4DA32827" w14:textId="77777777" w:rsidR="00D60186" w:rsidRPr="00225D4D" w:rsidRDefault="00D60186" w:rsidP="00225D4D">
      <w:pPr>
        <w:pStyle w:val="blokksit"/>
        <w:rPr>
          <w:rStyle w:val="kursiv"/>
        </w:rPr>
      </w:pPr>
      <w:r w:rsidRPr="00225D4D">
        <w:rPr>
          <w:rStyle w:val="kursiv"/>
        </w:rPr>
        <w:t>«Stortinget ber regjeringen sette ned et Husleielovutvalg som går gjennom Husleieloven for å vurdere hvordan den kan styrke leietagernes rettigheter, sikre grunnleggende botrygghet og at loven samsvarer bedre med dagens situasjon på leiemarkedet. Utvalget settes ned våren 2023, og en ny lov skal behandles i inneværende stortingsperiode.»</w:t>
      </w:r>
    </w:p>
    <w:p w14:paraId="07482DCC" w14:textId="77777777" w:rsidR="00D60186" w:rsidRPr="00225D4D" w:rsidRDefault="00D60186" w:rsidP="00225D4D">
      <w:r w:rsidRPr="00225D4D">
        <w:t xml:space="preserve">Dokumenta som ligg til grunn for vedtaket er Meld. St. 1 (2022–2023) </w:t>
      </w:r>
      <w:r w:rsidRPr="00225D4D">
        <w:rPr>
          <w:rStyle w:val="kursiv"/>
        </w:rPr>
        <w:t xml:space="preserve">Nasjonalbudsjettet 2023 </w:t>
      </w:r>
      <w:r w:rsidRPr="00225D4D">
        <w:t xml:space="preserve">og </w:t>
      </w:r>
      <w:proofErr w:type="spellStart"/>
      <w:r w:rsidRPr="00225D4D">
        <w:t>Innst</w:t>
      </w:r>
      <w:proofErr w:type="spellEnd"/>
      <w:r w:rsidRPr="00225D4D">
        <w:t>. 2 S (2022–2023).</w:t>
      </w:r>
    </w:p>
    <w:p w14:paraId="7711A57A" w14:textId="77777777" w:rsidR="00D60186" w:rsidRPr="00225D4D" w:rsidRDefault="00D60186" w:rsidP="00225D4D">
      <w:r w:rsidRPr="00225D4D">
        <w:t xml:space="preserve">I </w:t>
      </w:r>
      <w:proofErr w:type="spellStart"/>
      <w:r w:rsidRPr="00225D4D">
        <w:t>Innst</w:t>
      </w:r>
      <w:proofErr w:type="spellEnd"/>
      <w:r w:rsidRPr="00225D4D">
        <w:t xml:space="preserve">. 216 S (2024–2025) viser </w:t>
      </w:r>
      <w:proofErr w:type="spellStart"/>
      <w:r w:rsidRPr="00225D4D">
        <w:t>fleirtalet</w:t>
      </w:r>
      <w:proofErr w:type="spellEnd"/>
      <w:r w:rsidRPr="00225D4D">
        <w:t xml:space="preserve"> i kontroll- og konstitusjonskomiteen til omtalen av vedtaket i Meld. St. 4 (2024–2025), der regjeringa </w:t>
      </w:r>
      <w:proofErr w:type="spellStart"/>
      <w:r w:rsidRPr="00225D4D">
        <w:t>ikkje</w:t>
      </w:r>
      <w:proofErr w:type="spellEnd"/>
      <w:r w:rsidRPr="00225D4D">
        <w:t xml:space="preserve"> legger opp til at ei ny lov skal </w:t>
      </w:r>
      <w:proofErr w:type="spellStart"/>
      <w:r w:rsidRPr="00225D4D">
        <w:t>behandlast</w:t>
      </w:r>
      <w:proofErr w:type="spellEnd"/>
      <w:r w:rsidRPr="00225D4D">
        <w:t xml:space="preserve"> i </w:t>
      </w:r>
      <w:proofErr w:type="spellStart"/>
      <w:r w:rsidRPr="00225D4D">
        <w:t>inneverande</w:t>
      </w:r>
      <w:proofErr w:type="spellEnd"/>
      <w:r w:rsidRPr="00225D4D">
        <w:t xml:space="preserve"> stortingsperiode, slik </w:t>
      </w:r>
      <w:proofErr w:type="spellStart"/>
      <w:r w:rsidRPr="00225D4D">
        <w:t>oppmodningsvedtaket</w:t>
      </w:r>
      <w:proofErr w:type="spellEnd"/>
      <w:r w:rsidRPr="00225D4D">
        <w:t xml:space="preserve"> krev. </w:t>
      </w:r>
      <w:proofErr w:type="spellStart"/>
      <w:r w:rsidRPr="00225D4D">
        <w:t>Fleirtalet</w:t>
      </w:r>
      <w:proofErr w:type="spellEnd"/>
      <w:r w:rsidRPr="00225D4D">
        <w:t xml:space="preserve"> </w:t>
      </w:r>
      <w:proofErr w:type="spellStart"/>
      <w:r w:rsidRPr="00225D4D">
        <w:t>legg</w:t>
      </w:r>
      <w:proofErr w:type="spellEnd"/>
      <w:r w:rsidRPr="00225D4D">
        <w:t xml:space="preserve"> til grunn at ei ny lov </w:t>
      </w:r>
      <w:proofErr w:type="spellStart"/>
      <w:r w:rsidRPr="00225D4D">
        <w:t>behandlast</w:t>
      </w:r>
      <w:proofErr w:type="spellEnd"/>
      <w:r w:rsidRPr="00225D4D">
        <w:t xml:space="preserve"> i </w:t>
      </w:r>
      <w:proofErr w:type="spellStart"/>
      <w:r w:rsidRPr="00225D4D">
        <w:t>inneverande</w:t>
      </w:r>
      <w:proofErr w:type="spellEnd"/>
      <w:r w:rsidRPr="00225D4D">
        <w:t xml:space="preserve"> periode.</w:t>
      </w:r>
    </w:p>
    <w:p w14:paraId="7B062643" w14:textId="77777777" w:rsidR="00D60186" w:rsidRPr="00225D4D" w:rsidRDefault="00D60186" w:rsidP="00225D4D">
      <w:proofErr w:type="spellStart"/>
      <w:r w:rsidRPr="00225D4D">
        <w:t>Husleigelovutvalet</w:t>
      </w:r>
      <w:proofErr w:type="spellEnd"/>
      <w:r w:rsidRPr="00225D4D">
        <w:t xml:space="preserve"> har levert ei grundig utgreiing som gir </w:t>
      </w:r>
      <w:proofErr w:type="spellStart"/>
      <w:r w:rsidRPr="00225D4D">
        <w:t>eit</w:t>
      </w:r>
      <w:proofErr w:type="spellEnd"/>
      <w:r w:rsidRPr="00225D4D">
        <w:t xml:space="preserve"> godt grunnlag for å fornye </w:t>
      </w:r>
      <w:proofErr w:type="spellStart"/>
      <w:r w:rsidRPr="00225D4D">
        <w:t>husleigelova</w:t>
      </w:r>
      <w:proofErr w:type="spellEnd"/>
      <w:r w:rsidRPr="00225D4D">
        <w:t xml:space="preserve">. Utgreiinga viser </w:t>
      </w:r>
      <w:proofErr w:type="spellStart"/>
      <w:r w:rsidRPr="00225D4D">
        <w:t>tydeleg</w:t>
      </w:r>
      <w:proofErr w:type="spellEnd"/>
      <w:r w:rsidRPr="00225D4D">
        <w:t xml:space="preserve"> at det er delte </w:t>
      </w:r>
      <w:proofErr w:type="spellStart"/>
      <w:r w:rsidRPr="00225D4D">
        <w:t>meiningar</w:t>
      </w:r>
      <w:proofErr w:type="spellEnd"/>
      <w:r w:rsidRPr="00225D4D">
        <w:t xml:space="preserve"> om </w:t>
      </w:r>
      <w:proofErr w:type="spellStart"/>
      <w:r w:rsidRPr="00225D4D">
        <w:t>fleire</w:t>
      </w:r>
      <w:proofErr w:type="spellEnd"/>
      <w:r w:rsidRPr="00225D4D">
        <w:t xml:space="preserve"> saker, </w:t>
      </w:r>
      <w:proofErr w:type="spellStart"/>
      <w:r w:rsidRPr="00225D4D">
        <w:t>noko</w:t>
      </w:r>
      <w:proofErr w:type="spellEnd"/>
      <w:r w:rsidRPr="00225D4D">
        <w:t xml:space="preserve"> som òg kom fram i </w:t>
      </w:r>
      <w:proofErr w:type="spellStart"/>
      <w:r w:rsidRPr="00225D4D">
        <w:t>høyringa</w:t>
      </w:r>
      <w:proofErr w:type="spellEnd"/>
      <w:r w:rsidRPr="00225D4D">
        <w:t xml:space="preserve">. Departementet arbeider </w:t>
      </w:r>
      <w:proofErr w:type="spellStart"/>
      <w:r w:rsidRPr="00225D4D">
        <w:t>no</w:t>
      </w:r>
      <w:proofErr w:type="spellEnd"/>
      <w:r w:rsidRPr="00225D4D">
        <w:t xml:space="preserve"> med </w:t>
      </w:r>
      <w:proofErr w:type="spellStart"/>
      <w:r w:rsidRPr="00225D4D">
        <w:t>ein</w:t>
      </w:r>
      <w:proofErr w:type="spellEnd"/>
      <w:r w:rsidRPr="00225D4D">
        <w:t xml:space="preserve"> lovproposisjon til Stortinget der alle forslag </w:t>
      </w:r>
      <w:proofErr w:type="spellStart"/>
      <w:r w:rsidRPr="00225D4D">
        <w:t>frå</w:t>
      </w:r>
      <w:proofErr w:type="spellEnd"/>
      <w:r w:rsidRPr="00225D4D">
        <w:t xml:space="preserve"> </w:t>
      </w:r>
      <w:proofErr w:type="spellStart"/>
      <w:r w:rsidRPr="00225D4D">
        <w:t>utvalet</w:t>
      </w:r>
      <w:proofErr w:type="spellEnd"/>
      <w:r w:rsidRPr="00225D4D">
        <w:t xml:space="preserve"> blir sett i </w:t>
      </w:r>
      <w:proofErr w:type="spellStart"/>
      <w:r w:rsidRPr="00225D4D">
        <w:t>samanheng</w:t>
      </w:r>
      <w:proofErr w:type="spellEnd"/>
      <w:r w:rsidRPr="00225D4D">
        <w:t xml:space="preserve">. </w:t>
      </w:r>
      <w:proofErr w:type="spellStart"/>
      <w:r w:rsidRPr="00225D4D">
        <w:t>Eit</w:t>
      </w:r>
      <w:proofErr w:type="spellEnd"/>
      <w:r w:rsidRPr="00225D4D">
        <w:t xml:space="preserve"> mål for arbeidet er å finne den rette balansen mellom </w:t>
      </w:r>
      <w:proofErr w:type="spellStart"/>
      <w:r w:rsidRPr="00225D4D">
        <w:t>rettar</w:t>
      </w:r>
      <w:proofErr w:type="spellEnd"/>
      <w:r w:rsidRPr="00225D4D">
        <w:t xml:space="preserve"> og plikter for både </w:t>
      </w:r>
      <w:proofErr w:type="spellStart"/>
      <w:r w:rsidRPr="00225D4D">
        <w:t>leigarar</w:t>
      </w:r>
      <w:proofErr w:type="spellEnd"/>
      <w:r w:rsidRPr="00225D4D">
        <w:t xml:space="preserve"> og </w:t>
      </w:r>
      <w:proofErr w:type="spellStart"/>
      <w:r w:rsidRPr="00225D4D">
        <w:t>utleigarar</w:t>
      </w:r>
      <w:proofErr w:type="spellEnd"/>
      <w:r w:rsidRPr="00225D4D">
        <w:t xml:space="preserve">. Begge </w:t>
      </w:r>
      <w:proofErr w:type="spellStart"/>
      <w:r w:rsidRPr="00225D4D">
        <w:t>partar</w:t>
      </w:r>
      <w:proofErr w:type="spellEnd"/>
      <w:r w:rsidRPr="00225D4D">
        <w:t xml:space="preserve"> skal oppleve lova som rettvis, trygg og </w:t>
      </w:r>
      <w:proofErr w:type="spellStart"/>
      <w:r w:rsidRPr="00225D4D">
        <w:t>pårekneleg</w:t>
      </w:r>
      <w:proofErr w:type="spellEnd"/>
      <w:r w:rsidRPr="00225D4D">
        <w:t xml:space="preserve">. Lova må òg stå seg over tid, og fungere godt både i </w:t>
      </w:r>
      <w:proofErr w:type="spellStart"/>
      <w:r w:rsidRPr="00225D4D">
        <w:t>periodar</w:t>
      </w:r>
      <w:proofErr w:type="spellEnd"/>
      <w:r w:rsidRPr="00225D4D">
        <w:t xml:space="preserve"> med høgt og lågt press i </w:t>
      </w:r>
      <w:proofErr w:type="spellStart"/>
      <w:r w:rsidRPr="00225D4D">
        <w:t>leigemarknaden</w:t>
      </w:r>
      <w:proofErr w:type="spellEnd"/>
      <w:r w:rsidRPr="00225D4D">
        <w:t xml:space="preserve">. Arbeidet med proposisjonen har </w:t>
      </w:r>
      <w:proofErr w:type="spellStart"/>
      <w:r w:rsidRPr="00225D4D">
        <w:t>høg</w:t>
      </w:r>
      <w:proofErr w:type="spellEnd"/>
      <w:r w:rsidRPr="00225D4D">
        <w:t xml:space="preserve"> prioritet, og regjeringa vil legge fram </w:t>
      </w:r>
      <w:proofErr w:type="spellStart"/>
      <w:r w:rsidRPr="00225D4D">
        <w:t>eit</w:t>
      </w:r>
      <w:proofErr w:type="spellEnd"/>
      <w:r w:rsidRPr="00225D4D">
        <w:t xml:space="preserve"> forslag for Stortinget når nødvendig </w:t>
      </w:r>
      <w:proofErr w:type="spellStart"/>
      <w:r w:rsidRPr="00225D4D">
        <w:t>førearbeid</w:t>
      </w:r>
      <w:proofErr w:type="spellEnd"/>
      <w:r w:rsidRPr="00225D4D">
        <w:t xml:space="preserve"> er gjort.</w:t>
      </w:r>
    </w:p>
    <w:p w14:paraId="35F6DCBD"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eigna måte.</w:t>
      </w:r>
    </w:p>
    <w:p w14:paraId="5A7F1700" w14:textId="77777777" w:rsidR="00D60186" w:rsidRPr="00225D4D" w:rsidRDefault="00D60186" w:rsidP="00225D4D">
      <w:pPr>
        <w:pStyle w:val="avsnitt-tittel"/>
      </w:pPr>
      <w:r w:rsidRPr="00225D4D">
        <w:t xml:space="preserve">Strategi for </w:t>
      </w:r>
      <w:proofErr w:type="spellStart"/>
      <w:r w:rsidRPr="00225D4D">
        <w:t>massehandtering</w:t>
      </w:r>
      <w:proofErr w:type="spellEnd"/>
    </w:p>
    <w:p w14:paraId="58A23AC2" w14:textId="77777777" w:rsidR="00D60186" w:rsidRPr="00225D4D" w:rsidRDefault="00D60186" w:rsidP="00225D4D">
      <w:pPr>
        <w:pStyle w:val="avsnitt-undertittel"/>
      </w:pPr>
      <w:r w:rsidRPr="00225D4D">
        <w:t>Vedtak 454, 12. januar 2023</w:t>
      </w:r>
    </w:p>
    <w:p w14:paraId="62B5038F" w14:textId="77777777" w:rsidR="00D60186" w:rsidRPr="00225D4D" w:rsidRDefault="00D60186" w:rsidP="00225D4D">
      <w:pPr>
        <w:pStyle w:val="blokksit"/>
        <w:rPr>
          <w:rStyle w:val="kursiv"/>
        </w:rPr>
      </w:pPr>
      <w:r w:rsidRPr="00225D4D">
        <w:rPr>
          <w:rStyle w:val="kursiv"/>
        </w:rPr>
        <w:t>«Stortinget ber regjeringen gjennomgå relevant regelverk og utarbeide en tverrsektoriell strategi for massehåndtering i samarbeid med bygge- og anleggsnæringen.»</w:t>
      </w:r>
    </w:p>
    <w:p w14:paraId="5556720B"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Mathilde Tybring-Gjedde og Nikolai Astrup om </w:t>
      </w:r>
      <w:proofErr w:type="spellStart"/>
      <w:r w:rsidRPr="00225D4D">
        <w:t>ein</w:t>
      </w:r>
      <w:proofErr w:type="spellEnd"/>
      <w:r w:rsidRPr="00225D4D">
        <w:t xml:space="preserve"> </w:t>
      </w:r>
      <w:proofErr w:type="spellStart"/>
      <w:r w:rsidRPr="00225D4D">
        <w:t>meir</w:t>
      </w:r>
      <w:proofErr w:type="spellEnd"/>
      <w:r w:rsidRPr="00225D4D">
        <w:t xml:space="preserve"> sirkulær økonomi, jf. Dokument 8:254 S (2021–2022) og </w:t>
      </w:r>
      <w:proofErr w:type="spellStart"/>
      <w:r w:rsidRPr="00225D4D">
        <w:t>Innst</w:t>
      </w:r>
      <w:proofErr w:type="spellEnd"/>
      <w:r w:rsidRPr="00225D4D">
        <w:t>. 124 S (2022–2023).</w:t>
      </w:r>
    </w:p>
    <w:p w14:paraId="7061FBD1" w14:textId="77777777" w:rsidR="00D60186" w:rsidRPr="00225D4D" w:rsidRDefault="00D60186" w:rsidP="00225D4D">
      <w:r w:rsidRPr="00225D4D">
        <w:t xml:space="preserve">Departementet arbeider med </w:t>
      </w:r>
      <w:proofErr w:type="spellStart"/>
      <w:r w:rsidRPr="00225D4D">
        <w:t>ein</w:t>
      </w:r>
      <w:proofErr w:type="spellEnd"/>
      <w:r w:rsidRPr="00225D4D">
        <w:t xml:space="preserve"> </w:t>
      </w:r>
      <w:proofErr w:type="spellStart"/>
      <w:r w:rsidRPr="00225D4D">
        <w:t>rettleiar</w:t>
      </w:r>
      <w:proofErr w:type="spellEnd"/>
      <w:r w:rsidRPr="00225D4D">
        <w:t xml:space="preserve"> om handtering av </w:t>
      </w:r>
      <w:proofErr w:type="spellStart"/>
      <w:r w:rsidRPr="00225D4D">
        <w:t>overskotsmassar</w:t>
      </w:r>
      <w:proofErr w:type="spellEnd"/>
      <w:r w:rsidRPr="00225D4D">
        <w:t xml:space="preserve"> etter </w:t>
      </w:r>
      <w:proofErr w:type="spellStart"/>
      <w:r w:rsidRPr="00225D4D">
        <w:t>gjeldande</w:t>
      </w:r>
      <w:proofErr w:type="spellEnd"/>
      <w:r w:rsidRPr="00225D4D">
        <w:t xml:space="preserve"> lovverk. </w:t>
      </w:r>
      <w:proofErr w:type="spellStart"/>
      <w:r w:rsidRPr="00225D4D">
        <w:t>Rettleiaren</w:t>
      </w:r>
      <w:proofErr w:type="spellEnd"/>
      <w:r w:rsidRPr="00225D4D">
        <w:t xml:space="preserve"> skal bidra til at </w:t>
      </w:r>
      <w:proofErr w:type="spellStart"/>
      <w:r w:rsidRPr="00225D4D">
        <w:t>berekraftig</w:t>
      </w:r>
      <w:proofErr w:type="spellEnd"/>
      <w:r w:rsidRPr="00225D4D">
        <w:t xml:space="preserve"> masseforvalting vert sett på dagsorden </w:t>
      </w:r>
      <w:proofErr w:type="spellStart"/>
      <w:r w:rsidRPr="00225D4D">
        <w:t>tidleg</w:t>
      </w:r>
      <w:proofErr w:type="spellEnd"/>
      <w:r w:rsidRPr="00225D4D">
        <w:t xml:space="preserve"> i aktuelle </w:t>
      </w:r>
      <w:proofErr w:type="spellStart"/>
      <w:r w:rsidRPr="00225D4D">
        <w:t>planprosessar</w:t>
      </w:r>
      <w:proofErr w:type="spellEnd"/>
      <w:r w:rsidRPr="00225D4D">
        <w:t xml:space="preserve">, og at sektorlovverket som rører masseforvalting vert praktisert likt. </w:t>
      </w:r>
      <w:proofErr w:type="spellStart"/>
      <w:r w:rsidRPr="00225D4D">
        <w:t>Rettleiaren</w:t>
      </w:r>
      <w:proofErr w:type="spellEnd"/>
      <w:r w:rsidRPr="00225D4D">
        <w:t xml:space="preserve"> er venta ferdig </w:t>
      </w:r>
      <w:proofErr w:type="spellStart"/>
      <w:r w:rsidRPr="00225D4D">
        <w:t>hausten</w:t>
      </w:r>
      <w:proofErr w:type="spellEnd"/>
      <w:r w:rsidRPr="00225D4D">
        <w:t xml:space="preserve"> 2025. Departementet foreslår på denne bakgrunn at rapporteringa blir avslutta.</w:t>
      </w:r>
    </w:p>
    <w:p w14:paraId="7A06695F" w14:textId="77777777" w:rsidR="00D60186" w:rsidRPr="00225D4D" w:rsidRDefault="00D60186" w:rsidP="00225D4D">
      <w:pPr>
        <w:pStyle w:val="avsnitt-tittel"/>
      </w:pPr>
      <w:r w:rsidRPr="00225D4D">
        <w:t xml:space="preserve">Digital </w:t>
      </w:r>
      <w:proofErr w:type="spellStart"/>
      <w:r w:rsidRPr="00225D4D">
        <w:t>marknadsplass</w:t>
      </w:r>
      <w:proofErr w:type="spellEnd"/>
      <w:r w:rsidRPr="00225D4D">
        <w:t xml:space="preserve"> for </w:t>
      </w:r>
      <w:proofErr w:type="spellStart"/>
      <w:r w:rsidRPr="00225D4D">
        <w:t>overskotsmassar</w:t>
      </w:r>
      <w:proofErr w:type="spellEnd"/>
    </w:p>
    <w:p w14:paraId="630569CE" w14:textId="77777777" w:rsidR="00D60186" w:rsidRPr="00225D4D" w:rsidRDefault="00D60186" w:rsidP="00225D4D">
      <w:pPr>
        <w:pStyle w:val="avsnitt-undertittel"/>
      </w:pPr>
      <w:r w:rsidRPr="00225D4D">
        <w:t>Vedtak 455, 12. januar 2023</w:t>
      </w:r>
    </w:p>
    <w:p w14:paraId="61B8ED42" w14:textId="77777777" w:rsidR="00D60186" w:rsidRPr="00225D4D" w:rsidRDefault="00D60186" w:rsidP="00225D4D">
      <w:pPr>
        <w:pStyle w:val="blokksit"/>
        <w:rPr>
          <w:rStyle w:val="kursiv"/>
        </w:rPr>
      </w:pPr>
      <w:r w:rsidRPr="00225D4D">
        <w:rPr>
          <w:rStyle w:val="kursiv"/>
        </w:rPr>
        <w:t>«Stortinget ber regjeringen legge til rette for etableringen av en digital markedsplass for overskuddsmasser, etter modell fra Bærum ressursbank.»</w:t>
      </w:r>
    </w:p>
    <w:p w14:paraId="0E72ECA0"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Mathilde Tybring-Gjedde og Nikolai Astrup om </w:t>
      </w:r>
      <w:proofErr w:type="spellStart"/>
      <w:r w:rsidRPr="00225D4D">
        <w:t>ein</w:t>
      </w:r>
      <w:proofErr w:type="spellEnd"/>
      <w:r w:rsidRPr="00225D4D">
        <w:t xml:space="preserve"> </w:t>
      </w:r>
      <w:proofErr w:type="spellStart"/>
      <w:r w:rsidRPr="00225D4D">
        <w:t>meir</w:t>
      </w:r>
      <w:proofErr w:type="spellEnd"/>
      <w:r w:rsidRPr="00225D4D">
        <w:t xml:space="preserve"> sirkulær økonomi, jf. Dokument 8:254 S (2021–2022) og </w:t>
      </w:r>
      <w:proofErr w:type="spellStart"/>
      <w:r w:rsidRPr="00225D4D">
        <w:t>Innst</w:t>
      </w:r>
      <w:proofErr w:type="spellEnd"/>
      <w:r w:rsidRPr="00225D4D">
        <w:t>. 124 S (2022–2023).</w:t>
      </w:r>
    </w:p>
    <w:p w14:paraId="69EC5BF6" w14:textId="77777777" w:rsidR="00D60186" w:rsidRPr="00225D4D" w:rsidRDefault="00D60186" w:rsidP="00225D4D">
      <w:r w:rsidRPr="00225D4D">
        <w:t xml:space="preserve">Departementet har innhenta </w:t>
      </w:r>
      <w:proofErr w:type="spellStart"/>
      <w:r w:rsidRPr="00225D4D">
        <w:t>ein</w:t>
      </w:r>
      <w:proofErr w:type="spellEnd"/>
      <w:r w:rsidRPr="00225D4D">
        <w:t xml:space="preserve"> rapport </w:t>
      </w:r>
      <w:proofErr w:type="spellStart"/>
      <w:r w:rsidRPr="00225D4D">
        <w:t>frå</w:t>
      </w:r>
      <w:proofErr w:type="spellEnd"/>
      <w:r w:rsidRPr="00225D4D">
        <w:t xml:space="preserve"> </w:t>
      </w:r>
      <w:proofErr w:type="spellStart"/>
      <w:r w:rsidRPr="00225D4D">
        <w:t>Asplan</w:t>
      </w:r>
      <w:proofErr w:type="spellEnd"/>
      <w:r w:rsidRPr="00225D4D">
        <w:t xml:space="preserve"> </w:t>
      </w:r>
      <w:proofErr w:type="spellStart"/>
      <w:r w:rsidRPr="00225D4D">
        <w:t>Viak</w:t>
      </w:r>
      <w:proofErr w:type="spellEnd"/>
      <w:r w:rsidRPr="00225D4D">
        <w:t xml:space="preserve"> AS (2025) som </w:t>
      </w:r>
      <w:proofErr w:type="spellStart"/>
      <w:r w:rsidRPr="00225D4D">
        <w:t>inneheld</w:t>
      </w:r>
      <w:proofErr w:type="spellEnd"/>
      <w:r w:rsidRPr="00225D4D">
        <w:t xml:space="preserve"> forslag til korleis staten kan legge til rette for etablering av digitale </w:t>
      </w:r>
      <w:proofErr w:type="spellStart"/>
      <w:r w:rsidRPr="00225D4D">
        <w:t>marknadsplassar</w:t>
      </w:r>
      <w:proofErr w:type="spellEnd"/>
      <w:r w:rsidRPr="00225D4D">
        <w:t xml:space="preserve"> for </w:t>
      </w:r>
      <w:proofErr w:type="spellStart"/>
      <w:r w:rsidRPr="00225D4D">
        <w:t>overskotsmassar</w:t>
      </w:r>
      <w:proofErr w:type="spellEnd"/>
      <w:r w:rsidRPr="00225D4D">
        <w:t xml:space="preserve"> ulike </w:t>
      </w:r>
      <w:proofErr w:type="spellStart"/>
      <w:r w:rsidRPr="00225D4D">
        <w:t>stader</w:t>
      </w:r>
      <w:proofErr w:type="spellEnd"/>
      <w:r w:rsidRPr="00225D4D">
        <w:t xml:space="preserve"> i landet. På kort sikt vurderer departementet, i samarbeid med andre relevante departement, å opprette </w:t>
      </w:r>
      <w:proofErr w:type="spellStart"/>
      <w:r w:rsidRPr="00225D4D">
        <w:t>eit</w:t>
      </w:r>
      <w:proofErr w:type="spellEnd"/>
      <w:r w:rsidRPr="00225D4D">
        <w:t xml:space="preserve"> nasjonalt samarbeidsforum for handtering av </w:t>
      </w:r>
      <w:proofErr w:type="spellStart"/>
      <w:r w:rsidRPr="00225D4D">
        <w:t>overskotsmassar</w:t>
      </w:r>
      <w:proofErr w:type="spellEnd"/>
      <w:r w:rsidRPr="00225D4D">
        <w:t xml:space="preserve">. Samarbeidsforumet skal mellom anna bidra til erfaringsutveksling mellom </w:t>
      </w:r>
      <w:proofErr w:type="spellStart"/>
      <w:r w:rsidRPr="00225D4D">
        <w:t>regionane</w:t>
      </w:r>
      <w:proofErr w:type="spellEnd"/>
      <w:r w:rsidRPr="00225D4D">
        <w:t xml:space="preserve"> om </w:t>
      </w:r>
      <w:proofErr w:type="spellStart"/>
      <w:r w:rsidRPr="00225D4D">
        <w:t>berekraftig</w:t>
      </w:r>
      <w:proofErr w:type="spellEnd"/>
      <w:r w:rsidRPr="00225D4D">
        <w:t xml:space="preserve"> </w:t>
      </w:r>
      <w:proofErr w:type="spellStart"/>
      <w:r w:rsidRPr="00225D4D">
        <w:t>massehandtering</w:t>
      </w:r>
      <w:proofErr w:type="spellEnd"/>
      <w:r w:rsidRPr="00225D4D">
        <w:t xml:space="preserve"> og utbreiing av digitale </w:t>
      </w:r>
      <w:proofErr w:type="spellStart"/>
      <w:r w:rsidRPr="00225D4D">
        <w:t>marknadsplassar</w:t>
      </w:r>
      <w:proofErr w:type="spellEnd"/>
      <w:r w:rsidRPr="00225D4D">
        <w:t>. Departementet foreslår på denne bakgrunn at rapporteringa blir avslutta.</w:t>
      </w:r>
    </w:p>
    <w:p w14:paraId="2B90E228" w14:textId="77777777" w:rsidR="00D60186" w:rsidRPr="00225D4D" w:rsidRDefault="00D60186" w:rsidP="00225D4D">
      <w:pPr>
        <w:pStyle w:val="avsnitt-tittel"/>
      </w:pPr>
      <w:r w:rsidRPr="00225D4D">
        <w:t>Fordeling av førehandsstemmer og stemmer på valkrins</w:t>
      </w:r>
    </w:p>
    <w:p w14:paraId="7040E0AF" w14:textId="77777777" w:rsidR="00D60186" w:rsidRPr="00225D4D" w:rsidRDefault="00D60186" w:rsidP="00225D4D">
      <w:pPr>
        <w:pStyle w:val="avsnitt-undertittel"/>
      </w:pPr>
      <w:r w:rsidRPr="00225D4D">
        <w:t>Vedtak 780, 7. juni 2023</w:t>
      </w:r>
    </w:p>
    <w:p w14:paraId="03F896B5" w14:textId="77777777" w:rsidR="00D60186" w:rsidRPr="00225D4D" w:rsidRDefault="00D60186" w:rsidP="00225D4D">
      <w:pPr>
        <w:pStyle w:val="blokksit"/>
        <w:rPr>
          <w:rStyle w:val="kursiv"/>
        </w:rPr>
      </w:pPr>
      <w:r w:rsidRPr="00225D4D">
        <w:rPr>
          <w:rStyle w:val="kursiv"/>
        </w:rPr>
        <w:t>«Stortinget ber regjeringen sørge for at forhåndsstemmer og stemmer avgitt i en annen valgkrets enn der velger er manntallsført ved valgoppgjøret, fordeles på den krets der velgeren er manntallsført.»</w:t>
      </w:r>
    </w:p>
    <w:p w14:paraId="72BA5E6A"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45 L (2022–2023) </w:t>
      </w:r>
      <w:r w:rsidRPr="00225D4D">
        <w:rPr>
          <w:rStyle w:val="kursiv"/>
        </w:rPr>
        <w:t>Lov om valg til Stortinget, fylkesting og kommunestyrer (valgloven)</w:t>
      </w:r>
      <w:r w:rsidRPr="00225D4D">
        <w:t xml:space="preserve">, </w:t>
      </w:r>
      <w:proofErr w:type="spellStart"/>
      <w:r w:rsidRPr="00225D4D">
        <w:t>Innst</w:t>
      </w:r>
      <w:proofErr w:type="spellEnd"/>
      <w:r w:rsidRPr="00225D4D">
        <w:t>. 431 L (2022–2023) og Lovvedtak 96 (2022–2023).</w:t>
      </w:r>
    </w:p>
    <w:p w14:paraId="72C4FF57" w14:textId="77777777" w:rsidR="00D60186" w:rsidRPr="00225D4D" w:rsidRDefault="00D60186" w:rsidP="00225D4D">
      <w:r w:rsidRPr="00225D4D">
        <w:t xml:space="preserve">Forslaget vil </w:t>
      </w:r>
      <w:proofErr w:type="spellStart"/>
      <w:r w:rsidRPr="00225D4D">
        <w:t>krevje</w:t>
      </w:r>
      <w:proofErr w:type="spellEnd"/>
      <w:r w:rsidRPr="00225D4D">
        <w:t xml:space="preserve"> endring i </w:t>
      </w:r>
      <w:proofErr w:type="spellStart"/>
      <w:r w:rsidRPr="00225D4D">
        <w:t>vallova</w:t>
      </w:r>
      <w:proofErr w:type="spellEnd"/>
      <w:r w:rsidRPr="00225D4D">
        <w:t xml:space="preserve"> om korleis </w:t>
      </w:r>
      <w:proofErr w:type="spellStart"/>
      <w:r w:rsidRPr="00225D4D">
        <w:t>kommunane</w:t>
      </w:r>
      <w:proofErr w:type="spellEnd"/>
      <w:r w:rsidRPr="00225D4D">
        <w:t xml:space="preserve"> tar imot stemmer og korleis </w:t>
      </w:r>
      <w:proofErr w:type="spellStart"/>
      <w:r w:rsidRPr="00225D4D">
        <w:t>oppteljing</w:t>
      </w:r>
      <w:proofErr w:type="spellEnd"/>
      <w:r w:rsidRPr="00225D4D">
        <w:t xml:space="preserve"> av stemmer skal </w:t>
      </w:r>
      <w:proofErr w:type="spellStart"/>
      <w:r w:rsidRPr="00225D4D">
        <w:t>gjerast</w:t>
      </w:r>
      <w:proofErr w:type="spellEnd"/>
      <w:r w:rsidRPr="00225D4D">
        <w:t xml:space="preserve">. Det må </w:t>
      </w:r>
      <w:proofErr w:type="spellStart"/>
      <w:r w:rsidRPr="00225D4D">
        <w:t>difor</w:t>
      </w:r>
      <w:proofErr w:type="spellEnd"/>
      <w:r w:rsidRPr="00225D4D">
        <w:t xml:space="preserve"> </w:t>
      </w:r>
      <w:proofErr w:type="spellStart"/>
      <w:r w:rsidRPr="00225D4D">
        <w:t>gjerast</w:t>
      </w:r>
      <w:proofErr w:type="spellEnd"/>
      <w:r w:rsidRPr="00225D4D">
        <w:t xml:space="preserve"> ei større utgreiing for å sjå på korleis </w:t>
      </w:r>
      <w:proofErr w:type="spellStart"/>
      <w:r w:rsidRPr="00225D4D">
        <w:t>oppmodningsvedtaket</w:t>
      </w:r>
      <w:proofErr w:type="spellEnd"/>
      <w:r w:rsidRPr="00225D4D">
        <w:t xml:space="preserve"> kan </w:t>
      </w:r>
      <w:proofErr w:type="spellStart"/>
      <w:r w:rsidRPr="00225D4D">
        <w:t>følgjast</w:t>
      </w:r>
      <w:proofErr w:type="spellEnd"/>
      <w:r w:rsidRPr="00225D4D">
        <w:t xml:space="preserve"> opp. Departementet har merka seg at kontroll- og konstitusjonskomiteen i </w:t>
      </w:r>
      <w:proofErr w:type="spellStart"/>
      <w:r w:rsidRPr="00225D4D">
        <w:t>Innst</w:t>
      </w:r>
      <w:proofErr w:type="spellEnd"/>
      <w:r w:rsidRPr="00225D4D">
        <w:t xml:space="preserve">. 347 L (2023–2024) </w:t>
      </w:r>
      <w:proofErr w:type="spellStart"/>
      <w:r w:rsidRPr="00225D4D">
        <w:t>understrekar</w:t>
      </w:r>
      <w:proofErr w:type="spellEnd"/>
      <w:r w:rsidRPr="00225D4D">
        <w:t xml:space="preserve"> at det er viktig at Stortinget får ei sak om korleis dette kan </w:t>
      </w:r>
      <w:proofErr w:type="spellStart"/>
      <w:r w:rsidRPr="00225D4D">
        <w:t>gjerast</w:t>
      </w:r>
      <w:proofErr w:type="spellEnd"/>
      <w:r w:rsidRPr="00225D4D">
        <w:t xml:space="preserve"> i god tid før kommunestyre- og </w:t>
      </w:r>
      <w:proofErr w:type="spellStart"/>
      <w:r w:rsidRPr="00225D4D">
        <w:t>fylkestingsvalet</w:t>
      </w:r>
      <w:proofErr w:type="spellEnd"/>
      <w:r w:rsidRPr="00225D4D">
        <w:t xml:space="preserve"> i 2027.</w:t>
      </w:r>
    </w:p>
    <w:p w14:paraId="0A84B01C"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eigna måte.</w:t>
      </w:r>
    </w:p>
    <w:p w14:paraId="1F64CD42" w14:textId="77777777" w:rsidR="00D60186" w:rsidRPr="00225D4D" w:rsidRDefault="00D60186" w:rsidP="00225D4D">
      <w:pPr>
        <w:pStyle w:val="avsnitt-tittel"/>
      </w:pPr>
      <w:r w:rsidRPr="00225D4D">
        <w:t xml:space="preserve">Evaluering av inntektssystemet for </w:t>
      </w:r>
      <w:proofErr w:type="spellStart"/>
      <w:r w:rsidRPr="00225D4D">
        <w:t>fylkeskommunar</w:t>
      </w:r>
      <w:proofErr w:type="spellEnd"/>
    </w:p>
    <w:p w14:paraId="79232175" w14:textId="77777777" w:rsidR="00D60186" w:rsidRPr="00225D4D" w:rsidRDefault="00D60186" w:rsidP="00225D4D">
      <w:pPr>
        <w:pStyle w:val="avsnitt-undertittel"/>
      </w:pPr>
      <w:r w:rsidRPr="00225D4D">
        <w:t>Vedtak 821, 13. juni 2023</w:t>
      </w:r>
    </w:p>
    <w:p w14:paraId="53C78674" w14:textId="77777777" w:rsidR="00D60186" w:rsidRPr="00225D4D" w:rsidRDefault="00D60186" w:rsidP="00225D4D">
      <w:pPr>
        <w:pStyle w:val="blokksit"/>
        <w:rPr>
          <w:rStyle w:val="kursiv"/>
        </w:rPr>
      </w:pPr>
      <w:r w:rsidRPr="00225D4D">
        <w:rPr>
          <w:rStyle w:val="kursiv"/>
        </w:rPr>
        <w:t>«Stortinget ber regjeringen komme tilbake med en evaluering av inntektssystemet for fylkeskommuner i forbindelse med fremleggelsen av kommuneproposisjonen våren 2027.»</w:t>
      </w:r>
    </w:p>
    <w:p w14:paraId="287E0136"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112 S (2022–2023) </w:t>
      </w:r>
      <w:r w:rsidRPr="00225D4D">
        <w:rPr>
          <w:rStyle w:val="kursiv"/>
        </w:rPr>
        <w:t xml:space="preserve">Kommuneproposisjonen 2024 </w:t>
      </w:r>
      <w:r w:rsidRPr="00225D4D">
        <w:t xml:space="preserve">og </w:t>
      </w:r>
      <w:proofErr w:type="spellStart"/>
      <w:r w:rsidRPr="00225D4D">
        <w:t>Innst</w:t>
      </w:r>
      <w:proofErr w:type="spellEnd"/>
      <w:r w:rsidRPr="00225D4D">
        <w:t>. 488 S (2022–2023).</w:t>
      </w:r>
    </w:p>
    <w:p w14:paraId="05012BC5" w14:textId="77777777" w:rsidR="00D60186" w:rsidRPr="00225D4D" w:rsidRDefault="00D60186" w:rsidP="00225D4D">
      <w:r w:rsidRPr="00225D4D">
        <w:t xml:space="preserve">Departementet tar sikte på å </w:t>
      </w:r>
      <w:proofErr w:type="spellStart"/>
      <w:r w:rsidRPr="00225D4D">
        <w:t>kome</w:t>
      </w:r>
      <w:proofErr w:type="spellEnd"/>
      <w:r w:rsidRPr="00225D4D">
        <w:t xml:space="preserve"> tilbake til saka i samband med kommuneproposisjonen for 2028, som skal </w:t>
      </w:r>
      <w:proofErr w:type="spellStart"/>
      <w:r w:rsidRPr="00225D4D">
        <w:t>leggast</w:t>
      </w:r>
      <w:proofErr w:type="spellEnd"/>
      <w:r w:rsidRPr="00225D4D">
        <w:t xml:space="preserve"> fram våren 2027 og foreslår på denne bakgrunn at rapporteringa blir avslutta.</w:t>
      </w:r>
    </w:p>
    <w:p w14:paraId="18F8CC0E" w14:textId="77777777" w:rsidR="00D60186" w:rsidRPr="00225D4D" w:rsidRDefault="00D60186" w:rsidP="00225D4D">
      <w:pPr>
        <w:pStyle w:val="avsnitt-tittel"/>
      </w:pPr>
      <w:r w:rsidRPr="00225D4D">
        <w:t>Evaluering av frikommuneforsøk</w:t>
      </w:r>
    </w:p>
    <w:p w14:paraId="1BB9045D" w14:textId="77777777" w:rsidR="00D60186" w:rsidRPr="00225D4D" w:rsidRDefault="00D60186" w:rsidP="00225D4D">
      <w:pPr>
        <w:pStyle w:val="avsnitt-undertittel"/>
      </w:pPr>
      <w:r w:rsidRPr="00225D4D">
        <w:t>Vedtak 824, 13. juni 2023</w:t>
      </w:r>
    </w:p>
    <w:p w14:paraId="23E91E02" w14:textId="77777777" w:rsidR="00D60186" w:rsidRPr="00225D4D" w:rsidRDefault="00D60186" w:rsidP="00225D4D">
      <w:pPr>
        <w:pStyle w:val="blokksit"/>
        <w:rPr>
          <w:rStyle w:val="kursiv"/>
        </w:rPr>
      </w:pPr>
      <w:r w:rsidRPr="00225D4D">
        <w:rPr>
          <w:rStyle w:val="kursiv"/>
        </w:rPr>
        <w:t>«Stortinget ber regjeringen komme tilbake med en evaluering av frikommuneforsøk på egnet tidspunkt.»</w:t>
      </w:r>
    </w:p>
    <w:p w14:paraId="4130EB5F"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112 S (2022–2023) </w:t>
      </w:r>
      <w:r w:rsidRPr="00225D4D">
        <w:rPr>
          <w:rStyle w:val="kursiv"/>
        </w:rPr>
        <w:t xml:space="preserve">Kommuneproposisjonen 2024 </w:t>
      </w:r>
      <w:r w:rsidRPr="00225D4D">
        <w:t xml:space="preserve">og </w:t>
      </w:r>
      <w:proofErr w:type="spellStart"/>
      <w:r w:rsidRPr="00225D4D">
        <w:t>Innst</w:t>
      </w:r>
      <w:proofErr w:type="spellEnd"/>
      <w:r w:rsidRPr="00225D4D">
        <w:t>. 488 S (2022–2023).</w:t>
      </w:r>
    </w:p>
    <w:p w14:paraId="0CC281A4" w14:textId="77777777" w:rsidR="00D60186" w:rsidRPr="00225D4D" w:rsidRDefault="00D60186" w:rsidP="00225D4D">
      <w:r w:rsidRPr="00225D4D">
        <w:t xml:space="preserve">Departementet har inngått avtale med Rambøll Management </w:t>
      </w:r>
      <w:proofErr w:type="spellStart"/>
      <w:r w:rsidRPr="00225D4D">
        <w:t>Consulting</w:t>
      </w:r>
      <w:proofErr w:type="spellEnd"/>
      <w:r w:rsidRPr="00225D4D">
        <w:t xml:space="preserve"> om å evaluere forsøksordninga. Det </w:t>
      </w:r>
      <w:proofErr w:type="spellStart"/>
      <w:r w:rsidRPr="00225D4D">
        <w:t>inneber</w:t>
      </w:r>
      <w:proofErr w:type="spellEnd"/>
      <w:r w:rsidRPr="00225D4D">
        <w:t xml:space="preserve"> å evaluere om rammene for forsøksordninga som regjeringa har invitert til, er </w:t>
      </w:r>
      <w:proofErr w:type="spellStart"/>
      <w:r w:rsidRPr="00225D4D">
        <w:t>ein</w:t>
      </w:r>
      <w:proofErr w:type="spellEnd"/>
      <w:r w:rsidRPr="00225D4D">
        <w:t xml:space="preserve"> hensiktsmessig måte å legge til rette for forsøk på. Denne evalueringa vil kunne gi </w:t>
      </w:r>
      <w:proofErr w:type="spellStart"/>
      <w:r w:rsidRPr="00225D4D">
        <w:t>eit</w:t>
      </w:r>
      <w:proofErr w:type="spellEnd"/>
      <w:r w:rsidRPr="00225D4D">
        <w:t xml:space="preserve"> grunnlag for å vurdere eventuelle </w:t>
      </w:r>
      <w:proofErr w:type="spellStart"/>
      <w:r w:rsidRPr="00225D4D">
        <w:t>endringar</w:t>
      </w:r>
      <w:proofErr w:type="spellEnd"/>
      <w:r w:rsidRPr="00225D4D">
        <w:t xml:space="preserve"> i forsøksregelverket på sikt. Dei enkelte forsøka skal òg </w:t>
      </w:r>
      <w:proofErr w:type="spellStart"/>
      <w:r w:rsidRPr="00225D4D">
        <w:t>evaluerast</w:t>
      </w:r>
      <w:proofErr w:type="spellEnd"/>
      <w:r w:rsidRPr="00225D4D">
        <w:t xml:space="preserve"> i eigne oppdrag.</w:t>
      </w:r>
    </w:p>
    <w:p w14:paraId="1CF43A29"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om evalueringa av forsøksordninga og foreslår på denne bakgrunn at rapporteringa blir avslutta.</w:t>
      </w:r>
    </w:p>
    <w:p w14:paraId="6067F89B" w14:textId="77777777" w:rsidR="00D60186" w:rsidRPr="00225D4D" w:rsidRDefault="00D60186" w:rsidP="00225D4D">
      <w:pPr>
        <w:pStyle w:val="avsnitt-tittel"/>
      </w:pPr>
      <w:r w:rsidRPr="00225D4D">
        <w:t>Etablering av solceller og/eller lokalprodusert energi på nye næringsbygg</w:t>
      </w:r>
    </w:p>
    <w:p w14:paraId="0FB9379D" w14:textId="77777777" w:rsidR="00D60186" w:rsidRPr="00225D4D" w:rsidRDefault="00D60186" w:rsidP="00225D4D">
      <w:pPr>
        <w:pStyle w:val="avsnitt-undertittel"/>
      </w:pPr>
      <w:r w:rsidRPr="00225D4D">
        <w:t>Vedtak 934, 16. juni 2023</w:t>
      </w:r>
    </w:p>
    <w:p w14:paraId="4F974BB0" w14:textId="77777777" w:rsidR="00D60186" w:rsidRPr="00225D4D" w:rsidRDefault="00D60186" w:rsidP="00225D4D">
      <w:pPr>
        <w:pStyle w:val="blokksit"/>
        <w:rPr>
          <w:rStyle w:val="kursiv"/>
        </w:rPr>
      </w:pPr>
      <w:r w:rsidRPr="00225D4D">
        <w:rPr>
          <w:rStyle w:val="kursiv"/>
        </w:rPr>
        <w:t>«Stortinget ber regjeringen i løpet av første halvår 2024 sende på høring et forslag med krav om at det skal etableres solceller og/eller lokalprodusert energi på alle nye næringsbygg over 500 m2 utenfor LNF-områder.»</w:t>
      </w:r>
    </w:p>
    <w:p w14:paraId="7A3F8DFA"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118 S (2022–2023) </w:t>
      </w:r>
      <w:r w:rsidRPr="00225D4D">
        <w:rPr>
          <w:rStyle w:val="kursiv"/>
        </w:rPr>
        <w:t xml:space="preserve">Tilleggsbevilgninger og omprioriteringer i statsbudsjettet 2023 </w:t>
      </w:r>
      <w:r w:rsidRPr="00225D4D">
        <w:t xml:space="preserve">og </w:t>
      </w:r>
      <w:proofErr w:type="spellStart"/>
      <w:r w:rsidRPr="00225D4D">
        <w:t>Innst</w:t>
      </w:r>
      <w:proofErr w:type="spellEnd"/>
      <w:r w:rsidRPr="00225D4D">
        <w:t>. 490 S (2022–2023).</w:t>
      </w:r>
    </w:p>
    <w:p w14:paraId="7336B75D" w14:textId="77777777" w:rsidR="00D60186" w:rsidRPr="00225D4D" w:rsidRDefault="00D60186" w:rsidP="00225D4D">
      <w:r w:rsidRPr="00225D4D">
        <w:t xml:space="preserve">I </w:t>
      </w:r>
      <w:proofErr w:type="spellStart"/>
      <w:r w:rsidRPr="00225D4D">
        <w:t>Innst</w:t>
      </w:r>
      <w:proofErr w:type="spellEnd"/>
      <w:r w:rsidRPr="00225D4D">
        <w:t xml:space="preserve">. 216 S (2024–2025) er </w:t>
      </w:r>
      <w:proofErr w:type="spellStart"/>
      <w:r w:rsidRPr="00225D4D">
        <w:t>fleirtalet</w:t>
      </w:r>
      <w:proofErr w:type="spellEnd"/>
      <w:r w:rsidRPr="00225D4D">
        <w:t xml:space="preserve"> i kontroll- og konstitusjonskomiteen </w:t>
      </w:r>
      <w:proofErr w:type="spellStart"/>
      <w:r w:rsidRPr="00225D4D">
        <w:t>einige</w:t>
      </w:r>
      <w:proofErr w:type="spellEnd"/>
      <w:r w:rsidRPr="00225D4D">
        <w:t xml:space="preserve"> om at regjeringa skal sende forslaget på </w:t>
      </w:r>
      <w:proofErr w:type="spellStart"/>
      <w:r w:rsidRPr="00225D4D">
        <w:t>høyring</w:t>
      </w:r>
      <w:proofErr w:type="spellEnd"/>
      <w:r w:rsidRPr="00225D4D">
        <w:t xml:space="preserve"> før 1. mai 2025.</w:t>
      </w:r>
    </w:p>
    <w:p w14:paraId="15255B41" w14:textId="77777777" w:rsidR="00D60186" w:rsidRPr="00225D4D" w:rsidRDefault="00D60186" w:rsidP="00225D4D">
      <w:r w:rsidRPr="00225D4D">
        <w:t xml:space="preserve">Forslaget </w:t>
      </w:r>
      <w:proofErr w:type="spellStart"/>
      <w:r w:rsidRPr="00225D4D">
        <w:t>vart</w:t>
      </w:r>
      <w:proofErr w:type="spellEnd"/>
      <w:r w:rsidRPr="00225D4D">
        <w:t xml:space="preserve"> sendt på </w:t>
      </w:r>
      <w:proofErr w:type="spellStart"/>
      <w:r w:rsidRPr="00225D4D">
        <w:t>høyring</w:t>
      </w:r>
      <w:proofErr w:type="spellEnd"/>
      <w:r w:rsidRPr="00225D4D">
        <w:t xml:space="preserve"> i juni 2025, med </w:t>
      </w:r>
      <w:proofErr w:type="spellStart"/>
      <w:r w:rsidRPr="00225D4D">
        <w:t>høyringsfrist</w:t>
      </w:r>
      <w:proofErr w:type="spellEnd"/>
      <w:r w:rsidRPr="00225D4D">
        <w:t xml:space="preserve"> 26. september 2025. Forslaget er </w:t>
      </w:r>
      <w:proofErr w:type="spellStart"/>
      <w:r w:rsidRPr="00225D4D">
        <w:t>ein</w:t>
      </w:r>
      <w:proofErr w:type="spellEnd"/>
      <w:r w:rsidRPr="00225D4D">
        <w:t xml:space="preserve"> del av arbeidet med å gå gjennom energikrava i </w:t>
      </w:r>
      <w:proofErr w:type="spellStart"/>
      <w:r w:rsidRPr="00225D4D">
        <w:t>byggteknisk</w:t>
      </w:r>
      <w:proofErr w:type="spellEnd"/>
      <w:r w:rsidRPr="00225D4D">
        <w:t xml:space="preserve"> forskrift og relevante krav i byggesaksforskrifta, og vurdere </w:t>
      </w:r>
      <w:proofErr w:type="spellStart"/>
      <w:r w:rsidRPr="00225D4D">
        <w:t>moglege</w:t>
      </w:r>
      <w:proofErr w:type="spellEnd"/>
      <w:r w:rsidRPr="00225D4D">
        <w:t xml:space="preserve"> </w:t>
      </w:r>
      <w:proofErr w:type="spellStart"/>
      <w:r w:rsidRPr="00225D4D">
        <w:t>endringar</w:t>
      </w:r>
      <w:proofErr w:type="spellEnd"/>
      <w:r w:rsidRPr="00225D4D">
        <w:t xml:space="preserve"> som kan bidra til </w:t>
      </w:r>
      <w:proofErr w:type="spellStart"/>
      <w:r w:rsidRPr="00225D4D">
        <w:t>auka</w:t>
      </w:r>
      <w:proofErr w:type="spellEnd"/>
      <w:r w:rsidRPr="00225D4D">
        <w:t xml:space="preserve"> energieffektivitet, energifleksibilitet og lokal energiproduksjon.</w:t>
      </w:r>
    </w:p>
    <w:p w14:paraId="552A98D0"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5E355959" w14:textId="77777777" w:rsidR="00D60186" w:rsidRPr="00225D4D" w:rsidRDefault="00D60186" w:rsidP="00225D4D">
      <w:pPr>
        <w:pStyle w:val="Overskrift2"/>
      </w:pPr>
      <w:r w:rsidRPr="00225D4D">
        <w:t>Stortingssesjon 2021–2022</w:t>
      </w:r>
    </w:p>
    <w:p w14:paraId="3FB199DA" w14:textId="77777777" w:rsidR="00D60186" w:rsidRPr="00225D4D" w:rsidRDefault="00D60186" w:rsidP="00225D4D">
      <w:pPr>
        <w:pStyle w:val="avsnitt-tittel"/>
      </w:pPr>
      <w:proofErr w:type="spellStart"/>
      <w:r w:rsidRPr="00225D4D">
        <w:t>Blankoskøyter</w:t>
      </w:r>
      <w:proofErr w:type="spellEnd"/>
      <w:r w:rsidRPr="00225D4D">
        <w:t xml:space="preserve"> og plikt til tinglysing</w:t>
      </w:r>
    </w:p>
    <w:p w14:paraId="1B6816F7" w14:textId="77777777" w:rsidR="00D60186" w:rsidRPr="00225D4D" w:rsidRDefault="00D60186" w:rsidP="00225D4D">
      <w:pPr>
        <w:pStyle w:val="avsnitt-undertittel"/>
      </w:pPr>
      <w:r w:rsidRPr="00225D4D">
        <w:t>Vedtak 35 nr. 35, 2. desember 2021</w:t>
      </w:r>
    </w:p>
    <w:p w14:paraId="0345C23F" w14:textId="77777777" w:rsidR="00D60186" w:rsidRPr="00225D4D" w:rsidRDefault="00D60186" w:rsidP="00225D4D">
      <w:pPr>
        <w:pStyle w:val="blokksit"/>
        <w:rPr>
          <w:rStyle w:val="kursiv"/>
        </w:rPr>
      </w:pPr>
      <w:r w:rsidRPr="00225D4D">
        <w:rPr>
          <w:rStyle w:val="kursiv"/>
        </w:rPr>
        <w:t xml:space="preserve">«Stortinget ber regjeringen utrede bruken av </w:t>
      </w:r>
      <w:proofErr w:type="spellStart"/>
      <w:r w:rsidRPr="00225D4D">
        <w:rPr>
          <w:rStyle w:val="kursiv"/>
        </w:rPr>
        <w:t>blankoskjøter</w:t>
      </w:r>
      <w:proofErr w:type="spellEnd"/>
      <w:r w:rsidRPr="00225D4D">
        <w:rPr>
          <w:rStyle w:val="kursiv"/>
        </w:rPr>
        <w:t xml:space="preserve"> og plikt til tinglysing ved eiendomskjøp.»</w:t>
      </w:r>
    </w:p>
    <w:p w14:paraId="2639AD6D" w14:textId="77777777" w:rsidR="00D60186" w:rsidRPr="00225D4D" w:rsidRDefault="00D60186" w:rsidP="00225D4D">
      <w:r w:rsidRPr="00225D4D">
        <w:t xml:space="preserve">Dokumenta som ligg til grunn for vedtaket er Meld. St. 1 (2021–2022) </w:t>
      </w:r>
      <w:r w:rsidRPr="00225D4D">
        <w:rPr>
          <w:rStyle w:val="kursiv"/>
        </w:rPr>
        <w:t xml:space="preserve">Nasjonalbudsjettet 2022 </w:t>
      </w:r>
      <w:r w:rsidRPr="00225D4D">
        <w:t xml:space="preserve">og </w:t>
      </w:r>
      <w:proofErr w:type="spellStart"/>
      <w:r w:rsidRPr="00225D4D">
        <w:t>Innst</w:t>
      </w:r>
      <w:proofErr w:type="spellEnd"/>
      <w:r w:rsidRPr="00225D4D">
        <w:t>. 2 S (2021–2022).</w:t>
      </w:r>
    </w:p>
    <w:p w14:paraId="0DBEED78" w14:textId="77777777" w:rsidR="00D60186" w:rsidRPr="00225D4D" w:rsidRDefault="00D60186" w:rsidP="00225D4D">
      <w:r w:rsidRPr="00225D4D">
        <w:t xml:space="preserve">Oppfølginga av dette vedtaket har nær </w:t>
      </w:r>
      <w:proofErr w:type="spellStart"/>
      <w:r w:rsidRPr="00225D4D">
        <w:t>samanheng</w:t>
      </w:r>
      <w:proofErr w:type="spellEnd"/>
      <w:r w:rsidRPr="00225D4D">
        <w:t xml:space="preserve"> med og vil bli </w:t>
      </w:r>
      <w:proofErr w:type="spellStart"/>
      <w:r w:rsidRPr="00225D4D">
        <w:t>følgt</w:t>
      </w:r>
      <w:proofErr w:type="spellEnd"/>
      <w:r w:rsidRPr="00225D4D">
        <w:t xml:space="preserve"> opp under vedtak 756, 12. juni 2024. Det vises til omtale under dette vedtaket. Departementet foreslår på denne bakgrunn at rapporteringa blir avslutta.</w:t>
      </w:r>
    </w:p>
    <w:p w14:paraId="70A8C7EB" w14:textId="77777777" w:rsidR="00D60186" w:rsidRPr="00225D4D" w:rsidRDefault="00D60186" w:rsidP="00225D4D">
      <w:pPr>
        <w:pStyle w:val="avsnitt-tittel"/>
      </w:pPr>
      <w:proofErr w:type="spellStart"/>
      <w:r w:rsidRPr="00225D4D">
        <w:t>Studentbustader</w:t>
      </w:r>
      <w:proofErr w:type="spellEnd"/>
      <w:r w:rsidRPr="00225D4D">
        <w:t xml:space="preserve"> som eige </w:t>
      </w:r>
      <w:proofErr w:type="spellStart"/>
      <w:r w:rsidRPr="00225D4D">
        <w:t>føremål</w:t>
      </w:r>
      <w:proofErr w:type="spellEnd"/>
      <w:r w:rsidRPr="00225D4D">
        <w:t xml:space="preserve"> i kommunale </w:t>
      </w:r>
      <w:proofErr w:type="spellStart"/>
      <w:r w:rsidRPr="00225D4D">
        <w:t>arealplanar</w:t>
      </w:r>
      <w:proofErr w:type="spellEnd"/>
    </w:p>
    <w:p w14:paraId="160A6C79" w14:textId="77777777" w:rsidR="00D60186" w:rsidRPr="00225D4D" w:rsidRDefault="00D60186" w:rsidP="00225D4D">
      <w:pPr>
        <w:pStyle w:val="avsnitt-undertittel"/>
      </w:pPr>
      <w:r w:rsidRPr="00225D4D">
        <w:t>Vedtak 35 nr. 54, 2. desember 2021</w:t>
      </w:r>
    </w:p>
    <w:p w14:paraId="28F0193A" w14:textId="77777777" w:rsidR="00D60186" w:rsidRPr="00225D4D" w:rsidRDefault="00D60186" w:rsidP="00225D4D">
      <w:pPr>
        <w:pStyle w:val="blokksit"/>
        <w:rPr>
          <w:rStyle w:val="kursiv"/>
        </w:rPr>
      </w:pPr>
      <w:r w:rsidRPr="00225D4D">
        <w:rPr>
          <w:rStyle w:val="kursiv"/>
        </w:rPr>
        <w:t>«Stortinget ber regjeringen vurdere forslag til endringer i plan- og bygningsloven om at studentboliger blir et eget formål i kommunale arealplaner, innen utgangen av 2022.»</w:t>
      </w:r>
    </w:p>
    <w:p w14:paraId="1E04938C" w14:textId="77777777" w:rsidR="00D60186" w:rsidRPr="00225D4D" w:rsidRDefault="00D60186" w:rsidP="00225D4D">
      <w:r w:rsidRPr="00225D4D">
        <w:t xml:space="preserve">Dokumenta som ligg til grunn for vedtaket er Meld. St. 1 (2021–2022) </w:t>
      </w:r>
      <w:r w:rsidRPr="00225D4D">
        <w:rPr>
          <w:rStyle w:val="kursiv"/>
        </w:rPr>
        <w:t xml:space="preserve">Nasjonalbudsjettet 2022 </w:t>
      </w:r>
      <w:r w:rsidRPr="00225D4D">
        <w:t xml:space="preserve">og </w:t>
      </w:r>
      <w:proofErr w:type="spellStart"/>
      <w:r w:rsidRPr="00225D4D">
        <w:t>Innst</w:t>
      </w:r>
      <w:proofErr w:type="spellEnd"/>
      <w:r w:rsidRPr="00225D4D">
        <w:t>. 2 S (2021–2022).</w:t>
      </w:r>
    </w:p>
    <w:p w14:paraId="309D34A8" w14:textId="77777777" w:rsidR="00D60186" w:rsidRPr="00225D4D" w:rsidRDefault="00D60186" w:rsidP="00225D4D">
      <w:proofErr w:type="spellStart"/>
      <w:r w:rsidRPr="00225D4D">
        <w:t>Eit</w:t>
      </w:r>
      <w:proofErr w:type="spellEnd"/>
      <w:r w:rsidRPr="00225D4D">
        <w:t xml:space="preserve"> forslag om å innføre </w:t>
      </w:r>
      <w:proofErr w:type="spellStart"/>
      <w:r w:rsidRPr="00225D4D">
        <w:t>studentbustader</w:t>
      </w:r>
      <w:proofErr w:type="spellEnd"/>
      <w:r w:rsidRPr="00225D4D">
        <w:t xml:space="preserve"> som nytt arealformål vart </w:t>
      </w:r>
      <w:proofErr w:type="spellStart"/>
      <w:r w:rsidRPr="00225D4D">
        <w:t>utgreidd</w:t>
      </w:r>
      <w:proofErr w:type="spellEnd"/>
      <w:r w:rsidRPr="00225D4D">
        <w:t xml:space="preserve"> og sendt på </w:t>
      </w:r>
      <w:proofErr w:type="spellStart"/>
      <w:r w:rsidRPr="00225D4D">
        <w:t>høyring</w:t>
      </w:r>
      <w:proofErr w:type="spellEnd"/>
      <w:r w:rsidRPr="00225D4D">
        <w:t xml:space="preserve"> 15. april 2024, med </w:t>
      </w:r>
      <w:proofErr w:type="spellStart"/>
      <w:r w:rsidRPr="00225D4D">
        <w:t>høyringsfrist</w:t>
      </w:r>
      <w:proofErr w:type="spellEnd"/>
      <w:r w:rsidRPr="00225D4D">
        <w:t xml:space="preserve"> 5. august 2024. Det nye arealformålet er </w:t>
      </w:r>
      <w:proofErr w:type="spellStart"/>
      <w:r w:rsidRPr="00225D4D">
        <w:t>teke</w:t>
      </w:r>
      <w:proofErr w:type="spellEnd"/>
      <w:r w:rsidRPr="00225D4D">
        <w:t xml:space="preserve"> inn i kart- og planforskrifta som </w:t>
      </w:r>
      <w:proofErr w:type="spellStart"/>
      <w:r w:rsidRPr="00225D4D">
        <w:t>nyleg</w:t>
      </w:r>
      <w:proofErr w:type="spellEnd"/>
      <w:r w:rsidRPr="00225D4D">
        <w:t xml:space="preserve"> er revidert. Forskrifta vart </w:t>
      </w:r>
      <w:proofErr w:type="spellStart"/>
      <w:r w:rsidRPr="00225D4D">
        <w:t>vedteken</w:t>
      </w:r>
      <w:proofErr w:type="spellEnd"/>
      <w:r w:rsidRPr="00225D4D">
        <w:t xml:space="preserve"> 20. januar 2025 og trådde i kraft 1. juli 2025.</w:t>
      </w:r>
    </w:p>
    <w:p w14:paraId="19F9DFDC"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220DB1B2" w14:textId="77777777" w:rsidR="00D60186" w:rsidRPr="00225D4D" w:rsidRDefault="00D60186" w:rsidP="00225D4D">
      <w:pPr>
        <w:pStyle w:val="avsnitt-tittel"/>
      </w:pPr>
      <w:r w:rsidRPr="00225D4D">
        <w:t>Energifleksibel oppvarming</w:t>
      </w:r>
    </w:p>
    <w:p w14:paraId="0266CB0A" w14:textId="77777777" w:rsidR="00D60186" w:rsidRPr="00225D4D" w:rsidRDefault="00D60186" w:rsidP="00225D4D">
      <w:pPr>
        <w:pStyle w:val="avsnitt-undertittel"/>
      </w:pPr>
      <w:r w:rsidRPr="00225D4D">
        <w:t>Vedtak 726, 10. juni 2022</w:t>
      </w:r>
    </w:p>
    <w:p w14:paraId="3C87FC26" w14:textId="77777777" w:rsidR="00D60186" w:rsidRPr="00225D4D" w:rsidRDefault="00D60186" w:rsidP="00225D4D">
      <w:pPr>
        <w:pStyle w:val="blokksit"/>
        <w:rPr>
          <w:rStyle w:val="kursiv"/>
        </w:rPr>
      </w:pPr>
      <w:r w:rsidRPr="00225D4D">
        <w:rPr>
          <w:rStyle w:val="kursiv"/>
        </w:rPr>
        <w:t xml:space="preserve">«Stortinget ber regjeringen utrede energieffekten og konsekvenser for </w:t>
      </w:r>
      <w:proofErr w:type="spellStart"/>
      <w:r w:rsidRPr="00225D4D">
        <w:rPr>
          <w:rStyle w:val="kursiv"/>
        </w:rPr>
        <w:t>byggekostnadene</w:t>
      </w:r>
      <w:proofErr w:type="spellEnd"/>
      <w:r w:rsidRPr="00225D4D">
        <w:rPr>
          <w:rStyle w:val="kursiv"/>
        </w:rPr>
        <w:t xml:space="preserve"> av å stramme inn kravet til energifleksibel oppvarming, og vurdere hvor mye kravet kan strammes inn.»</w:t>
      </w:r>
    </w:p>
    <w:p w14:paraId="47E11C84" w14:textId="77777777" w:rsidR="00D60186" w:rsidRPr="00225D4D" w:rsidRDefault="00D60186" w:rsidP="00225D4D">
      <w:r w:rsidRPr="00225D4D">
        <w:t xml:space="preserve">Dokumenta som ligg til grunn for vedtaket er </w:t>
      </w:r>
      <w:proofErr w:type="spellStart"/>
      <w:r w:rsidRPr="00225D4D">
        <w:t>Innst</w:t>
      </w:r>
      <w:proofErr w:type="spellEnd"/>
      <w:r w:rsidRPr="00225D4D">
        <w:t xml:space="preserve">. 446 S (2021–2022) Innstilling </w:t>
      </w:r>
      <w:proofErr w:type="spellStart"/>
      <w:r w:rsidRPr="00225D4D">
        <w:t>frå</w:t>
      </w:r>
      <w:proofErr w:type="spellEnd"/>
      <w:r w:rsidRPr="00225D4D">
        <w:t xml:space="preserve"> energi- og miljøkomiteen om Meld. St. 36 (2020–2021) </w:t>
      </w:r>
      <w:r w:rsidRPr="00225D4D">
        <w:rPr>
          <w:rStyle w:val="kursiv"/>
        </w:rPr>
        <w:t>Energi til arbeid – langsiktig verdiskaping fra norske energiressurser</w:t>
      </w:r>
      <w:r w:rsidRPr="00225D4D">
        <w:t xml:space="preserve">, Meld. St. 11 (2021–2022) </w:t>
      </w:r>
      <w:r w:rsidRPr="00225D4D">
        <w:rPr>
          <w:rStyle w:val="kursiv"/>
        </w:rPr>
        <w:t>Tilleggsmelding til Meld. St. 36 (2020–2021) Energi til arbeid – langsiktig verdiskaping fra norske energiressurser</w:t>
      </w:r>
      <w:r w:rsidRPr="00225D4D">
        <w:t xml:space="preserve">, representantforslag om å forlenge strømkompensasjonen, representantforslag om å bygge opp ei kraftfull norsk havvindsatsing, representantforslag om energipolitikk for framtida, representantforslag om hurtigspor for </w:t>
      </w:r>
      <w:proofErr w:type="spellStart"/>
      <w:r w:rsidRPr="00225D4D">
        <w:t>flytande</w:t>
      </w:r>
      <w:proofErr w:type="spellEnd"/>
      <w:r w:rsidRPr="00225D4D">
        <w:t xml:space="preserve"> havvind, representantforslag om uavhengige </w:t>
      </w:r>
      <w:proofErr w:type="spellStart"/>
      <w:r w:rsidRPr="00225D4D">
        <w:t>konsekvensutgreiingar</w:t>
      </w:r>
      <w:proofErr w:type="spellEnd"/>
      <w:r w:rsidRPr="00225D4D">
        <w:t xml:space="preserve"> i </w:t>
      </w:r>
      <w:proofErr w:type="spellStart"/>
      <w:r w:rsidRPr="00225D4D">
        <w:t>vindkraftsakar</w:t>
      </w:r>
      <w:proofErr w:type="spellEnd"/>
      <w:r w:rsidRPr="00225D4D">
        <w:t xml:space="preserve"> og representantforslag om energi for framtida.</w:t>
      </w:r>
    </w:p>
    <w:p w14:paraId="220FD536" w14:textId="77777777" w:rsidR="00D60186" w:rsidRPr="00225D4D" w:rsidRDefault="00D60186" w:rsidP="00225D4D">
      <w:r w:rsidRPr="00225D4D">
        <w:t xml:space="preserve">Direktoratet for </w:t>
      </w:r>
      <w:proofErr w:type="spellStart"/>
      <w:r w:rsidRPr="00225D4D">
        <w:t>byggkvalitet</w:t>
      </w:r>
      <w:proofErr w:type="spellEnd"/>
      <w:r w:rsidRPr="00225D4D">
        <w:t xml:space="preserve"> har greidd ut </w:t>
      </w:r>
      <w:proofErr w:type="spellStart"/>
      <w:r w:rsidRPr="00225D4D">
        <w:t>moglege</w:t>
      </w:r>
      <w:proofErr w:type="spellEnd"/>
      <w:r w:rsidRPr="00225D4D">
        <w:t xml:space="preserve"> </w:t>
      </w:r>
      <w:proofErr w:type="spellStart"/>
      <w:r w:rsidRPr="00225D4D">
        <w:t>endringar</w:t>
      </w:r>
      <w:proofErr w:type="spellEnd"/>
      <w:r w:rsidRPr="00225D4D">
        <w:t xml:space="preserve"> i krava til energifleksibel oppvarming. </w:t>
      </w:r>
      <w:proofErr w:type="spellStart"/>
      <w:r w:rsidRPr="00225D4D">
        <w:t>Utgreiingane</w:t>
      </w:r>
      <w:proofErr w:type="spellEnd"/>
      <w:r w:rsidRPr="00225D4D">
        <w:t xml:space="preserve"> syner at det </w:t>
      </w:r>
      <w:proofErr w:type="spellStart"/>
      <w:r w:rsidRPr="00225D4D">
        <w:t>ikkje</w:t>
      </w:r>
      <w:proofErr w:type="spellEnd"/>
      <w:r w:rsidRPr="00225D4D">
        <w:t xml:space="preserve"> er </w:t>
      </w:r>
      <w:proofErr w:type="spellStart"/>
      <w:r w:rsidRPr="00225D4D">
        <w:t>lønsamt</w:t>
      </w:r>
      <w:proofErr w:type="spellEnd"/>
      <w:r w:rsidRPr="00225D4D">
        <w:t xml:space="preserve"> å stramme inn kravet. Det er </w:t>
      </w:r>
      <w:proofErr w:type="spellStart"/>
      <w:r w:rsidRPr="00225D4D">
        <w:t>føremålstenleg</w:t>
      </w:r>
      <w:proofErr w:type="spellEnd"/>
      <w:r w:rsidRPr="00225D4D">
        <w:t xml:space="preserve"> å </w:t>
      </w:r>
      <w:proofErr w:type="spellStart"/>
      <w:r w:rsidRPr="00225D4D">
        <w:t>gjere</w:t>
      </w:r>
      <w:proofErr w:type="spellEnd"/>
      <w:r w:rsidRPr="00225D4D">
        <w:t xml:space="preserve"> andre </w:t>
      </w:r>
      <w:proofErr w:type="spellStart"/>
      <w:r w:rsidRPr="00225D4D">
        <w:t>endringar</w:t>
      </w:r>
      <w:proofErr w:type="spellEnd"/>
      <w:r w:rsidRPr="00225D4D">
        <w:t xml:space="preserve"> i energikrava i </w:t>
      </w:r>
      <w:proofErr w:type="spellStart"/>
      <w:r w:rsidRPr="00225D4D">
        <w:t>byggteknisk</w:t>
      </w:r>
      <w:proofErr w:type="spellEnd"/>
      <w:r w:rsidRPr="00225D4D">
        <w:t xml:space="preserve"> forskrift for å bidra til </w:t>
      </w:r>
      <w:proofErr w:type="spellStart"/>
      <w:r w:rsidRPr="00225D4D">
        <w:t>auka</w:t>
      </w:r>
      <w:proofErr w:type="spellEnd"/>
      <w:r w:rsidRPr="00225D4D">
        <w:t xml:space="preserve"> energieffektivitet, energifleksibilitet og lokal energiproduksjon. Dette er greidd ut i arbeidet med ei </w:t>
      </w:r>
      <w:proofErr w:type="spellStart"/>
      <w:r w:rsidRPr="00225D4D">
        <w:t>heilskapleg</w:t>
      </w:r>
      <w:proofErr w:type="spellEnd"/>
      <w:r w:rsidRPr="00225D4D">
        <w:t xml:space="preserve"> gjennomgang av energikrava i </w:t>
      </w:r>
      <w:proofErr w:type="spellStart"/>
      <w:r w:rsidRPr="00225D4D">
        <w:t>byggteknisk</w:t>
      </w:r>
      <w:proofErr w:type="spellEnd"/>
      <w:r w:rsidRPr="00225D4D">
        <w:t xml:space="preserve"> forskrift og relevante krav i byggesaksforskrift, </w:t>
      </w:r>
      <w:proofErr w:type="spellStart"/>
      <w:r w:rsidRPr="00225D4D">
        <w:t>eit</w:t>
      </w:r>
      <w:proofErr w:type="spellEnd"/>
      <w:r w:rsidRPr="00225D4D">
        <w:t xml:space="preserve"> arbeid som er sett i gang i samband med handlingsplanen for energieffektivisering i alle </w:t>
      </w:r>
      <w:proofErr w:type="spellStart"/>
      <w:r w:rsidRPr="00225D4D">
        <w:t>delar</w:t>
      </w:r>
      <w:proofErr w:type="spellEnd"/>
      <w:r w:rsidRPr="00225D4D">
        <w:t xml:space="preserve"> av norsk økonomi.</w:t>
      </w:r>
    </w:p>
    <w:p w14:paraId="5473499D" w14:textId="77777777" w:rsidR="00D60186" w:rsidRPr="00225D4D" w:rsidRDefault="00D60186" w:rsidP="00225D4D">
      <w:r w:rsidRPr="00225D4D">
        <w:t xml:space="preserve">Departementet meiner med dette at oppmodingsvedtaket er </w:t>
      </w:r>
      <w:proofErr w:type="spellStart"/>
      <w:r w:rsidRPr="00225D4D">
        <w:t>følgt</w:t>
      </w:r>
      <w:proofErr w:type="spellEnd"/>
      <w:r w:rsidRPr="00225D4D">
        <w:t xml:space="preserve"> opp.</w:t>
      </w:r>
    </w:p>
    <w:p w14:paraId="65DBF36F" w14:textId="77777777" w:rsidR="00D60186" w:rsidRPr="00225D4D" w:rsidRDefault="00D60186" w:rsidP="00225D4D">
      <w:pPr>
        <w:pStyle w:val="Overskrift2"/>
      </w:pPr>
      <w:r w:rsidRPr="00225D4D">
        <w:t>Stortingssesjon 2018–2019</w:t>
      </w:r>
    </w:p>
    <w:p w14:paraId="4216DCA4" w14:textId="77777777" w:rsidR="00D60186" w:rsidRPr="00225D4D" w:rsidRDefault="00D60186" w:rsidP="00225D4D">
      <w:pPr>
        <w:pStyle w:val="avsnitt-tittel"/>
      </w:pPr>
      <w:r w:rsidRPr="00225D4D">
        <w:t xml:space="preserve">Opplysningsplikt for </w:t>
      </w:r>
      <w:proofErr w:type="spellStart"/>
      <w:r w:rsidRPr="00225D4D">
        <w:t>statsrådar</w:t>
      </w:r>
      <w:proofErr w:type="spellEnd"/>
      <w:r w:rsidRPr="00225D4D">
        <w:t xml:space="preserve"> og </w:t>
      </w:r>
      <w:proofErr w:type="spellStart"/>
      <w:r w:rsidRPr="00225D4D">
        <w:t>statssekretærar</w:t>
      </w:r>
      <w:proofErr w:type="spellEnd"/>
    </w:p>
    <w:p w14:paraId="021B47F7" w14:textId="77777777" w:rsidR="00D60186" w:rsidRPr="00225D4D" w:rsidRDefault="00D60186" w:rsidP="00225D4D">
      <w:pPr>
        <w:pStyle w:val="avsnitt-undertittel"/>
      </w:pPr>
      <w:r w:rsidRPr="00225D4D">
        <w:t>Vedtak 55, 27. november 2018</w:t>
      </w:r>
    </w:p>
    <w:p w14:paraId="6BA46DAC" w14:textId="77777777" w:rsidR="00D60186" w:rsidRPr="00225D4D" w:rsidRDefault="00D60186" w:rsidP="00225D4D">
      <w:pPr>
        <w:pStyle w:val="blokksit"/>
        <w:rPr>
          <w:rStyle w:val="kursiv"/>
        </w:rPr>
      </w:pPr>
      <w:r w:rsidRPr="00225D4D">
        <w:rPr>
          <w:rStyle w:val="kursiv"/>
        </w:rPr>
        <w:t>«Stortinget ber regjeringen utrede og sende på høring forslag om endring i lov om registrering av regjeringsmedlemmers verv og økonomiske interesser. Herunder opplysningsplikt for statsråder og statssekretærer til å registrere sine tidligere oppdragsgivere og oppdragenes innhold der vedkommende, de siste to år før tiltredelse, har arbeidet med å fremme politiske eller næringsmessige interesser.»</w:t>
      </w:r>
    </w:p>
    <w:p w14:paraId="1E10605E"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Karin Andersen, Torgeir </w:t>
      </w:r>
      <w:proofErr w:type="spellStart"/>
      <w:r w:rsidRPr="00225D4D">
        <w:t>Knag</w:t>
      </w:r>
      <w:proofErr w:type="spellEnd"/>
      <w:r w:rsidRPr="00225D4D">
        <w:t xml:space="preserve"> Fylkesnes, Kari Elisabeth </w:t>
      </w:r>
      <w:proofErr w:type="spellStart"/>
      <w:r w:rsidRPr="00225D4D">
        <w:t>Kaski</w:t>
      </w:r>
      <w:proofErr w:type="spellEnd"/>
      <w:r w:rsidRPr="00225D4D">
        <w:t xml:space="preserve">, Gina Barstad og Marius Meisfjord </w:t>
      </w:r>
      <w:proofErr w:type="spellStart"/>
      <w:r w:rsidRPr="00225D4D">
        <w:t>Jøsevold</w:t>
      </w:r>
      <w:proofErr w:type="spellEnd"/>
      <w:r w:rsidRPr="00225D4D">
        <w:t xml:space="preserve"> om opplysningsplikt for </w:t>
      </w:r>
      <w:proofErr w:type="spellStart"/>
      <w:r w:rsidRPr="00225D4D">
        <w:t>statsrådar</w:t>
      </w:r>
      <w:proofErr w:type="spellEnd"/>
      <w:r w:rsidRPr="00225D4D">
        <w:t xml:space="preserve"> og </w:t>
      </w:r>
      <w:proofErr w:type="spellStart"/>
      <w:r w:rsidRPr="00225D4D">
        <w:t>statssekretærar</w:t>
      </w:r>
      <w:proofErr w:type="spellEnd"/>
      <w:r w:rsidRPr="00225D4D">
        <w:t xml:space="preserve">, jf. Dokument 8:108 LS (2017–2018) og </w:t>
      </w:r>
      <w:proofErr w:type="spellStart"/>
      <w:r w:rsidRPr="00225D4D">
        <w:t>Innst</w:t>
      </w:r>
      <w:proofErr w:type="spellEnd"/>
      <w:r w:rsidRPr="00225D4D">
        <w:t>. 54 L (2018–2019).</w:t>
      </w:r>
    </w:p>
    <w:p w14:paraId="754DAA85" w14:textId="77777777" w:rsidR="00D60186" w:rsidRPr="00225D4D" w:rsidRDefault="00D60186" w:rsidP="00225D4D">
      <w:r w:rsidRPr="00225D4D">
        <w:t xml:space="preserve">Lov om registrering av </w:t>
      </w:r>
      <w:proofErr w:type="spellStart"/>
      <w:r w:rsidRPr="00225D4D">
        <w:t>regjeringsmedlemmars</w:t>
      </w:r>
      <w:proofErr w:type="spellEnd"/>
      <w:r w:rsidRPr="00225D4D">
        <w:t xml:space="preserve"> verv og økonomiske interesser vart endra i 2023 ved at det òg </w:t>
      </w:r>
      <w:proofErr w:type="spellStart"/>
      <w:r w:rsidRPr="00225D4D">
        <w:t>vart</w:t>
      </w:r>
      <w:proofErr w:type="spellEnd"/>
      <w:r w:rsidRPr="00225D4D">
        <w:t xml:space="preserve"> innført registreringsplikt for </w:t>
      </w:r>
      <w:proofErr w:type="spellStart"/>
      <w:r w:rsidRPr="00225D4D">
        <w:t>statssekretærar</w:t>
      </w:r>
      <w:proofErr w:type="spellEnd"/>
      <w:r w:rsidRPr="00225D4D">
        <w:t xml:space="preserve"> og politiske </w:t>
      </w:r>
      <w:proofErr w:type="spellStart"/>
      <w:r w:rsidRPr="00225D4D">
        <w:t>rådgivarar</w:t>
      </w:r>
      <w:proofErr w:type="spellEnd"/>
      <w:r w:rsidRPr="00225D4D">
        <w:t xml:space="preserve">. </w:t>
      </w:r>
      <w:proofErr w:type="spellStart"/>
      <w:r w:rsidRPr="00225D4D">
        <w:t>Regjeringsmedlemmar</w:t>
      </w:r>
      <w:proofErr w:type="spellEnd"/>
      <w:r w:rsidRPr="00225D4D">
        <w:t xml:space="preserve">, </w:t>
      </w:r>
      <w:proofErr w:type="spellStart"/>
      <w:r w:rsidRPr="00225D4D">
        <w:t>statssekretærar</w:t>
      </w:r>
      <w:proofErr w:type="spellEnd"/>
      <w:r w:rsidRPr="00225D4D">
        <w:t xml:space="preserve"> og politiske </w:t>
      </w:r>
      <w:proofErr w:type="spellStart"/>
      <w:r w:rsidRPr="00225D4D">
        <w:t>rådgivarar</w:t>
      </w:r>
      <w:proofErr w:type="spellEnd"/>
      <w:r w:rsidRPr="00225D4D">
        <w:t xml:space="preserve"> har med det den same plikta til å registrere </w:t>
      </w:r>
      <w:proofErr w:type="spellStart"/>
      <w:r w:rsidRPr="00225D4D">
        <w:t>eksisterande</w:t>
      </w:r>
      <w:proofErr w:type="spellEnd"/>
      <w:r w:rsidRPr="00225D4D">
        <w:t xml:space="preserve"> </w:t>
      </w:r>
      <w:proofErr w:type="spellStart"/>
      <w:r w:rsidRPr="00225D4D">
        <w:t>inntektsgivande</w:t>
      </w:r>
      <w:proofErr w:type="spellEnd"/>
      <w:r w:rsidRPr="00225D4D">
        <w:t xml:space="preserve"> forhold og </w:t>
      </w:r>
      <w:proofErr w:type="spellStart"/>
      <w:r w:rsidRPr="00225D4D">
        <w:t>avtalar</w:t>
      </w:r>
      <w:proofErr w:type="spellEnd"/>
      <w:r w:rsidRPr="00225D4D">
        <w:t xml:space="preserve"> med framtidige </w:t>
      </w:r>
      <w:proofErr w:type="spellStart"/>
      <w:r w:rsidRPr="00225D4D">
        <w:t>oppdragsgivarar</w:t>
      </w:r>
      <w:proofErr w:type="spellEnd"/>
      <w:r w:rsidRPr="00225D4D">
        <w:t xml:space="preserve"> som </w:t>
      </w:r>
      <w:proofErr w:type="spellStart"/>
      <w:r w:rsidRPr="00225D4D">
        <w:t>stortingsrepresentantar</w:t>
      </w:r>
      <w:proofErr w:type="spellEnd"/>
      <w:r w:rsidRPr="00225D4D">
        <w:t xml:space="preserve">. Det følgjer av forskrift om registrering av regjeringsmedlemmers, statssekretærers og politiske rådgiveres verv og økonomiske interesser § 2. </w:t>
      </w:r>
      <w:proofErr w:type="spellStart"/>
      <w:r w:rsidRPr="00225D4D">
        <w:t>Stortingspolitikarar</w:t>
      </w:r>
      <w:proofErr w:type="spellEnd"/>
      <w:r w:rsidRPr="00225D4D">
        <w:t xml:space="preserve"> er </w:t>
      </w:r>
      <w:proofErr w:type="spellStart"/>
      <w:r w:rsidRPr="00225D4D">
        <w:t>ikkje</w:t>
      </w:r>
      <w:proofErr w:type="spellEnd"/>
      <w:r w:rsidRPr="00225D4D">
        <w:t xml:space="preserve"> pålagde å registrere </w:t>
      </w:r>
      <w:proofErr w:type="spellStart"/>
      <w:r w:rsidRPr="00225D4D">
        <w:t>tidlegare</w:t>
      </w:r>
      <w:proofErr w:type="spellEnd"/>
      <w:r w:rsidRPr="00225D4D">
        <w:t xml:space="preserve"> </w:t>
      </w:r>
      <w:proofErr w:type="spellStart"/>
      <w:r w:rsidRPr="00225D4D">
        <w:t>oppdragsgivarar</w:t>
      </w:r>
      <w:proofErr w:type="spellEnd"/>
      <w:r w:rsidRPr="00225D4D">
        <w:t xml:space="preserve"> eller </w:t>
      </w:r>
      <w:proofErr w:type="spellStart"/>
      <w:r w:rsidRPr="00225D4D">
        <w:t>innhaldet</w:t>
      </w:r>
      <w:proofErr w:type="spellEnd"/>
      <w:r w:rsidRPr="00225D4D">
        <w:t xml:space="preserve"> i slike oppdrag.</w:t>
      </w:r>
    </w:p>
    <w:p w14:paraId="3F93AF3F" w14:textId="77777777" w:rsidR="00D60186" w:rsidRPr="00225D4D" w:rsidRDefault="00D60186" w:rsidP="00225D4D">
      <w:r w:rsidRPr="00225D4D">
        <w:t xml:space="preserve">Departementet sette </w:t>
      </w:r>
      <w:proofErr w:type="spellStart"/>
      <w:r w:rsidRPr="00225D4D">
        <w:t>hausten</w:t>
      </w:r>
      <w:proofErr w:type="spellEnd"/>
      <w:r w:rsidRPr="00225D4D">
        <w:t xml:space="preserve"> 2019 ned ei arbeidsgruppe for å greie ut forslaget om å utvide registreringsplikta til òg å omfatte </w:t>
      </w:r>
      <w:proofErr w:type="spellStart"/>
      <w:r w:rsidRPr="00225D4D">
        <w:t>tidlegare</w:t>
      </w:r>
      <w:proofErr w:type="spellEnd"/>
      <w:r w:rsidRPr="00225D4D">
        <w:t xml:space="preserve"> </w:t>
      </w:r>
      <w:proofErr w:type="spellStart"/>
      <w:r w:rsidRPr="00225D4D">
        <w:t>oppdragsgivarar</w:t>
      </w:r>
      <w:proofErr w:type="spellEnd"/>
      <w:r w:rsidRPr="00225D4D">
        <w:t xml:space="preserve"> og oppdraga sitt </w:t>
      </w:r>
      <w:proofErr w:type="spellStart"/>
      <w:r w:rsidRPr="00225D4D">
        <w:t>innhald</w:t>
      </w:r>
      <w:proofErr w:type="spellEnd"/>
      <w:r w:rsidRPr="00225D4D">
        <w:t xml:space="preserve"> i </w:t>
      </w:r>
      <w:proofErr w:type="spellStart"/>
      <w:r w:rsidRPr="00225D4D">
        <w:t>situasjonar</w:t>
      </w:r>
      <w:proofErr w:type="spellEnd"/>
      <w:r w:rsidRPr="00225D4D">
        <w:t xml:space="preserve"> der </w:t>
      </w:r>
      <w:proofErr w:type="spellStart"/>
      <w:r w:rsidRPr="00225D4D">
        <w:t>regjeringspolitikaren</w:t>
      </w:r>
      <w:proofErr w:type="spellEnd"/>
      <w:r w:rsidRPr="00225D4D">
        <w:t xml:space="preserve"> har </w:t>
      </w:r>
      <w:proofErr w:type="spellStart"/>
      <w:r w:rsidRPr="00225D4D">
        <w:t>arbeidd</w:t>
      </w:r>
      <w:proofErr w:type="spellEnd"/>
      <w:r w:rsidRPr="00225D4D">
        <w:t xml:space="preserve"> med å </w:t>
      </w:r>
      <w:proofErr w:type="spellStart"/>
      <w:r w:rsidRPr="00225D4D">
        <w:t>fremje</w:t>
      </w:r>
      <w:proofErr w:type="spellEnd"/>
      <w:r w:rsidRPr="00225D4D">
        <w:t xml:space="preserve"> politiske eller næringsmessige interesser. Arbeidsgruppa leverte si utgreiing i juni 2022.</w:t>
      </w:r>
    </w:p>
    <w:p w14:paraId="1FB6D257" w14:textId="77777777" w:rsidR="00D60186" w:rsidRPr="00225D4D" w:rsidRDefault="00D60186" w:rsidP="00225D4D">
      <w:r w:rsidRPr="00225D4D">
        <w:t xml:space="preserve">Departementet har gått gjennom utgreiinga og vurderer at det </w:t>
      </w:r>
      <w:proofErr w:type="spellStart"/>
      <w:r w:rsidRPr="00225D4D">
        <w:t>ikkje</w:t>
      </w:r>
      <w:proofErr w:type="spellEnd"/>
      <w:r w:rsidRPr="00225D4D">
        <w:t xml:space="preserve"> er grunnlag for å sende </w:t>
      </w:r>
      <w:proofErr w:type="spellStart"/>
      <w:r w:rsidRPr="00225D4D">
        <w:t>eit</w:t>
      </w:r>
      <w:proofErr w:type="spellEnd"/>
      <w:r w:rsidRPr="00225D4D">
        <w:t xml:space="preserve"> slikt forslag på </w:t>
      </w:r>
      <w:proofErr w:type="spellStart"/>
      <w:r w:rsidRPr="00225D4D">
        <w:t>høyring</w:t>
      </w:r>
      <w:proofErr w:type="spellEnd"/>
      <w:r w:rsidRPr="00225D4D">
        <w:t xml:space="preserve"> no. Dagens regelverk for </w:t>
      </w:r>
      <w:proofErr w:type="spellStart"/>
      <w:r w:rsidRPr="00225D4D">
        <w:t>stortingsrepresentantar</w:t>
      </w:r>
      <w:proofErr w:type="spellEnd"/>
      <w:r w:rsidRPr="00225D4D">
        <w:t xml:space="preserve">, som forskrift om registrering av regjeringsmedlemmers, statssekretærers og politiske rådgiveres verv og økonomiske interesser viser til, gir </w:t>
      </w:r>
      <w:proofErr w:type="spellStart"/>
      <w:r w:rsidRPr="00225D4D">
        <w:t>eit</w:t>
      </w:r>
      <w:proofErr w:type="spellEnd"/>
      <w:r w:rsidRPr="00225D4D">
        <w:t xml:space="preserve"> godt balansert regelverk mellom omsynet til </w:t>
      </w:r>
      <w:proofErr w:type="spellStart"/>
      <w:r w:rsidRPr="00225D4D">
        <w:t>openheit</w:t>
      </w:r>
      <w:proofErr w:type="spellEnd"/>
      <w:r w:rsidRPr="00225D4D">
        <w:t xml:space="preserve"> og omsynet til den enkelte. Det ligg til den enkelte </w:t>
      </w:r>
      <w:proofErr w:type="spellStart"/>
      <w:r w:rsidRPr="00225D4D">
        <w:t>regjeringspolitikar</w:t>
      </w:r>
      <w:proofErr w:type="spellEnd"/>
      <w:r w:rsidRPr="00225D4D">
        <w:t xml:space="preserve"> å vurdere sin habilitet i den enkelte sak, inkludert om det er grunnlag for inhabilitet på grunn av </w:t>
      </w:r>
      <w:proofErr w:type="spellStart"/>
      <w:r w:rsidRPr="00225D4D">
        <w:t>tilknyting</w:t>
      </w:r>
      <w:proofErr w:type="spellEnd"/>
      <w:r w:rsidRPr="00225D4D">
        <w:t xml:space="preserve"> til </w:t>
      </w:r>
      <w:proofErr w:type="spellStart"/>
      <w:r w:rsidRPr="00225D4D">
        <w:t>tidlegare</w:t>
      </w:r>
      <w:proofErr w:type="spellEnd"/>
      <w:r w:rsidRPr="00225D4D">
        <w:t xml:space="preserve"> </w:t>
      </w:r>
      <w:proofErr w:type="spellStart"/>
      <w:r w:rsidRPr="00225D4D">
        <w:t>oppdragsgivar</w:t>
      </w:r>
      <w:proofErr w:type="spellEnd"/>
      <w:r w:rsidRPr="00225D4D">
        <w:t xml:space="preserve">. </w:t>
      </w:r>
      <w:proofErr w:type="spellStart"/>
      <w:r w:rsidRPr="00225D4D">
        <w:t>Eit</w:t>
      </w:r>
      <w:proofErr w:type="spellEnd"/>
      <w:r w:rsidRPr="00225D4D">
        <w:t xml:space="preserve"> register over </w:t>
      </w:r>
      <w:proofErr w:type="spellStart"/>
      <w:r w:rsidRPr="00225D4D">
        <w:t>tidlegare</w:t>
      </w:r>
      <w:proofErr w:type="spellEnd"/>
      <w:r w:rsidRPr="00225D4D">
        <w:t xml:space="preserve"> </w:t>
      </w:r>
      <w:proofErr w:type="spellStart"/>
      <w:r w:rsidRPr="00225D4D">
        <w:t>oppdragsgivarar</w:t>
      </w:r>
      <w:proofErr w:type="spellEnd"/>
      <w:r w:rsidRPr="00225D4D">
        <w:t xml:space="preserve"> og oppdraga sitt </w:t>
      </w:r>
      <w:proofErr w:type="spellStart"/>
      <w:r w:rsidRPr="00225D4D">
        <w:t>innhald</w:t>
      </w:r>
      <w:proofErr w:type="spellEnd"/>
      <w:r w:rsidRPr="00225D4D">
        <w:t xml:space="preserve"> vil uansett </w:t>
      </w:r>
      <w:proofErr w:type="spellStart"/>
      <w:r w:rsidRPr="00225D4D">
        <w:t>ikkje</w:t>
      </w:r>
      <w:proofErr w:type="spellEnd"/>
      <w:r w:rsidRPr="00225D4D">
        <w:t xml:space="preserve"> gi ei </w:t>
      </w:r>
      <w:proofErr w:type="spellStart"/>
      <w:r w:rsidRPr="00225D4D">
        <w:t>uttømmande</w:t>
      </w:r>
      <w:proofErr w:type="spellEnd"/>
      <w:r w:rsidRPr="00225D4D">
        <w:t xml:space="preserve"> liste over alle forhold som kan medføre inhabilitet.</w:t>
      </w:r>
    </w:p>
    <w:p w14:paraId="43B00DE6" w14:textId="77777777" w:rsidR="00D60186" w:rsidRPr="00225D4D" w:rsidRDefault="00D60186" w:rsidP="00225D4D">
      <w:r w:rsidRPr="00225D4D">
        <w:t>Departementet foreslår på denne bakgrunn at rapporteringa blir avslutta.</w:t>
      </w:r>
    </w:p>
    <w:p w14:paraId="54121688" w14:textId="77777777" w:rsidR="00D60186" w:rsidRPr="00225D4D" w:rsidRDefault="00D60186" w:rsidP="00225D4D">
      <w:pPr>
        <w:pStyle w:val="Overskrift2"/>
      </w:pPr>
      <w:r w:rsidRPr="00225D4D">
        <w:t>Stortingssesjon 2015–2016</w:t>
      </w:r>
    </w:p>
    <w:p w14:paraId="54F74169" w14:textId="77777777" w:rsidR="00D60186" w:rsidRPr="00225D4D" w:rsidRDefault="00D60186" w:rsidP="00225D4D">
      <w:pPr>
        <w:pStyle w:val="avsnitt-tittel"/>
      </w:pPr>
      <w:r w:rsidRPr="00225D4D">
        <w:t xml:space="preserve">Unntak </w:t>
      </w:r>
      <w:proofErr w:type="spellStart"/>
      <w:r w:rsidRPr="00225D4D">
        <w:t>frå</w:t>
      </w:r>
      <w:proofErr w:type="spellEnd"/>
      <w:r w:rsidRPr="00225D4D">
        <w:t xml:space="preserve"> plan- og bygningslova og grannelova ved nasjonal flyktningkrise</w:t>
      </w:r>
    </w:p>
    <w:p w14:paraId="2C954977" w14:textId="77777777" w:rsidR="00D60186" w:rsidRPr="00225D4D" w:rsidRDefault="00D60186" w:rsidP="00225D4D">
      <w:pPr>
        <w:pStyle w:val="avsnitt-undertittel"/>
      </w:pPr>
      <w:r w:rsidRPr="00225D4D">
        <w:t>Vedtak 646, 10. mai 2016</w:t>
      </w:r>
    </w:p>
    <w:p w14:paraId="7630186B" w14:textId="77777777" w:rsidR="00D60186" w:rsidRPr="00225D4D" w:rsidRDefault="00D60186" w:rsidP="00225D4D">
      <w:pPr>
        <w:pStyle w:val="blokksit"/>
        <w:rPr>
          <w:rStyle w:val="kursiv"/>
        </w:rPr>
      </w:pPr>
      <w:r w:rsidRPr="00225D4D">
        <w:rPr>
          <w:rStyle w:val="kursiv"/>
        </w:rP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14:paraId="2E25B7EF" w14:textId="77777777" w:rsidR="00D60186" w:rsidRPr="00225D4D" w:rsidRDefault="00D60186" w:rsidP="00225D4D">
      <w:r w:rsidRPr="00225D4D">
        <w:t xml:space="preserve">Dokumenta som ligg til grunn for vedtaket er </w:t>
      </w:r>
      <w:proofErr w:type="spellStart"/>
      <w:r w:rsidRPr="00225D4D">
        <w:t>Prop</w:t>
      </w:r>
      <w:proofErr w:type="spellEnd"/>
      <w:r w:rsidRPr="00225D4D">
        <w:t xml:space="preserve">. 43 L (2015–2016) </w:t>
      </w:r>
      <w:r w:rsidRPr="00225D4D">
        <w:rPr>
          <w:rStyle w:val="kursiv"/>
        </w:rPr>
        <w:t>Endringer i plan- og bygningsloven (unntak ved kriser, katastrofer eller andre ekstraordinære situasjoner i fredstid)</w:t>
      </w:r>
      <w:r w:rsidRPr="00225D4D">
        <w:t xml:space="preserve"> og </w:t>
      </w:r>
      <w:proofErr w:type="spellStart"/>
      <w:r w:rsidRPr="00225D4D">
        <w:t>Innst</w:t>
      </w:r>
      <w:proofErr w:type="spellEnd"/>
      <w:r w:rsidRPr="00225D4D">
        <w:t>. 229 L (2015–2016).</w:t>
      </w:r>
    </w:p>
    <w:p w14:paraId="780E176C" w14:textId="77777777" w:rsidR="00D60186" w:rsidRPr="00225D4D" w:rsidRDefault="00D60186" w:rsidP="00225D4D">
      <w:r w:rsidRPr="00225D4D">
        <w:t xml:space="preserve">Stortinget har vedtatt </w:t>
      </w:r>
      <w:proofErr w:type="spellStart"/>
      <w:r w:rsidRPr="00225D4D">
        <w:t>mellombelse</w:t>
      </w:r>
      <w:proofErr w:type="spellEnd"/>
      <w:r w:rsidRPr="00225D4D">
        <w:t xml:space="preserve"> </w:t>
      </w:r>
      <w:proofErr w:type="spellStart"/>
      <w:r w:rsidRPr="00225D4D">
        <w:t>beredskapsheimlar</w:t>
      </w:r>
      <w:proofErr w:type="spellEnd"/>
      <w:r w:rsidRPr="00225D4D">
        <w:t xml:space="preserve"> i plan- og bygningslova for å avhjelpe </w:t>
      </w:r>
      <w:proofErr w:type="spellStart"/>
      <w:r w:rsidRPr="00225D4D">
        <w:t>situasjonar</w:t>
      </w:r>
      <w:proofErr w:type="spellEnd"/>
      <w:r w:rsidRPr="00225D4D">
        <w:t xml:space="preserve"> der mange </w:t>
      </w:r>
      <w:proofErr w:type="spellStart"/>
      <w:r w:rsidRPr="00225D4D">
        <w:t>flyktningar</w:t>
      </w:r>
      <w:proofErr w:type="spellEnd"/>
      <w:r w:rsidRPr="00225D4D">
        <w:t xml:space="preserve"> kjem til landet. Dei gjeld fram til 1. juni 2026. Departementet vil </w:t>
      </w:r>
      <w:proofErr w:type="spellStart"/>
      <w:r w:rsidRPr="00225D4D">
        <w:t>ikkje</w:t>
      </w:r>
      <w:proofErr w:type="spellEnd"/>
      <w:r w:rsidRPr="00225D4D">
        <w:t xml:space="preserve"> prioritere </w:t>
      </w:r>
      <w:proofErr w:type="spellStart"/>
      <w:r w:rsidRPr="00225D4D">
        <w:t>eit</w:t>
      </w:r>
      <w:proofErr w:type="spellEnd"/>
      <w:r w:rsidRPr="00225D4D">
        <w:t xml:space="preserve"> arbeid med nye </w:t>
      </w:r>
      <w:proofErr w:type="spellStart"/>
      <w:r w:rsidRPr="00225D4D">
        <w:t>reglar</w:t>
      </w:r>
      <w:proofErr w:type="spellEnd"/>
      <w:r w:rsidRPr="00225D4D">
        <w:t xml:space="preserve"> </w:t>
      </w:r>
      <w:proofErr w:type="spellStart"/>
      <w:r w:rsidRPr="00225D4D">
        <w:t>no</w:t>
      </w:r>
      <w:proofErr w:type="spellEnd"/>
      <w:r w:rsidRPr="00225D4D">
        <w:t xml:space="preserve">, men vil vurdere saka på nytt når </w:t>
      </w:r>
      <w:proofErr w:type="spellStart"/>
      <w:r w:rsidRPr="00225D4D">
        <w:t>dei</w:t>
      </w:r>
      <w:proofErr w:type="spellEnd"/>
      <w:r w:rsidRPr="00225D4D">
        <w:t xml:space="preserve"> </w:t>
      </w:r>
      <w:proofErr w:type="spellStart"/>
      <w:r w:rsidRPr="00225D4D">
        <w:t>mellombelse</w:t>
      </w:r>
      <w:proofErr w:type="spellEnd"/>
      <w:r w:rsidRPr="00225D4D">
        <w:t xml:space="preserve"> </w:t>
      </w:r>
      <w:proofErr w:type="spellStart"/>
      <w:r w:rsidRPr="00225D4D">
        <w:t>heimlane</w:t>
      </w:r>
      <w:proofErr w:type="spellEnd"/>
      <w:r w:rsidRPr="00225D4D">
        <w:t xml:space="preserve"> løper ut.</w:t>
      </w:r>
    </w:p>
    <w:p w14:paraId="4FA59500" w14:textId="77777777" w:rsidR="00D60186" w:rsidRPr="00225D4D" w:rsidRDefault="00D60186" w:rsidP="00225D4D">
      <w:r w:rsidRPr="00225D4D">
        <w:t>Departementet foreslår på denne bakgrunn at rapporteringa blir avslutta.</w:t>
      </w:r>
    </w:p>
    <w:p w14:paraId="1E520A20" w14:textId="77777777" w:rsidR="00D60186" w:rsidRPr="00225D4D" w:rsidRDefault="00D60186" w:rsidP="00225D4D">
      <w:pPr>
        <w:pStyle w:val="Overskrift1"/>
      </w:pPr>
      <w:r w:rsidRPr="00225D4D">
        <w:t>Kultur- og likestillingsdepartementet</w:t>
      </w:r>
    </w:p>
    <w:p w14:paraId="4C5B4165" w14:textId="77777777" w:rsidR="00D60186" w:rsidRPr="00225D4D" w:rsidRDefault="00D60186" w:rsidP="00225D4D">
      <w:r w:rsidRPr="00225D4D">
        <w:t xml:space="preserve">Nedenfor gis en oversikt over oppfølging av anmodnings- og utredningsvedtak under Kultur- og likestillingsdepartementet. Oversikten inkluderer alle vedtak fra stortingssesjonen 2024–2025, samt de vedtakene fra tidligere stortingssesjoner som kontroll- og konstitusjonskomiteen i </w:t>
      </w:r>
      <w:proofErr w:type="spellStart"/>
      <w:r w:rsidRPr="00225D4D">
        <w:t>Innst</w:t>
      </w:r>
      <w:proofErr w:type="spellEnd"/>
      <w:r w:rsidRPr="00225D4D">
        <w:t>. 216 S (2024–2025) mente ikke var kvittert ut. I tabellen nedenfor angis det også hvorvidt departementet planlegger at rapporteringen knyttet til anmodningsvedtaket nå avsluttes, eller om departementet vil rapportere konkret på vedtaket også i neste års budsjettproposisjon.</w:t>
      </w:r>
    </w:p>
    <w:p w14:paraId="4DFCF841" w14:textId="7CCCC51A" w:rsidR="00330F87" w:rsidRPr="00225D4D" w:rsidRDefault="00330F87" w:rsidP="00225D4D">
      <w:pPr>
        <w:pStyle w:val="tabell-tittel"/>
      </w:pPr>
      <w:r w:rsidRPr="00225D4D">
        <w:t>Oversikt over anmodnings- og utredningsvedtak, ordnet etter sesjon og nummer</w:t>
      </w:r>
    </w:p>
    <w:p w14:paraId="63E89C60" w14:textId="77777777" w:rsidR="00D60186" w:rsidRPr="00225D4D" w:rsidRDefault="00D60186" w:rsidP="00225D4D">
      <w:pPr>
        <w:pStyle w:val="Tabellnavn"/>
      </w:pPr>
      <w:r w:rsidRPr="00225D4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780"/>
        <w:gridCol w:w="1240"/>
      </w:tblGrid>
      <w:tr w:rsidR="00E76DC8" w:rsidRPr="00225D4D" w14:paraId="0A5D1FE2"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166309" w14:textId="77777777" w:rsidR="00D60186" w:rsidRPr="00FD49F3" w:rsidRDefault="00D60186" w:rsidP="00225D4D">
            <w:pPr>
              <w:rPr>
                <w:sz w:val="21"/>
                <w:szCs w:val="21"/>
              </w:rPr>
            </w:pPr>
            <w:r w:rsidRPr="00FD49F3">
              <w:rPr>
                <w:sz w:val="21"/>
                <w:szCs w:val="21"/>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E2369E" w14:textId="77777777" w:rsidR="00D60186" w:rsidRPr="00FD49F3" w:rsidRDefault="00D60186" w:rsidP="00FD49F3">
            <w:pPr>
              <w:ind w:right="113"/>
              <w:jc w:val="right"/>
              <w:rPr>
                <w:sz w:val="21"/>
                <w:szCs w:val="21"/>
              </w:rPr>
            </w:pPr>
            <w:r w:rsidRPr="00FD49F3">
              <w:rPr>
                <w:sz w:val="21"/>
                <w:szCs w:val="21"/>
              </w:rPr>
              <w:t>Vedtak nr.</w:t>
            </w:r>
          </w:p>
        </w:tc>
        <w:tc>
          <w:tcPr>
            <w:tcW w:w="57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C56503F" w14:textId="77777777" w:rsidR="00D60186" w:rsidRPr="00FD49F3" w:rsidRDefault="00D60186" w:rsidP="00225D4D">
            <w:pPr>
              <w:rPr>
                <w:sz w:val="21"/>
                <w:szCs w:val="21"/>
              </w:rPr>
            </w:pPr>
            <w:r w:rsidRPr="00FD49F3">
              <w:rPr>
                <w:sz w:val="21"/>
                <w:szCs w:val="21"/>
              </w:rPr>
              <w:t>Stikkord</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515CAC" w14:textId="77777777" w:rsidR="00D60186" w:rsidRPr="00FD49F3" w:rsidRDefault="00D60186" w:rsidP="00FD49F3">
            <w:pPr>
              <w:jc w:val="right"/>
              <w:rPr>
                <w:sz w:val="21"/>
                <w:szCs w:val="21"/>
              </w:rPr>
            </w:pPr>
            <w:r w:rsidRPr="00FD49F3">
              <w:rPr>
                <w:sz w:val="21"/>
                <w:szCs w:val="21"/>
              </w:rPr>
              <w:t xml:space="preserve">Rapportering avsluttes </w:t>
            </w:r>
            <w:r w:rsidRPr="00FD49F3">
              <w:rPr>
                <w:sz w:val="21"/>
                <w:szCs w:val="21"/>
              </w:rPr>
              <w:br/>
              <w:t>(Ja/Nei)</w:t>
            </w:r>
          </w:p>
        </w:tc>
      </w:tr>
      <w:tr w:rsidR="00E76DC8" w:rsidRPr="00225D4D" w14:paraId="0E39886E" w14:textId="77777777" w:rsidTr="00FD49F3">
        <w:trPr>
          <w:trHeight w:val="20"/>
        </w:trPr>
        <w:tc>
          <w:tcPr>
            <w:tcW w:w="1400" w:type="dxa"/>
            <w:tcBorders>
              <w:top w:val="single" w:sz="4" w:space="0" w:color="000000"/>
              <w:left w:val="nil"/>
              <w:bottom w:val="nil"/>
              <w:right w:val="nil"/>
            </w:tcBorders>
            <w:tcMar>
              <w:top w:w="128" w:type="dxa"/>
              <w:left w:w="43" w:type="dxa"/>
              <w:bottom w:w="43" w:type="dxa"/>
              <w:right w:w="43" w:type="dxa"/>
            </w:tcMar>
          </w:tcPr>
          <w:p w14:paraId="319CDC12" w14:textId="77777777" w:rsidR="00D60186" w:rsidRPr="00FD49F3" w:rsidRDefault="00D60186" w:rsidP="00225D4D">
            <w:pPr>
              <w:rPr>
                <w:sz w:val="21"/>
                <w:szCs w:val="21"/>
              </w:rPr>
            </w:pPr>
            <w:r w:rsidRPr="00FD49F3">
              <w:rPr>
                <w:sz w:val="21"/>
                <w:szCs w:val="21"/>
              </w:rPr>
              <w:t>2024–2025</w:t>
            </w:r>
          </w:p>
        </w:tc>
        <w:tc>
          <w:tcPr>
            <w:tcW w:w="1120" w:type="dxa"/>
            <w:tcBorders>
              <w:top w:val="single" w:sz="4" w:space="0" w:color="000000"/>
              <w:left w:val="nil"/>
              <w:bottom w:val="nil"/>
              <w:right w:val="nil"/>
            </w:tcBorders>
            <w:tcMar>
              <w:top w:w="128" w:type="dxa"/>
              <w:left w:w="43" w:type="dxa"/>
              <w:bottom w:w="43" w:type="dxa"/>
              <w:right w:w="43" w:type="dxa"/>
            </w:tcMar>
          </w:tcPr>
          <w:p w14:paraId="69B37681" w14:textId="77777777" w:rsidR="00D60186" w:rsidRPr="00FD49F3" w:rsidRDefault="00D60186" w:rsidP="00FD49F3">
            <w:pPr>
              <w:ind w:right="113"/>
              <w:jc w:val="right"/>
              <w:rPr>
                <w:sz w:val="21"/>
                <w:szCs w:val="21"/>
              </w:rPr>
            </w:pPr>
            <w:r w:rsidRPr="00FD49F3">
              <w:rPr>
                <w:sz w:val="21"/>
                <w:szCs w:val="21"/>
              </w:rPr>
              <w:t>22</w:t>
            </w:r>
          </w:p>
        </w:tc>
        <w:tc>
          <w:tcPr>
            <w:tcW w:w="5780" w:type="dxa"/>
            <w:tcBorders>
              <w:top w:val="single" w:sz="4" w:space="0" w:color="000000"/>
              <w:left w:val="nil"/>
              <w:bottom w:val="nil"/>
              <w:right w:val="nil"/>
            </w:tcBorders>
            <w:tcMar>
              <w:top w:w="128" w:type="dxa"/>
              <w:left w:w="43" w:type="dxa"/>
              <w:bottom w:w="43" w:type="dxa"/>
              <w:right w:w="43" w:type="dxa"/>
            </w:tcMar>
          </w:tcPr>
          <w:p w14:paraId="24D61625" w14:textId="77777777" w:rsidR="00D60186" w:rsidRPr="00FD49F3" w:rsidRDefault="00D60186" w:rsidP="00225D4D">
            <w:pPr>
              <w:rPr>
                <w:sz w:val="21"/>
                <w:szCs w:val="21"/>
              </w:rPr>
            </w:pPr>
            <w:r w:rsidRPr="00FD49F3">
              <w:rPr>
                <w:sz w:val="21"/>
                <w:szCs w:val="21"/>
              </w:rPr>
              <w:t>Skogfinsk språkhistorie</w:t>
            </w:r>
          </w:p>
        </w:tc>
        <w:tc>
          <w:tcPr>
            <w:tcW w:w="1240" w:type="dxa"/>
            <w:tcBorders>
              <w:top w:val="single" w:sz="4" w:space="0" w:color="000000"/>
              <w:left w:val="nil"/>
              <w:bottom w:val="nil"/>
              <w:right w:val="nil"/>
            </w:tcBorders>
            <w:tcMar>
              <w:top w:w="128" w:type="dxa"/>
              <w:left w:w="43" w:type="dxa"/>
              <w:bottom w:w="43" w:type="dxa"/>
              <w:right w:w="43" w:type="dxa"/>
            </w:tcMar>
          </w:tcPr>
          <w:p w14:paraId="441C56C4" w14:textId="77777777" w:rsidR="00D60186" w:rsidRPr="00FD49F3" w:rsidRDefault="00D60186" w:rsidP="00FD49F3">
            <w:pPr>
              <w:jc w:val="right"/>
              <w:rPr>
                <w:sz w:val="21"/>
                <w:szCs w:val="21"/>
              </w:rPr>
            </w:pPr>
            <w:r w:rsidRPr="00FD49F3">
              <w:rPr>
                <w:sz w:val="21"/>
                <w:szCs w:val="21"/>
              </w:rPr>
              <w:t>Ja</w:t>
            </w:r>
          </w:p>
        </w:tc>
      </w:tr>
      <w:tr w:rsidR="00E76DC8" w:rsidRPr="00225D4D" w14:paraId="0D21E07C"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503394AA"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5DB1A24" w14:textId="77777777" w:rsidR="00D60186" w:rsidRPr="00FD49F3" w:rsidRDefault="00D60186" w:rsidP="00FD49F3">
            <w:pPr>
              <w:ind w:right="113"/>
              <w:jc w:val="right"/>
              <w:rPr>
                <w:sz w:val="21"/>
                <w:szCs w:val="21"/>
              </w:rPr>
            </w:pPr>
            <w:r w:rsidRPr="00FD49F3">
              <w:rPr>
                <w:sz w:val="21"/>
                <w:szCs w:val="21"/>
              </w:rPr>
              <w:t>23</w:t>
            </w:r>
          </w:p>
        </w:tc>
        <w:tc>
          <w:tcPr>
            <w:tcW w:w="5780" w:type="dxa"/>
            <w:tcBorders>
              <w:top w:val="nil"/>
              <w:left w:val="nil"/>
              <w:bottom w:val="nil"/>
              <w:right w:val="nil"/>
            </w:tcBorders>
            <w:tcMar>
              <w:top w:w="128" w:type="dxa"/>
              <w:left w:w="43" w:type="dxa"/>
              <w:bottom w:w="43" w:type="dxa"/>
              <w:right w:w="43" w:type="dxa"/>
            </w:tcMar>
          </w:tcPr>
          <w:p w14:paraId="2186D5DC" w14:textId="77777777" w:rsidR="00D60186" w:rsidRPr="00FD49F3" w:rsidRDefault="00D60186" w:rsidP="00225D4D">
            <w:pPr>
              <w:rPr>
                <w:sz w:val="21"/>
                <w:szCs w:val="21"/>
              </w:rPr>
            </w:pPr>
            <w:r w:rsidRPr="00FD49F3">
              <w:rPr>
                <w:sz w:val="21"/>
                <w:szCs w:val="21"/>
              </w:rPr>
              <w:t>Oppfølging av tiltak under pilar 3 Kultur</w:t>
            </w:r>
          </w:p>
        </w:tc>
        <w:tc>
          <w:tcPr>
            <w:tcW w:w="1240" w:type="dxa"/>
            <w:tcBorders>
              <w:top w:val="nil"/>
              <w:left w:val="nil"/>
              <w:bottom w:val="nil"/>
              <w:right w:val="nil"/>
            </w:tcBorders>
            <w:tcMar>
              <w:top w:w="128" w:type="dxa"/>
              <w:left w:w="43" w:type="dxa"/>
              <w:bottom w:w="43" w:type="dxa"/>
              <w:right w:w="43" w:type="dxa"/>
            </w:tcMar>
          </w:tcPr>
          <w:p w14:paraId="4CC71949" w14:textId="77777777" w:rsidR="00D60186" w:rsidRPr="00FD49F3" w:rsidRDefault="00D60186" w:rsidP="00FD49F3">
            <w:pPr>
              <w:jc w:val="right"/>
              <w:rPr>
                <w:sz w:val="21"/>
                <w:szCs w:val="21"/>
              </w:rPr>
            </w:pPr>
            <w:r w:rsidRPr="00FD49F3">
              <w:rPr>
                <w:sz w:val="21"/>
                <w:szCs w:val="21"/>
              </w:rPr>
              <w:t>Ja</w:t>
            </w:r>
          </w:p>
        </w:tc>
      </w:tr>
      <w:tr w:rsidR="00E76DC8" w:rsidRPr="00225D4D" w14:paraId="504538C6"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67ADBC27"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F180C79" w14:textId="77777777" w:rsidR="00D60186" w:rsidRPr="00FD49F3" w:rsidRDefault="00D60186" w:rsidP="00FD49F3">
            <w:pPr>
              <w:ind w:right="113"/>
              <w:jc w:val="right"/>
              <w:rPr>
                <w:sz w:val="21"/>
                <w:szCs w:val="21"/>
              </w:rPr>
            </w:pPr>
            <w:r w:rsidRPr="00FD49F3">
              <w:rPr>
                <w:sz w:val="21"/>
                <w:szCs w:val="21"/>
              </w:rPr>
              <w:t>24</w:t>
            </w:r>
          </w:p>
        </w:tc>
        <w:tc>
          <w:tcPr>
            <w:tcW w:w="5780" w:type="dxa"/>
            <w:tcBorders>
              <w:top w:val="nil"/>
              <w:left w:val="nil"/>
              <w:bottom w:val="nil"/>
              <w:right w:val="nil"/>
            </w:tcBorders>
            <w:tcMar>
              <w:top w:w="128" w:type="dxa"/>
              <w:left w:w="43" w:type="dxa"/>
              <w:bottom w:w="43" w:type="dxa"/>
              <w:right w:w="43" w:type="dxa"/>
            </w:tcMar>
          </w:tcPr>
          <w:p w14:paraId="28A32B71" w14:textId="77777777" w:rsidR="00D60186" w:rsidRPr="00FD49F3" w:rsidRDefault="00D60186" w:rsidP="00225D4D">
            <w:pPr>
              <w:rPr>
                <w:sz w:val="21"/>
                <w:szCs w:val="21"/>
              </w:rPr>
            </w:pPr>
            <w:r w:rsidRPr="00FD49F3">
              <w:rPr>
                <w:sz w:val="21"/>
                <w:szCs w:val="21"/>
              </w:rPr>
              <w:t>Tettere samarbeid mellom nasjonale institusjoner og samiske, kvenske/norskfinske og skogfinske institusjoner</w:t>
            </w:r>
          </w:p>
        </w:tc>
        <w:tc>
          <w:tcPr>
            <w:tcW w:w="1240" w:type="dxa"/>
            <w:tcBorders>
              <w:top w:val="nil"/>
              <w:left w:val="nil"/>
              <w:bottom w:val="nil"/>
              <w:right w:val="nil"/>
            </w:tcBorders>
            <w:tcMar>
              <w:top w:w="128" w:type="dxa"/>
              <w:left w:w="43" w:type="dxa"/>
              <w:bottom w:w="43" w:type="dxa"/>
              <w:right w:w="43" w:type="dxa"/>
            </w:tcMar>
          </w:tcPr>
          <w:p w14:paraId="16C64B58" w14:textId="77777777" w:rsidR="00D60186" w:rsidRPr="00FD49F3" w:rsidRDefault="00D60186" w:rsidP="00FD49F3">
            <w:pPr>
              <w:jc w:val="right"/>
              <w:rPr>
                <w:sz w:val="21"/>
                <w:szCs w:val="21"/>
              </w:rPr>
            </w:pPr>
            <w:r w:rsidRPr="00FD49F3">
              <w:rPr>
                <w:sz w:val="21"/>
                <w:szCs w:val="21"/>
              </w:rPr>
              <w:t>Ja</w:t>
            </w:r>
          </w:p>
        </w:tc>
      </w:tr>
      <w:tr w:rsidR="00E76DC8" w:rsidRPr="00225D4D" w14:paraId="152E72BE"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0A9FDA8D"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19005CD" w14:textId="77777777" w:rsidR="00D60186" w:rsidRPr="00FD49F3" w:rsidRDefault="00D60186" w:rsidP="00FD49F3">
            <w:pPr>
              <w:ind w:right="113"/>
              <w:jc w:val="right"/>
              <w:rPr>
                <w:sz w:val="21"/>
                <w:szCs w:val="21"/>
              </w:rPr>
            </w:pPr>
            <w:r w:rsidRPr="00FD49F3">
              <w:rPr>
                <w:sz w:val="21"/>
                <w:szCs w:val="21"/>
              </w:rPr>
              <w:t>25</w:t>
            </w:r>
          </w:p>
        </w:tc>
        <w:tc>
          <w:tcPr>
            <w:tcW w:w="5780" w:type="dxa"/>
            <w:tcBorders>
              <w:top w:val="nil"/>
              <w:left w:val="nil"/>
              <w:bottom w:val="nil"/>
              <w:right w:val="nil"/>
            </w:tcBorders>
            <w:tcMar>
              <w:top w:w="128" w:type="dxa"/>
              <w:left w:w="43" w:type="dxa"/>
              <w:bottom w:w="43" w:type="dxa"/>
              <w:right w:w="43" w:type="dxa"/>
            </w:tcMar>
          </w:tcPr>
          <w:p w14:paraId="7D3B543F" w14:textId="77777777" w:rsidR="00D60186" w:rsidRPr="00FD49F3" w:rsidRDefault="00D60186" w:rsidP="00225D4D">
            <w:pPr>
              <w:rPr>
                <w:sz w:val="21"/>
                <w:szCs w:val="21"/>
              </w:rPr>
            </w:pPr>
            <w:r w:rsidRPr="00FD49F3">
              <w:rPr>
                <w:sz w:val="21"/>
                <w:szCs w:val="21"/>
              </w:rPr>
              <w:t>Helhetlig forvaltning av kunstverkene Sannhets- og forsoningskommisjonen overleverte til Stortinget</w:t>
            </w:r>
          </w:p>
        </w:tc>
        <w:tc>
          <w:tcPr>
            <w:tcW w:w="1240" w:type="dxa"/>
            <w:tcBorders>
              <w:top w:val="nil"/>
              <w:left w:val="nil"/>
              <w:bottom w:val="nil"/>
              <w:right w:val="nil"/>
            </w:tcBorders>
            <w:tcMar>
              <w:top w:w="128" w:type="dxa"/>
              <w:left w:w="43" w:type="dxa"/>
              <w:bottom w:w="43" w:type="dxa"/>
              <w:right w:w="43" w:type="dxa"/>
            </w:tcMar>
          </w:tcPr>
          <w:p w14:paraId="681BFFBA" w14:textId="77777777" w:rsidR="00D60186" w:rsidRPr="00FD49F3" w:rsidRDefault="00D60186" w:rsidP="00FD49F3">
            <w:pPr>
              <w:jc w:val="right"/>
              <w:rPr>
                <w:sz w:val="21"/>
                <w:szCs w:val="21"/>
              </w:rPr>
            </w:pPr>
            <w:r w:rsidRPr="00FD49F3">
              <w:rPr>
                <w:sz w:val="21"/>
                <w:szCs w:val="21"/>
              </w:rPr>
              <w:t>Ja</w:t>
            </w:r>
          </w:p>
        </w:tc>
      </w:tr>
      <w:tr w:rsidR="00E76DC8" w:rsidRPr="00225D4D" w14:paraId="448C8055"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31F49347"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EC2E3BC" w14:textId="77777777" w:rsidR="00D60186" w:rsidRPr="00FD49F3" w:rsidRDefault="00D60186" w:rsidP="00FD49F3">
            <w:pPr>
              <w:ind w:right="113"/>
              <w:jc w:val="right"/>
              <w:rPr>
                <w:sz w:val="21"/>
                <w:szCs w:val="21"/>
              </w:rPr>
            </w:pPr>
            <w:r w:rsidRPr="00FD49F3">
              <w:rPr>
                <w:sz w:val="21"/>
                <w:szCs w:val="21"/>
              </w:rPr>
              <w:t>206</w:t>
            </w:r>
          </w:p>
        </w:tc>
        <w:tc>
          <w:tcPr>
            <w:tcW w:w="5780" w:type="dxa"/>
            <w:tcBorders>
              <w:top w:val="nil"/>
              <w:left w:val="nil"/>
              <w:bottom w:val="nil"/>
              <w:right w:val="nil"/>
            </w:tcBorders>
            <w:tcMar>
              <w:top w:w="128" w:type="dxa"/>
              <w:left w:w="43" w:type="dxa"/>
              <w:bottom w:w="43" w:type="dxa"/>
              <w:right w:w="43" w:type="dxa"/>
            </w:tcMar>
          </w:tcPr>
          <w:p w14:paraId="65A76E13" w14:textId="77777777" w:rsidR="00D60186" w:rsidRPr="00FD49F3" w:rsidRDefault="00D60186" w:rsidP="00225D4D">
            <w:pPr>
              <w:rPr>
                <w:sz w:val="21"/>
                <w:szCs w:val="21"/>
              </w:rPr>
            </w:pPr>
            <w:r w:rsidRPr="00FD49F3">
              <w:rPr>
                <w:sz w:val="21"/>
                <w:szCs w:val="21"/>
              </w:rPr>
              <w:t>Nasjonalt mandat for Internasjonalt Samisk Filminstitutt</w:t>
            </w:r>
          </w:p>
        </w:tc>
        <w:tc>
          <w:tcPr>
            <w:tcW w:w="1240" w:type="dxa"/>
            <w:tcBorders>
              <w:top w:val="nil"/>
              <w:left w:val="nil"/>
              <w:bottom w:val="nil"/>
              <w:right w:val="nil"/>
            </w:tcBorders>
            <w:tcMar>
              <w:top w:w="128" w:type="dxa"/>
              <w:left w:w="43" w:type="dxa"/>
              <w:bottom w:w="43" w:type="dxa"/>
              <w:right w:w="43" w:type="dxa"/>
            </w:tcMar>
          </w:tcPr>
          <w:p w14:paraId="6336B361" w14:textId="77777777" w:rsidR="00D60186" w:rsidRPr="00FD49F3" w:rsidRDefault="00D60186" w:rsidP="00FD49F3">
            <w:pPr>
              <w:jc w:val="right"/>
              <w:rPr>
                <w:sz w:val="21"/>
                <w:szCs w:val="21"/>
              </w:rPr>
            </w:pPr>
            <w:r w:rsidRPr="00FD49F3">
              <w:rPr>
                <w:sz w:val="21"/>
                <w:szCs w:val="21"/>
              </w:rPr>
              <w:t>Ja</w:t>
            </w:r>
          </w:p>
        </w:tc>
      </w:tr>
      <w:tr w:rsidR="00E76DC8" w:rsidRPr="00225D4D" w14:paraId="1D7C78BC"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5D240C87"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B01741B" w14:textId="77777777" w:rsidR="00D60186" w:rsidRPr="00FD49F3" w:rsidRDefault="00D60186" w:rsidP="00FD49F3">
            <w:pPr>
              <w:ind w:right="113"/>
              <w:jc w:val="right"/>
              <w:rPr>
                <w:sz w:val="21"/>
                <w:szCs w:val="21"/>
              </w:rPr>
            </w:pPr>
            <w:r w:rsidRPr="00FD49F3">
              <w:rPr>
                <w:sz w:val="21"/>
                <w:szCs w:val="21"/>
              </w:rPr>
              <w:t>459</w:t>
            </w:r>
          </w:p>
        </w:tc>
        <w:tc>
          <w:tcPr>
            <w:tcW w:w="5780" w:type="dxa"/>
            <w:tcBorders>
              <w:top w:val="nil"/>
              <w:left w:val="nil"/>
              <w:bottom w:val="nil"/>
              <w:right w:val="nil"/>
            </w:tcBorders>
            <w:tcMar>
              <w:top w:w="128" w:type="dxa"/>
              <w:left w:w="43" w:type="dxa"/>
              <w:bottom w:w="43" w:type="dxa"/>
              <w:right w:w="43" w:type="dxa"/>
            </w:tcMar>
          </w:tcPr>
          <w:p w14:paraId="11CFFA37" w14:textId="77777777" w:rsidR="00D60186" w:rsidRPr="00FD49F3" w:rsidRDefault="00D60186" w:rsidP="00225D4D">
            <w:pPr>
              <w:rPr>
                <w:sz w:val="21"/>
                <w:szCs w:val="21"/>
              </w:rPr>
            </w:pPr>
            <w:r w:rsidRPr="00FD49F3">
              <w:rPr>
                <w:sz w:val="21"/>
                <w:szCs w:val="21"/>
              </w:rPr>
              <w:t xml:space="preserve">Evaluering av investeringsforpliktelsen for tilbydere av </w:t>
            </w:r>
            <w:r w:rsidRPr="00FD49F3">
              <w:rPr>
                <w:sz w:val="21"/>
                <w:szCs w:val="21"/>
              </w:rPr>
              <w:br/>
              <w:t>audiovisuelle bestillingstjenester</w:t>
            </w:r>
          </w:p>
        </w:tc>
        <w:tc>
          <w:tcPr>
            <w:tcW w:w="1240" w:type="dxa"/>
            <w:tcBorders>
              <w:top w:val="nil"/>
              <w:left w:val="nil"/>
              <w:bottom w:val="nil"/>
              <w:right w:val="nil"/>
            </w:tcBorders>
            <w:tcMar>
              <w:top w:w="128" w:type="dxa"/>
              <w:left w:w="43" w:type="dxa"/>
              <w:bottom w:w="43" w:type="dxa"/>
              <w:right w:w="43" w:type="dxa"/>
            </w:tcMar>
          </w:tcPr>
          <w:p w14:paraId="72BED19D" w14:textId="77777777" w:rsidR="00D60186" w:rsidRPr="00FD49F3" w:rsidRDefault="00D60186" w:rsidP="00FD49F3">
            <w:pPr>
              <w:jc w:val="right"/>
              <w:rPr>
                <w:sz w:val="21"/>
                <w:szCs w:val="21"/>
              </w:rPr>
            </w:pPr>
            <w:r w:rsidRPr="00FD49F3">
              <w:rPr>
                <w:sz w:val="21"/>
                <w:szCs w:val="21"/>
              </w:rPr>
              <w:t>Nei</w:t>
            </w:r>
          </w:p>
        </w:tc>
      </w:tr>
      <w:tr w:rsidR="00E76DC8" w:rsidRPr="00225D4D" w14:paraId="0BFEE33D"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4B309226"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1638B15" w14:textId="77777777" w:rsidR="00D60186" w:rsidRPr="00FD49F3" w:rsidRDefault="00D60186" w:rsidP="00FD49F3">
            <w:pPr>
              <w:ind w:right="113"/>
              <w:jc w:val="right"/>
              <w:rPr>
                <w:sz w:val="21"/>
                <w:szCs w:val="21"/>
              </w:rPr>
            </w:pPr>
            <w:r w:rsidRPr="00FD49F3">
              <w:rPr>
                <w:sz w:val="21"/>
                <w:szCs w:val="21"/>
              </w:rPr>
              <w:t>520</w:t>
            </w:r>
          </w:p>
        </w:tc>
        <w:tc>
          <w:tcPr>
            <w:tcW w:w="5780" w:type="dxa"/>
            <w:tcBorders>
              <w:top w:val="nil"/>
              <w:left w:val="nil"/>
              <w:bottom w:val="nil"/>
              <w:right w:val="nil"/>
            </w:tcBorders>
            <w:tcMar>
              <w:top w:w="128" w:type="dxa"/>
              <w:left w:w="43" w:type="dxa"/>
              <w:bottom w:w="43" w:type="dxa"/>
              <w:right w:w="43" w:type="dxa"/>
            </w:tcMar>
          </w:tcPr>
          <w:p w14:paraId="02DB5EDA" w14:textId="77777777" w:rsidR="00D60186" w:rsidRPr="00FD49F3" w:rsidRDefault="00D60186" w:rsidP="00225D4D">
            <w:pPr>
              <w:rPr>
                <w:sz w:val="21"/>
                <w:szCs w:val="21"/>
              </w:rPr>
            </w:pPr>
            <w:r w:rsidRPr="00FD49F3">
              <w:rPr>
                <w:sz w:val="21"/>
                <w:szCs w:val="21"/>
              </w:rPr>
              <w:t>Mer kunnskap om markedsføring av pengespill i sosiale medier</w:t>
            </w:r>
          </w:p>
        </w:tc>
        <w:tc>
          <w:tcPr>
            <w:tcW w:w="1240" w:type="dxa"/>
            <w:tcBorders>
              <w:top w:val="nil"/>
              <w:left w:val="nil"/>
              <w:bottom w:val="nil"/>
              <w:right w:val="nil"/>
            </w:tcBorders>
            <w:tcMar>
              <w:top w:w="128" w:type="dxa"/>
              <w:left w:w="43" w:type="dxa"/>
              <w:bottom w:w="43" w:type="dxa"/>
              <w:right w:w="43" w:type="dxa"/>
            </w:tcMar>
          </w:tcPr>
          <w:p w14:paraId="34D289D8" w14:textId="77777777" w:rsidR="00D60186" w:rsidRPr="00FD49F3" w:rsidRDefault="00D60186" w:rsidP="00FD49F3">
            <w:pPr>
              <w:jc w:val="right"/>
              <w:rPr>
                <w:sz w:val="21"/>
                <w:szCs w:val="21"/>
              </w:rPr>
            </w:pPr>
            <w:r w:rsidRPr="00FD49F3">
              <w:rPr>
                <w:sz w:val="21"/>
                <w:szCs w:val="21"/>
              </w:rPr>
              <w:t>Nei</w:t>
            </w:r>
          </w:p>
        </w:tc>
      </w:tr>
      <w:tr w:rsidR="00E76DC8" w:rsidRPr="00225D4D" w14:paraId="7D03CDFA"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4C605561"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6B84940" w14:textId="77777777" w:rsidR="00D60186" w:rsidRPr="00FD49F3" w:rsidRDefault="00D60186" w:rsidP="00FD49F3">
            <w:pPr>
              <w:ind w:right="113"/>
              <w:jc w:val="right"/>
              <w:rPr>
                <w:sz w:val="21"/>
                <w:szCs w:val="21"/>
              </w:rPr>
            </w:pPr>
            <w:r w:rsidRPr="00FD49F3">
              <w:rPr>
                <w:sz w:val="21"/>
                <w:szCs w:val="21"/>
              </w:rPr>
              <w:t>522</w:t>
            </w:r>
          </w:p>
        </w:tc>
        <w:tc>
          <w:tcPr>
            <w:tcW w:w="5780" w:type="dxa"/>
            <w:tcBorders>
              <w:top w:val="nil"/>
              <w:left w:val="nil"/>
              <w:bottom w:val="nil"/>
              <w:right w:val="nil"/>
            </w:tcBorders>
            <w:tcMar>
              <w:top w:w="128" w:type="dxa"/>
              <w:left w:w="43" w:type="dxa"/>
              <w:bottom w:w="43" w:type="dxa"/>
              <w:right w:w="43" w:type="dxa"/>
            </w:tcMar>
          </w:tcPr>
          <w:p w14:paraId="06DEDC05" w14:textId="77777777" w:rsidR="00D60186" w:rsidRPr="00FD49F3" w:rsidRDefault="00D60186" w:rsidP="00225D4D">
            <w:pPr>
              <w:rPr>
                <w:sz w:val="21"/>
                <w:szCs w:val="21"/>
              </w:rPr>
            </w:pPr>
            <w:r w:rsidRPr="00FD49F3">
              <w:rPr>
                <w:sz w:val="21"/>
                <w:szCs w:val="21"/>
              </w:rPr>
              <w:t>Kompetanseheving om spilleavhengighet</w:t>
            </w:r>
          </w:p>
        </w:tc>
        <w:tc>
          <w:tcPr>
            <w:tcW w:w="1240" w:type="dxa"/>
            <w:tcBorders>
              <w:top w:val="nil"/>
              <w:left w:val="nil"/>
              <w:bottom w:val="nil"/>
              <w:right w:val="nil"/>
            </w:tcBorders>
            <w:tcMar>
              <w:top w:w="128" w:type="dxa"/>
              <w:left w:w="43" w:type="dxa"/>
              <w:bottom w:w="43" w:type="dxa"/>
              <w:right w:w="43" w:type="dxa"/>
            </w:tcMar>
          </w:tcPr>
          <w:p w14:paraId="2EAB4F09" w14:textId="77777777" w:rsidR="00D60186" w:rsidRPr="00FD49F3" w:rsidRDefault="00D60186" w:rsidP="00FD49F3">
            <w:pPr>
              <w:jc w:val="right"/>
              <w:rPr>
                <w:sz w:val="21"/>
                <w:szCs w:val="21"/>
              </w:rPr>
            </w:pPr>
            <w:r w:rsidRPr="00FD49F3">
              <w:rPr>
                <w:sz w:val="21"/>
                <w:szCs w:val="21"/>
              </w:rPr>
              <w:t>Nei</w:t>
            </w:r>
          </w:p>
        </w:tc>
      </w:tr>
      <w:tr w:rsidR="00E76DC8" w:rsidRPr="00225D4D" w14:paraId="695C650D"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1601FB7D"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519B410" w14:textId="77777777" w:rsidR="00D60186" w:rsidRPr="00FD49F3" w:rsidRDefault="00D60186" w:rsidP="00FD49F3">
            <w:pPr>
              <w:ind w:right="113"/>
              <w:jc w:val="right"/>
              <w:rPr>
                <w:sz w:val="21"/>
                <w:szCs w:val="21"/>
              </w:rPr>
            </w:pPr>
            <w:r w:rsidRPr="00FD49F3">
              <w:rPr>
                <w:sz w:val="21"/>
                <w:szCs w:val="21"/>
              </w:rPr>
              <w:t>523</w:t>
            </w:r>
          </w:p>
        </w:tc>
        <w:tc>
          <w:tcPr>
            <w:tcW w:w="5780" w:type="dxa"/>
            <w:tcBorders>
              <w:top w:val="nil"/>
              <w:left w:val="nil"/>
              <w:bottom w:val="nil"/>
              <w:right w:val="nil"/>
            </w:tcBorders>
            <w:tcMar>
              <w:top w:w="128" w:type="dxa"/>
              <w:left w:w="43" w:type="dxa"/>
              <w:bottom w:w="43" w:type="dxa"/>
              <w:right w:w="43" w:type="dxa"/>
            </w:tcMar>
          </w:tcPr>
          <w:p w14:paraId="261DB8DC" w14:textId="77777777" w:rsidR="00D60186" w:rsidRPr="00FD49F3" w:rsidRDefault="00D60186" w:rsidP="00225D4D">
            <w:pPr>
              <w:rPr>
                <w:sz w:val="21"/>
                <w:szCs w:val="21"/>
              </w:rPr>
            </w:pPr>
            <w:r w:rsidRPr="00FD49F3">
              <w:rPr>
                <w:sz w:val="21"/>
                <w:szCs w:val="21"/>
              </w:rPr>
              <w:t xml:space="preserve">Regulering av </w:t>
            </w:r>
            <w:proofErr w:type="spellStart"/>
            <w:r w:rsidRPr="00FD49F3">
              <w:rPr>
                <w:sz w:val="21"/>
                <w:szCs w:val="21"/>
              </w:rPr>
              <w:t>lootbokser</w:t>
            </w:r>
            <w:proofErr w:type="spellEnd"/>
            <w:r w:rsidRPr="00FD49F3">
              <w:rPr>
                <w:sz w:val="21"/>
                <w:szCs w:val="21"/>
              </w:rPr>
              <w:t xml:space="preserve">, virtuell valuta og </w:t>
            </w:r>
            <w:proofErr w:type="spellStart"/>
            <w:r w:rsidRPr="00FD49F3">
              <w:rPr>
                <w:sz w:val="21"/>
                <w:szCs w:val="21"/>
              </w:rPr>
              <w:t>skinbetting</w:t>
            </w:r>
            <w:proofErr w:type="spellEnd"/>
            <w:r w:rsidRPr="00FD49F3">
              <w:rPr>
                <w:sz w:val="21"/>
                <w:szCs w:val="21"/>
              </w:rPr>
              <w:t xml:space="preserve"> </w:t>
            </w:r>
            <w:r w:rsidRPr="00FD49F3">
              <w:rPr>
                <w:sz w:val="21"/>
                <w:szCs w:val="21"/>
              </w:rPr>
              <w:br/>
              <w:t>i dataspill</w:t>
            </w:r>
          </w:p>
        </w:tc>
        <w:tc>
          <w:tcPr>
            <w:tcW w:w="1240" w:type="dxa"/>
            <w:tcBorders>
              <w:top w:val="nil"/>
              <w:left w:val="nil"/>
              <w:bottom w:val="nil"/>
              <w:right w:val="nil"/>
            </w:tcBorders>
            <w:tcMar>
              <w:top w:w="128" w:type="dxa"/>
              <w:left w:w="43" w:type="dxa"/>
              <w:bottom w:w="43" w:type="dxa"/>
              <w:right w:w="43" w:type="dxa"/>
            </w:tcMar>
          </w:tcPr>
          <w:p w14:paraId="5D498ABD" w14:textId="77777777" w:rsidR="00D60186" w:rsidRPr="00FD49F3" w:rsidRDefault="00D60186" w:rsidP="00FD49F3">
            <w:pPr>
              <w:jc w:val="right"/>
              <w:rPr>
                <w:sz w:val="21"/>
                <w:szCs w:val="21"/>
              </w:rPr>
            </w:pPr>
            <w:r w:rsidRPr="00FD49F3">
              <w:rPr>
                <w:sz w:val="21"/>
                <w:szCs w:val="21"/>
              </w:rPr>
              <w:t>Nei</w:t>
            </w:r>
          </w:p>
        </w:tc>
      </w:tr>
      <w:tr w:rsidR="00E76DC8" w:rsidRPr="00225D4D" w14:paraId="2CB62C37"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189D8F3F"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F8D3076" w14:textId="77777777" w:rsidR="00D60186" w:rsidRPr="00FD49F3" w:rsidRDefault="00D60186" w:rsidP="00FD49F3">
            <w:pPr>
              <w:ind w:right="113"/>
              <w:jc w:val="right"/>
              <w:rPr>
                <w:sz w:val="21"/>
                <w:szCs w:val="21"/>
              </w:rPr>
            </w:pPr>
            <w:r w:rsidRPr="00FD49F3">
              <w:rPr>
                <w:sz w:val="21"/>
                <w:szCs w:val="21"/>
              </w:rPr>
              <w:t>638</w:t>
            </w:r>
          </w:p>
        </w:tc>
        <w:tc>
          <w:tcPr>
            <w:tcW w:w="5780" w:type="dxa"/>
            <w:tcBorders>
              <w:top w:val="nil"/>
              <w:left w:val="nil"/>
              <w:bottom w:val="nil"/>
              <w:right w:val="nil"/>
            </w:tcBorders>
            <w:tcMar>
              <w:top w:w="128" w:type="dxa"/>
              <w:left w:w="43" w:type="dxa"/>
              <w:bottom w:w="43" w:type="dxa"/>
              <w:right w:w="43" w:type="dxa"/>
            </w:tcMar>
          </w:tcPr>
          <w:p w14:paraId="16891123" w14:textId="77777777" w:rsidR="00D60186" w:rsidRPr="00FD49F3" w:rsidRDefault="00D60186" w:rsidP="00225D4D">
            <w:pPr>
              <w:rPr>
                <w:sz w:val="21"/>
                <w:szCs w:val="21"/>
              </w:rPr>
            </w:pPr>
            <w:r w:rsidRPr="00FD49F3">
              <w:rPr>
                <w:sz w:val="21"/>
                <w:szCs w:val="21"/>
              </w:rPr>
              <w:t>Sikre norsk kulturarv i krise- og krigssituasjoner</w:t>
            </w:r>
          </w:p>
        </w:tc>
        <w:tc>
          <w:tcPr>
            <w:tcW w:w="1240" w:type="dxa"/>
            <w:tcBorders>
              <w:top w:val="nil"/>
              <w:left w:val="nil"/>
              <w:bottom w:val="nil"/>
              <w:right w:val="nil"/>
            </w:tcBorders>
            <w:tcMar>
              <w:top w:w="128" w:type="dxa"/>
              <w:left w:w="43" w:type="dxa"/>
              <w:bottom w:w="43" w:type="dxa"/>
              <w:right w:w="43" w:type="dxa"/>
            </w:tcMar>
          </w:tcPr>
          <w:p w14:paraId="23631F58" w14:textId="77777777" w:rsidR="00D60186" w:rsidRPr="00FD49F3" w:rsidRDefault="00D60186" w:rsidP="00FD49F3">
            <w:pPr>
              <w:jc w:val="right"/>
              <w:rPr>
                <w:sz w:val="21"/>
                <w:szCs w:val="21"/>
              </w:rPr>
            </w:pPr>
            <w:r w:rsidRPr="00FD49F3">
              <w:rPr>
                <w:sz w:val="21"/>
                <w:szCs w:val="21"/>
              </w:rPr>
              <w:t>Nei</w:t>
            </w:r>
          </w:p>
        </w:tc>
      </w:tr>
      <w:tr w:rsidR="00E76DC8" w:rsidRPr="00225D4D" w14:paraId="607A4435"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63CB0B20"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F76BFF6" w14:textId="77777777" w:rsidR="00D60186" w:rsidRPr="00FD49F3" w:rsidRDefault="00D60186" w:rsidP="00FD49F3">
            <w:pPr>
              <w:ind w:right="113"/>
              <w:jc w:val="right"/>
              <w:rPr>
                <w:sz w:val="21"/>
                <w:szCs w:val="21"/>
              </w:rPr>
            </w:pPr>
            <w:r w:rsidRPr="00FD49F3">
              <w:rPr>
                <w:sz w:val="21"/>
                <w:szCs w:val="21"/>
              </w:rPr>
              <w:t>821</w:t>
            </w:r>
          </w:p>
        </w:tc>
        <w:tc>
          <w:tcPr>
            <w:tcW w:w="5780" w:type="dxa"/>
            <w:tcBorders>
              <w:top w:val="nil"/>
              <w:left w:val="nil"/>
              <w:bottom w:val="nil"/>
              <w:right w:val="nil"/>
            </w:tcBorders>
            <w:tcMar>
              <w:top w:w="128" w:type="dxa"/>
              <w:left w:w="43" w:type="dxa"/>
              <w:bottom w:w="43" w:type="dxa"/>
              <w:right w:w="43" w:type="dxa"/>
            </w:tcMar>
          </w:tcPr>
          <w:p w14:paraId="09AF2B72" w14:textId="77777777" w:rsidR="00D60186" w:rsidRPr="00FD49F3" w:rsidRDefault="00D60186" w:rsidP="00225D4D">
            <w:pPr>
              <w:rPr>
                <w:sz w:val="21"/>
                <w:szCs w:val="21"/>
              </w:rPr>
            </w:pPr>
            <w:r w:rsidRPr="00FD49F3">
              <w:rPr>
                <w:sz w:val="21"/>
                <w:szCs w:val="21"/>
              </w:rPr>
              <w:t>Utrede utfordringer ved og behov for behandling av personopplysninger for frivillig sektor</w:t>
            </w:r>
          </w:p>
        </w:tc>
        <w:tc>
          <w:tcPr>
            <w:tcW w:w="1240" w:type="dxa"/>
            <w:tcBorders>
              <w:top w:val="nil"/>
              <w:left w:val="nil"/>
              <w:bottom w:val="nil"/>
              <w:right w:val="nil"/>
            </w:tcBorders>
            <w:tcMar>
              <w:top w:w="128" w:type="dxa"/>
              <w:left w:w="43" w:type="dxa"/>
              <w:bottom w:w="43" w:type="dxa"/>
              <w:right w:w="43" w:type="dxa"/>
            </w:tcMar>
          </w:tcPr>
          <w:p w14:paraId="20225742" w14:textId="77777777" w:rsidR="00D60186" w:rsidRPr="00FD49F3" w:rsidRDefault="00D60186" w:rsidP="00FD49F3">
            <w:pPr>
              <w:jc w:val="right"/>
              <w:rPr>
                <w:sz w:val="21"/>
                <w:szCs w:val="21"/>
              </w:rPr>
            </w:pPr>
            <w:r w:rsidRPr="00FD49F3">
              <w:rPr>
                <w:sz w:val="21"/>
                <w:szCs w:val="21"/>
              </w:rPr>
              <w:t>Nei</w:t>
            </w:r>
          </w:p>
        </w:tc>
      </w:tr>
      <w:tr w:rsidR="00E76DC8" w:rsidRPr="00225D4D" w14:paraId="310DCB39"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4D979F29"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CC1D60A" w14:textId="77777777" w:rsidR="00D60186" w:rsidRPr="00FD49F3" w:rsidRDefault="00D60186" w:rsidP="00FD49F3">
            <w:pPr>
              <w:ind w:right="113"/>
              <w:jc w:val="right"/>
              <w:rPr>
                <w:sz w:val="21"/>
                <w:szCs w:val="21"/>
              </w:rPr>
            </w:pPr>
            <w:r w:rsidRPr="00FD49F3">
              <w:rPr>
                <w:sz w:val="21"/>
                <w:szCs w:val="21"/>
              </w:rPr>
              <w:t>822</w:t>
            </w:r>
          </w:p>
        </w:tc>
        <w:tc>
          <w:tcPr>
            <w:tcW w:w="5780" w:type="dxa"/>
            <w:tcBorders>
              <w:top w:val="nil"/>
              <w:left w:val="nil"/>
              <w:bottom w:val="nil"/>
              <w:right w:val="nil"/>
            </w:tcBorders>
            <w:tcMar>
              <w:top w:w="128" w:type="dxa"/>
              <w:left w:w="43" w:type="dxa"/>
              <w:bottom w:w="43" w:type="dxa"/>
              <w:right w:w="43" w:type="dxa"/>
            </w:tcMar>
          </w:tcPr>
          <w:p w14:paraId="433D17EC" w14:textId="77777777" w:rsidR="00D60186" w:rsidRPr="00FD49F3" w:rsidRDefault="00D60186" w:rsidP="00225D4D">
            <w:pPr>
              <w:rPr>
                <w:sz w:val="21"/>
                <w:szCs w:val="21"/>
              </w:rPr>
            </w:pPr>
            <w:r w:rsidRPr="00FD49F3">
              <w:rPr>
                <w:sz w:val="21"/>
                <w:szCs w:val="21"/>
              </w:rPr>
              <w:t xml:space="preserve">Innta konkrete definisjoner og diskrimineringsgrunnlag </w:t>
            </w:r>
            <w:r w:rsidRPr="00FD49F3">
              <w:rPr>
                <w:sz w:val="21"/>
                <w:szCs w:val="21"/>
              </w:rPr>
              <w:br/>
              <w:t>i loven om behandling av personopplysninger i idretten</w:t>
            </w:r>
          </w:p>
        </w:tc>
        <w:tc>
          <w:tcPr>
            <w:tcW w:w="1240" w:type="dxa"/>
            <w:tcBorders>
              <w:top w:val="nil"/>
              <w:left w:val="nil"/>
              <w:bottom w:val="nil"/>
              <w:right w:val="nil"/>
            </w:tcBorders>
            <w:tcMar>
              <w:top w:w="128" w:type="dxa"/>
              <w:left w:w="43" w:type="dxa"/>
              <w:bottom w:w="43" w:type="dxa"/>
              <w:right w:w="43" w:type="dxa"/>
            </w:tcMar>
          </w:tcPr>
          <w:p w14:paraId="19CB8DDB" w14:textId="77777777" w:rsidR="00D60186" w:rsidRPr="00FD49F3" w:rsidRDefault="00D60186" w:rsidP="00FD49F3">
            <w:pPr>
              <w:jc w:val="right"/>
              <w:rPr>
                <w:sz w:val="21"/>
                <w:szCs w:val="21"/>
              </w:rPr>
            </w:pPr>
            <w:r w:rsidRPr="00FD49F3">
              <w:rPr>
                <w:sz w:val="21"/>
                <w:szCs w:val="21"/>
              </w:rPr>
              <w:t>Nei</w:t>
            </w:r>
          </w:p>
        </w:tc>
      </w:tr>
      <w:tr w:rsidR="00E76DC8" w:rsidRPr="00225D4D" w14:paraId="0655E8C4"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793A1A2D"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50B33B2" w14:textId="77777777" w:rsidR="00D60186" w:rsidRPr="00FD49F3" w:rsidRDefault="00D60186" w:rsidP="00FD49F3">
            <w:pPr>
              <w:ind w:right="113"/>
              <w:jc w:val="right"/>
              <w:rPr>
                <w:sz w:val="21"/>
                <w:szCs w:val="21"/>
              </w:rPr>
            </w:pPr>
            <w:r w:rsidRPr="00FD49F3">
              <w:rPr>
                <w:sz w:val="21"/>
                <w:szCs w:val="21"/>
              </w:rPr>
              <w:t>823</w:t>
            </w:r>
          </w:p>
        </w:tc>
        <w:tc>
          <w:tcPr>
            <w:tcW w:w="5780" w:type="dxa"/>
            <w:tcBorders>
              <w:top w:val="nil"/>
              <w:left w:val="nil"/>
              <w:bottom w:val="nil"/>
              <w:right w:val="nil"/>
            </w:tcBorders>
            <w:tcMar>
              <w:top w:w="128" w:type="dxa"/>
              <w:left w:w="43" w:type="dxa"/>
              <w:bottom w:w="43" w:type="dxa"/>
              <w:right w:w="43" w:type="dxa"/>
            </w:tcMar>
          </w:tcPr>
          <w:p w14:paraId="59CB1D89" w14:textId="77777777" w:rsidR="00D60186" w:rsidRPr="00FD49F3" w:rsidRDefault="00D60186" w:rsidP="00225D4D">
            <w:pPr>
              <w:rPr>
                <w:sz w:val="21"/>
                <w:szCs w:val="21"/>
              </w:rPr>
            </w:pPr>
            <w:r w:rsidRPr="00FD49F3">
              <w:rPr>
                <w:sz w:val="21"/>
                <w:szCs w:val="21"/>
              </w:rPr>
              <w:t xml:space="preserve">Igangsette samtaler med Den norske Forleggerforening for </w:t>
            </w:r>
            <w:r w:rsidRPr="00FD49F3">
              <w:rPr>
                <w:sz w:val="21"/>
                <w:szCs w:val="21"/>
              </w:rPr>
              <w:br/>
              <w:t>å komme fram til oppdaterte utlånsmodeller</w:t>
            </w:r>
          </w:p>
        </w:tc>
        <w:tc>
          <w:tcPr>
            <w:tcW w:w="1240" w:type="dxa"/>
            <w:tcBorders>
              <w:top w:val="nil"/>
              <w:left w:val="nil"/>
              <w:bottom w:val="nil"/>
              <w:right w:val="nil"/>
            </w:tcBorders>
            <w:tcMar>
              <w:top w:w="128" w:type="dxa"/>
              <w:left w:w="43" w:type="dxa"/>
              <w:bottom w:w="43" w:type="dxa"/>
              <w:right w:w="43" w:type="dxa"/>
            </w:tcMar>
          </w:tcPr>
          <w:p w14:paraId="603903DC" w14:textId="77777777" w:rsidR="00D60186" w:rsidRPr="00FD49F3" w:rsidRDefault="00D60186" w:rsidP="00FD49F3">
            <w:pPr>
              <w:jc w:val="right"/>
              <w:rPr>
                <w:sz w:val="21"/>
                <w:szCs w:val="21"/>
              </w:rPr>
            </w:pPr>
            <w:r w:rsidRPr="00FD49F3">
              <w:rPr>
                <w:sz w:val="21"/>
                <w:szCs w:val="21"/>
              </w:rPr>
              <w:t>Ja</w:t>
            </w:r>
          </w:p>
        </w:tc>
      </w:tr>
      <w:tr w:rsidR="00E76DC8" w:rsidRPr="00225D4D" w14:paraId="095DA589" w14:textId="77777777" w:rsidTr="00D77759">
        <w:trPr>
          <w:trHeight w:val="20"/>
        </w:trPr>
        <w:tc>
          <w:tcPr>
            <w:tcW w:w="1400" w:type="dxa"/>
            <w:tcBorders>
              <w:top w:val="nil"/>
              <w:left w:val="nil"/>
              <w:right w:val="nil"/>
            </w:tcBorders>
            <w:tcMar>
              <w:top w:w="128" w:type="dxa"/>
              <w:left w:w="43" w:type="dxa"/>
              <w:bottom w:w="43" w:type="dxa"/>
              <w:right w:w="43" w:type="dxa"/>
            </w:tcMar>
          </w:tcPr>
          <w:p w14:paraId="28CF5283" w14:textId="77777777" w:rsidR="00D60186" w:rsidRPr="00FD49F3" w:rsidRDefault="00D60186" w:rsidP="00225D4D">
            <w:pPr>
              <w:rPr>
                <w:sz w:val="21"/>
                <w:szCs w:val="21"/>
              </w:rPr>
            </w:pPr>
            <w:r w:rsidRPr="00FD49F3">
              <w:rPr>
                <w:sz w:val="21"/>
                <w:szCs w:val="21"/>
              </w:rPr>
              <w:t>2024–2025</w:t>
            </w:r>
          </w:p>
        </w:tc>
        <w:tc>
          <w:tcPr>
            <w:tcW w:w="1120" w:type="dxa"/>
            <w:tcBorders>
              <w:top w:val="nil"/>
              <w:left w:val="nil"/>
              <w:right w:val="nil"/>
            </w:tcBorders>
            <w:tcMar>
              <w:top w:w="128" w:type="dxa"/>
              <w:left w:w="43" w:type="dxa"/>
              <w:bottom w:w="43" w:type="dxa"/>
              <w:right w:w="43" w:type="dxa"/>
            </w:tcMar>
          </w:tcPr>
          <w:p w14:paraId="349D44FB" w14:textId="77777777" w:rsidR="00D60186" w:rsidRPr="00FD49F3" w:rsidRDefault="00D60186" w:rsidP="00FD49F3">
            <w:pPr>
              <w:ind w:right="113"/>
              <w:jc w:val="right"/>
              <w:rPr>
                <w:sz w:val="21"/>
                <w:szCs w:val="21"/>
              </w:rPr>
            </w:pPr>
            <w:r w:rsidRPr="00FD49F3">
              <w:rPr>
                <w:sz w:val="21"/>
                <w:szCs w:val="21"/>
              </w:rPr>
              <w:t>859</w:t>
            </w:r>
          </w:p>
        </w:tc>
        <w:tc>
          <w:tcPr>
            <w:tcW w:w="5780" w:type="dxa"/>
            <w:tcBorders>
              <w:top w:val="nil"/>
              <w:left w:val="nil"/>
              <w:right w:val="nil"/>
            </w:tcBorders>
            <w:tcMar>
              <w:top w:w="128" w:type="dxa"/>
              <w:left w:w="43" w:type="dxa"/>
              <w:bottom w:w="43" w:type="dxa"/>
              <w:right w:w="43" w:type="dxa"/>
            </w:tcMar>
          </w:tcPr>
          <w:p w14:paraId="106C1F69" w14:textId="77777777" w:rsidR="00D60186" w:rsidRPr="00FD49F3" w:rsidRDefault="00D60186" w:rsidP="00225D4D">
            <w:pPr>
              <w:rPr>
                <w:sz w:val="21"/>
                <w:szCs w:val="21"/>
              </w:rPr>
            </w:pPr>
            <w:r w:rsidRPr="00FD49F3">
              <w:rPr>
                <w:sz w:val="21"/>
                <w:szCs w:val="21"/>
              </w:rPr>
              <w:t xml:space="preserve">Sørge for at tilskuddsordning for styrking av kjønns- og </w:t>
            </w:r>
            <w:r w:rsidRPr="00FD49F3">
              <w:rPr>
                <w:sz w:val="21"/>
                <w:szCs w:val="21"/>
              </w:rPr>
              <w:br/>
              <w:t xml:space="preserve">seksualitetsmangfold også kan benyttes til å forebygge </w:t>
            </w:r>
            <w:r w:rsidRPr="00FD49F3">
              <w:rPr>
                <w:sz w:val="21"/>
                <w:szCs w:val="21"/>
              </w:rPr>
              <w:br/>
              <w:t>hat mot skeive</w:t>
            </w:r>
          </w:p>
        </w:tc>
        <w:tc>
          <w:tcPr>
            <w:tcW w:w="1240" w:type="dxa"/>
            <w:tcBorders>
              <w:top w:val="nil"/>
              <w:left w:val="nil"/>
              <w:right w:val="nil"/>
            </w:tcBorders>
            <w:tcMar>
              <w:top w:w="128" w:type="dxa"/>
              <w:left w:w="43" w:type="dxa"/>
              <w:bottom w:w="43" w:type="dxa"/>
              <w:right w:w="43" w:type="dxa"/>
            </w:tcMar>
          </w:tcPr>
          <w:p w14:paraId="1EFDCAE6" w14:textId="77777777" w:rsidR="00D60186" w:rsidRPr="00FD49F3" w:rsidRDefault="00D60186" w:rsidP="00FD49F3">
            <w:pPr>
              <w:jc w:val="right"/>
              <w:rPr>
                <w:sz w:val="21"/>
                <w:szCs w:val="21"/>
              </w:rPr>
            </w:pPr>
            <w:r w:rsidRPr="00FD49F3">
              <w:rPr>
                <w:sz w:val="21"/>
                <w:szCs w:val="21"/>
              </w:rPr>
              <w:t>Ja</w:t>
            </w:r>
          </w:p>
        </w:tc>
      </w:tr>
      <w:tr w:rsidR="00E76DC8" w:rsidRPr="00225D4D" w14:paraId="1A9BBBC4"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68A43349"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E507266" w14:textId="77777777" w:rsidR="00D60186" w:rsidRPr="00FD49F3" w:rsidRDefault="00D60186" w:rsidP="00FD49F3">
            <w:pPr>
              <w:ind w:right="113"/>
              <w:jc w:val="right"/>
              <w:rPr>
                <w:sz w:val="21"/>
                <w:szCs w:val="21"/>
              </w:rPr>
            </w:pPr>
            <w:r w:rsidRPr="00FD49F3">
              <w:rPr>
                <w:sz w:val="21"/>
                <w:szCs w:val="21"/>
              </w:rPr>
              <w:t>860</w:t>
            </w:r>
          </w:p>
        </w:tc>
        <w:tc>
          <w:tcPr>
            <w:tcW w:w="5780" w:type="dxa"/>
            <w:tcBorders>
              <w:top w:val="nil"/>
              <w:left w:val="nil"/>
              <w:bottom w:val="nil"/>
              <w:right w:val="nil"/>
            </w:tcBorders>
            <w:tcMar>
              <w:top w:w="128" w:type="dxa"/>
              <w:left w:w="43" w:type="dxa"/>
              <w:bottom w:w="43" w:type="dxa"/>
              <w:right w:w="43" w:type="dxa"/>
            </w:tcMar>
          </w:tcPr>
          <w:p w14:paraId="6F41AF0F" w14:textId="77777777" w:rsidR="00D60186" w:rsidRPr="00FD49F3" w:rsidRDefault="00D60186" w:rsidP="00225D4D">
            <w:pPr>
              <w:rPr>
                <w:sz w:val="21"/>
                <w:szCs w:val="21"/>
              </w:rPr>
            </w:pPr>
            <w:r w:rsidRPr="00FD49F3">
              <w:rPr>
                <w:sz w:val="21"/>
                <w:szCs w:val="21"/>
              </w:rPr>
              <w:t>Forskning på psykososiale og økonomiske konsekvenser for direkte berørte av terroren 22. juli 2011</w:t>
            </w:r>
          </w:p>
        </w:tc>
        <w:tc>
          <w:tcPr>
            <w:tcW w:w="1240" w:type="dxa"/>
            <w:tcBorders>
              <w:top w:val="nil"/>
              <w:left w:val="nil"/>
              <w:bottom w:val="nil"/>
              <w:right w:val="nil"/>
            </w:tcBorders>
            <w:tcMar>
              <w:top w:w="128" w:type="dxa"/>
              <w:left w:w="43" w:type="dxa"/>
              <w:bottom w:w="43" w:type="dxa"/>
              <w:right w:w="43" w:type="dxa"/>
            </w:tcMar>
          </w:tcPr>
          <w:p w14:paraId="45E5C3F7" w14:textId="77777777" w:rsidR="00D60186" w:rsidRPr="00FD49F3" w:rsidRDefault="00D60186" w:rsidP="00FD49F3">
            <w:pPr>
              <w:jc w:val="right"/>
              <w:rPr>
                <w:sz w:val="21"/>
                <w:szCs w:val="21"/>
              </w:rPr>
            </w:pPr>
            <w:r w:rsidRPr="00FD49F3">
              <w:rPr>
                <w:sz w:val="21"/>
                <w:szCs w:val="21"/>
              </w:rPr>
              <w:t>Nei</w:t>
            </w:r>
          </w:p>
        </w:tc>
      </w:tr>
      <w:tr w:rsidR="00E76DC8" w:rsidRPr="00225D4D" w14:paraId="4BB26F30" w14:textId="77777777" w:rsidTr="00D77759">
        <w:trPr>
          <w:trHeight w:val="20"/>
        </w:trPr>
        <w:tc>
          <w:tcPr>
            <w:tcW w:w="1400" w:type="dxa"/>
            <w:tcBorders>
              <w:left w:val="nil"/>
              <w:bottom w:val="nil"/>
              <w:right w:val="nil"/>
            </w:tcBorders>
            <w:tcMar>
              <w:top w:w="128" w:type="dxa"/>
              <w:left w:w="43" w:type="dxa"/>
              <w:bottom w:w="43" w:type="dxa"/>
              <w:right w:w="43" w:type="dxa"/>
            </w:tcMar>
          </w:tcPr>
          <w:p w14:paraId="637F0A4B" w14:textId="77777777" w:rsidR="00D60186" w:rsidRPr="00FD49F3" w:rsidRDefault="00D60186" w:rsidP="00225D4D">
            <w:pPr>
              <w:rPr>
                <w:sz w:val="21"/>
                <w:szCs w:val="21"/>
              </w:rPr>
            </w:pPr>
            <w:r w:rsidRPr="00FD49F3">
              <w:rPr>
                <w:sz w:val="21"/>
                <w:szCs w:val="21"/>
              </w:rPr>
              <w:t>2024–2025</w:t>
            </w:r>
          </w:p>
        </w:tc>
        <w:tc>
          <w:tcPr>
            <w:tcW w:w="1120" w:type="dxa"/>
            <w:tcBorders>
              <w:left w:val="nil"/>
              <w:bottom w:val="nil"/>
              <w:right w:val="nil"/>
            </w:tcBorders>
            <w:tcMar>
              <w:top w:w="128" w:type="dxa"/>
              <w:left w:w="43" w:type="dxa"/>
              <w:bottom w:w="43" w:type="dxa"/>
              <w:right w:w="43" w:type="dxa"/>
            </w:tcMar>
          </w:tcPr>
          <w:p w14:paraId="1BBAD303" w14:textId="77777777" w:rsidR="00D60186" w:rsidRPr="00FD49F3" w:rsidRDefault="00D60186" w:rsidP="00FD49F3">
            <w:pPr>
              <w:ind w:right="113"/>
              <w:jc w:val="right"/>
              <w:rPr>
                <w:sz w:val="21"/>
                <w:szCs w:val="21"/>
              </w:rPr>
            </w:pPr>
            <w:r w:rsidRPr="00FD49F3">
              <w:rPr>
                <w:sz w:val="21"/>
                <w:szCs w:val="21"/>
              </w:rPr>
              <w:t>862</w:t>
            </w:r>
          </w:p>
        </w:tc>
        <w:tc>
          <w:tcPr>
            <w:tcW w:w="5780" w:type="dxa"/>
            <w:tcBorders>
              <w:left w:val="nil"/>
              <w:bottom w:val="nil"/>
              <w:right w:val="nil"/>
            </w:tcBorders>
            <w:tcMar>
              <w:top w:w="128" w:type="dxa"/>
              <w:left w:w="43" w:type="dxa"/>
              <w:bottom w:w="43" w:type="dxa"/>
              <w:right w:w="43" w:type="dxa"/>
            </w:tcMar>
          </w:tcPr>
          <w:p w14:paraId="693DE5EA" w14:textId="77777777" w:rsidR="00D60186" w:rsidRPr="00FD49F3" w:rsidRDefault="00D60186" w:rsidP="00225D4D">
            <w:pPr>
              <w:rPr>
                <w:sz w:val="21"/>
                <w:szCs w:val="21"/>
              </w:rPr>
            </w:pPr>
            <w:r w:rsidRPr="00FD49F3">
              <w:rPr>
                <w:sz w:val="21"/>
                <w:szCs w:val="21"/>
              </w:rPr>
              <w:t xml:space="preserve">Endre virkeområdet for støtte til film- og serieproduksjon til </w:t>
            </w:r>
            <w:r w:rsidRPr="00FD49F3">
              <w:rPr>
                <w:sz w:val="21"/>
                <w:szCs w:val="21"/>
              </w:rPr>
              <w:br/>
              <w:t>å også omfatte Svalbard</w:t>
            </w:r>
          </w:p>
        </w:tc>
        <w:tc>
          <w:tcPr>
            <w:tcW w:w="1240" w:type="dxa"/>
            <w:tcBorders>
              <w:left w:val="nil"/>
              <w:bottom w:val="nil"/>
              <w:right w:val="nil"/>
            </w:tcBorders>
            <w:tcMar>
              <w:top w:w="128" w:type="dxa"/>
              <w:left w:w="43" w:type="dxa"/>
              <w:bottom w:w="43" w:type="dxa"/>
              <w:right w:w="43" w:type="dxa"/>
            </w:tcMar>
          </w:tcPr>
          <w:p w14:paraId="06AA3B52" w14:textId="77777777" w:rsidR="00D60186" w:rsidRPr="00FD49F3" w:rsidRDefault="00D60186" w:rsidP="00FD49F3">
            <w:pPr>
              <w:jc w:val="right"/>
              <w:rPr>
                <w:sz w:val="21"/>
                <w:szCs w:val="21"/>
              </w:rPr>
            </w:pPr>
            <w:r w:rsidRPr="00FD49F3">
              <w:rPr>
                <w:sz w:val="21"/>
                <w:szCs w:val="21"/>
              </w:rPr>
              <w:t>Nei</w:t>
            </w:r>
          </w:p>
        </w:tc>
      </w:tr>
      <w:tr w:rsidR="00E76DC8" w:rsidRPr="00225D4D" w14:paraId="5AD8514F"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17605956"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64FE400" w14:textId="77777777" w:rsidR="00D60186" w:rsidRPr="00FD49F3" w:rsidRDefault="00D60186" w:rsidP="00FD49F3">
            <w:pPr>
              <w:ind w:right="113"/>
              <w:jc w:val="right"/>
              <w:rPr>
                <w:sz w:val="21"/>
                <w:szCs w:val="21"/>
              </w:rPr>
            </w:pPr>
            <w:r w:rsidRPr="00FD49F3">
              <w:rPr>
                <w:sz w:val="21"/>
                <w:szCs w:val="21"/>
              </w:rPr>
              <w:t>1094</w:t>
            </w:r>
          </w:p>
        </w:tc>
        <w:tc>
          <w:tcPr>
            <w:tcW w:w="5780" w:type="dxa"/>
            <w:tcBorders>
              <w:top w:val="nil"/>
              <w:left w:val="nil"/>
              <w:bottom w:val="nil"/>
              <w:right w:val="nil"/>
            </w:tcBorders>
            <w:tcMar>
              <w:top w:w="128" w:type="dxa"/>
              <w:left w:w="43" w:type="dxa"/>
              <w:bottom w:w="43" w:type="dxa"/>
              <w:right w:w="43" w:type="dxa"/>
            </w:tcMar>
          </w:tcPr>
          <w:p w14:paraId="21EAB0D7" w14:textId="77777777" w:rsidR="00D60186" w:rsidRPr="00FD49F3" w:rsidRDefault="00D60186" w:rsidP="00225D4D">
            <w:pPr>
              <w:rPr>
                <w:sz w:val="21"/>
                <w:szCs w:val="21"/>
              </w:rPr>
            </w:pPr>
            <w:r w:rsidRPr="00FD49F3">
              <w:rPr>
                <w:sz w:val="21"/>
                <w:szCs w:val="21"/>
              </w:rPr>
              <w:t>Videreføre strømstøtteordningen for frivilligheten</w:t>
            </w:r>
          </w:p>
        </w:tc>
        <w:tc>
          <w:tcPr>
            <w:tcW w:w="1240" w:type="dxa"/>
            <w:tcBorders>
              <w:top w:val="nil"/>
              <w:left w:val="nil"/>
              <w:bottom w:val="nil"/>
              <w:right w:val="nil"/>
            </w:tcBorders>
            <w:tcMar>
              <w:top w:w="128" w:type="dxa"/>
              <w:left w:w="43" w:type="dxa"/>
              <w:bottom w:w="43" w:type="dxa"/>
              <w:right w:w="43" w:type="dxa"/>
            </w:tcMar>
          </w:tcPr>
          <w:p w14:paraId="438EDD9B" w14:textId="77777777" w:rsidR="00D60186" w:rsidRPr="00FD49F3" w:rsidRDefault="00D60186" w:rsidP="00FD49F3">
            <w:pPr>
              <w:jc w:val="right"/>
              <w:rPr>
                <w:sz w:val="21"/>
                <w:szCs w:val="21"/>
              </w:rPr>
            </w:pPr>
            <w:r w:rsidRPr="00FD49F3">
              <w:rPr>
                <w:sz w:val="21"/>
                <w:szCs w:val="21"/>
              </w:rPr>
              <w:t>Nei</w:t>
            </w:r>
          </w:p>
        </w:tc>
      </w:tr>
      <w:tr w:rsidR="00E76DC8" w:rsidRPr="00225D4D" w14:paraId="22C8CDF8"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37B420E9"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45F62FD" w14:textId="77777777" w:rsidR="00D60186" w:rsidRPr="00FD49F3" w:rsidRDefault="00D60186" w:rsidP="00FD49F3">
            <w:pPr>
              <w:ind w:right="113"/>
              <w:jc w:val="right"/>
              <w:rPr>
                <w:sz w:val="21"/>
                <w:szCs w:val="21"/>
              </w:rPr>
            </w:pPr>
            <w:r w:rsidRPr="00FD49F3">
              <w:rPr>
                <w:sz w:val="21"/>
                <w:szCs w:val="21"/>
              </w:rPr>
              <w:t>1231</w:t>
            </w:r>
          </w:p>
        </w:tc>
        <w:tc>
          <w:tcPr>
            <w:tcW w:w="5780" w:type="dxa"/>
            <w:tcBorders>
              <w:top w:val="nil"/>
              <w:left w:val="nil"/>
              <w:bottom w:val="nil"/>
              <w:right w:val="nil"/>
            </w:tcBorders>
            <w:tcMar>
              <w:top w:w="128" w:type="dxa"/>
              <w:left w:w="43" w:type="dxa"/>
              <w:bottom w:w="43" w:type="dxa"/>
              <w:right w:w="43" w:type="dxa"/>
            </w:tcMar>
          </w:tcPr>
          <w:p w14:paraId="2A653D4F" w14:textId="77777777" w:rsidR="00D60186" w:rsidRPr="00FD49F3" w:rsidRDefault="00D60186" w:rsidP="00225D4D">
            <w:pPr>
              <w:rPr>
                <w:sz w:val="21"/>
                <w:szCs w:val="21"/>
              </w:rPr>
            </w:pPr>
            <w:r w:rsidRPr="00FD49F3">
              <w:rPr>
                <w:sz w:val="21"/>
                <w:szCs w:val="21"/>
              </w:rPr>
              <w:t>Finansiering av prosjektet «Stiklestad for nye tusen år»</w:t>
            </w:r>
          </w:p>
        </w:tc>
        <w:tc>
          <w:tcPr>
            <w:tcW w:w="1240" w:type="dxa"/>
            <w:tcBorders>
              <w:top w:val="nil"/>
              <w:left w:val="nil"/>
              <w:bottom w:val="nil"/>
              <w:right w:val="nil"/>
            </w:tcBorders>
            <w:tcMar>
              <w:top w:w="128" w:type="dxa"/>
              <w:left w:w="43" w:type="dxa"/>
              <w:bottom w:w="43" w:type="dxa"/>
              <w:right w:w="43" w:type="dxa"/>
            </w:tcMar>
          </w:tcPr>
          <w:p w14:paraId="08EDB86C" w14:textId="77777777" w:rsidR="00D60186" w:rsidRPr="00FD49F3" w:rsidRDefault="00D60186" w:rsidP="00FD49F3">
            <w:pPr>
              <w:jc w:val="right"/>
              <w:rPr>
                <w:sz w:val="21"/>
                <w:szCs w:val="21"/>
              </w:rPr>
            </w:pPr>
            <w:r w:rsidRPr="00FD49F3">
              <w:rPr>
                <w:sz w:val="21"/>
                <w:szCs w:val="21"/>
              </w:rPr>
              <w:t>Ja</w:t>
            </w:r>
          </w:p>
        </w:tc>
      </w:tr>
      <w:tr w:rsidR="00E76DC8" w:rsidRPr="00225D4D" w14:paraId="46ABA274"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0C92688E" w14:textId="77777777" w:rsidR="00D60186" w:rsidRPr="00FD49F3" w:rsidRDefault="00D60186" w:rsidP="00225D4D">
            <w:pPr>
              <w:rPr>
                <w:sz w:val="21"/>
                <w:szCs w:val="21"/>
              </w:rPr>
            </w:pPr>
            <w:r w:rsidRPr="00FD49F3">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7C1D1AC" w14:textId="77777777" w:rsidR="00D60186" w:rsidRPr="00FD49F3" w:rsidRDefault="00D60186" w:rsidP="00FD49F3">
            <w:pPr>
              <w:ind w:right="113"/>
              <w:jc w:val="right"/>
              <w:rPr>
                <w:sz w:val="21"/>
                <w:szCs w:val="21"/>
              </w:rPr>
            </w:pPr>
            <w:r w:rsidRPr="00FD49F3">
              <w:rPr>
                <w:sz w:val="21"/>
                <w:szCs w:val="21"/>
              </w:rPr>
              <w:t>1245</w:t>
            </w:r>
          </w:p>
        </w:tc>
        <w:tc>
          <w:tcPr>
            <w:tcW w:w="5780" w:type="dxa"/>
            <w:tcBorders>
              <w:top w:val="nil"/>
              <w:left w:val="nil"/>
              <w:bottom w:val="nil"/>
              <w:right w:val="nil"/>
            </w:tcBorders>
            <w:tcMar>
              <w:top w:w="128" w:type="dxa"/>
              <w:left w:w="43" w:type="dxa"/>
              <w:bottom w:w="43" w:type="dxa"/>
              <w:right w:w="43" w:type="dxa"/>
            </w:tcMar>
          </w:tcPr>
          <w:p w14:paraId="11959545" w14:textId="77777777" w:rsidR="00D60186" w:rsidRPr="00FD49F3" w:rsidRDefault="00D60186" w:rsidP="00225D4D">
            <w:pPr>
              <w:rPr>
                <w:sz w:val="21"/>
                <w:szCs w:val="21"/>
              </w:rPr>
            </w:pPr>
            <w:r w:rsidRPr="00FD49F3">
              <w:rPr>
                <w:sz w:val="21"/>
                <w:szCs w:val="21"/>
              </w:rPr>
              <w:t>Opprette et regionalt filmfond med plassering i Indre Østfold</w:t>
            </w:r>
          </w:p>
        </w:tc>
        <w:tc>
          <w:tcPr>
            <w:tcW w:w="1240" w:type="dxa"/>
            <w:tcBorders>
              <w:top w:val="nil"/>
              <w:left w:val="nil"/>
              <w:bottom w:val="nil"/>
              <w:right w:val="nil"/>
            </w:tcBorders>
            <w:tcMar>
              <w:top w:w="128" w:type="dxa"/>
              <w:left w:w="43" w:type="dxa"/>
              <w:bottom w:w="43" w:type="dxa"/>
              <w:right w:w="43" w:type="dxa"/>
            </w:tcMar>
          </w:tcPr>
          <w:p w14:paraId="328C2D1E" w14:textId="77777777" w:rsidR="00D60186" w:rsidRPr="00FD49F3" w:rsidRDefault="00D60186" w:rsidP="00FD49F3">
            <w:pPr>
              <w:jc w:val="right"/>
              <w:rPr>
                <w:sz w:val="21"/>
                <w:szCs w:val="21"/>
              </w:rPr>
            </w:pPr>
            <w:r w:rsidRPr="00FD49F3">
              <w:rPr>
                <w:sz w:val="21"/>
                <w:szCs w:val="21"/>
              </w:rPr>
              <w:t>Nei</w:t>
            </w:r>
          </w:p>
        </w:tc>
      </w:tr>
      <w:tr w:rsidR="00E76DC8" w:rsidRPr="00225D4D" w14:paraId="7ACF1310"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41840BB7"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1C24194" w14:textId="77777777" w:rsidR="00D60186" w:rsidRPr="00FD49F3" w:rsidRDefault="00D60186" w:rsidP="00FD49F3">
            <w:pPr>
              <w:ind w:right="113"/>
              <w:jc w:val="right"/>
              <w:rPr>
                <w:sz w:val="21"/>
                <w:szCs w:val="21"/>
              </w:rPr>
            </w:pPr>
            <w:r w:rsidRPr="00FD49F3">
              <w:rPr>
                <w:sz w:val="21"/>
                <w:szCs w:val="21"/>
              </w:rPr>
              <w:t>440</w:t>
            </w:r>
          </w:p>
        </w:tc>
        <w:tc>
          <w:tcPr>
            <w:tcW w:w="5780" w:type="dxa"/>
            <w:tcBorders>
              <w:top w:val="nil"/>
              <w:left w:val="nil"/>
              <w:bottom w:val="nil"/>
              <w:right w:val="nil"/>
            </w:tcBorders>
            <w:tcMar>
              <w:top w:w="128" w:type="dxa"/>
              <w:left w:w="43" w:type="dxa"/>
              <w:bottom w:w="43" w:type="dxa"/>
              <w:right w:w="43" w:type="dxa"/>
            </w:tcMar>
          </w:tcPr>
          <w:p w14:paraId="145A72EE" w14:textId="77777777" w:rsidR="00D60186" w:rsidRPr="00FD49F3" w:rsidRDefault="00D60186" w:rsidP="00225D4D">
            <w:pPr>
              <w:rPr>
                <w:sz w:val="21"/>
                <w:szCs w:val="21"/>
              </w:rPr>
            </w:pPr>
            <w:proofErr w:type="spellStart"/>
            <w:r w:rsidRPr="00FD49F3">
              <w:rPr>
                <w:sz w:val="21"/>
                <w:szCs w:val="21"/>
              </w:rPr>
              <w:t>Lovgjennomgang</w:t>
            </w:r>
            <w:proofErr w:type="spellEnd"/>
            <w:r w:rsidRPr="00FD49F3">
              <w:rPr>
                <w:sz w:val="21"/>
                <w:szCs w:val="21"/>
              </w:rPr>
              <w:t xml:space="preserve"> med formål om å avskaffe utdaterte, diskriminerende og stigmatiserende begreper om personer med funksjonsnedsettelser </w:t>
            </w:r>
          </w:p>
        </w:tc>
        <w:tc>
          <w:tcPr>
            <w:tcW w:w="1240" w:type="dxa"/>
            <w:tcBorders>
              <w:top w:val="nil"/>
              <w:left w:val="nil"/>
              <w:bottom w:val="nil"/>
              <w:right w:val="nil"/>
            </w:tcBorders>
            <w:tcMar>
              <w:top w:w="128" w:type="dxa"/>
              <w:left w:w="43" w:type="dxa"/>
              <w:bottom w:w="43" w:type="dxa"/>
              <w:right w:w="43" w:type="dxa"/>
            </w:tcMar>
          </w:tcPr>
          <w:p w14:paraId="6CF7D5B9" w14:textId="77777777" w:rsidR="00D60186" w:rsidRPr="00FD49F3" w:rsidRDefault="00D60186" w:rsidP="00FD49F3">
            <w:pPr>
              <w:jc w:val="right"/>
              <w:rPr>
                <w:sz w:val="21"/>
                <w:szCs w:val="21"/>
              </w:rPr>
            </w:pPr>
            <w:r w:rsidRPr="00FD49F3">
              <w:rPr>
                <w:sz w:val="21"/>
                <w:szCs w:val="21"/>
              </w:rPr>
              <w:t>Nei</w:t>
            </w:r>
          </w:p>
        </w:tc>
      </w:tr>
      <w:tr w:rsidR="00E76DC8" w:rsidRPr="00225D4D" w14:paraId="03E878D9"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751B4C90" w14:textId="77777777" w:rsidR="00D60186" w:rsidRPr="00FD49F3" w:rsidRDefault="00D60186" w:rsidP="00225D4D">
            <w:pPr>
              <w:rPr>
                <w:sz w:val="21"/>
                <w:szCs w:val="21"/>
              </w:rPr>
            </w:pPr>
            <w:r w:rsidRPr="00FD49F3">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35524FA" w14:textId="77777777" w:rsidR="00D60186" w:rsidRPr="00FD49F3" w:rsidRDefault="00D60186" w:rsidP="00FD49F3">
            <w:pPr>
              <w:ind w:right="113"/>
              <w:jc w:val="right"/>
              <w:rPr>
                <w:sz w:val="21"/>
                <w:szCs w:val="21"/>
              </w:rPr>
            </w:pPr>
            <w:r w:rsidRPr="00FD49F3">
              <w:rPr>
                <w:sz w:val="21"/>
                <w:szCs w:val="21"/>
              </w:rPr>
              <w:t>534</w:t>
            </w:r>
          </w:p>
        </w:tc>
        <w:tc>
          <w:tcPr>
            <w:tcW w:w="5780" w:type="dxa"/>
            <w:tcBorders>
              <w:top w:val="nil"/>
              <w:left w:val="nil"/>
              <w:bottom w:val="nil"/>
              <w:right w:val="nil"/>
            </w:tcBorders>
            <w:tcMar>
              <w:top w:w="128" w:type="dxa"/>
              <w:left w:w="43" w:type="dxa"/>
              <w:bottom w:w="43" w:type="dxa"/>
              <w:right w:w="43" w:type="dxa"/>
            </w:tcMar>
          </w:tcPr>
          <w:p w14:paraId="64785D9D" w14:textId="77777777" w:rsidR="00D60186" w:rsidRPr="00FD49F3" w:rsidRDefault="00D60186" w:rsidP="00225D4D">
            <w:pPr>
              <w:rPr>
                <w:sz w:val="21"/>
                <w:szCs w:val="21"/>
              </w:rPr>
            </w:pPr>
            <w:r w:rsidRPr="00FD49F3">
              <w:rPr>
                <w:sz w:val="21"/>
                <w:szCs w:val="21"/>
              </w:rPr>
              <w:t>DNS-blokkering og personvern</w:t>
            </w:r>
          </w:p>
        </w:tc>
        <w:tc>
          <w:tcPr>
            <w:tcW w:w="1240" w:type="dxa"/>
            <w:tcBorders>
              <w:top w:val="nil"/>
              <w:left w:val="nil"/>
              <w:bottom w:val="nil"/>
              <w:right w:val="nil"/>
            </w:tcBorders>
            <w:tcMar>
              <w:top w:w="128" w:type="dxa"/>
              <w:left w:w="43" w:type="dxa"/>
              <w:bottom w:w="43" w:type="dxa"/>
              <w:right w:w="43" w:type="dxa"/>
            </w:tcMar>
          </w:tcPr>
          <w:p w14:paraId="78AC4538" w14:textId="77777777" w:rsidR="00D60186" w:rsidRPr="00FD49F3" w:rsidRDefault="00D60186" w:rsidP="00FD49F3">
            <w:pPr>
              <w:jc w:val="right"/>
              <w:rPr>
                <w:sz w:val="21"/>
                <w:szCs w:val="21"/>
              </w:rPr>
            </w:pPr>
            <w:r w:rsidRPr="00FD49F3">
              <w:rPr>
                <w:sz w:val="21"/>
                <w:szCs w:val="21"/>
              </w:rPr>
              <w:t>Nei</w:t>
            </w:r>
          </w:p>
        </w:tc>
      </w:tr>
      <w:tr w:rsidR="00E76DC8" w:rsidRPr="00225D4D" w14:paraId="1B3FEEDE"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0870C7EB"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69B246DA" w14:textId="77777777" w:rsidR="00D60186" w:rsidRPr="00FD49F3" w:rsidRDefault="00D60186" w:rsidP="00FD49F3">
            <w:pPr>
              <w:ind w:right="113"/>
              <w:jc w:val="right"/>
              <w:rPr>
                <w:sz w:val="21"/>
                <w:szCs w:val="21"/>
              </w:rPr>
            </w:pPr>
            <w:r w:rsidRPr="00FD49F3">
              <w:rPr>
                <w:sz w:val="21"/>
                <w:szCs w:val="21"/>
              </w:rPr>
              <w:t>558</w:t>
            </w:r>
          </w:p>
        </w:tc>
        <w:tc>
          <w:tcPr>
            <w:tcW w:w="5780" w:type="dxa"/>
            <w:tcBorders>
              <w:top w:val="nil"/>
              <w:left w:val="nil"/>
              <w:bottom w:val="nil"/>
              <w:right w:val="nil"/>
            </w:tcBorders>
            <w:tcMar>
              <w:top w:w="128" w:type="dxa"/>
              <w:left w:w="43" w:type="dxa"/>
              <w:bottom w:w="43" w:type="dxa"/>
              <w:right w:w="43" w:type="dxa"/>
            </w:tcMar>
          </w:tcPr>
          <w:p w14:paraId="77551A25" w14:textId="77777777" w:rsidR="00D60186" w:rsidRPr="00FD49F3" w:rsidRDefault="00D60186" w:rsidP="00225D4D">
            <w:pPr>
              <w:rPr>
                <w:sz w:val="21"/>
                <w:szCs w:val="21"/>
              </w:rPr>
            </w:pPr>
            <w:r w:rsidRPr="00FD49F3">
              <w:rPr>
                <w:sz w:val="21"/>
                <w:szCs w:val="21"/>
              </w:rPr>
              <w:t>Forsterke og utvide arbeidet med Frivillighetsregisteret</w:t>
            </w:r>
          </w:p>
        </w:tc>
        <w:tc>
          <w:tcPr>
            <w:tcW w:w="1240" w:type="dxa"/>
            <w:tcBorders>
              <w:top w:val="nil"/>
              <w:left w:val="nil"/>
              <w:bottom w:val="nil"/>
              <w:right w:val="nil"/>
            </w:tcBorders>
            <w:tcMar>
              <w:top w:w="128" w:type="dxa"/>
              <w:left w:w="43" w:type="dxa"/>
              <w:bottom w:w="43" w:type="dxa"/>
              <w:right w:w="43" w:type="dxa"/>
            </w:tcMar>
          </w:tcPr>
          <w:p w14:paraId="16D8EE70" w14:textId="77777777" w:rsidR="00D60186" w:rsidRPr="00FD49F3" w:rsidRDefault="00D60186" w:rsidP="00FD49F3">
            <w:pPr>
              <w:jc w:val="right"/>
              <w:rPr>
                <w:sz w:val="21"/>
                <w:szCs w:val="21"/>
              </w:rPr>
            </w:pPr>
            <w:r w:rsidRPr="00FD49F3">
              <w:rPr>
                <w:sz w:val="21"/>
                <w:szCs w:val="21"/>
              </w:rPr>
              <w:t>Nei</w:t>
            </w:r>
          </w:p>
        </w:tc>
      </w:tr>
      <w:tr w:rsidR="00E76DC8" w:rsidRPr="00225D4D" w14:paraId="4CA7C7C4"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7EBB8C9E"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7C0E7EA8" w14:textId="77777777" w:rsidR="00D60186" w:rsidRPr="00FD49F3" w:rsidRDefault="00D60186" w:rsidP="00FD49F3">
            <w:pPr>
              <w:ind w:right="113"/>
              <w:jc w:val="right"/>
              <w:rPr>
                <w:sz w:val="21"/>
                <w:szCs w:val="21"/>
              </w:rPr>
            </w:pPr>
            <w:r w:rsidRPr="00FD49F3">
              <w:rPr>
                <w:sz w:val="21"/>
                <w:szCs w:val="21"/>
              </w:rPr>
              <w:t>559</w:t>
            </w:r>
          </w:p>
        </w:tc>
        <w:tc>
          <w:tcPr>
            <w:tcW w:w="5780" w:type="dxa"/>
            <w:tcBorders>
              <w:top w:val="nil"/>
              <w:left w:val="nil"/>
              <w:bottom w:val="nil"/>
              <w:right w:val="nil"/>
            </w:tcBorders>
            <w:tcMar>
              <w:top w:w="128" w:type="dxa"/>
              <w:left w:w="43" w:type="dxa"/>
              <w:bottom w:w="43" w:type="dxa"/>
              <w:right w:w="43" w:type="dxa"/>
            </w:tcMar>
          </w:tcPr>
          <w:p w14:paraId="531DFD93" w14:textId="77777777" w:rsidR="00D60186" w:rsidRPr="00FD49F3" w:rsidRDefault="00D60186" w:rsidP="00225D4D">
            <w:pPr>
              <w:rPr>
                <w:sz w:val="21"/>
                <w:szCs w:val="21"/>
              </w:rPr>
            </w:pPr>
            <w:r w:rsidRPr="00FD49F3">
              <w:rPr>
                <w:sz w:val="21"/>
                <w:szCs w:val="21"/>
              </w:rPr>
              <w:t>Enhetlig definisjon av frivillige organisasjoner</w:t>
            </w:r>
          </w:p>
        </w:tc>
        <w:tc>
          <w:tcPr>
            <w:tcW w:w="1240" w:type="dxa"/>
            <w:tcBorders>
              <w:top w:val="nil"/>
              <w:left w:val="nil"/>
              <w:bottom w:val="nil"/>
              <w:right w:val="nil"/>
            </w:tcBorders>
            <w:tcMar>
              <w:top w:w="128" w:type="dxa"/>
              <w:left w:w="43" w:type="dxa"/>
              <w:bottom w:w="43" w:type="dxa"/>
              <w:right w:w="43" w:type="dxa"/>
            </w:tcMar>
          </w:tcPr>
          <w:p w14:paraId="4095C4B2" w14:textId="77777777" w:rsidR="00D60186" w:rsidRPr="00FD49F3" w:rsidRDefault="00D60186" w:rsidP="00FD49F3">
            <w:pPr>
              <w:jc w:val="right"/>
              <w:rPr>
                <w:sz w:val="21"/>
                <w:szCs w:val="21"/>
              </w:rPr>
            </w:pPr>
            <w:r w:rsidRPr="00FD49F3">
              <w:rPr>
                <w:sz w:val="21"/>
                <w:szCs w:val="21"/>
              </w:rPr>
              <w:t>Nei</w:t>
            </w:r>
          </w:p>
        </w:tc>
      </w:tr>
      <w:tr w:rsidR="00E76DC8" w:rsidRPr="00225D4D" w14:paraId="14FC9CE0"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5BA781A5"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4256FCE" w14:textId="77777777" w:rsidR="00D60186" w:rsidRPr="00FD49F3" w:rsidRDefault="00D60186" w:rsidP="00FD49F3">
            <w:pPr>
              <w:ind w:right="113"/>
              <w:jc w:val="right"/>
              <w:rPr>
                <w:sz w:val="21"/>
                <w:szCs w:val="21"/>
              </w:rPr>
            </w:pPr>
            <w:r w:rsidRPr="00FD49F3">
              <w:rPr>
                <w:sz w:val="21"/>
                <w:szCs w:val="21"/>
              </w:rPr>
              <w:t>607</w:t>
            </w:r>
          </w:p>
        </w:tc>
        <w:tc>
          <w:tcPr>
            <w:tcW w:w="5780" w:type="dxa"/>
            <w:tcBorders>
              <w:top w:val="nil"/>
              <w:left w:val="nil"/>
              <w:bottom w:val="nil"/>
              <w:right w:val="nil"/>
            </w:tcBorders>
            <w:tcMar>
              <w:top w:w="128" w:type="dxa"/>
              <w:left w:w="43" w:type="dxa"/>
              <w:bottom w:w="43" w:type="dxa"/>
              <w:right w:w="43" w:type="dxa"/>
            </w:tcMar>
          </w:tcPr>
          <w:p w14:paraId="6B3F1C02" w14:textId="77777777" w:rsidR="00D60186" w:rsidRPr="00FD49F3" w:rsidRDefault="00D60186" w:rsidP="00225D4D">
            <w:pPr>
              <w:rPr>
                <w:sz w:val="21"/>
                <w:szCs w:val="21"/>
              </w:rPr>
            </w:pPr>
            <w:r w:rsidRPr="00FD49F3">
              <w:rPr>
                <w:sz w:val="21"/>
                <w:szCs w:val="21"/>
              </w:rPr>
              <w:t>Vurdering av økonomiske levekår for personer med nedsatt funksjonsevne</w:t>
            </w:r>
          </w:p>
        </w:tc>
        <w:tc>
          <w:tcPr>
            <w:tcW w:w="1240" w:type="dxa"/>
            <w:tcBorders>
              <w:top w:val="nil"/>
              <w:left w:val="nil"/>
              <w:bottom w:val="nil"/>
              <w:right w:val="nil"/>
            </w:tcBorders>
            <w:tcMar>
              <w:top w:w="128" w:type="dxa"/>
              <w:left w:w="43" w:type="dxa"/>
              <w:bottom w:w="43" w:type="dxa"/>
              <w:right w:w="43" w:type="dxa"/>
            </w:tcMar>
          </w:tcPr>
          <w:p w14:paraId="6F226153" w14:textId="77777777" w:rsidR="00D60186" w:rsidRPr="00FD49F3" w:rsidRDefault="00D60186" w:rsidP="00FD49F3">
            <w:pPr>
              <w:jc w:val="right"/>
              <w:rPr>
                <w:sz w:val="21"/>
                <w:szCs w:val="21"/>
              </w:rPr>
            </w:pPr>
            <w:r w:rsidRPr="00FD49F3">
              <w:rPr>
                <w:sz w:val="21"/>
                <w:szCs w:val="21"/>
              </w:rPr>
              <w:t>Nei</w:t>
            </w:r>
          </w:p>
        </w:tc>
      </w:tr>
      <w:tr w:rsidR="00E76DC8" w:rsidRPr="00225D4D" w14:paraId="18309E35"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3A1AEA42"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3599B840" w14:textId="77777777" w:rsidR="00D60186" w:rsidRPr="00FD49F3" w:rsidRDefault="00D60186" w:rsidP="00FD49F3">
            <w:pPr>
              <w:ind w:right="113"/>
              <w:jc w:val="right"/>
              <w:rPr>
                <w:sz w:val="21"/>
                <w:szCs w:val="21"/>
              </w:rPr>
            </w:pPr>
            <w:r w:rsidRPr="00FD49F3">
              <w:rPr>
                <w:sz w:val="21"/>
                <w:szCs w:val="21"/>
              </w:rPr>
              <w:t>796</w:t>
            </w:r>
          </w:p>
        </w:tc>
        <w:tc>
          <w:tcPr>
            <w:tcW w:w="5780" w:type="dxa"/>
            <w:tcBorders>
              <w:top w:val="nil"/>
              <w:left w:val="nil"/>
              <w:bottom w:val="nil"/>
              <w:right w:val="nil"/>
            </w:tcBorders>
            <w:tcMar>
              <w:top w:w="128" w:type="dxa"/>
              <w:left w:w="43" w:type="dxa"/>
              <w:bottom w:w="43" w:type="dxa"/>
              <w:right w:w="43" w:type="dxa"/>
            </w:tcMar>
          </w:tcPr>
          <w:p w14:paraId="653E33A8" w14:textId="77777777" w:rsidR="00D60186" w:rsidRPr="00FD49F3" w:rsidRDefault="00D60186" w:rsidP="00225D4D">
            <w:pPr>
              <w:rPr>
                <w:sz w:val="21"/>
                <w:szCs w:val="21"/>
              </w:rPr>
            </w:pPr>
            <w:r w:rsidRPr="00FD49F3">
              <w:rPr>
                <w:sz w:val="21"/>
                <w:szCs w:val="21"/>
              </w:rPr>
              <w:t>Universell utforming av lydbøker</w:t>
            </w:r>
          </w:p>
        </w:tc>
        <w:tc>
          <w:tcPr>
            <w:tcW w:w="1240" w:type="dxa"/>
            <w:tcBorders>
              <w:top w:val="nil"/>
              <w:left w:val="nil"/>
              <w:bottom w:val="nil"/>
              <w:right w:val="nil"/>
            </w:tcBorders>
            <w:tcMar>
              <w:top w:w="128" w:type="dxa"/>
              <w:left w:w="43" w:type="dxa"/>
              <w:bottom w:w="43" w:type="dxa"/>
              <w:right w:w="43" w:type="dxa"/>
            </w:tcMar>
          </w:tcPr>
          <w:p w14:paraId="1E50AE04" w14:textId="77777777" w:rsidR="00D60186" w:rsidRPr="00FD49F3" w:rsidRDefault="00D60186" w:rsidP="00FD49F3">
            <w:pPr>
              <w:jc w:val="right"/>
              <w:rPr>
                <w:sz w:val="21"/>
                <w:szCs w:val="21"/>
              </w:rPr>
            </w:pPr>
            <w:r w:rsidRPr="00FD49F3">
              <w:rPr>
                <w:sz w:val="21"/>
                <w:szCs w:val="21"/>
              </w:rPr>
              <w:t>Nei</w:t>
            </w:r>
          </w:p>
        </w:tc>
      </w:tr>
      <w:tr w:rsidR="00E76DC8" w:rsidRPr="00225D4D" w14:paraId="3F97155C"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1C320710"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6459FF1" w14:textId="77777777" w:rsidR="00D60186" w:rsidRPr="00FD49F3" w:rsidRDefault="00D60186" w:rsidP="00FD49F3">
            <w:pPr>
              <w:ind w:right="113"/>
              <w:jc w:val="right"/>
              <w:rPr>
                <w:sz w:val="21"/>
                <w:szCs w:val="21"/>
              </w:rPr>
            </w:pPr>
            <w:r w:rsidRPr="00FD49F3">
              <w:rPr>
                <w:sz w:val="21"/>
                <w:szCs w:val="21"/>
              </w:rPr>
              <w:t>797</w:t>
            </w:r>
          </w:p>
        </w:tc>
        <w:tc>
          <w:tcPr>
            <w:tcW w:w="5780" w:type="dxa"/>
            <w:tcBorders>
              <w:top w:val="nil"/>
              <w:left w:val="nil"/>
              <w:bottom w:val="nil"/>
              <w:right w:val="nil"/>
            </w:tcBorders>
            <w:tcMar>
              <w:top w:w="128" w:type="dxa"/>
              <w:left w:w="43" w:type="dxa"/>
              <w:bottom w:w="43" w:type="dxa"/>
              <w:right w:w="43" w:type="dxa"/>
            </w:tcMar>
          </w:tcPr>
          <w:p w14:paraId="7815C40D" w14:textId="77777777" w:rsidR="00D60186" w:rsidRPr="00FD49F3" w:rsidRDefault="00D60186" w:rsidP="00225D4D">
            <w:pPr>
              <w:rPr>
                <w:sz w:val="21"/>
                <w:szCs w:val="21"/>
              </w:rPr>
            </w:pPr>
            <w:r w:rsidRPr="00FD49F3">
              <w:rPr>
                <w:sz w:val="21"/>
                <w:szCs w:val="21"/>
              </w:rPr>
              <w:t>Regulering av strømmemarkedet i bokloven</w:t>
            </w:r>
          </w:p>
        </w:tc>
        <w:tc>
          <w:tcPr>
            <w:tcW w:w="1240" w:type="dxa"/>
            <w:tcBorders>
              <w:top w:val="nil"/>
              <w:left w:val="nil"/>
              <w:bottom w:val="nil"/>
              <w:right w:val="nil"/>
            </w:tcBorders>
            <w:tcMar>
              <w:top w:w="128" w:type="dxa"/>
              <w:left w:w="43" w:type="dxa"/>
              <w:bottom w:w="43" w:type="dxa"/>
              <w:right w:w="43" w:type="dxa"/>
            </w:tcMar>
          </w:tcPr>
          <w:p w14:paraId="760F2F50" w14:textId="77777777" w:rsidR="00D60186" w:rsidRPr="00FD49F3" w:rsidRDefault="00D60186" w:rsidP="00FD49F3">
            <w:pPr>
              <w:jc w:val="right"/>
              <w:rPr>
                <w:sz w:val="21"/>
                <w:szCs w:val="21"/>
              </w:rPr>
            </w:pPr>
            <w:r w:rsidRPr="00FD49F3">
              <w:rPr>
                <w:sz w:val="21"/>
                <w:szCs w:val="21"/>
              </w:rPr>
              <w:t>Nei</w:t>
            </w:r>
          </w:p>
        </w:tc>
      </w:tr>
      <w:tr w:rsidR="00E76DC8" w:rsidRPr="00225D4D" w14:paraId="402A90F7"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221B49A8" w14:textId="77777777" w:rsidR="00D60186" w:rsidRPr="00FD49F3" w:rsidRDefault="00D60186" w:rsidP="00225D4D">
            <w:pPr>
              <w:rPr>
                <w:sz w:val="21"/>
                <w:szCs w:val="21"/>
              </w:rPr>
            </w:pPr>
            <w:r w:rsidRPr="00FD49F3">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0BE586B4" w14:textId="77777777" w:rsidR="00D60186" w:rsidRPr="00FD49F3" w:rsidRDefault="00D60186" w:rsidP="00FD49F3">
            <w:pPr>
              <w:ind w:right="113"/>
              <w:jc w:val="right"/>
              <w:rPr>
                <w:sz w:val="21"/>
                <w:szCs w:val="21"/>
              </w:rPr>
            </w:pPr>
            <w:r w:rsidRPr="00FD49F3">
              <w:rPr>
                <w:sz w:val="21"/>
                <w:szCs w:val="21"/>
              </w:rPr>
              <w:t>798</w:t>
            </w:r>
          </w:p>
        </w:tc>
        <w:tc>
          <w:tcPr>
            <w:tcW w:w="5780" w:type="dxa"/>
            <w:tcBorders>
              <w:top w:val="nil"/>
              <w:left w:val="nil"/>
              <w:bottom w:val="nil"/>
              <w:right w:val="nil"/>
            </w:tcBorders>
            <w:tcMar>
              <w:top w:w="128" w:type="dxa"/>
              <w:left w:w="43" w:type="dxa"/>
              <w:bottom w:w="43" w:type="dxa"/>
              <w:right w:w="43" w:type="dxa"/>
            </w:tcMar>
          </w:tcPr>
          <w:p w14:paraId="7F6D649A" w14:textId="77777777" w:rsidR="00D60186" w:rsidRPr="00FD49F3" w:rsidRDefault="00D60186" w:rsidP="00225D4D">
            <w:pPr>
              <w:rPr>
                <w:sz w:val="21"/>
                <w:szCs w:val="21"/>
              </w:rPr>
            </w:pPr>
            <w:r w:rsidRPr="00FD49F3">
              <w:rPr>
                <w:sz w:val="21"/>
                <w:szCs w:val="21"/>
              </w:rPr>
              <w:t xml:space="preserve">Vurdere endringer i fastprisreglene for lærebøker for høyere utdanning og fagbøker for profesjonsmarkedet </w:t>
            </w:r>
          </w:p>
        </w:tc>
        <w:tc>
          <w:tcPr>
            <w:tcW w:w="1240" w:type="dxa"/>
            <w:tcBorders>
              <w:top w:val="nil"/>
              <w:left w:val="nil"/>
              <w:bottom w:val="nil"/>
              <w:right w:val="nil"/>
            </w:tcBorders>
            <w:tcMar>
              <w:top w:w="128" w:type="dxa"/>
              <w:left w:w="43" w:type="dxa"/>
              <w:bottom w:w="43" w:type="dxa"/>
              <w:right w:w="43" w:type="dxa"/>
            </w:tcMar>
          </w:tcPr>
          <w:p w14:paraId="22B97783" w14:textId="77777777" w:rsidR="00D60186" w:rsidRPr="00FD49F3" w:rsidRDefault="00D60186" w:rsidP="00FD49F3">
            <w:pPr>
              <w:jc w:val="right"/>
              <w:rPr>
                <w:sz w:val="21"/>
                <w:szCs w:val="21"/>
              </w:rPr>
            </w:pPr>
            <w:r w:rsidRPr="00FD49F3">
              <w:rPr>
                <w:sz w:val="21"/>
                <w:szCs w:val="21"/>
              </w:rPr>
              <w:t>Nei</w:t>
            </w:r>
          </w:p>
        </w:tc>
      </w:tr>
      <w:tr w:rsidR="00E76DC8" w:rsidRPr="00225D4D" w14:paraId="27E8F39F"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3C082C4C" w14:textId="77777777" w:rsidR="00D60186" w:rsidRPr="00FD49F3" w:rsidRDefault="00D60186" w:rsidP="00225D4D">
            <w:pPr>
              <w:rPr>
                <w:sz w:val="21"/>
                <w:szCs w:val="21"/>
              </w:rPr>
            </w:pPr>
            <w:r w:rsidRPr="00FD49F3">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20982DE9" w14:textId="77777777" w:rsidR="00D60186" w:rsidRPr="00FD49F3" w:rsidRDefault="00D60186" w:rsidP="00FD49F3">
            <w:pPr>
              <w:ind w:right="113"/>
              <w:jc w:val="right"/>
              <w:rPr>
                <w:sz w:val="21"/>
                <w:szCs w:val="21"/>
              </w:rPr>
            </w:pPr>
            <w:r w:rsidRPr="00FD49F3">
              <w:rPr>
                <w:sz w:val="21"/>
                <w:szCs w:val="21"/>
              </w:rPr>
              <w:t>755</w:t>
            </w:r>
          </w:p>
        </w:tc>
        <w:tc>
          <w:tcPr>
            <w:tcW w:w="5780" w:type="dxa"/>
            <w:tcBorders>
              <w:top w:val="nil"/>
              <w:left w:val="nil"/>
              <w:bottom w:val="nil"/>
              <w:right w:val="nil"/>
            </w:tcBorders>
            <w:tcMar>
              <w:top w:w="128" w:type="dxa"/>
              <w:left w:w="43" w:type="dxa"/>
              <w:bottom w:w="43" w:type="dxa"/>
              <w:right w:w="43" w:type="dxa"/>
            </w:tcMar>
          </w:tcPr>
          <w:p w14:paraId="0926165E" w14:textId="77777777" w:rsidR="00D60186" w:rsidRPr="00FD49F3" w:rsidRDefault="00D60186" w:rsidP="00225D4D">
            <w:pPr>
              <w:rPr>
                <w:sz w:val="21"/>
                <w:szCs w:val="21"/>
              </w:rPr>
            </w:pPr>
            <w:r w:rsidRPr="00FD49F3">
              <w:rPr>
                <w:sz w:val="21"/>
                <w:szCs w:val="21"/>
              </w:rPr>
              <w:t>Stortingsmelding om seksuell trakassering</w:t>
            </w:r>
          </w:p>
        </w:tc>
        <w:tc>
          <w:tcPr>
            <w:tcW w:w="1240" w:type="dxa"/>
            <w:tcBorders>
              <w:top w:val="nil"/>
              <w:left w:val="nil"/>
              <w:bottom w:val="nil"/>
              <w:right w:val="nil"/>
            </w:tcBorders>
            <w:tcMar>
              <w:top w:w="128" w:type="dxa"/>
              <w:left w:w="43" w:type="dxa"/>
              <w:bottom w:w="43" w:type="dxa"/>
              <w:right w:w="43" w:type="dxa"/>
            </w:tcMar>
          </w:tcPr>
          <w:p w14:paraId="1534DC02" w14:textId="77777777" w:rsidR="00D60186" w:rsidRPr="00FD49F3" w:rsidRDefault="00D60186" w:rsidP="00FD49F3">
            <w:pPr>
              <w:jc w:val="right"/>
              <w:rPr>
                <w:sz w:val="21"/>
                <w:szCs w:val="21"/>
              </w:rPr>
            </w:pPr>
            <w:r w:rsidRPr="00FD49F3">
              <w:rPr>
                <w:sz w:val="21"/>
                <w:szCs w:val="21"/>
              </w:rPr>
              <w:t>Ja</w:t>
            </w:r>
          </w:p>
        </w:tc>
      </w:tr>
      <w:tr w:rsidR="00E76DC8" w:rsidRPr="00225D4D" w14:paraId="1C58B109"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2ED6EBC3" w14:textId="77777777" w:rsidR="00D60186" w:rsidRPr="00FD49F3" w:rsidRDefault="00D60186" w:rsidP="00225D4D">
            <w:pPr>
              <w:rPr>
                <w:sz w:val="21"/>
                <w:szCs w:val="21"/>
              </w:rPr>
            </w:pPr>
            <w:r w:rsidRPr="00FD49F3">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061F58E2" w14:textId="77777777" w:rsidR="00D60186" w:rsidRPr="00FD49F3" w:rsidRDefault="00D60186" w:rsidP="00FD49F3">
            <w:pPr>
              <w:ind w:right="113"/>
              <w:jc w:val="right"/>
              <w:rPr>
                <w:sz w:val="21"/>
                <w:szCs w:val="21"/>
              </w:rPr>
            </w:pPr>
            <w:r w:rsidRPr="00FD49F3">
              <w:rPr>
                <w:sz w:val="21"/>
                <w:szCs w:val="21"/>
              </w:rPr>
              <w:t>788</w:t>
            </w:r>
          </w:p>
        </w:tc>
        <w:tc>
          <w:tcPr>
            <w:tcW w:w="5780" w:type="dxa"/>
            <w:tcBorders>
              <w:top w:val="nil"/>
              <w:left w:val="nil"/>
              <w:bottom w:val="nil"/>
              <w:right w:val="nil"/>
            </w:tcBorders>
            <w:tcMar>
              <w:top w:w="128" w:type="dxa"/>
              <w:left w:w="43" w:type="dxa"/>
              <w:bottom w:w="43" w:type="dxa"/>
              <w:right w:w="43" w:type="dxa"/>
            </w:tcMar>
          </w:tcPr>
          <w:p w14:paraId="7BA17CB0" w14:textId="77777777" w:rsidR="00D60186" w:rsidRPr="00FD49F3" w:rsidRDefault="00D60186" w:rsidP="00225D4D">
            <w:pPr>
              <w:rPr>
                <w:sz w:val="21"/>
                <w:szCs w:val="21"/>
              </w:rPr>
            </w:pPr>
            <w:r w:rsidRPr="00FD49F3">
              <w:rPr>
                <w:sz w:val="21"/>
                <w:szCs w:val="21"/>
              </w:rPr>
              <w:t>Innlemme symbolspråk i språkloven</w:t>
            </w:r>
          </w:p>
        </w:tc>
        <w:tc>
          <w:tcPr>
            <w:tcW w:w="1240" w:type="dxa"/>
            <w:tcBorders>
              <w:top w:val="nil"/>
              <w:left w:val="nil"/>
              <w:bottom w:val="nil"/>
              <w:right w:val="nil"/>
            </w:tcBorders>
            <w:tcMar>
              <w:top w:w="128" w:type="dxa"/>
              <w:left w:w="43" w:type="dxa"/>
              <w:bottom w:w="43" w:type="dxa"/>
              <w:right w:w="43" w:type="dxa"/>
            </w:tcMar>
          </w:tcPr>
          <w:p w14:paraId="7D395AAE" w14:textId="77777777" w:rsidR="00D60186" w:rsidRPr="00FD49F3" w:rsidRDefault="00D60186" w:rsidP="00FD49F3">
            <w:pPr>
              <w:jc w:val="right"/>
              <w:rPr>
                <w:sz w:val="21"/>
                <w:szCs w:val="21"/>
              </w:rPr>
            </w:pPr>
            <w:r w:rsidRPr="00FD49F3">
              <w:rPr>
                <w:sz w:val="21"/>
                <w:szCs w:val="21"/>
              </w:rPr>
              <w:t>Ja</w:t>
            </w:r>
          </w:p>
        </w:tc>
      </w:tr>
      <w:tr w:rsidR="00E76DC8" w:rsidRPr="00225D4D" w14:paraId="7E8A50F3"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118C686F" w14:textId="77777777" w:rsidR="00D60186" w:rsidRPr="00FD49F3" w:rsidRDefault="00D60186" w:rsidP="00225D4D">
            <w:pPr>
              <w:rPr>
                <w:sz w:val="21"/>
                <w:szCs w:val="21"/>
              </w:rPr>
            </w:pPr>
            <w:r w:rsidRPr="00FD49F3">
              <w:rPr>
                <w:sz w:val="21"/>
                <w:szCs w:val="21"/>
              </w:rPr>
              <w:t>2018–2019</w:t>
            </w:r>
          </w:p>
        </w:tc>
        <w:tc>
          <w:tcPr>
            <w:tcW w:w="1120" w:type="dxa"/>
            <w:tcBorders>
              <w:top w:val="nil"/>
              <w:left w:val="nil"/>
              <w:bottom w:val="nil"/>
              <w:right w:val="nil"/>
            </w:tcBorders>
            <w:tcMar>
              <w:top w:w="128" w:type="dxa"/>
              <w:left w:w="43" w:type="dxa"/>
              <w:bottom w:w="43" w:type="dxa"/>
              <w:right w:w="43" w:type="dxa"/>
            </w:tcMar>
          </w:tcPr>
          <w:p w14:paraId="528F2CB6" w14:textId="77777777" w:rsidR="00D60186" w:rsidRPr="00FD49F3" w:rsidRDefault="00D60186" w:rsidP="00FD49F3">
            <w:pPr>
              <w:ind w:right="113"/>
              <w:jc w:val="right"/>
              <w:rPr>
                <w:sz w:val="21"/>
                <w:szCs w:val="21"/>
              </w:rPr>
            </w:pPr>
            <w:r w:rsidRPr="00FD49F3">
              <w:rPr>
                <w:sz w:val="21"/>
                <w:szCs w:val="21"/>
              </w:rPr>
              <w:t>706</w:t>
            </w:r>
          </w:p>
        </w:tc>
        <w:tc>
          <w:tcPr>
            <w:tcW w:w="5780" w:type="dxa"/>
            <w:tcBorders>
              <w:top w:val="nil"/>
              <w:left w:val="nil"/>
              <w:bottom w:val="nil"/>
              <w:right w:val="nil"/>
            </w:tcBorders>
            <w:tcMar>
              <w:top w:w="128" w:type="dxa"/>
              <w:left w:w="43" w:type="dxa"/>
              <w:bottom w:w="43" w:type="dxa"/>
              <w:right w:w="43" w:type="dxa"/>
            </w:tcMar>
          </w:tcPr>
          <w:p w14:paraId="59B31968" w14:textId="77777777" w:rsidR="00D60186" w:rsidRPr="00FD49F3" w:rsidRDefault="00D60186" w:rsidP="00225D4D">
            <w:pPr>
              <w:rPr>
                <w:sz w:val="21"/>
                <w:szCs w:val="21"/>
              </w:rPr>
            </w:pPr>
            <w:r w:rsidRPr="00FD49F3">
              <w:rPr>
                <w:sz w:val="21"/>
                <w:szCs w:val="21"/>
              </w:rPr>
              <w:t>Endre forskrift om kringkasting</w:t>
            </w:r>
          </w:p>
        </w:tc>
        <w:tc>
          <w:tcPr>
            <w:tcW w:w="1240" w:type="dxa"/>
            <w:tcBorders>
              <w:top w:val="nil"/>
              <w:left w:val="nil"/>
              <w:bottom w:val="nil"/>
              <w:right w:val="nil"/>
            </w:tcBorders>
            <w:tcMar>
              <w:top w:w="128" w:type="dxa"/>
              <w:left w:w="43" w:type="dxa"/>
              <w:bottom w:w="43" w:type="dxa"/>
              <w:right w:w="43" w:type="dxa"/>
            </w:tcMar>
          </w:tcPr>
          <w:p w14:paraId="46E29C13" w14:textId="77777777" w:rsidR="00D60186" w:rsidRPr="00FD49F3" w:rsidRDefault="00D60186" w:rsidP="00FD49F3">
            <w:pPr>
              <w:jc w:val="right"/>
              <w:rPr>
                <w:sz w:val="21"/>
                <w:szCs w:val="21"/>
              </w:rPr>
            </w:pPr>
            <w:r w:rsidRPr="00FD49F3">
              <w:rPr>
                <w:sz w:val="21"/>
                <w:szCs w:val="21"/>
              </w:rPr>
              <w:t>Nei</w:t>
            </w:r>
          </w:p>
        </w:tc>
      </w:tr>
      <w:tr w:rsidR="00E76DC8" w:rsidRPr="00225D4D" w14:paraId="414B7C44"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1B50887E" w14:textId="77777777" w:rsidR="00D60186" w:rsidRPr="00FD49F3" w:rsidRDefault="00D60186" w:rsidP="00225D4D">
            <w:pPr>
              <w:rPr>
                <w:sz w:val="21"/>
                <w:szCs w:val="21"/>
              </w:rPr>
            </w:pPr>
            <w:r w:rsidRPr="00FD49F3">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7B911A51" w14:textId="77777777" w:rsidR="00D60186" w:rsidRPr="00FD49F3" w:rsidRDefault="00D60186" w:rsidP="00FD49F3">
            <w:pPr>
              <w:ind w:right="113"/>
              <w:jc w:val="right"/>
              <w:rPr>
                <w:sz w:val="21"/>
                <w:szCs w:val="21"/>
              </w:rPr>
            </w:pPr>
            <w:r w:rsidRPr="00FD49F3">
              <w:rPr>
                <w:sz w:val="21"/>
                <w:szCs w:val="21"/>
              </w:rPr>
              <w:t>729</w:t>
            </w:r>
          </w:p>
        </w:tc>
        <w:tc>
          <w:tcPr>
            <w:tcW w:w="5780" w:type="dxa"/>
            <w:tcBorders>
              <w:top w:val="nil"/>
              <w:left w:val="nil"/>
              <w:bottom w:val="nil"/>
              <w:right w:val="nil"/>
            </w:tcBorders>
            <w:tcMar>
              <w:top w:w="128" w:type="dxa"/>
              <w:left w:w="43" w:type="dxa"/>
              <w:bottom w:w="43" w:type="dxa"/>
              <w:right w:w="43" w:type="dxa"/>
            </w:tcMar>
          </w:tcPr>
          <w:p w14:paraId="08AB9FBF" w14:textId="77777777" w:rsidR="00D60186" w:rsidRPr="00FD49F3" w:rsidRDefault="00D60186" w:rsidP="00225D4D">
            <w:pPr>
              <w:rPr>
                <w:sz w:val="21"/>
                <w:szCs w:val="21"/>
              </w:rPr>
            </w:pPr>
            <w:r w:rsidRPr="00FD49F3">
              <w:rPr>
                <w:sz w:val="21"/>
                <w:szCs w:val="21"/>
              </w:rPr>
              <w:t>Utrede tvisteløsningsordning for fastsetting av rimelig vederlag</w:t>
            </w:r>
          </w:p>
        </w:tc>
        <w:tc>
          <w:tcPr>
            <w:tcW w:w="1240" w:type="dxa"/>
            <w:tcBorders>
              <w:top w:val="nil"/>
              <w:left w:val="nil"/>
              <w:bottom w:val="nil"/>
              <w:right w:val="nil"/>
            </w:tcBorders>
            <w:tcMar>
              <w:top w:w="128" w:type="dxa"/>
              <w:left w:w="43" w:type="dxa"/>
              <w:bottom w:w="43" w:type="dxa"/>
              <w:right w:w="43" w:type="dxa"/>
            </w:tcMar>
          </w:tcPr>
          <w:p w14:paraId="3B1C21DA" w14:textId="77777777" w:rsidR="00D60186" w:rsidRPr="00FD49F3" w:rsidRDefault="00D60186" w:rsidP="00FD49F3">
            <w:pPr>
              <w:jc w:val="right"/>
              <w:rPr>
                <w:sz w:val="21"/>
                <w:szCs w:val="21"/>
              </w:rPr>
            </w:pPr>
            <w:r w:rsidRPr="00FD49F3">
              <w:rPr>
                <w:sz w:val="21"/>
                <w:szCs w:val="21"/>
              </w:rPr>
              <w:t>Nei</w:t>
            </w:r>
          </w:p>
        </w:tc>
      </w:tr>
      <w:tr w:rsidR="00E76DC8" w:rsidRPr="00225D4D" w14:paraId="281DD38B"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07EB0EE7" w14:textId="77777777" w:rsidR="00D60186" w:rsidRPr="00FD49F3" w:rsidRDefault="00D60186" w:rsidP="00225D4D">
            <w:pPr>
              <w:rPr>
                <w:sz w:val="21"/>
                <w:szCs w:val="21"/>
              </w:rPr>
            </w:pPr>
            <w:r w:rsidRPr="00FD49F3">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5FA7715C" w14:textId="77777777" w:rsidR="00D60186" w:rsidRPr="00FD49F3" w:rsidRDefault="00D60186" w:rsidP="00FD49F3">
            <w:pPr>
              <w:ind w:right="113"/>
              <w:jc w:val="right"/>
              <w:rPr>
                <w:sz w:val="21"/>
                <w:szCs w:val="21"/>
              </w:rPr>
            </w:pPr>
            <w:r w:rsidRPr="00FD49F3">
              <w:rPr>
                <w:sz w:val="21"/>
                <w:szCs w:val="21"/>
              </w:rPr>
              <w:t>730</w:t>
            </w:r>
          </w:p>
        </w:tc>
        <w:tc>
          <w:tcPr>
            <w:tcW w:w="5780" w:type="dxa"/>
            <w:tcBorders>
              <w:top w:val="nil"/>
              <w:left w:val="nil"/>
              <w:bottom w:val="nil"/>
              <w:right w:val="nil"/>
            </w:tcBorders>
            <w:tcMar>
              <w:top w:w="128" w:type="dxa"/>
              <w:left w:w="43" w:type="dxa"/>
              <w:bottom w:w="43" w:type="dxa"/>
              <w:right w:w="43" w:type="dxa"/>
            </w:tcMar>
          </w:tcPr>
          <w:p w14:paraId="35B4AE2A" w14:textId="77777777" w:rsidR="00D60186" w:rsidRPr="00FD49F3" w:rsidRDefault="00D60186" w:rsidP="00225D4D">
            <w:pPr>
              <w:rPr>
                <w:sz w:val="21"/>
                <w:szCs w:val="21"/>
              </w:rPr>
            </w:pPr>
            <w:r w:rsidRPr="00FD49F3">
              <w:rPr>
                <w:sz w:val="21"/>
                <w:szCs w:val="21"/>
              </w:rPr>
              <w:t>Vurdere regler om at leverandører av nettjenester må bidra til at rettighetshavere får vederlag</w:t>
            </w:r>
          </w:p>
        </w:tc>
        <w:tc>
          <w:tcPr>
            <w:tcW w:w="1240" w:type="dxa"/>
            <w:tcBorders>
              <w:top w:val="nil"/>
              <w:left w:val="nil"/>
              <w:bottom w:val="nil"/>
              <w:right w:val="nil"/>
            </w:tcBorders>
            <w:tcMar>
              <w:top w:w="128" w:type="dxa"/>
              <w:left w:w="43" w:type="dxa"/>
              <w:bottom w:w="43" w:type="dxa"/>
              <w:right w:w="43" w:type="dxa"/>
            </w:tcMar>
          </w:tcPr>
          <w:p w14:paraId="6F8A4FA1" w14:textId="77777777" w:rsidR="00D60186" w:rsidRPr="00FD49F3" w:rsidRDefault="00D60186" w:rsidP="00FD49F3">
            <w:pPr>
              <w:jc w:val="right"/>
              <w:rPr>
                <w:sz w:val="21"/>
                <w:szCs w:val="21"/>
              </w:rPr>
            </w:pPr>
            <w:r w:rsidRPr="00FD49F3">
              <w:rPr>
                <w:sz w:val="21"/>
                <w:szCs w:val="21"/>
              </w:rPr>
              <w:t>Nei</w:t>
            </w:r>
          </w:p>
        </w:tc>
      </w:tr>
      <w:tr w:rsidR="00E76DC8" w:rsidRPr="00225D4D" w14:paraId="31913D6D" w14:textId="77777777" w:rsidTr="00FD49F3">
        <w:trPr>
          <w:trHeight w:val="20"/>
        </w:trPr>
        <w:tc>
          <w:tcPr>
            <w:tcW w:w="1400" w:type="dxa"/>
            <w:tcBorders>
              <w:top w:val="nil"/>
              <w:left w:val="nil"/>
              <w:bottom w:val="nil"/>
              <w:right w:val="nil"/>
            </w:tcBorders>
            <w:tcMar>
              <w:top w:w="128" w:type="dxa"/>
              <w:left w:w="43" w:type="dxa"/>
              <w:bottom w:w="43" w:type="dxa"/>
              <w:right w:w="43" w:type="dxa"/>
            </w:tcMar>
          </w:tcPr>
          <w:p w14:paraId="1B493F4F" w14:textId="77777777" w:rsidR="00D60186" w:rsidRPr="00FD49F3" w:rsidRDefault="00D60186" w:rsidP="00225D4D">
            <w:pPr>
              <w:rPr>
                <w:sz w:val="21"/>
                <w:szCs w:val="21"/>
              </w:rPr>
            </w:pPr>
            <w:r w:rsidRPr="00FD49F3">
              <w:rPr>
                <w:sz w:val="21"/>
                <w:szCs w:val="21"/>
              </w:rPr>
              <w:t>2017–2018</w:t>
            </w:r>
          </w:p>
        </w:tc>
        <w:tc>
          <w:tcPr>
            <w:tcW w:w="1120" w:type="dxa"/>
            <w:tcBorders>
              <w:top w:val="nil"/>
              <w:left w:val="nil"/>
              <w:bottom w:val="nil"/>
              <w:right w:val="nil"/>
            </w:tcBorders>
            <w:tcMar>
              <w:top w:w="128" w:type="dxa"/>
              <w:left w:w="43" w:type="dxa"/>
              <w:bottom w:w="43" w:type="dxa"/>
              <w:right w:w="43" w:type="dxa"/>
            </w:tcMar>
          </w:tcPr>
          <w:p w14:paraId="640E7BEF" w14:textId="77777777" w:rsidR="00D60186" w:rsidRPr="00FD49F3" w:rsidRDefault="00D60186" w:rsidP="00FD49F3">
            <w:pPr>
              <w:ind w:right="113"/>
              <w:jc w:val="right"/>
              <w:rPr>
                <w:sz w:val="21"/>
                <w:szCs w:val="21"/>
              </w:rPr>
            </w:pPr>
            <w:r w:rsidRPr="00FD49F3">
              <w:rPr>
                <w:sz w:val="21"/>
                <w:szCs w:val="21"/>
              </w:rPr>
              <w:t>731</w:t>
            </w:r>
          </w:p>
        </w:tc>
        <w:tc>
          <w:tcPr>
            <w:tcW w:w="5780" w:type="dxa"/>
            <w:tcBorders>
              <w:top w:val="nil"/>
              <w:left w:val="nil"/>
              <w:bottom w:val="nil"/>
              <w:right w:val="nil"/>
            </w:tcBorders>
            <w:tcMar>
              <w:top w:w="128" w:type="dxa"/>
              <w:left w:w="43" w:type="dxa"/>
              <w:bottom w:w="43" w:type="dxa"/>
              <w:right w:w="43" w:type="dxa"/>
            </w:tcMar>
          </w:tcPr>
          <w:p w14:paraId="1AB56F8B" w14:textId="77777777" w:rsidR="00D60186" w:rsidRPr="00FD49F3" w:rsidRDefault="00D60186" w:rsidP="00225D4D">
            <w:pPr>
              <w:rPr>
                <w:sz w:val="21"/>
                <w:szCs w:val="21"/>
              </w:rPr>
            </w:pPr>
            <w:r w:rsidRPr="00FD49F3">
              <w:rPr>
                <w:sz w:val="21"/>
                <w:szCs w:val="21"/>
              </w:rPr>
              <w:t>Utrede om strømming av åndsverk i klasserom skal bli vederlagspliktig</w:t>
            </w:r>
          </w:p>
        </w:tc>
        <w:tc>
          <w:tcPr>
            <w:tcW w:w="1240" w:type="dxa"/>
            <w:tcBorders>
              <w:top w:val="nil"/>
              <w:left w:val="nil"/>
              <w:bottom w:val="nil"/>
              <w:right w:val="nil"/>
            </w:tcBorders>
            <w:tcMar>
              <w:top w:w="128" w:type="dxa"/>
              <w:left w:w="43" w:type="dxa"/>
              <w:bottom w:w="43" w:type="dxa"/>
              <w:right w:w="43" w:type="dxa"/>
            </w:tcMar>
          </w:tcPr>
          <w:p w14:paraId="3D84FAAB" w14:textId="77777777" w:rsidR="00D60186" w:rsidRPr="00FD49F3" w:rsidRDefault="00D60186" w:rsidP="00FD49F3">
            <w:pPr>
              <w:jc w:val="right"/>
              <w:rPr>
                <w:sz w:val="21"/>
                <w:szCs w:val="21"/>
              </w:rPr>
            </w:pPr>
            <w:r w:rsidRPr="00FD49F3">
              <w:rPr>
                <w:sz w:val="21"/>
                <w:szCs w:val="21"/>
              </w:rPr>
              <w:t>Nei</w:t>
            </w:r>
          </w:p>
        </w:tc>
      </w:tr>
      <w:tr w:rsidR="00E76DC8" w:rsidRPr="00225D4D" w14:paraId="2E62FBB7" w14:textId="77777777" w:rsidTr="00FD49F3">
        <w:trPr>
          <w:trHeight w:val="20"/>
        </w:trPr>
        <w:tc>
          <w:tcPr>
            <w:tcW w:w="1400" w:type="dxa"/>
            <w:tcBorders>
              <w:top w:val="nil"/>
              <w:left w:val="nil"/>
              <w:bottom w:val="single" w:sz="4" w:space="0" w:color="000000"/>
              <w:right w:val="nil"/>
            </w:tcBorders>
            <w:tcMar>
              <w:top w:w="128" w:type="dxa"/>
              <w:left w:w="43" w:type="dxa"/>
              <w:bottom w:w="43" w:type="dxa"/>
              <w:right w:w="43" w:type="dxa"/>
            </w:tcMar>
          </w:tcPr>
          <w:p w14:paraId="2BEE4721" w14:textId="77777777" w:rsidR="00D60186" w:rsidRPr="00FD49F3" w:rsidRDefault="00D60186" w:rsidP="00225D4D">
            <w:pPr>
              <w:rPr>
                <w:sz w:val="21"/>
                <w:szCs w:val="21"/>
              </w:rPr>
            </w:pPr>
            <w:r w:rsidRPr="00FD49F3">
              <w:rPr>
                <w:sz w:val="21"/>
                <w:szCs w:val="21"/>
              </w:rPr>
              <w:t>2014–2015</w:t>
            </w:r>
          </w:p>
        </w:tc>
        <w:tc>
          <w:tcPr>
            <w:tcW w:w="1120" w:type="dxa"/>
            <w:tcBorders>
              <w:top w:val="nil"/>
              <w:left w:val="nil"/>
              <w:bottom w:val="single" w:sz="4" w:space="0" w:color="000000"/>
              <w:right w:val="nil"/>
            </w:tcBorders>
            <w:tcMar>
              <w:top w:w="128" w:type="dxa"/>
              <w:left w:w="43" w:type="dxa"/>
              <w:bottom w:w="43" w:type="dxa"/>
              <w:right w:w="43" w:type="dxa"/>
            </w:tcMar>
          </w:tcPr>
          <w:p w14:paraId="6F2B903B" w14:textId="77777777" w:rsidR="00D60186" w:rsidRPr="00FD49F3" w:rsidRDefault="00D60186" w:rsidP="00FD49F3">
            <w:pPr>
              <w:ind w:right="113"/>
              <w:jc w:val="right"/>
              <w:rPr>
                <w:sz w:val="21"/>
                <w:szCs w:val="21"/>
              </w:rPr>
            </w:pPr>
            <w:r w:rsidRPr="00FD49F3">
              <w:rPr>
                <w:sz w:val="21"/>
                <w:szCs w:val="21"/>
              </w:rPr>
              <w:t>60</w:t>
            </w:r>
          </w:p>
        </w:tc>
        <w:tc>
          <w:tcPr>
            <w:tcW w:w="5780" w:type="dxa"/>
            <w:tcBorders>
              <w:top w:val="nil"/>
              <w:left w:val="nil"/>
              <w:bottom w:val="single" w:sz="4" w:space="0" w:color="000000"/>
              <w:right w:val="nil"/>
            </w:tcBorders>
            <w:tcMar>
              <w:top w:w="128" w:type="dxa"/>
              <w:left w:w="43" w:type="dxa"/>
              <w:bottom w:w="43" w:type="dxa"/>
              <w:right w:w="43" w:type="dxa"/>
            </w:tcMar>
          </w:tcPr>
          <w:p w14:paraId="75492011" w14:textId="77777777" w:rsidR="00D60186" w:rsidRPr="00FD49F3" w:rsidRDefault="00D60186" w:rsidP="00225D4D">
            <w:pPr>
              <w:rPr>
                <w:sz w:val="21"/>
                <w:szCs w:val="21"/>
              </w:rPr>
            </w:pPr>
            <w:r w:rsidRPr="00FD49F3">
              <w:rPr>
                <w:sz w:val="21"/>
                <w:szCs w:val="21"/>
              </w:rPr>
              <w:t>Nasjonalgalleriet</w:t>
            </w:r>
          </w:p>
        </w:tc>
        <w:tc>
          <w:tcPr>
            <w:tcW w:w="1240" w:type="dxa"/>
            <w:tcBorders>
              <w:top w:val="nil"/>
              <w:left w:val="nil"/>
              <w:bottom w:val="single" w:sz="4" w:space="0" w:color="000000"/>
              <w:right w:val="nil"/>
            </w:tcBorders>
            <w:tcMar>
              <w:top w:w="128" w:type="dxa"/>
              <w:left w:w="43" w:type="dxa"/>
              <w:bottom w:w="43" w:type="dxa"/>
              <w:right w:w="43" w:type="dxa"/>
            </w:tcMar>
          </w:tcPr>
          <w:p w14:paraId="1160171A" w14:textId="77777777" w:rsidR="00D60186" w:rsidRPr="00FD49F3" w:rsidRDefault="00D60186" w:rsidP="00FD49F3">
            <w:pPr>
              <w:jc w:val="right"/>
              <w:rPr>
                <w:sz w:val="21"/>
                <w:szCs w:val="21"/>
              </w:rPr>
            </w:pPr>
            <w:r w:rsidRPr="00FD49F3">
              <w:rPr>
                <w:sz w:val="21"/>
                <w:szCs w:val="21"/>
              </w:rPr>
              <w:t>Ja</w:t>
            </w:r>
          </w:p>
        </w:tc>
      </w:tr>
    </w:tbl>
    <w:p w14:paraId="354A51CD" w14:textId="77777777" w:rsidR="00D60186" w:rsidRPr="00225D4D" w:rsidRDefault="00D60186" w:rsidP="00D77759">
      <w:pPr>
        <w:pStyle w:val="Overskrift2"/>
        <w:numPr>
          <w:ilvl w:val="1"/>
          <w:numId w:val="37"/>
        </w:numPr>
      </w:pPr>
      <w:r w:rsidRPr="00225D4D">
        <w:t>Stortingssesjon (2024–2025)</w:t>
      </w:r>
    </w:p>
    <w:p w14:paraId="7F30F44B" w14:textId="77777777" w:rsidR="00D60186" w:rsidRPr="00225D4D" w:rsidRDefault="00D60186" w:rsidP="00225D4D">
      <w:pPr>
        <w:pStyle w:val="avsnitt-tittel"/>
      </w:pPr>
      <w:r w:rsidRPr="00225D4D">
        <w:t>Skogfinsk språkhistorie</w:t>
      </w:r>
    </w:p>
    <w:p w14:paraId="1418E4C0" w14:textId="77777777" w:rsidR="00D60186" w:rsidRPr="00225D4D" w:rsidRDefault="00D60186" w:rsidP="00225D4D">
      <w:pPr>
        <w:pStyle w:val="avsnitt-undertittel"/>
      </w:pPr>
      <w:r w:rsidRPr="00225D4D">
        <w:t>Vedtak nr. 22, 12. november 2024</w:t>
      </w:r>
    </w:p>
    <w:p w14:paraId="1A0C44D6" w14:textId="77777777" w:rsidR="00D60186" w:rsidRPr="00225D4D" w:rsidRDefault="00D60186" w:rsidP="00225D4D">
      <w:pPr>
        <w:pStyle w:val="blokksit"/>
        <w:rPr>
          <w:rStyle w:val="kursiv"/>
        </w:rPr>
      </w:pPr>
      <w:r w:rsidRPr="00225D4D">
        <w:rPr>
          <w:rStyle w:val="kursiv"/>
        </w:rPr>
        <w:t>«Stortinget ber regjeringen sørge for at kompetansemiljøet rundt det skogfinske museet gis ressurser til å arbeide videre med skogfinnenes språkhistorie.»</w:t>
      </w:r>
    </w:p>
    <w:p w14:paraId="63B98A3A"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30 S (2024–2025) og Dokument 19 (2022–2023) </w:t>
      </w:r>
      <w:r w:rsidRPr="00225D4D">
        <w:rPr>
          <w:rStyle w:val="kursiv"/>
        </w:rPr>
        <w:t>Rapport til Stortinget fra Sannhets- og forsoningskommisjonen.</w:t>
      </w:r>
    </w:p>
    <w:p w14:paraId="5FF8ADA8" w14:textId="77777777" w:rsidR="00D60186" w:rsidRPr="00225D4D" w:rsidRDefault="00D60186" w:rsidP="00225D4D">
      <w:r w:rsidRPr="00225D4D">
        <w:t xml:space="preserve">Norsk skogfinsk museum (NSM) mottar driftstilskudd over Kultur- og likestillingsdepartementets budsjett, jf. kap. 328, post 78. Driftstilskuddet i 2025 var 9,8 mill. kroner, en tilnærmet dobling fra 2024 for å sette museet i stand til å åpne og drive det nye formidlingsbygget på Svullrya. NSM prioriterer bruken av ressursene, og opplyser i forbindelse med budsjettsøknad for 2025 at de finansierer en halv prosjektstilling – </w:t>
      </w:r>
      <w:r w:rsidRPr="00225D4D">
        <w:rPr>
          <w:rStyle w:val="kursiv"/>
        </w:rPr>
        <w:t>finskspråklig stilling</w:t>
      </w:r>
      <w:r w:rsidRPr="00225D4D">
        <w:t xml:space="preserve"> – ved museet. Regjeringen vil vurdere ressurssituasjonen ved museet gjennom de årlige budsjettbehandlingene.</w:t>
      </w:r>
    </w:p>
    <w:p w14:paraId="622AF705" w14:textId="77777777" w:rsidR="00D60186" w:rsidRPr="00225D4D" w:rsidRDefault="00D60186" w:rsidP="00225D4D">
      <w:r w:rsidRPr="00225D4D">
        <w:t xml:space="preserve">Kommunal- og </w:t>
      </w:r>
      <w:proofErr w:type="spellStart"/>
      <w:r w:rsidRPr="00225D4D">
        <w:t>distriktsdepartementet</w:t>
      </w:r>
      <w:proofErr w:type="spellEnd"/>
      <w:r w:rsidRPr="00225D4D">
        <w:t xml:space="preserve"> vil høsten 2025 starte arbeidet med en handlingsplan for skogfinsk språk og kulturarv med språklige elementer. Norsk skogfinsk museum og skogfinske organisasjoner er invitert til å delta i en referansegruppe som skal gi innspill i arbeidet med handlingsplanen. Handlingsplanen er også en del av Kommunal- og </w:t>
      </w:r>
      <w:proofErr w:type="spellStart"/>
      <w:r w:rsidRPr="00225D4D">
        <w:t>distriktsdepartementets</w:t>
      </w:r>
      <w:proofErr w:type="spellEnd"/>
      <w:r w:rsidRPr="00225D4D">
        <w:t xml:space="preserve"> oppfølging av anmodningsvedtak 29, jf. Kommunal- og </w:t>
      </w:r>
      <w:proofErr w:type="spellStart"/>
      <w:r w:rsidRPr="00225D4D">
        <w:t>distriktsdepartementets</w:t>
      </w:r>
      <w:proofErr w:type="spellEnd"/>
      <w:r w:rsidRPr="00225D4D">
        <w:t xml:space="preserve"> </w:t>
      </w:r>
      <w:proofErr w:type="spellStart"/>
      <w:r w:rsidRPr="00225D4D">
        <w:t>Prop</w:t>
      </w:r>
      <w:proofErr w:type="spellEnd"/>
      <w:r w:rsidRPr="00225D4D">
        <w:t>. 1 S (2025–2026).</w:t>
      </w:r>
    </w:p>
    <w:p w14:paraId="255377B9" w14:textId="77777777" w:rsidR="00D60186" w:rsidRPr="00225D4D" w:rsidRDefault="00D60186" w:rsidP="00225D4D">
      <w:r w:rsidRPr="00225D4D">
        <w:t>Anmodningsvedtaket anses som fulgt opp, og rapporteringen avsluttes.</w:t>
      </w:r>
    </w:p>
    <w:p w14:paraId="0E24C62F" w14:textId="77777777" w:rsidR="00D60186" w:rsidRPr="00225D4D" w:rsidRDefault="00D60186" w:rsidP="00225D4D">
      <w:pPr>
        <w:pStyle w:val="avsnitt-tittel"/>
      </w:pPr>
      <w:r w:rsidRPr="00225D4D">
        <w:t>Oppfølging av tiltak under pilar 3 Kultur</w:t>
      </w:r>
    </w:p>
    <w:p w14:paraId="33D3A19D" w14:textId="77777777" w:rsidR="00D60186" w:rsidRPr="00225D4D" w:rsidRDefault="00D60186" w:rsidP="00225D4D">
      <w:pPr>
        <w:pStyle w:val="avsnitt-undertittel"/>
      </w:pPr>
      <w:r w:rsidRPr="00225D4D">
        <w:t>Vedtak nr. 23, 12. november 2024</w:t>
      </w:r>
    </w:p>
    <w:p w14:paraId="58EBC1C6" w14:textId="77777777" w:rsidR="00D60186" w:rsidRPr="00225D4D" w:rsidRDefault="00D60186" w:rsidP="00225D4D">
      <w:pPr>
        <w:pStyle w:val="blokksit"/>
        <w:rPr>
          <w:rStyle w:val="kursiv"/>
        </w:rPr>
      </w:pPr>
      <w:r w:rsidRPr="00225D4D">
        <w:rPr>
          <w:rStyle w:val="kursiv"/>
        </w:rPr>
        <w:t>«Stortinget ber regjeringen følge opp Sannhets- og forsoningskommisjonens forslag til tiltak under pilar 3 og komme tilbake til Stortinget med forslag til prioriteringer i statsbudsjettet for 2026.»</w:t>
      </w:r>
    </w:p>
    <w:p w14:paraId="6775BC8B"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30 S (2024–2025) og Dokument 19 (2022–2023) </w:t>
      </w:r>
      <w:r w:rsidRPr="00225D4D">
        <w:rPr>
          <w:rStyle w:val="kursiv"/>
        </w:rPr>
        <w:t>Rapport til Stortinget fra Sannhets- og forsoningskommisjonen.</w:t>
      </w:r>
    </w:p>
    <w:p w14:paraId="2ACF04C0" w14:textId="77777777" w:rsidR="00D60186" w:rsidRPr="00225D4D" w:rsidRDefault="00D60186" w:rsidP="00225D4D">
      <w:r w:rsidRPr="00225D4D">
        <w:t>Kommisjonens forlag til tiltak under pilar 3 innebærer en omfattende og langsiktig nasjonal satsing på samisk, kvensk/norskfinsk og skogfinsk kultur som en del av forsoningsarbeidet, herunder bl.a. å styrke de økonomiske rammene for samiske, kvenske og skogfinske kulturnæringer og -institusjoner og det grenseoverskridende samarbeidet om deres kultur.</w:t>
      </w:r>
    </w:p>
    <w:p w14:paraId="62F614F0" w14:textId="77777777" w:rsidR="00D60186" w:rsidRPr="00225D4D" w:rsidRDefault="00D60186" w:rsidP="00225D4D">
      <w:r w:rsidRPr="00225D4D">
        <w:t xml:space="preserve">Kultur- og likestillingsdepartementet vil forlenge det samisk-tyske samarbeidsprosjektet </w:t>
      </w:r>
      <w:proofErr w:type="spellStart"/>
      <w:r w:rsidRPr="00225D4D">
        <w:t>Dávvirat</w:t>
      </w:r>
      <w:proofErr w:type="spellEnd"/>
      <w:r w:rsidRPr="00225D4D">
        <w:t xml:space="preserve"> </w:t>
      </w:r>
      <w:proofErr w:type="spellStart"/>
      <w:r w:rsidRPr="00225D4D">
        <w:t>Duiskkas</w:t>
      </w:r>
      <w:proofErr w:type="spellEnd"/>
      <w:r w:rsidRPr="00225D4D">
        <w:t xml:space="preserve"> – Gjenstander i Tyskland – med to år, jf. kap. 328, post 78. Formålet er å få oversikt over samiske samlinger i tyske museer og gi det samiske folk tilgang til egen kulturarv. Prosjektet skal også bidra til kunnskapsbasert formidling av samisk kultur nasjonalt og internasjonalt.</w:t>
      </w:r>
    </w:p>
    <w:p w14:paraId="158E1734" w14:textId="77777777" w:rsidR="00D60186" w:rsidRPr="00225D4D" w:rsidRDefault="00D60186" w:rsidP="00225D4D">
      <w:r w:rsidRPr="00225D4D">
        <w:t xml:space="preserve">I 2026 foreslås det å øke tilskuddet til det samiske kunstnerkollektivet </w:t>
      </w:r>
      <w:proofErr w:type="spellStart"/>
      <w:r w:rsidRPr="00225D4D">
        <w:t>Dáiddádallu</w:t>
      </w:r>
      <w:proofErr w:type="spellEnd"/>
      <w:r w:rsidRPr="00225D4D">
        <w:t xml:space="preserve"> med 1,2 mill. kroner, som i samarbeid med </w:t>
      </w:r>
      <w:proofErr w:type="spellStart"/>
      <w:r w:rsidRPr="00225D4D">
        <w:t>Riddu</w:t>
      </w:r>
      <w:proofErr w:type="spellEnd"/>
      <w:r w:rsidRPr="00225D4D">
        <w:t xml:space="preserve"> </w:t>
      </w:r>
      <w:proofErr w:type="spellStart"/>
      <w:r w:rsidRPr="00225D4D">
        <w:t>Riđđu</w:t>
      </w:r>
      <w:proofErr w:type="spellEnd"/>
      <w:r w:rsidRPr="00225D4D">
        <w:t xml:space="preserve"> </w:t>
      </w:r>
      <w:proofErr w:type="spellStart"/>
      <w:r w:rsidRPr="00225D4D">
        <w:t>Festivála</w:t>
      </w:r>
      <w:proofErr w:type="spellEnd"/>
      <w:r w:rsidRPr="00225D4D">
        <w:t>, oppretter et eksportkontor/</w:t>
      </w:r>
      <w:proofErr w:type="spellStart"/>
      <w:r w:rsidRPr="00225D4D">
        <w:t>Agency</w:t>
      </w:r>
      <w:proofErr w:type="spellEnd"/>
      <w:r w:rsidRPr="00225D4D">
        <w:t xml:space="preserve"> for samisk kunst, jf. kap. 325, post 72. Eksportkontoret skal fungere som et samisk agentur og koordinerende instans for internasjonal formidling av samisk kunst.</w:t>
      </w:r>
    </w:p>
    <w:p w14:paraId="071CDB78" w14:textId="77777777" w:rsidR="00D60186" w:rsidRPr="00225D4D" w:rsidRDefault="00D60186" w:rsidP="00225D4D">
      <w:r w:rsidRPr="00225D4D">
        <w:t>Det foreslås å øke tilskuddet til Internasjonalt samisk filminstitutt (ISFI) med 3 mill. kroner, som ledd i at ISFI gis et nasjonalt mandat med særlig ansvar for samisk film i Norge, jf. kap. 334, post 78 og anmodningsvedtak nr. 206 under.</w:t>
      </w:r>
    </w:p>
    <w:p w14:paraId="791C3932" w14:textId="77777777" w:rsidR="00D60186" w:rsidRPr="00225D4D" w:rsidRDefault="00D60186" w:rsidP="00225D4D">
      <w:r w:rsidRPr="00225D4D">
        <w:t>De omtalte satsningene vil på ulike måter styrke samiske kulturnæringer og kunstnere og bidra til økt samarbeid over landegrensene og til internasjonal formidling av samisk kunst og kultur.</w:t>
      </w:r>
    </w:p>
    <w:p w14:paraId="4ACB329E" w14:textId="77777777" w:rsidR="00D60186" w:rsidRPr="00225D4D" w:rsidRDefault="00D60186" w:rsidP="00225D4D">
      <w:r w:rsidRPr="00225D4D">
        <w:t>I 2025 har en ny forskrift om tilskudd til samiske nyhets- og aktualitetsmedier vært på høring. Den nye forskriften skal erstatte dagens forskrift om tilskudd til samiske aviser. De foreslåtte forskriftsendringene er i tråd med kommisjonens forslag under pilar 3 om å utvikle medietilbudet til urfolk og nasjonale minoriteter, og å sikre tilgangen på viktig informasjon på deres morsmål. Målet er at ny forskrift trer i kraft 1. januar 2026.</w:t>
      </w:r>
    </w:p>
    <w:p w14:paraId="7061B030" w14:textId="77777777" w:rsidR="00D60186" w:rsidRPr="00225D4D" w:rsidRDefault="00D60186" w:rsidP="00225D4D">
      <w:r w:rsidRPr="00225D4D">
        <w:t xml:space="preserve">Regjeringen vil vurdere videre tiltak under pilar 3 gjennom de årlige budsjettbehandlingene, og også redegjøre for status og videre oppfølging av tiltak under pilar 3 i stortingsmeldingen om forsoningspolitikken som skal legges fram for Stortinget i 2027, jf. anmodningsvedtak 31 i Kommunal- og </w:t>
      </w:r>
      <w:proofErr w:type="spellStart"/>
      <w:r w:rsidRPr="00225D4D">
        <w:t>distriktsdepartementets</w:t>
      </w:r>
      <w:proofErr w:type="spellEnd"/>
      <w:r w:rsidRPr="00225D4D">
        <w:t xml:space="preserve"> </w:t>
      </w:r>
      <w:proofErr w:type="spellStart"/>
      <w:r w:rsidRPr="00225D4D">
        <w:t>Prop</w:t>
      </w:r>
      <w:proofErr w:type="spellEnd"/>
      <w:r w:rsidRPr="00225D4D">
        <w:t>. 1 S (2025–2026).</w:t>
      </w:r>
    </w:p>
    <w:p w14:paraId="6EB104A4" w14:textId="77777777" w:rsidR="00D60186" w:rsidRPr="00225D4D" w:rsidRDefault="00D60186" w:rsidP="00225D4D">
      <w:r w:rsidRPr="00225D4D">
        <w:t>Anmodningsvedtaket anses som fulgt opp, og rapporteringen avsluttes.</w:t>
      </w:r>
    </w:p>
    <w:p w14:paraId="180BF44D" w14:textId="77777777" w:rsidR="00D60186" w:rsidRPr="00225D4D" w:rsidRDefault="00D60186" w:rsidP="00225D4D">
      <w:pPr>
        <w:pStyle w:val="avsnitt-tittel"/>
      </w:pPr>
      <w:r w:rsidRPr="00225D4D">
        <w:t>Tettere samarbeid mellom nasjonale institusjoner og samiske, kvenske/norskfinske og skogfinske institusjoner</w:t>
      </w:r>
    </w:p>
    <w:p w14:paraId="1DA7F708" w14:textId="77777777" w:rsidR="00D60186" w:rsidRPr="00225D4D" w:rsidRDefault="00D60186" w:rsidP="00225D4D">
      <w:pPr>
        <w:pStyle w:val="avsnitt-undertittel"/>
      </w:pPr>
      <w:r w:rsidRPr="00225D4D">
        <w:t>Vedtak nr. 24, 12. november 2024</w:t>
      </w:r>
    </w:p>
    <w:p w14:paraId="4FBCA534" w14:textId="77777777" w:rsidR="00D60186" w:rsidRPr="00225D4D" w:rsidRDefault="00D60186" w:rsidP="00225D4D">
      <w:pPr>
        <w:pStyle w:val="blokksit"/>
        <w:rPr>
          <w:rStyle w:val="kursiv"/>
        </w:rPr>
      </w:pPr>
      <w:r w:rsidRPr="00225D4D">
        <w:rPr>
          <w:rStyle w:val="kursiv"/>
        </w:rPr>
        <w:t>«Stortinget ber regjeringen oppfordre nasjonale institusjoner til å etablere tettere samarbeid med samiske, kvenske/norskfinske og skogfinske institusjoner og til å bidra til synliggjøring, ivaretakelse og formidling av samisk, kvensk/norskfinsk og skogfinsk kultur.»</w:t>
      </w:r>
    </w:p>
    <w:p w14:paraId="131A97AE"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30 S (2024–2025) og Dokument 19 (2022–2023) </w:t>
      </w:r>
      <w:r w:rsidRPr="00225D4D">
        <w:rPr>
          <w:rStyle w:val="kursiv"/>
        </w:rPr>
        <w:t>Rapport til Stortinget fra Sannhets- og forsoningskommisjonen.</w:t>
      </w:r>
    </w:p>
    <w:p w14:paraId="7E39B53D" w14:textId="77777777" w:rsidR="00D60186" w:rsidRPr="00225D4D" w:rsidRDefault="00D60186" w:rsidP="00225D4D">
      <w:r w:rsidRPr="00225D4D">
        <w:t>Regjeringen bidrar i dag til at etater og tilskuddsmottakere ivaretar og synliggjør samisk og nasjonale minoriteters språk og kultur gjennom retningslinjer, oppdrag og mål.</w:t>
      </w:r>
    </w:p>
    <w:p w14:paraId="06EAECDC" w14:textId="77777777" w:rsidR="00D60186" w:rsidRPr="00225D4D" w:rsidRDefault="00D60186" w:rsidP="00225D4D">
      <w:r w:rsidRPr="00225D4D">
        <w:t>Kulturdirektoratet har siden 2020 hatt rollen som nasjonal koordinator for økt mangfold i kultursektoren. Kunnskapsutvikling er også en del av oppdraget. Samene og nasjonale minoriteter er blant målgruppene, og Kulturdirektoratet utvikler oppdraget sitt i dialog med dem. I kjølvannet av Sannhets- og forsoningskommisjonens rapport har direktoratet både intensivert og systematisert dette arbeidet.</w:t>
      </w:r>
    </w:p>
    <w:p w14:paraId="7D8D6599" w14:textId="77777777" w:rsidR="00D60186" w:rsidRPr="00225D4D" w:rsidRDefault="00D60186" w:rsidP="00225D4D">
      <w:r w:rsidRPr="00225D4D">
        <w:t xml:space="preserve">Kultur- og likestillingsdepartementet stiller krav til alle underliggende etater om </w:t>
      </w:r>
      <w:r w:rsidRPr="00225D4D">
        <w:rPr>
          <w:rStyle w:val="kursiv"/>
        </w:rPr>
        <w:t>likestilling, mangfold og deltakelse</w:t>
      </w:r>
      <w:r w:rsidRPr="00225D4D">
        <w:t>. Kulturtanken og Norsk filminstitutt har i tillegg fått spesifikke oppdrag om å styrke samisk og nasjonale minoriteters kultur, språk og identitet, gjennom samarbeid og innholdsproduksjon.</w:t>
      </w:r>
    </w:p>
    <w:p w14:paraId="347F88D5" w14:textId="77777777" w:rsidR="00D60186" w:rsidRPr="00225D4D" w:rsidRDefault="00D60186" w:rsidP="00225D4D">
      <w:r w:rsidRPr="00225D4D">
        <w:t>En av oppgavene til Språkrådet er å bidra til å verne og fremme nasjonale minoritetsspråk.</w:t>
      </w:r>
    </w:p>
    <w:p w14:paraId="1BB11CBC" w14:textId="77777777" w:rsidR="00D60186" w:rsidRPr="00225D4D" w:rsidRDefault="00D60186" w:rsidP="00225D4D">
      <w:r w:rsidRPr="00225D4D">
        <w:t>NRKs oppdrag, som er formulert i NRK-plakaten, inneholder krav om at NRK skal styrke samisk språk, identitet og kultur. NRK skal ha daglige sendinger for den samiske befolkningen og programmer for nasjonale og språklige minoriteter. Språkoppdraget til NRK er styrket fra 2023 med et krav om å tilby innhold på samisk og nasjonale minoritetsspråk. NRK skal også ha programmer for barn og unge på samisk.</w:t>
      </w:r>
    </w:p>
    <w:p w14:paraId="74A82B77" w14:textId="77777777" w:rsidR="00D60186" w:rsidRPr="00225D4D" w:rsidRDefault="00D60186" w:rsidP="00225D4D">
      <w:r w:rsidRPr="00225D4D">
        <w:t>I forbindelse med nye fireårige styringssignaler for mediestøtten vil regjeringen vurdere endringer i oppdraget til NRK i budsjettproposisjonen for 2027.</w:t>
      </w:r>
    </w:p>
    <w:p w14:paraId="729865E5" w14:textId="77777777" w:rsidR="00D60186" w:rsidRPr="00225D4D" w:rsidRDefault="00D60186" w:rsidP="00225D4D">
      <w:r w:rsidRPr="00225D4D">
        <w:t xml:space="preserve">Regjeringen vil fortsette dette arbeidet i 2026 og redegjøre for status i arbeidet i stortingsmeldingen om forsoningspolitikken som skal legges fram for Stortinget i 2027, jf. anmodningsvedtak 31 i Kommunal- og </w:t>
      </w:r>
      <w:proofErr w:type="spellStart"/>
      <w:r w:rsidRPr="00225D4D">
        <w:t>distriktsdepartementets</w:t>
      </w:r>
      <w:proofErr w:type="spellEnd"/>
      <w:r w:rsidRPr="00225D4D">
        <w:t xml:space="preserve"> </w:t>
      </w:r>
      <w:proofErr w:type="spellStart"/>
      <w:r w:rsidRPr="00225D4D">
        <w:t>Prop</w:t>
      </w:r>
      <w:proofErr w:type="spellEnd"/>
      <w:r w:rsidRPr="00225D4D">
        <w:t>. 1 S (2025–2026).</w:t>
      </w:r>
    </w:p>
    <w:p w14:paraId="5B89F129" w14:textId="77777777" w:rsidR="00D60186" w:rsidRPr="00225D4D" w:rsidRDefault="00D60186" w:rsidP="00225D4D">
      <w:r w:rsidRPr="00225D4D">
        <w:t>Anmodningsvedtaket anses som fulgt opp, og rapporteringen avsluttes.</w:t>
      </w:r>
    </w:p>
    <w:p w14:paraId="55F58C2F" w14:textId="77777777" w:rsidR="00D60186" w:rsidRPr="00225D4D" w:rsidRDefault="00D60186" w:rsidP="00225D4D">
      <w:pPr>
        <w:pStyle w:val="avsnitt-tittel"/>
      </w:pPr>
      <w:r w:rsidRPr="00225D4D">
        <w:t>Helhetlig forvaltning av kunstverkene Sannhets- og forsoningskommisjonen overleverte til Stortinget</w:t>
      </w:r>
    </w:p>
    <w:p w14:paraId="480FBC31" w14:textId="77777777" w:rsidR="00D60186" w:rsidRPr="00225D4D" w:rsidRDefault="00D60186" w:rsidP="00225D4D">
      <w:pPr>
        <w:pStyle w:val="avsnitt-undertittel"/>
      </w:pPr>
      <w:r w:rsidRPr="00225D4D">
        <w:t>Vedtak nr. 25, 12. november 2024</w:t>
      </w:r>
    </w:p>
    <w:p w14:paraId="1EB38AD4" w14:textId="77777777" w:rsidR="00D60186" w:rsidRPr="00225D4D" w:rsidRDefault="00D60186" w:rsidP="00225D4D">
      <w:pPr>
        <w:pStyle w:val="blokksit"/>
        <w:rPr>
          <w:rStyle w:val="kursiv"/>
        </w:rPr>
      </w:pPr>
      <w:r w:rsidRPr="00225D4D">
        <w:rPr>
          <w:rStyle w:val="kursiv"/>
        </w:rPr>
        <w:t>«Stortinget ber regjeringen ta ansvar for at det etableres en helhetlig forvaltning av kunstverkene Sannhets- og forsoningskommisjonen overleverte til Stortinget, på en slik måte at disse også kan brukes i formidlingen av fornorskingshistorien.»</w:t>
      </w:r>
    </w:p>
    <w:p w14:paraId="68E1B77D"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30 S (2024–2025) og Dokument 19 (2022–2023) </w:t>
      </w:r>
      <w:r w:rsidRPr="00225D4D">
        <w:rPr>
          <w:rStyle w:val="kursiv"/>
        </w:rPr>
        <w:t>Rapport til Stortinget fra Sannhets- og forsoningskommisjonen.</w:t>
      </w:r>
    </w:p>
    <w:p w14:paraId="36491366" w14:textId="77777777" w:rsidR="00D60186" w:rsidRPr="00225D4D" w:rsidRDefault="00D60186" w:rsidP="00225D4D">
      <w:r w:rsidRPr="00225D4D">
        <w:t>Kultur- og likestillingsdepartementet har gitt KORO – Kunst i offentlige rom i oppdrag å forvalte kunstverkene. KORO er godt rustet til å legge til rette for bruk av kunstverkene i formidlingen av fornorskingshistorien.</w:t>
      </w:r>
    </w:p>
    <w:p w14:paraId="2C79F37E" w14:textId="77777777" w:rsidR="00D60186" w:rsidRPr="00225D4D" w:rsidRDefault="00D60186" w:rsidP="00225D4D">
      <w:r w:rsidRPr="00225D4D">
        <w:t>Anmodningsvedtaket anses som fulgt opp, og rapporteringen avsluttes.</w:t>
      </w:r>
    </w:p>
    <w:p w14:paraId="5D7EEE88" w14:textId="77777777" w:rsidR="00D60186" w:rsidRPr="00225D4D" w:rsidRDefault="00D60186" w:rsidP="00225D4D">
      <w:pPr>
        <w:pStyle w:val="avsnitt-tittel"/>
      </w:pPr>
      <w:r w:rsidRPr="00225D4D">
        <w:t>Nasjonalt mandat for Internasjonalt Samisk Filminstitutt</w:t>
      </w:r>
    </w:p>
    <w:p w14:paraId="6991B55D" w14:textId="77777777" w:rsidR="00D60186" w:rsidRPr="00225D4D" w:rsidRDefault="00D60186" w:rsidP="00225D4D">
      <w:pPr>
        <w:pStyle w:val="avsnitt-undertittel"/>
      </w:pPr>
      <w:r w:rsidRPr="00225D4D">
        <w:t>Vedtak nr. 206, 16. desember 2024</w:t>
      </w:r>
    </w:p>
    <w:p w14:paraId="15E7A873" w14:textId="77777777" w:rsidR="00D60186" w:rsidRPr="00225D4D" w:rsidRDefault="00D60186" w:rsidP="00225D4D">
      <w:pPr>
        <w:pStyle w:val="blokksit"/>
        <w:rPr>
          <w:rStyle w:val="kursiv"/>
        </w:rPr>
      </w:pPr>
      <w:r w:rsidRPr="00225D4D">
        <w:rPr>
          <w:rStyle w:val="kursiv"/>
        </w:rPr>
        <w:t>«Stortinget ber regjeringen i samarbeid med aktuelle aktører utrede et nasjonalt mandat for Internasjonalt Samisk Filminstitutt (ISFI), med mål om å definere hovedansvaret for forvaltning og finansiering av det samiske filmfeltet.»</w:t>
      </w:r>
    </w:p>
    <w:p w14:paraId="7335FA53"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14 S (2024–2025) og </w:t>
      </w:r>
      <w:proofErr w:type="spellStart"/>
      <w:r w:rsidRPr="00225D4D">
        <w:t>Prop</w:t>
      </w:r>
      <w:proofErr w:type="spellEnd"/>
      <w:r w:rsidRPr="00225D4D">
        <w:t xml:space="preserve">. 1 S (2024–2025) </w:t>
      </w:r>
      <w:r w:rsidRPr="00225D4D">
        <w:rPr>
          <w:rStyle w:val="kursiv"/>
        </w:rPr>
        <w:t>Statsbudsjettet 2025</w:t>
      </w:r>
    </w:p>
    <w:p w14:paraId="78D124FB" w14:textId="77777777" w:rsidR="00D60186" w:rsidRPr="00225D4D" w:rsidRDefault="00D60186" w:rsidP="00225D4D">
      <w:r w:rsidRPr="00225D4D">
        <w:t>Departementet har utredet et nasjonalt mandat for Internasjonalt samisk filminstitutt (ISFI) i samarbeid med relevante parter, med mål om å definere hovedansvaret for forvaltning og finansiering av det samiske filmfeltet. Kultur- og likestillingsdepartementet anbefaler at ISFI gis et nasjonalt mandat i form av et særlig ansvar for samisk film i Norge. Departementet presiserer at dette ikke innebærer en negativ avgrensning av Norsk filminstitutts mandat, som i likhet med ISFI også skal bidra til å fremme samisk film og samisk filmproduksjon.</w:t>
      </w:r>
    </w:p>
    <w:p w14:paraId="0A84A181" w14:textId="77777777" w:rsidR="00D60186" w:rsidRPr="00225D4D" w:rsidRDefault="00D60186" w:rsidP="00225D4D">
      <w:r w:rsidRPr="00225D4D">
        <w:t>Anmodningsvedtaket anses som fulgt opp, og rapporteringen avsluttes.</w:t>
      </w:r>
    </w:p>
    <w:p w14:paraId="1D349022" w14:textId="77777777" w:rsidR="00D60186" w:rsidRPr="00225D4D" w:rsidRDefault="00D60186" w:rsidP="00225D4D">
      <w:pPr>
        <w:pStyle w:val="avsnitt-tittel"/>
      </w:pPr>
      <w:r w:rsidRPr="00225D4D">
        <w:t>Evaluering av investeringsforpliktelsen for tilbydere av audiovisuelle bestillingstjenester</w:t>
      </w:r>
    </w:p>
    <w:p w14:paraId="048A19A9" w14:textId="77777777" w:rsidR="00D60186" w:rsidRPr="00225D4D" w:rsidRDefault="00D60186" w:rsidP="00225D4D">
      <w:pPr>
        <w:pStyle w:val="avsnitt-undertittel"/>
      </w:pPr>
      <w:r w:rsidRPr="00225D4D">
        <w:t>Vedtak nr. 459, 13. februar 2025</w:t>
      </w:r>
    </w:p>
    <w:p w14:paraId="41070970" w14:textId="77777777" w:rsidR="00D60186" w:rsidRPr="00225D4D" w:rsidRDefault="00D60186" w:rsidP="00225D4D">
      <w:pPr>
        <w:pStyle w:val="blokksit"/>
        <w:rPr>
          <w:rStyle w:val="kursiv"/>
        </w:rPr>
      </w:pPr>
      <w:r w:rsidRPr="00225D4D">
        <w:rPr>
          <w:rStyle w:val="kursiv"/>
        </w:rPr>
        <w:t>«Stortinget ber regjeringen gjennomføre en helhetlig evaluering av investeringsforpliktelsen for tilbydere av audiovisuelle bestillingstjenester senest når den har virket i tre år.»</w:t>
      </w:r>
    </w:p>
    <w:p w14:paraId="4601EB7F"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117 L (2024–2025) og </w:t>
      </w:r>
      <w:proofErr w:type="spellStart"/>
      <w:r w:rsidRPr="00225D4D">
        <w:t>Prop</w:t>
      </w:r>
      <w:proofErr w:type="spellEnd"/>
      <w:r w:rsidRPr="00225D4D">
        <w:t xml:space="preserve">. 66 LS (2023–2024) </w:t>
      </w:r>
      <w:r w:rsidRPr="00225D4D">
        <w:rPr>
          <w:rStyle w:val="kursiv"/>
        </w:rPr>
        <w:t>Endringer i kringkastingsloven mv.</w:t>
      </w:r>
    </w:p>
    <w:p w14:paraId="52B450DC" w14:textId="77777777" w:rsidR="00D60186" w:rsidRPr="00225D4D" w:rsidRDefault="00D60186" w:rsidP="00225D4D">
      <w:r w:rsidRPr="00225D4D">
        <w:t xml:space="preserve">Lovendringen som inneholder investeringsforpliktelse for tilbydere av audiovisuelle bestillingstjenester er vedtatt, men ennå ikke </w:t>
      </w:r>
      <w:proofErr w:type="gramStart"/>
      <w:r w:rsidRPr="00225D4D">
        <w:t>trådt</w:t>
      </w:r>
      <w:proofErr w:type="gramEnd"/>
      <w:r w:rsidRPr="00225D4D">
        <w:t xml:space="preserve"> i kraft. Regjeringen kommer tilbake til Stortinget på egnet måte.</w:t>
      </w:r>
    </w:p>
    <w:p w14:paraId="6A8EED13" w14:textId="77777777" w:rsidR="00D60186" w:rsidRPr="00225D4D" w:rsidRDefault="00D60186" w:rsidP="00225D4D">
      <w:pPr>
        <w:pStyle w:val="avsnitt-tittel"/>
      </w:pPr>
      <w:r w:rsidRPr="00225D4D">
        <w:t>Mer kunnskap om markedsføring av pengespill i sosiale medier</w:t>
      </w:r>
    </w:p>
    <w:p w14:paraId="0829D3FD" w14:textId="77777777" w:rsidR="00D60186" w:rsidRPr="00225D4D" w:rsidRDefault="00D60186" w:rsidP="00225D4D">
      <w:pPr>
        <w:pStyle w:val="avsnitt-undertittel"/>
      </w:pPr>
      <w:r w:rsidRPr="00225D4D">
        <w:t>Vedtak nr. 520, 18. mars 2025</w:t>
      </w:r>
    </w:p>
    <w:p w14:paraId="47B63B78" w14:textId="77777777" w:rsidR="00D60186" w:rsidRPr="00225D4D" w:rsidRDefault="00D60186" w:rsidP="00225D4D">
      <w:pPr>
        <w:pStyle w:val="blokksit"/>
        <w:rPr>
          <w:rStyle w:val="kursiv"/>
        </w:rPr>
      </w:pPr>
      <w:r w:rsidRPr="00225D4D">
        <w:rPr>
          <w:rStyle w:val="kursiv"/>
        </w:rPr>
        <w:t>«Stortinget ber regjeringen sørge for mer kunnskap om bruk av sosiale medier og andre mer utradisjonelle kanaler for reklame og markedsføring av pengespill, for å kunne vurdere tiltak mot uheldig påvirkning i slike kanaler.»</w:t>
      </w:r>
    </w:p>
    <w:p w14:paraId="35144B07"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152 S (2024–2025) og Dokument 8:13 (2023–2024) </w:t>
      </w:r>
      <w:r w:rsidRPr="00225D4D">
        <w:rPr>
          <w:rStyle w:val="kursiv"/>
        </w:rPr>
        <w:t>Representantforslag om en forsterket politikk for å forhindre spilleavhengighet</w:t>
      </w:r>
    </w:p>
    <w:p w14:paraId="668F1C9D" w14:textId="77777777" w:rsidR="00D60186" w:rsidRPr="00225D4D" w:rsidRDefault="00D60186" w:rsidP="00225D4D">
      <w:r w:rsidRPr="00225D4D">
        <w:t>Kultur- og likestillingsdepartementet har dialog med Lotteri- og stiftelsestilsynet om oppfølging av anmodningsvedtaket. Regjeringen skal etter planen legge frem en ny handlingsplan mot spilleproblemer i løpet av 2025, og vil vurdere tiltak i forbindelse med dette arbeidet. Regjeringen kommer tilbake til Stortinget på egnet måte.</w:t>
      </w:r>
    </w:p>
    <w:p w14:paraId="1B49A168" w14:textId="77777777" w:rsidR="00D60186" w:rsidRPr="00225D4D" w:rsidRDefault="00D60186" w:rsidP="00225D4D">
      <w:pPr>
        <w:pStyle w:val="avsnitt-tittel"/>
      </w:pPr>
      <w:r w:rsidRPr="00225D4D">
        <w:t>Kompetanseheving om spilleavhengighet</w:t>
      </w:r>
    </w:p>
    <w:p w14:paraId="72C1DB9C" w14:textId="77777777" w:rsidR="00D60186" w:rsidRPr="00225D4D" w:rsidRDefault="00D60186" w:rsidP="00225D4D">
      <w:pPr>
        <w:pStyle w:val="avsnitt-undertittel"/>
      </w:pPr>
      <w:r w:rsidRPr="00225D4D">
        <w:t>Vedtak nr. 522, 18. mars 2025</w:t>
      </w:r>
    </w:p>
    <w:p w14:paraId="1212DECB" w14:textId="77777777" w:rsidR="00D60186" w:rsidRPr="00225D4D" w:rsidRDefault="00D60186" w:rsidP="00225D4D">
      <w:pPr>
        <w:pStyle w:val="blokksit"/>
        <w:rPr>
          <w:rStyle w:val="kursiv"/>
        </w:rPr>
      </w:pPr>
      <w:r w:rsidRPr="00225D4D">
        <w:rPr>
          <w:rStyle w:val="kursiv"/>
        </w:rPr>
        <w:t>«Stortinget ber regjeringen legge til rette for kompetanseheving om spilleavhengighet.»</w:t>
      </w:r>
    </w:p>
    <w:p w14:paraId="78F9D39B"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152 S (2024–2025) og Dokument 8:13 (2023–2024) </w:t>
      </w:r>
      <w:r w:rsidRPr="00225D4D">
        <w:rPr>
          <w:rStyle w:val="kursiv"/>
        </w:rPr>
        <w:t>Representantforslag om en forsterket politikk for å forhindre spilleavhengighet</w:t>
      </w:r>
    </w:p>
    <w:p w14:paraId="2337D48D" w14:textId="77777777" w:rsidR="00D60186" w:rsidRPr="00225D4D" w:rsidRDefault="00D60186" w:rsidP="00225D4D">
      <w:r w:rsidRPr="00225D4D">
        <w:t>Kultur- og likestillingsdepartementet har dialog med Lotteri- og stiftelsestilsynet om oppfølging av anmodningsvedtaket. Regjeringen skal etter planen legge frem en ny handlingsplan mot spilleproblemer i løpet av 2025, og vil vurdere tiltak i forbindelse med dette arbeidet. Regjeringen kommer tilbake til Stortinget på egnet måte.</w:t>
      </w:r>
    </w:p>
    <w:p w14:paraId="2FE1E6C9" w14:textId="77777777" w:rsidR="00D60186" w:rsidRPr="00225D4D" w:rsidRDefault="00D60186" w:rsidP="00225D4D">
      <w:pPr>
        <w:pStyle w:val="avsnitt-tittel"/>
      </w:pPr>
      <w:r w:rsidRPr="00225D4D">
        <w:t xml:space="preserve">Regulering av </w:t>
      </w:r>
      <w:proofErr w:type="spellStart"/>
      <w:r w:rsidRPr="00225D4D">
        <w:t>lootbokser</w:t>
      </w:r>
      <w:proofErr w:type="spellEnd"/>
      <w:r w:rsidRPr="00225D4D">
        <w:t xml:space="preserve">, virtuell valuta og </w:t>
      </w:r>
      <w:proofErr w:type="spellStart"/>
      <w:r w:rsidRPr="00225D4D">
        <w:t>skinbetting</w:t>
      </w:r>
      <w:proofErr w:type="spellEnd"/>
      <w:r w:rsidRPr="00225D4D">
        <w:t xml:space="preserve"> i dataspill</w:t>
      </w:r>
    </w:p>
    <w:p w14:paraId="085F8464" w14:textId="77777777" w:rsidR="00D60186" w:rsidRPr="00225D4D" w:rsidRDefault="00D60186" w:rsidP="00225D4D">
      <w:pPr>
        <w:pStyle w:val="avsnitt-undertittel"/>
      </w:pPr>
      <w:r w:rsidRPr="00225D4D">
        <w:t>Vedtak nr. 523, 18. mars 2025</w:t>
      </w:r>
    </w:p>
    <w:p w14:paraId="53669BDC" w14:textId="77777777" w:rsidR="00D60186" w:rsidRPr="00225D4D" w:rsidRDefault="00D60186" w:rsidP="00225D4D">
      <w:pPr>
        <w:pStyle w:val="blokksit"/>
        <w:rPr>
          <w:rStyle w:val="kursiv"/>
        </w:rPr>
      </w:pPr>
      <w:r w:rsidRPr="00225D4D">
        <w:rPr>
          <w:rStyle w:val="kursiv"/>
        </w:rPr>
        <w:t>«Stortinget ber regjeringen innføre et regelverk for, og eventuelt vurdere et forbud mot, lotterimekanismer (</w:t>
      </w:r>
      <w:proofErr w:type="spellStart"/>
      <w:r w:rsidRPr="00225D4D">
        <w:rPr>
          <w:rStyle w:val="kursiv"/>
        </w:rPr>
        <w:t>lootbokser</w:t>
      </w:r>
      <w:proofErr w:type="spellEnd"/>
      <w:r w:rsidRPr="00225D4D">
        <w:rPr>
          <w:rStyle w:val="kursiv"/>
        </w:rPr>
        <w:t xml:space="preserve">) i dataspill i Norge, samt vurdere å innføre regulering av, eventuelt forbud mot, bruk av virtuell valuta og </w:t>
      </w:r>
      <w:proofErr w:type="spellStart"/>
      <w:r w:rsidRPr="00225D4D">
        <w:rPr>
          <w:rStyle w:val="kursiv"/>
        </w:rPr>
        <w:t>skins</w:t>
      </w:r>
      <w:proofErr w:type="spellEnd"/>
      <w:r w:rsidRPr="00225D4D">
        <w:rPr>
          <w:rStyle w:val="kursiv"/>
        </w:rPr>
        <w:t xml:space="preserve"> gambling i dataspill.»</w:t>
      </w:r>
    </w:p>
    <w:p w14:paraId="22763538"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152 S (2024–2025) og Dokument 8:13 (2023–2024) </w:t>
      </w:r>
      <w:r w:rsidRPr="00225D4D">
        <w:rPr>
          <w:rStyle w:val="kursiv"/>
        </w:rPr>
        <w:t>Representantforslag om en forsterket politikk for å forhindre spilleavhengighet</w:t>
      </w:r>
    </w:p>
    <w:p w14:paraId="2BE46735" w14:textId="77777777" w:rsidR="00D60186" w:rsidRPr="00225D4D" w:rsidRDefault="00D60186" w:rsidP="00225D4D">
      <w:r w:rsidRPr="00225D4D">
        <w:t xml:space="preserve">Tjenester eller mekanismer som faller inn under definisjonen av pengespill, slik som en del </w:t>
      </w:r>
      <w:proofErr w:type="spellStart"/>
      <w:r w:rsidRPr="00225D4D">
        <w:t>skinbettingsider</w:t>
      </w:r>
      <w:proofErr w:type="spellEnd"/>
      <w:r w:rsidRPr="00225D4D">
        <w:t xml:space="preserve">, er allerede regulert i dagens pengespillov og håndheves av Lotteri- og stiftelsestilsynet. Ny regulering av </w:t>
      </w:r>
      <w:proofErr w:type="spellStart"/>
      <w:r w:rsidRPr="00225D4D">
        <w:t>lootbokser</w:t>
      </w:r>
      <w:proofErr w:type="spellEnd"/>
      <w:r w:rsidRPr="00225D4D">
        <w:t xml:space="preserve"> eller virtuell valuta i dataspill må ses i sammenheng med utvikling av europeisk lovgivning. Regjeringen kommer tilbake til Stortinget på egnet måte.</w:t>
      </w:r>
    </w:p>
    <w:p w14:paraId="74582921" w14:textId="77777777" w:rsidR="00D60186" w:rsidRPr="00225D4D" w:rsidRDefault="00D60186" w:rsidP="00225D4D">
      <w:pPr>
        <w:pStyle w:val="avsnitt-tittel"/>
      </w:pPr>
      <w:r w:rsidRPr="00225D4D">
        <w:t>Sikre norsk kulturarv i krise- og krigssituasjoner</w:t>
      </w:r>
    </w:p>
    <w:p w14:paraId="752EBEC3" w14:textId="77777777" w:rsidR="00D60186" w:rsidRPr="00225D4D" w:rsidRDefault="00D60186" w:rsidP="00225D4D">
      <w:pPr>
        <w:pStyle w:val="avsnitt-undertittel"/>
      </w:pPr>
      <w:r w:rsidRPr="00225D4D">
        <w:t>Vedtak nr. 638, 6. mai 2025</w:t>
      </w:r>
    </w:p>
    <w:p w14:paraId="1D592EB6" w14:textId="77777777" w:rsidR="00D60186" w:rsidRPr="00225D4D" w:rsidRDefault="00D60186" w:rsidP="00225D4D">
      <w:pPr>
        <w:pStyle w:val="blokksit"/>
        <w:rPr>
          <w:rStyle w:val="kursiv"/>
        </w:rPr>
      </w:pPr>
      <w:r w:rsidRPr="00225D4D">
        <w:rPr>
          <w:rStyle w:val="kursiv"/>
        </w:rPr>
        <w:t>«Stortinget ber regjeringen ta initiativ til at det utarbeides beredskapsplaner for å sikre norsk kulturarv i krise- og krigssituasjoner.»</w:t>
      </w:r>
    </w:p>
    <w:p w14:paraId="0161B6F1"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242 S (2024–2025) og Meld. St. 9 (2024–2025) </w:t>
      </w:r>
      <w:r w:rsidRPr="00225D4D">
        <w:rPr>
          <w:rStyle w:val="kursiv"/>
        </w:rPr>
        <w:t>Totalberedskapsmeldingen – Forberedt på kriser og krig.</w:t>
      </w:r>
    </w:p>
    <w:p w14:paraId="1CB3DF38" w14:textId="77777777" w:rsidR="00D60186" w:rsidRPr="00225D4D" w:rsidRDefault="00D60186" w:rsidP="00225D4D">
      <w:r w:rsidRPr="00225D4D">
        <w:t xml:space="preserve">Kulturinstitusjoner som får statlig tilskudd fra Kultur- og likestillingsdepartementet, forutsettes å ivareta sitt ansvar innenfor sikkerhet og beredskap. Siden 2024 har dette eksplisitt vært nedfelt i departementets </w:t>
      </w:r>
      <w:proofErr w:type="spellStart"/>
      <w:r w:rsidRPr="00225D4D">
        <w:t>tilskuddsbrev</w:t>
      </w:r>
      <w:proofErr w:type="spellEnd"/>
      <w:r w:rsidRPr="00225D4D">
        <w:t xml:space="preserve"> til kulturinstitusjoner, hvor det står at </w:t>
      </w:r>
      <w:r w:rsidRPr="00225D4D">
        <w:rPr>
          <w:rStyle w:val="kursiv"/>
        </w:rPr>
        <w:t>hver enkelt tilskuddsmottaker må dimensjonere sitt sikkerhets- og beredskapsarbeid opp mot samfunnsoppdrag, risiko og egenart. Dette inkluderer å holde seg oppdatert om de åpne risiko- og trusselvurderingene fra sikkerhetsmyndighetene og om relevant regelverk og veiledninger, f.eks. Veileder for sikkerhet ved store arrangementer fra Direktoratet for samfunnssikkerhet og beredskap (DSB) og Råd mot terrorhandlinger fra PST.</w:t>
      </w:r>
    </w:p>
    <w:p w14:paraId="3B872C81" w14:textId="77777777" w:rsidR="00D60186" w:rsidRPr="00225D4D" w:rsidRDefault="00D60186" w:rsidP="00225D4D">
      <w:r w:rsidRPr="00225D4D">
        <w:t>Staten har siden 1990-tallet utlyst sikringsmidler til museer. Midlene, som årlig lyses ut av Kulturdirektoratet, går til finansiering av tiltak som kan forebygge og redusere omfanget av ødeleggelse i forbindelse med brann, tyveri, ran, skadeverk, væpnet konflikt og naturskade. Midlene går blant annet til utarbeidelse av risikoanalyser, sikringsplaner og verdibergingsplaner.</w:t>
      </w:r>
    </w:p>
    <w:p w14:paraId="4BC328F1" w14:textId="77777777" w:rsidR="00D60186" w:rsidRPr="00225D4D" w:rsidRDefault="00D60186" w:rsidP="00225D4D">
      <w:r w:rsidRPr="00225D4D">
        <w:t>Kulturdirektoratet utarbeider nå en ny metodeveileder for ROS-analyser, der trusselbildene i samfunnet rundt skal tas med, samt en veileder for museenes helhetlige sikringsarbeid, med tyngre vektlegging av beredskapsarbeid mot krig og terror.</w:t>
      </w:r>
    </w:p>
    <w:p w14:paraId="19068011" w14:textId="77777777" w:rsidR="00D60186" w:rsidRPr="00225D4D" w:rsidRDefault="00D60186" w:rsidP="00225D4D">
      <w:r w:rsidRPr="00225D4D">
        <w:t>Riksantikvaren, som ligger under Klima- og miljødepartementet, er nasjonal koordinator for oppfølging av Unescos konvensjon av 1954 om beskyttelse av kulturverdier i tilfelle av væpnet konflikt (Haag-konvensjonen). Sektoransvaret ligger til grunn for oppfølging av forpliktelsene i henhold til konvensjonen. Kulturdirektoratet, Nasjonalbiblioteket og Arkivverket er involvert i dette arbeidet.</w:t>
      </w:r>
    </w:p>
    <w:p w14:paraId="296BCFD6" w14:textId="77777777" w:rsidR="00D60186" w:rsidRPr="00225D4D" w:rsidRDefault="00D60186" w:rsidP="00225D4D">
      <w:r w:rsidRPr="00225D4D">
        <w:t>Regjeringen vil fortsette arbeidet i 2026 og kommer tilbake til Stortinget på egnet måte.</w:t>
      </w:r>
    </w:p>
    <w:p w14:paraId="28111F68" w14:textId="77777777" w:rsidR="00D60186" w:rsidRPr="00225D4D" w:rsidRDefault="00D60186" w:rsidP="00225D4D">
      <w:pPr>
        <w:pStyle w:val="avsnitt-tittel"/>
      </w:pPr>
      <w:r w:rsidRPr="00225D4D">
        <w:t>Utrede utfordringer ved og behov for behandling av personopplysninger for frivillig sektor</w:t>
      </w:r>
    </w:p>
    <w:p w14:paraId="33EEAA61" w14:textId="77777777" w:rsidR="00D60186" w:rsidRPr="00225D4D" w:rsidRDefault="00D60186" w:rsidP="00225D4D">
      <w:pPr>
        <w:pStyle w:val="avsnitt-undertittel"/>
      </w:pPr>
      <w:r w:rsidRPr="00225D4D">
        <w:t>Vedtak nr. 821, 2. juni 2025</w:t>
      </w:r>
    </w:p>
    <w:p w14:paraId="660B1DA8" w14:textId="77777777" w:rsidR="00D60186" w:rsidRPr="00225D4D" w:rsidRDefault="00D60186" w:rsidP="00225D4D">
      <w:pPr>
        <w:pStyle w:val="blokksit"/>
        <w:rPr>
          <w:rStyle w:val="kursiv"/>
        </w:rPr>
      </w:pPr>
      <w:r w:rsidRPr="00225D4D">
        <w:rPr>
          <w:rStyle w:val="kursiv"/>
        </w:rPr>
        <w:t>«Stortinget ber regjeringen i samarbeid med frivillig sektor utrede utfordringer ved og behov for behandling av personopplysninger for hele den frivillige sektor og komme tilbake til Stortinget med et lovforslag som kan gi frivillig sektor de nødvendige hjemlene de trenger for å kunne forebygge, avdekke og reagere mot seksuelle overgrep, trakassering og vold mv., senest i løpet av våren 2026.»</w:t>
      </w:r>
    </w:p>
    <w:p w14:paraId="537DAEBD"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375 L (2024–2025) og </w:t>
      </w:r>
      <w:proofErr w:type="spellStart"/>
      <w:r w:rsidRPr="00225D4D">
        <w:t>Prop</w:t>
      </w:r>
      <w:proofErr w:type="spellEnd"/>
      <w:r w:rsidRPr="00225D4D">
        <w:t xml:space="preserve">. 49 L (2024–2025) </w:t>
      </w:r>
      <w:r w:rsidRPr="00225D4D">
        <w:rPr>
          <w:rStyle w:val="kursiv"/>
        </w:rPr>
        <w:t>Lov om behandling av personopplysninger i Norges idrettsforbund og olympiske og paralympiske komité og deres organisasjonsledd for å forebygge, avdekke og reagere mot seksuelle overgrep, trakassering og vold mv. i idretten.</w:t>
      </w:r>
    </w:p>
    <w:p w14:paraId="17A57A67" w14:textId="77777777" w:rsidR="00D60186" w:rsidRPr="00225D4D" w:rsidRDefault="00D60186" w:rsidP="00225D4D">
      <w:r w:rsidRPr="00225D4D">
        <w:t>Kultur- og likestillingsdepartementet har gitt en ekstern aktør i oppdrag å kartlegge utfordringer ved og behov for behandling av særskilte personopplysninger for frivillige organisasjoner utenfor idretten. Representanter for frivillig sektor deltar i en referansegruppe for arbeidet. Sektoren er sammensatt av et bredt spekter av organisasjoner med ulik struktur, forskjellige medlemsmasser og ulike måter å jobbe på. Oppdraget skal ferdigstilles innen utgangen av 2025. Departementet vil på bakgrunn av kartleggingen vurdere videre oppfølging.</w:t>
      </w:r>
    </w:p>
    <w:p w14:paraId="425590EB" w14:textId="77777777" w:rsidR="00D60186" w:rsidRPr="00225D4D" w:rsidRDefault="00D60186" w:rsidP="00225D4D">
      <w:r w:rsidRPr="00225D4D">
        <w:t>Regjeringen kommer tilbake til Stortinget på egnet måte.</w:t>
      </w:r>
    </w:p>
    <w:p w14:paraId="67A5567E" w14:textId="77777777" w:rsidR="00D60186" w:rsidRPr="00225D4D" w:rsidRDefault="00D60186" w:rsidP="00225D4D">
      <w:pPr>
        <w:pStyle w:val="avsnitt-tittel"/>
      </w:pPr>
      <w:r w:rsidRPr="00225D4D">
        <w:t>Innta konkrete definisjoner og diskrimineringsgrunnlag i loven om behandling av personopplysninger i idretten</w:t>
      </w:r>
    </w:p>
    <w:p w14:paraId="4CF418C8" w14:textId="77777777" w:rsidR="00D60186" w:rsidRPr="00225D4D" w:rsidRDefault="00D60186" w:rsidP="00225D4D">
      <w:pPr>
        <w:pStyle w:val="avsnitt-undertittel"/>
      </w:pPr>
      <w:r w:rsidRPr="00225D4D">
        <w:t>Vedtak nr. 822, 2. juni 2025</w:t>
      </w:r>
    </w:p>
    <w:p w14:paraId="4B6797E8" w14:textId="77777777" w:rsidR="00D60186" w:rsidRPr="00225D4D" w:rsidRDefault="00D60186" w:rsidP="00225D4D">
      <w:pPr>
        <w:pStyle w:val="blokksit"/>
        <w:rPr>
          <w:rStyle w:val="kursiv"/>
        </w:rPr>
      </w:pPr>
      <w:r w:rsidRPr="00225D4D">
        <w:rPr>
          <w:rStyle w:val="kursiv"/>
        </w:rPr>
        <w:t>«Stortinget ber regjeringen fremme lovforslag om å innta definisjonene av trakassering og seksuell trakassering i likestillings- og diskrimineringsloven § 13, samt diskrimineringsgrunnlagene i samme lov § 6, i lov om behandling av personopplysninger i Norges idrettsforbund og olympiske og paralympiske komité og dets organisasjonsledd for å forebygge, avdekke og reagere mot seksuelle overgrep, trakassering og vold mv. i idretten senest i løpet av våren 2026.»</w:t>
      </w:r>
    </w:p>
    <w:p w14:paraId="603B84A8"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375 L (2024–2025) og </w:t>
      </w:r>
      <w:proofErr w:type="spellStart"/>
      <w:r w:rsidRPr="00225D4D">
        <w:t>Prop</w:t>
      </w:r>
      <w:proofErr w:type="spellEnd"/>
      <w:r w:rsidRPr="00225D4D">
        <w:t xml:space="preserve">. 49 L (2024–2025) </w:t>
      </w:r>
      <w:r w:rsidRPr="00225D4D">
        <w:rPr>
          <w:rStyle w:val="kursiv"/>
        </w:rPr>
        <w:t>Lov om behandling av personopplysninger i Norges idrettsforbund og olympiske og paralympiske komité og deres organisasjonsledd for å forebygge, avdekke og reagere mot seksuelle overgrep, trakassering og vold mv. i idretten.</w:t>
      </w:r>
    </w:p>
    <w:p w14:paraId="665D1804" w14:textId="77777777" w:rsidR="00D60186" w:rsidRPr="00225D4D" w:rsidRDefault="00D60186" w:rsidP="00225D4D">
      <w:r w:rsidRPr="00225D4D">
        <w:t>Kultur- og likestillingsdepartementet har som nevnt ovenfor igangsatt en kartlegging av utfordringer ved og behov for behandling av personopplysninger for hele den frivillige sektoren. Videre oppfølging vil bli vurdert med bakgrunn i kartleggingen. Departementet vil i denne sammenhengen også følge opp behov for endringer i den gjeldende loven om behandling av personopplysninger i idretten.</w:t>
      </w:r>
    </w:p>
    <w:p w14:paraId="1C6F3C61" w14:textId="77777777" w:rsidR="00D60186" w:rsidRPr="00225D4D" w:rsidRDefault="00D60186" w:rsidP="00225D4D">
      <w:r w:rsidRPr="00225D4D">
        <w:t>Regjeringen kommer tilbake til Stortinget på egnet måte.</w:t>
      </w:r>
    </w:p>
    <w:p w14:paraId="726C106E" w14:textId="77777777" w:rsidR="00D60186" w:rsidRPr="00225D4D" w:rsidRDefault="00D60186" w:rsidP="00225D4D">
      <w:pPr>
        <w:pStyle w:val="avsnitt-tittel"/>
      </w:pPr>
      <w:r w:rsidRPr="00225D4D">
        <w:t>Igangsette samtaler med Den norske Forleggerforening for å komme fram til oppdaterte utlånsmodeller</w:t>
      </w:r>
    </w:p>
    <w:p w14:paraId="36BF38D5" w14:textId="77777777" w:rsidR="00D60186" w:rsidRPr="00225D4D" w:rsidRDefault="00D60186" w:rsidP="00225D4D">
      <w:pPr>
        <w:pStyle w:val="avsnitt-undertittel"/>
      </w:pPr>
      <w:r w:rsidRPr="00225D4D">
        <w:t>Vedtak nr. 823, 2. juni 2025</w:t>
      </w:r>
    </w:p>
    <w:p w14:paraId="60F41A5E" w14:textId="77777777" w:rsidR="00D60186" w:rsidRPr="00225D4D" w:rsidRDefault="00D60186" w:rsidP="00225D4D">
      <w:pPr>
        <w:pStyle w:val="blokksit"/>
        <w:rPr>
          <w:rStyle w:val="kursiv"/>
        </w:rPr>
      </w:pPr>
      <w:r w:rsidRPr="00225D4D">
        <w:rPr>
          <w:rStyle w:val="kursiv"/>
        </w:rPr>
        <w:t>«Stortinget ber regjeringen gi Nasjonalbiblioteket i oppdrag å igangsette samtaler med Den norske Forleggerforening for å komme fram til oppdaterte utlånsmodeller.»</w:t>
      </w:r>
    </w:p>
    <w:p w14:paraId="0FA483EF"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367 S (2024–2025) og Dokument 8:115 S (2024–2025) </w:t>
      </w:r>
      <w:r w:rsidRPr="00225D4D">
        <w:rPr>
          <w:rStyle w:val="kursiv"/>
        </w:rPr>
        <w:t>Representantforslag om en helhetlig bibliotekpolitikk og et bibliotekløft for hele landet.</w:t>
      </w:r>
    </w:p>
    <w:p w14:paraId="35661E00" w14:textId="77777777" w:rsidR="00D60186" w:rsidRPr="00225D4D" w:rsidRDefault="00D60186" w:rsidP="00225D4D">
      <w:r w:rsidRPr="00225D4D">
        <w:t>Departementet har i brev 24. juni 2025 gitt Nasjonalbiblioteket i oppdrag å igangsette samtaler med Den norske Forleggerforening for å komme fram til oppdaterte modeller for utlån av digitale bøker i bibliotek.</w:t>
      </w:r>
    </w:p>
    <w:p w14:paraId="2999A5FE" w14:textId="77777777" w:rsidR="00D60186" w:rsidRPr="00225D4D" w:rsidRDefault="00D60186" w:rsidP="00225D4D">
      <w:r w:rsidRPr="00225D4D">
        <w:t>Anmodningsvedtaket anses som fulgt opp, og rapporteringen avsluttes.</w:t>
      </w:r>
    </w:p>
    <w:p w14:paraId="0681B966" w14:textId="77777777" w:rsidR="00D60186" w:rsidRPr="00225D4D" w:rsidRDefault="00D60186" w:rsidP="00225D4D">
      <w:pPr>
        <w:pStyle w:val="avsnitt-tittel"/>
      </w:pPr>
      <w:r w:rsidRPr="00225D4D">
        <w:t>Sørge for at tilskuddsordning for styrking av kjønns- og seksualitetsmangfold også kan benyttes til å forebygge hat mot skeive</w:t>
      </w:r>
    </w:p>
    <w:p w14:paraId="39B23368" w14:textId="77777777" w:rsidR="00D60186" w:rsidRPr="00225D4D" w:rsidRDefault="00D60186" w:rsidP="00225D4D">
      <w:pPr>
        <w:pStyle w:val="avsnitt-undertittel"/>
      </w:pPr>
      <w:r w:rsidRPr="00225D4D">
        <w:t>Vedtak nr. 859, 3. juni 2025</w:t>
      </w:r>
    </w:p>
    <w:p w14:paraId="046ADCD9" w14:textId="77777777" w:rsidR="00D60186" w:rsidRPr="00225D4D" w:rsidRDefault="00D60186" w:rsidP="00225D4D">
      <w:pPr>
        <w:pStyle w:val="blokksit"/>
        <w:rPr>
          <w:rStyle w:val="kursiv"/>
        </w:rPr>
      </w:pPr>
      <w:r w:rsidRPr="00225D4D">
        <w:rPr>
          <w:rStyle w:val="kursiv"/>
        </w:rPr>
        <w:t xml:space="preserve">«Stortinget ber regjeringen sørge for at det gjøres en tilføyelse i ordningen for tilskudd til å styrke kjønns- og seksualitetsmangfold, slik at det eksplisitt </w:t>
      </w:r>
      <w:proofErr w:type="gramStart"/>
      <w:r w:rsidRPr="00225D4D">
        <w:rPr>
          <w:rStyle w:val="kursiv"/>
        </w:rPr>
        <w:t>fremgår</w:t>
      </w:r>
      <w:proofErr w:type="gramEnd"/>
      <w:r w:rsidRPr="00225D4D">
        <w:rPr>
          <w:rStyle w:val="kursiv"/>
        </w:rPr>
        <w:t xml:space="preserve"> at tilskudd også kan gis til prosjekter som er ment å forebygge hat mot skeive.»</w:t>
      </w:r>
    </w:p>
    <w:p w14:paraId="12A72FED"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490 S (2024–2025) og Meld. St. 13 (2024–2025) </w:t>
      </w:r>
      <w:r w:rsidRPr="00225D4D">
        <w:rPr>
          <w:rStyle w:val="kursiv"/>
        </w:rPr>
        <w:t>Forebygging av ekstremisme – Trygghet, tillit, samarbeid og demokratisk motstandskraft.</w:t>
      </w:r>
    </w:p>
    <w:p w14:paraId="32E64854" w14:textId="77777777" w:rsidR="00D60186" w:rsidRPr="00225D4D" w:rsidRDefault="00D60186" w:rsidP="00225D4D">
      <w:r w:rsidRPr="00225D4D">
        <w:t xml:space="preserve">Det gjøres i løpet av 2025 endringer i tittelen til tilskuddsordningen for kjønns- og seksualitetsmangfold slik at det eksplisitt </w:t>
      </w:r>
      <w:proofErr w:type="gramStart"/>
      <w:r w:rsidRPr="00225D4D">
        <w:t>fremgår</w:t>
      </w:r>
      <w:proofErr w:type="gramEnd"/>
      <w:r w:rsidRPr="00225D4D">
        <w:t xml:space="preserve"> at tilskudd også kan gis til prosjekter som er ment å forebygge hat mot skeive.</w:t>
      </w:r>
    </w:p>
    <w:p w14:paraId="47717EF4" w14:textId="77777777" w:rsidR="00D60186" w:rsidRPr="00225D4D" w:rsidRDefault="00D60186" w:rsidP="00225D4D">
      <w:r w:rsidRPr="00225D4D">
        <w:t>Anmodningsvedtaket anses som fulgt opp, og rapporteringen avsluttes.</w:t>
      </w:r>
    </w:p>
    <w:p w14:paraId="68203892" w14:textId="77777777" w:rsidR="00D60186" w:rsidRPr="00225D4D" w:rsidRDefault="00D60186" w:rsidP="00225D4D">
      <w:pPr>
        <w:pStyle w:val="avsnitt-tittel"/>
      </w:pPr>
      <w:r w:rsidRPr="00225D4D">
        <w:t>Forskning på psykososiale og økonomiske konsekvenser for direkte berørte av terroren 22. juli 2011</w:t>
      </w:r>
    </w:p>
    <w:p w14:paraId="37272264" w14:textId="77777777" w:rsidR="00D60186" w:rsidRPr="00225D4D" w:rsidRDefault="00D60186" w:rsidP="00225D4D">
      <w:pPr>
        <w:pStyle w:val="avsnitt-undertittel"/>
      </w:pPr>
      <w:r w:rsidRPr="00225D4D">
        <w:t>Vedtak nr. 860, 3. juni 2025</w:t>
      </w:r>
    </w:p>
    <w:p w14:paraId="735F18A3" w14:textId="77777777" w:rsidR="00D60186" w:rsidRPr="00225D4D" w:rsidRDefault="00D60186" w:rsidP="00225D4D">
      <w:pPr>
        <w:pStyle w:val="blokksit"/>
        <w:rPr>
          <w:rStyle w:val="kursiv"/>
        </w:rPr>
      </w:pPr>
      <w:r w:rsidRPr="00225D4D">
        <w:rPr>
          <w:rStyle w:val="kursiv"/>
        </w:rPr>
        <w:t xml:space="preserve">«Stortinget ber regjeringen sørge for at det gjennomføres en </w:t>
      </w:r>
      <w:proofErr w:type="spellStart"/>
      <w:r w:rsidRPr="00225D4D">
        <w:rPr>
          <w:rStyle w:val="kursiv"/>
        </w:rPr>
        <w:t>forskningsstudie</w:t>
      </w:r>
      <w:proofErr w:type="spellEnd"/>
      <w:r w:rsidRPr="00225D4D">
        <w:rPr>
          <w:rStyle w:val="kursiv"/>
        </w:rPr>
        <w:t xml:space="preserve"> som ser på bredden av psykososiale og økonomiske konsekvenser for direkte berørte etter terroren 22. juli 2011, både knyttet til Regjeringskvartalet og Utøya.»</w:t>
      </w:r>
    </w:p>
    <w:p w14:paraId="22411BE7"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490 S (2024–2025) og Meld. St. 13 (2024–2025) </w:t>
      </w:r>
      <w:r w:rsidRPr="00225D4D">
        <w:rPr>
          <w:rStyle w:val="kursiv"/>
        </w:rPr>
        <w:t>Forebygging av ekstremisme – Trygghet, tillit, samarbeid og demokratisk motstandskraft.</w:t>
      </w:r>
    </w:p>
    <w:p w14:paraId="36D83BF8" w14:textId="77777777" w:rsidR="00D60186" w:rsidRPr="00225D4D" w:rsidRDefault="00D60186" w:rsidP="00225D4D">
      <w:r w:rsidRPr="00225D4D">
        <w:t>Regjeringen vil utrede problemstillingen og komme tilbake til Stortinget på egnet måte.</w:t>
      </w:r>
    </w:p>
    <w:p w14:paraId="208164C6" w14:textId="77777777" w:rsidR="00D60186" w:rsidRPr="00225D4D" w:rsidRDefault="00D60186" w:rsidP="00225D4D">
      <w:pPr>
        <w:pStyle w:val="avsnitt-tittel"/>
      </w:pPr>
      <w:r w:rsidRPr="00225D4D">
        <w:t>Endre virkeområdet for støtte til film- og serieproduksjon til å også omfatte Svalbard</w:t>
      </w:r>
    </w:p>
    <w:p w14:paraId="1F03C4F1" w14:textId="77777777" w:rsidR="00D60186" w:rsidRPr="00225D4D" w:rsidRDefault="00D60186" w:rsidP="00225D4D">
      <w:pPr>
        <w:pStyle w:val="avsnitt-undertittel"/>
      </w:pPr>
      <w:r w:rsidRPr="00225D4D">
        <w:t>Vedtak nr. 862, 3. juni 2025</w:t>
      </w:r>
    </w:p>
    <w:p w14:paraId="6EA71030" w14:textId="77777777" w:rsidR="00D60186" w:rsidRPr="00225D4D" w:rsidRDefault="00D60186" w:rsidP="00225D4D">
      <w:pPr>
        <w:pStyle w:val="blokksit"/>
        <w:rPr>
          <w:rStyle w:val="kursiv"/>
        </w:rPr>
      </w:pPr>
      <w:r w:rsidRPr="00225D4D">
        <w:rPr>
          <w:rStyle w:val="kursiv"/>
        </w:rPr>
        <w:t>«Stortinget ber regjeringen endre virkeområdet for Norsk filminstitutts relevante forskrifter om støtte til film- og serieproduksjon til også å omfatte Svalbard, slik at kostnader påløpt på Svalbard regnes som kostnader påløpt i Norge.»</w:t>
      </w:r>
    </w:p>
    <w:p w14:paraId="1A24FBF3"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383 S (2024–2025) og Dokument 8:154 S (2024–2025)</w:t>
      </w:r>
      <w:r w:rsidRPr="00225D4D">
        <w:rPr>
          <w:rStyle w:val="kursiv"/>
        </w:rPr>
        <w:t xml:space="preserve"> Representantforslag om å innlemme Svalbard i Norsk filminstitutts forskrifter.</w:t>
      </w:r>
    </w:p>
    <w:p w14:paraId="17E24C28" w14:textId="77777777" w:rsidR="00D60186" w:rsidRPr="00225D4D" w:rsidRDefault="00D60186" w:rsidP="00225D4D">
      <w:r w:rsidRPr="00225D4D">
        <w:t>Regjeringen kommer tilbake til Stortinget på egnet måte.</w:t>
      </w:r>
    </w:p>
    <w:p w14:paraId="5F905AD1" w14:textId="77777777" w:rsidR="00D60186" w:rsidRPr="00225D4D" w:rsidRDefault="00D60186" w:rsidP="00225D4D">
      <w:pPr>
        <w:pStyle w:val="avsnitt-tittel"/>
      </w:pPr>
      <w:r w:rsidRPr="00225D4D">
        <w:t>Videreføre strømstøtteordningen for frivilligheten</w:t>
      </w:r>
    </w:p>
    <w:p w14:paraId="3FF8FE49" w14:textId="77777777" w:rsidR="00D60186" w:rsidRPr="00225D4D" w:rsidRDefault="00D60186" w:rsidP="00225D4D">
      <w:pPr>
        <w:pStyle w:val="avsnitt-undertittel"/>
      </w:pPr>
      <w:r w:rsidRPr="00225D4D">
        <w:t>Vedtak nr. 1094, 16. juni 2025</w:t>
      </w:r>
    </w:p>
    <w:p w14:paraId="4E4001BF" w14:textId="77777777" w:rsidR="00D60186" w:rsidRPr="00225D4D" w:rsidRDefault="00D60186" w:rsidP="00225D4D">
      <w:pPr>
        <w:pStyle w:val="blokksit"/>
        <w:rPr>
          <w:rStyle w:val="kursiv"/>
        </w:rPr>
      </w:pPr>
      <w:r w:rsidRPr="00225D4D">
        <w:rPr>
          <w:rStyle w:val="kursiv"/>
        </w:rPr>
        <w:t>«Stortinget ber regjeringen om å videreføre strømstøtteordningen for frivilligheten til 31. desember 2029.»</w:t>
      </w:r>
    </w:p>
    <w:p w14:paraId="088FE451"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535 L (2024–2025) og </w:t>
      </w:r>
      <w:proofErr w:type="spellStart"/>
      <w:r w:rsidRPr="00225D4D">
        <w:t>Prop</w:t>
      </w:r>
      <w:proofErr w:type="spellEnd"/>
      <w:r w:rsidRPr="00225D4D">
        <w:t>. 148 L (2024–2025)</w:t>
      </w:r>
      <w:r w:rsidRPr="00225D4D">
        <w:rPr>
          <w:rStyle w:val="kursiv"/>
        </w:rPr>
        <w:t xml:space="preserve"> Lov om Norgespris og strømstønad til husholdninger.</w:t>
      </w:r>
    </w:p>
    <w:p w14:paraId="1336A86F" w14:textId="77777777" w:rsidR="00D60186" w:rsidRPr="00225D4D" w:rsidRDefault="00D60186" w:rsidP="00225D4D">
      <w:r w:rsidRPr="00225D4D">
        <w:t>Ordningen for strømstøtte til frivillige organisasjoner ble første gang etablert i 2022, med virkning fra desember 2021. Fra og med april 2022 har Lotteri- og stiftelsestilsynet forvaltet strømstøtteordningen for frivillig sektor. Gjennom ordningen kan frivillige organisasjoner søke om strømstøtte kvartalsvis. Søkerne får dekket 90 pst. av prisforskjellen mellom terskelverdien, som i 2025 er 75 øre per kWt, og strømprisen. Regjeringen legger til grunn at Stortinget ber om en forlengelse av den eksisterende ordningen forvaltet av Lotteri- og stiftelsestilsynet. Regjeringen foreslår å videreføre ordningen med en bevilgning på 63,6 mill. kroner i 2026, jf. kap. 315, post 71. Bevilgningsforslaget er utformet på bakgrunn av prisestimater for strøm og forventet strømforbruk. Regjeringen vil komme tilbake til spørsmålet om videre forlengelse i de årlige budsjettbehandlingene.</w:t>
      </w:r>
    </w:p>
    <w:p w14:paraId="32E855DC" w14:textId="77777777" w:rsidR="00D60186" w:rsidRPr="00225D4D" w:rsidRDefault="00D60186" w:rsidP="00225D4D">
      <w:pPr>
        <w:pStyle w:val="avsnitt-tittel"/>
      </w:pPr>
      <w:r w:rsidRPr="00225D4D">
        <w:t>Finansiering av prosjektet «Stiklestad for nye tusen år»</w:t>
      </w:r>
    </w:p>
    <w:p w14:paraId="1632A0DB" w14:textId="77777777" w:rsidR="00D60186" w:rsidRPr="00225D4D" w:rsidRDefault="00D60186" w:rsidP="00225D4D">
      <w:pPr>
        <w:pStyle w:val="avsnitt-undertittel"/>
      </w:pPr>
      <w:r w:rsidRPr="00225D4D">
        <w:t>Vedtak nr. 1231, 20. juni 2025</w:t>
      </w:r>
    </w:p>
    <w:p w14:paraId="2F51B36C" w14:textId="77777777" w:rsidR="00D60186" w:rsidRPr="00225D4D" w:rsidRDefault="00D60186" w:rsidP="00225D4D">
      <w:pPr>
        <w:pStyle w:val="blokksit"/>
        <w:rPr>
          <w:rStyle w:val="kursiv"/>
        </w:rPr>
      </w:pPr>
      <w:r w:rsidRPr="00225D4D">
        <w:rPr>
          <w:rStyle w:val="kursiv"/>
        </w:rPr>
        <w:t>«Stortinget ber regjeringen iverksette byggingen av ‘Stiklestad for nye tusen år’ slik at prosjektet gis en framdrift som sikrer ferdigstillelse til nasjonaljubileet i 2030.»</w:t>
      </w:r>
    </w:p>
    <w:p w14:paraId="6C5D031C"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540 S (2024–2025) og Meld. St. 2 (2024–2025)</w:t>
      </w:r>
      <w:r w:rsidRPr="00225D4D">
        <w:rPr>
          <w:rStyle w:val="kursiv"/>
        </w:rPr>
        <w:t xml:space="preserve"> Revidert nasjonalbudsjett 2025.</w:t>
      </w:r>
    </w:p>
    <w:p w14:paraId="474D30F3" w14:textId="77777777" w:rsidR="00D60186" w:rsidRPr="00225D4D" w:rsidRDefault="00D60186" w:rsidP="00225D4D">
      <w:r w:rsidRPr="00225D4D">
        <w:t>Søknad fra Museene Arven om statlig medfinansiering over kap. 322, post 70 er innvilget med bevilgning og tilhørende tilsagnsfullmakt i revidert nasjonalbudsjett 2025, med planlagt periodisering av senere bevilgninger i takt med prosjektets fremdrift.</w:t>
      </w:r>
    </w:p>
    <w:p w14:paraId="775BA3C7" w14:textId="77777777" w:rsidR="00D60186" w:rsidRPr="00225D4D" w:rsidRDefault="00D60186" w:rsidP="00225D4D">
      <w:r w:rsidRPr="00225D4D">
        <w:t>Anmodningsvedtaket anses som fulgt opp, og rapporteringen avsluttes.</w:t>
      </w:r>
    </w:p>
    <w:p w14:paraId="11A710C4" w14:textId="77777777" w:rsidR="00D60186" w:rsidRPr="00225D4D" w:rsidRDefault="00D60186" w:rsidP="00225D4D">
      <w:pPr>
        <w:pStyle w:val="avsnitt-tittel"/>
      </w:pPr>
      <w:r w:rsidRPr="00225D4D">
        <w:t>Opprette et regionalt filmfond med plassering i Indre Østfold</w:t>
      </w:r>
    </w:p>
    <w:p w14:paraId="513AF243" w14:textId="77777777" w:rsidR="00D60186" w:rsidRPr="00225D4D" w:rsidRDefault="00D60186" w:rsidP="00225D4D">
      <w:pPr>
        <w:pStyle w:val="avsnitt-undertittel"/>
      </w:pPr>
      <w:r w:rsidRPr="00225D4D">
        <w:t>Vedtak nr. 1245, 20. juni 2025</w:t>
      </w:r>
    </w:p>
    <w:p w14:paraId="5D6CE3FB" w14:textId="77777777" w:rsidR="00D60186" w:rsidRPr="00225D4D" w:rsidRDefault="00D60186" w:rsidP="00225D4D">
      <w:pPr>
        <w:pStyle w:val="blokksit"/>
        <w:rPr>
          <w:rStyle w:val="kursiv"/>
        </w:rPr>
      </w:pPr>
      <w:r w:rsidRPr="00225D4D">
        <w:rPr>
          <w:rStyle w:val="kursiv"/>
        </w:rPr>
        <w:t>«Stortinget ber regjeringen bistå slik at det i samarbeid med Indre Østfold kommune, Østfold fylkeskommune og eventuelle private aktører opprettes et regionalt filmfond med plassering i Indre Østfold.»</w:t>
      </w:r>
    </w:p>
    <w:p w14:paraId="357306C0"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540 S (2024–2025) og Meld. St. 2 (2024–2025)</w:t>
      </w:r>
      <w:r w:rsidRPr="00225D4D">
        <w:rPr>
          <w:rStyle w:val="kursiv"/>
        </w:rPr>
        <w:t xml:space="preserve"> Revidert nasjonalbudsjett 2025.</w:t>
      </w:r>
    </w:p>
    <w:p w14:paraId="18D6C32D" w14:textId="77777777" w:rsidR="00D60186" w:rsidRPr="00225D4D" w:rsidRDefault="00D60186" w:rsidP="00225D4D">
      <w:r w:rsidRPr="00225D4D">
        <w:t>Regjeringen kommer tilbake til Stortinget på egnet måte.</w:t>
      </w:r>
    </w:p>
    <w:p w14:paraId="020A5D82" w14:textId="77777777" w:rsidR="00D60186" w:rsidRPr="00225D4D" w:rsidRDefault="00D60186" w:rsidP="00225D4D">
      <w:pPr>
        <w:pStyle w:val="Overskrift2"/>
      </w:pPr>
      <w:r w:rsidRPr="00225D4D">
        <w:t>Stortingssesjon (2023–2024)</w:t>
      </w:r>
    </w:p>
    <w:p w14:paraId="62B1F4A1" w14:textId="77777777" w:rsidR="00D60186" w:rsidRPr="00225D4D" w:rsidRDefault="00D60186" w:rsidP="00225D4D">
      <w:pPr>
        <w:pStyle w:val="avsnitt-tittel"/>
      </w:pPr>
      <w:proofErr w:type="spellStart"/>
      <w:r w:rsidRPr="00225D4D">
        <w:t>Lovgjennomgang</w:t>
      </w:r>
      <w:proofErr w:type="spellEnd"/>
      <w:r w:rsidRPr="00225D4D">
        <w:t xml:space="preserve"> med formål om å avskaffe utdaterte, diskriminerende og stigmatiserende begreper om personer med funksjonsnedsettelser</w:t>
      </w:r>
    </w:p>
    <w:p w14:paraId="6002AB5E" w14:textId="77777777" w:rsidR="00D60186" w:rsidRPr="00225D4D" w:rsidRDefault="00D60186" w:rsidP="00225D4D">
      <w:pPr>
        <w:pStyle w:val="avsnitt-undertittel"/>
      </w:pPr>
      <w:r w:rsidRPr="00225D4D">
        <w:t>Vedtak nr. 440, 4. januar 2024</w:t>
      </w:r>
    </w:p>
    <w:p w14:paraId="61750EB0" w14:textId="77777777" w:rsidR="00D60186" w:rsidRPr="00225D4D" w:rsidRDefault="00D60186" w:rsidP="00225D4D">
      <w:pPr>
        <w:pStyle w:val="blokksit"/>
        <w:rPr>
          <w:rStyle w:val="kursiv"/>
        </w:rPr>
      </w:pPr>
      <w:r w:rsidRPr="00225D4D">
        <w:rPr>
          <w:rStyle w:val="kursiv"/>
        </w:rPr>
        <w:t xml:space="preserve">«Stortinget ber regjeringen foreta en </w:t>
      </w:r>
      <w:proofErr w:type="spellStart"/>
      <w:r w:rsidRPr="00225D4D">
        <w:rPr>
          <w:rStyle w:val="kursiv"/>
        </w:rPr>
        <w:t>lovgjennomgang</w:t>
      </w:r>
      <w:proofErr w:type="spellEnd"/>
      <w:r w:rsidRPr="00225D4D">
        <w:rPr>
          <w:rStyle w:val="kursiv"/>
        </w:rPr>
        <w:t xml:space="preserve"> med formål om å avskaffe språkbruk som beskriver funksjonshemmede eller personer med en funksjonsnedsettelse med utdaterte, diskriminerende og stigmatiserende begreper, og komme tilbake til Stortinget med forslag til nødvendige lovendringer for å sikre dette.»</w:t>
      </w:r>
    </w:p>
    <w:p w14:paraId="62C15219"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120 S (2023–2024) og Dokument 8:17 S (2023–2024) </w:t>
      </w:r>
      <w:r w:rsidRPr="00225D4D">
        <w:rPr>
          <w:rStyle w:val="kursiv"/>
        </w:rPr>
        <w:t>Representantforslag om å endre begrepsbruk i norsk lovverk i tråd med CRPD.</w:t>
      </w:r>
    </w:p>
    <w:p w14:paraId="2D7772F5" w14:textId="77777777" w:rsidR="00D60186" w:rsidRPr="00225D4D" w:rsidRDefault="00D60186" w:rsidP="00225D4D">
      <w:r w:rsidRPr="00225D4D">
        <w:t>Barne-, ungdoms- og familiedirektoratet (</w:t>
      </w:r>
      <w:proofErr w:type="spellStart"/>
      <w:r w:rsidRPr="00225D4D">
        <w:t>Bufdir</w:t>
      </w:r>
      <w:proofErr w:type="spellEnd"/>
      <w:r w:rsidRPr="00225D4D">
        <w:t xml:space="preserve">) har, på oppdrag fra Kultur- og likestillingsdepartementet, utarbeidet en oversikt over begreper som </w:t>
      </w:r>
      <w:proofErr w:type="spellStart"/>
      <w:r w:rsidRPr="00225D4D">
        <w:t>Bufdir</w:t>
      </w:r>
      <w:proofErr w:type="spellEnd"/>
      <w:r w:rsidRPr="00225D4D">
        <w:t xml:space="preserve"> vurderer som klart utdaterte, stigmatiserende og diskriminerende og som derfor bør omfattes av en </w:t>
      </w:r>
      <w:proofErr w:type="spellStart"/>
      <w:r w:rsidRPr="00225D4D">
        <w:t>lovgjennomgang</w:t>
      </w:r>
      <w:proofErr w:type="spellEnd"/>
      <w:r w:rsidRPr="00225D4D">
        <w:t xml:space="preserve">. I tråd med oppdraget har </w:t>
      </w:r>
      <w:proofErr w:type="spellStart"/>
      <w:r w:rsidRPr="00225D4D">
        <w:t>Bufdir</w:t>
      </w:r>
      <w:proofErr w:type="spellEnd"/>
      <w:r w:rsidRPr="00225D4D">
        <w:t xml:space="preserve"> samarbeidet med Språkrådet og involvert sivilt samfunn i vurderingen. Kultur- og likestillingsdepartementet tar sikte på å sette i gang videre oppfølging av anmodningsvedtaket i løpet av høsten 2025. Regjeringen kommer tilbake til Stortinget på egnet måte.</w:t>
      </w:r>
    </w:p>
    <w:p w14:paraId="5A81EDBB" w14:textId="77777777" w:rsidR="00D60186" w:rsidRPr="00225D4D" w:rsidRDefault="00D60186" w:rsidP="00225D4D">
      <w:pPr>
        <w:pStyle w:val="avsnitt-tittel"/>
      </w:pPr>
      <w:r w:rsidRPr="00225D4D">
        <w:t>DNS-blokkering og personvern</w:t>
      </w:r>
    </w:p>
    <w:p w14:paraId="4589F8C6" w14:textId="77777777" w:rsidR="00D60186" w:rsidRPr="00225D4D" w:rsidRDefault="00D60186" w:rsidP="00225D4D">
      <w:pPr>
        <w:pStyle w:val="avsnitt-undertittel"/>
      </w:pPr>
      <w:r w:rsidRPr="00225D4D">
        <w:t>Vedtak nr. 534, 19. mars 2024</w:t>
      </w:r>
    </w:p>
    <w:p w14:paraId="5919959A" w14:textId="77777777" w:rsidR="00D60186" w:rsidRPr="00225D4D" w:rsidRDefault="00D60186" w:rsidP="00225D4D">
      <w:pPr>
        <w:pStyle w:val="blokksit"/>
        <w:rPr>
          <w:rStyle w:val="kursiv"/>
        </w:rPr>
      </w:pPr>
      <w:r w:rsidRPr="00225D4D">
        <w:rPr>
          <w:rStyle w:val="kursiv"/>
        </w:rPr>
        <w:t>«Stortinget ber regjeringen om å ta inn Datatilsynet i arbeidet med forskrift om DNS-blokkering, samt at Datatilsynets bekymringer knyttet til personvern og informasjonsfrihet blir tillagt særlig vekt og svart ut i den endelige forskriften.»</w:t>
      </w:r>
    </w:p>
    <w:p w14:paraId="458D0E56"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212 L (2023–2024) og </w:t>
      </w:r>
      <w:proofErr w:type="spellStart"/>
      <w:r w:rsidRPr="00225D4D">
        <w:t>Prop</w:t>
      </w:r>
      <w:proofErr w:type="spellEnd"/>
      <w:r w:rsidRPr="00225D4D">
        <w:t xml:space="preserve">. 6 L (2023–2024) </w:t>
      </w:r>
      <w:r w:rsidRPr="00225D4D">
        <w:rPr>
          <w:rStyle w:val="kursiv"/>
        </w:rPr>
        <w:t>Endringer i pengespilloven mv.</w:t>
      </w:r>
    </w:p>
    <w:p w14:paraId="4F6BC777" w14:textId="77777777" w:rsidR="00D60186" w:rsidRPr="00225D4D" w:rsidRDefault="00D60186" w:rsidP="00225D4D">
      <w:r w:rsidRPr="00225D4D">
        <w:t xml:space="preserve">Kultur- og likestillingsdepartementet tar sikte på å foreslå presiserende bestemmelser i pengespillforskriften, for å sikre ytterligere tydelighet og forutsigbarhet rundt praktiseringen av DNS-blokkering, i tråd med merknad fra kontroll- og konstitusjonskomiteen i </w:t>
      </w:r>
      <w:proofErr w:type="spellStart"/>
      <w:r w:rsidRPr="00225D4D">
        <w:t>Innst</w:t>
      </w:r>
      <w:proofErr w:type="spellEnd"/>
      <w:r w:rsidRPr="00225D4D">
        <w:t>. 216 S (2024–2025). Datatilsynet vil bli involvert i dette arbeidet. Departementet arbeider med et høringsnotat og tar sikte på å gjennomføre høringen i løpet av høsten 2025. Regjeringen kommer tilbake til Stortinget på egnet måte.</w:t>
      </w:r>
    </w:p>
    <w:p w14:paraId="74D01258" w14:textId="77777777" w:rsidR="00D60186" w:rsidRPr="00225D4D" w:rsidRDefault="00D60186" w:rsidP="00225D4D">
      <w:pPr>
        <w:pStyle w:val="Overskrift2"/>
      </w:pPr>
      <w:r w:rsidRPr="00225D4D">
        <w:t>Stortingssesjon (2022–2023)</w:t>
      </w:r>
    </w:p>
    <w:p w14:paraId="6D5CAC4F" w14:textId="77777777" w:rsidR="00D60186" w:rsidRPr="00225D4D" w:rsidRDefault="00D60186" w:rsidP="00225D4D">
      <w:pPr>
        <w:pStyle w:val="avsnitt-tittel"/>
      </w:pPr>
      <w:r w:rsidRPr="00225D4D">
        <w:t>Forsterke og utvide arbeidet med Frivillighetsregisteret</w:t>
      </w:r>
    </w:p>
    <w:p w14:paraId="174B33BC" w14:textId="77777777" w:rsidR="00D60186" w:rsidRPr="00225D4D" w:rsidRDefault="00D60186" w:rsidP="00225D4D">
      <w:pPr>
        <w:pStyle w:val="avsnitt-undertittel"/>
      </w:pPr>
      <w:r w:rsidRPr="00225D4D">
        <w:t>Vedtak nr. 558, 28. mars 2023</w:t>
      </w:r>
    </w:p>
    <w:p w14:paraId="3B0C6F77" w14:textId="77777777" w:rsidR="00D60186" w:rsidRPr="00225D4D" w:rsidRDefault="00D60186" w:rsidP="00225D4D">
      <w:pPr>
        <w:pStyle w:val="blokksit"/>
        <w:rPr>
          <w:rStyle w:val="kursiv"/>
        </w:rPr>
      </w:pPr>
      <w:r w:rsidRPr="00225D4D">
        <w:rPr>
          <w:rStyle w:val="kursiv"/>
        </w:rPr>
        <w:t>«Stortinget ber regjeringen forsterke og utvide arbeidet med Frivillighetsregisteret, blant annet slik at informasjon fra registeret danner grunnlag for samtlige søknadsordninger administrert på statlig nivå. Arbeidet skal gjøres i samråd med frivillig sektor.»</w:t>
      </w:r>
    </w:p>
    <w:p w14:paraId="671CFC99"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249 S (2022–2023) og Dokument 8:49 S (2022–2023) </w:t>
      </w:r>
      <w:r w:rsidRPr="00225D4D">
        <w:rPr>
          <w:rStyle w:val="kursiv"/>
        </w:rPr>
        <w:t>Representantforslag om en bedre støtteordning for organisasjoner og frivilligheten.</w:t>
      </w:r>
    </w:p>
    <w:p w14:paraId="5E1367A6" w14:textId="77777777" w:rsidR="00D60186" w:rsidRPr="00225D4D" w:rsidRDefault="00D60186" w:rsidP="00225D4D">
      <w:r w:rsidRPr="00225D4D">
        <w:t xml:space="preserve">Kultur- og likestillingsdepartementet følger opp anbefalingene i rapporten </w:t>
      </w:r>
      <w:r w:rsidRPr="00225D4D">
        <w:rPr>
          <w:rStyle w:val="kursiv"/>
        </w:rPr>
        <w:t>Videreutvikling av Frivillighetsregisteret</w:t>
      </w:r>
      <w:r w:rsidRPr="00225D4D">
        <w:t xml:space="preserve"> i samarbeid med Brønnøysundregistrene, Lotteri- og stiftelsestilsynet og frivillig sektor. Anbefalingene i rapporten peker i samme retning som anmodningsvedtaket – opplysninger i Frivillighetsregisteret skal benyttes i statlige tilskuddsordninger beregnet på frivillig sektor. Hovedgrepet er å gjennomgå frivillighetsregisterloven med sikte på å legge til rette for økt deling av opplysninger som er relevante i tilskuddsforvaltningen. Kultur- og likestillingsdepartementet satte høsten 2023 ned en referansegruppe som skulle gi innspill til ny </w:t>
      </w:r>
      <w:proofErr w:type="spellStart"/>
      <w:r w:rsidRPr="00225D4D">
        <w:t>frivillighetsregisterlov</w:t>
      </w:r>
      <w:proofErr w:type="spellEnd"/>
      <w:r w:rsidRPr="00225D4D">
        <w:t>. Referansegruppen har avsluttet sitt arbeid. Kultur- og likestillingsdepartementet skal etter planen sende forslag til ny lov på høring i 2026.</w:t>
      </w:r>
    </w:p>
    <w:p w14:paraId="297C44FD" w14:textId="77777777" w:rsidR="00D60186" w:rsidRPr="00225D4D" w:rsidRDefault="00D60186" w:rsidP="00225D4D">
      <w:r w:rsidRPr="00225D4D">
        <w:t xml:space="preserve">Brønnøysundregistrene leder et prosjekt, med støtte fra Medfinansieringsordningen, som tar sikte på at flere, og mer oppdaterte, opplysninger legges til Frivillighetsregisteret. Prosjektet sikter også mot å </w:t>
      </w:r>
      <w:proofErr w:type="gramStart"/>
      <w:r w:rsidRPr="00225D4D">
        <w:t>integrere</w:t>
      </w:r>
      <w:proofErr w:type="gramEnd"/>
      <w:r w:rsidRPr="00225D4D">
        <w:t xml:space="preserve"> Frivillighetsregisteret tettere med relevante statlige forvaltningssystemer. Brønnøysundregistrenes prosjekt samkjøres tett med </w:t>
      </w:r>
      <w:proofErr w:type="spellStart"/>
      <w:r w:rsidRPr="00225D4D">
        <w:t>lovgjennomgangen</w:t>
      </w:r>
      <w:proofErr w:type="spellEnd"/>
      <w:r w:rsidRPr="00225D4D">
        <w:t>. Regjeringen kommer tilbake til Stortinget på egnet måte.</w:t>
      </w:r>
    </w:p>
    <w:p w14:paraId="1F6F7727" w14:textId="77777777" w:rsidR="00D60186" w:rsidRPr="00225D4D" w:rsidRDefault="00D60186" w:rsidP="00225D4D">
      <w:pPr>
        <w:pStyle w:val="avsnitt-tittel"/>
      </w:pPr>
      <w:r w:rsidRPr="00225D4D">
        <w:t>Enhetlig definisjon av frivillige organisasjoner</w:t>
      </w:r>
    </w:p>
    <w:p w14:paraId="123AD376" w14:textId="77777777" w:rsidR="00D60186" w:rsidRPr="00225D4D" w:rsidRDefault="00D60186" w:rsidP="00225D4D">
      <w:pPr>
        <w:pStyle w:val="avsnitt-undertittel"/>
      </w:pPr>
      <w:r w:rsidRPr="00225D4D">
        <w:t>Vedtak nr. 559, 28. mars 2023</w:t>
      </w:r>
    </w:p>
    <w:p w14:paraId="75CF037F" w14:textId="77777777" w:rsidR="00D60186" w:rsidRPr="00225D4D" w:rsidRDefault="00D60186" w:rsidP="00225D4D">
      <w:pPr>
        <w:pStyle w:val="blokksit"/>
        <w:rPr>
          <w:rStyle w:val="kursiv"/>
        </w:rPr>
      </w:pPr>
      <w:r w:rsidRPr="00225D4D">
        <w:rPr>
          <w:rStyle w:val="kursiv"/>
        </w:rPr>
        <w:t>«Stortinget ber regjeringen sikre at man i større grad bruker en enhetlig definisjon av «frivillig organisasjon» i den statlige forvaltningen, med utgangspunkt i registreringsrett i Frivillighetsregisteret.»</w:t>
      </w:r>
    </w:p>
    <w:p w14:paraId="21C610BB"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249 S (2022–2023) og Dokument 8:49 S (2022–2023) </w:t>
      </w:r>
      <w:r w:rsidRPr="00225D4D">
        <w:rPr>
          <w:rStyle w:val="kursiv"/>
        </w:rPr>
        <w:t>Representantforslag om en bedre støtteordning for organisasjoner og frivilligheten.</w:t>
      </w:r>
    </w:p>
    <w:p w14:paraId="467C977F" w14:textId="77777777" w:rsidR="00D60186" w:rsidRPr="00225D4D" w:rsidRDefault="00D60186" w:rsidP="00225D4D">
      <w:r w:rsidRPr="00225D4D">
        <w:t xml:space="preserve">Registreringsrett i Frivillighetsregisteret er et viktig tema i </w:t>
      </w:r>
      <w:proofErr w:type="spellStart"/>
      <w:r w:rsidRPr="00225D4D">
        <w:t>lovgjennomgangen</w:t>
      </w:r>
      <w:proofErr w:type="spellEnd"/>
      <w:r w:rsidRPr="00225D4D">
        <w:t xml:space="preserve"> av frivillighetsregisterloven. Kultur- og likestillingsdepartementet vurderer i den forbindelse om registreringsrett i Frivillighetsregisteret kan gjøres til felles inngangskriterium i tilskuddsordninger beregnet for frivillig sektor. Det vil på sikt medføre at organisasjoner registrert i Frivillighetsregisteret er å regne som en frivillig organisasjon innenfor rammene av statlig tilskuddsforvaltning.</w:t>
      </w:r>
    </w:p>
    <w:p w14:paraId="34CCBA81" w14:textId="77777777" w:rsidR="00D60186" w:rsidRPr="00225D4D" w:rsidRDefault="00D60186" w:rsidP="00225D4D">
      <w:r w:rsidRPr="00225D4D">
        <w:t>Regjeringen kommer tilbake til Stortinget på egnet måte.</w:t>
      </w:r>
    </w:p>
    <w:p w14:paraId="2D1BB8C3" w14:textId="77777777" w:rsidR="00D60186" w:rsidRPr="00225D4D" w:rsidRDefault="00D60186" w:rsidP="00225D4D">
      <w:pPr>
        <w:pStyle w:val="avsnitt-tittel"/>
      </w:pPr>
      <w:r w:rsidRPr="00225D4D">
        <w:t>Vurdering av økonomiske levekår for personer med nedsatt funksjonsevne</w:t>
      </w:r>
    </w:p>
    <w:p w14:paraId="1B8BD8C6" w14:textId="77777777" w:rsidR="00D60186" w:rsidRPr="00225D4D" w:rsidRDefault="00D60186" w:rsidP="00225D4D">
      <w:pPr>
        <w:pStyle w:val="avsnitt-undertittel"/>
      </w:pPr>
      <w:r w:rsidRPr="00225D4D">
        <w:t>Vedtak nr. 607, 18. april 2023</w:t>
      </w:r>
    </w:p>
    <w:p w14:paraId="5F07E5CA" w14:textId="77777777" w:rsidR="00D60186" w:rsidRPr="00225D4D" w:rsidRDefault="00D60186" w:rsidP="00225D4D">
      <w:pPr>
        <w:pStyle w:val="blokksit"/>
        <w:rPr>
          <w:rStyle w:val="kursiv"/>
        </w:rPr>
      </w:pPr>
      <w:r w:rsidRPr="00225D4D">
        <w:rPr>
          <w:rStyle w:val="kursiv"/>
        </w:rPr>
        <w:t xml:space="preserve">«Stortinget ber regjeringen i oppfølgingen av Likestillings- og </w:t>
      </w:r>
      <w:proofErr w:type="spellStart"/>
      <w:r w:rsidRPr="00225D4D">
        <w:rPr>
          <w:rStyle w:val="kursiv"/>
        </w:rPr>
        <w:t>mangfoldsutvalget</w:t>
      </w:r>
      <w:proofErr w:type="spellEnd"/>
      <w:r w:rsidRPr="00225D4D">
        <w:rPr>
          <w:rStyle w:val="kursiv"/>
        </w:rPr>
        <w:t xml:space="preserve"> gjøre en vurdering av de økonomiske levekårene og tiltak for personer med nedsatt funksjonsevne og deres nærmeste familie, og komme tilbake til Stortinget på egnet måte.»</w:t>
      </w:r>
    </w:p>
    <w:p w14:paraId="4D07699F"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224 S (2022–2023) og Dokument 8:77 S (2022–2023) </w:t>
      </w:r>
      <w:r w:rsidRPr="00225D4D">
        <w:rPr>
          <w:rStyle w:val="kursiv"/>
        </w:rPr>
        <w:t>Representantforslag om hva det koster å være funksjonsnedsatt – et offentlig utvalg som skal utrede de økonomiske levekårene for personer med nedsatt funksjonsevne og deres nærmeste familie.</w:t>
      </w:r>
    </w:p>
    <w:p w14:paraId="306BE08A" w14:textId="77777777" w:rsidR="00D60186" w:rsidRPr="00225D4D" w:rsidRDefault="00D60186" w:rsidP="00225D4D">
      <w:r w:rsidRPr="00225D4D">
        <w:t xml:space="preserve">Likestillings- og </w:t>
      </w:r>
      <w:proofErr w:type="spellStart"/>
      <w:r w:rsidRPr="00225D4D">
        <w:t>mangfoldsutvalgets</w:t>
      </w:r>
      <w:proofErr w:type="spellEnd"/>
      <w:r w:rsidRPr="00225D4D">
        <w:t xml:space="preserve"> utredning NOU 2023: 13 </w:t>
      </w:r>
      <w:r w:rsidRPr="00225D4D">
        <w:rPr>
          <w:rStyle w:val="kursiv"/>
        </w:rPr>
        <w:t>På høy tid – Realisering av funksjonshindredes rettigheter</w:t>
      </w:r>
      <w:r w:rsidRPr="00225D4D">
        <w:t xml:space="preserve"> ble overlevert kultur- og likestillingsministeren 2. mai 2023. Utredningen har vært på høring frem til 20. januar 2024, og departementet arbeider nå med å følge opp høringsinnspillene. Utredningen inneholder ingen særlig vurdering av økonomiske levekår.</w:t>
      </w:r>
    </w:p>
    <w:p w14:paraId="3591D790" w14:textId="77777777" w:rsidR="00D60186" w:rsidRPr="00225D4D" w:rsidRDefault="00D60186" w:rsidP="00225D4D">
      <w:r w:rsidRPr="00225D4D">
        <w:t xml:space="preserve">Kultur- og likestillingsdepartementet har gitt </w:t>
      </w:r>
      <w:proofErr w:type="spellStart"/>
      <w:r w:rsidRPr="00225D4D">
        <w:t>Bufdir</w:t>
      </w:r>
      <w:proofErr w:type="spellEnd"/>
      <w:r w:rsidRPr="00225D4D">
        <w:t xml:space="preserve"> i oppdrag å innhente en undersøkelse av de økonomiske levekårene for personer med funksjonsnedsettelse og deres familier. SSB har fått oppdraget, og er i gang med en registerundersøkelse som skal leveres i utgangen av 2025.</w:t>
      </w:r>
    </w:p>
    <w:p w14:paraId="37078974" w14:textId="77777777" w:rsidR="00D60186" w:rsidRPr="00225D4D" w:rsidRDefault="00D60186" w:rsidP="00225D4D">
      <w:r w:rsidRPr="00225D4D">
        <w:t>Regjeringen kommer tilbake til Stortinget på egnet måte.</w:t>
      </w:r>
    </w:p>
    <w:p w14:paraId="3730EE53" w14:textId="77777777" w:rsidR="00D60186" w:rsidRPr="00225D4D" w:rsidRDefault="00D60186" w:rsidP="00225D4D">
      <w:pPr>
        <w:pStyle w:val="avsnitt-tittel"/>
      </w:pPr>
      <w:r w:rsidRPr="00225D4D">
        <w:t>Universell utforming av lydbøker</w:t>
      </w:r>
    </w:p>
    <w:p w14:paraId="6B33AF0E" w14:textId="77777777" w:rsidR="00D60186" w:rsidRPr="00225D4D" w:rsidRDefault="00D60186" w:rsidP="00225D4D">
      <w:pPr>
        <w:pStyle w:val="avsnitt-undertittel"/>
      </w:pPr>
      <w:r w:rsidRPr="00225D4D">
        <w:t>Vedtak nr. 796, 8. juni 2023</w:t>
      </w:r>
    </w:p>
    <w:p w14:paraId="38CFA22C" w14:textId="77777777" w:rsidR="00D60186" w:rsidRPr="00225D4D" w:rsidRDefault="00D60186" w:rsidP="00225D4D">
      <w:pPr>
        <w:pStyle w:val="blokksit"/>
        <w:rPr>
          <w:rStyle w:val="kursiv"/>
        </w:rPr>
      </w:pPr>
      <w:r w:rsidRPr="00225D4D">
        <w:rPr>
          <w:rStyle w:val="kursiv"/>
        </w:rPr>
        <w:t>«Stortinget ber regjeringen utrede universell utforming av lydbøker.»</w:t>
      </w:r>
    </w:p>
    <w:p w14:paraId="108D5604"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461 L (2022–2023) og </w:t>
      </w:r>
      <w:proofErr w:type="spellStart"/>
      <w:r w:rsidRPr="00225D4D">
        <w:t>Prop</w:t>
      </w:r>
      <w:proofErr w:type="spellEnd"/>
      <w:r w:rsidRPr="00225D4D">
        <w:t xml:space="preserve">. 82 L (2022–2023) </w:t>
      </w:r>
      <w:r w:rsidRPr="00225D4D">
        <w:rPr>
          <w:rStyle w:val="kursiv"/>
        </w:rPr>
        <w:t>Lov om omsetning av bøker (bokloven).</w:t>
      </w:r>
    </w:p>
    <w:p w14:paraId="19299DBD" w14:textId="77777777" w:rsidR="00D60186" w:rsidRPr="00225D4D" w:rsidRDefault="00D60186" w:rsidP="00225D4D">
      <w:r w:rsidRPr="00225D4D">
        <w:t>Regjeringen vil utrede problemstillingen i forbindelse med gjennomføringen av tilgjengelighetsdirektivet i norsk rett. Regjeringen kommer tilbake til Stortinget på egnet måte.</w:t>
      </w:r>
    </w:p>
    <w:p w14:paraId="6C951DAB" w14:textId="77777777" w:rsidR="00D60186" w:rsidRPr="00225D4D" w:rsidRDefault="00D60186" w:rsidP="00225D4D">
      <w:pPr>
        <w:pStyle w:val="avsnitt-tittel"/>
      </w:pPr>
      <w:r w:rsidRPr="00225D4D">
        <w:t>Regulering av strømmemarkedet i bokloven</w:t>
      </w:r>
    </w:p>
    <w:p w14:paraId="2FA02A4C" w14:textId="77777777" w:rsidR="00D60186" w:rsidRPr="00225D4D" w:rsidRDefault="00D60186" w:rsidP="00225D4D">
      <w:pPr>
        <w:pStyle w:val="avsnitt-undertittel"/>
      </w:pPr>
      <w:r w:rsidRPr="00225D4D">
        <w:t>Vedtak nr. 797, 8. juni 2023</w:t>
      </w:r>
    </w:p>
    <w:p w14:paraId="2E838525" w14:textId="77777777" w:rsidR="00D60186" w:rsidRPr="00225D4D" w:rsidRDefault="00D60186" w:rsidP="00225D4D">
      <w:pPr>
        <w:pStyle w:val="blokksit"/>
        <w:rPr>
          <w:rStyle w:val="kursiv"/>
        </w:rPr>
      </w:pPr>
      <w:r w:rsidRPr="00225D4D">
        <w:rPr>
          <w:rStyle w:val="kursiv"/>
        </w:rPr>
        <w:t>«Stortinget ber regjeringen utrede hvordan strømmemarkedet kan reguleres i bokloven, og komme tilbake til Stortinget på egnet måte. Utredningen bør blant annet inkludere en endring av bokloven som sikrer ikke-diskriminering av innholdsleverandører av strømmetjenester for litteratur, samt en grundig vurdering av å opprette en særskilt uavhengig nemnd som skal vurdere mulige brudd på bokloven, enten for rådgivende uttalelser eller også med vedtakskompetanse.»</w:t>
      </w:r>
    </w:p>
    <w:p w14:paraId="0697A6A0"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461 L (2022–2023) og </w:t>
      </w:r>
      <w:proofErr w:type="spellStart"/>
      <w:r w:rsidRPr="00225D4D">
        <w:t>Prop</w:t>
      </w:r>
      <w:proofErr w:type="spellEnd"/>
      <w:r w:rsidRPr="00225D4D">
        <w:t xml:space="preserve">. 82 L (2022–2023) </w:t>
      </w:r>
      <w:r w:rsidRPr="00225D4D">
        <w:rPr>
          <w:rStyle w:val="kursiv"/>
        </w:rPr>
        <w:t>Lov om omsetning av bøker (bokloven).</w:t>
      </w:r>
    </w:p>
    <w:p w14:paraId="02DFF4DC" w14:textId="77777777" w:rsidR="00D60186" w:rsidRPr="00225D4D" w:rsidRDefault="00D60186" w:rsidP="00225D4D">
      <w:r w:rsidRPr="00225D4D">
        <w:t>Lydbokmarkedet er i endring, og internasjonale aktører viser interesse for det norske lydbokmarkedet i større grad enn før. I lys av dette, vurderer departementet om lovens virkeområde er hensiktsmessig avgrenset. En slik vurdering er nødvendig før departementet kan ta stilling til om strømmemarkedet kan og bør reguleres i bokloven.</w:t>
      </w:r>
    </w:p>
    <w:p w14:paraId="64C16041" w14:textId="77777777" w:rsidR="00D60186" w:rsidRPr="00225D4D" w:rsidRDefault="00D60186" w:rsidP="00225D4D">
      <w:r w:rsidRPr="00225D4D">
        <w:t>Regjeringen vil komme tilbake til Stortinget på egnet måte.</w:t>
      </w:r>
    </w:p>
    <w:p w14:paraId="699690A1" w14:textId="77777777" w:rsidR="00D60186" w:rsidRPr="00225D4D" w:rsidRDefault="00D60186" w:rsidP="00225D4D">
      <w:pPr>
        <w:pStyle w:val="avsnitt-tittel"/>
      </w:pPr>
      <w:r w:rsidRPr="00225D4D">
        <w:t>Vurdere endringer i fastprisreglene for lærebøker for høyere utdanning og fagbøker for profesjonsmarkedet</w:t>
      </w:r>
    </w:p>
    <w:p w14:paraId="50375A5C" w14:textId="77777777" w:rsidR="00D60186" w:rsidRPr="00225D4D" w:rsidRDefault="00D60186" w:rsidP="00225D4D">
      <w:pPr>
        <w:pStyle w:val="avsnitt-undertittel"/>
      </w:pPr>
      <w:r w:rsidRPr="00225D4D">
        <w:t>Vedtak nr. 798, 8. juni 2023</w:t>
      </w:r>
    </w:p>
    <w:p w14:paraId="76926E82" w14:textId="77777777" w:rsidR="00D60186" w:rsidRPr="00225D4D" w:rsidRDefault="00D60186" w:rsidP="00225D4D">
      <w:pPr>
        <w:pStyle w:val="blokksit"/>
        <w:rPr>
          <w:rStyle w:val="kursiv"/>
        </w:rPr>
      </w:pPr>
      <w:r w:rsidRPr="00225D4D">
        <w:rPr>
          <w:rStyle w:val="kursiv"/>
        </w:rPr>
        <w:t xml:space="preserve">«Stortinget ber regjeringen i løpet av 2024 vurdere om man lettere kan inkludere lærebøker for høyere utdanning og fagbøker for profesjonsmarkedet i digitale læringstjenester i fastprisperioden, og komme tilbake til Stortinget på egnet måte. Det bør vurderes konsekvenser av å endre bokloven slik at omsetning ut over eksemplarsalg også tillates i fastprisperioden for lærebøker for høyere utdanning, og at fagbøker for profesjonsmarkedet enten får valgfri fastpris eller en fastprisordning som kun gjelder papirformat i seks måneder, eller at det legges opp til at fastprisperioden for denne </w:t>
      </w:r>
      <w:proofErr w:type="spellStart"/>
      <w:r w:rsidRPr="00225D4D">
        <w:rPr>
          <w:rStyle w:val="kursiv"/>
        </w:rPr>
        <w:t>bokgruppen</w:t>
      </w:r>
      <w:proofErr w:type="spellEnd"/>
      <w:r w:rsidRPr="00225D4D">
        <w:rPr>
          <w:rStyle w:val="kursiv"/>
        </w:rPr>
        <w:t xml:space="preserve"> kan reguleres i forskrift.»</w:t>
      </w:r>
    </w:p>
    <w:p w14:paraId="6AA6716D"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461 L (2022–2023) og </w:t>
      </w:r>
      <w:proofErr w:type="spellStart"/>
      <w:r w:rsidRPr="00225D4D">
        <w:t>Prop</w:t>
      </w:r>
      <w:proofErr w:type="spellEnd"/>
      <w:r w:rsidRPr="00225D4D">
        <w:t xml:space="preserve">. 82 L (2022–2023) </w:t>
      </w:r>
      <w:r w:rsidRPr="00225D4D">
        <w:rPr>
          <w:rStyle w:val="kursiv"/>
        </w:rPr>
        <w:t>Lov om omsetning av bøker (bokloven).</w:t>
      </w:r>
    </w:p>
    <w:p w14:paraId="0E5A5AB6" w14:textId="77777777" w:rsidR="00D60186" w:rsidRPr="00225D4D" w:rsidRDefault="00D60186" w:rsidP="00225D4D">
      <w:r w:rsidRPr="00225D4D">
        <w:t xml:space="preserve">Kultur- og likestillingsdepartement arbeider med oppfølgingen av anmodningsvedtaket og har hatt dialog med flere av bransjeaktørene om temaet og problemstillingene. Tematikken er kompleks, og et godt tilbud av lærebøker i høyere utdanning og fagbøker for profesjonsmarkedet kan ikke bare reduseres til et spørsmål om regulering av bokbransjen. For å sikre et best mulig vurderingsgrunnlag og regulering av </w:t>
      </w:r>
      <w:proofErr w:type="spellStart"/>
      <w:r w:rsidRPr="00225D4D">
        <w:t>bokgruppen</w:t>
      </w:r>
      <w:proofErr w:type="spellEnd"/>
      <w:r w:rsidRPr="00225D4D">
        <w:t>, vil departementet få problemstillingene utredet nærmere. Departementet har igangsatt arbeidet med en ekstern utredning.</w:t>
      </w:r>
    </w:p>
    <w:p w14:paraId="3B56B21D" w14:textId="77777777" w:rsidR="00D60186" w:rsidRPr="00225D4D" w:rsidRDefault="00D60186" w:rsidP="00225D4D">
      <w:r w:rsidRPr="00225D4D">
        <w:t>Regjeringen kommer tilbake til Stortinget på egnet måte.</w:t>
      </w:r>
    </w:p>
    <w:p w14:paraId="07FBCCA5" w14:textId="77777777" w:rsidR="00D60186" w:rsidRPr="00225D4D" w:rsidRDefault="00D60186" w:rsidP="00225D4D">
      <w:pPr>
        <w:pStyle w:val="Overskrift2"/>
      </w:pPr>
      <w:r w:rsidRPr="00225D4D">
        <w:t>Stortingssesjon (2020–2021)</w:t>
      </w:r>
    </w:p>
    <w:p w14:paraId="61E67BB4" w14:textId="77777777" w:rsidR="00D60186" w:rsidRPr="00225D4D" w:rsidRDefault="00D60186" w:rsidP="00225D4D">
      <w:pPr>
        <w:pStyle w:val="avsnitt-tittel"/>
      </w:pPr>
      <w:r w:rsidRPr="00225D4D">
        <w:t>Stortingsmelding om seksuell trakassering</w:t>
      </w:r>
    </w:p>
    <w:p w14:paraId="62249735" w14:textId="77777777" w:rsidR="00D60186" w:rsidRPr="00225D4D" w:rsidRDefault="00D60186" w:rsidP="00225D4D">
      <w:pPr>
        <w:pStyle w:val="avsnitt-undertittel"/>
      </w:pPr>
      <w:r w:rsidRPr="00225D4D">
        <w:t>Vedtak nr. 755, 11. mars 2021</w:t>
      </w:r>
    </w:p>
    <w:p w14:paraId="30C9BEE5" w14:textId="77777777" w:rsidR="00D60186" w:rsidRPr="00225D4D" w:rsidRDefault="00D60186" w:rsidP="00225D4D">
      <w:pPr>
        <w:pStyle w:val="blokksit"/>
        <w:rPr>
          <w:rStyle w:val="kursiv"/>
        </w:rPr>
      </w:pPr>
      <w:r w:rsidRPr="00225D4D">
        <w:rPr>
          <w:rStyle w:val="kursiv"/>
        </w:rPr>
        <w:t>«Stortinget ber regjeringen utarbeide en stortingsmelding med en bred gjennomgang av ulike arbeidsfelt og sektorer i samfunnet, der det foreslås tiltak som kan bidra til å forebygge seksuell trakassering i det norske samfunnet. Arbeidet må omfatte alle typer trakassering, samt trusler og vold.»</w:t>
      </w:r>
    </w:p>
    <w:p w14:paraId="46AD2D95"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270 S (2020–2021) og Dokument 8:135 S (2019–2020) </w:t>
      </w:r>
      <w:r w:rsidRPr="00225D4D">
        <w:rPr>
          <w:rStyle w:val="kursiv"/>
        </w:rPr>
        <w:t>Representantforslag om en norsk offentlig utredning om seksuell trakassering.</w:t>
      </w:r>
    </w:p>
    <w:p w14:paraId="7CBA9786" w14:textId="77777777" w:rsidR="00D60186" w:rsidRPr="00225D4D" w:rsidRDefault="00D60186" w:rsidP="00225D4D">
      <w:r w:rsidRPr="00225D4D">
        <w:t xml:space="preserve">Anmodningsvedtaket anses som fulgt opp ved framleggelsen av Meld. St. 7 (2024–2025) </w:t>
      </w:r>
      <w:r w:rsidRPr="00225D4D">
        <w:rPr>
          <w:rStyle w:val="kursiv"/>
        </w:rPr>
        <w:t>Om seksuell trakassering</w:t>
      </w:r>
      <w:r w:rsidRPr="00225D4D">
        <w:t xml:space="preserve"> 6. desember 2024. Rapportering på vedtaket avsluttes.</w:t>
      </w:r>
    </w:p>
    <w:p w14:paraId="1D53ED30" w14:textId="77777777" w:rsidR="00D60186" w:rsidRPr="00225D4D" w:rsidRDefault="00D60186" w:rsidP="00225D4D">
      <w:pPr>
        <w:pStyle w:val="avsnitt-tittel"/>
      </w:pPr>
      <w:r w:rsidRPr="00225D4D">
        <w:t>Innlemme symbolspråk i språkloven</w:t>
      </w:r>
    </w:p>
    <w:p w14:paraId="37BF0781" w14:textId="77777777" w:rsidR="00D60186" w:rsidRPr="00225D4D" w:rsidRDefault="00D60186" w:rsidP="00225D4D">
      <w:pPr>
        <w:pStyle w:val="avsnitt-undertittel"/>
      </w:pPr>
      <w:r w:rsidRPr="00225D4D">
        <w:t>Vedtak nr. 788, 25. mars 2021</w:t>
      </w:r>
    </w:p>
    <w:p w14:paraId="368FBB20" w14:textId="77777777" w:rsidR="00D60186" w:rsidRPr="00225D4D" w:rsidRDefault="00D60186" w:rsidP="00225D4D">
      <w:pPr>
        <w:pStyle w:val="blokksit"/>
        <w:rPr>
          <w:rStyle w:val="kursiv"/>
        </w:rPr>
      </w:pPr>
      <w:r w:rsidRPr="00225D4D">
        <w:rPr>
          <w:rStyle w:val="kursiv"/>
        </w:rPr>
        <w:t>«Stortinget ber regjeringen komme tilbake til Stortinget med en sak om symbolspråk, der det foreslås hvordan retten til symbolspråk kan innlemmes i språkloven.»</w:t>
      </w:r>
    </w:p>
    <w:p w14:paraId="430A9D9B" w14:textId="77777777" w:rsidR="00D60186" w:rsidRPr="00225D4D" w:rsidRDefault="00D60186" w:rsidP="00225D4D">
      <w:r w:rsidRPr="00225D4D">
        <w:t xml:space="preserve">Dokumentene som ligger til grunn for anmodningsvedtaket, er </w:t>
      </w:r>
      <w:proofErr w:type="spellStart"/>
      <w:r w:rsidRPr="00225D4D">
        <w:t>Innst</w:t>
      </w:r>
      <w:proofErr w:type="spellEnd"/>
      <w:r w:rsidRPr="00225D4D">
        <w:t xml:space="preserve">. 253 L (2020–2021) og </w:t>
      </w:r>
      <w:proofErr w:type="spellStart"/>
      <w:r w:rsidRPr="00225D4D">
        <w:t>Prop</w:t>
      </w:r>
      <w:proofErr w:type="spellEnd"/>
      <w:r w:rsidRPr="00225D4D">
        <w:t xml:space="preserve">. 108 L (2019–2020) </w:t>
      </w:r>
      <w:r w:rsidRPr="00225D4D">
        <w:rPr>
          <w:rStyle w:val="kursiv"/>
        </w:rPr>
        <w:t>Lov om språk.</w:t>
      </w:r>
    </w:p>
    <w:p w14:paraId="094D1B21" w14:textId="77777777" w:rsidR="00D60186" w:rsidRPr="00225D4D" w:rsidRDefault="00D60186" w:rsidP="00225D4D">
      <w:r w:rsidRPr="00225D4D">
        <w:t xml:space="preserve">Språkloven </w:t>
      </w:r>
      <w:proofErr w:type="gramStart"/>
      <w:r w:rsidRPr="00225D4D">
        <w:t>trådte</w:t>
      </w:r>
      <w:proofErr w:type="gramEnd"/>
      <w:r w:rsidRPr="00225D4D">
        <w:t xml:space="preserve"> i kraft 1. januar 2022. Formålet med loven er å sikre norsk som samfunnsbærende språk og status og vern for norsk, samiske språk, kvensk, romani, romanes og norsk tegnspråk.</w:t>
      </w:r>
    </w:p>
    <w:p w14:paraId="6E166FF7" w14:textId="77777777" w:rsidR="00D60186" w:rsidRPr="00225D4D" w:rsidRDefault="00D60186" w:rsidP="00225D4D">
      <w:r w:rsidRPr="00225D4D">
        <w:t xml:space="preserve">Som oppfølging av vedtaket har departementet gjennomført dialogmøter med enkelte interesseorganisasjoner. Interesseorganisasjoner har avklart at de ønsker seg en anerkjennelse av ASK (alternativ og supplerende kommunikasjon) som offisielt språk på linje med norsk, samisk, kvensk, romani, romanes og norsk tegnspråk. I utredningen NOU 2023: 13 </w:t>
      </w:r>
      <w:r w:rsidRPr="00225D4D">
        <w:rPr>
          <w:rStyle w:val="kursiv"/>
        </w:rPr>
        <w:t>På høy tid – Realisering av funksjonshindredes rettigheter</w:t>
      </w:r>
      <w:r w:rsidRPr="00225D4D">
        <w:t xml:space="preserve">, som er overlevert Kultur- og likestillingsdepartementet, skriver utvalget at ASK ikke er innlemmet i språkloven da det forstås som et verktøy for å uttrykke språk og ikke regnes som et ordinært lingvistisk språk. I utredningen foreslås det at ASK </w:t>
      </w:r>
      <w:r w:rsidRPr="00225D4D">
        <w:rPr>
          <w:rStyle w:val="kursiv"/>
        </w:rPr>
        <w:t>må inkluderes i språkloven på lik linje med tegnspråk</w:t>
      </w:r>
      <w:r w:rsidRPr="00225D4D">
        <w:t>.</w:t>
      </w:r>
    </w:p>
    <w:p w14:paraId="6DD252A9" w14:textId="77777777" w:rsidR="00D60186" w:rsidRPr="00225D4D" w:rsidRDefault="00D60186" w:rsidP="00225D4D">
      <w:r w:rsidRPr="00225D4D">
        <w:t xml:space="preserve">Kultur- og likestillingsdepartementet har forstått anmodningsvedtakets formulering om innlemming av symbolspråk i språkloven på bakgrunn av NOU 2023: 13 </w:t>
      </w:r>
      <w:r w:rsidRPr="00225D4D">
        <w:rPr>
          <w:rStyle w:val="kursiv"/>
        </w:rPr>
        <w:t>På høy tid – Realisering av funksjonshindredes rettigheter</w:t>
      </w:r>
      <w:r w:rsidRPr="00225D4D">
        <w:t xml:space="preserve"> – med høringssvar – og kommunikasjon med interesseorganisasjoner. Departementet har derfor utredet spørsmålet ved å ta stilling til om ASK bør få offisiell status som språk i språkloven. Rettigheter til ASK finnes i dag allerede i barnehageloven, opplæringsloven og folketrygdloven.</w:t>
      </w:r>
    </w:p>
    <w:p w14:paraId="38BA0805" w14:textId="77777777" w:rsidR="00D60186" w:rsidRPr="00225D4D" w:rsidRDefault="00D60186" w:rsidP="00225D4D">
      <w:r w:rsidRPr="00225D4D">
        <w:t>Alternativ og supplerende kommunikasjon defineres ikke av norske fagmyndigheter som et selvstendig språk. ASK er et individuelt tilpasset og faglig utviklet verktøy for å kommunisere språklig når man ikke er i stand til å utvikle et fullverdig tegnspråk eller talespråk, eller dersom brukeren har mistet for eksempel taleevnen. Bruk av ASK kan innebære at samtalepartneren fortolker kroppslige uttrykk, eller at brukeren av ASK selv peker, bruker tegn og/eller enkeltord, eller også tekniske løsninger som talesyntese eller øyestyring.</w:t>
      </w:r>
    </w:p>
    <w:p w14:paraId="53D26D93" w14:textId="77777777" w:rsidR="00D60186" w:rsidRPr="00225D4D" w:rsidRDefault="00D60186" w:rsidP="00225D4D">
      <w:r w:rsidRPr="00225D4D">
        <w:t xml:space="preserve">Tradisjonell lingvistikk definerer heller ikke ASK som et </w:t>
      </w:r>
      <w:r w:rsidRPr="00225D4D">
        <w:rPr>
          <w:rStyle w:val="kursiv"/>
        </w:rPr>
        <w:t>språk.</w:t>
      </w:r>
      <w:r w:rsidRPr="00225D4D">
        <w:t xml:space="preserve"> I artikkel 2 i FN-konvensjonen for mennesker med nedsatte funksjonsevner er «alternative og supplerende kommunikasjonsformer» eksplisitt nevnt i definisjonen av </w:t>
      </w:r>
      <w:r w:rsidRPr="00225D4D">
        <w:rPr>
          <w:rStyle w:val="kursiv"/>
        </w:rPr>
        <w:t>kommunikasjon</w:t>
      </w:r>
      <w:r w:rsidRPr="00225D4D">
        <w:t xml:space="preserve">, men ikke i definisjonen av </w:t>
      </w:r>
      <w:r w:rsidRPr="00225D4D">
        <w:rPr>
          <w:rStyle w:val="kursiv"/>
        </w:rPr>
        <w:t>språk</w:t>
      </w:r>
      <w:r w:rsidRPr="00225D4D">
        <w:t xml:space="preserve">. FN-konvensjonens artikkel 2 skiller mellom </w:t>
      </w:r>
      <w:r w:rsidRPr="00225D4D">
        <w:rPr>
          <w:rStyle w:val="kursiv"/>
        </w:rPr>
        <w:t>kommunikasjon</w:t>
      </w:r>
      <w:r w:rsidRPr="00225D4D">
        <w:t xml:space="preserve"> og </w:t>
      </w:r>
      <w:r w:rsidRPr="00225D4D">
        <w:rPr>
          <w:rStyle w:val="kursiv"/>
        </w:rPr>
        <w:t>språk</w:t>
      </w:r>
      <w:r w:rsidRPr="00225D4D">
        <w:t xml:space="preserve"> ved å lage to ulike definisjoner av dem. Dette betyr at selv om </w:t>
      </w:r>
      <w:r w:rsidRPr="00225D4D">
        <w:rPr>
          <w:rStyle w:val="kursiv"/>
        </w:rPr>
        <w:t>kommunikasjon</w:t>
      </w:r>
      <w:r w:rsidRPr="00225D4D">
        <w:t xml:space="preserve"> kan omfatte både konvensjonelle språk og andre former for kommunikasjon, kan ikke all kommunikasjon forstås som </w:t>
      </w:r>
      <w:r w:rsidRPr="00225D4D">
        <w:rPr>
          <w:rStyle w:val="kursiv"/>
        </w:rPr>
        <w:t>språk.</w:t>
      </w:r>
    </w:p>
    <w:p w14:paraId="4AC27E5D" w14:textId="77777777" w:rsidR="00D60186" w:rsidRPr="00225D4D" w:rsidRDefault="00D60186" w:rsidP="00225D4D">
      <w:r w:rsidRPr="00225D4D">
        <w:t xml:space="preserve">Alt i alt mener departementet at det i språklovens sammenheng er relevant å skille mellom lingvistiske språk (tegnspråk og talespråk) og alternativ og supplerende kommunikasjon. Det gjelder dessuten ulike regler for de språkene som </w:t>
      </w:r>
      <w:r w:rsidRPr="00225D4D">
        <w:rPr>
          <w:rStyle w:val="kursiv"/>
        </w:rPr>
        <w:t xml:space="preserve">er </w:t>
      </w:r>
      <w:r w:rsidRPr="00225D4D">
        <w:t xml:space="preserve">omfattet av språkloven i ulikt sektorregelverk, uten at det er usaklig forskjellsbehandling av språkene. Formålet med språkloven er å styrke norsk språk som samfunnsbærende språk og å gi vern og status til andre språk i Norge som staten har ansvar for. Felles for språkene i språkloven er at de er nedarvede, grammatiske språk med opphav og tradisjon i Norge. Det er utgangspunktet for at de skal vernes og fremmes, jf. § 1. Departementet mener at «alternativ og supplerende kommunikasjon» er å anse som </w:t>
      </w:r>
      <w:proofErr w:type="spellStart"/>
      <w:r w:rsidRPr="00225D4D">
        <w:t>kommunikativt</w:t>
      </w:r>
      <w:proofErr w:type="spellEnd"/>
      <w:r w:rsidRPr="00225D4D">
        <w:t xml:space="preserve"> verktøy, og at det ikke kan ses på som selvstendig uttrykk for kultur på linje med for eksempel norsk </w:t>
      </w:r>
      <w:r w:rsidRPr="00225D4D">
        <w:rPr>
          <w:rStyle w:val="kursiv"/>
        </w:rPr>
        <w:t>med krav på vern i språkloven</w:t>
      </w:r>
      <w:r w:rsidRPr="00225D4D">
        <w:t>. Tvert imot er ASK et verktøy for å mediere et navngitt språk, ofte norsk. Personer med nedsatte funksjonsevner skal kunne uttrykke sine behov, meninger, kultur og identitet gjennom alternativ og supplerende kommunikasjon. Rettigheter til dette er ikke avhengig av at ASK får status som et eget språk.</w:t>
      </w:r>
    </w:p>
    <w:p w14:paraId="22768716" w14:textId="77777777" w:rsidR="00D60186" w:rsidRPr="00225D4D" w:rsidRDefault="00D60186" w:rsidP="00225D4D">
      <w:r w:rsidRPr="00225D4D">
        <w:t xml:space="preserve">Kultur- og likestillingsdepartementet foreslår på denne bakgrunnen at Stortinget opphever </w:t>
      </w:r>
      <w:proofErr w:type="spellStart"/>
      <w:r w:rsidRPr="00225D4D">
        <w:t>anmodningvedtaket</w:t>
      </w:r>
      <w:proofErr w:type="spellEnd"/>
      <w:r w:rsidRPr="00225D4D">
        <w:t>, jf. forslag til vedtak VI. Rapporteringen på anmodningsvedtaket avsluttes.</w:t>
      </w:r>
    </w:p>
    <w:p w14:paraId="38290D8A" w14:textId="77777777" w:rsidR="00D60186" w:rsidRPr="00225D4D" w:rsidRDefault="00D60186" w:rsidP="00225D4D">
      <w:pPr>
        <w:pStyle w:val="Overskrift2"/>
      </w:pPr>
      <w:r w:rsidRPr="00225D4D">
        <w:t>Stortingssesjon (2018–2019)</w:t>
      </w:r>
    </w:p>
    <w:p w14:paraId="19F949F7" w14:textId="77777777" w:rsidR="00D60186" w:rsidRPr="00225D4D" w:rsidRDefault="00D60186" w:rsidP="00225D4D">
      <w:pPr>
        <w:pStyle w:val="avsnitt-tittel"/>
      </w:pPr>
      <w:r w:rsidRPr="00225D4D">
        <w:t>Endre forskrift om kringkasting</w:t>
      </w:r>
    </w:p>
    <w:p w14:paraId="0B97529D" w14:textId="77777777" w:rsidR="00D60186" w:rsidRPr="00225D4D" w:rsidRDefault="00D60186" w:rsidP="00225D4D">
      <w:pPr>
        <w:pStyle w:val="avsnitt-undertittel"/>
      </w:pPr>
      <w:r w:rsidRPr="00225D4D">
        <w:t>Vedtak nr. 706, 21. juni 2019</w:t>
      </w:r>
    </w:p>
    <w:p w14:paraId="47490842" w14:textId="77777777" w:rsidR="00D60186" w:rsidRPr="00225D4D" w:rsidRDefault="00D60186" w:rsidP="00225D4D">
      <w:pPr>
        <w:pStyle w:val="blokksit"/>
        <w:rPr>
          <w:rStyle w:val="kursiv"/>
        </w:rPr>
      </w:pPr>
      <w:r w:rsidRPr="00225D4D">
        <w:rPr>
          <w:rStyle w:val="kursiv"/>
        </w:rPr>
        <w:t>«Stortinget ber regjeringen endre forskrift om kringkasting slik at fotball-VM og fotball-EM for kvinner anses som begivenheter av vesentlig samfunnsmessig betydning, på linje med andre tilsvarende idrettsarrangementer, og sikres vederlagsfri visning.»</w:t>
      </w:r>
    </w:p>
    <w:p w14:paraId="57CEA0CB" w14:textId="77777777" w:rsidR="00D60186" w:rsidRPr="00225D4D" w:rsidRDefault="00D60186" w:rsidP="00225D4D">
      <w:r w:rsidRPr="00225D4D">
        <w:t xml:space="preserve">Vedtaket ble truffet ved behandlingen av </w:t>
      </w:r>
      <w:proofErr w:type="spellStart"/>
      <w:r w:rsidRPr="00225D4D">
        <w:t>Innst</w:t>
      </w:r>
      <w:proofErr w:type="spellEnd"/>
      <w:r w:rsidRPr="00225D4D">
        <w:t xml:space="preserve">. 391 S (2018–2019) </w:t>
      </w:r>
      <w:r w:rsidRPr="00225D4D">
        <w:rPr>
          <w:rStyle w:val="kursiv"/>
        </w:rPr>
        <w:t>Innstilling fra finanskomiteen om revidert nasjonalbudsjett 2019, om tilleggsbevilgninger og omprioriteringer i statsbudsjettet 2019, og om endringer i skatter og avgifter i statsbudsjettet for 2019</w:t>
      </w:r>
      <w:r w:rsidRPr="00225D4D">
        <w:t>.</w:t>
      </w:r>
    </w:p>
    <w:p w14:paraId="2CFB7D44" w14:textId="77777777" w:rsidR="00D60186" w:rsidRPr="00225D4D" w:rsidRDefault="00D60186" w:rsidP="00225D4D">
      <w:r w:rsidRPr="00225D4D">
        <w:t xml:space="preserve">Kultur- og likestillingsdepartementet har i høringsnotat om forslag til gjennomføring av endringsdirektivet til AMT-direktivet foreslått å legge til fotball-VM og fotball-EM for kvinner, samt håndball-VM og håndball-EM for menn i listen over viktige begivenheter i kringkastingsforskriften. Departementet har i august 2025 sendt endringene i listen til godkjenning til </w:t>
      </w:r>
      <w:proofErr w:type="spellStart"/>
      <w:r w:rsidRPr="00225D4D">
        <w:t>EFTAs</w:t>
      </w:r>
      <w:proofErr w:type="spellEnd"/>
      <w:r w:rsidRPr="00225D4D">
        <w:t xml:space="preserve"> overvåkingsorgan. Kultur- og likestillingsdepartementet tar sikte på at endringene vil tre i kraft i 2025, forutsatt at endringene godkjennes av ESA. Regjeringen kommer tilbake til Stortinget på egnet måte.</w:t>
      </w:r>
    </w:p>
    <w:p w14:paraId="4701544C" w14:textId="77777777" w:rsidR="00D60186" w:rsidRPr="00225D4D" w:rsidRDefault="00D60186" w:rsidP="00225D4D">
      <w:pPr>
        <w:pStyle w:val="Overskrift2"/>
      </w:pPr>
      <w:r w:rsidRPr="00225D4D">
        <w:t>Stortingssesjon (2017–2018)</w:t>
      </w:r>
    </w:p>
    <w:p w14:paraId="190BC319" w14:textId="77777777" w:rsidR="00D60186" w:rsidRPr="00225D4D" w:rsidRDefault="00D60186" w:rsidP="00225D4D">
      <w:pPr>
        <w:pStyle w:val="avsnitt-tittel"/>
      </w:pPr>
      <w:r w:rsidRPr="00225D4D">
        <w:t>Utrede tvisteløsningsordning for fastsetting av rimelig vederlag</w:t>
      </w:r>
    </w:p>
    <w:p w14:paraId="7348679A" w14:textId="77777777" w:rsidR="00D60186" w:rsidRPr="00225D4D" w:rsidRDefault="00D60186" w:rsidP="00225D4D">
      <w:pPr>
        <w:pStyle w:val="avsnitt-undertittel"/>
      </w:pPr>
      <w:r w:rsidRPr="00225D4D">
        <w:t>Vedtak nr. 729, 15. mai 2018</w:t>
      </w:r>
    </w:p>
    <w:p w14:paraId="3BBB70C3" w14:textId="77777777" w:rsidR="00D60186" w:rsidRPr="00225D4D" w:rsidRDefault="00D60186" w:rsidP="00225D4D">
      <w:pPr>
        <w:pStyle w:val="blokksit"/>
        <w:rPr>
          <w:rStyle w:val="kursiv"/>
        </w:rPr>
      </w:pPr>
      <w:r w:rsidRPr="00225D4D">
        <w:rPr>
          <w:rStyle w:val="kursiv"/>
        </w:rPr>
        <w:t>«Stortinget ber regjeringen utrede en tvisteløsningsordning for fastsetting av rimelig vederlag og komme tilbake til Stortinget med egen sak på egnet måte.»</w:t>
      </w:r>
    </w:p>
    <w:p w14:paraId="20E1BF62" w14:textId="77777777" w:rsidR="00D60186" w:rsidRPr="00225D4D" w:rsidRDefault="00D60186" w:rsidP="00225D4D">
      <w:r w:rsidRPr="00225D4D">
        <w:t xml:space="preserve">Dokumentet som ligger til grunn for anmodningsvedtaket, er </w:t>
      </w:r>
      <w:proofErr w:type="spellStart"/>
      <w:r w:rsidRPr="00225D4D">
        <w:t>Innst</w:t>
      </w:r>
      <w:proofErr w:type="spellEnd"/>
      <w:r w:rsidRPr="00225D4D">
        <w:t xml:space="preserve">. 258 L (2017–2018), jf. </w:t>
      </w:r>
      <w:proofErr w:type="spellStart"/>
      <w:r w:rsidRPr="00225D4D">
        <w:t>Prop</w:t>
      </w:r>
      <w:proofErr w:type="spellEnd"/>
      <w:r w:rsidRPr="00225D4D">
        <w:t>. 104 L (2016–2017)</w:t>
      </w:r>
      <w:r w:rsidRPr="00225D4D">
        <w:rPr>
          <w:rStyle w:val="kursiv"/>
        </w:rPr>
        <w:t xml:space="preserve"> Lov om opphavsrett til åndsverk (åndsverkloven).</w:t>
      </w:r>
    </w:p>
    <w:p w14:paraId="0F77E494" w14:textId="77777777" w:rsidR="00D60186" w:rsidRPr="00225D4D" w:rsidRDefault="00D60186" w:rsidP="00225D4D">
      <w:r w:rsidRPr="00225D4D">
        <w:t>Kultur- og likestillingsdepartementet følger opp anmodningsvedtaket i høringsnotat om endringer av åndsverkloven mv. – gjennomføring av digitalmarkedsdirektivet ((EU) 2019/790) og nett- og videresendingsdirektivet ((EU) 2019/789). En tvisteløsningsordning for fastsetting av rimelig vederlag er omtalt i høringsnotatet. Høringen er avsluttet og departementet jobber videre med forslaget. Kultur- og likestillingsdepartementet tar sikte på å fremme en lovproposisjon for Stortinget i 2025.</w:t>
      </w:r>
    </w:p>
    <w:p w14:paraId="0588AA4E" w14:textId="77777777" w:rsidR="00D60186" w:rsidRPr="00225D4D" w:rsidRDefault="00D60186" w:rsidP="00225D4D">
      <w:pPr>
        <w:pStyle w:val="avsnitt-tittel"/>
      </w:pPr>
      <w:r w:rsidRPr="00225D4D">
        <w:t>Vurdere regler om at leverandører av nettjenester må bidra til at rettighetshavere får vederlag</w:t>
      </w:r>
    </w:p>
    <w:p w14:paraId="66FA3013" w14:textId="77777777" w:rsidR="00D60186" w:rsidRPr="00225D4D" w:rsidRDefault="00D60186" w:rsidP="00225D4D">
      <w:pPr>
        <w:pStyle w:val="avsnitt-undertittel"/>
      </w:pPr>
      <w:r w:rsidRPr="00225D4D">
        <w:t>Vedtak nr. 730, 15. mai 2018</w:t>
      </w:r>
    </w:p>
    <w:p w14:paraId="27133C85" w14:textId="77777777" w:rsidR="00D60186" w:rsidRPr="00225D4D" w:rsidRDefault="00D60186" w:rsidP="00225D4D">
      <w:pPr>
        <w:pStyle w:val="blokksit"/>
        <w:rPr>
          <w:rStyle w:val="kursiv"/>
        </w:rPr>
      </w:pPr>
      <w:r w:rsidRPr="00225D4D">
        <w:rPr>
          <w:rStyle w:val="kursiv"/>
        </w:rPr>
        <w:t>«Stortinget ber regjeringen fortløpende vurdere om norske myndigheter kan gi regler som sikrer at leverandører av nettjenester som lagrer og tilgjengeliggjør store mengder av verk og annet kreativt innhold lastet opp av brukere, må bidra til at rettighetshaverne får vederlag for slik bruk av deres materiale.»</w:t>
      </w:r>
    </w:p>
    <w:p w14:paraId="28057835" w14:textId="77777777" w:rsidR="00D60186" w:rsidRPr="00225D4D" w:rsidRDefault="00D60186" w:rsidP="00225D4D">
      <w:r w:rsidRPr="00225D4D">
        <w:t xml:space="preserve">Dokumentet som ligger til grunn for anmodningsvedtaket, er </w:t>
      </w:r>
      <w:proofErr w:type="spellStart"/>
      <w:r w:rsidRPr="00225D4D">
        <w:t>Innst</w:t>
      </w:r>
      <w:proofErr w:type="spellEnd"/>
      <w:r w:rsidRPr="00225D4D">
        <w:t xml:space="preserve">. 258 L (2017–2018), jf. </w:t>
      </w:r>
      <w:proofErr w:type="spellStart"/>
      <w:r w:rsidRPr="00225D4D">
        <w:t>Prop</w:t>
      </w:r>
      <w:proofErr w:type="spellEnd"/>
      <w:r w:rsidRPr="00225D4D">
        <w:t xml:space="preserve">. 104 L (2016–2017) </w:t>
      </w:r>
      <w:r w:rsidRPr="00225D4D">
        <w:rPr>
          <w:rStyle w:val="kursiv"/>
        </w:rPr>
        <w:t>Lov om opphavsrett til åndsverk (åndsverkloven).</w:t>
      </w:r>
    </w:p>
    <w:p w14:paraId="74E16470" w14:textId="77777777" w:rsidR="00D60186" w:rsidRPr="00225D4D" w:rsidRDefault="00D60186" w:rsidP="00225D4D">
      <w:r w:rsidRPr="00225D4D">
        <w:t xml:space="preserve">Tapet rettighetshaverne påføres når store plattformtilbydere gjør innholdet deres tilgjengelig uten å ha klarert rettighetene på forhånd, omtales gjerne som </w:t>
      </w:r>
      <w:proofErr w:type="spellStart"/>
      <w:r w:rsidRPr="00225D4D">
        <w:t>verdigapet</w:t>
      </w:r>
      <w:proofErr w:type="spellEnd"/>
      <w:r w:rsidRPr="00225D4D">
        <w:t xml:space="preserve">. </w:t>
      </w:r>
      <w:proofErr w:type="spellStart"/>
      <w:r w:rsidRPr="00225D4D">
        <w:t>Verdigap</w:t>
      </w:r>
      <w:proofErr w:type="spellEnd"/>
      <w:r w:rsidRPr="00225D4D">
        <w:t xml:space="preserve">-problematikken gjelder i hele Europa og er omfattet av digitalmarkedsdirektivet ((EU) 2019/790). Kultur- og likestillingsdepartementet foreslår gjennomføring av digitalmarkedsdirektivet i høringsnotat om endringer av åndsverkloven mv. </w:t>
      </w:r>
      <w:proofErr w:type="spellStart"/>
      <w:r w:rsidRPr="00225D4D">
        <w:t>Verdigap</w:t>
      </w:r>
      <w:proofErr w:type="spellEnd"/>
      <w:r w:rsidRPr="00225D4D">
        <w:t>-problematikken er omtalt i høringsnotatet. Høringen er avsluttet og departementet jobber videre med forslaget. Kultur- og likestillingsdepartementet tar sikte på å fremme en lovproposisjon for Stortinget i 2025.</w:t>
      </w:r>
    </w:p>
    <w:p w14:paraId="05D71F11" w14:textId="77777777" w:rsidR="00D60186" w:rsidRPr="00225D4D" w:rsidRDefault="00D60186" w:rsidP="00225D4D">
      <w:pPr>
        <w:pStyle w:val="avsnitt-tittel"/>
      </w:pPr>
      <w:r w:rsidRPr="00225D4D">
        <w:t>Utrede om strømming av åndsverk i klasserom skal bli vederlagspliktig</w:t>
      </w:r>
    </w:p>
    <w:p w14:paraId="28CF84C0" w14:textId="77777777" w:rsidR="00D60186" w:rsidRPr="00225D4D" w:rsidRDefault="00D60186" w:rsidP="00225D4D">
      <w:pPr>
        <w:pStyle w:val="avsnitt-undertittel"/>
      </w:pPr>
      <w:r w:rsidRPr="00225D4D">
        <w:t>Vedtak nr. 731, 15. mai 2018</w:t>
      </w:r>
    </w:p>
    <w:p w14:paraId="3C248EB8" w14:textId="77777777" w:rsidR="00D60186" w:rsidRPr="00225D4D" w:rsidRDefault="00D60186" w:rsidP="00225D4D">
      <w:pPr>
        <w:pStyle w:val="blokksit"/>
        <w:rPr>
          <w:rStyle w:val="kursiv"/>
        </w:rPr>
      </w:pPr>
      <w:r w:rsidRPr="00225D4D">
        <w:rPr>
          <w:rStyle w:val="kursiv"/>
        </w:rPr>
        <w:t>«Stortinget ber regjeringen utrede og komme tilbake til Stortinget med sak om hvordan og hvorvidt verk som overføres i klasserommet, deriblant strømming fra Internett, kan likestilles med eksemplarframstilling i klasserommet, og dermed bli vederlagspliktig, slik at det blir mulig for partene å inngå avtalelisens også for strømming og annen overføring.»</w:t>
      </w:r>
    </w:p>
    <w:p w14:paraId="618401EF" w14:textId="77777777" w:rsidR="00D60186" w:rsidRPr="00225D4D" w:rsidRDefault="00D60186" w:rsidP="00225D4D">
      <w:r w:rsidRPr="00225D4D">
        <w:t xml:space="preserve">Dokumentet som ligger til grunn for anmodningsvedtaket, er </w:t>
      </w:r>
      <w:proofErr w:type="spellStart"/>
      <w:r w:rsidRPr="00225D4D">
        <w:t>Innst</w:t>
      </w:r>
      <w:proofErr w:type="spellEnd"/>
      <w:r w:rsidRPr="00225D4D">
        <w:t xml:space="preserve">. 258 L (2017–2018), jf. </w:t>
      </w:r>
      <w:proofErr w:type="spellStart"/>
      <w:r w:rsidRPr="00225D4D">
        <w:t>Prop</w:t>
      </w:r>
      <w:proofErr w:type="spellEnd"/>
      <w:r w:rsidRPr="00225D4D">
        <w:t xml:space="preserve">. 104 L (2016–2017) </w:t>
      </w:r>
      <w:r w:rsidRPr="00225D4D">
        <w:rPr>
          <w:rStyle w:val="kursiv"/>
        </w:rPr>
        <w:t>Lov om opphavsrett til åndsverk (åndsverkloven).</w:t>
      </w:r>
    </w:p>
    <w:p w14:paraId="204B068B" w14:textId="77777777" w:rsidR="00D60186" w:rsidRPr="00225D4D" w:rsidRDefault="00D60186" w:rsidP="00225D4D">
      <w:r w:rsidRPr="00225D4D">
        <w:t>Kultur- og likestillingsdepartementet følger opp anmodningsvedtaket i høringsnotat om endringer av åndsverkloven mv. – gjennomføring av digitalmarkedsdirektivet ((EU) 2019/790) og nett- og videresendingsdirektivet ((EU) 2019/789). Åndsverklovens undervisningsbestemmelser er omtalt i høringsnotatet. Høringen er avsluttet og departementet jobber videre med forslaget. Kultur- og likestillingsdepartementet tar sikte på å fremme en lovproposisjon for Stortinget i 2025.</w:t>
      </w:r>
    </w:p>
    <w:p w14:paraId="7946B85E" w14:textId="77777777" w:rsidR="00D60186" w:rsidRPr="00225D4D" w:rsidRDefault="00D60186" w:rsidP="00225D4D">
      <w:pPr>
        <w:pStyle w:val="Overskrift2"/>
      </w:pPr>
      <w:r w:rsidRPr="00225D4D">
        <w:t>Stortingssesjon (2014–2015)</w:t>
      </w:r>
    </w:p>
    <w:p w14:paraId="291BDEFE" w14:textId="77777777" w:rsidR="00D60186" w:rsidRPr="00225D4D" w:rsidRDefault="00D60186" w:rsidP="00225D4D">
      <w:pPr>
        <w:pStyle w:val="avsnitt-tittel"/>
      </w:pPr>
      <w:r w:rsidRPr="00225D4D">
        <w:t>Nasjonalgalleriet</w:t>
      </w:r>
    </w:p>
    <w:p w14:paraId="2D467F08" w14:textId="77777777" w:rsidR="00D60186" w:rsidRPr="00225D4D" w:rsidRDefault="00D60186" w:rsidP="00225D4D">
      <w:pPr>
        <w:pStyle w:val="avsnitt-undertittel"/>
      </w:pPr>
      <w:r w:rsidRPr="00225D4D">
        <w:t>Vedtak nr. 60, 1. desember 2014</w:t>
      </w:r>
    </w:p>
    <w:p w14:paraId="048417B2" w14:textId="77777777" w:rsidR="00D60186" w:rsidRPr="00225D4D" w:rsidRDefault="00D60186" w:rsidP="00225D4D">
      <w:pPr>
        <w:pStyle w:val="blokksit"/>
        <w:rPr>
          <w:rStyle w:val="kursiv"/>
        </w:rPr>
      </w:pPr>
      <w:r w:rsidRPr="00225D4D">
        <w:rPr>
          <w:rStyle w:val="kursiv"/>
        </w:rPr>
        <w:t>«Stortinget ber regjeringen vurdere om Nasjonalgalleriet kan være en del av Nasjonalmuseet for kunst, arkitektur og design uten ny totalrenovering.»</w:t>
      </w:r>
    </w:p>
    <w:p w14:paraId="5A8DCD92" w14:textId="77777777" w:rsidR="00D60186" w:rsidRPr="00225D4D" w:rsidRDefault="00D60186" w:rsidP="00225D4D">
      <w:r w:rsidRPr="00225D4D">
        <w:t xml:space="preserve">Dokumentet som ligger til grunn for anmodningsvedtaket, er </w:t>
      </w:r>
      <w:proofErr w:type="spellStart"/>
      <w:r w:rsidRPr="00225D4D">
        <w:t>Innst</w:t>
      </w:r>
      <w:proofErr w:type="spellEnd"/>
      <w:r w:rsidRPr="00225D4D">
        <w:t>. 2 S Tillegg 1 (2014–2015) fra finanskomiteen om nasjonalbudsjettet for 2015 og forslaget til statsbudsjett for 2015.</w:t>
      </w:r>
    </w:p>
    <w:p w14:paraId="0D1445F0" w14:textId="77777777" w:rsidR="00D60186" w:rsidRPr="00225D4D" w:rsidRDefault="00D60186" w:rsidP="00225D4D">
      <w:r w:rsidRPr="00225D4D">
        <w:t>Det har blitt gjennomført ulike utredninger som vurderer mulig fremtidig bruk av Nasjonalgalleriet etter at Nasjonalmuseet for kunst, arkitektur og design har flyttet til nybygget på Vestbanen. Kommunal- og moderniseringsdepartementet ga i 2015 Statsbygg i oppdrag å utarbeide en konseptvalgutredning (KVU) for Tullinløkka-området, herunder Nasjonalgalleriet, og anmodningsvedtaket inngår i utredningen. Det er i 2017 gjennomført ekstern kvalitetssikring KS1 av konseptvalgutredningen. Det er i KVU og KS1 pekt på behov for gjennomgående rehabilitering av nasjonalgalleribygningen.</w:t>
      </w:r>
    </w:p>
    <w:p w14:paraId="5DCBD13E" w14:textId="77777777" w:rsidR="00D60186" w:rsidRPr="00225D4D" w:rsidRDefault="00D60186" w:rsidP="00225D4D">
      <w:r w:rsidRPr="00225D4D">
        <w:t>På oppdrag fra Kulturdepartementet under Solberg-regjeringen har Sparebankstiftelsen DNB og Nasjonalmuseet i samarbeid utført en mulighetsstudie for videre bruk av Nasjonalgalleriet, herunder forslag til rehabiliteringskonsept og ulike programforslag for bruk av bygningen.</w:t>
      </w:r>
    </w:p>
    <w:p w14:paraId="6F27152E" w14:textId="77777777" w:rsidR="00D60186" w:rsidRPr="00225D4D" w:rsidRDefault="00D60186" w:rsidP="00225D4D">
      <w:r w:rsidRPr="00225D4D">
        <w:t>Statsbygg har på oppdrag fra Kultur- og likestillingsdepartementet fra 2022 utredet ulike løsninger for Nationaltheatret, herunder muligheten for å etablere en ny moderne scene for Nationaltheatret på Tullinløkka med publikumsarealer og en del andre teaterfunksjoner i deler av bygningen Nasjonalgalleriet. Det er i forbindelse med utredningen gjennomført oppdatert tilstandsanalyse og vurdering av rehabiliteringsbehovet. Statsbygg har estimert at en «generisk rehabilitering» vil ha et kostnadsnivå på rundt 700 mill. kroner (såkalt P50-nivå, dvs. uten usikkerhetsavsetning) og at det i tillegg vil påløpe kostnader knyttet til tilpasning til formål og brukerutstyr for enhver bruker.</w:t>
      </w:r>
    </w:p>
    <w:p w14:paraId="496487DC" w14:textId="77777777" w:rsidR="00D60186" w:rsidRPr="00225D4D" w:rsidRDefault="00D60186" w:rsidP="00225D4D">
      <w:r w:rsidRPr="00225D4D">
        <w:t>Kultur- og likestillingsdepartementets vurdering er at utredningene som er gjennomført, viser at Nasjonalgalleriet ikke kan være en del av Nasjonalmuseet for kunst, arkitektur og design uten ny totalrenovering. Det anses ikke hensiktsmessig å vurdere dette spørsmålet ytterligere, og Kultur- og likestillingsdepartementet avslutter herved rapporteringen om anmodningsvedtaket.</w:t>
      </w:r>
    </w:p>
    <w:p w14:paraId="5B5F14A1" w14:textId="77777777" w:rsidR="00D60186" w:rsidRPr="00225D4D" w:rsidRDefault="00D60186" w:rsidP="00225D4D">
      <w:pPr>
        <w:pStyle w:val="Overskrift1"/>
      </w:pPr>
      <w:r w:rsidRPr="00225D4D">
        <w:t>Kunnskapsdepartementet</w:t>
      </w:r>
    </w:p>
    <w:p w14:paraId="69A73855" w14:textId="77777777" w:rsidR="00D60186" w:rsidRPr="00225D4D" w:rsidRDefault="00D60186" w:rsidP="00225D4D">
      <w:proofErr w:type="spellStart"/>
      <w:r w:rsidRPr="00225D4D">
        <w:t>Nedanfor</w:t>
      </w:r>
      <w:proofErr w:type="spellEnd"/>
      <w:r w:rsidRPr="00225D4D">
        <w:t xml:space="preserve"> er </w:t>
      </w:r>
      <w:proofErr w:type="gramStart"/>
      <w:r w:rsidRPr="00225D4D">
        <w:t>ei oversikt</w:t>
      </w:r>
      <w:proofErr w:type="gramEnd"/>
      <w:r w:rsidRPr="00225D4D">
        <w:t xml:space="preserve"> over oppfølging av oppmodingsvedtak under Kunnskapsdepartementet. </w:t>
      </w:r>
      <w:proofErr w:type="spellStart"/>
      <w:r w:rsidRPr="00225D4D">
        <w:t>Oversikta</w:t>
      </w:r>
      <w:proofErr w:type="spellEnd"/>
      <w:r w:rsidRPr="00225D4D">
        <w:t xml:space="preserve"> </w:t>
      </w:r>
      <w:proofErr w:type="spellStart"/>
      <w:r w:rsidRPr="00225D4D">
        <w:t>omfattar</w:t>
      </w:r>
      <w:proofErr w:type="spellEnd"/>
      <w:r w:rsidRPr="00225D4D">
        <w:t xml:space="preserve"> alle vedtak </w:t>
      </w:r>
      <w:proofErr w:type="spellStart"/>
      <w:r w:rsidRPr="00225D4D">
        <w:t>frå</w:t>
      </w:r>
      <w:proofErr w:type="spellEnd"/>
      <w:r w:rsidRPr="00225D4D">
        <w:t xml:space="preserve"> stortingssesjonen 2024–2025 og alle vedtak som Stortinget </w:t>
      </w:r>
      <w:proofErr w:type="spellStart"/>
      <w:r w:rsidRPr="00225D4D">
        <w:t>ikkje</w:t>
      </w:r>
      <w:proofErr w:type="spellEnd"/>
      <w:r w:rsidRPr="00225D4D">
        <w:t xml:space="preserve"> har godkjent oppfølginga av.</w:t>
      </w:r>
    </w:p>
    <w:p w14:paraId="4F28F888" w14:textId="77777777" w:rsidR="00D60186" w:rsidRPr="00225D4D" w:rsidRDefault="00D60186" w:rsidP="00225D4D">
      <w:r w:rsidRPr="00225D4D">
        <w:t xml:space="preserve">I kolonnen lengst til høgre i tabell 13.1 er det ført opp om departementet </w:t>
      </w:r>
      <w:proofErr w:type="spellStart"/>
      <w:r w:rsidRPr="00225D4D">
        <w:t>reknar</w:t>
      </w:r>
      <w:proofErr w:type="spellEnd"/>
      <w:r w:rsidRPr="00225D4D">
        <w:t xml:space="preserve"> med at rapporteringa om vedtaket </w:t>
      </w:r>
      <w:proofErr w:type="spellStart"/>
      <w:r w:rsidRPr="00225D4D">
        <w:t>no</w:t>
      </w:r>
      <w:proofErr w:type="spellEnd"/>
      <w:r w:rsidRPr="00225D4D">
        <w:t xml:space="preserve"> blir avslutta, eller om det vil rapportere konkret om det i budsjettframlegget neste år òg. Ei rapportering som </w:t>
      </w:r>
      <w:proofErr w:type="spellStart"/>
      <w:r w:rsidRPr="00225D4D">
        <w:t>inneber</w:t>
      </w:r>
      <w:proofErr w:type="spellEnd"/>
      <w:r w:rsidRPr="00225D4D">
        <w:t xml:space="preserve"> at departementet skal legge fram ei konkret sak for Stortinget, vil normalt først bli avslutta når slikt framlegg er gjort.</w:t>
      </w:r>
    </w:p>
    <w:p w14:paraId="71D36992" w14:textId="77777777" w:rsidR="00D60186" w:rsidRPr="00225D4D" w:rsidRDefault="00D60186" w:rsidP="00225D4D">
      <w:proofErr w:type="spellStart"/>
      <w:r w:rsidRPr="00225D4D">
        <w:t>Sjølv</w:t>
      </w:r>
      <w:proofErr w:type="spellEnd"/>
      <w:r w:rsidRPr="00225D4D">
        <w:t xml:space="preserve"> om det i tabellen er ført opp at rapporteringa blir avslutta, vil det stundom </w:t>
      </w:r>
      <w:proofErr w:type="spellStart"/>
      <w:r w:rsidRPr="00225D4D">
        <w:t>vere</w:t>
      </w:r>
      <w:proofErr w:type="spellEnd"/>
      <w:r w:rsidRPr="00225D4D">
        <w:t xml:space="preserve"> slik at oppfølginga av alle sider av vedtaket </w:t>
      </w:r>
      <w:proofErr w:type="spellStart"/>
      <w:r w:rsidRPr="00225D4D">
        <w:t>ikkje</w:t>
      </w:r>
      <w:proofErr w:type="spellEnd"/>
      <w:r w:rsidRPr="00225D4D">
        <w:t xml:space="preserve"> er sluttført. Dette kan til dømes gjelde oppmoding om å ta </w:t>
      </w:r>
      <w:proofErr w:type="spellStart"/>
      <w:r w:rsidRPr="00225D4D">
        <w:t>særlege</w:t>
      </w:r>
      <w:proofErr w:type="spellEnd"/>
      <w:r w:rsidRPr="00225D4D">
        <w:t xml:space="preserve"> omsyn i politikkutforminga på </w:t>
      </w:r>
      <w:proofErr w:type="spellStart"/>
      <w:r w:rsidRPr="00225D4D">
        <w:t>eit</w:t>
      </w:r>
      <w:proofErr w:type="spellEnd"/>
      <w:r w:rsidRPr="00225D4D">
        <w:t xml:space="preserve"> område, slik at oppfølginga vil kunne gå over </w:t>
      </w:r>
      <w:proofErr w:type="spellStart"/>
      <w:r w:rsidRPr="00225D4D">
        <w:t>fleire</w:t>
      </w:r>
      <w:proofErr w:type="spellEnd"/>
      <w:r w:rsidRPr="00225D4D">
        <w:t xml:space="preserve"> år. I slike </w:t>
      </w:r>
      <w:proofErr w:type="spellStart"/>
      <w:r w:rsidRPr="00225D4D">
        <w:t>tilfelle</w:t>
      </w:r>
      <w:proofErr w:type="spellEnd"/>
      <w:r w:rsidRPr="00225D4D">
        <w:t xml:space="preserve"> blir Stortinget orientert om oppfølginga slik som </w:t>
      </w:r>
      <w:proofErr w:type="spellStart"/>
      <w:r w:rsidRPr="00225D4D">
        <w:t>elles</w:t>
      </w:r>
      <w:proofErr w:type="spellEnd"/>
      <w:r w:rsidRPr="00225D4D">
        <w:t xml:space="preserve"> gjennom omtale av det relevante politikkområdet i andre dokument til Stortinget.</w:t>
      </w:r>
    </w:p>
    <w:p w14:paraId="3477DC09" w14:textId="75411B0F" w:rsidR="00330F87" w:rsidRPr="00225D4D" w:rsidRDefault="00330F87" w:rsidP="00225D4D">
      <w:pPr>
        <w:pStyle w:val="tabell-tittel"/>
      </w:pPr>
      <w:r w:rsidRPr="00225D4D">
        <w:t>Oversikt over oppmodingsvedtak under Kunnskapsdepartementet</w:t>
      </w:r>
    </w:p>
    <w:p w14:paraId="56860305" w14:textId="77777777" w:rsidR="00D60186" w:rsidRPr="00225D4D" w:rsidRDefault="00D60186" w:rsidP="00225D4D">
      <w:pPr>
        <w:pStyle w:val="Tabellnavn"/>
      </w:pPr>
      <w:r w:rsidRPr="00225D4D">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200"/>
        <w:gridCol w:w="1240"/>
        <w:gridCol w:w="5860"/>
        <w:gridCol w:w="1240"/>
      </w:tblGrid>
      <w:tr w:rsidR="00E76DC8" w:rsidRPr="00225D4D" w14:paraId="4D7B7589" w14:textId="77777777" w:rsidTr="00D77759">
        <w:trPr>
          <w:trHeight w:val="600"/>
        </w:trPr>
        <w:tc>
          <w:tcPr>
            <w:tcW w:w="1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F4523E" w14:textId="77777777" w:rsidR="00D60186" w:rsidRPr="00D77759" w:rsidRDefault="00D60186" w:rsidP="00225D4D">
            <w:pPr>
              <w:rPr>
                <w:sz w:val="21"/>
                <w:szCs w:val="21"/>
              </w:rPr>
            </w:pPr>
            <w:r w:rsidRPr="00D77759">
              <w:rPr>
                <w:sz w:val="21"/>
                <w:szCs w:val="21"/>
              </w:rPr>
              <w:t>Sesjon</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03EC30" w14:textId="77777777" w:rsidR="00D60186" w:rsidRPr="00D77759" w:rsidRDefault="00D60186" w:rsidP="00D77759">
            <w:pPr>
              <w:ind w:right="113"/>
              <w:jc w:val="right"/>
              <w:rPr>
                <w:sz w:val="21"/>
                <w:szCs w:val="21"/>
              </w:rPr>
            </w:pPr>
            <w:r w:rsidRPr="00D77759">
              <w:rPr>
                <w:sz w:val="21"/>
                <w:szCs w:val="21"/>
              </w:rPr>
              <w:t>Vedtak nr.</w:t>
            </w:r>
          </w:p>
        </w:tc>
        <w:tc>
          <w:tcPr>
            <w:tcW w:w="5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88DB36" w14:textId="77777777" w:rsidR="00D60186" w:rsidRPr="00D77759" w:rsidRDefault="00D60186" w:rsidP="00225D4D">
            <w:pPr>
              <w:rPr>
                <w:sz w:val="21"/>
                <w:szCs w:val="21"/>
              </w:rPr>
            </w:pPr>
            <w:r w:rsidRPr="00D77759">
              <w:rPr>
                <w:sz w:val="21"/>
                <w:szCs w:val="21"/>
              </w:rPr>
              <w:t>Stikkord</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4E5E11" w14:textId="77777777" w:rsidR="00D60186" w:rsidRPr="00D77759" w:rsidRDefault="00D60186" w:rsidP="00D77759">
            <w:pPr>
              <w:jc w:val="right"/>
              <w:rPr>
                <w:sz w:val="21"/>
                <w:szCs w:val="21"/>
              </w:rPr>
            </w:pPr>
            <w:proofErr w:type="spellStart"/>
            <w:r w:rsidRPr="00D77759">
              <w:rPr>
                <w:sz w:val="21"/>
                <w:szCs w:val="21"/>
              </w:rPr>
              <w:t>Følgt</w:t>
            </w:r>
            <w:proofErr w:type="spellEnd"/>
            <w:r w:rsidRPr="00D77759">
              <w:rPr>
                <w:sz w:val="21"/>
                <w:szCs w:val="21"/>
              </w:rPr>
              <w:t xml:space="preserve"> opp </w:t>
            </w:r>
            <w:r w:rsidRPr="00D77759">
              <w:rPr>
                <w:sz w:val="21"/>
                <w:szCs w:val="21"/>
              </w:rPr>
              <w:br/>
              <w:t xml:space="preserve">(ja/nei) </w:t>
            </w:r>
          </w:p>
        </w:tc>
      </w:tr>
      <w:tr w:rsidR="00E76DC8" w:rsidRPr="00225D4D" w14:paraId="2A711CC7" w14:textId="77777777" w:rsidTr="00D77759">
        <w:trPr>
          <w:trHeight w:val="20"/>
        </w:trPr>
        <w:tc>
          <w:tcPr>
            <w:tcW w:w="1200" w:type="dxa"/>
            <w:tcBorders>
              <w:top w:val="single" w:sz="4" w:space="0" w:color="000000"/>
              <w:left w:val="nil"/>
              <w:bottom w:val="nil"/>
              <w:right w:val="nil"/>
            </w:tcBorders>
            <w:tcMar>
              <w:top w:w="128" w:type="dxa"/>
              <w:left w:w="43" w:type="dxa"/>
              <w:bottom w:w="43" w:type="dxa"/>
              <w:right w:w="43" w:type="dxa"/>
            </w:tcMar>
            <w:vAlign w:val="bottom"/>
          </w:tcPr>
          <w:p w14:paraId="1458EDED" w14:textId="77777777" w:rsidR="00D60186" w:rsidRPr="00D77759" w:rsidRDefault="00D60186" w:rsidP="00225D4D">
            <w:pPr>
              <w:rPr>
                <w:sz w:val="21"/>
                <w:szCs w:val="21"/>
              </w:rPr>
            </w:pPr>
            <w:r w:rsidRPr="00D77759">
              <w:rPr>
                <w:sz w:val="21"/>
                <w:szCs w:val="21"/>
              </w:rPr>
              <w:t>2024–2025</w:t>
            </w:r>
          </w:p>
        </w:tc>
        <w:tc>
          <w:tcPr>
            <w:tcW w:w="1240" w:type="dxa"/>
            <w:tcBorders>
              <w:top w:val="single" w:sz="4" w:space="0" w:color="000000"/>
              <w:left w:val="nil"/>
              <w:bottom w:val="nil"/>
              <w:right w:val="nil"/>
            </w:tcBorders>
            <w:tcMar>
              <w:top w:w="128" w:type="dxa"/>
              <w:left w:w="43" w:type="dxa"/>
              <w:bottom w:w="43" w:type="dxa"/>
              <w:right w:w="43" w:type="dxa"/>
            </w:tcMar>
          </w:tcPr>
          <w:p w14:paraId="32AC58D1" w14:textId="77777777" w:rsidR="00D60186" w:rsidRPr="00D77759" w:rsidRDefault="00D60186" w:rsidP="00D77759">
            <w:pPr>
              <w:ind w:right="113"/>
              <w:jc w:val="right"/>
              <w:rPr>
                <w:sz w:val="21"/>
                <w:szCs w:val="21"/>
              </w:rPr>
            </w:pPr>
            <w:r w:rsidRPr="00D77759">
              <w:rPr>
                <w:sz w:val="21"/>
                <w:szCs w:val="21"/>
              </w:rPr>
              <w:t>16</w:t>
            </w:r>
          </w:p>
        </w:tc>
        <w:tc>
          <w:tcPr>
            <w:tcW w:w="5860" w:type="dxa"/>
            <w:tcBorders>
              <w:top w:val="single" w:sz="4" w:space="0" w:color="000000"/>
              <w:left w:val="nil"/>
              <w:bottom w:val="nil"/>
              <w:right w:val="nil"/>
            </w:tcBorders>
            <w:tcMar>
              <w:top w:w="128" w:type="dxa"/>
              <w:left w:w="43" w:type="dxa"/>
              <w:bottom w:w="43" w:type="dxa"/>
              <w:right w:w="43" w:type="dxa"/>
            </w:tcMar>
            <w:vAlign w:val="bottom"/>
          </w:tcPr>
          <w:p w14:paraId="18D81ADA" w14:textId="77777777" w:rsidR="00D60186" w:rsidRPr="00D77759" w:rsidRDefault="00D60186" w:rsidP="00225D4D">
            <w:pPr>
              <w:rPr>
                <w:sz w:val="21"/>
                <w:szCs w:val="21"/>
              </w:rPr>
            </w:pPr>
            <w:r w:rsidRPr="00D77759">
              <w:rPr>
                <w:sz w:val="21"/>
                <w:szCs w:val="21"/>
              </w:rPr>
              <w:t>Nasjonalt kompetansesenter om fornorskingspolitikk og urett</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358AD744" w14:textId="77777777" w:rsidR="00D60186" w:rsidRPr="00D77759" w:rsidRDefault="00D60186" w:rsidP="00D77759">
            <w:pPr>
              <w:jc w:val="right"/>
              <w:rPr>
                <w:sz w:val="21"/>
                <w:szCs w:val="21"/>
              </w:rPr>
            </w:pPr>
            <w:r w:rsidRPr="00D77759">
              <w:rPr>
                <w:sz w:val="21"/>
                <w:szCs w:val="21"/>
              </w:rPr>
              <w:t>Nei</w:t>
            </w:r>
          </w:p>
        </w:tc>
      </w:tr>
      <w:tr w:rsidR="00E76DC8" w:rsidRPr="00225D4D" w14:paraId="786B36A2"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5069C64C"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04E940CF" w14:textId="77777777" w:rsidR="00D60186" w:rsidRPr="00D77759" w:rsidRDefault="00D60186" w:rsidP="00D77759">
            <w:pPr>
              <w:ind w:right="113"/>
              <w:jc w:val="right"/>
              <w:rPr>
                <w:sz w:val="21"/>
                <w:szCs w:val="21"/>
              </w:rPr>
            </w:pPr>
            <w:r w:rsidRPr="00D77759">
              <w:rPr>
                <w:sz w:val="21"/>
                <w:szCs w:val="21"/>
              </w:rPr>
              <w:t>18</w:t>
            </w:r>
          </w:p>
        </w:tc>
        <w:tc>
          <w:tcPr>
            <w:tcW w:w="5860" w:type="dxa"/>
            <w:tcBorders>
              <w:top w:val="nil"/>
              <w:left w:val="nil"/>
              <w:bottom w:val="nil"/>
              <w:right w:val="nil"/>
            </w:tcBorders>
            <w:tcMar>
              <w:top w:w="128" w:type="dxa"/>
              <w:left w:w="43" w:type="dxa"/>
              <w:bottom w:w="43" w:type="dxa"/>
              <w:right w:w="43" w:type="dxa"/>
            </w:tcMar>
            <w:vAlign w:val="bottom"/>
          </w:tcPr>
          <w:p w14:paraId="0367E798" w14:textId="77777777" w:rsidR="00D60186" w:rsidRPr="00D77759" w:rsidRDefault="00D60186" w:rsidP="00225D4D">
            <w:pPr>
              <w:rPr>
                <w:sz w:val="21"/>
                <w:szCs w:val="21"/>
              </w:rPr>
            </w:pPr>
            <w:proofErr w:type="spellStart"/>
            <w:r w:rsidRPr="00D77759">
              <w:rPr>
                <w:sz w:val="21"/>
                <w:szCs w:val="21"/>
              </w:rPr>
              <w:t>Fleire</w:t>
            </w:r>
            <w:proofErr w:type="spellEnd"/>
            <w:r w:rsidRPr="00D77759">
              <w:rPr>
                <w:sz w:val="21"/>
                <w:szCs w:val="21"/>
              </w:rPr>
              <w:t xml:space="preserve"> barn skal få språkopplæring i samisk og kvensk</w:t>
            </w:r>
          </w:p>
        </w:tc>
        <w:tc>
          <w:tcPr>
            <w:tcW w:w="1240" w:type="dxa"/>
            <w:tcBorders>
              <w:top w:val="nil"/>
              <w:left w:val="nil"/>
              <w:bottom w:val="nil"/>
              <w:right w:val="nil"/>
            </w:tcBorders>
            <w:tcMar>
              <w:top w:w="128" w:type="dxa"/>
              <w:left w:w="43" w:type="dxa"/>
              <w:bottom w:w="43" w:type="dxa"/>
              <w:right w:w="43" w:type="dxa"/>
            </w:tcMar>
            <w:vAlign w:val="bottom"/>
          </w:tcPr>
          <w:p w14:paraId="442C7402" w14:textId="77777777" w:rsidR="00D60186" w:rsidRPr="00D77759" w:rsidRDefault="00D60186" w:rsidP="00D77759">
            <w:pPr>
              <w:jc w:val="right"/>
              <w:rPr>
                <w:sz w:val="21"/>
                <w:szCs w:val="21"/>
              </w:rPr>
            </w:pPr>
            <w:r w:rsidRPr="00D77759">
              <w:rPr>
                <w:sz w:val="21"/>
                <w:szCs w:val="21"/>
              </w:rPr>
              <w:t>Nei</w:t>
            </w:r>
          </w:p>
        </w:tc>
      </w:tr>
      <w:tr w:rsidR="00E76DC8" w:rsidRPr="00225D4D" w14:paraId="68C4B3DE"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441BD0C0"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7A241ECD" w14:textId="77777777" w:rsidR="00D60186" w:rsidRPr="00D77759" w:rsidRDefault="00D60186" w:rsidP="00D77759">
            <w:pPr>
              <w:ind w:right="113"/>
              <w:jc w:val="right"/>
              <w:rPr>
                <w:sz w:val="21"/>
                <w:szCs w:val="21"/>
              </w:rPr>
            </w:pPr>
            <w:r w:rsidRPr="00D77759">
              <w:rPr>
                <w:sz w:val="21"/>
                <w:szCs w:val="21"/>
              </w:rPr>
              <w:t>20</w:t>
            </w:r>
          </w:p>
        </w:tc>
        <w:tc>
          <w:tcPr>
            <w:tcW w:w="5860" w:type="dxa"/>
            <w:tcBorders>
              <w:top w:val="nil"/>
              <w:left w:val="nil"/>
              <w:bottom w:val="nil"/>
              <w:right w:val="nil"/>
            </w:tcBorders>
            <w:tcMar>
              <w:top w:w="128" w:type="dxa"/>
              <w:left w:w="43" w:type="dxa"/>
              <w:bottom w:w="43" w:type="dxa"/>
              <w:right w:w="43" w:type="dxa"/>
            </w:tcMar>
            <w:vAlign w:val="bottom"/>
          </w:tcPr>
          <w:p w14:paraId="56BEA27F" w14:textId="77777777" w:rsidR="00D60186" w:rsidRPr="00D77759" w:rsidRDefault="00D60186" w:rsidP="00225D4D">
            <w:pPr>
              <w:rPr>
                <w:sz w:val="21"/>
                <w:szCs w:val="21"/>
              </w:rPr>
            </w:pPr>
            <w:r w:rsidRPr="00D77759">
              <w:rPr>
                <w:sz w:val="21"/>
                <w:szCs w:val="21"/>
              </w:rPr>
              <w:t>Nasjonal satsing på språkopplæring i samisk og kvensk</w:t>
            </w:r>
          </w:p>
        </w:tc>
        <w:tc>
          <w:tcPr>
            <w:tcW w:w="1240" w:type="dxa"/>
            <w:tcBorders>
              <w:top w:val="nil"/>
              <w:left w:val="nil"/>
              <w:bottom w:val="nil"/>
              <w:right w:val="nil"/>
            </w:tcBorders>
            <w:tcMar>
              <w:top w:w="128" w:type="dxa"/>
              <w:left w:w="43" w:type="dxa"/>
              <w:bottom w:w="43" w:type="dxa"/>
              <w:right w:w="43" w:type="dxa"/>
            </w:tcMar>
            <w:vAlign w:val="bottom"/>
          </w:tcPr>
          <w:p w14:paraId="6A6CBE12" w14:textId="77777777" w:rsidR="00D60186" w:rsidRPr="00D77759" w:rsidRDefault="00D60186" w:rsidP="00D77759">
            <w:pPr>
              <w:jc w:val="right"/>
              <w:rPr>
                <w:sz w:val="21"/>
                <w:szCs w:val="21"/>
              </w:rPr>
            </w:pPr>
            <w:r w:rsidRPr="00D77759">
              <w:rPr>
                <w:sz w:val="21"/>
                <w:szCs w:val="21"/>
              </w:rPr>
              <w:t>Nei</w:t>
            </w:r>
          </w:p>
        </w:tc>
      </w:tr>
      <w:tr w:rsidR="00E76DC8" w:rsidRPr="00225D4D" w14:paraId="405387FC"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5D354B1A"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08EFD29" w14:textId="77777777" w:rsidR="00D60186" w:rsidRPr="00D77759" w:rsidRDefault="00D60186" w:rsidP="00D77759">
            <w:pPr>
              <w:ind w:right="113"/>
              <w:jc w:val="right"/>
              <w:rPr>
                <w:sz w:val="21"/>
                <w:szCs w:val="21"/>
              </w:rPr>
            </w:pPr>
            <w:r w:rsidRPr="00D77759">
              <w:rPr>
                <w:sz w:val="21"/>
                <w:szCs w:val="21"/>
              </w:rPr>
              <w:t>21</w:t>
            </w:r>
          </w:p>
        </w:tc>
        <w:tc>
          <w:tcPr>
            <w:tcW w:w="5860" w:type="dxa"/>
            <w:tcBorders>
              <w:top w:val="nil"/>
              <w:left w:val="nil"/>
              <w:bottom w:val="nil"/>
              <w:right w:val="nil"/>
            </w:tcBorders>
            <w:tcMar>
              <w:top w:w="128" w:type="dxa"/>
              <w:left w:w="43" w:type="dxa"/>
              <w:bottom w:w="43" w:type="dxa"/>
              <w:right w:w="43" w:type="dxa"/>
            </w:tcMar>
            <w:vAlign w:val="bottom"/>
          </w:tcPr>
          <w:p w14:paraId="6892EA21" w14:textId="77777777" w:rsidR="00D60186" w:rsidRPr="00D77759" w:rsidRDefault="00D60186" w:rsidP="00225D4D">
            <w:pPr>
              <w:rPr>
                <w:sz w:val="21"/>
                <w:szCs w:val="21"/>
              </w:rPr>
            </w:pPr>
            <w:r w:rsidRPr="00D77759">
              <w:rPr>
                <w:sz w:val="21"/>
                <w:szCs w:val="21"/>
              </w:rPr>
              <w:t>Betre tilgang på utdanning i og på kvensk og samisk</w:t>
            </w:r>
          </w:p>
        </w:tc>
        <w:tc>
          <w:tcPr>
            <w:tcW w:w="1240" w:type="dxa"/>
            <w:tcBorders>
              <w:top w:val="nil"/>
              <w:left w:val="nil"/>
              <w:bottom w:val="nil"/>
              <w:right w:val="nil"/>
            </w:tcBorders>
            <w:tcMar>
              <w:top w:w="128" w:type="dxa"/>
              <w:left w:w="43" w:type="dxa"/>
              <w:bottom w:w="43" w:type="dxa"/>
              <w:right w:w="43" w:type="dxa"/>
            </w:tcMar>
            <w:vAlign w:val="bottom"/>
          </w:tcPr>
          <w:p w14:paraId="672CE4D4" w14:textId="77777777" w:rsidR="00D60186" w:rsidRPr="00D77759" w:rsidRDefault="00D60186" w:rsidP="00D77759">
            <w:pPr>
              <w:jc w:val="right"/>
              <w:rPr>
                <w:sz w:val="21"/>
                <w:szCs w:val="21"/>
              </w:rPr>
            </w:pPr>
            <w:r w:rsidRPr="00D77759">
              <w:rPr>
                <w:sz w:val="21"/>
                <w:szCs w:val="21"/>
              </w:rPr>
              <w:t>Nei</w:t>
            </w:r>
          </w:p>
        </w:tc>
      </w:tr>
      <w:tr w:rsidR="00E76DC8" w:rsidRPr="00225D4D" w14:paraId="1F75D15F"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5F94A8C2"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51B0EFD" w14:textId="77777777" w:rsidR="00D60186" w:rsidRPr="00D77759" w:rsidRDefault="00D60186" w:rsidP="00D77759">
            <w:pPr>
              <w:ind w:right="113"/>
              <w:jc w:val="right"/>
              <w:rPr>
                <w:sz w:val="21"/>
                <w:szCs w:val="21"/>
              </w:rPr>
            </w:pPr>
            <w:r w:rsidRPr="00D77759">
              <w:rPr>
                <w:sz w:val="21"/>
                <w:szCs w:val="21"/>
              </w:rPr>
              <w:t xml:space="preserve">60 </w:t>
            </w:r>
          </w:p>
        </w:tc>
        <w:tc>
          <w:tcPr>
            <w:tcW w:w="5860" w:type="dxa"/>
            <w:tcBorders>
              <w:top w:val="nil"/>
              <w:left w:val="nil"/>
              <w:bottom w:val="nil"/>
              <w:right w:val="nil"/>
            </w:tcBorders>
            <w:tcMar>
              <w:top w:w="128" w:type="dxa"/>
              <w:left w:w="43" w:type="dxa"/>
              <w:bottom w:w="43" w:type="dxa"/>
              <w:right w:w="43" w:type="dxa"/>
            </w:tcMar>
          </w:tcPr>
          <w:p w14:paraId="5A1AEB0E" w14:textId="77777777" w:rsidR="00D60186" w:rsidRPr="00D77759" w:rsidRDefault="00D60186" w:rsidP="00225D4D">
            <w:pPr>
              <w:rPr>
                <w:sz w:val="21"/>
                <w:szCs w:val="21"/>
              </w:rPr>
            </w:pPr>
            <w:r w:rsidRPr="00D77759">
              <w:rPr>
                <w:sz w:val="21"/>
                <w:szCs w:val="21"/>
              </w:rPr>
              <w:t xml:space="preserve">Samarbeid i overgangen mellom ulike nivå i </w:t>
            </w:r>
            <w:proofErr w:type="spellStart"/>
            <w:r w:rsidRPr="00D77759">
              <w:rPr>
                <w:sz w:val="21"/>
                <w:szCs w:val="21"/>
              </w:rPr>
              <w:t>skulen</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55B86E8C" w14:textId="77777777" w:rsidR="00D60186" w:rsidRPr="00D77759" w:rsidRDefault="00D60186" w:rsidP="00D77759">
            <w:pPr>
              <w:jc w:val="right"/>
              <w:rPr>
                <w:sz w:val="21"/>
                <w:szCs w:val="21"/>
              </w:rPr>
            </w:pPr>
            <w:r w:rsidRPr="00D77759">
              <w:rPr>
                <w:sz w:val="21"/>
                <w:szCs w:val="21"/>
              </w:rPr>
              <w:t>Nei</w:t>
            </w:r>
          </w:p>
        </w:tc>
      </w:tr>
      <w:tr w:rsidR="00E76DC8" w:rsidRPr="00225D4D" w14:paraId="627B5364"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05EDDB31"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10FEAAB0" w14:textId="77777777" w:rsidR="00D60186" w:rsidRPr="00D77759" w:rsidRDefault="00D60186" w:rsidP="00D77759">
            <w:pPr>
              <w:ind w:right="113"/>
              <w:jc w:val="right"/>
              <w:rPr>
                <w:sz w:val="21"/>
                <w:szCs w:val="21"/>
              </w:rPr>
            </w:pPr>
            <w:r w:rsidRPr="00D77759">
              <w:rPr>
                <w:sz w:val="21"/>
                <w:szCs w:val="21"/>
              </w:rPr>
              <w:t>61</w:t>
            </w:r>
          </w:p>
        </w:tc>
        <w:tc>
          <w:tcPr>
            <w:tcW w:w="5860" w:type="dxa"/>
            <w:tcBorders>
              <w:top w:val="nil"/>
              <w:left w:val="nil"/>
              <w:bottom w:val="nil"/>
              <w:right w:val="nil"/>
            </w:tcBorders>
            <w:tcMar>
              <w:top w:w="128" w:type="dxa"/>
              <w:left w:w="43" w:type="dxa"/>
              <w:bottom w:w="43" w:type="dxa"/>
              <w:right w:w="43" w:type="dxa"/>
            </w:tcMar>
          </w:tcPr>
          <w:p w14:paraId="14E6EB25" w14:textId="77777777" w:rsidR="00D60186" w:rsidRPr="00D77759" w:rsidRDefault="00D60186" w:rsidP="00225D4D">
            <w:pPr>
              <w:rPr>
                <w:sz w:val="21"/>
                <w:szCs w:val="21"/>
              </w:rPr>
            </w:pPr>
            <w:r w:rsidRPr="00D77759">
              <w:rPr>
                <w:sz w:val="21"/>
                <w:szCs w:val="21"/>
              </w:rPr>
              <w:t xml:space="preserve">Undervisningsopplegg om </w:t>
            </w:r>
            <w:proofErr w:type="spellStart"/>
            <w:r w:rsidRPr="00D77759">
              <w:rPr>
                <w:sz w:val="21"/>
                <w:szCs w:val="21"/>
              </w:rPr>
              <w:t>livsmeistring</w:t>
            </w:r>
            <w:proofErr w:type="spellEnd"/>
            <w:r w:rsidRPr="00D77759">
              <w:rPr>
                <w:sz w:val="21"/>
                <w:szCs w:val="21"/>
              </w:rPr>
              <w:t xml:space="preserve"> og folkehelse</w:t>
            </w:r>
          </w:p>
        </w:tc>
        <w:tc>
          <w:tcPr>
            <w:tcW w:w="1240" w:type="dxa"/>
            <w:tcBorders>
              <w:top w:val="nil"/>
              <w:left w:val="nil"/>
              <w:bottom w:val="nil"/>
              <w:right w:val="nil"/>
            </w:tcBorders>
            <w:tcMar>
              <w:top w:w="128" w:type="dxa"/>
              <w:left w:w="43" w:type="dxa"/>
              <w:bottom w:w="43" w:type="dxa"/>
              <w:right w:w="43" w:type="dxa"/>
            </w:tcMar>
            <w:vAlign w:val="bottom"/>
          </w:tcPr>
          <w:p w14:paraId="79D7AFAC" w14:textId="77777777" w:rsidR="00D60186" w:rsidRPr="00D77759" w:rsidRDefault="00D60186" w:rsidP="00D77759">
            <w:pPr>
              <w:jc w:val="right"/>
              <w:rPr>
                <w:sz w:val="21"/>
                <w:szCs w:val="21"/>
              </w:rPr>
            </w:pPr>
            <w:r w:rsidRPr="00D77759">
              <w:rPr>
                <w:sz w:val="21"/>
                <w:szCs w:val="21"/>
              </w:rPr>
              <w:t>Ja</w:t>
            </w:r>
          </w:p>
        </w:tc>
      </w:tr>
      <w:tr w:rsidR="00E76DC8" w:rsidRPr="00225D4D" w14:paraId="0A1E202C"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303B118D"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51D091D" w14:textId="77777777" w:rsidR="00D60186" w:rsidRPr="00D77759" w:rsidRDefault="00D60186" w:rsidP="00D77759">
            <w:pPr>
              <w:ind w:right="113"/>
              <w:jc w:val="right"/>
              <w:rPr>
                <w:sz w:val="21"/>
                <w:szCs w:val="21"/>
              </w:rPr>
            </w:pPr>
            <w:r w:rsidRPr="00D77759">
              <w:rPr>
                <w:sz w:val="21"/>
                <w:szCs w:val="21"/>
              </w:rPr>
              <w:t>62</w:t>
            </w:r>
          </w:p>
        </w:tc>
        <w:tc>
          <w:tcPr>
            <w:tcW w:w="5860" w:type="dxa"/>
            <w:tcBorders>
              <w:top w:val="nil"/>
              <w:left w:val="nil"/>
              <w:bottom w:val="nil"/>
              <w:right w:val="nil"/>
            </w:tcBorders>
            <w:tcMar>
              <w:top w:w="128" w:type="dxa"/>
              <w:left w:w="43" w:type="dxa"/>
              <w:bottom w:w="43" w:type="dxa"/>
              <w:right w:w="43" w:type="dxa"/>
            </w:tcMar>
          </w:tcPr>
          <w:p w14:paraId="25F394E6" w14:textId="77777777" w:rsidR="00D60186" w:rsidRPr="00D77759" w:rsidRDefault="00D60186" w:rsidP="00225D4D">
            <w:pPr>
              <w:rPr>
                <w:sz w:val="21"/>
                <w:szCs w:val="21"/>
              </w:rPr>
            </w:pPr>
            <w:proofErr w:type="spellStart"/>
            <w:r w:rsidRPr="00D77759">
              <w:rPr>
                <w:sz w:val="21"/>
                <w:szCs w:val="21"/>
              </w:rPr>
              <w:t>Vidareføring</w:t>
            </w:r>
            <w:proofErr w:type="spellEnd"/>
            <w:r w:rsidRPr="00D77759">
              <w:rPr>
                <w:sz w:val="21"/>
                <w:szCs w:val="21"/>
              </w:rPr>
              <w:t xml:space="preserve"> og utvikling av </w:t>
            </w:r>
            <w:proofErr w:type="spellStart"/>
            <w:r w:rsidRPr="00D77759">
              <w:rPr>
                <w:sz w:val="21"/>
                <w:szCs w:val="21"/>
              </w:rPr>
              <w:t>mobbeombodsordninga</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0CA3FC99" w14:textId="77777777" w:rsidR="00D60186" w:rsidRPr="00D77759" w:rsidRDefault="00D60186" w:rsidP="00D77759">
            <w:pPr>
              <w:jc w:val="right"/>
              <w:rPr>
                <w:sz w:val="21"/>
                <w:szCs w:val="21"/>
              </w:rPr>
            </w:pPr>
            <w:r w:rsidRPr="00D77759">
              <w:rPr>
                <w:sz w:val="21"/>
                <w:szCs w:val="21"/>
              </w:rPr>
              <w:t>Nei</w:t>
            </w:r>
          </w:p>
        </w:tc>
      </w:tr>
      <w:tr w:rsidR="00E76DC8" w:rsidRPr="00225D4D" w14:paraId="2EDFBBFC"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40C5005E"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0ABDB75" w14:textId="77777777" w:rsidR="00D60186" w:rsidRPr="00D77759" w:rsidRDefault="00D60186" w:rsidP="00D77759">
            <w:pPr>
              <w:ind w:right="113"/>
              <w:jc w:val="right"/>
              <w:rPr>
                <w:sz w:val="21"/>
                <w:szCs w:val="21"/>
              </w:rPr>
            </w:pPr>
            <w:r w:rsidRPr="00D77759">
              <w:rPr>
                <w:sz w:val="21"/>
                <w:szCs w:val="21"/>
              </w:rPr>
              <w:t>63</w:t>
            </w:r>
          </w:p>
        </w:tc>
        <w:tc>
          <w:tcPr>
            <w:tcW w:w="5860" w:type="dxa"/>
            <w:tcBorders>
              <w:top w:val="nil"/>
              <w:left w:val="nil"/>
              <w:bottom w:val="nil"/>
              <w:right w:val="nil"/>
            </w:tcBorders>
            <w:tcMar>
              <w:top w:w="128" w:type="dxa"/>
              <w:left w:w="43" w:type="dxa"/>
              <w:bottom w:w="43" w:type="dxa"/>
              <w:right w:w="43" w:type="dxa"/>
            </w:tcMar>
          </w:tcPr>
          <w:p w14:paraId="3C0EF205" w14:textId="77777777" w:rsidR="00D60186" w:rsidRPr="00D77759" w:rsidRDefault="00D60186" w:rsidP="00225D4D">
            <w:pPr>
              <w:rPr>
                <w:sz w:val="21"/>
                <w:szCs w:val="21"/>
              </w:rPr>
            </w:pPr>
            <w:r w:rsidRPr="00D77759">
              <w:rPr>
                <w:sz w:val="21"/>
                <w:szCs w:val="21"/>
              </w:rPr>
              <w:t xml:space="preserve">Opptrappingsplan for </w:t>
            </w:r>
            <w:proofErr w:type="spellStart"/>
            <w:r w:rsidRPr="00D77759">
              <w:rPr>
                <w:sz w:val="21"/>
                <w:szCs w:val="21"/>
              </w:rPr>
              <w:t>skulemåltid</w:t>
            </w:r>
            <w:proofErr w:type="spellEnd"/>
            <w:r w:rsidRPr="00D77759">
              <w:rPr>
                <w:sz w:val="21"/>
                <w:szCs w:val="21"/>
              </w:rPr>
              <w:t xml:space="preserve"> i </w:t>
            </w:r>
            <w:proofErr w:type="spellStart"/>
            <w:r w:rsidRPr="00D77759">
              <w:rPr>
                <w:sz w:val="21"/>
                <w:szCs w:val="21"/>
              </w:rPr>
              <w:t>grunnskulen</w:t>
            </w:r>
            <w:proofErr w:type="spellEnd"/>
          </w:p>
        </w:tc>
        <w:tc>
          <w:tcPr>
            <w:tcW w:w="1240" w:type="dxa"/>
            <w:tcBorders>
              <w:top w:val="nil"/>
              <w:left w:val="nil"/>
              <w:bottom w:val="nil"/>
              <w:right w:val="nil"/>
            </w:tcBorders>
            <w:tcMar>
              <w:top w:w="128" w:type="dxa"/>
              <w:left w:w="43" w:type="dxa"/>
              <w:bottom w:w="43" w:type="dxa"/>
              <w:right w:w="43" w:type="dxa"/>
            </w:tcMar>
            <w:vAlign w:val="bottom"/>
          </w:tcPr>
          <w:p w14:paraId="24676D7B" w14:textId="77777777" w:rsidR="00D60186" w:rsidRPr="00D77759" w:rsidRDefault="00D60186" w:rsidP="00D77759">
            <w:pPr>
              <w:jc w:val="right"/>
              <w:rPr>
                <w:sz w:val="21"/>
                <w:szCs w:val="21"/>
              </w:rPr>
            </w:pPr>
            <w:r w:rsidRPr="00D77759">
              <w:rPr>
                <w:sz w:val="21"/>
                <w:szCs w:val="21"/>
              </w:rPr>
              <w:t>Ja</w:t>
            </w:r>
          </w:p>
        </w:tc>
      </w:tr>
      <w:tr w:rsidR="00E76DC8" w:rsidRPr="00225D4D" w14:paraId="4B3415CE"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583B8425"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7E4951DC" w14:textId="77777777" w:rsidR="00D60186" w:rsidRPr="00D77759" w:rsidRDefault="00D60186" w:rsidP="00D77759">
            <w:pPr>
              <w:ind w:right="113"/>
              <w:jc w:val="right"/>
              <w:rPr>
                <w:sz w:val="21"/>
                <w:szCs w:val="21"/>
              </w:rPr>
            </w:pPr>
            <w:r w:rsidRPr="00D77759">
              <w:rPr>
                <w:sz w:val="21"/>
                <w:szCs w:val="21"/>
              </w:rPr>
              <w:t>64</w:t>
            </w:r>
          </w:p>
        </w:tc>
        <w:tc>
          <w:tcPr>
            <w:tcW w:w="5860" w:type="dxa"/>
            <w:tcBorders>
              <w:top w:val="nil"/>
              <w:left w:val="nil"/>
              <w:bottom w:val="nil"/>
              <w:right w:val="nil"/>
            </w:tcBorders>
            <w:tcMar>
              <w:top w:w="128" w:type="dxa"/>
              <w:left w:w="43" w:type="dxa"/>
              <w:bottom w:w="43" w:type="dxa"/>
              <w:right w:w="43" w:type="dxa"/>
            </w:tcMar>
          </w:tcPr>
          <w:p w14:paraId="5DD65DA1" w14:textId="77777777" w:rsidR="00D60186" w:rsidRPr="00D77759" w:rsidRDefault="00D60186" w:rsidP="00225D4D">
            <w:pPr>
              <w:rPr>
                <w:sz w:val="21"/>
                <w:szCs w:val="21"/>
              </w:rPr>
            </w:pPr>
            <w:bookmarkStart w:id="1" w:name="RTF5f486c6b3230303039333136"/>
            <w:r w:rsidRPr="00D77759">
              <w:rPr>
                <w:sz w:val="21"/>
                <w:szCs w:val="21"/>
              </w:rPr>
              <w:t xml:space="preserve">Utgreiing av styrking av laget rundt </w:t>
            </w:r>
            <w:proofErr w:type="spellStart"/>
            <w:r w:rsidRPr="00D77759">
              <w:rPr>
                <w:sz w:val="21"/>
                <w:szCs w:val="21"/>
              </w:rPr>
              <w:t>elevar</w:t>
            </w:r>
            <w:proofErr w:type="spellEnd"/>
            <w:r w:rsidRPr="00D77759">
              <w:rPr>
                <w:sz w:val="21"/>
                <w:szCs w:val="21"/>
              </w:rPr>
              <w:t xml:space="preserve"> og </w:t>
            </w:r>
            <w:proofErr w:type="spellStart"/>
            <w:r w:rsidRPr="00D77759">
              <w:rPr>
                <w:sz w:val="21"/>
                <w:szCs w:val="21"/>
              </w:rPr>
              <w:t>lærarar</w:t>
            </w:r>
            <w:bookmarkEnd w:id="1"/>
            <w:proofErr w:type="spellEnd"/>
          </w:p>
        </w:tc>
        <w:tc>
          <w:tcPr>
            <w:tcW w:w="1240" w:type="dxa"/>
            <w:tcBorders>
              <w:top w:val="nil"/>
              <w:left w:val="nil"/>
              <w:bottom w:val="nil"/>
              <w:right w:val="nil"/>
            </w:tcBorders>
            <w:tcMar>
              <w:top w:w="128" w:type="dxa"/>
              <w:left w:w="43" w:type="dxa"/>
              <w:bottom w:w="43" w:type="dxa"/>
              <w:right w:w="43" w:type="dxa"/>
            </w:tcMar>
            <w:vAlign w:val="bottom"/>
          </w:tcPr>
          <w:p w14:paraId="03D2DB4F" w14:textId="77777777" w:rsidR="00D60186" w:rsidRPr="00D77759" w:rsidRDefault="00D60186" w:rsidP="00D77759">
            <w:pPr>
              <w:jc w:val="right"/>
              <w:rPr>
                <w:sz w:val="21"/>
                <w:szCs w:val="21"/>
              </w:rPr>
            </w:pPr>
            <w:r w:rsidRPr="00D77759">
              <w:rPr>
                <w:sz w:val="21"/>
                <w:szCs w:val="21"/>
              </w:rPr>
              <w:t>Ja</w:t>
            </w:r>
          </w:p>
        </w:tc>
      </w:tr>
      <w:tr w:rsidR="00E76DC8" w:rsidRPr="00225D4D" w14:paraId="0EB08CE1"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8354AD7"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1F84ED21" w14:textId="77777777" w:rsidR="00D60186" w:rsidRPr="00D77759" w:rsidRDefault="00D60186" w:rsidP="00D77759">
            <w:pPr>
              <w:ind w:right="113"/>
              <w:jc w:val="right"/>
              <w:rPr>
                <w:sz w:val="21"/>
                <w:szCs w:val="21"/>
              </w:rPr>
            </w:pPr>
            <w:r w:rsidRPr="00D77759">
              <w:rPr>
                <w:sz w:val="21"/>
                <w:szCs w:val="21"/>
              </w:rPr>
              <w:t>65</w:t>
            </w:r>
          </w:p>
        </w:tc>
        <w:tc>
          <w:tcPr>
            <w:tcW w:w="5860" w:type="dxa"/>
            <w:tcBorders>
              <w:top w:val="nil"/>
              <w:left w:val="nil"/>
              <w:bottom w:val="nil"/>
              <w:right w:val="nil"/>
            </w:tcBorders>
            <w:tcMar>
              <w:top w:w="128" w:type="dxa"/>
              <w:left w:w="43" w:type="dxa"/>
              <w:bottom w:w="43" w:type="dxa"/>
              <w:right w:w="43" w:type="dxa"/>
            </w:tcMar>
          </w:tcPr>
          <w:p w14:paraId="4989C85B" w14:textId="77777777" w:rsidR="00D60186" w:rsidRPr="00D77759" w:rsidRDefault="00D60186" w:rsidP="00225D4D">
            <w:pPr>
              <w:rPr>
                <w:sz w:val="21"/>
                <w:szCs w:val="21"/>
              </w:rPr>
            </w:pPr>
            <w:r w:rsidRPr="00D77759">
              <w:rPr>
                <w:sz w:val="21"/>
                <w:szCs w:val="21"/>
              </w:rPr>
              <w:t xml:space="preserve">Strategi for spesialpedagogisk kompetanse i </w:t>
            </w:r>
            <w:proofErr w:type="spellStart"/>
            <w:r w:rsidRPr="00D77759">
              <w:rPr>
                <w:sz w:val="21"/>
                <w:szCs w:val="21"/>
              </w:rPr>
              <w:t>skulen</w:t>
            </w:r>
            <w:proofErr w:type="spellEnd"/>
            <w:r w:rsidRPr="00D77759">
              <w:rPr>
                <w:sz w:val="21"/>
                <w:szCs w:val="21"/>
              </w:rPr>
              <w:t xml:space="preserve"> og </w:t>
            </w:r>
            <w:proofErr w:type="spellStart"/>
            <w:r w:rsidRPr="00D77759">
              <w:rPr>
                <w:sz w:val="21"/>
                <w:szCs w:val="21"/>
              </w:rPr>
              <w:t>tilstrekkeleg</w:t>
            </w:r>
            <w:proofErr w:type="spellEnd"/>
            <w:r w:rsidRPr="00D77759">
              <w:rPr>
                <w:sz w:val="21"/>
                <w:szCs w:val="21"/>
              </w:rPr>
              <w:t xml:space="preserve"> kapasitet i PP-</w:t>
            </w:r>
            <w:proofErr w:type="spellStart"/>
            <w:r w:rsidRPr="00D77759">
              <w:rPr>
                <w:sz w:val="21"/>
                <w:szCs w:val="21"/>
              </w:rPr>
              <w:t>tenesta</w:t>
            </w:r>
            <w:proofErr w:type="spellEnd"/>
          </w:p>
        </w:tc>
        <w:tc>
          <w:tcPr>
            <w:tcW w:w="1240" w:type="dxa"/>
            <w:tcBorders>
              <w:top w:val="nil"/>
              <w:left w:val="nil"/>
              <w:bottom w:val="nil"/>
              <w:right w:val="nil"/>
            </w:tcBorders>
            <w:tcMar>
              <w:top w:w="128" w:type="dxa"/>
              <w:left w:w="43" w:type="dxa"/>
              <w:bottom w:w="43" w:type="dxa"/>
              <w:right w:w="43" w:type="dxa"/>
            </w:tcMar>
          </w:tcPr>
          <w:p w14:paraId="45D81BD5" w14:textId="77777777" w:rsidR="00D60186" w:rsidRPr="00D77759" w:rsidRDefault="00D60186" w:rsidP="00D77759">
            <w:pPr>
              <w:jc w:val="right"/>
              <w:rPr>
                <w:sz w:val="21"/>
                <w:szCs w:val="21"/>
              </w:rPr>
            </w:pPr>
            <w:r w:rsidRPr="00D77759">
              <w:rPr>
                <w:sz w:val="21"/>
                <w:szCs w:val="21"/>
              </w:rPr>
              <w:t>Nei</w:t>
            </w:r>
          </w:p>
        </w:tc>
      </w:tr>
      <w:tr w:rsidR="00E76DC8" w:rsidRPr="00225D4D" w14:paraId="6298B004"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61946B1"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32B9BB8F" w14:textId="77777777" w:rsidR="00D60186" w:rsidRPr="00D77759" w:rsidRDefault="00D60186" w:rsidP="00D77759">
            <w:pPr>
              <w:ind w:right="113"/>
              <w:jc w:val="right"/>
              <w:rPr>
                <w:sz w:val="21"/>
                <w:szCs w:val="21"/>
              </w:rPr>
            </w:pPr>
            <w:r w:rsidRPr="00D77759">
              <w:rPr>
                <w:sz w:val="21"/>
                <w:szCs w:val="21"/>
              </w:rPr>
              <w:t>81</w:t>
            </w:r>
          </w:p>
        </w:tc>
        <w:tc>
          <w:tcPr>
            <w:tcW w:w="5860" w:type="dxa"/>
            <w:tcBorders>
              <w:top w:val="nil"/>
              <w:left w:val="nil"/>
              <w:bottom w:val="nil"/>
              <w:right w:val="nil"/>
            </w:tcBorders>
            <w:tcMar>
              <w:top w:w="128" w:type="dxa"/>
              <w:left w:w="43" w:type="dxa"/>
              <w:bottom w:w="43" w:type="dxa"/>
              <w:right w:w="43" w:type="dxa"/>
            </w:tcMar>
          </w:tcPr>
          <w:p w14:paraId="1A5D2CD3" w14:textId="77777777" w:rsidR="00D60186" w:rsidRPr="00D77759" w:rsidRDefault="00D60186" w:rsidP="00225D4D">
            <w:pPr>
              <w:rPr>
                <w:sz w:val="21"/>
                <w:szCs w:val="21"/>
              </w:rPr>
            </w:pPr>
            <w:proofErr w:type="spellStart"/>
            <w:r w:rsidRPr="00D77759">
              <w:rPr>
                <w:sz w:val="21"/>
                <w:szCs w:val="21"/>
              </w:rPr>
              <w:t>Fremje</w:t>
            </w:r>
            <w:proofErr w:type="spellEnd"/>
            <w:r w:rsidRPr="00D77759">
              <w:rPr>
                <w:sz w:val="21"/>
                <w:szCs w:val="21"/>
              </w:rPr>
              <w:t xml:space="preserve"> forslag om å lovfeste rett til 12 </w:t>
            </w:r>
            <w:proofErr w:type="spellStart"/>
            <w:r w:rsidRPr="00D77759">
              <w:rPr>
                <w:sz w:val="21"/>
                <w:szCs w:val="21"/>
              </w:rPr>
              <w:t>timar</w:t>
            </w:r>
            <w:proofErr w:type="spellEnd"/>
            <w:r w:rsidRPr="00D77759">
              <w:rPr>
                <w:sz w:val="21"/>
                <w:szCs w:val="21"/>
              </w:rPr>
              <w:t xml:space="preserve"> gratis SFO </w:t>
            </w:r>
            <w:r w:rsidRPr="00D77759">
              <w:rPr>
                <w:sz w:val="21"/>
                <w:szCs w:val="21"/>
              </w:rPr>
              <w:br/>
              <w:t>på 1.–3. trinn</w:t>
            </w:r>
          </w:p>
        </w:tc>
        <w:tc>
          <w:tcPr>
            <w:tcW w:w="1240" w:type="dxa"/>
            <w:tcBorders>
              <w:top w:val="nil"/>
              <w:left w:val="nil"/>
              <w:bottom w:val="nil"/>
              <w:right w:val="nil"/>
            </w:tcBorders>
            <w:tcMar>
              <w:top w:w="128" w:type="dxa"/>
              <w:left w:w="43" w:type="dxa"/>
              <w:bottom w:w="43" w:type="dxa"/>
              <w:right w:w="43" w:type="dxa"/>
            </w:tcMar>
          </w:tcPr>
          <w:p w14:paraId="038D6642" w14:textId="77777777" w:rsidR="00D60186" w:rsidRPr="00D77759" w:rsidRDefault="00D60186" w:rsidP="00D77759">
            <w:pPr>
              <w:jc w:val="right"/>
              <w:rPr>
                <w:sz w:val="21"/>
                <w:szCs w:val="21"/>
              </w:rPr>
            </w:pPr>
            <w:r w:rsidRPr="00D77759">
              <w:rPr>
                <w:sz w:val="21"/>
                <w:szCs w:val="21"/>
              </w:rPr>
              <w:t>Ja</w:t>
            </w:r>
          </w:p>
        </w:tc>
      </w:tr>
      <w:tr w:rsidR="00E76DC8" w:rsidRPr="00225D4D" w14:paraId="07592B35"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16A57295"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4296B89" w14:textId="77777777" w:rsidR="00D60186" w:rsidRPr="00D77759" w:rsidRDefault="00D60186" w:rsidP="00D77759">
            <w:pPr>
              <w:ind w:right="113"/>
              <w:jc w:val="right"/>
              <w:rPr>
                <w:sz w:val="21"/>
                <w:szCs w:val="21"/>
              </w:rPr>
            </w:pPr>
            <w:r w:rsidRPr="00D77759">
              <w:rPr>
                <w:sz w:val="21"/>
                <w:szCs w:val="21"/>
              </w:rPr>
              <w:t>481</w:t>
            </w:r>
          </w:p>
        </w:tc>
        <w:tc>
          <w:tcPr>
            <w:tcW w:w="5860" w:type="dxa"/>
            <w:tcBorders>
              <w:top w:val="nil"/>
              <w:left w:val="nil"/>
              <w:bottom w:val="nil"/>
              <w:right w:val="nil"/>
            </w:tcBorders>
            <w:tcMar>
              <w:top w:w="128" w:type="dxa"/>
              <w:left w:w="43" w:type="dxa"/>
              <w:bottom w:w="43" w:type="dxa"/>
              <w:right w:w="43" w:type="dxa"/>
            </w:tcMar>
          </w:tcPr>
          <w:p w14:paraId="240F4375" w14:textId="77777777" w:rsidR="00D60186" w:rsidRPr="00D77759" w:rsidRDefault="00D60186" w:rsidP="00225D4D">
            <w:pPr>
              <w:rPr>
                <w:sz w:val="21"/>
                <w:szCs w:val="21"/>
              </w:rPr>
            </w:pPr>
            <w:r w:rsidRPr="00D77759">
              <w:rPr>
                <w:sz w:val="21"/>
                <w:szCs w:val="21"/>
              </w:rPr>
              <w:t xml:space="preserve">Styrke satsinga på </w:t>
            </w:r>
            <w:proofErr w:type="spellStart"/>
            <w:r w:rsidRPr="00D77759">
              <w:rPr>
                <w:sz w:val="21"/>
                <w:szCs w:val="21"/>
              </w:rPr>
              <w:t>teiknspråklege</w:t>
            </w:r>
            <w:proofErr w:type="spellEnd"/>
            <w:r w:rsidRPr="00D77759">
              <w:rPr>
                <w:sz w:val="21"/>
                <w:szCs w:val="21"/>
              </w:rPr>
              <w:t xml:space="preserve"> læremiddel</w:t>
            </w:r>
          </w:p>
        </w:tc>
        <w:tc>
          <w:tcPr>
            <w:tcW w:w="1240" w:type="dxa"/>
            <w:tcBorders>
              <w:top w:val="nil"/>
              <w:left w:val="nil"/>
              <w:bottom w:val="nil"/>
              <w:right w:val="nil"/>
            </w:tcBorders>
            <w:tcMar>
              <w:top w:w="128" w:type="dxa"/>
              <w:left w:w="43" w:type="dxa"/>
              <w:bottom w:w="43" w:type="dxa"/>
              <w:right w:w="43" w:type="dxa"/>
            </w:tcMar>
            <w:vAlign w:val="bottom"/>
          </w:tcPr>
          <w:p w14:paraId="789BAD6D" w14:textId="77777777" w:rsidR="00D60186" w:rsidRPr="00D77759" w:rsidRDefault="00D60186" w:rsidP="00D77759">
            <w:pPr>
              <w:jc w:val="right"/>
              <w:rPr>
                <w:sz w:val="21"/>
                <w:szCs w:val="21"/>
              </w:rPr>
            </w:pPr>
            <w:r w:rsidRPr="00D77759">
              <w:rPr>
                <w:sz w:val="21"/>
                <w:szCs w:val="21"/>
              </w:rPr>
              <w:t>Ja</w:t>
            </w:r>
          </w:p>
        </w:tc>
      </w:tr>
      <w:tr w:rsidR="00E76DC8" w:rsidRPr="00225D4D" w14:paraId="7C8798F1"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02DB466E"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3129A9F3" w14:textId="77777777" w:rsidR="00D60186" w:rsidRPr="00D77759" w:rsidRDefault="00D60186" w:rsidP="00D77759">
            <w:pPr>
              <w:ind w:right="113"/>
              <w:jc w:val="right"/>
              <w:rPr>
                <w:sz w:val="21"/>
                <w:szCs w:val="21"/>
              </w:rPr>
            </w:pPr>
            <w:r w:rsidRPr="00D77759">
              <w:rPr>
                <w:sz w:val="21"/>
                <w:szCs w:val="21"/>
              </w:rPr>
              <w:t>487</w:t>
            </w:r>
          </w:p>
        </w:tc>
        <w:tc>
          <w:tcPr>
            <w:tcW w:w="5860" w:type="dxa"/>
            <w:tcBorders>
              <w:top w:val="nil"/>
              <w:left w:val="nil"/>
              <w:bottom w:val="nil"/>
              <w:right w:val="nil"/>
            </w:tcBorders>
            <w:tcMar>
              <w:top w:w="128" w:type="dxa"/>
              <w:left w:w="43" w:type="dxa"/>
              <w:bottom w:w="43" w:type="dxa"/>
              <w:right w:w="43" w:type="dxa"/>
            </w:tcMar>
          </w:tcPr>
          <w:p w14:paraId="2669ADC4" w14:textId="77777777" w:rsidR="00D60186" w:rsidRPr="00D77759" w:rsidRDefault="00D60186" w:rsidP="00225D4D">
            <w:pPr>
              <w:rPr>
                <w:sz w:val="21"/>
                <w:szCs w:val="21"/>
              </w:rPr>
            </w:pPr>
            <w:proofErr w:type="spellStart"/>
            <w:r w:rsidRPr="00D77759">
              <w:rPr>
                <w:sz w:val="21"/>
                <w:szCs w:val="21"/>
              </w:rPr>
              <w:t>Julegudstenester</w:t>
            </w:r>
            <w:proofErr w:type="spellEnd"/>
            <w:r w:rsidRPr="00D77759">
              <w:rPr>
                <w:sz w:val="21"/>
                <w:szCs w:val="21"/>
              </w:rPr>
              <w:t xml:space="preserve"> i opplæringslova</w:t>
            </w:r>
          </w:p>
        </w:tc>
        <w:tc>
          <w:tcPr>
            <w:tcW w:w="1240" w:type="dxa"/>
            <w:tcBorders>
              <w:top w:val="nil"/>
              <w:left w:val="nil"/>
              <w:bottom w:val="nil"/>
              <w:right w:val="nil"/>
            </w:tcBorders>
            <w:tcMar>
              <w:top w:w="128" w:type="dxa"/>
              <w:left w:w="43" w:type="dxa"/>
              <w:bottom w:w="43" w:type="dxa"/>
              <w:right w:w="43" w:type="dxa"/>
            </w:tcMar>
            <w:vAlign w:val="bottom"/>
          </w:tcPr>
          <w:p w14:paraId="3F3C048E" w14:textId="77777777" w:rsidR="00D60186" w:rsidRPr="00D77759" w:rsidRDefault="00D60186" w:rsidP="00D77759">
            <w:pPr>
              <w:jc w:val="right"/>
              <w:rPr>
                <w:sz w:val="21"/>
                <w:szCs w:val="21"/>
              </w:rPr>
            </w:pPr>
            <w:r w:rsidRPr="00D77759">
              <w:rPr>
                <w:sz w:val="21"/>
                <w:szCs w:val="21"/>
              </w:rPr>
              <w:t>Ja</w:t>
            </w:r>
          </w:p>
        </w:tc>
      </w:tr>
      <w:tr w:rsidR="00E76DC8" w:rsidRPr="00225D4D" w14:paraId="320C599D"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79036230"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11DAC965" w14:textId="77777777" w:rsidR="00D60186" w:rsidRPr="00D77759" w:rsidRDefault="00D60186" w:rsidP="00D77759">
            <w:pPr>
              <w:ind w:right="113"/>
              <w:jc w:val="right"/>
              <w:rPr>
                <w:sz w:val="21"/>
                <w:szCs w:val="21"/>
              </w:rPr>
            </w:pPr>
            <w:r w:rsidRPr="00D77759">
              <w:rPr>
                <w:sz w:val="21"/>
                <w:szCs w:val="21"/>
              </w:rPr>
              <w:t>490</w:t>
            </w:r>
          </w:p>
        </w:tc>
        <w:tc>
          <w:tcPr>
            <w:tcW w:w="5860" w:type="dxa"/>
            <w:tcBorders>
              <w:top w:val="nil"/>
              <w:left w:val="nil"/>
              <w:bottom w:val="nil"/>
              <w:right w:val="nil"/>
            </w:tcBorders>
            <w:tcMar>
              <w:top w:w="128" w:type="dxa"/>
              <w:left w:w="43" w:type="dxa"/>
              <w:bottom w:w="43" w:type="dxa"/>
              <w:right w:w="43" w:type="dxa"/>
            </w:tcMar>
          </w:tcPr>
          <w:p w14:paraId="116CE835" w14:textId="77777777" w:rsidR="00D60186" w:rsidRPr="00D77759" w:rsidRDefault="00D60186" w:rsidP="00225D4D">
            <w:pPr>
              <w:rPr>
                <w:sz w:val="21"/>
                <w:szCs w:val="21"/>
              </w:rPr>
            </w:pPr>
            <w:r w:rsidRPr="00D77759">
              <w:rPr>
                <w:sz w:val="21"/>
                <w:szCs w:val="21"/>
              </w:rPr>
              <w:t xml:space="preserve">Barnets beste ved </w:t>
            </w:r>
            <w:proofErr w:type="spellStart"/>
            <w:r w:rsidRPr="00D77759">
              <w:rPr>
                <w:sz w:val="21"/>
                <w:szCs w:val="21"/>
              </w:rPr>
              <w:t>oppseiing</w:t>
            </w:r>
            <w:proofErr w:type="spellEnd"/>
            <w:r w:rsidRPr="00D77759">
              <w:rPr>
                <w:sz w:val="21"/>
                <w:szCs w:val="21"/>
              </w:rPr>
              <w:t xml:space="preserve"> av barnehageplass</w:t>
            </w:r>
          </w:p>
        </w:tc>
        <w:tc>
          <w:tcPr>
            <w:tcW w:w="1240" w:type="dxa"/>
            <w:tcBorders>
              <w:top w:val="nil"/>
              <w:left w:val="nil"/>
              <w:bottom w:val="nil"/>
              <w:right w:val="nil"/>
            </w:tcBorders>
            <w:tcMar>
              <w:top w:w="128" w:type="dxa"/>
              <w:left w:w="43" w:type="dxa"/>
              <w:bottom w:w="43" w:type="dxa"/>
              <w:right w:w="43" w:type="dxa"/>
            </w:tcMar>
            <w:vAlign w:val="bottom"/>
          </w:tcPr>
          <w:p w14:paraId="1A14FBCB" w14:textId="77777777" w:rsidR="00D60186" w:rsidRPr="00D77759" w:rsidRDefault="00D60186" w:rsidP="00D77759">
            <w:pPr>
              <w:jc w:val="right"/>
              <w:rPr>
                <w:sz w:val="21"/>
                <w:szCs w:val="21"/>
              </w:rPr>
            </w:pPr>
            <w:r w:rsidRPr="00D77759">
              <w:rPr>
                <w:sz w:val="21"/>
                <w:szCs w:val="21"/>
              </w:rPr>
              <w:t>Ja</w:t>
            </w:r>
          </w:p>
        </w:tc>
      </w:tr>
      <w:tr w:rsidR="00E76DC8" w:rsidRPr="00225D4D" w14:paraId="5CA7F58D" w14:textId="77777777" w:rsidTr="00D77759">
        <w:trPr>
          <w:trHeight w:val="20"/>
        </w:trPr>
        <w:tc>
          <w:tcPr>
            <w:tcW w:w="1200" w:type="dxa"/>
            <w:tcBorders>
              <w:top w:val="nil"/>
              <w:left w:val="nil"/>
              <w:bottom w:val="nil"/>
              <w:right w:val="nil"/>
            </w:tcBorders>
            <w:tcMar>
              <w:top w:w="128" w:type="dxa"/>
              <w:left w:w="43" w:type="dxa"/>
              <w:bottom w:w="43" w:type="dxa"/>
              <w:right w:w="43" w:type="dxa"/>
            </w:tcMar>
            <w:vAlign w:val="bottom"/>
          </w:tcPr>
          <w:p w14:paraId="1ED69EB9"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2A93EC03" w14:textId="77777777" w:rsidR="00D60186" w:rsidRPr="00D77759" w:rsidRDefault="00D60186" w:rsidP="00D77759">
            <w:pPr>
              <w:ind w:right="113"/>
              <w:jc w:val="right"/>
              <w:rPr>
                <w:sz w:val="21"/>
                <w:szCs w:val="21"/>
              </w:rPr>
            </w:pPr>
            <w:r w:rsidRPr="00D77759">
              <w:rPr>
                <w:sz w:val="21"/>
                <w:szCs w:val="21"/>
              </w:rPr>
              <w:t>667</w:t>
            </w:r>
          </w:p>
        </w:tc>
        <w:tc>
          <w:tcPr>
            <w:tcW w:w="5860" w:type="dxa"/>
            <w:tcBorders>
              <w:top w:val="nil"/>
              <w:left w:val="nil"/>
              <w:bottom w:val="nil"/>
              <w:right w:val="nil"/>
            </w:tcBorders>
            <w:tcMar>
              <w:top w:w="128" w:type="dxa"/>
              <w:left w:w="43" w:type="dxa"/>
              <w:bottom w:w="43" w:type="dxa"/>
              <w:right w:w="43" w:type="dxa"/>
            </w:tcMar>
          </w:tcPr>
          <w:p w14:paraId="07D1E98A" w14:textId="77777777" w:rsidR="00D60186" w:rsidRPr="00D77759" w:rsidRDefault="00D60186" w:rsidP="00225D4D">
            <w:pPr>
              <w:rPr>
                <w:sz w:val="21"/>
                <w:szCs w:val="21"/>
              </w:rPr>
            </w:pPr>
            <w:r w:rsidRPr="00D77759">
              <w:rPr>
                <w:sz w:val="21"/>
                <w:szCs w:val="21"/>
              </w:rPr>
              <w:t>Kompetanseheving i samband med endra opplæringslov</w:t>
            </w:r>
          </w:p>
        </w:tc>
        <w:tc>
          <w:tcPr>
            <w:tcW w:w="1240" w:type="dxa"/>
            <w:tcBorders>
              <w:top w:val="nil"/>
              <w:left w:val="nil"/>
              <w:bottom w:val="nil"/>
              <w:right w:val="nil"/>
            </w:tcBorders>
            <w:tcMar>
              <w:top w:w="128" w:type="dxa"/>
              <w:left w:w="43" w:type="dxa"/>
              <w:bottom w:w="43" w:type="dxa"/>
              <w:right w:w="43" w:type="dxa"/>
            </w:tcMar>
            <w:vAlign w:val="bottom"/>
          </w:tcPr>
          <w:p w14:paraId="1AF8FA53" w14:textId="77777777" w:rsidR="00D60186" w:rsidRPr="00D77759" w:rsidRDefault="00D60186" w:rsidP="00D77759">
            <w:pPr>
              <w:jc w:val="right"/>
              <w:rPr>
                <w:sz w:val="21"/>
                <w:szCs w:val="21"/>
              </w:rPr>
            </w:pPr>
            <w:r w:rsidRPr="00D77759">
              <w:rPr>
                <w:sz w:val="21"/>
                <w:szCs w:val="21"/>
              </w:rPr>
              <w:t>Ja</w:t>
            </w:r>
          </w:p>
        </w:tc>
      </w:tr>
      <w:tr w:rsidR="00E76DC8" w:rsidRPr="00225D4D" w14:paraId="09445427" w14:textId="77777777" w:rsidTr="0052516A">
        <w:trPr>
          <w:trHeight w:val="20"/>
        </w:trPr>
        <w:tc>
          <w:tcPr>
            <w:tcW w:w="1200" w:type="dxa"/>
            <w:tcBorders>
              <w:top w:val="nil"/>
              <w:left w:val="nil"/>
              <w:right w:val="nil"/>
            </w:tcBorders>
            <w:tcMar>
              <w:top w:w="128" w:type="dxa"/>
              <w:left w:w="43" w:type="dxa"/>
              <w:bottom w:w="43" w:type="dxa"/>
              <w:right w:w="43" w:type="dxa"/>
            </w:tcMar>
          </w:tcPr>
          <w:p w14:paraId="3284134A" w14:textId="77777777" w:rsidR="00D60186" w:rsidRPr="00D77759" w:rsidRDefault="00D60186" w:rsidP="00225D4D">
            <w:pPr>
              <w:rPr>
                <w:sz w:val="21"/>
                <w:szCs w:val="21"/>
              </w:rPr>
            </w:pPr>
            <w:r w:rsidRPr="00D77759">
              <w:rPr>
                <w:sz w:val="21"/>
                <w:szCs w:val="21"/>
              </w:rPr>
              <w:t>2024–2025</w:t>
            </w:r>
          </w:p>
        </w:tc>
        <w:tc>
          <w:tcPr>
            <w:tcW w:w="1240" w:type="dxa"/>
            <w:tcBorders>
              <w:top w:val="nil"/>
              <w:left w:val="nil"/>
              <w:right w:val="nil"/>
            </w:tcBorders>
            <w:tcMar>
              <w:top w:w="128" w:type="dxa"/>
              <w:left w:w="43" w:type="dxa"/>
              <w:bottom w:w="43" w:type="dxa"/>
              <w:right w:w="43" w:type="dxa"/>
            </w:tcMar>
          </w:tcPr>
          <w:p w14:paraId="0FE4DB66" w14:textId="77777777" w:rsidR="00D60186" w:rsidRPr="00D77759" w:rsidRDefault="00D60186" w:rsidP="00D77759">
            <w:pPr>
              <w:ind w:right="113"/>
              <w:jc w:val="right"/>
              <w:rPr>
                <w:sz w:val="21"/>
                <w:szCs w:val="21"/>
              </w:rPr>
            </w:pPr>
            <w:r w:rsidRPr="00D77759">
              <w:rPr>
                <w:sz w:val="21"/>
                <w:szCs w:val="21"/>
              </w:rPr>
              <w:t>668</w:t>
            </w:r>
          </w:p>
        </w:tc>
        <w:tc>
          <w:tcPr>
            <w:tcW w:w="5860" w:type="dxa"/>
            <w:tcBorders>
              <w:top w:val="nil"/>
              <w:left w:val="nil"/>
              <w:right w:val="nil"/>
            </w:tcBorders>
            <w:tcMar>
              <w:top w:w="128" w:type="dxa"/>
              <w:left w:w="43" w:type="dxa"/>
              <w:bottom w:w="43" w:type="dxa"/>
              <w:right w:w="43" w:type="dxa"/>
            </w:tcMar>
          </w:tcPr>
          <w:p w14:paraId="59C17F8A" w14:textId="77777777" w:rsidR="00D60186" w:rsidRPr="00D77759" w:rsidRDefault="00D60186" w:rsidP="00225D4D">
            <w:pPr>
              <w:rPr>
                <w:sz w:val="21"/>
                <w:szCs w:val="21"/>
              </w:rPr>
            </w:pPr>
            <w:proofErr w:type="spellStart"/>
            <w:r w:rsidRPr="00D77759">
              <w:rPr>
                <w:sz w:val="21"/>
                <w:szCs w:val="21"/>
              </w:rPr>
              <w:t>Rettleiar</w:t>
            </w:r>
            <w:proofErr w:type="spellEnd"/>
            <w:r w:rsidRPr="00D77759">
              <w:rPr>
                <w:sz w:val="21"/>
                <w:szCs w:val="21"/>
              </w:rPr>
              <w:t xml:space="preserve"> for å </w:t>
            </w:r>
            <w:proofErr w:type="spellStart"/>
            <w:r w:rsidRPr="00D77759">
              <w:rPr>
                <w:sz w:val="21"/>
                <w:szCs w:val="21"/>
              </w:rPr>
              <w:t>førebygge</w:t>
            </w:r>
            <w:proofErr w:type="spellEnd"/>
            <w:r w:rsidRPr="00D77759">
              <w:rPr>
                <w:sz w:val="21"/>
                <w:szCs w:val="21"/>
              </w:rPr>
              <w:t xml:space="preserve"> fysisk makt og tvang</w:t>
            </w:r>
          </w:p>
        </w:tc>
        <w:tc>
          <w:tcPr>
            <w:tcW w:w="1240" w:type="dxa"/>
            <w:tcBorders>
              <w:top w:val="nil"/>
              <w:left w:val="nil"/>
              <w:right w:val="nil"/>
            </w:tcBorders>
            <w:tcMar>
              <w:top w:w="128" w:type="dxa"/>
              <w:left w:w="43" w:type="dxa"/>
              <w:bottom w:w="43" w:type="dxa"/>
              <w:right w:w="43" w:type="dxa"/>
            </w:tcMar>
          </w:tcPr>
          <w:p w14:paraId="6F46C6C5" w14:textId="77777777" w:rsidR="00D60186" w:rsidRPr="00D77759" w:rsidRDefault="00D60186" w:rsidP="00D77759">
            <w:pPr>
              <w:jc w:val="right"/>
              <w:rPr>
                <w:sz w:val="21"/>
                <w:szCs w:val="21"/>
              </w:rPr>
            </w:pPr>
            <w:r w:rsidRPr="00D77759">
              <w:rPr>
                <w:sz w:val="21"/>
                <w:szCs w:val="21"/>
              </w:rPr>
              <w:t>Nei</w:t>
            </w:r>
          </w:p>
        </w:tc>
      </w:tr>
      <w:tr w:rsidR="00E76DC8" w:rsidRPr="00225D4D" w14:paraId="19B45B3D" w14:textId="77777777" w:rsidTr="0052516A">
        <w:trPr>
          <w:trHeight w:val="20"/>
        </w:trPr>
        <w:tc>
          <w:tcPr>
            <w:tcW w:w="1200" w:type="dxa"/>
            <w:tcBorders>
              <w:top w:val="nil"/>
              <w:left w:val="nil"/>
              <w:right w:val="nil"/>
            </w:tcBorders>
            <w:tcMar>
              <w:top w:w="128" w:type="dxa"/>
              <w:left w:w="43" w:type="dxa"/>
              <w:bottom w:w="43" w:type="dxa"/>
              <w:right w:w="43" w:type="dxa"/>
            </w:tcMar>
            <w:vAlign w:val="bottom"/>
          </w:tcPr>
          <w:p w14:paraId="1D5D14E4" w14:textId="77777777" w:rsidR="00D60186" w:rsidRPr="00D77759" w:rsidRDefault="00D60186" w:rsidP="00225D4D">
            <w:pPr>
              <w:rPr>
                <w:sz w:val="21"/>
                <w:szCs w:val="21"/>
              </w:rPr>
            </w:pPr>
            <w:r w:rsidRPr="00D77759">
              <w:rPr>
                <w:sz w:val="21"/>
                <w:szCs w:val="21"/>
              </w:rPr>
              <w:t xml:space="preserve">2024–2025 </w:t>
            </w:r>
          </w:p>
        </w:tc>
        <w:tc>
          <w:tcPr>
            <w:tcW w:w="1240" w:type="dxa"/>
            <w:tcBorders>
              <w:top w:val="nil"/>
              <w:left w:val="nil"/>
              <w:right w:val="nil"/>
            </w:tcBorders>
            <w:tcMar>
              <w:top w:w="128" w:type="dxa"/>
              <w:left w:w="43" w:type="dxa"/>
              <w:bottom w:w="43" w:type="dxa"/>
              <w:right w:w="43" w:type="dxa"/>
            </w:tcMar>
          </w:tcPr>
          <w:p w14:paraId="16F73590" w14:textId="77777777" w:rsidR="00D60186" w:rsidRPr="00D77759" w:rsidRDefault="00D60186" w:rsidP="00D77759">
            <w:pPr>
              <w:ind w:right="113"/>
              <w:jc w:val="right"/>
              <w:rPr>
                <w:sz w:val="21"/>
                <w:szCs w:val="21"/>
              </w:rPr>
            </w:pPr>
            <w:r w:rsidRPr="00D77759">
              <w:rPr>
                <w:sz w:val="21"/>
                <w:szCs w:val="21"/>
              </w:rPr>
              <w:t>670</w:t>
            </w:r>
          </w:p>
        </w:tc>
        <w:tc>
          <w:tcPr>
            <w:tcW w:w="5860" w:type="dxa"/>
            <w:tcBorders>
              <w:top w:val="nil"/>
              <w:left w:val="nil"/>
              <w:right w:val="nil"/>
            </w:tcBorders>
            <w:tcMar>
              <w:top w:w="128" w:type="dxa"/>
              <w:left w:w="43" w:type="dxa"/>
              <w:bottom w:w="43" w:type="dxa"/>
              <w:right w:w="43" w:type="dxa"/>
            </w:tcMar>
          </w:tcPr>
          <w:p w14:paraId="24CE9AC6" w14:textId="77777777" w:rsidR="00D60186" w:rsidRPr="00D77759" w:rsidRDefault="00D60186" w:rsidP="00225D4D">
            <w:pPr>
              <w:rPr>
                <w:sz w:val="21"/>
                <w:szCs w:val="21"/>
              </w:rPr>
            </w:pPr>
            <w:r w:rsidRPr="00D77759">
              <w:rPr>
                <w:sz w:val="21"/>
                <w:szCs w:val="21"/>
              </w:rPr>
              <w:t xml:space="preserve">Rett til barnehageplass for </w:t>
            </w:r>
            <w:proofErr w:type="spellStart"/>
            <w:r w:rsidRPr="00D77759">
              <w:rPr>
                <w:sz w:val="21"/>
                <w:szCs w:val="21"/>
              </w:rPr>
              <w:t>desemberbarn</w:t>
            </w:r>
            <w:proofErr w:type="spellEnd"/>
          </w:p>
        </w:tc>
        <w:tc>
          <w:tcPr>
            <w:tcW w:w="1240" w:type="dxa"/>
            <w:tcBorders>
              <w:top w:val="nil"/>
              <w:left w:val="nil"/>
              <w:right w:val="nil"/>
            </w:tcBorders>
            <w:tcMar>
              <w:top w:w="128" w:type="dxa"/>
              <w:left w:w="43" w:type="dxa"/>
              <w:bottom w:w="43" w:type="dxa"/>
              <w:right w:w="43" w:type="dxa"/>
            </w:tcMar>
            <w:vAlign w:val="bottom"/>
          </w:tcPr>
          <w:p w14:paraId="25146005" w14:textId="77777777" w:rsidR="00D60186" w:rsidRPr="00D77759" w:rsidRDefault="00D60186" w:rsidP="00D77759">
            <w:pPr>
              <w:jc w:val="right"/>
              <w:rPr>
                <w:sz w:val="21"/>
                <w:szCs w:val="21"/>
              </w:rPr>
            </w:pPr>
            <w:r w:rsidRPr="00D77759">
              <w:rPr>
                <w:sz w:val="21"/>
                <w:szCs w:val="21"/>
              </w:rPr>
              <w:t>Nei</w:t>
            </w:r>
          </w:p>
        </w:tc>
      </w:tr>
      <w:tr w:rsidR="00E76DC8" w:rsidRPr="00225D4D" w14:paraId="38CF9943" w14:textId="77777777" w:rsidTr="0052516A">
        <w:trPr>
          <w:trHeight w:val="20"/>
        </w:trPr>
        <w:tc>
          <w:tcPr>
            <w:tcW w:w="1200" w:type="dxa"/>
            <w:tcBorders>
              <w:left w:val="nil"/>
              <w:bottom w:val="nil"/>
              <w:right w:val="nil"/>
            </w:tcBorders>
            <w:tcMar>
              <w:top w:w="128" w:type="dxa"/>
              <w:left w:w="43" w:type="dxa"/>
              <w:bottom w:w="43" w:type="dxa"/>
              <w:right w:w="43" w:type="dxa"/>
            </w:tcMar>
          </w:tcPr>
          <w:p w14:paraId="371CE836" w14:textId="77777777" w:rsidR="00D60186" w:rsidRPr="00D77759" w:rsidRDefault="00D60186" w:rsidP="00225D4D">
            <w:pPr>
              <w:rPr>
                <w:sz w:val="21"/>
                <w:szCs w:val="21"/>
              </w:rPr>
            </w:pPr>
            <w:r w:rsidRPr="00D77759">
              <w:rPr>
                <w:sz w:val="21"/>
                <w:szCs w:val="21"/>
              </w:rPr>
              <w:t>2024–2025</w:t>
            </w:r>
          </w:p>
        </w:tc>
        <w:tc>
          <w:tcPr>
            <w:tcW w:w="1240" w:type="dxa"/>
            <w:tcBorders>
              <w:left w:val="nil"/>
              <w:bottom w:val="nil"/>
              <w:right w:val="nil"/>
            </w:tcBorders>
            <w:tcMar>
              <w:top w:w="128" w:type="dxa"/>
              <w:left w:w="43" w:type="dxa"/>
              <w:bottom w:w="43" w:type="dxa"/>
              <w:right w:w="43" w:type="dxa"/>
            </w:tcMar>
          </w:tcPr>
          <w:p w14:paraId="6B052A2B" w14:textId="77777777" w:rsidR="00D60186" w:rsidRPr="00D77759" w:rsidRDefault="00D60186" w:rsidP="00D77759">
            <w:pPr>
              <w:ind w:right="113"/>
              <w:jc w:val="right"/>
              <w:rPr>
                <w:sz w:val="21"/>
                <w:szCs w:val="21"/>
              </w:rPr>
            </w:pPr>
            <w:r w:rsidRPr="00D77759">
              <w:rPr>
                <w:sz w:val="21"/>
                <w:szCs w:val="21"/>
              </w:rPr>
              <w:t>681</w:t>
            </w:r>
          </w:p>
        </w:tc>
        <w:tc>
          <w:tcPr>
            <w:tcW w:w="5860" w:type="dxa"/>
            <w:tcBorders>
              <w:left w:val="nil"/>
              <w:bottom w:val="nil"/>
              <w:right w:val="nil"/>
            </w:tcBorders>
            <w:tcMar>
              <w:top w:w="128" w:type="dxa"/>
              <w:left w:w="43" w:type="dxa"/>
              <w:bottom w:w="43" w:type="dxa"/>
              <w:right w:w="43" w:type="dxa"/>
            </w:tcMar>
          </w:tcPr>
          <w:p w14:paraId="402FA98F" w14:textId="77777777" w:rsidR="00D60186" w:rsidRPr="00D77759" w:rsidRDefault="00D60186" w:rsidP="00225D4D">
            <w:pPr>
              <w:rPr>
                <w:sz w:val="21"/>
                <w:szCs w:val="21"/>
              </w:rPr>
            </w:pPr>
            <w:proofErr w:type="spellStart"/>
            <w:r w:rsidRPr="00D77759">
              <w:rPr>
                <w:sz w:val="21"/>
                <w:szCs w:val="21"/>
              </w:rPr>
              <w:t>Nemningar</w:t>
            </w:r>
            <w:proofErr w:type="spellEnd"/>
            <w:r w:rsidRPr="00D77759">
              <w:rPr>
                <w:sz w:val="21"/>
                <w:szCs w:val="21"/>
              </w:rPr>
              <w:t xml:space="preserve"> for </w:t>
            </w:r>
            <w:proofErr w:type="spellStart"/>
            <w:r w:rsidRPr="00D77759">
              <w:rPr>
                <w:sz w:val="21"/>
                <w:szCs w:val="21"/>
              </w:rPr>
              <w:t>høgare</w:t>
            </w:r>
            <w:proofErr w:type="spellEnd"/>
            <w:r w:rsidRPr="00D77759">
              <w:rPr>
                <w:sz w:val="21"/>
                <w:szCs w:val="21"/>
              </w:rPr>
              <w:t xml:space="preserve"> </w:t>
            </w:r>
            <w:proofErr w:type="spellStart"/>
            <w:r w:rsidRPr="00D77759">
              <w:rPr>
                <w:sz w:val="21"/>
                <w:szCs w:val="21"/>
              </w:rPr>
              <w:t>yrkesfagleg</w:t>
            </w:r>
            <w:proofErr w:type="spellEnd"/>
            <w:r w:rsidRPr="00D77759">
              <w:rPr>
                <w:sz w:val="21"/>
                <w:szCs w:val="21"/>
              </w:rPr>
              <w:t xml:space="preserve"> utdanning på nivå 6 og 7 i Nasjonalt kvalifikasjonsrammeverk</w:t>
            </w:r>
          </w:p>
        </w:tc>
        <w:tc>
          <w:tcPr>
            <w:tcW w:w="1240" w:type="dxa"/>
            <w:tcBorders>
              <w:left w:val="nil"/>
              <w:bottom w:val="nil"/>
              <w:right w:val="nil"/>
            </w:tcBorders>
            <w:tcMar>
              <w:top w:w="128" w:type="dxa"/>
              <w:left w:w="43" w:type="dxa"/>
              <w:bottom w:w="43" w:type="dxa"/>
              <w:right w:w="43" w:type="dxa"/>
            </w:tcMar>
          </w:tcPr>
          <w:p w14:paraId="7F88A930" w14:textId="77777777" w:rsidR="00D60186" w:rsidRPr="00D77759" w:rsidRDefault="00D60186" w:rsidP="00D77759">
            <w:pPr>
              <w:jc w:val="right"/>
              <w:rPr>
                <w:sz w:val="21"/>
                <w:szCs w:val="21"/>
              </w:rPr>
            </w:pPr>
            <w:r w:rsidRPr="00D77759">
              <w:rPr>
                <w:sz w:val="21"/>
                <w:szCs w:val="21"/>
              </w:rPr>
              <w:t>Nei</w:t>
            </w:r>
          </w:p>
        </w:tc>
      </w:tr>
      <w:tr w:rsidR="00E76DC8" w:rsidRPr="00225D4D" w14:paraId="62DFAF4B"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0F377EE0"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5F0B218D" w14:textId="77777777" w:rsidR="00D60186" w:rsidRPr="00D77759" w:rsidRDefault="00D60186" w:rsidP="00D77759">
            <w:pPr>
              <w:ind w:right="113"/>
              <w:jc w:val="right"/>
              <w:rPr>
                <w:sz w:val="21"/>
                <w:szCs w:val="21"/>
              </w:rPr>
            </w:pPr>
            <w:r w:rsidRPr="00D77759">
              <w:rPr>
                <w:sz w:val="21"/>
                <w:szCs w:val="21"/>
              </w:rPr>
              <w:t>682</w:t>
            </w:r>
          </w:p>
        </w:tc>
        <w:tc>
          <w:tcPr>
            <w:tcW w:w="5860" w:type="dxa"/>
            <w:tcBorders>
              <w:top w:val="nil"/>
              <w:left w:val="nil"/>
              <w:bottom w:val="nil"/>
              <w:right w:val="nil"/>
            </w:tcBorders>
            <w:tcMar>
              <w:top w:w="128" w:type="dxa"/>
              <w:left w:w="43" w:type="dxa"/>
              <w:bottom w:w="43" w:type="dxa"/>
              <w:right w:w="43" w:type="dxa"/>
            </w:tcMar>
          </w:tcPr>
          <w:p w14:paraId="491317AE" w14:textId="77777777" w:rsidR="00D60186" w:rsidRPr="00D77759" w:rsidRDefault="00D60186" w:rsidP="00225D4D">
            <w:pPr>
              <w:rPr>
                <w:sz w:val="21"/>
                <w:szCs w:val="21"/>
              </w:rPr>
            </w:pPr>
            <w:r w:rsidRPr="00D77759">
              <w:rPr>
                <w:sz w:val="21"/>
                <w:szCs w:val="21"/>
              </w:rPr>
              <w:t xml:space="preserve">Ansvar til </w:t>
            </w:r>
            <w:proofErr w:type="spellStart"/>
            <w:r w:rsidRPr="00D77759">
              <w:rPr>
                <w:sz w:val="21"/>
                <w:szCs w:val="21"/>
              </w:rPr>
              <w:t>fagskular</w:t>
            </w:r>
            <w:proofErr w:type="spellEnd"/>
            <w:r w:rsidRPr="00D77759">
              <w:rPr>
                <w:sz w:val="21"/>
                <w:szCs w:val="21"/>
              </w:rPr>
              <w:t xml:space="preserve"> for realkompetansevurdering</w:t>
            </w:r>
          </w:p>
        </w:tc>
        <w:tc>
          <w:tcPr>
            <w:tcW w:w="1240" w:type="dxa"/>
            <w:tcBorders>
              <w:top w:val="nil"/>
              <w:left w:val="nil"/>
              <w:bottom w:val="nil"/>
              <w:right w:val="nil"/>
            </w:tcBorders>
            <w:tcMar>
              <w:top w:w="128" w:type="dxa"/>
              <w:left w:w="43" w:type="dxa"/>
              <w:bottom w:w="43" w:type="dxa"/>
              <w:right w:w="43" w:type="dxa"/>
            </w:tcMar>
          </w:tcPr>
          <w:p w14:paraId="7C8058E8" w14:textId="77777777" w:rsidR="00D60186" w:rsidRPr="00D77759" w:rsidRDefault="00D60186" w:rsidP="00D77759">
            <w:pPr>
              <w:jc w:val="right"/>
              <w:rPr>
                <w:sz w:val="21"/>
                <w:szCs w:val="21"/>
              </w:rPr>
            </w:pPr>
            <w:r w:rsidRPr="00D77759">
              <w:rPr>
                <w:sz w:val="21"/>
                <w:szCs w:val="21"/>
              </w:rPr>
              <w:t>Nei</w:t>
            </w:r>
          </w:p>
        </w:tc>
      </w:tr>
      <w:tr w:rsidR="00E76DC8" w:rsidRPr="00225D4D" w14:paraId="0D835BA4"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3A54C98E"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1C52958" w14:textId="77777777" w:rsidR="00D60186" w:rsidRPr="00D77759" w:rsidRDefault="00D60186" w:rsidP="00D77759">
            <w:pPr>
              <w:ind w:right="113"/>
              <w:jc w:val="right"/>
              <w:rPr>
                <w:sz w:val="21"/>
                <w:szCs w:val="21"/>
              </w:rPr>
            </w:pPr>
            <w:r w:rsidRPr="00D77759">
              <w:rPr>
                <w:sz w:val="21"/>
                <w:szCs w:val="21"/>
              </w:rPr>
              <w:t>683</w:t>
            </w:r>
          </w:p>
        </w:tc>
        <w:tc>
          <w:tcPr>
            <w:tcW w:w="5860" w:type="dxa"/>
            <w:tcBorders>
              <w:top w:val="nil"/>
              <w:left w:val="nil"/>
              <w:bottom w:val="nil"/>
              <w:right w:val="nil"/>
            </w:tcBorders>
            <w:tcMar>
              <w:top w:w="128" w:type="dxa"/>
              <w:left w:w="43" w:type="dxa"/>
              <w:bottom w:w="43" w:type="dxa"/>
              <w:right w:w="43" w:type="dxa"/>
            </w:tcMar>
          </w:tcPr>
          <w:p w14:paraId="63D01039" w14:textId="7023E7A2" w:rsidR="00D60186" w:rsidRPr="00D77759" w:rsidRDefault="00D60186" w:rsidP="00225D4D">
            <w:pPr>
              <w:rPr>
                <w:sz w:val="21"/>
                <w:szCs w:val="21"/>
              </w:rPr>
            </w:pPr>
            <w:proofErr w:type="spellStart"/>
            <w:r w:rsidRPr="00D77759">
              <w:rPr>
                <w:sz w:val="21"/>
                <w:szCs w:val="21"/>
              </w:rPr>
              <w:t>Høgare</w:t>
            </w:r>
            <w:proofErr w:type="spellEnd"/>
            <w:r w:rsidRPr="00D77759">
              <w:rPr>
                <w:sz w:val="21"/>
                <w:szCs w:val="21"/>
              </w:rPr>
              <w:t xml:space="preserve"> </w:t>
            </w:r>
            <w:proofErr w:type="spellStart"/>
            <w:r w:rsidRPr="00D77759">
              <w:rPr>
                <w:sz w:val="21"/>
                <w:szCs w:val="21"/>
              </w:rPr>
              <w:t>yrkesfagleg</w:t>
            </w:r>
            <w:proofErr w:type="spellEnd"/>
            <w:r w:rsidRPr="00D77759">
              <w:rPr>
                <w:sz w:val="21"/>
                <w:szCs w:val="21"/>
              </w:rPr>
              <w:t xml:space="preserve"> utdanning og ECTS</w:t>
            </w:r>
            <w:r w:rsidR="00225D4D" w:rsidRPr="00D77759">
              <w:rPr>
                <w:sz w:val="21"/>
                <w:szCs w:val="21"/>
              </w:rPr>
              <w:t xml:space="preserve"> </w:t>
            </w:r>
          </w:p>
        </w:tc>
        <w:tc>
          <w:tcPr>
            <w:tcW w:w="1240" w:type="dxa"/>
            <w:tcBorders>
              <w:top w:val="nil"/>
              <w:left w:val="nil"/>
              <w:bottom w:val="nil"/>
              <w:right w:val="nil"/>
            </w:tcBorders>
            <w:tcMar>
              <w:top w:w="128" w:type="dxa"/>
              <w:left w:w="43" w:type="dxa"/>
              <w:bottom w:w="43" w:type="dxa"/>
              <w:right w:w="43" w:type="dxa"/>
            </w:tcMar>
          </w:tcPr>
          <w:p w14:paraId="400B5331" w14:textId="77777777" w:rsidR="00D60186" w:rsidRPr="00D77759" w:rsidRDefault="00D60186" w:rsidP="00D77759">
            <w:pPr>
              <w:jc w:val="right"/>
              <w:rPr>
                <w:sz w:val="21"/>
                <w:szCs w:val="21"/>
              </w:rPr>
            </w:pPr>
            <w:r w:rsidRPr="00D77759">
              <w:rPr>
                <w:sz w:val="21"/>
                <w:szCs w:val="21"/>
              </w:rPr>
              <w:t>Nei</w:t>
            </w:r>
          </w:p>
        </w:tc>
      </w:tr>
      <w:tr w:rsidR="00E76DC8" w:rsidRPr="00225D4D" w14:paraId="087FE92B"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035F5815"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7BC2C543" w14:textId="77777777" w:rsidR="00D60186" w:rsidRPr="00D77759" w:rsidRDefault="00D60186" w:rsidP="00D77759">
            <w:pPr>
              <w:ind w:right="113"/>
              <w:jc w:val="right"/>
              <w:rPr>
                <w:sz w:val="21"/>
                <w:szCs w:val="21"/>
              </w:rPr>
            </w:pPr>
            <w:r w:rsidRPr="00D77759">
              <w:rPr>
                <w:sz w:val="21"/>
                <w:szCs w:val="21"/>
              </w:rPr>
              <w:t>684</w:t>
            </w:r>
          </w:p>
        </w:tc>
        <w:tc>
          <w:tcPr>
            <w:tcW w:w="5860" w:type="dxa"/>
            <w:tcBorders>
              <w:top w:val="nil"/>
              <w:left w:val="nil"/>
              <w:bottom w:val="nil"/>
              <w:right w:val="nil"/>
            </w:tcBorders>
            <w:tcMar>
              <w:top w:w="128" w:type="dxa"/>
              <w:left w:w="43" w:type="dxa"/>
              <w:bottom w:w="43" w:type="dxa"/>
              <w:right w:w="43" w:type="dxa"/>
            </w:tcMar>
          </w:tcPr>
          <w:p w14:paraId="7A169EE9" w14:textId="77777777" w:rsidR="00D60186" w:rsidRPr="00D77759" w:rsidRDefault="00D60186" w:rsidP="00225D4D">
            <w:pPr>
              <w:rPr>
                <w:sz w:val="21"/>
                <w:szCs w:val="21"/>
              </w:rPr>
            </w:pPr>
            <w:r w:rsidRPr="00D77759">
              <w:rPr>
                <w:sz w:val="21"/>
                <w:szCs w:val="21"/>
              </w:rPr>
              <w:t xml:space="preserve">Plan for </w:t>
            </w:r>
            <w:proofErr w:type="spellStart"/>
            <w:r w:rsidRPr="00D77759">
              <w:rPr>
                <w:sz w:val="21"/>
                <w:szCs w:val="21"/>
              </w:rPr>
              <w:t>føreseieleg</w:t>
            </w:r>
            <w:proofErr w:type="spellEnd"/>
            <w:r w:rsidRPr="00D77759">
              <w:rPr>
                <w:sz w:val="21"/>
                <w:szCs w:val="21"/>
              </w:rPr>
              <w:t xml:space="preserve"> finansiering for </w:t>
            </w:r>
            <w:proofErr w:type="spellStart"/>
            <w:r w:rsidRPr="00D77759">
              <w:rPr>
                <w:sz w:val="21"/>
                <w:szCs w:val="21"/>
              </w:rPr>
              <w:t>fagskulane</w:t>
            </w:r>
            <w:proofErr w:type="spellEnd"/>
          </w:p>
        </w:tc>
        <w:tc>
          <w:tcPr>
            <w:tcW w:w="1240" w:type="dxa"/>
            <w:tcBorders>
              <w:top w:val="nil"/>
              <w:left w:val="nil"/>
              <w:bottom w:val="nil"/>
              <w:right w:val="nil"/>
            </w:tcBorders>
            <w:tcMar>
              <w:top w:w="128" w:type="dxa"/>
              <w:left w:w="43" w:type="dxa"/>
              <w:bottom w:w="43" w:type="dxa"/>
              <w:right w:w="43" w:type="dxa"/>
            </w:tcMar>
          </w:tcPr>
          <w:p w14:paraId="50DB4F59" w14:textId="77777777" w:rsidR="00D60186" w:rsidRPr="00D77759" w:rsidRDefault="00D60186" w:rsidP="00D77759">
            <w:pPr>
              <w:jc w:val="right"/>
              <w:rPr>
                <w:sz w:val="21"/>
                <w:szCs w:val="21"/>
              </w:rPr>
            </w:pPr>
            <w:r w:rsidRPr="00D77759">
              <w:rPr>
                <w:sz w:val="21"/>
                <w:szCs w:val="21"/>
              </w:rPr>
              <w:t>Nei</w:t>
            </w:r>
          </w:p>
        </w:tc>
      </w:tr>
      <w:tr w:rsidR="00E76DC8" w:rsidRPr="00225D4D" w14:paraId="5A727D41"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E20D650"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3CCA7DAD" w14:textId="77777777" w:rsidR="00D60186" w:rsidRPr="00D77759" w:rsidRDefault="00D60186" w:rsidP="00D77759">
            <w:pPr>
              <w:ind w:right="113"/>
              <w:jc w:val="right"/>
              <w:rPr>
                <w:sz w:val="21"/>
                <w:szCs w:val="21"/>
              </w:rPr>
            </w:pPr>
            <w:r w:rsidRPr="00D77759">
              <w:rPr>
                <w:sz w:val="21"/>
                <w:szCs w:val="21"/>
              </w:rPr>
              <w:t>685</w:t>
            </w:r>
          </w:p>
        </w:tc>
        <w:tc>
          <w:tcPr>
            <w:tcW w:w="5860" w:type="dxa"/>
            <w:tcBorders>
              <w:top w:val="nil"/>
              <w:left w:val="nil"/>
              <w:bottom w:val="nil"/>
              <w:right w:val="nil"/>
            </w:tcBorders>
            <w:tcMar>
              <w:top w:w="128" w:type="dxa"/>
              <w:left w:w="43" w:type="dxa"/>
              <w:bottom w:w="43" w:type="dxa"/>
              <w:right w:w="43" w:type="dxa"/>
            </w:tcMar>
          </w:tcPr>
          <w:p w14:paraId="3F441BAE" w14:textId="77777777" w:rsidR="00D60186" w:rsidRPr="00D77759" w:rsidRDefault="00D60186" w:rsidP="00225D4D">
            <w:pPr>
              <w:rPr>
                <w:sz w:val="21"/>
                <w:szCs w:val="21"/>
              </w:rPr>
            </w:pPr>
            <w:r w:rsidRPr="00D77759">
              <w:rPr>
                <w:sz w:val="21"/>
                <w:szCs w:val="21"/>
              </w:rPr>
              <w:t xml:space="preserve">Vurdering av </w:t>
            </w:r>
            <w:proofErr w:type="spellStart"/>
            <w:r w:rsidRPr="00D77759">
              <w:rPr>
                <w:sz w:val="21"/>
                <w:szCs w:val="21"/>
              </w:rPr>
              <w:t>eit</w:t>
            </w:r>
            <w:proofErr w:type="spellEnd"/>
            <w:r w:rsidRPr="00D77759">
              <w:rPr>
                <w:sz w:val="21"/>
                <w:szCs w:val="21"/>
              </w:rPr>
              <w:t xml:space="preserve"> gratisprinsipp i </w:t>
            </w:r>
            <w:proofErr w:type="spellStart"/>
            <w:r w:rsidRPr="00D77759">
              <w:rPr>
                <w:sz w:val="21"/>
                <w:szCs w:val="21"/>
              </w:rPr>
              <w:t>høgare</w:t>
            </w:r>
            <w:proofErr w:type="spellEnd"/>
            <w:r w:rsidRPr="00D77759">
              <w:rPr>
                <w:sz w:val="21"/>
                <w:szCs w:val="21"/>
              </w:rPr>
              <w:t xml:space="preserve"> </w:t>
            </w:r>
            <w:proofErr w:type="spellStart"/>
            <w:r w:rsidRPr="00D77759">
              <w:rPr>
                <w:sz w:val="21"/>
                <w:szCs w:val="21"/>
              </w:rPr>
              <w:t>yrkesfagleg</w:t>
            </w:r>
            <w:proofErr w:type="spellEnd"/>
            <w:r w:rsidRPr="00D77759">
              <w:rPr>
                <w:sz w:val="21"/>
                <w:szCs w:val="21"/>
              </w:rPr>
              <w:t xml:space="preserve"> utdanning</w:t>
            </w:r>
          </w:p>
        </w:tc>
        <w:tc>
          <w:tcPr>
            <w:tcW w:w="1240" w:type="dxa"/>
            <w:tcBorders>
              <w:top w:val="nil"/>
              <w:left w:val="nil"/>
              <w:bottom w:val="nil"/>
              <w:right w:val="nil"/>
            </w:tcBorders>
            <w:tcMar>
              <w:top w:w="128" w:type="dxa"/>
              <w:left w:w="43" w:type="dxa"/>
              <w:bottom w:w="43" w:type="dxa"/>
              <w:right w:w="43" w:type="dxa"/>
            </w:tcMar>
          </w:tcPr>
          <w:p w14:paraId="32E6C724" w14:textId="77777777" w:rsidR="00D60186" w:rsidRPr="00D77759" w:rsidRDefault="00D60186" w:rsidP="00D77759">
            <w:pPr>
              <w:jc w:val="right"/>
              <w:rPr>
                <w:sz w:val="21"/>
                <w:szCs w:val="21"/>
              </w:rPr>
            </w:pPr>
            <w:r w:rsidRPr="00D77759">
              <w:rPr>
                <w:sz w:val="21"/>
                <w:szCs w:val="21"/>
              </w:rPr>
              <w:t>Nei</w:t>
            </w:r>
          </w:p>
        </w:tc>
      </w:tr>
      <w:tr w:rsidR="00E76DC8" w:rsidRPr="00225D4D" w14:paraId="53E60C60"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753C03E5"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1A6E6DDE" w14:textId="77777777" w:rsidR="00D60186" w:rsidRPr="00D77759" w:rsidRDefault="00D60186" w:rsidP="00D77759">
            <w:pPr>
              <w:ind w:right="113"/>
              <w:jc w:val="right"/>
              <w:rPr>
                <w:sz w:val="21"/>
                <w:szCs w:val="21"/>
              </w:rPr>
            </w:pPr>
            <w:r w:rsidRPr="00D77759">
              <w:rPr>
                <w:sz w:val="21"/>
                <w:szCs w:val="21"/>
              </w:rPr>
              <w:t>737</w:t>
            </w:r>
          </w:p>
        </w:tc>
        <w:tc>
          <w:tcPr>
            <w:tcW w:w="5860" w:type="dxa"/>
            <w:tcBorders>
              <w:top w:val="nil"/>
              <w:left w:val="nil"/>
              <w:bottom w:val="nil"/>
              <w:right w:val="nil"/>
            </w:tcBorders>
            <w:tcMar>
              <w:top w:w="128" w:type="dxa"/>
              <w:left w:w="43" w:type="dxa"/>
              <w:bottom w:w="43" w:type="dxa"/>
              <w:right w:w="43" w:type="dxa"/>
            </w:tcMar>
          </w:tcPr>
          <w:p w14:paraId="197992ED" w14:textId="77777777" w:rsidR="00D60186" w:rsidRPr="00D77759" w:rsidRDefault="00D60186" w:rsidP="00225D4D">
            <w:pPr>
              <w:rPr>
                <w:sz w:val="21"/>
                <w:szCs w:val="21"/>
              </w:rPr>
            </w:pPr>
            <w:bookmarkStart w:id="2" w:name="RTF5f486c6b3230303032373032"/>
            <w:proofErr w:type="spellStart"/>
            <w:r w:rsidRPr="00D77759">
              <w:rPr>
                <w:sz w:val="21"/>
                <w:szCs w:val="21"/>
              </w:rPr>
              <w:t>Auke</w:t>
            </w:r>
            <w:proofErr w:type="spellEnd"/>
            <w:r w:rsidRPr="00D77759">
              <w:rPr>
                <w:sz w:val="21"/>
                <w:szCs w:val="21"/>
              </w:rPr>
              <w:t xml:space="preserve"> kommersialiseringa av norsk forsking</w:t>
            </w:r>
            <w:bookmarkEnd w:id="2"/>
          </w:p>
        </w:tc>
        <w:tc>
          <w:tcPr>
            <w:tcW w:w="1240" w:type="dxa"/>
            <w:tcBorders>
              <w:top w:val="nil"/>
              <w:left w:val="nil"/>
              <w:bottom w:val="nil"/>
              <w:right w:val="nil"/>
            </w:tcBorders>
            <w:tcMar>
              <w:top w:w="128" w:type="dxa"/>
              <w:left w:w="43" w:type="dxa"/>
              <w:bottom w:w="43" w:type="dxa"/>
              <w:right w:w="43" w:type="dxa"/>
            </w:tcMar>
          </w:tcPr>
          <w:p w14:paraId="68064731" w14:textId="77777777" w:rsidR="00D60186" w:rsidRPr="00D77759" w:rsidRDefault="00D60186" w:rsidP="00D77759">
            <w:pPr>
              <w:jc w:val="right"/>
              <w:rPr>
                <w:sz w:val="21"/>
                <w:szCs w:val="21"/>
              </w:rPr>
            </w:pPr>
            <w:r w:rsidRPr="00D77759">
              <w:rPr>
                <w:sz w:val="21"/>
                <w:szCs w:val="21"/>
              </w:rPr>
              <w:t xml:space="preserve">Ja </w:t>
            </w:r>
          </w:p>
        </w:tc>
      </w:tr>
      <w:tr w:rsidR="00E76DC8" w:rsidRPr="00225D4D" w14:paraId="2E2A2B30"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3B759618"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290BDAAE" w14:textId="77777777" w:rsidR="00D60186" w:rsidRPr="00D77759" w:rsidRDefault="00D60186" w:rsidP="00D77759">
            <w:pPr>
              <w:ind w:right="113"/>
              <w:jc w:val="right"/>
              <w:rPr>
                <w:sz w:val="21"/>
                <w:szCs w:val="21"/>
              </w:rPr>
            </w:pPr>
            <w:r w:rsidRPr="00D77759">
              <w:rPr>
                <w:sz w:val="21"/>
                <w:szCs w:val="21"/>
              </w:rPr>
              <w:t>738</w:t>
            </w:r>
          </w:p>
        </w:tc>
        <w:tc>
          <w:tcPr>
            <w:tcW w:w="5860" w:type="dxa"/>
            <w:tcBorders>
              <w:top w:val="nil"/>
              <w:left w:val="nil"/>
              <w:bottom w:val="nil"/>
              <w:right w:val="nil"/>
            </w:tcBorders>
            <w:tcMar>
              <w:top w:w="128" w:type="dxa"/>
              <w:left w:w="43" w:type="dxa"/>
              <w:bottom w:w="43" w:type="dxa"/>
              <w:right w:w="43" w:type="dxa"/>
            </w:tcMar>
          </w:tcPr>
          <w:p w14:paraId="46D11562" w14:textId="77777777" w:rsidR="00D60186" w:rsidRPr="00D77759" w:rsidRDefault="00D60186" w:rsidP="00225D4D">
            <w:pPr>
              <w:rPr>
                <w:sz w:val="21"/>
                <w:szCs w:val="21"/>
              </w:rPr>
            </w:pPr>
            <w:bookmarkStart w:id="3" w:name="RTF5f486c6b3230303032373034"/>
            <w:r w:rsidRPr="00D77759">
              <w:rPr>
                <w:sz w:val="21"/>
                <w:szCs w:val="21"/>
              </w:rPr>
              <w:t xml:space="preserve">Styrke studentinvolvering i forsking og </w:t>
            </w:r>
            <w:proofErr w:type="spellStart"/>
            <w:r w:rsidRPr="00D77759">
              <w:rPr>
                <w:sz w:val="21"/>
                <w:szCs w:val="21"/>
              </w:rPr>
              <w:t>studentdrivne</w:t>
            </w:r>
            <w:proofErr w:type="spellEnd"/>
            <w:r w:rsidRPr="00D77759">
              <w:rPr>
                <w:sz w:val="21"/>
                <w:szCs w:val="21"/>
              </w:rPr>
              <w:t xml:space="preserve"> forsk</w:t>
            </w:r>
            <w:bookmarkEnd w:id="3"/>
            <w:r w:rsidRPr="00D77759">
              <w:rPr>
                <w:sz w:val="21"/>
                <w:szCs w:val="21"/>
              </w:rPr>
              <w:t>ings- og innovasjonsprosjekt</w:t>
            </w:r>
          </w:p>
        </w:tc>
        <w:tc>
          <w:tcPr>
            <w:tcW w:w="1240" w:type="dxa"/>
            <w:tcBorders>
              <w:top w:val="nil"/>
              <w:left w:val="nil"/>
              <w:bottom w:val="nil"/>
              <w:right w:val="nil"/>
            </w:tcBorders>
            <w:tcMar>
              <w:top w:w="128" w:type="dxa"/>
              <w:left w:w="43" w:type="dxa"/>
              <w:bottom w:w="43" w:type="dxa"/>
              <w:right w:w="43" w:type="dxa"/>
            </w:tcMar>
          </w:tcPr>
          <w:p w14:paraId="5E2E3813" w14:textId="77777777" w:rsidR="00D60186" w:rsidRPr="00D77759" w:rsidRDefault="00D60186" w:rsidP="00D77759">
            <w:pPr>
              <w:jc w:val="right"/>
              <w:rPr>
                <w:sz w:val="21"/>
                <w:szCs w:val="21"/>
              </w:rPr>
            </w:pPr>
            <w:r w:rsidRPr="00D77759">
              <w:rPr>
                <w:sz w:val="21"/>
                <w:szCs w:val="21"/>
              </w:rPr>
              <w:t>Nei</w:t>
            </w:r>
          </w:p>
        </w:tc>
      </w:tr>
      <w:tr w:rsidR="00E76DC8" w:rsidRPr="00225D4D" w14:paraId="7A469964"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2C794B3"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5DA05CB6" w14:textId="77777777" w:rsidR="00D60186" w:rsidRPr="00D77759" w:rsidRDefault="00D60186" w:rsidP="00D77759">
            <w:pPr>
              <w:ind w:right="113"/>
              <w:jc w:val="right"/>
              <w:rPr>
                <w:sz w:val="21"/>
                <w:szCs w:val="21"/>
              </w:rPr>
            </w:pPr>
            <w:r w:rsidRPr="00D77759">
              <w:rPr>
                <w:sz w:val="21"/>
                <w:szCs w:val="21"/>
              </w:rPr>
              <w:t>741</w:t>
            </w:r>
          </w:p>
        </w:tc>
        <w:tc>
          <w:tcPr>
            <w:tcW w:w="5860" w:type="dxa"/>
            <w:tcBorders>
              <w:top w:val="nil"/>
              <w:left w:val="nil"/>
              <w:bottom w:val="nil"/>
              <w:right w:val="nil"/>
            </w:tcBorders>
            <w:tcMar>
              <w:top w:w="128" w:type="dxa"/>
              <w:left w:w="43" w:type="dxa"/>
              <w:bottom w:w="43" w:type="dxa"/>
              <w:right w:w="43" w:type="dxa"/>
            </w:tcMar>
          </w:tcPr>
          <w:p w14:paraId="6C11891B" w14:textId="77777777" w:rsidR="00D60186" w:rsidRPr="00D77759" w:rsidRDefault="00D60186" w:rsidP="00225D4D">
            <w:pPr>
              <w:rPr>
                <w:sz w:val="21"/>
                <w:szCs w:val="21"/>
              </w:rPr>
            </w:pPr>
            <w:r w:rsidRPr="00D77759">
              <w:rPr>
                <w:sz w:val="21"/>
                <w:szCs w:val="21"/>
              </w:rPr>
              <w:t>Knyte studiestøtte til grunnbeløpet i folketrygda</w:t>
            </w:r>
          </w:p>
        </w:tc>
        <w:tc>
          <w:tcPr>
            <w:tcW w:w="1240" w:type="dxa"/>
            <w:tcBorders>
              <w:top w:val="nil"/>
              <w:left w:val="nil"/>
              <w:bottom w:val="nil"/>
              <w:right w:val="nil"/>
            </w:tcBorders>
            <w:tcMar>
              <w:top w:w="128" w:type="dxa"/>
              <w:left w:w="43" w:type="dxa"/>
              <w:bottom w:w="43" w:type="dxa"/>
              <w:right w:w="43" w:type="dxa"/>
            </w:tcMar>
          </w:tcPr>
          <w:p w14:paraId="77C5CC96" w14:textId="77777777" w:rsidR="00D60186" w:rsidRPr="00D77759" w:rsidRDefault="00D60186" w:rsidP="00D77759">
            <w:pPr>
              <w:jc w:val="right"/>
              <w:rPr>
                <w:sz w:val="21"/>
                <w:szCs w:val="21"/>
              </w:rPr>
            </w:pPr>
            <w:r w:rsidRPr="00D77759">
              <w:rPr>
                <w:sz w:val="21"/>
                <w:szCs w:val="21"/>
              </w:rPr>
              <w:t>Nei</w:t>
            </w:r>
          </w:p>
        </w:tc>
      </w:tr>
      <w:tr w:rsidR="00E76DC8" w:rsidRPr="00225D4D" w14:paraId="40628C36"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017777C2"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5F3A0CA4" w14:textId="77777777" w:rsidR="00D60186" w:rsidRPr="00D77759" w:rsidRDefault="00D60186" w:rsidP="00D77759">
            <w:pPr>
              <w:ind w:right="113"/>
              <w:jc w:val="right"/>
              <w:rPr>
                <w:sz w:val="21"/>
                <w:szCs w:val="21"/>
              </w:rPr>
            </w:pPr>
            <w:r w:rsidRPr="00D77759">
              <w:rPr>
                <w:sz w:val="21"/>
                <w:szCs w:val="21"/>
              </w:rPr>
              <w:t>778</w:t>
            </w:r>
          </w:p>
        </w:tc>
        <w:tc>
          <w:tcPr>
            <w:tcW w:w="5860" w:type="dxa"/>
            <w:tcBorders>
              <w:top w:val="nil"/>
              <w:left w:val="nil"/>
              <w:bottom w:val="nil"/>
              <w:right w:val="nil"/>
            </w:tcBorders>
            <w:tcMar>
              <w:top w:w="128" w:type="dxa"/>
              <w:left w:w="43" w:type="dxa"/>
              <w:bottom w:w="43" w:type="dxa"/>
              <w:right w:w="43" w:type="dxa"/>
            </w:tcMar>
          </w:tcPr>
          <w:p w14:paraId="5103CE23" w14:textId="77777777" w:rsidR="00D60186" w:rsidRPr="00D77759" w:rsidRDefault="00D60186" w:rsidP="00225D4D">
            <w:pPr>
              <w:rPr>
                <w:sz w:val="21"/>
                <w:szCs w:val="21"/>
              </w:rPr>
            </w:pPr>
            <w:r w:rsidRPr="00D77759">
              <w:rPr>
                <w:sz w:val="21"/>
                <w:szCs w:val="21"/>
              </w:rPr>
              <w:t xml:space="preserve">Om individregister over barn i </w:t>
            </w:r>
            <w:proofErr w:type="spellStart"/>
            <w:r w:rsidRPr="00D77759">
              <w:rPr>
                <w:sz w:val="21"/>
                <w:szCs w:val="21"/>
              </w:rPr>
              <w:t>barnehagar</w:t>
            </w:r>
            <w:proofErr w:type="spellEnd"/>
            <w:r w:rsidRPr="00D77759">
              <w:rPr>
                <w:sz w:val="21"/>
                <w:szCs w:val="21"/>
              </w:rPr>
              <w:t xml:space="preserve"> og </w:t>
            </w:r>
            <w:proofErr w:type="spellStart"/>
            <w:r w:rsidRPr="00D77759">
              <w:rPr>
                <w:sz w:val="21"/>
                <w:szCs w:val="21"/>
              </w:rPr>
              <w:t>grunnskuleopplæring</w:t>
            </w:r>
            <w:proofErr w:type="spellEnd"/>
          </w:p>
        </w:tc>
        <w:tc>
          <w:tcPr>
            <w:tcW w:w="1240" w:type="dxa"/>
            <w:tcBorders>
              <w:top w:val="nil"/>
              <w:left w:val="nil"/>
              <w:bottom w:val="nil"/>
              <w:right w:val="nil"/>
            </w:tcBorders>
            <w:tcMar>
              <w:top w:w="128" w:type="dxa"/>
              <w:left w:w="43" w:type="dxa"/>
              <w:bottom w:w="43" w:type="dxa"/>
              <w:right w:w="43" w:type="dxa"/>
            </w:tcMar>
          </w:tcPr>
          <w:p w14:paraId="1A0802DD" w14:textId="77777777" w:rsidR="00D60186" w:rsidRPr="00D77759" w:rsidRDefault="00D60186" w:rsidP="00D77759">
            <w:pPr>
              <w:jc w:val="right"/>
              <w:rPr>
                <w:sz w:val="21"/>
                <w:szCs w:val="21"/>
              </w:rPr>
            </w:pPr>
            <w:r w:rsidRPr="00D77759">
              <w:rPr>
                <w:sz w:val="21"/>
                <w:szCs w:val="21"/>
              </w:rPr>
              <w:t>Ja</w:t>
            </w:r>
          </w:p>
        </w:tc>
      </w:tr>
      <w:tr w:rsidR="00E76DC8" w:rsidRPr="00225D4D" w14:paraId="0B2A1E0D"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1FA9C8BD"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4F86BB53" w14:textId="77777777" w:rsidR="00D60186" w:rsidRPr="00D77759" w:rsidRDefault="00D60186" w:rsidP="00D77759">
            <w:pPr>
              <w:ind w:right="113"/>
              <w:jc w:val="right"/>
              <w:rPr>
                <w:sz w:val="21"/>
                <w:szCs w:val="21"/>
              </w:rPr>
            </w:pPr>
            <w:r w:rsidRPr="00D77759">
              <w:rPr>
                <w:sz w:val="21"/>
                <w:szCs w:val="21"/>
              </w:rPr>
              <w:t>863</w:t>
            </w:r>
          </w:p>
        </w:tc>
        <w:tc>
          <w:tcPr>
            <w:tcW w:w="5860" w:type="dxa"/>
            <w:tcBorders>
              <w:top w:val="nil"/>
              <w:left w:val="nil"/>
              <w:bottom w:val="nil"/>
              <w:right w:val="nil"/>
            </w:tcBorders>
            <w:tcMar>
              <w:top w:w="128" w:type="dxa"/>
              <w:left w:w="43" w:type="dxa"/>
              <w:bottom w:w="43" w:type="dxa"/>
              <w:right w:w="43" w:type="dxa"/>
            </w:tcMar>
          </w:tcPr>
          <w:p w14:paraId="7ECD2F9F"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w:t>
            </w:r>
            <w:proofErr w:type="spellStart"/>
            <w:r w:rsidRPr="00D77759">
              <w:rPr>
                <w:sz w:val="21"/>
                <w:szCs w:val="21"/>
              </w:rPr>
              <w:t>Pensjonstilskot</w:t>
            </w:r>
            <w:proofErr w:type="spellEnd"/>
          </w:p>
        </w:tc>
        <w:tc>
          <w:tcPr>
            <w:tcW w:w="1240" w:type="dxa"/>
            <w:tcBorders>
              <w:top w:val="nil"/>
              <w:left w:val="nil"/>
              <w:bottom w:val="nil"/>
              <w:right w:val="nil"/>
            </w:tcBorders>
            <w:tcMar>
              <w:top w:w="128" w:type="dxa"/>
              <w:left w:w="43" w:type="dxa"/>
              <w:bottom w:w="43" w:type="dxa"/>
              <w:right w:w="43" w:type="dxa"/>
            </w:tcMar>
          </w:tcPr>
          <w:p w14:paraId="20A8EA1D" w14:textId="77777777" w:rsidR="00D60186" w:rsidRPr="00D77759" w:rsidRDefault="00D60186" w:rsidP="00D77759">
            <w:pPr>
              <w:jc w:val="right"/>
              <w:rPr>
                <w:sz w:val="21"/>
                <w:szCs w:val="21"/>
              </w:rPr>
            </w:pPr>
            <w:r w:rsidRPr="00D77759">
              <w:rPr>
                <w:sz w:val="21"/>
                <w:szCs w:val="21"/>
              </w:rPr>
              <w:t>Ja</w:t>
            </w:r>
          </w:p>
        </w:tc>
      </w:tr>
      <w:tr w:rsidR="00E76DC8" w:rsidRPr="00225D4D" w14:paraId="641B0FC2"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69CF7F15"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584B48D4" w14:textId="77777777" w:rsidR="00D60186" w:rsidRPr="00D77759" w:rsidRDefault="00D60186" w:rsidP="00D77759">
            <w:pPr>
              <w:ind w:right="113"/>
              <w:jc w:val="right"/>
              <w:rPr>
                <w:sz w:val="21"/>
                <w:szCs w:val="21"/>
              </w:rPr>
            </w:pPr>
            <w:r w:rsidRPr="00D77759">
              <w:rPr>
                <w:sz w:val="21"/>
                <w:szCs w:val="21"/>
              </w:rPr>
              <w:t>864</w:t>
            </w:r>
          </w:p>
        </w:tc>
        <w:tc>
          <w:tcPr>
            <w:tcW w:w="5860" w:type="dxa"/>
            <w:tcBorders>
              <w:top w:val="nil"/>
              <w:left w:val="nil"/>
              <w:bottom w:val="nil"/>
              <w:right w:val="nil"/>
            </w:tcBorders>
            <w:tcMar>
              <w:top w:w="128" w:type="dxa"/>
              <w:left w:w="43" w:type="dxa"/>
              <w:bottom w:w="43" w:type="dxa"/>
              <w:right w:w="43" w:type="dxa"/>
            </w:tcMar>
          </w:tcPr>
          <w:p w14:paraId="5B35E50D"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Vurdere behov for eigen regel om bruk av </w:t>
            </w:r>
            <w:proofErr w:type="spellStart"/>
            <w:r w:rsidRPr="00D77759">
              <w:rPr>
                <w:sz w:val="21"/>
                <w:szCs w:val="21"/>
              </w:rPr>
              <w:t>tilskot</w:t>
            </w:r>
            <w:proofErr w:type="spellEnd"/>
            <w:r w:rsidRPr="00D77759">
              <w:rPr>
                <w:sz w:val="21"/>
                <w:szCs w:val="21"/>
              </w:rPr>
              <w:t xml:space="preserve"> til </w:t>
            </w:r>
            <w:proofErr w:type="spellStart"/>
            <w:r w:rsidRPr="00D77759">
              <w:rPr>
                <w:sz w:val="21"/>
                <w:szCs w:val="21"/>
              </w:rPr>
              <w:t>eigedomskostnader</w:t>
            </w:r>
            <w:proofErr w:type="spellEnd"/>
          </w:p>
        </w:tc>
        <w:tc>
          <w:tcPr>
            <w:tcW w:w="1240" w:type="dxa"/>
            <w:tcBorders>
              <w:top w:val="nil"/>
              <w:left w:val="nil"/>
              <w:bottom w:val="nil"/>
              <w:right w:val="nil"/>
            </w:tcBorders>
            <w:tcMar>
              <w:top w:w="128" w:type="dxa"/>
              <w:left w:w="43" w:type="dxa"/>
              <w:bottom w:w="43" w:type="dxa"/>
              <w:right w:w="43" w:type="dxa"/>
            </w:tcMar>
          </w:tcPr>
          <w:p w14:paraId="3DA0FD1D" w14:textId="77777777" w:rsidR="00D60186" w:rsidRPr="00D77759" w:rsidRDefault="00D60186" w:rsidP="00D77759">
            <w:pPr>
              <w:jc w:val="right"/>
              <w:rPr>
                <w:sz w:val="21"/>
                <w:szCs w:val="21"/>
              </w:rPr>
            </w:pPr>
            <w:r w:rsidRPr="00D77759">
              <w:rPr>
                <w:sz w:val="21"/>
                <w:szCs w:val="21"/>
              </w:rPr>
              <w:t>Nei</w:t>
            </w:r>
          </w:p>
        </w:tc>
      </w:tr>
      <w:tr w:rsidR="00E76DC8" w:rsidRPr="00225D4D" w14:paraId="7473FE08"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7D387797"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7A50CE31" w14:textId="77777777" w:rsidR="00D60186" w:rsidRPr="00D77759" w:rsidRDefault="00D60186" w:rsidP="00D77759">
            <w:pPr>
              <w:ind w:right="113"/>
              <w:jc w:val="right"/>
              <w:rPr>
                <w:sz w:val="21"/>
                <w:szCs w:val="21"/>
              </w:rPr>
            </w:pPr>
            <w:r w:rsidRPr="00D77759">
              <w:rPr>
                <w:sz w:val="21"/>
                <w:szCs w:val="21"/>
              </w:rPr>
              <w:t>865</w:t>
            </w:r>
          </w:p>
        </w:tc>
        <w:tc>
          <w:tcPr>
            <w:tcW w:w="5860" w:type="dxa"/>
            <w:tcBorders>
              <w:top w:val="nil"/>
              <w:left w:val="nil"/>
              <w:bottom w:val="nil"/>
              <w:right w:val="nil"/>
            </w:tcBorders>
            <w:tcMar>
              <w:top w:w="128" w:type="dxa"/>
              <w:left w:w="43" w:type="dxa"/>
              <w:bottom w:w="43" w:type="dxa"/>
              <w:right w:w="43" w:type="dxa"/>
            </w:tcMar>
          </w:tcPr>
          <w:p w14:paraId="09033533" w14:textId="77777777" w:rsidR="00D60186" w:rsidRPr="00D77759" w:rsidRDefault="00D60186" w:rsidP="00225D4D">
            <w:pPr>
              <w:rPr>
                <w:sz w:val="21"/>
                <w:szCs w:val="21"/>
              </w:rPr>
            </w:pPr>
            <w:r w:rsidRPr="00D77759">
              <w:rPr>
                <w:sz w:val="21"/>
                <w:szCs w:val="21"/>
              </w:rPr>
              <w:t xml:space="preserve">Vurdere omsyn til barn med </w:t>
            </w:r>
            <w:proofErr w:type="spellStart"/>
            <w:r w:rsidRPr="00D77759">
              <w:rPr>
                <w:sz w:val="21"/>
                <w:szCs w:val="21"/>
              </w:rPr>
              <w:t>særskilde</w:t>
            </w:r>
            <w:proofErr w:type="spellEnd"/>
            <w:r w:rsidRPr="00D77759">
              <w:rPr>
                <w:sz w:val="21"/>
                <w:szCs w:val="21"/>
              </w:rPr>
              <w:t xml:space="preserve"> behov ved opptak til barnehage</w:t>
            </w:r>
          </w:p>
        </w:tc>
        <w:tc>
          <w:tcPr>
            <w:tcW w:w="1240" w:type="dxa"/>
            <w:tcBorders>
              <w:top w:val="nil"/>
              <w:left w:val="nil"/>
              <w:bottom w:val="nil"/>
              <w:right w:val="nil"/>
            </w:tcBorders>
            <w:tcMar>
              <w:top w:w="128" w:type="dxa"/>
              <w:left w:w="43" w:type="dxa"/>
              <w:bottom w:w="43" w:type="dxa"/>
              <w:right w:w="43" w:type="dxa"/>
            </w:tcMar>
          </w:tcPr>
          <w:p w14:paraId="5B1CA1B2" w14:textId="77777777" w:rsidR="00D60186" w:rsidRPr="00D77759" w:rsidRDefault="00D60186" w:rsidP="00D77759">
            <w:pPr>
              <w:jc w:val="right"/>
              <w:rPr>
                <w:sz w:val="21"/>
                <w:szCs w:val="21"/>
              </w:rPr>
            </w:pPr>
            <w:r w:rsidRPr="00D77759">
              <w:rPr>
                <w:sz w:val="21"/>
                <w:szCs w:val="21"/>
              </w:rPr>
              <w:t>Nei</w:t>
            </w:r>
          </w:p>
        </w:tc>
      </w:tr>
      <w:tr w:rsidR="00E76DC8" w:rsidRPr="00225D4D" w14:paraId="60272B76"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0E566FA"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1BAC5838" w14:textId="77777777" w:rsidR="00D60186" w:rsidRPr="00D77759" w:rsidRDefault="00D60186" w:rsidP="00D77759">
            <w:pPr>
              <w:ind w:right="113"/>
              <w:jc w:val="right"/>
              <w:rPr>
                <w:sz w:val="21"/>
                <w:szCs w:val="21"/>
              </w:rPr>
            </w:pPr>
            <w:r w:rsidRPr="00D77759">
              <w:rPr>
                <w:sz w:val="21"/>
                <w:szCs w:val="21"/>
              </w:rPr>
              <w:t>866</w:t>
            </w:r>
          </w:p>
        </w:tc>
        <w:tc>
          <w:tcPr>
            <w:tcW w:w="5860" w:type="dxa"/>
            <w:tcBorders>
              <w:top w:val="nil"/>
              <w:left w:val="nil"/>
              <w:bottom w:val="nil"/>
              <w:right w:val="nil"/>
            </w:tcBorders>
            <w:tcMar>
              <w:top w:w="128" w:type="dxa"/>
              <w:left w:w="43" w:type="dxa"/>
              <w:bottom w:w="43" w:type="dxa"/>
              <w:right w:w="43" w:type="dxa"/>
            </w:tcMar>
          </w:tcPr>
          <w:p w14:paraId="3DC11630"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Greie ut definisjonen av ideelle </w:t>
            </w:r>
            <w:proofErr w:type="spellStart"/>
            <w:r w:rsidRPr="00D77759">
              <w:rPr>
                <w:sz w:val="21"/>
                <w:szCs w:val="21"/>
              </w:rPr>
              <w:t>barnehagar</w:t>
            </w:r>
            <w:proofErr w:type="spellEnd"/>
          </w:p>
        </w:tc>
        <w:tc>
          <w:tcPr>
            <w:tcW w:w="1240" w:type="dxa"/>
            <w:tcBorders>
              <w:top w:val="nil"/>
              <w:left w:val="nil"/>
              <w:bottom w:val="nil"/>
              <w:right w:val="nil"/>
            </w:tcBorders>
            <w:tcMar>
              <w:top w:w="128" w:type="dxa"/>
              <w:left w:w="43" w:type="dxa"/>
              <w:bottom w:w="43" w:type="dxa"/>
              <w:right w:w="43" w:type="dxa"/>
            </w:tcMar>
          </w:tcPr>
          <w:p w14:paraId="337D11F8" w14:textId="77777777" w:rsidR="00D60186" w:rsidRPr="00D77759" w:rsidRDefault="00D60186" w:rsidP="00D77759">
            <w:pPr>
              <w:jc w:val="right"/>
              <w:rPr>
                <w:sz w:val="21"/>
                <w:szCs w:val="21"/>
              </w:rPr>
            </w:pPr>
            <w:r w:rsidRPr="00D77759">
              <w:rPr>
                <w:sz w:val="21"/>
                <w:szCs w:val="21"/>
              </w:rPr>
              <w:t>Nei</w:t>
            </w:r>
          </w:p>
        </w:tc>
      </w:tr>
      <w:tr w:rsidR="00E76DC8" w:rsidRPr="00225D4D" w14:paraId="75DF920A"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59BB3BF0"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7EF73981" w14:textId="77777777" w:rsidR="00D60186" w:rsidRPr="00D77759" w:rsidRDefault="00D60186" w:rsidP="00D77759">
            <w:pPr>
              <w:ind w:right="113"/>
              <w:jc w:val="right"/>
              <w:rPr>
                <w:sz w:val="21"/>
                <w:szCs w:val="21"/>
              </w:rPr>
            </w:pPr>
            <w:r w:rsidRPr="00D77759">
              <w:rPr>
                <w:sz w:val="21"/>
                <w:szCs w:val="21"/>
              </w:rPr>
              <w:t>867</w:t>
            </w:r>
          </w:p>
        </w:tc>
        <w:tc>
          <w:tcPr>
            <w:tcW w:w="5860" w:type="dxa"/>
            <w:tcBorders>
              <w:top w:val="nil"/>
              <w:left w:val="nil"/>
              <w:bottom w:val="nil"/>
              <w:right w:val="nil"/>
            </w:tcBorders>
            <w:tcMar>
              <w:top w:w="128" w:type="dxa"/>
              <w:left w:w="43" w:type="dxa"/>
              <w:bottom w:w="43" w:type="dxa"/>
              <w:right w:w="43" w:type="dxa"/>
            </w:tcMar>
          </w:tcPr>
          <w:p w14:paraId="6D660977"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w:t>
            </w:r>
            <w:proofErr w:type="spellStart"/>
            <w:r w:rsidRPr="00D77759">
              <w:rPr>
                <w:sz w:val="21"/>
                <w:szCs w:val="21"/>
              </w:rPr>
              <w:t>Ikkje</w:t>
            </w:r>
            <w:proofErr w:type="spellEnd"/>
            <w:r w:rsidRPr="00D77759">
              <w:rPr>
                <w:sz w:val="21"/>
                <w:szCs w:val="21"/>
              </w:rPr>
              <w:t xml:space="preserve">-tidsavgrensa søknadsordning for pensjonskostnader som skal </w:t>
            </w:r>
            <w:proofErr w:type="spellStart"/>
            <w:r w:rsidRPr="00D77759">
              <w:rPr>
                <w:sz w:val="21"/>
                <w:szCs w:val="21"/>
              </w:rPr>
              <w:t>evaluerast</w:t>
            </w:r>
            <w:proofErr w:type="spellEnd"/>
            <w:r w:rsidRPr="00D77759">
              <w:rPr>
                <w:sz w:val="21"/>
                <w:szCs w:val="21"/>
              </w:rPr>
              <w:t xml:space="preserve"> etter tre år</w:t>
            </w:r>
          </w:p>
        </w:tc>
        <w:tc>
          <w:tcPr>
            <w:tcW w:w="1240" w:type="dxa"/>
            <w:tcBorders>
              <w:top w:val="nil"/>
              <w:left w:val="nil"/>
              <w:bottom w:val="nil"/>
              <w:right w:val="nil"/>
            </w:tcBorders>
            <w:tcMar>
              <w:top w:w="128" w:type="dxa"/>
              <w:left w:w="43" w:type="dxa"/>
              <w:bottom w:w="43" w:type="dxa"/>
              <w:right w:w="43" w:type="dxa"/>
            </w:tcMar>
          </w:tcPr>
          <w:p w14:paraId="7E8600F4" w14:textId="77777777" w:rsidR="00D60186" w:rsidRPr="00D77759" w:rsidRDefault="00D60186" w:rsidP="00D77759">
            <w:pPr>
              <w:jc w:val="right"/>
              <w:rPr>
                <w:sz w:val="21"/>
                <w:szCs w:val="21"/>
              </w:rPr>
            </w:pPr>
            <w:r w:rsidRPr="00D77759">
              <w:rPr>
                <w:sz w:val="21"/>
                <w:szCs w:val="21"/>
              </w:rPr>
              <w:t>Ja</w:t>
            </w:r>
          </w:p>
        </w:tc>
      </w:tr>
      <w:tr w:rsidR="00E76DC8" w:rsidRPr="00225D4D" w14:paraId="06D50320"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1CF27E26"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1DDE3CAB" w14:textId="77777777" w:rsidR="00D60186" w:rsidRPr="00D77759" w:rsidRDefault="00D60186" w:rsidP="00D77759">
            <w:pPr>
              <w:ind w:right="113"/>
              <w:jc w:val="right"/>
              <w:rPr>
                <w:sz w:val="21"/>
                <w:szCs w:val="21"/>
              </w:rPr>
            </w:pPr>
            <w:r w:rsidRPr="00D77759">
              <w:rPr>
                <w:sz w:val="21"/>
                <w:szCs w:val="21"/>
              </w:rPr>
              <w:t>868</w:t>
            </w:r>
          </w:p>
        </w:tc>
        <w:tc>
          <w:tcPr>
            <w:tcW w:w="5860" w:type="dxa"/>
            <w:tcBorders>
              <w:top w:val="nil"/>
              <w:left w:val="nil"/>
              <w:bottom w:val="nil"/>
              <w:right w:val="nil"/>
            </w:tcBorders>
            <w:tcMar>
              <w:top w:w="128" w:type="dxa"/>
              <w:left w:w="43" w:type="dxa"/>
              <w:bottom w:w="43" w:type="dxa"/>
              <w:right w:w="43" w:type="dxa"/>
            </w:tcMar>
          </w:tcPr>
          <w:p w14:paraId="71CA1CD2"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Ny søknadsordning for </w:t>
            </w:r>
            <w:proofErr w:type="spellStart"/>
            <w:r w:rsidRPr="00D77759">
              <w:rPr>
                <w:sz w:val="21"/>
                <w:szCs w:val="21"/>
              </w:rPr>
              <w:t>pensjonstilskot</w:t>
            </w:r>
            <w:proofErr w:type="spellEnd"/>
          </w:p>
        </w:tc>
        <w:tc>
          <w:tcPr>
            <w:tcW w:w="1240" w:type="dxa"/>
            <w:tcBorders>
              <w:top w:val="nil"/>
              <w:left w:val="nil"/>
              <w:bottom w:val="nil"/>
              <w:right w:val="nil"/>
            </w:tcBorders>
            <w:tcMar>
              <w:top w:w="128" w:type="dxa"/>
              <w:left w:w="43" w:type="dxa"/>
              <w:bottom w:w="43" w:type="dxa"/>
              <w:right w:w="43" w:type="dxa"/>
            </w:tcMar>
          </w:tcPr>
          <w:p w14:paraId="71C0A709" w14:textId="77777777" w:rsidR="00D60186" w:rsidRPr="00D77759" w:rsidRDefault="00D60186" w:rsidP="00D77759">
            <w:pPr>
              <w:jc w:val="right"/>
              <w:rPr>
                <w:sz w:val="21"/>
                <w:szCs w:val="21"/>
              </w:rPr>
            </w:pPr>
            <w:r w:rsidRPr="00D77759">
              <w:rPr>
                <w:sz w:val="21"/>
                <w:szCs w:val="21"/>
              </w:rPr>
              <w:t>Ja</w:t>
            </w:r>
          </w:p>
        </w:tc>
      </w:tr>
      <w:tr w:rsidR="00E76DC8" w:rsidRPr="00225D4D" w14:paraId="5288183A"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34E5AA08"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9B8D2B7" w14:textId="77777777" w:rsidR="00D60186" w:rsidRPr="00D77759" w:rsidRDefault="00D60186" w:rsidP="00D77759">
            <w:pPr>
              <w:ind w:right="113"/>
              <w:jc w:val="right"/>
              <w:rPr>
                <w:sz w:val="21"/>
                <w:szCs w:val="21"/>
              </w:rPr>
            </w:pPr>
            <w:r w:rsidRPr="00D77759">
              <w:rPr>
                <w:sz w:val="21"/>
                <w:szCs w:val="21"/>
              </w:rPr>
              <w:t>869</w:t>
            </w:r>
          </w:p>
        </w:tc>
        <w:tc>
          <w:tcPr>
            <w:tcW w:w="5860" w:type="dxa"/>
            <w:tcBorders>
              <w:top w:val="nil"/>
              <w:left w:val="nil"/>
              <w:bottom w:val="nil"/>
              <w:right w:val="nil"/>
            </w:tcBorders>
            <w:tcMar>
              <w:top w:w="128" w:type="dxa"/>
              <w:left w:w="43" w:type="dxa"/>
              <w:bottom w:w="43" w:type="dxa"/>
              <w:right w:w="43" w:type="dxa"/>
            </w:tcMar>
          </w:tcPr>
          <w:p w14:paraId="7278A034" w14:textId="77777777" w:rsidR="00D60186" w:rsidRPr="00D77759" w:rsidRDefault="00D60186" w:rsidP="00225D4D">
            <w:pPr>
              <w:rPr>
                <w:sz w:val="21"/>
                <w:szCs w:val="21"/>
              </w:rPr>
            </w:pPr>
            <w:bookmarkStart w:id="4" w:name="RTF5f486c6b3230373936343531"/>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Søknadsordning som kan kompensere for </w:t>
            </w:r>
            <w:proofErr w:type="spellStart"/>
            <w:r w:rsidRPr="00D77759">
              <w:rPr>
                <w:sz w:val="21"/>
                <w:szCs w:val="21"/>
              </w:rPr>
              <w:t>me</w:t>
            </w:r>
            <w:bookmarkEnd w:id="4"/>
            <w:r w:rsidRPr="00D77759">
              <w:rPr>
                <w:sz w:val="21"/>
                <w:szCs w:val="21"/>
              </w:rPr>
              <w:t>llombelse</w:t>
            </w:r>
            <w:proofErr w:type="spellEnd"/>
            <w:r w:rsidRPr="00D77759">
              <w:rPr>
                <w:sz w:val="21"/>
                <w:szCs w:val="21"/>
              </w:rPr>
              <w:t xml:space="preserve"> høge utgifter</w:t>
            </w:r>
          </w:p>
        </w:tc>
        <w:tc>
          <w:tcPr>
            <w:tcW w:w="1240" w:type="dxa"/>
            <w:tcBorders>
              <w:top w:val="nil"/>
              <w:left w:val="nil"/>
              <w:bottom w:val="nil"/>
              <w:right w:val="nil"/>
            </w:tcBorders>
            <w:tcMar>
              <w:top w:w="128" w:type="dxa"/>
              <w:left w:w="43" w:type="dxa"/>
              <w:bottom w:w="43" w:type="dxa"/>
              <w:right w:w="43" w:type="dxa"/>
            </w:tcMar>
          </w:tcPr>
          <w:p w14:paraId="18A6D00C" w14:textId="77777777" w:rsidR="00D60186" w:rsidRPr="00D77759" w:rsidRDefault="00D60186" w:rsidP="00D77759">
            <w:pPr>
              <w:jc w:val="right"/>
              <w:rPr>
                <w:sz w:val="21"/>
                <w:szCs w:val="21"/>
              </w:rPr>
            </w:pPr>
            <w:r w:rsidRPr="00D77759">
              <w:rPr>
                <w:sz w:val="21"/>
                <w:szCs w:val="21"/>
              </w:rPr>
              <w:t>Ja</w:t>
            </w:r>
          </w:p>
        </w:tc>
      </w:tr>
      <w:tr w:rsidR="00E76DC8" w:rsidRPr="00225D4D" w14:paraId="77250BA4"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4A1647EE"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53D24DA7" w14:textId="77777777" w:rsidR="00D60186" w:rsidRPr="00D77759" w:rsidRDefault="00D60186" w:rsidP="00D77759">
            <w:pPr>
              <w:ind w:right="113"/>
              <w:jc w:val="right"/>
              <w:rPr>
                <w:sz w:val="21"/>
                <w:szCs w:val="21"/>
              </w:rPr>
            </w:pPr>
            <w:r w:rsidRPr="00D77759">
              <w:rPr>
                <w:sz w:val="21"/>
                <w:szCs w:val="21"/>
              </w:rPr>
              <w:t>870</w:t>
            </w:r>
          </w:p>
        </w:tc>
        <w:tc>
          <w:tcPr>
            <w:tcW w:w="5860" w:type="dxa"/>
            <w:tcBorders>
              <w:top w:val="nil"/>
              <w:left w:val="nil"/>
              <w:bottom w:val="nil"/>
              <w:right w:val="nil"/>
            </w:tcBorders>
            <w:tcMar>
              <w:top w:w="128" w:type="dxa"/>
              <w:left w:w="43" w:type="dxa"/>
              <w:bottom w:w="43" w:type="dxa"/>
              <w:right w:w="43" w:type="dxa"/>
            </w:tcMar>
          </w:tcPr>
          <w:p w14:paraId="45F9D17D"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Vurdering av </w:t>
            </w:r>
            <w:proofErr w:type="spellStart"/>
            <w:r w:rsidRPr="00D77759">
              <w:rPr>
                <w:sz w:val="21"/>
                <w:szCs w:val="21"/>
              </w:rPr>
              <w:t>tilskot</w:t>
            </w:r>
            <w:proofErr w:type="spellEnd"/>
            <w:r w:rsidRPr="00D77759">
              <w:rPr>
                <w:sz w:val="21"/>
                <w:szCs w:val="21"/>
              </w:rPr>
              <w:t xml:space="preserve"> til </w:t>
            </w:r>
            <w:proofErr w:type="spellStart"/>
            <w:r w:rsidRPr="00D77759">
              <w:rPr>
                <w:sz w:val="21"/>
                <w:szCs w:val="21"/>
              </w:rPr>
              <w:t>eigedom</w:t>
            </w:r>
            <w:proofErr w:type="spellEnd"/>
            <w:r w:rsidRPr="00D77759">
              <w:rPr>
                <w:sz w:val="21"/>
                <w:szCs w:val="21"/>
              </w:rPr>
              <w:t xml:space="preserve"> og </w:t>
            </w:r>
            <w:proofErr w:type="spellStart"/>
            <w:r w:rsidRPr="00D77759">
              <w:rPr>
                <w:sz w:val="21"/>
                <w:szCs w:val="21"/>
              </w:rPr>
              <w:t>eigedomskostnader</w:t>
            </w:r>
            <w:proofErr w:type="spellEnd"/>
          </w:p>
        </w:tc>
        <w:tc>
          <w:tcPr>
            <w:tcW w:w="1240" w:type="dxa"/>
            <w:tcBorders>
              <w:top w:val="nil"/>
              <w:left w:val="nil"/>
              <w:bottom w:val="nil"/>
              <w:right w:val="nil"/>
            </w:tcBorders>
            <w:tcMar>
              <w:top w:w="128" w:type="dxa"/>
              <w:left w:w="43" w:type="dxa"/>
              <w:bottom w:w="43" w:type="dxa"/>
              <w:right w:w="43" w:type="dxa"/>
            </w:tcMar>
          </w:tcPr>
          <w:p w14:paraId="1BE68FBD" w14:textId="77777777" w:rsidR="00D60186" w:rsidRPr="00D77759" w:rsidRDefault="00D60186" w:rsidP="00D77759">
            <w:pPr>
              <w:jc w:val="right"/>
              <w:rPr>
                <w:sz w:val="21"/>
                <w:szCs w:val="21"/>
              </w:rPr>
            </w:pPr>
            <w:r w:rsidRPr="00D77759">
              <w:rPr>
                <w:sz w:val="21"/>
                <w:szCs w:val="21"/>
              </w:rPr>
              <w:t>Nei</w:t>
            </w:r>
          </w:p>
        </w:tc>
      </w:tr>
      <w:tr w:rsidR="00E76DC8" w:rsidRPr="00225D4D" w14:paraId="684D2C80"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633C8571"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23D82B6D" w14:textId="77777777" w:rsidR="00D60186" w:rsidRPr="00D77759" w:rsidRDefault="00D60186" w:rsidP="00D77759">
            <w:pPr>
              <w:ind w:right="113"/>
              <w:jc w:val="right"/>
              <w:rPr>
                <w:sz w:val="21"/>
                <w:szCs w:val="21"/>
              </w:rPr>
            </w:pPr>
            <w:r w:rsidRPr="00D77759">
              <w:rPr>
                <w:sz w:val="21"/>
                <w:szCs w:val="21"/>
              </w:rPr>
              <w:t>871</w:t>
            </w:r>
          </w:p>
        </w:tc>
        <w:tc>
          <w:tcPr>
            <w:tcW w:w="5860" w:type="dxa"/>
            <w:tcBorders>
              <w:top w:val="nil"/>
              <w:left w:val="nil"/>
              <w:bottom w:val="nil"/>
              <w:right w:val="nil"/>
            </w:tcBorders>
            <w:tcMar>
              <w:top w:w="128" w:type="dxa"/>
              <w:left w:w="43" w:type="dxa"/>
              <w:bottom w:w="43" w:type="dxa"/>
              <w:right w:w="43" w:type="dxa"/>
            </w:tcMar>
          </w:tcPr>
          <w:p w14:paraId="3706B33D"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Ordning for rehabilitering av private barnehagebygg</w:t>
            </w:r>
          </w:p>
        </w:tc>
        <w:tc>
          <w:tcPr>
            <w:tcW w:w="1240" w:type="dxa"/>
            <w:tcBorders>
              <w:top w:val="nil"/>
              <w:left w:val="nil"/>
              <w:bottom w:val="nil"/>
              <w:right w:val="nil"/>
            </w:tcBorders>
            <w:tcMar>
              <w:top w:w="128" w:type="dxa"/>
              <w:left w:w="43" w:type="dxa"/>
              <w:bottom w:w="43" w:type="dxa"/>
              <w:right w:w="43" w:type="dxa"/>
            </w:tcMar>
          </w:tcPr>
          <w:p w14:paraId="1716FF4F" w14:textId="77777777" w:rsidR="00D60186" w:rsidRPr="00D77759" w:rsidRDefault="00D60186" w:rsidP="00D77759">
            <w:pPr>
              <w:jc w:val="right"/>
              <w:rPr>
                <w:sz w:val="21"/>
                <w:szCs w:val="21"/>
              </w:rPr>
            </w:pPr>
            <w:r w:rsidRPr="00D77759">
              <w:rPr>
                <w:sz w:val="21"/>
                <w:szCs w:val="21"/>
              </w:rPr>
              <w:t>Nei</w:t>
            </w:r>
          </w:p>
        </w:tc>
      </w:tr>
      <w:tr w:rsidR="00E76DC8" w:rsidRPr="00225D4D" w14:paraId="2FF97982"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73B10A2E"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9E08530" w14:textId="77777777" w:rsidR="00D60186" w:rsidRPr="00D77759" w:rsidRDefault="00D60186" w:rsidP="00D77759">
            <w:pPr>
              <w:ind w:right="113"/>
              <w:jc w:val="right"/>
              <w:rPr>
                <w:sz w:val="21"/>
                <w:szCs w:val="21"/>
              </w:rPr>
            </w:pPr>
            <w:r w:rsidRPr="00D77759">
              <w:rPr>
                <w:sz w:val="21"/>
                <w:szCs w:val="21"/>
              </w:rPr>
              <w:t>872</w:t>
            </w:r>
          </w:p>
        </w:tc>
        <w:tc>
          <w:tcPr>
            <w:tcW w:w="5860" w:type="dxa"/>
            <w:tcBorders>
              <w:top w:val="nil"/>
              <w:left w:val="nil"/>
              <w:bottom w:val="nil"/>
              <w:right w:val="nil"/>
            </w:tcBorders>
            <w:tcMar>
              <w:top w:w="128" w:type="dxa"/>
              <w:left w:w="43" w:type="dxa"/>
              <w:bottom w:w="43" w:type="dxa"/>
              <w:right w:w="43" w:type="dxa"/>
            </w:tcMar>
          </w:tcPr>
          <w:p w14:paraId="656273A7"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Forskrift om tildeling av </w:t>
            </w:r>
            <w:proofErr w:type="spellStart"/>
            <w:r w:rsidRPr="00D77759">
              <w:rPr>
                <w:sz w:val="21"/>
                <w:szCs w:val="21"/>
              </w:rPr>
              <w:t>tilskot</w:t>
            </w:r>
            <w:proofErr w:type="spellEnd"/>
            <w:r w:rsidRPr="00D77759">
              <w:rPr>
                <w:sz w:val="21"/>
                <w:szCs w:val="21"/>
              </w:rPr>
              <w:t xml:space="preserve"> </w:t>
            </w:r>
          </w:p>
        </w:tc>
        <w:tc>
          <w:tcPr>
            <w:tcW w:w="1240" w:type="dxa"/>
            <w:tcBorders>
              <w:top w:val="nil"/>
              <w:left w:val="nil"/>
              <w:bottom w:val="nil"/>
              <w:right w:val="nil"/>
            </w:tcBorders>
            <w:tcMar>
              <w:top w:w="128" w:type="dxa"/>
              <w:left w:w="43" w:type="dxa"/>
              <w:bottom w:w="43" w:type="dxa"/>
              <w:right w:w="43" w:type="dxa"/>
            </w:tcMar>
          </w:tcPr>
          <w:p w14:paraId="0CFBB91E" w14:textId="77777777" w:rsidR="00D60186" w:rsidRPr="00D77759" w:rsidRDefault="00D60186" w:rsidP="00D77759">
            <w:pPr>
              <w:jc w:val="right"/>
              <w:rPr>
                <w:sz w:val="21"/>
                <w:szCs w:val="21"/>
              </w:rPr>
            </w:pPr>
            <w:r w:rsidRPr="00D77759">
              <w:rPr>
                <w:sz w:val="21"/>
                <w:szCs w:val="21"/>
              </w:rPr>
              <w:t>Nei</w:t>
            </w:r>
          </w:p>
        </w:tc>
      </w:tr>
      <w:tr w:rsidR="00E76DC8" w:rsidRPr="00225D4D" w14:paraId="03166851"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10B74041"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6128B0CA" w14:textId="77777777" w:rsidR="00D60186" w:rsidRPr="00D77759" w:rsidRDefault="00D60186" w:rsidP="00D77759">
            <w:pPr>
              <w:ind w:right="113"/>
              <w:jc w:val="right"/>
              <w:rPr>
                <w:sz w:val="21"/>
                <w:szCs w:val="21"/>
              </w:rPr>
            </w:pPr>
            <w:r w:rsidRPr="00D77759">
              <w:rPr>
                <w:sz w:val="21"/>
                <w:szCs w:val="21"/>
              </w:rPr>
              <w:t>875</w:t>
            </w:r>
          </w:p>
        </w:tc>
        <w:tc>
          <w:tcPr>
            <w:tcW w:w="5860" w:type="dxa"/>
            <w:tcBorders>
              <w:top w:val="nil"/>
              <w:left w:val="nil"/>
              <w:bottom w:val="nil"/>
              <w:right w:val="nil"/>
            </w:tcBorders>
            <w:tcMar>
              <w:top w:w="128" w:type="dxa"/>
              <w:left w:w="43" w:type="dxa"/>
              <w:bottom w:w="43" w:type="dxa"/>
              <w:right w:w="43" w:type="dxa"/>
            </w:tcMar>
          </w:tcPr>
          <w:p w14:paraId="7113118B" w14:textId="77777777" w:rsidR="00D60186" w:rsidRPr="00D77759" w:rsidRDefault="00D60186" w:rsidP="00225D4D">
            <w:pPr>
              <w:rPr>
                <w:sz w:val="21"/>
                <w:szCs w:val="21"/>
              </w:rPr>
            </w:pPr>
            <w:r w:rsidRPr="00D77759">
              <w:rPr>
                <w:sz w:val="21"/>
                <w:szCs w:val="21"/>
              </w:rPr>
              <w:t>Inkludering av det samiske KI-arbeidet i satsinga på forskingssenter for kunstig intelligens</w:t>
            </w:r>
          </w:p>
        </w:tc>
        <w:tc>
          <w:tcPr>
            <w:tcW w:w="1240" w:type="dxa"/>
            <w:tcBorders>
              <w:top w:val="nil"/>
              <w:left w:val="nil"/>
              <w:bottom w:val="nil"/>
              <w:right w:val="nil"/>
            </w:tcBorders>
            <w:tcMar>
              <w:top w:w="128" w:type="dxa"/>
              <w:left w:w="43" w:type="dxa"/>
              <w:bottom w:w="43" w:type="dxa"/>
              <w:right w:w="43" w:type="dxa"/>
            </w:tcMar>
          </w:tcPr>
          <w:p w14:paraId="0394EB60" w14:textId="77777777" w:rsidR="00D60186" w:rsidRPr="00D77759" w:rsidRDefault="00D60186" w:rsidP="00D77759">
            <w:pPr>
              <w:jc w:val="right"/>
              <w:rPr>
                <w:sz w:val="21"/>
                <w:szCs w:val="21"/>
              </w:rPr>
            </w:pPr>
            <w:r w:rsidRPr="00D77759">
              <w:rPr>
                <w:sz w:val="21"/>
                <w:szCs w:val="21"/>
              </w:rPr>
              <w:t>Ja</w:t>
            </w:r>
          </w:p>
        </w:tc>
      </w:tr>
      <w:tr w:rsidR="00E76DC8" w:rsidRPr="00225D4D" w14:paraId="5D703409" w14:textId="77777777" w:rsidTr="0052516A">
        <w:trPr>
          <w:trHeight w:val="20"/>
        </w:trPr>
        <w:tc>
          <w:tcPr>
            <w:tcW w:w="1200" w:type="dxa"/>
            <w:tcBorders>
              <w:top w:val="nil"/>
              <w:left w:val="nil"/>
              <w:right w:val="nil"/>
            </w:tcBorders>
            <w:tcMar>
              <w:top w:w="128" w:type="dxa"/>
              <w:left w:w="43" w:type="dxa"/>
              <w:bottom w:w="43" w:type="dxa"/>
              <w:right w:w="43" w:type="dxa"/>
            </w:tcMar>
          </w:tcPr>
          <w:p w14:paraId="0DACA5E0" w14:textId="77777777" w:rsidR="00D60186" w:rsidRPr="00D77759" w:rsidRDefault="00D60186" w:rsidP="00225D4D">
            <w:pPr>
              <w:rPr>
                <w:sz w:val="21"/>
                <w:szCs w:val="21"/>
              </w:rPr>
            </w:pPr>
            <w:r w:rsidRPr="00D77759">
              <w:rPr>
                <w:sz w:val="21"/>
                <w:szCs w:val="21"/>
              </w:rPr>
              <w:t>2024–2025</w:t>
            </w:r>
          </w:p>
        </w:tc>
        <w:tc>
          <w:tcPr>
            <w:tcW w:w="1240" w:type="dxa"/>
            <w:tcBorders>
              <w:top w:val="nil"/>
              <w:left w:val="nil"/>
              <w:right w:val="nil"/>
            </w:tcBorders>
            <w:tcMar>
              <w:top w:w="128" w:type="dxa"/>
              <w:left w:w="43" w:type="dxa"/>
              <w:bottom w:w="43" w:type="dxa"/>
              <w:right w:w="43" w:type="dxa"/>
            </w:tcMar>
          </w:tcPr>
          <w:p w14:paraId="33642991" w14:textId="77777777" w:rsidR="00D60186" w:rsidRPr="00D77759" w:rsidRDefault="00D60186" w:rsidP="00D77759">
            <w:pPr>
              <w:ind w:right="113"/>
              <w:jc w:val="right"/>
              <w:rPr>
                <w:sz w:val="21"/>
                <w:szCs w:val="21"/>
              </w:rPr>
            </w:pPr>
            <w:r w:rsidRPr="00D77759">
              <w:rPr>
                <w:sz w:val="21"/>
                <w:szCs w:val="21"/>
              </w:rPr>
              <w:t>1214</w:t>
            </w:r>
          </w:p>
        </w:tc>
        <w:tc>
          <w:tcPr>
            <w:tcW w:w="5860" w:type="dxa"/>
            <w:tcBorders>
              <w:top w:val="nil"/>
              <w:left w:val="nil"/>
              <w:right w:val="nil"/>
            </w:tcBorders>
            <w:tcMar>
              <w:top w:w="128" w:type="dxa"/>
              <w:left w:w="43" w:type="dxa"/>
              <w:bottom w:w="43" w:type="dxa"/>
              <w:right w:w="43" w:type="dxa"/>
            </w:tcMar>
          </w:tcPr>
          <w:p w14:paraId="249B6A15" w14:textId="77777777" w:rsidR="00D60186" w:rsidRPr="00D77759" w:rsidRDefault="00D60186" w:rsidP="00225D4D">
            <w:pPr>
              <w:rPr>
                <w:sz w:val="21"/>
                <w:szCs w:val="21"/>
              </w:rPr>
            </w:pPr>
            <w:r w:rsidRPr="00D77759">
              <w:rPr>
                <w:sz w:val="21"/>
                <w:szCs w:val="21"/>
              </w:rPr>
              <w:t>Utarbeide kampanje for å redusere bruken av narkotika</w:t>
            </w:r>
          </w:p>
        </w:tc>
        <w:tc>
          <w:tcPr>
            <w:tcW w:w="1240" w:type="dxa"/>
            <w:tcBorders>
              <w:top w:val="nil"/>
              <w:left w:val="nil"/>
              <w:right w:val="nil"/>
            </w:tcBorders>
            <w:tcMar>
              <w:top w:w="128" w:type="dxa"/>
              <w:left w:w="43" w:type="dxa"/>
              <w:bottom w:w="43" w:type="dxa"/>
              <w:right w:w="43" w:type="dxa"/>
            </w:tcMar>
          </w:tcPr>
          <w:p w14:paraId="79416943" w14:textId="77777777" w:rsidR="00D60186" w:rsidRPr="00D77759" w:rsidRDefault="00D60186" w:rsidP="00D77759">
            <w:pPr>
              <w:jc w:val="right"/>
              <w:rPr>
                <w:sz w:val="21"/>
                <w:szCs w:val="21"/>
              </w:rPr>
            </w:pPr>
            <w:r w:rsidRPr="00D77759">
              <w:rPr>
                <w:sz w:val="21"/>
                <w:szCs w:val="21"/>
              </w:rPr>
              <w:t>Ja</w:t>
            </w:r>
          </w:p>
        </w:tc>
      </w:tr>
      <w:tr w:rsidR="00E76DC8" w:rsidRPr="00225D4D" w14:paraId="5B349271" w14:textId="77777777" w:rsidTr="0052516A">
        <w:trPr>
          <w:trHeight w:val="20"/>
        </w:trPr>
        <w:tc>
          <w:tcPr>
            <w:tcW w:w="1200" w:type="dxa"/>
            <w:tcBorders>
              <w:top w:val="nil"/>
              <w:left w:val="nil"/>
              <w:right w:val="nil"/>
            </w:tcBorders>
            <w:tcMar>
              <w:top w:w="128" w:type="dxa"/>
              <w:left w:w="43" w:type="dxa"/>
              <w:bottom w:w="43" w:type="dxa"/>
              <w:right w:w="43" w:type="dxa"/>
            </w:tcMar>
          </w:tcPr>
          <w:p w14:paraId="3489317C" w14:textId="77777777" w:rsidR="00D60186" w:rsidRPr="00D77759" w:rsidRDefault="00D60186" w:rsidP="00225D4D">
            <w:pPr>
              <w:rPr>
                <w:sz w:val="21"/>
                <w:szCs w:val="21"/>
              </w:rPr>
            </w:pPr>
            <w:r w:rsidRPr="00D77759">
              <w:rPr>
                <w:sz w:val="21"/>
                <w:szCs w:val="21"/>
              </w:rPr>
              <w:t>2024–2025</w:t>
            </w:r>
          </w:p>
        </w:tc>
        <w:tc>
          <w:tcPr>
            <w:tcW w:w="1240" w:type="dxa"/>
            <w:tcBorders>
              <w:top w:val="nil"/>
              <w:left w:val="nil"/>
              <w:right w:val="nil"/>
            </w:tcBorders>
            <w:tcMar>
              <w:top w:w="128" w:type="dxa"/>
              <w:left w:w="43" w:type="dxa"/>
              <w:bottom w:w="43" w:type="dxa"/>
              <w:right w:w="43" w:type="dxa"/>
            </w:tcMar>
          </w:tcPr>
          <w:p w14:paraId="0E3C3153" w14:textId="77777777" w:rsidR="00D60186" w:rsidRPr="00D77759" w:rsidRDefault="00D60186" w:rsidP="00D77759">
            <w:pPr>
              <w:ind w:right="113"/>
              <w:jc w:val="right"/>
              <w:rPr>
                <w:sz w:val="21"/>
                <w:szCs w:val="21"/>
              </w:rPr>
            </w:pPr>
            <w:r w:rsidRPr="00D77759">
              <w:rPr>
                <w:sz w:val="21"/>
                <w:szCs w:val="21"/>
              </w:rPr>
              <w:t>1215</w:t>
            </w:r>
          </w:p>
        </w:tc>
        <w:tc>
          <w:tcPr>
            <w:tcW w:w="5860" w:type="dxa"/>
            <w:tcBorders>
              <w:top w:val="nil"/>
              <w:left w:val="nil"/>
              <w:right w:val="nil"/>
            </w:tcBorders>
            <w:tcMar>
              <w:top w:w="128" w:type="dxa"/>
              <w:left w:w="43" w:type="dxa"/>
              <w:bottom w:w="43" w:type="dxa"/>
              <w:right w:w="43" w:type="dxa"/>
            </w:tcMar>
          </w:tcPr>
          <w:p w14:paraId="363CF75F" w14:textId="77777777" w:rsidR="00D60186" w:rsidRPr="00D77759" w:rsidRDefault="00D60186" w:rsidP="00225D4D">
            <w:pPr>
              <w:rPr>
                <w:sz w:val="21"/>
                <w:szCs w:val="21"/>
              </w:rPr>
            </w:pPr>
            <w:r w:rsidRPr="00D77759">
              <w:rPr>
                <w:sz w:val="21"/>
                <w:szCs w:val="21"/>
              </w:rPr>
              <w:t>Utvide ordninga med kommunale beredskapsteam</w:t>
            </w:r>
          </w:p>
        </w:tc>
        <w:tc>
          <w:tcPr>
            <w:tcW w:w="1240" w:type="dxa"/>
            <w:tcBorders>
              <w:top w:val="nil"/>
              <w:left w:val="nil"/>
              <w:right w:val="nil"/>
            </w:tcBorders>
            <w:tcMar>
              <w:top w:w="128" w:type="dxa"/>
              <w:left w:w="43" w:type="dxa"/>
              <w:bottom w:w="43" w:type="dxa"/>
              <w:right w:w="43" w:type="dxa"/>
            </w:tcMar>
          </w:tcPr>
          <w:p w14:paraId="5BEAD685" w14:textId="77777777" w:rsidR="00D60186" w:rsidRPr="00D77759" w:rsidRDefault="00D60186" w:rsidP="00D77759">
            <w:pPr>
              <w:jc w:val="right"/>
              <w:rPr>
                <w:sz w:val="21"/>
                <w:szCs w:val="21"/>
              </w:rPr>
            </w:pPr>
            <w:r w:rsidRPr="00D77759">
              <w:rPr>
                <w:sz w:val="21"/>
                <w:szCs w:val="21"/>
              </w:rPr>
              <w:t>Ja</w:t>
            </w:r>
          </w:p>
        </w:tc>
      </w:tr>
      <w:tr w:rsidR="00E76DC8" w:rsidRPr="00225D4D" w14:paraId="183464B2" w14:textId="77777777" w:rsidTr="0052516A">
        <w:trPr>
          <w:trHeight w:val="20"/>
        </w:trPr>
        <w:tc>
          <w:tcPr>
            <w:tcW w:w="1200" w:type="dxa"/>
            <w:tcBorders>
              <w:left w:val="nil"/>
              <w:bottom w:val="nil"/>
              <w:right w:val="nil"/>
            </w:tcBorders>
            <w:tcMar>
              <w:top w:w="128" w:type="dxa"/>
              <w:left w:w="43" w:type="dxa"/>
              <w:bottom w:w="43" w:type="dxa"/>
              <w:right w:w="43" w:type="dxa"/>
            </w:tcMar>
          </w:tcPr>
          <w:p w14:paraId="0AE2E8FF" w14:textId="77777777" w:rsidR="00D60186" w:rsidRPr="00D77759" w:rsidRDefault="00D60186" w:rsidP="00225D4D">
            <w:pPr>
              <w:rPr>
                <w:sz w:val="21"/>
                <w:szCs w:val="21"/>
              </w:rPr>
            </w:pPr>
            <w:r w:rsidRPr="00D77759">
              <w:rPr>
                <w:sz w:val="21"/>
                <w:szCs w:val="21"/>
              </w:rPr>
              <w:t>2024–2025</w:t>
            </w:r>
          </w:p>
        </w:tc>
        <w:tc>
          <w:tcPr>
            <w:tcW w:w="1240" w:type="dxa"/>
            <w:tcBorders>
              <w:left w:val="nil"/>
              <w:bottom w:val="nil"/>
              <w:right w:val="nil"/>
            </w:tcBorders>
            <w:tcMar>
              <w:top w:w="128" w:type="dxa"/>
              <w:left w:w="43" w:type="dxa"/>
              <w:bottom w:w="43" w:type="dxa"/>
              <w:right w:w="43" w:type="dxa"/>
            </w:tcMar>
          </w:tcPr>
          <w:p w14:paraId="3E114059" w14:textId="77777777" w:rsidR="00D60186" w:rsidRPr="00D77759" w:rsidRDefault="00D60186" w:rsidP="00D77759">
            <w:pPr>
              <w:ind w:right="113"/>
              <w:jc w:val="right"/>
              <w:rPr>
                <w:sz w:val="21"/>
                <w:szCs w:val="21"/>
              </w:rPr>
            </w:pPr>
            <w:r w:rsidRPr="00D77759">
              <w:rPr>
                <w:sz w:val="21"/>
                <w:szCs w:val="21"/>
              </w:rPr>
              <w:t>1228</w:t>
            </w:r>
          </w:p>
        </w:tc>
        <w:tc>
          <w:tcPr>
            <w:tcW w:w="5860" w:type="dxa"/>
            <w:tcBorders>
              <w:left w:val="nil"/>
              <w:bottom w:val="nil"/>
              <w:right w:val="nil"/>
            </w:tcBorders>
            <w:tcMar>
              <w:top w:w="128" w:type="dxa"/>
              <w:left w:w="43" w:type="dxa"/>
              <w:bottom w:w="43" w:type="dxa"/>
              <w:right w:w="43" w:type="dxa"/>
            </w:tcMar>
          </w:tcPr>
          <w:p w14:paraId="36DE7BA3" w14:textId="77777777" w:rsidR="00D60186" w:rsidRPr="00D77759" w:rsidRDefault="00D60186" w:rsidP="00225D4D">
            <w:pPr>
              <w:rPr>
                <w:sz w:val="21"/>
                <w:szCs w:val="21"/>
              </w:rPr>
            </w:pPr>
            <w:proofErr w:type="spellStart"/>
            <w:r w:rsidRPr="00D77759">
              <w:rPr>
                <w:sz w:val="21"/>
                <w:szCs w:val="21"/>
              </w:rPr>
              <w:t>Setje</w:t>
            </w:r>
            <w:proofErr w:type="spellEnd"/>
            <w:r w:rsidRPr="00D77759">
              <w:rPr>
                <w:sz w:val="21"/>
                <w:szCs w:val="21"/>
              </w:rPr>
              <w:t xml:space="preserve"> ned ei arbeidsgruppe som skal greie ut gratis barnehageplass for alle barn</w:t>
            </w:r>
          </w:p>
        </w:tc>
        <w:tc>
          <w:tcPr>
            <w:tcW w:w="1240" w:type="dxa"/>
            <w:tcBorders>
              <w:left w:val="nil"/>
              <w:bottom w:val="nil"/>
              <w:right w:val="nil"/>
            </w:tcBorders>
            <w:tcMar>
              <w:top w:w="128" w:type="dxa"/>
              <w:left w:w="43" w:type="dxa"/>
              <w:bottom w:w="43" w:type="dxa"/>
              <w:right w:w="43" w:type="dxa"/>
            </w:tcMar>
          </w:tcPr>
          <w:p w14:paraId="1039E5DF" w14:textId="77777777" w:rsidR="00D60186" w:rsidRPr="00D77759" w:rsidRDefault="00D60186" w:rsidP="00D77759">
            <w:pPr>
              <w:jc w:val="right"/>
              <w:rPr>
                <w:sz w:val="21"/>
                <w:szCs w:val="21"/>
              </w:rPr>
            </w:pPr>
            <w:r w:rsidRPr="00D77759">
              <w:rPr>
                <w:sz w:val="21"/>
                <w:szCs w:val="21"/>
              </w:rPr>
              <w:t>Ja</w:t>
            </w:r>
          </w:p>
        </w:tc>
      </w:tr>
      <w:tr w:rsidR="00E76DC8" w:rsidRPr="00225D4D" w14:paraId="7D2B4E3F"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D07BB7C"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1CB04E14" w14:textId="77777777" w:rsidR="00D60186" w:rsidRPr="00D77759" w:rsidRDefault="00D60186" w:rsidP="00D77759">
            <w:pPr>
              <w:ind w:right="113"/>
              <w:jc w:val="right"/>
              <w:rPr>
                <w:sz w:val="21"/>
                <w:szCs w:val="21"/>
              </w:rPr>
            </w:pPr>
            <w:r w:rsidRPr="00D77759">
              <w:rPr>
                <w:sz w:val="21"/>
                <w:szCs w:val="21"/>
              </w:rPr>
              <w:t>1242</w:t>
            </w:r>
          </w:p>
        </w:tc>
        <w:tc>
          <w:tcPr>
            <w:tcW w:w="5860" w:type="dxa"/>
            <w:tcBorders>
              <w:top w:val="nil"/>
              <w:left w:val="nil"/>
              <w:bottom w:val="nil"/>
              <w:right w:val="nil"/>
            </w:tcBorders>
            <w:tcMar>
              <w:top w:w="128" w:type="dxa"/>
              <w:left w:w="43" w:type="dxa"/>
              <w:bottom w:w="43" w:type="dxa"/>
              <w:right w:w="43" w:type="dxa"/>
            </w:tcMar>
          </w:tcPr>
          <w:p w14:paraId="32B01A6D" w14:textId="77777777" w:rsidR="00D60186" w:rsidRPr="00D77759" w:rsidRDefault="00D60186" w:rsidP="00225D4D">
            <w:pPr>
              <w:rPr>
                <w:sz w:val="21"/>
                <w:szCs w:val="21"/>
              </w:rPr>
            </w:pPr>
            <w:r w:rsidRPr="00D77759">
              <w:rPr>
                <w:sz w:val="21"/>
                <w:szCs w:val="21"/>
              </w:rPr>
              <w:t xml:space="preserve">Innføre ordning med toppa bemanning i alle ordinære </w:t>
            </w:r>
            <w:proofErr w:type="spellStart"/>
            <w:r w:rsidRPr="00D77759">
              <w:rPr>
                <w:sz w:val="21"/>
                <w:szCs w:val="21"/>
              </w:rPr>
              <w:t>barnehagar</w:t>
            </w:r>
            <w:proofErr w:type="spellEnd"/>
          </w:p>
        </w:tc>
        <w:tc>
          <w:tcPr>
            <w:tcW w:w="1240" w:type="dxa"/>
            <w:tcBorders>
              <w:top w:val="nil"/>
              <w:left w:val="nil"/>
              <w:bottom w:val="nil"/>
              <w:right w:val="nil"/>
            </w:tcBorders>
            <w:tcMar>
              <w:top w:w="128" w:type="dxa"/>
              <w:left w:w="43" w:type="dxa"/>
              <w:bottom w:w="43" w:type="dxa"/>
              <w:right w:w="43" w:type="dxa"/>
            </w:tcMar>
          </w:tcPr>
          <w:p w14:paraId="28F2942D" w14:textId="77777777" w:rsidR="00D60186" w:rsidRPr="00D77759" w:rsidRDefault="00D60186" w:rsidP="00D77759">
            <w:pPr>
              <w:jc w:val="right"/>
              <w:rPr>
                <w:sz w:val="21"/>
                <w:szCs w:val="21"/>
              </w:rPr>
            </w:pPr>
            <w:r w:rsidRPr="00D77759">
              <w:rPr>
                <w:sz w:val="21"/>
                <w:szCs w:val="21"/>
              </w:rPr>
              <w:t>Ja</w:t>
            </w:r>
          </w:p>
        </w:tc>
      </w:tr>
      <w:tr w:rsidR="00E76DC8" w:rsidRPr="00225D4D" w14:paraId="563EBD35"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0165C72B"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38966EE6" w14:textId="77777777" w:rsidR="00D60186" w:rsidRPr="00D77759" w:rsidRDefault="00D60186" w:rsidP="00D77759">
            <w:pPr>
              <w:ind w:right="113"/>
              <w:jc w:val="right"/>
              <w:rPr>
                <w:sz w:val="21"/>
                <w:szCs w:val="21"/>
              </w:rPr>
            </w:pPr>
            <w:r w:rsidRPr="00D77759">
              <w:rPr>
                <w:sz w:val="21"/>
                <w:szCs w:val="21"/>
              </w:rPr>
              <w:t>1244</w:t>
            </w:r>
          </w:p>
        </w:tc>
        <w:tc>
          <w:tcPr>
            <w:tcW w:w="5860" w:type="dxa"/>
            <w:tcBorders>
              <w:top w:val="nil"/>
              <w:left w:val="nil"/>
              <w:bottom w:val="nil"/>
              <w:right w:val="nil"/>
            </w:tcBorders>
            <w:tcMar>
              <w:top w:w="128" w:type="dxa"/>
              <w:left w:w="43" w:type="dxa"/>
              <w:bottom w:w="43" w:type="dxa"/>
              <w:right w:w="43" w:type="dxa"/>
            </w:tcMar>
          </w:tcPr>
          <w:p w14:paraId="7E2942D2" w14:textId="77777777" w:rsidR="00D60186" w:rsidRPr="00D77759" w:rsidRDefault="00D60186" w:rsidP="00225D4D">
            <w:pPr>
              <w:rPr>
                <w:sz w:val="21"/>
                <w:szCs w:val="21"/>
              </w:rPr>
            </w:pPr>
            <w:bookmarkStart w:id="5" w:name="RTF5f486c6b3230353937333630"/>
            <w:proofErr w:type="spellStart"/>
            <w:r w:rsidRPr="00D77759">
              <w:rPr>
                <w:sz w:val="21"/>
                <w:szCs w:val="21"/>
              </w:rPr>
              <w:t>Tilskot</w:t>
            </w:r>
            <w:proofErr w:type="spellEnd"/>
            <w:r w:rsidRPr="00D77759">
              <w:rPr>
                <w:sz w:val="21"/>
                <w:szCs w:val="21"/>
              </w:rPr>
              <w:t xml:space="preserve"> til fleksible og desentraliserte </w:t>
            </w:r>
            <w:proofErr w:type="spellStart"/>
            <w:r w:rsidRPr="00D77759">
              <w:rPr>
                <w:sz w:val="21"/>
                <w:szCs w:val="21"/>
              </w:rPr>
              <w:t>tilbod</w:t>
            </w:r>
            <w:proofErr w:type="spellEnd"/>
            <w:r w:rsidRPr="00D77759">
              <w:rPr>
                <w:sz w:val="21"/>
                <w:szCs w:val="21"/>
              </w:rPr>
              <w:t xml:space="preserve"> </w:t>
            </w:r>
            <w:proofErr w:type="spellStart"/>
            <w:r w:rsidRPr="00D77759">
              <w:rPr>
                <w:sz w:val="21"/>
                <w:szCs w:val="21"/>
              </w:rPr>
              <w:t>innanfor</w:t>
            </w:r>
            <w:proofErr w:type="spellEnd"/>
            <w:r w:rsidRPr="00D77759">
              <w:rPr>
                <w:sz w:val="21"/>
                <w:szCs w:val="21"/>
              </w:rPr>
              <w:t xml:space="preserve"> </w:t>
            </w:r>
            <w:proofErr w:type="spellStart"/>
            <w:r w:rsidRPr="00D77759">
              <w:rPr>
                <w:sz w:val="21"/>
                <w:szCs w:val="21"/>
              </w:rPr>
              <w:t>yrkesfagle</w:t>
            </w:r>
            <w:bookmarkEnd w:id="5"/>
            <w:r w:rsidRPr="00D77759">
              <w:rPr>
                <w:sz w:val="21"/>
                <w:szCs w:val="21"/>
              </w:rPr>
              <w:t>g</w:t>
            </w:r>
            <w:proofErr w:type="spellEnd"/>
            <w:r w:rsidRPr="00D77759">
              <w:rPr>
                <w:sz w:val="21"/>
                <w:szCs w:val="21"/>
              </w:rPr>
              <w:t xml:space="preserve"> </w:t>
            </w:r>
            <w:proofErr w:type="spellStart"/>
            <w:r w:rsidRPr="00D77759">
              <w:rPr>
                <w:sz w:val="21"/>
                <w:szCs w:val="21"/>
              </w:rPr>
              <w:t>vidaregåande</w:t>
            </w:r>
            <w:proofErr w:type="spellEnd"/>
            <w:r w:rsidRPr="00D77759">
              <w:rPr>
                <w:sz w:val="21"/>
                <w:szCs w:val="21"/>
              </w:rPr>
              <w:t xml:space="preserve"> opplæring</w:t>
            </w:r>
          </w:p>
        </w:tc>
        <w:tc>
          <w:tcPr>
            <w:tcW w:w="1240" w:type="dxa"/>
            <w:tcBorders>
              <w:top w:val="nil"/>
              <w:left w:val="nil"/>
              <w:bottom w:val="nil"/>
              <w:right w:val="nil"/>
            </w:tcBorders>
            <w:tcMar>
              <w:top w:w="128" w:type="dxa"/>
              <w:left w:w="43" w:type="dxa"/>
              <w:bottom w:w="43" w:type="dxa"/>
              <w:right w:w="43" w:type="dxa"/>
            </w:tcMar>
          </w:tcPr>
          <w:p w14:paraId="0FF572B8" w14:textId="77777777" w:rsidR="00D60186" w:rsidRPr="00D77759" w:rsidRDefault="00D60186" w:rsidP="00D77759">
            <w:pPr>
              <w:jc w:val="right"/>
              <w:rPr>
                <w:sz w:val="21"/>
                <w:szCs w:val="21"/>
              </w:rPr>
            </w:pPr>
            <w:r w:rsidRPr="00D77759">
              <w:rPr>
                <w:sz w:val="21"/>
                <w:szCs w:val="21"/>
              </w:rPr>
              <w:t>Ja</w:t>
            </w:r>
          </w:p>
        </w:tc>
      </w:tr>
      <w:tr w:rsidR="00E76DC8" w:rsidRPr="00225D4D" w14:paraId="0D525CD4"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3FED7538" w14:textId="77777777" w:rsidR="00D60186" w:rsidRPr="00D77759" w:rsidRDefault="00D60186" w:rsidP="00225D4D">
            <w:pPr>
              <w:rPr>
                <w:sz w:val="21"/>
                <w:szCs w:val="21"/>
              </w:rPr>
            </w:pPr>
            <w:r w:rsidRPr="00D77759">
              <w:rPr>
                <w:sz w:val="21"/>
                <w:szCs w:val="21"/>
              </w:rPr>
              <w:t>2024–2025</w:t>
            </w:r>
          </w:p>
        </w:tc>
        <w:tc>
          <w:tcPr>
            <w:tcW w:w="1240" w:type="dxa"/>
            <w:tcBorders>
              <w:top w:val="nil"/>
              <w:left w:val="nil"/>
              <w:bottom w:val="nil"/>
              <w:right w:val="nil"/>
            </w:tcBorders>
            <w:tcMar>
              <w:top w:w="128" w:type="dxa"/>
              <w:left w:w="43" w:type="dxa"/>
              <w:bottom w:w="43" w:type="dxa"/>
              <w:right w:w="43" w:type="dxa"/>
            </w:tcMar>
          </w:tcPr>
          <w:p w14:paraId="13B6AC74" w14:textId="77777777" w:rsidR="00D60186" w:rsidRPr="00D77759" w:rsidRDefault="00D60186" w:rsidP="00D77759">
            <w:pPr>
              <w:ind w:right="113"/>
              <w:jc w:val="right"/>
              <w:rPr>
                <w:sz w:val="21"/>
                <w:szCs w:val="21"/>
              </w:rPr>
            </w:pPr>
            <w:r w:rsidRPr="00D77759">
              <w:rPr>
                <w:sz w:val="21"/>
                <w:szCs w:val="21"/>
              </w:rPr>
              <w:t>1251</w:t>
            </w:r>
          </w:p>
        </w:tc>
        <w:tc>
          <w:tcPr>
            <w:tcW w:w="5860" w:type="dxa"/>
            <w:tcBorders>
              <w:top w:val="nil"/>
              <w:left w:val="nil"/>
              <w:bottom w:val="nil"/>
              <w:right w:val="nil"/>
            </w:tcBorders>
            <w:tcMar>
              <w:top w:w="128" w:type="dxa"/>
              <w:left w:w="43" w:type="dxa"/>
              <w:bottom w:w="43" w:type="dxa"/>
              <w:right w:w="43" w:type="dxa"/>
            </w:tcMar>
          </w:tcPr>
          <w:p w14:paraId="6202A013" w14:textId="77777777" w:rsidR="00D60186" w:rsidRPr="00D77759" w:rsidRDefault="00D60186" w:rsidP="00225D4D">
            <w:pPr>
              <w:rPr>
                <w:sz w:val="21"/>
                <w:szCs w:val="21"/>
              </w:rPr>
            </w:pPr>
            <w:r w:rsidRPr="00D77759">
              <w:rPr>
                <w:sz w:val="21"/>
                <w:szCs w:val="21"/>
              </w:rPr>
              <w:t xml:space="preserve">Opprette nytt bransjeprogram for </w:t>
            </w:r>
            <w:proofErr w:type="gramStart"/>
            <w:r w:rsidRPr="00D77759">
              <w:rPr>
                <w:sz w:val="21"/>
                <w:szCs w:val="21"/>
              </w:rPr>
              <w:t>tilsette</w:t>
            </w:r>
            <w:proofErr w:type="gramEnd"/>
            <w:r w:rsidRPr="00D77759">
              <w:rPr>
                <w:sz w:val="21"/>
                <w:szCs w:val="21"/>
              </w:rPr>
              <w:t xml:space="preserve"> i barnehagesektoren</w:t>
            </w:r>
          </w:p>
        </w:tc>
        <w:tc>
          <w:tcPr>
            <w:tcW w:w="1240" w:type="dxa"/>
            <w:tcBorders>
              <w:top w:val="nil"/>
              <w:left w:val="nil"/>
              <w:bottom w:val="nil"/>
              <w:right w:val="nil"/>
            </w:tcBorders>
            <w:tcMar>
              <w:top w:w="128" w:type="dxa"/>
              <w:left w:w="43" w:type="dxa"/>
              <w:bottom w:w="43" w:type="dxa"/>
              <w:right w:w="43" w:type="dxa"/>
            </w:tcMar>
          </w:tcPr>
          <w:p w14:paraId="19C3F31D" w14:textId="77777777" w:rsidR="00D60186" w:rsidRPr="00D77759" w:rsidRDefault="00D60186" w:rsidP="00D77759">
            <w:pPr>
              <w:jc w:val="right"/>
              <w:rPr>
                <w:sz w:val="21"/>
                <w:szCs w:val="21"/>
              </w:rPr>
            </w:pPr>
            <w:r w:rsidRPr="00D77759">
              <w:rPr>
                <w:sz w:val="21"/>
                <w:szCs w:val="21"/>
              </w:rPr>
              <w:t>Ja</w:t>
            </w:r>
          </w:p>
        </w:tc>
      </w:tr>
      <w:tr w:rsidR="00E76DC8" w:rsidRPr="00225D4D" w14:paraId="62EA1F65"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BBFFAD2" w14:textId="77777777" w:rsidR="00D60186" w:rsidRPr="00D77759" w:rsidRDefault="00D60186" w:rsidP="00225D4D">
            <w:pPr>
              <w:rPr>
                <w:sz w:val="21"/>
                <w:szCs w:val="21"/>
              </w:rPr>
            </w:pPr>
            <w:r w:rsidRPr="00D77759">
              <w:rPr>
                <w:sz w:val="21"/>
                <w:szCs w:val="21"/>
              </w:rPr>
              <w:t>2023–2024</w:t>
            </w:r>
          </w:p>
        </w:tc>
        <w:tc>
          <w:tcPr>
            <w:tcW w:w="1240" w:type="dxa"/>
            <w:tcBorders>
              <w:top w:val="nil"/>
              <w:left w:val="nil"/>
              <w:bottom w:val="nil"/>
              <w:right w:val="nil"/>
            </w:tcBorders>
            <w:tcMar>
              <w:top w:w="128" w:type="dxa"/>
              <w:left w:w="43" w:type="dxa"/>
              <w:bottom w:w="43" w:type="dxa"/>
              <w:right w:w="43" w:type="dxa"/>
            </w:tcMar>
          </w:tcPr>
          <w:p w14:paraId="7F0620E7" w14:textId="77777777" w:rsidR="00D60186" w:rsidRPr="00D77759" w:rsidRDefault="00D60186" w:rsidP="00D77759">
            <w:pPr>
              <w:ind w:right="113"/>
              <w:jc w:val="right"/>
              <w:rPr>
                <w:sz w:val="21"/>
                <w:szCs w:val="21"/>
              </w:rPr>
            </w:pPr>
            <w:r w:rsidRPr="00D77759">
              <w:rPr>
                <w:sz w:val="21"/>
                <w:szCs w:val="21"/>
              </w:rPr>
              <w:t>578</w:t>
            </w:r>
          </w:p>
        </w:tc>
        <w:tc>
          <w:tcPr>
            <w:tcW w:w="5860" w:type="dxa"/>
            <w:tcBorders>
              <w:top w:val="nil"/>
              <w:left w:val="nil"/>
              <w:bottom w:val="nil"/>
              <w:right w:val="nil"/>
            </w:tcBorders>
            <w:tcMar>
              <w:top w:w="128" w:type="dxa"/>
              <w:left w:w="43" w:type="dxa"/>
              <w:bottom w:w="43" w:type="dxa"/>
              <w:right w:w="43" w:type="dxa"/>
            </w:tcMar>
          </w:tcPr>
          <w:p w14:paraId="29293D39" w14:textId="77777777" w:rsidR="00D60186" w:rsidRPr="00D77759" w:rsidRDefault="00D60186" w:rsidP="00225D4D">
            <w:pPr>
              <w:rPr>
                <w:sz w:val="21"/>
                <w:szCs w:val="21"/>
              </w:rPr>
            </w:pPr>
            <w:r w:rsidRPr="00D77759">
              <w:rPr>
                <w:sz w:val="21"/>
                <w:szCs w:val="21"/>
              </w:rPr>
              <w:t xml:space="preserve">Hindre misbruk av </w:t>
            </w:r>
            <w:proofErr w:type="spellStart"/>
            <w:r w:rsidRPr="00D77759">
              <w:rPr>
                <w:sz w:val="21"/>
                <w:szCs w:val="21"/>
              </w:rPr>
              <w:t>personopplysningane</w:t>
            </w:r>
            <w:proofErr w:type="spellEnd"/>
            <w:r w:rsidRPr="00D77759">
              <w:rPr>
                <w:sz w:val="21"/>
                <w:szCs w:val="21"/>
              </w:rPr>
              <w:t xml:space="preserve"> til barn og unge</w:t>
            </w:r>
          </w:p>
        </w:tc>
        <w:tc>
          <w:tcPr>
            <w:tcW w:w="1240" w:type="dxa"/>
            <w:tcBorders>
              <w:top w:val="nil"/>
              <w:left w:val="nil"/>
              <w:bottom w:val="nil"/>
              <w:right w:val="nil"/>
            </w:tcBorders>
            <w:tcMar>
              <w:top w:w="128" w:type="dxa"/>
              <w:left w:w="43" w:type="dxa"/>
              <w:bottom w:w="43" w:type="dxa"/>
              <w:right w:w="43" w:type="dxa"/>
            </w:tcMar>
          </w:tcPr>
          <w:p w14:paraId="2E1E7E90" w14:textId="77777777" w:rsidR="00D60186" w:rsidRPr="00D77759" w:rsidRDefault="00D60186" w:rsidP="00D77759">
            <w:pPr>
              <w:jc w:val="right"/>
              <w:rPr>
                <w:sz w:val="21"/>
                <w:szCs w:val="21"/>
              </w:rPr>
            </w:pPr>
            <w:r w:rsidRPr="00D77759">
              <w:rPr>
                <w:sz w:val="21"/>
                <w:szCs w:val="21"/>
              </w:rPr>
              <w:t>Ja</w:t>
            </w:r>
          </w:p>
        </w:tc>
      </w:tr>
      <w:tr w:rsidR="00E76DC8" w:rsidRPr="00225D4D" w14:paraId="71567C2C"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4AC351AA" w14:textId="77777777" w:rsidR="00D60186" w:rsidRPr="00D77759" w:rsidRDefault="00D60186" w:rsidP="00225D4D">
            <w:pPr>
              <w:rPr>
                <w:sz w:val="21"/>
                <w:szCs w:val="21"/>
              </w:rPr>
            </w:pPr>
            <w:r w:rsidRPr="00D77759">
              <w:rPr>
                <w:sz w:val="21"/>
                <w:szCs w:val="21"/>
              </w:rPr>
              <w:t>2023–2024</w:t>
            </w:r>
          </w:p>
        </w:tc>
        <w:tc>
          <w:tcPr>
            <w:tcW w:w="1240" w:type="dxa"/>
            <w:tcBorders>
              <w:top w:val="nil"/>
              <w:left w:val="nil"/>
              <w:bottom w:val="nil"/>
              <w:right w:val="nil"/>
            </w:tcBorders>
            <w:tcMar>
              <w:top w:w="128" w:type="dxa"/>
              <w:left w:w="43" w:type="dxa"/>
              <w:bottom w:w="43" w:type="dxa"/>
              <w:right w:w="43" w:type="dxa"/>
            </w:tcMar>
          </w:tcPr>
          <w:p w14:paraId="4220B6C8" w14:textId="77777777" w:rsidR="00D60186" w:rsidRPr="00D77759" w:rsidRDefault="00D60186" w:rsidP="00D77759">
            <w:pPr>
              <w:ind w:right="113"/>
              <w:jc w:val="right"/>
              <w:rPr>
                <w:sz w:val="21"/>
                <w:szCs w:val="21"/>
              </w:rPr>
            </w:pPr>
            <w:r w:rsidRPr="00D77759">
              <w:rPr>
                <w:sz w:val="21"/>
                <w:szCs w:val="21"/>
              </w:rPr>
              <w:t>621</w:t>
            </w:r>
          </w:p>
        </w:tc>
        <w:tc>
          <w:tcPr>
            <w:tcW w:w="5860" w:type="dxa"/>
            <w:tcBorders>
              <w:top w:val="nil"/>
              <w:left w:val="nil"/>
              <w:bottom w:val="nil"/>
              <w:right w:val="nil"/>
            </w:tcBorders>
            <w:tcMar>
              <w:top w:w="128" w:type="dxa"/>
              <w:left w:w="43" w:type="dxa"/>
              <w:bottom w:w="43" w:type="dxa"/>
              <w:right w:w="43" w:type="dxa"/>
            </w:tcMar>
          </w:tcPr>
          <w:p w14:paraId="7C10F031" w14:textId="77777777" w:rsidR="00D60186" w:rsidRPr="00D77759" w:rsidRDefault="00D60186" w:rsidP="00225D4D">
            <w:pPr>
              <w:rPr>
                <w:sz w:val="21"/>
                <w:szCs w:val="21"/>
              </w:rPr>
            </w:pPr>
            <w:proofErr w:type="spellStart"/>
            <w:r w:rsidRPr="00D77759">
              <w:rPr>
                <w:sz w:val="21"/>
                <w:szCs w:val="21"/>
              </w:rPr>
              <w:t>Fleire</w:t>
            </w:r>
            <w:proofErr w:type="spellEnd"/>
            <w:r w:rsidRPr="00D77759">
              <w:rPr>
                <w:sz w:val="21"/>
                <w:szCs w:val="21"/>
              </w:rPr>
              <w:t xml:space="preserve"> </w:t>
            </w:r>
            <w:proofErr w:type="spellStart"/>
            <w:r w:rsidRPr="00D77759">
              <w:rPr>
                <w:sz w:val="21"/>
                <w:szCs w:val="21"/>
              </w:rPr>
              <w:t>elevar</w:t>
            </w:r>
            <w:proofErr w:type="spellEnd"/>
            <w:r w:rsidRPr="00D77759">
              <w:rPr>
                <w:sz w:val="21"/>
                <w:szCs w:val="21"/>
              </w:rPr>
              <w:t xml:space="preserve"> på ekskursjon til fange- og </w:t>
            </w:r>
            <w:proofErr w:type="spellStart"/>
            <w:r w:rsidRPr="00D77759">
              <w:rPr>
                <w:sz w:val="21"/>
                <w:szCs w:val="21"/>
              </w:rPr>
              <w:t>konsentrasjonsleirar</w:t>
            </w:r>
            <w:proofErr w:type="spellEnd"/>
          </w:p>
        </w:tc>
        <w:tc>
          <w:tcPr>
            <w:tcW w:w="1240" w:type="dxa"/>
            <w:tcBorders>
              <w:top w:val="nil"/>
              <w:left w:val="nil"/>
              <w:bottom w:val="nil"/>
              <w:right w:val="nil"/>
            </w:tcBorders>
            <w:tcMar>
              <w:top w:w="128" w:type="dxa"/>
              <w:left w:w="43" w:type="dxa"/>
              <w:bottom w:w="43" w:type="dxa"/>
              <w:right w:w="43" w:type="dxa"/>
            </w:tcMar>
          </w:tcPr>
          <w:p w14:paraId="30DB8A54" w14:textId="77777777" w:rsidR="00D60186" w:rsidRPr="00D77759" w:rsidRDefault="00D60186" w:rsidP="00D77759">
            <w:pPr>
              <w:jc w:val="right"/>
              <w:rPr>
                <w:sz w:val="21"/>
                <w:szCs w:val="21"/>
              </w:rPr>
            </w:pPr>
            <w:r w:rsidRPr="00D77759">
              <w:rPr>
                <w:sz w:val="21"/>
                <w:szCs w:val="21"/>
              </w:rPr>
              <w:t>Nei</w:t>
            </w:r>
          </w:p>
        </w:tc>
      </w:tr>
      <w:tr w:rsidR="00E76DC8" w:rsidRPr="00225D4D" w14:paraId="43318B5A"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1DE6A503" w14:textId="77777777" w:rsidR="00D60186" w:rsidRPr="00D77759" w:rsidRDefault="00D60186" w:rsidP="00225D4D">
            <w:pPr>
              <w:rPr>
                <w:sz w:val="21"/>
                <w:szCs w:val="21"/>
              </w:rPr>
            </w:pPr>
            <w:r w:rsidRPr="00D77759">
              <w:rPr>
                <w:sz w:val="21"/>
                <w:szCs w:val="21"/>
              </w:rPr>
              <w:t>2023–2024</w:t>
            </w:r>
          </w:p>
        </w:tc>
        <w:tc>
          <w:tcPr>
            <w:tcW w:w="1240" w:type="dxa"/>
            <w:tcBorders>
              <w:top w:val="nil"/>
              <w:left w:val="nil"/>
              <w:bottom w:val="nil"/>
              <w:right w:val="nil"/>
            </w:tcBorders>
            <w:tcMar>
              <w:top w:w="128" w:type="dxa"/>
              <w:left w:w="43" w:type="dxa"/>
              <w:bottom w:w="43" w:type="dxa"/>
              <w:right w:w="43" w:type="dxa"/>
            </w:tcMar>
          </w:tcPr>
          <w:p w14:paraId="345535D6" w14:textId="77777777" w:rsidR="00D60186" w:rsidRPr="00D77759" w:rsidRDefault="00D60186" w:rsidP="00D77759">
            <w:pPr>
              <w:ind w:right="113"/>
              <w:jc w:val="right"/>
              <w:rPr>
                <w:sz w:val="21"/>
                <w:szCs w:val="21"/>
              </w:rPr>
            </w:pPr>
            <w:r w:rsidRPr="00D77759">
              <w:rPr>
                <w:sz w:val="21"/>
                <w:szCs w:val="21"/>
              </w:rPr>
              <w:t>707</w:t>
            </w:r>
          </w:p>
        </w:tc>
        <w:tc>
          <w:tcPr>
            <w:tcW w:w="5860" w:type="dxa"/>
            <w:tcBorders>
              <w:top w:val="nil"/>
              <w:left w:val="nil"/>
              <w:bottom w:val="nil"/>
              <w:right w:val="nil"/>
            </w:tcBorders>
            <w:tcMar>
              <w:top w:w="128" w:type="dxa"/>
              <w:left w:w="43" w:type="dxa"/>
              <w:bottom w:w="43" w:type="dxa"/>
              <w:right w:w="43" w:type="dxa"/>
            </w:tcMar>
          </w:tcPr>
          <w:p w14:paraId="43FF331A" w14:textId="77777777" w:rsidR="00D60186" w:rsidRPr="00D77759" w:rsidRDefault="00D60186" w:rsidP="00225D4D">
            <w:pPr>
              <w:rPr>
                <w:sz w:val="21"/>
                <w:szCs w:val="21"/>
              </w:rPr>
            </w:pPr>
            <w:r w:rsidRPr="00D77759">
              <w:rPr>
                <w:sz w:val="21"/>
                <w:szCs w:val="21"/>
              </w:rPr>
              <w:t xml:space="preserve">Vurdering av omfang og lovkrav om mellombels </w:t>
            </w:r>
            <w:proofErr w:type="spellStart"/>
            <w:r w:rsidRPr="00D77759">
              <w:rPr>
                <w:sz w:val="21"/>
                <w:szCs w:val="21"/>
              </w:rPr>
              <w:t>tilsetjing</w:t>
            </w:r>
            <w:proofErr w:type="spellEnd"/>
            <w:r w:rsidRPr="00D77759">
              <w:rPr>
                <w:sz w:val="21"/>
                <w:szCs w:val="21"/>
              </w:rPr>
              <w:t xml:space="preserve"> av </w:t>
            </w:r>
            <w:proofErr w:type="spellStart"/>
            <w:r w:rsidRPr="00D77759">
              <w:rPr>
                <w:sz w:val="21"/>
                <w:szCs w:val="21"/>
              </w:rPr>
              <w:t>lærarar</w:t>
            </w:r>
            <w:proofErr w:type="spellEnd"/>
          </w:p>
        </w:tc>
        <w:tc>
          <w:tcPr>
            <w:tcW w:w="1240" w:type="dxa"/>
            <w:tcBorders>
              <w:top w:val="nil"/>
              <w:left w:val="nil"/>
              <w:bottom w:val="nil"/>
              <w:right w:val="nil"/>
            </w:tcBorders>
            <w:tcMar>
              <w:top w:w="128" w:type="dxa"/>
              <w:left w:w="43" w:type="dxa"/>
              <w:bottom w:w="43" w:type="dxa"/>
              <w:right w:w="43" w:type="dxa"/>
            </w:tcMar>
          </w:tcPr>
          <w:p w14:paraId="3058368D" w14:textId="77777777" w:rsidR="00D60186" w:rsidRPr="00D77759" w:rsidRDefault="00D60186" w:rsidP="00D77759">
            <w:pPr>
              <w:jc w:val="right"/>
              <w:rPr>
                <w:sz w:val="21"/>
                <w:szCs w:val="21"/>
              </w:rPr>
            </w:pPr>
            <w:r w:rsidRPr="00D77759">
              <w:rPr>
                <w:sz w:val="21"/>
                <w:szCs w:val="21"/>
              </w:rPr>
              <w:t>Nei</w:t>
            </w:r>
          </w:p>
        </w:tc>
      </w:tr>
      <w:tr w:rsidR="00E76DC8" w:rsidRPr="00225D4D" w14:paraId="567494F0"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5EBBC426" w14:textId="77777777" w:rsidR="00D60186" w:rsidRPr="00D77759" w:rsidRDefault="00D60186" w:rsidP="00225D4D">
            <w:pPr>
              <w:rPr>
                <w:sz w:val="21"/>
                <w:szCs w:val="21"/>
              </w:rPr>
            </w:pPr>
            <w:r w:rsidRPr="00D77759">
              <w:rPr>
                <w:sz w:val="21"/>
                <w:szCs w:val="21"/>
              </w:rPr>
              <w:t>2023–2024</w:t>
            </w:r>
          </w:p>
        </w:tc>
        <w:tc>
          <w:tcPr>
            <w:tcW w:w="1240" w:type="dxa"/>
            <w:tcBorders>
              <w:top w:val="nil"/>
              <w:left w:val="nil"/>
              <w:bottom w:val="nil"/>
              <w:right w:val="nil"/>
            </w:tcBorders>
            <w:tcMar>
              <w:top w:w="128" w:type="dxa"/>
              <w:left w:w="43" w:type="dxa"/>
              <w:bottom w:w="43" w:type="dxa"/>
              <w:right w:w="43" w:type="dxa"/>
            </w:tcMar>
          </w:tcPr>
          <w:p w14:paraId="6460D871" w14:textId="77777777" w:rsidR="00D60186" w:rsidRPr="00D77759" w:rsidRDefault="00D60186" w:rsidP="00D77759">
            <w:pPr>
              <w:ind w:right="113"/>
              <w:jc w:val="right"/>
              <w:rPr>
                <w:sz w:val="21"/>
                <w:szCs w:val="21"/>
              </w:rPr>
            </w:pPr>
            <w:r w:rsidRPr="00D77759">
              <w:rPr>
                <w:sz w:val="21"/>
                <w:szCs w:val="21"/>
              </w:rPr>
              <w:t>906</w:t>
            </w:r>
          </w:p>
        </w:tc>
        <w:tc>
          <w:tcPr>
            <w:tcW w:w="5860" w:type="dxa"/>
            <w:tcBorders>
              <w:top w:val="nil"/>
              <w:left w:val="nil"/>
              <w:bottom w:val="nil"/>
              <w:right w:val="nil"/>
            </w:tcBorders>
            <w:tcMar>
              <w:top w:w="128" w:type="dxa"/>
              <w:left w:w="43" w:type="dxa"/>
              <w:bottom w:w="43" w:type="dxa"/>
              <w:right w:w="43" w:type="dxa"/>
            </w:tcMar>
          </w:tcPr>
          <w:p w14:paraId="725C63CE" w14:textId="77777777" w:rsidR="00D60186" w:rsidRPr="00D77759" w:rsidRDefault="00D60186" w:rsidP="00225D4D">
            <w:pPr>
              <w:rPr>
                <w:sz w:val="21"/>
                <w:szCs w:val="21"/>
              </w:rPr>
            </w:pPr>
            <w:r w:rsidRPr="00D77759">
              <w:rPr>
                <w:sz w:val="21"/>
                <w:szCs w:val="21"/>
              </w:rPr>
              <w:t>Kartlegge bemanningssituasjonen i SFO-</w:t>
            </w:r>
            <w:proofErr w:type="spellStart"/>
            <w:r w:rsidRPr="00D77759">
              <w:rPr>
                <w:sz w:val="21"/>
                <w:szCs w:val="21"/>
              </w:rPr>
              <w:t>tilboda</w:t>
            </w:r>
            <w:proofErr w:type="spellEnd"/>
          </w:p>
        </w:tc>
        <w:tc>
          <w:tcPr>
            <w:tcW w:w="1240" w:type="dxa"/>
            <w:tcBorders>
              <w:top w:val="nil"/>
              <w:left w:val="nil"/>
              <w:bottom w:val="nil"/>
              <w:right w:val="nil"/>
            </w:tcBorders>
            <w:tcMar>
              <w:top w:w="128" w:type="dxa"/>
              <w:left w:w="43" w:type="dxa"/>
              <w:bottom w:w="43" w:type="dxa"/>
              <w:right w:w="43" w:type="dxa"/>
            </w:tcMar>
          </w:tcPr>
          <w:p w14:paraId="5D6DC03C" w14:textId="77777777" w:rsidR="00D60186" w:rsidRPr="00D77759" w:rsidRDefault="00D60186" w:rsidP="00D77759">
            <w:pPr>
              <w:jc w:val="right"/>
              <w:rPr>
                <w:sz w:val="21"/>
                <w:szCs w:val="21"/>
              </w:rPr>
            </w:pPr>
            <w:r w:rsidRPr="00D77759">
              <w:rPr>
                <w:sz w:val="21"/>
                <w:szCs w:val="21"/>
              </w:rPr>
              <w:t>Ja</w:t>
            </w:r>
          </w:p>
        </w:tc>
      </w:tr>
      <w:tr w:rsidR="00E76DC8" w:rsidRPr="00225D4D" w14:paraId="4C10A246"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51829E8B" w14:textId="77777777" w:rsidR="00D60186" w:rsidRPr="00D77759" w:rsidRDefault="00D60186" w:rsidP="00225D4D">
            <w:pPr>
              <w:rPr>
                <w:sz w:val="21"/>
                <w:szCs w:val="21"/>
              </w:rPr>
            </w:pPr>
            <w:r w:rsidRPr="00D77759">
              <w:rPr>
                <w:sz w:val="21"/>
                <w:szCs w:val="21"/>
              </w:rPr>
              <w:t>2022–2023</w:t>
            </w:r>
          </w:p>
        </w:tc>
        <w:tc>
          <w:tcPr>
            <w:tcW w:w="1240" w:type="dxa"/>
            <w:tcBorders>
              <w:top w:val="nil"/>
              <w:left w:val="nil"/>
              <w:bottom w:val="nil"/>
              <w:right w:val="nil"/>
            </w:tcBorders>
            <w:tcMar>
              <w:top w:w="128" w:type="dxa"/>
              <w:left w:w="43" w:type="dxa"/>
              <w:bottom w:w="43" w:type="dxa"/>
              <w:right w:w="43" w:type="dxa"/>
            </w:tcMar>
          </w:tcPr>
          <w:p w14:paraId="1B090ECB" w14:textId="77777777" w:rsidR="00D60186" w:rsidRPr="00D77759" w:rsidRDefault="00D60186" w:rsidP="00D77759">
            <w:pPr>
              <w:ind w:right="113"/>
              <w:jc w:val="right"/>
              <w:rPr>
                <w:sz w:val="21"/>
                <w:szCs w:val="21"/>
              </w:rPr>
            </w:pPr>
            <w:r w:rsidRPr="00D77759">
              <w:rPr>
                <w:sz w:val="21"/>
                <w:szCs w:val="21"/>
              </w:rPr>
              <w:t>471</w:t>
            </w:r>
          </w:p>
        </w:tc>
        <w:tc>
          <w:tcPr>
            <w:tcW w:w="5860" w:type="dxa"/>
            <w:tcBorders>
              <w:top w:val="nil"/>
              <w:left w:val="nil"/>
              <w:bottom w:val="nil"/>
              <w:right w:val="nil"/>
            </w:tcBorders>
            <w:tcMar>
              <w:top w:w="128" w:type="dxa"/>
              <w:left w:w="43" w:type="dxa"/>
              <w:bottom w:w="43" w:type="dxa"/>
              <w:right w:w="43" w:type="dxa"/>
            </w:tcMar>
          </w:tcPr>
          <w:p w14:paraId="4589427C" w14:textId="77777777" w:rsidR="00D60186" w:rsidRPr="00D77759" w:rsidRDefault="00D60186" w:rsidP="00225D4D">
            <w:pPr>
              <w:rPr>
                <w:sz w:val="21"/>
                <w:szCs w:val="21"/>
              </w:rPr>
            </w:pPr>
            <w:proofErr w:type="spellStart"/>
            <w:r w:rsidRPr="00D77759">
              <w:rPr>
                <w:sz w:val="21"/>
                <w:szCs w:val="21"/>
              </w:rPr>
              <w:t>Meir</w:t>
            </w:r>
            <w:proofErr w:type="spellEnd"/>
            <w:r w:rsidRPr="00D77759">
              <w:rPr>
                <w:sz w:val="21"/>
                <w:szCs w:val="21"/>
              </w:rPr>
              <w:t xml:space="preserve"> variert praksis i </w:t>
            </w:r>
            <w:proofErr w:type="spellStart"/>
            <w:r w:rsidRPr="00D77759">
              <w:rPr>
                <w:sz w:val="21"/>
                <w:szCs w:val="21"/>
              </w:rPr>
              <w:t>lærarutdanningane</w:t>
            </w:r>
            <w:proofErr w:type="spellEnd"/>
            <w:r w:rsidRPr="00D77759">
              <w:rPr>
                <w:sz w:val="21"/>
                <w:szCs w:val="21"/>
              </w:rPr>
              <w:t xml:space="preserve"> m.m.</w:t>
            </w:r>
          </w:p>
        </w:tc>
        <w:tc>
          <w:tcPr>
            <w:tcW w:w="1240" w:type="dxa"/>
            <w:tcBorders>
              <w:top w:val="nil"/>
              <w:left w:val="nil"/>
              <w:bottom w:val="nil"/>
              <w:right w:val="nil"/>
            </w:tcBorders>
            <w:tcMar>
              <w:top w:w="128" w:type="dxa"/>
              <w:left w:w="43" w:type="dxa"/>
              <w:bottom w:w="43" w:type="dxa"/>
              <w:right w:w="43" w:type="dxa"/>
            </w:tcMar>
          </w:tcPr>
          <w:p w14:paraId="3DC8667D" w14:textId="77777777" w:rsidR="00D60186" w:rsidRPr="00D77759" w:rsidRDefault="00D60186" w:rsidP="00D77759">
            <w:pPr>
              <w:jc w:val="right"/>
              <w:rPr>
                <w:sz w:val="21"/>
                <w:szCs w:val="21"/>
              </w:rPr>
            </w:pPr>
            <w:r w:rsidRPr="00D77759">
              <w:rPr>
                <w:sz w:val="21"/>
                <w:szCs w:val="21"/>
              </w:rPr>
              <w:t>Ja</w:t>
            </w:r>
          </w:p>
        </w:tc>
      </w:tr>
      <w:tr w:rsidR="00E76DC8" w:rsidRPr="00225D4D" w14:paraId="08F4B179"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352E419B" w14:textId="77777777" w:rsidR="00D60186" w:rsidRPr="00D77759" w:rsidRDefault="00D60186" w:rsidP="00225D4D">
            <w:pPr>
              <w:rPr>
                <w:sz w:val="21"/>
                <w:szCs w:val="21"/>
              </w:rPr>
            </w:pPr>
            <w:r w:rsidRPr="00D77759">
              <w:rPr>
                <w:sz w:val="21"/>
                <w:szCs w:val="21"/>
              </w:rPr>
              <w:t>2022–2023</w:t>
            </w:r>
          </w:p>
        </w:tc>
        <w:tc>
          <w:tcPr>
            <w:tcW w:w="1240" w:type="dxa"/>
            <w:tcBorders>
              <w:top w:val="nil"/>
              <w:left w:val="nil"/>
              <w:bottom w:val="nil"/>
              <w:right w:val="nil"/>
            </w:tcBorders>
            <w:tcMar>
              <w:top w:w="128" w:type="dxa"/>
              <w:left w:w="43" w:type="dxa"/>
              <w:bottom w:w="43" w:type="dxa"/>
              <w:right w:w="43" w:type="dxa"/>
            </w:tcMar>
          </w:tcPr>
          <w:p w14:paraId="4A97998B" w14:textId="77777777" w:rsidR="00D60186" w:rsidRPr="00D77759" w:rsidRDefault="00D60186" w:rsidP="00D77759">
            <w:pPr>
              <w:ind w:right="113"/>
              <w:jc w:val="right"/>
              <w:rPr>
                <w:sz w:val="21"/>
                <w:szCs w:val="21"/>
              </w:rPr>
            </w:pPr>
            <w:r w:rsidRPr="00D77759">
              <w:rPr>
                <w:sz w:val="21"/>
                <w:szCs w:val="21"/>
              </w:rPr>
              <w:t>472</w:t>
            </w:r>
          </w:p>
        </w:tc>
        <w:tc>
          <w:tcPr>
            <w:tcW w:w="5860" w:type="dxa"/>
            <w:tcBorders>
              <w:top w:val="nil"/>
              <w:left w:val="nil"/>
              <w:bottom w:val="nil"/>
              <w:right w:val="nil"/>
            </w:tcBorders>
            <w:tcMar>
              <w:top w:w="128" w:type="dxa"/>
              <w:left w:w="43" w:type="dxa"/>
              <w:bottom w:w="43" w:type="dxa"/>
              <w:right w:w="43" w:type="dxa"/>
            </w:tcMar>
          </w:tcPr>
          <w:p w14:paraId="34EA5937" w14:textId="77777777" w:rsidR="00D60186" w:rsidRPr="00D77759" w:rsidRDefault="00D60186" w:rsidP="00225D4D">
            <w:pPr>
              <w:rPr>
                <w:sz w:val="21"/>
                <w:szCs w:val="21"/>
              </w:rPr>
            </w:pPr>
            <w:r w:rsidRPr="00D77759">
              <w:rPr>
                <w:sz w:val="21"/>
                <w:szCs w:val="21"/>
              </w:rPr>
              <w:t xml:space="preserve">Strategi for å styrke laget rundt </w:t>
            </w:r>
            <w:proofErr w:type="spellStart"/>
            <w:r w:rsidRPr="00D77759">
              <w:rPr>
                <w:sz w:val="21"/>
                <w:szCs w:val="21"/>
              </w:rPr>
              <w:t>læraren</w:t>
            </w:r>
            <w:proofErr w:type="spellEnd"/>
            <w:r w:rsidRPr="00D77759">
              <w:rPr>
                <w:sz w:val="21"/>
                <w:szCs w:val="21"/>
              </w:rPr>
              <w:t xml:space="preserve"> og eleven</w:t>
            </w:r>
          </w:p>
        </w:tc>
        <w:tc>
          <w:tcPr>
            <w:tcW w:w="1240" w:type="dxa"/>
            <w:tcBorders>
              <w:top w:val="nil"/>
              <w:left w:val="nil"/>
              <w:bottom w:val="nil"/>
              <w:right w:val="nil"/>
            </w:tcBorders>
            <w:tcMar>
              <w:top w:w="128" w:type="dxa"/>
              <w:left w:w="43" w:type="dxa"/>
              <w:bottom w:w="43" w:type="dxa"/>
              <w:right w:w="43" w:type="dxa"/>
            </w:tcMar>
          </w:tcPr>
          <w:p w14:paraId="1D6D6627" w14:textId="77777777" w:rsidR="00D60186" w:rsidRPr="00D77759" w:rsidRDefault="00D60186" w:rsidP="00D77759">
            <w:pPr>
              <w:jc w:val="right"/>
              <w:rPr>
                <w:sz w:val="21"/>
                <w:szCs w:val="21"/>
              </w:rPr>
            </w:pPr>
            <w:r w:rsidRPr="00D77759">
              <w:rPr>
                <w:sz w:val="21"/>
                <w:szCs w:val="21"/>
              </w:rPr>
              <w:t>Ja</w:t>
            </w:r>
          </w:p>
        </w:tc>
      </w:tr>
      <w:tr w:rsidR="00E76DC8" w:rsidRPr="00225D4D" w14:paraId="0AD07B03"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E49377D" w14:textId="77777777" w:rsidR="00D60186" w:rsidRPr="00D77759" w:rsidRDefault="00D60186" w:rsidP="00225D4D">
            <w:pPr>
              <w:rPr>
                <w:sz w:val="21"/>
                <w:szCs w:val="21"/>
              </w:rPr>
            </w:pPr>
            <w:r w:rsidRPr="00D77759">
              <w:rPr>
                <w:sz w:val="21"/>
                <w:szCs w:val="21"/>
              </w:rPr>
              <w:t>2022–2023</w:t>
            </w:r>
          </w:p>
        </w:tc>
        <w:tc>
          <w:tcPr>
            <w:tcW w:w="1240" w:type="dxa"/>
            <w:tcBorders>
              <w:top w:val="nil"/>
              <w:left w:val="nil"/>
              <w:bottom w:val="nil"/>
              <w:right w:val="nil"/>
            </w:tcBorders>
            <w:tcMar>
              <w:top w:w="128" w:type="dxa"/>
              <w:left w:w="43" w:type="dxa"/>
              <w:bottom w:w="43" w:type="dxa"/>
              <w:right w:w="43" w:type="dxa"/>
            </w:tcMar>
          </w:tcPr>
          <w:p w14:paraId="49E289A8" w14:textId="77777777" w:rsidR="00D60186" w:rsidRPr="00D77759" w:rsidRDefault="00D60186" w:rsidP="00D77759">
            <w:pPr>
              <w:ind w:right="113"/>
              <w:jc w:val="right"/>
              <w:rPr>
                <w:sz w:val="21"/>
                <w:szCs w:val="21"/>
              </w:rPr>
            </w:pPr>
            <w:r w:rsidRPr="00D77759">
              <w:rPr>
                <w:sz w:val="21"/>
                <w:szCs w:val="21"/>
              </w:rPr>
              <w:t>484</w:t>
            </w:r>
          </w:p>
        </w:tc>
        <w:tc>
          <w:tcPr>
            <w:tcW w:w="5860" w:type="dxa"/>
            <w:tcBorders>
              <w:top w:val="nil"/>
              <w:left w:val="nil"/>
              <w:bottom w:val="nil"/>
              <w:right w:val="nil"/>
            </w:tcBorders>
            <w:tcMar>
              <w:top w:w="128" w:type="dxa"/>
              <w:left w:w="43" w:type="dxa"/>
              <w:bottom w:w="43" w:type="dxa"/>
              <w:right w:w="43" w:type="dxa"/>
            </w:tcMar>
          </w:tcPr>
          <w:p w14:paraId="12C7C44E" w14:textId="77777777" w:rsidR="00D60186" w:rsidRPr="00D77759" w:rsidRDefault="00D60186" w:rsidP="00225D4D">
            <w:pPr>
              <w:rPr>
                <w:sz w:val="21"/>
                <w:szCs w:val="21"/>
              </w:rPr>
            </w:pPr>
            <w:r w:rsidRPr="00D77759">
              <w:rPr>
                <w:sz w:val="21"/>
                <w:szCs w:val="21"/>
              </w:rPr>
              <w:t xml:space="preserve">Plan for å </w:t>
            </w:r>
            <w:proofErr w:type="spellStart"/>
            <w:r w:rsidRPr="00D77759">
              <w:rPr>
                <w:sz w:val="21"/>
                <w:szCs w:val="21"/>
              </w:rPr>
              <w:t>vidareutvikle</w:t>
            </w:r>
            <w:proofErr w:type="spellEnd"/>
            <w:r w:rsidRPr="00D77759">
              <w:rPr>
                <w:sz w:val="21"/>
                <w:szCs w:val="21"/>
              </w:rPr>
              <w:t xml:space="preserve"> </w:t>
            </w:r>
            <w:proofErr w:type="spellStart"/>
            <w:r w:rsidRPr="00D77759">
              <w:rPr>
                <w:sz w:val="21"/>
                <w:szCs w:val="21"/>
              </w:rPr>
              <w:t>høgare</w:t>
            </w:r>
            <w:proofErr w:type="spellEnd"/>
            <w:r w:rsidRPr="00D77759">
              <w:rPr>
                <w:sz w:val="21"/>
                <w:szCs w:val="21"/>
              </w:rPr>
              <w:t xml:space="preserve"> </w:t>
            </w:r>
            <w:proofErr w:type="spellStart"/>
            <w:r w:rsidRPr="00D77759">
              <w:rPr>
                <w:sz w:val="21"/>
                <w:szCs w:val="21"/>
              </w:rPr>
              <w:t>yrkesfagleg</w:t>
            </w:r>
            <w:proofErr w:type="spellEnd"/>
            <w:r w:rsidRPr="00D77759">
              <w:rPr>
                <w:sz w:val="21"/>
                <w:szCs w:val="21"/>
              </w:rPr>
              <w:t xml:space="preserve"> utdanning</w:t>
            </w:r>
          </w:p>
        </w:tc>
        <w:tc>
          <w:tcPr>
            <w:tcW w:w="1240" w:type="dxa"/>
            <w:tcBorders>
              <w:top w:val="nil"/>
              <w:left w:val="nil"/>
              <w:bottom w:val="nil"/>
              <w:right w:val="nil"/>
            </w:tcBorders>
            <w:tcMar>
              <w:top w:w="128" w:type="dxa"/>
              <w:left w:w="43" w:type="dxa"/>
              <w:bottom w:w="43" w:type="dxa"/>
              <w:right w:w="43" w:type="dxa"/>
            </w:tcMar>
          </w:tcPr>
          <w:p w14:paraId="14C2A8C0" w14:textId="77777777" w:rsidR="00D60186" w:rsidRPr="00D77759" w:rsidRDefault="00D60186" w:rsidP="00D77759">
            <w:pPr>
              <w:jc w:val="right"/>
              <w:rPr>
                <w:sz w:val="21"/>
                <w:szCs w:val="21"/>
              </w:rPr>
            </w:pPr>
            <w:r w:rsidRPr="00D77759">
              <w:rPr>
                <w:sz w:val="21"/>
                <w:szCs w:val="21"/>
              </w:rPr>
              <w:t>Ja</w:t>
            </w:r>
          </w:p>
        </w:tc>
      </w:tr>
      <w:tr w:rsidR="00E76DC8" w:rsidRPr="00225D4D" w14:paraId="721B523E"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7B0BCA79" w14:textId="77777777" w:rsidR="00D60186" w:rsidRPr="00D77759" w:rsidRDefault="00D60186" w:rsidP="00225D4D">
            <w:pPr>
              <w:rPr>
                <w:sz w:val="21"/>
                <w:szCs w:val="21"/>
              </w:rPr>
            </w:pPr>
            <w:r w:rsidRPr="00D77759">
              <w:rPr>
                <w:sz w:val="21"/>
                <w:szCs w:val="21"/>
              </w:rPr>
              <w:t>2022–2023</w:t>
            </w:r>
          </w:p>
        </w:tc>
        <w:tc>
          <w:tcPr>
            <w:tcW w:w="1240" w:type="dxa"/>
            <w:tcBorders>
              <w:top w:val="nil"/>
              <w:left w:val="nil"/>
              <w:bottom w:val="nil"/>
              <w:right w:val="nil"/>
            </w:tcBorders>
            <w:tcMar>
              <w:top w:w="128" w:type="dxa"/>
              <w:left w:w="43" w:type="dxa"/>
              <w:bottom w:w="43" w:type="dxa"/>
              <w:right w:w="43" w:type="dxa"/>
            </w:tcMar>
          </w:tcPr>
          <w:p w14:paraId="0E63807E" w14:textId="77777777" w:rsidR="00D60186" w:rsidRPr="00D77759" w:rsidRDefault="00D60186" w:rsidP="00D77759">
            <w:pPr>
              <w:ind w:right="113"/>
              <w:jc w:val="right"/>
              <w:rPr>
                <w:sz w:val="21"/>
                <w:szCs w:val="21"/>
              </w:rPr>
            </w:pPr>
            <w:r w:rsidRPr="00D77759">
              <w:rPr>
                <w:sz w:val="21"/>
                <w:szCs w:val="21"/>
              </w:rPr>
              <w:t>625</w:t>
            </w:r>
          </w:p>
        </w:tc>
        <w:tc>
          <w:tcPr>
            <w:tcW w:w="5860" w:type="dxa"/>
            <w:tcBorders>
              <w:top w:val="nil"/>
              <w:left w:val="nil"/>
              <w:bottom w:val="nil"/>
              <w:right w:val="nil"/>
            </w:tcBorders>
            <w:tcMar>
              <w:top w:w="128" w:type="dxa"/>
              <w:left w:w="43" w:type="dxa"/>
              <w:bottom w:w="43" w:type="dxa"/>
              <w:right w:w="43" w:type="dxa"/>
            </w:tcMar>
          </w:tcPr>
          <w:p w14:paraId="1A45110E" w14:textId="77777777" w:rsidR="00D60186" w:rsidRPr="00D77759" w:rsidRDefault="00D60186" w:rsidP="00225D4D">
            <w:pPr>
              <w:rPr>
                <w:sz w:val="21"/>
                <w:szCs w:val="21"/>
              </w:rPr>
            </w:pPr>
            <w:r w:rsidRPr="00D77759">
              <w:rPr>
                <w:sz w:val="21"/>
                <w:szCs w:val="21"/>
              </w:rPr>
              <w:t xml:space="preserve">Vald og </w:t>
            </w:r>
            <w:proofErr w:type="spellStart"/>
            <w:r w:rsidRPr="00D77759">
              <w:rPr>
                <w:sz w:val="21"/>
                <w:szCs w:val="21"/>
              </w:rPr>
              <w:t>truslar</w:t>
            </w:r>
            <w:proofErr w:type="spellEnd"/>
            <w:r w:rsidRPr="00D77759">
              <w:rPr>
                <w:sz w:val="21"/>
                <w:szCs w:val="21"/>
              </w:rPr>
              <w:t xml:space="preserve"> i </w:t>
            </w:r>
            <w:proofErr w:type="spellStart"/>
            <w:r w:rsidRPr="00D77759">
              <w:rPr>
                <w:sz w:val="21"/>
                <w:szCs w:val="21"/>
              </w:rPr>
              <w:t>skulen</w:t>
            </w:r>
            <w:proofErr w:type="spellEnd"/>
          </w:p>
        </w:tc>
        <w:tc>
          <w:tcPr>
            <w:tcW w:w="1240" w:type="dxa"/>
            <w:tcBorders>
              <w:top w:val="nil"/>
              <w:left w:val="nil"/>
              <w:bottom w:val="nil"/>
              <w:right w:val="nil"/>
            </w:tcBorders>
            <w:tcMar>
              <w:top w:w="128" w:type="dxa"/>
              <w:left w:w="43" w:type="dxa"/>
              <w:bottom w:w="43" w:type="dxa"/>
              <w:right w:w="43" w:type="dxa"/>
            </w:tcMar>
          </w:tcPr>
          <w:p w14:paraId="66AC1129" w14:textId="77777777" w:rsidR="00D60186" w:rsidRPr="00D77759" w:rsidRDefault="00D60186" w:rsidP="00D77759">
            <w:pPr>
              <w:jc w:val="right"/>
              <w:rPr>
                <w:sz w:val="21"/>
                <w:szCs w:val="21"/>
              </w:rPr>
            </w:pPr>
            <w:r w:rsidRPr="00D77759">
              <w:rPr>
                <w:sz w:val="21"/>
                <w:szCs w:val="21"/>
              </w:rPr>
              <w:t>Ja</w:t>
            </w:r>
          </w:p>
        </w:tc>
      </w:tr>
      <w:tr w:rsidR="00E76DC8" w:rsidRPr="00225D4D" w14:paraId="47BBD7F6"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1D2F1A7F" w14:textId="77777777" w:rsidR="00D60186" w:rsidRPr="00D77759" w:rsidRDefault="00D60186" w:rsidP="00225D4D">
            <w:pPr>
              <w:rPr>
                <w:sz w:val="21"/>
                <w:szCs w:val="21"/>
              </w:rPr>
            </w:pPr>
            <w:r w:rsidRPr="00D77759">
              <w:rPr>
                <w:sz w:val="21"/>
                <w:szCs w:val="21"/>
              </w:rPr>
              <w:t>2022–2023</w:t>
            </w:r>
          </w:p>
        </w:tc>
        <w:tc>
          <w:tcPr>
            <w:tcW w:w="1240" w:type="dxa"/>
            <w:tcBorders>
              <w:top w:val="nil"/>
              <w:left w:val="nil"/>
              <w:bottom w:val="nil"/>
              <w:right w:val="nil"/>
            </w:tcBorders>
            <w:tcMar>
              <w:top w:w="128" w:type="dxa"/>
              <w:left w:w="43" w:type="dxa"/>
              <w:bottom w:w="43" w:type="dxa"/>
              <w:right w:w="43" w:type="dxa"/>
            </w:tcMar>
          </w:tcPr>
          <w:p w14:paraId="33184B49" w14:textId="77777777" w:rsidR="00D60186" w:rsidRPr="00D77759" w:rsidRDefault="00D60186" w:rsidP="00D77759">
            <w:pPr>
              <w:ind w:right="113"/>
              <w:jc w:val="right"/>
              <w:rPr>
                <w:sz w:val="21"/>
                <w:szCs w:val="21"/>
              </w:rPr>
            </w:pPr>
            <w:r w:rsidRPr="00D77759">
              <w:rPr>
                <w:sz w:val="21"/>
                <w:szCs w:val="21"/>
              </w:rPr>
              <w:t>734</w:t>
            </w:r>
          </w:p>
        </w:tc>
        <w:tc>
          <w:tcPr>
            <w:tcW w:w="5860" w:type="dxa"/>
            <w:tcBorders>
              <w:top w:val="nil"/>
              <w:left w:val="nil"/>
              <w:bottom w:val="nil"/>
              <w:right w:val="nil"/>
            </w:tcBorders>
            <w:tcMar>
              <w:top w:w="128" w:type="dxa"/>
              <w:left w:w="43" w:type="dxa"/>
              <w:bottom w:w="43" w:type="dxa"/>
              <w:right w:w="43" w:type="dxa"/>
            </w:tcMar>
          </w:tcPr>
          <w:p w14:paraId="460CFE7E" w14:textId="77777777" w:rsidR="00D60186" w:rsidRPr="00D77759" w:rsidRDefault="00D60186" w:rsidP="00225D4D">
            <w:pPr>
              <w:rPr>
                <w:sz w:val="21"/>
                <w:szCs w:val="21"/>
              </w:rPr>
            </w:pPr>
            <w:proofErr w:type="spellStart"/>
            <w:r w:rsidRPr="00D77759">
              <w:rPr>
                <w:sz w:val="21"/>
                <w:szCs w:val="21"/>
              </w:rPr>
              <w:t>Læringsstøttande</w:t>
            </w:r>
            <w:proofErr w:type="spellEnd"/>
            <w:r w:rsidRPr="00D77759">
              <w:rPr>
                <w:sz w:val="21"/>
                <w:szCs w:val="21"/>
              </w:rPr>
              <w:t xml:space="preserve"> </w:t>
            </w:r>
            <w:proofErr w:type="spellStart"/>
            <w:r w:rsidRPr="00D77759">
              <w:rPr>
                <w:sz w:val="21"/>
                <w:szCs w:val="21"/>
              </w:rPr>
              <w:t>ressursar</w:t>
            </w:r>
            <w:proofErr w:type="spellEnd"/>
            <w:r w:rsidRPr="00D77759">
              <w:rPr>
                <w:sz w:val="21"/>
                <w:szCs w:val="21"/>
              </w:rPr>
              <w:t xml:space="preserve"> på begge målformer</w:t>
            </w:r>
          </w:p>
        </w:tc>
        <w:tc>
          <w:tcPr>
            <w:tcW w:w="1240" w:type="dxa"/>
            <w:tcBorders>
              <w:top w:val="nil"/>
              <w:left w:val="nil"/>
              <w:bottom w:val="nil"/>
              <w:right w:val="nil"/>
            </w:tcBorders>
            <w:tcMar>
              <w:top w:w="128" w:type="dxa"/>
              <w:left w:w="43" w:type="dxa"/>
              <w:bottom w:w="43" w:type="dxa"/>
              <w:right w:w="43" w:type="dxa"/>
            </w:tcMar>
          </w:tcPr>
          <w:p w14:paraId="7B8C12D8" w14:textId="77777777" w:rsidR="00D60186" w:rsidRPr="00D77759" w:rsidRDefault="00D60186" w:rsidP="00D77759">
            <w:pPr>
              <w:jc w:val="right"/>
              <w:rPr>
                <w:sz w:val="21"/>
                <w:szCs w:val="21"/>
              </w:rPr>
            </w:pPr>
            <w:r w:rsidRPr="00D77759">
              <w:rPr>
                <w:sz w:val="21"/>
                <w:szCs w:val="21"/>
              </w:rPr>
              <w:t>Nei</w:t>
            </w:r>
          </w:p>
        </w:tc>
      </w:tr>
      <w:tr w:rsidR="00E76DC8" w:rsidRPr="00225D4D" w14:paraId="0504641C"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0C58DD00" w14:textId="77777777" w:rsidR="00D60186" w:rsidRPr="00D77759" w:rsidRDefault="00D60186" w:rsidP="00225D4D">
            <w:pPr>
              <w:rPr>
                <w:sz w:val="21"/>
                <w:szCs w:val="21"/>
              </w:rPr>
            </w:pPr>
            <w:r w:rsidRPr="00D77759">
              <w:rPr>
                <w:sz w:val="21"/>
                <w:szCs w:val="21"/>
              </w:rPr>
              <w:t>2022–2023</w:t>
            </w:r>
          </w:p>
        </w:tc>
        <w:tc>
          <w:tcPr>
            <w:tcW w:w="1240" w:type="dxa"/>
            <w:tcBorders>
              <w:top w:val="nil"/>
              <w:left w:val="nil"/>
              <w:bottom w:val="nil"/>
              <w:right w:val="nil"/>
            </w:tcBorders>
            <w:tcMar>
              <w:top w:w="128" w:type="dxa"/>
              <w:left w:w="43" w:type="dxa"/>
              <w:bottom w:w="43" w:type="dxa"/>
              <w:right w:w="43" w:type="dxa"/>
            </w:tcMar>
          </w:tcPr>
          <w:p w14:paraId="4822FA4D" w14:textId="77777777" w:rsidR="00D60186" w:rsidRPr="00D77759" w:rsidRDefault="00D60186" w:rsidP="00D77759">
            <w:pPr>
              <w:ind w:right="113"/>
              <w:jc w:val="right"/>
              <w:rPr>
                <w:sz w:val="21"/>
                <w:szCs w:val="21"/>
              </w:rPr>
            </w:pPr>
            <w:r w:rsidRPr="00D77759">
              <w:rPr>
                <w:sz w:val="21"/>
                <w:szCs w:val="21"/>
              </w:rPr>
              <w:t>735</w:t>
            </w:r>
          </w:p>
        </w:tc>
        <w:tc>
          <w:tcPr>
            <w:tcW w:w="5860" w:type="dxa"/>
            <w:tcBorders>
              <w:top w:val="nil"/>
              <w:left w:val="nil"/>
              <w:bottom w:val="nil"/>
              <w:right w:val="nil"/>
            </w:tcBorders>
            <w:tcMar>
              <w:top w:w="128" w:type="dxa"/>
              <w:left w:w="43" w:type="dxa"/>
              <w:bottom w:w="43" w:type="dxa"/>
              <w:right w:w="43" w:type="dxa"/>
            </w:tcMar>
          </w:tcPr>
          <w:p w14:paraId="00E949BF" w14:textId="77777777" w:rsidR="00D60186" w:rsidRPr="00D77759" w:rsidRDefault="00D60186" w:rsidP="00225D4D">
            <w:pPr>
              <w:rPr>
                <w:sz w:val="21"/>
                <w:szCs w:val="21"/>
              </w:rPr>
            </w:pPr>
            <w:r w:rsidRPr="00D77759">
              <w:rPr>
                <w:sz w:val="21"/>
                <w:szCs w:val="21"/>
              </w:rPr>
              <w:t>IB-</w:t>
            </w:r>
            <w:proofErr w:type="spellStart"/>
            <w:r w:rsidRPr="00D77759">
              <w:rPr>
                <w:sz w:val="21"/>
                <w:szCs w:val="21"/>
              </w:rPr>
              <w:t>tilbod</w:t>
            </w:r>
            <w:proofErr w:type="spellEnd"/>
            <w:r w:rsidRPr="00D77759">
              <w:rPr>
                <w:sz w:val="21"/>
                <w:szCs w:val="21"/>
              </w:rPr>
              <w:t xml:space="preserve"> både i </w:t>
            </w:r>
            <w:proofErr w:type="spellStart"/>
            <w:r w:rsidRPr="00D77759">
              <w:rPr>
                <w:sz w:val="21"/>
                <w:szCs w:val="21"/>
              </w:rPr>
              <w:t>grunnskulen</w:t>
            </w:r>
            <w:proofErr w:type="spellEnd"/>
            <w:r w:rsidRPr="00D77759">
              <w:rPr>
                <w:sz w:val="21"/>
                <w:szCs w:val="21"/>
              </w:rPr>
              <w:t xml:space="preserve"> og i </w:t>
            </w:r>
            <w:proofErr w:type="spellStart"/>
            <w:r w:rsidRPr="00D77759">
              <w:rPr>
                <w:sz w:val="21"/>
                <w:szCs w:val="21"/>
              </w:rPr>
              <w:t>vidaregåande</w:t>
            </w:r>
            <w:proofErr w:type="spellEnd"/>
            <w:r w:rsidRPr="00D77759">
              <w:rPr>
                <w:sz w:val="21"/>
                <w:szCs w:val="21"/>
              </w:rPr>
              <w:t xml:space="preserve"> skule</w:t>
            </w:r>
          </w:p>
        </w:tc>
        <w:tc>
          <w:tcPr>
            <w:tcW w:w="1240" w:type="dxa"/>
            <w:tcBorders>
              <w:top w:val="nil"/>
              <w:left w:val="nil"/>
              <w:bottom w:val="nil"/>
              <w:right w:val="nil"/>
            </w:tcBorders>
            <w:tcMar>
              <w:top w:w="128" w:type="dxa"/>
              <w:left w:w="43" w:type="dxa"/>
              <w:bottom w:w="43" w:type="dxa"/>
              <w:right w:w="43" w:type="dxa"/>
            </w:tcMar>
          </w:tcPr>
          <w:p w14:paraId="10BEDBD6" w14:textId="77777777" w:rsidR="00D60186" w:rsidRPr="00D77759" w:rsidRDefault="00D60186" w:rsidP="00D77759">
            <w:pPr>
              <w:jc w:val="right"/>
              <w:rPr>
                <w:sz w:val="21"/>
                <w:szCs w:val="21"/>
              </w:rPr>
            </w:pPr>
            <w:r w:rsidRPr="00D77759">
              <w:rPr>
                <w:sz w:val="21"/>
                <w:szCs w:val="21"/>
              </w:rPr>
              <w:t>Ja</w:t>
            </w:r>
          </w:p>
        </w:tc>
      </w:tr>
      <w:tr w:rsidR="00E76DC8" w:rsidRPr="00225D4D" w14:paraId="14662839"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14812A1A" w14:textId="77777777" w:rsidR="00D60186" w:rsidRPr="00D77759" w:rsidRDefault="00D60186" w:rsidP="00225D4D">
            <w:pPr>
              <w:rPr>
                <w:sz w:val="21"/>
                <w:szCs w:val="21"/>
              </w:rPr>
            </w:pPr>
            <w:r w:rsidRPr="00D77759">
              <w:rPr>
                <w:sz w:val="21"/>
                <w:szCs w:val="21"/>
              </w:rPr>
              <w:t>2022–2023</w:t>
            </w:r>
          </w:p>
        </w:tc>
        <w:tc>
          <w:tcPr>
            <w:tcW w:w="1240" w:type="dxa"/>
            <w:tcBorders>
              <w:top w:val="nil"/>
              <w:left w:val="nil"/>
              <w:bottom w:val="nil"/>
              <w:right w:val="nil"/>
            </w:tcBorders>
            <w:tcMar>
              <w:top w:w="128" w:type="dxa"/>
              <w:left w:w="43" w:type="dxa"/>
              <w:bottom w:w="43" w:type="dxa"/>
              <w:right w:w="43" w:type="dxa"/>
            </w:tcMar>
          </w:tcPr>
          <w:p w14:paraId="3A38F1D0" w14:textId="77777777" w:rsidR="00D60186" w:rsidRPr="00D77759" w:rsidRDefault="00D60186" w:rsidP="00D77759">
            <w:pPr>
              <w:ind w:right="113"/>
              <w:jc w:val="right"/>
              <w:rPr>
                <w:sz w:val="21"/>
                <w:szCs w:val="21"/>
              </w:rPr>
            </w:pPr>
            <w:r w:rsidRPr="00D77759">
              <w:rPr>
                <w:sz w:val="21"/>
                <w:szCs w:val="21"/>
              </w:rPr>
              <w:t>738</w:t>
            </w:r>
          </w:p>
        </w:tc>
        <w:tc>
          <w:tcPr>
            <w:tcW w:w="5860" w:type="dxa"/>
            <w:tcBorders>
              <w:top w:val="nil"/>
              <w:left w:val="nil"/>
              <w:bottom w:val="nil"/>
              <w:right w:val="nil"/>
            </w:tcBorders>
            <w:tcMar>
              <w:top w:w="128" w:type="dxa"/>
              <w:left w:w="43" w:type="dxa"/>
              <w:bottom w:w="43" w:type="dxa"/>
              <w:right w:w="43" w:type="dxa"/>
            </w:tcMar>
          </w:tcPr>
          <w:p w14:paraId="35A189E6" w14:textId="77777777" w:rsidR="00D60186" w:rsidRPr="00D77759" w:rsidRDefault="00D60186" w:rsidP="00225D4D">
            <w:pPr>
              <w:rPr>
                <w:sz w:val="21"/>
                <w:szCs w:val="21"/>
              </w:rPr>
            </w:pPr>
            <w:r w:rsidRPr="00D77759">
              <w:rPr>
                <w:sz w:val="21"/>
                <w:szCs w:val="21"/>
              </w:rPr>
              <w:t>Sikre individuell tilrettelegging av opplæringa</w:t>
            </w:r>
          </w:p>
        </w:tc>
        <w:tc>
          <w:tcPr>
            <w:tcW w:w="1240" w:type="dxa"/>
            <w:tcBorders>
              <w:top w:val="nil"/>
              <w:left w:val="nil"/>
              <w:bottom w:val="nil"/>
              <w:right w:val="nil"/>
            </w:tcBorders>
            <w:tcMar>
              <w:top w:w="128" w:type="dxa"/>
              <w:left w:w="43" w:type="dxa"/>
              <w:bottom w:w="43" w:type="dxa"/>
              <w:right w:w="43" w:type="dxa"/>
            </w:tcMar>
          </w:tcPr>
          <w:p w14:paraId="113409BC" w14:textId="77777777" w:rsidR="00D60186" w:rsidRPr="00D77759" w:rsidRDefault="00D60186" w:rsidP="00D77759">
            <w:pPr>
              <w:jc w:val="right"/>
              <w:rPr>
                <w:sz w:val="21"/>
                <w:szCs w:val="21"/>
              </w:rPr>
            </w:pPr>
            <w:r w:rsidRPr="00D77759">
              <w:rPr>
                <w:sz w:val="21"/>
                <w:szCs w:val="21"/>
              </w:rPr>
              <w:t>Nei</w:t>
            </w:r>
          </w:p>
        </w:tc>
      </w:tr>
      <w:tr w:rsidR="00E76DC8" w:rsidRPr="00225D4D" w14:paraId="09E16E02"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E21CBA7" w14:textId="77777777" w:rsidR="00D60186" w:rsidRPr="00D77759" w:rsidRDefault="00D60186" w:rsidP="00225D4D">
            <w:pPr>
              <w:rPr>
                <w:sz w:val="21"/>
                <w:szCs w:val="21"/>
              </w:rPr>
            </w:pPr>
            <w:r w:rsidRPr="00D77759">
              <w:rPr>
                <w:sz w:val="21"/>
                <w:szCs w:val="21"/>
              </w:rPr>
              <w:t>2021–2022</w:t>
            </w:r>
          </w:p>
        </w:tc>
        <w:tc>
          <w:tcPr>
            <w:tcW w:w="1240" w:type="dxa"/>
            <w:tcBorders>
              <w:top w:val="nil"/>
              <w:left w:val="nil"/>
              <w:bottom w:val="nil"/>
              <w:right w:val="nil"/>
            </w:tcBorders>
            <w:tcMar>
              <w:top w:w="128" w:type="dxa"/>
              <w:left w:w="43" w:type="dxa"/>
              <w:bottom w:w="43" w:type="dxa"/>
              <w:right w:w="43" w:type="dxa"/>
            </w:tcMar>
          </w:tcPr>
          <w:p w14:paraId="618EA14E" w14:textId="77777777" w:rsidR="00D60186" w:rsidRPr="00D77759" w:rsidRDefault="00D60186" w:rsidP="00D77759">
            <w:pPr>
              <w:ind w:right="113"/>
              <w:jc w:val="right"/>
              <w:rPr>
                <w:sz w:val="21"/>
                <w:szCs w:val="21"/>
              </w:rPr>
            </w:pPr>
            <w:r w:rsidRPr="00D77759">
              <w:rPr>
                <w:sz w:val="21"/>
                <w:szCs w:val="21"/>
              </w:rPr>
              <w:t>35, pkt. 44</w:t>
            </w:r>
          </w:p>
        </w:tc>
        <w:tc>
          <w:tcPr>
            <w:tcW w:w="5860" w:type="dxa"/>
            <w:tcBorders>
              <w:top w:val="nil"/>
              <w:left w:val="nil"/>
              <w:bottom w:val="nil"/>
              <w:right w:val="nil"/>
            </w:tcBorders>
            <w:tcMar>
              <w:top w:w="128" w:type="dxa"/>
              <w:left w:w="43" w:type="dxa"/>
              <w:bottom w:w="43" w:type="dxa"/>
              <w:right w:w="43" w:type="dxa"/>
            </w:tcMar>
          </w:tcPr>
          <w:p w14:paraId="37CF0CCC"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Meldeplikt ved overføring av </w:t>
            </w:r>
            <w:proofErr w:type="spellStart"/>
            <w:r w:rsidRPr="00D77759">
              <w:rPr>
                <w:sz w:val="21"/>
                <w:szCs w:val="21"/>
              </w:rPr>
              <w:t>eigedomsrett</w:t>
            </w:r>
            <w:proofErr w:type="spellEnd"/>
          </w:p>
        </w:tc>
        <w:tc>
          <w:tcPr>
            <w:tcW w:w="1240" w:type="dxa"/>
            <w:tcBorders>
              <w:top w:val="nil"/>
              <w:left w:val="nil"/>
              <w:bottom w:val="nil"/>
              <w:right w:val="nil"/>
            </w:tcBorders>
            <w:tcMar>
              <w:top w:w="128" w:type="dxa"/>
              <w:left w:w="43" w:type="dxa"/>
              <w:bottom w:w="43" w:type="dxa"/>
              <w:right w:w="43" w:type="dxa"/>
            </w:tcMar>
          </w:tcPr>
          <w:p w14:paraId="1D2AB153" w14:textId="77777777" w:rsidR="00D60186" w:rsidRPr="00D77759" w:rsidRDefault="00D60186" w:rsidP="00D77759">
            <w:pPr>
              <w:jc w:val="right"/>
              <w:rPr>
                <w:sz w:val="21"/>
                <w:szCs w:val="21"/>
              </w:rPr>
            </w:pPr>
            <w:r w:rsidRPr="00D77759">
              <w:rPr>
                <w:sz w:val="21"/>
                <w:szCs w:val="21"/>
              </w:rPr>
              <w:t>Ja</w:t>
            </w:r>
          </w:p>
        </w:tc>
      </w:tr>
      <w:tr w:rsidR="00E76DC8" w:rsidRPr="00225D4D" w14:paraId="1A3A5055"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284606B0" w14:textId="77777777" w:rsidR="00D60186" w:rsidRPr="00D77759" w:rsidRDefault="00D60186" w:rsidP="00225D4D">
            <w:pPr>
              <w:rPr>
                <w:sz w:val="21"/>
                <w:szCs w:val="21"/>
              </w:rPr>
            </w:pPr>
            <w:r w:rsidRPr="00D77759">
              <w:rPr>
                <w:sz w:val="21"/>
                <w:szCs w:val="21"/>
              </w:rPr>
              <w:t>2021–2022</w:t>
            </w:r>
          </w:p>
        </w:tc>
        <w:tc>
          <w:tcPr>
            <w:tcW w:w="1240" w:type="dxa"/>
            <w:tcBorders>
              <w:top w:val="nil"/>
              <w:left w:val="nil"/>
              <w:bottom w:val="nil"/>
              <w:right w:val="nil"/>
            </w:tcBorders>
            <w:tcMar>
              <w:top w:w="128" w:type="dxa"/>
              <w:left w:w="43" w:type="dxa"/>
              <w:bottom w:w="43" w:type="dxa"/>
              <w:right w:w="43" w:type="dxa"/>
            </w:tcMar>
          </w:tcPr>
          <w:p w14:paraId="217B5E1D" w14:textId="77777777" w:rsidR="00D60186" w:rsidRPr="00D77759" w:rsidRDefault="00D60186" w:rsidP="00D77759">
            <w:pPr>
              <w:ind w:right="113"/>
              <w:jc w:val="right"/>
              <w:rPr>
                <w:sz w:val="21"/>
                <w:szCs w:val="21"/>
              </w:rPr>
            </w:pPr>
            <w:r w:rsidRPr="00D77759">
              <w:rPr>
                <w:sz w:val="21"/>
                <w:szCs w:val="21"/>
              </w:rPr>
              <w:t>35, pkt. 45</w:t>
            </w:r>
          </w:p>
        </w:tc>
        <w:tc>
          <w:tcPr>
            <w:tcW w:w="5860" w:type="dxa"/>
            <w:tcBorders>
              <w:top w:val="nil"/>
              <w:left w:val="nil"/>
              <w:bottom w:val="nil"/>
              <w:right w:val="nil"/>
            </w:tcBorders>
            <w:tcMar>
              <w:top w:w="128" w:type="dxa"/>
              <w:left w:w="43" w:type="dxa"/>
              <w:bottom w:w="43" w:type="dxa"/>
              <w:right w:w="43" w:type="dxa"/>
            </w:tcMar>
          </w:tcPr>
          <w:p w14:paraId="14D63FA7"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Gjeninnføre rett for </w:t>
            </w:r>
            <w:proofErr w:type="spellStart"/>
            <w:r w:rsidRPr="00D77759">
              <w:rPr>
                <w:sz w:val="21"/>
                <w:szCs w:val="21"/>
              </w:rPr>
              <w:t>kommunane</w:t>
            </w:r>
            <w:proofErr w:type="spellEnd"/>
            <w:r w:rsidRPr="00D77759">
              <w:rPr>
                <w:sz w:val="21"/>
                <w:szCs w:val="21"/>
              </w:rPr>
              <w:t xml:space="preserve"> til å føre tilsyn</w:t>
            </w:r>
          </w:p>
        </w:tc>
        <w:tc>
          <w:tcPr>
            <w:tcW w:w="1240" w:type="dxa"/>
            <w:tcBorders>
              <w:top w:val="nil"/>
              <w:left w:val="nil"/>
              <w:bottom w:val="nil"/>
              <w:right w:val="nil"/>
            </w:tcBorders>
            <w:tcMar>
              <w:top w:w="128" w:type="dxa"/>
              <w:left w:w="43" w:type="dxa"/>
              <w:bottom w:w="43" w:type="dxa"/>
              <w:right w:w="43" w:type="dxa"/>
            </w:tcMar>
          </w:tcPr>
          <w:p w14:paraId="7A549739" w14:textId="77777777" w:rsidR="00D60186" w:rsidRPr="00D77759" w:rsidRDefault="00D60186" w:rsidP="00D77759">
            <w:pPr>
              <w:jc w:val="right"/>
              <w:rPr>
                <w:sz w:val="21"/>
                <w:szCs w:val="21"/>
              </w:rPr>
            </w:pPr>
            <w:r w:rsidRPr="00D77759">
              <w:rPr>
                <w:sz w:val="21"/>
                <w:szCs w:val="21"/>
              </w:rPr>
              <w:t xml:space="preserve">Ja </w:t>
            </w:r>
          </w:p>
        </w:tc>
      </w:tr>
      <w:tr w:rsidR="00E76DC8" w:rsidRPr="00225D4D" w14:paraId="0936FC08"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4A2892A3" w14:textId="77777777" w:rsidR="00D60186" w:rsidRPr="00D77759" w:rsidRDefault="00D60186" w:rsidP="00225D4D">
            <w:pPr>
              <w:rPr>
                <w:sz w:val="21"/>
                <w:szCs w:val="21"/>
              </w:rPr>
            </w:pPr>
            <w:r w:rsidRPr="00D77759">
              <w:rPr>
                <w:sz w:val="21"/>
                <w:szCs w:val="21"/>
              </w:rPr>
              <w:t>2020–2021</w:t>
            </w:r>
          </w:p>
        </w:tc>
        <w:tc>
          <w:tcPr>
            <w:tcW w:w="1240" w:type="dxa"/>
            <w:tcBorders>
              <w:top w:val="nil"/>
              <w:left w:val="nil"/>
              <w:bottom w:val="nil"/>
              <w:right w:val="nil"/>
            </w:tcBorders>
            <w:tcMar>
              <w:top w:w="128" w:type="dxa"/>
              <w:left w:w="43" w:type="dxa"/>
              <w:bottom w:w="43" w:type="dxa"/>
              <w:right w:w="43" w:type="dxa"/>
            </w:tcMar>
          </w:tcPr>
          <w:p w14:paraId="118E552E" w14:textId="77777777" w:rsidR="00D60186" w:rsidRPr="00D77759" w:rsidRDefault="00D60186" w:rsidP="00D77759">
            <w:pPr>
              <w:ind w:right="113"/>
              <w:jc w:val="right"/>
              <w:rPr>
                <w:sz w:val="21"/>
                <w:szCs w:val="21"/>
              </w:rPr>
            </w:pPr>
            <w:r w:rsidRPr="00D77759">
              <w:rPr>
                <w:sz w:val="21"/>
                <w:szCs w:val="21"/>
              </w:rPr>
              <w:t>79</w:t>
            </w:r>
          </w:p>
        </w:tc>
        <w:tc>
          <w:tcPr>
            <w:tcW w:w="5860" w:type="dxa"/>
            <w:tcBorders>
              <w:top w:val="nil"/>
              <w:left w:val="nil"/>
              <w:bottom w:val="nil"/>
              <w:right w:val="nil"/>
            </w:tcBorders>
            <w:tcMar>
              <w:top w:w="128" w:type="dxa"/>
              <w:left w:w="43" w:type="dxa"/>
              <w:bottom w:w="43" w:type="dxa"/>
              <w:right w:w="43" w:type="dxa"/>
            </w:tcMar>
          </w:tcPr>
          <w:p w14:paraId="1C6670A6" w14:textId="77777777" w:rsidR="00D60186" w:rsidRPr="00D77759" w:rsidRDefault="00D60186" w:rsidP="00225D4D">
            <w:pPr>
              <w:rPr>
                <w:sz w:val="21"/>
                <w:szCs w:val="21"/>
              </w:rPr>
            </w:pPr>
            <w:r w:rsidRPr="00D77759">
              <w:rPr>
                <w:sz w:val="21"/>
                <w:szCs w:val="21"/>
              </w:rPr>
              <w:t xml:space="preserve">Politiattest for </w:t>
            </w:r>
            <w:proofErr w:type="spellStart"/>
            <w:r w:rsidRPr="00D77759">
              <w:rPr>
                <w:sz w:val="21"/>
                <w:szCs w:val="21"/>
              </w:rPr>
              <w:t>tilsetjing</w:t>
            </w:r>
            <w:proofErr w:type="spellEnd"/>
            <w:r w:rsidRPr="00D77759">
              <w:rPr>
                <w:sz w:val="21"/>
                <w:szCs w:val="21"/>
              </w:rPr>
              <w:t xml:space="preserve"> i </w:t>
            </w:r>
            <w:proofErr w:type="spellStart"/>
            <w:r w:rsidRPr="00D77759">
              <w:rPr>
                <w:sz w:val="21"/>
                <w:szCs w:val="21"/>
              </w:rPr>
              <w:t>skular</w:t>
            </w:r>
            <w:proofErr w:type="spellEnd"/>
            <w:r w:rsidRPr="00D77759">
              <w:rPr>
                <w:sz w:val="21"/>
                <w:szCs w:val="21"/>
              </w:rPr>
              <w:t xml:space="preserve"> og </w:t>
            </w:r>
            <w:proofErr w:type="spellStart"/>
            <w:r w:rsidRPr="00D77759">
              <w:rPr>
                <w:sz w:val="21"/>
                <w:szCs w:val="21"/>
              </w:rPr>
              <w:t>barnehagar</w:t>
            </w:r>
            <w:proofErr w:type="spellEnd"/>
          </w:p>
        </w:tc>
        <w:tc>
          <w:tcPr>
            <w:tcW w:w="1240" w:type="dxa"/>
            <w:tcBorders>
              <w:top w:val="nil"/>
              <w:left w:val="nil"/>
              <w:bottom w:val="nil"/>
              <w:right w:val="nil"/>
            </w:tcBorders>
            <w:tcMar>
              <w:top w:w="128" w:type="dxa"/>
              <w:left w:w="43" w:type="dxa"/>
              <w:bottom w:w="43" w:type="dxa"/>
              <w:right w:w="43" w:type="dxa"/>
            </w:tcMar>
          </w:tcPr>
          <w:p w14:paraId="20FC46DB" w14:textId="77777777" w:rsidR="00D60186" w:rsidRPr="00D77759" w:rsidRDefault="00D60186" w:rsidP="00D77759">
            <w:pPr>
              <w:jc w:val="right"/>
              <w:rPr>
                <w:sz w:val="21"/>
                <w:szCs w:val="21"/>
              </w:rPr>
            </w:pPr>
            <w:r w:rsidRPr="00D77759">
              <w:rPr>
                <w:sz w:val="21"/>
                <w:szCs w:val="21"/>
              </w:rPr>
              <w:t>Nei</w:t>
            </w:r>
          </w:p>
        </w:tc>
      </w:tr>
      <w:tr w:rsidR="00E76DC8" w:rsidRPr="00225D4D" w14:paraId="28C2ED1C"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1D6F626D" w14:textId="77777777" w:rsidR="00D60186" w:rsidRPr="00D77759" w:rsidRDefault="00D60186" w:rsidP="00225D4D">
            <w:pPr>
              <w:rPr>
                <w:sz w:val="21"/>
                <w:szCs w:val="21"/>
              </w:rPr>
            </w:pPr>
            <w:r w:rsidRPr="00D77759">
              <w:rPr>
                <w:sz w:val="21"/>
                <w:szCs w:val="21"/>
              </w:rPr>
              <w:t>2020–2021</w:t>
            </w:r>
          </w:p>
        </w:tc>
        <w:tc>
          <w:tcPr>
            <w:tcW w:w="1240" w:type="dxa"/>
            <w:tcBorders>
              <w:top w:val="nil"/>
              <w:left w:val="nil"/>
              <w:bottom w:val="nil"/>
              <w:right w:val="nil"/>
            </w:tcBorders>
            <w:tcMar>
              <w:top w:w="128" w:type="dxa"/>
              <w:left w:w="43" w:type="dxa"/>
              <w:bottom w:w="43" w:type="dxa"/>
              <w:right w:w="43" w:type="dxa"/>
            </w:tcMar>
          </w:tcPr>
          <w:p w14:paraId="551FA6D2" w14:textId="77777777" w:rsidR="00D60186" w:rsidRPr="00D77759" w:rsidRDefault="00D60186" w:rsidP="00D77759">
            <w:pPr>
              <w:ind w:right="113"/>
              <w:jc w:val="right"/>
              <w:rPr>
                <w:sz w:val="21"/>
                <w:szCs w:val="21"/>
              </w:rPr>
            </w:pPr>
            <w:r w:rsidRPr="00D77759">
              <w:rPr>
                <w:sz w:val="21"/>
                <w:szCs w:val="21"/>
              </w:rPr>
              <w:t>1104</w:t>
            </w:r>
          </w:p>
        </w:tc>
        <w:tc>
          <w:tcPr>
            <w:tcW w:w="5860" w:type="dxa"/>
            <w:tcBorders>
              <w:top w:val="nil"/>
              <w:left w:val="nil"/>
              <w:bottom w:val="nil"/>
              <w:right w:val="nil"/>
            </w:tcBorders>
            <w:tcMar>
              <w:top w:w="128" w:type="dxa"/>
              <w:left w:w="43" w:type="dxa"/>
              <w:bottom w:w="43" w:type="dxa"/>
              <w:right w:w="43" w:type="dxa"/>
            </w:tcMar>
          </w:tcPr>
          <w:p w14:paraId="3A4F9B1C" w14:textId="77777777" w:rsidR="00D60186" w:rsidRPr="00D77759" w:rsidRDefault="00D60186" w:rsidP="00225D4D">
            <w:pPr>
              <w:rPr>
                <w:sz w:val="21"/>
                <w:szCs w:val="21"/>
              </w:rPr>
            </w:pPr>
            <w:proofErr w:type="spellStart"/>
            <w:r w:rsidRPr="00D77759">
              <w:rPr>
                <w:sz w:val="21"/>
                <w:szCs w:val="21"/>
              </w:rPr>
              <w:t>Heilskaplege</w:t>
            </w:r>
            <w:proofErr w:type="spellEnd"/>
            <w:r w:rsidRPr="00D77759">
              <w:rPr>
                <w:sz w:val="21"/>
                <w:szCs w:val="21"/>
              </w:rPr>
              <w:t xml:space="preserve"> og koordinerte </w:t>
            </w:r>
            <w:proofErr w:type="spellStart"/>
            <w:r w:rsidRPr="00D77759">
              <w:rPr>
                <w:sz w:val="21"/>
                <w:szCs w:val="21"/>
              </w:rPr>
              <w:t>tenester</w:t>
            </w:r>
            <w:proofErr w:type="spellEnd"/>
          </w:p>
        </w:tc>
        <w:tc>
          <w:tcPr>
            <w:tcW w:w="1240" w:type="dxa"/>
            <w:tcBorders>
              <w:top w:val="nil"/>
              <w:left w:val="nil"/>
              <w:bottom w:val="nil"/>
              <w:right w:val="nil"/>
            </w:tcBorders>
            <w:tcMar>
              <w:top w:w="128" w:type="dxa"/>
              <w:left w:w="43" w:type="dxa"/>
              <w:bottom w:w="43" w:type="dxa"/>
              <w:right w:w="43" w:type="dxa"/>
            </w:tcMar>
          </w:tcPr>
          <w:p w14:paraId="1AFE4C54" w14:textId="77777777" w:rsidR="00D60186" w:rsidRPr="00D77759" w:rsidRDefault="00D60186" w:rsidP="00D77759">
            <w:pPr>
              <w:jc w:val="right"/>
              <w:rPr>
                <w:sz w:val="21"/>
                <w:szCs w:val="21"/>
              </w:rPr>
            </w:pPr>
            <w:r w:rsidRPr="00D77759">
              <w:rPr>
                <w:sz w:val="21"/>
                <w:szCs w:val="21"/>
              </w:rPr>
              <w:t>Nei</w:t>
            </w:r>
          </w:p>
        </w:tc>
      </w:tr>
      <w:tr w:rsidR="00E76DC8" w:rsidRPr="00225D4D" w14:paraId="69483D43"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590F26A8" w14:textId="77777777" w:rsidR="00D60186" w:rsidRPr="00D77759" w:rsidRDefault="00D60186" w:rsidP="00225D4D">
            <w:pPr>
              <w:rPr>
                <w:sz w:val="21"/>
                <w:szCs w:val="21"/>
              </w:rPr>
            </w:pPr>
            <w:r w:rsidRPr="00D77759">
              <w:rPr>
                <w:sz w:val="21"/>
                <w:szCs w:val="21"/>
              </w:rPr>
              <w:t>2019–2020</w:t>
            </w:r>
          </w:p>
        </w:tc>
        <w:tc>
          <w:tcPr>
            <w:tcW w:w="1240" w:type="dxa"/>
            <w:tcBorders>
              <w:top w:val="nil"/>
              <w:left w:val="nil"/>
              <w:bottom w:val="nil"/>
              <w:right w:val="nil"/>
            </w:tcBorders>
            <w:tcMar>
              <w:top w:w="128" w:type="dxa"/>
              <w:left w:w="43" w:type="dxa"/>
              <w:bottom w:w="43" w:type="dxa"/>
              <w:right w:w="43" w:type="dxa"/>
            </w:tcMar>
          </w:tcPr>
          <w:p w14:paraId="354AF2EB" w14:textId="77777777" w:rsidR="00D60186" w:rsidRPr="00D77759" w:rsidRDefault="00D60186" w:rsidP="00D77759">
            <w:pPr>
              <w:ind w:right="113"/>
              <w:jc w:val="right"/>
              <w:rPr>
                <w:sz w:val="21"/>
                <w:szCs w:val="21"/>
              </w:rPr>
            </w:pPr>
            <w:r w:rsidRPr="00D77759">
              <w:rPr>
                <w:sz w:val="21"/>
                <w:szCs w:val="21"/>
              </w:rPr>
              <w:t>700</w:t>
            </w:r>
          </w:p>
        </w:tc>
        <w:tc>
          <w:tcPr>
            <w:tcW w:w="5860" w:type="dxa"/>
            <w:tcBorders>
              <w:top w:val="nil"/>
              <w:left w:val="nil"/>
              <w:bottom w:val="nil"/>
              <w:right w:val="nil"/>
            </w:tcBorders>
            <w:tcMar>
              <w:top w:w="128" w:type="dxa"/>
              <w:left w:w="43" w:type="dxa"/>
              <w:bottom w:w="43" w:type="dxa"/>
              <w:right w:w="43" w:type="dxa"/>
            </w:tcMar>
          </w:tcPr>
          <w:p w14:paraId="1755ECD4" w14:textId="77777777" w:rsidR="00D60186" w:rsidRPr="00D77759" w:rsidRDefault="00D60186" w:rsidP="00225D4D">
            <w:pPr>
              <w:rPr>
                <w:sz w:val="21"/>
                <w:szCs w:val="21"/>
              </w:rPr>
            </w:pPr>
            <w:proofErr w:type="spellStart"/>
            <w:r w:rsidRPr="00D77759">
              <w:rPr>
                <w:sz w:val="21"/>
                <w:szCs w:val="21"/>
              </w:rPr>
              <w:t>Studieplassar</w:t>
            </w:r>
            <w:proofErr w:type="spellEnd"/>
            <w:r w:rsidRPr="00D77759">
              <w:rPr>
                <w:sz w:val="21"/>
                <w:szCs w:val="21"/>
              </w:rPr>
              <w:t xml:space="preserve"> i </w:t>
            </w:r>
            <w:proofErr w:type="spellStart"/>
            <w:r w:rsidRPr="00D77759">
              <w:rPr>
                <w:sz w:val="21"/>
                <w:szCs w:val="21"/>
              </w:rPr>
              <w:t>høgare</w:t>
            </w:r>
            <w:proofErr w:type="spellEnd"/>
            <w:r w:rsidRPr="00D77759">
              <w:rPr>
                <w:sz w:val="21"/>
                <w:szCs w:val="21"/>
              </w:rPr>
              <w:t xml:space="preserve"> </w:t>
            </w:r>
            <w:proofErr w:type="spellStart"/>
            <w:r w:rsidRPr="00D77759">
              <w:rPr>
                <w:sz w:val="21"/>
                <w:szCs w:val="21"/>
              </w:rPr>
              <w:t>yrkesfagleg</w:t>
            </w:r>
            <w:proofErr w:type="spellEnd"/>
            <w:r w:rsidRPr="00D77759">
              <w:rPr>
                <w:sz w:val="21"/>
                <w:szCs w:val="21"/>
              </w:rPr>
              <w:t xml:space="preserve"> utdanning</w:t>
            </w:r>
          </w:p>
        </w:tc>
        <w:tc>
          <w:tcPr>
            <w:tcW w:w="1240" w:type="dxa"/>
            <w:tcBorders>
              <w:top w:val="nil"/>
              <w:left w:val="nil"/>
              <w:bottom w:val="nil"/>
              <w:right w:val="nil"/>
            </w:tcBorders>
            <w:tcMar>
              <w:top w:w="128" w:type="dxa"/>
              <w:left w:w="43" w:type="dxa"/>
              <w:bottom w:w="43" w:type="dxa"/>
              <w:right w:w="43" w:type="dxa"/>
            </w:tcMar>
          </w:tcPr>
          <w:p w14:paraId="566B311E" w14:textId="77777777" w:rsidR="00D60186" w:rsidRPr="00D77759" w:rsidRDefault="00D60186" w:rsidP="00D77759">
            <w:pPr>
              <w:jc w:val="right"/>
              <w:rPr>
                <w:sz w:val="21"/>
                <w:szCs w:val="21"/>
              </w:rPr>
            </w:pPr>
            <w:r w:rsidRPr="00D77759">
              <w:rPr>
                <w:sz w:val="21"/>
                <w:szCs w:val="21"/>
              </w:rPr>
              <w:t>Ja</w:t>
            </w:r>
          </w:p>
        </w:tc>
      </w:tr>
      <w:tr w:rsidR="00E76DC8" w:rsidRPr="00225D4D" w14:paraId="41C1C19A"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13632CBA" w14:textId="77777777" w:rsidR="00D60186" w:rsidRPr="00D77759" w:rsidRDefault="00D60186" w:rsidP="00225D4D">
            <w:pPr>
              <w:rPr>
                <w:sz w:val="21"/>
                <w:szCs w:val="21"/>
              </w:rPr>
            </w:pPr>
            <w:r w:rsidRPr="00D77759">
              <w:rPr>
                <w:sz w:val="21"/>
                <w:szCs w:val="21"/>
              </w:rPr>
              <w:t>2018–2019</w:t>
            </w:r>
          </w:p>
        </w:tc>
        <w:tc>
          <w:tcPr>
            <w:tcW w:w="1240" w:type="dxa"/>
            <w:tcBorders>
              <w:top w:val="nil"/>
              <w:left w:val="nil"/>
              <w:bottom w:val="nil"/>
              <w:right w:val="nil"/>
            </w:tcBorders>
            <w:tcMar>
              <w:top w:w="128" w:type="dxa"/>
              <w:left w:w="43" w:type="dxa"/>
              <w:bottom w:w="43" w:type="dxa"/>
              <w:right w:w="43" w:type="dxa"/>
            </w:tcMar>
          </w:tcPr>
          <w:p w14:paraId="5EB798EF" w14:textId="77777777" w:rsidR="00D60186" w:rsidRPr="00D77759" w:rsidRDefault="00D60186" w:rsidP="00D77759">
            <w:pPr>
              <w:ind w:right="113"/>
              <w:jc w:val="right"/>
              <w:rPr>
                <w:sz w:val="21"/>
                <w:szCs w:val="21"/>
              </w:rPr>
            </w:pPr>
            <w:r w:rsidRPr="00D77759">
              <w:rPr>
                <w:sz w:val="21"/>
                <w:szCs w:val="21"/>
              </w:rPr>
              <w:t>51</w:t>
            </w:r>
          </w:p>
        </w:tc>
        <w:tc>
          <w:tcPr>
            <w:tcW w:w="5860" w:type="dxa"/>
            <w:tcBorders>
              <w:top w:val="nil"/>
              <w:left w:val="nil"/>
              <w:bottom w:val="nil"/>
              <w:right w:val="nil"/>
            </w:tcBorders>
            <w:tcMar>
              <w:top w:w="128" w:type="dxa"/>
              <w:left w:w="43" w:type="dxa"/>
              <w:bottom w:w="43" w:type="dxa"/>
              <w:right w:w="43" w:type="dxa"/>
            </w:tcMar>
          </w:tcPr>
          <w:p w14:paraId="4472FFF6"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Finansieringssystemet og ideelle </w:t>
            </w:r>
            <w:proofErr w:type="spellStart"/>
            <w:r w:rsidRPr="00D77759">
              <w:rPr>
                <w:sz w:val="21"/>
                <w:szCs w:val="21"/>
              </w:rPr>
              <w:t>barnehagar</w:t>
            </w:r>
            <w:proofErr w:type="spellEnd"/>
          </w:p>
        </w:tc>
        <w:tc>
          <w:tcPr>
            <w:tcW w:w="1240" w:type="dxa"/>
            <w:tcBorders>
              <w:top w:val="nil"/>
              <w:left w:val="nil"/>
              <w:bottom w:val="nil"/>
              <w:right w:val="nil"/>
            </w:tcBorders>
            <w:tcMar>
              <w:top w:w="128" w:type="dxa"/>
              <w:left w:w="43" w:type="dxa"/>
              <w:bottom w:w="43" w:type="dxa"/>
              <w:right w:w="43" w:type="dxa"/>
            </w:tcMar>
          </w:tcPr>
          <w:p w14:paraId="0AD252DE" w14:textId="77777777" w:rsidR="00D60186" w:rsidRPr="00D77759" w:rsidRDefault="00D60186" w:rsidP="00D77759">
            <w:pPr>
              <w:jc w:val="right"/>
              <w:rPr>
                <w:sz w:val="21"/>
                <w:szCs w:val="21"/>
              </w:rPr>
            </w:pPr>
            <w:r w:rsidRPr="00D77759">
              <w:rPr>
                <w:sz w:val="21"/>
                <w:szCs w:val="21"/>
              </w:rPr>
              <w:t xml:space="preserve">Ja </w:t>
            </w:r>
          </w:p>
        </w:tc>
      </w:tr>
      <w:tr w:rsidR="00E76DC8" w:rsidRPr="00225D4D" w14:paraId="1F433828"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412CF834" w14:textId="77777777" w:rsidR="00D60186" w:rsidRPr="00D77759" w:rsidRDefault="00D60186" w:rsidP="00225D4D">
            <w:pPr>
              <w:rPr>
                <w:sz w:val="21"/>
                <w:szCs w:val="21"/>
              </w:rPr>
            </w:pPr>
            <w:r w:rsidRPr="00D77759">
              <w:rPr>
                <w:sz w:val="21"/>
                <w:szCs w:val="21"/>
              </w:rPr>
              <w:t>2017–2018</w:t>
            </w:r>
          </w:p>
        </w:tc>
        <w:tc>
          <w:tcPr>
            <w:tcW w:w="1240" w:type="dxa"/>
            <w:tcBorders>
              <w:top w:val="nil"/>
              <w:left w:val="nil"/>
              <w:bottom w:val="nil"/>
              <w:right w:val="nil"/>
            </w:tcBorders>
            <w:tcMar>
              <w:top w:w="128" w:type="dxa"/>
              <w:left w:w="43" w:type="dxa"/>
              <w:bottom w:w="43" w:type="dxa"/>
              <w:right w:w="43" w:type="dxa"/>
            </w:tcMar>
          </w:tcPr>
          <w:p w14:paraId="753AB2C3" w14:textId="77777777" w:rsidR="00D60186" w:rsidRPr="00D77759" w:rsidRDefault="00D60186" w:rsidP="00D77759">
            <w:pPr>
              <w:ind w:right="113"/>
              <w:jc w:val="right"/>
              <w:rPr>
                <w:sz w:val="21"/>
                <w:szCs w:val="21"/>
              </w:rPr>
            </w:pPr>
            <w:r w:rsidRPr="00D77759">
              <w:rPr>
                <w:sz w:val="21"/>
                <w:szCs w:val="21"/>
              </w:rPr>
              <w:t>461</w:t>
            </w:r>
          </w:p>
        </w:tc>
        <w:tc>
          <w:tcPr>
            <w:tcW w:w="5860" w:type="dxa"/>
            <w:tcBorders>
              <w:top w:val="nil"/>
              <w:left w:val="nil"/>
              <w:bottom w:val="nil"/>
              <w:right w:val="nil"/>
            </w:tcBorders>
            <w:tcMar>
              <w:top w:w="128" w:type="dxa"/>
              <w:left w:w="43" w:type="dxa"/>
              <w:bottom w:w="43" w:type="dxa"/>
              <w:right w:w="43" w:type="dxa"/>
            </w:tcMar>
          </w:tcPr>
          <w:p w14:paraId="67E8D4CE"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Vilkår på linje med </w:t>
            </w:r>
            <w:proofErr w:type="spellStart"/>
            <w:r w:rsidRPr="00D77759">
              <w:rPr>
                <w:sz w:val="21"/>
                <w:szCs w:val="21"/>
              </w:rPr>
              <w:t>offentlege</w:t>
            </w:r>
            <w:proofErr w:type="spellEnd"/>
            <w:r w:rsidRPr="00D77759">
              <w:rPr>
                <w:sz w:val="21"/>
                <w:szCs w:val="21"/>
              </w:rPr>
              <w:t xml:space="preserve"> </w:t>
            </w:r>
            <w:proofErr w:type="spellStart"/>
            <w:r w:rsidRPr="00D77759">
              <w:rPr>
                <w:sz w:val="21"/>
                <w:szCs w:val="21"/>
              </w:rPr>
              <w:t>barnehagar</w:t>
            </w:r>
            <w:proofErr w:type="spellEnd"/>
          </w:p>
        </w:tc>
        <w:tc>
          <w:tcPr>
            <w:tcW w:w="1240" w:type="dxa"/>
            <w:tcBorders>
              <w:top w:val="nil"/>
              <w:left w:val="nil"/>
              <w:bottom w:val="nil"/>
              <w:right w:val="nil"/>
            </w:tcBorders>
            <w:tcMar>
              <w:top w:w="128" w:type="dxa"/>
              <w:left w:w="43" w:type="dxa"/>
              <w:bottom w:w="43" w:type="dxa"/>
              <w:right w:w="43" w:type="dxa"/>
            </w:tcMar>
          </w:tcPr>
          <w:p w14:paraId="6A38C750" w14:textId="77777777" w:rsidR="00D60186" w:rsidRPr="00D77759" w:rsidRDefault="00D60186" w:rsidP="00D77759">
            <w:pPr>
              <w:jc w:val="right"/>
              <w:rPr>
                <w:sz w:val="21"/>
                <w:szCs w:val="21"/>
              </w:rPr>
            </w:pPr>
            <w:r w:rsidRPr="00D77759">
              <w:rPr>
                <w:sz w:val="21"/>
                <w:szCs w:val="21"/>
              </w:rPr>
              <w:t xml:space="preserve">Ja </w:t>
            </w:r>
          </w:p>
        </w:tc>
      </w:tr>
      <w:tr w:rsidR="00E76DC8" w:rsidRPr="00225D4D" w14:paraId="289A6F02"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70CE262D" w14:textId="77777777" w:rsidR="00D60186" w:rsidRPr="00D77759" w:rsidRDefault="00D60186" w:rsidP="00225D4D">
            <w:pPr>
              <w:rPr>
                <w:sz w:val="21"/>
                <w:szCs w:val="21"/>
              </w:rPr>
            </w:pPr>
            <w:r w:rsidRPr="00D77759">
              <w:rPr>
                <w:sz w:val="21"/>
                <w:szCs w:val="21"/>
              </w:rPr>
              <w:t>2017–2018</w:t>
            </w:r>
          </w:p>
        </w:tc>
        <w:tc>
          <w:tcPr>
            <w:tcW w:w="1240" w:type="dxa"/>
            <w:tcBorders>
              <w:top w:val="nil"/>
              <w:left w:val="nil"/>
              <w:bottom w:val="nil"/>
              <w:right w:val="nil"/>
            </w:tcBorders>
            <w:tcMar>
              <w:top w:w="128" w:type="dxa"/>
              <w:left w:w="43" w:type="dxa"/>
              <w:bottom w:w="43" w:type="dxa"/>
              <w:right w:w="43" w:type="dxa"/>
            </w:tcMar>
          </w:tcPr>
          <w:p w14:paraId="2F9B8FC6" w14:textId="77777777" w:rsidR="00D60186" w:rsidRPr="00D77759" w:rsidRDefault="00D60186" w:rsidP="00D77759">
            <w:pPr>
              <w:ind w:right="113"/>
              <w:jc w:val="right"/>
              <w:rPr>
                <w:sz w:val="21"/>
                <w:szCs w:val="21"/>
              </w:rPr>
            </w:pPr>
            <w:r w:rsidRPr="00D77759">
              <w:rPr>
                <w:sz w:val="21"/>
                <w:szCs w:val="21"/>
              </w:rPr>
              <w:t>802</w:t>
            </w:r>
          </w:p>
        </w:tc>
        <w:tc>
          <w:tcPr>
            <w:tcW w:w="5860" w:type="dxa"/>
            <w:tcBorders>
              <w:top w:val="nil"/>
              <w:left w:val="nil"/>
              <w:bottom w:val="nil"/>
              <w:right w:val="nil"/>
            </w:tcBorders>
            <w:tcMar>
              <w:top w:w="128" w:type="dxa"/>
              <w:left w:w="43" w:type="dxa"/>
              <w:bottom w:w="43" w:type="dxa"/>
              <w:right w:w="43" w:type="dxa"/>
            </w:tcMar>
          </w:tcPr>
          <w:p w14:paraId="7DE7697B" w14:textId="77777777" w:rsidR="00D60186" w:rsidRPr="00D77759" w:rsidRDefault="00D60186" w:rsidP="00225D4D">
            <w:pPr>
              <w:rPr>
                <w:sz w:val="21"/>
                <w:szCs w:val="21"/>
              </w:rPr>
            </w:pPr>
            <w:r w:rsidRPr="00D77759">
              <w:rPr>
                <w:sz w:val="21"/>
                <w:szCs w:val="21"/>
              </w:rPr>
              <w:t xml:space="preserve">Private </w:t>
            </w:r>
            <w:proofErr w:type="spellStart"/>
            <w:r w:rsidRPr="00D77759">
              <w:rPr>
                <w:sz w:val="21"/>
                <w:szCs w:val="21"/>
              </w:rPr>
              <w:t>barnehagar</w:t>
            </w:r>
            <w:proofErr w:type="spellEnd"/>
            <w:r w:rsidRPr="00D77759">
              <w:rPr>
                <w:sz w:val="21"/>
                <w:szCs w:val="21"/>
              </w:rPr>
              <w:t xml:space="preserve">: Finansieringssystemet som </w:t>
            </w:r>
            <w:proofErr w:type="spellStart"/>
            <w:r w:rsidRPr="00D77759">
              <w:rPr>
                <w:sz w:val="21"/>
                <w:szCs w:val="21"/>
              </w:rPr>
              <w:t>ivaretek</w:t>
            </w:r>
            <w:proofErr w:type="spellEnd"/>
            <w:r w:rsidRPr="00D77759">
              <w:rPr>
                <w:sz w:val="21"/>
                <w:szCs w:val="21"/>
              </w:rPr>
              <w:t xml:space="preserve"> </w:t>
            </w:r>
            <w:proofErr w:type="spellStart"/>
            <w:r w:rsidRPr="00D77759">
              <w:rPr>
                <w:sz w:val="21"/>
                <w:szCs w:val="21"/>
              </w:rPr>
              <w:t>mangfaldet</w:t>
            </w:r>
            <w:proofErr w:type="spellEnd"/>
          </w:p>
        </w:tc>
        <w:tc>
          <w:tcPr>
            <w:tcW w:w="1240" w:type="dxa"/>
            <w:tcBorders>
              <w:top w:val="nil"/>
              <w:left w:val="nil"/>
              <w:bottom w:val="nil"/>
              <w:right w:val="nil"/>
            </w:tcBorders>
            <w:tcMar>
              <w:top w:w="128" w:type="dxa"/>
              <w:left w:w="43" w:type="dxa"/>
              <w:bottom w:w="43" w:type="dxa"/>
              <w:right w:w="43" w:type="dxa"/>
            </w:tcMar>
          </w:tcPr>
          <w:p w14:paraId="31C6899F" w14:textId="77777777" w:rsidR="00D60186" w:rsidRPr="00D77759" w:rsidRDefault="00D60186" w:rsidP="00D77759">
            <w:pPr>
              <w:jc w:val="right"/>
              <w:rPr>
                <w:sz w:val="21"/>
                <w:szCs w:val="21"/>
              </w:rPr>
            </w:pPr>
            <w:r w:rsidRPr="00D77759">
              <w:rPr>
                <w:sz w:val="21"/>
                <w:szCs w:val="21"/>
              </w:rPr>
              <w:t xml:space="preserve">Ja </w:t>
            </w:r>
          </w:p>
        </w:tc>
      </w:tr>
      <w:tr w:rsidR="00E76DC8" w:rsidRPr="00225D4D" w14:paraId="4C009A11" w14:textId="77777777" w:rsidTr="00D77759">
        <w:trPr>
          <w:trHeight w:val="20"/>
        </w:trPr>
        <w:tc>
          <w:tcPr>
            <w:tcW w:w="1200" w:type="dxa"/>
            <w:tcBorders>
              <w:top w:val="nil"/>
              <w:left w:val="nil"/>
              <w:bottom w:val="nil"/>
              <w:right w:val="nil"/>
            </w:tcBorders>
            <w:tcMar>
              <w:top w:w="128" w:type="dxa"/>
              <w:left w:w="43" w:type="dxa"/>
              <w:bottom w:w="43" w:type="dxa"/>
              <w:right w:w="43" w:type="dxa"/>
            </w:tcMar>
          </w:tcPr>
          <w:p w14:paraId="47A155D3" w14:textId="77777777" w:rsidR="00D60186" w:rsidRPr="00D77759" w:rsidRDefault="00D60186" w:rsidP="00225D4D">
            <w:pPr>
              <w:rPr>
                <w:sz w:val="21"/>
                <w:szCs w:val="21"/>
              </w:rPr>
            </w:pPr>
            <w:r w:rsidRPr="00D77759">
              <w:rPr>
                <w:sz w:val="21"/>
                <w:szCs w:val="21"/>
              </w:rPr>
              <w:t>2016–2017</w:t>
            </w:r>
          </w:p>
        </w:tc>
        <w:tc>
          <w:tcPr>
            <w:tcW w:w="1240" w:type="dxa"/>
            <w:tcBorders>
              <w:top w:val="nil"/>
              <w:left w:val="nil"/>
              <w:bottom w:val="nil"/>
              <w:right w:val="nil"/>
            </w:tcBorders>
            <w:tcMar>
              <w:top w:w="128" w:type="dxa"/>
              <w:left w:w="43" w:type="dxa"/>
              <w:bottom w:w="43" w:type="dxa"/>
              <w:right w:w="43" w:type="dxa"/>
            </w:tcMar>
          </w:tcPr>
          <w:p w14:paraId="13665F0A" w14:textId="77777777" w:rsidR="00D60186" w:rsidRPr="00D77759" w:rsidRDefault="00D60186" w:rsidP="00D77759">
            <w:pPr>
              <w:ind w:right="113"/>
              <w:jc w:val="right"/>
              <w:rPr>
                <w:sz w:val="21"/>
                <w:szCs w:val="21"/>
              </w:rPr>
            </w:pPr>
            <w:r w:rsidRPr="00D77759">
              <w:rPr>
                <w:sz w:val="21"/>
                <w:szCs w:val="21"/>
              </w:rPr>
              <w:t>642</w:t>
            </w:r>
          </w:p>
        </w:tc>
        <w:tc>
          <w:tcPr>
            <w:tcW w:w="5860" w:type="dxa"/>
            <w:tcBorders>
              <w:top w:val="nil"/>
              <w:left w:val="nil"/>
              <w:bottom w:val="nil"/>
              <w:right w:val="nil"/>
            </w:tcBorders>
            <w:tcMar>
              <w:top w:w="128" w:type="dxa"/>
              <w:left w:w="43" w:type="dxa"/>
              <w:bottom w:w="43" w:type="dxa"/>
              <w:right w:w="43" w:type="dxa"/>
            </w:tcMar>
          </w:tcPr>
          <w:p w14:paraId="5958BEE0" w14:textId="77777777" w:rsidR="00D60186" w:rsidRPr="00D77759" w:rsidRDefault="00D60186" w:rsidP="00225D4D">
            <w:pPr>
              <w:rPr>
                <w:sz w:val="21"/>
                <w:szCs w:val="21"/>
              </w:rPr>
            </w:pPr>
            <w:r w:rsidRPr="00D77759">
              <w:rPr>
                <w:sz w:val="21"/>
                <w:szCs w:val="21"/>
              </w:rPr>
              <w:t xml:space="preserve">Medlemskap i studentsamskipnad for </w:t>
            </w:r>
            <w:proofErr w:type="spellStart"/>
            <w:r w:rsidRPr="00D77759">
              <w:rPr>
                <w:sz w:val="21"/>
                <w:szCs w:val="21"/>
              </w:rPr>
              <w:t>fagskular</w:t>
            </w:r>
            <w:proofErr w:type="spellEnd"/>
          </w:p>
        </w:tc>
        <w:tc>
          <w:tcPr>
            <w:tcW w:w="1240" w:type="dxa"/>
            <w:tcBorders>
              <w:top w:val="nil"/>
              <w:left w:val="nil"/>
              <w:bottom w:val="nil"/>
              <w:right w:val="nil"/>
            </w:tcBorders>
            <w:tcMar>
              <w:top w:w="128" w:type="dxa"/>
              <w:left w:w="43" w:type="dxa"/>
              <w:bottom w:w="43" w:type="dxa"/>
              <w:right w:w="43" w:type="dxa"/>
            </w:tcMar>
          </w:tcPr>
          <w:p w14:paraId="3C9F72B7" w14:textId="77777777" w:rsidR="00D60186" w:rsidRPr="00D77759" w:rsidRDefault="00D60186" w:rsidP="00D77759">
            <w:pPr>
              <w:jc w:val="right"/>
              <w:rPr>
                <w:sz w:val="21"/>
                <w:szCs w:val="21"/>
              </w:rPr>
            </w:pPr>
            <w:r w:rsidRPr="00D77759">
              <w:rPr>
                <w:sz w:val="21"/>
                <w:szCs w:val="21"/>
              </w:rPr>
              <w:t>Ja</w:t>
            </w:r>
          </w:p>
        </w:tc>
      </w:tr>
      <w:tr w:rsidR="00E76DC8" w:rsidRPr="00225D4D" w14:paraId="6693C9B4" w14:textId="77777777" w:rsidTr="00D77759">
        <w:trPr>
          <w:trHeight w:val="20"/>
        </w:trPr>
        <w:tc>
          <w:tcPr>
            <w:tcW w:w="1200" w:type="dxa"/>
            <w:tcBorders>
              <w:top w:val="nil"/>
              <w:left w:val="nil"/>
              <w:bottom w:val="single" w:sz="4" w:space="0" w:color="000000"/>
              <w:right w:val="nil"/>
            </w:tcBorders>
            <w:tcMar>
              <w:top w:w="128" w:type="dxa"/>
              <w:left w:w="43" w:type="dxa"/>
              <w:bottom w:w="43" w:type="dxa"/>
              <w:right w:w="43" w:type="dxa"/>
            </w:tcMar>
          </w:tcPr>
          <w:p w14:paraId="4E2351DF" w14:textId="77777777" w:rsidR="00D60186" w:rsidRPr="00D77759" w:rsidRDefault="00D60186" w:rsidP="00225D4D">
            <w:pPr>
              <w:rPr>
                <w:sz w:val="21"/>
                <w:szCs w:val="21"/>
              </w:rPr>
            </w:pPr>
            <w:r w:rsidRPr="00D77759">
              <w:rPr>
                <w:sz w:val="21"/>
                <w:szCs w:val="21"/>
              </w:rPr>
              <w:t>2015–2016</w:t>
            </w:r>
          </w:p>
        </w:tc>
        <w:tc>
          <w:tcPr>
            <w:tcW w:w="1240" w:type="dxa"/>
            <w:tcBorders>
              <w:top w:val="nil"/>
              <w:left w:val="nil"/>
              <w:bottom w:val="single" w:sz="4" w:space="0" w:color="000000"/>
              <w:right w:val="nil"/>
            </w:tcBorders>
            <w:tcMar>
              <w:top w:w="128" w:type="dxa"/>
              <w:left w:w="43" w:type="dxa"/>
              <w:bottom w:w="43" w:type="dxa"/>
              <w:right w:w="43" w:type="dxa"/>
            </w:tcMar>
          </w:tcPr>
          <w:p w14:paraId="3C08ADBB" w14:textId="77777777" w:rsidR="00D60186" w:rsidRPr="00D77759" w:rsidRDefault="00D60186" w:rsidP="00D77759">
            <w:pPr>
              <w:ind w:right="113"/>
              <w:jc w:val="right"/>
              <w:rPr>
                <w:sz w:val="21"/>
                <w:szCs w:val="21"/>
              </w:rPr>
            </w:pPr>
            <w:r w:rsidRPr="00D77759">
              <w:rPr>
                <w:sz w:val="21"/>
                <w:szCs w:val="21"/>
              </w:rPr>
              <w:t>796</w:t>
            </w:r>
          </w:p>
        </w:tc>
        <w:tc>
          <w:tcPr>
            <w:tcW w:w="5860" w:type="dxa"/>
            <w:tcBorders>
              <w:top w:val="nil"/>
              <w:left w:val="nil"/>
              <w:bottom w:val="single" w:sz="4" w:space="0" w:color="000000"/>
              <w:right w:val="nil"/>
            </w:tcBorders>
            <w:tcMar>
              <w:top w:w="128" w:type="dxa"/>
              <w:left w:w="43" w:type="dxa"/>
              <w:bottom w:w="43" w:type="dxa"/>
              <w:right w:w="43" w:type="dxa"/>
            </w:tcMar>
          </w:tcPr>
          <w:p w14:paraId="33FDB0FB" w14:textId="77777777" w:rsidR="00D60186" w:rsidRPr="00D77759" w:rsidRDefault="00D60186" w:rsidP="00225D4D">
            <w:pPr>
              <w:rPr>
                <w:sz w:val="21"/>
                <w:szCs w:val="21"/>
              </w:rPr>
            </w:pPr>
            <w:r w:rsidRPr="00D77759">
              <w:rPr>
                <w:sz w:val="21"/>
                <w:szCs w:val="21"/>
              </w:rPr>
              <w:t>Krav om norsk og samisk språk i barnehagesektoren</w:t>
            </w:r>
          </w:p>
        </w:tc>
        <w:tc>
          <w:tcPr>
            <w:tcW w:w="1240" w:type="dxa"/>
            <w:tcBorders>
              <w:top w:val="nil"/>
              <w:left w:val="nil"/>
              <w:bottom w:val="single" w:sz="4" w:space="0" w:color="000000"/>
              <w:right w:val="nil"/>
            </w:tcBorders>
            <w:tcMar>
              <w:top w:w="128" w:type="dxa"/>
              <w:left w:w="43" w:type="dxa"/>
              <w:bottom w:w="43" w:type="dxa"/>
              <w:right w:w="43" w:type="dxa"/>
            </w:tcMar>
          </w:tcPr>
          <w:p w14:paraId="267B630E" w14:textId="77777777" w:rsidR="00D60186" w:rsidRPr="00D77759" w:rsidRDefault="00D60186" w:rsidP="00D77759">
            <w:pPr>
              <w:jc w:val="right"/>
              <w:rPr>
                <w:sz w:val="21"/>
                <w:szCs w:val="21"/>
              </w:rPr>
            </w:pPr>
            <w:r w:rsidRPr="00D77759">
              <w:rPr>
                <w:sz w:val="21"/>
                <w:szCs w:val="21"/>
              </w:rPr>
              <w:t>Ja</w:t>
            </w:r>
          </w:p>
        </w:tc>
      </w:tr>
    </w:tbl>
    <w:p w14:paraId="45FA3E0A" w14:textId="77777777" w:rsidR="00D60186" w:rsidRPr="00225D4D" w:rsidRDefault="00D60186" w:rsidP="0052516A">
      <w:pPr>
        <w:pStyle w:val="Overskrift2"/>
        <w:numPr>
          <w:ilvl w:val="1"/>
          <w:numId w:val="38"/>
        </w:numPr>
      </w:pPr>
      <w:r w:rsidRPr="00225D4D">
        <w:t>Stortingssesjon 2024–2025</w:t>
      </w:r>
    </w:p>
    <w:p w14:paraId="2C2AE386" w14:textId="77777777" w:rsidR="00D60186" w:rsidRPr="00225D4D" w:rsidRDefault="00D60186" w:rsidP="00225D4D">
      <w:pPr>
        <w:pStyle w:val="Undertittel"/>
      </w:pPr>
      <w:r w:rsidRPr="00225D4D">
        <w:t>Oppmodingsvedtak under kunnskapsministeren</w:t>
      </w:r>
    </w:p>
    <w:p w14:paraId="046746A7" w14:textId="77777777" w:rsidR="00D60186" w:rsidRPr="00225D4D" w:rsidRDefault="00D60186" w:rsidP="00225D4D">
      <w:pPr>
        <w:pStyle w:val="avsnitt-tittel"/>
      </w:pPr>
      <w:r w:rsidRPr="00225D4D">
        <w:t>Nasjonalt kompetansesenter om fornorskingspolitikk og urett</w:t>
      </w:r>
    </w:p>
    <w:p w14:paraId="090E2646" w14:textId="77777777" w:rsidR="00D60186" w:rsidRPr="00225D4D" w:rsidRDefault="00D60186" w:rsidP="00225D4D">
      <w:pPr>
        <w:pStyle w:val="avsnitt-undertittel"/>
      </w:pPr>
      <w:r w:rsidRPr="00225D4D">
        <w:t>Vedtak nr. 16, 12. november 2024:</w:t>
      </w:r>
    </w:p>
    <w:p w14:paraId="7EDF0858" w14:textId="77777777" w:rsidR="00D60186" w:rsidRPr="00225D4D" w:rsidRDefault="00D60186" w:rsidP="00225D4D">
      <w:pPr>
        <w:pStyle w:val="blokksit"/>
        <w:rPr>
          <w:rStyle w:val="kursiv"/>
        </w:rPr>
      </w:pPr>
      <w:r w:rsidRPr="00225D4D">
        <w:rPr>
          <w:rStyle w:val="kursiv"/>
        </w:rPr>
        <w:t>Stortinget ber regjeringen utrede en organisering av et nasjonalt kompetansesenter om fornorskingspolitikk og urett, med ansvar for forskning, dokumentasjon, formidling og forsoningsarbeid. Arbeidet må bygge videre på eksisterende kompetanse-, forsknings- og formidlingsmiljøer og gjøres i tett dialog med samiske, kvenske/norskfinske og skogfinske miljøer.</w:t>
      </w:r>
    </w:p>
    <w:p w14:paraId="4D500BA8"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Sannings- og forsoningskommisjonen sin rapport Dokument 19 (2022–2023) </w:t>
      </w:r>
      <w:r w:rsidRPr="00225D4D">
        <w:rPr>
          <w:rStyle w:val="kursiv"/>
        </w:rPr>
        <w:t>Sannhet og forsoning – grunnlag for et oppgjør med fornorskingspolitikk og urett mot samer, kvener/norskfinner og skogfinner</w:t>
      </w:r>
      <w:r w:rsidRPr="00225D4D">
        <w:t xml:space="preserve">, jf. </w:t>
      </w:r>
      <w:proofErr w:type="spellStart"/>
      <w:r w:rsidRPr="00225D4D">
        <w:t>Innst</w:t>
      </w:r>
      <w:proofErr w:type="spellEnd"/>
      <w:r w:rsidRPr="00225D4D">
        <w:t>. 30 S (2024–2025).</w:t>
      </w:r>
    </w:p>
    <w:p w14:paraId="12DC1742" w14:textId="77777777" w:rsidR="00D60186" w:rsidRPr="00225D4D" w:rsidRDefault="00D60186" w:rsidP="00225D4D">
      <w:r w:rsidRPr="00225D4D">
        <w:t xml:space="preserve">Kunnskapsdepartementet vil be Universitetet i Tromsø – </w:t>
      </w:r>
      <w:proofErr w:type="spellStart"/>
      <w:r w:rsidRPr="00225D4D">
        <w:t>Noregs</w:t>
      </w:r>
      <w:proofErr w:type="spellEnd"/>
      <w:r w:rsidRPr="00225D4D">
        <w:t xml:space="preserve"> arktiske universitet om å greie ut </w:t>
      </w:r>
      <w:proofErr w:type="spellStart"/>
      <w:r w:rsidRPr="00225D4D">
        <w:t>mogleg</w:t>
      </w:r>
      <w:proofErr w:type="spellEnd"/>
      <w:r w:rsidRPr="00225D4D">
        <w:t xml:space="preserve"> organisering av </w:t>
      </w:r>
      <w:proofErr w:type="spellStart"/>
      <w:r w:rsidRPr="00225D4D">
        <w:t>eit</w:t>
      </w:r>
      <w:proofErr w:type="spellEnd"/>
      <w:r w:rsidRPr="00225D4D">
        <w:t xml:space="preserve"> nasjonalt kompetansesenter om fornorskingspolitikk og urett i tråd med </w:t>
      </w:r>
      <w:proofErr w:type="spellStart"/>
      <w:r w:rsidRPr="00225D4D">
        <w:t>føresetnadene</w:t>
      </w:r>
      <w:proofErr w:type="spellEnd"/>
      <w:r w:rsidRPr="00225D4D">
        <w:t xml:space="preserve"> </w:t>
      </w:r>
      <w:proofErr w:type="spellStart"/>
      <w:r w:rsidRPr="00225D4D">
        <w:t>frå</w:t>
      </w:r>
      <w:proofErr w:type="spellEnd"/>
      <w:r w:rsidRPr="00225D4D">
        <w:t xml:space="preserve"> Stortinget om å bygge på </w:t>
      </w:r>
      <w:proofErr w:type="spellStart"/>
      <w:r w:rsidRPr="00225D4D">
        <w:t>eksisterande</w:t>
      </w:r>
      <w:proofErr w:type="spellEnd"/>
      <w:r w:rsidRPr="00225D4D">
        <w:t xml:space="preserve"> fagmiljø, og i tett dialog med samiske, kvenske/norskfinske og skogfinske miljø. Regjeringa tilrår å tildele 7 mill. kroner på kap. 260, post 50 til arbeid med kompetansesenteret.</w:t>
      </w:r>
    </w:p>
    <w:p w14:paraId="2074EFAF" w14:textId="77777777" w:rsidR="00D60186" w:rsidRPr="00225D4D" w:rsidRDefault="00D60186" w:rsidP="00225D4D">
      <w:r w:rsidRPr="00225D4D">
        <w:t>Vedtaket er under behandling.</w:t>
      </w:r>
    </w:p>
    <w:p w14:paraId="411BC299" w14:textId="77777777" w:rsidR="00D60186" w:rsidRPr="00225D4D" w:rsidRDefault="00D60186" w:rsidP="00225D4D">
      <w:pPr>
        <w:pStyle w:val="avsnitt-tittel"/>
      </w:pPr>
      <w:proofErr w:type="spellStart"/>
      <w:r w:rsidRPr="00225D4D">
        <w:t>Fleire</w:t>
      </w:r>
      <w:proofErr w:type="spellEnd"/>
      <w:r w:rsidRPr="00225D4D">
        <w:t xml:space="preserve"> barn skal få språkopplæring i samisk og kvensk</w:t>
      </w:r>
    </w:p>
    <w:p w14:paraId="61053FFF" w14:textId="77777777" w:rsidR="00D60186" w:rsidRPr="00225D4D" w:rsidRDefault="00D60186" w:rsidP="00225D4D">
      <w:pPr>
        <w:pStyle w:val="avsnitt-undertittel"/>
      </w:pPr>
      <w:r w:rsidRPr="00225D4D">
        <w:t>Vedtak nr. 18, 12. november 2024:</w:t>
      </w:r>
    </w:p>
    <w:p w14:paraId="2175005E" w14:textId="77777777" w:rsidR="00D60186" w:rsidRPr="00225D4D" w:rsidRDefault="00D60186" w:rsidP="00225D4D">
      <w:pPr>
        <w:pStyle w:val="blokksit"/>
        <w:rPr>
          <w:rStyle w:val="kursiv"/>
        </w:rPr>
      </w:pPr>
      <w:r w:rsidRPr="00225D4D">
        <w:rPr>
          <w:rStyle w:val="kursiv"/>
        </w:rPr>
        <w:t>Stortinget ber regjeringen gjennomgå språkopplæringen i samisk og kvensk, og iverksette tiltak for at flere barn skal lære språkene i opplæringsløpet. Samarbeidet mellom språksentre, kommuner, fylkeskommuner og andre relevante aktører innen språkopplæring bør styrkes. I dette arbeidet må hindringer identifiseres og tiltak for rekruttering av samisk og kvensk språkkompetanse til barnehage og skole forbedres.</w:t>
      </w:r>
    </w:p>
    <w:p w14:paraId="209BCAC0"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Sannings- og forsoningskommisjonen sin rapport Dokument 19 (2022–2023) </w:t>
      </w:r>
      <w:r w:rsidRPr="00225D4D">
        <w:rPr>
          <w:rStyle w:val="kursiv"/>
        </w:rPr>
        <w:t>Sannhet og forsoning – grunnlag for et oppgjør med fornorskingspolitikk og urett mot samer, kvener/norskfinner og skogfinner</w:t>
      </w:r>
      <w:r w:rsidRPr="00225D4D">
        <w:t xml:space="preserve">, jf. </w:t>
      </w:r>
      <w:proofErr w:type="spellStart"/>
      <w:r w:rsidRPr="00225D4D">
        <w:t>Innst</w:t>
      </w:r>
      <w:proofErr w:type="spellEnd"/>
      <w:r w:rsidRPr="00225D4D">
        <w:t>. 30 S (2024–2025).</w:t>
      </w:r>
    </w:p>
    <w:p w14:paraId="13BDEEDC" w14:textId="77777777" w:rsidR="00D60186" w:rsidRPr="00225D4D" w:rsidRDefault="00D60186" w:rsidP="00225D4D">
      <w:r w:rsidRPr="00225D4D">
        <w:t xml:space="preserve">Kunnskapsdepartementet har </w:t>
      </w:r>
      <w:proofErr w:type="spellStart"/>
      <w:r w:rsidRPr="00225D4D">
        <w:t>valt</w:t>
      </w:r>
      <w:proofErr w:type="spellEnd"/>
      <w:r w:rsidRPr="00225D4D">
        <w:t xml:space="preserve"> å sjå oppmodingsvedtaka 18, 20 og 21 under </w:t>
      </w:r>
      <w:proofErr w:type="spellStart"/>
      <w:r w:rsidRPr="00225D4D">
        <w:t>eitt</w:t>
      </w:r>
      <w:proofErr w:type="spellEnd"/>
      <w:r w:rsidRPr="00225D4D">
        <w:t xml:space="preserve"> og dermed sjå oppfølginga av </w:t>
      </w:r>
      <w:proofErr w:type="spellStart"/>
      <w:r w:rsidRPr="00225D4D">
        <w:t>desse</w:t>
      </w:r>
      <w:proofErr w:type="spellEnd"/>
      <w:r w:rsidRPr="00225D4D">
        <w:t xml:space="preserve"> tre vedtaka i </w:t>
      </w:r>
      <w:proofErr w:type="spellStart"/>
      <w:r w:rsidRPr="00225D4D">
        <w:t>samanheng</w:t>
      </w:r>
      <w:proofErr w:type="spellEnd"/>
      <w:r w:rsidRPr="00225D4D">
        <w:t>.</w:t>
      </w:r>
    </w:p>
    <w:p w14:paraId="78812FDB" w14:textId="77777777" w:rsidR="00D60186" w:rsidRPr="00225D4D" w:rsidRDefault="00D60186" w:rsidP="00225D4D">
      <w:r w:rsidRPr="00225D4D">
        <w:t xml:space="preserve">For samisk fell oppfølginga av vedtaka </w:t>
      </w:r>
      <w:proofErr w:type="spellStart"/>
      <w:r w:rsidRPr="00225D4D">
        <w:t>saman</w:t>
      </w:r>
      <w:proofErr w:type="spellEnd"/>
      <w:r w:rsidRPr="00225D4D">
        <w:t xml:space="preserve"> med oppfølginga av innsatsområda i Meld. St. 13 (2022–2023) </w:t>
      </w:r>
      <w:r w:rsidRPr="00225D4D">
        <w:rPr>
          <w:rStyle w:val="kursiv"/>
        </w:rPr>
        <w:t>Samisk språk, kultur og samfunnsliv – Kompetanse og rekruttering i barnehage, grunnopplæring og høyere utdanning.</w:t>
      </w:r>
    </w:p>
    <w:p w14:paraId="0F15DEC5" w14:textId="77777777" w:rsidR="00D60186" w:rsidRPr="00225D4D" w:rsidRDefault="00D60186" w:rsidP="00225D4D">
      <w:r w:rsidRPr="00225D4D">
        <w:t>For kvensk vil Kunnskapsdepartementet mellom anna følge opp oppmodingsvedtaka gjennom handlingsplanen for kvensk språk.</w:t>
      </w:r>
    </w:p>
    <w:p w14:paraId="550FE8EF" w14:textId="77777777" w:rsidR="00D60186" w:rsidRPr="00225D4D" w:rsidRDefault="00D60186" w:rsidP="00225D4D">
      <w:r w:rsidRPr="00225D4D">
        <w:t>Vedtaket er under behandling.</w:t>
      </w:r>
    </w:p>
    <w:p w14:paraId="5E67E998" w14:textId="77777777" w:rsidR="00D60186" w:rsidRPr="00225D4D" w:rsidRDefault="00D60186" w:rsidP="00225D4D">
      <w:pPr>
        <w:pStyle w:val="avsnitt-tittel"/>
      </w:pPr>
      <w:r w:rsidRPr="00225D4D">
        <w:t>Nasjonal satsing på språkopplæring i samisk og kvensk</w:t>
      </w:r>
    </w:p>
    <w:p w14:paraId="53796514" w14:textId="77777777" w:rsidR="00D60186" w:rsidRPr="00225D4D" w:rsidRDefault="00D60186" w:rsidP="00225D4D">
      <w:pPr>
        <w:pStyle w:val="avsnitt-undertittel"/>
      </w:pPr>
      <w:r w:rsidRPr="00225D4D">
        <w:t>Vedtak nr. 20, 12. november 2024:</w:t>
      </w:r>
    </w:p>
    <w:p w14:paraId="73278994" w14:textId="77777777" w:rsidR="00D60186" w:rsidRPr="00225D4D" w:rsidRDefault="00D60186" w:rsidP="00225D4D">
      <w:pPr>
        <w:pStyle w:val="blokksit"/>
        <w:rPr>
          <w:rStyle w:val="kursiv"/>
        </w:rPr>
      </w:pPr>
      <w:r w:rsidRPr="00225D4D">
        <w:rPr>
          <w:rStyle w:val="kursiv"/>
        </w:rPr>
        <w:t>Stortinget ber regjeringen raskt komme tilbake til Stortinget med forslag til en nasjonal satsing på gjennomgående språkopplæring for kvensk og samiske språk fra barnehage til voksenopplæring.</w:t>
      </w:r>
    </w:p>
    <w:p w14:paraId="4ED5E06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Sannings- og forsoningskommisjonen sin rapport Dokument 19 (2022–2023) </w:t>
      </w:r>
      <w:r w:rsidRPr="00225D4D">
        <w:rPr>
          <w:rStyle w:val="kursiv"/>
        </w:rPr>
        <w:t>Sannhet og forsoning – grunnlag for et oppgjør med fornorskingspolitikk og urett mot samer, kvener/norskfinner og skogfinner</w:t>
      </w:r>
      <w:r w:rsidRPr="00225D4D">
        <w:t xml:space="preserve">, jf. </w:t>
      </w:r>
      <w:proofErr w:type="spellStart"/>
      <w:r w:rsidRPr="00225D4D">
        <w:t>Innst</w:t>
      </w:r>
      <w:proofErr w:type="spellEnd"/>
      <w:r w:rsidRPr="00225D4D">
        <w:t>. 30 S (2024–2025).</w:t>
      </w:r>
    </w:p>
    <w:p w14:paraId="7E0E05E9" w14:textId="77777777" w:rsidR="00D60186" w:rsidRPr="00225D4D" w:rsidRDefault="00D60186" w:rsidP="00225D4D">
      <w:r w:rsidRPr="00225D4D">
        <w:t>Sjå omtale under vedtak nr. 18 over.</w:t>
      </w:r>
    </w:p>
    <w:p w14:paraId="7B05B493"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24ED7233" w14:textId="77777777" w:rsidR="00D60186" w:rsidRPr="00225D4D" w:rsidRDefault="00D60186" w:rsidP="00225D4D">
      <w:pPr>
        <w:pStyle w:val="avsnitt-tittel"/>
      </w:pPr>
      <w:r w:rsidRPr="00225D4D">
        <w:t>Betre tilgang på utdanning i og på kvensk og samisk</w:t>
      </w:r>
    </w:p>
    <w:p w14:paraId="4442DFAD" w14:textId="77777777" w:rsidR="00D60186" w:rsidRPr="00225D4D" w:rsidRDefault="00D60186" w:rsidP="00225D4D">
      <w:pPr>
        <w:pStyle w:val="avsnitt-undertittel"/>
      </w:pPr>
      <w:r w:rsidRPr="00225D4D">
        <w:t>Vedtak nr. 21, 12. november 2024:</w:t>
      </w:r>
    </w:p>
    <w:p w14:paraId="548BBED2" w14:textId="77777777" w:rsidR="00D60186" w:rsidRPr="00225D4D" w:rsidRDefault="00D60186" w:rsidP="00225D4D">
      <w:pPr>
        <w:pStyle w:val="blokksit"/>
        <w:rPr>
          <w:rStyle w:val="kursiv"/>
        </w:rPr>
      </w:pPr>
      <w:r w:rsidRPr="00225D4D">
        <w:rPr>
          <w:rStyle w:val="kursiv"/>
        </w:rPr>
        <w:t>Stortinget ber regjeringen aktivt støtte opp under teknologiutvikling og nye undervisningsmuligheter som kan bidra til bedre tilgang på utdanning i og på kvensk og samiske språk, og komme tilbake til Stortinget på egnet måte.</w:t>
      </w:r>
    </w:p>
    <w:p w14:paraId="1024695D"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Sannings- og forsoningskommisjonen sin rapport Dokument 19 (2022–2023) </w:t>
      </w:r>
      <w:r w:rsidRPr="00225D4D">
        <w:rPr>
          <w:rStyle w:val="kursiv"/>
        </w:rPr>
        <w:t>Sannhet og forsoning – grunnlag for et oppgjør med fornorskingspolitikk og urett mot samer, kvener/norskfinner og skogfinner</w:t>
      </w:r>
      <w:r w:rsidRPr="00225D4D">
        <w:t xml:space="preserve">, jf. </w:t>
      </w:r>
      <w:proofErr w:type="spellStart"/>
      <w:r w:rsidRPr="00225D4D">
        <w:t>Innst</w:t>
      </w:r>
      <w:proofErr w:type="spellEnd"/>
      <w:r w:rsidRPr="00225D4D">
        <w:t>. 30 S (2024–2025).</w:t>
      </w:r>
    </w:p>
    <w:p w14:paraId="5FEADDEA" w14:textId="77777777" w:rsidR="00D60186" w:rsidRPr="00225D4D" w:rsidRDefault="00D60186" w:rsidP="00225D4D">
      <w:r w:rsidRPr="00225D4D">
        <w:t>Sjå omtale under vedtak nr. 18.</w:t>
      </w:r>
    </w:p>
    <w:p w14:paraId="50503EA3"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317FCAE2" w14:textId="77777777" w:rsidR="00D60186" w:rsidRPr="00225D4D" w:rsidRDefault="00D60186" w:rsidP="00225D4D">
      <w:pPr>
        <w:pStyle w:val="avsnitt-tittel"/>
      </w:pPr>
      <w:r w:rsidRPr="00225D4D">
        <w:t xml:space="preserve">Samarbeid i overgangen mellom ulike nivå i </w:t>
      </w:r>
      <w:proofErr w:type="spellStart"/>
      <w:r w:rsidRPr="00225D4D">
        <w:t>skulen</w:t>
      </w:r>
      <w:proofErr w:type="spellEnd"/>
    </w:p>
    <w:p w14:paraId="0E970783" w14:textId="77777777" w:rsidR="00D60186" w:rsidRPr="00225D4D" w:rsidRDefault="00D60186" w:rsidP="00225D4D">
      <w:pPr>
        <w:pStyle w:val="avsnitt-undertittel"/>
      </w:pPr>
      <w:r w:rsidRPr="00225D4D">
        <w:t>Vedtak nr. 60, 28. november 2024:</w:t>
      </w:r>
    </w:p>
    <w:p w14:paraId="5307E409" w14:textId="77777777" w:rsidR="00D60186" w:rsidRPr="00225D4D" w:rsidRDefault="00D60186" w:rsidP="00225D4D">
      <w:pPr>
        <w:pStyle w:val="blokksit"/>
        <w:rPr>
          <w:rStyle w:val="kursiv"/>
        </w:rPr>
      </w:pPr>
      <w:r w:rsidRPr="00225D4D">
        <w:rPr>
          <w:rStyle w:val="kursiv"/>
        </w:rPr>
        <w:t>Stortinget ber regjeringen sikre tilstrekkelig informasjonsdeling og samarbeid i overgangene mellom ulike nivåer i skolen, særlig for elever med særskilte behov.</w:t>
      </w:r>
    </w:p>
    <w:p w14:paraId="70C416FE"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34 (2023–2024) </w:t>
      </w:r>
      <w:r w:rsidRPr="00225D4D">
        <w:rPr>
          <w:rStyle w:val="kursiv"/>
        </w:rPr>
        <w:t>En mer praktisk skole – Bedre læring, motivasjon og trivsel på 5.–10. trinn</w:t>
      </w:r>
      <w:r w:rsidRPr="00225D4D">
        <w:t xml:space="preserve">, jf. </w:t>
      </w:r>
      <w:proofErr w:type="spellStart"/>
      <w:r w:rsidRPr="00225D4D">
        <w:t>Innst</w:t>
      </w:r>
      <w:proofErr w:type="spellEnd"/>
      <w:r w:rsidRPr="00225D4D">
        <w:t>. 55 S (2024–2025).</w:t>
      </w:r>
    </w:p>
    <w:p w14:paraId="2DB2F36E" w14:textId="77777777" w:rsidR="00D60186" w:rsidRPr="00225D4D" w:rsidRDefault="00D60186" w:rsidP="00225D4D">
      <w:r w:rsidRPr="00225D4D">
        <w:t xml:space="preserve">Kunnskapsdepartementet sende den 16. juni 2025 </w:t>
      </w:r>
      <w:proofErr w:type="spellStart"/>
      <w:r w:rsidRPr="00225D4D">
        <w:t>eit</w:t>
      </w:r>
      <w:proofErr w:type="spellEnd"/>
      <w:r w:rsidRPr="00225D4D">
        <w:t xml:space="preserve"> forslag på </w:t>
      </w:r>
      <w:proofErr w:type="spellStart"/>
      <w:r w:rsidRPr="00225D4D">
        <w:t>høyring</w:t>
      </w:r>
      <w:proofErr w:type="spellEnd"/>
      <w:r w:rsidRPr="00225D4D">
        <w:t xml:space="preserve"> om å innføre </w:t>
      </w:r>
      <w:proofErr w:type="spellStart"/>
      <w:r w:rsidRPr="00225D4D">
        <w:t>lovreglar</w:t>
      </w:r>
      <w:proofErr w:type="spellEnd"/>
      <w:r w:rsidRPr="00225D4D">
        <w:t xml:space="preserve"> som </w:t>
      </w:r>
      <w:proofErr w:type="spellStart"/>
      <w:r w:rsidRPr="00225D4D">
        <w:t>utvidar</w:t>
      </w:r>
      <w:proofErr w:type="spellEnd"/>
      <w:r w:rsidRPr="00225D4D">
        <w:t xml:space="preserve"> høvet til informasjonsdeling om </w:t>
      </w:r>
      <w:proofErr w:type="spellStart"/>
      <w:r w:rsidRPr="00225D4D">
        <w:t>elevar</w:t>
      </w:r>
      <w:proofErr w:type="spellEnd"/>
      <w:r w:rsidRPr="00225D4D">
        <w:t xml:space="preserve"> ved skulebyte. Forslaget </w:t>
      </w:r>
      <w:proofErr w:type="spellStart"/>
      <w:r w:rsidRPr="00225D4D">
        <w:t>gjeld</w:t>
      </w:r>
      <w:proofErr w:type="spellEnd"/>
      <w:r w:rsidRPr="00225D4D">
        <w:t xml:space="preserve"> både opplæringslova og </w:t>
      </w:r>
      <w:proofErr w:type="spellStart"/>
      <w:r w:rsidRPr="00225D4D">
        <w:t>privatskulelova</w:t>
      </w:r>
      <w:proofErr w:type="spellEnd"/>
      <w:r w:rsidRPr="00225D4D">
        <w:t xml:space="preserve">. I dag er det få </w:t>
      </w:r>
      <w:proofErr w:type="spellStart"/>
      <w:r w:rsidRPr="00225D4D">
        <w:t>opplysningar</w:t>
      </w:r>
      <w:proofErr w:type="spellEnd"/>
      <w:r w:rsidRPr="00225D4D">
        <w:t xml:space="preserve"> som kan </w:t>
      </w:r>
      <w:proofErr w:type="spellStart"/>
      <w:r w:rsidRPr="00225D4D">
        <w:t>delast</w:t>
      </w:r>
      <w:proofErr w:type="spellEnd"/>
      <w:r w:rsidRPr="00225D4D">
        <w:t xml:space="preserve"> </w:t>
      </w:r>
      <w:proofErr w:type="spellStart"/>
      <w:r w:rsidRPr="00225D4D">
        <w:t>utan</w:t>
      </w:r>
      <w:proofErr w:type="spellEnd"/>
      <w:r w:rsidRPr="00225D4D">
        <w:t xml:space="preserve"> at eleven eller foreldra samtykker. Dette </w:t>
      </w:r>
      <w:proofErr w:type="spellStart"/>
      <w:r w:rsidRPr="00225D4D">
        <w:t>inneber</w:t>
      </w:r>
      <w:proofErr w:type="spellEnd"/>
      <w:r w:rsidRPr="00225D4D">
        <w:t xml:space="preserve"> at ny </w:t>
      </w:r>
      <w:proofErr w:type="spellStart"/>
      <w:r w:rsidRPr="00225D4D">
        <w:t>skule</w:t>
      </w:r>
      <w:proofErr w:type="spellEnd"/>
      <w:r w:rsidRPr="00225D4D">
        <w:t xml:space="preserve"> i </w:t>
      </w:r>
      <w:proofErr w:type="spellStart"/>
      <w:r w:rsidRPr="00225D4D">
        <w:t>nokre</w:t>
      </w:r>
      <w:proofErr w:type="spellEnd"/>
      <w:r w:rsidRPr="00225D4D">
        <w:t xml:space="preserve"> tilfelle </w:t>
      </w:r>
      <w:proofErr w:type="spellStart"/>
      <w:r w:rsidRPr="00225D4D">
        <w:t>ikkje</w:t>
      </w:r>
      <w:proofErr w:type="spellEnd"/>
      <w:r w:rsidRPr="00225D4D">
        <w:t xml:space="preserve"> vil </w:t>
      </w:r>
      <w:proofErr w:type="spellStart"/>
      <w:r w:rsidRPr="00225D4D">
        <w:t>vere</w:t>
      </w:r>
      <w:proofErr w:type="spellEnd"/>
      <w:r w:rsidRPr="00225D4D">
        <w:t xml:space="preserve"> godt nok førebudd på å ta imot enkelte </w:t>
      </w:r>
      <w:proofErr w:type="spellStart"/>
      <w:r w:rsidRPr="00225D4D">
        <w:t>elevar</w:t>
      </w:r>
      <w:proofErr w:type="spellEnd"/>
      <w:r w:rsidRPr="00225D4D">
        <w:t xml:space="preserve"> ved </w:t>
      </w:r>
      <w:proofErr w:type="spellStart"/>
      <w:r w:rsidRPr="00225D4D">
        <w:t>skulestart</w:t>
      </w:r>
      <w:proofErr w:type="spellEnd"/>
      <w:r w:rsidRPr="00225D4D">
        <w:t xml:space="preserve">. Dette kan til dømes gjelde tilfelle der </w:t>
      </w:r>
      <w:proofErr w:type="spellStart"/>
      <w:r w:rsidRPr="00225D4D">
        <w:t>skulen</w:t>
      </w:r>
      <w:proofErr w:type="spellEnd"/>
      <w:r w:rsidRPr="00225D4D">
        <w:t xml:space="preserve"> </w:t>
      </w:r>
      <w:proofErr w:type="spellStart"/>
      <w:r w:rsidRPr="00225D4D">
        <w:t>ikkje</w:t>
      </w:r>
      <w:proofErr w:type="spellEnd"/>
      <w:r w:rsidRPr="00225D4D">
        <w:t xml:space="preserve"> er kjent med valds- eller </w:t>
      </w:r>
      <w:proofErr w:type="spellStart"/>
      <w:r w:rsidRPr="00225D4D">
        <w:t>trusselhistorikken</w:t>
      </w:r>
      <w:proofErr w:type="spellEnd"/>
      <w:r w:rsidRPr="00225D4D">
        <w:t xml:space="preserve"> til </w:t>
      </w:r>
      <w:proofErr w:type="spellStart"/>
      <w:r w:rsidRPr="00225D4D">
        <w:t>ein</w:t>
      </w:r>
      <w:proofErr w:type="spellEnd"/>
      <w:r w:rsidRPr="00225D4D">
        <w:t xml:space="preserve"> elev eller </w:t>
      </w:r>
      <w:proofErr w:type="spellStart"/>
      <w:r w:rsidRPr="00225D4D">
        <w:t>konfliktar</w:t>
      </w:r>
      <w:proofErr w:type="spellEnd"/>
      <w:r w:rsidRPr="00225D4D">
        <w:t xml:space="preserve"> mellom ulike </w:t>
      </w:r>
      <w:proofErr w:type="spellStart"/>
      <w:r w:rsidRPr="00225D4D">
        <w:t>elevar</w:t>
      </w:r>
      <w:proofErr w:type="spellEnd"/>
      <w:r w:rsidRPr="00225D4D">
        <w:t xml:space="preserve"> eller elevgrupper. Mangel på informasjon kan få negative </w:t>
      </w:r>
      <w:proofErr w:type="spellStart"/>
      <w:r w:rsidRPr="00225D4D">
        <w:t>konsekvensar</w:t>
      </w:r>
      <w:proofErr w:type="spellEnd"/>
      <w:r w:rsidRPr="00225D4D">
        <w:t xml:space="preserve"> for </w:t>
      </w:r>
      <w:proofErr w:type="spellStart"/>
      <w:r w:rsidRPr="00225D4D">
        <w:t>skulemiljøet</w:t>
      </w:r>
      <w:proofErr w:type="spellEnd"/>
      <w:r w:rsidRPr="00225D4D">
        <w:t xml:space="preserve"> til </w:t>
      </w:r>
      <w:proofErr w:type="spellStart"/>
      <w:r w:rsidRPr="00225D4D">
        <w:t>medelevar</w:t>
      </w:r>
      <w:proofErr w:type="spellEnd"/>
      <w:r w:rsidRPr="00225D4D">
        <w:t xml:space="preserve"> og arbeidsmiljøet til </w:t>
      </w:r>
      <w:proofErr w:type="gramStart"/>
      <w:r w:rsidRPr="00225D4D">
        <w:t>tilsette</w:t>
      </w:r>
      <w:proofErr w:type="gramEnd"/>
      <w:r w:rsidRPr="00225D4D">
        <w:t xml:space="preserve">. Ved inntak til </w:t>
      </w:r>
      <w:proofErr w:type="spellStart"/>
      <w:r w:rsidRPr="00225D4D">
        <w:t>vidaregåande</w:t>
      </w:r>
      <w:proofErr w:type="spellEnd"/>
      <w:r w:rsidRPr="00225D4D">
        <w:t xml:space="preserve"> opplæring vil mangel på slik informasjon mellom anna kunne føre til mindre gunstige </w:t>
      </w:r>
      <w:proofErr w:type="spellStart"/>
      <w:r w:rsidRPr="00225D4D">
        <w:t>klassesamansetjingar</w:t>
      </w:r>
      <w:proofErr w:type="spellEnd"/>
      <w:r w:rsidRPr="00225D4D">
        <w:t xml:space="preserve"> eller ineffektiv ressursallokering.</w:t>
      </w:r>
    </w:p>
    <w:p w14:paraId="45317ED4" w14:textId="77777777" w:rsidR="00D60186" w:rsidRPr="00225D4D" w:rsidRDefault="00D60186" w:rsidP="00225D4D">
      <w:r w:rsidRPr="00225D4D">
        <w:t xml:space="preserve">Departementet har derfor foreslått å utvide høvet til informasjonsdeling om </w:t>
      </w:r>
      <w:proofErr w:type="spellStart"/>
      <w:r w:rsidRPr="00225D4D">
        <w:t>elevar</w:t>
      </w:r>
      <w:proofErr w:type="spellEnd"/>
      <w:r w:rsidRPr="00225D4D">
        <w:t xml:space="preserve"> ved skulebyte. Departementet foreslår at </w:t>
      </w:r>
      <w:proofErr w:type="spellStart"/>
      <w:r w:rsidRPr="00225D4D">
        <w:t>skulane</w:t>
      </w:r>
      <w:proofErr w:type="spellEnd"/>
      <w:r w:rsidRPr="00225D4D">
        <w:t xml:space="preserve"> ved skulebyte </w:t>
      </w:r>
      <w:proofErr w:type="spellStart"/>
      <w:r w:rsidRPr="00225D4D">
        <w:t>innanfor</w:t>
      </w:r>
      <w:proofErr w:type="spellEnd"/>
      <w:r w:rsidRPr="00225D4D">
        <w:t xml:space="preserve"> same </w:t>
      </w:r>
      <w:proofErr w:type="spellStart"/>
      <w:r w:rsidRPr="00225D4D">
        <w:t>skuleslag</w:t>
      </w:r>
      <w:proofErr w:type="spellEnd"/>
      <w:r w:rsidRPr="00225D4D">
        <w:t xml:space="preserve"> og ved overgang til </w:t>
      </w:r>
      <w:proofErr w:type="spellStart"/>
      <w:r w:rsidRPr="00225D4D">
        <w:t>vidaregåande</w:t>
      </w:r>
      <w:proofErr w:type="spellEnd"/>
      <w:r w:rsidRPr="00225D4D">
        <w:t xml:space="preserve"> opplæring kan dele </w:t>
      </w:r>
      <w:proofErr w:type="spellStart"/>
      <w:r w:rsidRPr="00225D4D">
        <w:t>personopplysningar</w:t>
      </w:r>
      <w:proofErr w:type="spellEnd"/>
      <w:r w:rsidRPr="00225D4D">
        <w:t xml:space="preserve"> om </w:t>
      </w:r>
      <w:proofErr w:type="spellStart"/>
      <w:r w:rsidRPr="00225D4D">
        <w:t>elevar</w:t>
      </w:r>
      <w:proofErr w:type="spellEnd"/>
      <w:r w:rsidRPr="00225D4D">
        <w:t xml:space="preserve"> dersom dette er nødvendig for å ivareta </w:t>
      </w:r>
      <w:proofErr w:type="spellStart"/>
      <w:r w:rsidRPr="00225D4D">
        <w:t>skulemiljøet</w:t>
      </w:r>
      <w:proofErr w:type="spellEnd"/>
      <w:r w:rsidRPr="00225D4D">
        <w:t xml:space="preserve"> til </w:t>
      </w:r>
      <w:proofErr w:type="spellStart"/>
      <w:r w:rsidRPr="00225D4D">
        <w:t>medelevar</w:t>
      </w:r>
      <w:proofErr w:type="spellEnd"/>
      <w:r w:rsidRPr="00225D4D">
        <w:t xml:space="preserve"> og arbeidsmiljøet til </w:t>
      </w:r>
      <w:proofErr w:type="gramStart"/>
      <w:r w:rsidRPr="00225D4D">
        <w:t>tilsette</w:t>
      </w:r>
      <w:proofErr w:type="gramEnd"/>
      <w:r w:rsidRPr="00225D4D">
        <w:t xml:space="preserve">. </w:t>
      </w:r>
      <w:proofErr w:type="spellStart"/>
      <w:r w:rsidRPr="00225D4D">
        <w:t>Høyringsfristen</w:t>
      </w:r>
      <w:proofErr w:type="spellEnd"/>
      <w:r w:rsidRPr="00225D4D">
        <w:t xml:space="preserve"> er 10. oktober 2025.</w:t>
      </w:r>
    </w:p>
    <w:p w14:paraId="16DB69E1" w14:textId="77777777" w:rsidR="00D60186" w:rsidRPr="00225D4D" w:rsidRDefault="00D60186" w:rsidP="00225D4D">
      <w:r w:rsidRPr="00225D4D">
        <w:t xml:space="preserve">Departementet vil vurdere </w:t>
      </w:r>
      <w:proofErr w:type="spellStart"/>
      <w:r w:rsidRPr="00225D4D">
        <w:t>vidare</w:t>
      </w:r>
      <w:proofErr w:type="spellEnd"/>
      <w:r w:rsidRPr="00225D4D">
        <w:t xml:space="preserve"> oppfølging etter at </w:t>
      </w:r>
      <w:proofErr w:type="spellStart"/>
      <w:r w:rsidRPr="00225D4D">
        <w:t>høyringsfristen</w:t>
      </w:r>
      <w:proofErr w:type="spellEnd"/>
      <w:r w:rsidRPr="00225D4D">
        <w:t xml:space="preserve"> er gått ut.</w:t>
      </w:r>
    </w:p>
    <w:p w14:paraId="7A798E90" w14:textId="77777777" w:rsidR="00D60186" w:rsidRPr="00225D4D" w:rsidRDefault="00D60186" w:rsidP="00225D4D">
      <w:pPr>
        <w:pStyle w:val="avsnitt-tittel"/>
      </w:pPr>
      <w:r w:rsidRPr="00225D4D">
        <w:t xml:space="preserve">Undervisningsopplegg om </w:t>
      </w:r>
      <w:proofErr w:type="spellStart"/>
      <w:r w:rsidRPr="00225D4D">
        <w:t>livsmeistring</w:t>
      </w:r>
      <w:proofErr w:type="spellEnd"/>
      <w:r w:rsidRPr="00225D4D">
        <w:t xml:space="preserve"> og folkehelse</w:t>
      </w:r>
    </w:p>
    <w:p w14:paraId="245F2280" w14:textId="77777777" w:rsidR="00D60186" w:rsidRPr="00225D4D" w:rsidRDefault="00D60186" w:rsidP="00225D4D">
      <w:pPr>
        <w:pStyle w:val="avsnitt-undertittel"/>
      </w:pPr>
      <w:r w:rsidRPr="00225D4D">
        <w:t>Vedtak nr. 61, 28. november 2024:</w:t>
      </w:r>
    </w:p>
    <w:p w14:paraId="70BB4976" w14:textId="77777777" w:rsidR="00D60186" w:rsidRPr="00225D4D" w:rsidRDefault="00D60186" w:rsidP="00225D4D">
      <w:pPr>
        <w:pStyle w:val="blokksit"/>
        <w:rPr>
          <w:rStyle w:val="kursiv"/>
        </w:rPr>
      </w:pPr>
      <w:r w:rsidRPr="00225D4D">
        <w:rPr>
          <w:rStyle w:val="kursiv"/>
        </w:rPr>
        <w:t>Stortinget ber regjeringen sikre at alle elever får tilgang på undervisningsopplegg som ivaretar intensjonene i det tverrfaglige emnet livsmestring og folkehelse.</w:t>
      </w:r>
    </w:p>
    <w:p w14:paraId="5BFE2036"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34 (2023–2024) </w:t>
      </w:r>
      <w:r w:rsidRPr="00225D4D">
        <w:rPr>
          <w:rStyle w:val="kursiv"/>
        </w:rPr>
        <w:t>En mer praktisk skole – Bedre læring, motivasjon og trivsel på 5.–10. trinn</w:t>
      </w:r>
      <w:r w:rsidRPr="00225D4D">
        <w:t xml:space="preserve">, jf. </w:t>
      </w:r>
      <w:proofErr w:type="spellStart"/>
      <w:r w:rsidRPr="00225D4D">
        <w:t>Innst</w:t>
      </w:r>
      <w:proofErr w:type="spellEnd"/>
      <w:r w:rsidRPr="00225D4D">
        <w:t>. 55 S (2024–2025).</w:t>
      </w:r>
    </w:p>
    <w:p w14:paraId="3F26AAA2" w14:textId="77777777" w:rsidR="00D60186" w:rsidRPr="00225D4D" w:rsidRDefault="00D60186" w:rsidP="00225D4D">
      <w:r w:rsidRPr="00225D4D">
        <w:t xml:space="preserve">Kunnskapsdepartementet viser til at det </w:t>
      </w:r>
      <w:proofErr w:type="spellStart"/>
      <w:r w:rsidRPr="00225D4D">
        <w:t>ikkje</w:t>
      </w:r>
      <w:proofErr w:type="spellEnd"/>
      <w:r w:rsidRPr="00225D4D">
        <w:t xml:space="preserve"> er nasjonale </w:t>
      </w:r>
      <w:proofErr w:type="spellStart"/>
      <w:r w:rsidRPr="00225D4D">
        <w:t>myndigheiter</w:t>
      </w:r>
      <w:proofErr w:type="spellEnd"/>
      <w:r w:rsidRPr="00225D4D">
        <w:t xml:space="preserve"> som </w:t>
      </w:r>
      <w:proofErr w:type="spellStart"/>
      <w:r w:rsidRPr="00225D4D">
        <w:t>utformar</w:t>
      </w:r>
      <w:proofErr w:type="spellEnd"/>
      <w:r w:rsidRPr="00225D4D">
        <w:t xml:space="preserve"> konkrete undervisningsopplegg for </w:t>
      </w:r>
      <w:proofErr w:type="spellStart"/>
      <w:r w:rsidRPr="00225D4D">
        <w:t>skulen</w:t>
      </w:r>
      <w:proofErr w:type="spellEnd"/>
      <w:r w:rsidRPr="00225D4D">
        <w:t xml:space="preserve">, då både </w:t>
      </w:r>
      <w:proofErr w:type="spellStart"/>
      <w:r w:rsidRPr="00225D4D">
        <w:t>skular</w:t>
      </w:r>
      <w:proofErr w:type="spellEnd"/>
      <w:r w:rsidRPr="00225D4D">
        <w:t xml:space="preserve"> og </w:t>
      </w:r>
      <w:proofErr w:type="spellStart"/>
      <w:r w:rsidRPr="00225D4D">
        <w:t>lærarar</w:t>
      </w:r>
      <w:proofErr w:type="spellEnd"/>
      <w:r w:rsidRPr="00225D4D">
        <w:t xml:space="preserve"> har stor fridom til å bestemme korleis </w:t>
      </w:r>
      <w:proofErr w:type="spellStart"/>
      <w:r w:rsidRPr="00225D4D">
        <w:t>dei</w:t>
      </w:r>
      <w:proofErr w:type="spellEnd"/>
      <w:r w:rsidRPr="00225D4D">
        <w:t xml:space="preserve"> vil undervise </w:t>
      </w:r>
      <w:proofErr w:type="spellStart"/>
      <w:r w:rsidRPr="00225D4D">
        <w:t>innanfor</w:t>
      </w:r>
      <w:proofErr w:type="spellEnd"/>
      <w:r w:rsidRPr="00225D4D">
        <w:t xml:space="preserve"> rammene av </w:t>
      </w:r>
      <w:proofErr w:type="spellStart"/>
      <w:r w:rsidRPr="00225D4D">
        <w:t>læreplanane</w:t>
      </w:r>
      <w:proofErr w:type="spellEnd"/>
      <w:r w:rsidRPr="00225D4D">
        <w:t xml:space="preserve">. For å støtte </w:t>
      </w:r>
      <w:proofErr w:type="spellStart"/>
      <w:r w:rsidRPr="00225D4D">
        <w:t>skulane</w:t>
      </w:r>
      <w:proofErr w:type="spellEnd"/>
      <w:r w:rsidRPr="00225D4D">
        <w:t xml:space="preserve"> i utviklinga av gode undervisningsopplegg </w:t>
      </w:r>
      <w:proofErr w:type="spellStart"/>
      <w:r w:rsidRPr="00225D4D">
        <w:t>bidreg</w:t>
      </w:r>
      <w:proofErr w:type="spellEnd"/>
      <w:r w:rsidRPr="00225D4D">
        <w:t xml:space="preserve"> nasjonale </w:t>
      </w:r>
      <w:proofErr w:type="spellStart"/>
      <w:r w:rsidRPr="00225D4D">
        <w:t>myndigheiter</w:t>
      </w:r>
      <w:proofErr w:type="spellEnd"/>
      <w:r w:rsidRPr="00225D4D">
        <w:t xml:space="preserve"> til kompetanseheving for </w:t>
      </w:r>
      <w:proofErr w:type="spellStart"/>
      <w:r w:rsidRPr="00225D4D">
        <w:t>lærarane</w:t>
      </w:r>
      <w:proofErr w:type="spellEnd"/>
      <w:r w:rsidRPr="00225D4D">
        <w:t xml:space="preserve"> på ulike vis. I juni 2024 </w:t>
      </w:r>
      <w:proofErr w:type="spellStart"/>
      <w:r w:rsidRPr="00225D4D">
        <w:t>fekk</w:t>
      </w:r>
      <w:proofErr w:type="spellEnd"/>
      <w:r w:rsidRPr="00225D4D">
        <w:t xml:space="preserve"> Utdanningsdirektoratet i oppdrag å utvikle </w:t>
      </w:r>
      <w:proofErr w:type="spellStart"/>
      <w:r w:rsidRPr="00225D4D">
        <w:t>ein</w:t>
      </w:r>
      <w:proofErr w:type="spellEnd"/>
      <w:r w:rsidRPr="00225D4D">
        <w:t xml:space="preserve"> nasjonal kompetansepakke for å støtte arbeidet i </w:t>
      </w:r>
      <w:proofErr w:type="spellStart"/>
      <w:r w:rsidRPr="00225D4D">
        <w:t>skulen</w:t>
      </w:r>
      <w:proofErr w:type="spellEnd"/>
      <w:r w:rsidRPr="00225D4D">
        <w:t xml:space="preserve"> med det </w:t>
      </w:r>
      <w:proofErr w:type="spellStart"/>
      <w:r w:rsidRPr="00225D4D">
        <w:t>tverrfaglege</w:t>
      </w:r>
      <w:proofErr w:type="spellEnd"/>
      <w:r w:rsidRPr="00225D4D">
        <w:t xml:space="preserve"> emnet folkehelse og </w:t>
      </w:r>
      <w:proofErr w:type="spellStart"/>
      <w:r w:rsidRPr="00225D4D">
        <w:t>livsmeistring</w:t>
      </w:r>
      <w:proofErr w:type="spellEnd"/>
      <w:r w:rsidRPr="00225D4D">
        <w:t xml:space="preserve">. Kompetansepakken skal, med utgangspunkt i læreplanverket, bidra til refleksjon om kva arbeid med folkehelse og </w:t>
      </w:r>
      <w:proofErr w:type="spellStart"/>
      <w:r w:rsidRPr="00225D4D">
        <w:t>livsmeistring</w:t>
      </w:r>
      <w:proofErr w:type="spellEnd"/>
      <w:r w:rsidRPr="00225D4D">
        <w:t xml:space="preserve"> i og på tvers av fag kan handle om. Kompetansepakken skal dekke </w:t>
      </w:r>
      <w:proofErr w:type="spellStart"/>
      <w:r w:rsidRPr="00225D4D">
        <w:t>breidda</w:t>
      </w:r>
      <w:proofErr w:type="spellEnd"/>
      <w:r w:rsidRPr="00225D4D">
        <w:t xml:space="preserve"> i det </w:t>
      </w:r>
      <w:proofErr w:type="spellStart"/>
      <w:r w:rsidRPr="00225D4D">
        <w:t>tverrfaglege</w:t>
      </w:r>
      <w:proofErr w:type="spellEnd"/>
      <w:r w:rsidRPr="00225D4D">
        <w:t xml:space="preserve"> temaet og </w:t>
      </w:r>
      <w:proofErr w:type="spellStart"/>
      <w:r w:rsidRPr="00225D4D">
        <w:t>vere</w:t>
      </w:r>
      <w:proofErr w:type="spellEnd"/>
      <w:r w:rsidRPr="00225D4D">
        <w:t xml:space="preserve"> gratis </w:t>
      </w:r>
      <w:proofErr w:type="spellStart"/>
      <w:r w:rsidRPr="00225D4D">
        <w:t>tilgjengeleg</w:t>
      </w:r>
      <w:proofErr w:type="spellEnd"/>
      <w:r w:rsidRPr="00225D4D">
        <w:t xml:space="preserve"> for alle </w:t>
      </w:r>
      <w:proofErr w:type="spellStart"/>
      <w:r w:rsidRPr="00225D4D">
        <w:t>skular</w:t>
      </w:r>
      <w:proofErr w:type="spellEnd"/>
      <w:r w:rsidRPr="00225D4D">
        <w:t xml:space="preserve">. Pakken skal etter planen lanserast </w:t>
      </w:r>
      <w:proofErr w:type="spellStart"/>
      <w:r w:rsidRPr="00225D4D">
        <w:t>hausten</w:t>
      </w:r>
      <w:proofErr w:type="spellEnd"/>
      <w:r w:rsidRPr="00225D4D">
        <w:t xml:space="preserve"> 2026.</w:t>
      </w:r>
    </w:p>
    <w:p w14:paraId="496CDBB9" w14:textId="77777777" w:rsidR="00D60186" w:rsidRPr="00225D4D" w:rsidRDefault="00D60186" w:rsidP="00225D4D">
      <w:r w:rsidRPr="00225D4D">
        <w:t xml:space="preserve">Departementet viser </w:t>
      </w:r>
      <w:proofErr w:type="spellStart"/>
      <w:r w:rsidRPr="00225D4D">
        <w:t>elles</w:t>
      </w:r>
      <w:proofErr w:type="spellEnd"/>
      <w:r w:rsidRPr="00225D4D">
        <w:t xml:space="preserve"> til at undervisningsopplegget </w:t>
      </w:r>
      <w:proofErr w:type="gramStart"/>
      <w:r w:rsidRPr="00225D4D">
        <w:t>ROBUST</w:t>
      </w:r>
      <w:proofErr w:type="gramEnd"/>
      <w:r w:rsidRPr="00225D4D">
        <w:t xml:space="preserve">, som komiteen </w:t>
      </w:r>
      <w:proofErr w:type="spellStart"/>
      <w:r w:rsidRPr="00225D4D">
        <w:t>omtalar</w:t>
      </w:r>
      <w:proofErr w:type="spellEnd"/>
      <w:r w:rsidRPr="00225D4D">
        <w:t xml:space="preserve"> i </w:t>
      </w:r>
      <w:proofErr w:type="spellStart"/>
      <w:r w:rsidRPr="00225D4D">
        <w:t>Innst</w:t>
      </w:r>
      <w:proofErr w:type="spellEnd"/>
      <w:r w:rsidRPr="00225D4D">
        <w:t xml:space="preserve">. 55 S (2024–2025), </w:t>
      </w:r>
      <w:proofErr w:type="spellStart"/>
      <w:r w:rsidRPr="00225D4D">
        <w:t>allereie</w:t>
      </w:r>
      <w:proofErr w:type="spellEnd"/>
      <w:r w:rsidRPr="00225D4D">
        <w:t xml:space="preserve"> er fritt </w:t>
      </w:r>
      <w:proofErr w:type="spellStart"/>
      <w:r w:rsidRPr="00225D4D">
        <w:t>tilgjengeleg</w:t>
      </w:r>
      <w:proofErr w:type="spellEnd"/>
      <w:r w:rsidRPr="00225D4D">
        <w:t xml:space="preserve">, </w:t>
      </w:r>
      <w:proofErr w:type="spellStart"/>
      <w:r w:rsidRPr="00225D4D">
        <w:t>medan</w:t>
      </w:r>
      <w:proofErr w:type="spellEnd"/>
      <w:r w:rsidRPr="00225D4D">
        <w:t xml:space="preserve"> undervisningsopplegget YAM, som komiteen også viser til, ser ut til å </w:t>
      </w:r>
      <w:proofErr w:type="spellStart"/>
      <w:r w:rsidRPr="00225D4D">
        <w:t>kome</w:t>
      </w:r>
      <w:proofErr w:type="spellEnd"/>
      <w:r w:rsidRPr="00225D4D">
        <w:t xml:space="preserve"> med </w:t>
      </w:r>
      <w:proofErr w:type="spellStart"/>
      <w:r w:rsidRPr="00225D4D">
        <w:t>ein</w:t>
      </w:r>
      <w:proofErr w:type="spellEnd"/>
      <w:r w:rsidRPr="00225D4D">
        <w:t xml:space="preserve"> kostnad eller ei forplikting for </w:t>
      </w:r>
      <w:proofErr w:type="spellStart"/>
      <w:r w:rsidRPr="00225D4D">
        <w:t>skulane</w:t>
      </w:r>
      <w:proofErr w:type="spellEnd"/>
      <w:r w:rsidRPr="00225D4D">
        <w:t>.</w:t>
      </w:r>
    </w:p>
    <w:p w14:paraId="70361DFF"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6729BF03" w14:textId="77777777" w:rsidR="00D60186" w:rsidRPr="00225D4D" w:rsidRDefault="00D60186" w:rsidP="00225D4D">
      <w:pPr>
        <w:pStyle w:val="avsnitt-tittel"/>
      </w:pPr>
      <w:proofErr w:type="spellStart"/>
      <w:r w:rsidRPr="00225D4D">
        <w:t>Vidareføring</w:t>
      </w:r>
      <w:proofErr w:type="spellEnd"/>
      <w:r w:rsidRPr="00225D4D">
        <w:t xml:space="preserve"> og utvikling av </w:t>
      </w:r>
      <w:proofErr w:type="spellStart"/>
      <w:r w:rsidRPr="00225D4D">
        <w:t>mobbeombodsordninga</w:t>
      </w:r>
      <w:proofErr w:type="spellEnd"/>
    </w:p>
    <w:p w14:paraId="4791CE33" w14:textId="77777777" w:rsidR="00D60186" w:rsidRPr="00225D4D" w:rsidRDefault="00D60186" w:rsidP="00225D4D">
      <w:pPr>
        <w:pStyle w:val="avsnitt-undertittel"/>
      </w:pPr>
      <w:r w:rsidRPr="00225D4D">
        <w:t>Vedtak nr. 62, 28. november 2024:</w:t>
      </w:r>
    </w:p>
    <w:p w14:paraId="3FA05AE3" w14:textId="77777777" w:rsidR="00D60186" w:rsidRPr="00225D4D" w:rsidRDefault="00D60186" w:rsidP="00225D4D">
      <w:pPr>
        <w:pStyle w:val="blokksit"/>
        <w:rPr>
          <w:rStyle w:val="kursiv"/>
        </w:rPr>
      </w:pPr>
      <w:r w:rsidRPr="00225D4D">
        <w:rPr>
          <w:rStyle w:val="kursiv"/>
        </w:rPr>
        <w:t>Stortinget ber regjeringen videreføre og utvikle mobbeombudsordningen.</w:t>
      </w:r>
    </w:p>
    <w:p w14:paraId="05CB809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34 (2023–2024) </w:t>
      </w:r>
      <w:r w:rsidRPr="00225D4D">
        <w:rPr>
          <w:rStyle w:val="kursiv"/>
        </w:rPr>
        <w:t>En mer praktisk skole – Bedre læring, motivasjon og trivsel på 5.–10. trinn</w:t>
      </w:r>
      <w:r w:rsidRPr="00225D4D">
        <w:t xml:space="preserve">, jf. </w:t>
      </w:r>
      <w:proofErr w:type="spellStart"/>
      <w:r w:rsidRPr="00225D4D">
        <w:t>Innst</w:t>
      </w:r>
      <w:proofErr w:type="spellEnd"/>
      <w:r w:rsidRPr="00225D4D">
        <w:t>. 55 S (2024–2025).</w:t>
      </w:r>
    </w:p>
    <w:p w14:paraId="6B102D2A" w14:textId="77777777" w:rsidR="00D60186" w:rsidRPr="00225D4D" w:rsidRDefault="00D60186" w:rsidP="00225D4D">
      <w:r w:rsidRPr="00225D4D">
        <w:t xml:space="preserve">Departementet foreslår å </w:t>
      </w:r>
      <w:proofErr w:type="spellStart"/>
      <w:r w:rsidRPr="00225D4D">
        <w:t>vidareføre</w:t>
      </w:r>
      <w:proofErr w:type="spellEnd"/>
      <w:r w:rsidRPr="00225D4D">
        <w:t xml:space="preserve"> </w:t>
      </w:r>
      <w:proofErr w:type="spellStart"/>
      <w:r w:rsidRPr="00225D4D">
        <w:t>midlane</w:t>
      </w:r>
      <w:proofErr w:type="spellEnd"/>
      <w:r w:rsidRPr="00225D4D">
        <w:t xml:space="preserve"> til mobbeombudsordninga i budsjettforslaget for 2026, og vil sjå på korleis ordninga kan </w:t>
      </w:r>
      <w:proofErr w:type="spellStart"/>
      <w:r w:rsidRPr="00225D4D">
        <w:t>utviklast</w:t>
      </w:r>
      <w:proofErr w:type="spellEnd"/>
      <w:r w:rsidRPr="00225D4D">
        <w:t>.</w:t>
      </w:r>
    </w:p>
    <w:p w14:paraId="66A19313" w14:textId="77777777" w:rsidR="00D60186" w:rsidRPr="00225D4D" w:rsidRDefault="00D60186" w:rsidP="00225D4D">
      <w:r w:rsidRPr="00225D4D">
        <w:t>Vedtaket er under behandling.</w:t>
      </w:r>
    </w:p>
    <w:p w14:paraId="5F94329E" w14:textId="77777777" w:rsidR="00D60186" w:rsidRPr="00225D4D" w:rsidRDefault="00D60186" w:rsidP="00225D4D">
      <w:pPr>
        <w:pStyle w:val="avsnitt-tittel"/>
      </w:pPr>
      <w:r w:rsidRPr="00225D4D">
        <w:t xml:space="preserve">Opptrappingsplan for </w:t>
      </w:r>
      <w:proofErr w:type="spellStart"/>
      <w:r w:rsidRPr="00225D4D">
        <w:t>skulemåltid</w:t>
      </w:r>
      <w:proofErr w:type="spellEnd"/>
      <w:r w:rsidRPr="00225D4D">
        <w:t xml:space="preserve"> i </w:t>
      </w:r>
      <w:proofErr w:type="spellStart"/>
      <w:r w:rsidRPr="00225D4D">
        <w:t>grunnskulen</w:t>
      </w:r>
      <w:proofErr w:type="spellEnd"/>
    </w:p>
    <w:p w14:paraId="5366B4C2" w14:textId="77777777" w:rsidR="00D60186" w:rsidRPr="00225D4D" w:rsidRDefault="00D60186" w:rsidP="00225D4D">
      <w:pPr>
        <w:pStyle w:val="avsnitt-undertittel"/>
      </w:pPr>
      <w:r w:rsidRPr="00225D4D">
        <w:t>Vedtak nr. 63, 28. november 2024:</w:t>
      </w:r>
    </w:p>
    <w:p w14:paraId="26315CC1" w14:textId="77777777" w:rsidR="00D60186" w:rsidRPr="00225D4D" w:rsidRDefault="00D60186" w:rsidP="00225D4D">
      <w:pPr>
        <w:pStyle w:val="blokksit"/>
        <w:rPr>
          <w:rStyle w:val="kursiv"/>
        </w:rPr>
      </w:pPr>
      <w:r w:rsidRPr="00225D4D">
        <w:rPr>
          <w:rStyle w:val="kursiv"/>
        </w:rPr>
        <w:t>Stortinget ber regjeringen legge frem en opptrappingsplan for innføring av et daglig sunt og enkelt skolemåltid for alle elever i grunnskolen, og komme tilbake i statsbudsjettet for 2026 med en plan for hvordan dette skal innføres.</w:t>
      </w:r>
    </w:p>
    <w:p w14:paraId="4EC02FA1"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34 (2023–2024) </w:t>
      </w:r>
      <w:r w:rsidRPr="00225D4D">
        <w:rPr>
          <w:rStyle w:val="kursiv"/>
        </w:rPr>
        <w:t>En mer praktisk skole – Bedre læring, motivasjon og trivsel på 5.–10. trinn</w:t>
      </w:r>
      <w:r w:rsidRPr="00225D4D">
        <w:t xml:space="preserve">, jf. </w:t>
      </w:r>
      <w:proofErr w:type="spellStart"/>
      <w:r w:rsidRPr="00225D4D">
        <w:t>Innst</w:t>
      </w:r>
      <w:proofErr w:type="spellEnd"/>
      <w:r w:rsidRPr="00225D4D">
        <w:t>. 55 S (2024–2025).</w:t>
      </w:r>
    </w:p>
    <w:p w14:paraId="3DF01352" w14:textId="77777777" w:rsidR="00D60186" w:rsidRPr="00225D4D" w:rsidRDefault="00D60186" w:rsidP="00225D4D">
      <w:r w:rsidRPr="00225D4D">
        <w:t xml:space="preserve">Kunnskapsdepartementet har utarbeidd </w:t>
      </w:r>
      <w:proofErr w:type="spellStart"/>
      <w:r w:rsidRPr="00225D4D">
        <w:t>ein</w:t>
      </w:r>
      <w:proofErr w:type="spellEnd"/>
      <w:r w:rsidRPr="00225D4D">
        <w:t xml:space="preserve"> opptrappingsplan som </w:t>
      </w:r>
      <w:proofErr w:type="spellStart"/>
      <w:r w:rsidRPr="00225D4D">
        <w:t>omfattar</w:t>
      </w:r>
      <w:proofErr w:type="spellEnd"/>
      <w:r w:rsidRPr="00225D4D">
        <w:t xml:space="preserve"> opprettinga av ei </w:t>
      </w:r>
      <w:proofErr w:type="spellStart"/>
      <w:r w:rsidRPr="00225D4D">
        <w:t>tilskotsordning</w:t>
      </w:r>
      <w:proofErr w:type="spellEnd"/>
      <w:r w:rsidRPr="00225D4D">
        <w:t xml:space="preserve"> for stegvis innføring av </w:t>
      </w:r>
      <w:proofErr w:type="spellStart"/>
      <w:r w:rsidRPr="00225D4D">
        <w:t>eit</w:t>
      </w:r>
      <w:proofErr w:type="spellEnd"/>
      <w:r w:rsidRPr="00225D4D">
        <w:t xml:space="preserve"> </w:t>
      </w:r>
      <w:proofErr w:type="spellStart"/>
      <w:r w:rsidRPr="00225D4D">
        <w:t>dagleg</w:t>
      </w:r>
      <w:proofErr w:type="spellEnd"/>
      <w:r w:rsidRPr="00225D4D">
        <w:t xml:space="preserve"> sunt og enkelt </w:t>
      </w:r>
      <w:proofErr w:type="spellStart"/>
      <w:r w:rsidRPr="00225D4D">
        <w:t>skulemåltid</w:t>
      </w:r>
      <w:proofErr w:type="spellEnd"/>
      <w:r w:rsidRPr="00225D4D">
        <w:t xml:space="preserve"> over tre </w:t>
      </w:r>
      <w:proofErr w:type="spellStart"/>
      <w:r w:rsidRPr="00225D4D">
        <w:t>skuleår</w:t>
      </w:r>
      <w:proofErr w:type="spellEnd"/>
      <w:r w:rsidRPr="00225D4D">
        <w:t>.</w:t>
      </w:r>
    </w:p>
    <w:p w14:paraId="3E2216D8" w14:textId="77777777" w:rsidR="00D60186" w:rsidRPr="00225D4D" w:rsidRDefault="00D60186" w:rsidP="00225D4D">
      <w:r w:rsidRPr="00225D4D">
        <w:t xml:space="preserve">Opptrappingsplanen </w:t>
      </w:r>
      <w:proofErr w:type="spellStart"/>
      <w:r w:rsidRPr="00225D4D">
        <w:t>gjer</w:t>
      </w:r>
      <w:proofErr w:type="spellEnd"/>
      <w:r w:rsidRPr="00225D4D">
        <w:t xml:space="preserve"> at </w:t>
      </w:r>
      <w:proofErr w:type="spellStart"/>
      <w:r w:rsidRPr="00225D4D">
        <w:t>kommunar</w:t>
      </w:r>
      <w:proofErr w:type="spellEnd"/>
      <w:r w:rsidRPr="00225D4D">
        <w:t xml:space="preserve"> med </w:t>
      </w:r>
      <w:proofErr w:type="spellStart"/>
      <w:r w:rsidRPr="00225D4D">
        <w:t>tilsvarande</w:t>
      </w:r>
      <w:proofErr w:type="spellEnd"/>
      <w:r w:rsidRPr="00225D4D">
        <w:t xml:space="preserve"> 1/3 av </w:t>
      </w:r>
      <w:proofErr w:type="spellStart"/>
      <w:r w:rsidRPr="00225D4D">
        <w:t>elevane</w:t>
      </w:r>
      <w:proofErr w:type="spellEnd"/>
      <w:r w:rsidRPr="00225D4D">
        <w:t xml:space="preserve"> som ønsker å starte opp eller </w:t>
      </w:r>
      <w:proofErr w:type="spellStart"/>
      <w:r w:rsidRPr="00225D4D">
        <w:t>vidareføre</w:t>
      </w:r>
      <w:proofErr w:type="spellEnd"/>
      <w:r w:rsidRPr="00225D4D">
        <w:t xml:space="preserve"> </w:t>
      </w:r>
      <w:proofErr w:type="spellStart"/>
      <w:r w:rsidRPr="00225D4D">
        <w:t>allereie</w:t>
      </w:r>
      <w:proofErr w:type="spellEnd"/>
      <w:r w:rsidRPr="00225D4D">
        <w:t xml:space="preserve"> </w:t>
      </w:r>
      <w:proofErr w:type="spellStart"/>
      <w:r w:rsidRPr="00225D4D">
        <w:t>eksisterande</w:t>
      </w:r>
      <w:proofErr w:type="spellEnd"/>
      <w:r w:rsidRPr="00225D4D">
        <w:t xml:space="preserve"> </w:t>
      </w:r>
      <w:proofErr w:type="spellStart"/>
      <w:r w:rsidRPr="00225D4D">
        <w:t>skulemåltidsordningar</w:t>
      </w:r>
      <w:proofErr w:type="spellEnd"/>
      <w:r w:rsidRPr="00225D4D">
        <w:t xml:space="preserve">, kan få </w:t>
      </w:r>
      <w:proofErr w:type="spellStart"/>
      <w:r w:rsidRPr="00225D4D">
        <w:t>tilskot</w:t>
      </w:r>
      <w:proofErr w:type="spellEnd"/>
      <w:r w:rsidRPr="00225D4D">
        <w:t xml:space="preserve"> </w:t>
      </w:r>
      <w:proofErr w:type="spellStart"/>
      <w:r w:rsidRPr="00225D4D">
        <w:t>frå</w:t>
      </w:r>
      <w:proofErr w:type="spellEnd"/>
      <w:r w:rsidRPr="00225D4D">
        <w:t xml:space="preserve"> det første </w:t>
      </w:r>
      <w:proofErr w:type="spellStart"/>
      <w:r w:rsidRPr="00225D4D">
        <w:t>skuleåret</w:t>
      </w:r>
      <w:proofErr w:type="spellEnd"/>
      <w:r w:rsidRPr="00225D4D">
        <w:t xml:space="preserve">. Ordninga kan </w:t>
      </w:r>
      <w:proofErr w:type="spellStart"/>
      <w:r w:rsidRPr="00225D4D">
        <w:t>utvidast</w:t>
      </w:r>
      <w:proofErr w:type="spellEnd"/>
      <w:r w:rsidRPr="00225D4D">
        <w:t xml:space="preserve"> kvart av </w:t>
      </w:r>
      <w:proofErr w:type="spellStart"/>
      <w:r w:rsidRPr="00225D4D">
        <w:t>dei</w:t>
      </w:r>
      <w:proofErr w:type="spellEnd"/>
      <w:r w:rsidRPr="00225D4D">
        <w:t xml:space="preserve"> to neste </w:t>
      </w:r>
      <w:proofErr w:type="spellStart"/>
      <w:r w:rsidRPr="00225D4D">
        <w:t>skuleåra</w:t>
      </w:r>
      <w:proofErr w:type="spellEnd"/>
      <w:r w:rsidRPr="00225D4D">
        <w:t xml:space="preserve"> fram til full utrulling er oppnådd. Med </w:t>
      </w:r>
      <w:proofErr w:type="spellStart"/>
      <w:r w:rsidRPr="00225D4D">
        <w:t>ein</w:t>
      </w:r>
      <w:proofErr w:type="spellEnd"/>
      <w:r w:rsidRPr="00225D4D">
        <w:t xml:space="preserve"> slik plan meiner Kunnskapsdepartementet at det er </w:t>
      </w:r>
      <w:proofErr w:type="spellStart"/>
      <w:r w:rsidRPr="00225D4D">
        <w:t>mogleg</w:t>
      </w:r>
      <w:proofErr w:type="spellEnd"/>
      <w:r w:rsidRPr="00225D4D">
        <w:t xml:space="preserve"> å lovfeste </w:t>
      </w:r>
      <w:proofErr w:type="spellStart"/>
      <w:r w:rsidRPr="00225D4D">
        <w:t>eit</w:t>
      </w:r>
      <w:proofErr w:type="spellEnd"/>
      <w:r w:rsidRPr="00225D4D">
        <w:t xml:space="preserve"> </w:t>
      </w:r>
      <w:proofErr w:type="spellStart"/>
      <w:r w:rsidRPr="00225D4D">
        <w:t>skulemåltid</w:t>
      </w:r>
      <w:proofErr w:type="spellEnd"/>
      <w:r w:rsidRPr="00225D4D">
        <w:t xml:space="preserve"> for alle </w:t>
      </w:r>
      <w:proofErr w:type="spellStart"/>
      <w:r w:rsidRPr="00225D4D">
        <w:t>elevar</w:t>
      </w:r>
      <w:proofErr w:type="spellEnd"/>
      <w:r w:rsidRPr="00225D4D">
        <w:t xml:space="preserve"> i </w:t>
      </w:r>
      <w:proofErr w:type="spellStart"/>
      <w:r w:rsidRPr="00225D4D">
        <w:t>grunnskulen</w:t>
      </w:r>
      <w:proofErr w:type="spellEnd"/>
      <w:r w:rsidRPr="00225D4D">
        <w:t xml:space="preserve"> når full utrulling er oppnådd etter tre år. Ei slik ordning vil ha </w:t>
      </w:r>
      <w:proofErr w:type="spellStart"/>
      <w:r w:rsidRPr="00225D4D">
        <w:t>ein</w:t>
      </w:r>
      <w:proofErr w:type="spellEnd"/>
      <w:r w:rsidRPr="00225D4D">
        <w:t xml:space="preserve"> kostnad på 450 mill. kroner første året, 1 530 mill. kroner andre året, 2 611 mill. kroner tredje året og 3 241 mill. kroner fjerde året når ordninga er ferdig utrulla. Dette er </w:t>
      </w:r>
      <w:proofErr w:type="spellStart"/>
      <w:r w:rsidRPr="00225D4D">
        <w:t>synleggjort</w:t>
      </w:r>
      <w:proofErr w:type="spellEnd"/>
      <w:r w:rsidRPr="00225D4D">
        <w:t xml:space="preserve"> i tabell 13.2:</w:t>
      </w:r>
    </w:p>
    <w:p w14:paraId="179657ED" w14:textId="7DB7E8E6" w:rsidR="002D4C2A" w:rsidRPr="00225D4D" w:rsidRDefault="002D4C2A" w:rsidP="00225D4D">
      <w:pPr>
        <w:pStyle w:val="tabell-tittel"/>
      </w:pPr>
      <w:r w:rsidRPr="00225D4D">
        <w:t xml:space="preserve">Opptrappingsplan av </w:t>
      </w:r>
      <w:proofErr w:type="spellStart"/>
      <w:r w:rsidRPr="00225D4D">
        <w:t>tilskotsordning</w:t>
      </w:r>
      <w:proofErr w:type="spellEnd"/>
      <w:r w:rsidRPr="00225D4D">
        <w:t xml:space="preserve"> til </w:t>
      </w:r>
      <w:proofErr w:type="spellStart"/>
      <w:r w:rsidRPr="00225D4D">
        <w:t>skulemåltid</w:t>
      </w:r>
      <w:proofErr w:type="spellEnd"/>
    </w:p>
    <w:p w14:paraId="3CD31F15" w14:textId="77777777" w:rsidR="00D60186" w:rsidRPr="00225D4D" w:rsidRDefault="00D60186" w:rsidP="00225D4D">
      <w:pPr>
        <w:pStyle w:val="Tabellnavn"/>
      </w:pPr>
      <w:r w:rsidRPr="00225D4D">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720"/>
        <w:gridCol w:w="1960"/>
        <w:gridCol w:w="1960"/>
        <w:gridCol w:w="1960"/>
        <w:gridCol w:w="1960"/>
      </w:tblGrid>
      <w:tr w:rsidR="00E76DC8" w:rsidRPr="00225D4D" w14:paraId="75E3CCF5" w14:textId="77777777">
        <w:trPr>
          <w:trHeight w:val="360"/>
        </w:trPr>
        <w:tc>
          <w:tcPr>
            <w:tcW w:w="1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6EE44A" w14:textId="77777777" w:rsidR="00D60186" w:rsidRPr="0052516A" w:rsidRDefault="00D60186" w:rsidP="00225D4D">
            <w:pPr>
              <w:rPr>
                <w:sz w:val="21"/>
                <w:szCs w:val="21"/>
              </w:rPr>
            </w:pP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638A1CF" w14:textId="77777777" w:rsidR="00D60186" w:rsidRPr="0052516A" w:rsidRDefault="00D60186" w:rsidP="0052516A">
            <w:pPr>
              <w:jc w:val="right"/>
              <w:rPr>
                <w:sz w:val="21"/>
                <w:szCs w:val="21"/>
              </w:rPr>
            </w:pPr>
            <w:r w:rsidRPr="0052516A">
              <w:rPr>
                <w:sz w:val="21"/>
                <w:szCs w:val="21"/>
              </w:rPr>
              <w:t>År 1</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A43B26" w14:textId="77777777" w:rsidR="00D60186" w:rsidRPr="0052516A" w:rsidRDefault="00D60186" w:rsidP="0052516A">
            <w:pPr>
              <w:jc w:val="right"/>
              <w:rPr>
                <w:sz w:val="21"/>
                <w:szCs w:val="21"/>
              </w:rPr>
            </w:pPr>
            <w:r w:rsidRPr="0052516A">
              <w:rPr>
                <w:sz w:val="21"/>
                <w:szCs w:val="21"/>
              </w:rPr>
              <w:t>År 2</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7DE194" w14:textId="77777777" w:rsidR="00D60186" w:rsidRPr="0052516A" w:rsidRDefault="00D60186" w:rsidP="0052516A">
            <w:pPr>
              <w:jc w:val="right"/>
              <w:rPr>
                <w:sz w:val="21"/>
                <w:szCs w:val="21"/>
              </w:rPr>
            </w:pPr>
            <w:r w:rsidRPr="0052516A">
              <w:rPr>
                <w:sz w:val="21"/>
                <w:szCs w:val="21"/>
              </w:rPr>
              <w:t>År 3</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43D8DF" w14:textId="77777777" w:rsidR="00D60186" w:rsidRPr="0052516A" w:rsidRDefault="00D60186" w:rsidP="0052516A">
            <w:pPr>
              <w:jc w:val="right"/>
              <w:rPr>
                <w:sz w:val="21"/>
                <w:szCs w:val="21"/>
              </w:rPr>
            </w:pPr>
            <w:r w:rsidRPr="0052516A">
              <w:rPr>
                <w:sz w:val="21"/>
                <w:szCs w:val="21"/>
              </w:rPr>
              <w:t>År 4 (varig)</w:t>
            </w:r>
          </w:p>
        </w:tc>
      </w:tr>
      <w:tr w:rsidR="00E76DC8" w:rsidRPr="00225D4D" w14:paraId="039E57EE" w14:textId="77777777">
        <w:trPr>
          <w:trHeight w:val="380"/>
        </w:trPr>
        <w:tc>
          <w:tcPr>
            <w:tcW w:w="1720" w:type="dxa"/>
            <w:tcBorders>
              <w:top w:val="single" w:sz="4" w:space="0" w:color="000000"/>
              <w:left w:val="nil"/>
              <w:bottom w:val="single" w:sz="4" w:space="0" w:color="000000"/>
              <w:right w:val="nil"/>
            </w:tcBorders>
            <w:tcMar>
              <w:top w:w="128" w:type="dxa"/>
              <w:left w:w="43" w:type="dxa"/>
              <w:bottom w:w="43" w:type="dxa"/>
              <w:right w:w="43" w:type="dxa"/>
            </w:tcMar>
          </w:tcPr>
          <w:p w14:paraId="3F3ACD36" w14:textId="77777777" w:rsidR="00D60186" w:rsidRPr="0052516A" w:rsidRDefault="00D60186" w:rsidP="00225D4D">
            <w:pPr>
              <w:rPr>
                <w:sz w:val="21"/>
                <w:szCs w:val="21"/>
              </w:rPr>
            </w:pPr>
            <w:r w:rsidRPr="0052516A">
              <w:rPr>
                <w:sz w:val="21"/>
                <w:szCs w:val="21"/>
              </w:rPr>
              <w:t xml:space="preserve">Samla kostnad </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DF7459" w14:textId="77777777" w:rsidR="00D60186" w:rsidRPr="0052516A" w:rsidRDefault="00D60186" w:rsidP="0052516A">
            <w:pPr>
              <w:jc w:val="right"/>
              <w:rPr>
                <w:sz w:val="21"/>
                <w:szCs w:val="21"/>
              </w:rPr>
            </w:pPr>
            <w:r w:rsidRPr="0052516A">
              <w:rPr>
                <w:sz w:val="21"/>
                <w:szCs w:val="21"/>
              </w:rPr>
              <w:t>0,5 mrd. kroner</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7F4B1C" w14:textId="77777777" w:rsidR="00D60186" w:rsidRPr="0052516A" w:rsidRDefault="00D60186" w:rsidP="0052516A">
            <w:pPr>
              <w:jc w:val="right"/>
              <w:rPr>
                <w:sz w:val="21"/>
                <w:szCs w:val="21"/>
              </w:rPr>
            </w:pPr>
            <w:r w:rsidRPr="0052516A">
              <w:rPr>
                <w:sz w:val="21"/>
                <w:szCs w:val="21"/>
              </w:rPr>
              <w:t>1,5 mrd. kroner</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711D4D" w14:textId="77777777" w:rsidR="00D60186" w:rsidRPr="0052516A" w:rsidRDefault="00D60186" w:rsidP="0052516A">
            <w:pPr>
              <w:jc w:val="right"/>
              <w:rPr>
                <w:sz w:val="21"/>
                <w:szCs w:val="21"/>
              </w:rPr>
            </w:pPr>
            <w:r w:rsidRPr="0052516A">
              <w:rPr>
                <w:sz w:val="21"/>
                <w:szCs w:val="21"/>
              </w:rPr>
              <w:t>2,6 mrd. kroner</w:t>
            </w:r>
          </w:p>
        </w:tc>
        <w:tc>
          <w:tcPr>
            <w:tcW w:w="1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7E12A6" w14:textId="77777777" w:rsidR="00D60186" w:rsidRPr="0052516A" w:rsidRDefault="00D60186" w:rsidP="0052516A">
            <w:pPr>
              <w:jc w:val="right"/>
              <w:rPr>
                <w:sz w:val="21"/>
                <w:szCs w:val="21"/>
              </w:rPr>
            </w:pPr>
            <w:r w:rsidRPr="0052516A">
              <w:rPr>
                <w:sz w:val="21"/>
                <w:szCs w:val="21"/>
              </w:rPr>
              <w:t>3,2 mrd. kroner</w:t>
            </w:r>
          </w:p>
        </w:tc>
      </w:tr>
    </w:tbl>
    <w:p w14:paraId="4E9F920F"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5AB32DED" w14:textId="77777777" w:rsidR="00D60186" w:rsidRPr="00225D4D" w:rsidRDefault="00D60186" w:rsidP="00225D4D">
      <w:pPr>
        <w:pStyle w:val="avsnitt-tittel"/>
      </w:pPr>
      <w:r w:rsidRPr="00225D4D">
        <w:t xml:space="preserve">Utgreiing av styrking av laget rundt </w:t>
      </w:r>
      <w:proofErr w:type="spellStart"/>
      <w:r w:rsidRPr="00225D4D">
        <w:t>elevar</w:t>
      </w:r>
      <w:proofErr w:type="spellEnd"/>
      <w:r w:rsidRPr="00225D4D">
        <w:t xml:space="preserve"> og </w:t>
      </w:r>
      <w:proofErr w:type="spellStart"/>
      <w:r w:rsidRPr="00225D4D">
        <w:t>lærarar</w:t>
      </w:r>
      <w:proofErr w:type="spellEnd"/>
    </w:p>
    <w:p w14:paraId="26F5CD31" w14:textId="77777777" w:rsidR="00D60186" w:rsidRPr="00225D4D" w:rsidRDefault="00D60186" w:rsidP="00225D4D">
      <w:pPr>
        <w:pStyle w:val="avsnitt-undertittel"/>
      </w:pPr>
      <w:r w:rsidRPr="00225D4D">
        <w:t>Vedtak nr. 64, 28. november 2024:</w:t>
      </w:r>
    </w:p>
    <w:p w14:paraId="3ECDA073" w14:textId="77777777" w:rsidR="00D60186" w:rsidRPr="00225D4D" w:rsidRDefault="00D60186" w:rsidP="00225D4D">
      <w:pPr>
        <w:pStyle w:val="blokksit"/>
        <w:rPr>
          <w:rStyle w:val="kursiv"/>
        </w:rPr>
      </w:pPr>
      <w:r w:rsidRPr="00225D4D">
        <w:rPr>
          <w:rStyle w:val="kursiv"/>
        </w:rPr>
        <w:t>Stortinget ber regjeringen i dialog med partene utrede og komme tilbake til Stortinget på egnet måte med helhetlige og konkrete tiltak for hvordan laget rundt elevene og lærerne best kan og bør styrkes, slik at alle elever og lærere får de nødvendige støtteressursene inn i skolehverdagen.</w:t>
      </w:r>
    </w:p>
    <w:p w14:paraId="719138D6"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34 (2023–2024) </w:t>
      </w:r>
      <w:r w:rsidRPr="00225D4D">
        <w:rPr>
          <w:rStyle w:val="kursiv"/>
        </w:rPr>
        <w:t>En mer praktisk skole – Bedre læring, motivasjon og trivsel på 5.–10. trinn</w:t>
      </w:r>
      <w:r w:rsidRPr="00225D4D">
        <w:t xml:space="preserve">, jf. </w:t>
      </w:r>
      <w:proofErr w:type="spellStart"/>
      <w:r w:rsidRPr="00225D4D">
        <w:t>Innst</w:t>
      </w:r>
      <w:proofErr w:type="spellEnd"/>
      <w:r w:rsidRPr="00225D4D">
        <w:t>. 55 S (2024–2025).</w:t>
      </w:r>
    </w:p>
    <w:p w14:paraId="6B3E5A82" w14:textId="77777777" w:rsidR="00D60186" w:rsidRPr="00225D4D" w:rsidRDefault="00D60186" w:rsidP="00225D4D">
      <w:r w:rsidRPr="00225D4D">
        <w:t xml:space="preserve">Det er </w:t>
      </w:r>
      <w:proofErr w:type="spellStart"/>
      <w:r w:rsidRPr="00225D4D">
        <w:t>kommunane</w:t>
      </w:r>
      <w:proofErr w:type="spellEnd"/>
      <w:r w:rsidRPr="00225D4D">
        <w:t xml:space="preserve"> som har ansvar for at </w:t>
      </w:r>
      <w:proofErr w:type="spellStart"/>
      <w:r w:rsidRPr="00225D4D">
        <w:t>dei</w:t>
      </w:r>
      <w:proofErr w:type="spellEnd"/>
      <w:r w:rsidRPr="00225D4D">
        <w:t xml:space="preserve"> har </w:t>
      </w:r>
      <w:proofErr w:type="spellStart"/>
      <w:r w:rsidRPr="00225D4D">
        <w:t>tilstrekkeleg</w:t>
      </w:r>
      <w:proofErr w:type="spellEnd"/>
      <w:r w:rsidRPr="00225D4D">
        <w:t xml:space="preserve"> kompetanse og kapasitet både i </w:t>
      </w:r>
      <w:proofErr w:type="spellStart"/>
      <w:r w:rsidRPr="00225D4D">
        <w:t>barnehagar</w:t>
      </w:r>
      <w:proofErr w:type="spellEnd"/>
      <w:r w:rsidRPr="00225D4D">
        <w:t xml:space="preserve"> og </w:t>
      </w:r>
      <w:proofErr w:type="spellStart"/>
      <w:r w:rsidRPr="00225D4D">
        <w:t>skular</w:t>
      </w:r>
      <w:proofErr w:type="spellEnd"/>
      <w:r w:rsidRPr="00225D4D">
        <w:t xml:space="preserve"> og i </w:t>
      </w:r>
      <w:proofErr w:type="spellStart"/>
      <w:r w:rsidRPr="00225D4D">
        <w:t>dei</w:t>
      </w:r>
      <w:proofErr w:type="spellEnd"/>
      <w:r w:rsidRPr="00225D4D">
        <w:t xml:space="preserve"> kommunale </w:t>
      </w:r>
      <w:proofErr w:type="spellStart"/>
      <w:r w:rsidRPr="00225D4D">
        <w:t>tenestene</w:t>
      </w:r>
      <w:proofErr w:type="spellEnd"/>
      <w:r w:rsidRPr="00225D4D">
        <w:t xml:space="preserve">, og at samarbeidet mellom </w:t>
      </w:r>
      <w:proofErr w:type="spellStart"/>
      <w:r w:rsidRPr="00225D4D">
        <w:t>dei</w:t>
      </w:r>
      <w:proofErr w:type="spellEnd"/>
      <w:r w:rsidRPr="00225D4D">
        <w:t xml:space="preserve"> er godt. Dette er </w:t>
      </w:r>
      <w:proofErr w:type="spellStart"/>
      <w:r w:rsidRPr="00225D4D">
        <w:t>eit</w:t>
      </w:r>
      <w:proofErr w:type="spellEnd"/>
      <w:r w:rsidRPr="00225D4D">
        <w:t xml:space="preserve"> arbeid som bør bygge på </w:t>
      </w:r>
      <w:proofErr w:type="spellStart"/>
      <w:r w:rsidRPr="00225D4D">
        <w:t>moglegheitene</w:t>
      </w:r>
      <w:proofErr w:type="spellEnd"/>
      <w:r w:rsidRPr="00225D4D">
        <w:t xml:space="preserve"> og </w:t>
      </w:r>
      <w:proofErr w:type="spellStart"/>
      <w:r w:rsidRPr="00225D4D">
        <w:t>utfordringane</w:t>
      </w:r>
      <w:proofErr w:type="spellEnd"/>
      <w:r w:rsidRPr="00225D4D">
        <w:t xml:space="preserve"> lokalt, og </w:t>
      </w:r>
      <w:proofErr w:type="spellStart"/>
      <w:r w:rsidRPr="00225D4D">
        <w:t>kommunane</w:t>
      </w:r>
      <w:proofErr w:type="spellEnd"/>
      <w:r w:rsidRPr="00225D4D">
        <w:t xml:space="preserve"> bør derfor ha handlingsfridom til å utvikle laget rundt barn og unge slik at det fungerer godt i konteksten </w:t>
      </w:r>
      <w:proofErr w:type="spellStart"/>
      <w:r w:rsidRPr="00225D4D">
        <w:t>deira</w:t>
      </w:r>
      <w:proofErr w:type="spellEnd"/>
      <w:r w:rsidRPr="00225D4D">
        <w:t xml:space="preserve">. Regjeringa har ulike tiltak og </w:t>
      </w:r>
      <w:proofErr w:type="spellStart"/>
      <w:r w:rsidRPr="00225D4D">
        <w:t>prosessar</w:t>
      </w:r>
      <w:proofErr w:type="spellEnd"/>
      <w:r w:rsidRPr="00225D4D">
        <w:t xml:space="preserve"> for å støtte opp under arbeidet i </w:t>
      </w:r>
      <w:proofErr w:type="spellStart"/>
      <w:r w:rsidRPr="00225D4D">
        <w:t>kommunane</w:t>
      </w:r>
      <w:proofErr w:type="spellEnd"/>
      <w:r w:rsidRPr="00225D4D">
        <w:t xml:space="preserve"> med å styrke laget rundt barn og unge. Dette </w:t>
      </w:r>
      <w:proofErr w:type="spellStart"/>
      <w:r w:rsidRPr="00225D4D">
        <w:t>omfattar</w:t>
      </w:r>
      <w:proofErr w:type="spellEnd"/>
      <w:r w:rsidRPr="00225D4D">
        <w:t xml:space="preserve"> både tilgang til ulik fagkompetanse og samarbeid mellom ulike yrkesgrupper i </w:t>
      </w:r>
      <w:proofErr w:type="spellStart"/>
      <w:r w:rsidRPr="00225D4D">
        <w:t>barnehagar</w:t>
      </w:r>
      <w:proofErr w:type="spellEnd"/>
      <w:r w:rsidRPr="00225D4D">
        <w:t xml:space="preserve"> og </w:t>
      </w:r>
      <w:proofErr w:type="spellStart"/>
      <w:r w:rsidRPr="00225D4D">
        <w:t>skular</w:t>
      </w:r>
      <w:proofErr w:type="spellEnd"/>
      <w:r w:rsidRPr="00225D4D">
        <w:t xml:space="preserve"> og samarbeid mellom </w:t>
      </w:r>
      <w:proofErr w:type="spellStart"/>
      <w:r w:rsidRPr="00225D4D">
        <w:t>barnehagar</w:t>
      </w:r>
      <w:proofErr w:type="spellEnd"/>
      <w:r w:rsidRPr="00225D4D">
        <w:t xml:space="preserve">, </w:t>
      </w:r>
      <w:proofErr w:type="spellStart"/>
      <w:r w:rsidRPr="00225D4D">
        <w:t>skular</w:t>
      </w:r>
      <w:proofErr w:type="spellEnd"/>
      <w:r w:rsidRPr="00225D4D">
        <w:t xml:space="preserve"> og ulike </w:t>
      </w:r>
      <w:proofErr w:type="spellStart"/>
      <w:r w:rsidRPr="00225D4D">
        <w:t>tenester</w:t>
      </w:r>
      <w:proofErr w:type="spellEnd"/>
      <w:r w:rsidRPr="00225D4D">
        <w:t xml:space="preserve"> i kommunen. Departementet har </w:t>
      </w:r>
      <w:proofErr w:type="spellStart"/>
      <w:r w:rsidRPr="00225D4D">
        <w:t>mykje</w:t>
      </w:r>
      <w:proofErr w:type="spellEnd"/>
      <w:r w:rsidRPr="00225D4D">
        <w:t xml:space="preserve"> dialog med </w:t>
      </w:r>
      <w:proofErr w:type="spellStart"/>
      <w:r w:rsidRPr="00225D4D">
        <w:t>dei</w:t>
      </w:r>
      <w:proofErr w:type="spellEnd"/>
      <w:r w:rsidRPr="00225D4D">
        <w:t xml:space="preserve"> </w:t>
      </w:r>
      <w:proofErr w:type="spellStart"/>
      <w:r w:rsidRPr="00225D4D">
        <w:t>partane</w:t>
      </w:r>
      <w:proofErr w:type="spellEnd"/>
      <w:r w:rsidRPr="00225D4D">
        <w:t xml:space="preserve"> </w:t>
      </w:r>
      <w:proofErr w:type="spellStart"/>
      <w:r w:rsidRPr="00225D4D">
        <w:t>dei</w:t>
      </w:r>
      <w:proofErr w:type="spellEnd"/>
      <w:r w:rsidRPr="00225D4D">
        <w:t xml:space="preserve"> ulike </w:t>
      </w:r>
      <w:proofErr w:type="spellStart"/>
      <w:r w:rsidRPr="00225D4D">
        <w:t>prosessane</w:t>
      </w:r>
      <w:proofErr w:type="spellEnd"/>
      <w:r w:rsidRPr="00225D4D">
        <w:t xml:space="preserve"> </w:t>
      </w:r>
      <w:proofErr w:type="spellStart"/>
      <w:r w:rsidRPr="00225D4D">
        <w:t>vedkjem</w:t>
      </w:r>
      <w:proofErr w:type="spellEnd"/>
      <w:r w:rsidRPr="00225D4D">
        <w:t xml:space="preserve">, blant anna gjennom referansegrupper, dialogmøte, </w:t>
      </w:r>
      <w:proofErr w:type="spellStart"/>
      <w:r w:rsidRPr="00225D4D">
        <w:t>høyringar</w:t>
      </w:r>
      <w:proofErr w:type="spellEnd"/>
      <w:r w:rsidRPr="00225D4D">
        <w:t xml:space="preserve"> og andre </w:t>
      </w:r>
      <w:proofErr w:type="spellStart"/>
      <w:r w:rsidRPr="00225D4D">
        <w:t>innspelsprosessar</w:t>
      </w:r>
      <w:proofErr w:type="spellEnd"/>
      <w:r w:rsidRPr="00225D4D">
        <w:t>.</w:t>
      </w:r>
    </w:p>
    <w:p w14:paraId="5223154D" w14:textId="77777777" w:rsidR="00D60186" w:rsidRPr="00225D4D" w:rsidRDefault="00D60186" w:rsidP="00225D4D">
      <w:r w:rsidRPr="00225D4D">
        <w:t xml:space="preserve">I mai 2025 la regjeringa fram strategien </w:t>
      </w:r>
      <w:r w:rsidRPr="00225D4D">
        <w:rPr>
          <w:rStyle w:val="kursiv"/>
        </w:rPr>
        <w:t>System for kompetanse- og karriereutvikling for ansatte i barnehage og skole</w:t>
      </w:r>
      <w:r w:rsidRPr="00225D4D">
        <w:t xml:space="preserve">. Systemet blir fasa inn i 2025 og 2026 og skal bidra til at </w:t>
      </w:r>
      <w:proofErr w:type="spellStart"/>
      <w:r w:rsidRPr="00225D4D">
        <w:t>lærarar</w:t>
      </w:r>
      <w:proofErr w:type="spellEnd"/>
      <w:r w:rsidRPr="00225D4D">
        <w:t xml:space="preserve"> og andre yrkesgrupper får betre </w:t>
      </w:r>
      <w:proofErr w:type="spellStart"/>
      <w:r w:rsidRPr="00225D4D">
        <w:t>føresetnader</w:t>
      </w:r>
      <w:proofErr w:type="spellEnd"/>
      <w:r w:rsidRPr="00225D4D">
        <w:t xml:space="preserve"> for å møte krava og </w:t>
      </w:r>
      <w:proofErr w:type="spellStart"/>
      <w:r w:rsidRPr="00225D4D">
        <w:t>forventningane</w:t>
      </w:r>
      <w:proofErr w:type="spellEnd"/>
      <w:r w:rsidRPr="00225D4D">
        <w:t xml:space="preserve"> </w:t>
      </w:r>
      <w:proofErr w:type="spellStart"/>
      <w:r w:rsidRPr="00225D4D">
        <w:t>dei</w:t>
      </w:r>
      <w:proofErr w:type="spellEnd"/>
      <w:r w:rsidRPr="00225D4D">
        <w:t xml:space="preserve"> står overfor i jobben. Framover skal </w:t>
      </w:r>
      <w:proofErr w:type="spellStart"/>
      <w:r w:rsidRPr="00225D4D">
        <w:t>fleire</w:t>
      </w:r>
      <w:proofErr w:type="spellEnd"/>
      <w:r w:rsidRPr="00225D4D">
        <w:t xml:space="preserve"> yrkesgrupper i barnehage og </w:t>
      </w:r>
      <w:proofErr w:type="spellStart"/>
      <w:r w:rsidRPr="00225D4D">
        <w:t>skule</w:t>
      </w:r>
      <w:proofErr w:type="spellEnd"/>
      <w:r w:rsidRPr="00225D4D">
        <w:t xml:space="preserve"> få gode </w:t>
      </w:r>
      <w:proofErr w:type="spellStart"/>
      <w:r w:rsidRPr="00225D4D">
        <w:t>moglegheiter</w:t>
      </w:r>
      <w:proofErr w:type="spellEnd"/>
      <w:r w:rsidRPr="00225D4D">
        <w:t xml:space="preserve"> for kompetanseutvikling gjennom heile yrkeslivet. Det skal gi betre læring og trivsel for barn og unge, og bidra til at </w:t>
      </w:r>
      <w:proofErr w:type="spellStart"/>
      <w:r w:rsidRPr="00225D4D">
        <w:t>barnehagar</w:t>
      </w:r>
      <w:proofErr w:type="spellEnd"/>
      <w:r w:rsidRPr="00225D4D">
        <w:t xml:space="preserve"> og </w:t>
      </w:r>
      <w:proofErr w:type="spellStart"/>
      <w:r w:rsidRPr="00225D4D">
        <w:t>skular</w:t>
      </w:r>
      <w:proofErr w:type="spellEnd"/>
      <w:r w:rsidRPr="00225D4D">
        <w:t xml:space="preserve"> er attraktive </w:t>
      </w:r>
      <w:proofErr w:type="spellStart"/>
      <w:r w:rsidRPr="00225D4D">
        <w:t>arbeidsplassar</w:t>
      </w:r>
      <w:proofErr w:type="spellEnd"/>
      <w:r w:rsidRPr="00225D4D">
        <w:t xml:space="preserve"> som rekrutterer og </w:t>
      </w:r>
      <w:proofErr w:type="spellStart"/>
      <w:r w:rsidRPr="00225D4D">
        <w:t>beheld</w:t>
      </w:r>
      <w:proofErr w:type="spellEnd"/>
      <w:r w:rsidRPr="00225D4D">
        <w:t xml:space="preserve"> både </w:t>
      </w:r>
      <w:proofErr w:type="spellStart"/>
      <w:r w:rsidRPr="00225D4D">
        <w:t>lærarar</w:t>
      </w:r>
      <w:proofErr w:type="spellEnd"/>
      <w:r w:rsidRPr="00225D4D">
        <w:t xml:space="preserve"> og andre yrkesgrupper.</w:t>
      </w:r>
    </w:p>
    <w:p w14:paraId="26F5105A" w14:textId="77777777" w:rsidR="00D60186" w:rsidRPr="00225D4D" w:rsidRDefault="00D60186" w:rsidP="00225D4D">
      <w:proofErr w:type="spellStart"/>
      <w:r w:rsidRPr="00225D4D">
        <w:t>Hovudgrepa</w:t>
      </w:r>
      <w:proofErr w:type="spellEnd"/>
      <w:r w:rsidRPr="00225D4D">
        <w:t xml:space="preserve"> i strategien er at </w:t>
      </w:r>
      <w:proofErr w:type="spellStart"/>
      <w:r w:rsidRPr="00225D4D">
        <w:t>fleire</w:t>
      </w:r>
      <w:proofErr w:type="spellEnd"/>
      <w:r w:rsidRPr="00225D4D">
        <w:t xml:space="preserve"> yrkesgrupper i barnehage, </w:t>
      </w:r>
      <w:proofErr w:type="spellStart"/>
      <w:r w:rsidRPr="00225D4D">
        <w:t>skule</w:t>
      </w:r>
      <w:proofErr w:type="spellEnd"/>
      <w:r w:rsidRPr="00225D4D">
        <w:t xml:space="preserve"> og SFO skal kunne få permisjon med lønn når </w:t>
      </w:r>
      <w:proofErr w:type="spellStart"/>
      <w:r w:rsidRPr="00225D4D">
        <w:t>dei</w:t>
      </w:r>
      <w:proofErr w:type="spellEnd"/>
      <w:r w:rsidRPr="00225D4D">
        <w:t xml:space="preserve"> tek </w:t>
      </w:r>
      <w:proofErr w:type="spellStart"/>
      <w:r w:rsidRPr="00225D4D">
        <w:t>vidareutdanning</w:t>
      </w:r>
      <w:proofErr w:type="spellEnd"/>
      <w:r w:rsidRPr="00225D4D">
        <w:t xml:space="preserve">. I tillegg skal </w:t>
      </w:r>
      <w:proofErr w:type="spellStart"/>
      <w:r w:rsidRPr="00225D4D">
        <w:t>fleire</w:t>
      </w:r>
      <w:proofErr w:type="spellEnd"/>
      <w:r w:rsidRPr="00225D4D">
        <w:t xml:space="preserve"> nyutdanna </w:t>
      </w:r>
      <w:proofErr w:type="spellStart"/>
      <w:r w:rsidRPr="00225D4D">
        <w:t>lærarar</w:t>
      </w:r>
      <w:proofErr w:type="spellEnd"/>
      <w:r w:rsidRPr="00225D4D">
        <w:t xml:space="preserve"> i både barnehage, </w:t>
      </w:r>
      <w:proofErr w:type="spellStart"/>
      <w:r w:rsidRPr="00225D4D">
        <w:t>grunnskule</w:t>
      </w:r>
      <w:proofErr w:type="spellEnd"/>
      <w:r w:rsidRPr="00225D4D">
        <w:t xml:space="preserve"> og </w:t>
      </w:r>
      <w:proofErr w:type="spellStart"/>
      <w:r w:rsidRPr="00225D4D">
        <w:t>vidaregåande</w:t>
      </w:r>
      <w:proofErr w:type="spellEnd"/>
      <w:r w:rsidRPr="00225D4D">
        <w:t xml:space="preserve"> skule få rettleiing </w:t>
      </w:r>
      <w:proofErr w:type="spellStart"/>
      <w:r w:rsidRPr="00225D4D">
        <w:t>dei</w:t>
      </w:r>
      <w:proofErr w:type="spellEnd"/>
      <w:r w:rsidRPr="00225D4D">
        <w:t xml:space="preserve"> to første </w:t>
      </w:r>
      <w:proofErr w:type="spellStart"/>
      <w:r w:rsidRPr="00225D4D">
        <w:t>åra</w:t>
      </w:r>
      <w:proofErr w:type="spellEnd"/>
      <w:r w:rsidRPr="00225D4D">
        <w:t xml:space="preserve"> for å unngå </w:t>
      </w:r>
      <w:proofErr w:type="spellStart"/>
      <w:r w:rsidRPr="00225D4D">
        <w:t>fråfall</w:t>
      </w:r>
      <w:proofErr w:type="spellEnd"/>
      <w:r w:rsidRPr="00225D4D">
        <w:t xml:space="preserve"> </w:t>
      </w:r>
      <w:proofErr w:type="spellStart"/>
      <w:r w:rsidRPr="00225D4D">
        <w:t>frå</w:t>
      </w:r>
      <w:proofErr w:type="spellEnd"/>
      <w:r w:rsidRPr="00225D4D">
        <w:t xml:space="preserve"> yrket. Saman med </w:t>
      </w:r>
      <w:proofErr w:type="spellStart"/>
      <w:r w:rsidRPr="00225D4D">
        <w:t>partane</w:t>
      </w:r>
      <w:proofErr w:type="spellEnd"/>
      <w:r w:rsidRPr="00225D4D">
        <w:t xml:space="preserve"> i sektoren har departementet utvikla dokumentet </w:t>
      </w:r>
      <w:r w:rsidRPr="00225D4D">
        <w:rPr>
          <w:rStyle w:val="kursiv"/>
        </w:rPr>
        <w:t xml:space="preserve">Prinsipper og </w:t>
      </w:r>
      <w:proofErr w:type="spellStart"/>
      <w:r w:rsidRPr="00225D4D">
        <w:rPr>
          <w:rStyle w:val="kursiv"/>
        </w:rPr>
        <w:t>forplikelser</w:t>
      </w:r>
      <w:proofErr w:type="spellEnd"/>
      <w:r w:rsidRPr="00225D4D">
        <w:rPr>
          <w:rStyle w:val="kursiv"/>
        </w:rPr>
        <w:t xml:space="preserve"> for profesjonsfaglig veiledning av nyutdannede lærere i barnehage og skole</w:t>
      </w:r>
      <w:r w:rsidRPr="00225D4D">
        <w:t xml:space="preserve">. Dette skal bidra til at </w:t>
      </w:r>
      <w:proofErr w:type="spellStart"/>
      <w:r w:rsidRPr="00225D4D">
        <w:t>partane</w:t>
      </w:r>
      <w:proofErr w:type="spellEnd"/>
      <w:r w:rsidRPr="00225D4D">
        <w:t xml:space="preserve"> jobbar </w:t>
      </w:r>
      <w:proofErr w:type="spellStart"/>
      <w:r w:rsidRPr="00225D4D">
        <w:t>saman</w:t>
      </w:r>
      <w:proofErr w:type="spellEnd"/>
      <w:r w:rsidRPr="00225D4D">
        <w:t xml:space="preserve"> for </w:t>
      </w:r>
      <w:proofErr w:type="spellStart"/>
      <w:r w:rsidRPr="00225D4D">
        <w:t>eit</w:t>
      </w:r>
      <w:proofErr w:type="spellEnd"/>
      <w:r w:rsidRPr="00225D4D">
        <w:t xml:space="preserve"> likeverdig </w:t>
      </w:r>
      <w:proofErr w:type="spellStart"/>
      <w:r w:rsidRPr="00225D4D">
        <w:t>rettleiingstilbod</w:t>
      </w:r>
      <w:proofErr w:type="spellEnd"/>
      <w:r w:rsidRPr="00225D4D">
        <w:t xml:space="preserve"> av god kvalitet.</w:t>
      </w:r>
    </w:p>
    <w:p w14:paraId="22811D52" w14:textId="77777777" w:rsidR="00D60186" w:rsidRPr="00225D4D" w:rsidRDefault="00D60186" w:rsidP="00225D4D">
      <w:r w:rsidRPr="00225D4D">
        <w:t xml:space="preserve">Regjeringa tek </w:t>
      </w:r>
      <w:proofErr w:type="spellStart"/>
      <w:r w:rsidRPr="00225D4D">
        <w:t>utfordringane</w:t>
      </w:r>
      <w:proofErr w:type="spellEnd"/>
      <w:r w:rsidRPr="00225D4D">
        <w:t xml:space="preserve"> med </w:t>
      </w:r>
      <w:proofErr w:type="spellStart"/>
      <w:r w:rsidRPr="00225D4D">
        <w:t>skulemiljø</w:t>
      </w:r>
      <w:proofErr w:type="spellEnd"/>
      <w:r w:rsidRPr="00225D4D">
        <w:t xml:space="preserve"> på alvor. Å sikre </w:t>
      </w:r>
      <w:proofErr w:type="spellStart"/>
      <w:r w:rsidRPr="00225D4D">
        <w:t>elevane</w:t>
      </w:r>
      <w:proofErr w:type="spellEnd"/>
      <w:r w:rsidRPr="00225D4D">
        <w:t xml:space="preserve"> </w:t>
      </w:r>
      <w:proofErr w:type="spellStart"/>
      <w:r w:rsidRPr="00225D4D">
        <w:t>eit</w:t>
      </w:r>
      <w:proofErr w:type="spellEnd"/>
      <w:r w:rsidRPr="00225D4D">
        <w:t xml:space="preserve"> trygt og godt </w:t>
      </w:r>
      <w:proofErr w:type="spellStart"/>
      <w:r w:rsidRPr="00225D4D">
        <w:t>skulemiljø</w:t>
      </w:r>
      <w:proofErr w:type="spellEnd"/>
      <w:r w:rsidRPr="00225D4D">
        <w:t xml:space="preserve"> er ei av </w:t>
      </w:r>
      <w:proofErr w:type="spellStart"/>
      <w:r w:rsidRPr="00225D4D">
        <w:t>dei</w:t>
      </w:r>
      <w:proofErr w:type="spellEnd"/>
      <w:r w:rsidRPr="00225D4D">
        <w:t xml:space="preserve"> </w:t>
      </w:r>
      <w:proofErr w:type="spellStart"/>
      <w:r w:rsidRPr="00225D4D">
        <w:t>grunnleggande</w:t>
      </w:r>
      <w:proofErr w:type="spellEnd"/>
      <w:r w:rsidRPr="00225D4D">
        <w:t xml:space="preserve"> </w:t>
      </w:r>
      <w:proofErr w:type="spellStart"/>
      <w:r w:rsidRPr="00225D4D">
        <w:t>oppgåvene</w:t>
      </w:r>
      <w:proofErr w:type="spellEnd"/>
      <w:r w:rsidRPr="00225D4D">
        <w:t xml:space="preserve"> til </w:t>
      </w:r>
      <w:proofErr w:type="spellStart"/>
      <w:r w:rsidRPr="00225D4D">
        <w:t>skulen</w:t>
      </w:r>
      <w:proofErr w:type="spellEnd"/>
      <w:r w:rsidRPr="00225D4D">
        <w:t>.</w:t>
      </w:r>
    </w:p>
    <w:p w14:paraId="4E4E9759" w14:textId="77777777" w:rsidR="00D60186" w:rsidRPr="00225D4D" w:rsidRDefault="00D60186" w:rsidP="00225D4D">
      <w:r w:rsidRPr="00225D4D">
        <w:t xml:space="preserve">Samstundes veit vi at mange </w:t>
      </w:r>
      <w:proofErr w:type="spellStart"/>
      <w:r w:rsidRPr="00225D4D">
        <w:t>skular</w:t>
      </w:r>
      <w:proofErr w:type="spellEnd"/>
      <w:r w:rsidRPr="00225D4D">
        <w:t xml:space="preserve"> står i </w:t>
      </w:r>
      <w:proofErr w:type="spellStart"/>
      <w:r w:rsidRPr="00225D4D">
        <w:t>utfordringar</w:t>
      </w:r>
      <w:proofErr w:type="spellEnd"/>
      <w:r w:rsidRPr="00225D4D">
        <w:t xml:space="preserve"> som det er </w:t>
      </w:r>
      <w:proofErr w:type="spellStart"/>
      <w:r w:rsidRPr="00225D4D">
        <w:t>krevjande</w:t>
      </w:r>
      <w:proofErr w:type="spellEnd"/>
      <w:r w:rsidRPr="00225D4D">
        <w:t xml:space="preserve"> å løyse </w:t>
      </w:r>
      <w:proofErr w:type="spellStart"/>
      <w:r w:rsidRPr="00225D4D">
        <w:t>åleine</w:t>
      </w:r>
      <w:proofErr w:type="spellEnd"/>
      <w:r w:rsidRPr="00225D4D">
        <w:t xml:space="preserve">. I 2024 oppretta regjeringa derfor ei ordning der </w:t>
      </w:r>
      <w:proofErr w:type="spellStart"/>
      <w:r w:rsidRPr="00225D4D">
        <w:t>kommunar</w:t>
      </w:r>
      <w:proofErr w:type="spellEnd"/>
      <w:r w:rsidRPr="00225D4D">
        <w:t xml:space="preserve"> kan søke om </w:t>
      </w:r>
      <w:proofErr w:type="spellStart"/>
      <w:r w:rsidRPr="00225D4D">
        <w:t>tilskot</w:t>
      </w:r>
      <w:proofErr w:type="spellEnd"/>
      <w:r w:rsidRPr="00225D4D">
        <w:t xml:space="preserve"> til å etablere eller styrke kommunale skulemiljøteam. Skulemiljøteama skal bidra til å </w:t>
      </w:r>
      <w:proofErr w:type="spellStart"/>
      <w:r w:rsidRPr="00225D4D">
        <w:t>førebygge</w:t>
      </w:r>
      <w:proofErr w:type="spellEnd"/>
      <w:r w:rsidRPr="00225D4D">
        <w:t xml:space="preserve"> mobbing og gi ekstra tett oppfølging og sikre </w:t>
      </w:r>
      <w:proofErr w:type="spellStart"/>
      <w:r w:rsidRPr="00225D4D">
        <w:t>raskare</w:t>
      </w:r>
      <w:proofErr w:type="spellEnd"/>
      <w:r w:rsidRPr="00225D4D">
        <w:t xml:space="preserve"> og betre innsats til </w:t>
      </w:r>
      <w:proofErr w:type="spellStart"/>
      <w:r w:rsidRPr="00225D4D">
        <w:t>skular</w:t>
      </w:r>
      <w:proofErr w:type="spellEnd"/>
      <w:r w:rsidRPr="00225D4D">
        <w:t xml:space="preserve"> som har </w:t>
      </w:r>
      <w:proofErr w:type="spellStart"/>
      <w:r w:rsidRPr="00225D4D">
        <w:t>særlege</w:t>
      </w:r>
      <w:proofErr w:type="spellEnd"/>
      <w:r w:rsidRPr="00225D4D">
        <w:t xml:space="preserve"> </w:t>
      </w:r>
      <w:proofErr w:type="spellStart"/>
      <w:r w:rsidRPr="00225D4D">
        <w:t>utfordringar</w:t>
      </w:r>
      <w:proofErr w:type="spellEnd"/>
      <w:r w:rsidRPr="00225D4D">
        <w:t xml:space="preserve"> med </w:t>
      </w:r>
      <w:proofErr w:type="spellStart"/>
      <w:r w:rsidRPr="00225D4D">
        <w:t>skulemiljøet</w:t>
      </w:r>
      <w:proofErr w:type="spellEnd"/>
      <w:r w:rsidRPr="00225D4D">
        <w:t xml:space="preserve">. Skulemiljøteam kan òg ha </w:t>
      </w:r>
      <w:proofErr w:type="spellStart"/>
      <w:r w:rsidRPr="00225D4D">
        <w:t>barnehagar</w:t>
      </w:r>
      <w:proofErr w:type="spellEnd"/>
      <w:r w:rsidRPr="00225D4D">
        <w:t xml:space="preserve"> som målgruppe, slik at det </w:t>
      </w:r>
      <w:proofErr w:type="spellStart"/>
      <w:r w:rsidRPr="00225D4D">
        <w:t>førebyggande</w:t>
      </w:r>
      <w:proofErr w:type="spellEnd"/>
      <w:r w:rsidRPr="00225D4D">
        <w:t xml:space="preserve"> arbeidet kan starte </w:t>
      </w:r>
      <w:proofErr w:type="spellStart"/>
      <w:r w:rsidRPr="00225D4D">
        <w:t>allereie</w:t>
      </w:r>
      <w:proofErr w:type="spellEnd"/>
      <w:r w:rsidRPr="00225D4D">
        <w:t xml:space="preserve"> der. I 2024 mottok 23 </w:t>
      </w:r>
      <w:proofErr w:type="spellStart"/>
      <w:r w:rsidRPr="00225D4D">
        <w:t>kommunar</w:t>
      </w:r>
      <w:proofErr w:type="spellEnd"/>
      <w:r w:rsidRPr="00225D4D">
        <w:t xml:space="preserve"> </w:t>
      </w:r>
      <w:proofErr w:type="spellStart"/>
      <w:r w:rsidRPr="00225D4D">
        <w:t>midlar</w:t>
      </w:r>
      <w:proofErr w:type="spellEnd"/>
      <w:r w:rsidRPr="00225D4D">
        <w:t xml:space="preserve"> til skulemiljøteam. Det var stor interesse blant </w:t>
      </w:r>
      <w:proofErr w:type="spellStart"/>
      <w:r w:rsidRPr="00225D4D">
        <w:t>kommunane</w:t>
      </w:r>
      <w:proofErr w:type="spellEnd"/>
      <w:r w:rsidRPr="00225D4D">
        <w:t xml:space="preserve">, og det kom inn 137 søknader om </w:t>
      </w:r>
      <w:proofErr w:type="spellStart"/>
      <w:r w:rsidRPr="00225D4D">
        <w:t>tilskot</w:t>
      </w:r>
      <w:proofErr w:type="spellEnd"/>
      <w:r w:rsidRPr="00225D4D">
        <w:t xml:space="preserve">. I 2025 er det løyvd 45 mill. kroner til skulemiljøteam. I 2025 kom det inn 168 søknader, og 40 </w:t>
      </w:r>
      <w:proofErr w:type="spellStart"/>
      <w:r w:rsidRPr="00225D4D">
        <w:t>kommunar</w:t>
      </w:r>
      <w:proofErr w:type="spellEnd"/>
      <w:r w:rsidRPr="00225D4D">
        <w:t xml:space="preserve"> </w:t>
      </w:r>
      <w:proofErr w:type="spellStart"/>
      <w:r w:rsidRPr="00225D4D">
        <w:t>fekk</w:t>
      </w:r>
      <w:proofErr w:type="spellEnd"/>
      <w:r w:rsidRPr="00225D4D">
        <w:t xml:space="preserve"> </w:t>
      </w:r>
      <w:proofErr w:type="spellStart"/>
      <w:r w:rsidRPr="00225D4D">
        <w:t>tilskot</w:t>
      </w:r>
      <w:proofErr w:type="spellEnd"/>
      <w:r w:rsidRPr="00225D4D">
        <w:t xml:space="preserve">. For 2026 foreslår regjeringa å </w:t>
      </w:r>
      <w:proofErr w:type="spellStart"/>
      <w:r w:rsidRPr="00225D4D">
        <w:t>vidareføre</w:t>
      </w:r>
      <w:proofErr w:type="spellEnd"/>
      <w:r w:rsidRPr="00225D4D">
        <w:t xml:space="preserve"> løyvinga på 45 mill. kroner.</w:t>
      </w:r>
    </w:p>
    <w:p w14:paraId="381112E4" w14:textId="77777777" w:rsidR="00D60186" w:rsidRPr="00225D4D" w:rsidRDefault="00D60186" w:rsidP="00225D4D">
      <w:r w:rsidRPr="00225D4D">
        <w:t xml:space="preserve">Regjeringa oppretta i 2025 </w:t>
      </w:r>
      <w:proofErr w:type="spellStart"/>
      <w:r w:rsidRPr="00225D4D">
        <w:t>eit</w:t>
      </w:r>
      <w:proofErr w:type="spellEnd"/>
      <w:r w:rsidRPr="00225D4D">
        <w:t xml:space="preserve"> eige </w:t>
      </w:r>
      <w:proofErr w:type="spellStart"/>
      <w:r w:rsidRPr="00225D4D">
        <w:t>tilskot</w:t>
      </w:r>
      <w:proofErr w:type="spellEnd"/>
      <w:r w:rsidRPr="00225D4D">
        <w:t xml:space="preserve"> til </w:t>
      </w:r>
      <w:proofErr w:type="spellStart"/>
      <w:r w:rsidRPr="00225D4D">
        <w:t>kommunar</w:t>
      </w:r>
      <w:proofErr w:type="spellEnd"/>
      <w:r w:rsidRPr="00225D4D">
        <w:t xml:space="preserve"> for å etablere nye eller styrke </w:t>
      </w:r>
      <w:proofErr w:type="spellStart"/>
      <w:r w:rsidRPr="00225D4D">
        <w:t>eksisterande</w:t>
      </w:r>
      <w:proofErr w:type="spellEnd"/>
      <w:r w:rsidRPr="00225D4D">
        <w:t xml:space="preserve"> beredskapsteam som </w:t>
      </w:r>
      <w:proofErr w:type="spellStart"/>
      <w:r w:rsidRPr="00225D4D">
        <w:t>eit</w:t>
      </w:r>
      <w:proofErr w:type="spellEnd"/>
      <w:r w:rsidRPr="00225D4D">
        <w:t xml:space="preserve"> </w:t>
      </w:r>
      <w:proofErr w:type="spellStart"/>
      <w:r w:rsidRPr="00225D4D">
        <w:t>førebyggande</w:t>
      </w:r>
      <w:proofErr w:type="spellEnd"/>
      <w:r w:rsidRPr="00225D4D">
        <w:t xml:space="preserve"> tiltak mot barne- og ungdomskriminalitet og utrygge </w:t>
      </w:r>
      <w:proofErr w:type="spellStart"/>
      <w:r w:rsidRPr="00225D4D">
        <w:t>skulemiljø</w:t>
      </w:r>
      <w:proofErr w:type="spellEnd"/>
      <w:r w:rsidRPr="00225D4D">
        <w:t xml:space="preserve">. I 2025 er det løyvd 80 mill. kroner til beredskapsteam, og for 2026 foreslår regjeringa å </w:t>
      </w:r>
      <w:proofErr w:type="spellStart"/>
      <w:r w:rsidRPr="00225D4D">
        <w:t>vidareføre</w:t>
      </w:r>
      <w:proofErr w:type="spellEnd"/>
      <w:r w:rsidRPr="00225D4D">
        <w:t xml:space="preserve"> løyvinga på 80 mill. kroner. Sjå også omtale under vedtak nr. 1215, 20. juni 2025.</w:t>
      </w:r>
    </w:p>
    <w:p w14:paraId="020E7B57" w14:textId="77777777" w:rsidR="00D60186" w:rsidRPr="00225D4D" w:rsidRDefault="00D60186" w:rsidP="00225D4D">
      <w:r w:rsidRPr="00225D4D">
        <w:t xml:space="preserve">6. juni 2025 la regjeringa fram Meld. St. 28 (2024–2025) </w:t>
      </w:r>
      <w:r w:rsidRPr="00225D4D">
        <w:rPr>
          <w:rStyle w:val="kursiv"/>
        </w:rPr>
        <w:t>Tro på framtida – uansett bakgrunn</w:t>
      </w:r>
      <w:r w:rsidRPr="00225D4D">
        <w:t xml:space="preserve"> (oppvekstmeldinga). Meldinga viser til </w:t>
      </w:r>
      <w:proofErr w:type="spellStart"/>
      <w:r w:rsidRPr="00225D4D">
        <w:t>ambisjonane</w:t>
      </w:r>
      <w:proofErr w:type="spellEnd"/>
      <w:r w:rsidRPr="00225D4D">
        <w:t xml:space="preserve"> til regjeringa om å styrke det breie laget rundt barn og unge. For i større grad å kunne prioritere </w:t>
      </w:r>
      <w:proofErr w:type="spellStart"/>
      <w:r w:rsidRPr="00225D4D">
        <w:t>ressursar</w:t>
      </w:r>
      <w:proofErr w:type="spellEnd"/>
      <w:r w:rsidRPr="00225D4D">
        <w:t xml:space="preserve"> til </w:t>
      </w:r>
      <w:proofErr w:type="spellStart"/>
      <w:r w:rsidRPr="00225D4D">
        <w:t>førebyggande</w:t>
      </w:r>
      <w:proofErr w:type="spellEnd"/>
      <w:r w:rsidRPr="00225D4D">
        <w:t xml:space="preserve"> tiltak for barn og unge der behova er størst, foreslår Kunnskapsdepartementet </w:t>
      </w:r>
      <w:proofErr w:type="spellStart"/>
      <w:r w:rsidRPr="00225D4D">
        <w:t>saman</w:t>
      </w:r>
      <w:proofErr w:type="spellEnd"/>
      <w:r w:rsidRPr="00225D4D">
        <w:t xml:space="preserve"> med Helse- og omsorgsdepartementet og Barne- og familiedepartementet, med bidrag </w:t>
      </w:r>
      <w:proofErr w:type="spellStart"/>
      <w:r w:rsidRPr="00225D4D">
        <w:t>frå</w:t>
      </w:r>
      <w:proofErr w:type="spellEnd"/>
      <w:r w:rsidRPr="00225D4D">
        <w:t xml:space="preserve"> Arbeids- og inkluderingsdepartementet, å opprette ei felles, tverrsektoriell </w:t>
      </w:r>
      <w:proofErr w:type="spellStart"/>
      <w:r w:rsidRPr="00225D4D">
        <w:t>tilskotsordning</w:t>
      </w:r>
      <w:proofErr w:type="spellEnd"/>
      <w:r w:rsidRPr="00225D4D">
        <w:t xml:space="preserve"> (programfinansiering) </w:t>
      </w:r>
      <w:proofErr w:type="spellStart"/>
      <w:r w:rsidRPr="00225D4D">
        <w:t>frå</w:t>
      </w:r>
      <w:proofErr w:type="spellEnd"/>
      <w:r w:rsidRPr="00225D4D">
        <w:t xml:space="preserve"> 2026. Programfinansiering </w:t>
      </w:r>
      <w:proofErr w:type="spellStart"/>
      <w:r w:rsidRPr="00225D4D">
        <w:t>inneber</w:t>
      </w:r>
      <w:proofErr w:type="spellEnd"/>
      <w:r w:rsidRPr="00225D4D">
        <w:t xml:space="preserve"> at </w:t>
      </w:r>
      <w:proofErr w:type="spellStart"/>
      <w:r w:rsidRPr="00225D4D">
        <w:t>statlege</w:t>
      </w:r>
      <w:proofErr w:type="spellEnd"/>
      <w:r w:rsidRPr="00225D4D">
        <w:t xml:space="preserve"> </w:t>
      </w:r>
      <w:proofErr w:type="spellStart"/>
      <w:r w:rsidRPr="00225D4D">
        <w:t>tilskot</w:t>
      </w:r>
      <w:proofErr w:type="spellEnd"/>
      <w:r w:rsidRPr="00225D4D">
        <w:t xml:space="preserve"> til kommunesektoren, som i dag er </w:t>
      </w:r>
      <w:proofErr w:type="spellStart"/>
      <w:r w:rsidRPr="00225D4D">
        <w:t>øyremerkte</w:t>
      </w:r>
      <w:proofErr w:type="spellEnd"/>
      <w:r w:rsidRPr="00225D4D">
        <w:t xml:space="preserve"> til avgrensa formål </w:t>
      </w:r>
      <w:proofErr w:type="spellStart"/>
      <w:r w:rsidRPr="00225D4D">
        <w:t>innanfor</w:t>
      </w:r>
      <w:proofErr w:type="spellEnd"/>
      <w:r w:rsidRPr="00225D4D">
        <w:t xml:space="preserve"> </w:t>
      </w:r>
      <w:proofErr w:type="spellStart"/>
      <w:r w:rsidRPr="00225D4D">
        <w:t>ein</w:t>
      </w:r>
      <w:proofErr w:type="spellEnd"/>
      <w:r w:rsidRPr="00225D4D">
        <w:t xml:space="preserve"> eller </w:t>
      </w:r>
      <w:proofErr w:type="spellStart"/>
      <w:r w:rsidRPr="00225D4D">
        <w:t>fleire</w:t>
      </w:r>
      <w:proofErr w:type="spellEnd"/>
      <w:r w:rsidRPr="00225D4D">
        <w:t xml:space="preserve"> </w:t>
      </w:r>
      <w:proofErr w:type="spellStart"/>
      <w:r w:rsidRPr="00225D4D">
        <w:t>sektorar</w:t>
      </w:r>
      <w:proofErr w:type="spellEnd"/>
      <w:r w:rsidRPr="00225D4D">
        <w:t xml:space="preserve">, i staden blir knytt til </w:t>
      </w:r>
      <w:proofErr w:type="spellStart"/>
      <w:r w:rsidRPr="00225D4D">
        <w:t>meir</w:t>
      </w:r>
      <w:proofErr w:type="spellEnd"/>
      <w:r w:rsidRPr="00225D4D">
        <w:t xml:space="preserve"> overordna formål og </w:t>
      </w:r>
      <w:proofErr w:type="spellStart"/>
      <w:r w:rsidRPr="00225D4D">
        <w:t>føringar</w:t>
      </w:r>
      <w:proofErr w:type="spellEnd"/>
      <w:r w:rsidRPr="00225D4D">
        <w:t xml:space="preserve"> uavhengig av sektor.</w:t>
      </w:r>
    </w:p>
    <w:p w14:paraId="009E692A" w14:textId="77777777" w:rsidR="00D60186" w:rsidRPr="00225D4D" w:rsidRDefault="00D60186" w:rsidP="00225D4D">
      <w:r w:rsidRPr="00225D4D">
        <w:t xml:space="preserve">For å bidra til at </w:t>
      </w:r>
      <w:proofErr w:type="spellStart"/>
      <w:r w:rsidRPr="00225D4D">
        <w:t>tenestene</w:t>
      </w:r>
      <w:proofErr w:type="spellEnd"/>
      <w:r w:rsidRPr="00225D4D">
        <w:t xml:space="preserve"> til barn og unge blir betre samordna og </w:t>
      </w:r>
      <w:proofErr w:type="spellStart"/>
      <w:r w:rsidRPr="00225D4D">
        <w:t>meir</w:t>
      </w:r>
      <w:proofErr w:type="spellEnd"/>
      <w:r w:rsidRPr="00225D4D">
        <w:t xml:space="preserve"> </w:t>
      </w:r>
      <w:proofErr w:type="spellStart"/>
      <w:r w:rsidRPr="00225D4D">
        <w:t>heilskaplege</w:t>
      </w:r>
      <w:proofErr w:type="spellEnd"/>
      <w:r w:rsidRPr="00225D4D">
        <w:t xml:space="preserve">, er det sett i gang </w:t>
      </w:r>
      <w:proofErr w:type="spellStart"/>
      <w:r w:rsidRPr="00225D4D">
        <w:t>eit</w:t>
      </w:r>
      <w:proofErr w:type="spellEnd"/>
      <w:r w:rsidRPr="00225D4D">
        <w:t xml:space="preserve"> samarbeid mellom </w:t>
      </w:r>
      <w:proofErr w:type="spellStart"/>
      <w:r w:rsidRPr="00225D4D">
        <w:t>fleire</w:t>
      </w:r>
      <w:proofErr w:type="spellEnd"/>
      <w:r w:rsidRPr="00225D4D">
        <w:t xml:space="preserve"> av velferdsdirektorata om </w:t>
      </w:r>
      <w:proofErr w:type="spellStart"/>
      <w:r w:rsidRPr="00225D4D">
        <w:t>eit</w:t>
      </w:r>
      <w:proofErr w:type="spellEnd"/>
      <w:r w:rsidRPr="00225D4D">
        <w:t xml:space="preserve"> felles </w:t>
      </w:r>
      <w:proofErr w:type="spellStart"/>
      <w:r w:rsidRPr="00225D4D">
        <w:t>leiarutviklingstilbod</w:t>
      </w:r>
      <w:proofErr w:type="spellEnd"/>
      <w:r w:rsidRPr="00225D4D">
        <w:t xml:space="preserve"> på tvers av </w:t>
      </w:r>
      <w:proofErr w:type="spellStart"/>
      <w:r w:rsidRPr="00225D4D">
        <w:t>sektorar</w:t>
      </w:r>
      <w:proofErr w:type="spellEnd"/>
      <w:r w:rsidRPr="00225D4D">
        <w:t xml:space="preserve"> og nivå i </w:t>
      </w:r>
      <w:proofErr w:type="spellStart"/>
      <w:r w:rsidRPr="00225D4D">
        <w:t>kommunane</w:t>
      </w:r>
      <w:proofErr w:type="spellEnd"/>
      <w:r w:rsidRPr="00225D4D">
        <w:t xml:space="preserve">. </w:t>
      </w:r>
      <w:proofErr w:type="spellStart"/>
      <w:r w:rsidRPr="00225D4D">
        <w:t>Vidare</w:t>
      </w:r>
      <w:proofErr w:type="spellEnd"/>
      <w:r w:rsidRPr="00225D4D">
        <w:t xml:space="preserve"> sender departementa felles styringssignal til </w:t>
      </w:r>
      <w:proofErr w:type="spellStart"/>
      <w:r w:rsidRPr="00225D4D">
        <w:t>underliggande</w:t>
      </w:r>
      <w:proofErr w:type="spellEnd"/>
      <w:r w:rsidRPr="00225D4D">
        <w:t xml:space="preserve"> direktorat og </w:t>
      </w:r>
      <w:proofErr w:type="spellStart"/>
      <w:r w:rsidRPr="00225D4D">
        <w:t>statsforvaltarar</w:t>
      </w:r>
      <w:proofErr w:type="spellEnd"/>
      <w:r w:rsidRPr="00225D4D">
        <w:t xml:space="preserve"> om samarbeid og samordning av </w:t>
      </w:r>
      <w:proofErr w:type="spellStart"/>
      <w:r w:rsidRPr="00225D4D">
        <w:t>verkemiddel</w:t>
      </w:r>
      <w:proofErr w:type="spellEnd"/>
      <w:r w:rsidRPr="00225D4D">
        <w:t xml:space="preserve"> i </w:t>
      </w:r>
      <w:proofErr w:type="spellStart"/>
      <w:r w:rsidRPr="00225D4D">
        <w:t>kommunane</w:t>
      </w:r>
      <w:proofErr w:type="spellEnd"/>
      <w:r w:rsidRPr="00225D4D">
        <w:t xml:space="preserve"> for å styrke laget rundt barn og unge. Arbeidet med felles politikkutforming i utgreiings-, avgjerds- og </w:t>
      </w:r>
      <w:proofErr w:type="spellStart"/>
      <w:r w:rsidRPr="00225D4D">
        <w:t>iverksetjingsfasen</w:t>
      </w:r>
      <w:proofErr w:type="spellEnd"/>
      <w:r w:rsidRPr="00225D4D">
        <w:t xml:space="preserve"> når det gjeld det breie laget rundt barn og unge, blir </w:t>
      </w:r>
      <w:proofErr w:type="spellStart"/>
      <w:r w:rsidRPr="00225D4D">
        <w:t>følgt</w:t>
      </w:r>
      <w:proofErr w:type="spellEnd"/>
      <w:r w:rsidRPr="00225D4D">
        <w:t xml:space="preserve"> opp gjennom samarbeidet i kjernegruppa for </w:t>
      </w:r>
      <w:proofErr w:type="gramStart"/>
      <w:r w:rsidRPr="00225D4D">
        <w:t>utsette</w:t>
      </w:r>
      <w:proofErr w:type="gramEnd"/>
      <w:r w:rsidRPr="00225D4D">
        <w:t xml:space="preserve"> barn og unge (KUBU), som består av sju departement og 13 direktorat, </w:t>
      </w:r>
      <w:proofErr w:type="spellStart"/>
      <w:r w:rsidRPr="00225D4D">
        <w:t>etatar</w:t>
      </w:r>
      <w:proofErr w:type="spellEnd"/>
      <w:r w:rsidRPr="00225D4D">
        <w:t xml:space="preserve"> og institutt.</w:t>
      </w:r>
    </w:p>
    <w:p w14:paraId="58351858" w14:textId="77777777" w:rsidR="00D60186" w:rsidRPr="00225D4D" w:rsidRDefault="00D60186" w:rsidP="00225D4D">
      <w:r w:rsidRPr="00225D4D">
        <w:t xml:space="preserve">Regjeringa har sett i gang </w:t>
      </w:r>
      <w:proofErr w:type="spellStart"/>
      <w:r w:rsidRPr="00225D4D">
        <w:t>eit</w:t>
      </w:r>
      <w:proofErr w:type="spellEnd"/>
      <w:r w:rsidRPr="00225D4D">
        <w:t xml:space="preserve"> målretta samfunnsoppdrag for inkludering av </w:t>
      </w:r>
      <w:proofErr w:type="spellStart"/>
      <w:r w:rsidRPr="00225D4D">
        <w:t>fleire</w:t>
      </w:r>
      <w:proofErr w:type="spellEnd"/>
      <w:r w:rsidRPr="00225D4D">
        <w:t xml:space="preserve"> barn og unge i utdanning, arbeid og samfunnsliv, jf. Meld. St. 28 (2024–2025) </w:t>
      </w:r>
      <w:r w:rsidRPr="00225D4D">
        <w:rPr>
          <w:rStyle w:val="kursiv"/>
        </w:rPr>
        <w:t>Tro på framtida – uansett bakgrunn</w:t>
      </w:r>
      <w:r w:rsidRPr="00225D4D">
        <w:t xml:space="preserve"> (oppvekstmeldinga) og Meld. St. 5 (2022–2023)</w:t>
      </w:r>
      <w:r w:rsidRPr="00225D4D">
        <w:rPr>
          <w:rStyle w:val="kursiv"/>
        </w:rPr>
        <w:t xml:space="preserve"> Langtidsplan for forskning og høyere utdanning 2023–2032</w:t>
      </w:r>
      <w:r w:rsidRPr="00225D4D">
        <w:t xml:space="preserve">. Dette er ei satsing som skal mobilisere alle relevante </w:t>
      </w:r>
      <w:proofErr w:type="spellStart"/>
      <w:r w:rsidRPr="00225D4D">
        <w:t>aktørar</w:t>
      </w:r>
      <w:proofErr w:type="spellEnd"/>
      <w:r w:rsidRPr="00225D4D">
        <w:t xml:space="preserve"> på tvers av </w:t>
      </w:r>
      <w:proofErr w:type="spellStart"/>
      <w:r w:rsidRPr="00225D4D">
        <w:t>sektorar</w:t>
      </w:r>
      <w:proofErr w:type="spellEnd"/>
      <w:r w:rsidRPr="00225D4D">
        <w:t xml:space="preserve"> og nivå til </w:t>
      </w:r>
      <w:proofErr w:type="spellStart"/>
      <w:r w:rsidRPr="00225D4D">
        <w:t>eit</w:t>
      </w:r>
      <w:proofErr w:type="spellEnd"/>
      <w:r w:rsidRPr="00225D4D">
        <w:t xml:space="preserve"> felles arbeid for å finne effektive og innovative inkluderingstiltak. Samfunnsoppdraget skal bidra til at det blir utvikla ny kunnskap gjennom å prøve ut nye </w:t>
      </w:r>
      <w:proofErr w:type="spellStart"/>
      <w:r w:rsidRPr="00225D4D">
        <w:t>måtar</w:t>
      </w:r>
      <w:proofErr w:type="spellEnd"/>
      <w:r w:rsidRPr="00225D4D">
        <w:t xml:space="preserve"> å arbeide på, og til at kunnskapen om kva som </w:t>
      </w:r>
      <w:proofErr w:type="spellStart"/>
      <w:r w:rsidRPr="00225D4D">
        <w:t>verkar</w:t>
      </w:r>
      <w:proofErr w:type="spellEnd"/>
      <w:r w:rsidRPr="00225D4D">
        <w:t xml:space="preserve">, blir teken i bruk. For å bidra til god dialog og ei brei mobilisering vil det bli oppretta ei </w:t>
      </w:r>
      <w:proofErr w:type="spellStart"/>
      <w:r w:rsidRPr="00225D4D">
        <w:t>partnarskapsgruppe</w:t>
      </w:r>
      <w:proofErr w:type="spellEnd"/>
      <w:r w:rsidRPr="00225D4D">
        <w:t xml:space="preserve"> for samfunnsoppdraget, med </w:t>
      </w:r>
      <w:proofErr w:type="spellStart"/>
      <w:r w:rsidRPr="00225D4D">
        <w:t>representantar</w:t>
      </w:r>
      <w:proofErr w:type="spellEnd"/>
      <w:r w:rsidRPr="00225D4D">
        <w:t xml:space="preserve"> </w:t>
      </w:r>
      <w:proofErr w:type="spellStart"/>
      <w:r w:rsidRPr="00225D4D">
        <w:t>frå</w:t>
      </w:r>
      <w:proofErr w:type="spellEnd"/>
      <w:r w:rsidRPr="00225D4D">
        <w:t xml:space="preserve"> kommunal og frivillig sektor og </w:t>
      </w:r>
      <w:proofErr w:type="spellStart"/>
      <w:r w:rsidRPr="00225D4D">
        <w:t>partane</w:t>
      </w:r>
      <w:proofErr w:type="spellEnd"/>
      <w:r w:rsidRPr="00225D4D">
        <w:t xml:space="preserve"> i arbeidslivet. Det skal òg bli etablert ei innsatsgruppe med Forskingsrådet som vertskap.</w:t>
      </w:r>
    </w:p>
    <w:p w14:paraId="07F3DFA1" w14:textId="77777777" w:rsidR="00D60186" w:rsidRPr="00225D4D" w:rsidRDefault="00D60186" w:rsidP="00225D4D">
      <w:r w:rsidRPr="00225D4D">
        <w:t xml:space="preserve">Regjeringa vil bidra til å vise døme på gode </w:t>
      </w:r>
      <w:proofErr w:type="spellStart"/>
      <w:r w:rsidRPr="00225D4D">
        <w:t>løysingar</w:t>
      </w:r>
      <w:proofErr w:type="spellEnd"/>
      <w:r w:rsidRPr="00225D4D">
        <w:t xml:space="preserve">, slik at </w:t>
      </w:r>
      <w:proofErr w:type="spellStart"/>
      <w:r w:rsidRPr="00225D4D">
        <w:t>kommunane</w:t>
      </w:r>
      <w:proofErr w:type="spellEnd"/>
      <w:r w:rsidRPr="00225D4D">
        <w:t xml:space="preserve"> kan lære av </w:t>
      </w:r>
      <w:proofErr w:type="spellStart"/>
      <w:r w:rsidRPr="00225D4D">
        <w:t>kvarandre</w:t>
      </w:r>
      <w:proofErr w:type="spellEnd"/>
      <w:r w:rsidRPr="00225D4D">
        <w:t xml:space="preserve">. Kunnskap om kva for yrkesgrupper som er med i laget rundt barnet og eleven, er nyttig i denne </w:t>
      </w:r>
      <w:proofErr w:type="spellStart"/>
      <w:r w:rsidRPr="00225D4D">
        <w:t>samanhengen</w:t>
      </w:r>
      <w:proofErr w:type="spellEnd"/>
      <w:r w:rsidRPr="00225D4D">
        <w:t xml:space="preserve">. Regjeringa vil gi Utdanningsdirektoratet i oppdrag å innhente statistikk </w:t>
      </w:r>
      <w:proofErr w:type="spellStart"/>
      <w:r w:rsidRPr="00225D4D">
        <w:t>frå</w:t>
      </w:r>
      <w:proofErr w:type="spellEnd"/>
      <w:r w:rsidRPr="00225D4D">
        <w:t xml:space="preserve"> SSB med </w:t>
      </w:r>
      <w:proofErr w:type="spellStart"/>
      <w:r w:rsidRPr="00225D4D">
        <w:t>nokre</w:t>
      </w:r>
      <w:proofErr w:type="spellEnd"/>
      <w:r w:rsidRPr="00225D4D">
        <w:t xml:space="preserve"> års mellomrom for både barnehage og </w:t>
      </w:r>
      <w:proofErr w:type="spellStart"/>
      <w:r w:rsidRPr="00225D4D">
        <w:t>skule</w:t>
      </w:r>
      <w:proofErr w:type="spellEnd"/>
      <w:r w:rsidRPr="00225D4D">
        <w:t xml:space="preserve">. Konkret kan det </w:t>
      </w:r>
      <w:proofErr w:type="spellStart"/>
      <w:r w:rsidRPr="00225D4D">
        <w:t>vere</w:t>
      </w:r>
      <w:proofErr w:type="spellEnd"/>
      <w:r w:rsidRPr="00225D4D">
        <w:t xml:space="preserve"> aktuelt å be SSB </w:t>
      </w:r>
      <w:proofErr w:type="spellStart"/>
      <w:r w:rsidRPr="00225D4D">
        <w:t>samanlikne</w:t>
      </w:r>
      <w:proofErr w:type="spellEnd"/>
      <w:r w:rsidRPr="00225D4D">
        <w:t xml:space="preserve"> informasjon om ulike yrkesgrupper i </w:t>
      </w:r>
      <w:proofErr w:type="spellStart"/>
      <w:r w:rsidRPr="00225D4D">
        <w:t>skulen</w:t>
      </w:r>
      <w:proofErr w:type="spellEnd"/>
      <w:r w:rsidRPr="00225D4D">
        <w:t xml:space="preserve"> for å sjå på </w:t>
      </w:r>
      <w:proofErr w:type="spellStart"/>
      <w:r w:rsidRPr="00225D4D">
        <w:t>forskjellar</w:t>
      </w:r>
      <w:proofErr w:type="spellEnd"/>
      <w:r w:rsidRPr="00225D4D">
        <w:t xml:space="preserve"> når det </w:t>
      </w:r>
      <w:proofErr w:type="spellStart"/>
      <w:r w:rsidRPr="00225D4D">
        <w:t>gjeld</w:t>
      </w:r>
      <w:proofErr w:type="spellEnd"/>
      <w:r w:rsidRPr="00225D4D">
        <w:t xml:space="preserve"> kommune- og skulestorleik, regionale </w:t>
      </w:r>
      <w:proofErr w:type="spellStart"/>
      <w:r w:rsidRPr="00225D4D">
        <w:t>forskjellar</w:t>
      </w:r>
      <w:proofErr w:type="spellEnd"/>
      <w:r w:rsidRPr="00225D4D">
        <w:t xml:space="preserve">, og kva yrkesgrupper som er </w:t>
      </w:r>
      <w:proofErr w:type="spellStart"/>
      <w:r w:rsidRPr="00225D4D">
        <w:t>vanlegast</w:t>
      </w:r>
      <w:proofErr w:type="spellEnd"/>
      <w:r w:rsidRPr="00225D4D">
        <w:t xml:space="preserve"> rundt omkring i landet.</w:t>
      </w:r>
    </w:p>
    <w:p w14:paraId="31D6C6EE"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179A6F15" w14:textId="77777777" w:rsidR="00D60186" w:rsidRPr="00225D4D" w:rsidRDefault="00D60186" w:rsidP="00225D4D">
      <w:pPr>
        <w:pStyle w:val="avsnitt-tittel"/>
      </w:pPr>
      <w:r w:rsidRPr="00225D4D">
        <w:t xml:space="preserve">Strategi for spesialpedagogisk kompetanse i </w:t>
      </w:r>
      <w:proofErr w:type="spellStart"/>
      <w:r w:rsidRPr="00225D4D">
        <w:t>skulen</w:t>
      </w:r>
      <w:proofErr w:type="spellEnd"/>
      <w:r w:rsidRPr="00225D4D">
        <w:t xml:space="preserve"> og </w:t>
      </w:r>
      <w:proofErr w:type="spellStart"/>
      <w:r w:rsidRPr="00225D4D">
        <w:t>tilstrekkeleg</w:t>
      </w:r>
      <w:proofErr w:type="spellEnd"/>
      <w:r w:rsidRPr="00225D4D">
        <w:t xml:space="preserve"> kapasitet i PP-</w:t>
      </w:r>
      <w:proofErr w:type="spellStart"/>
      <w:r w:rsidRPr="00225D4D">
        <w:t>tenesta</w:t>
      </w:r>
      <w:proofErr w:type="spellEnd"/>
    </w:p>
    <w:p w14:paraId="1AA42B35" w14:textId="77777777" w:rsidR="00D60186" w:rsidRPr="00225D4D" w:rsidRDefault="00D60186" w:rsidP="00225D4D">
      <w:pPr>
        <w:pStyle w:val="avsnitt-undertittel"/>
      </w:pPr>
      <w:r w:rsidRPr="00225D4D">
        <w:t>Vedtak nr. 65, 28. november 2024:</w:t>
      </w:r>
    </w:p>
    <w:p w14:paraId="271A5B09" w14:textId="77777777" w:rsidR="00D60186" w:rsidRPr="00225D4D" w:rsidRDefault="00D60186" w:rsidP="00225D4D">
      <w:pPr>
        <w:pStyle w:val="blokksit"/>
        <w:rPr>
          <w:rStyle w:val="kursiv"/>
        </w:rPr>
      </w:pPr>
      <w:r w:rsidRPr="00225D4D">
        <w:rPr>
          <w:rStyle w:val="kursiv"/>
        </w:rPr>
        <w:t>Stortinget ber regjeringen styrke tilbudet til barn som trenger tilrettelegging, ved å legge frem en konkret strategi for å sikre spesialpedagogisk kompetanse i skolen og tilstrekkelig kapasitet i PP-tjenesten.</w:t>
      </w:r>
    </w:p>
    <w:p w14:paraId="3923266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34 (2023–2024) </w:t>
      </w:r>
      <w:r w:rsidRPr="00225D4D">
        <w:rPr>
          <w:rStyle w:val="kursiv"/>
        </w:rPr>
        <w:t>En mer praktisk skole – Bedre læring, motivasjon og trivsel på 5.–10. trinn</w:t>
      </w:r>
      <w:r w:rsidRPr="00225D4D">
        <w:t xml:space="preserve">, jf. </w:t>
      </w:r>
      <w:proofErr w:type="spellStart"/>
      <w:r w:rsidRPr="00225D4D">
        <w:t>Innst</w:t>
      </w:r>
      <w:proofErr w:type="spellEnd"/>
      <w:r w:rsidRPr="00225D4D">
        <w:t>. 55 S (2024–2025).</w:t>
      </w:r>
    </w:p>
    <w:p w14:paraId="14846DB2" w14:textId="77777777" w:rsidR="00D60186" w:rsidRPr="00225D4D" w:rsidRDefault="00D60186" w:rsidP="00225D4D">
      <w:r w:rsidRPr="00225D4D">
        <w:t xml:space="preserve">Den spesialpedagogiske kompetansen for </w:t>
      </w:r>
      <w:proofErr w:type="gramStart"/>
      <w:r w:rsidRPr="00225D4D">
        <w:t>tilsette</w:t>
      </w:r>
      <w:proofErr w:type="gramEnd"/>
      <w:r w:rsidRPr="00225D4D">
        <w:t xml:space="preserve"> i barnehage og </w:t>
      </w:r>
      <w:proofErr w:type="spellStart"/>
      <w:r w:rsidRPr="00225D4D">
        <w:t>skule</w:t>
      </w:r>
      <w:proofErr w:type="spellEnd"/>
      <w:r w:rsidRPr="00225D4D">
        <w:t xml:space="preserve"> har blitt styrkt </w:t>
      </w:r>
      <w:proofErr w:type="spellStart"/>
      <w:r w:rsidRPr="00225D4D">
        <w:t>dei</w:t>
      </w:r>
      <w:proofErr w:type="spellEnd"/>
      <w:r w:rsidRPr="00225D4D">
        <w:t xml:space="preserve"> </w:t>
      </w:r>
      <w:proofErr w:type="spellStart"/>
      <w:r w:rsidRPr="00225D4D">
        <w:t>seinare</w:t>
      </w:r>
      <w:proofErr w:type="spellEnd"/>
      <w:r w:rsidRPr="00225D4D">
        <w:t xml:space="preserve"> åra gjennom kollektive kompetansetiltak for tilsette, PP-</w:t>
      </w:r>
      <w:proofErr w:type="spellStart"/>
      <w:r w:rsidRPr="00225D4D">
        <w:t>tenesta</w:t>
      </w:r>
      <w:proofErr w:type="spellEnd"/>
      <w:r w:rsidRPr="00225D4D">
        <w:t xml:space="preserve"> og andre </w:t>
      </w:r>
      <w:proofErr w:type="spellStart"/>
      <w:r w:rsidRPr="00225D4D">
        <w:t>tenester</w:t>
      </w:r>
      <w:proofErr w:type="spellEnd"/>
      <w:r w:rsidRPr="00225D4D">
        <w:t xml:space="preserve"> i laget rundt i kompetanseløftet for spesialpedagogikk og </w:t>
      </w:r>
      <w:proofErr w:type="spellStart"/>
      <w:r w:rsidRPr="00225D4D">
        <w:t>inkluderande</w:t>
      </w:r>
      <w:proofErr w:type="spellEnd"/>
      <w:r w:rsidRPr="00225D4D">
        <w:t xml:space="preserve"> praksis, og gjennom mange </w:t>
      </w:r>
      <w:proofErr w:type="spellStart"/>
      <w:r w:rsidRPr="00225D4D">
        <w:t>fleire</w:t>
      </w:r>
      <w:proofErr w:type="spellEnd"/>
      <w:r w:rsidRPr="00225D4D">
        <w:t xml:space="preserve"> </w:t>
      </w:r>
      <w:proofErr w:type="spellStart"/>
      <w:r w:rsidRPr="00225D4D">
        <w:t>vidareutdanningstilbod</w:t>
      </w:r>
      <w:proofErr w:type="spellEnd"/>
      <w:r w:rsidRPr="00225D4D">
        <w:t xml:space="preserve"> i spesialpedagogikk for </w:t>
      </w:r>
      <w:proofErr w:type="spellStart"/>
      <w:r w:rsidRPr="00225D4D">
        <w:t>lærarar</w:t>
      </w:r>
      <w:proofErr w:type="spellEnd"/>
      <w:r w:rsidRPr="00225D4D">
        <w:t>.</w:t>
      </w:r>
    </w:p>
    <w:p w14:paraId="37711550" w14:textId="77777777" w:rsidR="00D60186" w:rsidRPr="00225D4D" w:rsidRDefault="00D60186" w:rsidP="00225D4D">
      <w:r w:rsidRPr="00225D4D">
        <w:t xml:space="preserve">I det nye </w:t>
      </w:r>
      <w:proofErr w:type="spellStart"/>
      <w:r w:rsidRPr="00225D4D">
        <w:t>heilskaplege</w:t>
      </w:r>
      <w:proofErr w:type="spellEnd"/>
      <w:r w:rsidRPr="00225D4D">
        <w:t xml:space="preserve"> systemet for kompetanse- og karriereutvikling som regjeringa </w:t>
      </w:r>
      <w:proofErr w:type="spellStart"/>
      <w:r w:rsidRPr="00225D4D">
        <w:t>no</w:t>
      </w:r>
      <w:proofErr w:type="spellEnd"/>
      <w:r w:rsidRPr="00225D4D">
        <w:t xml:space="preserve"> </w:t>
      </w:r>
      <w:proofErr w:type="spellStart"/>
      <w:r w:rsidRPr="00225D4D">
        <w:t>innfasar</w:t>
      </w:r>
      <w:proofErr w:type="spellEnd"/>
      <w:r w:rsidRPr="00225D4D">
        <w:t xml:space="preserve">, vil kompetanseløftet for spesialpedagogikk og </w:t>
      </w:r>
      <w:proofErr w:type="spellStart"/>
      <w:r w:rsidRPr="00225D4D">
        <w:t>inkluderande</w:t>
      </w:r>
      <w:proofErr w:type="spellEnd"/>
      <w:r w:rsidRPr="00225D4D">
        <w:t xml:space="preserve"> praksis bli </w:t>
      </w:r>
      <w:proofErr w:type="spellStart"/>
      <w:r w:rsidRPr="00225D4D">
        <w:t>ivareteke</w:t>
      </w:r>
      <w:proofErr w:type="spellEnd"/>
      <w:r w:rsidRPr="00225D4D">
        <w:t xml:space="preserve"> og inkludert i </w:t>
      </w:r>
      <w:proofErr w:type="spellStart"/>
      <w:r w:rsidRPr="00225D4D">
        <w:t>dei</w:t>
      </w:r>
      <w:proofErr w:type="spellEnd"/>
      <w:r w:rsidRPr="00225D4D">
        <w:t xml:space="preserve"> to nye </w:t>
      </w:r>
      <w:proofErr w:type="spellStart"/>
      <w:r w:rsidRPr="00225D4D">
        <w:t>tilskotsordningane</w:t>
      </w:r>
      <w:proofErr w:type="spellEnd"/>
      <w:r w:rsidRPr="00225D4D">
        <w:t xml:space="preserve"> for kollektiv kompetanseutvikling i barnehage og </w:t>
      </w:r>
      <w:proofErr w:type="spellStart"/>
      <w:r w:rsidRPr="00225D4D">
        <w:t>grunnskule</w:t>
      </w:r>
      <w:proofErr w:type="spellEnd"/>
      <w:r w:rsidRPr="00225D4D">
        <w:t xml:space="preserve"> og for </w:t>
      </w:r>
      <w:proofErr w:type="spellStart"/>
      <w:r w:rsidRPr="00225D4D">
        <w:t>vidaregåande</w:t>
      </w:r>
      <w:proofErr w:type="spellEnd"/>
      <w:r w:rsidRPr="00225D4D">
        <w:t xml:space="preserve"> opplæring som </w:t>
      </w:r>
      <w:proofErr w:type="spellStart"/>
      <w:r w:rsidRPr="00225D4D">
        <w:t>tek</w:t>
      </w:r>
      <w:proofErr w:type="spellEnd"/>
      <w:r w:rsidRPr="00225D4D">
        <w:t xml:space="preserve"> til å gjelde </w:t>
      </w:r>
      <w:proofErr w:type="spellStart"/>
      <w:r w:rsidRPr="00225D4D">
        <w:t>frå</w:t>
      </w:r>
      <w:proofErr w:type="spellEnd"/>
      <w:r w:rsidRPr="00225D4D">
        <w:t xml:space="preserve"> 2026. </w:t>
      </w:r>
      <w:proofErr w:type="spellStart"/>
      <w:r w:rsidRPr="00225D4D">
        <w:t>Frå</w:t>
      </w:r>
      <w:proofErr w:type="spellEnd"/>
      <w:r w:rsidRPr="00225D4D">
        <w:t xml:space="preserve"> 2026 vil også </w:t>
      </w:r>
      <w:proofErr w:type="spellStart"/>
      <w:r w:rsidRPr="00225D4D">
        <w:t>fleire</w:t>
      </w:r>
      <w:proofErr w:type="spellEnd"/>
      <w:r w:rsidRPr="00225D4D">
        <w:t xml:space="preserve"> </w:t>
      </w:r>
      <w:proofErr w:type="spellStart"/>
      <w:r w:rsidRPr="00225D4D">
        <w:t>lærarar</w:t>
      </w:r>
      <w:proofErr w:type="spellEnd"/>
      <w:r w:rsidRPr="00225D4D">
        <w:t xml:space="preserve"> og andre yrkesgrupper tilsette i barnehage og grunnopplæring få </w:t>
      </w:r>
      <w:proofErr w:type="spellStart"/>
      <w:r w:rsidRPr="00225D4D">
        <w:t>moglegheit</w:t>
      </w:r>
      <w:proofErr w:type="spellEnd"/>
      <w:r w:rsidRPr="00225D4D">
        <w:t xml:space="preserve"> til å ta </w:t>
      </w:r>
      <w:proofErr w:type="spellStart"/>
      <w:r w:rsidRPr="00225D4D">
        <w:t>vidareutdanning</w:t>
      </w:r>
      <w:proofErr w:type="spellEnd"/>
      <w:r w:rsidRPr="00225D4D">
        <w:t xml:space="preserve"> med like vilkår. Det er kommunen, fylkeskommunen og private </w:t>
      </w:r>
      <w:proofErr w:type="spellStart"/>
      <w:r w:rsidRPr="00225D4D">
        <w:t>eigarar</w:t>
      </w:r>
      <w:proofErr w:type="spellEnd"/>
      <w:r w:rsidRPr="00225D4D">
        <w:t xml:space="preserve"> som må prioritere kven av </w:t>
      </w:r>
      <w:proofErr w:type="spellStart"/>
      <w:r w:rsidRPr="00225D4D">
        <w:t>dei</w:t>
      </w:r>
      <w:proofErr w:type="spellEnd"/>
      <w:r w:rsidRPr="00225D4D">
        <w:t xml:space="preserve"> tilsette som skal delta i kompetansetiltaka ut </w:t>
      </w:r>
      <w:proofErr w:type="spellStart"/>
      <w:r w:rsidRPr="00225D4D">
        <w:t>frå</w:t>
      </w:r>
      <w:proofErr w:type="spellEnd"/>
      <w:r w:rsidRPr="00225D4D">
        <w:t xml:space="preserve"> ei vurdering av lokale kompetansebehov. Tilsette i PP-</w:t>
      </w:r>
      <w:proofErr w:type="spellStart"/>
      <w:r w:rsidRPr="00225D4D">
        <w:t>tenesta</w:t>
      </w:r>
      <w:proofErr w:type="spellEnd"/>
      <w:r w:rsidRPr="00225D4D">
        <w:t xml:space="preserve"> er også omfatta av </w:t>
      </w:r>
      <w:proofErr w:type="spellStart"/>
      <w:r w:rsidRPr="00225D4D">
        <w:t>desse</w:t>
      </w:r>
      <w:proofErr w:type="spellEnd"/>
      <w:r w:rsidRPr="00225D4D">
        <w:t xml:space="preserve"> kompetansetiltaka.</w:t>
      </w:r>
    </w:p>
    <w:p w14:paraId="084B7B21" w14:textId="77777777" w:rsidR="00D60186" w:rsidRPr="00225D4D" w:rsidRDefault="00D60186" w:rsidP="00225D4D">
      <w:r w:rsidRPr="00225D4D">
        <w:t xml:space="preserve">Departementet har gitt Utdanningsdirektoratet </w:t>
      </w:r>
      <w:proofErr w:type="spellStart"/>
      <w:r w:rsidRPr="00225D4D">
        <w:t>eit</w:t>
      </w:r>
      <w:proofErr w:type="spellEnd"/>
      <w:r w:rsidRPr="00225D4D">
        <w:t xml:space="preserve"> oppdrag om oppdatert kunnskap, status og aktuelle tiltak for å sikre betre </w:t>
      </w:r>
      <w:proofErr w:type="spellStart"/>
      <w:r w:rsidRPr="00225D4D">
        <w:t>tidleg</w:t>
      </w:r>
      <w:proofErr w:type="spellEnd"/>
      <w:r w:rsidRPr="00225D4D">
        <w:t xml:space="preserve"> innsats, tilpassa opplæring og individuell tilrettelegging. </w:t>
      </w:r>
      <w:proofErr w:type="spellStart"/>
      <w:r w:rsidRPr="00225D4D">
        <w:t>Ein</w:t>
      </w:r>
      <w:proofErr w:type="spellEnd"/>
      <w:r w:rsidRPr="00225D4D">
        <w:t xml:space="preserve"> del av oppdraget er at Utdanningsdirektoratet skal gjennomføre ei statusoppsummering av arbeidet med </w:t>
      </w:r>
      <w:proofErr w:type="spellStart"/>
      <w:r w:rsidRPr="00225D4D">
        <w:t>tidleg</w:t>
      </w:r>
      <w:proofErr w:type="spellEnd"/>
      <w:r w:rsidRPr="00225D4D">
        <w:t xml:space="preserve"> innsats, tilpassa opplæring og individuell tilrettelegging for barn og </w:t>
      </w:r>
      <w:proofErr w:type="spellStart"/>
      <w:r w:rsidRPr="00225D4D">
        <w:t>elevar</w:t>
      </w:r>
      <w:proofErr w:type="spellEnd"/>
      <w:r w:rsidRPr="00225D4D">
        <w:t xml:space="preserve"> i barnehage, </w:t>
      </w:r>
      <w:proofErr w:type="spellStart"/>
      <w:r w:rsidRPr="00225D4D">
        <w:t>skule</w:t>
      </w:r>
      <w:proofErr w:type="spellEnd"/>
      <w:r w:rsidRPr="00225D4D">
        <w:t xml:space="preserve"> og SFO, med gjennomgang av </w:t>
      </w:r>
      <w:proofErr w:type="spellStart"/>
      <w:r w:rsidRPr="00225D4D">
        <w:t>utfordringar</w:t>
      </w:r>
      <w:proofErr w:type="spellEnd"/>
      <w:r w:rsidRPr="00225D4D">
        <w:t xml:space="preserve"> på feltet og forslag til tiltak for </w:t>
      </w:r>
      <w:proofErr w:type="spellStart"/>
      <w:r w:rsidRPr="00225D4D">
        <w:t>vidare</w:t>
      </w:r>
      <w:proofErr w:type="spellEnd"/>
      <w:r w:rsidRPr="00225D4D">
        <w:t xml:space="preserve"> oppfølging. Denne delen av oppdraget skal etter planen leverast februar 2026. På bakgrunn av kunnskapsgrunnlaget som blir utarbeidd, skal Utdanningsdirektoratet tilrå kva tiltak som bør </w:t>
      </w:r>
      <w:proofErr w:type="spellStart"/>
      <w:r w:rsidRPr="00225D4D">
        <w:t>innførast</w:t>
      </w:r>
      <w:proofErr w:type="spellEnd"/>
      <w:r w:rsidRPr="00225D4D">
        <w:t xml:space="preserve"> for betre å sikre at </w:t>
      </w:r>
      <w:proofErr w:type="spellStart"/>
      <w:r w:rsidRPr="00225D4D">
        <w:t>skulane</w:t>
      </w:r>
      <w:proofErr w:type="spellEnd"/>
      <w:r w:rsidRPr="00225D4D">
        <w:t xml:space="preserve"> gjennomfører vedtak om individuell tilrettelegging av opplæringa og andre vedtak som gir </w:t>
      </w:r>
      <w:proofErr w:type="spellStart"/>
      <w:r w:rsidRPr="00225D4D">
        <w:t>grunnleggande</w:t>
      </w:r>
      <w:proofErr w:type="spellEnd"/>
      <w:r w:rsidRPr="00225D4D">
        <w:t xml:space="preserve"> </w:t>
      </w:r>
      <w:proofErr w:type="spellStart"/>
      <w:r w:rsidRPr="00225D4D">
        <w:t>føresetnader</w:t>
      </w:r>
      <w:proofErr w:type="spellEnd"/>
      <w:r w:rsidRPr="00225D4D">
        <w:t xml:space="preserve"> for å sikre at </w:t>
      </w:r>
      <w:proofErr w:type="spellStart"/>
      <w:r w:rsidRPr="00225D4D">
        <w:t>elevane</w:t>
      </w:r>
      <w:proofErr w:type="spellEnd"/>
      <w:r w:rsidRPr="00225D4D">
        <w:t xml:space="preserve"> får </w:t>
      </w:r>
      <w:proofErr w:type="spellStart"/>
      <w:r w:rsidRPr="00225D4D">
        <w:t>tilfredsstillande</w:t>
      </w:r>
      <w:proofErr w:type="spellEnd"/>
      <w:r w:rsidRPr="00225D4D">
        <w:t xml:space="preserve"> utbytte av opplæringa, og kva </w:t>
      </w:r>
      <w:proofErr w:type="spellStart"/>
      <w:r w:rsidRPr="00225D4D">
        <w:t>verkemiddel</w:t>
      </w:r>
      <w:proofErr w:type="spellEnd"/>
      <w:r w:rsidRPr="00225D4D">
        <w:t xml:space="preserve"> det bør </w:t>
      </w:r>
      <w:proofErr w:type="spellStart"/>
      <w:r w:rsidRPr="00225D4D">
        <w:t>vere</w:t>
      </w:r>
      <w:proofErr w:type="spellEnd"/>
      <w:r w:rsidRPr="00225D4D">
        <w:t xml:space="preserve"> for oppfølging der </w:t>
      </w:r>
      <w:proofErr w:type="spellStart"/>
      <w:r w:rsidRPr="00225D4D">
        <w:t>skulane</w:t>
      </w:r>
      <w:proofErr w:type="spellEnd"/>
      <w:r w:rsidRPr="00225D4D">
        <w:t xml:space="preserve"> </w:t>
      </w:r>
      <w:proofErr w:type="spellStart"/>
      <w:r w:rsidRPr="00225D4D">
        <w:t>ikkje</w:t>
      </w:r>
      <w:proofErr w:type="spellEnd"/>
      <w:r w:rsidRPr="00225D4D">
        <w:t xml:space="preserve"> gjennomfører slike vedtak. Denne delen av oppdraget skal etter planen leverast oktober 2025.</w:t>
      </w:r>
    </w:p>
    <w:p w14:paraId="52BF4507" w14:textId="77777777" w:rsidR="00D60186" w:rsidRPr="00225D4D" w:rsidRDefault="00D60186" w:rsidP="00225D4D">
      <w:r w:rsidRPr="00225D4D">
        <w:t>Vedtaket er under behandling.</w:t>
      </w:r>
    </w:p>
    <w:p w14:paraId="0EC8058C" w14:textId="77777777" w:rsidR="00D60186" w:rsidRPr="00225D4D" w:rsidRDefault="00D60186" w:rsidP="00225D4D">
      <w:pPr>
        <w:pStyle w:val="avsnitt-tittel"/>
      </w:pPr>
      <w:proofErr w:type="spellStart"/>
      <w:r w:rsidRPr="00225D4D">
        <w:t>Fremje</w:t>
      </w:r>
      <w:proofErr w:type="spellEnd"/>
      <w:r w:rsidRPr="00225D4D">
        <w:t xml:space="preserve"> forslag om å lovfeste rett til 12 </w:t>
      </w:r>
      <w:proofErr w:type="spellStart"/>
      <w:r w:rsidRPr="00225D4D">
        <w:t>timar</w:t>
      </w:r>
      <w:proofErr w:type="spellEnd"/>
      <w:r w:rsidRPr="00225D4D">
        <w:t xml:space="preserve"> gratis SFO på 1.–3. trinn</w:t>
      </w:r>
    </w:p>
    <w:p w14:paraId="2A8983D5" w14:textId="77777777" w:rsidR="00D60186" w:rsidRPr="00225D4D" w:rsidRDefault="00D60186" w:rsidP="00225D4D">
      <w:pPr>
        <w:pStyle w:val="avsnitt-undertittel"/>
      </w:pPr>
      <w:r w:rsidRPr="00225D4D">
        <w:t>Vedtak nr. 81, 5. desember 2024:</w:t>
      </w:r>
    </w:p>
    <w:p w14:paraId="78935027" w14:textId="77777777" w:rsidR="00D60186" w:rsidRPr="00225D4D" w:rsidRDefault="00D60186" w:rsidP="00225D4D">
      <w:pPr>
        <w:pStyle w:val="blokksit"/>
        <w:rPr>
          <w:rStyle w:val="kursiv"/>
        </w:rPr>
      </w:pPr>
      <w:r w:rsidRPr="00225D4D">
        <w:rPr>
          <w:rStyle w:val="kursiv"/>
        </w:rPr>
        <w:t>Stortinget ber regjeringen fremme forslag om å lovfeste retten til 12 timers gratis SFO i uken for elever fra 1.–3. trinn innen juni 2025.</w:t>
      </w:r>
    </w:p>
    <w:p w14:paraId="4676D6D6"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 S (2024–2025) for Kunnskapsdepartementet, jf. </w:t>
      </w:r>
      <w:proofErr w:type="spellStart"/>
      <w:r w:rsidRPr="00225D4D">
        <w:t>Innst</w:t>
      </w:r>
      <w:proofErr w:type="spellEnd"/>
      <w:r w:rsidRPr="00225D4D">
        <w:t>. 2 S (2024–2025).</w:t>
      </w:r>
    </w:p>
    <w:p w14:paraId="581CB485" w14:textId="77777777" w:rsidR="00D60186" w:rsidRPr="00225D4D" w:rsidRDefault="00D60186" w:rsidP="00225D4D">
      <w:r w:rsidRPr="00225D4D">
        <w:t xml:space="preserve">I tråd med oppmodingsvedtaket </w:t>
      </w:r>
      <w:proofErr w:type="spellStart"/>
      <w:r w:rsidRPr="00225D4D">
        <w:t>fremja</w:t>
      </w:r>
      <w:proofErr w:type="spellEnd"/>
      <w:r w:rsidRPr="00225D4D">
        <w:t xml:space="preserve"> Kunnskapsdepartementet 20. juni 2025 for Stortinget </w:t>
      </w:r>
      <w:proofErr w:type="spellStart"/>
      <w:r w:rsidRPr="00225D4D">
        <w:t>Prop</w:t>
      </w:r>
      <w:proofErr w:type="spellEnd"/>
      <w:r w:rsidRPr="00225D4D">
        <w:t xml:space="preserve">. 160 L (2024–2025) </w:t>
      </w:r>
      <w:r w:rsidRPr="00225D4D">
        <w:rPr>
          <w:rStyle w:val="kursiv"/>
        </w:rPr>
        <w:t xml:space="preserve">Endringer i </w:t>
      </w:r>
      <w:proofErr w:type="spellStart"/>
      <w:r w:rsidRPr="00225D4D">
        <w:rPr>
          <w:rStyle w:val="kursiv"/>
        </w:rPr>
        <w:t>opplæringslova</w:t>
      </w:r>
      <w:proofErr w:type="spellEnd"/>
      <w:r w:rsidRPr="00225D4D">
        <w:rPr>
          <w:rStyle w:val="kursiv"/>
        </w:rPr>
        <w:t xml:space="preserve"> (rett til 12 timer gratis skolefritidsordning i uken for elever på 1. til 3. trinn).</w:t>
      </w:r>
    </w:p>
    <w:p w14:paraId="604637EB"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00DC17E7" w14:textId="77777777" w:rsidR="00D60186" w:rsidRPr="00225D4D" w:rsidRDefault="00D60186" w:rsidP="00225D4D">
      <w:pPr>
        <w:pStyle w:val="avsnitt-tittel"/>
      </w:pPr>
      <w:r w:rsidRPr="00225D4D">
        <w:t xml:space="preserve">Styrke satsinga på </w:t>
      </w:r>
      <w:proofErr w:type="spellStart"/>
      <w:r w:rsidRPr="00225D4D">
        <w:t>teiknspråklege</w:t>
      </w:r>
      <w:proofErr w:type="spellEnd"/>
      <w:r w:rsidRPr="00225D4D">
        <w:t xml:space="preserve"> læremiddel</w:t>
      </w:r>
    </w:p>
    <w:p w14:paraId="168DB11E" w14:textId="77777777" w:rsidR="00D60186" w:rsidRPr="00225D4D" w:rsidRDefault="00D60186" w:rsidP="00225D4D">
      <w:pPr>
        <w:pStyle w:val="avsnitt-undertittel"/>
      </w:pPr>
      <w:r w:rsidRPr="00225D4D">
        <w:t>Vedtak nr. 481, 20. februar 2025:</w:t>
      </w:r>
    </w:p>
    <w:p w14:paraId="54D08837" w14:textId="77777777" w:rsidR="00D60186" w:rsidRPr="00225D4D" w:rsidRDefault="00D60186" w:rsidP="00225D4D">
      <w:pPr>
        <w:pStyle w:val="blokksit"/>
        <w:rPr>
          <w:rStyle w:val="kursiv"/>
        </w:rPr>
      </w:pPr>
      <w:r w:rsidRPr="00225D4D">
        <w:rPr>
          <w:rStyle w:val="kursiv"/>
        </w:rPr>
        <w:t>Stortinget ber regjeringen komme med tiltak for å styrke satsingen på tegnspråklige læremidler.</w:t>
      </w:r>
    </w:p>
    <w:p w14:paraId="5F0693C9"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8:27 S (2024–2025) </w:t>
      </w:r>
      <w:r w:rsidRPr="00225D4D">
        <w:rPr>
          <w:rStyle w:val="kursiv"/>
        </w:rPr>
        <w:t xml:space="preserve">Representantforslag fra stortingsrepresentantene Hilde Marie </w:t>
      </w:r>
      <w:proofErr w:type="spellStart"/>
      <w:r w:rsidRPr="00225D4D">
        <w:rPr>
          <w:rStyle w:val="kursiv"/>
        </w:rPr>
        <w:t>Gaebpie</w:t>
      </w:r>
      <w:proofErr w:type="spellEnd"/>
      <w:r w:rsidRPr="00225D4D">
        <w:rPr>
          <w:rStyle w:val="kursiv"/>
        </w:rPr>
        <w:t xml:space="preserve"> Danielsen, Kathy Lie, Christian Torset og Cato Brunvand Ellingsen om en handlingsplan for å styrke døve og tegnspråklige sine rettigheter og muligheter</w:t>
      </w:r>
      <w:r w:rsidRPr="00225D4D">
        <w:t xml:space="preserve">, jf. </w:t>
      </w:r>
      <w:proofErr w:type="spellStart"/>
      <w:r w:rsidRPr="00225D4D">
        <w:t>Innst</w:t>
      </w:r>
      <w:proofErr w:type="spellEnd"/>
      <w:r w:rsidRPr="00225D4D">
        <w:t>. 136 S (2024–2025).</w:t>
      </w:r>
    </w:p>
    <w:p w14:paraId="1A607A76" w14:textId="77777777" w:rsidR="00D60186" w:rsidRPr="00225D4D" w:rsidRDefault="00D60186" w:rsidP="00225D4D">
      <w:r w:rsidRPr="00225D4D">
        <w:t xml:space="preserve">Regjeringa har </w:t>
      </w:r>
      <w:proofErr w:type="spellStart"/>
      <w:r w:rsidRPr="00225D4D">
        <w:t>følgt</w:t>
      </w:r>
      <w:proofErr w:type="spellEnd"/>
      <w:r w:rsidRPr="00225D4D">
        <w:t xml:space="preserve"> opp vedtaket om å styrke satsinga på </w:t>
      </w:r>
      <w:proofErr w:type="spellStart"/>
      <w:r w:rsidRPr="00225D4D">
        <w:t>teiknspråklege</w:t>
      </w:r>
      <w:proofErr w:type="spellEnd"/>
      <w:r w:rsidRPr="00225D4D">
        <w:t xml:space="preserve"> læremiddel ved å </w:t>
      </w:r>
      <w:proofErr w:type="spellStart"/>
      <w:r w:rsidRPr="00225D4D">
        <w:t>auke</w:t>
      </w:r>
      <w:proofErr w:type="spellEnd"/>
      <w:r w:rsidRPr="00225D4D">
        <w:t xml:space="preserve"> løyvinga til </w:t>
      </w:r>
      <w:proofErr w:type="spellStart"/>
      <w:r w:rsidRPr="00225D4D">
        <w:t>Statped</w:t>
      </w:r>
      <w:proofErr w:type="spellEnd"/>
      <w:r w:rsidRPr="00225D4D">
        <w:t xml:space="preserve">. I revidert budsjett for 2025 vedtok Stortinget ei omprioritering av 2 mill. kroner ekstra til </w:t>
      </w:r>
      <w:proofErr w:type="spellStart"/>
      <w:r w:rsidRPr="00225D4D">
        <w:t>Statped</w:t>
      </w:r>
      <w:proofErr w:type="spellEnd"/>
      <w:r w:rsidRPr="00225D4D">
        <w:t xml:space="preserve"> for å </w:t>
      </w:r>
      <w:proofErr w:type="spellStart"/>
      <w:r w:rsidRPr="00225D4D">
        <w:t>auke</w:t>
      </w:r>
      <w:proofErr w:type="spellEnd"/>
      <w:r w:rsidRPr="00225D4D">
        <w:t xml:space="preserve"> produksjonen av </w:t>
      </w:r>
      <w:proofErr w:type="spellStart"/>
      <w:r w:rsidRPr="00225D4D">
        <w:t>teiknspråklege</w:t>
      </w:r>
      <w:proofErr w:type="spellEnd"/>
      <w:r w:rsidRPr="00225D4D">
        <w:t xml:space="preserve"> læremiddel. Regjeringa foreslår for 2026 </w:t>
      </w:r>
      <w:proofErr w:type="spellStart"/>
      <w:r w:rsidRPr="00225D4D">
        <w:t>ein</w:t>
      </w:r>
      <w:proofErr w:type="spellEnd"/>
      <w:r w:rsidRPr="00225D4D">
        <w:t xml:space="preserve"> varig </w:t>
      </w:r>
      <w:proofErr w:type="spellStart"/>
      <w:r w:rsidRPr="00225D4D">
        <w:t>auke</w:t>
      </w:r>
      <w:proofErr w:type="spellEnd"/>
      <w:r w:rsidRPr="00225D4D">
        <w:t xml:space="preserve"> til 4,5 mill. kroner til produksjon av læremiddel for </w:t>
      </w:r>
      <w:proofErr w:type="spellStart"/>
      <w:r w:rsidRPr="00225D4D">
        <w:t>teiknspråklege</w:t>
      </w:r>
      <w:proofErr w:type="spellEnd"/>
      <w:r w:rsidRPr="00225D4D">
        <w:t>.</w:t>
      </w:r>
    </w:p>
    <w:p w14:paraId="0246BEB0"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6F0E13CB" w14:textId="77777777" w:rsidR="00D60186" w:rsidRPr="00225D4D" w:rsidRDefault="00D60186" w:rsidP="00225D4D">
      <w:pPr>
        <w:pStyle w:val="avsnitt-tittel"/>
      </w:pPr>
      <w:proofErr w:type="spellStart"/>
      <w:r w:rsidRPr="00225D4D">
        <w:t>Julegudstenester</w:t>
      </w:r>
      <w:proofErr w:type="spellEnd"/>
      <w:r w:rsidRPr="00225D4D">
        <w:t xml:space="preserve"> i opplæringslova</w:t>
      </w:r>
    </w:p>
    <w:p w14:paraId="0A1A32E3" w14:textId="77777777" w:rsidR="00D60186" w:rsidRPr="00225D4D" w:rsidRDefault="00D60186" w:rsidP="00225D4D">
      <w:pPr>
        <w:pStyle w:val="avsnitt-undertittel"/>
      </w:pPr>
      <w:r w:rsidRPr="00225D4D">
        <w:t>Vedtak nr. 487, 20. februar 2025:</w:t>
      </w:r>
    </w:p>
    <w:p w14:paraId="2A1ED44E" w14:textId="77777777" w:rsidR="00D60186" w:rsidRPr="00225D4D" w:rsidRDefault="00D60186" w:rsidP="00225D4D">
      <w:pPr>
        <w:pStyle w:val="blokksit"/>
        <w:rPr>
          <w:rStyle w:val="kursiv"/>
        </w:rPr>
      </w:pPr>
      <w:r w:rsidRPr="00225D4D">
        <w:rPr>
          <w:rStyle w:val="kursiv"/>
        </w:rPr>
        <w:t>Stortinget ber regjeringen vurdere om muligheten til å avholde julegudstjenester kan forankres i opplæringsloven på en hensiktsmessig måte, for å sikre at denne tradisjonen fortsetter, og komme tilbake til Stortinget på egnet måte.</w:t>
      </w:r>
    </w:p>
    <w:p w14:paraId="7BC383C2"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8:29 S (2024–2025) </w:t>
      </w:r>
      <w:r w:rsidRPr="00225D4D">
        <w:rPr>
          <w:rStyle w:val="kursiv"/>
        </w:rPr>
        <w:t xml:space="preserve">Representantforslag fra stortingsrepresentantene Kjell Ingolf Ropstad, Dag-Inge Ulstein og Olaug </w:t>
      </w:r>
      <w:proofErr w:type="spellStart"/>
      <w:r w:rsidRPr="00225D4D">
        <w:rPr>
          <w:rStyle w:val="kursiv"/>
        </w:rPr>
        <w:t>Vervik</w:t>
      </w:r>
      <w:proofErr w:type="spellEnd"/>
      <w:r w:rsidRPr="00225D4D">
        <w:rPr>
          <w:rStyle w:val="kursiv"/>
        </w:rPr>
        <w:t xml:space="preserve"> Bollestad om at alle elever skal få tilbud om å delta på skolegudstjenester</w:t>
      </w:r>
      <w:r w:rsidRPr="00225D4D">
        <w:t xml:space="preserve"> og Dokument 8:33 S (2024–2025) </w:t>
      </w:r>
      <w:r w:rsidRPr="00225D4D">
        <w:rPr>
          <w:rStyle w:val="kursiv"/>
        </w:rPr>
        <w:t xml:space="preserve">Representantforslag fra stortingsrepresentantene </w:t>
      </w:r>
      <w:proofErr w:type="spellStart"/>
      <w:r w:rsidRPr="00225D4D">
        <w:rPr>
          <w:rStyle w:val="kursiv"/>
        </w:rPr>
        <w:t>Himanshu</w:t>
      </w:r>
      <w:proofErr w:type="spellEnd"/>
      <w:r w:rsidRPr="00225D4D">
        <w:rPr>
          <w:rStyle w:val="kursiv"/>
        </w:rPr>
        <w:t xml:space="preserve"> </w:t>
      </w:r>
      <w:proofErr w:type="spellStart"/>
      <w:r w:rsidRPr="00225D4D">
        <w:rPr>
          <w:rStyle w:val="kursiv"/>
        </w:rPr>
        <w:t>Gulati</w:t>
      </w:r>
      <w:proofErr w:type="spellEnd"/>
      <w:r w:rsidRPr="00225D4D">
        <w:rPr>
          <w:rStyle w:val="kursiv"/>
        </w:rPr>
        <w:t xml:space="preserve"> og Tor André Johnsen om at julegudstjenester må forankres i opplæringsloven</w:t>
      </w:r>
      <w:r w:rsidRPr="00225D4D">
        <w:t xml:space="preserve">, jf. </w:t>
      </w:r>
      <w:proofErr w:type="spellStart"/>
      <w:r w:rsidRPr="00225D4D">
        <w:t>Innst</w:t>
      </w:r>
      <w:proofErr w:type="spellEnd"/>
      <w:r w:rsidRPr="00225D4D">
        <w:t>. 141 S (2024–2025).</w:t>
      </w:r>
    </w:p>
    <w:p w14:paraId="16A29800" w14:textId="77777777" w:rsidR="00D60186" w:rsidRPr="00225D4D" w:rsidRDefault="00D60186" w:rsidP="00225D4D">
      <w:r w:rsidRPr="00225D4D">
        <w:t xml:space="preserve">Regjeringa har gjort ei vurdering slik Stortinget har bede om. Regjeringa har </w:t>
      </w:r>
      <w:proofErr w:type="spellStart"/>
      <w:r w:rsidRPr="00225D4D">
        <w:t>kome</w:t>
      </w:r>
      <w:proofErr w:type="spellEnd"/>
      <w:r w:rsidRPr="00225D4D">
        <w:t xml:space="preserve"> fram til at høvet til å </w:t>
      </w:r>
      <w:proofErr w:type="spellStart"/>
      <w:r w:rsidRPr="00225D4D">
        <w:t>halde</w:t>
      </w:r>
      <w:proofErr w:type="spellEnd"/>
      <w:r w:rsidRPr="00225D4D">
        <w:t xml:space="preserve"> </w:t>
      </w:r>
      <w:proofErr w:type="spellStart"/>
      <w:r w:rsidRPr="00225D4D">
        <w:t>julegudstenester</w:t>
      </w:r>
      <w:proofErr w:type="spellEnd"/>
      <w:r w:rsidRPr="00225D4D">
        <w:t xml:space="preserve"> </w:t>
      </w:r>
      <w:proofErr w:type="spellStart"/>
      <w:r w:rsidRPr="00225D4D">
        <w:t>allereie</w:t>
      </w:r>
      <w:proofErr w:type="spellEnd"/>
      <w:r w:rsidRPr="00225D4D">
        <w:t xml:space="preserve"> er forankra i </w:t>
      </w:r>
      <w:proofErr w:type="spellStart"/>
      <w:r w:rsidRPr="00225D4D">
        <w:t>opplæringslova</w:t>
      </w:r>
      <w:proofErr w:type="spellEnd"/>
      <w:r w:rsidRPr="00225D4D">
        <w:t xml:space="preserve"> på </w:t>
      </w:r>
      <w:proofErr w:type="spellStart"/>
      <w:r w:rsidRPr="00225D4D">
        <w:t>ein</w:t>
      </w:r>
      <w:proofErr w:type="spellEnd"/>
      <w:r w:rsidRPr="00225D4D">
        <w:t xml:space="preserve"> </w:t>
      </w:r>
      <w:proofErr w:type="spellStart"/>
      <w:r w:rsidRPr="00225D4D">
        <w:t>formålstenleg</w:t>
      </w:r>
      <w:proofErr w:type="spellEnd"/>
      <w:r w:rsidRPr="00225D4D">
        <w:t xml:space="preserve"> måte. Dagens regulering er godt eigna til å sikre at denne tradisjonen held fram.</w:t>
      </w:r>
    </w:p>
    <w:p w14:paraId="76ADE87A" w14:textId="77777777" w:rsidR="00D60186" w:rsidRPr="00225D4D" w:rsidRDefault="00D60186" w:rsidP="00225D4D">
      <w:r w:rsidRPr="00225D4D">
        <w:t xml:space="preserve">Høvet til å tilby </w:t>
      </w:r>
      <w:proofErr w:type="spellStart"/>
      <w:r w:rsidRPr="00225D4D">
        <w:t>elevane</w:t>
      </w:r>
      <w:proofErr w:type="spellEnd"/>
      <w:r w:rsidRPr="00225D4D">
        <w:t xml:space="preserve"> å </w:t>
      </w:r>
      <w:proofErr w:type="spellStart"/>
      <w:r w:rsidRPr="00225D4D">
        <w:t>vere</w:t>
      </w:r>
      <w:proofErr w:type="spellEnd"/>
      <w:r w:rsidRPr="00225D4D">
        <w:t xml:space="preserve"> med på </w:t>
      </w:r>
      <w:proofErr w:type="spellStart"/>
      <w:r w:rsidRPr="00225D4D">
        <w:t>julegudstenester</w:t>
      </w:r>
      <w:proofErr w:type="spellEnd"/>
      <w:r w:rsidRPr="00225D4D">
        <w:t xml:space="preserve"> er </w:t>
      </w:r>
      <w:proofErr w:type="spellStart"/>
      <w:r w:rsidRPr="00225D4D">
        <w:t>allereie</w:t>
      </w:r>
      <w:proofErr w:type="spellEnd"/>
      <w:r w:rsidRPr="00225D4D">
        <w:t xml:space="preserve"> forankra i </w:t>
      </w:r>
      <w:proofErr w:type="spellStart"/>
      <w:r w:rsidRPr="00225D4D">
        <w:t>opplæringslova</w:t>
      </w:r>
      <w:proofErr w:type="spellEnd"/>
      <w:r w:rsidRPr="00225D4D">
        <w:t xml:space="preserve">. Det stemmer </w:t>
      </w:r>
      <w:proofErr w:type="spellStart"/>
      <w:r w:rsidRPr="00225D4D">
        <w:t>ikkje</w:t>
      </w:r>
      <w:proofErr w:type="spellEnd"/>
      <w:r w:rsidRPr="00225D4D">
        <w:t xml:space="preserve"> at justeringa i føresegna om forkynning i </w:t>
      </w:r>
      <w:proofErr w:type="spellStart"/>
      <w:r w:rsidRPr="00225D4D">
        <w:t>opplæringslova</w:t>
      </w:r>
      <w:proofErr w:type="spellEnd"/>
      <w:r w:rsidRPr="00225D4D">
        <w:t xml:space="preserve"> betyr at det </w:t>
      </w:r>
      <w:proofErr w:type="spellStart"/>
      <w:r w:rsidRPr="00225D4D">
        <w:t>ikkje</w:t>
      </w:r>
      <w:proofErr w:type="spellEnd"/>
      <w:r w:rsidRPr="00225D4D">
        <w:t xml:space="preserve"> lenger er tillate å gi </w:t>
      </w:r>
      <w:proofErr w:type="spellStart"/>
      <w:r w:rsidRPr="00225D4D">
        <w:t>tilbod</w:t>
      </w:r>
      <w:proofErr w:type="spellEnd"/>
      <w:r w:rsidRPr="00225D4D">
        <w:t xml:space="preserve"> om å delta i </w:t>
      </w:r>
      <w:proofErr w:type="spellStart"/>
      <w:r w:rsidRPr="00225D4D">
        <w:t>skulegudstenester</w:t>
      </w:r>
      <w:proofErr w:type="spellEnd"/>
      <w:r w:rsidRPr="00225D4D">
        <w:t xml:space="preserve">. I den nye </w:t>
      </w:r>
      <w:proofErr w:type="spellStart"/>
      <w:r w:rsidRPr="00225D4D">
        <w:t>opplæringslova</w:t>
      </w:r>
      <w:proofErr w:type="spellEnd"/>
      <w:r w:rsidRPr="00225D4D">
        <w:t xml:space="preserve"> er det gjort </w:t>
      </w:r>
      <w:proofErr w:type="spellStart"/>
      <w:r w:rsidRPr="00225D4D">
        <w:t>tydeleg</w:t>
      </w:r>
      <w:proofErr w:type="spellEnd"/>
      <w:r w:rsidRPr="00225D4D">
        <w:t xml:space="preserve"> at </w:t>
      </w:r>
      <w:proofErr w:type="spellStart"/>
      <w:r w:rsidRPr="00225D4D">
        <w:t>forbodet</w:t>
      </w:r>
      <w:proofErr w:type="spellEnd"/>
      <w:r w:rsidRPr="00225D4D">
        <w:t xml:space="preserve"> mot forkynning gjeld i alle fag, </w:t>
      </w:r>
      <w:proofErr w:type="spellStart"/>
      <w:r w:rsidRPr="00225D4D">
        <w:t>ikkje</w:t>
      </w:r>
      <w:proofErr w:type="spellEnd"/>
      <w:r w:rsidRPr="00225D4D">
        <w:t xml:space="preserve"> </w:t>
      </w:r>
      <w:proofErr w:type="spellStart"/>
      <w:r w:rsidRPr="00225D4D">
        <w:t>berre</w:t>
      </w:r>
      <w:proofErr w:type="spellEnd"/>
      <w:r w:rsidRPr="00225D4D">
        <w:t xml:space="preserve"> i KRLE. Det </w:t>
      </w:r>
      <w:proofErr w:type="spellStart"/>
      <w:r w:rsidRPr="00225D4D">
        <w:t>inneber</w:t>
      </w:r>
      <w:proofErr w:type="spellEnd"/>
      <w:r w:rsidRPr="00225D4D">
        <w:t xml:space="preserve"> </w:t>
      </w:r>
      <w:proofErr w:type="spellStart"/>
      <w:r w:rsidRPr="00225D4D">
        <w:t>ikkje</w:t>
      </w:r>
      <w:proofErr w:type="spellEnd"/>
      <w:r w:rsidRPr="00225D4D">
        <w:t xml:space="preserve"> </w:t>
      </w:r>
      <w:proofErr w:type="spellStart"/>
      <w:r w:rsidRPr="00225D4D">
        <w:t>noka</w:t>
      </w:r>
      <w:proofErr w:type="spellEnd"/>
      <w:r w:rsidRPr="00225D4D">
        <w:t xml:space="preserve"> realitetsendring. At </w:t>
      </w:r>
      <w:proofErr w:type="spellStart"/>
      <w:r w:rsidRPr="00225D4D">
        <w:t>forbodet</w:t>
      </w:r>
      <w:proofErr w:type="spellEnd"/>
      <w:r w:rsidRPr="00225D4D">
        <w:t xml:space="preserve"> mot forkynning </w:t>
      </w:r>
      <w:proofErr w:type="spellStart"/>
      <w:r w:rsidRPr="00225D4D">
        <w:t>ikkje</w:t>
      </w:r>
      <w:proofErr w:type="spellEnd"/>
      <w:r w:rsidRPr="00225D4D">
        <w:t xml:space="preserve"> </w:t>
      </w:r>
      <w:proofErr w:type="spellStart"/>
      <w:r w:rsidRPr="00225D4D">
        <w:t>rammar</w:t>
      </w:r>
      <w:proofErr w:type="spellEnd"/>
      <w:r w:rsidRPr="00225D4D">
        <w:t xml:space="preserve"> </w:t>
      </w:r>
      <w:proofErr w:type="spellStart"/>
      <w:r w:rsidRPr="00225D4D">
        <w:t>moglegheita</w:t>
      </w:r>
      <w:proofErr w:type="spellEnd"/>
      <w:r w:rsidRPr="00225D4D">
        <w:t xml:space="preserve"> til å gjennomføre </w:t>
      </w:r>
      <w:proofErr w:type="spellStart"/>
      <w:r w:rsidRPr="00225D4D">
        <w:t>skulegudstenester</w:t>
      </w:r>
      <w:proofErr w:type="spellEnd"/>
      <w:r w:rsidRPr="00225D4D">
        <w:t xml:space="preserve"> kjem fram av forarbeida til lova og rettleiing på udir.no. Det kjem fram av innstillinga til </w:t>
      </w:r>
      <w:proofErr w:type="spellStart"/>
      <w:r w:rsidRPr="00225D4D">
        <w:t>opplæringslova</w:t>
      </w:r>
      <w:proofErr w:type="spellEnd"/>
      <w:r w:rsidRPr="00225D4D">
        <w:t xml:space="preserve"> at Stortinget </w:t>
      </w:r>
      <w:proofErr w:type="spellStart"/>
      <w:r w:rsidRPr="00225D4D">
        <w:t>ikkje</w:t>
      </w:r>
      <w:proofErr w:type="spellEnd"/>
      <w:r w:rsidRPr="00225D4D">
        <w:t xml:space="preserve"> har meint å </w:t>
      </w:r>
      <w:proofErr w:type="spellStart"/>
      <w:r w:rsidRPr="00225D4D">
        <w:t>gjere</w:t>
      </w:r>
      <w:proofErr w:type="spellEnd"/>
      <w:r w:rsidRPr="00225D4D">
        <w:t xml:space="preserve"> </w:t>
      </w:r>
      <w:proofErr w:type="spellStart"/>
      <w:r w:rsidRPr="00225D4D">
        <w:t>endringar</w:t>
      </w:r>
      <w:proofErr w:type="spellEnd"/>
      <w:r w:rsidRPr="00225D4D">
        <w:t xml:space="preserve"> i </w:t>
      </w:r>
      <w:proofErr w:type="spellStart"/>
      <w:r w:rsidRPr="00225D4D">
        <w:t>skulane</w:t>
      </w:r>
      <w:proofErr w:type="spellEnd"/>
      <w:r w:rsidRPr="00225D4D">
        <w:t xml:space="preserve"> sitt høve til å tilby å </w:t>
      </w:r>
      <w:proofErr w:type="spellStart"/>
      <w:r w:rsidRPr="00225D4D">
        <w:t>vere</w:t>
      </w:r>
      <w:proofErr w:type="spellEnd"/>
      <w:r w:rsidRPr="00225D4D">
        <w:t xml:space="preserve"> med på </w:t>
      </w:r>
      <w:proofErr w:type="spellStart"/>
      <w:r w:rsidRPr="00225D4D">
        <w:t>skulegudsteneste</w:t>
      </w:r>
      <w:proofErr w:type="spellEnd"/>
      <w:r w:rsidRPr="00225D4D">
        <w:t xml:space="preserve">. Regjeringa har kommunisert </w:t>
      </w:r>
      <w:proofErr w:type="spellStart"/>
      <w:r w:rsidRPr="00225D4D">
        <w:t>tydeleg</w:t>
      </w:r>
      <w:proofErr w:type="spellEnd"/>
      <w:r w:rsidRPr="00225D4D">
        <w:t xml:space="preserve"> at </w:t>
      </w:r>
      <w:proofErr w:type="spellStart"/>
      <w:r w:rsidRPr="00225D4D">
        <w:t>tilbod</w:t>
      </w:r>
      <w:proofErr w:type="spellEnd"/>
      <w:r w:rsidRPr="00225D4D">
        <w:t xml:space="preserve"> om </w:t>
      </w:r>
      <w:proofErr w:type="spellStart"/>
      <w:r w:rsidRPr="00225D4D">
        <w:t>skulegudsteneste</w:t>
      </w:r>
      <w:proofErr w:type="spellEnd"/>
      <w:r w:rsidRPr="00225D4D">
        <w:t xml:space="preserve"> </w:t>
      </w:r>
      <w:proofErr w:type="spellStart"/>
      <w:r w:rsidRPr="00225D4D">
        <w:t>ikkje</w:t>
      </w:r>
      <w:proofErr w:type="spellEnd"/>
      <w:r w:rsidRPr="00225D4D">
        <w:t xml:space="preserve"> blir omfatta av </w:t>
      </w:r>
      <w:proofErr w:type="spellStart"/>
      <w:r w:rsidRPr="00225D4D">
        <w:t>forbodet</w:t>
      </w:r>
      <w:proofErr w:type="spellEnd"/>
      <w:r w:rsidRPr="00225D4D">
        <w:t xml:space="preserve"> mot forkynning i opplæringa, og at det </w:t>
      </w:r>
      <w:proofErr w:type="spellStart"/>
      <w:r w:rsidRPr="00225D4D">
        <w:t>ikkje</w:t>
      </w:r>
      <w:proofErr w:type="spellEnd"/>
      <w:r w:rsidRPr="00225D4D">
        <w:t xml:space="preserve"> er behov for </w:t>
      </w:r>
      <w:proofErr w:type="spellStart"/>
      <w:r w:rsidRPr="00225D4D">
        <w:t>endringar</w:t>
      </w:r>
      <w:proofErr w:type="spellEnd"/>
      <w:r w:rsidRPr="00225D4D">
        <w:t xml:space="preserve"> i </w:t>
      </w:r>
      <w:proofErr w:type="spellStart"/>
      <w:r w:rsidRPr="00225D4D">
        <w:t>opplæringslova</w:t>
      </w:r>
      <w:proofErr w:type="spellEnd"/>
      <w:r w:rsidRPr="00225D4D">
        <w:t xml:space="preserve"> for å presisere at </w:t>
      </w:r>
      <w:proofErr w:type="spellStart"/>
      <w:r w:rsidRPr="00225D4D">
        <w:t>skulegudstenester</w:t>
      </w:r>
      <w:proofErr w:type="spellEnd"/>
      <w:r w:rsidRPr="00225D4D">
        <w:t xml:space="preserve"> er </w:t>
      </w:r>
      <w:proofErr w:type="spellStart"/>
      <w:r w:rsidRPr="00225D4D">
        <w:t>tillatne</w:t>
      </w:r>
      <w:proofErr w:type="spellEnd"/>
      <w:r w:rsidRPr="00225D4D">
        <w:t>.</w:t>
      </w:r>
    </w:p>
    <w:p w14:paraId="08BC7E2B" w14:textId="77777777" w:rsidR="00D60186" w:rsidRPr="00225D4D" w:rsidRDefault="00D60186" w:rsidP="00225D4D">
      <w:proofErr w:type="spellStart"/>
      <w:r w:rsidRPr="00225D4D">
        <w:t>Ytterlegare</w:t>
      </w:r>
      <w:proofErr w:type="spellEnd"/>
      <w:r w:rsidRPr="00225D4D">
        <w:t xml:space="preserve"> regulering av </w:t>
      </w:r>
      <w:proofErr w:type="spellStart"/>
      <w:r w:rsidRPr="00225D4D">
        <w:t>skulegudstenester</w:t>
      </w:r>
      <w:proofErr w:type="spellEnd"/>
      <w:r w:rsidRPr="00225D4D">
        <w:t xml:space="preserve"> kan </w:t>
      </w:r>
      <w:proofErr w:type="spellStart"/>
      <w:r w:rsidRPr="00225D4D">
        <w:t>innebere</w:t>
      </w:r>
      <w:proofErr w:type="spellEnd"/>
      <w:r w:rsidRPr="00225D4D">
        <w:t xml:space="preserve"> ei detaljregulering av </w:t>
      </w:r>
      <w:proofErr w:type="spellStart"/>
      <w:r w:rsidRPr="00225D4D">
        <w:t>kommunane</w:t>
      </w:r>
      <w:proofErr w:type="spellEnd"/>
      <w:r w:rsidRPr="00225D4D">
        <w:t xml:space="preserve"> og </w:t>
      </w:r>
      <w:proofErr w:type="spellStart"/>
      <w:r w:rsidRPr="00225D4D">
        <w:t>fylkeskommunane</w:t>
      </w:r>
      <w:proofErr w:type="spellEnd"/>
      <w:r w:rsidRPr="00225D4D">
        <w:t xml:space="preserve"> som er lite </w:t>
      </w:r>
      <w:proofErr w:type="spellStart"/>
      <w:r w:rsidRPr="00225D4D">
        <w:t>formålstenleg</w:t>
      </w:r>
      <w:proofErr w:type="spellEnd"/>
      <w:r w:rsidRPr="00225D4D">
        <w:t xml:space="preserve">. Det bør ligge </w:t>
      </w:r>
      <w:proofErr w:type="spellStart"/>
      <w:r w:rsidRPr="00225D4D">
        <w:t>innanfor</w:t>
      </w:r>
      <w:proofErr w:type="spellEnd"/>
      <w:r w:rsidRPr="00225D4D">
        <w:t xml:space="preserve"> det lokale handlingsrommet å </w:t>
      </w:r>
      <w:proofErr w:type="spellStart"/>
      <w:r w:rsidRPr="00225D4D">
        <w:t>avgjere</w:t>
      </w:r>
      <w:proofErr w:type="spellEnd"/>
      <w:r w:rsidRPr="00225D4D">
        <w:t xml:space="preserve"> korleis jula skal </w:t>
      </w:r>
      <w:proofErr w:type="spellStart"/>
      <w:r w:rsidRPr="00225D4D">
        <w:t>markerast</w:t>
      </w:r>
      <w:proofErr w:type="spellEnd"/>
      <w:r w:rsidRPr="00225D4D">
        <w:t xml:space="preserve"> i </w:t>
      </w:r>
      <w:proofErr w:type="spellStart"/>
      <w:r w:rsidRPr="00225D4D">
        <w:t>skulen</w:t>
      </w:r>
      <w:proofErr w:type="spellEnd"/>
      <w:r w:rsidRPr="00225D4D">
        <w:t xml:space="preserve">. Staten bør ha tiltru </w:t>
      </w:r>
      <w:proofErr w:type="spellStart"/>
      <w:r w:rsidRPr="00225D4D">
        <w:t>til</w:t>
      </w:r>
      <w:proofErr w:type="spellEnd"/>
      <w:r w:rsidRPr="00225D4D">
        <w:t xml:space="preserve"> at </w:t>
      </w:r>
      <w:proofErr w:type="spellStart"/>
      <w:r w:rsidRPr="00225D4D">
        <w:t>skuleeigarane</w:t>
      </w:r>
      <w:proofErr w:type="spellEnd"/>
      <w:r w:rsidRPr="00225D4D">
        <w:t xml:space="preserve"> </w:t>
      </w:r>
      <w:proofErr w:type="spellStart"/>
      <w:r w:rsidRPr="00225D4D">
        <w:t>gjer</w:t>
      </w:r>
      <w:proofErr w:type="spellEnd"/>
      <w:r w:rsidRPr="00225D4D">
        <w:t xml:space="preserve"> fornuftige </w:t>
      </w:r>
      <w:proofErr w:type="spellStart"/>
      <w:r w:rsidRPr="00225D4D">
        <w:t>vurderingar</w:t>
      </w:r>
      <w:proofErr w:type="spellEnd"/>
      <w:r w:rsidRPr="00225D4D">
        <w:t xml:space="preserve"> i </w:t>
      </w:r>
      <w:proofErr w:type="spellStart"/>
      <w:r w:rsidRPr="00225D4D">
        <w:t>desse</w:t>
      </w:r>
      <w:proofErr w:type="spellEnd"/>
      <w:r w:rsidRPr="00225D4D">
        <w:t xml:space="preserve"> spørsmåla. Etter vurderinga til departementet er det </w:t>
      </w:r>
      <w:proofErr w:type="spellStart"/>
      <w:r w:rsidRPr="00225D4D">
        <w:t>tilstrekkeleg</w:t>
      </w:r>
      <w:proofErr w:type="spellEnd"/>
      <w:r w:rsidRPr="00225D4D">
        <w:t xml:space="preserve"> med rettleiing som viser korleis det kan </w:t>
      </w:r>
      <w:proofErr w:type="spellStart"/>
      <w:r w:rsidRPr="00225D4D">
        <w:t>leggast</w:t>
      </w:r>
      <w:proofErr w:type="spellEnd"/>
      <w:r w:rsidRPr="00225D4D">
        <w:t xml:space="preserve"> til rette for at </w:t>
      </w:r>
      <w:proofErr w:type="spellStart"/>
      <w:r w:rsidRPr="00225D4D">
        <w:t>dei</w:t>
      </w:r>
      <w:proofErr w:type="spellEnd"/>
      <w:r w:rsidRPr="00225D4D">
        <w:t xml:space="preserve"> </w:t>
      </w:r>
      <w:proofErr w:type="spellStart"/>
      <w:r w:rsidRPr="00225D4D">
        <w:t>elevane</w:t>
      </w:r>
      <w:proofErr w:type="spellEnd"/>
      <w:r w:rsidRPr="00225D4D">
        <w:t xml:space="preserve"> som ønsker det, kan </w:t>
      </w:r>
      <w:proofErr w:type="spellStart"/>
      <w:r w:rsidRPr="00225D4D">
        <w:t>vere</w:t>
      </w:r>
      <w:proofErr w:type="spellEnd"/>
      <w:r w:rsidRPr="00225D4D">
        <w:t xml:space="preserve"> med på </w:t>
      </w:r>
      <w:proofErr w:type="spellStart"/>
      <w:r w:rsidRPr="00225D4D">
        <w:t>skulegudsteneste</w:t>
      </w:r>
      <w:proofErr w:type="spellEnd"/>
      <w:r w:rsidRPr="00225D4D">
        <w:t>.</w:t>
      </w:r>
    </w:p>
    <w:p w14:paraId="4240F630" w14:textId="77777777" w:rsidR="00D60186" w:rsidRPr="00225D4D" w:rsidRDefault="00D60186" w:rsidP="00225D4D">
      <w:r w:rsidRPr="00225D4D">
        <w:t xml:space="preserve">Det er </w:t>
      </w:r>
      <w:proofErr w:type="spellStart"/>
      <w:r w:rsidRPr="00225D4D">
        <w:t>ikkje</w:t>
      </w:r>
      <w:proofErr w:type="spellEnd"/>
      <w:r w:rsidRPr="00225D4D">
        <w:t xml:space="preserve"> gitt at </w:t>
      </w:r>
      <w:proofErr w:type="spellStart"/>
      <w:r w:rsidRPr="00225D4D">
        <w:t>ytterlegare</w:t>
      </w:r>
      <w:proofErr w:type="spellEnd"/>
      <w:r w:rsidRPr="00225D4D">
        <w:t xml:space="preserve"> regulering av </w:t>
      </w:r>
      <w:proofErr w:type="spellStart"/>
      <w:r w:rsidRPr="00225D4D">
        <w:t>skulegudstenester</w:t>
      </w:r>
      <w:proofErr w:type="spellEnd"/>
      <w:r w:rsidRPr="00225D4D">
        <w:t xml:space="preserve"> vil føre til </w:t>
      </w:r>
      <w:proofErr w:type="spellStart"/>
      <w:r w:rsidRPr="00225D4D">
        <w:t>meir</w:t>
      </w:r>
      <w:proofErr w:type="spellEnd"/>
      <w:r w:rsidRPr="00225D4D">
        <w:t xml:space="preserve"> uklare tilhøve, eller at debatten rundt </w:t>
      </w:r>
      <w:proofErr w:type="spellStart"/>
      <w:r w:rsidRPr="00225D4D">
        <w:t>skulegudstenester</w:t>
      </w:r>
      <w:proofErr w:type="spellEnd"/>
      <w:r w:rsidRPr="00225D4D">
        <w:t xml:space="preserve"> vil stilne. Ei endring kan føre til </w:t>
      </w:r>
      <w:proofErr w:type="spellStart"/>
      <w:r w:rsidRPr="00225D4D">
        <w:t>auka</w:t>
      </w:r>
      <w:proofErr w:type="spellEnd"/>
      <w:r w:rsidRPr="00225D4D">
        <w:t xml:space="preserve"> uklarleik, </w:t>
      </w:r>
      <w:proofErr w:type="spellStart"/>
      <w:r w:rsidRPr="00225D4D">
        <w:t>ikkje</w:t>
      </w:r>
      <w:proofErr w:type="spellEnd"/>
      <w:r w:rsidRPr="00225D4D">
        <w:t xml:space="preserve"> minst når det </w:t>
      </w:r>
      <w:proofErr w:type="spellStart"/>
      <w:r w:rsidRPr="00225D4D">
        <w:t>gjeld</w:t>
      </w:r>
      <w:proofErr w:type="spellEnd"/>
      <w:r w:rsidRPr="00225D4D">
        <w:t xml:space="preserve"> forholdet til andre </w:t>
      </w:r>
      <w:proofErr w:type="spellStart"/>
      <w:r w:rsidRPr="00225D4D">
        <w:t>religionar</w:t>
      </w:r>
      <w:proofErr w:type="spellEnd"/>
      <w:r w:rsidRPr="00225D4D">
        <w:t xml:space="preserve"> og livssyn, ritual og </w:t>
      </w:r>
      <w:proofErr w:type="spellStart"/>
      <w:r w:rsidRPr="00225D4D">
        <w:t>festar</w:t>
      </w:r>
      <w:proofErr w:type="spellEnd"/>
      <w:r w:rsidRPr="00225D4D">
        <w:t xml:space="preserve">, enn kristendom og </w:t>
      </w:r>
      <w:proofErr w:type="spellStart"/>
      <w:r w:rsidRPr="00225D4D">
        <w:t>skulegudstenester</w:t>
      </w:r>
      <w:proofErr w:type="spellEnd"/>
      <w:r w:rsidRPr="00225D4D">
        <w:t xml:space="preserve">. Slik departementet vurderer det, balanserer dagens tolking av </w:t>
      </w:r>
      <w:proofErr w:type="spellStart"/>
      <w:r w:rsidRPr="00225D4D">
        <w:t>gjeldande</w:t>
      </w:r>
      <w:proofErr w:type="spellEnd"/>
      <w:r w:rsidRPr="00225D4D">
        <w:t xml:space="preserve"> rett dette på </w:t>
      </w:r>
      <w:proofErr w:type="spellStart"/>
      <w:r w:rsidRPr="00225D4D">
        <w:t>ein</w:t>
      </w:r>
      <w:proofErr w:type="spellEnd"/>
      <w:r w:rsidRPr="00225D4D">
        <w:t xml:space="preserve"> </w:t>
      </w:r>
      <w:proofErr w:type="spellStart"/>
      <w:r w:rsidRPr="00225D4D">
        <w:t>formålstenleg</w:t>
      </w:r>
      <w:proofErr w:type="spellEnd"/>
      <w:r w:rsidRPr="00225D4D">
        <w:t xml:space="preserve"> måte. </w:t>
      </w:r>
      <w:proofErr w:type="spellStart"/>
      <w:r w:rsidRPr="00225D4D">
        <w:t>Ein</w:t>
      </w:r>
      <w:proofErr w:type="spellEnd"/>
      <w:r w:rsidRPr="00225D4D">
        <w:t xml:space="preserve"> ny ordlyd rundt </w:t>
      </w:r>
      <w:proofErr w:type="spellStart"/>
      <w:r w:rsidRPr="00225D4D">
        <w:t>desse</w:t>
      </w:r>
      <w:proofErr w:type="spellEnd"/>
      <w:r w:rsidRPr="00225D4D">
        <w:t xml:space="preserve"> tema kan skape ny </w:t>
      </w:r>
      <w:proofErr w:type="spellStart"/>
      <w:r w:rsidRPr="00225D4D">
        <w:t>usemje</w:t>
      </w:r>
      <w:proofErr w:type="spellEnd"/>
      <w:r w:rsidRPr="00225D4D">
        <w:t xml:space="preserve"> og ny debatt.</w:t>
      </w:r>
    </w:p>
    <w:p w14:paraId="51315C9D" w14:textId="77777777" w:rsidR="00D60186" w:rsidRPr="00225D4D" w:rsidRDefault="00D60186" w:rsidP="00225D4D">
      <w:r w:rsidRPr="00225D4D">
        <w:t xml:space="preserve">Etter departementet </w:t>
      </w:r>
      <w:proofErr w:type="spellStart"/>
      <w:r w:rsidRPr="00225D4D">
        <w:t>si</w:t>
      </w:r>
      <w:proofErr w:type="spellEnd"/>
      <w:r w:rsidRPr="00225D4D">
        <w:t xml:space="preserve"> vurdering </w:t>
      </w:r>
      <w:proofErr w:type="spellStart"/>
      <w:r w:rsidRPr="00225D4D">
        <w:t>verkar</w:t>
      </w:r>
      <w:proofErr w:type="spellEnd"/>
      <w:r w:rsidRPr="00225D4D">
        <w:t xml:space="preserve"> det samla sett </w:t>
      </w:r>
      <w:proofErr w:type="spellStart"/>
      <w:r w:rsidRPr="00225D4D">
        <w:t>ikkje</w:t>
      </w:r>
      <w:proofErr w:type="spellEnd"/>
      <w:r w:rsidRPr="00225D4D">
        <w:t xml:space="preserve"> som </w:t>
      </w:r>
      <w:proofErr w:type="spellStart"/>
      <w:r w:rsidRPr="00225D4D">
        <w:t>formålstenleg</w:t>
      </w:r>
      <w:proofErr w:type="spellEnd"/>
      <w:r w:rsidRPr="00225D4D">
        <w:t xml:space="preserve"> å bruke </w:t>
      </w:r>
      <w:proofErr w:type="spellStart"/>
      <w:r w:rsidRPr="00225D4D">
        <w:t>ressursar</w:t>
      </w:r>
      <w:proofErr w:type="spellEnd"/>
      <w:r w:rsidRPr="00225D4D">
        <w:t xml:space="preserve"> på </w:t>
      </w:r>
      <w:proofErr w:type="spellStart"/>
      <w:r w:rsidRPr="00225D4D">
        <w:t>eit</w:t>
      </w:r>
      <w:proofErr w:type="spellEnd"/>
      <w:r w:rsidRPr="00225D4D">
        <w:t xml:space="preserve"> slikt regelverksarbeid.</w:t>
      </w:r>
    </w:p>
    <w:p w14:paraId="6DBAD052"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32D6B919" w14:textId="77777777" w:rsidR="00D60186" w:rsidRPr="00225D4D" w:rsidRDefault="00D60186" w:rsidP="00225D4D">
      <w:pPr>
        <w:pStyle w:val="avsnitt-tittel"/>
      </w:pPr>
      <w:r w:rsidRPr="00225D4D">
        <w:t xml:space="preserve">Barnets beste ved </w:t>
      </w:r>
      <w:proofErr w:type="spellStart"/>
      <w:r w:rsidRPr="00225D4D">
        <w:t>oppseiing</w:t>
      </w:r>
      <w:proofErr w:type="spellEnd"/>
      <w:r w:rsidRPr="00225D4D">
        <w:t xml:space="preserve"> av barnehageplass</w:t>
      </w:r>
    </w:p>
    <w:p w14:paraId="7287CFB7" w14:textId="77777777" w:rsidR="00D60186" w:rsidRPr="00225D4D" w:rsidRDefault="00D60186" w:rsidP="00225D4D">
      <w:pPr>
        <w:pStyle w:val="avsnitt-undertittel"/>
      </w:pPr>
      <w:r w:rsidRPr="00225D4D">
        <w:t>Vedtak nr. 490, 20. februar 2025:</w:t>
      </w:r>
    </w:p>
    <w:p w14:paraId="5F38A54D" w14:textId="77777777" w:rsidR="00D60186" w:rsidRPr="00225D4D" w:rsidRDefault="00D60186" w:rsidP="00225D4D">
      <w:pPr>
        <w:pStyle w:val="blokksit"/>
        <w:rPr>
          <w:rStyle w:val="kursiv"/>
        </w:rPr>
      </w:pPr>
      <w:r w:rsidRPr="00225D4D">
        <w:rPr>
          <w:rStyle w:val="kursiv"/>
        </w:rPr>
        <w:t>Stortinget ber regjeringen gjøre en samlet vurdering av om barnets beste er godt nok ivaretatt i regelverket ved oppsigelse av barnehageplass, og ber regjeringen komme tilbake til Stortinget på egnet måte.</w:t>
      </w:r>
    </w:p>
    <w:p w14:paraId="1B2A64B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8:32 S (2024–2025) </w:t>
      </w:r>
      <w:r w:rsidRPr="00225D4D">
        <w:rPr>
          <w:rStyle w:val="kursiv"/>
        </w:rPr>
        <w:t xml:space="preserve">Representantforslag fra stortingsrepresentantene Hege Bae </w:t>
      </w:r>
      <w:proofErr w:type="spellStart"/>
      <w:r w:rsidRPr="00225D4D">
        <w:rPr>
          <w:rStyle w:val="kursiv"/>
        </w:rPr>
        <w:t>Nyholt</w:t>
      </w:r>
      <w:proofErr w:type="spellEnd"/>
      <w:r w:rsidRPr="00225D4D">
        <w:rPr>
          <w:rStyle w:val="kursiv"/>
        </w:rPr>
        <w:t>, Tobias Drevland Lund og Marie Sneve Martinussen om å sikre like rettigheter for barn i private barnehager ved oppsigelse av barnehageplass</w:t>
      </w:r>
      <w:r w:rsidRPr="00225D4D">
        <w:t xml:space="preserve">, jf. </w:t>
      </w:r>
      <w:proofErr w:type="spellStart"/>
      <w:r w:rsidRPr="00225D4D">
        <w:t>Innst</w:t>
      </w:r>
      <w:proofErr w:type="spellEnd"/>
      <w:r w:rsidRPr="00225D4D">
        <w:t>. 140 S (2024–2025).</w:t>
      </w:r>
    </w:p>
    <w:p w14:paraId="4465E5D1" w14:textId="77777777" w:rsidR="00D60186" w:rsidRPr="00225D4D" w:rsidRDefault="00D60186" w:rsidP="00225D4D">
      <w:proofErr w:type="spellStart"/>
      <w:r w:rsidRPr="00225D4D">
        <w:t>Oppseiing</w:t>
      </w:r>
      <w:proofErr w:type="spellEnd"/>
      <w:r w:rsidRPr="00225D4D">
        <w:t xml:space="preserve"> av barnehageplass er </w:t>
      </w:r>
      <w:proofErr w:type="spellStart"/>
      <w:r w:rsidRPr="00225D4D">
        <w:t>ikkje</w:t>
      </w:r>
      <w:proofErr w:type="spellEnd"/>
      <w:r w:rsidRPr="00225D4D">
        <w:t xml:space="preserve"> direkte regulert i barnehagelova. Det følger likevel av barnehagelova § 8 at alle </w:t>
      </w:r>
      <w:proofErr w:type="spellStart"/>
      <w:r w:rsidRPr="00225D4D">
        <w:t>barnehagar</w:t>
      </w:r>
      <w:proofErr w:type="spellEnd"/>
      <w:r w:rsidRPr="00225D4D">
        <w:t xml:space="preserve"> er pålagde å ha vedtekter. Vedtektene til barnehagen skal gi </w:t>
      </w:r>
      <w:proofErr w:type="spellStart"/>
      <w:r w:rsidRPr="00225D4D">
        <w:t>opplysningar</w:t>
      </w:r>
      <w:proofErr w:type="spellEnd"/>
      <w:r w:rsidRPr="00225D4D">
        <w:t xml:space="preserve"> om det som har </w:t>
      </w:r>
      <w:proofErr w:type="spellStart"/>
      <w:r w:rsidRPr="00225D4D">
        <w:t>noko</w:t>
      </w:r>
      <w:proofErr w:type="spellEnd"/>
      <w:r w:rsidRPr="00225D4D">
        <w:t xml:space="preserve"> å </w:t>
      </w:r>
      <w:proofErr w:type="spellStart"/>
      <w:r w:rsidRPr="00225D4D">
        <w:t>seie</w:t>
      </w:r>
      <w:proofErr w:type="spellEnd"/>
      <w:r w:rsidRPr="00225D4D">
        <w:t xml:space="preserve"> for forholdet </w:t>
      </w:r>
      <w:proofErr w:type="spellStart"/>
      <w:r w:rsidRPr="00225D4D">
        <w:t>foreldra</w:t>
      </w:r>
      <w:proofErr w:type="spellEnd"/>
      <w:r w:rsidRPr="00225D4D">
        <w:t xml:space="preserve"> har til barnehagen. </w:t>
      </w:r>
      <w:proofErr w:type="spellStart"/>
      <w:r w:rsidRPr="00225D4D">
        <w:t>Oppseiing</w:t>
      </w:r>
      <w:proofErr w:type="spellEnd"/>
      <w:r w:rsidRPr="00225D4D">
        <w:t xml:space="preserve"> av barnehageplass vil </w:t>
      </w:r>
      <w:proofErr w:type="spellStart"/>
      <w:r w:rsidRPr="00225D4D">
        <w:t>vere</w:t>
      </w:r>
      <w:proofErr w:type="spellEnd"/>
      <w:r w:rsidRPr="00225D4D">
        <w:t xml:space="preserve"> et slikt forhold. Det </w:t>
      </w:r>
      <w:proofErr w:type="spellStart"/>
      <w:r w:rsidRPr="00225D4D">
        <w:t>inneber</w:t>
      </w:r>
      <w:proofErr w:type="spellEnd"/>
      <w:r w:rsidRPr="00225D4D">
        <w:t xml:space="preserve"> at barnehagen mellom anna skal informere om vilkår og prosess for </w:t>
      </w:r>
      <w:proofErr w:type="spellStart"/>
      <w:r w:rsidRPr="00225D4D">
        <w:t>oppseiing</w:t>
      </w:r>
      <w:proofErr w:type="spellEnd"/>
      <w:r w:rsidRPr="00225D4D">
        <w:t xml:space="preserve"> av barnehageplass. Dette </w:t>
      </w:r>
      <w:proofErr w:type="spellStart"/>
      <w:r w:rsidRPr="00225D4D">
        <w:t>gjeld</w:t>
      </w:r>
      <w:proofErr w:type="spellEnd"/>
      <w:r w:rsidRPr="00225D4D">
        <w:t xml:space="preserve"> alle </w:t>
      </w:r>
      <w:proofErr w:type="spellStart"/>
      <w:r w:rsidRPr="00225D4D">
        <w:t>barnehagar</w:t>
      </w:r>
      <w:proofErr w:type="spellEnd"/>
      <w:r w:rsidRPr="00225D4D">
        <w:t>, både kommunale og private.</w:t>
      </w:r>
    </w:p>
    <w:p w14:paraId="142E6503" w14:textId="77777777" w:rsidR="00D60186" w:rsidRPr="00225D4D" w:rsidRDefault="00D60186" w:rsidP="00225D4D">
      <w:r w:rsidRPr="00225D4D">
        <w:t xml:space="preserve">Barnets beste er </w:t>
      </w:r>
      <w:proofErr w:type="spellStart"/>
      <w:r w:rsidRPr="00225D4D">
        <w:t>uttrykkeleg</w:t>
      </w:r>
      <w:proofErr w:type="spellEnd"/>
      <w:r w:rsidRPr="00225D4D">
        <w:t xml:space="preserve"> regulert i barnehagelova. Etter barnehagelova § 3 skal barnets beste </w:t>
      </w:r>
      <w:proofErr w:type="spellStart"/>
      <w:r w:rsidRPr="00225D4D">
        <w:t>vere</w:t>
      </w:r>
      <w:proofErr w:type="spellEnd"/>
      <w:r w:rsidRPr="00225D4D">
        <w:t xml:space="preserve"> </w:t>
      </w:r>
      <w:proofErr w:type="spellStart"/>
      <w:r w:rsidRPr="00225D4D">
        <w:t>eit</w:t>
      </w:r>
      <w:proofErr w:type="spellEnd"/>
      <w:r w:rsidRPr="00225D4D">
        <w:t xml:space="preserve"> </w:t>
      </w:r>
      <w:proofErr w:type="spellStart"/>
      <w:r w:rsidRPr="00225D4D">
        <w:t>grunnleggande</w:t>
      </w:r>
      <w:proofErr w:type="spellEnd"/>
      <w:r w:rsidRPr="00225D4D">
        <w:t xml:space="preserve"> omsyn i alle </w:t>
      </w:r>
      <w:proofErr w:type="spellStart"/>
      <w:r w:rsidRPr="00225D4D">
        <w:t>handlingar</w:t>
      </w:r>
      <w:proofErr w:type="spellEnd"/>
      <w:r w:rsidRPr="00225D4D">
        <w:t xml:space="preserve"> og avgjerder som </w:t>
      </w:r>
      <w:proofErr w:type="spellStart"/>
      <w:r w:rsidRPr="00225D4D">
        <w:t>gjeld</w:t>
      </w:r>
      <w:proofErr w:type="spellEnd"/>
      <w:r w:rsidRPr="00225D4D">
        <w:t xml:space="preserve"> barn. Behova og </w:t>
      </w:r>
      <w:proofErr w:type="spellStart"/>
      <w:r w:rsidRPr="00225D4D">
        <w:t>føresetnadene</w:t>
      </w:r>
      <w:proofErr w:type="spellEnd"/>
      <w:r w:rsidRPr="00225D4D">
        <w:t xml:space="preserve"> til barnet er utgangspunktet for ei vurdering av </w:t>
      </w:r>
      <w:proofErr w:type="spellStart"/>
      <w:r w:rsidRPr="00225D4D">
        <w:t>kva</w:t>
      </w:r>
      <w:proofErr w:type="spellEnd"/>
      <w:r w:rsidRPr="00225D4D">
        <w:t xml:space="preserve"> som er barnets beste. Der barnehagen skal ta avgjerder om barn, må han i </w:t>
      </w:r>
      <w:proofErr w:type="spellStart"/>
      <w:r w:rsidRPr="00225D4D">
        <w:t>kvart</w:t>
      </w:r>
      <w:proofErr w:type="spellEnd"/>
      <w:r w:rsidRPr="00225D4D">
        <w:t xml:space="preserve"> tilfelle </w:t>
      </w:r>
      <w:proofErr w:type="spellStart"/>
      <w:r w:rsidRPr="00225D4D">
        <w:t>gjere</w:t>
      </w:r>
      <w:proofErr w:type="spellEnd"/>
      <w:r w:rsidRPr="00225D4D">
        <w:t xml:space="preserve"> ei konkret og individuell vurdering av </w:t>
      </w:r>
      <w:proofErr w:type="spellStart"/>
      <w:r w:rsidRPr="00225D4D">
        <w:t>kva</w:t>
      </w:r>
      <w:proofErr w:type="spellEnd"/>
      <w:r w:rsidRPr="00225D4D">
        <w:t xml:space="preserve"> som vil </w:t>
      </w:r>
      <w:proofErr w:type="spellStart"/>
      <w:r w:rsidRPr="00225D4D">
        <w:t>vere</w:t>
      </w:r>
      <w:proofErr w:type="spellEnd"/>
      <w:r w:rsidRPr="00225D4D">
        <w:t xml:space="preserve"> til det beste for </w:t>
      </w:r>
      <w:proofErr w:type="spellStart"/>
      <w:r w:rsidRPr="00225D4D">
        <w:t>kvart</w:t>
      </w:r>
      <w:proofErr w:type="spellEnd"/>
      <w:r w:rsidRPr="00225D4D">
        <w:t xml:space="preserve"> enkelt barn. Barnehagen skal </w:t>
      </w:r>
      <w:proofErr w:type="spellStart"/>
      <w:r w:rsidRPr="00225D4D">
        <w:t>avvege</w:t>
      </w:r>
      <w:proofErr w:type="spellEnd"/>
      <w:r w:rsidRPr="00225D4D">
        <w:t xml:space="preserve"> omsynet til barnets beste opp mot andre omsyn i ei sak. Dette </w:t>
      </w:r>
      <w:proofErr w:type="spellStart"/>
      <w:r w:rsidRPr="00225D4D">
        <w:t>gjeld</w:t>
      </w:r>
      <w:proofErr w:type="spellEnd"/>
      <w:r w:rsidRPr="00225D4D">
        <w:t xml:space="preserve"> generelt i alle saker som berører barn. Departementet meiner det følger av plikta til å ta omsyn til barnets beste at alle </w:t>
      </w:r>
      <w:proofErr w:type="spellStart"/>
      <w:r w:rsidRPr="00225D4D">
        <w:t>barnehagar</w:t>
      </w:r>
      <w:proofErr w:type="spellEnd"/>
      <w:r w:rsidRPr="00225D4D">
        <w:t xml:space="preserve">, både kommunale og private, skal ta omsyn til kva som er til det beste for barnet i </w:t>
      </w:r>
      <w:proofErr w:type="spellStart"/>
      <w:r w:rsidRPr="00225D4D">
        <w:t>vurderingar</w:t>
      </w:r>
      <w:proofErr w:type="spellEnd"/>
      <w:r w:rsidRPr="00225D4D">
        <w:t xml:space="preserve"> om </w:t>
      </w:r>
      <w:proofErr w:type="spellStart"/>
      <w:r w:rsidRPr="00225D4D">
        <w:t>oppseiing</w:t>
      </w:r>
      <w:proofErr w:type="spellEnd"/>
      <w:r w:rsidRPr="00225D4D">
        <w:t xml:space="preserve"> av barnehageplass, og at vedtaket derfor er godt nok </w:t>
      </w:r>
      <w:proofErr w:type="spellStart"/>
      <w:r w:rsidRPr="00225D4D">
        <w:t>vareteke</w:t>
      </w:r>
      <w:proofErr w:type="spellEnd"/>
      <w:r w:rsidRPr="00225D4D">
        <w:t xml:space="preserve"> i regelverket i dag.</w:t>
      </w:r>
    </w:p>
    <w:p w14:paraId="52E5CEA6"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553596BD" w14:textId="77777777" w:rsidR="00D60186" w:rsidRPr="00225D4D" w:rsidRDefault="00D60186" w:rsidP="00225D4D">
      <w:pPr>
        <w:pStyle w:val="avsnitt-tittel"/>
      </w:pPr>
      <w:r w:rsidRPr="00225D4D">
        <w:t>Kompetanseheving i samband med endra opplæringslov</w:t>
      </w:r>
    </w:p>
    <w:p w14:paraId="03E4A1BD" w14:textId="77777777" w:rsidR="00D60186" w:rsidRPr="00225D4D" w:rsidRDefault="00D60186" w:rsidP="00225D4D">
      <w:pPr>
        <w:pStyle w:val="avsnitt-undertittel"/>
      </w:pPr>
      <w:r w:rsidRPr="00225D4D">
        <w:t>Vedtak nr. 667, 13. mai 2025:</w:t>
      </w:r>
    </w:p>
    <w:p w14:paraId="751D714D" w14:textId="77777777" w:rsidR="00D60186" w:rsidRPr="00225D4D" w:rsidRDefault="00D60186" w:rsidP="00225D4D">
      <w:pPr>
        <w:pStyle w:val="blokksit"/>
        <w:rPr>
          <w:rStyle w:val="kursiv"/>
        </w:rPr>
      </w:pPr>
      <w:r w:rsidRPr="00225D4D">
        <w:rPr>
          <w:rStyle w:val="kursiv"/>
        </w:rPr>
        <w:t xml:space="preserve">Stortinget ber regjeringen sørge for at det gjennomføres kompetansehevingstiltak i skolen i forbindelse med endringen av </w:t>
      </w:r>
      <w:proofErr w:type="spellStart"/>
      <w:r w:rsidRPr="00225D4D">
        <w:rPr>
          <w:rStyle w:val="kursiv"/>
        </w:rPr>
        <w:t>opplæringslova</w:t>
      </w:r>
      <w:proofErr w:type="spellEnd"/>
      <w:r w:rsidRPr="00225D4D">
        <w:rPr>
          <w:rStyle w:val="kursiv"/>
        </w:rPr>
        <w:t xml:space="preserve"> med en utvidelse av adgangen til fysisk inngripen.</w:t>
      </w:r>
    </w:p>
    <w:p w14:paraId="0590862C"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51 L (2024–2025) </w:t>
      </w:r>
      <w:r w:rsidRPr="00225D4D">
        <w:rPr>
          <w:rStyle w:val="kursiv"/>
        </w:rPr>
        <w:t xml:space="preserve">Endringer i </w:t>
      </w:r>
      <w:proofErr w:type="spellStart"/>
      <w:r w:rsidRPr="00225D4D">
        <w:rPr>
          <w:rStyle w:val="kursiv"/>
        </w:rPr>
        <w:t>opplæringslova</w:t>
      </w:r>
      <w:proofErr w:type="spellEnd"/>
      <w:r w:rsidRPr="00225D4D">
        <w:rPr>
          <w:rStyle w:val="kursiv"/>
        </w:rPr>
        <w:t xml:space="preserve"> og privatskolelova (utvidelse av adgangen til fysisk inngripen)</w:t>
      </w:r>
      <w:r w:rsidRPr="00225D4D">
        <w:t xml:space="preserve">, sjå </w:t>
      </w:r>
      <w:proofErr w:type="spellStart"/>
      <w:r w:rsidRPr="00225D4D">
        <w:t>Innst</w:t>
      </w:r>
      <w:proofErr w:type="spellEnd"/>
      <w:r w:rsidRPr="00225D4D">
        <w:t>. 243 L (2024–2025), Lovvedtak 49 (2024–2025).</w:t>
      </w:r>
    </w:p>
    <w:p w14:paraId="1477E861" w14:textId="77777777" w:rsidR="00D60186" w:rsidRPr="00225D4D" w:rsidRDefault="00D60186" w:rsidP="00225D4D">
      <w:r w:rsidRPr="00225D4D">
        <w:t xml:space="preserve">Regjeringa bruker i 2025 </w:t>
      </w:r>
      <w:proofErr w:type="spellStart"/>
      <w:r w:rsidRPr="00225D4D">
        <w:t>nærare</w:t>
      </w:r>
      <w:proofErr w:type="spellEnd"/>
      <w:r w:rsidRPr="00225D4D">
        <w:t xml:space="preserve"> 2,9 mrd. kroner på kompetansetiltak retta mot </w:t>
      </w:r>
      <w:proofErr w:type="spellStart"/>
      <w:r w:rsidRPr="00225D4D">
        <w:t>lærarar</w:t>
      </w:r>
      <w:proofErr w:type="spellEnd"/>
      <w:r w:rsidRPr="00225D4D">
        <w:t xml:space="preserve"> og andre tilsette i barnehage og </w:t>
      </w:r>
      <w:proofErr w:type="spellStart"/>
      <w:r w:rsidRPr="00225D4D">
        <w:t>skule</w:t>
      </w:r>
      <w:proofErr w:type="spellEnd"/>
      <w:r w:rsidRPr="00225D4D">
        <w:t xml:space="preserve">. Gjennom </w:t>
      </w:r>
      <w:proofErr w:type="spellStart"/>
      <w:r w:rsidRPr="00225D4D">
        <w:t>tilskotsordninga</w:t>
      </w:r>
      <w:proofErr w:type="spellEnd"/>
      <w:r w:rsidRPr="00225D4D">
        <w:t xml:space="preserve"> for lokal kompetanseutvikling er det lagt til rette for at </w:t>
      </w:r>
      <w:proofErr w:type="spellStart"/>
      <w:r w:rsidRPr="00225D4D">
        <w:t>kommunar</w:t>
      </w:r>
      <w:proofErr w:type="spellEnd"/>
      <w:r w:rsidRPr="00225D4D">
        <w:t xml:space="preserve"> kan </w:t>
      </w:r>
      <w:proofErr w:type="spellStart"/>
      <w:r w:rsidRPr="00225D4D">
        <w:t>setje</w:t>
      </w:r>
      <w:proofErr w:type="spellEnd"/>
      <w:r w:rsidRPr="00225D4D">
        <w:t xml:space="preserve"> i verk nødvendige kompetansetiltak basert på lokale behov.</w:t>
      </w:r>
    </w:p>
    <w:p w14:paraId="571A9306" w14:textId="77777777" w:rsidR="00D60186" w:rsidRPr="00225D4D" w:rsidRDefault="00D60186" w:rsidP="00225D4D">
      <w:r w:rsidRPr="00225D4D">
        <w:t xml:space="preserve">Departementet har òg varsla at det vil bli utarbeidd rettleiing til </w:t>
      </w:r>
      <w:proofErr w:type="spellStart"/>
      <w:r w:rsidRPr="00225D4D">
        <w:t>reglane</w:t>
      </w:r>
      <w:proofErr w:type="spellEnd"/>
      <w:r w:rsidRPr="00225D4D">
        <w:t xml:space="preserve">, og det ligg </w:t>
      </w:r>
      <w:proofErr w:type="spellStart"/>
      <w:r w:rsidRPr="00225D4D">
        <w:t>no</w:t>
      </w:r>
      <w:proofErr w:type="spellEnd"/>
      <w:r w:rsidRPr="00225D4D">
        <w:t xml:space="preserve"> føre mellom anna </w:t>
      </w:r>
      <w:proofErr w:type="spellStart"/>
      <w:r w:rsidRPr="00225D4D">
        <w:t>informasjonsvideoar</w:t>
      </w:r>
      <w:proofErr w:type="spellEnd"/>
      <w:r w:rsidRPr="00225D4D">
        <w:t xml:space="preserve"> på udir.no. Dette vil fungere som </w:t>
      </w:r>
      <w:proofErr w:type="spellStart"/>
      <w:r w:rsidRPr="00225D4D">
        <w:t>eit</w:t>
      </w:r>
      <w:proofErr w:type="spellEnd"/>
      <w:r w:rsidRPr="00225D4D">
        <w:t xml:space="preserve"> kompetansehevingstiltak, </w:t>
      </w:r>
      <w:proofErr w:type="spellStart"/>
      <w:r w:rsidRPr="00225D4D">
        <w:t>saman</w:t>
      </w:r>
      <w:proofErr w:type="spellEnd"/>
      <w:r w:rsidRPr="00225D4D">
        <w:t xml:space="preserve"> med merknadene til føresegna. Regjeringa vil òg følge med på korleis </w:t>
      </w:r>
      <w:proofErr w:type="spellStart"/>
      <w:r w:rsidRPr="00225D4D">
        <w:t>reglane</w:t>
      </w:r>
      <w:proofErr w:type="spellEnd"/>
      <w:r w:rsidRPr="00225D4D">
        <w:t xml:space="preserve"> </w:t>
      </w:r>
      <w:proofErr w:type="spellStart"/>
      <w:r w:rsidRPr="00225D4D">
        <w:t>verkar</w:t>
      </w:r>
      <w:proofErr w:type="spellEnd"/>
      <w:r w:rsidRPr="00225D4D">
        <w:t xml:space="preserve">. Sjå mellom anna </w:t>
      </w:r>
      <w:proofErr w:type="spellStart"/>
      <w:r w:rsidRPr="00225D4D">
        <w:t>Prop</w:t>
      </w:r>
      <w:proofErr w:type="spellEnd"/>
      <w:r w:rsidRPr="00225D4D">
        <w:t>. 51 L (2024–2025), pkt. 5.3.</w:t>
      </w:r>
    </w:p>
    <w:p w14:paraId="31873974" w14:textId="77777777" w:rsidR="00D60186" w:rsidRPr="00225D4D" w:rsidRDefault="00D60186" w:rsidP="00225D4D">
      <w:r w:rsidRPr="00225D4D">
        <w:t xml:space="preserve">Det </w:t>
      </w:r>
      <w:proofErr w:type="spellStart"/>
      <w:r w:rsidRPr="00225D4D">
        <w:t>finst</w:t>
      </w:r>
      <w:proofErr w:type="spellEnd"/>
      <w:r w:rsidRPr="00225D4D">
        <w:t xml:space="preserve"> </w:t>
      </w:r>
      <w:proofErr w:type="spellStart"/>
      <w:r w:rsidRPr="00225D4D">
        <w:t>fleire</w:t>
      </w:r>
      <w:proofErr w:type="spellEnd"/>
      <w:r w:rsidRPr="00225D4D">
        <w:t xml:space="preserve"> ulike nasjonale kompetansetiltak som skal gi </w:t>
      </w:r>
      <w:proofErr w:type="spellStart"/>
      <w:r w:rsidRPr="00225D4D">
        <w:t>barnehagar</w:t>
      </w:r>
      <w:proofErr w:type="spellEnd"/>
      <w:r w:rsidRPr="00225D4D">
        <w:t xml:space="preserve">, </w:t>
      </w:r>
      <w:proofErr w:type="spellStart"/>
      <w:r w:rsidRPr="00225D4D">
        <w:t>skular</w:t>
      </w:r>
      <w:proofErr w:type="spellEnd"/>
      <w:r w:rsidRPr="00225D4D">
        <w:t xml:space="preserve"> og </w:t>
      </w:r>
      <w:proofErr w:type="spellStart"/>
      <w:r w:rsidRPr="00225D4D">
        <w:t>eigarar</w:t>
      </w:r>
      <w:proofErr w:type="spellEnd"/>
      <w:r w:rsidRPr="00225D4D">
        <w:t xml:space="preserve"> støtte til å bygge trygge og gode miljø og til å </w:t>
      </w:r>
      <w:proofErr w:type="spellStart"/>
      <w:r w:rsidRPr="00225D4D">
        <w:t>førebygge</w:t>
      </w:r>
      <w:proofErr w:type="spellEnd"/>
      <w:r w:rsidRPr="00225D4D">
        <w:t xml:space="preserve">, avdekke og handtere </w:t>
      </w:r>
      <w:proofErr w:type="spellStart"/>
      <w:r w:rsidRPr="00225D4D">
        <w:t>krenkingar</w:t>
      </w:r>
      <w:proofErr w:type="spellEnd"/>
      <w:r w:rsidRPr="00225D4D">
        <w:t xml:space="preserve">. Utdanningsdirektoratet har i 2025 </w:t>
      </w:r>
      <w:proofErr w:type="spellStart"/>
      <w:r w:rsidRPr="00225D4D">
        <w:t>vidareutvikla</w:t>
      </w:r>
      <w:proofErr w:type="spellEnd"/>
      <w:r w:rsidRPr="00225D4D">
        <w:t xml:space="preserve">, samordna og målretta </w:t>
      </w:r>
      <w:proofErr w:type="spellStart"/>
      <w:r w:rsidRPr="00225D4D">
        <w:t>dei</w:t>
      </w:r>
      <w:proofErr w:type="spellEnd"/>
      <w:r w:rsidRPr="00225D4D">
        <w:t xml:space="preserve"> digitale </w:t>
      </w:r>
      <w:proofErr w:type="spellStart"/>
      <w:r w:rsidRPr="00225D4D">
        <w:t>støtteressursane</w:t>
      </w:r>
      <w:proofErr w:type="spellEnd"/>
      <w:r w:rsidRPr="00225D4D">
        <w:t xml:space="preserve"> og forsking på feltet, blant anna for å støtte </w:t>
      </w:r>
      <w:proofErr w:type="spellStart"/>
      <w:r w:rsidRPr="00225D4D">
        <w:t>dei</w:t>
      </w:r>
      <w:proofErr w:type="spellEnd"/>
      <w:r w:rsidRPr="00225D4D">
        <w:t xml:space="preserve"> tilsette i </w:t>
      </w:r>
      <w:proofErr w:type="spellStart"/>
      <w:r w:rsidRPr="00225D4D">
        <w:t>skulane</w:t>
      </w:r>
      <w:proofErr w:type="spellEnd"/>
      <w:r w:rsidRPr="00225D4D">
        <w:t xml:space="preserve"> med å handtere saker der </w:t>
      </w:r>
      <w:proofErr w:type="spellStart"/>
      <w:r w:rsidRPr="00225D4D">
        <w:t>elevar</w:t>
      </w:r>
      <w:proofErr w:type="spellEnd"/>
      <w:r w:rsidRPr="00225D4D">
        <w:t xml:space="preserve"> </w:t>
      </w:r>
      <w:proofErr w:type="spellStart"/>
      <w:r w:rsidRPr="00225D4D">
        <w:t>ikkje</w:t>
      </w:r>
      <w:proofErr w:type="spellEnd"/>
      <w:r w:rsidRPr="00225D4D">
        <w:t xml:space="preserve"> har det trygt og godt på </w:t>
      </w:r>
      <w:proofErr w:type="spellStart"/>
      <w:r w:rsidRPr="00225D4D">
        <w:t>skulen</w:t>
      </w:r>
      <w:proofErr w:type="spellEnd"/>
      <w:r w:rsidRPr="00225D4D">
        <w:t>.</w:t>
      </w:r>
    </w:p>
    <w:p w14:paraId="2BB3DCAD"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2E25A1E7" w14:textId="77777777" w:rsidR="00D60186" w:rsidRPr="00225D4D" w:rsidRDefault="00D60186" w:rsidP="00225D4D">
      <w:pPr>
        <w:pStyle w:val="avsnitt-tittel"/>
      </w:pPr>
      <w:proofErr w:type="spellStart"/>
      <w:r w:rsidRPr="00225D4D">
        <w:t>Rettleiar</w:t>
      </w:r>
      <w:proofErr w:type="spellEnd"/>
      <w:r w:rsidRPr="00225D4D">
        <w:t xml:space="preserve"> for å </w:t>
      </w:r>
      <w:proofErr w:type="spellStart"/>
      <w:r w:rsidRPr="00225D4D">
        <w:t>førebygge</w:t>
      </w:r>
      <w:proofErr w:type="spellEnd"/>
      <w:r w:rsidRPr="00225D4D">
        <w:t xml:space="preserve"> fysisk makt og tvang</w:t>
      </w:r>
    </w:p>
    <w:p w14:paraId="74C0F893" w14:textId="77777777" w:rsidR="00D60186" w:rsidRPr="00225D4D" w:rsidRDefault="00D60186" w:rsidP="00225D4D">
      <w:pPr>
        <w:pStyle w:val="avsnitt-undertittel"/>
      </w:pPr>
      <w:r w:rsidRPr="00225D4D">
        <w:t>Vedtak nr. 668, 13. mai 2025:</w:t>
      </w:r>
    </w:p>
    <w:p w14:paraId="2A0D218E" w14:textId="77777777" w:rsidR="00D60186" w:rsidRPr="00225D4D" w:rsidRDefault="00D60186" w:rsidP="00225D4D">
      <w:pPr>
        <w:pStyle w:val="blokksit"/>
        <w:rPr>
          <w:rStyle w:val="kursiv"/>
        </w:rPr>
      </w:pPr>
      <w:r w:rsidRPr="00225D4D">
        <w:rPr>
          <w:rStyle w:val="kursiv"/>
        </w:rPr>
        <w:t>Stortinget ber regjeringen utarbeide en veileder til skolene om pedagogiske virkemidler for å forebygge bruk av fysisk makt og tvang.</w:t>
      </w:r>
    </w:p>
    <w:p w14:paraId="54CD0BB1"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51 L (2024–2025) </w:t>
      </w:r>
      <w:r w:rsidRPr="00225D4D">
        <w:rPr>
          <w:rStyle w:val="kursiv"/>
        </w:rPr>
        <w:t xml:space="preserve">Endringer i </w:t>
      </w:r>
      <w:proofErr w:type="spellStart"/>
      <w:r w:rsidRPr="00225D4D">
        <w:rPr>
          <w:rStyle w:val="kursiv"/>
        </w:rPr>
        <w:t>opplæringslova</w:t>
      </w:r>
      <w:proofErr w:type="spellEnd"/>
      <w:r w:rsidRPr="00225D4D">
        <w:rPr>
          <w:rStyle w:val="kursiv"/>
        </w:rPr>
        <w:t xml:space="preserve"> og privatskolelova (utvidelse av adgangen til fysisk inngripen)</w:t>
      </w:r>
      <w:r w:rsidRPr="00225D4D">
        <w:t xml:space="preserve">, sjå </w:t>
      </w:r>
      <w:proofErr w:type="spellStart"/>
      <w:r w:rsidRPr="00225D4D">
        <w:t>Innst</w:t>
      </w:r>
      <w:proofErr w:type="spellEnd"/>
      <w:r w:rsidRPr="00225D4D">
        <w:t>. 243 L (2024–2025), Lovvedtak 49 (2024–2025).</w:t>
      </w:r>
    </w:p>
    <w:p w14:paraId="59466D9A" w14:textId="77777777" w:rsidR="00D60186" w:rsidRPr="00225D4D" w:rsidRDefault="00D60186" w:rsidP="00225D4D">
      <w:r w:rsidRPr="00225D4D">
        <w:t xml:space="preserve">Departementet har varsla at det vil bli utarbeidd rettleiing til </w:t>
      </w:r>
      <w:proofErr w:type="spellStart"/>
      <w:r w:rsidRPr="00225D4D">
        <w:t>reglane</w:t>
      </w:r>
      <w:proofErr w:type="spellEnd"/>
      <w:r w:rsidRPr="00225D4D">
        <w:t xml:space="preserve">, og det ligg </w:t>
      </w:r>
      <w:proofErr w:type="spellStart"/>
      <w:r w:rsidRPr="00225D4D">
        <w:t>no</w:t>
      </w:r>
      <w:proofErr w:type="spellEnd"/>
      <w:r w:rsidRPr="00225D4D">
        <w:t xml:space="preserve"> føre mellom anna </w:t>
      </w:r>
      <w:proofErr w:type="spellStart"/>
      <w:r w:rsidRPr="00225D4D">
        <w:t>informasjonsvideoar</w:t>
      </w:r>
      <w:proofErr w:type="spellEnd"/>
      <w:r w:rsidRPr="00225D4D">
        <w:t xml:space="preserve"> på udir.no. Rettleiing på dette punktet må </w:t>
      </w:r>
      <w:proofErr w:type="spellStart"/>
      <w:r w:rsidRPr="00225D4D">
        <w:t>sjåast</w:t>
      </w:r>
      <w:proofErr w:type="spellEnd"/>
      <w:r w:rsidRPr="00225D4D">
        <w:t xml:space="preserve"> i </w:t>
      </w:r>
      <w:proofErr w:type="spellStart"/>
      <w:r w:rsidRPr="00225D4D">
        <w:t>samanheng</w:t>
      </w:r>
      <w:proofErr w:type="spellEnd"/>
      <w:r w:rsidRPr="00225D4D">
        <w:t xml:space="preserve"> med anna rettleiing om </w:t>
      </w:r>
      <w:proofErr w:type="spellStart"/>
      <w:r w:rsidRPr="00225D4D">
        <w:t>reglane</w:t>
      </w:r>
      <w:proofErr w:type="spellEnd"/>
      <w:r w:rsidRPr="00225D4D">
        <w:t xml:space="preserve"> for å kunne gripe fysisk inn. </w:t>
      </w:r>
      <w:proofErr w:type="spellStart"/>
      <w:r w:rsidRPr="00225D4D">
        <w:t>Førebygging</w:t>
      </w:r>
      <w:proofErr w:type="spellEnd"/>
      <w:r w:rsidRPr="00225D4D">
        <w:t xml:space="preserve"> av bruk av fysisk makt og tvang må òg </w:t>
      </w:r>
      <w:proofErr w:type="spellStart"/>
      <w:r w:rsidRPr="00225D4D">
        <w:t>sjåast</w:t>
      </w:r>
      <w:proofErr w:type="spellEnd"/>
      <w:r w:rsidRPr="00225D4D">
        <w:t xml:space="preserve"> i </w:t>
      </w:r>
      <w:proofErr w:type="spellStart"/>
      <w:r w:rsidRPr="00225D4D">
        <w:t>samanheng</w:t>
      </w:r>
      <w:proofErr w:type="spellEnd"/>
      <w:r w:rsidRPr="00225D4D">
        <w:t xml:space="preserve"> med andre tiltak og </w:t>
      </w:r>
      <w:proofErr w:type="spellStart"/>
      <w:r w:rsidRPr="00225D4D">
        <w:t>innsatsar</w:t>
      </w:r>
      <w:proofErr w:type="spellEnd"/>
      <w:r w:rsidRPr="00225D4D">
        <w:t xml:space="preserve"> for trygge og gode </w:t>
      </w:r>
      <w:proofErr w:type="spellStart"/>
      <w:r w:rsidRPr="00225D4D">
        <w:t>skulemiljø</w:t>
      </w:r>
      <w:proofErr w:type="spellEnd"/>
      <w:r w:rsidRPr="00225D4D">
        <w:t xml:space="preserve">, som kompetanseutvikling, skule-heim-samarbeid, relasjonsbygging, klasseleiing med </w:t>
      </w:r>
      <w:proofErr w:type="spellStart"/>
      <w:r w:rsidRPr="00225D4D">
        <w:t>meir</w:t>
      </w:r>
      <w:proofErr w:type="spellEnd"/>
      <w:r w:rsidRPr="00225D4D">
        <w:t xml:space="preserve">. Utdanningsdirektoratet har utvikla </w:t>
      </w:r>
      <w:proofErr w:type="spellStart"/>
      <w:r w:rsidRPr="00225D4D">
        <w:t>fleire</w:t>
      </w:r>
      <w:proofErr w:type="spellEnd"/>
      <w:r w:rsidRPr="00225D4D">
        <w:t xml:space="preserve"> </w:t>
      </w:r>
      <w:proofErr w:type="spellStart"/>
      <w:r w:rsidRPr="00225D4D">
        <w:t>ressursar</w:t>
      </w:r>
      <w:proofErr w:type="spellEnd"/>
      <w:r w:rsidRPr="00225D4D">
        <w:t xml:space="preserve"> som </w:t>
      </w:r>
      <w:proofErr w:type="spellStart"/>
      <w:r w:rsidRPr="00225D4D">
        <w:t>skular</w:t>
      </w:r>
      <w:proofErr w:type="spellEnd"/>
      <w:r w:rsidRPr="00225D4D">
        <w:t xml:space="preserve"> kan nytte fritt, jf. nettsidene til Utdanningsdirektoratet.</w:t>
      </w:r>
    </w:p>
    <w:p w14:paraId="7DE780C9" w14:textId="77777777" w:rsidR="00D60186" w:rsidRPr="00225D4D" w:rsidRDefault="00D60186" w:rsidP="00225D4D">
      <w:r w:rsidRPr="00225D4D">
        <w:t>Vedtaket er under behandling.</w:t>
      </w:r>
    </w:p>
    <w:p w14:paraId="3544A90A" w14:textId="77777777" w:rsidR="00D60186" w:rsidRPr="00225D4D" w:rsidRDefault="00D60186" w:rsidP="00225D4D">
      <w:pPr>
        <w:pStyle w:val="avsnitt-tittel"/>
      </w:pPr>
      <w:r w:rsidRPr="00225D4D">
        <w:t xml:space="preserve">Rett til barnehageplass for </w:t>
      </w:r>
      <w:proofErr w:type="spellStart"/>
      <w:r w:rsidRPr="00225D4D">
        <w:t>desemberbarn</w:t>
      </w:r>
      <w:proofErr w:type="spellEnd"/>
    </w:p>
    <w:p w14:paraId="2615AE97" w14:textId="77777777" w:rsidR="00D60186" w:rsidRPr="00225D4D" w:rsidRDefault="00D60186" w:rsidP="00225D4D">
      <w:pPr>
        <w:pStyle w:val="avsnitt-undertittel"/>
      </w:pPr>
      <w:r w:rsidRPr="00225D4D">
        <w:t>Vedtak nr. 670, 13. mai 2025:</w:t>
      </w:r>
    </w:p>
    <w:p w14:paraId="28D7950C" w14:textId="77777777" w:rsidR="00D60186" w:rsidRPr="00225D4D" w:rsidRDefault="00D60186" w:rsidP="00225D4D">
      <w:pPr>
        <w:pStyle w:val="blokksit"/>
        <w:rPr>
          <w:rStyle w:val="kursiv"/>
        </w:rPr>
      </w:pPr>
      <w:r w:rsidRPr="00225D4D">
        <w:rPr>
          <w:rStyle w:val="kursiv"/>
        </w:rPr>
        <w:t>Stortinget ber regjeringen fremme nødvendige lovforslag for å sikre at barn født i desember får rett til barnehageplass innen utgangen av den måneden barnet fyller ett år, på lik linje med barn født i september, oktober og november.</w:t>
      </w:r>
    </w:p>
    <w:p w14:paraId="717DBE0E"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8:108 S (2024–2025) </w:t>
      </w:r>
      <w:r w:rsidRPr="00225D4D">
        <w:rPr>
          <w:rStyle w:val="kursiv"/>
        </w:rPr>
        <w:t xml:space="preserve">Representantforslag fra stortingsrepresentantene Erlend Svardal Bøe, Erna Solberg, Kari-Anne </w:t>
      </w:r>
      <w:proofErr w:type="spellStart"/>
      <w:r w:rsidRPr="00225D4D">
        <w:rPr>
          <w:rStyle w:val="kursiv"/>
        </w:rPr>
        <w:t>Jønnes</w:t>
      </w:r>
      <w:proofErr w:type="spellEnd"/>
      <w:r w:rsidRPr="00225D4D">
        <w:rPr>
          <w:rStyle w:val="kursiv"/>
        </w:rPr>
        <w:t xml:space="preserve">, Margret Hagerup og Sandra </w:t>
      </w:r>
      <w:proofErr w:type="spellStart"/>
      <w:r w:rsidRPr="00225D4D">
        <w:rPr>
          <w:rStyle w:val="kursiv"/>
        </w:rPr>
        <w:t>Bruflot</w:t>
      </w:r>
      <w:proofErr w:type="spellEnd"/>
      <w:r w:rsidRPr="00225D4D">
        <w:rPr>
          <w:rStyle w:val="kursiv"/>
        </w:rPr>
        <w:t xml:space="preserve"> om lovfestet rett til barnehageplass for barn født i desember, innen utgangen av måneden de fyller ett år</w:t>
      </w:r>
      <w:r w:rsidRPr="00225D4D">
        <w:t xml:space="preserve">, jf. </w:t>
      </w:r>
      <w:proofErr w:type="spellStart"/>
      <w:r w:rsidRPr="00225D4D">
        <w:t>Innst</w:t>
      </w:r>
      <w:proofErr w:type="spellEnd"/>
      <w:r w:rsidRPr="00225D4D">
        <w:t>. 239 S (2024–2025).</w:t>
      </w:r>
    </w:p>
    <w:p w14:paraId="7FF110F9"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5E252441" w14:textId="77777777" w:rsidR="00D60186" w:rsidRPr="00225D4D" w:rsidRDefault="00D60186" w:rsidP="00225D4D">
      <w:pPr>
        <w:pStyle w:val="avsnitt-tittel"/>
      </w:pPr>
      <w:r w:rsidRPr="00225D4D">
        <w:t xml:space="preserve">Om individregister over barn i </w:t>
      </w:r>
      <w:proofErr w:type="spellStart"/>
      <w:r w:rsidRPr="00225D4D">
        <w:t>barnehagar</w:t>
      </w:r>
      <w:proofErr w:type="spellEnd"/>
      <w:r w:rsidRPr="00225D4D">
        <w:t xml:space="preserve"> og </w:t>
      </w:r>
      <w:proofErr w:type="spellStart"/>
      <w:r w:rsidRPr="00225D4D">
        <w:t>grunnskuleopplæring</w:t>
      </w:r>
      <w:proofErr w:type="spellEnd"/>
    </w:p>
    <w:p w14:paraId="51ECBEEF" w14:textId="77777777" w:rsidR="00D60186" w:rsidRPr="00225D4D" w:rsidRDefault="00D60186" w:rsidP="00225D4D">
      <w:pPr>
        <w:pStyle w:val="avsnitt-undertittel"/>
      </w:pPr>
      <w:r w:rsidRPr="00225D4D">
        <w:t>Vedtak nr. 778, 26. mai 2025:</w:t>
      </w:r>
    </w:p>
    <w:p w14:paraId="0265B131" w14:textId="77777777" w:rsidR="00D60186" w:rsidRPr="00225D4D" w:rsidRDefault="00D60186" w:rsidP="00225D4D">
      <w:pPr>
        <w:pStyle w:val="blokksit"/>
        <w:rPr>
          <w:rStyle w:val="kursiv"/>
        </w:rPr>
      </w:pPr>
      <w:r w:rsidRPr="00225D4D">
        <w:rPr>
          <w:rStyle w:val="kursiv"/>
        </w:rPr>
        <w:t xml:space="preserve">Stortinget ber regjeringen komme tilbake til Stortinget dersom individregistre over barn i barnehager og grunnskole skal utvides ut over kategoriene som er redegjort for i </w:t>
      </w:r>
      <w:proofErr w:type="spellStart"/>
      <w:r w:rsidRPr="00225D4D">
        <w:rPr>
          <w:rStyle w:val="kursiv"/>
        </w:rPr>
        <w:t>Prop</w:t>
      </w:r>
      <w:proofErr w:type="spellEnd"/>
      <w:r w:rsidRPr="00225D4D">
        <w:rPr>
          <w:rStyle w:val="kursiv"/>
        </w:rPr>
        <w:t>. 131 L (2024–2025).</w:t>
      </w:r>
    </w:p>
    <w:p w14:paraId="124B5A87"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131 L (2024–2025) </w:t>
      </w:r>
      <w:r w:rsidRPr="00225D4D">
        <w:rPr>
          <w:rStyle w:val="kursiv"/>
        </w:rPr>
        <w:t xml:space="preserve">Endringer i </w:t>
      </w:r>
      <w:proofErr w:type="spellStart"/>
      <w:r w:rsidRPr="00225D4D">
        <w:rPr>
          <w:rStyle w:val="kursiv"/>
        </w:rPr>
        <w:t>opplæringslova</w:t>
      </w:r>
      <w:proofErr w:type="spellEnd"/>
      <w:r w:rsidRPr="00225D4D">
        <w:rPr>
          <w:rStyle w:val="kursiv"/>
        </w:rPr>
        <w:t>, privatskolelova og barnehageloven (individregistre over barn i barnehager og grunnskoleopplæring, overtredelsesgebyr m.m.)</w:t>
      </w:r>
      <w:r w:rsidRPr="00225D4D">
        <w:t xml:space="preserve">, jf. </w:t>
      </w:r>
      <w:proofErr w:type="spellStart"/>
      <w:r w:rsidRPr="00225D4D">
        <w:t>Innst</w:t>
      </w:r>
      <w:proofErr w:type="spellEnd"/>
      <w:r w:rsidRPr="00225D4D">
        <w:t>. 374 L (2024–2025) og Lovvedtak 69 (2024–2025).</w:t>
      </w:r>
    </w:p>
    <w:p w14:paraId="6FDCA996" w14:textId="77777777" w:rsidR="00D60186" w:rsidRPr="00225D4D" w:rsidRDefault="00D60186" w:rsidP="00225D4D">
      <w:r w:rsidRPr="00225D4D">
        <w:t xml:space="preserve">Regjeringa vil legge fram forslag til endring i </w:t>
      </w:r>
      <w:proofErr w:type="spellStart"/>
      <w:r w:rsidRPr="00225D4D">
        <w:t>opplæringslova</w:t>
      </w:r>
      <w:proofErr w:type="spellEnd"/>
      <w:r w:rsidRPr="00225D4D">
        <w:t xml:space="preserve"> og barnehagelova dersom det blir aktuelt å utvide </w:t>
      </w:r>
      <w:proofErr w:type="spellStart"/>
      <w:r w:rsidRPr="00225D4D">
        <w:t>registera</w:t>
      </w:r>
      <w:proofErr w:type="spellEnd"/>
      <w:r w:rsidRPr="00225D4D">
        <w:t xml:space="preserve"> til å inkludere </w:t>
      </w:r>
      <w:proofErr w:type="spellStart"/>
      <w:r w:rsidRPr="00225D4D">
        <w:t>særlege</w:t>
      </w:r>
      <w:proofErr w:type="spellEnd"/>
      <w:r w:rsidRPr="00225D4D">
        <w:t xml:space="preserve"> </w:t>
      </w:r>
      <w:proofErr w:type="spellStart"/>
      <w:r w:rsidRPr="00225D4D">
        <w:t>kategoriar</w:t>
      </w:r>
      <w:proofErr w:type="spellEnd"/>
      <w:r w:rsidRPr="00225D4D">
        <w:t xml:space="preserve"> </w:t>
      </w:r>
      <w:proofErr w:type="spellStart"/>
      <w:r w:rsidRPr="00225D4D">
        <w:t>personopplysningar</w:t>
      </w:r>
      <w:proofErr w:type="spellEnd"/>
      <w:r w:rsidRPr="00225D4D">
        <w:t xml:space="preserve">. Regjeringa vil òg </w:t>
      </w:r>
      <w:proofErr w:type="spellStart"/>
      <w:r w:rsidRPr="00225D4D">
        <w:t>kome</w:t>
      </w:r>
      <w:proofErr w:type="spellEnd"/>
      <w:r w:rsidRPr="00225D4D">
        <w:t xml:space="preserve"> tilbake til Stortinget med ei orientering om eventuelle </w:t>
      </w:r>
      <w:proofErr w:type="spellStart"/>
      <w:r w:rsidRPr="00225D4D">
        <w:t>forskriftsendringar</w:t>
      </w:r>
      <w:proofErr w:type="spellEnd"/>
      <w:r w:rsidRPr="00225D4D">
        <w:t xml:space="preserve"> dersom det blir aktuelt å utvide </w:t>
      </w:r>
      <w:proofErr w:type="spellStart"/>
      <w:r w:rsidRPr="00225D4D">
        <w:t>registera</w:t>
      </w:r>
      <w:proofErr w:type="spellEnd"/>
      <w:r w:rsidRPr="00225D4D">
        <w:t xml:space="preserve"> til andre </w:t>
      </w:r>
      <w:proofErr w:type="spellStart"/>
      <w:r w:rsidRPr="00225D4D">
        <w:t>personopplysningar</w:t>
      </w:r>
      <w:proofErr w:type="spellEnd"/>
      <w:r w:rsidRPr="00225D4D">
        <w:t xml:space="preserve"> enn det som er gjort greie for i </w:t>
      </w:r>
      <w:proofErr w:type="spellStart"/>
      <w:r w:rsidRPr="00225D4D">
        <w:t>Prop</w:t>
      </w:r>
      <w:proofErr w:type="spellEnd"/>
      <w:r w:rsidRPr="00225D4D">
        <w:t>. 131 L (2024–2025).</w:t>
      </w:r>
    </w:p>
    <w:p w14:paraId="7F62C757"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0B864B85"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w:t>
      </w:r>
      <w:proofErr w:type="spellStart"/>
      <w:r w:rsidRPr="00225D4D">
        <w:t>Pensjonstilskot</w:t>
      </w:r>
      <w:proofErr w:type="spellEnd"/>
    </w:p>
    <w:p w14:paraId="3A0BEAFC" w14:textId="77777777" w:rsidR="00D60186" w:rsidRPr="00225D4D" w:rsidRDefault="00D60186" w:rsidP="00225D4D">
      <w:pPr>
        <w:pStyle w:val="avsnitt-undertittel"/>
      </w:pPr>
      <w:r w:rsidRPr="00225D4D">
        <w:t>Vedtak nr. 863, 3. juni 2025:</w:t>
      </w:r>
    </w:p>
    <w:p w14:paraId="76428BD4" w14:textId="77777777" w:rsidR="00D60186" w:rsidRPr="00225D4D" w:rsidRDefault="00D60186" w:rsidP="00225D4D">
      <w:pPr>
        <w:pStyle w:val="blokksit"/>
        <w:rPr>
          <w:rStyle w:val="kursiv"/>
        </w:rPr>
      </w:pPr>
      <w:r w:rsidRPr="00225D4D">
        <w:rPr>
          <w:rStyle w:val="kursiv"/>
        </w:rPr>
        <w:t>Stortinget ber regjeringen i forskrift fastsette tre sjablonger for beregninger av pensjonstilskudd til private barnehager, hvorav en av sjablongene representerer bransjestandard.</w:t>
      </w:r>
    </w:p>
    <w:p w14:paraId="71FB2C6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4BE2D337" w14:textId="77777777" w:rsidR="00D60186" w:rsidRPr="00225D4D" w:rsidRDefault="00D60186" w:rsidP="00225D4D">
      <w:r w:rsidRPr="00225D4D">
        <w:t xml:space="preserve">Departementet viser til omtale av barnehageforliket i 2024 i kategoriinnleiinga til programkategori 07.30 </w:t>
      </w:r>
      <w:proofErr w:type="spellStart"/>
      <w:r w:rsidRPr="00225D4D">
        <w:t>Barnehagar</w:t>
      </w:r>
      <w:proofErr w:type="spellEnd"/>
      <w:r w:rsidRPr="00225D4D">
        <w:t xml:space="preserve">. Med </w:t>
      </w:r>
      <w:proofErr w:type="spellStart"/>
      <w:r w:rsidRPr="00225D4D">
        <w:t>dei</w:t>
      </w:r>
      <w:proofErr w:type="spellEnd"/>
      <w:r w:rsidRPr="00225D4D">
        <w:t xml:space="preserve"> nye </w:t>
      </w:r>
      <w:proofErr w:type="spellStart"/>
      <w:r w:rsidRPr="00225D4D">
        <w:t>reglane</w:t>
      </w:r>
      <w:proofErr w:type="spellEnd"/>
      <w:r w:rsidRPr="00225D4D">
        <w:t xml:space="preserve"> i barnehagelova skal </w:t>
      </w:r>
      <w:proofErr w:type="spellStart"/>
      <w:r w:rsidRPr="00225D4D">
        <w:t>pensjonstilskotet</w:t>
      </w:r>
      <w:proofErr w:type="spellEnd"/>
      <w:r w:rsidRPr="00225D4D">
        <w:t xml:space="preserve"> </w:t>
      </w:r>
      <w:proofErr w:type="spellStart"/>
      <w:r w:rsidRPr="00225D4D">
        <w:t>bereknast</w:t>
      </w:r>
      <w:proofErr w:type="spellEnd"/>
      <w:r w:rsidRPr="00225D4D">
        <w:t xml:space="preserve"> ved å </w:t>
      </w:r>
      <w:proofErr w:type="spellStart"/>
      <w:r w:rsidRPr="00225D4D">
        <w:t>gonge</w:t>
      </w:r>
      <w:proofErr w:type="spellEnd"/>
      <w:r w:rsidRPr="00225D4D">
        <w:t xml:space="preserve"> </w:t>
      </w:r>
      <w:proofErr w:type="spellStart"/>
      <w:r w:rsidRPr="00225D4D">
        <w:t>talet</w:t>
      </w:r>
      <w:proofErr w:type="spellEnd"/>
      <w:r w:rsidRPr="00225D4D">
        <w:t xml:space="preserve"> på årsverk i barnehagen med samla lønn per årsverk i barnehagen, </w:t>
      </w:r>
      <w:proofErr w:type="spellStart"/>
      <w:r w:rsidRPr="00225D4D">
        <w:t>ein</w:t>
      </w:r>
      <w:proofErr w:type="spellEnd"/>
      <w:r w:rsidRPr="00225D4D">
        <w:t xml:space="preserve"> prosentsats basert på pensjonsvilkåra til den enkelte barnehage og lokal </w:t>
      </w:r>
      <w:proofErr w:type="spellStart"/>
      <w:r w:rsidRPr="00225D4D">
        <w:t>arbeidsgivaravgift</w:t>
      </w:r>
      <w:proofErr w:type="spellEnd"/>
      <w:r w:rsidRPr="00225D4D">
        <w:t>.</w:t>
      </w:r>
    </w:p>
    <w:p w14:paraId="57CDCB8E" w14:textId="77777777" w:rsidR="00D60186" w:rsidRPr="00225D4D" w:rsidRDefault="00D60186" w:rsidP="00225D4D">
      <w:r w:rsidRPr="00225D4D">
        <w:t xml:space="preserve">Regjeringa sende 25. juni 2025 forslag til forskrift om </w:t>
      </w:r>
      <w:proofErr w:type="spellStart"/>
      <w:r w:rsidRPr="00225D4D">
        <w:t>tilskot</w:t>
      </w:r>
      <w:proofErr w:type="spellEnd"/>
      <w:r w:rsidRPr="00225D4D">
        <w:t xml:space="preserve"> til private </w:t>
      </w:r>
      <w:proofErr w:type="spellStart"/>
      <w:r w:rsidRPr="00225D4D">
        <w:t>barnehagar</w:t>
      </w:r>
      <w:proofErr w:type="spellEnd"/>
      <w:r w:rsidRPr="00225D4D">
        <w:t xml:space="preserve"> på </w:t>
      </w:r>
      <w:proofErr w:type="spellStart"/>
      <w:r w:rsidRPr="00225D4D">
        <w:t>høyring</w:t>
      </w:r>
      <w:proofErr w:type="spellEnd"/>
      <w:r w:rsidRPr="00225D4D">
        <w:t xml:space="preserve">. Det er mellom anna foreslått at det skal </w:t>
      </w:r>
      <w:proofErr w:type="spellStart"/>
      <w:r w:rsidRPr="00225D4D">
        <w:t>vere</w:t>
      </w:r>
      <w:proofErr w:type="spellEnd"/>
      <w:r w:rsidRPr="00225D4D">
        <w:t xml:space="preserve"> tre </w:t>
      </w:r>
      <w:proofErr w:type="spellStart"/>
      <w:r w:rsidRPr="00225D4D">
        <w:t>prosentsatsar</w:t>
      </w:r>
      <w:proofErr w:type="spellEnd"/>
      <w:r w:rsidRPr="00225D4D">
        <w:t>/</w:t>
      </w:r>
      <w:proofErr w:type="spellStart"/>
      <w:r w:rsidRPr="00225D4D">
        <w:t>sjablongar</w:t>
      </w:r>
      <w:proofErr w:type="spellEnd"/>
      <w:r w:rsidRPr="00225D4D">
        <w:t xml:space="preserve"> på 5, 8 og 11 pst. av lønnskostnadene i barnehagen for </w:t>
      </w:r>
      <w:proofErr w:type="spellStart"/>
      <w:r w:rsidRPr="00225D4D">
        <w:t>berekning</w:t>
      </w:r>
      <w:proofErr w:type="spellEnd"/>
      <w:r w:rsidRPr="00225D4D">
        <w:t xml:space="preserve"> av </w:t>
      </w:r>
      <w:proofErr w:type="spellStart"/>
      <w:r w:rsidRPr="00225D4D">
        <w:t>pensjonstilskot</w:t>
      </w:r>
      <w:proofErr w:type="spellEnd"/>
      <w:r w:rsidRPr="00225D4D">
        <w:t xml:space="preserve">. Det er lagt til grunn at den </w:t>
      </w:r>
      <w:proofErr w:type="spellStart"/>
      <w:r w:rsidRPr="00225D4D">
        <w:t>øvste</w:t>
      </w:r>
      <w:proofErr w:type="spellEnd"/>
      <w:r w:rsidRPr="00225D4D">
        <w:t xml:space="preserve"> satsen på 11 pst. vil representere ei form for bransjestandard. </w:t>
      </w:r>
      <w:proofErr w:type="spellStart"/>
      <w:r w:rsidRPr="00225D4D">
        <w:t>Høyringsfristen</w:t>
      </w:r>
      <w:proofErr w:type="spellEnd"/>
      <w:r w:rsidRPr="00225D4D">
        <w:t xml:space="preserve"> er 30. september 2025. De tre </w:t>
      </w:r>
      <w:proofErr w:type="spellStart"/>
      <w:r w:rsidRPr="00225D4D">
        <w:t>prosentsatsane</w:t>
      </w:r>
      <w:proofErr w:type="spellEnd"/>
      <w:r w:rsidRPr="00225D4D">
        <w:t xml:space="preserve"> vil bli vurdert i lys av </w:t>
      </w:r>
      <w:proofErr w:type="spellStart"/>
      <w:r w:rsidRPr="00225D4D">
        <w:t>innspela</w:t>
      </w:r>
      <w:proofErr w:type="spellEnd"/>
      <w:r w:rsidRPr="00225D4D">
        <w:t xml:space="preserve"> i </w:t>
      </w:r>
      <w:proofErr w:type="spellStart"/>
      <w:r w:rsidRPr="00225D4D">
        <w:t>høyringa</w:t>
      </w:r>
      <w:proofErr w:type="spellEnd"/>
      <w:r w:rsidRPr="00225D4D">
        <w:t>.</w:t>
      </w:r>
    </w:p>
    <w:p w14:paraId="0D06F9FB"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5FB0BB2B"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Vurdere behov for eigen regel om bruk av </w:t>
      </w:r>
      <w:proofErr w:type="spellStart"/>
      <w:r w:rsidRPr="00225D4D">
        <w:t>tilskot</w:t>
      </w:r>
      <w:proofErr w:type="spellEnd"/>
      <w:r w:rsidRPr="00225D4D">
        <w:t xml:space="preserve"> til </w:t>
      </w:r>
      <w:proofErr w:type="spellStart"/>
      <w:r w:rsidRPr="00225D4D">
        <w:t>eigedomskostnader</w:t>
      </w:r>
      <w:proofErr w:type="spellEnd"/>
    </w:p>
    <w:p w14:paraId="1A09482D" w14:textId="77777777" w:rsidR="00D60186" w:rsidRPr="00225D4D" w:rsidRDefault="00D60186" w:rsidP="00225D4D">
      <w:pPr>
        <w:pStyle w:val="avsnitt-undertittel"/>
      </w:pPr>
      <w:r w:rsidRPr="00225D4D">
        <w:t>Vedtak nr. 864, 3. juni 2025:</w:t>
      </w:r>
    </w:p>
    <w:p w14:paraId="71229ADF" w14:textId="77777777" w:rsidR="00D60186" w:rsidRPr="00225D4D" w:rsidRDefault="00D60186" w:rsidP="00225D4D">
      <w:pPr>
        <w:pStyle w:val="blokksit"/>
        <w:rPr>
          <w:rStyle w:val="kursiv"/>
        </w:rPr>
      </w:pPr>
      <w:r w:rsidRPr="00225D4D">
        <w:rPr>
          <w:rStyle w:val="kursiv"/>
        </w:rPr>
        <w:t>Stortinget ber regjeringen i arbeidet med mer treffsikre vurderinger av eiendomskostnader for private barnehager vurdere om det er behov for en egen regel om bruk av tilskudd til eiendomskostnader, og hvordan denne eventuelt kan utformes slik at den treffer formålet med reguleringen.</w:t>
      </w:r>
    </w:p>
    <w:p w14:paraId="579C438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20D6E503" w14:textId="77777777" w:rsidR="00D60186" w:rsidRPr="00225D4D" w:rsidRDefault="00D60186" w:rsidP="00225D4D">
      <w:r w:rsidRPr="00225D4D">
        <w:t>Vedtaket er under behandling.</w:t>
      </w:r>
    </w:p>
    <w:p w14:paraId="6F1C778F" w14:textId="77777777" w:rsidR="00D60186" w:rsidRPr="00225D4D" w:rsidRDefault="00D60186" w:rsidP="00225D4D">
      <w:pPr>
        <w:pStyle w:val="avsnitt-tittel"/>
      </w:pPr>
      <w:r w:rsidRPr="00225D4D">
        <w:t xml:space="preserve">Vurdere omsyn til barn med </w:t>
      </w:r>
      <w:proofErr w:type="spellStart"/>
      <w:r w:rsidRPr="00225D4D">
        <w:t>særskilde</w:t>
      </w:r>
      <w:proofErr w:type="spellEnd"/>
      <w:r w:rsidRPr="00225D4D">
        <w:t xml:space="preserve"> behov ved opptak til barnehage</w:t>
      </w:r>
    </w:p>
    <w:p w14:paraId="32239020" w14:textId="77777777" w:rsidR="00D60186" w:rsidRPr="00225D4D" w:rsidRDefault="00D60186" w:rsidP="00225D4D">
      <w:pPr>
        <w:pStyle w:val="avsnitt-undertittel"/>
      </w:pPr>
      <w:r w:rsidRPr="00225D4D">
        <w:t>Vedtak nr. 865, 3. juni 2025:</w:t>
      </w:r>
    </w:p>
    <w:p w14:paraId="195CFA1D" w14:textId="77777777" w:rsidR="00D60186" w:rsidRPr="00225D4D" w:rsidRDefault="00D60186" w:rsidP="00225D4D">
      <w:pPr>
        <w:pStyle w:val="blokksit"/>
        <w:rPr>
          <w:rStyle w:val="kursiv"/>
        </w:rPr>
      </w:pPr>
      <w:r w:rsidRPr="00225D4D">
        <w:rPr>
          <w:rStyle w:val="kursiv"/>
        </w:rPr>
        <w:t>Stortinget ber regjeringen vurdere hvordan det kan tas ytterligere hensyn til barn med særskilte behov ved opptak, og komme tilbake til Stortinget på egnet måte.</w:t>
      </w:r>
    </w:p>
    <w:p w14:paraId="1EF3DFE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0CE0C788"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26536B7F"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Greie ut definisjonen av ideelle </w:t>
      </w:r>
      <w:proofErr w:type="spellStart"/>
      <w:r w:rsidRPr="00225D4D">
        <w:t>barnehagar</w:t>
      </w:r>
      <w:proofErr w:type="spellEnd"/>
    </w:p>
    <w:p w14:paraId="694FBEBA" w14:textId="77777777" w:rsidR="00D60186" w:rsidRPr="00225D4D" w:rsidRDefault="00D60186" w:rsidP="00225D4D">
      <w:pPr>
        <w:pStyle w:val="avsnitt-undertittel"/>
      </w:pPr>
      <w:r w:rsidRPr="00225D4D">
        <w:t>Vedtak nr. 866, 3. juni 2025:</w:t>
      </w:r>
    </w:p>
    <w:p w14:paraId="3354CC5F" w14:textId="77777777" w:rsidR="00D60186" w:rsidRPr="00225D4D" w:rsidRDefault="00D60186" w:rsidP="00225D4D">
      <w:pPr>
        <w:pStyle w:val="blokksit"/>
        <w:rPr>
          <w:rStyle w:val="kursiv"/>
        </w:rPr>
      </w:pPr>
      <w:r w:rsidRPr="00225D4D">
        <w:rPr>
          <w:rStyle w:val="kursiv"/>
        </w:rPr>
        <w:t>Stortinget ber regjeringen utrede om det er behov for å stille ytterligere krav til definisjonen av ideelle barnehager for at den skal virke etter intensjonen, herunder om det må stilles krav til andre ledd i organisasjonen hvis en ideell barnehage er del av et konsern eller eierstruktur.</w:t>
      </w:r>
    </w:p>
    <w:p w14:paraId="57313A71"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169BEA67" w14:textId="77777777" w:rsidR="00D60186" w:rsidRPr="00225D4D" w:rsidRDefault="00D60186" w:rsidP="00225D4D">
      <w:r w:rsidRPr="00225D4D">
        <w:t xml:space="preserve">I NOU 2024: 1 </w:t>
      </w:r>
      <w:r w:rsidRPr="00225D4D">
        <w:rPr>
          <w:rStyle w:val="kursiv"/>
        </w:rPr>
        <w:t>Definisjon og registrering av ideelle velferdsaktører</w:t>
      </w:r>
      <w:r w:rsidRPr="00225D4D">
        <w:t xml:space="preserve"> har </w:t>
      </w:r>
      <w:proofErr w:type="spellStart"/>
      <w:r w:rsidRPr="00225D4D">
        <w:t>Støstad-utvalet</w:t>
      </w:r>
      <w:proofErr w:type="spellEnd"/>
      <w:r w:rsidRPr="00225D4D">
        <w:t xml:space="preserve"> foreslått </w:t>
      </w:r>
      <w:proofErr w:type="spellStart"/>
      <w:r w:rsidRPr="00225D4D">
        <w:t>ein</w:t>
      </w:r>
      <w:proofErr w:type="spellEnd"/>
      <w:r w:rsidRPr="00225D4D">
        <w:t xml:space="preserve"> felles definisjon av </w:t>
      </w:r>
      <w:proofErr w:type="spellStart"/>
      <w:r w:rsidRPr="00225D4D">
        <w:t>kva</w:t>
      </w:r>
      <w:proofErr w:type="spellEnd"/>
      <w:r w:rsidRPr="00225D4D">
        <w:t xml:space="preserve"> som er </w:t>
      </w:r>
      <w:proofErr w:type="spellStart"/>
      <w:r w:rsidRPr="00225D4D">
        <w:t>ein</w:t>
      </w:r>
      <w:proofErr w:type="spellEnd"/>
      <w:r w:rsidRPr="00225D4D">
        <w:t xml:space="preserve"> ideell velferdsaktør. Som </w:t>
      </w:r>
      <w:proofErr w:type="spellStart"/>
      <w:r w:rsidRPr="00225D4D">
        <w:t>ein</w:t>
      </w:r>
      <w:proofErr w:type="spellEnd"/>
      <w:r w:rsidRPr="00225D4D">
        <w:t xml:space="preserve"> del av oppfølginga av forslaga i NOU-en vil regjeringa vurdere om det er behov for å stille </w:t>
      </w:r>
      <w:proofErr w:type="spellStart"/>
      <w:r w:rsidRPr="00225D4D">
        <w:t>ytterlegare</w:t>
      </w:r>
      <w:proofErr w:type="spellEnd"/>
      <w:r w:rsidRPr="00225D4D">
        <w:t xml:space="preserve"> krav til definisjonen av ideelle </w:t>
      </w:r>
      <w:proofErr w:type="spellStart"/>
      <w:r w:rsidRPr="00225D4D">
        <w:t>barnehagar</w:t>
      </w:r>
      <w:proofErr w:type="spellEnd"/>
      <w:r w:rsidRPr="00225D4D">
        <w:t xml:space="preserve"> for at han skal verke etter intensjonen, mellom anna om det må </w:t>
      </w:r>
      <w:proofErr w:type="spellStart"/>
      <w:r w:rsidRPr="00225D4D">
        <w:t>stillast</w:t>
      </w:r>
      <w:proofErr w:type="spellEnd"/>
      <w:r w:rsidRPr="00225D4D">
        <w:t xml:space="preserve"> krav til andre ledd i organisasjonen dersom </w:t>
      </w:r>
      <w:proofErr w:type="spellStart"/>
      <w:r w:rsidRPr="00225D4D">
        <w:t>ein</w:t>
      </w:r>
      <w:proofErr w:type="spellEnd"/>
      <w:r w:rsidRPr="00225D4D">
        <w:t xml:space="preserve"> ideell barnehage er </w:t>
      </w:r>
      <w:proofErr w:type="spellStart"/>
      <w:r w:rsidRPr="00225D4D">
        <w:t>ein</w:t>
      </w:r>
      <w:proofErr w:type="spellEnd"/>
      <w:r w:rsidRPr="00225D4D">
        <w:t xml:space="preserve"> del av </w:t>
      </w:r>
      <w:proofErr w:type="spellStart"/>
      <w:r w:rsidRPr="00225D4D">
        <w:t>eit</w:t>
      </w:r>
      <w:proofErr w:type="spellEnd"/>
      <w:r w:rsidRPr="00225D4D">
        <w:t xml:space="preserve"> konsern eller </w:t>
      </w:r>
      <w:proofErr w:type="spellStart"/>
      <w:r w:rsidRPr="00225D4D">
        <w:t>ein</w:t>
      </w:r>
      <w:proofErr w:type="spellEnd"/>
      <w:r w:rsidRPr="00225D4D">
        <w:t xml:space="preserve"> </w:t>
      </w:r>
      <w:proofErr w:type="spellStart"/>
      <w:r w:rsidRPr="00225D4D">
        <w:t>eigarstruktur</w:t>
      </w:r>
      <w:proofErr w:type="spellEnd"/>
      <w:r w:rsidRPr="00225D4D">
        <w:t xml:space="preserve">. Regjeringa vil også vurdere om det bør </w:t>
      </w:r>
      <w:proofErr w:type="spellStart"/>
      <w:r w:rsidRPr="00225D4D">
        <w:t>stillast</w:t>
      </w:r>
      <w:proofErr w:type="spellEnd"/>
      <w:r w:rsidRPr="00225D4D">
        <w:t xml:space="preserve"> krav til </w:t>
      </w:r>
      <w:proofErr w:type="spellStart"/>
      <w:r w:rsidRPr="00225D4D">
        <w:t>eigaren</w:t>
      </w:r>
      <w:proofErr w:type="spellEnd"/>
      <w:r w:rsidRPr="00225D4D">
        <w:t xml:space="preserve"> av </w:t>
      </w:r>
      <w:proofErr w:type="spellStart"/>
      <w:r w:rsidRPr="00225D4D">
        <w:t>eigedomen</w:t>
      </w:r>
      <w:proofErr w:type="spellEnd"/>
      <w:r w:rsidRPr="00225D4D">
        <w:t>.</w:t>
      </w:r>
    </w:p>
    <w:p w14:paraId="767C33BA" w14:textId="77777777" w:rsidR="00D60186" w:rsidRPr="00225D4D" w:rsidRDefault="00D60186" w:rsidP="00225D4D">
      <w:r w:rsidRPr="00225D4D">
        <w:t>Vedtaket er under behandling.</w:t>
      </w:r>
    </w:p>
    <w:p w14:paraId="15D95D42"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w:t>
      </w:r>
      <w:proofErr w:type="spellStart"/>
      <w:r w:rsidRPr="00225D4D">
        <w:t>Ikkje</w:t>
      </w:r>
      <w:proofErr w:type="spellEnd"/>
      <w:r w:rsidRPr="00225D4D">
        <w:t xml:space="preserve">-tidsavgrensa søknadsordning for pensjonskostnader som skal </w:t>
      </w:r>
      <w:proofErr w:type="spellStart"/>
      <w:r w:rsidRPr="00225D4D">
        <w:t>evaluerast</w:t>
      </w:r>
      <w:proofErr w:type="spellEnd"/>
      <w:r w:rsidRPr="00225D4D">
        <w:t xml:space="preserve"> etter tre år</w:t>
      </w:r>
    </w:p>
    <w:p w14:paraId="4EDB7C06" w14:textId="77777777" w:rsidR="00D60186" w:rsidRPr="00225D4D" w:rsidRDefault="00D60186" w:rsidP="00225D4D">
      <w:pPr>
        <w:pStyle w:val="avsnitt-undertittel"/>
      </w:pPr>
      <w:r w:rsidRPr="00225D4D">
        <w:t>Vedtak nr. 867, 3. juni 2025:</w:t>
      </w:r>
    </w:p>
    <w:p w14:paraId="5531E438" w14:textId="77777777" w:rsidR="00D60186" w:rsidRPr="00225D4D" w:rsidRDefault="00D60186" w:rsidP="00225D4D">
      <w:pPr>
        <w:pStyle w:val="blokksit"/>
        <w:rPr>
          <w:rStyle w:val="kursiv"/>
        </w:rPr>
      </w:pPr>
      <w:r w:rsidRPr="00225D4D">
        <w:rPr>
          <w:rStyle w:val="kursiv"/>
        </w:rPr>
        <w:t xml:space="preserve">Stortinget ber regjeringen legge opp til at søknadsordningen beskrevet i </w:t>
      </w:r>
      <w:proofErr w:type="spellStart"/>
      <w:r w:rsidRPr="00225D4D">
        <w:rPr>
          <w:rStyle w:val="kursiv"/>
        </w:rPr>
        <w:t>Prop</w:t>
      </w:r>
      <w:proofErr w:type="spellEnd"/>
      <w:r w:rsidRPr="00225D4D">
        <w:rPr>
          <w:rStyle w:val="kursiv"/>
        </w:rPr>
        <w:t>. 138 L (2024–2025) ikke skal være tidsavgrenset, og at ordningen evalueres etter tre år.</w:t>
      </w:r>
    </w:p>
    <w:p w14:paraId="760D23B7"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7120087B" w14:textId="77777777" w:rsidR="00D60186" w:rsidRPr="00225D4D" w:rsidRDefault="00D60186" w:rsidP="00225D4D">
      <w:r w:rsidRPr="00225D4D">
        <w:t xml:space="preserve">Departementet viser til omtale av barnehageforliket i 2024 i kategoriinnleiinga til programkategori 07.30 </w:t>
      </w:r>
      <w:proofErr w:type="spellStart"/>
      <w:r w:rsidRPr="00225D4D">
        <w:t>Barnehagar</w:t>
      </w:r>
      <w:proofErr w:type="spellEnd"/>
      <w:r w:rsidRPr="00225D4D">
        <w:t xml:space="preserve">. Regjeringa sende 25. juni 2025 forslag til forskrift om </w:t>
      </w:r>
      <w:proofErr w:type="spellStart"/>
      <w:r w:rsidRPr="00225D4D">
        <w:t>tilskot</w:t>
      </w:r>
      <w:proofErr w:type="spellEnd"/>
      <w:r w:rsidRPr="00225D4D">
        <w:t xml:space="preserve"> til private </w:t>
      </w:r>
      <w:proofErr w:type="spellStart"/>
      <w:r w:rsidRPr="00225D4D">
        <w:t>barnehagar</w:t>
      </w:r>
      <w:proofErr w:type="spellEnd"/>
      <w:r w:rsidRPr="00225D4D">
        <w:t xml:space="preserve"> på </w:t>
      </w:r>
      <w:proofErr w:type="spellStart"/>
      <w:r w:rsidRPr="00225D4D">
        <w:t>høyring</w:t>
      </w:r>
      <w:proofErr w:type="spellEnd"/>
      <w:r w:rsidRPr="00225D4D">
        <w:t xml:space="preserve">, med </w:t>
      </w:r>
      <w:proofErr w:type="spellStart"/>
      <w:r w:rsidRPr="00225D4D">
        <w:t>høyringsfrist</w:t>
      </w:r>
      <w:proofErr w:type="spellEnd"/>
      <w:r w:rsidRPr="00225D4D">
        <w:t xml:space="preserve"> 30. september 2025. Det er mellom anna foreslått å innføre ei ny søknadsordning for </w:t>
      </w:r>
      <w:proofErr w:type="spellStart"/>
      <w:r w:rsidRPr="00225D4D">
        <w:t>pensjonstilskot</w:t>
      </w:r>
      <w:proofErr w:type="spellEnd"/>
      <w:r w:rsidRPr="00225D4D">
        <w:t xml:space="preserve"> til private </w:t>
      </w:r>
      <w:proofErr w:type="spellStart"/>
      <w:r w:rsidRPr="00225D4D">
        <w:t>barnehagar</w:t>
      </w:r>
      <w:proofErr w:type="spellEnd"/>
      <w:r w:rsidRPr="00225D4D">
        <w:t xml:space="preserve"> som </w:t>
      </w:r>
      <w:proofErr w:type="spellStart"/>
      <w:r w:rsidRPr="00225D4D">
        <w:t>ikkje</w:t>
      </w:r>
      <w:proofErr w:type="spellEnd"/>
      <w:r w:rsidRPr="00225D4D">
        <w:t xml:space="preserve"> får dekt pensjonsutgiftene sine etter den foreslåtte </w:t>
      </w:r>
      <w:proofErr w:type="spellStart"/>
      <w:r w:rsidRPr="00225D4D">
        <w:t>hovudregelen</w:t>
      </w:r>
      <w:proofErr w:type="spellEnd"/>
      <w:r w:rsidRPr="00225D4D">
        <w:t xml:space="preserve"> om </w:t>
      </w:r>
      <w:proofErr w:type="spellStart"/>
      <w:r w:rsidRPr="00225D4D">
        <w:t>tilskot</w:t>
      </w:r>
      <w:proofErr w:type="spellEnd"/>
      <w:r w:rsidRPr="00225D4D">
        <w:t xml:space="preserve"> til pensjon. Den foreslåtte søknadsordninga er </w:t>
      </w:r>
      <w:proofErr w:type="spellStart"/>
      <w:r w:rsidRPr="00225D4D">
        <w:t>ikkje</w:t>
      </w:r>
      <w:proofErr w:type="spellEnd"/>
      <w:r w:rsidRPr="00225D4D">
        <w:t xml:space="preserve"> tidsavgrensa.</w:t>
      </w:r>
    </w:p>
    <w:p w14:paraId="74F25130" w14:textId="77777777" w:rsidR="00D60186" w:rsidRPr="00225D4D" w:rsidRDefault="00D60186" w:rsidP="00225D4D">
      <w:r w:rsidRPr="00225D4D">
        <w:t xml:space="preserve">Kunnskapsdepartementet vil i tildelingsbrevet for 2026 gi Utdanningsdirektoratet i oppdrag å evaluere den nye søknadsordninga for </w:t>
      </w:r>
      <w:proofErr w:type="spellStart"/>
      <w:r w:rsidRPr="00225D4D">
        <w:t>pensjonstilskot</w:t>
      </w:r>
      <w:proofErr w:type="spellEnd"/>
      <w:r w:rsidRPr="00225D4D">
        <w:t xml:space="preserve"> til private </w:t>
      </w:r>
      <w:proofErr w:type="spellStart"/>
      <w:r w:rsidRPr="00225D4D">
        <w:t>barnehagar</w:t>
      </w:r>
      <w:proofErr w:type="spellEnd"/>
      <w:r w:rsidRPr="00225D4D">
        <w:t>.</w:t>
      </w:r>
    </w:p>
    <w:p w14:paraId="0F219E0B"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17B8CC5D"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Ny søknadsordning for </w:t>
      </w:r>
      <w:proofErr w:type="spellStart"/>
      <w:r w:rsidRPr="00225D4D">
        <w:t>pensjonstilskot</w:t>
      </w:r>
      <w:proofErr w:type="spellEnd"/>
    </w:p>
    <w:p w14:paraId="2784C063" w14:textId="77777777" w:rsidR="00D60186" w:rsidRPr="00225D4D" w:rsidRDefault="00D60186" w:rsidP="00225D4D">
      <w:pPr>
        <w:pStyle w:val="avsnitt-undertittel"/>
      </w:pPr>
      <w:r w:rsidRPr="00225D4D">
        <w:t>Vedtak nr. 868, 3. juni 2025:</w:t>
      </w:r>
    </w:p>
    <w:p w14:paraId="2AD55D13" w14:textId="77777777" w:rsidR="00D60186" w:rsidRPr="00225D4D" w:rsidRDefault="00D60186" w:rsidP="00225D4D">
      <w:pPr>
        <w:pStyle w:val="blokksit"/>
        <w:rPr>
          <w:rStyle w:val="kursiv"/>
        </w:rPr>
      </w:pPr>
      <w:r w:rsidRPr="00225D4D">
        <w:rPr>
          <w:rStyle w:val="kursiv"/>
        </w:rPr>
        <w:t>Stortinget ber regjeringen innføre en ny søknadsordning for pensjonstilskudd for private barnehager. Søknadsordningen må være forutsigbar, med tydelig regelverk, ha et rimelig tak og være utformet slik at barnehagene får dekket dokumenterte pensjonskostnader. Stortinget ber regjeringen komme tilbake til Stortinget med en konkretisering av modellen.</w:t>
      </w:r>
    </w:p>
    <w:p w14:paraId="566063D7"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4AE302F3" w14:textId="77777777" w:rsidR="00D60186" w:rsidRPr="00225D4D" w:rsidRDefault="00D60186" w:rsidP="00225D4D">
      <w:r w:rsidRPr="00225D4D">
        <w:t xml:space="preserve">Departementet viser til omtale av barnehageforliket i 2024 i kategoriinnleiinga til programkategori 07.30 </w:t>
      </w:r>
      <w:proofErr w:type="spellStart"/>
      <w:r w:rsidRPr="00225D4D">
        <w:t>Barnehagar</w:t>
      </w:r>
      <w:proofErr w:type="spellEnd"/>
      <w:r w:rsidRPr="00225D4D">
        <w:t xml:space="preserve">. Regjeringa sende 25. juni 2025 forslag til forskrift om </w:t>
      </w:r>
      <w:proofErr w:type="spellStart"/>
      <w:r w:rsidRPr="00225D4D">
        <w:t>tilskot</w:t>
      </w:r>
      <w:proofErr w:type="spellEnd"/>
      <w:r w:rsidRPr="00225D4D">
        <w:t xml:space="preserve"> til private </w:t>
      </w:r>
      <w:proofErr w:type="spellStart"/>
      <w:r w:rsidRPr="00225D4D">
        <w:t>barnehagar</w:t>
      </w:r>
      <w:proofErr w:type="spellEnd"/>
      <w:r w:rsidRPr="00225D4D">
        <w:t xml:space="preserve"> på </w:t>
      </w:r>
      <w:proofErr w:type="spellStart"/>
      <w:r w:rsidRPr="00225D4D">
        <w:t>høyring</w:t>
      </w:r>
      <w:proofErr w:type="spellEnd"/>
      <w:r w:rsidRPr="00225D4D">
        <w:t xml:space="preserve">. Det er mellom anna foreslått å innføre ei ny søknadsordning for </w:t>
      </w:r>
      <w:proofErr w:type="spellStart"/>
      <w:r w:rsidRPr="00225D4D">
        <w:t>pensjonstilskot</w:t>
      </w:r>
      <w:proofErr w:type="spellEnd"/>
      <w:r w:rsidRPr="00225D4D">
        <w:t xml:space="preserve"> til private </w:t>
      </w:r>
      <w:proofErr w:type="spellStart"/>
      <w:r w:rsidRPr="00225D4D">
        <w:t>barnehagar</w:t>
      </w:r>
      <w:proofErr w:type="spellEnd"/>
      <w:r w:rsidRPr="00225D4D">
        <w:t xml:space="preserve"> som </w:t>
      </w:r>
      <w:proofErr w:type="spellStart"/>
      <w:r w:rsidRPr="00225D4D">
        <w:t>ikkje</w:t>
      </w:r>
      <w:proofErr w:type="spellEnd"/>
      <w:r w:rsidRPr="00225D4D">
        <w:t xml:space="preserve"> får dekt pensjonsutgiftene sine etter den foreslåtte </w:t>
      </w:r>
      <w:proofErr w:type="spellStart"/>
      <w:r w:rsidRPr="00225D4D">
        <w:t>hovudregelen</w:t>
      </w:r>
      <w:proofErr w:type="spellEnd"/>
      <w:r w:rsidRPr="00225D4D">
        <w:t xml:space="preserve"> om </w:t>
      </w:r>
      <w:proofErr w:type="spellStart"/>
      <w:r w:rsidRPr="00225D4D">
        <w:t>tilskot</w:t>
      </w:r>
      <w:proofErr w:type="spellEnd"/>
      <w:r w:rsidRPr="00225D4D">
        <w:t xml:space="preserve"> til pensjon. Private </w:t>
      </w:r>
      <w:proofErr w:type="spellStart"/>
      <w:r w:rsidRPr="00225D4D">
        <w:t>barnehagar</w:t>
      </w:r>
      <w:proofErr w:type="spellEnd"/>
      <w:r w:rsidRPr="00225D4D">
        <w:t xml:space="preserve"> som samla over tre år har </w:t>
      </w:r>
      <w:proofErr w:type="spellStart"/>
      <w:r w:rsidRPr="00225D4D">
        <w:t>meir</w:t>
      </w:r>
      <w:proofErr w:type="spellEnd"/>
      <w:r w:rsidRPr="00225D4D">
        <w:t xml:space="preserve"> enn 5 pst. </w:t>
      </w:r>
      <w:proofErr w:type="spellStart"/>
      <w:r w:rsidRPr="00225D4D">
        <w:t>høgare</w:t>
      </w:r>
      <w:proofErr w:type="spellEnd"/>
      <w:r w:rsidRPr="00225D4D">
        <w:t xml:space="preserve"> pensjonsutgifter enn </w:t>
      </w:r>
      <w:proofErr w:type="spellStart"/>
      <w:r w:rsidRPr="00225D4D">
        <w:t>dei</w:t>
      </w:r>
      <w:proofErr w:type="spellEnd"/>
      <w:r w:rsidRPr="00225D4D">
        <w:t xml:space="preserve"> får dekt gjennom </w:t>
      </w:r>
      <w:proofErr w:type="spellStart"/>
      <w:r w:rsidRPr="00225D4D">
        <w:t>hovudregelen</w:t>
      </w:r>
      <w:proofErr w:type="spellEnd"/>
      <w:r w:rsidRPr="00225D4D">
        <w:t xml:space="preserve">, skal etter forslaget få dekt utgiftene som overstig 5 pst., men avgrensa til 13 pst. av </w:t>
      </w:r>
      <w:proofErr w:type="spellStart"/>
      <w:r w:rsidRPr="00225D4D">
        <w:t>pensjonsgivande</w:t>
      </w:r>
      <w:proofErr w:type="spellEnd"/>
      <w:r w:rsidRPr="00225D4D">
        <w:t xml:space="preserve"> lønn i den private barnehagen. </w:t>
      </w:r>
      <w:proofErr w:type="spellStart"/>
      <w:r w:rsidRPr="00225D4D">
        <w:t>Høyringsfristen</w:t>
      </w:r>
      <w:proofErr w:type="spellEnd"/>
      <w:r w:rsidRPr="00225D4D">
        <w:t xml:space="preserve"> er 30. september 2025. </w:t>
      </w:r>
      <w:proofErr w:type="spellStart"/>
      <w:r w:rsidRPr="00225D4D">
        <w:t>Endeleg</w:t>
      </w:r>
      <w:proofErr w:type="spellEnd"/>
      <w:r w:rsidRPr="00225D4D">
        <w:t xml:space="preserve"> modell for ny søknadsordning vil bli vurdert i lys av </w:t>
      </w:r>
      <w:proofErr w:type="spellStart"/>
      <w:r w:rsidRPr="00225D4D">
        <w:t>innspela</w:t>
      </w:r>
      <w:proofErr w:type="spellEnd"/>
      <w:r w:rsidRPr="00225D4D">
        <w:t xml:space="preserve"> i </w:t>
      </w:r>
      <w:proofErr w:type="spellStart"/>
      <w:r w:rsidRPr="00225D4D">
        <w:t>høyringa</w:t>
      </w:r>
      <w:proofErr w:type="spellEnd"/>
      <w:r w:rsidRPr="00225D4D">
        <w:t>.</w:t>
      </w:r>
    </w:p>
    <w:p w14:paraId="01F507F0"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303E25A1"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Søknadsordning som kan kompensere for </w:t>
      </w:r>
      <w:proofErr w:type="spellStart"/>
      <w:r w:rsidRPr="00225D4D">
        <w:t>mellombelse</w:t>
      </w:r>
      <w:proofErr w:type="spellEnd"/>
      <w:r w:rsidRPr="00225D4D">
        <w:t xml:space="preserve"> høge utgifter</w:t>
      </w:r>
    </w:p>
    <w:p w14:paraId="5B36681B" w14:textId="77777777" w:rsidR="00D60186" w:rsidRPr="00225D4D" w:rsidRDefault="00D60186" w:rsidP="00225D4D">
      <w:pPr>
        <w:pStyle w:val="avsnitt-undertittel"/>
      </w:pPr>
      <w:r w:rsidRPr="00225D4D">
        <w:t>Vedtak nr. 869, 3. juni 2025:</w:t>
      </w:r>
    </w:p>
    <w:p w14:paraId="5144C3C0" w14:textId="77777777" w:rsidR="00D60186" w:rsidRPr="00225D4D" w:rsidRDefault="00D60186" w:rsidP="00225D4D">
      <w:pPr>
        <w:pStyle w:val="blokksit"/>
        <w:rPr>
          <w:rStyle w:val="kursiv"/>
        </w:rPr>
      </w:pPr>
      <w:r w:rsidRPr="00225D4D">
        <w:rPr>
          <w:rStyle w:val="kursiv"/>
        </w:rPr>
        <w:t>Stortinget ber regjeringen komme tilbake til hvordan søknadsordningen for pensjonstilskudd for private barnehager kan bidra til å kompensere barnehager for midlertidige høye utgifter i enkeltår, eksempelvis i forbindelse med innføring av AFP.</w:t>
      </w:r>
    </w:p>
    <w:p w14:paraId="561684D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38F277F5" w14:textId="77777777" w:rsidR="00D60186" w:rsidRPr="00225D4D" w:rsidRDefault="00D60186" w:rsidP="00225D4D">
      <w:r w:rsidRPr="00225D4D">
        <w:t xml:space="preserve">Departementet viser til omtale av barnehageforliket i 2024 i kategoriinnleiinga til programkategori 07.30 </w:t>
      </w:r>
      <w:proofErr w:type="spellStart"/>
      <w:r w:rsidRPr="00225D4D">
        <w:t>Barnehagar</w:t>
      </w:r>
      <w:proofErr w:type="spellEnd"/>
      <w:r w:rsidRPr="00225D4D">
        <w:t xml:space="preserve">. Regjeringa sende 25. juni 2025 forslag til forskrift om </w:t>
      </w:r>
      <w:proofErr w:type="spellStart"/>
      <w:r w:rsidRPr="00225D4D">
        <w:t>tilskot</w:t>
      </w:r>
      <w:proofErr w:type="spellEnd"/>
      <w:r w:rsidRPr="00225D4D">
        <w:t xml:space="preserve"> til private </w:t>
      </w:r>
      <w:proofErr w:type="spellStart"/>
      <w:r w:rsidRPr="00225D4D">
        <w:t>barnehagar</w:t>
      </w:r>
      <w:proofErr w:type="spellEnd"/>
      <w:r w:rsidRPr="00225D4D">
        <w:t xml:space="preserve"> på </w:t>
      </w:r>
      <w:proofErr w:type="spellStart"/>
      <w:r w:rsidRPr="00225D4D">
        <w:t>høyring</w:t>
      </w:r>
      <w:proofErr w:type="spellEnd"/>
      <w:r w:rsidRPr="00225D4D">
        <w:t xml:space="preserve">. Det er mellom anna foreslått å innføre ei ny søknadsordning for </w:t>
      </w:r>
      <w:proofErr w:type="spellStart"/>
      <w:r w:rsidRPr="00225D4D">
        <w:t>pensjonstilskot</w:t>
      </w:r>
      <w:proofErr w:type="spellEnd"/>
      <w:r w:rsidRPr="00225D4D">
        <w:t xml:space="preserve"> til private </w:t>
      </w:r>
      <w:proofErr w:type="spellStart"/>
      <w:r w:rsidRPr="00225D4D">
        <w:t>barnehagar</w:t>
      </w:r>
      <w:proofErr w:type="spellEnd"/>
      <w:r w:rsidRPr="00225D4D">
        <w:t xml:space="preserve"> som </w:t>
      </w:r>
      <w:proofErr w:type="spellStart"/>
      <w:r w:rsidRPr="00225D4D">
        <w:t>ikkje</w:t>
      </w:r>
      <w:proofErr w:type="spellEnd"/>
      <w:r w:rsidRPr="00225D4D">
        <w:t xml:space="preserve"> får dekt pensjonsutgiftene sine etter den foreslåtte </w:t>
      </w:r>
      <w:proofErr w:type="spellStart"/>
      <w:r w:rsidRPr="00225D4D">
        <w:t>hovudregelen</w:t>
      </w:r>
      <w:proofErr w:type="spellEnd"/>
      <w:r w:rsidRPr="00225D4D">
        <w:t xml:space="preserve"> om </w:t>
      </w:r>
      <w:proofErr w:type="spellStart"/>
      <w:r w:rsidRPr="00225D4D">
        <w:t>tilskot</w:t>
      </w:r>
      <w:proofErr w:type="spellEnd"/>
      <w:r w:rsidRPr="00225D4D">
        <w:t xml:space="preserve"> til pensjon. Private </w:t>
      </w:r>
      <w:proofErr w:type="spellStart"/>
      <w:r w:rsidRPr="00225D4D">
        <w:t>barnehagar</w:t>
      </w:r>
      <w:proofErr w:type="spellEnd"/>
      <w:r w:rsidRPr="00225D4D">
        <w:t xml:space="preserve"> som samla over tre år har </w:t>
      </w:r>
      <w:proofErr w:type="spellStart"/>
      <w:r w:rsidRPr="00225D4D">
        <w:t>meir</w:t>
      </w:r>
      <w:proofErr w:type="spellEnd"/>
      <w:r w:rsidRPr="00225D4D">
        <w:t xml:space="preserve"> enn 5 pst. </w:t>
      </w:r>
      <w:proofErr w:type="spellStart"/>
      <w:r w:rsidRPr="00225D4D">
        <w:t>høgare</w:t>
      </w:r>
      <w:proofErr w:type="spellEnd"/>
      <w:r w:rsidRPr="00225D4D">
        <w:t xml:space="preserve"> pensjonsutgifter enn </w:t>
      </w:r>
      <w:proofErr w:type="spellStart"/>
      <w:r w:rsidRPr="00225D4D">
        <w:t>dei</w:t>
      </w:r>
      <w:proofErr w:type="spellEnd"/>
      <w:r w:rsidRPr="00225D4D">
        <w:t xml:space="preserve"> får dekt gjennom </w:t>
      </w:r>
      <w:proofErr w:type="spellStart"/>
      <w:r w:rsidRPr="00225D4D">
        <w:t>hovudregelen</w:t>
      </w:r>
      <w:proofErr w:type="spellEnd"/>
      <w:r w:rsidRPr="00225D4D">
        <w:t xml:space="preserve">, skal etter forslaget få dekt utgiftene som overstig 5 pst., men avgrensa til 13 pst. av </w:t>
      </w:r>
      <w:proofErr w:type="spellStart"/>
      <w:r w:rsidRPr="00225D4D">
        <w:t>pensjonsgivande</w:t>
      </w:r>
      <w:proofErr w:type="spellEnd"/>
      <w:r w:rsidRPr="00225D4D">
        <w:t xml:space="preserve"> lønn i den private barnehagen. Dersom </w:t>
      </w:r>
      <w:proofErr w:type="spellStart"/>
      <w:r w:rsidRPr="00225D4D">
        <w:t>ein</w:t>
      </w:r>
      <w:proofErr w:type="spellEnd"/>
      <w:r w:rsidRPr="00225D4D">
        <w:t xml:space="preserve"> barnehage har </w:t>
      </w:r>
      <w:proofErr w:type="spellStart"/>
      <w:r w:rsidRPr="00225D4D">
        <w:t>mellombelse</w:t>
      </w:r>
      <w:proofErr w:type="spellEnd"/>
      <w:r w:rsidRPr="00225D4D">
        <w:t xml:space="preserve"> utgifter i enkelte år, til dømes i samband med innføring av AFP, vil dette bli dekt gjennom søknadsordninga, men avgrensa til 13 pst. av </w:t>
      </w:r>
      <w:proofErr w:type="spellStart"/>
      <w:r w:rsidRPr="00225D4D">
        <w:t>pensjonsgivande</w:t>
      </w:r>
      <w:proofErr w:type="spellEnd"/>
      <w:r w:rsidRPr="00225D4D">
        <w:t xml:space="preserve"> lønn i den private barnehagen. </w:t>
      </w:r>
      <w:proofErr w:type="spellStart"/>
      <w:r w:rsidRPr="00225D4D">
        <w:t>Høyringsfristen</w:t>
      </w:r>
      <w:proofErr w:type="spellEnd"/>
      <w:r w:rsidRPr="00225D4D">
        <w:t xml:space="preserve"> er 30. september 2025. </w:t>
      </w:r>
      <w:proofErr w:type="spellStart"/>
      <w:r w:rsidRPr="00225D4D">
        <w:t>Endeleg</w:t>
      </w:r>
      <w:proofErr w:type="spellEnd"/>
      <w:r w:rsidRPr="00225D4D">
        <w:t xml:space="preserve"> modell for ny søknadsordning vil bli vurdert i lys av </w:t>
      </w:r>
      <w:proofErr w:type="spellStart"/>
      <w:r w:rsidRPr="00225D4D">
        <w:t>innspela</w:t>
      </w:r>
      <w:proofErr w:type="spellEnd"/>
      <w:r w:rsidRPr="00225D4D">
        <w:t xml:space="preserve"> i </w:t>
      </w:r>
      <w:proofErr w:type="spellStart"/>
      <w:r w:rsidRPr="00225D4D">
        <w:t>høyringa</w:t>
      </w:r>
      <w:proofErr w:type="spellEnd"/>
      <w:r w:rsidRPr="00225D4D">
        <w:t>.</w:t>
      </w:r>
    </w:p>
    <w:p w14:paraId="48F0BBA8"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565C0B13"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Vurdering av </w:t>
      </w:r>
      <w:proofErr w:type="spellStart"/>
      <w:r w:rsidRPr="00225D4D">
        <w:t>tilskot</w:t>
      </w:r>
      <w:proofErr w:type="spellEnd"/>
      <w:r w:rsidRPr="00225D4D">
        <w:t xml:space="preserve"> til </w:t>
      </w:r>
      <w:proofErr w:type="spellStart"/>
      <w:r w:rsidRPr="00225D4D">
        <w:t>eigedom</w:t>
      </w:r>
      <w:proofErr w:type="spellEnd"/>
      <w:r w:rsidRPr="00225D4D">
        <w:t xml:space="preserve"> og </w:t>
      </w:r>
      <w:proofErr w:type="spellStart"/>
      <w:r w:rsidRPr="00225D4D">
        <w:t>eigedomskostnader</w:t>
      </w:r>
      <w:proofErr w:type="spellEnd"/>
    </w:p>
    <w:p w14:paraId="2421B916" w14:textId="77777777" w:rsidR="00D60186" w:rsidRPr="00225D4D" w:rsidRDefault="00D60186" w:rsidP="00225D4D">
      <w:pPr>
        <w:pStyle w:val="avsnitt-undertittel"/>
      </w:pPr>
      <w:r w:rsidRPr="00225D4D">
        <w:t>Vedtak nr. 870, 3. juni 2025:</w:t>
      </w:r>
    </w:p>
    <w:p w14:paraId="3CC64B06" w14:textId="77777777" w:rsidR="00D60186" w:rsidRPr="00225D4D" w:rsidRDefault="00D60186" w:rsidP="00225D4D">
      <w:pPr>
        <w:pStyle w:val="blokksit"/>
        <w:rPr>
          <w:rStyle w:val="kursiv"/>
        </w:rPr>
      </w:pPr>
      <w:r w:rsidRPr="00225D4D">
        <w:rPr>
          <w:rStyle w:val="kursiv"/>
        </w:rPr>
        <w:t>Stortinget ber regjeringen gjøre en helhetlig vurdering av treffsikkerheten i tilskudd til eiendom og private barnehagers eiendomskostnader og komme tilbake til Stortinget på egnet måte. Vurderingen skal gjøres i lys av nytt tallgrunnlag og erfaringene med nytt eiendomstilskudd, den mulige ordningen for støtte til rehabilitering av barnehagebygg samt øvrige endringer i tilskuddsregelverket.</w:t>
      </w:r>
    </w:p>
    <w:p w14:paraId="1E38EA57"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0882D830"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1EAC4EFB"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Ordning for rehabilitering av private barnehagebygg</w:t>
      </w:r>
    </w:p>
    <w:p w14:paraId="535EA6BC" w14:textId="77777777" w:rsidR="00D60186" w:rsidRPr="00225D4D" w:rsidRDefault="00D60186" w:rsidP="00225D4D">
      <w:pPr>
        <w:pStyle w:val="avsnitt-undertittel"/>
      </w:pPr>
      <w:r w:rsidRPr="00225D4D">
        <w:t>Vedtak nr. 871, 3. juni 2025:</w:t>
      </w:r>
    </w:p>
    <w:p w14:paraId="712F52EF" w14:textId="77777777" w:rsidR="00D60186" w:rsidRPr="00225D4D" w:rsidRDefault="00D60186" w:rsidP="00225D4D">
      <w:pPr>
        <w:pStyle w:val="blokksit"/>
        <w:rPr>
          <w:rStyle w:val="kursiv"/>
        </w:rPr>
      </w:pPr>
      <w:r w:rsidRPr="00225D4D">
        <w:rPr>
          <w:rStyle w:val="kursiv"/>
        </w:rPr>
        <w:t>Stortinget ber regjeringen utrede en ordning for at private barnehager skal kunne få støtte til rehabilitering av barnehagebygg, i form av låneordning i Husbanken eller andre innretninger som vil oppfylle det samme formålet. Ordningen skal legge vekt på behovet til små og ideelle barnehager. Utredningen må gjøre rede for eventuell statsstøtteproblematikk og behov for krav knyttet til salg av barnehagebygg det er mottatt støtte til.</w:t>
      </w:r>
    </w:p>
    <w:p w14:paraId="3F8D9675"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35D1D541" w14:textId="77777777" w:rsidR="00D60186" w:rsidRPr="00225D4D" w:rsidRDefault="00D60186" w:rsidP="00225D4D">
      <w:r w:rsidRPr="00225D4D">
        <w:t>Vedtaket er under behandling.</w:t>
      </w:r>
    </w:p>
    <w:p w14:paraId="4DEEF4C8"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Forskrift om tildeling av </w:t>
      </w:r>
      <w:proofErr w:type="spellStart"/>
      <w:r w:rsidRPr="00225D4D">
        <w:t>tilskot</w:t>
      </w:r>
      <w:proofErr w:type="spellEnd"/>
    </w:p>
    <w:p w14:paraId="63317226" w14:textId="77777777" w:rsidR="00D60186" w:rsidRPr="00225D4D" w:rsidRDefault="00D60186" w:rsidP="00225D4D">
      <w:pPr>
        <w:pStyle w:val="avsnitt-undertittel"/>
      </w:pPr>
      <w:r w:rsidRPr="00225D4D">
        <w:t>Vedtak nr. 872, 3. juni 2025:</w:t>
      </w:r>
    </w:p>
    <w:p w14:paraId="7AF4FF4E" w14:textId="77777777" w:rsidR="00D60186" w:rsidRPr="00225D4D" w:rsidRDefault="00D60186" w:rsidP="00225D4D">
      <w:pPr>
        <w:pStyle w:val="blokksit"/>
        <w:rPr>
          <w:rStyle w:val="kursiv"/>
        </w:rPr>
      </w:pPr>
      <w:r w:rsidRPr="00225D4D">
        <w:rPr>
          <w:rStyle w:val="kursiv"/>
        </w:rPr>
        <w:t>Stortinget ber regjeringen vurdere om forskrift om tildeling av tilskudd til private barnehager § 8 fjerde ledd andre punktum bør endres, slik at kommunen ikke har anledning til å legge et annet barnetall til grunn, og komme tilbake til Stortinget på egnet måte.</w:t>
      </w:r>
    </w:p>
    <w:p w14:paraId="23F35BEF"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jf. </w:t>
      </w:r>
      <w:proofErr w:type="spellStart"/>
      <w:r w:rsidRPr="00225D4D">
        <w:t>Innst</w:t>
      </w:r>
      <w:proofErr w:type="spellEnd"/>
      <w:r w:rsidRPr="00225D4D">
        <w:t>. 510 L (2024–2025) og Lovvedtak 89 (2024–2025).</w:t>
      </w:r>
    </w:p>
    <w:p w14:paraId="4A1A9865"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795539D9" w14:textId="77777777" w:rsidR="00D60186" w:rsidRPr="00225D4D" w:rsidRDefault="00D60186" w:rsidP="00225D4D">
      <w:pPr>
        <w:pStyle w:val="avsnitt-tittel"/>
      </w:pPr>
      <w:r w:rsidRPr="00225D4D">
        <w:t>Utarbeide kampanje for å redusere bruken av narkotika</w:t>
      </w:r>
    </w:p>
    <w:p w14:paraId="55992DE5" w14:textId="77777777" w:rsidR="00D60186" w:rsidRPr="00225D4D" w:rsidRDefault="00D60186" w:rsidP="00225D4D">
      <w:pPr>
        <w:pStyle w:val="avsnitt-undertittel"/>
      </w:pPr>
      <w:r w:rsidRPr="00225D4D">
        <w:t>Vedtak nr. 1214, 20. juni 2025:</w:t>
      </w:r>
    </w:p>
    <w:p w14:paraId="708291F7" w14:textId="77777777" w:rsidR="00D60186" w:rsidRPr="00225D4D" w:rsidRDefault="00D60186" w:rsidP="00225D4D">
      <w:pPr>
        <w:pStyle w:val="blokksit"/>
        <w:rPr>
          <w:rStyle w:val="kursiv"/>
        </w:rPr>
      </w:pPr>
      <w:r w:rsidRPr="00225D4D">
        <w:rPr>
          <w:rStyle w:val="kursiv"/>
        </w:rPr>
        <w:t>Stortinget ber regjeringen utarbeide en kampanje overfor elever på ungdomsskolen og videregående skoler for å redusere bruken av narkotika i tråd med prinsippene om kunnskapsbasert forebyggende arbeid.</w:t>
      </w:r>
    </w:p>
    <w:p w14:paraId="5C26A086"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146 S (2024–2025) </w:t>
      </w:r>
      <w:r w:rsidRPr="00225D4D">
        <w:rPr>
          <w:rStyle w:val="kursiv"/>
        </w:rPr>
        <w:t>Tilleggsbevilgninger og omprioriteringer i statsbudsjettet 2025</w:t>
      </w:r>
      <w:r w:rsidRPr="00225D4D">
        <w:t xml:space="preserve">, jf. </w:t>
      </w:r>
      <w:proofErr w:type="spellStart"/>
      <w:r w:rsidRPr="00225D4D">
        <w:t>Innst</w:t>
      </w:r>
      <w:proofErr w:type="spellEnd"/>
      <w:r w:rsidRPr="00225D4D">
        <w:t>. 540 S (2024–2025).</w:t>
      </w:r>
    </w:p>
    <w:p w14:paraId="50E90ED1" w14:textId="77777777" w:rsidR="00D60186" w:rsidRPr="00225D4D" w:rsidRDefault="00D60186" w:rsidP="00225D4D">
      <w:r w:rsidRPr="00225D4D">
        <w:t xml:space="preserve">Kunnskapsdepartementet ga i september 2025 </w:t>
      </w:r>
      <w:proofErr w:type="spellStart"/>
      <w:r w:rsidRPr="00225D4D">
        <w:t>eit</w:t>
      </w:r>
      <w:proofErr w:type="spellEnd"/>
      <w:r w:rsidRPr="00225D4D">
        <w:t xml:space="preserve"> oppdrag til Utdanningsdirektoratet om å utarbeide </w:t>
      </w:r>
      <w:proofErr w:type="spellStart"/>
      <w:r w:rsidRPr="00225D4D">
        <w:t>ein</w:t>
      </w:r>
      <w:proofErr w:type="spellEnd"/>
      <w:r w:rsidRPr="00225D4D">
        <w:t xml:space="preserve"> </w:t>
      </w:r>
      <w:proofErr w:type="spellStart"/>
      <w:r w:rsidRPr="00225D4D">
        <w:t>haldningskampanje</w:t>
      </w:r>
      <w:proofErr w:type="spellEnd"/>
      <w:r w:rsidRPr="00225D4D">
        <w:t xml:space="preserve"> retta mot </w:t>
      </w:r>
      <w:proofErr w:type="spellStart"/>
      <w:r w:rsidRPr="00225D4D">
        <w:t>elevar</w:t>
      </w:r>
      <w:proofErr w:type="spellEnd"/>
      <w:r w:rsidRPr="00225D4D">
        <w:t xml:space="preserve"> på ungdomskulen og </w:t>
      </w:r>
      <w:proofErr w:type="spellStart"/>
      <w:r w:rsidRPr="00225D4D">
        <w:t>vidaregåande</w:t>
      </w:r>
      <w:proofErr w:type="spellEnd"/>
      <w:r w:rsidRPr="00225D4D">
        <w:t xml:space="preserve"> </w:t>
      </w:r>
      <w:proofErr w:type="spellStart"/>
      <w:r w:rsidRPr="00225D4D">
        <w:t>skule</w:t>
      </w:r>
      <w:proofErr w:type="spellEnd"/>
      <w:r w:rsidRPr="00225D4D">
        <w:t xml:space="preserve"> for å redusere bruken av narkotika, i tråd med prinsippa om kunnskapsbasert </w:t>
      </w:r>
      <w:proofErr w:type="spellStart"/>
      <w:r w:rsidRPr="00225D4D">
        <w:t>førebyggande</w:t>
      </w:r>
      <w:proofErr w:type="spellEnd"/>
      <w:r w:rsidRPr="00225D4D">
        <w:t xml:space="preserve"> arbeid. </w:t>
      </w:r>
      <w:proofErr w:type="spellStart"/>
      <w:r w:rsidRPr="00225D4D">
        <w:t>Innhaldet</w:t>
      </w:r>
      <w:proofErr w:type="spellEnd"/>
      <w:r w:rsidRPr="00225D4D">
        <w:t xml:space="preserve"> i kampanjen, </w:t>
      </w:r>
      <w:proofErr w:type="spellStart"/>
      <w:r w:rsidRPr="00225D4D">
        <w:t>saman</w:t>
      </w:r>
      <w:proofErr w:type="spellEnd"/>
      <w:r w:rsidRPr="00225D4D">
        <w:t xml:space="preserve"> med </w:t>
      </w:r>
      <w:proofErr w:type="spellStart"/>
      <w:r w:rsidRPr="00225D4D">
        <w:t>ein</w:t>
      </w:r>
      <w:proofErr w:type="spellEnd"/>
      <w:r w:rsidRPr="00225D4D">
        <w:t xml:space="preserve"> tidsplan for gjennomføringa, skal etter planen </w:t>
      </w:r>
      <w:proofErr w:type="spellStart"/>
      <w:r w:rsidRPr="00225D4D">
        <w:t>vere</w:t>
      </w:r>
      <w:proofErr w:type="spellEnd"/>
      <w:r w:rsidRPr="00225D4D">
        <w:t xml:space="preserve"> klart </w:t>
      </w:r>
      <w:proofErr w:type="spellStart"/>
      <w:r w:rsidRPr="00225D4D">
        <w:t>innan</w:t>
      </w:r>
      <w:proofErr w:type="spellEnd"/>
      <w:r w:rsidRPr="00225D4D">
        <w:t xml:space="preserve"> 31. januar 2026. For å kunne gjennomføre oppdraget trengs kompetanse som både Utdanningsdirektoratet og Helsedirektoratet har, og det er derfor spesifisert i oppdraget at direktorata skal samarbeide. Dei kan også </w:t>
      </w:r>
      <w:proofErr w:type="spellStart"/>
      <w:r w:rsidRPr="00225D4D">
        <w:t>velje</w:t>
      </w:r>
      <w:proofErr w:type="spellEnd"/>
      <w:r w:rsidRPr="00225D4D">
        <w:t xml:space="preserve"> å samarbeide med andre relevante </w:t>
      </w:r>
      <w:proofErr w:type="spellStart"/>
      <w:r w:rsidRPr="00225D4D">
        <w:t>etatar</w:t>
      </w:r>
      <w:proofErr w:type="spellEnd"/>
      <w:r w:rsidRPr="00225D4D">
        <w:t xml:space="preserve">. Oppdraget skal </w:t>
      </w:r>
      <w:proofErr w:type="spellStart"/>
      <w:r w:rsidRPr="00225D4D">
        <w:t>sjåast</w:t>
      </w:r>
      <w:proofErr w:type="spellEnd"/>
      <w:r w:rsidRPr="00225D4D">
        <w:t xml:space="preserve"> i </w:t>
      </w:r>
      <w:proofErr w:type="spellStart"/>
      <w:r w:rsidRPr="00225D4D">
        <w:t>samanheng</w:t>
      </w:r>
      <w:proofErr w:type="spellEnd"/>
      <w:r w:rsidRPr="00225D4D">
        <w:t xml:space="preserve"> med regjeringa sitt </w:t>
      </w:r>
      <w:proofErr w:type="spellStart"/>
      <w:r w:rsidRPr="00225D4D">
        <w:t>pågåande</w:t>
      </w:r>
      <w:proofErr w:type="spellEnd"/>
      <w:r w:rsidRPr="00225D4D">
        <w:t xml:space="preserve"> arbeid for å utvikle og </w:t>
      </w:r>
      <w:proofErr w:type="gramStart"/>
      <w:r w:rsidRPr="00225D4D">
        <w:t>implementere</w:t>
      </w:r>
      <w:proofErr w:type="gramEnd"/>
      <w:r w:rsidRPr="00225D4D">
        <w:t xml:space="preserve"> </w:t>
      </w:r>
      <w:proofErr w:type="spellStart"/>
      <w:r w:rsidRPr="00225D4D">
        <w:t>eit</w:t>
      </w:r>
      <w:proofErr w:type="spellEnd"/>
      <w:r w:rsidRPr="00225D4D">
        <w:t xml:space="preserve"> nasjonalt program for </w:t>
      </w:r>
      <w:proofErr w:type="spellStart"/>
      <w:r w:rsidRPr="00225D4D">
        <w:t>rusmiddelførebyggande</w:t>
      </w:r>
      <w:proofErr w:type="spellEnd"/>
      <w:r w:rsidRPr="00225D4D">
        <w:t xml:space="preserve"> arbeid blant barn og unge.</w:t>
      </w:r>
    </w:p>
    <w:p w14:paraId="17EA5579"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13DDCBDE" w14:textId="77777777" w:rsidR="00D60186" w:rsidRPr="00225D4D" w:rsidRDefault="00D60186" w:rsidP="00225D4D">
      <w:pPr>
        <w:pStyle w:val="avsnitt-tittel"/>
      </w:pPr>
      <w:r w:rsidRPr="00225D4D">
        <w:t>Utvide ordninga med kommunale beredskapsteam</w:t>
      </w:r>
    </w:p>
    <w:p w14:paraId="3EE2AD02" w14:textId="77777777" w:rsidR="00D60186" w:rsidRPr="00225D4D" w:rsidRDefault="00D60186" w:rsidP="00225D4D">
      <w:pPr>
        <w:pStyle w:val="avsnitt-undertittel"/>
      </w:pPr>
      <w:r w:rsidRPr="00225D4D">
        <w:t>Vedtak nr. 1215, 20. juni 2025:</w:t>
      </w:r>
    </w:p>
    <w:p w14:paraId="191409C2" w14:textId="77777777" w:rsidR="00D60186" w:rsidRPr="00225D4D" w:rsidRDefault="00D60186" w:rsidP="00225D4D">
      <w:pPr>
        <w:pStyle w:val="blokksit"/>
        <w:rPr>
          <w:rStyle w:val="kursiv"/>
        </w:rPr>
      </w:pPr>
      <w:r w:rsidRPr="00225D4D">
        <w:rPr>
          <w:rStyle w:val="kursiv"/>
        </w:rPr>
        <w:t>Stortinget ber regjeringen utvide ordningen med kommunale beredskapsteam med 10 mill. kroner. Ordningen utvides tematisk for å kunne benyttes til å ta tak i problemer knyttet til narkotikakriminalitet blant barn og unge.</w:t>
      </w:r>
    </w:p>
    <w:p w14:paraId="30C71DC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146 S (2024–2025) </w:t>
      </w:r>
      <w:r w:rsidRPr="00225D4D">
        <w:rPr>
          <w:rStyle w:val="kursiv"/>
        </w:rPr>
        <w:t>Tilleggsbevilgninger og omprioriteringer i statsbudsjettet 2025</w:t>
      </w:r>
      <w:r w:rsidRPr="00225D4D">
        <w:t xml:space="preserve">, jf. </w:t>
      </w:r>
      <w:proofErr w:type="spellStart"/>
      <w:r w:rsidRPr="00225D4D">
        <w:t>Innst</w:t>
      </w:r>
      <w:proofErr w:type="spellEnd"/>
      <w:r w:rsidRPr="00225D4D">
        <w:t>. 540 S (2024–2025).</w:t>
      </w:r>
    </w:p>
    <w:p w14:paraId="61CD83DA" w14:textId="77777777" w:rsidR="00D60186" w:rsidRPr="00225D4D" w:rsidRDefault="00D60186" w:rsidP="00225D4D">
      <w:r w:rsidRPr="00225D4D">
        <w:t xml:space="preserve">Kunnskapsdepartementet foreslår å </w:t>
      </w:r>
      <w:proofErr w:type="spellStart"/>
      <w:r w:rsidRPr="00225D4D">
        <w:t>vidareføre</w:t>
      </w:r>
      <w:proofErr w:type="spellEnd"/>
      <w:r w:rsidRPr="00225D4D">
        <w:t xml:space="preserve"> styrkinga på 10 mill. kroner i revidert budsjett 2025 og løyve totalt 80 mill. kroner til beredskapsteam i 2026, jf. omtale i del II under programkategori 07.20 Grunnopplæringa og kap. 226, post 65.</w:t>
      </w:r>
    </w:p>
    <w:p w14:paraId="24481D03" w14:textId="77777777" w:rsidR="00D60186" w:rsidRPr="00225D4D" w:rsidRDefault="00D60186" w:rsidP="00225D4D">
      <w:proofErr w:type="spellStart"/>
      <w:r w:rsidRPr="00225D4D">
        <w:t>Tilskotsordninga</w:t>
      </w:r>
      <w:proofErr w:type="spellEnd"/>
      <w:r w:rsidRPr="00225D4D">
        <w:t xml:space="preserve"> for etablering og styrking av kommunale beredskapsteam er direkte retta mot barne- og ungdomskriminalitet. Beredskapsteama skal rette seg mot nærmiljø og </w:t>
      </w:r>
      <w:proofErr w:type="spellStart"/>
      <w:r w:rsidRPr="00225D4D">
        <w:t>skulemiljø</w:t>
      </w:r>
      <w:proofErr w:type="spellEnd"/>
      <w:r w:rsidRPr="00225D4D">
        <w:t xml:space="preserve"> for barn og unge i kommunen. Det skal </w:t>
      </w:r>
      <w:proofErr w:type="spellStart"/>
      <w:r w:rsidRPr="00225D4D">
        <w:t>leggast</w:t>
      </w:r>
      <w:proofErr w:type="spellEnd"/>
      <w:r w:rsidRPr="00225D4D">
        <w:t xml:space="preserve"> til rette for samarbeid på tvers av </w:t>
      </w:r>
      <w:proofErr w:type="spellStart"/>
      <w:r w:rsidRPr="00225D4D">
        <w:t>bydelar</w:t>
      </w:r>
      <w:proofErr w:type="spellEnd"/>
      <w:r w:rsidRPr="00225D4D">
        <w:t xml:space="preserve">, kommunegrenser og </w:t>
      </w:r>
      <w:proofErr w:type="spellStart"/>
      <w:r w:rsidRPr="00225D4D">
        <w:t>skuleslag</w:t>
      </w:r>
      <w:proofErr w:type="spellEnd"/>
      <w:r w:rsidRPr="00225D4D">
        <w:t xml:space="preserve">. Beredskapsteama skal arbeide </w:t>
      </w:r>
      <w:proofErr w:type="spellStart"/>
      <w:r w:rsidRPr="00225D4D">
        <w:t>tverretatleg</w:t>
      </w:r>
      <w:proofErr w:type="spellEnd"/>
      <w:r w:rsidRPr="00225D4D">
        <w:t xml:space="preserve"> og </w:t>
      </w:r>
      <w:proofErr w:type="spellStart"/>
      <w:r w:rsidRPr="00225D4D">
        <w:t>tverrfagleg</w:t>
      </w:r>
      <w:proofErr w:type="spellEnd"/>
      <w:r w:rsidRPr="00225D4D">
        <w:t xml:space="preserve">, på gruppe- og individnivå, både i og med nærmiljøet og </w:t>
      </w:r>
      <w:proofErr w:type="spellStart"/>
      <w:r w:rsidRPr="00225D4D">
        <w:t>skulemiljøet</w:t>
      </w:r>
      <w:proofErr w:type="spellEnd"/>
      <w:r w:rsidRPr="00225D4D">
        <w:t xml:space="preserve">. </w:t>
      </w:r>
      <w:proofErr w:type="spellStart"/>
      <w:r w:rsidRPr="00225D4D">
        <w:t>Utfordringar</w:t>
      </w:r>
      <w:proofErr w:type="spellEnd"/>
      <w:r w:rsidRPr="00225D4D">
        <w:t xml:space="preserve"> med narkotikakriminalitet blant barn og unge skal </w:t>
      </w:r>
      <w:proofErr w:type="spellStart"/>
      <w:r w:rsidRPr="00225D4D">
        <w:t>vere</w:t>
      </w:r>
      <w:proofErr w:type="spellEnd"/>
      <w:r w:rsidRPr="00225D4D">
        <w:t xml:space="preserve"> </w:t>
      </w:r>
      <w:proofErr w:type="spellStart"/>
      <w:r w:rsidRPr="00225D4D">
        <w:t>ein</w:t>
      </w:r>
      <w:proofErr w:type="spellEnd"/>
      <w:r w:rsidRPr="00225D4D">
        <w:t xml:space="preserve"> del av arbeidet, og retningslinjene for </w:t>
      </w:r>
      <w:proofErr w:type="spellStart"/>
      <w:r w:rsidRPr="00225D4D">
        <w:t>tilskotet</w:t>
      </w:r>
      <w:proofErr w:type="spellEnd"/>
      <w:r w:rsidRPr="00225D4D">
        <w:t xml:space="preserve"> er reviderte for å ta omsyn til dette.</w:t>
      </w:r>
    </w:p>
    <w:p w14:paraId="7D8DB542"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406F9585" w14:textId="77777777" w:rsidR="00D60186" w:rsidRPr="00225D4D" w:rsidRDefault="00D60186" w:rsidP="00225D4D">
      <w:pPr>
        <w:pStyle w:val="avsnitt-tittel"/>
      </w:pPr>
      <w:proofErr w:type="spellStart"/>
      <w:r w:rsidRPr="00225D4D">
        <w:t>Setje</w:t>
      </w:r>
      <w:proofErr w:type="spellEnd"/>
      <w:r w:rsidRPr="00225D4D">
        <w:t xml:space="preserve"> ned ei arbeidsgruppe som skal greie ut gratis barnehageplass for alle barn</w:t>
      </w:r>
    </w:p>
    <w:p w14:paraId="13C7E291" w14:textId="77777777" w:rsidR="00D60186" w:rsidRPr="00225D4D" w:rsidRDefault="00D60186" w:rsidP="00225D4D">
      <w:pPr>
        <w:pStyle w:val="avsnitt-undertittel"/>
      </w:pPr>
      <w:r w:rsidRPr="00225D4D">
        <w:t>Vedtak nr. 1228, 20. juni 2025:</w:t>
      </w:r>
    </w:p>
    <w:p w14:paraId="764B8095" w14:textId="77777777" w:rsidR="00D60186" w:rsidRPr="00225D4D" w:rsidRDefault="00D60186" w:rsidP="00225D4D">
      <w:pPr>
        <w:pStyle w:val="blokksit"/>
        <w:rPr>
          <w:rStyle w:val="kursiv"/>
        </w:rPr>
      </w:pPr>
      <w:r w:rsidRPr="00225D4D">
        <w:rPr>
          <w:rStyle w:val="kursiv"/>
        </w:rPr>
        <w:t xml:space="preserve">Stortinget ber regjeringen nedsette en hurtigarbeidende partssammensatt arbeidsgruppe for å utrede hvordan innføre gratis barnehageplass for alle barn i Norge. Arbeidsgruppen skal ta utgangspunkt i at gratisprinsippet skal være styrende i barnehagesektoren på linje med resten av utdanningssektoren. Arbeidsgruppen skal som en del av oppdraget vurdere konsekvenser innføring av gratis barnehage kan ha for barnehagesektoren og samfunnet </w:t>
      </w:r>
      <w:proofErr w:type="gramStart"/>
      <w:r w:rsidRPr="00225D4D">
        <w:rPr>
          <w:rStyle w:val="kursiv"/>
        </w:rPr>
        <w:t>for øvrig</w:t>
      </w:r>
      <w:proofErr w:type="gramEnd"/>
      <w:r w:rsidRPr="00225D4D">
        <w:rPr>
          <w:rStyle w:val="kursiv"/>
        </w:rPr>
        <w:t>, herunder tilgjengelighet og deltakelse, sosial utjevning, bemanningssituasjon, rekruttering til barnehagelærerutdanningene, opptak av barn og rett til plass, hvilke samfunnsmessige og økonomiske besparelser en universell ordning vil gi, og eventuelt andre forhold arbeidsgruppen anser relevante.</w:t>
      </w:r>
    </w:p>
    <w:p w14:paraId="4990BEE7" w14:textId="77777777" w:rsidR="00D60186" w:rsidRPr="00225D4D" w:rsidRDefault="00D60186" w:rsidP="00225D4D">
      <w:pPr>
        <w:pStyle w:val="blokksit"/>
        <w:rPr>
          <w:rStyle w:val="kursiv"/>
        </w:rPr>
      </w:pPr>
      <w:r w:rsidRPr="00225D4D">
        <w:rPr>
          <w:rStyle w:val="kursiv"/>
        </w:rPr>
        <w:t>Arbeidsgruppen kan også peke på behov for andre tiltak som bør iverksettes parallelt med innføring av gratis barnehage. Arbeidsgruppen bes også vurdere modell for innføring av gratis barnehage for alle. Arbeidsgruppen skal levere første delrapport innen utgangen av oktober 2025 og endelig rapport innen medio mai 2026. Det settes av 5 mill. kroner til arbeidet på kap. 231 post 21.</w:t>
      </w:r>
    </w:p>
    <w:p w14:paraId="50F8779D"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146 S (2024–2025) </w:t>
      </w:r>
      <w:r w:rsidRPr="00225D4D">
        <w:rPr>
          <w:rStyle w:val="kursiv"/>
        </w:rPr>
        <w:t>Tilleggsbevilgninger og omprioriteringer i statsbudsjettet 2025</w:t>
      </w:r>
      <w:r w:rsidRPr="00225D4D">
        <w:t xml:space="preserve">, jf. </w:t>
      </w:r>
      <w:proofErr w:type="spellStart"/>
      <w:r w:rsidRPr="00225D4D">
        <w:t>Innst</w:t>
      </w:r>
      <w:proofErr w:type="spellEnd"/>
      <w:r w:rsidRPr="00225D4D">
        <w:t>. 540 S (2024–2025).</w:t>
      </w:r>
    </w:p>
    <w:p w14:paraId="671197C0" w14:textId="77777777" w:rsidR="00D60186" w:rsidRPr="00225D4D" w:rsidRDefault="00D60186" w:rsidP="00225D4D">
      <w:r w:rsidRPr="00225D4D">
        <w:t xml:space="preserve">Kunnskapsdepartementet har </w:t>
      </w:r>
      <w:proofErr w:type="spellStart"/>
      <w:r w:rsidRPr="00225D4D">
        <w:t>hausten</w:t>
      </w:r>
      <w:proofErr w:type="spellEnd"/>
      <w:r w:rsidRPr="00225D4D">
        <w:t xml:space="preserve"> 2025 sett ned ei </w:t>
      </w:r>
      <w:proofErr w:type="spellStart"/>
      <w:r w:rsidRPr="00225D4D">
        <w:t>hurtigarbeidande</w:t>
      </w:r>
      <w:proofErr w:type="spellEnd"/>
      <w:r w:rsidRPr="00225D4D">
        <w:t xml:space="preserve"> partssamansett arbeidsgruppe som skal greie ut gratis barnehageplass for alle barn. Arbeidsgruppa skal etter planen levere sluttrapporten i 2026.</w:t>
      </w:r>
    </w:p>
    <w:p w14:paraId="28F79929"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3DBB8FC3" w14:textId="77777777" w:rsidR="00D60186" w:rsidRPr="00225D4D" w:rsidRDefault="00D60186" w:rsidP="00225D4D">
      <w:pPr>
        <w:pStyle w:val="avsnitt-tittel"/>
      </w:pPr>
      <w:r w:rsidRPr="00225D4D">
        <w:t xml:space="preserve">Innføre ordning med toppa bemanning i alle ordinære </w:t>
      </w:r>
      <w:proofErr w:type="spellStart"/>
      <w:r w:rsidRPr="00225D4D">
        <w:t>barnehagar</w:t>
      </w:r>
      <w:proofErr w:type="spellEnd"/>
    </w:p>
    <w:p w14:paraId="5F870BD2" w14:textId="77777777" w:rsidR="00D60186" w:rsidRPr="00225D4D" w:rsidRDefault="00D60186" w:rsidP="00225D4D">
      <w:pPr>
        <w:pStyle w:val="avsnitt-undertittel"/>
      </w:pPr>
      <w:r w:rsidRPr="00225D4D">
        <w:t>Vedtak nr. 1242, 20. juni 2025:</w:t>
      </w:r>
    </w:p>
    <w:p w14:paraId="5ADD6B47" w14:textId="77777777" w:rsidR="00D60186" w:rsidRPr="00225D4D" w:rsidRDefault="00D60186" w:rsidP="00225D4D">
      <w:pPr>
        <w:pStyle w:val="blokksit"/>
        <w:rPr>
          <w:rStyle w:val="kursiv"/>
        </w:rPr>
      </w:pPr>
      <w:r w:rsidRPr="00225D4D">
        <w:rPr>
          <w:rStyle w:val="kursiv"/>
        </w:rPr>
        <w:t>Stortinget ber regjeringen innføre en ordning med toppet bemanning i alle ordinære barnehager. Den toppede bemanningen skal enten bidra til å styrke grunnbemanningen eller avlaste grunnbemanningen. Styrking må skje enten gjennom ekstra årsverk barnehagelærer/fagarbeider/assistent som del av grunnbemanningen som arbeider med barna, eller til merkantilt/kjøkkenassistent som kan avlaste grunnbemanningen. Det skal gis tilskudd etter en modell hvor det tilføres midler til å dekke ekstra årsverk ut fra eksisterende årsverk, og dermed forholdsmessig ut fra barnehagens størrelse. De ekstra årsverkene skal ikke inngå i barnehagens oppfyllelse av den lovfestede bemanningsnormen eller pedagognormen, men komme som ekstra årsverk utover normene.</w:t>
      </w:r>
    </w:p>
    <w:p w14:paraId="7B696386"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146 S (2024–2025) </w:t>
      </w:r>
      <w:r w:rsidRPr="00225D4D">
        <w:rPr>
          <w:rStyle w:val="kursiv"/>
        </w:rPr>
        <w:t>Tilleggsbevilgninger og omprioriteringer i statsbudsjettet 2025</w:t>
      </w:r>
      <w:r w:rsidRPr="00225D4D">
        <w:t xml:space="preserve">, jf. </w:t>
      </w:r>
      <w:proofErr w:type="spellStart"/>
      <w:r w:rsidRPr="00225D4D">
        <w:t>Innst</w:t>
      </w:r>
      <w:proofErr w:type="spellEnd"/>
      <w:r w:rsidRPr="00225D4D">
        <w:t>. 540 S (2024–2025).</w:t>
      </w:r>
    </w:p>
    <w:p w14:paraId="151BF8A1" w14:textId="77777777" w:rsidR="00D60186" w:rsidRPr="00225D4D" w:rsidRDefault="00D60186" w:rsidP="00225D4D">
      <w:r w:rsidRPr="00225D4D">
        <w:t xml:space="preserve">Det er oppretta ei </w:t>
      </w:r>
      <w:proofErr w:type="spellStart"/>
      <w:r w:rsidRPr="00225D4D">
        <w:t>øyremerkt</w:t>
      </w:r>
      <w:proofErr w:type="spellEnd"/>
      <w:r w:rsidRPr="00225D4D">
        <w:t xml:space="preserve"> </w:t>
      </w:r>
      <w:proofErr w:type="spellStart"/>
      <w:r w:rsidRPr="00225D4D">
        <w:t>tilskotsordning</w:t>
      </w:r>
      <w:proofErr w:type="spellEnd"/>
      <w:r w:rsidRPr="00225D4D">
        <w:t xml:space="preserve"> under kap. 231, post 60 Toppa bemanning i </w:t>
      </w:r>
      <w:proofErr w:type="spellStart"/>
      <w:r w:rsidRPr="00225D4D">
        <w:t>barnehagane</w:t>
      </w:r>
      <w:proofErr w:type="spellEnd"/>
      <w:r w:rsidRPr="00225D4D">
        <w:t xml:space="preserve">, jf. omtale i del II, programkategori 07.30 </w:t>
      </w:r>
      <w:proofErr w:type="spellStart"/>
      <w:r w:rsidRPr="00225D4D">
        <w:t>Barnehagar</w:t>
      </w:r>
      <w:proofErr w:type="spellEnd"/>
      <w:r w:rsidRPr="00225D4D">
        <w:t xml:space="preserve">. Det blei løyvd 200 mill. kroner i revidert budsjett for 2025, og for 2026 foreslår departementet å </w:t>
      </w:r>
      <w:proofErr w:type="spellStart"/>
      <w:r w:rsidRPr="00225D4D">
        <w:t>vidareføre</w:t>
      </w:r>
      <w:proofErr w:type="spellEnd"/>
      <w:r w:rsidRPr="00225D4D">
        <w:t xml:space="preserve"> </w:t>
      </w:r>
      <w:proofErr w:type="spellStart"/>
      <w:r w:rsidRPr="00225D4D">
        <w:t>tilskotet</w:t>
      </w:r>
      <w:proofErr w:type="spellEnd"/>
      <w:r w:rsidRPr="00225D4D">
        <w:t>.</w:t>
      </w:r>
    </w:p>
    <w:p w14:paraId="6D1DF028"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30932D29" w14:textId="77777777" w:rsidR="00D60186" w:rsidRPr="00225D4D" w:rsidRDefault="00D60186" w:rsidP="00225D4D">
      <w:pPr>
        <w:pStyle w:val="avsnitt-tittel"/>
      </w:pPr>
      <w:proofErr w:type="spellStart"/>
      <w:r w:rsidRPr="00225D4D">
        <w:t>Tilskot</w:t>
      </w:r>
      <w:proofErr w:type="spellEnd"/>
      <w:r w:rsidRPr="00225D4D">
        <w:t xml:space="preserve"> til fleksible og desentraliserte </w:t>
      </w:r>
      <w:proofErr w:type="spellStart"/>
      <w:r w:rsidRPr="00225D4D">
        <w:t>tilbod</w:t>
      </w:r>
      <w:proofErr w:type="spellEnd"/>
      <w:r w:rsidRPr="00225D4D">
        <w:t xml:space="preserve"> </w:t>
      </w:r>
      <w:proofErr w:type="spellStart"/>
      <w:r w:rsidRPr="00225D4D">
        <w:t>innanfor</w:t>
      </w:r>
      <w:proofErr w:type="spellEnd"/>
      <w:r w:rsidRPr="00225D4D">
        <w:t xml:space="preserve"> </w:t>
      </w:r>
      <w:proofErr w:type="spellStart"/>
      <w:r w:rsidRPr="00225D4D">
        <w:t>yrkesfagleg</w:t>
      </w:r>
      <w:proofErr w:type="spellEnd"/>
      <w:r w:rsidRPr="00225D4D">
        <w:t xml:space="preserve"> </w:t>
      </w:r>
      <w:proofErr w:type="spellStart"/>
      <w:r w:rsidRPr="00225D4D">
        <w:t>vidaregåande</w:t>
      </w:r>
      <w:proofErr w:type="spellEnd"/>
      <w:r w:rsidRPr="00225D4D">
        <w:t xml:space="preserve"> opplæring</w:t>
      </w:r>
    </w:p>
    <w:p w14:paraId="193856D6" w14:textId="77777777" w:rsidR="00D60186" w:rsidRPr="00225D4D" w:rsidRDefault="00D60186" w:rsidP="00225D4D">
      <w:pPr>
        <w:pStyle w:val="avsnitt-undertittel"/>
      </w:pPr>
      <w:r w:rsidRPr="00225D4D">
        <w:t>Vedtak nr. 1244, 20. juni 2025:</w:t>
      </w:r>
    </w:p>
    <w:p w14:paraId="21681A86" w14:textId="77777777" w:rsidR="00D60186" w:rsidRPr="00225D4D" w:rsidRDefault="00D60186" w:rsidP="00225D4D">
      <w:pPr>
        <w:pStyle w:val="blokksit"/>
        <w:rPr>
          <w:rStyle w:val="kursiv"/>
        </w:rPr>
      </w:pPr>
      <w:r w:rsidRPr="00225D4D">
        <w:rPr>
          <w:rStyle w:val="kursiv"/>
        </w:rPr>
        <w:t>Stortinget ber regjeringen opprette et tilskudd til fleksible og desentraliserte tilbud innenfor yrkesfaglig videregående opplæring i områder med store avstander og lave befolkningstall.</w:t>
      </w:r>
    </w:p>
    <w:p w14:paraId="31CE44CC"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146 S (2024–2025) </w:t>
      </w:r>
      <w:r w:rsidRPr="00225D4D">
        <w:rPr>
          <w:rStyle w:val="kursiv"/>
        </w:rPr>
        <w:t>Tilleggsbevilgninger og omprioriteringer i statsbudsjettet 2025</w:t>
      </w:r>
      <w:r w:rsidRPr="00225D4D">
        <w:t xml:space="preserve">, jf. </w:t>
      </w:r>
      <w:proofErr w:type="spellStart"/>
      <w:r w:rsidRPr="00225D4D">
        <w:t>Innst</w:t>
      </w:r>
      <w:proofErr w:type="spellEnd"/>
      <w:r w:rsidRPr="00225D4D">
        <w:t>. 540 S (2024–2025).</w:t>
      </w:r>
    </w:p>
    <w:p w14:paraId="51320FD7" w14:textId="77777777" w:rsidR="00D60186" w:rsidRPr="00225D4D" w:rsidRDefault="00D60186" w:rsidP="00225D4D">
      <w:r w:rsidRPr="00225D4D">
        <w:t xml:space="preserve">Departementet har oppretta </w:t>
      </w:r>
      <w:proofErr w:type="spellStart"/>
      <w:r w:rsidRPr="00225D4D">
        <w:t>eit</w:t>
      </w:r>
      <w:proofErr w:type="spellEnd"/>
      <w:r w:rsidRPr="00225D4D">
        <w:t xml:space="preserve"> </w:t>
      </w:r>
      <w:proofErr w:type="spellStart"/>
      <w:r w:rsidRPr="00225D4D">
        <w:t>tilskot</w:t>
      </w:r>
      <w:proofErr w:type="spellEnd"/>
      <w:r w:rsidRPr="00225D4D">
        <w:t xml:space="preserve"> til fleksible og desentraliserte </w:t>
      </w:r>
      <w:proofErr w:type="spellStart"/>
      <w:r w:rsidRPr="00225D4D">
        <w:t>tilbod</w:t>
      </w:r>
      <w:proofErr w:type="spellEnd"/>
      <w:r w:rsidRPr="00225D4D">
        <w:t xml:space="preserve"> </w:t>
      </w:r>
      <w:proofErr w:type="spellStart"/>
      <w:r w:rsidRPr="00225D4D">
        <w:t>innanfor</w:t>
      </w:r>
      <w:proofErr w:type="spellEnd"/>
      <w:r w:rsidRPr="00225D4D">
        <w:t xml:space="preserve"> </w:t>
      </w:r>
      <w:proofErr w:type="spellStart"/>
      <w:r w:rsidRPr="00225D4D">
        <w:t>yrkesfagleg</w:t>
      </w:r>
      <w:proofErr w:type="spellEnd"/>
      <w:r w:rsidRPr="00225D4D">
        <w:t xml:space="preserve"> </w:t>
      </w:r>
      <w:proofErr w:type="spellStart"/>
      <w:r w:rsidRPr="00225D4D">
        <w:t>vidaregåande</w:t>
      </w:r>
      <w:proofErr w:type="spellEnd"/>
      <w:r w:rsidRPr="00225D4D">
        <w:t xml:space="preserve"> opplæring i område med store </w:t>
      </w:r>
      <w:proofErr w:type="spellStart"/>
      <w:r w:rsidRPr="00225D4D">
        <w:t>avstandar</w:t>
      </w:r>
      <w:proofErr w:type="spellEnd"/>
      <w:r w:rsidRPr="00225D4D">
        <w:t xml:space="preserve"> og låge </w:t>
      </w:r>
      <w:proofErr w:type="spellStart"/>
      <w:r w:rsidRPr="00225D4D">
        <w:t>befolkningstal</w:t>
      </w:r>
      <w:proofErr w:type="spellEnd"/>
      <w:r w:rsidRPr="00225D4D">
        <w:t xml:space="preserve">. Utdanningsdirektoratet vil forvalte </w:t>
      </w:r>
      <w:proofErr w:type="spellStart"/>
      <w:r w:rsidRPr="00225D4D">
        <w:t>tilskotsordninga</w:t>
      </w:r>
      <w:proofErr w:type="spellEnd"/>
      <w:r w:rsidRPr="00225D4D">
        <w:t xml:space="preserve">. Regjeringa foreslår å løyve 15 mill. kroner i 2026 for å </w:t>
      </w:r>
      <w:proofErr w:type="spellStart"/>
      <w:r w:rsidRPr="00225D4D">
        <w:t>vidareføre</w:t>
      </w:r>
      <w:proofErr w:type="spellEnd"/>
      <w:r w:rsidRPr="00225D4D">
        <w:t xml:space="preserve"> </w:t>
      </w:r>
      <w:proofErr w:type="spellStart"/>
      <w:r w:rsidRPr="00225D4D">
        <w:t>auka</w:t>
      </w:r>
      <w:proofErr w:type="spellEnd"/>
      <w:r w:rsidRPr="00225D4D">
        <w:t xml:space="preserve"> </w:t>
      </w:r>
      <w:proofErr w:type="spellStart"/>
      <w:r w:rsidRPr="00225D4D">
        <w:t>frå</w:t>
      </w:r>
      <w:proofErr w:type="spellEnd"/>
      <w:r w:rsidRPr="00225D4D">
        <w:t xml:space="preserve"> revidert budsjett 2025 til dette </w:t>
      </w:r>
      <w:proofErr w:type="spellStart"/>
      <w:r w:rsidRPr="00225D4D">
        <w:t>tilskotet</w:t>
      </w:r>
      <w:proofErr w:type="spellEnd"/>
      <w:r w:rsidRPr="00225D4D">
        <w:t>.</w:t>
      </w:r>
    </w:p>
    <w:p w14:paraId="08967AC2"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0FF01B2D" w14:textId="77777777" w:rsidR="00D60186" w:rsidRPr="00225D4D" w:rsidRDefault="00D60186" w:rsidP="00225D4D">
      <w:pPr>
        <w:pStyle w:val="Undertittel"/>
      </w:pPr>
      <w:r w:rsidRPr="00225D4D">
        <w:t xml:space="preserve">Oppmodingsvedtak under forskings- og </w:t>
      </w:r>
      <w:proofErr w:type="spellStart"/>
      <w:r w:rsidRPr="00225D4D">
        <w:t>høgare</w:t>
      </w:r>
      <w:proofErr w:type="spellEnd"/>
      <w:r w:rsidRPr="00225D4D">
        <w:t xml:space="preserve"> utdanningsministeren</w:t>
      </w:r>
    </w:p>
    <w:p w14:paraId="094F57C1" w14:textId="77777777" w:rsidR="00D60186" w:rsidRPr="00225D4D" w:rsidRDefault="00D60186" w:rsidP="00225D4D">
      <w:pPr>
        <w:pStyle w:val="avsnitt-tittel"/>
      </w:pPr>
      <w:proofErr w:type="spellStart"/>
      <w:r w:rsidRPr="00225D4D">
        <w:t>Nemningar</w:t>
      </w:r>
      <w:proofErr w:type="spellEnd"/>
      <w:r w:rsidRPr="00225D4D">
        <w:t xml:space="preserve"> for </w:t>
      </w:r>
      <w:proofErr w:type="spellStart"/>
      <w:r w:rsidRPr="00225D4D">
        <w:t>høgare</w:t>
      </w:r>
      <w:proofErr w:type="spellEnd"/>
      <w:r w:rsidRPr="00225D4D">
        <w:t xml:space="preserve"> </w:t>
      </w:r>
      <w:proofErr w:type="spellStart"/>
      <w:r w:rsidRPr="00225D4D">
        <w:t>yrkesfagleg</w:t>
      </w:r>
      <w:proofErr w:type="spellEnd"/>
      <w:r w:rsidRPr="00225D4D">
        <w:t xml:space="preserve"> utdanning på nivå 6 og 7 i Nasjonalt kvalifikasjonsrammeverk</w:t>
      </w:r>
    </w:p>
    <w:p w14:paraId="43E648C0" w14:textId="77777777" w:rsidR="00D60186" w:rsidRPr="00225D4D" w:rsidRDefault="00D60186" w:rsidP="00225D4D">
      <w:pPr>
        <w:pStyle w:val="avsnitt-undertittel"/>
      </w:pPr>
      <w:r w:rsidRPr="00225D4D">
        <w:t>Vedtak nr. 681, 13. mai 2025:</w:t>
      </w:r>
    </w:p>
    <w:p w14:paraId="7481CC15" w14:textId="77777777" w:rsidR="00D60186" w:rsidRPr="00225D4D" w:rsidRDefault="00D60186" w:rsidP="00225D4D">
      <w:pPr>
        <w:pStyle w:val="blokksit"/>
        <w:rPr>
          <w:rStyle w:val="kursiv"/>
        </w:rPr>
      </w:pPr>
      <w:r w:rsidRPr="00225D4D">
        <w:rPr>
          <w:rStyle w:val="kursiv"/>
        </w:rPr>
        <w:t>Stortinget ber regjeringen komme tilbake til Stortinget innen utgangen av stortingssesjonen 2025–2026 med forslag til benevnelser for fullført og bestått fagskoleutdanning på nivå NKR 6 og 7 som er i tråd med benevnelsene i de andre europeiske landene Norge samarbeider mest med.</w:t>
      </w:r>
    </w:p>
    <w:p w14:paraId="327F35C5"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11 (2024–2025) </w:t>
      </w:r>
      <w:r w:rsidRPr="00225D4D">
        <w:rPr>
          <w:rStyle w:val="kursiv"/>
        </w:rPr>
        <w:t xml:space="preserve">Fagfolk for en ny tid – med høyere yrkesfaglig utdanning, </w:t>
      </w:r>
      <w:r w:rsidRPr="00225D4D">
        <w:t xml:space="preserve">jf. </w:t>
      </w:r>
      <w:proofErr w:type="spellStart"/>
      <w:r w:rsidRPr="00225D4D">
        <w:t>Innst</w:t>
      </w:r>
      <w:proofErr w:type="spellEnd"/>
      <w:r w:rsidRPr="00225D4D">
        <w:t>. 266 S (2024–2025).</w:t>
      </w:r>
    </w:p>
    <w:p w14:paraId="553E8F05" w14:textId="77777777" w:rsidR="00D60186" w:rsidRPr="00225D4D" w:rsidRDefault="00D60186" w:rsidP="00225D4D">
      <w:r w:rsidRPr="00225D4D">
        <w:t xml:space="preserve">Stortinget har </w:t>
      </w:r>
      <w:proofErr w:type="spellStart"/>
      <w:r w:rsidRPr="00225D4D">
        <w:t>slutta</w:t>
      </w:r>
      <w:proofErr w:type="spellEnd"/>
      <w:r w:rsidRPr="00225D4D">
        <w:t xml:space="preserve"> seg til tiltaket i meldinga om å innføre ei </w:t>
      </w:r>
      <w:proofErr w:type="spellStart"/>
      <w:r w:rsidRPr="00225D4D">
        <w:t>yrkesfagleg</w:t>
      </w:r>
      <w:proofErr w:type="spellEnd"/>
      <w:r w:rsidRPr="00225D4D">
        <w:t xml:space="preserve"> søyle på nivå 6 og 7 i Nasjonalt kvalifikasjonsrammeverk for livslang læring (NKR). Innføring av nivå 6 og 7 vil gi </w:t>
      </w:r>
      <w:proofErr w:type="spellStart"/>
      <w:r w:rsidRPr="00225D4D">
        <w:t>fagskulane</w:t>
      </w:r>
      <w:proofErr w:type="spellEnd"/>
      <w:r w:rsidRPr="00225D4D">
        <w:t xml:space="preserve"> </w:t>
      </w:r>
      <w:proofErr w:type="spellStart"/>
      <w:r w:rsidRPr="00225D4D">
        <w:t>meir</w:t>
      </w:r>
      <w:proofErr w:type="spellEnd"/>
      <w:r w:rsidRPr="00225D4D">
        <w:t xml:space="preserve"> handlingsrom til å </w:t>
      </w:r>
      <w:proofErr w:type="spellStart"/>
      <w:r w:rsidRPr="00225D4D">
        <w:t>imøtekome</w:t>
      </w:r>
      <w:proofErr w:type="spellEnd"/>
      <w:r w:rsidRPr="00225D4D">
        <w:t xml:space="preserve"> </w:t>
      </w:r>
      <w:proofErr w:type="spellStart"/>
      <w:r w:rsidRPr="00225D4D">
        <w:t>aukande</w:t>
      </w:r>
      <w:proofErr w:type="spellEnd"/>
      <w:r w:rsidRPr="00225D4D">
        <w:t xml:space="preserve"> krav til kompetanse i arbeidslivet. </w:t>
      </w:r>
      <w:proofErr w:type="spellStart"/>
      <w:r w:rsidRPr="00225D4D">
        <w:t>Vidare</w:t>
      </w:r>
      <w:proofErr w:type="spellEnd"/>
      <w:r w:rsidRPr="00225D4D">
        <w:t xml:space="preserve"> vil ei </w:t>
      </w:r>
      <w:proofErr w:type="spellStart"/>
      <w:r w:rsidRPr="00225D4D">
        <w:t>yrkesfagleg</w:t>
      </w:r>
      <w:proofErr w:type="spellEnd"/>
      <w:r w:rsidRPr="00225D4D">
        <w:t xml:space="preserve"> søyle skape </w:t>
      </w:r>
      <w:proofErr w:type="spellStart"/>
      <w:r w:rsidRPr="00225D4D">
        <w:t>ein</w:t>
      </w:r>
      <w:proofErr w:type="spellEnd"/>
      <w:r w:rsidRPr="00225D4D">
        <w:t xml:space="preserve"> </w:t>
      </w:r>
      <w:proofErr w:type="spellStart"/>
      <w:r w:rsidRPr="00225D4D">
        <w:t>meir</w:t>
      </w:r>
      <w:proofErr w:type="spellEnd"/>
      <w:r w:rsidRPr="00225D4D">
        <w:t xml:space="preserve"> </w:t>
      </w:r>
      <w:proofErr w:type="spellStart"/>
      <w:r w:rsidRPr="00225D4D">
        <w:t>synleg</w:t>
      </w:r>
      <w:proofErr w:type="spellEnd"/>
      <w:r w:rsidRPr="00225D4D">
        <w:t xml:space="preserve"> karriereveg, </w:t>
      </w:r>
      <w:proofErr w:type="spellStart"/>
      <w:r w:rsidRPr="00225D4D">
        <w:t>særleg</w:t>
      </w:r>
      <w:proofErr w:type="spellEnd"/>
      <w:r w:rsidRPr="00225D4D">
        <w:t xml:space="preserve"> for </w:t>
      </w:r>
      <w:proofErr w:type="spellStart"/>
      <w:r w:rsidRPr="00225D4D">
        <w:t>fagarbeidarar</w:t>
      </w:r>
      <w:proofErr w:type="spellEnd"/>
      <w:r w:rsidRPr="00225D4D">
        <w:t xml:space="preserve">, og gi </w:t>
      </w:r>
      <w:proofErr w:type="spellStart"/>
      <w:r w:rsidRPr="00225D4D">
        <w:t>fleire</w:t>
      </w:r>
      <w:proofErr w:type="spellEnd"/>
      <w:r w:rsidRPr="00225D4D">
        <w:t xml:space="preserve"> </w:t>
      </w:r>
      <w:proofErr w:type="spellStart"/>
      <w:r w:rsidRPr="00225D4D">
        <w:t>moglegheiter</w:t>
      </w:r>
      <w:proofErr w:type="spellEnd"/>
      <w:r w:rsidRPr="00225D4D">
        <w:t xml:space="preserve"> for spesialisering og </w:t>
      </w:r>
      <w:proofErr w:type="spellStart"/>
      <w:r w:rsidRPr="00225D4D">
        <w:t>fagleg</w:t>
      </w:r>
      <w:proofErr w:type="spellEnd"/>
      <w:r w:rsidRPr="00225D4D">
        <w:t xml:space="preserve"> fordjuping gjennom heile yrkeslivet.</w:t>
      </w:r>
    </w:p>
    <w:p w14:paraId="5C01A575"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før utgangen av stortingssesjonen 2025–2026.</w:t>
      </w:r>
    </w:p>
    <w:p w14:paraId="46354FE5" w14:textId="77777777" w:rsidR="00D60186" w:rsidRPr="00225D4D" w:rsidRDefault="00D60186" w:rsidP="00225D4D">
      <w:pPr>
        <w:pStyle w:val="avsnitt-tittel"/>
      </w:pPr>
      <w:r w:rsidRPr="00225D4D">
        <w:t xml:space="preserve">Ansvaret til </w:t>
      </w:r>
      <w:proofErr w:type="spellStart"/>
      <w:r w:rsidRPr="00225D4D">
        <w:t>fagskular</w:t>
      </w:r>
      <w:proofErr w:type="spellEnd"/>
      <w:r w:rsidRPr="00225D4D">
        <w:t xml:space="preserve"> for realkompetansevurdering</w:t>
      </w:r>
    </w:p>
    <w:p w14:paraId="0646EE98" w14:textId="77777777" w:rsidR="00D60186" w:rsidRPr="00225D4D" w:rsidRDefault="00D60186" w:rsidP="00225D4D">
      <w:pPr>
        <w:pStyle w:val="avsnitt-undertittel"/>
      </w:pPr>
      <w:r w:rsidRPr="00225D4D">
        <w:t>Vedtak nr. 682, 13. mai 2025:</w:t>
      </w:r>
    </w:p>
    <w:p w14:paraId="6A3BEDFF" w14:textId="77777777" w:rsidR="00D60186" w:rsidRPr="00225D4D" w:rsidRDefault="00D60186" w:rsidP="00225D4D">
      <w:pPr>
        <w:pStyle w:val="blokksit"/>
        <w:rPr>
          <w:rStyle w:val="kursiv"/>
        </w:rPr>
      </w:pPr>
      <w:r w:rsidRPr="00225D4D">
        <w:rPr>
          <w:rStyle w:val="kursiv"/>
        </w:rPr>
        <w:t>Stortinget ber regjeringen i samarbeid med fagskolesektoren vurdere om fagskolene skal få ansvaret for realkompetansevurdering, hvordan det kan standardiseres, samt hvilke budsjettmessige konsekvenser det vil få, og komme tilbake til Stortinget på egnet måte.</w:t>
      </w:r>
    </w:p>
    <w:p w14:paraId="182632FF"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11 (2024–2025) </w:t>
      </w:r>
      <w:r w:rsidRPr="00225D4D">
        <w:rPr>
          <w:rStyle w:val="kursiv"/>
        </w:rPr>
        <w:t xml:space="preserve">Fagfolk for en ny tid – med høyere yrkesfaglig utdanning, </w:t>
      </w:r>
      <w:r w:rsidRPr="00225D4D">
        <w:t xml:space="preserve">jf. </w:t>
      </w:r>
      <w:proofErr w:type="spellStart"/>
      <w:r w:rsidRPr="00225D4D">
        <w:t>Innst</w:t>
      </w:r>
      <w:proofErr w:type="spellEnd"/>
      <w:r w:rsidRPr="00225D4D">
        <w:t>. 266 S (2024–2025).</w:t>
      </w:r>
    </w:p>
    <w:p w14:paraId="0C7F0E92" w14:textId="77777777" w:rsidR="00D60186" w:rsidRPr="00225D4D" w:rsidRDefault="00D60186" w:rsidP="00225D4D">
      <w:proofErr w:type="spellStart"/>
      <w:r w:rsidRPr="00225D4D">
        <w:t>Fagskulane</w:t>
      </w:r>
      <w:proofErr w:type="spellEnd"/>
      <w:r w:rsidRPr="00225D4D">
        <w:t xml:space="preserve"> har i dag ansvar for realkompetansevurdering ved opptak til </w:t>
      </w:r>
      <w:proofErr w:type="spellStart"/>
      <w:r w:rsidRPr="00225D4D">
        <w:t>høgare</w:t>
      </w:r>
      <w:proofErr w:type="spellEnd"/>
      <w:r w:rsidRPr="00225D4D">
        <w:t xml:space="preserve"> </w:t>
      </w:r>
      <w:proofErr w:type="spellStart"/>
      <w:r w:rsidRPr="00225D4D">
        <w:t>yrkesfagleg</w:t>
      </w:r>
      <w:proofErr w:type="spellEnd"/>
      <w:r w:rsidRPr="00225D4D">
        <w:t xml:space="preserve"> utdanning. For å følge opp vedtaket er det nødvendig å greie ut om </w:t>
      </w:r>
      <w:proofErr w:type="spellStart"/>
      <w:r w:rsidRPr="00225D4D">
        <w:t>fagskulane</w:t>
      </w:r>
      <w:proofErr w:type="spellEnd"/>
      <w:r w:rsidRPr="00225D4D">
        <w:t xml:space="preserve"> skal få ansvar for realkompetansevurdering utover det ansvaret </w:t>
      </w:r>
      <w:proofErr w:type="spellStart"/>
      <w:r w:rsidRPr="00225D4D">
        <w:t>dei</w:t>
      </w:r>
      <w:proofErr w:type="spellEnd"/>
      <w:r w:rsidRPr="00225D4D">
        <w:t xml:space="preserve"> </w:t>
      </w:r>
      <w:proofErr w:type="spellStart"/>
      <w:r w:rsidRPr="00225D4D">
        <w:t>allereie</w:t>
      </w:r>
      <w:proofErr w:type="spellEnd"/>
      <w:r w:rsidRPr="00225D4D">
        <w:t xml:space="preserve"> har.</w:t>
      </w:r>
    </w:p>
    <w:p w14:paraId="015EB7C8"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29BD24BC" w14:textId="77777777" w:rsidR="00D60186" w:rsidRPr="00225D4D" w:rsidRDefault="00D60186" w:rsidP="00225D4D">
      <w:pPr>
        <w:pStyle w:val="avsnitt-tittel"/>
      </w:pPr>
      <w:proofErr w:type="spellStart"/>
      <w:r w:rsidRPr="00225D4D">
        <w:t>Høgare</w:t>
      </w:r>
      <w:proofErr w:type="spellEnd"/>
      <w:r w:rsidRPr="00225D4D">
        <w:t xml:space="preserve"> </w:t>
      </w:r>
      <w:proofErr w:type="spellStart"/>
      <w:r w:rsidRPr="00225D4D">
        <w:t>yrkesfagleg</w:t>
      </w:r>
      <w:proofErr w:type="spellEnd"/>
      <w:r w:rsidRPr="00225D4D">
        <w:t xml:space="preserve"> utdanning og ECTS</w:t>
      </w:r>
    </w:p>
    <w:p w14:paraId="58371929" w14:textId="77777777" w:rsidR="00D60186" w:rsidRPr="00225D4D" w:rsidRDefault="00D60186" w:rsidP="00225D4D">
      <w:pPr>
        <w:pStyle w:val="avsnitt-undertittel"/>
      </w:pPr>
      <w:r w:rsidRPr="00225D4D">
        <w:t>Vedtak nr. 683, 13. mai 2025:</w:t>
      </w:r>
    </w:p>
    <w:p w14:paraId="54CD2F92" w14:textId="77777777" w:rsidR="00D60186" w:rsidRPr="00225D4D" w:rsidRDefault="00D60186" w:rsidP="00225D4D">
      <w:pPr>
        <w:pStyle w:val="blokksit"/>
        <w:rPr>
          <w:rStyle w:val="kursiv"/>
        </w:rPr>
      </w:pPr>
      <w:r w:rsidRPr="00225D4D">
        <w:rPr>
          <w:rStyle w:val="kursiv"/>
        </w:rPr>
        <w:t xml:space="preserve">Stortinget ber regjeringen sørge for at høyere yrkesfaglig utdanning i Norge kobles til ECTS i løpet av stortingssesjonen 2025–2026. Utredningen som er igangsatt knyttet til tiltakspunkt 25 i Meld. St. 11 (2024–2025), må utrede og bidra med forslag til hvordan en ECTS-tilkobling best kan etableres og </w:t>
      </w:r>
      <w:proofErr w:type="gramStart"/>
      <w:r w:rsidRPr="00225D4D">
        <w:rPr>
          <w:rStyle w:val="kursiv"/>
        </w:rPr>
        <w:t>implementeres</w:t>
      </w:r>
      <w:proofErr w:type="gramEnd"/>
      <w:r w:rsidRPr="00225D4D">
        <w:rPr>
          <w:rStyle w:val="kursiv"/>
        </w:rPr>
        <w:t>.</w:t>
      </w:r>
    </w:p>
    <w:p w14:paraId="5EA6C4F6"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11 (2024–2025) </w:t>
      </w:r>
      <w:r w:rsidRPr="00225D4D">
        <w:rPr>
          <w:rStyle w:val="kursiv"/>
        </w:rPr>
        <w:t xml:space="preserve">Fagfolk for en ny tid – med høyere yrkesfaglig utdanning, </w:t>
      </w:r>
      <w:r w:rsidRPr="00225D4D">
        <w:t xml:space="preserve">jf. </w:t>
      </w:r>
      <w:proofErr w:type="spellStart"/>
      <w:r w:rsidRPr="00225D4D">
        <w:t>Innst</w:t>
      </w:r>
      <w:proofErr w:type="spellEnd"/>
      <w:r w:rsidRPr="00225D4D">
        <w:t>. 266 S (2024–2025).</w:t>
      </w:r>
    </w:p>
    <w:p w14:paraId="3EDEF1CD" w14:textId="77777777" w:rsidR="00D60186" w:rsidRPr="00225D4D" w:rsidRDefault="00D60186" w:rsidP="00225D4D">
      <w:r w:rsidRPr="00225D4D">
        <w:t xml:space="preserve">I 2024 </w:t>
      </w:r>
      <w:proofErr w:type="spellStart"/>
      <w:r w:rsidRPr="00225D4D">
        <w:t>fekk</w:t>
      </w:r>
      <w:proofErr w:type="spellEnd"/>
      <w:r w:rsidRPr="00225D4D">
        <w:t xml:space="preserve"> Nordisk institutt for </w:t>
      </w:r>
      <w:proofErr w:type="spellStart"/>
      <w:r w:rsidRPr="00225D4D">
        <w:t>studiar</w:t>
      </w:r>
      <w:proofErr w:type="spellEnd"/>
      <w:r w:rsidRPr="00225D4D">
        <w:t xml:space="preserve"> av innovasjon, forsking og utdanning (NIFU) i oppdrag </w:t>
      </w:r>
      <w:proofErr w:type="spellStart"/>
      <w:r w:rsidRPr="00225D4D">
        <w:t>frå</w:t>
      </w:r>
      <w:proofErr w:type="spellEnd"/>
      <w:r w:rsidRPr="00225D4D">
        <w:t xml:space="preserve"> Direktoratet for </w:t>
      </w:r>
      <w:proofErr w:type="spellStart"/>
      <w:r w:rsidRPr="00225D4D">
        <w:t>høgare</w:t>
      </w:r>
      <w:proofErr w:type="spellEnd"/>
      <w:r w:rsidRPr="00225D4D">
        <w:t xml:space="preserve"> utdanning og kompetanse (HK-</w:t>
      </w:r>
      <w:proofErr w:type="spellStart"/>
      <w:r w:rsidRPr="00225D4D">
        <w:t>dir</w:t>
      </w:r>
      <w:proofErr w:type="spellEnd"/>
      <w:r w:rsidRPr="00225D4D">
        <w:t xml:space="preserve">) å greie ut </w:t>
      </w:r>
      <w:proofErr w:type="spellStart"/>
      <w:r w:rsidRPr="00225D4D">
        <w:t>føresetnader</w:t>
      </w:r>
      <w:proofErr w:type="spellEnd"/>
      <w:r w:rsidRPr="00225D4D">
        <w:t xml:space="preserve"> for bruk av ECTS (European Credit Transfer and </w:t>
      </w:r>
      <w:proofErr w:type="spellStart"/>
      <w:r w:rsidRPr="00225D4D">
        <w:t>Accumulation</w:t>
      </w:r>
      <w:proofErr w:type="spellEnd"/>
      <w:r w:rsidRPr="00225D4D">
        <w:t xml:space="preserve"> System) for </w:t>
      </w:r>
      <w:proofErr w:type="spellStart"/>
      <w:r w:rsidRPr="00225D4D">
        <w:t>utdanningar</w:t>
      </w:r>
      <w:proofErr w:type="spellEnd"/>
      <w:r w:rsidRPr="00225D4D">
        <w:t xml:space="preserve"> og </w:t>
      </w:r>
      <w:proofErr w:type="spellStart"/>
      <w:r w:rsidRPr="00225D4D">
        <w:t>moglegheita</w:t>
      </w:r>
      <w:proofErr w:type="spellEnd"/>
      <w:r w:rsidRPr="00225D4D">
        <w:t xml:space="preserve"> for eventuell bruk av ECTS i </w:t>
      </w:r>
      <w:proofErr w:type="spellStart"/>
      <w:r w:rsidRPr="00225D4D">
        <w:t>høgare</w:t>
      </w:r>
      <w:proofErr w:type="spellEnd"/>
      <w:r w:rsidRPr="00225D4D">
        <w:t xml:space="preserve"> </w:t>
      </w:r>
      <w:proofErr w:type="spellStart"/>
      <w:r w:rsidRPr="00225D4D">
        <w:t>yrkesfagleg</w:t>
      </w:r>
      <w:proofErr w:type="spellEnd"/>
      <w:r w:rsidRPr="00225D4D">
        <w:t xml:space="preserve"> utdanning. </w:t>
      </w:r>
      <w:proofErr w:type="spellStart"/>
      <w:r w:rsidRPr="00225D4D">
        <w:t>Vidare</w:t>
      </w:r>
      <w:proofErr w:type="spellEnd"/>
      <w:r w:rsidRPr="00225D4D">
        <w:t xml:space="preserve"> skal utgreiinga ta for seg kva for </w:t>
      </w:r>
      <w:proofErr w:type="spellStart"/>
      <w:r w:rsidRPr="00225D4D">
        <w:t>konsekvensar</w:t>
      </w:r>
      <w:proofErr w:type="spellEnd"/>
      <w:r w:rsidRPr="00225D4D">
        <w:t xml:space="preserve"> innføring av ECTS kan ha for både </w:t>
      </w:r>
      <w:proofErr w:type="spellStart"/>
      <w:r w:rsidRPr="00225D4D">
        <w:t>høgare</w:t>
      </w:r>
      <w:proofErr w:type="spellEnd"/>
      <w:r w:rsidRPr="00225D4D">
        <w:t xml:space="preserve"> </w:t>
      </w:r>
      <w:proofErr w:type="spellStart"/>
      <w:r w:rsidRPr="00225D4D">
        <w:t>yrkesfagleg</w:t>
      </w:r>
      <w:proofErr w:type="spellEnd"/>
      <w:r w:rsidRPr="00225D4D">
        <w:t xml:space="preserve"> utdanning og </w:t>
      </w:r>
      <w:proofErr w:type="spellStart"/>
      <w:r w:rsidRPr="00225D4D">
        <w:t>høgare</w:t>
      </w:r>
      <w:proofErr w:type="spellEnd"/>
      <w:r w:rsidRPr="00225D4D">
        <w:t xml:space="preserve"> utdanning. NIFU skal levere utgreiinga til HK-</w:t>
      </w:r>
      <w:proofErr w:type="spellStart"/>
      <w:r w:rsidRPr="00225D4D">
        <w:t>dir</w:t>
      </w:r>
      <w:proofErr w:type="spellEnd"/>
      <w:r w:rsidRPr="00225D4D">
        <w:t xml:space="preserve"> i oktober 2025. Etter at utgreiinga er lagd fram, vil departementet greie ut korleis dette best kan </w:t>
      </w:r>
      <w:proofErr w:type="spellStart"/>
      <w:r w:rsidRPr="00225D4D">
        <w:t>gjerast</w:t>
      </w:r>
      <w:proofErr w:type="spellEnd"/>
      <w:r w:rsidRPr="00225D4D">
        <w:t>.</w:t>
      </w:r>
    </w:p>
    <w:p w14:paraId="09EF168C" w14:textId="77777777" w:rsidR="00D60186" w:rsidRPr="00225D4D" w:rsidRDefault="00D60186" w:rsidP="00225D4D">
      <w:r w:rsidRPr="00225D4D">
        <w:t>Vedtaket er under behandling.</w:t>
      </w:r>
    </w:p>
    <w:p w14:paraId="3440C0DE" w14:textId="77777777" w:rsidR="00D60186" w:rsidRPr="00225D4D" w:rsidRDefault="00D60186" w:rsidP="00225D4D">
      <w:pPr>
        <w:pStyle w:val="avsnitt-tittel"/>
      </w:pPr>
      <w:r w:rsidRPr="00225D4D">
        <w:t xml:space="preserve">Plan for </w:t>
      </w:r>
      <w:proofErr w:type="spellStart"/>
      <w:r w:rsidRPr="00225D4D">
        <w:t>føreseieleg</w:t>
      </w:r>
      <w:proofErr w:type="spellEnd"/>
      <w:r w:rsidRPr="00225D4D">
        <w:t xml:space="preserve"> finansiering for </w:t>
      </w:r>
      <w:proofErr w:type="spellStart"/>
      <w:r w:rsidRPr="00225D4D">
        <w:t>fagskulane</w:t>
      </w:r>
      <w:proofErr w:type="spellEnd"/>
    </w:p>
    <w:p w14:paraId="3333CD7B" w14:textId="77777777" w:rsidR="00D60186" w:rsidRPr="00225D4D" w:rsidRDefault="00D60186" w:rsidP="00225D4D">
      <w:pPr>
        <w:pStyle w:val="avsnitt-undertittel"/>
      </w:pPr>
      <w:r w:rsidRPr="00225D4D">
        <w:t>Vedtak nr. 684, 13. mai 2025:</w:t>
      </w:r>
    </w:p>
    <w:p w14:paraId="655EB070" w14:textId="77777777" w:rsidR="00D60186" w:rsidRPr="00225D4D" w:rsidRDefault="00D60186" w:rsidP="00225D4D">
      <w:pPr>
        <w:pStyle w:val="blokksit"/>
        <w:rPr>
          <w:rStyle w:val="kursiv"/>
        </w:rPr>
      </w:pPr>
      <w:r w:rsidRPr="00225D4D">
        <w:rPr>
          <w:rStyle w:val="kursiv"/>
        </w:rPr>
        <w:t>Stortinget ber regjeringen komme tilbake til Stortinget med en oversikt over fagskolenes totale finansiering, og en plan for hvordan forutsigbar finansiering kan sikres.</w:t>
      </w:r>
    </w:p>
    <w:p w14:paraId="7CA3A0D6"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11 (2024–2025) </w:t>
      </w:r>
      <w:r w:rsidRPr="00225D4D">
        <w:rPr>
          <w:rStyle w:val="kursiv"/>
        </w:rPr>
        <w:t xml:space="preserve">Fagfolk for en ny tid – med høyere yrkesfaglig utdanning, </w:t>
      </w:r>
      <w:r w:rsidRPr="00225D4D">
        <w:t xml:space="preserve">jf. </w:t>
      </w:r>
      <w:proofErr w:type="spellStart"/>
      <w:r w:rsidRPr="00225D4D">
        <w:t>Innst</w:t>
      </w:r>
      <w:proofErr w:type="spellEnd"/>
      <w:r w:rsidRPr="00225D4D">
        <w:t>. 266 S (2024–2025).</w:t>
      </w:r>
    </w:p>
    <w:p w14:paraId="2C5E1E04" w14:textId="77777777" w:rsidR="00D60186" w:rsidRPr="00225D4D" w:rsidRDefault="00D60186" w:rsidP="00225D4D">
      <w:r w:rsidRPr="00225D4D">
        <w:t xml:space="preserve">Direktoratet for </w:t>
      </w:r>
      <w:proofErr w:type="spellStart"/>
      <w:r w:rsidRPr="00225D4D">
        <w:t>høgare</w:t>
      </w:r>
      <w:proofErr w:type="spellEnd"/>
      <w:r w:rsidRPr="00225D4D">
        <w:t xml:space="preserve"> utdanning og kompetanse (HK-</w:t>
      </w:r>
      <w:proofErr w:type="spellStart"/>
      <w:r w:rsidRPr="00225D4D">
        <w:t>dir</w:t>
      </w:r>
      <w:proofErr w:type="spellEnd"/>
      <w:r w:rsidRPr="00225D4D">
        <w:t xml:space="preserve">) publiserer </w:t>
      </w:r>
      <w:proofErr w:type="spellStart"/>
      <w:r w:rsidRPr="00225D4D">
        <w:t>årleg</w:t>
      </w:r>
      <w:proofErr w:type="spellEnd"/>
      <w:r w:rsidRPr="00225D4D">
        <w:t xml:space="preserve"> </w:t>
      </w:r>
      <w:proofErr w:type="spellStart"/>
      <w:r w:rsidRPr="00225D4D">
        <w:t>ein</w:t>
      </w:r>
      <w:proofErr w:type="spellEnd"/>
      <w:r w:rsidRPr="00225D4D">
        <w:t xml:space="preserve"> tilstandsrapport for </w:t>
      </w:r>
      <w:proofErr w:type="spellStart"/>
      <w:r w:rsidRPr="00225D4D">
        <w:t>høgare</w:t>
      </w:r>
      <w:proofErr w:type="spellEnd"/>
      <w:r w:rsidRPr="00225D4D">
        <w:t xml:space="preserve"> </w:t>
      </w:r>
      <w:proofErr w:type="spellStart"/>
      <w:r w:rsidRPr="00225D4D">
        <w:t>yrkesfagleg</w:t>
      </w:r>
      <w:proofErr w:type="spellEnd"/>
      <w:r w:rsidRPr="00225D4D">
        <w:t xml:space="preserve"> utdanning som viser fagskulesektoren i tal og </w:t>
      </w:r>
      <w:proofErr w:type="spellStart"/>
      <w:r w:rsidRPr="00225D4D">
        <w:t>analysar</w:t>
      </w:r>
      <w:proofErr w:type="spellEnd"/>
      <w:r w:rsidRPr="00225D4D">
        <w:t xml:space="preserve"> om </w:t>
      </w:r>
      <w:proofErr w:type="spellStart"/>
      <w:r w:rsidRPr="00225D4D">
        <w:t>studentar</w:t>
      </w:r>
      <w:proofErr w:type="spellEnd"/>
      <w:r w:rsidRPr="00225D4D">
        <w:t xml:space="preserve">, </w:t>
      </w:r>
      <w:proofErr w:type="spellStart"/>
      <w:r w:rsidRPr="00225D4D">
        <w:t>fagskular</w:t>
      </w:r>
      <w:proofErr w:type="spellEnd"/>
      <w:r w:rsidRPr="00225D4D">
        <w:t xml:space="preserve">, </w:t>
      </w:r>
      <w:proofErr w:type="spellStart"/>
      <w:r w:rsidRPr="00225D4D">
        <w:t>utdanningstilbod</w:t>
      </w:r>
      <w:proofErr w:type="spellEnd"/>
      <w:r w:rsidRPr="00225D4D">
        <w:t xml:space="preserve"> og finansiering. I tilstandsrapporten er det </w:t>
      </w:r>
      <w:proofErr w:type="gramStart"/>
      <w:r w:rsidRPr="00225D4D">
        <w:t>ei oversikt</w:t>
      </w:r>
      <w:proofErr w:type="gramEnd"/>
      <w:r w:rsidRPr="00225D4D">
        <w:t xml:space="preserve"> over finansieringskjeldene til </w:t>
      </w:r>
      <w:proofErr w:type="spellStart"/>
      <w:r w:rsidRPr="00225D4D">
        <w:t>fagskulane</w:t>
      </w:r>
      <w:proofErr w:type="spellEnd"/>
      <w:r w:rsidRPr="00225D4D">
        <w:t xml:space="preserve">, mellom anna omfanget av </w:t>
      </w:r>
      <w:proofErr w:type="spellStart"/>
      <w:r w:rsidRPr="00225D4D">
        <w:t>statleg</w:t>
      </w:r>
      <w:proofErr w:type="spellEnd"/>
      <w:r w:rsidRPr="00225D4D">
        <w:t xml:space="preserve"> </w:t>
      </w:r>
      <w:proofErr w:type="spellStart"/>
      <w:r w:rsidRPr="00225D4D">
        <w:t>tilskot</w:t>
      </w:r>
      <w:proofErr w:type="spellEnd"/>
      <w:r w:rsidRPr="00225D4D">
        <w:t xml:space="preserve">, </w:t>
      </w:r>
      <w:proofErr w:type="spellStart"/>
      <w:r w:rsidRPr="00225D4D">
        <w:t>skulepengar</w:t>
      </w:r>
      <w:proofErr w:type="spellEnd"/>
      <w:r w:rsidRPr="00225D4D">
        <w:t xml:space="preserve"> og </w:t>
      </w:r>
      <w:proofErr w:type="spellStart"/>
      <w:r w:rsidRPr="00225D4D">
        <w:t>prosjektmidlar</w:t>
      </w:r>
      <w:proofErr w:type="spellEnd"/>
      <w:r w:rsidRPr="00225D4D">
        <w:t>.</w:t>
      </w:r>
    </w:p>
    <w:p w14:paraId="31B24510"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1F1046D7" w14:textId="77777777" w:rsidR="00D60186" w:rsidRPr="00225D4D" w:rsidRDefault="00D60186" w:rsidP="00225D4D">
      <w:pPr>
        <w:pStyle w:val="avsnitt-tittel"/>
      </w:pPr>
      <w:r w:rsidRPr="00225D4D">
        <w:t xml:space="preserve">Vurdering av </w:t>
      </w:r>
      <w:proofErr w:type="spellStart"/>
      <w:r w:rsidRPr="00225D4D">
        <w:t>eit</w:t>
      </w:r>
      <w:proofErr w:type="spellEnd"/>
      <w:r w:rsidRPr="00225D4D">
        <w:t xml:space="preserve"> gratisprinsipp i </w:t>
      </w:r>
      <w:proofErr w:type="spellStart"/>
      <w:r w:rsidRPr="00225D4D">
        <w:t>høgare</w:t>
      </w:r>
      <w:proofErr w:type="spellEnd"/>
      <w:r w:rsidRPr="00225D4D">
        <w:t xml:space="preserve"> </w:t>
      </w:r>
      <w:proofErr w:type="spellStart"/>
      <w:r w:rsidRPr="00225D4D">
        <w:t>yrkesfagleg</w:t>
      </w:r>
      <w:proofErr w:type="spellEnd"/>
      <w:r w:rsidRPr="00225D4D">
        <w:t xml:space="preserve"> utdanning</w:t>
      </w:r>
    </w:p>
    <w:p w14:paraId="4E7A5948" w14:textId="77777777" w:rsidR="00D60186" w:rsidRPr="00225D4D" w:rsidRDefault="00D60186" w:rsidP="00225D4D">
      <w:pPr>
        <w:pStyle w:val="avsnitt-undertittel"/>
      </w:pPr>
      <w:r w:rsidRPr="00225D4D">
        <w:t>Vedtak nr. 685, 13. mai 2025:</w:t>
      </w:r>
    </w:p>
    <w:p w14:paraId="46BFFB51" w14:textId="77777777" w:rsidR="00D60186" w:rsidRPr="00225D4D" w:rsidRDefault="00D60186" w:rsidP="00225D4D">
      <w:pPr>
        <w:pStyle w:val="blokksit"/>
        <w:rPr>
          <w:rStyle w:val="kursiv"/>
        </w:rPr>
      </w:pPr>
      <w:r w:rsidRPr="00225D4D">
        <w:rPr>
          <w:rStyle w:val="kursiv"/>
        </w:rPr>
        <w:t>Stortinget ber regjeringen gjennomgå finansieringen av fagskolestudier og vurdere det opp mot gratisprinsippet i norsk utdanningssystem, og fremme en sak for Stortinget innen utgangen av 2026.</w:t>
      </w:r>
    </w:p>
    <w:p w14:paraId="4E193C4D"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11 (2024–2025) </w:t>
      </w:r>
      <w:r w:rsidRPr="00225D4D">
        <w:rPr>
          <w:rStyle w:val="kursiv"/>
        </w:rPr>
        <w:t xml:space="preserve">Fagfolk for en ny tid – med høyere yrkesfaglig utdanning, </w:t>
      </w:r>
      <w:r w:rsidRPr="00225D4D">
        <w:t xml:space="preserve">jf. </w:t>
      </w:r>
      <w:proofErr w:type="spellStart"/>
      <w:r w:rsidRPr="00225D4D">
        <w:t>Innst</w:t>
      </w:r>
      <w:proofErr w:type="spellEnd"/>
      <w:r w:rsidRPr="00225D4D">
        <w:t>. 266 S (2024–2025).</w:t>
      </w:r>
    </w:p>
    <w:p w14:paraId="392B22B3" w14:textId="77777777" w:rsidR="00D60186" w:rsidRPr="00225D4D" w:rsidRDefault="00D60186" w:rsidP="00225D4D">
      <w:r w:rsidRPr="00225D4D">
        <w:t xml:space="preserve">Det er opp til </w:t>
      </w:r>
      <w:proofErr w:type="spellStart"/>
      <w:r w:rsidRPr="00225D4D">
        <w:t>fylkeskommunane</w:t>
      </w:r>
      <w:proofErr w:type="spellEnd"/>
      <w:r w:rsidRPr="00225D4D">
        <w:t xml:space="preserve"> om </w:t>
      </w:r>
      <w:proofErr w:type="spellStart"/>
      <w:r w:rsidRPr="00225D4D">
        <w:t>fagskular</w:t>
      </w:r>
      <w:proofErr w:type="spellEnd"/>
      <w:r w:rsidRPr="00225D4D">
        <w:t xml:space="preserve"> som får </w:t>
      </w:r>
      <w:proofErr w:type="spellStart"/>
      <w:r w:rsidRPr="00225D4D">
        <w:t>offentleg</w:t>
      </w:r>
      <w:proofErr w:type="spellEnd"/>
      <w:r w:rsidRPr="00225D4D">
        <w:t xml:space="preserve"> </w:t>
      </w:r>
      <w:proofErr w:type="spellStart"/>
      <w:r w:rsidRPr="00225D4D">
        <w:t>driftstilskot</w:t>
      </w:r>
      <w:proofErr w:type="spellEnd"/>
      <w:r w:rsidRPr="00225D4D">
        <w:t xml:space="preserve">, skal kunne ta </w:t>
      </w:r>
      <w:proofErr w:type="spellStart"/>
      <w:r w:rsidRPr="00225D4D">
        <w:t>skulepengar</w:t>
      </w:r>
      <w:proofErr w:type="spellEnd"/>
      <w:r w:rsidRPr="00225D4D">
        <w:t xml:space="preserve"> i tillegg. Dette </w:t>
      </w:r>
      <w:proofErr w:type="spellStart"/>
      <w:r w:rsidRPr="00225D4D">
        <w:t>gjeld</w:t>
      </w:r>
      <w:proofErr w:type="spellEnd"/>
      <w:r w:rsidRPr="00225D4D">
        <w:t xml:space="preserve"> både for </w:t>
      </w:r>
      <w:proofErr w:type="spellStart"/>
      <w:r w:rsidRPr="00225D4D">
        <w:t>offentlege</w:t>
      </w:r>
      <w:proofErr w:type="spellEnd"/>
      <w:r w:rsidRPr="00225D4D">
        <w:t xml:space="preserve"> og private </w:t>
      </w:r>
      <w:proofErr w:type="spellStart"/>
      <w:r w:rsidRPr="00225D4D">
        <w:t>fagskular</w:t>
      </w:r>
      <w:proofErr w:type="spellEnd"/>
      <w:r w:rsidRPr="00225D4D">
        <w:t xml:space="preserve"> som får </w:t>
      </w:r>
      <w:proofErr w:type="spellStart"/>
      <w:r w:rsidRPr="00225D4D">
        <w:t>offentleg</w:t>
      </w:r>
      <w:proofErr w:type="spellEnd"/>
      <w:r w:rsidRPr="00225D4D">
        <w:t xml:space="preserve"> </w:t>
      </w:r>
      <w:proofErr w:type="spellStart"/>
      <w:r w:rsidRPr="00225D4D">
        <w:t>driftstilskot</w:t>
      </w:r>
      <w:proofErr w:type="spellEnd"/>
      <w:r w:rsidRPr="00225D4D">
        <w:t xml:space="preserve">. Ifølge </w:t>
      </w:r>
      <w:r w:rsidRPr="00225D4D">
        <w:rPr>
          <w:rStyle w:val="kursiv"/>
        </w:rPr>
        <w:t xml:space="preserve">Tilstandsrapport for </w:t>
      </w:r>
      <w:proofErr w:type="spellStart"/>
      <w:r w:rsidRPr="00225D4D">
        <w:rPr>
          <w:rStyle w:val="kursiv"/>
        </w:rPr>
        <w:t>høgare</w:t>
      </w:r>
      <w:proofErr w:type="spellEnd"/>
      <w:r w:rsidRPr="00225D4D">
        <w:rPr>
          <w:rStyle w:val="kursiv"/>
        </w:rPr>
        <w:t xml:space="preserve"> </w:t>
      </w:r>
      <w:proofErr w:type="spellStart"/>
      <w:r w:rsidRPr="00225D4D">
        <w:rPr>
          <w:rStyle w:val="kursiv"/>
        </w:rPr>
        <w:t>yrkesfagleg</w:t>
      </w:r>
      <w:proofErr w:type="spellEnd"/>
      <w:r w:rsidRPr="00225D4D">
        <w:rPr>
          <w:rStyle w:val="kursiv"/>
        </w:rPr>
        <w:t xml:space="preserve"> utdanning</w:t>
      </w:r>
      <w:r w:rsidRPr="00225D4D">
        <w:t xml:space="preserve"> </w:t>
      </w:r>
      <w:r w:rsidRPr="00225D4D">
        <w:rPr>
          <w:rStyle w:val="kursiv"/>
        </w:rPr>
        <w:t>2025</w:t>
      </w:r>
      <w:r w:rsidRPr="00225D4D">
        <w:t xml:space="preserve"> </w:t>
      </w:r>
      <w:proofErr w:type="spellStart"/>
      <w:r w:rsidRPr="00225D4D">
        <w:t>fekk</w:t>
      </w:r>
      <w:proofErr w:type="spellEnd"/>
      <w:r w:rsidRPr="00225D4D">
        <w:t xml:space="preserve"> </w:t>
      </w:r>
      <w:proofErr w:type="spellStart"/>
      <w:r w:rsidRPr="00225D4D">
        <w:t>offentlege</w:t>
      </w:r>
      <w:proofErr w:type="spellEnd"/>
      <w:r w:rsidRPr="00225D4D">
        <w:t xml:space="preserve"> </w:t>
      </w:r>
      <w:proofErr w:type="spellStart"/>
      <w:r w:rsidRPr="00225D4D">
        <w:t>fagskular</w:t>
      </w:r>
      <w:proofErr w:type="spellEnd"/>
      <w:r w:rsidRPr="00225D4D">
        <w:t xml:space="preserve"> 30,6 mill. kroner i </w:t>
      </w:r>
      <w:proofErr w:type="spellStart"/>
      <w:r w:rsidRPr="00225D4D">
        <w:t>skulepengar</w:t>
      </w:r>
      <w:proofErr w:type="spellEnd"/>
      <w:r w:rsidRPr="00225D4D">
        <w:t xml:space="preserve"> i 2024. </w:t>
      </w:r>
      <w:proofErr w:type="spellStart"/>
      <w:r w:rsidRPr="00225D4D">
        <w:t>Skulepengane</w:t>
      </w:r>
      <w:proofErr w:type="spellEnd"/>
      <w:r w:rsidRPr="00225D4D">
        <w:t xml:space="preserve"> ved </w:t>
      </w:r>
      <w:proofErr w:type="spellStart"/>
      <w:r w:rsidRPr="00225D4D">
        <w:t>offentlege</w:t>
      </w:r>
      <w:proofErr w:type="spellEnd"/>
      <w:r w:rsidRPr="00225D4D">
        <w:t xml:space="preserve"> </w:t>
      </w:r>
      <w:proofErr w:type="spellStart"/>
      <w:r w:rsidRPr="00225D4D">
        <w:t>fagskular</w:t>
      </w:r>
      <w:proofErr w:type="spellEnd"/>
      <w:r w:rsidRPr="00225D4D">
        <w:t xml:space="preserve"> tilsvarer 1 pst. av den samla finansieringa til </w:t>
      </w:r>
      <w:proofErr w:type="spellStart"/>
      <w:r w:rsidRPr="00225D4D">
        <w:t>offentlege</w:t>
      </w:r>
      <w:proofErr w:type="spellEnd"/>
      <w:r w:rsidRPr="00225D4D">
        <w:t xml:space="preserve"> og private </w:t>
      </w:r>
      <w:proofErr w:type="spellStart"/>
      <w:r w:rsidRPr="00225D4D">
        <w:t>fagskular</w:t>
      </w:r>
      <w:proofErr w:type="spellEnd"/>
      <w:r w:rsidRPr="00225D4D">
        <w:t>.</w:t>
      </w:r>
    </w:p>
    <w:p w14:paraId="46DF06DE" w14:textId="77777777" w:rsidR="00D60186" w:rsidRPr="00225D4D" w:rsidRDefault="00D60186" w:rsidP="00225D4D">
      <w:r w:rsidRPr="00225D4D">
        <w:t xml:space="preserve">Departementet </w:t>
      </w:r>
      <w:proofErr w:type="spellStart"/>
      <w:r w:rsidRPr="00225D4D">
        <w:t>tek</w:t>
      </w:r>
      <w:proofErr w:type="spellEnd"/>
      <w:r w:rsidRPr="00225D4D">
        <w:t xml:space="preserve"> sikte på å </w:t>
      </w:r>
      <w:proofErr w:type="spellStart"/>
      <w:r w:rsidRPr="00225D4D">
        <w:t>kome</w:t>
      </w:r>
      <w:proofErr w:type="spellEnd"/>
      <w:r w:rsidRPr="00225D4D">
        <w:t xml:space="preserve"> tilbake til vedtaket i statsbudsjettet for 2027.</w:t>
      </w:r>
    </w:p>
    <w:p w14:paraId="75174451" w14:textId="77777777" w:rsidR="00D60186" w:rsidRPr="00225D4D" w:rsidRDefault="00D60186" w:rsidP="00225D4D">
      <w:pPr>
        <w:pStyle w:val="avsnitt-tittel"/>
      </w:pPr>
      <w:proofErr w:type="spellStart"/>
      <w:r w:rsidRPr="00225D4D">
        <w:t>Auke</w:t>
      </w:r>
      <w:proofErr w:type="spellEnd"/>
      <w:r w:rsidRPr="00225D4D">
        <w:t xml:space="preserve"> kommersialiseringa av norsk forsking</w:t>
      </w:r>
    </w:p>
    <w:p w14:paraId="18A4D72E" w14:textId="77777777" w:rsidR="00D60186" w:rsidRPr="00225D4D" w:rsidRDefault="00D60186" w:rsidP="00225D4D">
      <w:pPr>
        <w:pStyle w:val="avsnitt-undertittel"/>
      </w:pPr>
      <w:r w:rsidRPr="00225D4D">
        <w:t>Vedtak nr. 737, 26. mai 2025:</w:t>
      </w:r>
    </w:p>
    <w:p w14:paraId="06DFCE04" w14:textId="77777777" w:rsidR="00D60186" w:rsidRPr="00225D4D" w:rsidRDefault="00D60186" w:rsidP="00225D4D">
      <w:pPr>
        <w:pStyle w:val="blokksit"/>
        <w:rPr>
          <w:rStyle w:val="kursiv"/>
        </w:rPr>
      </w:pPr>
      <w:r w:rsidRPr="00225D4D">
        <w:rPr>
          <w:rStyle w:val="kursiv"/>
        </w:rPr>
        <w:t>Stortinget ber regjeringen i ny langtidsplan for forskning og høyere utdanning komme med konkrete forslag til hvordan en kan øke kommersialiseringen av norsk forskning.</w:t>
      </w:r>
    </w:p>
    <w:p w14:paraId="52EF1BCF" w14:textId="77777777" w:rsidR="00D60186" w:rsidRPr="00225D4D" w:rsidRDefault="00D60186" w:rsidP="00225D4D">
      <w:r w:rsidRPr="00225D4D">
        <w:t xml:space="preserve">Oppmodingsvedtaket kom i samband med </w:t>
      </w:r>
      <w:proofErr w:type="spellStart"/>
      <w:r w:rsidRPr="00225D4D">
        <w:t>behandlinga</w:t>
      </w:r>
      <w:proofErr w:type="spellEnd"/>
      <w:r w:rsidRPr="00225D4D">
        <w:t xml:space="preserve"> av Meld. St. 14 (2024–2025) </w:t>
      </w:r>
      <w:r w:rsidRPr="00225D4D">
        <w:rPr>
          <w:rStyle w:val="kursiv"/>
        </w:rPr>
        <w:t>Sikker kunnskap i en usikker verden</w:t>
      </w:r>
      <w:r w:rsidRPr="00225D4D">
        <w:t xml:space="preserve">, jf. </w:t>
      </w:r>
      <w:proofErr w:type="spellStart"/>
      <w:r w:rsidRPr="00225D4D">
        <w:t>Innst</w:t>
      </w:r>
      <w:proofErr w:type="spellEnd"/>
      <w:r w:rsidRPr="00225D4D">
        <w:t>. 290 S (2024–2025).</w:t>
      </w:r>
    </w:p>
    <w:p w14:paraId="3A0AC26B" w14:textId="77777777" w:rsidR="00D60186" w:rsidRPr="00225D4D" w:rsidRDefault="00D60186" w:rsidP="00225D4D">
      <w:r w:rsidRPr="00225D4D">
        <w:t xml:space="preserve">I Meld. St. 5 (2022–2023) </w:t>
      </w:r>
      <w:r w:rsidRPr="00225D4D">
        <w:rPr>
          <w:rStyle w:val="kursiv"/>
        </w:rPr>
        <w:t>Langtidsplan for forskning og høyere utdanning 2023–2032</w:t>
      </w:r>
      <w:r w:rsidRPr="00225D4D">
        <w:t xml:space="preserve"> blir forsking, utvikling, innovasjon og </w:t>
      </w:r>
      <w:proofErr w:type="spellStart"/>
      <w:r w:rsidRPr="00225D4D">
        <w:t>høgare</w:t>
      </w:r>
      <w:proofErr w:type="spellEnd"/>
      <w:r w:rsidRPr="00225D4D">
        <w:t xml:space="preserve"> utdanning sett på som </w:t>
      </w:r>
      <w:proofErr w:type="spellStart"/>
      <w:r w:rsidRPr="00225D4D">
        <w:t>grunnleggande</w:t>
      </w:r>
      <w:proofErr w:type="spellEnd"/>
      <w:r w:rsidRPr="00225D4D">
        <w:t xml:space="preserve"> for verdiskapinga i samfunnet. Forskingsrådet </w:t>
      </w:r>
      <w:proofErr w:type="spellStart"/>
      <w:r w:rsidRPr="00225D4D">
        <w:t>sikrar</w:t>
      </w:r>
      <w:proofErr w:type="spellEnd"/>
      <w:r w:rsidRPr="00225D4D">
        <w:t xml:space="preserve"> </w:t>
      </w:r>
      <w:proofErr w:type="spellStart"/>
      <w:r w:rsidRPr="00225D4D">
        <w:t>høg</w:t>
      </w:r>
      <w:proofErr w:type="spellEnd"/>
      <w:r w:rsidRPr="00225D4D">
        <w:t xml:space="preserve"> kvalitet i forskinga og </w:t>
      </w:r>
      <w:proofErr w:type="spellStart"/>
      <w:r w:rsidRPr="00225D4D">
        <w:t>bidreg</w:t>
      </w:r>
      <w:proofErr w:type="spellEnd"/>
      <w:r w:rsidRPr="00225D4D">
        <w:t xml:space="preserve"> til at forskingsbaserte </w:t>
      </w:r>
      <w:proofErr w:type="spellStart"/>
      <w:r w:rsidRPr="00225D4D">
        <w:t>idear</w:t>
      </w:r>
      <w:proofErr w:type="spellEnd"/>
      <w:r w:rsidRPr="00225D4D">
        <w:t xml:space="preserve"> og resultat blir </w:t>
      </w:r>
      <w:proofErr w:type="spellStart"/>
      <w:r w:rsidRPr="00225D4D">
        <w:t>tekne</w:t>
      </w:r>
      <w:proofErr w:type="spellEnd"/>
      <w:r w:rsidRPr="00225D4D">
        <w:t xml:space="preserve"> i bruk. Kommersialisering er </w:t>
      </w:r>
      <w:proofErr w:type="spellStart"/>
      <w:r w:rsidRPr="00225D4D">
        <w:t>ein</w:t>
      </w:r>
      <w:proofErr w:type="spellEnd"/>
      <w:r w:rsidRPr="00225D4D">
        <w:t xml:space="preserve"> sentral del av dette arbeidet og styrker overgangen </w:t>
      </w:r>
      <w:proofErr w:type="spellStart"/>
      <w:r w:rsidRPr="00225D4D">
        <w:t>frå</w:t>
      </w:r>
      <w:proofErr w:type="spellEnd"/>
      <w:r w:rsidRPr="00225D4D">
        <w:t xml:space="preserve"> forsking til bruk i næringsliv og </w:t>
      </w:r>
      <w:proofErr w:type="spellStart"/>
      <w:r w:rsidRPr="00225D4D">
        <w:t>offentleg</w:t>
      </w:r>
      <w:proofErr w:type="spellEnd"/>
      <w:r w:rsidRPr="00225D4D">
        <w:t xml:space="preserve"> sektor. Innsatsen </w:t>
      </w:r>
      <w:proofErr w:type="spellStart"/>
      <w:r w:rsidRPr="00225D4D">
        <w:t>omfattar</w:t>
      </w:r>
      <w:proofErr w:type="spellEnd"/>
      <w:r w:rsidRPr="00225D4D">
        <w:t xml:space="preserve"> både kultur- og strukturbygging i </w:t>
      </w:r>
      <w:proofErr w:type="spellStart"/>
      <w:r w:rsidRPr="00225D4D">
        <w:t>forskingsinstitusjonane</w:t>
      </w:r>
      <w:proofErr w:type="spellEnd"/>
      <w:r w:rsidRPr="00225D4D">
        <w:t xml:space="preserve">, og prosjektstøtte i </w:t>
      </w:r>
      <w:proofErr w:type="spellStart"/>
      <w:r w:rsidRPr="00225D4D">
        <w:t>tidlege</w:t>
      </w:r>
      <w:proofErr w:type="spellEnd"/>
      <w:r w:rsidRPr="00225D4D">
        <w:t xml:space="preserve"> </w:t>
      </w:r>
      <w:proofErr w:type="spellStart"/>
      <w:r w:rsidRPr="00225D4D">
        <w:t>fasar</w:t>
      </w:r>
      <w:proofErr w:type="spellEnd"/>
      <w:r w:rsidRPr="00225D4D">
        <w:t xml:space="preserve"> av ofte lange og </w:t>
      </w:r>
      <w:proofErr w:type="spellStart"/>
      <w:r w:rsidRPr="00225D4D">
        <w:t>kapitalkrevjande</w:t>
      </w:r>
      <w:proofErr w:type="spellEnd"/>
      <w:r w:rsidRPr="00225D4D">
        <w:t xml:space="preserve"> løp for kommersialisering.</w:t>
      </w:r>
    </w:p>
    <w:p w14:paraId="49D16421" w14:textId="77777777" w:rsidR="00D60186" w:rsidRPr="00225D4D" w:rsidRDefault="00D60186" w:rsidP="00225D4D">
      <w:r w:rsidRPr="00225D4D">
        <w:t xml:space="preserve">Støtte til kultur- og strukturbygging skjer gjennom TTO-funksjonsstøtte. Ordninga </w:t>
      </w:r>
      <w:proofErr w:type="spellStart"/>
      <w:r w:rsidRPr="00225D4D">
        <w:t>vart</w:t>
      </w:r>
      <w:proofErr w:type="spellEnd"/>
      <w:r w:rsidRPr="00225D4D">
        <w:t xml:space="preserve"> etablert i 2023 og er retta inn mot </w:t>
      </w:r>
      <w:proofErr w:type="spellStart"/>
      <w:r w:rsidRPr="00225D4D">
        <w:t>forskingsorganisasjonar</w:t>
      </w:r>
      <w:proofErr w:type="spellEnd"/>
      <w:r w:rsidRPr="00225D4D">
        <w:t xml:space="preserve">. Ho </w:t>
      </w:r>
      <w:proofErr w:type="spellStart"/>
      <w:r w:rsidRPr="00225D4D">
        <w:t>støttar</w:t>
      </w:r>
      <w:proofErr w:type="spellEnd"/>
      <w:r w:rsidRPr="00225D4D">
        <w:t xml:space="preserve"> opp om </w:t>
      </w:r>
      <w:proofErr w:type="spellStart"/>
      <w:r w:rsidRPr="00225D4D">
        <w:t>forskingsorganisasjonars</w:t>
      </w:r>
      <w:proofErr w:type="spellEnd"/>
      <w:r w:rsidRPr="00225D4D">
        <w:t xml:space="preserve"> </w:t>
      </w:r>
      <w:proofErr w:type="spellStart"/>
      <w:r w:rsidRPr="00225D4D">
        <w:t>tidlege</w:t>
      </w:r>
      <w:proofErr w:type="spellEnd"/>
      <w:r w:rsidRPr="00225D4D">
        <w:t xml:space="preserve"> fase i teknologioverføringsarbeidet, </w:t>
      </w:r>
      <w:proofErr w:type="spellStart"/>
      <w:r w:rsidRPr="00225D4D">
        <w:t>sikrar</w:t>
      </w:r>
      <w:proofErr w:type="spellEnd"/>
      <w:r w:rsidRPr="00225D4D">
        <w:t xml:space="preserve"> </w:t>
      </w:r>
      <w:proofErr w:type="spellStart"/>
      <w:r w:rsidRPr="00225D4D">
        <w:t>strukturar</w:t>
      </w:r>
      <w:proofErr w:type="spellEnd"/>
      <w:r w:rsidRPr="00225D4D">
        <w:t xml:space="preserve"> og kompetanse for å vareta </w:t>
      </w:r>
      <w:proofErr w:type="spellStart"/>
      <w:r w:rsidRPr="00225D4D">
        <w:t>dei</w:t>
      </w:r>
      <w:proofErr w:type="spellEnd"/>
      <w:r w:rsidRPr="00225D4D">
        <w:t xml:space="preserve"> lovpålagte oppdraga </w:t>
      </w:r>
      <w:proofErr w:type="spellStart"/>
      <w:r w:rsidRPr="00225D4D">
        <w:t>deira</w:t>
      </w:r>
      <w:proofErr w:type="spellEnd"/>
      <w:r w:rsidRPr="00225D4D">
        <w:t xml:space="preserve"> om IP-forvalting og </w:t>
      </w:r>
      <w:proofErr w:type="spellStart"/>
      <w:r w:rsidRPr="00225D4D">
        <w:t>bidreg</w:t>
      </w:r>
      <w:proofErr w:type="spellEnd"/>
      <w:r w:rsidRPr="00225D4D">
        <w:t xml:space="preserve"> </w:t>
      </w:r>
      <w:proofErr w:type="spellStart"/>
      <w:r w:rsidRPr="00225D4D">
        <w:t>dessutan</w:t>
      </w:r>
      <w:proofErr w:type="spellEnd"/>
      <w:r w:rsidRPr="00225D4D">
        <w:t xml:space="preserve"> til innovasjon. Ordninga </w:t>
      </w:r>
      <w:proofErr w:type="spellStart"/>
      <w:r w:rsidRPr="00225D4D">
        <w:t>erstattar</w:t>
      </w:r>
      <w:proofErr w:type="spellEnd"/>
      <w:r w:rsidRPr="00225D4D">
        <w:t xml:space="preserve"> ei </w:t>
      </w:r>
      <w:proofErr w:type="spellStart"/>
      <w:r w:rsidRPr="00225D4D">
        <w:t>tidlegare</w:t>
      </w:r>
      <w:proofErr w:type="spellEnd"/>
      <w:r w:rsidRPr="00225D4D">
        <w:t xml:space="preserve"> ordning, og den når </w:t>
      </w:r>
      <w:proofErr w:type="spellStart"/>
      <w:r w:rsidRPr="00225D4D">
        <w:t>fleire</w:t>
      </w:r>
      <w:proofErr w:type="spellEnd"/>
      <w:r w:rsidRPr="00225D4D">
        <w:t xml:space="preserve"> </w:t>
      </w:r>
      <w:proofErr w:type="spellStart"/>
      <w:r w:rsidRPr="00225D4D">
        <w:t>forskingsorganisasjonar</w:t>
      </w:r>
      <w:proofErr w:type="spellEnd"/>
      <w:r w:rsidRPr="00225D4D">
        <w:t xml:space="preserve"> (40 stk.). Ordninga er anerkjent blant </w:t>
      </w:r>
      <w:proofErr w:type="spellStart"/>
      <w:r w:rsidRPr="00225D4D">
        <w:t>forskingsorganisasjonane</w:t>
      </w:r>
      <w:proofErr w:type="spellEnd"/>
      <w:r w:rsidRPr="00225D4D">
        <w:t xml:space="preserve">, det er stor aktivitet, høge </w:t>
      </w:r>
      <w:proofErr w:type="spellStart"/>
      <w:r w:rsidRPr="00225D4D">
        <w:t>ambisjonar</w:t>
      </w:r>
      <w:proofErr w:type="spellEnd"/>
      <w:r w:rsidRPr="00225D4D">
        <w:t xml:space="preserve"> og </w:t>
      </w:r>
      <w:proofErr w:type="spellStart"/>
      <w:r w:rsidRPr="00225D4D">
        <w:t>eksisterande</w:t>
      </w:r>
      <w:proofErr w:type="spellEnd"/>
      <w:r w:rsidRPr="00225D4D">
        <w:t xml:space="preserve"> teknologioverføringskontor er godt påkopla.</w:t>
      </w:r>
    </w:p>
    <w:p w14:paraId="00FB16FD" w14:textId="77777777" w:rsidR="00D60186" w:rsidRPr="00225D4D" w:rsidRDefault="00D60186" w:rsidP="00225D4D">
      <w:r w:rsidRPr="00225D4D">
        <w:t xml:space="preserve">Prosjektstøtte skjer gjennom </w:t>
      </w:r>
      <w:proofErr w:type="spellStart"/>
      <w:r w:rsidRPr="00225D4D">
        <w:t>dei</w:t>
      </w:r>
      <w:proofErr w:type="spellEnd"/>
      <w:r w:rsidRPr="00225D4D">
        <w:t xml:space="preserve"> to </w:t>
      </w:r>
      <w:proofErr w:type="spellStart"/>
      <w:r w:rsidRPr="00225D4D">
        <w:t>støtteordningane</w:t>
      </w:r>
      <w:proofErr w:type="spellEnd"/>
      <w:r w:rsidRPr="00225D4D">
        <w:t xml:space="preserve"> kvalifiserings- og verifiseringsstøtte. </w:t>
      </w:r>
      <w:proofErr w:type="spellStart"/>
      <w:r w:rsidRPr="00225D4D">
        <w:t>Ordningane</w:t>
      </w:r>
      <w:proofErr w:type="spellEnd"/>
      <w:r w:rsidRPr="00225D4D">
        <w:t xml:space="preserve"> er retta inn mot </w:t>
      </w:r>
      <w:proofErr w:type="spellStart"/>
      <w:r w:rsidRPr="00225D4D">
        <w:t>forskingsorganisasjonar</w:t>
      </w:r>
      <w:proofErr w:type="spellEnd"/>
      <w:r w:rsidRPr="00225D4D">
        <w:t xml:space="preserve"> og næringsliv. Begge </w:t>
      </w:r>
      <w:proofErr w:type="spellStart"/>
      <w:r w:rsidRPr="00225D4D">
        <w:t>ordningane</w:t>
      </w:r>
      <w:proofErr w:type="spellEnd"/>
      <w:r w:rsidRPr="00225D4D">
        <w:t xml:space="preserve"> har </w:t>
      </w:r>
      <w:proofErr w:type="spellStart"/>
      <w:r w:rsidRPr="00225D4D">
        <w:t>no</w:t>
      </w:r>
      <w:proofErr w:type="spellEnd"/>
      <w:r w:rsidRPr="00225D4D">
        <w:t xml:space="preserve"> </w:t>
      </w:r>
      <w:proofErr w:type="spellStart"/>
      <w:r w:rsidRPr="00225D4D">
        <w:t>løpande</w:t>
      </w:r>
      <w:proofErr w:type="spellEnd"/>
      <w:r w:rsidRPr="00225D4D">
        <w:t xml:space="preserve"> søknadsfrist. Målet med </w:t>
      </w:r>
      <w:proofErr w:type="spellStart"/>
      <w:r w:rsidRPr="00225D4D">
        <w:t>eit</w:t>
      </w:r>
      <w:proofErr w:type="spellEnd"/>
      <w:r w:rsidRPr="00225D4D">
        <w:t xml:space="preserve"> kvalifiseringsprosjekt er å vurdere </w:t>
      </w:r>
      <w:proofErr w:type="spellStart"/>
      <w:r w:rsidRPr="00225D4D">
        <w:t>moglegheiter</w:t>
      </w:r>
      <w:proofErr w:type="spellEnd"/>
      <w:r w:rsidRPr="00225D4D">
        <w:t xml:space="preserve"> for kommersiell bruk av forskingsresultat. Resultatet her kan gi grunnlag for </w:t>
      </w:r>
      <w:proofErr w:type="spellStart"/>
      <w:r w:rsidRPr="00225D4D">
        <w:t>eit</w:t>
      </w:r>
      <w:proofErr w:type="spellEnd"/>
      <w:r w:rsidRPr="00225D4D">
        <w:t xml:space="preserve"> verifiseringsprosjekt, som kan føre forskingsresultat </w:t>
      </w:r>
      <w:proofErr w:type="spellStart"/>
      <w:r w:rsidRPr="00225D4D">
        <w:t>nærare</w:t>
      </w:r>
      <w:proofErr w:type="spellEnd"/>
      <w:r w:rsidRPr="00225D4D">
        <w:t xml:space="preserve"> </w:t>
      </w:r>
      <w:proofErr w:type="spellStart"/>
      <w:r w:rsidRPr="00225D4D">
        <w:t>eit</w:t>
      </w:r>
      <w:proofErr w:type="spellEnd"/>
      <w:r w:rsidRPr="00225D4D">
        <w:t xml:space="preserve"> produkt eller ei løysing som er klart for </w:t>
      </w:r>
      <w:proofErr w:type="spellStart"/>
      <w:r w:rsidRPr="00225D4D">
        <w:t>marknaden</w:t>
      </w:r>
      <w:proofErr w:type="spellEnd"/>
      <w:r w:rsidRPr="00225D4D">
        <w:t xml:space="preserve">. No blir innsatsen òg retta direkte inn mot framifrå forskingsmiljø, for å stimulere til at </w:t>
      </w:r>
      <w:proofErr w:type="spellStart"/>
      <w:r w:rsidRPr="00225D4D">
        <w:t>ein</w:t>
      </w:r>
      <w:proofErr w:type="spellEnd"/>
      <w:r w:rsidRPr="00225D4D">
        <w:t xml:space="preserve"> større del av forskingsresultata </w:t>
      </w:r>
      <w:proofErr w:type="spellStart"/>
      <w:r w:rsidRPr="00225D4D">
        <w:t>frå</w:t>
      </w:r>
      <w:proofErr w:type="spellEnd"/>
      <w:r w:rsidRPr="00225D4D">
        <w:t xml:space="preserve"> </w:t>
      </w:r>
      <w:proofErr w:type="spellStart"/>
      <w:r w:rsidRPr="00225D4D">
        <w:t>desse</w:t>
      </w:r>
      <w:proofErr w:type="spellEnd"/>
      <w:r w:rsidRPr="00225D4D">
        <w:t xml:space="preserve"> miljøa blir </w:t>
      </w:r>
      <w:proofErr w:type="spellStart"/>
      <w:r w:rsidRPr="00225D4D">
        <w:t>tekne</w:t>
      </w:r>
      <w:proofErr w:type="spellEnd"/>
      <w:r w:rsidRPr="00225D4D">
        <w:t xml:space="preserve"> i bruk. </w:t>
      </w:r>
      <w:proofErr w:type="spellStart"/>
      <w:r w:rsidRPr="00225D4D">
        <w:t>Ordningane</w:t>
      </w:r>
      <w:proofErr w:type="spellEnd"/>
      <w:r w:rsidRPr="00225D4D">
        <w:t xml:space="preserve"> er tett kopla til EU-program som ERC </w:t>
      </w:r>
      <w:proofErr w:type="spellStart"/>
      <w:r w:rsidRPr="00225D4D">
        <w:t>Proof</w:t>
      </w:r>
      <w:proofErr w:type="spellEnd"/>
      <w:r w:rsidRPr="00225D4D">
        <w:t xml:space="preserve"> </w:t>
      </w:r>
      <w:proofErr w:type="spellStart"/>
      <w:r w:rsidRPr="00225D4D">
        <w:t>of</w:t>
      </w:r>
      <w:proofErr w:type="spellEnd"/>
      <w:r w:rsidRPr="00225D4D">
        <w:t xml:space="preserve"> </w:t>
      </w:r>
      <w:proofErr w:type="spellStart"/>
      <w:r w:rsidRPr="00225D4D">
        <w:t>Concept</w:t>
      </w:r>
      <w:proofErr w:type="spellEnd"/>
      <w:r w:rsidRPr="00225D4D">
        <w:t xml:space="preserve"> og EIC </w:t>
      </w:r>
      <w:proofErr w:type="spellStart"/>
      <w:r w:rsidRPr="00225D4D">
        <w:t>Transition</w:t>
      </w:r>
      <w:proofErr w:type="spellEnd"/>
      <w:r w:rsidRPr="00225D4D">
        <w:t xml:space="preserve">, og fungerer som springbrett til </w:t>
      </w:r>
      <w:proofErr w:type="spellStart"/>
      <w:r w:rsidRPr="00225D4D">
        <w:t>vidare</w:t>
      </w:r>
      <w:proofErr w:type="spellEnd"/>
      <w:r w:rsidRPr="00225D4D">
        <w:t xml:space="preserve"> finansiering nasjonalt, i EU og i </w:t>
      </w:r>
      <w:proofErr w:type="spellStart"/>
      <w:r w:rsidRPr="00225D4D">
        <w:t>kapitalmarknaden</w:t>
      </w:r>
      <w:proofErr w:type="spellEnd"/>
      <w:r w:rsidRPr="00225D4D">
        <w:t>.</w:t>
      </w:r>
    </w:p>
    <w:p w14:paraId="3BADA8F3" w14:textId="77777777" w:rsidR="00D60186" w:rsidRPr="00225D4D" w:rsidRDefault="00D60186" w:rsidP="00225D4D">
      <w:r w:rsidRPr="00225D4D">
        <w:t xml:space="preserve">Samla sett </w:t>
      </w:r>
      <w:proofErr w:type="spellStart"/>
      <w:r w:rsidRPr="00225D4D">
        <w:t>bidreg</w:t>
      </w:r>
      <w:proofErr w:type="spellEnd"/>
      <w:r w:rsidRPr="00225D4D">
        <w:t xml:space="preserve"> kommersialiseringsinnsatsen til </w:t>
      </w:r>
      <w:proofErr w:type="spellStart"/>
      <w:r w:rsidRPr="00225D4D">
        <w:t>auka</w:t>
      </w:r>
      <w:proofErr w:type="spellEnd"/>
      <w:r w:rsidRPr="00225D4D">
        <w:t xml:space="preserve"> volum, fart og profesjonalitet, </w:t>
      </w:r>
      <w:proofErr w:type="spellStart"/>
      <w:r w:rsidRPr="00225D4D">
        <w:t>frå</w:t>
      </w:r>
      <w:proofErr w:type="spellEnd"/>
      <w:r w:rsidRPr="00225D4D">
        <w:t xml:space="preserve"> ei større </w:t>
      </w:r>
      <w:proofErr w:type="spellStart"/>
      <w:r w:rsidRPr="00225D4D">
        <w:t>breidde</w:t>
      </w:r>
      <w:proofErr w:type="spellEnd"/>
      <w:r w:rsidRPr="00225D4D">
        <w:t xml:space="preserve"> av </w:t>
      </w:r>
      <w:proofErr w:type="spellStart"/>
      <w:r w:rsidRPr="00225D4D">
        <w:t>forskingsorganisasjonane</w:t>
      </w:r>
      <w:proofErr w:type="spellEnd"/>
      <w:r w:rsidRPr="00225D4D">
        <w:t xml:space="preserve">. Det </w:t>
      </w:r>
      <w:proofErr w:type="spellStart"/>
      <w:r w:rsidRPr="00225D4D">
        <w:t>gjer</w:t>
      </w:r>
      <w:proofErr w:type="spellEnd"/>
      <w:r w:rsidRPr="00225D4D">
        <w:t xml:space="preserve"> at </w:t>
      </w:r>
      <w:proofErr w:type="spellStart"/>
      <w:r w:rsidRPr="00225D4D">
        <w:t>fleire</w:t>
      </w:r>
      <w:proofErr w:type="spellEnd"/>
      <w:r w:rsidRPr="00225D4D">
        <w:t xml:space="preserve"> nye </w:t>
      </w:r>
      <w:proofErr w:type="spellStart"/>
      <w:r w:rsidRPr="00225D4D">
        <w:t>idear</w:t>
      </w:r>
      <w:proofErr w:type="spellEnd"/>
      <w:r w:rsidRPr="00225D4D">
        <w:t xml:space="preserve">, konsept og </w:t>
      </w:r>
      <w:proofErr w:type="spellStart"/>
      <w:r w:rsidRPr="00225D4D">
        <w:t>teknologiar</w:t>
      </w:r>
      <w:proofErr w:type="spellEnd"/>
      <w:r w:rsidRPr="00225D4D">
        <w:t xml:space="preserve"> med kommersielt potensial blir </w:t>
      </w:r>
      <w:proofErr w:type="spellStart"/>
      <w:r w:rsidRPr="00225D4D">
        <w:t>tekne</w:t>
      </w:r>
      <w:proofErr w:type="spellEnd"/>
      <w:r w:rsidRPr="00225D4D">
        <w:t xml:space="preserve"> i bruk. </w:t>
      </w:r>
      <w:proofErr w:type="spellStart"/>
      <w:r w:rsidRPr="00225D4D">
        <w:t>Talet</w:t>
      </w:r>
      <w:proofErr w:type="spellEnd"/>
      <w:r w:rsidRPr="00225D4D">
        <w:t xml:space="preserve"> på og kvaliteten på søknader til Forskingsrådet </w:t>
      </w:r>
      <w:proofErr w:type="spellStart"/>
      <w:r w:rsidRPr="00225D4D">
        <w:t>aukar</w:t>
      </w:r>
      <w:proofErr w:type="spellEnd"/>
      <w:r w:rsidRPr="00225D4D">
        <w:t xml:space="preserve">, både i </w:t>
      </w:r>
      <w:proofErr w:type="spellStart"/>
      <w:r w:rsidRPr="00225D4D">
        <w:t>breidde</w:t>
      </w:r>
      <w:proofErr w:type="spellEnd"/>
      <w:r w:rsidRPr="00225D4D">
        <w:t xml:space="preserve"> og omfang. Samtidig </w:t>
      </w:r>
      <w:proofErr w:type="spellStart"/>
      <w:r w:rsidRPr="00225D4D">
        <w:t>peikar</w:t>
      </w:r>
      <w:proofErr w:type="spellEnd"/>
      <w:r w:rsidRPr="00225D4D">
        <w:t xml:space="preserve"> Draghi-rapporten </w:t>
      </w:r>
      <w:r w:rsidRPr="00225D4D">
        <w:rPr>
          <w:rStyle w:val="kursiv"/>
        </w:rPr>
        <w:t xml:space="preserve">The </w:t>
      </w:r>
      <w:proofErr w:type="spellStart"/>
      <w:r w:rsidRPr="00225D4D">
        <w:rPr>
          <w:rStyle w:val="kursiv"/>
        </w:rPr>
        <w:t>future</w:t>
      </w:r>
      <w:proofErr w:type="spellEnd"/>
      <w:r w:rsidRPr="00225D4D">
        <w:rPr>
          <w:rStyle w:val="kursiv"/>
        </w:rPr>
        <w:t xml:space="preserve"> </w:t>
      </w:r>
      <w:proofErr w:type="spellStart"/>
      <w:r w:rsidRPr="00225D4D">
        <w:rPr>
          <w:rStyle w:val="kursiv"/>
        </w:rPr>
        <w:t>of</w:t>
      </w:r>
      <w:proofErr w:type="spellEnd"/>
      <w:r w:rsidRPr="00225D4D">
        <w:rPr>
          <w:rStyle w:val="kursiv"/>
        </w:rPr>
        <w:t xml:space="preserve"> European </w:t>
      </w:r>
      <w:proofErr w:type="spellStart"/>
      <w:r w:rsidRPr="00225D4D">
        <w:rPr>
          <w:rStyle w:val="kursiv"/>
        </w:rPr>
        <w:t>competitiveness</w:t>
      </w:r>
      <w:proofErr w:type="spellEnd"/>
      <w:r w:rsidRPr="00225D4D">
        <w:t xml:space="preserve"> på at </w:t>
      </w:r>
      <w:proofErr w:type="spellStart"/>
      <w:r w:rsidRPr="00225D4D">
        <w:t>Noreg</w:t>
      </w:r>
      <w:proofErr w:type="spellEnd"/>
      <w:r w:rsidRPr="00225D4D">
        <w:t xml:space="preserve"> ligg etter </w:t>
      </w:r>
      <w:proofErr w:type="spellStart"/>
      <w:r w:rsidRPr="00225D4D">
        <w:t>samanliknbare</w:t>
      </w:r>
      <w:proofErr w:type="spellEnd"/>
      <w:r w:rsidRPr="00225D4D">
        <w:t xml:space="preserve"> land når det </w:t>
      </w:r>
      <w:proofErr w:type="spellStart"/>
      <w:r w:rsidRPr="00225D4D">
        <w:t>gjeld</w:t>
      </w:r>
      <w:proofErr w:type="spellEnd"/>
      <w:r w:rsidRPr="00225D4D">
        <w:t xml:space="preserve"> kommersialisering.</w:t>
      </w:r>
    </w:p>
    <w:p w14:paraId="10373F3C" w14:textId="77777777" w:rsidR="00D60186" w:rsidRPr="00225D4D" w:rsidRDefault="00D60186" w:rsidP="00225D4D">
      <w:r w:rsidRPr="00225D4D">
        <w:t xml:space="preserve">Forskingsrådet </w:t>
      </w:r>
      <w:proofErr w:type="spellStart"/>
      <w:r w:rsidRPr="00225D4D">
        <w:t>koplar</w:t>
      </w:r>
      <w:proofErr w:type="spellEnd"/>
      <w:r w:rsidRPr="00225D4D">
        <w:t xml:space="preserve"> forskingsmiljø med næringsliv, </w:t>
      </w:r>
      <w:proofErr w:type="spellStart"/>
      <w:r w:rsidRPr="00225D4D">
        <w:t>investorar</w:t>
      </w:r>
      <w:proofErr w:type="spellEnd"/>
      <w:r w:rsidRPr="00225D4D">
        <w:t xml:space="preserve">, </w:t>
      </w:r>
      <w:proofErr w:type="spellStart"/>
      <w:r w:rsidRPr="00225D4D">
        <w:t>klyngjer</w:t>
      </w:r>
      <w:proofErr w:type="spellEnd"/>
      <w:r w:rsidRPr="00225D4D">
        <w:t xml:space="preserve"> og EU-</w:t>
      </w:r>
      <w:proofErr w:type="spellStart"/>
      <w:r w:rsidRPr="00225D4D">
        <w:t>partnarar</w:t>
      </w:r>
      <w:proofErr w:type="spellEnd"/>
      <w:r w:rsidRPr="00225D4D">
        <w:t xml:space="preserve"> gjennom nasjonale og internasjonale nettverk. Dette </w:t>
      </w:r>
      <w:proofErr w:type="spellStart"/>
      <w:r w:rsidRPr="00225D4D">
        <w:t>fremjar</w:t>
      </w:r>
      <w:proofErr w:type="spellEnd"/>
      <w:r w:rsidRPr="00225D4D">
        <w:t xml:space="preserve"> kunnskapsoverføring og gir tilgang til kompetanse, </w:t>
      </w:r>
      <w:proofErr w:type="spellStart"/>
      <w:r w:rsidRPr="00225D4D">
        <w:t>ressursar</w:t>
      </w:r>
      <w:proofErr w:type="spellEnd"/>
      <w:r w:rsidRPr="00225D4D">
        <w:t xml:space="preserve"> og infrastruktur. Samtidig samarbeider Forskingsrådet tett med </w:t>
      </w:r>
      <w:proofErr w:type="spellStart"/>
      <w:r w:rsidRPr="00225D4D">
        <w:t>aktørar</w:t>
      </w:r>
      <w:proofErr w:type="spellEnd"/>
      <w:r w:rsidRPr="00225D4D">
        <w:t xml:space="preserve"> som Innovasjon </w:t>
      </w:r>
      <w:proofErr w:type="spellStart"/>
      <w:r w:rsidRPr="00225D4D">
        <w:t>Noreg</w:t>
      </w:r>
      <w:proofErr w:type="spellEnd"/>
      <w:r w:rsidRPr="00225D4D">
        <w:t xml:space="preserve">, Siva, </w:t>
      </w:r>
      <w:proofErr w:type="spellStart"/>
      <w:r w:rsidRPr="00225D4D">
        <w:t>Enova</w:t>
      </w:r>
      <w:proofErr w:type="spellEnd"/>
      <w:r w:rsidRPr="00225D4D">
        <w:t xml:space="preserve">, </w:t>
      </w:r>
      <w:proofErr w:type="spellStart"/>
      <w:r w:rsidRPr="00225D4D">
        <w:t>Investinor</w:t>
      </w:r>
      <w:proofErr w:type="spellEnd"/>
      <w:r w:rsidRPr="00225D4D">
        <w:t xml:space="preserve">, Nysnø og EU for å styrke </w:t>
      </w:r>
      <w:proofErr w:type="spellStart"/>
      <w:r w:rsidRPr="00225D4D">
        <w:t>verdikjeda</w:t>
      </w:r>
      <w:proofErr w:type="spellEnd"/>
      <w:r w:rsidRPr="00225D4D">
        <w:t xml:space="preserve"> </w:t>
      </w:r>
      <w:proofErr w:type="spellStart"/>
      <w:r w:rsidRPr="00225D4D">
        <w:t>frå</w:t>
      </w:r>
      <w:proofErr w:type="spellEnd"/>
      <w:r w:rsidRPr="00225D4D">
        <w:t xml:space="preserve"> forsking til </w:t>
      </w:r>
      <w:proofErr w:type="spellStart"/>
      <w:r w:rsidRPr="00225D4D">
        <w:t>marknad</w:t>
      </w:r>
      <w:proofErr w:type="spellEnd"/>
      <w:r w:rsidRPr="00225D4D">
        <w:t xml:space="preserve">. Saman med Innovasjon </w:t>
      </w:r>
      <w:proofErr w:type="spellStart"/>
      <w:r w:rsidRPr="00225D4D">
        <w:t>Noreg</w:t>
      </w:r>
      <w:proofErr w:type="spellEnd"/>
      <w:r w:rsidRPr="00225D4D">
        <w:t xml:space="preserve"> har Forskingsrådet òg framheva behovet for ei norsk akseleratorordning etter europeisk modell, for å skalere framtidas </w:t>
      </w:r>
      <w:proofErr w:type="spellStart"/>
      <w:r w:rsidRPr="00225D4D">
        <w:t>idear</w:t>
      </w:r>
      <w:proofErr w:type="spellEnd"/>
      <w:r w:rsidRPr="00225D4D">
        <w:t xml:space="preserve"> og bedrifter.</w:t>
      </w:r>
    </w:p>
    <w:p w14:paraId="32818E48"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2F3C1D73" w14:textId="77777777" w:rsidR="00D60186" w:rsidRPr="00225D4D" w:rsidRDefault="00D60186" w:rsidP="00225D4D">
      <w:pPr>
        <w:pStyle w:val="avsnitt-tittel"/>
      </w:pPr>
      <w:r w:rsidRPr="00225D4D">
        <w:t xml:space="preserve">Styrke studentinvolvering i forsking og </w:t>
      </w:r>
      <w:proofErr w:type="spellStart"/>
      <w:r w:rsidRPr="00225D4D">
        <w:t>studentdrivne</w:t>
      </w:r>
      <w:proofErr w:type="spellEnd"/>
      <w:r w:rsidRPr="00225D4D">
        <w:t xml:space="preserve"> forskings- og innovasjonsprosjekt</w:t>
      </w:r>
    </w:p>
    <w:p w14:paraId="30428E95" w14:textId="77777777" w:rsidR="00D60186" w:rsidRPr="00225D4D" w:rsidRDefault="00D60186" w:rsidP="00225D4D">
      <w:pPr>
        <w:pStyle w:val="avsnitt-undertittel"/>
      </w:pPr>
      <w:r w:rsidRPr="00225D4D">
        <w:t>Vedtak nr. 738, 26. mai 2025:</w:t>
      </w:r>
    </w:p>
    <w:p w14:paraId="0464C0C0" w14:textId="77777777" w:rsidR="00D60186" w:rsidRPr="00225D4D" w:rsidRDefault="00D60186" w:rsidP="00225D4D">
      <w:pPr>
        <w:pStyle w:val="blokksit"/>
        <w:rPr>
          <w:rStyle w:val="kursiv"/>
        </w:rPr>
      </w:pPr>
      <w:r w:rsidRPr="00225D4D">
        <w:rPr>
          <w:rStyle w:val="kursiv"/>
        </w:rPr>
        <w:t>Stortinget ber regjeringen i oppfølgingen av Meld. St. 14 (2024–2025) vurdere tiltak for å styrke studentinvolvering i forskningen og å tilrettelegge for studentdrevne forsknings- og innovasjonsprosjekter.</w:t>
      </w:r>
    </w:p>
    <w:p w14:paraId="28433854"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14 (2024–2025) </w:t>
      </w:r>
      <w:r w:rsidRPr="00225D4D">
        <w:rPr>
          <w:rStyle w:val="kursiv"/>
        </w:rPr>
        <w:t>Sikker kunnskap i en usikker verden</w:t>
      </w:r>
      <w:r w:rsidRPr="00225D4D">
        <w:t xml:space="preserve">, jf. </w:t>
      </w:r>
      <w:proofErr w:type="spellStart"/>
      <w:r w:rsidRPr="00225D4D">
        <w:t>Innst</w:t>
      </w:r>
      <w:proofErr w:type="spellEnd"/>
      <w:r w:rsidRPr="00225D4D">
        <w:t>. 290 S (2024–2025).</w:t>
      </w:r>
    </w:p>
    <w:p w14:paraId="35D4B94C" w14:textId="77777777" w:rsidR="00D60186" w:rsidRPr="00225D4D" w:rsidRDefault="00D60186" w:rsidP="00225D4D">
      <w:r w:rsidRPr="00225D4D">
        <w:t xml:space="preserve">Involvering av </w:t>
      </w:r>
      <w:proofErr w:type="spellStart"/>
      <w:r w:rsidRPr="00225D4D">
        <w:t>studentar</w:t>
      </w:r>
      <w:proofErr w:type="spellEnd"/>
      <w:r w:rsidRPr="00225D4D">
        <w:t xml:space="preserve"> i forsking er </w:t>
      </w:r>
      <w:proofErr w:type="spellStart"/>
      <w:r w:rsidRPr="00225D4D">
        <w:t>ein</w:t>
      </w:r>
      <w:proofErr w:type="spellEnd"/>
      <w:r w:rsidRPr="00225D4D">
        <w:t xml:space="preserve"> av </w:t>
      </w:r>
      <w:proofErr w:type="spellStart"/>
      <w:r w:rsidRPr="00225D4D">
        <w:t>fleire</w:t>
      </w:r>
      <w:proofErr w:type="spellEnd"/>
      <w:r w:rsidRPr="00225D4D">
        <w:t xml:space="preserve"> </w:t>
      </w:r>
      <w:proofErr w:type="spellStart"/>
      <w:r w:rsidRPr="00225D4D">
        <w:t>måtar</w:t>
      </w:r>
      <w:proofErr w:type="spellEnd"/>
      <w:r w:rsidRPr="00225D4D">
        <w:t xml:space="preserve"> å realisere den </w:t>
      </w:r>
      <w:proofErr w:type="spellStart"/>
      <w:r w:rsidRPr="00225D4D">
        <w:t>grunnleggande</w:t>
      </w:r>
      <w:proofErr w:type="spellEnd"/>
      <w:r w:rsidRPr="00225D4D">
        <w:t xml:space="preserve"> tanken om forskingsbasert </w:t>
      </w:r>
      <w:proofErr w:type="spellStart"/>
      <w:r w:rsidRPr="00225D4D">
        <w:t>høgare</w:t>
      </w:r>
      <w:proofErr w:type="spellEnd"/>
      <w:r w:rsidRPr="00225D4D">
        <w:t xml:space="preserve"> utdanning på. Slik involvering skjer i ulike former, avhengig av blant anna </w:t>
      </w:r>
      <w:proofErr w:type="spellStart"/>
      <w:r w:rsidRPr="00225D4D">
        <w:t>fagtradisjonar</w:t>
      </w:r>
      <w:proofErr w:type="spellEnd"/>
      <w:r w:rsidRPr="00225D4D">
        <w:t xml:space="preserve">. Departementet vil vurdere behov for tiltak for </w:t>
      </w:r>
      <w:proofErr w:type="spellStart"/>
      <w:r w:rsidRPr="00225D4D">
        <w:t>auka</w:t>
      </w:r>
      <w:proofErr w:type="spellEnd"/>
      <w:r w:rsidRPr="00225D4D">
        <w:t xml:space="preserve"> studentinvolvering basert på informasjon om status, blant anna </w:t>
      </w:r>
      <w:proofErr w:type="spellStart"/>
      <w:r w:rsidRPr="00225D4D">
        <w:t>frå</w:t>
      </w:r>
      <w:proofErr w:type="spellEnd"/>
      <w:r w:rsidRPr="00225D4D">
        <w:t xml:space="preserve"> Studiebarometeret.</w:t>
      </w:r>
    </w:p>
    <w:p w14:paraId="3CD556BA" w14:textId="77777777" w:rsidR="00D60186" w:rsidRPr="00225D4D" w:rsidRDefault="00D60186" w:rsidP="00225D4D">
      <w:r w:rsidRPr="00225D4D">
        <w:t>Vedtaket er under behandling.</w:t>
      </w:r>
    </w:p>
    <w:p w14:paraId="5F6CE74C" w14:textId="77777777" w:rsidR="00D60186" w:rsidRPr="00225D4D" w:rsidRDefault="00D60186" w:rsidP="00225D4D">
      <w:pPr>
        <w:pStyle w:val="avsnitt-tittel"/>
      </w:pPr>
      <w:r w:rsidRPr="00225D4D">
        <w:t>Knyte studiestøtte til grunnbeløpet i folketrygda</w:t>
      </w:r>
    </w:p>
    <w:p w14:paraId="6FF2449E" w14:textId="77777777" w:rsidR="00D60186" w:rsidRPr="00225D4D" w:rsidRDefault="00D60186" w:rsidP="00225D4D">
      <w:pPr>
        <w:pStyle w:val="avsnitt-undertittel"/>
      </w:pPr>
      <w:r w:rsidRPr="00225D4D">
        <w:t>Vedtak nr. 741, 26. mai 2025:</w:t>
      </w:r>
    </w:p>
    <w:p w14:paraId="3C3F64D3" w14:textId="77777777" w:rsidR="00D60186" w:rsidRPr="00225D4D" w:rsidRDefault="00D60186" w:rsidP="00225D4D">
      <w:pPr>
        <w:pStyle w:val="blokksit"/>
        <w:rPr>
          <w:rStyle w:val="kursiv"/>
        </w:rPr>
      </w:pPr>
      <w:r w:rsidRPr="00225D4D">
        <w:rPr>
          <w:rStyle w:val="kursiv"/>
        </w:rPr>
        <w:t>Stortinget ber regjeringen om å fremme forslag om å knytte studiestøtten til grunnbeløpet i folketrygden, med innføring kommende stortingsperiode.</w:t>
      </w:r>
    </w:p>
    <w:p w14:paraId="670BBD34"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8:182 S (2024–2025) </w:t>
      </w:r>
      <w:r w:rsidRPr="00225D4D">
        <w:rPr>
          <w:rStyle w:val="kursiv"/>
        </w:rPr>
        <w:t xml:space="preserve">Representantforslag fra stortingsrepresentantene Grete Wold, Kari Elisabeth </w:t>
      </w:r>
      <w:proofErr w:type="spellStart"/>
      <w:r w:rsidRPr="00225D4D">
        <w:rPr>
          <w:rStyle w:val="kursiv"/>
        </w:rPr>
        <w:t>Kaski</w:t>
      </w:r>
      <w:proofErr w:type="spellEnd"/>
      <w:r w:rsidRPr="00225D4D">
        <w:rPr>
          <w:rStyle w:val="kursiv"/>
        </w:rPr>
        <w:t xml:space="preserve"> og Kathy Lie om å knytte studiestøtten til grunnbeløpet i folketrygden</w:t>
      </w:r>
      <w:r w:rsidRPr="00225D4D">
        <w:t xml:space="preserve">, jf. </w:t>
      </w:r>
      <w:proofErr w:type="spellStart"/>
      <w:r w:rsidRPr="00225D4D">
        <w:t>Innst</w:t>
      </w:r>
      <w:proofErr w:type="spellEnd"/>
      <w:r w:rsidRPr="00225D4D">
        <w:t>. 320 S (2024–2025).</w:t>
      </w:r>
    </w:p>
    <w:p w14:paraId="486669D4" w14:textId="77777777" w:rsidR="00D60186" w:rsidRPr="00225D4D" w:rsidRDefault="00D60186" w:rsidP="00225D4D">
      <w:r w:rsidRPr="00225D4D">
        <w:t xml:space="preserve">For studieåret 2025–26 er basislånet på 166 859 kroner. Det er </w:t>
      </w:r>
      <w:proofErr w:type="spellStart"/>
      <w:r w:rsidRPr="00225D4D">
        <w:t>ein</w:t>
      </w:r>
      <w:proofErr w:type="spellEnd"/>
      <w:r w:rsidRPr="00225D4D">
        <w:t xml:space="preserve"> </w:t>
      </w:r>
      <w:proofErr w:type="spellStart"/>
      <w:r w:rsidRPr="00225D4D">
        <w:t>auke</w:t>
      </w:r>
      <w:proofErr w:type="spellEnd"/>
      <w:r w:rsidRPr="00225D4D">
        <w:t xml:space="preserve"> på 40 500 kroner </w:t>
      </w:r>
      <w:proofErr w:type="spellStart"/>
      <w:r w:rsidRPr="00225D4D">
        <w:t>sidan</w:t>
      </w:r>
      <w:proofErr w:type="spellEnd"/>
      <w:r w:rsidRPr="00225D4D">
        <w:t xml:space="preserve"> studieåret 2021–22. Endringa har gitt </w:t>
      </w:r>
      <w:proofErr w:type="spellStart"/>
      <w:r w:rsidRPr="00225D4D">
        <w:t>studentane</w:t>
      </w:r>
      <w:proofErr w:type="spellEnd"/>
      <w:r w:rsidRPr="00225D4D">
        <w:t xml:space="preserve"> 3 600 kroner </w:t>
      </w:r>
      <w:proofErr w:type="spellStart"/>
      <w:r w:rsidRPr="00225D4D">
        <w:t>meir</w:t>
      </w:r>
      <w:proofErr w:type="spellEnd"/>
      <w:r w:rsidRPr="00225D4D">
        <w:t xml:space="preserve"> i </w:t>
      </w:r>
      <w:proofErr w:type="spellStart"/>
      <w:r w:rsidRPr="00225D4D">
        <w:t>månaden</w:t>
      </w:r>
      <w:proofErr w:type="spellEnd"/>
      <w:r w:rsidRPr="00225D4D">
        <w:t xml:space="preserve">. Basislånet har </w:t>
      </w:r>
      <w:proofErr w:type="spellStart"/>
      <w:r w:rsidRPr="00225D4D">
        <w:t>auka</w:t>
      </w:r>
      <w:proofErr w:type="spellEnd"/>
      <w:r w:rsidRPr="00225D4D">
        <w:t xml:space="preserve"> </w:t>
      </w:r>
      <w:proofErr w:type="spellStart"/>
      <w:r w:rsidRPr="00225D4D">
        <w:t>meir</w:t>
      </w:r>
      <w:proofErr w:type="spellEnd"/>
      <w:r w:rsidRPr="00225D4D">
        <w:t xml:space="preserve"> enn grunnbeløpet i folketrygda (G) i løpet av </w:t>
      </w:r>
      <w:proofErr w:type="spellStart"/>
      <w:r w:rsidRPr="00225D4D">
        <w:t>dei</w:t>
      </w:r>
      <w:proofErr w:type="spellEnd"/>
      <w:r w:rsidRPr="00225D4D">
        <w:t xml:space="preserve"> siste ti åra. I 2015–16 svarte basislånet til 1,12 G, </w:t>
      </w:r>
      <w:proofErr w:type="spellStart"/>
      <w:r w:rsidRPr="00225D4D">
        <w:t>medan</w:t>
      </w:r>
      <w:proofErr w:type="spellEnd"/>
      <w:r w:rsidRPr="00225D4D">
        <w:t xml:space="preserve"> det i 2025–26 er på 1,28 G.</w:t>
      </w:r>
    </w:p>
    <w:p w14:paraId="1BF6C01C"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6434C0B2" w14:textId="77777777" w:rsidR="00D60186" w:rsidRPr="00225D4D" w:rsidRDefault="00D60186" w:rsidP="00225D4D">
      <w:pPr>
        <w:pStyle w:val="avsnitt-tittel"/>
      </w:pPr>
      <w:r w:rsidRPr="00225D4D">
        <w:t>Inkludering av det samiske KI-arbeidet i satsinga på forskingssenter for kunstig intelligens</w:t>
      </w:r>
    </w:p>
    <w:p w14:paraId="56D1544A" w14:textId="77777777" w:rsidR="00D60186" w:rsidRPr="00225D4D" w:rsidRDefault="00D60186" w:rsidP="00225D4D">
      <w:pPr>
        <w:pStyle w:val="avsnitt-undertittel"/>
      </w:pPr>
      <w:r w:rsidRPr="00225D4D">
        <w:t>Vedtak nr. 875, 4. juni 2025:</w:t>
      </w:r>
    </w:p>
    <w:p w14:paraId="379B7CBD" w14:textId="77777777" w:rsidR="00D60186" w:rsidRPr="00225D4D" w:rsidRDefault="00D60186" w:rsidP="00225D4D">
      <w:pPr>
        <w:pStyle w:val="blokksit"/>
        <w:rPr>
          <w:rStyle w:val="kursiv"/>
        </w:rPr>
      </w:pPr>
      <w:r w:rsidRPr="00225D4D">
        <w:rPr>
          <w:rStyle w:val="kursiv"/>
        </w:rPr>
        <w:t>Stortinget ber regjeringen sørge for at det samiske KI-arbeidet blir inkludert i Forskningsrådets satsning på forskningssentre for kunstig intelligens (KI-sentre).</w:t>
      </w:r>
    </w:p>
    <w:p w14:paraId="630D410A"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17 (2024–2025) </w:t>
      </w:r>
      <w:r w:rsidRPr="00225D4D">
        <w:rPr>
          <w:rStyle w:val="kursiv"/>
        </w:rPr>
        <w:t xml:space="preserve">Samisk språk, kultur og samfunnsliv – Kommunale </w:t>
      </w:r>
      <w:proofErr w:type="spellStart"/>
      <w:r w:rsidRPr="00225D4D">
        <w:rPr>
          <w:rStyle w:val="kursiv"/>
        </w:rPr>
        <w:t>tenestetilbod</w:t>
      </w:r>
      <w:proofErr w:type="spellEnd"/>
      <w:r w:rsidRPr="00225D4D">
        <w:rPr>
          <w:rStyle w:val="kursiv"/>
        </w:rPr>
        <w:t xml:space="preserve"> til samiske </w:t>
      </w:r>
      <w:proofErr w:type="spellStart"/>
      <w:r w:rsidRPr="00225D4D">
        <w:rPr>
          <w:rStyle w:val="kursiv"/>
        </w:rPr>
        <w:t>innbyggarar</w:t>
      </w:r>
      <w:proofErr w:type="spellEnd"/>
      <w:r w:rsidRPr="00225D4D">
        <w:t xml:space="preserve">, jf. </w:t>
      </w:r>
      <w:proofErr w:type="spellStart"/>
      <w:r w:rsidRPr="00225D4D">
        <w:t>Innst</w:t>
      </w:r>
      <w:proofErr w:type="spellEnd"/>
      <w:r w:rsidRPr="00225D4D">
        <w:t xml:space="preserve">. 408 S (2024–2025). </w:t>
      </w:r>
      <w:proofErr w:type="spellStart"/>
      <w:r w:rsidRPr="00225D4D">
        <w:t>Mindretalsforslaget</w:t>
      </w:r>
      <w:proofErr w:type="spellEnd"/>
      <w:r w:rsidRPr="00225D4D">
        <w:t xml:space="preserve"> </w:t>
      </w:r>
      <w:proofErr w:type="spellStart"/>
      <w:r w:rsidRPr="00225D4D">
        <w:t>frå</w:t>
      </w:r>
      <w:proofErr w:type="spellEnd"/>
      <w:r w:rsidRPr="00225D4D">
        <w:t xml:space="preserve"> H, SV og </w:t>
      </w:r>
      <w:proofErr w:type="spellStart"/>
      <w:r w:rsidRPr="00225D4D">
        <w:t>Raudt</w:t>
      </w:r>
      <w:proofErr w:type="spellEnd"/>
      <w:r w:rsidRPr="00225D4D">
        <w:t xml:space="preserve"> </w:t>
      </w:r>
      <w:proofErr w:type="spellStart"/>
      <w:r w:rsidRPr="00225D4D">
        <w:t>fekk</w:t>
      </w:r>
      <w:proofErr w:type="spellEnd"/>
      <w:r w:rsidRPr="00225D4D">
        <w:t xml:space="preserve"> støtte </w:t>
      </w:r>
      <w:proofErr w:type="spellStart"/>
      <w:r w:rsidRPr="00225D4D">
        <w:t>frå</w:t>
      </w:r>
      <w:proofErr w:type="spellEnd"/>
      <w:r w:rsidRPr="00225D4D">
        <w:t xml:space="preserve"> Sp, og dermed </w:t>
      </w:r>
      <w:proofErr w:type="spellStart"/>
      <w:r w:rsidRPr="00225D4D">
        <w:t>fleirtal</w:t>
      </w:r>
      <w:proofErr w:type="spellEnd"/>
      <w:r w:rsidRPr="00225D4D">
        <w:t xml:space="preserve">. Dei seks </w:t>
      </w:r>
      <w:proofErr w:type="spellStart"/>
      <w:r w:rsidRPr="00225D4D">
        <w:t>forskingssentera</w:t>
      </w:r>
      <w:proofErr w:type="spellEnd"/>
      <w:r w:rsidRPr="00225D4D">
        <w:t xml:space="preserve"> for kunstig intelligens blei </w:t>
      </w:r>
      <w:proofErr w:type="spellStart"/>
      <w:r w:rsidRPr="00225D4D">
        <w:t>utpeikt</w:t>
      </w:r>
      <w:proofErr w:type="spellEnd"/>
      <w:r w:rsidRPr="00225D4D">
        <w:t xml:space="preserve"> av </w:t>
      </w:r>
      <w:proofErr w:type="spellStart"/>
      <w:r w:rsidRPr="00225D4D">
        <w:t>Noregs</w:t>
      </w:r>
      <w:proofErr w:type="spellEnd"/>
      <w:r w:rsidRPr="00225D4D">
        <w:t xml:space="preserve"> forskingsråds porteføljestyre for </w:t>
      </w:r>
      <w:proofErr w:type="spellStart"/>
      <w:r w:rsidRPr="00225D4D">
        <w:t>mogleggjerande</w:t>
      </w:r>
      <w:proofErr w:type="spellEnd"/>
      <w:r w:rsidRPr="00225D4D">
        <w:t xml:space="preserve"> </w:t>
      </w:r>
      <w:proofErr w:type="spellStart"/>
      <w:r w:rsidRPr="00225D4D">
        <w:t>teknologiar</w:t>
      </w:r>
      <w:proofErr w:type="spellEnd"/>
      <w:r w:rsidRPr="00225D4D">
        <w:t xml:space="preserve"> i møte 10. juni, altså </w:t>
      </w:r>
      <w:proofErr w:type="spellStart"/>
      <w:r w:rsidRPr="00225D4D">
        <w:t>berre</w:t>
      </w:r>
      <w:proofErr w:type="spellEnd"/>
      <w:r w:rsidRPr="00225D4D">
        <w:t xml:space="preserve"> seks </w:t>
      </w:r>
      <w:proofErr w:type="spellStart"/>
      <w:r w:rsidRPr="00225D4D">
        <w:t>dagar</w:t>
      </w:r>
      <w:proofErr w:type="spellEnd"/>
      <w:r w:rsidRPr="00225D4D">
        <w:t xml:space="preserve"> etter Stortingets vedtak. Det var derfor </w:t>
      </w:r>
      <w:proofErr w:type="spellStart"/>
      <w:r w:rsidRPr="00225D4D">
        <w:t>ikkje</w:t>
      </w:r>
      <w:proofErr w:type="spellEnd"/>
      <w:r w:rsidRPr="00225D4D">
        <w:t xml:space="preserve"> </w:t>
      </w:r>
      <w:proofErr w:type="spellStart"/>
      <w:r w:rsidRPr="00225D4D">
        <w:t>mogleg</w:t>
      </w:r>
      <w:proofErr w:type="spellEnd"/>
      <w:r w:rsidRPr="00225D4D">
        <w:t xml:space="preserve"> for Forskingsrådet å ta omsyn til Stortingets vedtak i </w:t>
      </w:r>
      <w:proofErr w:type="spellStart"/>
      <w:r w:rsidRPr="00225D4D">
        <w:t>si</w:t>
      </w:r>
      <w:proofErr w:type="spellEnd"/>
      <w:r w:rsidRPr="00225D4D">
        <w:t xml:space="preserve"> behandling av saka. Departementet viser òg til at Forskingsrådet gjennom vedtektene har </w:t>
      </w:r>
      <w:proofErr w:type="spellStart"/>
      <w:r w:rsidRPr="00225D4D">
        <w:t>fagleg</w:t>
      </w:r>
      <w:proofErr w:type="spellEnd"/>
      <w:r w:rsidRPr="00225D4D">
        <w:t xml:space="preserve"> autonomi i forvaltninga av </w:t>
      </w:r>
      <w:proofErr w:type="spellStart"/>
      <w:r w:rsidRPr="00225D4D">
        <w:t>tilskot</w:t>
      </w:r>
      <w:proofErr w:type="spellEnd"/>
      <w:r w:rsidRPr="00225D4D">
        <w:t xml:space="preserve">, og at det er tverrpolitisk </w:t>
      </w:r>
      <w:proofErr w:type="spellStart"/>
      <w:r w:rsidRPr="00225D4D">
        <w:t>einigheit</w:t>
      </w:r>
      <w:proofErr w:type="spellEnd"/>
      <w:r w:rsidRPr="00225D4D">
        <w:t xml:space="preserve"> om denne autonomien. Departementet kunne derfor </w:t>
      </w:r>
      <w:proofErr w:type="spellStart"/>
      <w:r w:rsidRPr="00225D4D">
        <w:t>ikkje</w:t>
      </w:r>
      <w:proofErr w:type="spellEnd"/>
      <w:r w:rsidRPr="00225D4D">
        <w:t xml:space="preserve"> ha instruert Forskingsrådet om å </w:t>
      </w:r>
      <w:proofErr w:type="spellStart"/>
      <w:r w:rsidRPr="00225D4D">
        <w:t>utpeike</w:t>
      </w:r>
      <w:proofErr w:type="spellEnd"/>
      <w:r w:rsidRPr="00225D4D">
        <w:t xml:space="preserve"> </w:t>
      </w:r>
      <w:proofErr w:type="spellStart"/>
      <w:r w:rsidRPr="00225D4D">
        <w:t>eit</w:t>
      </w:r>
      <w:proofErr w:type="spellEnd"/>
      <w:r w:rsidRPr="00225D4D">
        <w:t xml:space="preserve"> senter som hadde samiske </w:t>
      </w:r>
      <w:proofErr w:type="spellStart"/>
      <w:r w:rsidRPr="00225D4D">
        <w:t>partnarar</w:t>
      </w:r>
      <w:proofErr w:type="spellEnd"/>
      <w:r w:rsidRPr="00225D4D">
        <w:t xml:space="preserve">. Intensjonen i vedtaket er likevel </w:t>
      </w:r>
      <w:proofErr w:type="spellStart"/>
      <w:r w:rsidRPr="00225D4D">
        <w:t>vareteken</w:t>
      </w:r>
      <w:proofErr w:type="spellEnd"/>
      <w:r w:rsidRPr="00225D4D">
        <w:t xml:space="preserve"> i og med at samiske miljø hadde </w:t>
      </w:r>
      <w:proofErr w:type="spellStart"/>
      <w:r w:rsidRPr="00225D4D">
        <w:t>vore</w:t>
      </w:r>
      <w:proofErr w:type="spellEnd"/>
      <w:r w:rsidRPr="00225D4D">
        <w:t xml:space="preserve"> med på </w:t>
      </w:r>
      <w:proofErr w:type="spellStart"/>
      <w:r w:rsidRPr="00225D4D">
        <w:t>fleire</w:t>
      </w:r>
      <w:proofErr w:type="spellEnd"/>
      <w:r w:rsidRPr="00225D4D">
        <w:t xml:space="preserve"> av søknadene, også </w:t>
      </w:r>
      <w:proofErr w:type="spellStart"/>
      <w:r w:rsidRPr="00225D4D">
        <w:t>nokre</w:t>
      </w:r>
      <w:proofErr w:type="spellEnd"/>
      <w:r w:rsidRPr="00225D4D">
        <w:t xml:space="preserve"> av </w:t>
      </w:r>
      <w:proofErr w:type="spellStart"/>
      <w:r w:rsidRPr="00225D4D">
        <w:t>dei</w:t>
      </w:r>
      <w:proofErr w:type="spellEnd"/>
      <w:r w:rsidRPr="00225D4D">
        <w:t xml:space="preserve"> som var med i siste runde av saksbehandlinga. Departementet viser samstundes til at regjeringa foreslår å løyve 1 mill. kroner til samisk kunstig intelligens, jf. </w:t>
      </w:r>
      <w:proofErr w:type="spellStart"/>
      <w:r w:rsidRPr="00225D4D">
        <w:t>Prop</w:t>
      </w:r>
      <w:proofErr w:type="spellEnd"/>
      <w:r w:rsidRPr="00225D4D">
        <w:t xml:space="preserve">. 1 S (2025–2026) for Kommunal- og </w:t>
      </w:r>
      <w:proofErr w:type="spellStart"/>
      <w:r w:rsidRPr="00225D4D">
        <w:t>distriktsdepartementet</w:t>
      </w:r>
      <w:proofErr w:type="spellEnd"/>
      <w:r w:rsidRPr="00225D4D">
        <w:t>.</w:t>
      </w:r>
    </w:p>
    <w:p w14:paraId="0E85096F"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20C790E9" w14:textId="77777777" w:rsidR="00D60186" w:rsidRPr="00225D4D" w:rsidRDefault="00D60186" w:rsidP="00225D4D">
      <w:pPr>
        <w:pStyle w:val="avsnitt-tittel"/>
      </w:pPr>
      <w:r w:rsidRPr="00225D4D">
        <w:t xml:space="preserve">Opprette nytt bransjeprogram for </w:t>
      </w:r>
      <w:proofErr w:type="gramStart"/>
      <w:r w:rsidRPr="00225D4D">
        <w:t>tilsette</w:t>
      </w:r>
      <w:proofErr w:type="gramEnd"/>
      <w:r w:rsidRPr="00225D4D">
        <w:t xml:space="preserve"> i barnehagesektoren</w:t>
      </w:r>
    </w:p>
    <w:p w14:paraId="230F0D38" w14:textId="77777777" w:rsidR="00D60186" w:rsidRPr="00225D4D" w:rsidRDefault="00D60186" w:rsidP="00225D4D">
      <w:pPr>
        <w:pStyle w:val="avsnitt-undertittel"/>
      </w:pPr>
      <w:r w:rsidRPr="00225D4D">
        <w:t>Vedtak nr. 1251, 20. juni 2025:</w:t>
      </w:r>
    </w:p>
    <w:p w14:paraId="137AD744" w14:textId="77777777" w:rsidR="00D60186" w:rsidRPr="00225D4D" w:rsidRDefault="00D60186" w:rsidP="00225D4D">
      <w:pPr>
        <w:pStyle w:val="blokksit"/>
        <w:rPr>
          <w:rStyle w:val="kursiv"/>
        </w:rPr>
      </w:pPr>
      <w:r w:rsidRPr="00225D4D">
        <w:rPr>
          <w:rStyle w:val="kursiv"/>
        </w:rPr>
        <w:t>Stortinget ber regjeringen opprette et nytt bransjeprogram for ansatte i barnehagesektoren som får en varighet på tre år og innrettes for ansatte i barnehage. Målet med bransjeprogrammet skal være å styrke fagskoleutdanningen i sektoren, sikre høy kvalitet i tjenestene og møte de spesifikke behovene til barnehagebarn.</w:t>
      </w:r>
    </w:p>
    <w:p w14:paraId="6AA10ED6"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146 S (2024–2025) </w:t>
      </w:r>
      <w:r w:rsidRPr="00225D4D">
        <w:rPr>
          <w:rStyle w:val="kursiv"/>
        </w:rPr>
        <w:t>Tilleggsbevilgninger og omprioriteringer i statsbudsjettet 2025</w:t>
      </w:r>
      <w:r w:rsidRPr="00225D4D">
        <w:t xml:space="preserve">, jf. </w:t>
      </w:r>
      <w:proofErr w:type="spellStart"/>
      <w:r w:rsidRPr="00225D4D">
        <w:t>Innst</w:t>
      </w:r>
      <w:proofErr w:type="spellEnd"/>
      <w:r w:rsidRPr="00225D4D">
        <w:t>. 540 S (2024–2025).</w:t>
      </w:r>
    </w:p>
    <w:p w14:paraId="3FC31E5B" w14:textId="77777777" w:rsidR="00D60186" w:rsidRPr="00225D4D" w:rsidRDefault="00D60186" w:rsidP="00225D4D">
      <w:r w:rsidRPr="00225D4D">
        <w:t xml:space="preserve">I revidert budsjett for 2025 vart det løyvd 7,5 mill. kroner til </w:t>
      </w:r>
      <w:proofErr w:type="spellStart"/>
      <w:r w:rsidRPr="00225D4D">
        <w:t>eit</w:t>
      </w:r>
      <w:proofErr w:type="spellEnd"/>
      <w:r w:rsidRPr="00225D4D">
        <w:t xml:space="preserve"> bransjeprogram for </w:t>
      </w:r>
      <w:proofErr w:type="gramStart"/>
      <w:r w:rsidRPr="00225D4D">
        <w:t>tilsette</w:t>
      </w:r>
      <w:proofErr w:type="gramEnd"/>
      <w:r w:rsidRPr="00225D4D">
        <w:t xml:space="preserve"> i barnehagesektoren. Løyvinga får heilårseffekt i 2026, og departementet foreslår å løyve 15 mill. kroner til dette førmålet i 2026, sjå del II, programkategori 07.50 Kompetansepolitikk og livslang læring. Kvart bransjeprogram kan få </w:t>
      </w:r>
      <w:proofErr w:type="spellStart"/>
      <w:r w:rsidRPr="00225D4D">
        <w:t>tilsegn</w:t>
      </w:r>
      <w:proofErr w:type="spellEnd"/>
      <w:r w:rsidRPr="00225D4D">
        <w:t xml:space="preserve"> om </w:t>
      </w:r>
      <w:proofErr w:type="spellStart"/>
      <w:r w:rsidRPr="00225D4D">
        <w:t>tilskot</w:t>
      </w:r>
      <w:proofErr w:type="spellEnd"/>
      <w:r w:rsidRPr="00225D4D">
        <w:t xml:space="preserve"> i inntil tre år.</w:t>
      </w:r>
    </w:p>
    <w:p w14:paraId="3B705124"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5EE5A1E0" w14:textId="77777777" w:rsidR="00D60186" w:rsidRPr="00225D4D" w:rsidRDefault="00D60186" w:rsidP="00225D4D">
      <w:pPr>
        <w:pStyle w:val="Overskrift2"/>
      </w:pPr>
      <w:r w:rsidRPr="00225D4D">
        <w:t>Stortingssesjon 2023–2024</w:t>
      </w:r>
    </w:p>
    <w:p w14:paraId="2A7FF960" w14:textId="77777777" w:rsidR="00D60186" w:rsidRPr="00225D4D" w:rsidRDefault="00D60186" w:rsidP="00225D4D">
      <w:pPr>
        <w:pStyle w:val="Undertittel"/>
      </w:pPr>
      <w:r w:rsidRPr="00225D4D">
        <w:t>Oppmodingsvedtak under kunnskapsministeren</w:t>
      </w:r>
    </w:p>
    <w:p w14:paraId="0A8E9A0A" w14:textId="77777777" w:rsidR="00D60186" w:rsidRPr="00225D4D" w:rsidRDefault="00D60186" w:rsidP="00225D4D">
      <w:pPr>
        <w:pStyle w:val="avsnitt-tittel"/>
      </w:pPr>
      <w:r w:rsidRPr="00225D4D">
        <w:t xml:space="preserve">Hindre misbruk av </w:t>
      </w:r>
      <w:proofErr w:type="spellStart"/>
      <w:r w:rsidRPr="00225D4D">
        <w:t>personopplysningane</w:t>
      </w:r>
      <w:proofErr w:type="spellEnd"/>
      <w:r w:rsidRPr="00225D4D">
        <w:t xml:space="preserve"> til barn og unge</w:t>
      </w:r>
    </w:p>
    <w:p w14:paraId="1BB83406" w14:textId="77777777" w:rsidR="00D60186" w:rsidRPr="00225D4D" w:rsidRDefault="00D60186" w:rsidP="00225D4D">
      <w:pPr>
        <w:pStyle w:val="avsnitt-undertittel"/>
      </w:pPr>
      <w:r w:rsidRPr="00225D4D">
        <w:t>Vedtak nr. 578, 23. april 2024:</w:t>
      </w:r>
    </w:p>
    <w:p w14:paraId="04B07B1D" w14:textId="77777777" w:rsidR="00D60186" w:rsidRPr="00225D4D" w:rsidRDefault="00D60186" w:rsidP="00225D4D">
      <w:pPr>
        <w:pStyle w:val="blokksit"/>
        <w:rPr>
          <w:rStyle w:val="kursiv"/>
        </w:rPr>
      </w:pPr>
      <w:r w:rsidRPr="00225D4D">
        <w:rPr>
          <w:rStyle w:val="kursiv"/>
        </w:rPr>
        <w:t>Stortinget ber regjeringen styrke arbeidet med veiledning til barnehage- og skoleeiere om etterlevelse av personvernregelverket for å hindre misbruk av barn og unges personopplysninger.</w:t>
      </w:r>
    </w:p>
    <w:p w14:paraId="016FAC1B"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8:92 S (2023–2024) </w:t>
      </w:r>
      <w:r w:rsidRPr="00225D4D">
        <w:rPr>
          <w:rStyle w:val="kursiv"/>
        </w:rPr>
        <w:t xml:space="preserve">Representantforslag fra stortingsrepresentantene Olaug </w:t>
      </w:r>
      <w:proofErr w:type="spellStart"/>
      <w:r w:rsidRPr="00225D4D">
        <w:rPr>
          <w:rStyle w:val="kursiv"/>
        </w:rPr>
        <w:t>Vervik</w:t>
      </w:r>
      <w:proofErr w:type="spellEnd"/>
      <w:r w:rsidRPr="00225D4D">
        <w:rPr>
          <w:rStyle w:val="kursiv"/>
        </w:rPr>
        <w:t xml:space="preserve"> Bollestad, Dag-Inge Ulstein og Kjell Ingolf Ropstad om et lærebokløft og mindre og bedre regulert skjermbruk i skolen</w:t>
      </w:r>
      <w:r w:rsidRPr="00225D4D">
        <w:t xml:space="preserve">, jf. </w:t>
      </w:r>
      <w:proofErr w:type="spellStart"/>
      <w:r w:rsidRPr="00225D4D">
        <w:t>Innst</w:t>
      </w:r>
      <w:proofErr w:type="spellEnd"/>
      <w:r w:rsidRPr="00225D4D">
        <w:t>. 263 S (2023–2024).</w:t>
      </w:r>
    </w:p>
    <w:p w14:paraId="342A2D80" w14:textId="77777777" w:rsidR="00D60186" w:rsidRPr="00225D4D" w:rsidRDefault="00D60186" w:rsidP="00225D4D">
      <w:r w:rsidRPr="00225D4D">
        <w:t xml:space="preserve">Kunnskapsdepartementet gav i samband med </w:t>
      </w:r>
      <w:r w:rsidRPr="00225D4D">
        <w:rPr>
          <w:rStyle w:val="kursiv"/>
        </w:rPr>
        <w:t>Strategi for digital kompetanse og infrastruktur</w:t>
      </w:r>
      <w:r w:rsidRPr="00225D4D">
        <w:t xml:space="preserve"> </w:t>
      </w:r>
      <w:r w:rsidRPr="00225D4D">
        <w:rPr>
          <w:rStyle w:val="kursiv"/>
        </w:rPr>
        <w:t>for barnehage og skole 2023–2030.</w:t>
      </w:r>
      <w:r w:rsidRPr="00225D4D">
        <w:t xml:space="preserve"> Utdanningsdirektoratet </w:t>
      </w:r>
      <w:proofErr w:type="spellStart"/>
      <w:r w:rsidRPr="00225D4D">
        <w:t>fekk</w:t>
      </w:r>
      <w:proofErr w:type="spellEnd"/>
      <w:r w:rsidRPr="00225D4D">
        <w:t xml:space="preserve"> i </w:t>
      </w:r>
      <w:proofErr w:type="spellStart"/>
      <w:r w:rsidRPr="00225D4D">
        <w:t>oppgåve</w:t>
      </w:r>
      <w:proofErr w:type="spellEnd"/>
      <w:r w:rsidRPr="00225D4D">
        <w:t xml:space="preserve"> å greie ut korleis </w:t>
      </w:r>
      <w:proofErr w:type="spellStart"/>
      <w:r w:rsidRPr="00225D4D">
        <w:t>ein</w:t>
      </w:r>
      <w:proofErr w:type="spellEnd"/>
      <w:r w:rsidRPr="00225D4D">
        <w:t xml:space="preserve"> best kan lage ei eller </w:t>
      </w:r>
      <w:proofErr w:type="spellStart"/>
      <w:r w:rsidRPr="00225D4D">
        <w:t>fleire</w:t>
      </w:r>
      <w:proofErr w:type="spellEnd"/>
      <w:r w:rsidRPr="00225D4D">
        <w:t xml:space="preserve"> felles </w:t>
      </w:r>
      <w:proofErr w:type="spellStart"/>
      <w:r w:rsidRPr="00225D4D">
        <w:t>støttetenester</w:t>
      </w:r>
      <w:proofErr w:type="spellEnd"/>
      <w:r w:rsidRPr="00225D4D">
        <w:t xml:space="preserve"> til </w:t>
      </w:r>
      <w:proofErr w:type="spellStart"/>
      <w:r w:rsidRPr="00225D4D">
        <w:t>kommunane</w:t>
      </w:r>
      <w:proofErr w:type="spellEnd"/>
      <w:r w:rsidRPr="00225D4D">
        <w:t xml:space="preserve"> for personvern, informasjonstryggleik og universell utforming av digitale læremiddel. Direktoratet leverte i desember 2024 utgreiinga, som </w:t>
      </w:r>
      <w:proofErr w:type="spellStart"/>
      <w:r w:rsidRPr="00225D4D">
        <w:t>tek</w:t>
      </w:r>
      <w:proofErr w:type="spellEnd"/>
      <w:r w:rsidRPr="00225D4D">
        <w:t xml:space="preserve"> føre seg juridiske og forvaltningsmessige spørsmål, og foreslo </w:t>
      </w:r>
      <w:proofErr w:type="spellStart"/>
      <w:r w:rsidRPr="00225D4D">
        <w:t>modellar</w:t>
      </w:r>
      <w:proofErr w:type="spellEnd"/>
      <w:r w:rsidRPr="00225D4D">
        <w:t xml:space="preserve"> for korleis ei eller </w:t>
      </w:r>
      <w:proofErr w:type="spellStart"/>
      <w:r w:rsidRPr="00225D4D">
        <w:t>fleire</w:t>
      </w:r>
      <w:proofErr w:type="spellEnd"/>
      <w:r w:rsidRPr="00225D4D">
        <w:t xml:space="preserve"> </w:t>
      </w:r>
      <w:proofErr w:type="spellStart"/>
      <w:r w:rsidRPr="00225D4D">
        <w:t>støttetenester</w:t>
      </w:r>
      <w:proofErr w:type="spellEnd"/>
      <w:r w:rsidRPr="00225D4D">
        <w:t xml:space="preserve"> kan </w:t>
      </w:r>
      <w:proofErr w:type="spellStart"/>
      <w:r w:rsidRPr="00225D4D">
        <w:t>organiserast</w:t>
      </w:r>
      <w:proofErr w:type="spellEnd"/>
      <w:r w:rsidRPr="00225D4D">
        <w:t>.</w:t>
      </w:r>
    </w:p>
    <w:p w14:paraId="512048FD" w14:textId="77777777" w:rsidR="00D60186" w:rsidRPr="00225D4D" w:rsidRDefault="00D60186" w:rsidP="00225D4D">
      <w:r w:rsidRPr="00225D4D">
        <w:t xml:space="preserve">Departementet har som oppfølging av dette gitt Utdanningsdirektoratet i oppdrag å etablere ei felles </w:t>
      </w:r>
      <w:proofErr w:type="spellStart"/>
      <w:r w:rsidRPr="00225D4D">
        <w:t>støtteteneste</w:t>
      </w:r>
      <w:proofErr w:type="spellEnd"/>
      <w:r w:rsidRPr="00225D4D">
        <w:t xml:space="preserve"> for personvern, informasjonstryggleik og universell utforming av digitale læremiddel, </w:t>
      </w:r>
      <w:proofErr w:type="spellStart"/>
      <w:r w:rsidRPr="00225D4D">
        <w:t>læringsressursar</w:t>
      </w:r>
      <w:proofErr w:type="spellEnd"/>
      <w:r w:rsidRPr="00225D4D">
        <w:t xml:space="preserve"> og plattformer. </w:t>
      </w:r>
      <w:proofErr w:type="spellStart"/>
      <w:r w:rsidRPr="00225D4D">
        <w:t>Støttetenesta</w:t>
      </w:r>
      <w:proofErr w:type="spellEnd"/>
      <w:r w:rsidRPr="00225D4D">
        <w:t xml:space="preserve"> skal </w:t>
      </w:r>
      <w:proofErr w:type="spellStart"/>
      <w:r w:rsidRPr="00225D4D">
        <w:t>etablerast</w:t>
      </w:r>
      <w:proofErr w:type="spellEnd"/>
      <w:r w:rsidRPr="00225D4D">
        <w:t xml:space="preserve"> med både </w:t>
      </w:r>
      <w:proofErr w:type="spellStart"/>
      <w:r w:rsidRPr="00225D4D">
        <w:t>myndigheitsfunksjonar</w:t>
      </w:r>
      <w:proofErr w:type="spellEnd"/>
      <w:r w:rsidRPr="00225D4D">
        <w:t xml:space="preserve"> som rådgiving, kompetanseheving og utarbeiding av sentraliserte </w:t>
      </w:r>
      <w:proofErr w:type="spellStart"/>
      <w:r w:rsidRPr="00225D4D">
        <w:t>delvurderingar</w:t>
      </w:r>
      <w:proofErr w:type="spellEnd"/>
      <w:r w:rsidRPr="00225D4D">
        <w:t xml:space="preserve"> for personvern, informasjonstryggleik og universell utforming og publisering av </w:t>
      </w:r>
      <w:proofErr w:type="spellStart"/>
      <w:r w:rsidRPr="00225D4D">
        <w:t>desse</w:t>
      </w:r>
      <w:proofErr w:type="spellEnd"/>
      <w:r w:rsidRPr="00225D4D">
        <w:t xml:space="preserve">. </w:t>
      </w:r>
      <w:proofErr w:type="spellStart"/>
      <w:r w:rsidRPr="00225D4D">
        <w:t>Støttetenesta</w:t>
      </w:r>
      <w:proofErr w:type="spellEnd"/>
      <w:r w:rsidRPr="00225D4D">
        <w:t xml:space="preserve"> vil utføre om lag 80 pst. av </w:t>
      </w:r>
      <w:proofErr w:type="spellStart"/>
      <w:r w:rsidRPr="00225D4D">
        <w:t>vurderingane</w:t>
      </w:r>
      <w:proofErr w:type="spellEnd"/>
      <w:r w:rsidRPr="00225D4D">
        <w:t xml:space="preserve"> som må </w:t>
      </w:r>
      <w:proofErr w:type="spellStart"/>
      <w:r w:rsidRPr="00225D4D">
        <w:t>gjerast</w:t>
      </w:r>
      <w:proofErr w:type="spellEnd"/>
      <w:r w:rsidRPr="00225D4D">
        <w:t xml:space="preserve"> etter regelverket, </w:t>
      </w:r>
      <w:proofErr w:type="spellStart"/>
      <w:r w:rsidRPr="00225D4D">
        <w:t>medan</w:t>
      </w:r>
      <w:proofErr w:type="spellEnd"/>
      <w:r w:rsidRPr="00225D4D">
        <w:t xml:space="preserve"> </w:t>
      </w:r>
      <w:proofErr w:type="spellStart"/>
      <w:r w:rsidRPr="00225D4D">
        <w:t>skuleeigarane</w:t>
      </w:r>
      <w:proofErr w:type="spellEnd"/>
      <w:r w:rsidRPr="00225D4D">
        <w:t xml:space="preserve"> må stå for </w:t>
      </w:r>
      <w:proofErr w:type="spellStart"/>
      <w:r w:rsidRPr="00225D4D">
        <w:t>dei</w:t>
      </w:r>
      <w:proofErr w:type="spellEnd"/>
      <w:r w:rsidRPr="00225D4D">
        <w:t xml:space="preserve"> siste lokale </w:t>
      </w:r>
      <w:proofErr w:type="spellStart"/>
      <w:r w:rsidRPr="00225D4D">
        <w:t>delvurderingane</w:t>
      </w:r>
      <w:proofErr w:type="spellEnd"/>
      <w:r w:rsidRPr="00225D4D">
        <w:t xml:space="preserve"> som </w:t>
      </w:r>
      <w:proofErr w:type="spellStart"/>
      <w:r w:rsidRPr="00225D4D">
        <w:t>tek</w:t>
      </w:r>
      <w:proofErr w:type="spellEnd"/>
      <w:r w:rsidRPr="00225D4D">
        <w:t xml:space="preserve"> omsyn til lokale forhold og </w:t>
      </w:r>
      <w:proofErr w:type="spellStart"/>
      <w:r w:rsidRPr="00225D4D">
        <w:t>tilpassingar</w:t>
      </w:r>
      <w:proofErr w:type="spellEnd"/>
      <w:r w:rsidRPr="00225D4D">
        <w:t xml:space="preserve">. Utdanningsdirektoratet skal ha </w:t>
      </w:r>
      <w:proofErr w:type="spellStart"/>
      <w:r w:rsidRPr="00225D4D">
        <w:t>myndigheitsfunksjonen</w:t>
      </w:r>
      <w:proofErr w:type="spellEnd"/>
      <w:r w:rsidRPr="00225D4D">
        <w:t xml:space="preserve"> for </w:t>
      </w:r>
      <w:proofErr w:type="spellStart"/>
      <w:r w:rsidRPr="00225D4D">
        <w:t>tenesta</w:t>
      </w:r>
      <w:proofErr w:type="spellEnd"/>
      <w:r w:rsidRPr="00225D4D">
        <w:t xml:space="preserve"> og har </w:t>
      </w:r>
      <w:proofErr w:type="spellStart"/>
      <w:r w:rsidRPr="00225D4D">
        <w:t>hovudansvar</w:t>
      </w:r>
      <w:proofErr w:type="spellEnd"/>
      <w:r w:rsidRPr="00225D4D">
        <w:t xml:space="preserve"> for etablering og forvaltning. Arbeidet vil skje i tett samarbeid med Sikt som </w:t>
      </w:r>
      <w:proofErr w:type="spellStart"/>
      <w:r w:rsidRPr="00225D4D">
        <w:t>tenesteleverandør</w:t>
      </w:r>
      <w:proofErr w:type="spellEnd"/>
      <w:r w:rsidRPr="00225D4D">
        <w:t xml:space="preserve">, og </w:t>
      </w:r>
      <w:proofErr w:type="spellStart"/>
      <w:r w:rsidRPr="00225D4D">
        <w:t>aktørar</w:t>
      </w:r>
      <w:proofErr w:type="spellEnd"/>
      <w:r w:rsidRPr="00225D4D">
        <w:t xml:space="preserve"> som KS og </w:t>
      </w:r>
      <w:proofErr w:type="spellStart"/>
      <w:r w:rsidRPr="00225D4D">
        <w:t>Statped</w:t>
      </w:r>
      <w:proofErr w:type="spellEnd"/>
      <w:r w:rsidRPr="00225D4D">
        <w:t xml:space="preserve"> skal også </w:t>
      </w:r>
      <w:proofErr w:type="spellStart"/>
      <w:r w:rsidRPr="00225D4D">
        <w:t>trekkast</w:t>
      </w:r>
      <w:proofErr w:type="spellEnd"/>
      <w:r w:rsidRPr="00225D4D">
        <w:t xml:space="preserve"> inn i arbeidet.</w:t>
      </w:r>
    </w:p>
    <w:p w14:paraId="5E9CEDCF" w14:textId="77777777" w:rsidR="00D60186" w:rsidRPr="00225D4D" w:rsidRDefault="00D60186" w:rsidP="00225D4D">
      <w:r w:rsidRPr="00225D4D">
        <w:t xml:space="preserve">Kunnskapsdepartementet har også gitt </w:t>
      </w:r>
      <w:proofErr w:type="spellStart"/>
      <w:r w:rsidRPr="00225D4D">
        <w:t>midlar</w:t>
      </w:r>
      <w:proofErr w:type="spellEnd"/>
      <w:r w:rsidRPr="00225D4D">
        <w:t xml:space="preserve"> til KS’ arbeid med </w:t>
      </w:r>
      <w:proofErr w:type="spellStart"/>
      <w:r w:rsidRPr="00225D4D">
        <w:t>ein</w:t>
      </w:r>
      <w:proofErr w:type="spellEnd"/>
      <w:r w:rsidRPr="00225D4D">
        <w:t xml:space="preserve"> nasjonal DPIA (Data </w:t>
      </w:r>
      <w:proofErr w:type="spellStart"/>
      <w:r w:rsidRPr="00225D4D">
        <w:t>Protection</w:t>
      </w:r>
      <w:proofErr w:type="spellEnd"/>
      <w:r w:rsidRPr="00225D4D">
        <w:t xml:space="preserve"> </w:t>
      </w:r>
      <w:proofErr w:type="spellStart"/>
      <w:r w:rsidRPr="00225D4D">
        <w:t>Impact</w:t>
      </w:r>
      <w:proofErr w:type="spellEnd"/>
      <w:r w:rsidRPr="00225D4D">
        <w:t xml:space="preserve"> </w:t>
      </w:r>
      <w:proofErr w:type="spellStart"/>
      <w:r w:rsidRPr="00225D4D">
        <w:t>Assessment</w:t>
      </w:r>
      <w:proofErr w:type="spellEnd"/>
      <w:r w:rsidRPr="00225D4D">
        <w:t xml:space="preserve">) for Google Workspace for </w:t>
      </w:r>
      <w:proofErr w:type="spellStart"/>
      <w:r w:rsidRPr="00225D4D">
        <w:t>Education</w:t>
      </w:r>
      <w:proofErr w:type="spellEnd"/>
      <w:r w:rsidRPr="00225D4D">
        <w:t xml:space="preserve"> i 2023, som er ei plattform mange </w:t>
      </w:r>
      <w:proofErr w:type="spellStart"/>
      <w:r w:rsidRPr="00225D4D">
        <w:t>skular</w:t>
      </w:r>
      <w:proofErr w:type="spellEnd"/>
      <w:r w:rsidRPr="00225D4D">
        <w:t xml:space="preserve"> </w:t>
      </w:r>
      <w:proofErr w:type="spellStart"/>
      <w:r w:rsidRPr="00225D4D">
        <w:t>nyttar</w:t>
      </w:r>
      <w:proofErr w:type="spellEnd"/>
      <w:r w:rsidRPr="00225D4D">
        <w:t xml:space="preserve"> på </w:t>
      </w:r>
      <w:proofErr w:type="spellStart"/>
      <w:r w:rsidRPr="00225D4D">
        <w:t>dei</w:t>
      </w:r>
      <w:proofErr w:type="spellEnd"/>
      <w:r w:rsidRPr="00225D4D">
        <w:t xml:space="preserve"> digitale </w:t>
      </w:r>
      <w:proofErr w:type="spellStart"/>
      <w:r w:rsidRPr="00225D4D">
        <w:t>einingane</w:t>
      </w:r>
      <w:proofErr w:type="spellEnd"/>
      <w:r w:rsidRPr="00225D4D">
        <w:t xml:space="preserve"> sine, og </w:t>
      </w:r>
      <w:proofErr w:type="spellStart"/>
      <w:r w:rsidRPr="00225D4D">
        <w:t>ein</w:t>
      </w:r>
      <w:proofErr w:type="spellEnd"/>
      <w:r w:rsidRPr="00225D4D">
        <w:t xml:space="preserve"> nasjonal DPIA for Microsoft-produkt i </w:t>
      </w:r>
      <w:proofErr w:type="spellStart"/>
      <w:r w:rsidRPr="00225D4D">
        <w:t>skulen</w:t>
      </w:r>
      <w:proofErr w:type="spellEnd"/>
      <w:r w:rsidRPr="00225D4D">
        <w:t xml:space="preserve"> i 2025. Nasjonale DPIA-ar vil styrke </w:t>
      </w:r>
      <w:proofErr w:type="spellStart"/>
      <w:r w:rsidRPr="00225D4D">
        <w:t>kommunane</w:t>
      </w:r>
      <w:proofErr w:type="spellEnd"/>
      <w:r w:rsidRPr="00225D4D">
        <w:t xml:space="preserve"> </w:t>
      </w:r>
      <w:proofErr w:type="spellStart"/>
      <w:r w:rsidRPr="00225D4D">
        <w:t>si</w:t>
      </w:r>
      <w:proofErr w:type="spellEnd"/>
      <w:r w:rsidRPr="00225D4D">
        <w:t xml:space="preserve"> evne til å etterleve regelverket for personvern og er </w:t>
      </w:r>
      <w:proofErr w:type="spellStart"/>
      <w:r w:rsidRPr="00225D4D">
        <w:t>ein</w:t>
      </w:r>
      <w:proofErr w:type="spellEnd"/>
      <w:r w:rsidRPr="00225D4D">
        <w:t xml:space="preserve"> viktig grunnplanke for det </w:t>
      </w:r>
      <w:proofErr w:type="spellStart"/>
      <w:r w:rsidRPr="00225D4D">
        <w:t>kommande</w:t>
      </w:r>
      <w:proofErr w:type="spellEnd"/>
      <w:r w:rsidRPr="00225D4D">
        <w:t xml:space="preserve"> arbeidet til </w:t>
      </w:r>
      <w:proofErr w:type="spellStart"/>
      <w:r w:rsidRPr="00225D4D">
        <w:t>støttetenestene</w:t>
      </w:r>
      <w:proofErr w:type="spellEnd"/>
      <w:r w:rsidRPr="00225D4D">
        <w:t>.</w:t>
      </w:r>
    </w:p>
    <w:p w14:paraId="455C02E7"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75E8368D" w14:textId="77777777" w:rsidR="00D60186" w:rsidRPr="00225D4D" w:rsidRDefault="00D60186" w:rsidP="00225D4D">
      <w:pPr>
        <w:pStyle w:val="avsnitt-tittel"/>
      </w:pPr>
      <w:proofErr w:type="spellStart"/>
      <w:r w:rsidRPr="00225D4D">
        <w:t>Fleire</w:t>
      </w:r>
      <w:proofErr w:type="spellEnd"/>
      <w:r w:rsidRPr="00225D4D">
        <w:t xml:space="preserve"> </w:t>
      </w:r>
      <w:proofErr w:type="spellStart"/>
      <w:r w:rsidRPr="00225D4D">
        <w:t>elevar</w:t>
      </w:r>
      <w:proofErr w:type="spellEnd"/>
      <w:r w:rsidRPr="00225D4D">
        <w:t xml:space="preserve"> på ekskursjon til fange- og </w:t>
      </w:r>
      <w:proofErr w:type="spellStart"/>
      <w:r w:rsidRPr="00225D4D">
        <w:t>konsentrasjonsleirar</w:t>
      </w:r>
      <w:proofErr w:type="spellEnd"/>
    </w:p>
    <w:p w14:paraId="6881A8DF" w14:textId="77777777" w:rsidR="00D60186" w:rsidRPr="00225D4D" w:rsidRDefault="00D60186" w:rsidP="00225D4D">
      <w:pPr>
        <w:pStyle w:val="avsnitt-undertittel"/>
      </w:pPr>
      <w:r w:rsidRPr="00225D4D">
        <w:t>Vedtak nr. 621, 7. mai 2024:</w:t>
      </w:r>
    </w:p>
    <w:p w14:paraId="51385159" w14:textId="77777777" w:rsidR="00D60186" w:rsidRPr="00225D4D" w:rsidRDefault="00D60186" w:rsidP="00225D4D">
      <w:pPr>
        <w:pStyle w:val="blokksit"/>
        <w:rPr>
          <w:rStyle w:val="kursiv"/>
        </w:rPr>
      </w:pPr>
      <w:r w:rsidRPr="00225D4D">
        <w:rPr>
          <w:rStyle w:val="kursiv"/>
        </w:rPr>
        <w:t>Stortinget ber regjeringen i forbindelse med fremleggelsen av den nye handlingsplanen mot antisemittisme komme tilbake til Stortinget med forslag til hvordan det kan sørges for at flere skoleelever, fra hele landet, får mulighet til å besøke tidligere fange- og konsentrasjonsleirer, som for eksempel Falstadsenteret og Falstad fangeleir, Grini fangeleir, Auschwitz og Sachsenhausen, innenfor hvert års vedtatte budsjettrammer.</w:t>
      </w:r>
    </w:p>
    <w:p w14:paraId="7895911B"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8:95 S (2023–2024) </w:t>
      </w:r>
      <w:r w:rsidRPr="00225D4D">
        <w:rPr>
          <w:rStyle w:val="kursiv"/>
        </w:rPr>
        <w:t xml:space="preserve">Representantforslag fra stortingsrepresentantene Erlend Wiborg, </w:t>
      </w:r>
      <w:proofErr w:type="spellStart"/>
      <w:r w:rsidRPr="00225D4D">
        <w:rPr>
          <w:rStyle w:val="kursiv"/>
        </w:rPr>
        <w:t>Himanshu</w:t>
      </w:r>
      <w:proofErr w:type="spellEnd"/>
      <w:r w:rsidRPr="00225D4D">
        <w:rPr>
          <w:rStyle w:val="kursiv"/>
        </w:rPr>
        <w:t xml:space="preserve"> </w:t>
      </w:r>
      <w:proofErr w:type="spellStart"/>
      <w:r w:rsidRPr="00225D4D">
        <w:rPr>
          <w:rStyle w:val="kursiv"/>
        </w:rPr>
        <w:t>Gulati</w:t>
      </w:r>
      <w:proofErr w:type="spellEnd"/>
      <w:r w:rsidRPr="00225D4D">
        <w:rPr>
          <w:rStyle w:val="kursiv"/>
        </w:rPr>
        <w:t>, Silje Hjemdal, Sylvi Listhaug og Christian Tybring-Gjedde om å styrke kampen mot antisemittisme</w:t>
      </w:r>
      <w:r w:rsidRPr="00225D4D">
        <w:t xml:space="preserve">, jf. </w:t>
      </w:r>
      <w:proofErr w:type="spellStart"/>
      <w:r w:rsidRPr="00225D4D">
        <w:t>Innst</w:t>
      </w:r>
      <w:proofErr w:type="spellEnd"/>
      <w:r w:rsidRPr="00225D4D">
        <w:t>. 267 S (2023–2024).</w:t>
      </w:r>
    </w:p>
    <w:p w14:paraId="1CECA77B" w14:textId="77777777" w:rsidR="00D60186" w:rsidRPr="00225D4D" w:rsidRDefault="00D60186" w:rsidP="00225D4D">
      <w:pPr>
        <w:rPr>
          <w:rStyle w:val="kursiv"/>
        </w:rPr>
      </w:pPr>
      <w:r w:rsidRPr="00225D4D">
        <w:rPr>
          <w:rStyle w:val="kursiv"/>
        </w:rPr>
        <w:t>Handlingsplan mot antisemittisme 2025–2030</w:t>
      </w:r>
      <w:r w:rsidRPr="00225D4D">
        <w:t xml:space="preserve"> blei lagd fram av regjeringa i november 2024. Dei 22 tiltaka er fordelte på tre innsatsområde: Dialog og </w:t>
      </w:r>
      <w:proofErr w:type="spellStart"/>
      <w:r w:rsidRPr="00225D4D">
        <w:t>eit</w:t>
      </w:r>
      <w:proofErr w:type="spellEnd"/>
      <w:r w:rsidRPr="00225D4D">
        <w:t xml:space="preserve"> </w:t>
      </w:r>
      <w:proofErr w:type="spellStart"/>
      <w:r w:rsidRPr="00225D4D">
        <w:t>velfungerande</w:t>
      </w:r>
      <w:proofErr w:type="spellEnd"/>
      <w:r w:rsidRPr="00225D4D">
        <w:t xml:space="preserve"> demokrati, Kunnskap og kompetanse og Tryggleik og </w:t>
      </w:r>
      <w:proofErr w:type="spellStart"/>
      <w:r w:rsidRPr="00225D4D">
        <w:t>sikkerheit</w:t>
      </w:r>
      <w:proofErr w:type="spellEnd"/>
      <w:r w:rsidRPr="00225D4D">
        <w:t xml:space="preserve">. </w:t>
      </w:r>
      <w:proofErr w:type="spellStart"/>
      <w:r w:rsidRPr="00225D4D">
        <w:t>Eitt</w:t>
      </w:r>
      <w:proofErr w:type="spellEnd"/>
      <w:r w:rsidRPr="00225D4D">
        <w:t xml:space="preserve"> av tiltaka er å gå gjennom og vurdere </w:t>
      </w:r>
      <w:proofErr w:type="spellStart"/>
      <w:r w:rsidRPr="00225D4D">
        <w:t>vidareføring</w:t>
      </w:r>
      <w:proofErr w:type="spellEnd"/>
      <w:r w:rsidRPr="00225D4D">
        <w:t xml:space="preserve"> av den nasjonale </w:t>
      </w:r>
      <w:proofErr w:type="spellStart"/>
      <w:r w:rsidRPr="00225D4D">
        <w:t>tilskotsordninga</w:t>
      </w:r>
      <w:proofErr w:type="spellEnd"/>
      <w:r w:rsidRPr="00225D4D">
        <w:t xml:space="preserve"> for </w:t>
      </w:r>
      <w:proofErr w:type="spellStart"/>
      <w:r w:rsidRPr="00225D4D">
        <w:t>skuleturar</w:t>
      </w:r>
      <w:proofErr w:type="spellEnd"/>
      <w:r w:rsidRPr="00225D4D">
        <w:t xml:space="preserve"> under kap. 225, post 66. </w:t>
      </w:r>
      <w:proofErr w:type="spellStart"/>
      <w:r w:rsidRPr="00225D4D">
        <w:t>Deloitte</w:t>
      </w:r>
      <w:proofErr w:type="spellEnd"/>
      <w:r w:rsidRPr="00225D4D">
        <w:t xml:space="preserve"> </w:t>
      </w:r>
      <w:proofErr w:type="spellStart"/>
      <w:r w:rsidRPr="00225D4D">
        <w:t>fekk</w:t>
      </w:r>
      <w:proofErr w:type="spellEnd"/>
      <w:r w:rsidRPr="00225D4D">
        <w:t xml:space="preserve"> i oppdrag å evaluere ordninga og leverte evalueringsrapporten i mai 2025.</w:t>
      </w:r>
    </w:p>
    <w:p w14:paraId="3DE1D819" w14:textId="77777777" w:rsidR="00D60186" w:rsidRPr="00225D4D" w:rsidRDefault="00D60186" w:rsidP="00225D4D">
      <w:r w:rsidRPr="00225D4D">
        <w:t xml:space="preserve">Evalueringa skulle svare på om </w:t>
      </w:r>
      <w:proofErr w:type="spellStart"/>
      <w:r w:rsidRPr="00225D4D">
        <w:t>tilskotsordninga</w:t>
      </w:r>
      <w:proofErr w:type="spellEnd"/>
      <w:r w:rsidRPr="00225D4D">
        <w:t xml:space="preserve"> er innretta og forvalta på </w:t>
      </w:r>
      <w:proofErr w:type="spellStart"/>
      <w:r w:rsidRPr="00225D4D">
        <w:t>ein</w:t>
      </w:r>
      <w:proofErr w:type="spellEnd"/>
      <w:r w:rsidRPr="00225D4D">
        <w:t xml:space="preserve"> slik måte at ho </w:t>
      </w:r>
      <w:proofErr w:type="spellStart"/>
      <w:r w:rsidRPr="00225D4D">
        <w:t>bidreg</w:t>
      </w:r>
      <w:proofErr w:type="spellEnd"/>
      <w:r w:rsidRPr="00225D4D">
        <w:t xml:space="preserve"> til at </w:t>
      </w:r>
      <w:proofErr w:type="spellStart"/>
      <w:r w:rsidRPr="00225D4D">
        <w:t>fleire</w:t>
      </w:r>
      <w:proofErr w:type="spellEnd"/>
      <w:r w:rsidRPr="00225D4D">
        <w:t xml:space="preserve"> </w:t>
      </w:r>
      <w:proofErr w:type="spellStart"/>
      <w:r w:rsidRPr="00225D4D">
        <w:t>ungdommar</w:t>
      </w:r>
      <w:proofErr w:type="spellEnd"/>
      <w:r w:rsidRPr="00225D4D">
        <w:t xml:space="preserve"> får høve til å reise på tur til </w:t>
      </w:r>
      <w:proofErr w:type="spellStart"/>
      <w:r w:rsidRPr="00225D4D">
        <w:t>minnestadar</w:t>
      </w:r>
      <w:proofErr w:type="spellEnd"/>
      <w:r w:rsidRPr="00225D4D">
        <w:t xml:space="preserve"> </w:t>
      </w:r>
      <w:proofErr w:type="spellStart"/>
      <w:r w:rsidRPr="00225D4D">
        <w:t>frå</w:t>
      </w:r>
      <w:proofErr w:type="spellEnd"/>
      <w:r w:rsidRPr="00225D4D">
        <w:t xml:space="preserve"> andre verdskrigen ved at prisen for turen blir redusert. Samla sett vurderer </w:t>
      </w:r>
      <w:proofErr w:type="spellStart"/>
      <w:r w:rsidRPr="00225D4D">
        <w:t>Deloitte</w:t>
      </w:r>
      <w:proofErr w:type="spellEnd"/>
      <w:r w:rsidRPr="00225D4D">
        <w:t xml:space="preserve"> at det er </w:t>
      </w:r>
      <w:proofErr w:type="spellStart"/>
      <w:r w:rsidRPr="00225D4D">
        <w:t>noko</w:t>
      </w:r>
      <w:proofErr w:type="spellEnd"/>
      <w:r w:rsidRPr="00225D4D">
        <w:t xml:space="preserve"> uvisse rundt effekten av </w:t>
      </w:r>
      <w:proofErr w:type="spellStart"/>
      <w:r w:rsidRPr="00225D4D">
        <w:t>tilskotsordninga</w:t>
      </w:r>
      <w:proofErr w:type="spellEnd"/>
      <w:r w:rsidRPr="00225D4D">
        <w:t xml:space="preserve">, men at ho kan </w:t>
      </w:r>
      <w:proofErr w:type="spellStart"/>
      <w:r w:rsidRPr="00225D4D">
        <w:t>vere</w:t>
      </w:r>
      <w:proofErr w:type="spellEnd"/>
      <w:r w:rsidRPr="00225D4D">
        <w:t xml:space="preserve"> </w:t>
      </w:r>
      <w:proofErr w:type="spellStart"/>
      <w:r w:rsidRPr="00225D4D">
        <w:t>eit</w:t>
      </w:r>
      <w:proofErr w:type="spellEnd"/>
      <w:r w:rsidRPr="00225D4D">
        <w:t xml:space="preserve"> </w:t>
      </w:r>
      <w:proofErr w:type="spellStart"/>
      <w:r w:rsidRPr="00225D4D">
        <w:t>verkemiddel</w:t>
      </w:r>
      <w:proofErr w:type="spellEnd"/>
      <w:r w:rsidRPr="00225D4D">
        <w:t xml:space="preserve"> for å oppnå </w:t>
      </w:r>
      <w:proofErr w:type="spellStart"/>
      <w:r w:rsidRPr="00225D4D">
        <w:t>auka</w:t>
      </w:r>
      <w:proofErr w:type="spellEnd"/>
      <w:r w:rsidRPr="00225D4D">
        <w:t xml:space="preserve"> kunnskap om tema som antisemittisme, </w:t>
      </w:r>
      <w:proofErr w:type="spellStart"/>
      <w:r w:rsidRPr="00225D4D">
        <w:t>menneskerettar</w:t>
      </w:r>
      <w:proofErr w:type="spellEnd"/>
      <w:r w:rsidRPr="00225D4D">
        <w:t xml:space="preserve">, menneskeverd og demokrati. Samtidig </w:t>
      </w:r>
      <w:proofErr w:type="spellStart"/>
      <w:r w:rsidRPr="00225D4D">
        <w:t>peikar</w:t>
      </w:r>
      <w:proofErr w:type="spellEnd"/>
      <w:r w:rsidRPr="00225D4D">
        <w:t xml:space="preserve"> evalueringa på behov for ei rekke </w:t>
      </w:r>
      <w:proofErr w:type="spellStart"/>
      <w:r w:rsidRPr="00225D4D">
        <w:t>endringar</w:t>
      </w:r>
      <w:proofErr w:type="spellEnd"/>
      <w:r w:rsidRPr="00225D4D">
        <w:t xml:space="preserve">. Det er mellom anna </w:t>
      </w:r>
      <w:proofErr w:type="spellStart"/>
      <w:r w:rsidRPr="00225D4D">
        <w:t>ein</w:t>
      </w:r>
      <w:proofErr w:type="spellEnd"/>
      <w:r w:rsidRPr="00225D4D">
        <w:t xml:space="preserve"> </w:t>
      </w:r>
      <w:proofErr w:type="spellStart"/>
      <w:r w:rsidRPr="00225D4D">
        <w:t>tydeleg</w:t>
      </w:r>
      <w:proofErr w:type="spellEnd"/>
      <w:r w:rsidRPr="00225D4D">
        <w:t xml:space="preserve"> konflikt mellom målet om at </w:t>
      </w:r>
      <w:proofErr w:type="spellStart"/>
      <w:r w:rsidRPr="00225D4D">
        <w:t>fleire</w:t>
      </w:r>
      <w:proofErr w:type="spellEnd"/>
      <w:r w:rsidRPr="00225D4D">
        <w:t xml:space="preserve"> skal få dra på </w:t>
      </w:r>
      <w:proofErr w:type="spellStart"/>
      <w:r w:rsidRPr="00225D4D">
        <w:t>skuletur</w:t>
      </w:r>
      <w:proofErr w:type="spellEnd"/>
      <w:r w:rsidRPr="00225D4D">
        <w:t xml:space="preserve"> og gratisprinsippet i </w:t>
      </w:r>
      <w:proofErr w:type="spellStart"/>
      <w:r w:rsidRPr="00225D4D">
        <w:t>skulen</w:t>
      </w:r>
      <w:proofErr w:type="spellEnd"/>
      <w:r w:rsidRPr="00225D4D">
        <w:t>.</w:t>
      </w:r>
    </w:p>
    <w:p w14:paraId="1C2C1CB0" w14:textId="77777777" w:rsidR="00D60186" w:rsidRPr="00225D4D" w:rsidRDefault="00D60186" w:rsidP="00225D4D">
      <w:r w:rsidRPr="00225D4D">
        <w:t xml:space="preserve">Kunnskapsdepartementet </w:t>
      </w:r>
      <w:proofErr w:type="spellStart"/>
      <w:r w:rsidRPr="00225D4D">
        <w:t>peikar</w:t>
      </w:r>
      <w:proofErr w:type="spellEnd"/>
      <w:r w:rsidRPr="00225D4D">
        <w:t xml:space="preserve"> på at evalueringa er grundig, og at ho har gitt </w:t>
      </w:r>
      <w:proofErr w:type="spellStart"/>
      <w:r w:rsidRPr="00225D4D">
        <w:t>meir</w:t>
      </w:r>
      <w:proofErr w:type="spellEnd"/>
      <w:r w:rsidRPr="00225D4D">
        <w:t xml:space="preserve"> </w:t>
      </w:r>
      <w:proofErr w:type="spellStart"/>
      <w:r w:rsidRPr="00225D4D">
        <w:t>djupnekunnskap</w:t>
      </w:r>
      <w:proofErr w:type="spellEnd"/>
      <w:r w:rsidRPr="00225D4D">
        <w:t xml:space="preserve"> og </w:t>
      </w:r>
      <w:proofErr w:type="spellStart"/>
      <w:r w:rsidRPr="00225D4D">
        <w:t>eit</w:t>
      </w:r>
      <w:proofErr w:type="spellEnd"/>
      <w:r w:rsidRPr="00225D4D">
        <w:t xml:space="preserve"> betre grunnlag for å vurdere </w:t>
      </w:r>
      <w:proofErr w:type="spellStart"/>
      <w:r w:rsidRPr="00225D4D">
        <w:t>endringar</w:t>
      </w:r>
      <w:proofErr w:type="spellEnd"/>
      <w:r w:rsidRPr="00225D4D">
        <w:t xml:space="preserve"> i </w:t>
      </w:r>
      <w:proofErr w:type="spellStart"/>
      <w:r w:rsidRPr="00225D4D">
        <w:t>tilskotsordninga</w:t>
      </w:r>
      <w:proofErr w:type="spellEnd"/>
      <w:r w:rsidRPr="00225D4D">
        <w:t>. Departementet er i gang med oppfølginga av evalueringa.</w:t>
      </w:r>
    </w:p>
    <w:p w14:paraId="63554B1A" w14:textId="77777777" w:rsidR="00D60186" w:rsidRPr="00225D4D" w:rsidRDefault="00D60186" w:rsidP="00225D4D">
      <w:r w:rsidRPr="00225D4D">
        <w:t xml:space="preserve">Kunnskapsdepartementet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5A2F0301" w14:textId="77777777" w:rsidR="00D60186" w:rsidRPr="00225D4D" w:rsidRDefault="00D60186" w:rsidP="00225D4D">
      <w:pPr>
        <w:pStyle w:val="avsnitt-tittel"/>
      </w:pPr>
      <w:r w:rsidRPr="00225D4D">
        <w:t xml:space="preserve">Vurdering av omfang og lovkrav om mellombels </w:t>
      </w:r>
      <w:proofErr w:type="spellStart"/>
      <w:r w:rsidRPr="00225D4D">
        <w:t>tilsetjing</w:t>
      </w:r>
      <w:proofErr w:type="spellEnd"/>
      <w:r w:rsidRPr="00225D4D">
        <w:t xml:space="preserve"> av </w:t>
      </w:r>
      <w:proofErr w:type="spellStart"/>
      <w:r w:rsidRPr="00225D4D">
        <w:t>lærarar</w:t>
      </w:r>
      <w:proofErr w:type="spellEnd"/>
    </w:p>
    <w:p w14:paraId="5893200B" w14:textId="77777777" w:rsidR="00D60186" w:rsidRPr="00225D4D" w:rsidRDefault="00D60186" w:rsidP="00225D4D">
      <w:pPr>
        <w:pStyle w:val="avsnitt-undertittel"/>
      </w:pPr>
      <w:r w:rsidRPr="00225D4D">
        <w:t>Vedtak nr. 707, 5. juni 2024:</w:t>
      </w:r>
    </w:p>
    <w:p w14:paraId="1F41284E" w14:textId="77777777" w:rsidR="00D60186" w:rsidRPr="00225D4D" w:rsidRDefault="00D60186" w:rsidP="00225D4D">
      <w:pPr>
        <w:pStyle w:val="blokksit"/>
        <w:rPr>
          <w:rStyle w:val="kursiv"/>
        </w:rPr>
      </w:pPr>
      <w:r w:rsidRPr="00225D4D">
        <w:rPr>
          <w:rStyle w:val="kursiv"/>
        </w:rPr>
        <w:t>Stortinget ber regjeringen vurdere omfanget av midlertidig ansettelse av lærere innen sommeren 2027, og eventuelt komme tilbake til Stortinget med et skjerpet lovkrav om at skoleeier alltid vurderer ansettelse på vilkår før annen midlertidig ansettelse, når det ikke er kvalifiserte lærere som søker ledig undervisningsstilling.</w:t>
      </w:r>
    </w:p>
    <w:p w14:paraId="21B3F7CD"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62 L (2023–2024) </w:t>
      </w:r>
      <w:r w:rsidRPr="00225D4D">
        <w:rPr>
          <w:rStyle w:val="kursiv"/>
        </w:rPr>
        <w:t xml:space="preserve">Endringer i </w:t>
      </w:r>
      <w:proofErr w:type="spellStart"/>
      <w:r w:rsidRPr="00225D4D">
        <w:rPr>
          <w:rStyle w:val="kursiv"/>
        </w:rPr>
        <w:t>opplæringslova</w:t>
      </w:r>
      <w:proofErr w:type="spellEnd"/>
      <w:r w:rsidRPr="00225D4D">
        <w:rPr>
          <w:rStyle w:val="kursiv"/>
        </w:rPr>
        <w:t xml:space="preserve"> og privatskolelova (kompetansekrav, faglig ansvar og bruk av fysisk inngripen for å avverge skade m.m.)</w:t>
      </w:r>
      <w:r w:rsidRPr="00225D4D">
        <w:t xml:space="preserve">, jf. </w:t>
      </w:r>
      <w:proofErr w:type="spellStart"/>
      <w:r w:rsidRPr="00225D4D">
        <w:t>Innst</w:t>
      </w:r>
      <w:proofErr w:type="spellEnd"/>
      <w:r w:rsidRPr="00225D4D">
        <w:t>. 389 L og Lovvedtak 78 (2023–2024).</w:t>
      </w:r>
    </w:p>
    <w:p w14:paraId="1036478C"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0D6371B2" w14:textId="77777777" w:rsidR="00D60186" w:rsidRPr="00225D4D" w:rsidRDefault="00D60186" w:rsidP="00225D4D">
      <w:pPr>
        <w:pStyle w:val="avsnitt-tittel"/>
      </w:pPr>
      <w:r w:rsidRPr="00225D4D">
        <w:t>Kartlegge bemanningssituasjonen i SFO-</w:t>
      </w:r>
      <w:proofErr w:type="spellStart"/>
      <w:r w:rsidRPr="00225D4D">
        <w:t>tilboda</w:t>
      </w:r>
      <w:proofErr w:type="spellEnd"/>
    </w:p>
    <w:p w14:paraId="3B0D771B" w14:textId="77777777" w:rsidR="00D60186" w:rsidRPr="00225D4D" w:rsidRDefault="00D60186" w:rsidP="00225D4D">
      <w:pPr>
        <w:pStyle w:val="avsnitt-undertittel"/>
      </w:pPr>
      <w:r w:rsidRPr="00225D4D">
        <w:t>Vedtak nr. 906, 21. juni 2024:</w:t>
      </w:r>
    </w:p>
    <w:p w14:paraId="0E9F1E8E" w14:textId="77777777" w:rsidR="00D60186" w:rsidRPr="00225D4D" w:rsidRDefault="00D60186" w:rsidP="00225D4D">
      <w:pPr>
        <w:pStyle w:val="blokksit"/>
        <w:rPr>
          <w:rStyle w:val="kursiv"/>
        </w:rPr>
      </w:pPr>
      <w:r w:rsidRPr="00225D4D">
        <w:rPr>
          <w:rStyle w:val="kursiv"/>
        </w:rPr>
        <w:t>Stortinget ber regjeringen innen 1. januar 2025 om å kartlegge bemanningssituasjonen i SFO-tilbudene i samarbeid med partene. Dette skal skissere nye tiltak for å bedre bemanning og kvaliteten i SFO-tilbudene. Kartleggingen skal også innhente informasjon om omfanget av skyss i tilknytning til SFO, skoleferietilbud og tilrettelegging for barn med behov for særskilt tilrettelegging, og identifisere relevante tiltak tilknyttet disse.</w:t>
      </w:r>
    </w:p>
    <w:p w14:paraId="0963D59A"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2 (2023–2024) </w:t>
      </w:r>
      <w:r w:rsidRPr="00225D4D">
        <w:rPr>
          <w:rStyle w:val="kursiv"/>
        </w:rPr>
        <w:t>Revidert nasjonalbudsjett 2024</w:t>
      </w:r>
      <w:r w:rsidRPr="00225D4D">
        <w:t xml:space="preserve">, jf. </w:t>
      </w:r>
      <w:proofErr w:type="spellStart"/>
      <w:r w:rsidRPr="00225D4D">
        <w:t>Innst</w:t>
      </w:r>
      <w:proofErr w:type="spellEnd"/>
      <w:r w:rsidRPr="00225D4D">
        <w:t>. 447 S (2023–2024).</w:t>
      </w:r>
    </w:p>
    <w:p w14:paraId="56062845" w14:textId="77777777" w:rsidR="00D60186" w:rsidRPr="00225D4D" w:rsidRDefault="00D60186" w:rsidP="00225D4D">
      <w:proofErr w:type="spellStart"/>
      <w:r w:rsidRPr="00225D4D">
        <w:t>Nedanfor</w:t>
      </w:r>
      <w:proofErr w:type="spellEnd"/>
      <w:r w:rsidRPr="00225D4D">
        <w:t xml:space="preserve"> </w:t>
      </w:r>
      <w:proofErr w:type="spellStart"/>
      <w:r w:rsidRPr="00225D4D">
        <w:t>gjer</w:t>
      </w:r>
      <w:proofErr w:type="spellEnd"/>
      <w:r w:rsidRPr="00225D4D">
        <w:t xml:space="preserve"> Kunnskapsdepartementet greie for den informasjonen som er </w:t>
      </w:r>
      <w:proofErr w:type="spellStart"/>
      <w:r w:rsidRPr="00225D4D">
        <w:t>tilgjengeleg</w:t>
      </w:r>
      <w:proofErr w:type="spellEnd"/>
      <w:r w:rsidRPr="00225D4D">
        <w:t xml:space="preserve"> </w:t>
      </w:r>
      <w:proofErr w:type="spellStart"/>
      <w:r w:rsidRPr="00225D4D">
        <w:t>innanfor</w:t>
      </w:r>
      <w:proofErr w:type="spellEnd"/>
      <w:r w:rsidRPr="00225D4D">
        <w:t xml:space="preserve"> fristen sett i vedtaket. Teksten </w:t>
      </w:r>
      <w:proofErr w:type="spellStart"/>
      <w:r w:rsidRPr="00225D4D">
        <w:t>nedanfor</w:t>
      </w:r>
      <w:proofErr w:type="spellEnd"/>
      <w:r w:rsidRPr="00225D4D">
        <w:t xml:space="preserve"> bygger på ulike kjelder: Grunnskolens informasjonssystem (GSI), </w:t>
      </w:r>
      <w:r w:rsidRPr="00225D4D">
        <w:rPr>
          <w:rStyle w:val="kursiv"/>
        </w:rPr>
        <w:t>Spørsmål til Skole-Norge</w:t>
      </w:r>
      <w:r w:rsidRPr="00225D4D">
        <w:t xml:space="preserve"> våren 2025, ulike </w:t>
      </w:r>
      <w:proofErr w:type="spellStart"/>
      <w:r w:rsidRPr="00225D4D">
        <w:t>evalueringar</w:t>
      </w:r>
      <w:proofErr w:type="spellEnd"/>
      <w:r w:rsidRPr="00225D4D">
        <w:t xml:space="preserve"> og </w:t>
      </w:r>
      <w:proofErr w:type="spellStart"/>
      <w:r w:rsidRPr="00225D4D">
        <w:t>undersøkingar</w:t>
      </w:r>
      <w:proofErr w:type="spellEnd"/>
      <w:r w:rsidRPr="00225D4D">
        <w:t xml:space="preserve"> og eigne </w:t>
      </w:r>
      <w:proofErr w:type="spellStart"/>
      <w:r w:rsidRPr="00225D4D">
        <w:t>undersøkingar</w:t>
      </w:r>
      <w:proofErr w:type="spellEnd"/>
      <w:r w:rsidRPr="00225D4D">
        <w:t xml:space="preserve"> Utdanningsdirektoratet har gjennomført basert på </w:t>
      </w:r>
      <w:proofErr w:type="spellStart"/>
      <w:r w:rsidRPr="00225D4D">
        <w:t>nettstadane</w:t>
      </w:r>
      <w:proofErr w:type="spellEnd"/>
      <w:r w:rsidRPr="00225D4D">
        <w:t xml:space="preserve"> til </w:t>
      </w:r>
      <w:proofErr w:type="spellStart"/>
      <w:r w:rsidRPr="00225D4D">
        <w:t>kommunane</w:t>
      </w:r>
      <w:proofErr w:type="spellEnd"/>
      <w:r w:rsidRPr="00225D4D">
        <w:t>.</w:t>
      </w:r>
    </w:p>
    <w:p w14:paraId="4543C92A" w14:textId="77777777" w:rsidR="00D60186" w:rsidRPr="00225D4D" w:rsidRDefault="00D60186" w:rsidP="00225D4D">
      <w:pPr>
        <w:pStyle w:val="avsnitt-under-undertittel"/>
      </w:pPr>
      <w:r w:rsidRPr="00225D4D">
        <w:t>Bemanning</w:t>
      </w:r>
    </w:p>
    <w:p w14:paraId="548931E3" w14:textId="77777777" w:rsidR="00D60186" w:rsidRPr="00225D4D" w:rsidRDefault="00D60186" w:rsidP="00225D4D">
      <w:r w:rsidRPr="00225D4D">
        <w:t xml:space="preserve">Det er i dag </w:t>
      </w:r>
      <w:proofErr w:type="spellStart"/>
      <w:r w:rsidRPr="00225D4D">
        <w:t>ikkje</w:t>
      </w:r>
      <w:proofErr w:type="spellEnd"/>
      <w:r w:rsidRPr="00225D4D">
        <w:t xml:space="preserve"> krav til bemanning i </w:t>
      </w:r>
      <w:proofErr w:type="spellStart"/>
      <w:r w:rsidRPr="00225D4D">
        <w:t>skulefritidsordninga</w:t>
      </w:r>
      <w:proofErr w:type="spellEnd"/>
      <w:r w:rsidRPr="00225D4D">
        <w:t xml:space="preserve"> (SFO) i </w:t>
      </w:r>
      <w:proofErr w:type="spellStart"/>
      <w:r w:rsidRPr="00225D4D">
        <w:t>opplæringslova</w:t>
      </w:r>
      <w:proofErr w:type="spellEnd"/>
      <w:r w:rsidRPr="00225D4D">
        <w:t xml:space="preserve">. Kommunen har ansvar for at det er </w:t>
      </w:r>
      <w:proofErr w:type="spellStart"/>
      <w:r w:rsidRPr="00225D4D">
        <w:t>tilstrekkeleg</w:t>
      </w:r>
      <w:proofErr w:type="spellEnd"/>
      <w:r w:rsidRPr="00225D4D">
        <w:t xml:space="preserve"> kompetanse til å drive ei </w:t>
      </w:r>
      <w:proofErr w:type="spellStart"/>
      <w:r w:rsidRPr="00225D4D">
        <w:t>forsvarleg</w:t>
      </w:r>
      <w:proofErr w:type="spellEnd"/>
      <w:r w:rsidRPr="00225D4D">
        <w:t xml:space="preserve"> </w:t>
      </w:r>
      <w:proofErr w:type="spellStart"/>
      <w:r w:rsidRPr="00225D4D">
        <w:t>verksemd</w:t>
      </w:r>
      <w:proofErr w:type="spellEnd"/>
      <w:r w:rsidRPr="00225D4D">
        <w:t xml:space="preserve"> i tråd med regelverket. Kunnskapsdepartementet vil understreke at vi </w:t>
      </w:r>
      <w:proofErr w:type="spellStart"/>
      <w:r w:rsidRPr="00225D4D">
        <w:t>berre</w:t>
      </w:r>
      <w:proofErr w:type="spellEnd"/>
      <w:r w:rsidRPr="00225D4D">
        <w:t xml:space="preserve"> kan </w:t>
      </w:r>
      <w:proofErr w:type="spellStart"/>
      <w:r w:rsidRPr="00225D4D">
        <w:t>gjere</w:t>
      </w:r>
      <w:proofErr w:type="spellEnd"/>
      <w:r w:rsidRPr="00225D4D">
        <w:t xml:space="preserve"> greie for kva slags bemanning eller kompetanse som </w:t>
      </w:r>
      <w:proofErr w:type="spellStart"/>
      <w:r w:rsidRPr="00225D4D">
        <w:t>finst</w:t>
      </w:r>
      <w:proofErr w:type="spellEnd"/>
      <w:r w:rsidRPr="00225D4D">
        <w:t xml:space="preserve"> på nasjonalt nivå. Kva som er riktig eller </w:t>
      </w:r>
      <w:proofErr w:type="spellStart"/>
      <w:r w:rsidRPr="00225D4D">
        <w:t>forsvarleg</w:t>
      </w:r>
      <w:proofErr w:type="spellEnd"/>
      <w:r w:rsidRPr="00225D4D">
        <w:t xml:space="preserve"> bemanning eller kompetanse, må </w:t>
      </w:r>
      <w:proofErr w:type="spellStart"/>
      <w:r w:rsidRPr="00225D4D">
        <w:t>vurderast</w:t>
      </w:r>
      <w:proofErr w:type="spellEnd"/>
      <w:r w:rsidRPr="00225D4D">
        <w:t xml:space="preserve"> lokalt, ut </w:t>
      </w:r>
      <w:proofErr w:type="spellStart"/>
      <w:r w:rsidRPr="00225D4D">
        <w:t>ifrå</w:t>
      </w:r>
      <w:proofErr w:type="spellEnd"/>
      <w:r w:rsidRPr="00225D4D">
        <w:t xml:space="preserve"> behovet til barnegruppa. </w:t>
      </w:r>
      <w:proofErr w:type="spellStart"/>
      <w:r w:rsidRPr="00225D4D">
        <w:t>Truleg</w:t>
      </w:r>
      <w:proofErr w:type="spellEnd"/>
      <w:r w:rsidRPr="00225D4D">
        <w:t xml:space="preserve"> vil det også </w:t>
      </w:r>
      <w:proofErr w:type="spellStart"/>
      <w:r w:rsidRPr="00225D4D">
        <w:t>vere</w:t>
      </w:r>
      <w:proofErr w:type="spellEnd"/>
      <w:r w:rsidRPr="00225D4D">
        <w:t xml:space="preserve"> ulike </w:t>
      </w:r>
      <w:proofErr w:type="spellStart"/>
      <w:r w:rsidRPr="00225D4D">
        <w:t>meiningar</w:t>
      </w:r>
      <w:proofErr w:type="spellEnd"/>
      <w:r w:rsidRPr="00225D4D">
        <w:t xml:space="preserve"> om kva som er </w:t>
      </w:r>
      <w:proofErr w:type="spellStart"/>
      <w:r w:rsidRPr="00225D4D">
        <w:t>forsvarleg</w:t>
      </w:r>
      <w:proofErr w:type="spellEnd"/>
      <w:r w:rsidRPr="00225D4D">
        <w:t xml:space="preserve"> bemanning, avhengig av kven </w:t>
      </w:r>
      <w:proofErr w:type="spellStart"/>
      <w:r w:rsidRPr="00225D4D">
        <w:t>ein</w:t>
      </w:r>
      <w:proofErr w:type="spellEnd"/>
      <w:r w:rsidRPr="00225D4D">
        <w:t xml:space="preserve"> spør, for eksempel </w:t>
      </w:r>
      <w:proofErr w:type="spellStart"/>
      <w:r w:rsidRPr="00225D4D">
        <w:t>skuleeigar</w:t>
      </w:r>
      <w:proofErr w:type="spellEnd"/>
      <w:r w:rsidRPr="00225D4D">
        <w:t xml:space="preserve">, </w:t>
      </w:r>
      <w:proofErr w:type="spellStart"/>
      <w:r w:rsidRPr="00225D4D">
        <w:t>skuleleiar</w:t>
      </w:r>
      <w:proofErr w:type="spellEnd"/>
      <w:r w:rsidRPr="00225D4D">
        <w:t>, tilsette i SFO eller foreldre.</w:t>
      </w:r>
    </w:p>
    <w:p w14:paraId="2E4BC54E" w14:textId="77777777" w:rsidR="00D60186" w:rsidRPr="00225D4D" w:rsidRDefault="00D60186" w:rsidP="00225D4D">
      <w:pPr>
        <w:pStyle w:val="avsnitt-under-undertittel"/>
      </w:pPr>
      <w:r w:rsidRPr="00225D4D">
        <w:t xml:space="preserve">Tal på </w:t>
      </w:r>
      <w:proofErr w:type="gramStart"/>
      <w:r w:rsidRPr="00225D4D">
        <w:t>tilsette</w:t>
      </w:r>
      <w:proofErr w:type="gramEnd"/>
    </w:p>
    <w:p w14:paraId="2BDD1422" w14:textId="77777777" w:rsidR="00D60186" w:rsidRPr="00225D4D" w:rsidRDefault="00D60186" w:rsidP="00225D4D">
      <w:proofErr w:type="spellStart"/>
      <w:r w:rsidRPr="00225D4D">
        <w:t>Frå</w:t>
      </w:r>
      <w:proofErr w:type="spellEnd"/>
      <w:r w:rsidRPr="00225D4D">
        <w:t xml:space="preserve"> GSI har departementet tilgang til tal for bemanning, gjennom rapportering om </w:t>
      </w:r>
      <w:proofErr w:type="spellStart"/>
      <w:r w:rsidRPr="00225D4D">
        <w:t>talet</w:t>
      </w:r>
      <w:proofErr w:type="spellEnd"/>
      <w:r w:rsidRPr="00225D4D">
        <w:t xml:space="preserve"> på </w:t>
      </w:r>
      <w:proofErr w:type="gramStart"/>
      <w:r w:rsidRPr="00225D4D">
        <w:t>tilsette</w:t>
      </w:r>
      <w:proofErr w:type="gramEnd"/>
      <w:r w:rsidRPr="00225D4D">
        <w:t xml:space="preserve"> uavhengig av kva prosentdel </w:t>
      </w:r>
      <w:proofErr w:type="spellStart"/>
      <w:r w:rsidRPr="00225D4D">
        <w:t>dei</w:t>
      </w:r>
      <w:proofErr w:type="spellEnd"/>
      <w:r w:rsidRPr="00225D4D">
        <w:t xml:space="preserve"> tilsette arbeider i. Dette betyr at departementet </w:t>
      </w:r>
      <w:proofErr w:type="spellStart"/>
      <w:r w:rsidRPr="00225D4D">
        <w:t>ikkje</w:t>
      </w:r>
      <w:proofErr w:type="spellEnd"/>
      <w:r w:rsidRPr="00225D4D">
        <w:t xml:space="preserve"> har informasjon om utviklinga i årsverk i SFO. Departementet har heller </w:t>
      </w:r>
      <w:proofErr w:type="spellStart"/>
      <w:r w:rsidRPr="00225D4D">
        <w:t>ikkje</w:t>
      </w:r>
      <w:proofErr w:type="spellEnd"/>
      <w:r w:rsidRPr="00225D4D">
        <w:t xml:space="preserve"> kunnskap om korleis bemanninga er fordelt utover SFO-dagen.</w:t>
      </w:r>
    </w:p>
    <w:p w14:paraId="5B5A2B2D" w14:textId="77777777" w:rsidR="00D60186" w:rsidRPr="00225D4D" w:rsidRDefault="00D60186" w:rsidP="00225D4D">
      <w:proofErr w:type="spellStart"/>
      <w:r w:rsidRPr="00225D4D">
        <w:t>Talet</w:t>
      </w:r>
      <w:proofErr w:type="spellEnd"/>
      <w:r w:rsidRPr="00225D4D">
        <w:t xml:space="preserve"> på barn som har plass i SFO, har </w:t>
      </w:r>
      <w:proofErr w:type="spellStart"/>
      <w:r w:rsidRPr="00225D4D">
        <w:t>auka</w:t>
      </w:r>
      <w:proofErr w:type="spellEnd"/>
      <w:r w:rsidRPr="00225D4D">
        <w:t xml:space="preserve"> </w:t>
      </w:r>
      <w:proofErr w:type="spellStart"/>
      <w:r w:rsidRPr="00225D4D">
        <w:t>vesentleg</w:t>
      </w:r>
      <w:proofErr w:type="spellEnd"/>
      <w:r w:rsidRPr="00225D4D">
        <w:t xml:space="preserve"> etter innføringa av 12 </w:t>
      </w:r>
      <w:proofErr w:type="spellStart"/>
      <w:r w:rsidRPr="00225D4D">
        <w:t>timar</w:t>
      </w:r>
      <w:proofErr w:type="spellEnd"/>
      <w:r w:rsidRPr="00225D4D">
        <w:t xml:space="preserve"> gratis SFO per veke. Det kan derfor </w:t>
      </w:r>
      <w:proofErr w:type="spellStart"/>
      <w:r w:rsidRPr="00225D4D">
        <w:t>ventast</w:t>
      </w:r>
      <w:proofErr w:type="spellEnd"/>
      <w:r w:rsidRPr="00225D4D">
        <w:t xml:space="preserve"> at det har </w:t>
      </w:r>
      <w:proofErr w:type="spellStart"/>
      <w:r w:rsidRPr="00225D4D">
        <w:t>vore</w:t>
      </w:r>
      <w:proofErr w:type="spellEnd"/>
      <w:r w:rsidRPr="00225D4D">
        <w:t xml:space="preserve"> </w:t>
      </w:r>
      <w:proofErr w:type="spellStart"/>
      <w:r w:rsidRPr="00225D4D">
        <w:t>ein</w:t>
      </w:r>
      <w:proofErr w:type="spellEnd"/>
      <w:r w:rsidRPr="00225D4D">
        <w:t xml:space="preserve"> </w:t>
      </w:r>
      <w:proofErr w:type="spellStart"/>
      <w:r w:rsidRPr="00225D4D">
        <w:t>auke</w:t>
      </w:r>
      <w:proofErr w:type="spellEnd"/>
      <w:r w:rsidRPr="00225D4D">
        <w:t xml:space="preserve"> i </w:t>
      </w:r>
      <w:proofErr w:type="spellStart"/>
      <w:r w:rsidRPr="00225D4D">
        <w:t>talet</w:t>
      </w:r>
      <w:proofErr w:type="spellEnd"/>
      <w:r w:rsidRPr="00225D4D">
        <w:t xml:space="preserve"> på </w:t>
      </w:r>
      <w:proofErr w:type="gramStart"/>
      <w:r w:rsidRPr="00225D4D">
        <w:t>tilsette</w:t>
      </w:r>
      <w:proofErr w:type="gramEnd"/>
      <w:r w:rsidRPr="00225D4D">
        <w:t xml:space="preserve">. Likevel kan det </w:t>
      </w:r>
      <w:proofErr w:type="spellStart"/>
      <w:r w:rsidRPr="00225D4D">
        <w:t>vere</w:t>
      </w:r>
      <w:proofErr w:type="spellEnd"/>
      <w:r w:rsidRPr="00225D4D">
        <w:t xml:space="preserve"> SFO-ar som </w:t>
      </w:r>
      <w:proofErr w:type="spellStart"/>
      <w:r w:rsidRPr="00225D4D">
        <w:t>tidlegare</w:t>
      </w:r>
      <w:proofErr w:type="spellEnd"/>
      <w:r w:rsidRPr="00225D4D">
        <w:t xml:space="preserve"> har hatt høg bemanning, slik at det </w:t>
      </w:r>
      <w:proofErr w:type="spellStart"/>
      <w:r w:rsidRPr="00225D4D">
        <w:t>ikkje</w:t>
      </w:r>
      <w:proofErr w:type="spellEnd"/>
      <w:r w:rsidRPr="00225D4D">
        <w:t xml:space="preserve"> har </w:t>
      </w:r>
      <w:proofErr w:type="spellStart"/>
      <w:r w:rsidRPr="00225D4D">
        <w:t>vore</w:t>
      </w:r>
      <w:proofErr w:type="spellEnd"/>
      <w:r w:rsidRPr="00225D4D">
        <w:t xml:space="preserve"> nødvendig eller riktig å prioritere </w:t>
      </w:r>
      <w:proofErr w:type="spellStart"/>
      <w:r w:rsidRPr="00225D4D">
        <w:t>auka</w:t>
      </w:r>
      <w:proofErr w:type="spellEnd"/>
      <w:r w:rsidRPr="00225D4D">
        <w:t xml:space="preserve"> bemanning </w:t>
      </w:r>
      <w:proofErr w:type="spellStart"/>
      <w:r w:rsidRPr="00225D4D">
        <w:t>sjølv</w:t>
      </w:r>
      <w:proofErr w:type="spellEnd"/>
      <w:r w:rsidRPr="00225D4D">
        <w:t xml:space="preserve"> om det har blitt </w:t>
      </w:r>
      <w:proofErr w:type="spellStart"/>
      <w:r w:rsidRPr="00225D4D">
        <w:t>høgare</w:t>
      </w:r>
      <w:proofErr w:type="spellEnd"/>
      <w:r w:rsidRPr="00225D4D">
        <w:t xml:space="preserve"> SFO-deltaking etter innføringa av 12 </w:t>
      </w:r>
      <w:proofErr w:type="spellStart"/>
      <w:r w:rsidRPr="00225D4D">
        <w:t>timar</w:t>
      </w:r>
      <w:proofErr w:type="spellEnd"/>
      <w:r w:rsidRPr="00225D4D">
        <w:t xml:space="preserve"> gratis SFO. Det kan også </w:t>
      </w:r>
      <w:proofErr w:type="spellStart"/>
      <w:r w:rsidRPr="00225D4D">
        <w:t>vere</w:t>
      </w:r>
      <w:proofErr w:type="spellEnd"/>
      <w:r w:rsidRPr="00225D4D">
        <w:t xml:space="preserve"> at </w:t>
      </w:r>
      <w:proofErr w:type="spellStart"/>
      <w:r w:rsidRPr="00225D4D">
        <w:t>skulane</w:t>
      </w:r>
      <w:proofErr w:type="spellEnd"/>
      <w:r w:rsidRPr="00225D4D">
        <w:t xml:space="preserve"> har gjort andre organisatoriske </w:t>
      </w:r>
      <w:proofErr w:type="spellStart"/>
      <w:r w:rsidRPr="00225D4D">
        <w:t>endringar</w:t>
      </w:r>
      <w:proofErr w:type="spellEnd"/>
      <w:r w:rsidRPr="00225D4D">
        <w:t xml:space="preserve">, til dømes </w:t>
      </w:r>
      <w:proofErr w:type="spellStart"/>
      <w:r w:rsidRPr="00225D4D">
        <w:t>endringar</w:t>
      </w:r>
      <w:proofErr w:type="spellEnd"/>
      <w:r w:rsidRPr="00225D4D">
        <w:t xml:space="preserve"> i </w:t>
      </w:r>
      <w:proofErr w:type="spellStart"/>
      <w:r w:rsidRPr="00225D4D">
        <w:t>stillingsbrøkar</w:t>
      </w:r>
      <w:proofErr w:type="spellEnd"/>
      <w:r w:rsidRPr="00225D4D">
        <w:t xml:space="preserve"> eller korleis bemanninga er fordelt </w:t>
      </w:r>
      <w:proofErr w:type="spellStart"/>
      <w:r w:rsidRPr="00225D4D">
        <w:t>innanfor</w:t>
      </w:r>
      <w:proofErr w:type="spellEnd"/>
      <w:r w:rsidRPr="00225D4D">
        <w:t xml:space="preserve"> </w:t>
      </w:r>
      <w:proofErr w:type="spellStart"/>
      <w:r w:rsidRPr="00225D4D">
        <w:t>opningstida</w:t>
      </w:r>
      <w:proofErr w:type="spellEnd"/>
      <w:r w:rsidRPr="00225D4D">
        <w:t xml:space="preserve">. Dette har </w:t>
      </w:r>
      <w:proofErr w:type="spellStart"/>
      <w:r w:rsidRPr="00225D4D">
        <w:t>ikkje</w:t>
      </w:r>
      <w:proofErr w:type="spellEnd"/>
      <w:r w:rsidRPr="00225D4D">
        <w:t xml:space="preserve"> departementet oversikt over. Ifølge GSI har </w:t>
      </w:r>
      <w:proofErr w:type="spellStart"/>
      <w:r w:rsidRPr="00225D4D">
        <w:t>talet</w:t>
      </w:r>
      <w:proofErr w:type="spellEnd"/>
      <w:r w:rsidRPr="00225D4D">
        <w:t xml:space="preserve"> på </w:t>
      </w:r>
      <w:proofErr w:type="gramStart"/>
      <w:r w:rsidRPr="00225D4D">
        <w:t>tilsette</w:t>
      </w:r>
      <w:proofErr w:type="gramEnd"/>
      <w:r w:rsidRPr="00225D4D">
        <w:t xml:space="preserve"> i SFO </w:t>
      </w:r>
      <w:proofErr w:type="spellStart"/>
      <w:r w:rsidRPr="00225D4D">
        <w:t>auka</w:t>
      </w:r>
      <w:proofErr w:type="spellEnd"/>
      <w:r w:rsidRPr="00225D4D">
        <w:t xml:space="preserve"> med 11,3 pst. </w:t>
      </w:r>
      <w:proofErr w:type="spellStart"/>
      <w:r w:rsidRPr="00225D4D">
        <w:t>frå</w:t>
      </w:r>
      <w:proofErr w:type="spellEnd"/>
      <w:r w:rsidRPr="00225D4D">
        <w:t xml:space="preserve"> </w:t>
      </w:r>
      <w:proofErr w:type="spellStart"/>
      <w:r w:rsidRPr="00225D4D">
        <w:t>skuleåret</w:t>
      </w:r>
      <w:proofErr w:type="spellEnd"/>
      <w:r w:rsidRPr="00225D4D">
        <w:t xml:space="preserve"> 2021–22 til </w:t>
      </w:r>
      <w:proofErr w:type="spellStart"/>
      <w:r w:rsidRPr="00225D4D">
        <w:t>skuleåret</w:t>
      </w:r>
      <w:proofErr w:type="spellEnd"/>
      <w:r w:rsidRPr="00225D4D">
        <w:t xml:space="preserve"> 2024–25. </w:t>
      </w:r>
      <w:proofErr w:type="spellStart"/>
      <w:r w:rsidRPr="00225D4D">
        <w:t>Talet</w:t>
      </w:r>
      <w:proofErr w:type="spellEnd"/>
      <w:r w:rsidRPr="00225D4D">
        <w:t xml:space="preserve"> på tilsette i SFO har </w:t>
      </w:r>
      <w:proofErr w:type="spellStart"/>
      <w:r w:rsidRPr="00225D4D">
        <w:t>auka</w:t>
      </w:r>
      <w:proofErr w:type="spellEnd"/>
      <w:r w:rsidRPr="00225D4D">
        <w:t xml:space="preserve"> mindre enn </w:t>
      </w:r>
      <w:proofErr w:type="spellStart"/>
      <w:r w:rsidRPr="00225D4D">
        <w:t>talet</w:t>
      </w:r>
      <w:proofErr w:type="spellEnd"/>
      <w:r w:rsidRPr="00225D4D">
        <w:t xml:space="preserve"> på barn i SFO, som har </w:t>
      </w:r>
      <w:proofErr w:type="spellStart"/>
      <w:r w:rsidRPr="00225D4D">
        <w:t>auka</w:t>
      </w:r>
      <w:proofErr w:type="spellEnd"/>
      <w:r w:rsidRPr="00225D4D">
        <w:t xml:space="preserve"> med 22,4 pst. i same tidsrom.</w:t>
      </w:r>
    </w:p>
    <w:p w14:paraId="7921BD36" w14:textId="1E64B6A2" w:rsidR="002D4C2A" w:rsidRPr="00225D4D" w:rsidRDefault="002D4C2A" w:rsidP="00225D4D">
      <w:pPr>
        <w:pStyle w:val="tabell-tittel"/>
      </w:pPr>
      <w:r w:rsidRPr="00225D4D">
        <w:t xml:space="preserve">Utviklinga i </w:t>
      </w:r>
      <w:proofErr w:type="spellStart"/>
      <w:r w:rsidRPr="00225D4D">
        <w:t>talet</w:t>
      </w:r>
      <w:proofErr w:type="spellEnd"/>
      <w:r w:rsidRPr="00225D4D">
        <w:t xml:space="preserve"> på barn, tilsette og barn per tilsett i SFO for heile landet</w:t>
      </w:r>
    </w:p>
    <w:p w14:paraId="2D373A7C" w14:textId="77777777" w:rsidR="00D60186" w:rsidRPr="00225D4D" w:rsidRDefault="00D60186" w:rsidP="00225D4D">
      <w:pPr>
        <w:pStyle w:val="Tabellnavn"/>
      </w:pPr>
      <w:r w:rsidRPr="00225D4D">
        <w:t>04J1xt1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600"/>
        <w:gridCol w:w="1000"/>
        <w:gridCol w:w="1000"/>
        <w:gridCol w:w="1000"/>
      </w:tblGrid>
      <w:tr w:rsidR="00E76DC8" w:rsidRPr="00225D4D" w14:paraId="48313CF6" w14:textId="77777777">
        <w:trPr>
          <w:trHeight w:val="600"/>
        </w:trPr>
        <w:tc>
          <w:tcPr>
            <w:tcW w:w="1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0C9876" w14:textId="77777777" w:rsidR="00D60186" w:rsidRPr="008D6210" w:rsidRDefault="00D60186" w:rsidP="00225D4D">
            <w:pPr>
              <w:rPr>
                <w:sz w:val="21"/>
                <w:szCs w:val="21"/>
              </w:rPr>
            </w:pPr>
            <w:proofErr w:type="spellStart"/>
            <w:r w:rsidRPr="008D6210">
              <w:rPr>
                <w:sz w:val="21"/>
                <w:szCs w:val="21"/>
              </w:rPr>
              <w:t>Skuleår</w:t>
            </w:r>
            <w:proofErr w:type="spellEnd"/>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341B11F" w14:textId="77777777" w:rsidR="00D60186" w:rsidRPr="008D6210" w:rsidRDefault="00D60186" w:rsidP="0052516A">
            <w:pPr>
              <w:jc w:val="right"/>
              <w:rPr>
                <w:sz w:val="21"/>
                <w:szCs w:val="21"/>
              </w:rPr>
            </w:pPr>
            <w:r w:rsidRPr="008D6210">
              <w:rPr>
                <w:sz w:val="21"/>
                <w:szCs w:val="21"/>
              </w:rPr>
              <w:t xml:space="preserve">Tal på </w:t>
            </w:r>
            <w:r w:rsidRPr="008D6210">
              <w:rPr>
                <w:sz w:val="21"/>
                <w:szCs w:val="21"/>
              </w:rPr>
              <w:br/>
              <w:t>barn i SFO</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34CC53" w14:textId="77777777" w:rsidR="00D60186" w:rsidRPr="008D6210" w:rsidRDefault="00D60186" w:rsidP="0052516A">
            <w:pPr>
              <w:jc w:val="right"/>
              <w:rPr>
                <w:sz w:val="21"/>
                <w:szCs w:val="21"/>
              </w:rPr>
            </w:pPr>
            <w:r w:rsidRPr="008D6210">
              <w:rPr>
                <w:sz w:val="21"/>
                <w:szCs w:val="21"/>
              </w:rPr>
              <w:t xml:space="preserve">Tal på </w:t>
            </w:r>
            <w:r w:rsidRPr="008D6210">
              <w:rPr>
                <w:sz w:val="21"/>
                <w:szCs w:val="21"/>
              </w:rPr>
              <w:br/>
              <w:t>tilsette</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8F72BC" w14:textId="77777777" w:rsidR="00D60186" w:rsidRPr="008D6210" w:rsidRDefault="00D60186" w:rsidP="0052516A">
            <w:pPr>
              <w:jc w:val="right"/>
              <w:rPr>
                <w:sz w:val="21"/>
                <w:szCs w:val="21"/>
              </w:rPr>
            </w:pPr>
            <w:r w:rsidRPr="008D6210">
              <w:rPr>
                <w:sz w:val="21"/>
                <w:szCs w:val="21"/>
              </w:rPr>
              <w:t>Barn per tilsett</w:t>
            </w:r>
            <w:r w:rsidRPr="008D6210">
              <w:rPr>
                <w:rStyle w:val="skrift-hevet"/>
                <w:sz w:val="21"/>
                <w:szCs w:val="21"/>
              </w:rPr>
              <w:t>1</w:t>
            </w:r>
          </w:p>
        </w:tc>
      </w:tr>
      <w:tr w:rsidR="00E76DC8" w:rsidRPr="00225D4D" w14:paraId="736FF84E" w14:textId="77777777">
        <w:trPr>
          <w:trHeight w:val="380"/>
        </w:trPr>
        <w:tc>
          <w:tcPr>
            <w:tcW w:w="1600" w:type="dxa"/>
            <w:tcBorders>
              <w:top w:val="single" w:sz="4" w:space="0" w:color="000000"/>
              <w:left w:val="nil"/>
              <w:bottom w:val="nil"/>
              <w:right w:val="nil"/>
            </w:tcBorders>
            <w:tcMar>
              <w:top w:w="128" w:type="dxa"/>
              <w:left w:w="43" w:type="dxa"/>
              <w:bottom w:w="43" w:type="dxa"/>
              <w:right w:w="43" w:type="dxa"/>
            </w:tcMar>
          </w:tcPr>
          <w:p w14:paraId="23FC78B8" w14:textId="77777777" w:rsidR="00D60186" w:rsidRPr="008D6210" w:rsidRDefault="00D60186" w:rsidP="00225D4D">
            <w:pPr>
              <w:rPr>
                <w:sz w:val="21"/>
                <w:szCs w:val="21"/>
              </w:rPr>
            </w:pPr>
            <w:r w:rsidRPr="008D6210">
              <w:rPr>
                <w:sz w:val="21"/>
                <w:szCs w:val="21"/>
              </w:rPr>
              <w:t>2024–25</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27AFEC08" w14:textId="77777777" w:rsidR="00D60186" w:rsidRPr="008D6210" w:rsidRDefault="00D60186" w:rsidP="0052516A">
            <w:pPr>
              <w:jc w:val="right"/>
              <w:rPr>
                <w:sz w:val="21"/>
                <w:szCs w:val="21"/>
              </w:rPr>
            </w:pPr>
            <w:r w:rsidRPr="008D6210">
              <w:rPr>
                <w:sz w:val="21"/>
                <w:szCs w:val="21"/>
              </w:rPr>
              <w:t>187 169</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22FEC9CC" w14:textId="77777777" w:rsidR="00D60186" w:rsidRPr="008D6210" w:rsidRDefault="00D60186" w:rsidP="0052516A">
            <w:pPr>
              <w:jc w:val="right"/>
              <w:rPr>
                <w:sz w:val="21"/>
                <w:szCs w:val="21"/>
              </w:rPr>
            </w:pPr>
            <w:r w:rsidRPr="008D6210">
              <w:rPr>
                <w:sz w:val="21"/>
                <w:szCs w:val="21"/>
              </w:rPr>
              <w:t>21 017</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23905740" w14:textId="77777777" w:rsidR="00D60186" w:rsidRPr="008D6210" w:rsidRDefault="00D60186" w:rsidP="0052516A">
            <w:pPr>
              <w:jc w:val="right"/>
              <w:rPr>
                <w:sz w:val="21"/>
                <w:szCs w:val="21"/>
              </w:rPr>
            </w:pPr>
            <w:r w:rsidRPr="008D6210">
              <w:rPr>
                <w:sz w:val="21"/>
                <w:szCs w:val="21"/>
              </w:rPr>
              <w:t>8,9</w:t>
            </w:r>
          </w:p>
        </w:tc>
      </w:tr>
      <w:tr w:rsidR="00E76DC8" w:rsidRPr="00225D4D" w14:paraId="70C36B24" w14:textId="77777777">
        <w:trPr>
          <w:trHeight w:val="380"/>
        </w:trPr>
        <w:tc>
          <w:tcPr>
            <w:tcW w:w="1600" w:type="dxa"/>
            <w:tcBorders>
              <w:top w:val="nil"/>
              <w:left w:val="nil"/>
              <w:bottom w:val="nil"/>
              <w:right w:val="nil"/>
            </w:tcBorders>
            <w:tcMar>
              <w:top w:w="128" w:type="dxa"/>
              <w:left w:w="43" w:type="dxa"/>
              <w:bottom w:w="43" w:type="dxa"/>
              <w:right w:w="43" w:type="dxa"/>
            </w:tcMar>
          </w:tcPr>
          <w:p w14:paraId="2995C22C" w14:textId="77777777" w:rsidR="00D60186" w:rsidRPr="008D6210" w:rsidRDefault="00D60186" w:rsidP="00225D4D">
            <w:pPr>
              <w:rPr>
                <w:sz w:val="21"/>
                <w:szCs w:val="21"/>
              </w:rPr>
            </w:pPr>
            <w:r w:rsidRPr="008D6210">
              <w:rPr>
                <w:sz w:val="21"/>
                <w:szCs w:val="21"/>
              </w:rPr>
              <w:t>2023–24</w:t>
            </w:r>
          </w:p>
        </w:tc>
        <w:tc>
          <w:tcPr>
            <w:tcW w:w="1000" w:type="dxa"/>
            <w:tcBorders>
              <w:top w:val="nil"/>
              <w:left w:val="nil"/>
              <w:bottom w:val="nil"/>
              <w:right w:val="nil"/>
            </w:tcBorders>
            <w:tcMar>
              <w:top w:w="128" w:type="dxa"/>
              <w:left w:w="43" w:type="dxa"/>
              <w:bottom w:w="43" w:type="dxa"/>
              <w:right w:w="43" w:type="dxa"/>
            </w:tcMar>
            <w:vAlign w:val="bottom"/>
          </w:tcPr>
          <w:p w14:paraId="7146D2F2" w14:textId="77777777" w:rsidR="00D60186" w:rsidRPr="008D6210" w:rsidRDefault="00D60186" w:rsidP="0052516A">
            <w:pPr>
              <w:jc w:val="right"/>
              <w:rPr>
                <w:sz w:val="21"/>
                <w:szCs w:val="21"/>
              </w:rPr>
            </w:pPr>
            <w:r w:rsidRPr="008D6210">
              <w:rPr>
                <w:sz w:val="21"/>
                <w:szCs w:val="21"/>
              </w:rPr>
              <w:t>174 404</w:t>
            </w:r>
          </w:p>
        </w:tc>
        <w:tc>
          <w:tcPr>
            <w:tcW w:w="1000" w:type="dxa"/>
            <w:tcBorders>
              <w:top w:val="nil"/>
              <w:left w:val="nil"/>
              <w:bottom w:val="nil"/>
              <w:right w:val="nil"/>
            </w:tcBorders>
            <w:tcMar>
              <w:top w:w="128" w:type="dxa"/>
              <w:left w:w="43" w:type="dxa"/>
              <w:bottom w:w="43" w:type="dxa"/>
              <w:right w:w="43" w:type="dxa"/>
            </w:tcMar>
            <w:vAlign w:val="bottom"/>
          </w:tcPr>
          <w:p w14:paraId="45177A43" w14:textId="77777777" w:rsidR="00D60186" w:rsidRPr="008D6210" w:rsidRDefault="00D60186" w:rsidP="0052516A">
            <w:pPr>
              <w:jc w:val="right"/>
              <w:rPr>
                <w:sz w:val="21"/>
                <w:szCs w:val="21"/>
              </w:rPr>
            </w:pPr>
            <w:r w:rsidRPr="008D6210">
              <w:rPr>
                <w:sz w:val="21"/>
                <w:szCs w:val="21"/>
              </w:rPr>
              <w:t>20 713</w:t>
            </w:r>
          </w:p>
        </w:tc>
        <w:tc>
          <w:tcPr>
            <w:tcW w:w="1000" w:type="dxa"/>
            <w:tcBorders>
              <w:top w:val="nil"/>
              <w:left w:val="nil"/>
              <w:bottom w:val="nil"/>
              <w:right w:val="nil"/>
            </w:tcBorders>
            <w:tcMar>
              <w:top w:w="128" w:type="dxa"/>
              <w:left w:w="43" w:type="dxa"/>
              <w:bottom w:w="43" w:type="dxa"/>
              <w:right w:w="43" w:type="dxa"/>
            </w:tcMar>
            <w:vAlign w:val="bottom"/>
          </w:tcPr>
          <w:p w14:paraId="30BA28FE" w14:textId="77777777" w:rsidR="00D60186" w:rsidRPr="008D6210" w:rsidRDefault="00D60186" w:rsidP="0052516A">
            <w:pPr>
              <w:jc w:val="right"/>
              <w:rPr>
                <w:sz w:val="21"/>
                <w:szCs w:val="21"/>
              </w:rPr>
            </w:pPr>
            <w:r w:rsidRPr="008D6210">
              <w:rPr>
                <w:sz w:val="21"/>
                <w:szCs w:val="21"/>
              </w:rPr>
              <w:t>8,4</w:t>
            </w:r>
          </w:p>
        </w:tc>
      </w:tr>
      <w:tr w:rsidR="00E76DC8" w:rsidRPr="00225D4D" w14:paraId="6CF5E7D4" w14:textId="77777777">
        <w:trPr>
          <w:trHeight w:val="380"/>
        </w:trPr>
        <w:tc>
          <w:tcPr>
            <w:tcW w:w="1600" w:type="dxa"/>
            <w:tcBorders>
              <w:top w:val="nil"/>
              <w:left w:val="nil"/>
              <w:bottom w:val="nil"/>
              <w:right w:val="nil"/>
            </w:tcBorders>
            <w:tcMar>
              <w:top w:w="128" w:type="dxa"/>
              <w:left w:w="43" w:type="dxa"/>
              <w:bottom w:w="43" w:type="dxa"/>
              <w:right w:w="43" w:type="dxa"/>
            </w:tcMar>
          </w:tcPr>
          <w:p w14:paraId="13F2403D" w14:textId="77777777" w:rsidR="00D60186" w:rsidRPr="008D6210" w:rsidRDefault="00D60186" w:rsidP="00225D4D">
            <w:pPr>
              <w:rPr>
                <w:sz w:val="21"/>
                <w:szCs w:val="21"/>
              </w:rPr>
            </w:pPr>
            <w:r w:rsidRPr="008D6210">
              <w:rPr>
                <w:sz w:val="21"/>
                <w:szCs w:val="21"/>
              </w:rPr>
              <w:t>2022–23</w:t>
            </w:r>
          </w:p>
        </w:tc>
        <w:tc>
          <w:tcPr>
            <w:tcW w:w="1000" w:type="dxa"/>
            <w:tcBorders>
              <w:top w:val="nil"/>
              <w:left w:val="nil"/>
              <w:bottom w:val="nil"/>
              <w:right w:val="nil"/>
            </w:tcBorders>
            <w:tcMar>
              <w:top w:w="128" w:type="dxa"/>
              <w:left w:w="43" w:type="dxa"/>
              <w:bottom w:w="43" w:type="dxa"/>
              <w:right w:w="43" w:type="dxa"/>
            </w:tcMar>
            <w:vAlign w:val="bottom"/>
          </w:tcPr>
          <w:p w14:paraId="4F9716E3" w14:textId="77777777" w:rsidR="00D60186" w:rsidRPr="008D6210" w:rsidRDefault="00D60186" w:rsidP="0052516A">
            <w:pPr>
              <w:jc w:val="right"/>
              <w:rPr>
                <w:sz w:val="21"/>
                <w:szCs w:val="21"/>
              </w:rPr>
            </w:pPr>
            <w:r w:rsidRPr="008D6210">
              <w:rPr>
                <w:sz w:val="21"/>
                <w:szCs w:val="21"/>
              </w:rPr>
              <w:t>165 045</w:t>
            </w:r>
          </w:p>
        </w:tc>
        <w:tc>
          <w:tcPr>
            <w:tcW w:w="1000" w:type="dxa"/>
            <w:tcBorders>
              <w:top w:val="nil"/>
              <w:left w:val="nil"/>
              <w:bottom w:val="nil"/>
              <w:right w:val="nil"/>
            </w:tcBorders>
            <w:tcMar>
              <w:top w:w="128" w:type="dxa"/>
              <w:left w:w="43" w:type="dxa"/>
              <w:bottom w:w="43" w:type="dxa"/>
              <w:right w:w="43" w:type="dxa"/>
            </w:tcMar>
            <w:vAlign w:val="bottom"/>
          </w:tcPr>
          <w:p w14:paraId="7255DB2D" w14:textId="77777777" w:rsidR="00D60186" w:rsidRPr="008D6210" w:rsidRDefault="00D60186" w:rsidP="0052516A">
            <w:pPr>
              <w:jc w:val="right"/>
              <w:rPr>
                <w:sz w:val="21"/>
                <w:szCs w:val="21"/>
              </w:rPr>
            </w:pPr>
            <w:r w:rsidRPr="008D6210">
              <w:rPr>
                <w:sz w:val="21"/>
                <w:szCs w:val="21"/>
              </w:rPr>
              <w:t>19 384</w:t>
            </w:r>
          </w:p>
        </w:tc>
        <w:tc>
          <w:tcPr>
            <w:tcW w:w="1000" w:type="dxa"/>
            <w:tcBorders>
              <w:top w:val="nil"/>
              <w:left w:val="nil"/>
              <w:bottom w:val="nil"/>
              <w:right w:val="nil"/>
            </w:tcBorders>
            <w:tcMar>
              <w:top w:w="128" w:type="dxa"/>
              <w:left w:w="43" w:type="dxa"/>
              <w:bottom w:w="43" w:type="dxa"/>
              <w:right w:w="43" w:type="dxa"/>
            </w:tcMar>
            <w:vAlign w:val="bottom"/>
          </w:tcPr>
          <w:p w14:paraId="62C64FF2" w14:textId="77777777" w:rsidR="00D60186" w:rsidRPr="008D6210" w:rsidRDefault="00D60186" w:rsidP="0052516A">
            <w:pPr>
              <w:jc w:val="right"/>
              <w:rPr>
                <w:sz w:val="21"/>
                <w:szCs w:val="21"/>
              </w:rPr>
            </w:pPr>
            <w:r w:rsidRPr="008D6210">
              <w:rPr>
                <w:sz w:val="21"/>
                <w:szCs w:val="21"/>
              </w:rPr>
              <w:t>8,5</w:t>
            </w:r>
          </w:p>
        </w:tc>
      </w:tr>
      <w:tr w:rsidR="00E76DC8" w:rsidRPr="00225D4D" w14:paraId="480B1345" w14:textId="77777777">
        <w:trPr>
          <w:trHeight w:val="380"/>
        </w:trPr>
        <w:tc>
          <w:tcPr>
            <w:tcW w:w="1600" w:type="dxa"/>
            <w:tcBorders>
              <w:top w:val="nil"/>
              <w:left w:val="nil"/>
              <w:bottom w:val="single" w:sz="4" w:space="0" w:color="000000"/>
              <w:right w:val="nil"/>
            </w:tcBorders>
            <w:tcMar>
              <w:top w:w="128" w:type="dxa"/>
              <w:left w:w="43" w:type="dxa"/>
              <w:bottom w:w="43" w:type="dxa"/>
              <w:right w:w="43" w:type="dxa"/>
            </w:tcMar>
          </w:tcPr>
          <w:p w14:paraId="30CBA5F4" w14:textId="77777777" w:rsidR="00D60186" w:rsidRPr="008D6210" w:rsidRDefault="00D60186" w:rsidP="00225D4D">
            <w:pPr>
              <w:rPr>
                <w:sz w:val="21"/>
                <w:szCs w:val="21"/>
              </w:rPr>
            </w:pPr>
            <w:r w:rsidRPr="008D6210">
              <w:rPr>
                <w:sz w:val="21"/>
                <w:szCs w:val="21"/>
              </w:rPr>
              <w:t>2021–22</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0FAA57E3" w14:textId="77777777" w:rsidR="00D60186" w:rsidRPr="008D6210" w:rsidRDefault="00D60186" w:rsidP="0052516A">
            <w:pPr>
              <w:jc w:val="right"/>
              <w:rPr>
                <w:sz w:val="21"/>
                <w:szCs w:val="21"/>
              </w:rPr>
            </w:pPr>
            <w:r w:rsidRPr="008D6210">
              <w:rPr>
                <w:sz w:val="21"/>
                <w:szCs w:val="21"/>
              </w:rPr>
              <w:t>152 955</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14FA5591" w14:textId="77777777" w:rsidR="00D60186" w:rsidRPr="008D6210" w:rsidRDefault="00D60186" w:rsidP="0052516A">
            <w:pPr>
              <w:jc w:val="right"/>
              <w:rPr>
                <w:sz w:val="21"/>
                <w:szCs w:val="21"/>
              </w:rPr>
            </w:pPr>
            <w:r w:rsidRPr="008D6210">
              <w:rPr>
                <w:sz w:val="21"/>
                <w:szCs w:val="21"/>
              </w:rPr>
              <w:t>18 876</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62B154B2" w14:textId="77777777" w:rsidR="00D60186" w:rsidRPr="008D6210" w:rsidRDefault="00D60186" w:rsidP="0052516A">
            <w:pPr>
              <w:jc w:val="right"/>
              <w:rPr>
                <w:sz w:val="21"/>
                <w:szCs w:val="21"/>
              </w:rPr>
            </w:pPr>
            <w:r w:rsidRPr="008D6210">
              <w:rPr>
                <w:sz w:val="21"/>
                <w:szCs w:val="21"/>
              </w:rPr>
              <w:t>8,1</w:t>
            </w:r>
          </w:p>
        </w:tc>
      </w:tr>
    </w:tbl>
    <w:p w14:paraId="4EAE6E5E" w14:textId="77777777" w:rsidR="00D60186" w:rsidRPr="00225D4D" w:rsidRDefault="00D60186" w:rsidP="00225D4D">
      <w:pPr>
        <w:pStyle w:val="tabell-noter"/>
        <w:rPr>
          <w:rStyle w:val="skrift-hevet"/>
        </w:rPr>
      </w:pPr>
      <w:r w:rsidRPr="00225D4D">
        <w:rPr>
          <w:rStyle w:val="skrift-hevet"/>
        </w:rPr>
        <w:t>1</w:t>
      </w:r>
      <w:r w:rsidRPr="00225D4D">
        <w:tab/>
        <w:t xml:space="preserve">Barn per tilsett er ei </w:t>
      </w:r>
      <w:proofErr w:type="spellStart"/>
      <w:r w:rsidRPr="00225D4D">
        <w:t>berekning</w:t>
      </w:r>
      <w:proofErr w:type="spellEnd"/>
      <w:r w:rsidRPr="00225D4D">
        <w:t xml:space="preserve"> </w:t>
      </w:r>
      <w:proofErr w:type="spellStart"/>
      <w:r w:rsidRPr="00225D4D">
        <w:t>frå</w:t>
      </w:r>
      <w:proofErr w:type="spellEnd"/>
      <w:r w:rsidRPr="00225D4D">
        <w:t xml:space="preserve"> Kunnskapsdepartementet og </w:t>
      </w:r>
      <w:proofErr w:type="spellStart"/>
      <w:r w:rsidRPr="00225D4D">
        <w:t>ikkje</w:t>
      </w:r>
      <w:proofErr w:type="spellEnd"/>
      <w:r w:rsidRPr="00225D4D">
        <w:t xml:space="preserve"> </w:t>
      </w:r>
      <w:proofErr w:type="spellStart"/>
      <w:r w:rsidRPr="00225D4D">
        <w:t>ein</w:t>
      </w:r>
      <w:proofErr w:type="spellEnd"/>
      <w:r w:rsidRPr="00225D4D">
        <w:t xml:space="preserve"> indikator som blir publisert av Utdanningsdirektoratet.</w:t>
      </w:r>
    </w:p>
    <w:p w14:paraId="14CCDFFF" w14:textId="77777777" w:rsidR="00D60186" w:rsidRPr="00225D4D" w:rsidRDefault="00D60186" w:rsidP="008D6210">
      <w:pPr>
        <w:pStyle w:val="Kilde"/>
      </w:pPr>
      <w:r w:rsidRPr="00225D4D">
        <w:t>Kjelde: GSI</w:t>
      </w:r>
    </w:p>
    <w:p w14:paraId="12B9F6EE" w14:textId="77777777" w:rsidR="00D60186" w:rsidRPr="00225D4D" w:rsidRDefault="00D60186" w:rsidP="00225D4D">
      <w:r w:rsidRPr="00225D4D">
        <w:t xml:space="preserve">SSB har våren 2025 publisert </w:t>
      </w:r>
      <w:proofErr w:type="spellStart"/>
      <w:r w:rsidRPr="00225D4D">
        <w:t>ein</w:t>
      </w:r>
      <w:proofErr w:type="spellEnd"/>
      <w:r w:rsidRPr="00225D4D">
        <w:t xml:space="preserve"> artikkel på nettstaden sin der </w:t>
      </w:r>
      <w:proofErr w:type="spellStart"/>
      <w:r w:rsidRPr="00225D4D">
        <w:t>dei</w:t>
      </w:r>
      <w:proofErr w:type="spellEnd"/>
      <w:r w:rsidRPr="00225D4D">
        <w:t xml:space="preserve"> analyserer tal om SFO </w:t>
      </w:r>
      <w:proofErr w:type="spellStart"/>
      <w:r w:rsidRPr="00225D4D">
        <w:t>frå</w:t>
      </w:r>
      <w:proofErr w:type="spellEnd"/>
      <w:r w:rsidRPr="00225D4D">
        <w:t xml:space="preserve"> ulike kjelder, jf. </w:t>
      </w:r>
      <w:r w:rsidRPr="00225D4D">
        <w:rPr>
          <w:rStyle w:val="kursiv"/>
        </w:rPr>
        <w:t>Flere barn i SFO etter innføring av gratis deltid</w:t>
      </w:r>
      <w:r w:rsidRPr="00225D4D">
        <w:t xml:space="preserve">. Basert på tal </w:t>
      </w:r>
      <w:proofErr w:type="spellStart"/>
      <w:r w:rsidRPr="00225D4D">
        <w:t>frå</w:t>
      </w:r>
      <w:proofErr w:type="spellEnd"/>
      <w:r w:rsidRPr="00225D4D">
        <w:t xml:space="preserve"> GSI kjem det fram at det er </w:t>
      </w:r>
      <w:proofErr w:type="spellStart"/>
      <w:r w:rsidRPr="00225D4D">
        <w:t>fleire</w:t>
      </w:r>
      <w:proofErr w:type="spellEnd"/>
      <w:r w:rsidRPr="00225D4D">
        <w:t xml:space="preserve"> barn per tilsett i </w:t>
      </w:r>
      <w:proofErr w:type="spellStart"/>
      <w:r w:rsidRPr="00225D4D">
        <w:t>dei</w:t>
      </w:r>
      <w:proofErr w:type="spellEnd"/>
      <w:r w:rsidRPr="00225D4D">
        <w:t xml:space="preserve"> sentrale </w:t>
      </w:r>
      <w:proofErr w:type="spellStart"/>
      <w:r w:rsidRPr="00225D4D">
        <w:t>kommunane</w:t>
      </w:r>
      <w:proofErr w:type="spellEnd"/>
      <w:r w:rsidRPr="00225D4D">
        <w:t xml:space="preserve"> enn i resten av landet. Medan snittet for heile landet var 8,1 barn per tilsett i 2021 og 8,9 barn per tilsett i 2024, var </w:t>
      </w:r>
      <w:proofErr w:type="spellStart"/>
      <w:r w:rsidRPr="00225D4D">
        <w:t>tilsvarande</w:t>
      </w:r>
      <w:proofErr w:type="spellEnd"/>
      <w:r w:rsidRPr="00225D4D">
        <w:t xml:space="preserve"> tal for sentrale </w:t>
      </w:r>
      <w:proofErr w:type="spellStart"/>
      <w:r w:rsidRPr="00225D4D">
        <w:t>kommunar</w:t>
      </w:r>
      <w:proofErr w:type="spellEnd"/>
      <w:r w:rsidRPr="00225D4D">
        <w:t xml:space="preserve"> 9,7 og 10,3 barn per tilsett i SFO. I </w:t>
      </w:r>
      <w:proofErr w:type="spellStart"/>
      <w:r w:rsidRPr="00225D4D">
        <w:t>distriktskommunane</w:t>
      </w:r>
      <w:proofErr w:type="spellEnd"/>
      <w:r w:rsidRPr="00225D4D">
        <w:t xml:space="preserve"> var det 5,2 barn per tilsett i 2021, og gjennomsnittet har </w:t>
      </w:r>
      <w:proofErr w:type="spellStart"/>
      <w:r w:rsidRPr="00225D4D">
        <w:t>auka</w:t>
      </w:r>
      <w:proofErr w:type="spellEnd"/>
      <w:r w:rsidRPr="00225D4D">
        <w:t xml:space="preserve"> til 6,1 barn per tilsett i 2024. SSB </w:t>
      </w:r>
      <w:proofErr w:type="spellStart"/>
      <w:r w:rsidRPr="00225D4D">
        <w:t>seier</w:t>
      </w:r>
      <w:proofErr w:type="spellEnd"/>
      <w:r w:rsidRPr="00225D4D">
        <w:t xml:space="preserve"> at </w:t>
      </w:r>
      <w:proofErr w:type="spellStart"/>
      <w:r w:rsidRPr="00225D4D">
        <w:t>talet</w:t>
      </w:r>
      <w:proofErr w:type="spellEnd"/>
      <w:r w:rsidRPr="00225D4D">
        <w:t xml:space="preserve"> på barn per tilsett kan </w:t>
      </w:r>
      <w:proofErr w:type="spellStart"/>
      <w:r w:rsidRPr="00225D4D">
        <w:t>vere</w:t>
      </w:r>
      <w:proofErr w:type="spellEnd"/>
      <w:r w:rsidRPr="00225D4D">
        <w:t xml:space="preserve"> </w:t>
      </w:r>
      <w:proofErr w:type="spellStart"/>
      <w:r w:rsidRPr="00225D4D">
        <w:t>påverka</w:t>
      </w:r>
      <w:proofErr w:type="spellEnd"/>
      <w:r w:rsidRPr="00225D4D">
        <w:t xml:space="preserve"> av skulestorleiken. Store </w:t>
      </w:r>
      <w:proofErr w:type="spellStart"/>
      <w:r w:rsidRPr="00225D4D">
        <w:t>skular</w:t>
      </w:r>
      <w:proofErr w:type="spellEnd"/>
      <w:r w:rsidRPr="00225D4D">
        <w:t xml:space="preserve"> vil til </w:t>
      </w:r>
      <w:proofErr w:type="gramStart"/>
      <w:r w:rsidRPr="00225D4D">
        <w:t>ei viss grad</w:t>
      </w:r>
      <w:proofErr w:type="gramEnd"/>
      <w:r w:rsidRPr="00225D4D">
        <w:t xml:space="preserve"> kunne dra nytte av </w:t>
      </w:r>
      <w:proofErr w:type="spellStart"/>
      <w:r w:rsidRPr="00225D4D">
        <w:t>stordriftsfordelar</w:t>
      </w:r>
      <w:proofErr w:type="spellEnd"/>
      <w:r w:rsidRPr="00225D4D">
        <w:t xml:space="preserve"> og </w:t>
      </w:r>
      <w:proofErr w:type="spellStart"/>
      <w:r w:rsidRPr="00225D4D">
        <w:t>setje</w:t>
      </w:r>
      <w:proofErr w:type="spellEnd"/>
      <w:r w:rsidRPr="00225D4D">
        <w:t xml:space="preserve"> </w:t>
      </w:r>
      <w:proofErr w:type="spellStart"/>
      <w:r w:rsidRPr="00225D4D">
        <w:t>saman</w:t>
      </w:r>
      <w:proofErr w:type="spellEnd"/>
      <w:r w:rsidRPr="00225D4D">
        <w:t xml:space="preserve"> elevgrupper slik at det trengs færre tilsette for å tilfredsstille alle behova.</w:t>
      </w:r>
    </w:p>
    <w:p w14:paraId="0342D245" w14:textId="77777777" w:rsidR="00D60186" w:rsidRPr="00225D4D" w:rsidRDefault="00D60186" w:rsidP="00225D4D">
      <w:r w:rsidRPr="00225D4D">
        <w:t xml:space="preserve">I </w:t>
      </w:r>
      <w:r w:rsidRPr="00225D4D">
        <w:rPr>
          <w:rStyle w:val="kursiv"/>
        </w:rPr>
        <w:t>Innføring av rammeplan i SFO – Sluttrapport fra evalueringen av de første årene med rammeplan</w:t>
      </w:r>
      <w:r w:rsidRPr="00225D4D">
        <w:t xml:space="preserve"> kjem det fram at SFO-ar opplevde at det var </w:t>
      </w:r>
      <w:proofErr w:type="spellStart"/>
      <w:r w:rsidRPr="00225D4D">
        <w:t>fleire</w:t>
      </w:r>
      <w:proofErr w:type="spellEnd"/>
      <w:r w:rsidRPr="00225D4D">
        <w:t xml:space="preserve"> barn i SFO, </w:t>
      </w:r>
      <w:proofErr w:type="spellStart"/>
      <w:r w:rsidRPr="00225D4D">
        <w:t>utan</w:t>
      </w:r>
      <w:proofErr w:type="spellEnd"/>
      <w:r w:rsidRPr="00225D4D">
        <w:t xml:space="preserve"> at det </w:t>
      </w:r>
      <w:proofErr w:type="spellStart"/>
      <w:r w:rsidRPr="00225D4D">
        <w:t>følgde</w:t>
      </w:r>
      <w:proofErr w:type="spellEnd"/>
      <w:r w:rsidRPr="00225D4D">
        <w:t xml:space="preserve"> med </w:t>
      </w:r>
      <w:proofErr w:type="spellStart"/>
      <w:r w:rsidRPr="00225D4D">
        <w:t>meir</w:t>
      </w:r>
      <w:proofErr w:type="spellEnd"/>
      <w:r w:rsidRPr="00225D4D">
        <w:t xml:space="preserve"> </w:t>
      </w:r>
      <w:proofErr w:type="spellStart"/>
      <w:r w:rsidRPr="00225D4D">
        <w:t>personalressursar</w:t>
      </w:r>
      <w:proofErr w:type="spellEnd"/>
      <w:r w:rsidRPr="00225D4D">
        <w:t xml:space="preserve">. I denne undersøkinga trekker mange tilsette fram det </w:t>
      </w:r>
      <w:proofErr w:type="spellStart"/>
      <w:r w:rsidRPr="00225D4D">
        <w:t>auka</w:t>
      </w:r>
      <w:proofErr w:type="spellEnd"/>
      <w:r w:rsidRPr="00225D4D">
        <w:t xml:space="preserve"> </w:t>
      </w:r>
      <w:proofErr w:type="spellStart"/>
      <w:r w:rsidRPr="00225D4D">
        <w:t>talet</w:t>
      </w:r>
      <w:proofErr w:type="spellEnd"/>
      <w:r w:rsidRPr="00225D4D">
        <w:t xml:space="preserve"> på barn som negativt, fordi det er </w:t>
      </w:r>
      <w:proofErr w:type="spellStart"/>
      <w:r w:rsidRPr="00225D4D">
        <w:t>dårlegare</w:t>
      </w:r>
      <w:proofErr w:type="spellEnd"/>
      <w:r w:rsidRPr="00225D4D">
        <w:t xml:space="preserve"> fysisk plass på SFO, og fordi bemanningstettleiken blir </w:t>
      </w:r>
      <w:proofErr w:type="spellStart"/>
      <w:r w:rsidRPr="00225D4D">
        <w:t>lågare</w:t>
      </w:r>
      <w:proofErr w:type="spellEnd"/>
      <w:r w:rsidRPr="00225D4D">
        <w:t>.</w:t>
      </w:r>
    </w:p>
    <w:p w14:paraId="35895152" w14:textId="77777777" w:rsidR="00D60186" w:rsidRPr="00225D4D" w:rsidRDefault="00D60186" w:rsidP="00225D4D">
      <w:r w:rsidRPr="00225D4D">
        <w:t xml:space="preserve">I </w:t>
      </w:r>
      <w:r w:rsidRPr="00225D4D">
        <w:rPr>
          <w:rStyle w:val="kursiv"/>
        </w:rPr>
        <w:t>Spørsmål til Skole-Norge</w:t>
      </w:r>
      <w:r w:rsidRPr="00225D4D">
        <w:t xml:space="preserve"> våren 2025 blei </w:t>
      </w:r>
      <w:proofErr w:type="spellStart"/>
      <w:r w:rsidRPr="00225D4D">
        <w:t>skuleeigarane</w:t>
      </w:r>
      <w:proofErr w:type="spellEnd"/>
      <w:r w:rsidRPr="00225D4D">
        <w:t xml:space="preserve"> og </w:t>
      </w:r>
      <w:proofErr w:type="spellStart"/>
      <w:r w:rsidRPr="00225D4D">
        <w:t>skuleleiarane</w:t>
      </w:r>
      <w:proofErr w:type="spellEnd"/>
      <w:r w:rsidRPr="00225D4D">
        <w:t xml:space="preserve"> i </w:t>
      </w:r>
      <w:proofErr w:type="spellStart"/>
      <w:r w:rsidRPr="00225D4D">
        <w:t>grunnskulen</w:t>
      </w:r>
      <w:proofErr w:type="spellEnd"/>
      <w:r w:rsidRPr="00225D4D">
        <w:t xml:space="preserve"> </w:t>
      </w:r>
      <w:proofErr w:type="spellStart"/>
      <w:r w:rsidRPr="00225D4D">
        <w:t>spurde</w:t>
      </w:r>
      <w:proofErr w:type="spellEnd"/>
      <w:r w:rsidRPr="00225D4D">
        <w:t xml:space="preserve"> om </w:t>
      </w:r>
      <w:proofErr w:type="spellStart"/>
      <w:r w:rsidRPr="00225D4D">
        <w:t>dei</w:t>
      </w:r>
      <w:proofErr w:type="spellEnd"/>
      <w:r w:rsidRPr="00225D4D">
        <w:t xml:space="preserve"> hadde ei </w:t>
      </w:r>
      <w:proofErr w:type="spellStart"/>
      <w:r w:rsidRPr="00225D4D">
        <w:t>rettleiande</w:t>
      </w:r>
      <w:proofErr w:type="spellEnd"/>
      <w:r w:rsidRPr="00225D4D">
        <w:t xml:space="preserve"> bemanningsnorm for </w:t>
      </w:r>
      <w:proofErr w:type="spellStart"/>
      <w:r w:rsidRPr="00225D4D">
        <w:t>talet</w:t>
      </w:r>
      <w:proofErr w:type="spellEnd"/>
      <w:r w:rsidRPr="00225D4D">
        <w:t xml:space="preserve"> på </w:t>
      </w:r>
      <w:proofErr w:type="gramStart"/>
      <w:r w:rsidRPr="00225D4D">
        <w:t>tilsette</w:t>
      </w:r>
      <w:proofErr w:type="gramEnd"/>
      <w:r w:rsidRPr="00225D4D">
        <w:t xml:space="preserve"> i SFO. 75 pst. av </w:t>
      </w:r>
      <w:proofErr w:type="spellStart"/>
      <w:r w:rsidRPr="00225D4D">
        <w:t>skuleeigarane</w:t>
      </w:r>
      <w:proofErr w:type="spellEnd"/>
      <w:r w:rsidRPr="00225D4D">
        <w:t xml:space="preserve"> i </w:t>
      </w:r>
      <w:proofErr w:type="spellStart"/>
      <w:r w:rsidRPr="00225D4D">
        <w:t>kommunane</w:t>
      </w:r>
      <w:proofErr w:type="spellEnd"/>
      <w:r w:rsidRPr="00225D4D">
        <w:t xml:space="preserve"> svarte at </w:t>
      </w:r>
      <w:proofErr w:type="spellStart"/>
      <w:r w:rsidRPr="00225D4D">
        <w:t>dei</w:t>
      </w:r>
      <w:proofErr w:type="spellEnd"/>
      <w:r w:rsidRPr="00225D4D">
        <w:t xml:space="preserve"> har </w:t>
      </w:r>
      <w:proofErr w:type="gramStart"/>
      <w:r w:rsidRPr="00225D4D">
        <w:t>ei slik norm</w:t>
      </w:r>
      <w:proofErr w:type="gramEnd"/>
      <w:r w:rsidRPr="00225D4D">
        <w:t xml:space="preserve">, </w:t>
      </w:r>
      <w:proofErr w:type="spellStart"/>
      <w:r w:rsidRPr="00225D4D">
        <w:t>medan</w:t>
      </w:r>
      <w:proofErr w:type="spellEnd"/>
      <w:r w:rsidRPr="00225D4D">
        <w:t xml:space="preserve"> prosentdelen blant </w:t>
      </w:r>
      <w:proofErr w:type="spellStart"/>
      <w:r w:rsidRPr="00225D4D">
        <w:t>skuleleiarar</w:t>
      </w:r>
      <w:proofErr w:type="spellEnd"/>
      <w:r w:rsidRPr="00225D4D">
        <w:t xml:space="preserve"> i </w:t>
      </w:r>
      <w:proofErr w:type="spellStart"/>
      <w:r w:rsidRPr="00225D4D">
        <w:t>grunnskulen</w:t>
      </w:r>
      <w:proofErr w:type="spellEnd"/>
      <w:r w:rsidRPr="00225D4D">
        <w:t xml:space="preserve"> ligg </w:t>
      </w:r>
      <w:proofErr w:type="spellStart"/>
      <w:r w:rsidRPr="00225D4D">
        <w:t>noko</w:t>
      </w:r>
      <w:proofErr w:type="spellEnd"/>
      <w:r w:rsidRPr="00225D4D">
        <w:t xml:space="preserve"> </w:t>
      </w:r>
      <w:proofErr w:type="spellStart"/>
      <w:r w:rsidRPr="00225D4D">
        <w:t>lågare</w:t>
      </w:r>
      <w:proofErr w:type="spellEnd"/>
      <w:r w:rsidRPr="00225D4D">
        <w:t xml:space="preserve"> (57 pst.). Det </w:t>
      </w:r>
      <w:proofErr w:type="spellStart"/>
      <w:r w:rsidRPr="00225D4D">
        <w:t>vanlegaste</w:t>
      </w:r>
      <w:proofErr w:type="spellEnd"/>
      <w:r w:rsidRPr="00225D4D">
        <w:t xml:space="preserve"> er å ha ei </w:t>
      </w:r>
      <w:proofErr w:type="spellStart"/>
      <w:r w:rsidRPr="00225D4D">
        <w:t>rettleiande</w:t>
      </w:r>
      <w:proofErr w:type="spellEnd"/>
      <w:r w:rsidRPr="00225D4D">
        <w:t xml:space="preserve"> norm på 15 barn per tilsett på første trinn, og det nest </w:t>
      </w:r>
      <w:proofErr w:type="spellStart"/>
      <w:r w:rsidRPr="00225D4D">
        <w:t>vanlegaste</w:t>
      </w:r>
      <w:proofErr w:type="spellEnd"/>
      <w:r w:rsidRPr="00225D4D">
        <w:t xml:space="preserve"> er å ha </w:t>
      </w:r>
      <w:proofErr w:type="gramStart"/>
      <w:r w:rsidRPr="00225D4D">
        <w:t>ei norm</w:t>
      </w:r>
      <w:proofErr w:type="gramEnd"/>
      <w:r w:rsidRPr="00225D4D">
        <w:t xml:space="preserve"> på 12 barn per tilsett.</w:t>
      </w:r>
    </w:p>
    <w:p w14:paraId="70018FBB" w14:textId="77777777" w:rsidR="00D60186" w:rsidRPr="00225D4D" w:rsidRDefault="00D60186" w:rsidP="00225D4D">
      <w:r w:rsidRPr="00225D4D">
        <w:t xml:space="preserve">Etter budsjettforliket om statsbudsjettet for 2025 mellom Sosialistisk Venstreparti og regjeringspartia vart </w:t>
      </w:r>
      <w:proofErr w:type="spellStart"/>
      <w:r w:rsidRPr="00225D4D">
        <w:t>dei</w:t>
      </w:r>
      <w:proofErr w:type="spellEnd"/>
      <w:r w:rsidRPr="00225D4D">
        <w:t xml:space="preserve"> frie inntektene til </w:t>
      </w:r>
      <w:proofErr w:type="spellStart"/>
      <w:r w:rsidRPr="00225D4D">
        <w:t>kommunane</w:t>
      </w:r>
      <w:proofErr w:type="spellEnd"/>
      <w:r w:rsidRPr="00225D4D">
        <w:t xml:space="preserve"> </w:t>
      </w:r>
      <w:proofErr w:type="spellStart"/>
      <w:r w:rsidRPr="00225D4D">
        <w:t>auka</w:t>
      </w:r>
      <w:proofErr w:type="spellEnd"/>
      <w:r w:rsidRPr="00225D4D">
        <w:t xml:space="preserve"> med 550 mill. kroner for å styrke bemanninga i SFO.</w:t>
      </w:r>
    </w:p>
    <w:p w14:paraId="06F3DAB8" w14:textId="77777777" w:rsidR="00D60186" w:rsidRPr="00225D4D" w:rsidRDefault="00D60186" w:rsidP="00225D4D">
      <w:pPr>
        <w:pStyle w:val="avsnitt-under-undertittel"/>
      </w:pPr>
      <w:r w:rsidRPr="00225D4D">
        <w:t>Den formelle kompetansen til SFO-</w:t>
      </w:r>
      <w:proofErr w:type="spellStart"/>
      <w:r w:rsidRPr="00225D4D">
        <w:t>leiaren</w:t>
      </w:r>
      <w:proofErr w:type="spellEnd"/>
    </w:p>
    <w:p w14:paraId="541A79F8" w14:textId="77777777" w:rsidR="00D60186" w:rsidRPr="00225D4D" w:rsidRDefault="00D60186" w:rsidP="00225D4D">
      <w:r w:rsidRPr="00225D4D">
        <w:t xml:space="preserve">I </w:t>
      </w:r>
      <w:r w:rsidRPr="00225D4D">
        <w:rPr>
          <w:rStyle w:val="kursiv"/>
        </w:rPr>
        <w:t>Spørsmål til Skole-Norg</w:t>
      </w:r>
      <w:r w:rsidRPr="00225D4D">
        <w:t xml:space="preserve">e våren 2025 blei </w:t>
      </w:r>
      <w:proofErr w:type="spellStart"/>
      <w:r w:rsidRPr="00225D4D">
        <w:t>skuleleiarar</w:t>
      </w:r>
      <w:proofErr w:type="spellEnd"/>
      <w:r w:rsidRPr="00225D4D">
        <w:t xml:space="preserve"> i </w:t>
      </w:r>
      <w:proofErr w:type="spellStart"/>
      <w:r w:rsidRPr="00225D4D">
        <w:t>grunnskulen</w:t>
      </w:r>
      <w:proofErr w:type="spellEnd"/>
      <w:r w:rsidRPr="00225D4D">
        <w:t xml:space="preserve"> </w:t>
      </w:r>
      <w:proofErr w:type="spellStart"/>
      <w:r w:rsidRPr="00225D4D">
        <w:t>spurde</w:t>
      </w:r>
      <w:proofErr w:type="spellEnd"/>
      <w:r w:rsidRPr="00225D4D">
        <w:t xml:space="preserve"> om kva utdanningsbakgrunn </w:t>
      </w:r>
      <w:proofErr w:type="spellStart"/>
      <w:r w:rsidRPr="00225D4D">
        <w:t>leiaren</w:t>
      </w:r>
      <w:proofErr w:type="spellEnd"/>
      <w:r w:rsidRPr="00225D4D">
        <w:t xml:space="preserve"> i SFO har. Rundt seks av ti </w:t>
      </w:r>
      <w:proofErr w:type="spellStart"/>
      <w:r w:rsidRPr="00225D4D">
        <w:t>skuleleiarar</w:t>
      </w:r>
      <w:proofErr w:type="spellEnd"/>
      <w:r w:rsidRPr="00225D4D">
        <w:t xml:space="preserve"> svarte at </w:t>
      </w:r>
      <w:proofErr w:type="spellStart"/>
      <w:r w:rsidRPr="00225D4D">
        <w:t>leiarar</w:t>
      </w:r>
      <w:proofErr w:type="spellEnd"/>
      <w:r w:rsidRPr="00225D4D">
        <w:t xml:space="preserve"> i SFO har </w:t>
      </w:r>
      <w:proofErr w:type="spellStart"/>
      <w:r w:rsidRPr="00225D4D">
        <w:t>høgare</w:t>
      </w:r>
      <w:proofErr w:type="spellEnd"/>
      <w:r w:rsidRPr="00225D4D">
        <w:t xml:space="preserve"> pedagogisk utdanning, </w:t>
      </w:r>
      <w:proofErr w:type="spellStart"/>
      <w:r w:rsidRPr="00225D4D">
        <w:t>medan</w:t>
      </w:r>
      <w:proofErr w:type="spellEnd"/>
      <w:r w:rsidRPr="00225D4D">
        <w:t xml:space="preserve"> om lag </w:t>
      </w:r>
      <w:proofErr w:type="spellStart"/>
      <w:r w:rsidRPr="00225D4D">
        <w:t>éin</w:t>
      </w:r>
      <w:proofErr w:type="spellEnd"/>
      <w:r w:rsidRPr="00225D4D">
        <w:t xml:space="preserve"> av fire har fagbrev som barne- og </w:t>
      </w:r>
      <w:proofErr w:type="spellStart"/>
      <w:r w:rsidRPr="00225D4D">
        <w:t>ungdomsarbeidar</w:t>
      </w:r>
      <w:proofErr w:type="spellEnd"/>
      <w:r w:rsidRPr="00225D4D">
        <w:t xml:space="preserve">. Anna </w:t>
      </w:r>
      <w:proofErr w:type="spellStart"/>
      <w:r w:rsidRPr="00225D4D">
        <w:t>høgare</w:t>
      </w:r>
      <w:proofErr w:type="spellEnd"/>
      <w:r w:rsidRPr="00225D4D">
        <w:t xml:space="preserve"> utdanning, </w:t>
      </w:r>
      <w:proofErr w:type="spellStart"/>
      <w:r w:rsidRPr="00225D4D">
        <w:t>fagskuleutdanning</w:t>
      </w:r>
      <w:proofErr w:type="spellEnd"/>
      <w:r w:rsidRPr="00225D4D">
        <w:t xml:space="preserve"> og anna </w:t>
      </w:r>
      <w:proofErr w:type="spellStart"/>
      <w:r w:rsidRPr="00225D4D">
        <w:t>vidaregåande</w:t>
      </w:r>
      <w:proofErr w:type="spellEnd"/>
      <w:r w:rsidRPr="00225D4D">
        <w:t xml:space="preserve"> utdanning er mindre </w:t>
      </w:r>
      <w:proofErr w:type="spellStart"/>
      <w:r w:rsidRPr="00225D4D">
        <w:t>utbreidd</w:t>
      </w:r>
      <w:proofErr w:type="spellEnd"/>
      <w:r w:rsidRPr="00225D4D">
        <w:t xml:space="preserve">, og ingen av </w:t>
      </w:r>
      <w:proofErr w:type="spellStart"/>
      <w:r w:rsidRPr="00225D4D">
        <w:t>desse</w:t>
      </w:r>
      <w:proofErr w:type="spellEnd"/>
      <w:r w:rsidRPr="00225D4D">
        <w:t xml:space="preserve"> gruppene overstig 10 pst. Det er </w:t>
      </w:r>
      <w:proofErr w:type="spellStart"/>
      <w:r w:rsidRPr="00225D4D">
        <w:t>vanlegast</w:t>
      </w:r>
      <w:proofErr w:type="spellEnd"/>
      <w:r w:rsidRPr="00225D4D">
        <w:t xml:space="preserve"> at SFO-</w:t>
      </w:r>
      <w:proofErr w:type="spellStart"/>
      <w:r w:rsidRPr="00225D4D">
        <w:t>leiaren</w:t>
      </w:r>
      <w:proofErr w:type="spellEnd"/>
      <w:r w:rsidRPr="00225D4D">
        <w:t xml:space="preserve"> har </w:t>
      </w:r>
      <w:proofErr w:type="spellStart"/>
      <w:r w:rsidRPr="00225D4D">
        <w:t>høgare</w:t>
      </w:r>
      <w:proofErr w:type="spellEnd"/>
      <w:r w:rsidRPr="00225D4D">
        <w:t xml:space="preserve"> pedagogisk utdanning i </w:t>
      </w:r>
      <w:proofErr w:type="spellStart"/>
      <w:r w:rsidRPr="00225D4D">
        <w:t>dei</w:t>
      </w:r>
      <w:proofErr w:type="spellEnd"/>
      <w:r w:rsidRPr="00225D4D">
        <w:t xml:space="preserve"> større </w:t>
      </w:r>
      <w:proofErr w:type="spellStart"/>
      <w:r w:rsidRPr="00225D4D">
        <w:t>kommunane</w:t>
      </w:r>
      <w:proofErr w:type="spellEnd"/>
      <w:r w:rsidRPr="00225D4D">
        <w:t xml:space="preserve"> og </w:t>
      </w:r>
      <w:proofErr w:type="spellStart"/>
      <w:r w:rsidRPr="00225D4D">
        <w:t>dei</w:t>
      </w:r>
      <w:proofErr w:type="spellEnd"/>
      <w:r w:rsidRPr="00225D4D">
        <w:t xml:space="preserve"> mest sentrale </w:t>
      </w:r>
      <w:proofErr w:type="spellStart"/>
      <w:r w:rsidRPr="00225D4D">
        <w:t>kommunane</w:t>
      </w:r>
      <w:proofErr w:type="spellEnd"/>
      <w:r w:rsidRPr="00225D4D">
        <w:t>.</w:t>
      </w:r>
    </w:p>
    <w:p w14:paraId="6F48DB61" w14:textId="5915148B" w:rsidR="002D4C2A" w:rsidRPr="00225D4D" w:rsidRDefault="002D4C2A" w:rsidP="00225D4D">
      <w:pPr>
        <w:pStyle w:val="tabell-tittel"/>
      </w:pPr>
      <w:r w:rsidRPr="00225D4D">
        <w:t>Utdanningsbakgrunn til SFO-</w:t>
      </w:r>
      <w:proofErr w:type="spellStart"/>
      <w:r w:rsidRPr="00225D4D">
        <w:t>leiaren</w:t>
      </w:r>
      <w:proofErr w:type="spellEnd"/>
    </w:p>
    <w:p w14:paraId="16C5F09E" w14:textId="77777777" w:rsidR="00D60186" w:rsidRPr="00225D4D" w:rsidRDefault="00D60186" w:rsidP="00225D4D">
      <w:pPr>
        <w:pStyle w:val="Tabellnavn"/>
      </w:pPr>
      <w:r w:rsidRPr="00225D4D">
        <w:t>02J1xt1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160"/>
        <w:gridCol w:w="1400"/>
      </w:tblGrid>
      <w:tr w:rsidR="00E76DC8" w:rsidRPr="002C641A" w14:paraId="5290CB85" w14:textId="77777777">
        <w:trPr>
          <w:trHeight w:val="360"/>
        </w:trPr>
        <w:tc>
          <w:tcPr>
            <w:tcW w:w="3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6C09C2" w14:textId="77777777" w:rsidR="00D60186" w:rsidRPr="002C641A" w:rsidRDefault="00D60186" w:rsidP="00225D4D">
            <w:pPr>
              <w:rPr>
                <w:sz w:val="21"/>
                <w:szCs w:val="21"/>
              </w:rPr>
            </w:pPr>
            <w:r w:rsidRPr="002C641A">
              <w:rPr>
                <w:sz w:val="21"/>
                <w:szCs w:val="21"/>
              </w:rPr>
              <w:t>Utdanningsbakgrunn til SFO-</w:t>
            </w:r>
            <w:proofErr w:type="spellStart"/>
            <w:r w:rsidRPr="002C641A">
              <w:rPr>
                <w:sz w:val="21"/>
                <w:szCs w:val="21"/>
              </w:rPr>
              <w:t>leiar</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BF50EF" w14:textId="77777777" w:rsidR="00D60186" w:rsidRPr="002C641A" w:rsidRDefault="00D60186" w:rsidP="0052516A">
            <w:pPr>
              <w:jc w:val="right"/>
              <w:rPr>
                <w:sz w:val="21"/>
                <w:szCs w:val="21"/>
              </w:rPr>
            </w:pPr>
            <w:r w:rsidRPr="002C641A">
              <w:rPr>
                <w:sz w:val="21"/>
                <w:szCs w:val="21"/>
              </w:rPr>
              <w:t>Prosentdel</w:t>
            </w:r>
          </w:p>
        </w:tc>
      </w:tr>
      <w:tr w:rsidR="00E76DC8" w:rsidRPr="00225D4D" w14:paraId="3D062E8B" w14:textId="77777777">
        <w:trPr>
          <w:trHeight w:val="380"/>
        </w:trPr>
        <w:tc>
          <w:tcPr>
            <w:tcW w:w="3160" w:type="dxa"/>
            <w:tcBorders>
              <w:top w:val="single" w:sz="4" w:space="0" w:color="000000"/>
              <w:left w:val="nil"/>
              <w:bottom w:val="nil"/>
              <w:right w:val="nil"/>
            </w:tcBorders>
            <w:tcMar>
              <w:top w:w="128" w:type="dxa"/>
              <w:left w:w="43" w:type="dxa"/>
              <w:bottom w:w="43" w:type="dxa"/>
              <w:right w:w="43" w:type="dxa"/>
            </w:tcMar>
          </w:tcPr>
          <w:p w14:paraId="17DCA056" w14:textId="77777777" w:rsidR="00D60186" w:rsidRPr="0052516A" w:rsidRDefault="00D60186" w:rsidP="00225D4D">
            <w:pPr>
              <w:rPr>
                <w:sz w:val="21"/>
                <w:szCs w:val="21"/>
              </w:rPr>
            </w:pPr>
            <w:proofErr w:type="spellStart"/>
            <w:r w:rsidRPr="0052516A">
              <w:rPr>
                <w:sz w:val="21"/>
                <w:szCs w:val="21"/>
              </w:rPr>
              <w:t>Høgare</w:t>
            </w:r>
            <w:proofErr w:type="spellEnd"/>
            <w:r w:rsidRPr="0052516A">
              <w:rPr>
                <w:sz w:val="21"/>
                <w:szCs w:val="21"/>
              </w:rPr>
              <w:t xml:space="preserve"> pedagogisk utdanning</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5FFAFC1" w14:textId="77777777" w:rsidR="00D60186" w:rsidRPr="0052516A" w:rsidRDefault="00D60186" w:rsidP="0052516A">
            <w:pPr>
              <w:jc w:val="right"/>
              <w:rPr>
                <w:sz w:val="21"/>
                <w:szCs w:val="21"/>
              </w:rPr>
            </w:pPr>
            <w:r w:rsidRPr="0052516A">
              <w:rPr>
                <w:sz w:val="21"/>
                <w:szCs w:val="21"/>
              </w:rPr>
              <w:t>62</w:t>
            </w:r>
          </w:p>
        </w:tc>
      </w:tr>
      <w:tr w:rsidR="00E76DC8" w:rsidRPr="00225D4D" w14:paraId="732E4599" w14:textId="77777777">
        <w:trPr>
          <w:trHeight w:val="380"/>
        </w:trPr>
        <w:tc>
          <w:tcPr>
            <w:tcW w:w="3160" w:type="dxa"/>
            <w:tcBorders>
              <w:top w:val="nil"/>
              <w:left w:val="nil"/>
              <w:bottom w:val="nil"/>
              <w:right w:val="nil"/>
            </w:tcBorders>
            <w:tcMar>
              <w:top w:w="128" w:type="dxa"/>
              <w:left w:w="43" w:type="dxa"/>
              <w:bottom w:w="43" w:type="dxa"/>
              <w:right w:w="43" w:type="dxa"/>
            </w:tcMar>
          </w:tcPr>
          <w:p w14:paraId="31346383" w14:textId="77777777" w:rsidR="00D60186" w:rsidRPr="0052516A" w:rsidRDefault="00D60186" w:rsidP="00225D4D">
            <w:pPr>
              <w:rPr>
                <w:sz w:val="21"/>
                <w:szCs w:val="21"/>
              </w:rPr>
            </w:pPr>
            <w:r w:rsidRPr="0052516A">
              <w:rPr>
                <w:sz w:val="21"/>
                <w:szCs w:val="21"/>
              </w:rPr>
              <w:t xml:space="preserve">Barne- og </w:t>
            </w:r>
            <w:proofErr w:type="spellStart"/>
            <w:r w:rsidRPr="0052516A">
              <w:rPr>
                <w:sz w:val="21"/>
                <w:szCs w:val="21"/>
              </w:rPr>
              <w:t>ungdomsarbeidar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1DA6A56" w14:textId="77777777" w:rsidR="00D60186" w:rsidRPr="0052516A" w:rsidRDefault="00D60186" w:rsidP="0052516A">
            <w:pPr>
              <w:jc w:val="right"/>
              <w:rPr>
                <w:sz w:val="21"/>
                <w:szCs w:val="21"/>
              </w:rPr>
            </w:pPr>
            <w:r w:rsidRPr="0052516A">
              <w:rPr>
                <w:sz w:val="21"/>
                <w:szCs w:val="21"/>
              </w:rPr>
              <w:t>24</w:t>
            </w:r>
          </w:p>
        </w:tc>
      </w:tr>
      <w:tr w:rsidR="00E76DC8" w:rsidRPr="00225D4D" w14:paraId="509E0085" w14:textId="77777777">
        <w:trPr>
          <w:trHeight w:val="380"/>
        </w:trPr>
        <w:tc>
          <w:tcPr>
            <w:tcW w:w="3160" w:type="dxa"/>
            <w:tcBorders>
              <w:top w:val="nil"/>
              <w:left w:val="nil"/>
              <w:bottom w:val="nil"/>
              <w:right w:val="nil"/>
            </w:tcBorders>
            <w:tcMar>
              <w:top w:w="128" w:type="dxa"/>
              <w:left w:w="43" w:type="dxa"/>
              <w:bottom w:w="43" w:type="dxa"/>
              <w:right w:w="43" w:type="dxa"/>
            </w:tcMar>
          </w:tcPr>
          <w:p w14:paraId="5130EF0C" w14:textId="77777777" w:rsidR="00D60186" w:rsidRPr="0052516A" w:rsidRDefault="00D60186" w:rsidP="00225D4D">
            <w:pPr>
              <w:rPr>
                <w:sz w:val="21"/>
                <w:szCs w:val="21"/>
              </w:rPr>
            </w:pPr>
            <w:r w:rsidRPr="0052516A">
              <w:rPr>
                <w:sz w:val="21"/>
                <w:szCs w:val="21"/>
              </w:rPr>
              <w:t xml:space="preserve">Anna </w:t>
            </w:r>
            <w:proofErr w:type="spellStart"/>
            <w:r w:rsidRPr="0052516A">
              <w:rPr>
                <w:sz w:val="21"/>
                <w:szCs w:val="21"/>
              </w:rPr>
              <w:t>høgare</w:t>
            </w:r>
            <w:proofErr w:type="spellEnd"/>
            <w:r w:rsidRPr="0052516A">
              <w:rPr>
                <w:sz w:val="21"/>
                <w:szCs w:val="21"/>
              </w:rPr>
              <w:t xml:space="preserve"> utdanning</w:t>
            </w:r>
          </w:p>
        </w:tc>
        <w:tc>
          <w:tcPr>
            <w:tcW w:w="1400" w:type="dxa"/>
            <w:tcBorders>
              <w:top w:val="nil"/>
              <w:left w:val="nil"/>
              <w:bottom w:val="nil"/>
              <w:right w:val="nil"/>
            </w:tcBorders>
            <w:tcMar>
              <w:top w:w="128" w:type="dxa"/>
              <w:left w:w="43" w:type="dxa"/>
              <w:bottom w:w="43" w:type="dxa"/>
              <w:right w:w="43" w:type="dxa"/>
            </w:tcMar>
            <w:vAlign w:val="bottom"/>
          </w:tcPr>
          <w:p w14:paraId="5D4F91EC" w14:textId="77777777" w:rsidR="00D60186" w:rsidRPr="0052516A" w:rsidRDefault="00D60186" w:rsidP="0052516A">
            <w:pPr>
              <w:jc w:val="right"/>
              <w:rPr>
                <w:sz w:val="21"/>
                <w:szCs w:val="21"/>
              </w:rPr>
            </w:pPr>
            <w:r w:rsidRPr="0052516A">
              <w:rPr>
                <w:sz w:val="21"/>
                <w:szCs w:val="21"/>
              </w:rPr>
              <w:t>8</w:t>
            </w:r>
          </w:p>
        </w:tc>
      </w:tr>
      <w:tr w:rsidR="00E76DC8" w:rsidRPr="00225D4D" w14:paraId="5B2F661A" w14:textId="77777777">
        <w:trPr>
          <w:trHeight w:val="380"/>
        </w:trPr>
        <w:tc>
          <w:tcPr>
            <w:tcW w:w="3160" w:type="dxa"/>
            <w:tcBorders>
              <w:top w:val="nil"/>
              <w:left w:val="nil"/>
              <w:bottom w:val="nil"/>
              <w:right w:val="nil"/>
            </w:tcBorders>
            <w:tcMar>
              <w:top w:w="128" w:type="dxa"/>
              <w:left w:w="43" w:type="dxa"/>
              <w:bottom w:w="43" w:type="dxa"/>
              <w:right w:w="43" w:type="dxa"/>
            </w:tcMar>
          </w:tcPr>
          <w:p w14:paraId="5886DCD6" w14:textId="77777777" w:rsidR="00D60186" w:rsidRPr="0052516A" w:rsidRDefault="00D60186" w:rsidP="00225D4D">
            <w:pPr>
              <w:rPr>
                <w:sz w:val="21"/>
                <w:szCs w:val="21"/>
              </w:rPr>
            </w:pPr>
            <w:proofErr w:type="spellStart"/>
            <w:r w:rsidRPr="0052516A">
              <w:rPr>
                <w:sz w:val="21"/>
                <w:szCs w:val="21"/>
              </w:rPr>
              <w:t>Fagskuleutdanning</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48D2D482" w14:textId="77777777" w:rsidR="00D60186" w:rsidRPr="0052516A" w:rsidRDefault="00D60186" w:rsidP="0052516A">
            <w:pPr>
              <w:jc w:val="right"/>
              <w:rPr>
                <w:sz w:val="21"/>
                <w:szCs w:val="21"/>
              </w:rPr>
            </w:pPr>
            <w:r w:rsidRPr="0052516A">
              <w:rPr>
                <w:sz w:val="21"/>
                <w:szCs w:val="21"/>
              </w:rPr>
              <w:t>3</w:t>
            </w:r>
          </w:p>
        </w:tc>
      </w:tr>
      <w:tr w:rsidR="00E76DC8" w:rsidRPr="00225D4D" w14:paraId="0E90C438" w14:textId="77777777">
        <w:trPr>
          <w:trHeight w:val="380"/>
        </w:trPr>
        <w:tc>
          <w:tcPr>
            <w:tcW w:w="3160" w:type="dxa"/>
            <w:tcBorders>
              <w:top w:val="nil"/>
              <w:left w:val="nil"/>
              <w:bottom w:val="single" w:sz="4" w:space="0" w:color="000000"/>
              <w:right w:val="nil"/>
            </w:tcBorders>
            <w:tcMar>
              <w:top w:w="128" w:type="dxa"/>
              <w:left w:w="43" w:type="dxa"/>
              <w:bottom w:w="43" w:type="dxa"/>
              <w:right w:w="43" w:type="dxa"/>
            </w:tcMar>
          </w:tcPr>
          <w:p w14:paraId="446CDC58" w14:textId="77777777" w:rsidR="00D60186" w:rsidRPr="0052516A" w:rsidRDefault="00D60186" w:rsidP="00225D4D">
            <w:pPr>
              <w:rPr>
                <w:sz w:val="21"/>
                <w:szCs w:val="21"/>
              </w:rPr>
            </w:pPr>
            <w:r w:rsidRPr="0052516A">
              <w:rPr>
                <w:sz w:val="21"/>
                <w:szCs w:val="21"/>
              </w:rPr>
              <w:t xml:space="preserve">Anna </w:t>
            </w:r>
            <w:proofErr w:type="spellStart"/>
            <w:r w:rsidRPr="0052516A">
              <w:rPr>
                <w:sz w:val="21"/>
                <w:szCs w:val="21"/>
              </w:rPr>
              <w:t>vidaregåande</w:t>
            </w:r>
            <w:proofErr w:type="spellEnd"/>
            <w:r w:rsidRPr="0052516A">
              <w:rPr>
                <w:sz w:val="21"/>
                <w:szCs w:val="21"/>
              </w:rPr>
              <w:t xml:space="preserve"> utdanning</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F4E0133" w14:textId="77777777" w:rsidR="00D60186" w:rsidRPr="0052516A" w:rsidRDefault="00D60186" w:rsidP="0052516A">
            <w:pPr>
              <w:jc w:val="right"/>
              <w:rPr>
                <w:sz w:val="21"/>
                <w:szCs w:val="21"/>
              </w:rPr>
            </w:pPr>
            <w:r w:rsidRPr="0052516A">
              <w:rPr>
                <w:sz w:val="21"/>
                <w:szCs w:val="21"/>
              </w:rPr>
              <w:t>2</w:t>
            </w:r>
          </w:p>
        </w:tc>
      </w:tr>
    </w:tbl>
    <w:p w14:paraId="1DA95F77" w14:textId="77777777" w:rsidR="00D60186" w:rsidRPr="00225D4D" w:rsidRDefault="00D60186" w:rsidP="008D6210">
      <w:pPr>
        <w:pStyle w:val="Kilde"/>
      </w:pPr>
      <w:r w:rsidRPr="00225D4D">
        <w:t xml:space="preserve">Kjelde: </w:t>
      </w:r>
      <w:r w:rsidRPr="00225D4D">
        <w:rPr>
          <w:rStyle w:val="kursiv"/>
        </w:rPr>
        <w:t>Spørsmål til Skole-Norge</w:t>
      </w:r>
      <w:r w:rsidRPr="00225D4D">
        <w:t xml:space="preserve"> våren 2025</w:t>
      </w:r>
    </w:p>
    <w:p w14:paraId="05C025C9" w14:textId="77777777" w:rsidR="00D60186" w:rsidRPr="00225D4D" w:rsidRDefault="00D60186" w:rsidP="00225D4D">
      <w:proofErr w:type="spellStart"/>
      <w:r w:rsidRPr="00225D4D">
        <w:t>Skuleeigarar</w:t>
      </w:r>
      <w:proofErr w:type="spellEnd"/>
      <w:r w:rsidRPr="00225D4D">
        <w:t xml:space="preserve"> i </w:t>
      </w:r>
      <w:proofErr w:type="spellStart"/>
      <w:r w:rsidRPr="00225D4D">
        <w:t>kommunane</w:t>
      </w:r>
      <w:proofErr w:type="spellEnd"/>
      <w:r w:rsidRPr="00225D4D">
        <w:t xml:space="preserve"> blei </w:t>
      </w:r>
      <w:proofErr w:type="spellStart"/>
      <w:r w:rsidRPr="00225D4D">
        <w:t>spurde</w:t>
      </w:r>
      <w:proofErr w:type="spellEnd"/>
      <w:r w:rsidRPr="00225D4D">
        <w:t xml:space="preserve"> om </w:t>
      </w:r>
      <w:proofErr w:type="spellStart"/>
      <w:r w:rsidRPr="00225D4D">
        <w:t>dei</w:t>
      </w:r>
      <w:proofErr w:type="spellEnd"/>
      <w:r w:rsidRPr="00225D4D">
        <w:t xml:space="preserve"> hadde lokale kompetansekrav til </w:t>
      </w:r>
      <w:proofErr w:type="spellStart"/>
      <w:r w:rsidRPr="00225D4D">
        <w:t>ein</w:t>
      </w:r>
      <w:proofErr w:type="spellEnd"/>
      <w:r w:rsidRPr="00225D4D">
        <w:t xml:space="preserve"> SFO-</w:t>
      </w:r>
      <w:proofErr w:type="spellStart"/>
      <w:r w:rsidRPr="00225D4D">
        <w:t>leiar</w:t>
      </w:r>
      <w:proofErr w:type="spellEnd"/>
      <w:r w:rsidRPr="00225D4D">
        <w:t xml:space="preserve">. 37 pst. av </w:t>
      </w:r>
      <w:proofErr w:type="spellStart"/>
      <w:r w:rsidRPr="00225D4D">
        <w:t>skuleeigarane</w:t>
      </w:r>
      <w:proofErr w:type="spellEnd"/>
      <w:r w:rsidRPr="00225D4D">
        <w:t xml:space="preserve"> </w:t>
      </w:r>
      <w:proofErr w:type="spellStart"/>
      <w:r w:rsidRPr="00225D4D">
        <w:t>seier</w:t>
      </w:r>
      <w:proofErr w:type="spellEnd"/>
      <w:r w:rsidRPr="00225D4D">
        <w:t xml:space="preserve"> at </w:t>
      </w:r>
      <w:proofErr w:type="spellStart"/>
      <w:r w:rsidRPr="00225D4D">
        <w:t>dei</w:t>
      </w:r>
      <w:proofErr w:type="spellEnd"/>
      <w:r w:rsidRPr="00225D4D">
        <w:t xml:space="preserve"> har krav om at SFO-</w:t>
      </w:r>
      <w:proofErr w:type="spellStart"/>
      <w:r w:rsidRPr="00225D4D">
        <w:t>leiaren</w:t>
      </w:r>
      <w:proofErr w:type="spellEnd"/>
      <w:r w:rsidRPr="00225D4D">
        <w:t xml:space="preserve"> skal ha pedagogisk utdanning, og 25 pst. seier at SFO-</w:t>
      </w:r>
      <w:proofErr w:type="spellStart"/>
      <w:r w:rsidRPr="00225D4D">
        <w:t>leiaren</w:t>
      </w:r>
      <w:proofErr w:type="spellEnd"/>
      <w:r w:rsidRPr="00225D4D">
        <w:t xml:space="preserve"> skal ha minimum fagbrev som barne- og </w:t>
      </w:r>
      <w:proofErr w:type="spellStart"/>
      <w:r w:rsidRPr="00225D4D">
        <w:t>ungdomsarbeidar</w:t>
      </w:r>
      <w:proofErr w:type="spellEnd"/>
      <w:r w:rsidRPr="00225D4D">
        <w:t xml:space="preserve">. Det er mindre </w:t>
      </w:r>
      <w:proofErr w:type="spellStart"/>
      <w:r w:rsidRPr="00225D4D">
        <w:t>vanleg</w:t>
      </w:r>
      <w:proofErr w:type="spellEnd"/>
      <w:r w:rsidRPr="00225D4D">
        <w:t xml:space="preserve"> å stille krav om minimum </w:t>
      </w:r>
      <w:proofErr w:type="spellStart"/>
      <w:r w:rsidRPr="00225D4D">
        <w:t>fagskule</w:t>
      </w:r>
      <w:proofErr w:type="spellEnd"/>
      <w:r w:rsidRPr="00225D4D">
        <w:t xml:space="preserve">. 30 pst. seier at </w:t>
      </w:r>
      <w:proofErr w:type="spellStart"/>
      <w:r w:rsidRPr="00225D4D">
        <w:t>dei</w:t>
      </w:r>
      <w:proofErr w:type="spellEnd"/>
      <w:r w:rsidRPr="00225D4D">
        <w:t xml:space="preserve"> </w:t>
      </w:r>
      <w:proofErr w:type="spellStart"/>
      <w:r w:rsidRPr="00225D4D">
        <w:t>ikkje</w:t>
      </w:r>
      <w:proofErr w:type="spellEnd"/>
      <w:r w:rsidRPr="00225D4D">
        <w:t xml:space="preserve"> har lokale kompetansekrav til SFO-</w:t>
      </w:r>
      <w:proofErr w:type="spellStart"/>
      <w:r w:rsidRPr="00225D4D">
        <w:t>leiaren</w:t>
      </w:r>
      <w:proofErr w:type="spellEnd"/>
      <w:r w:rsidRPr="00225D4D">
        <w:t>.</w:t>
      </w:r>
    </w:p>
    <w:p w14:paraId="3776436C" w14:textId="77777777" w:rsidR="00D60186" w:rsidRPr="00225D4D" w:rsidRDefault="00D60186" w:rsidP="00225D4D">
      <w:pPr>
        <w:pStyle w:val="avsnitt-under-undertittel"/>
      </w:pPr>
      <w:r w:rsidRPr="00225D4D">
        <w:t xml:space="preserve">Den formelle kompetansen til </w:t>
      </w:r>
      <w:proofErr w:type="spellStart"/>
      <w:r w:rsidRPr="00225D4D">
        <w:t>dei</w:t>
      </w:r>
      <w:proofErr w:type="spellEnd"/>
      <w:r w:rsidRPr="00225D4D">
        <w:t xml:space="preserve"> tilsette</w:t>
      </w:r>
    </w:p>
    <w:p w14:paraId="4F0550F0" w14:textId="77777777" w:rsidR="00D60186" w:rsidRPr="00225D4D" w:rsidRDefault="00D60186" w:rsidP="00225D4D">
      <w:r w:rsidRPr="00225D4D">
        <w:t xml:space="preserve">GSI gir også kunnskap om kompetansen til </w:t>
      </w:r>
      <w:proofErr w:type="spellStart"/>
      <w:r w:rsidRPr="00225D4D">
        <w:t>dei</w:t>
      </w:r>
      <w:proofErr w:type="spellEnd"/>
      <w:r w:rsidRPr="00225D4D">
        <w:t xml:space="preserve"> tilsette. Gruppa «Personale med </w:t>
      </w:r>
      <w:proofErr w:type="spellStart"/>
      <w:r w:rsidRPr="00225D4D">
        <w:t>annan</w:t>
      </w:r>
      <w:proofErr w:type="spellEnd"/>
      <w:r w:rsidRPr="00225D4D">
        <w:t xml:space="preserve"> kompetanse» </w:t>
      </w:r>
      <w:proofErr w:type="spellStart"/>
      <w:r w:rsidRPr="00225D4D">
        <w:t>gjeld</w:t>
      </w:r>
      <w:proofErr w:type="spellEnd"/>
      <w:r w:rsidRPr="00225D4D">
        <w:t xml:space="preserve"> både ufaglærte </w:t>
      </w:r>
      <w:proofErr w:type="gramStart"/>
      <w:r w:rsidRPr="00225D4D">
        <w:t>og tilsette</w:t>
      </w:r>
      <w:proofErr w:type="gramEnd"/>
      <w:r w:rsidRPr="00225D4D">
        <w:t xml:space="preserve"> med </w:t>
      </w:r>
      <w:proofErr w:type="spellStart"/>
      <w:r w:rsidRPr="00225D4D">
        <w:t>annan</w:t>
      </w:r>
      <w:proofErr w:type="spellEnd"/>
      <w:r w:rsidRPr="00225D4D">
        <w:t xml:space="preserve"> formell kompetanse.</w:t>
      </w:r>
    </w:p>
    <w:p w14:paraId="05C7E899" w14:textId="6132F438" w:rsidR="002D4C2A" w:rsidRPr="00225D4D" w:rsidRDefault="002D4C2A" w:rsidP="00225D4D">
      <w:pPr>
        <w:pStyle w:val="tabell-tittel"/>
      </w:pPr>
      <w:r w:rsidRPr="00225D4D">
        <w:t xml:space="preserve">Kompetansen til </w:t>
      </w:r>
      <w:proofErr w:type="spellStart"/>
      <w:r w:rsidRPr="00225D4D">
        <w:t>dei</w:t>
      </w:r>
      <w:proofErr w:type="spellEnd"/>
      <w:r w:rsidRPr="00225D4D">
        <w:t xml:space="preserve"> tilsette, </w:t>
      </w:r>
      <w:proofErr w:type="spellStart"/>
      <w:r w:rsidRPr="00225D4D">
        <w:t>skuleåret</w:t>
      </w:r>
      <w:proofErr w:type="spellEnd"/>
      <w:r w:rsidRPr="00225D4D">
        <w:t xml:space="preserve"> 2024–25</w:t>
      </w:r>
    </w:p>
    <w:p w14:paraId="19FEE4B3" w14:textId="77777777" w:rsidR="00D60186" w:rsidRPr="00225D4D" w:rsidRDefault="00D60186" w:rsidP="00225D4D">
      <w:pPr>
        <w:pStyle w:val="Tabellnavn"/>
      </w:pPr>
      <w:r w:rsidRPr="00225D4D">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320"/>
        <w:gridCol w:w="1400"/>
        <w:gridCol w:w="1400"/>
        <w:gridCol w:w="1400"/>
      </w:tblGrid>
      <w:tr w:rsidR="00E76DC8" w:rsidRPr="00225D4D" w14:paraId="23CCC516" w14:textId="77777777">
        <w:trPr>
          <w:trHeight w:val="360"/>
        </w:trPr>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5572AC" w14:textId="77777777" w:rsidR="00D60186" w:rsidRPr="0052516A" w:rsidRDefault="00D60186" w:rsidP="00225D4D">
            <w:pPr>
              <w:rPr>
                <w:sz w:val="21"/>
                <w:szCs w:val="21"/>
              </w:rPr>
            </w:pP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1D0F7E" w14:textId="77777777" w:rsidR="00D60186" w:rsidRPr="0052516A" w:rsidRDefault="00D60186" w:rsidP="0052516A">
            <w:pPr>
              <w:jc w:val="right"/>
              <w:rPr>
                <w:sz w:val="21"/>
                <w:szCs w:val="21"/>
              </w:rPr>
            </w:pPr>
            <w:r w:rsidRPr="0052516A">
              <w:rPr>
                <w:sz w:val="21"/>
                <w:szCs w:val="21"/>
              </w:rPr>
              <w:t>Menn</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E83AE7" w14:textId="77777777" w:rsidR="00D60186" w:rsidRPr="0052516A" w:rsidRDefault="00D60186" w:rsidP="0052516A">
            <w:pPr>
              <w:jc w:val="right"/>
              <w:rPr>
                <w:sz w:val="21"/>
                <w:szCs w:val="21"/>
              </w:rPr>
            </w:pPr>
            <w:r w:rsidRPr="0052516A">
              <w:rPr>
                <w:sz w:val="21"/>
                <w:szCs w:val="21"/>
              </w:rPr>
              <w:t>Kvinner</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287992" w14:textId="77777777" w:rsidR="00D60186" w:rsidRPr="0052516A" w:rsidRDefault="00D60186" w:rsidP="0052516A">
            <w:pPr>
              <w:jc w:val="right"/>
              <w:rPr>
                <w:sz w:val="21"/>
                <w:szCs w:val="21"/>
              </w:rPr>
            </w:pPr>
            <w:r w:rsidRPr="0052516A">
              <w:rPr>
                <w:sz w:val="21"/>
                <w:szCs w:val="21"/>
              </w:rPr>
              <w:t>Sum</w:t>
            </w:r>
          </w:p>
        </w:tc>
      </w:tr>
      <w:tr w:rsidR="00E76DC8" w:rsidRPr="00225D4D" w14:paraId="0B707321" w14:textId="77777777">
        <w:trPr>
          <w:trHeight w:val="640"/>
        </w:trPr>
        <w:tc>
          <w:tcPr>
            <w:tcW w:w="5320" w:type="dxa"/>
            <w:tcBorders>
              <w:top w:val="single" w:sz="4" w:space="0" w:color="000000"/>
              <w:left w:val="nil"/>
              <w:bottom w:val="nil"/>
              <w:right w:val="nil"/>
            </w:tcBorders>
            <w:tcMar>
              <w:top w:w="128" w:type="dxa"/>
              <w:left w:w="43" w:type="dxa"/>
              <w:bottom w:w="43" w:type="dxa"/>
              <w:right w:w="43" w:type="dxa"/>
            </w:tcMar>
          </w:tcPr>
          <w:p w14:paraId="01B197D1" w14:textId="77777777" w:rsidR="00D60186" w:rsidRPr="0052516A" w:rsidRDefault="00D60186" w:rsidP="00225D4D">
            <w:pPr>
              <w:rPr>
                <w:sz w:val="21"/>
                <w:szCs w:val="21"/>
              </w:rPr>
            </w:pPr>
            <w:r w:rsidRPr="0052516A">
              <w:rPr>
                <w:sz w:val="21"/>
                <w:szCs w:val="21"/>
              </w:rPr>
              <w:t xml:space="preserve">Personale med </w:t>
            </w:r>
            <w:proofErr w:type="spellStart"/>
            <w:r w:rsidRPr="0052516A">
              <w:rPr>
                <w:sz w:val="21"/>
                <w:szCs w:val="21"/>
              </w:rPr>
              <w:t>godkjend</w:t>
            </w:r>
            <w:proofErr w:type="spellEnd"/>
            <w:r w:rsidRPr="0052516A">
              <w:rPr>
                <w:sz w:val="21"/>
                <w:szCs w:val="21"/>
              </w:rPr>
              <w:t xml:space="preserve"> </w:t>
            </w:r>
            <w:proofErr w:type="spellStart"/>
            <w:r w:rsidRPr="0052516A">
              <w:rPr>
                <w:sz w:val="21"/>
                <w:szCs w:val="21"/>
              </w:rPr>
              <w:t>lærar</w:t>
            </w:r>
            <w:proofErr w:type="spellEnd"/>
            <w:r w:rsidRPr="0052516A">
              <w:rPr>
                <w:sz w:val="21"/>
                <w:szCs w:val="21"/>
              </w:rPr>
              <w:t xml:space="preserve">- eller </w:t>
            </w:r>
            <w:proofErr w:type="spellStart"/>
            <w:r w:rsidRPr="0052516A">
              <w:rPr>
                <w:sz w:val="21"/>
                <w:szCs w:val="21"/>
              </w:rPr>
              <w:t>barnehagelærarutdanning</w:t>
            </w:r>
            <w:proofErr w:type="spellEnd"/>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519D098" w14:textId="77777777" w:rsidR="00D60186" w:rsidRPr="0052516A" w:rsidRDefault="00D60186" w:rsidP="0052516A">
            <w:pPr>
              <w:jc w:val="right"/>
              <w:rPr>
                <w:sz w:val="21"/>
                <w:szCs w:val="21"/>
              </w:rPr>
            </w:pPr>
            <w:r w:rsidRPr="0052516A">
              <w:rPr>
                <w:sz w:val="21"/>
                <w:szCs w:val="21"/>
              </w:rPr>
              <w:t>330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A641C62" w14:textId="77777777" w:rsidR="00D60186" w:rsidRPr="0052516A" w:rsidRDefault="00D60186" w:rsidP="0052516A">
            <w:pPr>
              <w:jc w:val="right"/>
              <w:rPr>
                <w:sz w:val="21"/>
                <w:szCs w:val="21"/>
              </w:rPr>
            </w:pPr>
            <w:r w:rsidRPr="0052516A">
              <w:rPr>
                <w:sz w:val="21"/>
                <w:szCs w:val="21"/>
              </w:rPr>
              <w:t>1 288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DA198D2" w14:textId="77777777" w:rsidR="00D60186" w:rsidRPr="0052516A" w:rsidRDefault="00D60186" w:rsidP="0052516A">
            <w:pPr>
              <w:jc w:val="right"/>
              <w:rPr>
                <w:sz w:val="21"/>
                <w:szCs w:val="21"/>
              </w:rPr>
            </w:pPr>
            <w:r w:rsidRPr="0052516A">
              <w:rPr>
                <w:sz w:val="21"/>
                <w:szCs w:val="21"/>
              </w:rPr>
              <w:t>1 618</w:t>
            </w:r>
          </w:p>
        </w:tc>
      </w:tr>
      <w:tr w:rsidR="00E76DC8" w:rsidRPr="00225D4D" w14:paraId="6754A935" w14:textId="77777777">
        <w:trPr>
          <w:trHeight w:val="640"/>
        </w:trPr>
        <w:tc>
          <w:tcPr>
            <w:tcW w:w="5320" w:type="dxa"/>
            <w:tcBorders>
              <w:top w:val="nil"/>
              <w:left w:val="nil"/>
              <w:bottom w:val="nil"/>
              <w:right w:val="nil"/>
            </w:tcBorders>
            <w:tcMar>
              <w:top w:w="128" w:type="dxa"/>
              <w:left w:w="43" w:type="dxa"/>
              <w:bottom w:w="43" w:type="dxa"/>
              <w:right w:w="43" w:type="dxa"/>
            </w:tcMar>
          </w:tcPr>
          <w:p w14:paraId="73FD6D5C" w14:textId="77777777" w:rsidR="00D60186" w:rsidRPr="0052516A" w:rsidRDefault="00D60186" w:rsidP="00225D4D">
            <w:pPr>
              <w:rPr>
                <w:sz w:val="21"/>
                <w:szCs w:val="21"/>
              </w:rPr>
            </w:pPr>
            <w:r w:rsidRPr="0052516A">
              <w:rPr>
                <w:sz w:val="21"/>
                <w:szCs w:val="21"/>
              </w:rPr>
              <w:t xml:space="preserve">Personale med fagbrev i barne- og </w:t>
            </w:r>
            <w:proofErr w:type="spellStart"/>
            <w:r w:rsidRPr="0052516A">
              <w:rPr>
                <w:sz w:val="21"/>
                <w:szCs w:val="21"/>
              </w:rPr>
              <w:t>ungdomsarbeidarfaget</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5C596159" w14:textId="77777777" w:rsidR="00D60186" w:rsidRPr="0052516A" w:rsidRDefault="00D60186" w:rsidP="0052516A">
            <w:pPr>
              <w:jc w:val="right"/>
              <w:rPr>
                <w:sz w:val="21"/>
                <w:szCs w:val="21"/>
              </w:rPr>
            </w:pPr>
            <w:r w:rsidRPr="0052516A">
              <w:rPr>
                <w:sz w:val="21"/>
                <w:szCs w:val="21"/>
              </w:rPr>
              <w:t>1 478</w:t>
            </w:r>
          </w:p>
        </w:tc>
        <w:tc>
          <w:tcPr>
            <w:tcW w:w="1400" w:type="dxa"/>
            <w:tcBorders>
              <w:top w:val="nil"/>
              <w:left w:val="nil"/>
              <w:bottom w:val="nil"/>
              <w:right w:val="nil"/>
            </w:tcBorders>
            <w:tcMar>
              <w:top w:w="128" w:type="dxa"/>
              <w:left w:w="43" w:type="dxa"/>
              <w:bottom w:w="43" w:type="dxa"/>
              <w:right w:w="43" w:type="dxa"/>
            </w:tcMar>
            <w:vAlign w:val="bottom"/>
          </w:tcPr>
          <w:p w14:paraId="6BF88825" w14:textId="77777777" w:rsidR="00D60186" w:rsidRPr="0052516A" w:rsidRDefault="00D60186" w:rsidP="0052516A">
            <w:pPr>
              <w:jc w:val="right"/>
              <w:rPr>
                <w:sz w:val="21"/>
                <w:szCs w:val="21"/>
              </w:rPr>
            </w:pPr>
            <w:r w:rsidRPr="0052516A">
              <w:rPr>
                <w:sz w:val="21"/>
                <w:szCs w:val="21"/>
              </w:rPr>
              <w:t>7 569</w:t>
            </w:r>
          </w:p>
        </w:tc>
        <w:tc>
          <w:tcPr>
            <w:tcW w:w="1400" w:type="dxa"/>
            <w:tcBorders>
              <w:top w:val="nil"/>
              <w:left w:val="nil"/>
              <w:bottom w:val="nil"/>
              <w:right w:val="nil"/>
            </w:tcBorders>
            <w:tcMar>
              <w:top w:w="128" w:type="dxa"/>
              <w:left w:w="43" w:type="dxa"/>
              <w:bottom w:w="43" w:type="dxa"/>
              <w:right w:w="43" w:type="dxa"/>
            </w:tcMar>
            <w:vAlign w:val="bottom"/>
          </w:tcPr>
          <w:p w14:paraId="388BD41A" w14:textId="77777777" w:rsidR="00D60186" w:rsidRPr="0052516A" w:rsidRDefault="00D60186" w:rsidP="0052516A">
            <w:pPr>
              <w:jc w:val="right"/>
              <w:rPr>
                <w:sz w:val="21"/>
                <w:szCs w:val="21"/>
              </w:rPr>
            </w:pPr>
            <w:r w:rsidRPr="0052516A">
              <w:rPr>
                <w:sz w:val="21"/>
                <w:szCs w:val="21"/>
              </w:rPr>
              <w:t>9 047</w:t>
            </w:r>
          </w:p>
        </w:tc>
      </w:tr>
      <w:tr w:rsidR="00E76DC8" w:rsidRPr="00225D4D" w14:paraId="1FD96839" w14:textId="77777777">
        <w:trPr>
          <w:trHeight w:val="380"/>
        </w:trPr>
        <w:tc>
          <w:tcPr>
            <w:tcW w:w="5320" w:type="dxa"/>
            <w:tcBorders>
              <w:top w:val="nil"/>
              <w:left w:val="nil"/>
              <w:bottom w:val="single" w:sz="4" w:space="0" w:color="000000"/>
              <w:right w:val="nil"/>
            </w:tcBorders>
            <w:tcMar>
              <w:top w:w="128" w:type="dxa"/>
              <w:left w:w="43" w:type="dxa"/>
              <w:bottom w:w="43" w:type="dxa"/>
              <w:right w:w="43" w:type="dxa"/>
            </w:tcMar>
          </w:tcPr>
          <w:p w14:paraId="35EC4633" w14:textId="77777777" w:rsidR="00D60186" w:rsidRPr="0052516A" w:rsidRDefault="00D60186" w:rsidP="00225D4D">
            <w:pPr>
              <w:rPr>
                <w:sz w:val="21"/>
                <w:szCs w:val="21"/>
              </w:rPr>
            </w:pPr>
            <w:r w:rsidRPr="0052516A">
              <w:rPr>
                <w:sz w:val="21"/>
                <w:szCs w:val="21"/>
              </w:rPr>
              <w:t xml:space="preserve">Personale med </w:t>
            </w:r>
            <w:proofErr w:type="spellStart"/>
            <w:r w:rsidRPr="0052516A">
              <w:rPr>
                <w:sz w:val="21"/>
                <w:szCs w:val="21"/>
              </w:rPr>
              <w:t>annan</w:t>
            </w:r>
            <w:proofErr w:type="spellEnd"/>
            <w:r w:rsidRPr="0052516A">
              <w:rPr>
                <w:sz w:val="21"/>
                <w:szCs w:val="21"/>
              </w:rPr>
              <w:t xml:space="preserve"> kompetanse</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44DD43D" w14:textId="77777777" w:rsidR="00D60186" w:rsidRPr="0052516A" w:rsidRDefault="00D60186" w:rsidP="0052516A">
            <w:pPr>
              <w:jc w:val="right"/>
              <w:rPr>
                <w:sz w:val="21"/>
                <w:szCs w:val="21"/>
              </w:rPr>
            </w:pPr>
            <w:r w:rsidRPr="0052516A">
              <w:rPr>
                <w:sz w:val="21"/>
                <w:szCs w:val="21"/>
              </w:rPr>
              <w:t>2 620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8D40D76" w14:textId="77777777" w:rsidR="00D60186" w:rsidRPr="0052516A" w:rsidRDefault="00D60186" w:rsidP="0052516A">
            <w:pPr>
              <w:jc w:val="right"/>
              <w:rPr>
                <w:sz w:val="21"/>
                <w:szCs w:val="21"/>
              </w:rPr>
            </w:pPr>
            <w:r w:rsidRPr="0052516A">
              <w:rPr>
                <w:sz w:val="21"/>
                <w:szCs w:val="21"/>
              </w:rPr>
              <w:t>7 428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A1557E2" w14:textId="77777777" w:rsidR="00D60186" w:rsidRPr="0052516A" w:rsidRDefault="00D60186" w:rsidP="0052516A">
            <w:pPr>
              <w:jc w:val="right"/>
              <w:rPr>
                <w:sz w:val="21"/>
                <w:szCs w:val="21"/>
              </w:rPr>
            </w:pPr>
            <w:r w:rsidRPr="0052516A">
              <w:rPr>
                <w:sz w:val="21"/>
                <w:szCs w:val="21"/>
              </w:rPr>
              <w:t>10 048</w:t>
            </w:r>
          </w:p>
        </w:tc>
      </w:tr>
      <w:tr w:rsidR="00E76DC8" w:rsidRPr="00225D4D" w14:paraId="37E49ED9" w14:textId="77777777">
        <w:trPr>
          <w:trHeight w:val="380"/>
        </w:trPr>
        <w:tc>
          <w:tcPr>
            <w:tcW w:w="5320" w:type="dxa"/>
            <w:tcBorders>
              <w:top w:val="single" w:sz="4" w:space="0" w:color="000000"/>
              <w:left w:val="nil"/>
              <w:bottom w:val="single" w:sz="4" w:space="0" w:color="000000"/>
              <w:right w:val="nil"/>
            </w:tcBorders>
            <w:tcMar>
              <w:top w:w="128" w:type="dxa"/>
              <w:left w:w="43" w:type="dxa"/>
              <w:bottom w:w="43" w:type="dxa"/>
              <w:right w:w="43" w:type="dxa"/>
            </w:tcMar>
          </w:tcPr>
          <w:p w14:paraId="72801491" w14:textId="77777777" w:rsidR="00D60186" w:rsidRPr="0052516A" w:rsidRDefault="00D60186" w:rsidP="00225D4D">
            <w:pPr>
              <w:rPr>
                <w:sz w:val="21"/>
                <w:szCs w:val="21"/>
              </w:rPr>
            </w:pPr>
            <w:r w:rsidRPr="0052516A">
              <w:rPr>
                <w:sz w:val="21"/>
                <w:szCs w:val="21"/>
              </w:rPr>
              <w:t xml:space="preserve">Sum bemanning </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A1F1EB" w14:textId="77777777" w:rsidR="00D60186" w:rsidRPr="0052516A" w:rsidRDefault="00D60186" w:rsidP="0052516A">
            <w:pPr>
              <w:jc w:val="right"/>
              <w:rPr>
                <w:sz w:val="21"/>
                <w:szCs w:val="21"/>
              </w:rPr>
            </w:pPr>
            <w:r w:rsidRPr="0052516A">
              <w:rPr>
                <w:sz w:val="21"/>
                <w:szCs w:val="21"/>
              </w:rPr>
              <w:t>4 428</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CA85EE" w14:textId="77777777" w:rsidR="00D60186" w:rsidRPr="0052516A" w:rsidRDefault="00D60186" w:rsidP="0052516A">
            <w:pPr>
              <w:jc w:val="right"/>
              <w:rPr>
                <w:sz w:val="21"/>
                <w:szCs w:val="21"/>
              </w:rPr>
            </w:pPr>
            <w:r w:rsidRPr="0052516A">
              <w:rPr>
                <w:sz w:val="21"/>
                <w:szCs w:val="21"/>
              </w:rPr>
              <w:t>16 285</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D80F930" w14:textId="77777777" w:rsidR="00D60186" w:rsidRPr="0052516A" w:rsidRDefault="00D60186" w:rsidP="0052516A">
            <w:pPr>
              <w:jc w:val="right"/>
              <w:rPr>
                <w:sz w:val="21"/>
                <w:szCs w:val="21"/>
              </w:rPr>
            </w:pPr>
            <w:r w:rsidRPr="0052516A">
              <w:rPr>
                <w:sz w:val="21"/>
                <w:szCs w:val="21"/>
              </w:rPr>
              <w:t>20 713</w:t>
            </w:r>
          </w:p>
        </w:tc>
      </w:tr>
    </w:tbl>
    <w:p w14:paraId="43237303" w14:textId="77777777" w:rsidR="00D60186" w:rsidRPr="00225D4D" w:rsidRDefault="00D60186" w:rsidP="008D6210">
      <w:pPr>
        <w:pStyle w:val="Kilde"/>
      </w:pPr>
      <w:r w:rsidRPr="00225D4D">
        <w:t>Kjelde: GSI</w:t>
      </w:r>
    </w:p>
    <w:p w14:paraId="420007B7" w14:textId="77777777" w:rsidR="00D60186" w:rsidRPr="00225D4D" w:rsidRDefault="00D60186" w:rsidP="00225D4D">
      <w:r w:rsidRPr="00225D4D">
        <w:t xml:space="preserve">Ifølge SSB har prosentdelen tilsette i </w:t>
      </w:r>
      <w:proofErr w:type="spellStart"/>
      <w:r w:rsidRPr="00225D4D">
        <w:t>distriktskommunane</w:t>
      </w:r>
      <w:proofErr w:type="spellEnd"/>
      <w:r w:rsidRPr="00225D4D">
        <w:t xml:space="preserve"> med </w:t>
      </w:r>
      <w:proofErr w:type="spellStart"/>
      <w:r w:rsidRPr="00225D4D">
        <w:t>godkjend</w:t>
      </w:r>
      <w:proofErr w:type="spellEnd"/>
      <w:r w:rsidRPr="00225D4D">
        <w:t xml:space="preserve"> </w:t>
      </w:r>
      <w:proofErr w:type="spellStart"/>
      <w:r w:rsidRPr="00225D4D">
        <w:t>lærar</w:t>
      </w:r>
      <w:proofErr w:type="spellEnd"/>
      <w:r w:rsidRPr="00225D4D">
        <w:t xml:space="preserve">- eller </w:t>
      </w:r>
      <w:proofErr w:type="spellStart"/>
      <w:r w:rsidRPr="00225D4D">
        <w:t>barnehagelærarutdanning</w:t>
      </w:r>
      <w:proofErr w:type="spellEnd"/>
      <w:r w:rsidRPr="00225D4D">
        <w:t xml:space="preserve"> </w:t>
      </w:r>
      <w:proofErr w:type="spellStart"/>
      <w:r w:rsidRPr="00225D4D">
        <w:t>auka</w:t>
      </w:r>
      <w:proofErr w:type="spellEnd"/>
      <w:r w:rsidRPr="00225D4D">
        <w:t xml:space="preserve"> </w:t>
      </w:r>
      <w:proofErr w:type="spellStart"/>
      <w:r w:rsidRPr="00225D4D">
        <w:t>frå</w:t>
      </w:r>
      <w:proofErr w:type="spellEnd"/>
      <w:r w:rsidRPr="00225D4D">
        <w:t xml:space="preserve"> 7 pst. i 2021 til 10 pst. i 2022, men gått ned igjen til 8 pst. i 2024. Prosentdelen som har fagbrev i barne- og </w:t>
      </w:r>
      <w:proofErr w:type="spellStart"/>
      <w:r w:rsidRPr="00225D4D">
        <w:t>ungdomsarbeidarfaget</w:t>
      </w:r>
      <w:proofErr w:type="spellEnd"/>
      <w:r w:rsidRPr="00225D4D">
        <w:t xml:space="preserve">, har gått ned i perioden, </w:t>
      </w:r>
      <w:proofErr w:type="spellStart"/>
      <w:r w:rsidRPr="00225D4D">
        <w:t>frå</w:t>
      </w:r>
      <w:proofErr w:type="spellEnd"/>
      <w:r w:rsidRPr="00225D4D">
        <w:t xml:space="preserve"> 53 pst. av alle tilsette i SFO i 2021 til 48 pst. i 2024. Prosentdelen tilsette med </w:t>
      </w:r>
      <w:proofErr w:type="spellStart"/>
      <w:r w:rsidRPr="00225D4D">
        <w:t>annan</w:t>
      </w:r>
      <w:proofErr w:type="spellEnd"/>
      <w:r w:rsidRPr="00225D4D">
        <w:t xml:space="preserve"> kompetanse har </w:t>
      </w:r>
      <w:proofErr w:type="spellStart"/>
      <w:r w:rsidRPr="00225D4D">
        <w:t>auka</w:t>
      </w:r>
      <w:proofErr w:type="spellEnd"/>
      <w:r w:rsidRPr="00225D4D">
        <w:t xml:space="preserve">. I </w:t>
      </w:r>
      <w:proofErr w:type="spellStart"/>
      <w:r w:rsidRPr="00225D4D">
        <w:t>dei</w:t>
      </w:r>
      <w:proofErr w:type="spellEnd"/>
      <w:r w:rsidRPr="00225D4D">
        <w:t xml:space="preserve"> sentrale </w:t>
      </w:r>
      <w:proofErr w:type="spellStart"/>
      <w:r w:rsidRPr="00225D4D">
        <w:t>kommunane</w:t>
      </w:r>
      <w:proofErr w:type="spellEnd"/>
      <w:r w:rsidRPr="00225D4D">
        <w:t xml:space="preserve"> har det </w:t>
      </w:r>
      <w:proofErr w:type="spellStart"/>
      <w:r w:rsidRPr="00225D4D">
        <w:t>vore</w:t>
      </w:r>
      <w:proofErr w:type="spellEnd"/>
      <w:r w:rsidRPr="00225D4D">
        <w:t xml:space="preserve"> motsett utvikling. I </w:t>
      </w:r>
      <w:proofErr w:type="spellStart"/>
      <w:r w:rsidRPr="00225D4D">
        <w:t>desse</w:t>
      </w:r>
      <w:proofErr w:type="spellEnd"/>
      <w:r w:rsidRPr="00225D4D">
        <w:t xml:space="preserve"> </w:t>
      </w:r>
      <w:proofErr w:type="spellStart"/>
      <w:r w:rsidRPr="00225D4D">
        <w:t>kommunane</w:t>
      </w:r>
      <w:proofErr w:type="spellEnd"/>
      <w:r w:rsidRPr="00225D4D">
        <w:t xml:space="preserve"> har prosentdelen tilsette med fagbrev i barne- og </w:t>
      </w:r>
      <w:proofErr w:type="spellStart"/>
      <w:r w:rsidRPr="00225D4D">
        <w:t>ungdomsarbeidarfaget</w:t>
      </w:r>
      <w:proofErr w:type="spellEnd"/>
      <w:r w:rsidRPr="00225D4D">
        <w:t xml:space="preserve"> </w:t>
      </w:r>
      <w:proofErr w:type="spellStart"/>
      <w:r w:rsidRPr="00225D4D">
        <w:t>auka</w:t>
      </w:r>
      <w:proofErr w:type="spellEnd"/>
      <w:r w:rsidRPr="00225D4D">
        <w:t xml:space="preserve"> </w:t>
      </w:r>
      <w:proofErr w:type="spellStart"/>
      <w:r w:rsidRPr="00225D4D">
        <w:t>frå</w:t>
      </w:r>
      <w:proofErr w:type="spellEnd"/>
      <w:r w:rsidRPr="00225D4D">
        <w:t xml:space="preserve"> 35 pst. i 2021 til 37 pst. i 2024. Samtidig har delen av </w:t>
      </w:r>
      <w:proofErr w:type="gramStart"/>
      <w:r w:rsidRPr="00225D4D">
        <w:t>tilsette</w:t>
      </w:r>
      <w:proofErr w:type="gramEnd"/>
      <w:r w:rsidRPr="00225D4D">
        <w:t xml:space="preserve"> med </w:t>
      </w:r>
      <w:proofErr w:type="spellStart"/>
      <w:r w:rsidRPr="00225D4D">
        <w:t>annan</w:t>
      </w:r>
      <w:proofErr w:type="spellEnd"/>
      <w:r w:rsidRPr="00225D4D">
        <w:t xml:space="preserve"> kompetanse gått ned i same periode, </w:t>
      </w:r>
      <w:proofErr w:type="spellStart"/>
      <w:r w:rsidRPr="00225D4D">
        <w:t>frå</w:t>
      </w:r>
      <w:proofErr w:type="spellEnd"/>
      <w:r w:rsidRPr="00225D4D">
        <w:t xml:space="preserve"> 58 til 56 pst. Prosentdelen tilsette med </w:t>
      </w:r>
      <w:proofErr w:type="spellStart"/>
      <w:r w:rsidRPr="00225D4D">
        <w:t>godkjend</w:t>
      </w:r>
      <w:proofErr w:type="spellEnd"/>
      <w:r w:rsidRPr="00225D4D">
        <w:t xml:space="preserve"> </w:t>
      </w:r>
      <w:proofErr w:type="spellStart"/>
      <w:r w:rsidRPr="00225D4D">
        <w:t>lærar</w:t>
      </w:r>
      <w:proofErr w:type="spellEnd"/>
      <w:r w:rsidRPr="00225D4D">
        <w:t xml:space="preserve">- eller </w:t>
      </w:r>
      <w:proofErr w:type="spellStart"/>
      <w:r w:rsidRPr="00225D4D">
        <w:t>barnehagelærarutdanning</w:t>
      </w:r>
      <w:proofErr w:type="spellEnd"/>
      <w:r w:rsidRPr="00225D4D">
        <w:t xml:space="preserve"> var </w:t>
      </w:r>
      <w:proofErr w:type="spellStart"/>
      <w:r w:rsidRPr="00225D4D">
        <w:t>høgast</w:t>
      </w:r>
      <w:proofErr w:type="spellEnd"/>
      <w:r w:rsidRPr="00225D4D">
        <w:t xml:space="preserve"> i </w:t>
      </w:r>
      <w:proofErr w:type="spellStart"/>
      <w:r w:rsidRPr="00225D4D">
        <w:t>dei</w:t>
      </w:r>
      <w:proofErr w:type="spellEnd"/>
      <w:r w:rsidRPr="00225D4D">
        <w:t xml:space="preserve"> mellomsentrale </w:t>
      </w:r>
      <w:proofErr w:type="spellStart"/>
      <w:r w:rsidRPr="00225D4D">
        <w:t>kommunane</w:t>
      </w:r>
      <w:proofErr w:type="spellEnd"/>
      <w:r w:rsidRPr="00225D4D">
        <w:t xml:space="preserve"> i tre av </w:t>
      </w:r>
      <w:proofErr w:type="spellStart"/>
      <w:r w:rsidRPr="00225D4D">
        <w:t>dei</w:t>
      </w:r>
      <w:proofErr w:type="spellEnd"/>
      <w:r w:rsidRPr="00225D4D">
        <w:t xml:space="preserve"> fire åra, med mellom 8 og 9 pst. </w:t>
      </w:r>
      <w:proofErr w:type="spellStart"/>
      <w:r w:rsidRPr="00225D4D">
        <w:t>frå</w:t>
      </w:r>
      <w:proofErr w:type="spellEnd"/>
      <w:r w:rsidRPr="00225D4D">
        <w:t xml:space="preserve"> 2021 til 2024.</w:t>
      </w:r>
    </w:p>
    <w:p w14:paraId="1634D837" w14:textId="77777777" w:rsidR="00D60186" w:rsidRPr="00225D4D" w:rsidRDefault="00D60186" w:rsidP="00225D4D">
      <w:r w:rsidRPr="00225D4D">
        <w:rPr>
          <w:rStyle w:val="kursiv"/>
        </w:rPr>
        <w:t>Lek, læring og ikke-pedagogikk for alle – Nasjonal evaluering av skolefritidsordningen i Norge</w:t>
      </w:r>
      <w:r w:rsidRPr="00225D4D">
        <w:t xml:space="preserve"> undersøkte også kompetansen til </w:t>
      </w:r>
      <w:proofErr w:type="spellStart"/>
      <w:r w:rsidRPr="00225D4D">
        <w:t>dei</w:t>
      </w:r>
      <w:proofErr w:type="spellEnd"/>
      <w:r w:rsidRPr="00225D4D">
        <w:t xml:space="preserve"> tilsette, med </w:t>
      </w:r>
      <w:proofErr w:type="spellStart"/>
      <w:r w:rsidRPr="00225D4D">
        <w:t>fleire</w:t>
      </w:r>
      <w:proofErr w:type="spellEnd"/>
      <w:r w:rsidRPr="00225D4D">
        <w:t xml:space="preserve"> </w:t>
      </w:r>
      <w:proofErr w:type="spellStart"/>
      <w:r w:rsidRPr="00225D4D">
        <w:t>detaljar</w:t>
      </w:r>
      <w:proofErr w:type="spellEnd"/>
      <w:r w:rsidRPr="00225D4D">
        <w:t xml:space="preserve"> enn det GSI viser.</w:t>
      </w:r>
    </w:p>
    <w:p w14:paraId="73E880BB" w14:textId="662FBCCB" w:rsidR="002D4C2A" w:rsidRPr="0052516A" w:rsidRDefault="002D4C2A" w:rsidP="00225D4D">
      <w:pPr>
        <w:pStyle w:val="tabell-tittel"/>
      </w:pPr>
      <w:proofErr w:type="spellStart"/>
      <w:r w:rsidRPr="0052516A">
        <w:t>Høgaste</w:t>
      </w:r>
      <w:proofErr w:type="spellEnd"/>
      <w:r w:rsidRPr="0052516A">
        <w:t xml:space="preserve"> utdanningsnivå hos de tilsette i SFO i pst.</w:t>
      </w:r>
      <w:r w:rsidR="00225D4D" w:rsidRPr="0052516A">
        <w:t xml:space="preserve"> </w:t>
      </w:r>
    </w:p>
    <w:p w14:paraId="04577C91" w14:textId="77777777" w:rsidR="00D60186" w:rsidRPr="00225D4D" w:rsidRDefault="00D60186" w:rsidP="00225D4D">
      <w:pPr>
        <w:pStyle w:val="Tabellnavn"/>
      </w:pPr>
      <w:r w:rsidRPr="00225D4D">
        <w:t>02J1xt1</w:t>
      </w:r>
    </w:p>
    <w:tbl>
      <w:tblPr>
        <w:tblW w:w="0" w:type="auto"/>
        <w:tblInd w:w="43" w:type="dxa"/>
        <w:tblLayout w:type="fixed"/>
        <w:tblCellMar>
          <w:top w:w="118" w:type="dxa"/>
          <w:left w:w="43" w:type="dxa"/>
          <w:bottom w:w="40" w:type="dxa"/>
          <w:right w:w="43" w:type="dxa"/>
        </w:tblCellMar>
        <w:tblLook w:val="0000" w:firstRow="0" w:lastRow="0" w:firstColumn="0" w:lastColumn="0" w:noHBand="0" w:noVBand="0"/>
      </w:tblPr>
      <w:tblGrid>
        <w:gridCol w:w="3160"/>
        <w:gridCol w:w="1420"/>
      </w:tblGrid>
      <w:tr w:rsidR="00E76DC8" w:rsidRPr="00225D4D" w14:paraId="141D2777" w14:textId="77777777">
        <w:trPr>
          <w:trHeight w:val="340"/>
        </w:trPr>
        <w:tc>
          <w:tcPr>
            <w:tcW w:w="316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66B89697" w14:textId="77777777" w:rsidR="00D60186" w:rsidRPr="002C641A" w:rsidRDefault="00D60186" w:rsidP="00225D4D">
            <w:pPr>
              <w:rPr>
                <w:sz w:val="21"/>
                <w:szCs w:val="21"/>
              </w:rPr>
            </w:pPr>
            <w:r w:rsidRPr="002C641A">
              <w:rPr>
                <w:sz w:val="21"/>
                <w:szCs w:val="21"/>
              </w:rPr>
              <w:t xml:space="preserve">Utdanningsnivå </w:t>
            </w:r>
          </w:p>
        </w:tc>
        <w:tc>
          <w:tcPr>
            <w:tcW w:w="1420" w:type="dxa"/>
            <w:tcBorders>
              <w:top w:val="single" w:sz="4" w:space="0" w:color="000000"/>
              <w:left w:val="nil"/>
              <w:bottom w:val="single" w:sz="4" w:space="0" w:color="000000"/>
              <w:right w:val="nil"/>
            </w:tcBorders>
            <w:tcMar>
              <w:top w:w="118" w:type="dxa"/>
              <w:left w:w="43" w:type="dxa"/>
              <w:bottom w:w="40" w:type="dxa"/>
              <w:right w:w="43" w:type="dxa"/>
            </w:tcMar>
            <w:vAlign w:val="bottom"/>
          </w:tcPr>
          <w:p w14:paraId="5276014F" w14:textId="77777777" w:rsidR="00D60186" w:rsidRPr="002C641A" w:rsidRDefault="00D60186" w:rsidP="0052516A">
            <w:pPr>
              <w:jc w:val="right"/>
              <w:rPr>
                <w:sz w:val="21"/>
                <w:szCs w:val="21"/>
              </w:rPr>
            </w:pPr>
            <w:r w:rsidRPr="002C641A">
              <w:rPr>
                <w:sz w:val="21"/>
                <w:szCs w:val="21"/>
              </w:rPr>
              <w:t>Prosentdel</w:t>
            </w:r>
          </w:p>
        </w:tc>
      </w:tr>
      <w:tr w:rsidR="00E76DC8" w:rsidRPr="00225D4D" w14:paraId="0334B575" w14:textId="77777777">
        <w:trPr>
          <w:trHeight w:val="360"/>
        </w:trPr>
        <w:tc>
          <w:tcPr>
            <w:tcW w:w="3160" w:type="dxa"/>
            <w:tcBorders>
              <w:top w:val="single" w:sz="4" w:space="0" w:color="000000"/>
              <w:left w:val="nil"/>
              <w:bottom w:val="nil"/>
              <w:right w:val="nil"/>
            </w:tcBorders>
            <w:tcMar>
              <w:top w:w="118" w:type="dxa"/>
              <w:left w:w="43" w:type="dxa"/>
              <w:bottom w:w="40" w:type="dxa"/>
              <w:right w:w="43" w:type="dxa"/>
            </w:tcMar>
          </w:tcPr>
          <w:p w14:paraId="3D7FCC0F" w14:textId="77777777" w:rsidR="00D60186" w:rsidRPr="0052516A" w:rsidRDefault="00D60186" w:rsidP="00225D4D">
            <w:pPr>
              <w:rPr>
                <w:sz w:val="21"/>
                <w:szCs w:val="21"/>
              </w:rPr>
            </w:pPr>
            <w:proofErr w:type="spellStart"/>
            <w:r w:rsidRPr="0052516A">
              <w:rPr>
                <w:sz w:val="21"/>
                <w:szCs w:val="21"/>
              </w:rPr>
              <w:t>Ikkje</w:t>
            </w:r>
            <w:proofErr w:type="spellEnd"/>
            <w:r w:rsidRPr="0052516A">
              <w:rPr>
                <w:sz w:val="21"/>
                <w:szCs w:val="21"/>
              </w:rPr>
              <w:t xml:space="preserve"> fullført </w:t>
            </w:r>
            <w:proofErr w:type="spellStart"/>
            <w:r w:rsidRPr="0052516A">
              <w:rPr>
                <w:sz w:val="21"/>
                <w:szCs w:val="21"/>
              </w:rPr>
              <w:t>vidaregåande</w:t>
            </w:r>
            <w:proofErr w:type="spellEnd"/>
            <w:r w:rsidRPr="0052516A">
              <w:rPr>
                <w:sz w:val="21"/>
                <w:szCs w:val="21"/>
              </w:rPr>
              <w:t xml:space="preserve"> </w:t>
            </w:r>
          </w:p>
        </w:tc>
        <w:tc>
          <w:tcPr>
            <w:tcW w:w="1420" w:type="dxa"/>
            <w:tcBorders>
              <w:top w:val="single" w:sz="4" w:space="0" w:color="000000"/>
              <w:left w:val="nil"/>
              <w:bottom w:val="nil"/>
              <w:right w:val="nil"/>
            </w:tcBorders>
            <w:tcMar>
              <w:top w:w="118" w:type="dxa"/>
              <w:left w:w="43" w:type="dxa"/>
              <w:bottom w:w="40" w:type="dxa"/>
              <w:right w:w="43" w:type="dxa"/>
            </w:tcMar>
            <w:vAlign w:val="bottom"/>
          </w:tcPr>
          <w:p w14:paraId="6AC42E64" w14:textId="77777777" w:rsidR="00D60186" w:rsidRPr="0052516A" w:rsidRDefault="00D60186" w:rsidP="0052516A">
            <w:pPr>
              <w:jc w:val="right"/>
              <w:rPr>
                <w:sz w:val="21"/>
                <w:szCs w:val="21"/>
              </w:rPr>
            </w:pPr>
            <w:r w:rsidRPr="0052516A">
              <w:rPr>
                <w:sz w:val="21"/>
                <w:szCs w:val="21"/>
              </w:rPr>
              <w:t>10</w:t>
            </w:r>
          </w:p>
        </w:tc>
      </w:tr>
      <w:tr w:rsidR="00E76DC8" w:rsidRPr="00225D4D" w14:paraId="1867472C" w14:textId="77777777">
        <w:trPr>
          <w:trHeight w:val="620"/>
        </w:trPr>
        <w:tc>
          <w:tcPr>
            <w:tcW w:w="3160" w:type="dxa"/>
            <w:tcBorders>
              <w:top w:val="nil"/>
              <w:left w:val="nil"/>
              <w:bottom w:val="nil"/>
              <w:right w:val="nil"/>
            </w:tcBorders>
            <w:tcMar>
              <w:top w:w="118" w:type="dxa"/>
              <w:left w:w="43" w:type="dxa"/>
              <w:bottom w:w="40" w:type="dxa"/>
              <w:right w:w="43" w:type="dxa"/>
            </w:tcMar>
          </w:tcPr>
          <w:p w14:paraId="1821F80A" w14:textId="77777777" w:rsidR="00D60186" w:rsidRPr="0052516A" w:rsidRDefault="00D60186" w:rsidP="00225D4D">
            <w:pPr>
              <w:rPr>
                <w:sz w:val="21"/>
                <w:szCs w:val="21"/>
              </w:rPr>
            </w:pPr>
            <w:r w:rsidRPr="0052516A">
              <w:rPr>
                <w:sz w:val="21"/>
                <w:szCs w:val="21"/>
              </w:rPr>
              <w:t xml:space="preserve">Barne- og </w:t>
            </w:r>
            <w:proofErr w:type="spellStart"/>
            <w:r w:rsidRPr="0052516A">
              <w:rPr>
                <w:sz w:val="21"/>
                <w:szCs w:val="21"/>
              </w:rPr>
              <w:t>ungdomsarbeidar</w:t>
            </w:r>
            <w:proofErr w:type="spellEnd"/>
            <w:r w:rsidRPr="0052516A">
              <w:rPr>
                <w:sz w:val="21"/>
                <w:szCs w:val="21"/>
              </w:rPr>
              <w:t xml:space="preserve"> med fagbrev </w:t>
            </w:r>
          </w:p>
        </w:tc>
        <w:tc>
          <w:tcPr>
            <w:tcW w:w="1420" w:type="dxa"/>
            <w:tcBorders>
              <w:top w:val="nil"/>
              <w:left w:val="nil"/>
              <w:bottom w:val="nil"/>
              <w:right w:val="nil"/>
            </w:tcBorders>
            <w:tcMar>
              <w:top w:w="118" w:type="dxa"/>
              <w:left w:w="43" w:type="dxa"/>
              <w:bottom w:w="40" w:type="dxa"/>
              <w:right w:w="43" w:type="dxa"/>
            </w:tcMar>
            <w:vAlign w:val="bottom"/>
          </w:tcPr>
          <w:p w14:paraId="6A354364" w14:textId="77777777" w:rsidR="00D60186" w:rsidRPr="0052516A" w:rsidRDefault="00D60186" w:rsidP="0052516A">
            <w:pPr>
              <w:jc w:val="right"/>
              <w:rPr>
                <w:sz w:val="21"/>
                <w:szCs w:val="21"/>
              </w:rPr>
            </w:pPr>
            <w:r w:rsidRPr="0052516A">
              <w:rPr>
                <w:sz w:val="21"/>
                <w:szCs w:val="21"/>
              </w:rPr>
              <w:t>27</w:t>
            </w:r>
          </w:p>
        </w:tc>
      </w:tr>
      <w:tr w:rsidR="00E76DC8" w:rsidRPr="00225D4D" w14:paraId="225C6BCD" w14:textId="77777777">
        <w:trPr>
          <w:trHeight w:val="360"/>
        </w:trPr>
        <w:tc>
          <w:tcPr>
            <w:tcW w:w="3160" w:type="dxa"/>
            <w:tcBorders>
              <w:top w:val="nil"/>
              <w:left w:val="nil"/>
              <w:bottom w:val="nil"/>
              <w:right w:val="nil"/>
            </w:tcBorders>
            <w:tcMar>
              <w:top w:w="118" w:type="dxa"/>
              <w:left w:w="43" w:type="dxa"/>
              <w:bottom w:w="40" w:type="dxa"/>
              <w:right w:w="43" w:type="dxa"/>
            </w:tcMar>
          </w:tcPr>
          <w:p w14:paraId="4D220F6B" w14:textId="77777777" w:rsidR="00D60186" w:rsidRPr="0052516A" w:rsidRDefault="00D60186" w:rsidP="00225D4D">
            <w:pPr>
              <w:rPr>
                <w:sz w:val="21"/>
                <w:szCs w:val="21"/>
              </w:rPr>
            </w:pPr>
            <w:r w:rsidRPr="0052516A">
              <w:rPr>
                <w:sz w:val="21"/>
                <w:szCs w:val="21"/>
              </w:rPr>
              <w:t>Anna fagbrev/</w:t>
            </w:r>
            <w:proofErr w:type="spellStart"/>
            <w:r w:rsidRPr="0052516A">
              <w:rPr>
                <w:sz w:val="21"/>
                <w:szCs w:val="21"/>
              </w:rPr>
              <w:t>vidaregåande</w:t>
            </w:r>
            <w:proofErr w:type="spellEnd"/>
            <w:r w:rsidRPr="0052516A">
              <w:rPr>
                <w:sz w:val="21"/>
                <w:szCs w:val="21"/>
              </w:rPr>
              <w:t xml:space="preserve"> </w:t>
            </w:r>
          </w:p>
        </w:tc>
        <w:tc>
          <w:tcPr>
            <w:tcW w:w="1420" w:type="dxa"/>
            <w:tcBorders>
              <w:top w:val="nil"/>
              <w:left w:val="nil"/>
              <w:bottom w:val="nil"/>
              <w:right w:val="nil"/>
            </w:tcBorders>
            <w:tcMar>
              <w:top w:w="118" w:type="dxa"/>
              <w:left w:w="43" w:type="dxa"/>
              <w:bottom w:w="40" w:type="dxa"/>
              <w:right w:w="43" w:type="dxa"/>
            </w:tcMar>
            <w:vAlign w:val="bottom"/>
          </w:tcPr>
          <w:p w14:paraId="2EB64AB2" w14:textId="77777777" w:rsidR="00D60186" w:rsidRPr="0052516A" w:rsidRDefault="00D60186" w:rsidP="0052516A">
            <w:pPr>
              <w:jc w:val="right"/>
              <w:rPr>
                <w:sz w:val="21"/>
                <w:szCs w:val="21"/>
              </w:rPr>
            </w:pPr>
            <w:r w:rsidRPr="0052516A">
              <w:rPr>
                <w:sz w:val="21"/>
                <w:szCs w:val="21"/>
              </w:rPr>
              <w:t>21</w:t>
            </w:r>
          </w:p>
        </w:tc>
      </w:tr>
      <w:tr w:rsidR="00E76DC8" w:rsidRPr="00225D4D" w14:paraId="7310D70A" w14:textId="77777777">
        <w:trPr>
          <w:trHeight w:val="360"/>
        </w:trPr>
        <w:tc>
          <w:tcPr>
            <w:tcW w:w="3160" w:type="dxa"/>
            <w:tcBorders>
              <w:top w:val="nil"/>
              <w:left w:val="nil"/>
              <w:bottom w:val="nil"/>
              <w:right w:val="nil"/>
            </w:tcBorders>
            <w:tcMar>
              <w:top w:w="118" w:type="dxa"/>
              <w:left w:w="43" w:type="dxa"/>
              <w:bottom w:w="40" w:type="dxa"/>
              <w:right w:w="43" w:type="dxa"/>
            </w:tcMar>
          </w:tcPr>
          <w:p w14:paraId="4EA068D8" w14:textId="77777777" w:rsidR="00D60186" w:rsidRPr="0052516A" w:rsidRDefault="00D60186" w:rsidP="00225D4D">
            <w:pPr>
              <w:rPr>
                <w:sz w:val="21"/>
                <w:szCs w:val="21"/>
              </w:rPr>
            </w:pPr>
            <w:proofErr w:type="spellStart"/>
            <w:r w:rsidRPr="0052516A">
              <w:rPr>
                <w:sz w:val="21"/>
                <w:szCs w:val="21"/>
              </w:rPr>
              <w:t>Førskulelærar</w:t>
            </w:r>
            <w:proofErr w:type="spellEnd"/>
            <w:r w:rsidRPr="0052516A">
              <w:rPr>
                <w:sz w:val="21"/>
                <w:szCs w:val="21"/>
              </w:rPr>
              <w:t>/</w:t>
            </w:r>
            <w:proofErr w:type="spellStart"/>
            <w:r w:rsidRPr="0052516A">
              <w:rPr>
                <w:sz w:val="21"/>
                <w:szCs w:val="21"/>
              </w:rPr>
              <w:t>barnehagelærar</w:t>
            </w:r>
            <w:proofErr w:type="spellEnd"/>
            <w:r w:rsidRPr="0052516A">
              <w:rPr>
                <w:sz w:val="21"/>
                <w:szCs w:val="21"/>
              </w:rPr>
              <w:t xml:space="preserve"> </w:t>
            </w:r>
          </w:p>
        </w:tc>
        <w:tc>
          <w:tcPr>
            <w:tcW w:w="1420" w:type="dxa"/>
            <w:tcBorders>
              <w:top w:val="nil"/>
              <w:left w:val="nil"/>
              <w:bottom w:val="nil"/>
              <w:right w:val="nil"/>
            </w:tcBorders>
            <w:tcMar>
              <w:top w:w="118" w:type="dxa"/>
              <w:left w:w="43" w:type="dxa"/>
              <w:bottom w:w="40" w:type="dxa"/>
              <w:right w:w="43" w:type="dxa"/>
            </w:tcMar>
            <w:vAlign w:val="bottom"/>
          </w:tcPr>
          <w:p w14:paraId="7AE30A58" w14:textId="77777777" w:rsidR="00D60186" w:rsidRPr="0052516A" w:rsidRDefault="00D60186" w:rsidP="0052516A">
            <w:pPr>
              <w:jc w:val="right"/>
              <w:rPr>
                <w:sz w:val="21"/>
                <w:szCs w:val="21"/>
              </w:rPr>
            </w:pPr>
            <w:r w:rsidRPr="0052516A">
              <w:rPr>
                <w:sz w:val="21"/>
                <w:szCs w:val="21"/>
              </w:rPr>
              <w:t>5</w:t>
            </w:r>
          </w:p>
        </w:tc>
      </w:tr>
      <w:tr w:rsidR="00E76DC8" w:rsidRPr="00225D4D" w14:paraId="5A5AF382" w14:textId="77777777">
        <w:trPr>
          <w:trHeight w:val="360"/>
        </w:trPr>
        <w:tc>
          <w:tcPr>
            <w:tcW w:w="3160" w:type="dxa"/>
            <w:tcBorders>
              <w:top w:val="nil"/>
              <w:left w:val="nil"/>
              <w:bottom w:val="nil"/>
              <w:right w:val="nil"/>
            </w:tcBorders>
            <w:tcMar>
              <w:top w:w="118" w:type="dxa"/>
              <w:left w:w="43" w:type="dxa"/>
              <w:bottom w:w="40" w:type="dxa"/>
              <w:right w:w="43" w:type="dxa"/>
            </w:tcMar>
          </w:tcPr>
          <w:p w14:paraId="68168B3F" w14:textId="77777777" w:rsidR="00D60186" w:rsidRPr="0052516A" w:rsidRDefault="00D60186" w:rsidP="00225D4D">
            <w:pPr>
              <w:rPr>
                <w:sz w:val="21"/>
                <w:szCs w:val="21"/>
              </w:rPr>
            </w:pPr>
            <w:proofErr w:type="spellStart"/>
            <w:r w:rsidRPr="0052516A">
              <w:rPr>
                <w:sz w:val="21"/>
                <w:szCs w:val="21"/>
              </w:rPr>
              <w:t>Allmennlærar</w:t>
            </w:r>
            <w:proofErr w:type="spellEnd"/>
            <w:r w:rsidRPr="0052516A">
              <w:rPr>
                <w:sz w:val="21"/>
                <w:szCs w:val="21"/>
              </w:rPr>
              <w:t xml:space="preserve">/spesialpedagog </w:t>
            </w:r>
          </w:p>
        </w:tc>
        <w:tc>
          <w:tcPr>
            <w:tcW w:w="1420" w:type="dxa"/>
            <w:tcBorders>
              <w:top w:val="nil"/>
              <w:left w:val="nil"/>
              <w:bottom w:val="nil"/>
              <w:right w:val="nil"/>
            </w:tcBorders>
            <w:tcMar>
              <w:top w:w="118" w:type="dxa"/>
              <w:left w:w="43" w:type="dxa"/>
              <w:bottom w:w="40" w:type="dxa"/>
              <w:right w:w="43" w:type="dxa"/>
            </w:tcMar>
            <w:vAlign w:val="bottom"/>
          </w:tcPr>
          <w:p w14:paraId="43E8F064" w14:textId="77777777" w:rsidR="00D60186" w:rsidRPr="0052516A" w:rsidRDefault="00D60186" w:rsidP="0052516A">
            <w:pPr>
              <w:jc w:val="right"/>
              <w:rPr>
                <w:sz w:val="21"/>
                <w:szCs w:val="21"/>
              </w:rPr>
            </w:pPr>
            <w:r w:rsidRPr="0052516A">
              <w:rPr>
                <w:sz w:val="21"/>
                <w:szCs w:val="21"/>
              </w:rPr>
              <w:t>2</w:t>
            </w:r>
          </w:p>
        </w:tc>
      </w:tr>
      <w:tr w:rsidR="00E76DC8" w:rsidRPr="00225D4D" w14:paraId="1AFCEFF4" w14:textId="77777777">
        <w:trPr>
          <w:trHeight w:val="360"/>
        </w:trPr>
        <w:tc>
          <w:tcPr>
            <w:tcW w:w="3160" w:type="dxa"/>
            <w:tcBorders>
              <w:top w:val="nil"/>
              <w:left w:val="nil"/>
              <w:bottom w:val="nil"/>
              <w:right w:val="nil"/>
            </w:tcBorders>
            <w:tcMar>
              <w:top w:w="118" w:type="dxa"/>
              <w:left w:w="43" w:type="dxa"/>
              <w:bottom w:w="40" w:type="dxa"/>
              <w:right w:w="43" w:type="dxa"/>
            </w:tcMar>
          </w:tcPr>
          <w:p w14:paraId="6E3CB17E" w14:textId="77777777" w:rsidR="00D60186" w:rsidRPr="0052516A" w:rsidRDefault="00D60186" w:rsidP="00225D4D">
            <w:pPr>
              <w:rPr>
                <w:sz w:val="21"/>
                <w:szCs w:val="21"/>
              </w:rPr>
            </w:pPr>
            <w:proofErr w:type="spellStart"/>
            <w:r w:rsidRPr="0052516A">
              <w:rPr>
                <w:sz w:val="21"/>
                <w:szCs w:val="21"/>
              </w:rPr>
              <w:t>Grunnskulelærar</w:t>
            </w:r>
            <w:proofErr w:type="spellEnd"/>
            <w:r w:rsidRPr="0052516A">
              <w:rPr>
                <w:sz w:val="21"/>
                <w:szCs w:val="21"/>
              </w:rPr>
              <w:t xml:space="preserve"> </w:t>
            </w:r>
          </w:p>
        </w:tc>
        <w:tc>
          <w:tcPr>
            <w:tcW w:w="1420" w:type="dxa"/>
            <w:tcBorders>
              <w:top w:val="nil"/>
              <w:left w:val="nil"/>
              <w:bottom w:val="nil"/>
              <w:right w:val="nil"/>
            </w:tcBorders>
            <w:tcMar>
              <w:top w:w="118" w:type="dxa"/>
              <w:left w:w="43" w:type="dxa"/>
              <w:bottom w:w="40" w:type="dxa"/>
              <w:right w:w="43" w:type="dxa"/>
            </w:tcMar>
            <w:vAlign w:val="bottom"/>
          </w:tcPr>
          <w:p w14:paraId="297224DD" w14:textId="77777777" w:rsidR="00D60186" w:rsidRPr="0052516A" w:rsidRDefault="00D60186" w:rsidP="0052516A">
            <w:pPr>
              <w:jc w:val="right"/>
              <w:rPr>
                <w:sz w:val="21"/>
                <w:szCs w:val="21"/>
              </w:rPr>
            </w:pPr>
            <w:r w:rsidRPr="0052516A">
              <w:rPr>
                <w:sz w:val="21"/>
                <w:szCs w:val="21"/>
              </w:rPr>
              <w:t>1</w:t>
            </w:r>
          </w:p>
        </w:tc>
      </w:tr>
      <w:tr w:rsidR="00E76DC8" w:rsidRPr="00225D4D" w14:paraId="34E1AC10" w14:textId="77777777">
        <w:trPr>
          <w:trHeight w:val="360"/>
        </w:trPr>
        <w:tc>
          <w:tcPr>
            <w:tcW w:w="3160" w:type="dxa"/>
            <w:tcBorders>
              <w:top w:val="nil"/>
              <w:left w:val="nil"/>
              <w:bottom w:val="nil"/>
              <w:right w:val="nil"/>
            </w:tcBorders>
            <w:tcMar>
              <w:top w:w="118" w:type="dxa"/>
              <w:left w:w="43" w:type="dxa"/>
              <w:bottom w:w="40" w:type="dxa"/>
              <w:right w:w="43" w:type="dxa"/>
            </w:tcMar>
          </w:tcPr>
          <w:p w14:paraId="748E29EC" w14:textId="77777777" w:rsidR="00D60186" w:rsidRPr="0052516A" w:rsidRDefault="00D60186" w:rsidP="00225D4D">
            <w:pPr>
              <w:rPr>
                <w:sz w:val="21"/>
                <w:szCs w:val="21"/>
              </w:rPr>
            </w:pPr>
            <w:r w:rsidRPr="0052516A">
              <w:rPr>
                <w:sz w:val="21"/>
                <w:szCs w:val="21"/>
              </w:rPr>
              <w:t xml:space="preserve">Lektor </w:t>
            </w:r>
          </w:p>
        </w:tc>
        <w:tc>
          <w:tcPr>
            <w:tcW w:w="1420" w:type="dxa"/>
            <w:tcBorders>
              <w:top w:val="nil"/>
              <w:left w:val="nil"/>
              <w:bottom w:val="nil"/>
              <w:right w:val="nil"/>
            </w:tcBorders>
            <w:tcMar>
              <w:top w:w="118" w:type="dxa"/>
              <w:left w:w="43" w:type="dxa"/>
              <w:bottom w:w="40" w:type="dxa"/>
              <w:right w:w="43" w:type="dxa"/>
            </w:tcMar>
            <w:vAlign w:val="bottom"/>
          </w:tcPr>
          <w:p w14:paraId="0CEB2B1D" w14:textId="77777777" w:rsidR="00D60186" w:rsidRPr="0052516A" w:rsidRDefault="00D60186" w:rsidP="0052516A">
            <w:pPr>
              <w:jc w:val="right"/>
              <w:rPr>
                <w:sz w:val="21"/>
                <w:szCs w:val="21"/>
              </w:rPr>
            </w:pPr>
            <w:r w:rsidRPr="0052516A">
              <w:rPr>
                <w:sz w:val="21"/>
                <w:szCs w:val="21"/>
              </w:rPr>
              <w:t>1</w:t>
            </w:r>
          </w:p>
        </w:tc>
      </w:tr>
      <w:tr w:rsidR="00E76DC8" w:rsidRPr="00225D4D" w14:paraId="71D54D7F" w14:textId="77777777">
        <w:trPr>
          <w:trHeight w:val="360"/>
        </w:trPr>
        <w:tc>
          <w:tcPr>
            <w:tcW w:w="3160" w:type="dxa"/>
            <w:tcBorders>
              <w:top w:val="nil"/>
              <w:left w:val="nil"/>
              <w:bottom w:val="nil"/>
              <w:right w:val="nil"/>
            </w:tcBorders>
            <w:tcMar>
              <w:top w:w="118" w:type="dxa"/>
              <w:left w:w="43" w:type="dxa"/>
              <w:bottom w:w="40" w:type="dxa"/>
              <w:right w:w="43" w:type="dxa"/>
            </w:tcMar>
          </w:tcPr>
          <w:p w14:paraId="5092A1F3" w14:textId="77777777" w:rsidR="00D60186" w:rsidRPr="0052516A" w:rsidRDefault="00D60186" w:rsidP="00225D4D">
            <w:pPr>
              <w:rPr>
                <w:sz w:val="21"/>
                <w:szCs w:val="21"/>
              </w:rPr>
            </w:pPr>
            <w:r w:rsidRPr="0052516A">
              <w:rPr>
                <w:sz w:val="21"/>
                <w:szCs w:val="21"/>
              </w:rPr>
              <w:t xml:space="preserve">Anna </w:t>
            </w:r>
            <w:proofErr w:type="spellStart"/>
            <w:r w:rsidRPr="0052516A">
              <w:rPr>
                <w:sz w:val="21"/>
                <w:szCs w:val="21"/>
              </w:rPr>
              <w:t>høgare</w:t>
            </w:r>
            <w:proofErr w:type="spellEnd"/>
            <w:r w:rsidRPr="0052516A">
              <w:rPr>
                <w:sz w:val="21"/>
                <w:szCs w:val="21"/>
              </w:rPr>
              <w:t xml:space="preserve"> utdanning inntil 4 år </w:t>
            </w:r>
          </w:p>
        </w:tc>
        <w:tc>
          <w:tcPr>
            <w:tcW w:w="1420" w:type="dxa"/>
            <w:tcBorders>
              <w:top w:val="nil"/>
              <w:left w:val="nil"/>
              <w:bottom w:val="nil"/>
              <w:right w:val="nil"/>
            </w:tcBorders>
            <w:tcMar>
              <w:top w:w="118" w:type="dxa"/>
              <w:left w:w="43" w:type="dxa"/>
              <w:bottom w:w="40" w:type="dxa"/>
              <w:right w:w="43" w:type="dxa"/>
            </w:tcMar>
            <w:vAlign w:val="bottom"/>
          </w:tcPr>
          <w:p w14:paraId="245BD3B3" w14:textId="77777777" w:rsidR="00D60186" w:rsidRPr="0052516A" w:rsidRDefault="00D60186" w:rsidP="0052516A">
            <w:pPr>
              <w:jc w:val="right"/>
              <w:rPr>
                <w:sz w:val="21"/>
                <w:szCs w:val="21"/>
              </w:rPr>
            </w:pPr>
            <w:r w:rsidRPr="0052516A">
              <w:rPr>
                <w:sz w:val="21"/>
                <w:szCs w:val="21"/>
              </w:rPr>
              <w:t>27</w:t>
            </w:r>
          </w:p>
        </w:tc>
      </w:tr>
      <w:tr w:rsidR="00E76DC8" w:rsidRPr="00225D4D" w14:paraId="28838D93" w14:textId="77777777">
        <w:trPr>
          <w:trHeight w:val="360"/>
        </w:trPr>
        <w:tc>
          <w:tcPr>
            <w:tcW w:w="3160" w:type="dxa"/>
            <w:tcBorders>
              <w:top w:val="nil"/>
              <w:left w:val="nil"/>
              <w:bottom w:val="single" w:sz="4" w:space="0" w:color="000000"/>
              <w:right w:val="nil"/>
            </w:tcBorders>
            <w:tcMar>
              <w:top w:w="118" w:type="dxa"/>
              <w:left w:w="43" w:type="dxa"/>
              <w:bottom w:w="40" w:type="dxa"/>
              <w:right w:w="43" w:type="dxa"/>
            </w:tcMar>
          </w:tcPr>
          <w:p w14:paraId="1F0AE851" w14:textId="77777777" w:rsidR="00D60186" w:rsidRPr="0052516A" w:rsidRDefault="00D60186" w:rsidP="00225D4D">
            <w:pPr>
              <w:rPr>
                <w:sz w:val="21"/>
                <w:szCs w:val="21"/>
              </w:rPr>
            </w:pPr>
            <w:r w:rsidRPr="0052516A">
              <w:rPr>
                <w:sz w:val="21"/>
                <w:szCs w:val="21"/>
              </w:rPr>
              <w:t xml:space="preserve">Anna </w:t>
            </w:r>
            <w:proofErr w:type="spellStart"/>
            <w:r w:rsidRPr="0052516A">
              <w:rPr>
                <w:sz w:val="21"/>
                <w:szCs w:val="21"/>
              </w:rPr>
              <w:t>høgare</w:t>
            </w:r>
            <w:proofErr w:type="spellEnd"/>
            <w:r w:rsidRPr="0052516A">
              <w:rPr>
                <w:sz w:val="21"/>
                <w:szCs w:val="21"/>
              </w:rPr>
              <w:t xml:space="preserve"> utdanning over 4 år </w:t>
            </w:r>
          </w:p>
        </w:tc>
        <w:tc>
          <w:tcPr>
            <w:tcW w:w="1420" w:type="dxa"/>
            <w:tcBorders>
              <w:top w:val="nil"/>
              <w:left w:val="nil"/>
              <w:bottom w:val="single" w:sz="4" w:space="0" w:color="000000"/>
              <w:right w:val="nil"/>
            </w:tcBorders>
            <w:tcMar>
              <w:top w:w="118" w:type="dxa"/>
              <w:left w:w="43" w:type="dxa"/>
              <w:bottom w:w="40" w:type="dxa"/>
              <w:right w:w="43" w:type="dxa"/>
            </w:tcMar>
            <w:vAlign w:val="bottom"/>
          </w:tcPr>
          <w:p w14:paraId="007F238D" w14:textId="77777777" w:rsidR="00D60186" w:rsidRPr="0052516A" w:rsidRDefault="00D60186" w:rsidP="0052516A">
            <w:pPr>
              <w:jc w:val="right"/>
              <w:rPr>
                <w:sz w:val="21"/>
                <w:szCs w:val="21"/>
              </w:rPr>
            </w:pPr>
            <w:r w:rsidRPr="0052516A">
              <w:rPr>
                <w:sz w:val="21"/>
                <w:szCs w:val="21"/>
              </w:rPr>
              <w:t>5</w:t>
            </w:r>
          </w:p>
        </w:tc>
      </w:tr>
    </w:tbl>
    <w:p w14:paraId="41ADC62F" w14:textId="77777777" w:rsidR="00D60186" w:rsidRPr="00225D4D" w:rsidRDefault="00D60186" w:rsidP="00225D4D">
      <w:pPr>
        <w:pStyle w:val="Kilde"/>
      </w:pPr>
      <w:r w:rsidRPr="00225D4D">
        <w:t xml:space="preserve">Kjelde: </w:t>
      </w:r>
      <w:r w:rsidRPr="00225D4D">
        <w:rPr>
          <w:rStyle w:val="kursiv"/>
        </w:rPr>
        <w:t>Lek, læring og ikke-pedagogikk for alle. Nasjonal evaluering av skolefritidsordningen i Norge NTNU Samfunnsforsking 2018</w:t>
      </w:r>
      <w:r w:rsidRPr="00225D4D">
        <w:t xml:space="preserve">. N = 1023 </w:t>
      </w:r>
    </w:p>
    <w:p w14:paraId="4298DF47" w14:textId="77777777" w:rsidR="00D60186" w:rsidRPr="00225D4D" w:rsidRDefault="00D60186" w:rsidP="00225D4D">
      <w:pPr>
        <w:pStyle w:val="avsnitt-under-undertittel"/>
      </w:pPr>
      <w:r w:rsidRPr="00225D4D">
        <w:t>Kompetansebehov</w:t>
      </w:r>
    </w:p>
    <w:p w14:paraId="7DBA7756" w14:textId="77777777" w:rsidR="00D60186" w:rsidRPr="00225D4D" w:rsidRDefault="00D60186" w:rsidP="00225D4D">
      <w:r w:rsidRPr="00225D4D">
        <w:t xml:space="preserve">På oppdrag </w:t>
      </w:r>
      <w:proofErr w:type="spellStart"/>
      <w:r w:rsidRPr="00225D4D">
        <w:t>frå</w:t>
      </w:r>
      <w:proofErr w:type="spellEnd"/>
      <w:r w:rsidRPr="00225D4D">
        <w:t xml:space="preserve"> Utdanningsdirektoratet gjennomførte Rambøll i 2022 ei kartlegging av korleis tilsette og </w:t>
      </w:r>
      <w:proofErr w:type="spellStart"/>
      <w:r w:rsidRPr="00225D4D">
        <w:t>leiarar</w:t>
      </w:r>
      <w:proofErr w:type="spellEnd"/>
      <w:r w:rsidRPr="00225D4D">
        <w:t xml:space="preserve"> i SFO </w:t>
      </w:r>
      <w:proofErr w:type="spellStart"/>
      <w:r w:rsidRPr="00225D4D">
        <w:t>sjølv</w:t>
      </w:r>
      <w:proofErr w:type="spellEnd"/>
      <w:r w:rsidRPr="00225D4D">
        <w:t xml:space="preserve"> </w:t>
      </w:r>
      <w:proofErr w:type="spellStart"/>
      <w:r w:rsidRPr="00225D4D">
        <w:t>oppfattar</w:t>
      </w:r>
      <w:proofErr w:type="spellEnd"/>
      <w:r w:rsidRPr="00225D4D">
        <w:t xml:space="preserve"> kompetansebehova i SFO. </w:t>
      </w:r>
      <w:proofErr w:type="spellStart"/>
      <w:r w:rsidRPr="00225D4D">
        <w:t>Leiarane</w:t>
      </w:r>
      <w:proofErr w:type="spellEnd"/>
      <w:r w:rsidRPr="00225D4D">
        <w:t xml:space="preserve"> i SFO og </w:t>
      </w:r>
      <w:proofErr w:type="spellStart"/>
      <w:r w:rsidRPr="00225D4D">
        <w:t>dei</w:t>
      </w:r>
      <w:proofErr w:type="spellEnd"/>
      <w:r w:rsidRPr="00225D4D">
        <w:t xml:space="preserve"> tilsette er relativt </w:t>
      </w:r>
      <w:proofErr w:type="spellStart"/>
      <w:r w:rsidRPr="00225D4D">
        <w:t>samstemde</w:t>
      </w:r>
      <w:proofErr w:type="spellEnd"/>
      <w:r w:rsidRPr="00225D4D">
        <w:t xml:space="preserve"> om kva for område </w:t>
      </w:r>
      <w:proofErr w:type="spellStart"/>
      <w:r w:rsidRPr="00225D4D">
        <w:t>dei</w:t>
      </w:r>
      <w:proofErr w:type="spellEnd"/>
      <w:r w:rsidRPr="00225D4D">
        <w:t xml:space="preserve"> tilsette har behov for kompetanse på. </w:t>
      </w:r>
      <w:proofErr w:type="spellStart"/>
      <w:r w:rsidRPr="00225D4D">
        <w:t>Spørjeundersøkinga</w:t>
      </w:r>
      <w:proofErr w:type="spellEnd"/>
      <w:r w:rsidRPr="00225D4D">
        <w:t xml:space="preserve"> viser at </w:t>
      </w:r>
      <w:proofErr w:type="spellStart"/>
      <w:r w:rsidRPr="00225D4D">
        <w:t>dei</w:t>
      </w:r>
      <w:proofErr w:type="spellEnd"/>
      <w:r w:rsidRPr="00225D4D">
        <w:t xml:space="preserve"> områda der det er størst behov for kompetanseheving, er:</w:t>
      </w:r>
    </w:p>
    <w:p w14:paraId="7581288F" w14:textId="77777777" w:rsidR="00D60186" w:rsidRPr="00225D4D" w:rsidRDefault="00D60186" w:rsidP="00225D4D">
      <w:pPr>
        <w:pStyle w:val="Liste"/>
      </w:pPr>
      <w:r w:rsidRPr="00225D4D">
        <w:t xml:space="preserve">bruk av nye </w:t>
      </w:r>
      <w:proofErr w:type="spellStart"/>
      <w:r w:rsidRPr="00225D4D">
        <w:t>teknologiar</w:t>
      </w:r>
      <w:proofErr w:type="spellEnd"/>
    </w:p>
    <w:p w14:paraId="76FDDBC6" w14:textId="77777777" w:rsidR="00D60186" w:rsidRPr="00225D4D" w:rsidRDefault="00D60186" w:rsidP="00225D4D">
      <w:pPr>
        <w:pStyle w:val="Liste"/>
      </w:pPr>
      <w:r w:rsidRPr="00225D4D">
        <w:t xml:space="preserve">arbeid med barn med behov for </w:t>
      </w:r>
      <w:proofErr w:type="spellStart"/>
      <w:r w:rsidRPr="00225D4D">
        <w:t>særskild</w:t>
      </w:r>
      <w:proofErr w:type="spellEnd"/>
      <w:r w:rsidRPr="00225D4D">
        <w:t xml:space="preserve"> tilrettelegging</w:t>
      </w:r>
    </w:p>
    <w:p w14:paraId="03E53571" w14:textId="77777777" w:rsidR="00D60186" w:rsidRPr="00225D4D" w:rsidRDefault="00D60186" w:rsidP="00225D4D">
      <w:pPr>
        <w:pStyle w:val="Liste"/>
      </w:pPr>
      <w:r w:rsidRPr="00225D4D">
        <w:t xml:space="preserve">arbeid med barn i </w:t>
      </w:r>
      <w:proofErr w:type="spellStart"/>
      <w:r w:rsidRPr="00225D4D">
        <w:t>eit</w:t>
      </w:r>
      <w:proofErr w:type="spellEnd"/>
      <w:r w:rsidRPr="00225D4D">
        <w:t xml:space="preserve"> </w:t>
      </w:r>
      <w:proofErr w:type="spellStart"/>
      <w:r w:rsidRPr="00225D4D">
        <w:t>fleirkulturelt</w:t>
      </w:r>
      <w:proofErr w:type="spellEnd"/>
      <w:r w:rsidRPr="00225D4D">
        <w:t xml:space="preserve"> og </w:t>
      </w:r>
      <w:proofErr w:type="spellStart"/>
      <w:r w:rsidRPr="00225D4D">
        <w:t>fleirspråkleg</w:t>
      </w:r>
      <w:proofErr w:type="spellEnd"/>
      <w:r w:rsidRPr="00225D4D">
        <w:t xml:space="preserve"> miljø</w:t>
      </w:r>
    </w:p>
    <w:p w14:paraId="0B3FE2EE" w14:textId="77777777" w:rsidR="00D60186" w:rsidRPr="00225D4D" w:rsidRDefault="00D60186" w:rsidP="00225D4D">
      <w:pPr>
        <w:pStyle w:val="Liste"/>
      </w:pPr>
      <w:r w:rsidRPr="00225D4D">
        <w:t>leiing av barnegruppa</w:t>
      </w:r>
    </w:p>
    <w:p w14:paraId="2CF184C0" w14:textId="77777777" w:rsidR="00D60186" w:rsidRPr="00225D4D" w:rsidRDefault="00D60186" w:rsidP="00225D4D">
      <w:pPr>
        <w:pStyle w:val="Liste"/>
      </w:pPr>
      <w:r w:rsidRPr="00225D4D">
        <w:t xml:space="preserve">kultur og </w:t>
      </w:r>
      <w:proofErr w:type="spellStart"/>
      <w:r w:rsidRPr="00225D4D">
        <w:t>kulturaktivitetar</w:t>
      </w:r>
      <w:proofErr w:type="spellEnd"/>
    </w:p>
    <w:p w14:paraId="487E8DBF" w14:textId="77777777" w:rsidR="00D60186" w:rsidRPr="00225D4D" w:rsidRDefault="00D60186" w:rsidP="00225D4D">
      <w:pPr>
        <w:pStyle w:val="Liste"/>
      </w:pPr>
      <w:r w:rsidRPr="00225D4D">
        <w:t xml:space="preserve">fagkunnskap relevant for </w:t>
      </w:r>
      <w:proofErr w:type="spellStart"/>
      <w:r w:rsidRPr="00225D4D">
        <w:t>skulefaga</w:t>
      </w:r>
      <w:proofErr w:type="spellEnd"/>
      <w:r w:rsidRPr="00225D4D">
        <w:t xml:space="preserve"> til barna</w:t>
      </w:r>
    </w:p>
    <w:p w14:paraId="3A10A39E" w14:textId="77777777" w:rsidR="00D60186" w:rsidRPr="00225D4D" w:rsidRDefault="00D60186" w:rsidP="00225D4D">
      <w:r w:rsidRPr="00225D4D">
        <w:t xml:space="preserve">Regjeringa innfører </w:t>
      </w:r>
      <w:proofErr w:type="spellStart"/>
      <w:r w:rsidRPr="00225D4D">
        <w:t>eit</w:t>
      </w:r>
      <w:proofErr w:type="spellEnd"/>
      <w:r w:rsidRPr="00225D4D">
        <w:t xml:space="preserve"> </w:t>
      </w:r>
      <w:proofErr w:type="spellStart"/>
      <w:r w:rsidRPr="00225D4D">
        <w:t>heilskapleg</w:t>
      </w:r>
      <w:proofErr w:type="spellEnd"/>
      <w:r w:rsidRPr="00225D4D">
        <w:t xml:space="preserve"> system for kompetanse- og karriereutvikling der tilsette i SFO inngår i målgruppa i både kollektiv kompetanseutvikling, </w:t>
      </w:r>
      <w:proofErr w:type="spellStart"/>
      <w:r w:rsidRPr="00225D4D">
        <w:t>vidareutdanning</w:t>
      </w:r>
      <w:proofErr w:type="spellEnd"/>
      <w:r w:rsidRPr="00225D4D">
        <w:t xml:space="preserve"> og </w:t>
      </w:r>
      <w:proofErr w:type="spellStart"/>
      <w:r w:rsidRPr="00225D4D">
        <w:t>leiarutvikling</w:t>
      </w:r>
      <w:proofErr w:type="spellEnd"/>
      <w:r w:rsidRPr="00225D4D">
        <w:t xml:space="preserve">. </w:t>
      </w:r>
      <w:proofErr w:type="spellStart"/>
      <w:r w:rsidRPr="00225D4D">
        <w:t>Frå</w:t>
      </w:r>
      <w:proofErr w:type="spellEnd"/>
      <w:r w:rsidRPr="00225D4D">
        <w:t xml:space="preserve"> 2026 får </w:t>
      </w:r>
      <w:proofErr w:type="spellStart"/>
      <w:r w:rsidRPr="00225D4D">
        <w:t>fagarbeidarar</w:t>
      </w:r>
      <w:proofErr w:type="spellEnd"/>
      <w:r w:rsidRPr="00225D4D">
        <w:t xml:space="preserve"> og andre tilsette med </w:t>
      </w:r>
      <w:proofErr w:type="spellStart"/>
      <w:r w:rsidRPr="00225D4D">
        <w:t>høgare</w:t>
      </w:r>
      <w:proofErr w:type="spellEnd"/>
      <w:r w:rsidRPr="00225D4D">
        <w:t xml:space="preserve"> utdanning i SFO høve til å ta </w:t>
      </w:r>
      <w:proofErr w:type="spellStart"/>
      <w:r w:rsidRPr="00225D4D">
        <w:t>vidareutdanning</w:t>
      </w:r>
      <w:proofErr w:type="spellEnd"/>
      <w:r w:rsidRPr="00225D4D">
        <w:t xml:space="preserve"> på like vilkår som </w:t>
      </w:r>
      <w:proofErr w:type="spellStart"/>
      <w:r w:rsidRPr="00225D4D">
        <w:t>lærarar</w:t>
      </w:r>
      <w:proofErr w:type="spellEnd"/>
      <w:r w:rsidRPr="00225D4D">
        <w:t xml:space="preserve">. Det er kommunen som planlegg og prioriterer kven av </w:t>
      </w:r>
      <w:proofErr w:type="spellStart"/>
      <w:r w:rsidRPr="00225D4D">
        <w:t>dei</w:t>
      </w:r>
      <w:proofErr w:type="spellEnd"/>
      <w:r w:rsidRPr="00225D4D">
        <w:t xml:space="preserve"> tilsette i barnehage, </w:t>
      </w:r>
      <w:proofErr w:type="spellStart"/>
      <w:r w:rsidRPr="00225D4D">
        <w:t>skule</w:t>
      </w:r>
      <w:proofErr w:type="spellEnd"/>
      <w:r w:rsidRPr="00225D4D">
        <w:t xml:space="preserve"> og SFO som skal delta i kompetansetiltaka ut </w:t>
      </w:r>
      <w:proofErr w:type="spellStart"/>
      <w:r w:rsidRPr="00225D4D">
        <w:t>ifrå</w:t>
      </w:r>
      <w:proofErr w:type="spellEnd"/>
      <w:r w:rsidRPr="00225D4D">
        <w:t xml:space="preserve"> lokale behov.</w:t>
      </w:r>
    </w:p>
    <w:p w14:paraId="2B61A5F6" w14:textId="77777777" w:rsidR="00D60186" w:rsidRPr="00225D4D" w:rsidRDefault="00D60186" w:rsidP="00225D4D">
      <w:pPr>
        <w:pStyle w:val="avsnitt-under-undertittel"/>
      </w:pPr>
      <w:proofErr w:type="spellStart"/>
      <w:r w:rsidRPr="00225D4D">
        <w:t>Skulefritidsordninga</w:t>
      </w:r>
      <w:proofErr w:type="spellEnd"/>
      <w:r w:rsidRPr="00225D4D">
        <w:t xml:space="preserve"> og skyss</w:t>
      </w:r>
    </w:p>
    <w:p w14:paraId="5C28A5BB" w14:textId="77777777" w:rsidR="00D60186" w:rsidRPr="00225D4D" w:rsidRDefault="00D60186" w:rsidP="00225D4D">
      <w:proofErr w:type="spellStart"/>
      <w:r w:rsidRPr="00225D4D">
        <w:t>Elevar</w:t>
      </w:r>
      <w:proofErr w:type="spellEnd"/>
      <w:r w:rsidRPr="00225D4D">
        <w:t xml:space="preserve"> som har lang veg til </w:t>
      </w:r>
      <w:proofErr w:type="spellStart"/>
      <w:r w:rsidRPr="00225D4D">
        <w:t>skulen</w:t>
      </w:r>
      <w:proofErr w:type="spellEnd"/>
      <w:r w:rsidRPr="00225D4D">
        <w:t xml:space="preserve">, har ifølge </w:t>
      </w:r>
      <w:proofErr w:type="spellStart"/>
      <w:r w:rsidRPr="00225D4D">
        <w:t>opplæringslova</w:t>
      </w:r>
      <w:proofErr w:type="spellEnd"/>
      <w:r w:rsidRPr="00225D4D">
        <w:t xml:space="preserve"> rett til skuleskyss. </w:t>
      </w:r>
      <w:proofErr w:type="spellStart"/>
      <w:r w:rsidRPr="00225D4D">
        <w:t>Elevar</w:t>
      </w:r>
      <w:proofErr w:type="spellEnd"/>
      <w:r w:rsidRPr="00225D4D">
        <w:t xml:space="preserve"> med lang </w:t>
      </w:r>
      <w:proofErr w:type="spellStart"/>
      <w:r w:rsidRPr="00225D4D">
        <w:t>skuleveg</w:t>
      </w:r>
      <w:proofErr w:type="spellEnd"/>
      <w:r w:rsidRPr="00225D4D">
        <w:t xml:space="preserve"> har likevel </w:t>
      </w:r>
      <w:proofErr w:type="spellStart"/>
      <w:r w:rsidRPr="00225D4D">
        <w:t>ikkje</w:t>
      </w:r>
      <w:proofErr w:type="spellEnd"/>
      <w:r w:rsidRPr="00225D4D">
        <w:t xml:space="preserve"> rett til skyss til og </w:t>
      </w:r>
      <w:proofErr w:type="spellStart"/>
      <w:r w:rsidRPr="00225D4D">
        <w:t>frå</w:t>
      </w:r>
      <w:proofErr w:type="spellEnd"/>
      <w:r w:rsidRPr="00225D4D">
        <w:t xml:space="preserve"> SFO eller leksehjelp, men </w:t>
      </w:r>
      <w:proofErr w:type="spellStart"/>
      <w:r w:rsidRPr="00225D4D">
        <w:t>dei</w:t>
      </w:r>
      <w:proofErr w:type="spellEnd"/>
      <w:r w:rsidRPr="00225D4D">
        <w:t xml:space="preserve"> har rett til skyss </w:t>
      </w:r>
      <w:proofErr w:type="spellStart"/>
      <w:r w:rsidRPr="00225D4D">
        <w:t>dei</w:t>
      </w:r>
      <w:proofErr w:type="spellEnd"/>
      <w:r w:rsidRPr="00225D4D">
        <w:t xml:space="preserve"> </w:t>
      </w:r>
      <w:proofErr w:type="spellStart"/>
      <w:r w:rsidRPr="00225D4D">
        <w:t>dagane</w:t>
      </w:r>
      <w:proofErr w:type="spellEnd"/>
      <w:r w:rsidRPr="00225D4D">
        <w:t xml:space="preserve"> </w:t>
      </w:r>
      <w:proofErr w:type="spellStart"/>
      <w:r w:rsidRPr="00225D4D">
        <w:t>dei</w:t>
      </w:r>
      <w:proofErr w:type="spellEnd"/>
      <w:r w:rsidRPr="00225D4D">
        <w:t xml:space="preserve"> </w:t>
      </w:r>
      <w:proofErr w:type="spellStart"/>
      <w:r w:rsidRPr="00225D4D">
        <w:t>ikkje</w:t>
      </w:r>
      <w:proofErr w:type="spellEnd"/>
      <w:r w:rsidRPr="00225D4D">
        <w:t xml:space="preserve"> </w:t>
      </w:r>
      <w:proofErr w:type="spellStart"/>
      <w:r w:rsidRPr="00225D4D">
        <w:t>nyttar</w:t>
      </w:r>
      <w:proofErr w:type="spellEnd"/>
      <w:r w:rsidRPr="00225D4D">
        <w:t xml:space="preserve"> </w:t>
      </w:r>
      <w:proofErr w:type="spellStart"/>
      <w:r w:rsidRPr="00225D4D">
        <w:t>eit</w:t>
      </w:r>
      <w:proofErr w:type="spellEnd"/>
      <w:r w:rsidRPr="00225D4D">
        <w:t xml:space="preserve"> slikt </w:t>
      </w:r>
      <w:proofErr w:type="spellStart"/>
      <w:r w:rsidRPr="00225D4D">
        <w:t>tilbod</w:t>
      </w:r>
      <w:proofErr w:type="spellEnd"/>
      <w:r w:rsidRPr="00225D4D">
        <w:t>.</w:t>
      </w:r>
    </w:p>
    <w:p w14:paraId="1E6AEF32" w14:textId="77777777" w:rsidR="00D60186" w:rsidRPr="00225D4D" w:rsidRDefault="00D60186" w:rsidP="00225D4D">
      <w:r w:rsidRPr="00225D4D">
        <w:t xml:space="preserve">NTNU Samfunnsforskning </w:t>
      </w:r>
      <w:proofErr w:type="spellStart"/>
      <w:r w:rsidRPr="00225D4D">
        <w:t>peikte</w:t>
      </w:r>
      <w:proofErr w:type="spellEnd"/>
      <w:r w:rsidRPr="00225D4D">
        <w:t xml:space="preserve"> i evalueringa av SFO </w:t>
      </w:r>
      <w:proofErr w:type="spellStart"/>
      <w:r w:rsidRPr="00225D4D">
        <w:t>frå</w:t>
      </w:r>
      <w:proofErr w:type="spellEnd"/>
      <w:r w:rsidRPr="00225D4D">
        <w:t xml:space="preserve"> 2018 på at det var </w:t>
      </w:r>
      <w:proofErr w:type="spellStart"/>
      <w:r w:rsidRPr="00225D4D">
        <w:t>eit</w:t>
      </w:r>
      <w:proofErr w:type="spellEnd"/>
      <w:r w:rsidRPr="00225D4D">
        <w:t xml:space="preserve"> samsvar mellom </w:t>
      </w:r>
      <w:proofErr w:type="spellStart"/>
      <w:r w:rsidRPr="00225D4D">
        <w:t>kommunar</w:t>
      </w:r>
      <w:proofErr w:type="spellEnd"/>
      <w:r w:rsidRPr="00225D4D">
        <w:t xml:space="preserve"> med låg SFO-dekning og </w:t>
      </w:r>
      <w:proofErr w:type="spellStart"/>
      <w:r w:rsidRPr="00225D4D">
        <w:t>utkantkommunar</w:t>
      </w:r>
      <w:proofErr w:type="spellEnd"/>
      <w:r w:rsidRPr="00225D4D">
        <w:t xml:space="preserve"> med store </w:t>
      </w:r>
      <w:proofErr w:type="spellStart"/>
      <w:r w:rsidRPr="00225D4D">
        <w:t>avstandar</w:t>
      </w:r>
      <w:proofErr w:type="spellEnd"/>
      <w:r w:rsidRPr="00225D4D">
        <w:t>.</w:t>
      </w:r>
    </w:p>
    <w:p w14:paraId="07671919" w14:textId="77777777" w:rsidR="00D60186" w:rsidRPr="00225D4D" w:rsidRDefault="00D60186" w:rsidP="00225D4D">
      <w:r w:rsidRPr="00225D4D">
        <w:t xml:space="preserve">Utdanningsdirektoratet har undersøkt om det er </w:t>
      </w:r>
      <w:proofErr w:type="spellStart"/>
      <w:r w:rsidRPr="00225D4D">
        <w:t>indikasjonar</w:t>
      </w:r>
      <w:proofErr w:type="spellEnd"/>
      <w:r w:rsidRPr="00225D4D">
        <w:t xml:space="preserve"> på at </w:t>
      </w:r>
      <w:proofErr w:type="spellStart"/>
      <w:r w:rsidRPr="00225D4D">
        <w:t>manglande</w:t>
      </w:r>
      <w:proofErr w:type="spellEnd"/>
      <w:r w:rsidRPr="00225D4D">
        <w:t xml:space="preserve"> rett til skyss heim </w:t>
      </w:r>
      <w:proofErr w:type="spellStart"/>
      <w:r w:rsidRPr="00225D4D">
        <w:t>frå</w:t>
      </w:r>
      <w:proofErr w:type="spellEnd"/>
      <w:r w:rsidRPr="00225D4D">
        <w:t xml:space="preserve"> SFO kan </w:t>
      </w:r>
      <w:proofErr w:type="spellStart"/>
      <w:r w:rsidRPr="00225D4D">
        <w:t>vere</w:t>
      </w:r>
      <w:proofErr w:type="spellEnd"/>
      <w:r w:rsidRPr="00225D4D">
        <w:t xml:space="preserve"> til hinder for deltaking, gjennom å sjå på om færre </w:t>
      </w:r>
      <w:proofErr w:type="spellStart"/>
      <w:r w:rsidRPr="00225D4D">
        <w:t>elevar</w:t>
      </w:r>
      <w:proofErr w:type="spellEnd"/>
      <w:r w:rsidRPr="00225D4D">
        <w:t xml:space="preserve"> </w:t>
      </w:r>
      <w:proofErr w:type="spellStart"/>
      <w:r w:rsidRPr="00225D4D">
        <w:t>deltek</w:t>
      </w:r>
      <w:proofErr w:type="spellEnd"/>
      <w:r w:rsidRPr="00225D4D">
        <w:t xml:space="preserve"> i SFO på </w:t>
      </w:r>
      <w:proofErr w:type="spellStart"/>
      <w:r w:rsidRPr="00225D4D">
        <w:t>skular</w:t>
      </w:r>
      <w:proofErr w:type="spellEnd"/>
      <w:r w:rsidRPr="00225D4D">
        <w:t xml:space="preserve"> der </w:t>
      </w:r>
      <w:proofErr w:type="spellStart"/>
      <w:r w:rsidRPr="00225D4D">
        <w:t>fleire</w:t>
      </w:r>
      <w:proofErr w:type="spellEnd"/>
      <w:r w:rsidRPr="00225D4D">
        <w:t xml:space="preserve"> får skuleskyss. På </w:t>
      </w:r>
      <w:proofErr w:type="spellStart"/>
      <w:r w:rsidRPr="00225D4D">
        <w:t>skulenivå</w:t>
      </w:r>
      <w:proofErr w:type="spellEnd"/>
      <w:r w:rsidRPr="00225D4D">
        <w:t xml:space="preserve"> ser direktoratet </w:t>
      </w:r>
      <w:proofErr w:type="spellStart"/>
      <w:r w:rsidRPr="00225D4D">
        <w:t>ein</w:t>
      </w:r>
      <w:proofErr w:type="spellEnd"/>
      <w:r w:rsidRPr="00225D4D">
        <w:t xml:space="preserve"> </w:t>
      </w:r>
      <w:proofErr w:type="spellStart"/>
      <w:r w:rsidRPr="00225D4D">
        <w:t>tydeleg</w:t>
      </w:r>
      <w:proofErr w:type="spellEnd"/>
      <w:r w:rsidRPr="00225D4D">
        <w:t xml:space="preserve"> </w:t>
      </w:r>
      <w:proofErr w:type="spellStart"/>
      <w:r w:rsidRPr="00225D4D">
        <w:t>samanheng</w:t>
      </w:r>
      <w:proofErr w:type="spellEnd"/>
      <w:r w:rsidRPr="00225D4D">
        <w:t xml:space="preserve"> mellom skuleskyss og deltaking i SFO. Deltakinga i SFO går ned dess </w:t>
      </w:r>
      <w:proofErr w:type="spellStart"/>
      <w:r w:rsidRPr="00225D4D">
        <w:t>fleire</w:t>
      </w:r>
      <w:proofErr w:type="spellEnd"/>
      <w:r w:rsidRPr="00225D4D">
        <w:t xml:space="preserve"> </w:t>
      </w:r>
      <w:proofErr w:type="spellStart"/>
      <w:r w:rsidRPr="00225D4D">
        <w:t>elevar</w:t>
      </w:r>
      <w:proofErr w:type="spellEnd"/>
      <w:r w:rsidRPr="00225D4D">
        <w:t xml:space="preserve"> som får skyss på </w:t>
      </w:r>
      <w:proofErr w:type="spellStart"/>
      <w:r w:rsidRPr="00225D4D">
        <w:t>skulen</w:t>
      </w:r>
      <w:proofErr w:type="spellEnd"/>
      <w:r w:rsidRPr="00225D4D">
        <w:t xml:space="preserve">. Det er </w:t>
      </w:r>
      <w:proofErr w:type="spellStart"/>
      <w:r w:rsidRPr="00225D4D">
        <w:t>nærare</w:t>
      </w:r>
      <w:proofErr w:type="spellEnd"/>
      <w:r w:rsidRPr="00225D4D">
        <w:t xml:space="preserve"> 20 </w:t>
      </w:r>
      <w:proofErr w:type="spellStart"/>
      <w:r w:rsidRPr="00225D4D">
        <w:t>prosenteiningar</w:t>
      </w:r>
      <w:proofErr w:type="spellEnd"/>
      <w:r w:rsidRPr="00225D4D">
        <w:t xml:space="preserve"> </w:t>
      </w:r>
      <w:proofErr w:type="spellStart"/>
      <w:r w:rsidRPr="00225D4D">
        <w:t>fleire</w:t>
      </w:r>
      <w:proofErr w:type="spellEnd"/>
      <w:r w:rsidRPr="00225D4D">
        <w:t xml:space="preserve"> som </w:t>
      </w:r>
      <w:proofErr w:type="spellStart"/>
      <w:r w:rsidRPr="00225D4D">
        <w:t>deltek</w:t>
      </w:r>
      <w:proofErr w:type="spellEnd"/>
      <w:r w:rsidRPr="00225D4D">
        <w:t xml:space="preserve"> i SFO på </w:t>
      </w:r>
      <w:proofErr w:type="spellStart"/>
      <w:r w:rsidRPr="00225D4D">
        <w:t>skulane</w:t>
      </w:r>
      <w:proofErr w:type="spellEnd"/>
      <w:r w:rsidRPr="00225D4D">
        <w:t xml:space="preserve"> der </w:t>
      </w:r>
      <w:proofErr w:type="spellStart"/>
      <w:r w:rsidRPr="00225D4D">
        <w:t>færrast</w:t>
      </w:r>
      <w:proofErr w:type="spellEnd"/>
      <w:r w:rsidRPr="00225D4D">
        <w:t xml:space="preserve"> </w:t>
      </w:r>
      <w:proofErr w:type="spellStart"/>
      <w:r w:rsidRPr="00225D4D">
        <w:t>elevar</w:t>
      </w:r>
      <w:proofErr w:type="spellEnd"/>
      <w:r w:rsidRPr="00225D4D">
        <w:t xml:space="preserve"> får skyss, enn på </w:t>
      </w:r>
      <w:proofErr w:type="spellStart"/>
      <w:r w:rsidRPr="00225D4D">
        <w:t>skulane</w:t>
      </w:r>
      <w:proofErr w:type="spellEnd"/>
      <w:r w:rsidRPr="00225D4D">
        <w:t xml:space="preserve"> der flest får skyss. </w:t>
      </w:r>
      <w:proofErr w:type="spellStart"/>
      <w:r w:rsidRPr="00225D4D">
        <w:t>Forskjellane</w:t>
      </w:r>
      <w:proofErr w:type="spellEnd"/>
      <w:r w:rsidRPr="00225D4D">
        <w:t xml:space="preserve"> varierer mellom trinna og er størst på 2. og 3. trinn.</w:t>
      </w:r>
    </w:p>
    <w:p w14:paraId="42CE438A" w14:textId="7E01CAE3" w:rsidR="002D4C2A" w:rsidRPr="00225D4D" w:rsidRDefault="002D4C2A" w:rsidP="00225D4D">
      <w:pPr>
        <w:pStyle w:val="tabell-tittel"/>
      </w:pPr>
      <w:r w:rsidRPr="00225D4D">
        <w:t xml:space="preserve">Prosentdel </w:t>
      </w:r>
      <w:proofErr w:type="spellStart"/>
      <w:r w:rsidRPr="00225D4D">
        <w:t>elevar</w:t>
      </w:r>
      <w:proofErr w:type="spellEnd"/>
      <w:r w:rsidRPr="00225D4D">
        <w:t xml:space="preserve"> som </w:t>
      </w:r>
      <w:proofErr w:type="spellStart"/>
      <w:r w:rsidRPr="00225D4D">
        <w:t>deltek</w:t>
      </w:r>
      <w:proofErr w:type="spellEnd"/>
      <w:r w:rsidRPr="00225D4D">
        <w:t xml:space="preserve"> i SFO fordelt på prosentdel </w:t>
      </w:r>
      <w:proofErr w:type="spellStart"/>
      <w:r w:rsidRPr="00225D4D">
        <w:t>elevar</w:t>
      </w:r>
      <w:proofErr w:type="spellEnd"/>
      <w:r w:rsidRPr="00225D4D">
        <w:t xml:space="preserve"> på </w:t>
      </w:r>
      <w:proofErr w:type="spellStart"/>
      <w:r w:rsidRPr="00225D4D">
        <w:t>skulen</w:t>
      </w:r>
      <w:proofErr w:type="spellEnd"/>
      <w:r w:rsidRPr="00225D4D">
        <w:t xml:space="preserve"> som får skyss.</w:t>
      </w:r>
      <w:r w:rsidRPr="00225D4D">
        <w:rPr>
          <w:rStyle w:val="skrift-hevet"/>
        </w:rPr>
        <w:t>1</w:t>
      </w:r>
      <w:r w:rsidRPr="00225D4D">
        <w:t xml:space="preserve"> </w:t>
      </w:r>
      <w:proofErr w:type="spellStart"/>
      <w:r w:rsidRPr="00225D4D">
        <w:t>Skuleåret</w:t>
      </w:r>
      <w:proofErr w:type="spellEnd"/>
      <w:r w:rsidRPr="00225D4D">
        <w:t xml:space="preserve"> 2023–24</w:t>
      </w:r>
    </w:p>
    <w:p w14:paraId="193A95F2" w14:textId="77777777" w:rsidR="00D60186" w:rsidRPr="00225D4D" w:rsidRDefault="00D60186" w:rsidP="00225D4D">
      <w:pPr>
        <w:pStyle w:val="Tabellnavn"/>
      </w:pPr>
      <w:r w:rsidRPr="00225D4D">
        <w:t>06J1xt2</w:t>
      </w:r>
    </w:p>
    <w:tbl>
      <w:tblPr>
        <w:tblW w:w="0" w:type="auto"/>
        <w:tblInd w:w="43" w:type="dxa"/>
        <w:tblLayout w:type="fixed"/>
        <w:tblCellMar>
          <w:top w:w="110" w:type="dxa"/>
          <w:left w:w="43" w:type="dxa"/>
          <w:bottom w:w="40" w:type="dxa"/>
          <w:right w:w="43" w:type="dxa"/>
        </w:tblCellMar>
        <w:tblLook w:val="0000" w:firstRow="0" w:lastRow="0" w:firstColumn="0" w:lastColumn="0" w:noHBand="0" w:noVBand="0"/>
      </w:tblPr>
      <w:tblGrid>
        <w:gridCol w:w="2480"/>
        <w:gridCol w:w="1400"/>
        <w:gridCol w:w="1400"/>
        <w:gridCol w:w="1400"/>
        <w:gridCol w:w="1400"/>
        <w:gridCol w:w="1400"/>
      </w:tblGrid>
      <w:tr w:rsidR="00E76DC8" w:rsidRPr="00225D4D" w14:paraId="4489A35C" w14:textId="77777777">
        <w:trPr>
          <w:trHeight w:val="580"/>
        </w:trPr>
        <w:tc>
          <w:tcPr>
            <w:tcW w:w="248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7652C065" w14:textId="77777777" w:rsidR="00D60186" w:rsidRPr="002C641A" w:rsidRDefault="00D60186" w:rsidP="00225D4D">
            <w:pPr>
              <w:rPr>
                <w:sz w:val="21"/>
                <w:szCs w:val="21"/>
              </w:rPr>
            </w:pPr>
            <w:proofErr w:type="spellStart"/>
            <w:r w:rsidRPr="002C641A">
              <w:rPr>
                <w:sz w:val="21"/>
                <w:szCs w:val="21"/>
              </w:rPr>
              <w:t>Skyssdekning</w:t>
            </w:r>
            <w:proofErr w:type="spellEnd"/>
            <w:r w:rsidRPr="002C641A">
              <w:rPr>
                <w:sz w:val="21"/>
                <w:szCs w:val="21"/>
              </w:rPr>
              <w:t xml:space="preserve"> (pst.)</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5FABEA3C" w14:textId="77777777" w:rsidR="00D60186" w:rsidRPr="002C641A" w:rsidRDefault="00D60186" w:rsidP="0052516A">
            <w:pPr>
              <w:jc w:val="right"/>
              <w:rPr>
                <w:sz w:val="21"/>
                <w:szCs w:val="21"/>
              </w:rPr>
            </w:pPr>
            <w:r w:rsidRPr="002C641A">
              <w:rPr>
                <w:sz w:val="21"/>
                <w:szCs w:val="21"/>
              </w:rPr>
              <w:t>1. trinn (pst.)</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6145F043" w14:textId="77777777" w:rsidR="00D60186" w:rsidRPr="002C641A" w:rsidRDefault="00D60186" w:rsidP="0052516A">
            <w:pPr>
              <w:jc w:val="right"/>
              <w:rPr>
                <w:sz w:val="21"/>
                <w:szCs w:val="21"/>
              </w:rPr>
            </w:pPr>
            <w:r w:rsidRPr="002C641A">
              <w:rPr>
                <w:sz w:val="21"/>
                <w:szCs w:val="21"/>
              </w:rPr>
              <w:t>2. trinn (pst.)</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531F2CD4" w14:textId="77777777" w:rsidR="00D60186" w:rsidRPr="002C641A" w:rsidRDefault="00D60186" w:rsidP="0052516A">
            <w:pPr>
              <w:jc w:val="right"/>
              <w:rPr>
                <w:sz w:val="21"/>
                <w:szCs w:val="21"/>
              </w:rPr>
            </w:pPr>
            <w:r w:rsidRPr="002C641A">
              <w:rPr>
                <w:sz w:val="21"/>
                <w:szCs w:val="21"/>
              </w:rPr>
              <w:t>3. trinn (pst.)</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6E07AFD5" w14:textId="77777777" w:rsidR="00D60186" w:rsidRPr="002C641A" w:rsidRDefault="00D60186" w:rsidP="0052516A">
            <w:pPr>
              <w:jc w:val="right"/>
              <w:rPr>
                <w:sz w:val="21"/>
                <w:szCs w:val="21"/>
              </w:rPr>
            </w:pPr>
            <w:r w:rsidRPr="002C641A">
              <w:rPr>
                <w:sz w:val="21"/>
                <w:szCs w:val="21"/>
              </w:rPr>
              <w:t>4. trinn (pst.)</w:t>
            </w:r>
          </w:p>
        </w:tc>
        <w:tc>
          <w:tcPr>
            <w:tcW w:w="1400" w:type="dxa"/>
            <w:tcBorders>
              <w:top w:val="single" w:sz="4" w:space="0" w:color="000000"/>
              <w:left w:val="nil"/>
              <w:bottom w:val="single" w:sz="4" w:space="0" w:color="000000"/>
              <w:right w:val="nil"/>
            </w:tcBorders>
            <w:tcMar>
              <w:top w:w="110" w:type="dxa"/>
              <w:left w:w="43" w:type="dxa"/>
              <w:bottom w:w="40" w:type="dxa"/>
              <w:right w:w="43" w:type="dxa"/>
            </w:tcMar>
            <w:vAlign w:val="bottom"/>
          </w:tcPr>
          <w:p w14:paraId="37F17105" w14:textId="77777777" w:rsidR="00D60186" w:rsidRPr="002C641A" w:rsidRDefault="00D60186" w:rsidP="0052516A">
            <w:pPr>
              <w:jc w:val="right"/>
              <w:rPr>
                <w:sz w:val="21"/>
                <w:szCs w:val="21"/>
              </w:rPr>
            </w:pPr>
            <w:proofErr w:type="spellStart"/>
            <w:r w:rsidRPr="002C641A">
              <w:rPr>
                <w:sz w:val="21"/>
                <w:szCs w:val="21"/>
              </w:rPr>
              <w:t>Talet</w:t>
            </w:r>
            <w:proofErr w:type="spellEnd"/>
            <w:r w:rsidRPr="002C641A">
              <w:rPr>
                <w:sz w:val="21"/>
                <w:szCs w:val="21"/>
              </w:rPr>
              <w:t xml:space="preserve"> på </w:t>
            </w:r>
            <w:proofErr w:type="spellStart"/>
            <w:r w:rsidRPr="002C641A">
              <w:rPr>
                <w:sz w:val="21"/>
                <w:szCs w:val="21"/>
              </w:rPr>
              <w:t>skular</w:t>
            </w:r>
            <w:proofErr w:type="spellEnd"/>
            <w:r w:rsidRPr="002C641A">
              <w:rPr>
                <w:sz w:val="21"/>
                <w:szCs w:val="21"/>
              </w:rPr>
              <w:t xml:space="preserve"> i kategorien</w:t>
            </w:r>
          </w:p>
        </w:tc>
      </w:tr>
      <w:tr w:rsidR="00E76DC8" w:rsidRPr="00225D4D" w14:paraId="52E42024" w14:textId="77777777">
        <w:trPr>
          <w:trHeight w:val="360"/>
        </w:trPr>
        <w:tc>
          <w:tcPr>
            <w:tcW w:w="2480" w:type="dxa"/>
            <w:tcBorders>
              <w:top w:val="single" w:sz="4" w:space="0" w:color="000000"/>
              <w:left w:val="nil"/>
              <w:bottom w:val="nil"/>
              <w:right w:val="nil"/>
            </w:tcBorders>
            <w:tcMar>
              <w:top w:w="110" w:type="dxa"/>
              <w:left w:w="43" w:type="dxa"/>
              <w:bottom w:w="40" w:type="dxa"/>
              <w:right w:w="43" w:type="dxa"/>
            </w:tcMar>
          </w:tcPr>
          <w:p w14:paraId="6F4CD264" w14:textId="77777777" w:rsidR="00D60186" w:rsidRPr="002C641A" w:rsidRDefault="00D60186" w:rsidP="00225D4D">
            <w:pPr>
              <w:rPr>
                <w:sz w:val="21"/>
                <w:szCs w:val="21"/>
              </w:rPr>
            </w:pPr>
            <w:r w:rsidRPr="002C641A">
              <w:rPr>
                <w:sz w:val="21"/>
                <w:szCs w:val="21"/>
              </w:rPr>
              <w:t xml:space="preserve">80–100 </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71303B97" w14:textId="77777777" w:rsidR="00D60186" w:rsidRPr="002C641A" w:rsidRDefault="00D60186" w:rsidP="0052516A">
            <w:pPr>
              <w:jc w:val="right"/>
              <w:rPr>
                <w:sz w:val="21"/>
                <w:szCs w:val="21"/>
              </w:rPr>
            </w:pPr>
            <w:r w:rsidRPr="002C641A">
              <w:rPr>
                <w:sz w:val="21"/>
                <w:szCs w:val="21"/>
              </w:rPr>
              <w:t>80</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626AF408" w14:textId="77777777" w:rsidR="00D60186" w:rsidRPr="002C641A" w:rsidRDefault="00D60186" w:rsidP="0052516A">
            <w:pPr>
              <w:jc w:val="right"/>
              <w:rPr>
                <w:sz w:val="21"/>
                <w:szCs w:val="21"/>
              </w:rPr>
            </w:pPr>
            <w:r w:rsidRPr="002C641A">
              <w:rPr>
                <w:sz w:val="21"/>
                <w:szCs w:val="21"/>
              </w:rPr>
              <w:t>76</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3C20D190" w14:textId="77777777" w:rsidR="00D60186" w:rsidRPr="002C641A" w:rsidRDefault="00D60186" w:rsidP="0052516A">
            <w:pPr>
              <w:jc w:val="right"/>
              <w:rPr>
                <w:sz w:val="21"/>
                <w:szCs w:val="21"/>
              </w:rPr>
            </w:pPr>
            <w:r w:rsidRPr="002C641A">
              <w:rPr>
                <w:sz w:val="21"/>
                <w:szCs w:val="21"/>
              </w:rPr>
              <w:t>45</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5214686A" w14:textId="77777777" w:rsidR="00D60186" w:rsidRPr="002C641A" w:rsidRDefault="00D60186" w:rsidP="0052516A">
            <w:pPr>
              <w:jc w:val="right"/>
              <w:rPr>
                <w:sz w:val="21"/>
                <w:szCs w:val="21"/>
              </w:rPr>
            </w:pPr>
            <w:r w:rsidRPr="002C641A">
              <w:rPr>
                <w:sz w:val="21"/>
                <w:szCs w:val="21"/>
              </w:rPr>
              <w:t>26</w:t>
            </w:r>
          </w:p>
        </w:tc>
        <w:tc>
          <w:tcPr>
            <w:tcW w:w="1400" w:type="dxa"/>
            <w:tcBorders>
              <w:top w:val="single" w:sz="4" w:space="0" w:color="000000"/>
              <w:left w:val="nil"/>
              <w:bottom w:val="nil"/>
              <w:right w:val="nil"/>
            </w:tcBorders>
            <w:tcMar>
              <w:top w:w="110" w:type="dxa"/>
              <w:left w:w="43" w:type="dxa"/>
              <w:bottom w:w="40" w:type="dxa"/>
              <w:right w:w="43" w:type="dxa"/>
            </w:tcMar>
            <w:vAlign w:val="bottom"/>
          </w:tcPr>
          <w:p w14:paraId="73F681F2" w14:textId="77777777" w:rsidR="00D60186" w:rsidRPr="002C641A" w:rsidRDefault="00D60186" w:rsidP="0052516A">
            <w:pPr>
              <w:jc w:val="right"/>
              <w:rPr>
                <w:sz w:val="21"/>
                <w:szCs w:val="21"/>
              </w:rPr>
            </w:pPr>
            <w:r w:rsidRPr="002C641A">
              <w:rPr>
                <w:sz w:val="21"/>
                <w:szCs w:val="21"/>
              </w:rPr>
              <w:t>259</w:t>
            </w:r>
          </w:p>
        </w:tc>
      </w:tr>
      <w:tr w:rsidR="00E76DC8" w:rsidRPr="00225D4D" w14:paraId="103CDF2E" w14:textId="77777777">
        <w:trPr>
          <w:trHeight w:val="360"/>
        </w:trPr>
        <w:tc>
          <w:tcPr>
            <w:tcW w:w="2480" w:type="dxa"/>
            <w:tcBorders>
              <w:top w:val="nil"/>
              <w:left w:val="nil"/>
              <w:bottom w:val="nil"/>
              <w:right w:val="nil"/>
            </w:tcBorders>
            <w:tcMar>
              <w:top w:w="110" w:type="dxa"/>
              <w:left w:w="43" w:type="dxa"/>
              <w:bottom w:w="40" w:type="dxa"/>
              <w:right w:w="43" w:type="dxa"/>
            </w:tcMar>
          </w:tcPr>
          <w:p w14:paraId="14B1EF68" w14:textId="77777777" w:rsidR="00D60186" w:rsidRPr="002C641A" w:rsidRDefault="00D60186" w:rsidP="00225D4D">
            <w:pPr>
              <w:rPr>
                <w:sz w:val="21"/>
                <w:szCs w:val="21"/>
              </w:rPr>
            </w:pPr>
            <w:r w:rsidRPr="002C641A">
              <w:rPr>
                <w:sz w:val="21"/>
                <w:szCs w:val="21"/>
              </w:rPr>
              <w:t xml:space="preserve">60–79 </w:t>
            </w:r>
          </w:p>
        </w:tc>
        <w:tc>
          <w:tcPr>
            <w:tcW w:w="1400" w:type="dxa"/>
            <w:tcBorders>
              <w:top w:val="nil"/>
              <w:left w:val="nil"/>
              <w:bottom w:val="nil"/>
              <w:right w:val="nil"/>
            </w:tcBorders>
            <w:tcMar>
              <w:top w:w="110" w:type="dxa"/>
              <w:left w:w="43" w:type="dxa"/>
              <w:bottom w:w="40" w:type="dxa"/>
              <w:right w:w="43" w:type="dxa"/>
            </w:tcMar>
            <w:vAlign w:val="bottom"/>
          </w:tcPr>
          <w:p w14:paraId="093A1298" w14:textId="77777777" w:rsidR="00D60186" w:rsidRPr="002C641A" w:rsidRDefault="00D60186" w:rsidP="0052516A">
            <w:pPr>
              <w:jc w:val="right"/>
              <w:rPr>
                <w:sz w:val="21"/>
                <w:szCs w:val="21"/>
              </w:rPr>
            </w:pPr>
            <w:r w:rsidRPr="002C641A">
              <w:rPr>
                <w:sz w:val="21"/>
                <w:szCs w:val="21"/>
              </w:rPr>
              <w:t>85</w:t>
            </w:r>
          </w:p>
        </w:tc>
        <w:tc>
          <w:tcPr>
            <w:tcW w:w="1400" w:type="dxa"/>
            <w:tcBorders>
              <w:top w:val="nil"/>
              <w:left w:val="nil"/>
              <w:bottom w:val="nil"/>
              <w:right w:val="nil"/>
            </w:tcBorders>
            <w:tcMar>
              <w:top w:w="110" w:type="dxa"/>
              <w:left w:w="43" w:type="dxa"/>
              <w:bottom w:w="40" w:type="dxa"/>
              <w:right w:w="43" w:type="dxa"/>
            </w:tcMar>
            <w:vAlign w:val="bottom"/>
          </w:tcPr>
          <w:p w14:paraId="13E81256" w14:textId="77777777" w:rsidR="00D60186" w:rsidRPr="002C641A" w:rsidRDefault="00D60186" w:rsidP="0052516A">
            <w:pPr>
              <w:jc w:val="right"/>
              <w:rPr>
                <w:sz w:val="21"/>
                <w:szCs w:val="21"/>
              </w:rPr>
            </w:pPr>
            <w:r w:rsidRPr="002C641A">
              <w:rPr>
                <w:sz w:val="21"/>
                <w:szCs w:val="21"/>
              </w:rPr>
              <w:t>81</w:t>
            </w:r>
          </w:p>
        </w:tc>
        <w:tc>
          <w:tcPr>
            <w:tcW w:w="1400" w:type="dxa"/>
            <w:tcBorders>
              <w:top w:val="nil"/>
              <w:left w:val="nil"/>
              <w:bottom w:val="nil"/>
              <w:right w:val="nil"/>
            </w:tcBorders>
            <w:tcMar>
              <w:top w:w="110" w:type="dxa"/>
              <w:left w:w="43" w:type="dxa"/>
              <w:bottom w:w="40" w:type="dxa"/>
              <w:right w:w="43" w:type="dxa"/>
            </w:tcMar>
            <w:vAlign w:val="bottom"/>
          </w:tcPr>
          <w:p w14:paraId="49141ACC" w14:textId="77777777" w:rsidR="00D60186" w:rsidRPr="002C641A" w:rsidRDefault="00D60186" w:rsidP="0052516A">
            <w:pPr>
              <w:jc w:val="right"/>
              <w:rPr>
                <w:sz w:val="21"/>
                <w:szCs w:val="21"/>
              </w:rPr>
            </w:pPr>
            <w:r w:rsidRPr="002C641A">
              <w:rPr>
                <w:sz w:val="21"/>
                <w:szCs w:val="21"/>
              </w:rPr>
              <w:t>45</w:t>
            </w:r>
          </w:p>
        </w:tc>
        <w:tc>
          <w:tcPr>
            <w:tcW w:w="1400" w:type="dxa"/>
            <w:tcBorders>
              <w:top w:val="nil"/>
              <w:left w:val="nil"/>
              <w:bottom w:val="nil"/>
              <w:right w:val="nil"/>
            </w:tcBorders>
            <w:tcMar>
              <w:top w:w="110" w:type="dxa"/>
              <w:left w:w="43" w:type="dxa"/>
              <w:bottom w:w="40" w:type="dxa"/>
              <w:right w:w="43" w:type="dxa"/>
            </w:tcMar>
            <w:vAlign w:val="bottom"/>
          </w:tcPr>
          <w:p w14:paraId="2354EEBC" w14:textId="77777777" w:rsidR="00D60186" w:rsidRPr="002C641A" w:rsidRDefault="00D60186" w:rsidP="0052516A">
            <w:pPr>
              <w:jc w:val="right"/>
              <w:rPr>
                <w:sz w:val="21"/>
                <w:szCs w:val="21"/>
              </w:rPr>
            </w:pPr>
            <w:r w:rsidRPr="002C641A">
              <w:rPr>
                <w:sz w:val="21"/>
                <w:szCs w:val="21"/>
              </w:rPr>
              <w:t>25</w:t>
            </w:r>
          </w:p>
        </w:tc>
        <w:tc>
          <w:tcPr>
            <w:tcW w:w="1400" w:type="dxa"/>
            <w:tcBorders>
              <w:top w:val="nil"/>
              <w:left w:val="nil"/>
              <w:bottom w:val="nil"/>
              <w:right w:val="nil"/>
            </w:tcBorders>
            <w:tcMar>
              <w:top w:w="110" w:type="dxa"/>
              <w:left w:w="43" w:type="dxa"/>
              <w:bottom w:w="40" w:type="dxa"/>
              <w:right w:w="43" w:type="dxa"/>
            </w:tcMar>
            <w:vAlign w:val="bottom"/>
          </w:tcPr>
          <w:p w14:paraId="0C5767FC" w14:textId="77777777" w:rsidR="00D60186" w:rsidRPr="002C641A" w:rsidRDefault="00D60186" w:rsidP="0052516A">
            <w:pPr>
              <w:jc w:val="right"/>
              <w:rPr>
                <w:sz w:val="21"/>
                <w:szCs w:val="21"/>
              </w:rPr>
            </w:pPr>
            <w:r w:rsidRPr="002C641A">
              <w:rPr>
                <w:sz w:val="21"/>
                <w:szCs w:val="21"/>
              </w:rPr>
              <w:t>193</w:t>
            </w:r>
          </w:p>
        </w:tc>
      </w:tr>
      <w:tr w:rsidR="00E76DC8" w:rsidRPr="00225D4D" w14:paraId="4D5AE6D2" w14:textId="77777777">
        <w:trPr>
          <w:trHeight w:val="360"/>
        </w:trPr>
        <w:tc>
          <w:tcPr>
            <w:tcW w:w="2480" w:type="dxa"/>
            <w:tcBorders>
              <w:top w:val="nil"/>
              <w:left w:val="nil"/>
              <w:bottom w:val="nil"/>
              <w:right w:val="nil"/>
            </w:tcBorders>
            <w:tcMar>
              <w:top w:w="110" w:type="dxa"/>
              <w:left w:w="43" w:type="dxa"/>
              <w:bottom w:w="40" w:type="dxa"/>
              <w:right w:w="43" w:type="dxa"/>
            </w:tcMar>
          </w:tcPr>
          <w:p w14:paraId="0A4A96C5" w14:textId="77777777" w:rsidR="00D60186" w:rsidRPr="002C641A" w:rsidRDefault="00D60186" w:rsidP="00225D4D">
            <w:pPr>
              <w:rPr>
                <w:sz w:val="21"/>
                <w:szCs w:val="21"/>
              </w:rPr>
            </w:pPr>
            <w:r w:rsidRPr="002C641A">
              <w:rPr>
                <w:sz w:val="21"/>
                <w:szCs w:val="21"/>
              </w:rPr>
              <w:t>40–59</w:t>
            </w:r>
          </w:p>
        </w:tc>
        <w:tc>
          <w:tcPr>
            <w:tcW w:w="1400" w:type="dxa"/>
            <w:tcBorders>
              <w:top w:val="nil"/>
              <w:left w:val="nil"/>
              <w:bottom w:val="nil"/>
              <w:right w:val="nil"/>
            </w:tcBorders>
            <w:tcMar>
              <w:top w:w="110" w:type="dxa"/>
              <w:left w:w="43" w:type="dxa"/>
              <w:bottom w:w="40" w:type="dxa"/>
              <w:right w:w="43" w:type="dxa"/>
            </w:tcMar>
            <w:vAlign w:val="bottom"/>
          </w:tcPr>
          <w:p w14:paraId="6A86B9BD" w14:textId="77777777" w:rsidR="00D60186" w:rsidRPr="002C641A" w:rsidRDefault="00D60186" w:rsidP="0052516A">
            <w:pPr>
              <w:jc w:val="right"/>
              <w:rPr>
                <w:sz w:val="21"/>
                <w:szCs w:val="21"/>
              </w:rPr>
            </w:pPr>
            <w:r w:rsidRPr="002C641A">
              <w:rPr>
                <w:sz w:val="21"/>
                <w:szCs w:val="21"/>
              </w:rPr>
              <w:t>90</w:t>
            </w:r>
          </w:p>
        </w:tc>
        <w:tc>
          <w:tcPr>
            <w:tcW w:w="1400" w:type="dxa"/>
            <w:tcBorders>
              <w:top w:val="nil"/>
              <w:left w:val="nil"/>
              <w:bottom w:val="nil"/>
              <w:right w:val="nil"/>
            </w:tcBorders>
            <w:tcMar>
              <w:top w:w="110" w:type="dxa"/>
              <w:left w:w="43" w:type="dxa"/>
              <w:bottom w:w="40" w:type="dxa"/>
              <w:right w:w="43" w:type="dxa"/>
            </w:tcMar>
            <w:vAlign w:val="bottom"/>
          </w:tcPr>
          <w:p w14:paraId="4D906E03" w14:textId="77777777" w:rsidR="00D60186" w:rsidRPr="002C641A" w:rsidRDefault="00D60186" w:rsidP="0052516A">
            <w:pPr>
              <w:jc w:val="right"/>
              <w:rPr>
                <w:sz w:val="21"/>
                <w:szCs w:val="21"/>
              </w:rPr>
            </w:pPr>
            <w:r w:rsidRPr="002C641A">
              <w:rPr>
                <w:sz w:val="21"/>
                <w:szCs w:val="21"/>
              </w:rPr>
              <w:t>86</w:t>
            </w:r>
          </w:p>
        </w:tc>
        <w:tc>
          <w:tcPr>
            <w:tcW w:w="1400" w:type="dxa"/>
            <w:tcBorders>
              <w:top w:val="nil"/>
              <w:left w:val="nil"/>
              <w:bottom w:val="nil"/>
              <w:right w:val="nil"/>
            </w:tcBorders>
            <w:tcMar>
              <w:top w:w="110" w:type="dxa"/>
              <w:left w:w="43" w:type="dxa"/>
              <w:bottom w:w="40" w:type="dxa"/>
              <w:right w:w="43" w:type="dxa"/>
            </w:tcMar>
            <w:vAlign w:val="bottom"/>
          </w:tcPr>
          <w:p w14:paraId="38D94793" w14:textId="77777777" w:rsidR="00D60186" w:rsidRPr="002C641A" w:rsidRDefault="00D60186" w:rsidP="0052516A">
            <w:pPr>
              <w:jc w:val="right"/>
              <w:rPr>
                <w:sz w:val="21"/>
                <w:szCs w:val="21"/>
              </w:rPr>
            </w:pPr>
            <w:r w:rsidRPr="002C641A">
              <w:rPr>
                <w:sz w:val="21"/>
                <w:szCs w:val="21"/>
              </w:rPr>
              <w:t>49</w:t>
            </w:r>
          </w:p>
        </w:tc>
        <w:tc>
          <w:tcPr>
            <w:tcW w:w="1400" w:type="dxa"/>
            <w:tcBorders>
              <w:top w:val="nil"/>
              <w:left w:val="nil"/>
              <w:bottom w:val="nil"/>
              <w:right w:val="nil"/>
            </w:tcBorders>
            <w:tcMar>
              <w:top w:w="110" w:type="dxa"/>
              <w:left w:w="43" w:type="dxa"/>
              <w:bottom w:w="40" w:type="dxa"/>
              <w:right w:w="43" w:type="dxa"/>
            </w:tcMar>
            <w:vAlign w:val="bottom"/>
          </w:tcPr>
          <w:p w14:paraId="029BAE1E" w14:textId="77777777" w:rsidR="00D60186" w:rsidRPr="002C641A" w:rsidRDefault="00D60186" w:rsidP="0052516A">
            <w:pPr>
              <w:jc w:val="right"/>
              <w:rPr>
                <w:sz w:val="21"/>
                <w:szCs w:val="21"/>
              </w:rPr>
            </w:pPr>
            <w:r w:rsidRPr="002C641A">
              <w:rPr>
                <w:sz w:val="21"/>
                <w:szCs w:val="21"/>
              </w:rPr>
              <w:t>25</w:t>
            </w:r>
          </w:p>
        </w:tc>
        <w:tc>
          <w:tcPr>
            <w:tcW w:w="1400" w:type="dxa"/>
            <w:tcBorders>
              <w:top w:val="nil"/>
              <w:left w:val="nil"/>
              <w:bottom w:val="nil"/>
              <w:right w:val="nil"/>
            </w:tcBorders>
            <w:tcMar>
              <w:top w:w="110" w:type="dxa"/>
              <w:left w:w="43" w:type="dxa"/>
              <w:bottom w:w="40" w:type="dxa"/>
              <w:right w:w="43" w:type="dxa"/>
            </w:tcMar>
            <w:vAlign w:val="bottom"/>
          </w:tcPr>
          <w:p w14:paraId="297374F7" w14:textId="77777777" w:rsidR="00D60186" w:rsidRPr="002C641A" w:rsidRDefault="00D60186" w:rsidP="0052516A">
            <w:pPr>
              <w:jc w:val="right"/>
              <w:rPr>
                <w:sz w:val="21"/>
                <w:szCs w:val="21"/>
              </w:rPr>
            </w:pPr>
            <w:r w:rsidRPr="002C641A">
              <w:rPr>
                <w:sz w:val="21"/>
                <w:szCs w:val="21"/>
              </w:rPr>
              <w:t>242</w:t>
            </w:r>
          </w:p>
        </w:tc>
      </w:tr>
      <w:tr w:rsidR="00E76DC8" w:rsidRPr="00225D4D" w14:paraId="5FE9A653" w14:textId="77777777">
        <w:trPr>
          <w:trHeight w:val="360"/>
        </w:trPr>
        <w:tc>
          <w:tcPr>
            <w:tcW w:w="2480" w:type="dxa"/>
            <w:tcBorders>
              <w:top w:val="nil"/>
              <w:left w:val="nil"/>
              <w:bottom w:val="nil"/>
              <w:right w:val="nil"/>
            </w:tcBorders>
            <w:tcMar>
              <w:top w:w="110" w:type="dxa"/>
              <w:left w:w="43" w:type="dxa"/>
              <w:bottom w:w="40" w:type="dxa"/>
              <w:right w:w="43" w:type="dxa"/>
            </w:tcMar>
          </w:tcPr>
          <w:p w14:paraId="3355F4E2" w14:textId="77777777" w:rsidR="00D60186" w:rsidRPr="002C641A" w:rsidRDefault="00D60186" w:rsidP="00225D4D">
            <w:pPr>
              <w:rPr>
                <w:sz w:val="21"/>
                <w:szCs w:val="21"/>
              </w:rPr>
            </w:pPr>
            <w:r w:rsidRPr="002C641A">
              <w:rPr>
                <w:sz w:val="21"/>
                <w:szCs w:val="21"/>
              </w:rPr>
              <w:t>20–39</w:t>
            </w:r>
          </w:p>
        </w:tc>
        <w:tc>
          <w:tcPr>
            <w:tcW w:w="1400" w:type="dxa"/>
            <w:tcBorders>
              <w:top w:val="nil"/>
              <w:left w:val="nil"/>
              <w:bottom w:val="nil"/>
              <w:right w:val="nil"/>
            </w:tcBorders>
            <w:tcMar>
              <w:top w:w="110" w:type="dxa"/>
              <w:left w:w="43" w:type="dxa"/>
              <w:bottom w:w="40" w:type="dxa"/>
              <w:right w:w="43" w:type="dxa"/>
            </w:tcMar>
            <w:vAlign w:val="bottom"/>
          </w:tcPr>
          <w:p w14:paraId="03A05FD7" w14:textId="77777777" w:rsidR="00D60186" w:rsidRPr="002C641A" w:rsidRDefault="00D60186" w:rsidP="0052516A">
            <w:pPr>
              <w:jc w:val="right"/>
              <w:rPr>
                <w:sz w:val="21"/>
                <w:szCs w:val="21"/>
              </w:rPr>
            </w:pPr>
            <w:r w:rsidRPr="002C641A">
              <w:rPr>
                <w:sz w:val="21"/>
                <w:szCs w:val="21"/>
              </w:rPr>
              <w:t>92</w:t>
            </w:r>
          </w:p>
        </w:tc>
        <w:tc>
          <w:tcPr>
            <w:tcW w:w="1400" w:type="dxa"/>
            <w:tcBorders>
              <w:top w:val="nil"/>
              <w:left w:val="nil"/>
              <w:bottom w:val="nil"/>
              <w:right w:val="nil"/>
            </w:tcBorders>
            <w:tcMar>
              <w:top w:w="110" w:type="dxa"/>
              <w:left w:w="43" w:type="dxa"/>
              <w:bottom w:w="40" w:type="dxa"/>
              <w:right w:w="43" w:type="dxa"/>
            </w:tcMar>
            <w:vAlign w:val="bottom"/>
          </w:tcPr>
          <w:p w14:paraId="3A897780" w14:textId="77777777" w:rsidR="00D60186" w:rsidRPr="002C641A" w:rsidRDefault="00D60186" w:rsidP="0052516A">
            <w:pPr>
              <w:jc w:val="right"/>
              <w:rPr>
                <w:sz w:val="21"/>
                <w:szCs w:val="21"/>
              </w:rPr>
            </w:pPr>
            <w:r w:rsidRPr="002C641A">
              <w:rPr>
                <w:sz w:val="21"/>
                <w:szCs w:val="21"/>
              </w:rPr>
              <w:t>89</w:t>
            </w:r>
          </w:p>
        </w:tc>
        <w:tc>
          <w:tcPr>
            <w:tcW w:w="1400" w:type="dxa"/>
            <w:tcBorders>
              <w:top w:val="nil"/>
              <w:left w:val="nil"/>
              <w:bottom w:val="nil"/>
              <w:right w:val="nil"/>
            </w:tcBorders>
            <w:tcMar>
              <w:top w:w="110" w:type="dxa"/>
              <w:left w:w="43" w:type="dxa"/>
              <w:bottom w:w="40" w:type="dxa"/>
              <w:right w:w="43" w:type="dxa"/>
            </w:tcMar>
            <w:vAlign w:val="bottom"/>
          </w:tcPr>
          <w:p w14:paraId="46BA2C69" w14:textId="77777777" w:rsidR="00D60186" w:rsidRPr="002C641A" w:rsidRDefault="00D60186" w:rsidP="0052516A">
            <w:pPr>
              <w:jc w:val="right"/>
              <w:rPr>
                <w:sz w:val="21"/>
                <w:szCs w:val="21"/>
              </w:rPr>
            </w:pPr>
            <w:r w:rsidRPr="002C641A">
              <w:rPr>
                <w:sz w:val="21"/>
                <w:szCs w:val="21"/>
              </w:rPr>
              <w:t>52</w:t>
            </w:r>
          </w:p>
        </w:tc>
        <w:tc>
          <w:tcPr>
            <w:tcW w:w="1400" w:type="dxa"/>
            <w:tcBorders>
              <w:top w:val="nil"/>
              <w:left w:val="nil"/>
              <w:bottom w:val="nil"/>
              <w:right w:val="nil"/>
            </w:tcBorders>
            <w:tcMar>
              <w:top w:w="110" w:type="dxa"/>
              <w:left w:w="43" w:type="dxa"/>
              <w:bottom w:w="40" w:type="dxa"/>
              <w:right w:w="43" w:type="dxa"/>
            </w:tcMar>
            <w:vAlign w:val="bottom"/>
          </w:tcPr>
          <w:p w14:paraId="6F4699D9" w14:textId="77777777" w:rsidR="00D60186" w:rsidRPr="002C641A" w:rsidRDefault="00D60186" w:rsidP="0052516A">
            <w:pPr>
              <w:jc w:val="right"/>
              <w:rPr>
                <w:sz w:val="21"/>
                <w:szCs w:val="21"/>
              </w:rPr>
            </w:pPr>
            <w:r w:rsidRPr="002C641A">
              <w:rPr>
                <w:sz w:val="21"/>
                <w:szCs w:val="21"/>
              </w:rPr>
              <w:t>26</w:t>
            </w:r>
          </w:p>
        </w:tc>
        <w:tc>
          <w:tcPr>
            <w:tcW w:w="1400" w:type="dxa"/>
            <w:tcBorders>
              <w:top w:val="nil"/>
              <w:left w:val="nil"/>
              <w:bottom w:val="nil"/>
              <w:right w:val="nil"/>
            </w:tcBorders>
            <w:tcMar>
              <w:top w:w="110" w:type="dxa"/>
              <w:left w:w="43" w:type="dxa"/>
              <w:bottom w:w="40" w:type="dxa"/>
              <w:right w:w="43" w:type="dxa"/>
            </w:tcMar>
            <w:vAlign w:val="bottom"/>
          </w:tcPr>
          <w:p w14:paraId="028914A5" w14:textId="77777777" w:rsidR="00D60186" w:rsidRPr="002C641A" w:rsidRDefault="00D60186" w:rsidP="0052516A">
            <w:pPr>
              <w:jc w:val="right"/>
              <w:rPr>
                <w:sz w:val="21"/>
                <w:szCs w:val="21"/>
              </w:rPr>
            </w:pPr>
            <w:r w:rsidRPr="002C641A">
              <w:rPr>
                <w:sz w:val="21"/>
                <w:szCs w:val="21"/>
              </w:rPr>
              <w:t>340</w:t>
            </w:r>
          </w:p>
        </w:tc>
      </w:tr>
      <w:tr w:rsidR="00E76DC8" w:rsidRPr="00225D4D" w14:paraId="1BEE03D8" w14:textId="77777777">
        <w:trPr>
          <w:trHeight w:val="360"/>
        </w:trPr>
        <w:tc>
          <w:tcPr>
            <w:tcW w:w="2480" w:type="dxa"/>
            <w:tcBorders>
              <w:top w:val="nil"/>
              <w:left w:val="nil"/>
              <w:bottom w:val="single" w:sz="4" w:space="0" w:color="000000"/>
              <w:right w:val="nil"/>
            </w:tcBorders>
            <w:tcMar>
              <w:top w:w="110" w:type="dxa"/>
              <w:left w:w="43" w:type="dxa"/>
              <w:bottom w:w="40" w:type="dxa"/>
              <w:right w:w="43" w:type="dxa"/>
            </w:tcMar>
          </w:tcPr>
          <w:p w14:paraId="219EBAB0" w14:textId="77777777" w:rsidR="00D60186" w:rsidRPr="002C641A" w:rsidRDefault="00D60186" w:rsidP="00225D4D">
            <w:pPr>
              <w:rPr>
                <w:sz w:val="21"/>
                <w:szCs w:val="21"/>
              </w:rPr>
            </w:pPr>
            <w:r w:rsidRPr="002C641A">
              <w:rPr>
                <w:sz w:val="21"/>
                <w:szCs w:val="21"/>
              </w:rPr>
              <w:t>0–19</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616CB812" w14:textId="77777777" w:rsidR="00D60186" w:rsidRPr="002C641A" w:rsidRDefault="00D60186" w:rsidP="0052516A">
            <w:pPr>
              <w:jc w:val="right"/>
              <w:rPr>
                <w:sz w:val="21"/>
                <w:szCs w:val="21"/>
              </w:rPr>
            </w:pPr>
            <w:r w:rsidRPr="002C641A">
              <w:rPr>
                <w:sz w:val="21"/>
                <w:szCs w:val="21"/>
              </w:rPr>
              <w:t>96</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22DE64FB" w14:textId="77777777" w:rsidR="00D60186" w:rsidRPr="002C641A" w:rsidRDefault="00D60186" w:rsidP="0052516A">
            <w:pPr>
              <w:jc w:val="right"/>
              <w:rPr>
                <w:sz w:val="21"/>
                <w:szCs w:val="21"/>
              </w:rPr>
            </w:pPr>
            <w:r w:rsidRPr="002C641A">
              <w:rPr>
                <w:sz w:val="21"/>
                <w:szCs w:val="21"/>
              </w:rPr>
              <w:t>94</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48D4ADE0" w14:textId="77777777" w:rsidR="00D60186" w:rsidRPr="002C641A" w:rsidRDefault="00D60186" w:rsidP="0052516A">
            <w:pPr>
              <w:jc w:val="right"/>
              <w:rPr>
                <w:sz w:val="21"/>
                <w:szCs w:val="21"/>
              </w:rPr>
            </w:pPr>
            <w:r w:rsidRPr="002C641A">
              <w:rPr>
                <w:sz w:val="21"/>
                <w:szCs w:val="21"/>
              </w:rPr>
              <w:t>69</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221F4929" w14:textId="77777777" w:rsidR="00D60186" w:rsidRPr="002C641A" w:rsidRDefault="00D60186" w:rsidP="0052516A">
            <w:pPr>
              <w:jc w:val="right"/>
              <w:rPr>
                <w:sz w:val="21"/>
                <w:szCs w:val="21"/>
              </w:rPr>
            </w:pPr>
            <w:r w:rsidRPr="002C641A">
              <w:rPr>
                <w:sz w:val="21"/>
                <w:szCs w:val="21"/>
              </w:rPr>
              <w:t>42</w:t>
            </w:r>
          </w:p>
        </w:tc>
        <w:tc>
          <w:tcPr>
            <w:tcW w:w="1400" w:type="dxa"/>
            <w:tcBorders>
              <w:top w:val="nil"/>
              <w:left w:val="nil"/>
              <w:bottom w:val="single" w:sz="4" w:space="0" w:color="000000"/>
              <w:right w:val="nil"/>
            </w:tcBorders>
            <w:tcMar>
              <w:top w:w="110" w:type="dxa"/>
              <w:left w:w="43" w:type="dxa"/>
              <w:bottom w:w="40" w:type="dxa"/>
              <w:right w:w="43" w:type="dxa"/>
            </w:tcMar>
            <w:vAlign w:val="bottom"/>
          </w:tcPr>
          <w:p w14:paraId="25467B1E" w14:textId="77777777" w:rsidR="00D60186" w:rsidRPr="002C641A" w:rsidRDefault="00D60186" w:rsidP="0052516A">
            <w:pPr>
              <w:jc w:val="right"/>
              <w:rPr>
                <w:sz w:val="21"/>
                <w:szCs w:val="21"/>
              </w:rPr>
            </w:pPr>
            <w:r w:rsidRPr="002C641A">
              <w:rPr>
                <w:sz w:val="21"/>
                <w:szCs w:val="21"/>
              </w:rPr>
              <w:t>1115</w:t>
            </w:r>
          </w:p>
        </w:tc>
      </w:tr>
    </w:tbl>
    <w:p w14:paraId="1024A6F5" w14:textId="77777777" w:rsidR="00D60186" w:rsidRPr="00225D4D" w:rsidRDefault="00D60186" w:rsidP="00225D4D">
      <w:pPr>
        <w:pStyle w:val="tabell-noter"/>
        <w:rPr>
          <w:rStyle w:val="skrift-hevet"/>
        </w:rPr>
      </w:pPr>
      <w:r w:rsidRPr="00225D4D">
        <w:rPr>
          <w:rStyle w:val="skrift-hevet"/>
        </w:rPr>
        <w:t>1</w:t>
      </w:r>
      <w:r w:rsidRPr="00225D4D">
        <w:tab/>
      </w:r>
      <w:proofErr w:type="spellStart"/>
      <w:r w:rsidRPr="00225D4D">
        <w:t>Skyssdekning</w:t>
      </w:r>
      <w:proofErr w:type="spellEnd"/>
      <w:r w:rsidRPr="00225D4D">
        <w:t xml:space="preserve"> er berekna ut </w:t>
      </w:r>
      <w:proofErr w:type="spellStart"/>
      <w:r w:rsidRPr="00225D4D">
        <w:t>frå</w:t>
      </w:r>
      <w:proofErr w:type="spellEnd"/>
      <w:r w:rsidRPr="00225D4D">
        <w:t xml:space="preserve"> den delen av </w:t>
      </w:r>
      <w:proofErr w:type="spellStart"/>
      <w:r w:rsidRPr="00225D4D">
        <w:t>elevane</w:t>
      </w:r>
      <w:proofErr w:type="spellEnd"/>
      <w:r w:rsidRPr="00225D4D">
        <w:t xml:space="preserve"> på 1. trinn som får skyss. </w:t>
      </w:r>
      <w:proofErr w:type="spellStart"/>
      <w:r w:rsidRPr="00225D4D">
        <w:t>Skular</w:t>
      </w:r>
      <w:proofErr w:type="spellEnd"/>
      <w:r w:rsidRPr="00225D4D">
        <w:t xml:space="preserve"> som </w:t>
      </w:r>
      <w:proofErr w:type="spellStart"/>
      <w:r w:rsidRPr="00225D4D">
        <w:t>ikkje</w:t>
      </w:r>
      <w:proofErr w:type="spellEnd"/>
      <w:r w:rsidRPr="00225D4D">
        <w:t xml:space="preserve"> har </w:t>
      </w:r>
      <w:proofErr w:type="spellStart"/>
      <w:r w:rsidRPr="00225D4D">
        <w:t>elevar</w:t>
      </w:r>
      <w:proofErr w:type="spellEnd"/>
      <w:r w:rsidRPr="00225D4D">
        <w:t xml:space="preserve"> på 1. trinn, er derfor </w:t>
      </w:r>
      <w:proofErr w:type="spellStart"/>
      <w:r w:rsidRPr="00225D4D">
        <w:t>ikkje</w:t>
      </w:r>
      <w:proofErr w:type="spellEnd"/>
      <w:r w:rsidRPr="00225D4D">
        <w:t xml:space="preserve"> med i </w:t>
      </w:r>
      <w:proofErr w:type="spellStart"/>
      <w:r w:rsidRPr="00225D4D">
        <w:t>utvalet</w:t>
      </w:r>
      <w:proofErr w:type="spellEnd"/>
      <w:r w:rsidRPr="00225D4D">
        <w:t>.</w:t>
      </w:r>
    </w:p>
    <w:p w14:paraId="6925BFBF" w14:textId="77777777" w:rsidR="00D60186" w:rsidRPr="00225D4D" w:rsidRDefault="00D60186" w:rsidP="008D6210">
      <w:pPr>
        <w:pStyle w:val="Kilde"/>
      </w:pPr>
      <w:r w:rsidRPr="00225D4D">
        <w:t>Kjelde: GSI</w:t>
      </w:r>
    </w:p>
    <w:p w14:paraId="6839EBCF" w14:textId="77777777" w:rsidR="00D60186" w:rsidRPr="00225D4D" w:rsidRDefault="00D60186" w:rsidP="00225D4D">
      <w:r w:rsidRPr="00225D4D">
        <w:t xml:space="preserve">Prosentdelen </w:t>
      </w:r>
      <w:proofErr w:type="spellStart"/>
      <w:r w:rsidRPr="00225D4D">
        <w:t>elevar</w:t>
      </w:r>
      <w:proofErr w:type="spellEnd"/>
      <w:r w:rsidRPr="00225D4D">
        <w:t xml:space="preserve"> i </w:t>
      </w:r>
      <w:proofErr w:type="spellStart"/>
      <w:r w:rsidRPr="00225D4D">
        <w:t>skulen</w:t>
      </w:r>
      <w:proofErr w:type="spellEnd"/>
      <w:r w:rsidRPr="00225D4D">
        <w:t xml:space="preserve"> som </w:t>
      </w:r>
      <w:proofErr w:type="spellStart"/>
      <w:r w:rsidRPr="00225D4D">
        <w:t>deltek</w:t>
      </w:r>
      <w:proofErr w:type="spellEnd"/>
      <w:r w:rsidRPr="00225D4D">
        <w:t xml:space="preserve"> i SFO, har </w:t>
      </w:r>
      <w:proofErr w:type="spellStart"/>
      <w:r w:rsidRPr="00225D4D">
        <w:t>auka</w:t>
      </w:r>
      <w:proofErr w:type="spellEnd"/>
      <w:r w:rsidRPr="00225D4D">
        <w:t xml:space="preserve"> </w:t>
      </w:r>
      <w:proofErr w:type="spellStart"/>
      <w:r w:rsidRPr="00225D4D">
        <w:t>sidan</w:t>
      </w:r>
      <w:proofErr w:type="spellEnd"/>
      <w:r w:rsidRPr="00225D4D">
        <w:t xml:space="preserve"> </w:t>
      </w:r>
      <w:proofErr w:type="spellStart"/>
      <w:r w:rsidRPr="00225D4D">
        <w:t>skuleåret</w:t>
      </w:r>
      <w:proofErr w:type="spellEnd"/>
      <w:r w:rsidRPr="00225D4D">
        <w:t xml:space="preserve"> 2021–22 (sjå tabell 13.8) på grunn av innføringa av 12 </w:t>
      </w:r>
      <w:proofErr w:type="spellStart"/>
      <w:r w:rsidRPr="00225D4D">
        <w:t>timar</w:t>
      </w:r>
      <w:proofErr w:type="spellEnd"/>
      <w:r w:rsidRPr="00225D4D">
        <w:t xml:space="preserve"> gratis SFO. Deltakinga har </w:t>
      </w:r>
      <w:proofErr w:type="spellStart"/>
      <w:r w:rsidRPr="00225D4D">
        <w:t>auka</w:t>
      </w:r>
      <w:proofErr w:type="spellEnd"/>
      <w:r w:rsidRPr="00225D4D">
        <w:t xml:space="preserve"> minst på </w:t>
      </w:r>
      <w:proofErr w:type="spellStart"/>
      <w:r w:rsidRPr="00225D4D">
        <w:t>skular</w:t>
      </w:r>
      <w:proofErr w:type="spellEnd"/>
      <w:r w:rsidRPr="00225D4D">
        <w:t xml:space="preserve"> der mindre enn 20 pst. av </w:t>
      </w:r>
      <w:proofErr w:type="spellStart"/>
      <w:r w:rsidRPr="00225D4D">
        <w:t>elevane</w:t>
      </w:r>
      <w:proofErr w:type="spellEnd"/>
      <w:r w:rsidRPr="00225D4D">
        <w:t xml:space="preserve"> får skyss.</w:t>
      </w:r>
    </w:p>
    <w:p w14:paraId="66A492BE" w14:textId="529E77B0" w:rsidR="002D4C2A" w:rsidRPr="00225D4D" w:rsidRDefault="002D4C2A" w:rsidP="00225D4D">
      <w:pPr>
        <w:pStyle w:val="tabell-tittel"/>
      </w:pPr>
      <w:r w:rsidRPr="00225D4D">
        <w:t xml:space="preserve">Prosentdel </w:t>
      </w:r>
      <w:proofErr w:type="spellStart"/>
      <w:r w:rsidRPr="00225D4D">
        <w:t>elevar</w:t>
      </w:r>
      <w:proofErr w:type="spellEnd"/>
      <w:r w:rsidRPr="00225D4D">
        <w:t xml:space="preserve"> som </w:t>
      </w:r>
      <w:proofErr w:type="spellStart"/>
      <w:r w:rsidRPr="00225D4D">
        <w:t>deltek</w:t>
      </w:r>
      <w:proofErr w:type="spellEnd"/>
      <w:r w:rsidRPr="00225D4D">
        <w:t xml:space="preserve"> i SFO fordelt på prosentdel </w:t>
      </w:r>
      <w:proofErr w:type="spellStart"/>
      <w:r w:rsidRPr="00225D4D">
        <w:t>elevar</w:t>
      </w:r>
      <w:proofErr w:type="spellEnd"/>
      <w:r w:rsidRPr="00225D4D">
        <w:t xml:space="preserve"> på </w:t>
      </w:r>
      <w:proofErr w:type="spellStart"/>
      <w:r w:rsidRPr="00225D4D">
        <w:t>skulen</w:t>
      </w:r>
      <w:proofErr w:type="spellEnd"/>
      <w:r w:rsidRPr="00225D4D">
        <w:t xml:space="preserve"> som får skyss. </w:t>
      </w:r>
      <w:proofErr w:type="spellStart"/>
      <w:r w:rsidRPr="00225D4D">
        <w:t>Skuleåret</w:t>
      </w:r>
      <w:proofErr w:type="spellEnd"/>
      <w:r w:rsidRPr="00225D4D">
        <w:t xml:space="preserve"> 2021–22</w:t>
      </w:r>
      <w:r w:rsidRPr="00225D4D">
        <w:rPr>
          <w:rStyle w:val="skrift-hevet"/>
        </w:rPr>
        <w:t>1</w:t>
      </w:r>
    </w:p>
    <w:p w14:paraId="111853D8" w14:textId="77777777" w:rsidR="00D60186" w:rsidRPr="00225D4D" w:rsidRDefault="00D60186" w:rsidP="00225D4D">
      <w:pPr>
        <w:pStyle w:val="Tabellnavn"/>
      </w:pPr>
      <w:r w:rsidRPr="00225D4D">
        <w:t>06J1xt2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480"/>
        <w:gridCol w:w="1400"/>
        <w:gridCol w:w="1400"/>
        <w:gridCol w:w="1400"/>
        <w:gridCol w:w="1400"/>
        <w:gridCol w:w="1400"/>
      </w:tblGrid>
      <w:tr w:rsidR="00E76DC8" w:rsidRPr="00225D4D" w14:paraId="4625EBF6" w14:textId="77777777">
        <w:trPr>
          <w:trHeight w:val="600"/>
        </w:trPr>
        <w:tc>
          <w:tcPr>
            <w:tcW w:w="24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1B6CCC" w14:textId="77777777" w:rsidR="00D60186" w:rsidRPr="002C641A" w:rsidRDefault="00D60186" w:rsidP="00225D4D">
            <w:pPr>
              <w:rPr>
                <w:sz w:val="21"/>
                <w:szCs w:val="21"/>
              </w:rPr>
            </w:pPr>
            <w:r w:rsidRPr="002C641A">
              <w:rPr>
                <w:sz w:val="21"/>
                <w:szCs w:val="21"/>
              </w:rPr>
              <w:t>Skyss dekning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29CB51" w14:textId="77777777" w:rsidR="00D60186" w:rsidRPr="002C641A" w:rsidRDefault="00D60186" w:rsidP="002C641A">
            <w:pPr>
              <w:jc w:val="right"/>
              <w:rPr>
                <w:sz w:val="21"/>
                <w:szCs w:val="21"/>
              </w:rPr>
            </w:pPr>
            <w:r w:rsidRPr="002C641A">
              <w:rPr>
                <w:sz w:val="21"/>
                <w:szCs w:val="21"/>
              </w:rPr>
              <w:t>1. trinn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69A9FB" w14:textId="77777777" w:rsidR="00D60186" w:rsidRPr="002C641A" w:rsidRDefault="00D60186" w:rsidP="002C641A">
            <w:pPr>
              <w:jc w:val="right"/>
              <w:rPr>
                <w:sz w:val="21"/>
                <w:szCs w:val="21"/>
              </w:rPr>
            </w:pPr>
            <w:r w:rsidRPr="002C641A">
              <w:rPr>
                <w:sz w:val="21"/>
                <w:szCs w:val="21"/>
              </w:rPr>
              <w:t>2. trinn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AAEDEF" w14:textId="77777777" w:rsidR="00D60186" w:rsidRPr="002C641A" w:rsidRDefault="00D60186" w:rsidP="002C641A">
            <w:pPr>
              <w:jc w:val="right"/>
              <w:rPr>
                <w:sz w:val="21"/>
                <w:szCs w:val="21"/>
              </w:rPr>
            </w:pPr>
            <w:r w:rsidRPr="002C641A">
              <w:rPr>
                <w:sz w:val="21"/>
                <w:szCs w:val="21"/>
              </w:rPr>
              <w:t>3. trinn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76A518" w14:textId="77777777" w:rsidR="00D60186" w:rsidRPr="002C641A" w:rsidRDefault="00D60186" w:rsidP="002C641A">
            <w:pPr>
              <w:jc w:val="right"/>
              <w:rPr>
                <w:sz w:val="21"/>
                <w:szCs w:val="21"/>
              </w:rPr>
            </w:pPr>
            <w:r w:rsidRPr="002C641A">
              <w:rPr>
                <w:sz w:val="21"/>
                <w:szCs w:val="21"/>
              </w:rPr>
              <w:t>4. trinn (pst.)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A85732" w14:textId="77777777" w:rsidR="00D60186" w:rsidRPr="002C641A" w:rsidRDefault="00D60186" w:rsidP="002C641A">
            <w:pPr>
              <w:jc w:val="right"/>
              <w:rPr>
                <w:sz w:val="21"/>
                <w:szCs w:val="21"/>
              </w:rPr>
            </w:pPr>
            <w:proofErr w:type="spellStart"/>
            <w:r w:rsidRPr="002C641A">
              <w:rPr>
                <w:sz w:val="21"/>
                <w:szCs w:val="21"/>
              </w:rPr>
              <w:t>Talet</w:t>
            </w:r>
            <w:proofErr w:type="spellEnd"/>
            <w:r w:rsidRPr="002C641A">
              <w:rPr>
                <w:sz w:val="21"/>
                <w:szCs w:val="21"/>
              </w:rPr>
              <w:t xml:space="preserve"> på </w:t>
            </w:r>
            <w:proofErr w:type="spellStart"/>
            <w:r w:rsidRPr="002C641A">
              <w:rPr>
                <w:sz w:val="21"/>
                <w:szCs w:val="21"/>
              </w:rPr>
              <w:t>skular</w:t>
            </w:r>
            <w:proofErr w:type="spellEnd"/>
            <w:r w:rsidRPr="002C641A">
              <w:rPr>
                <w:sz w:val="21"/>
                <w:szCs w:val="21"/>
              </w:rPr>
              <w:t xml:space="preserve"> i kategorien</w:t>
            </w:r>
          </w:p>
        </w:tc>
      </w:tr>
      <w:tr w:rsidR="00E76DC8" w:rsidRPr="00225D4D" w14:paraId="590F569C" w14:textId="77777777">
        <w:trPr>
          <w:trHeight w:val="380"/>
        </w:trPr>
        <w:tc>
          <w:tcPr>
            <w:tcW w:w="2480" w:type="dxa"/>
            <w:tcBorders>
              <w:top w:val="single" w:sz="4" w:space="0" w:color="000000"/>
              <w:left w:val="nil"/>
              <w:bottom w:val="nil"/>
              <w:right w:val="nil"/>
            </w:tcBorders>
            <w:tcMar>
              <w:top w:w="128" w:type="dxa"/>
              <w:left w:w="43" w:type="dxa"/>
              <w:bottom w:w="43" w:type="dxa"/>
              <w:right w:w="43" w:type="dxa"/>
            </w:tcMar>
          </w:tcPr>
          <w:p w14:paraId="37DA0B31" w14:textId="77777777" w:rsidR="00D60186" w:rsidRPr="002C641A" w:rsidRDefault="00D60186" w:rsidP="00225D4D">
            <w:pPr>
              <w:rPr>
                <w:sz w:val="21"/>
                <w:szCs w:val="21"/>
              </w:rPr>
            </w:pPr>
            <w:r w:rsidRPr="002C641A">
              <w:rPr>
                <w:sz w:val="21"/>
                <w:szCs w:val="21"/>
              </w:rPr>
              <w:t xml:space="preserve">80–100 </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42EC33F0" w14:textId="77777777" w:rsidR="00D60186" w:rsidRPr="002C641A" w:rsidRDefault="00D60186" w:rsidP="002C641A">
            <w:pPr>
              <w:jc w:val="right"/>
              <w:rPr>
                <w:sz w:val="21"/>
                <w:szCs w:val="21"/>
              </w:rPr>
            </w:pPr>
            <w:r w:rsidRPr="002C641A">
              <w:rPr>
                <w:sz w:val="21"/>
                <w:szCs w:val="21"/>
              </w:rPr>
              <w:t>62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7A914F8E" w14:textId="77777777" w:rsidR="00D60186" w:rsidRPr="002C641A" w:rsidRDefault="00D60186" w:rsidP="002C641A">
            <w:pPr>
              <w:jc w:val="right"/>
              <w:rPr>
                <w:sz w:val="21"/>
                <w:szCs w:val="21"/>
              </w:rPr>
            </w:pPr>
            <w:r w:rsidRPr="002C641A">
              <w:rPr>
                <w:sz w:val="21"/>
                <w:szCs w:val="21"/>
              </w:rPr>
              <w:t>55</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3A604D4" w14:textId="77777777" w:rsidR="00D60186" w:rsidRPr="002C641A" w:rsidRDefault="00D60186" w:rsidP="002C641A">
            <w:pPr>
              <w:jc w:val="right"/>
              <w:rPr>
                <w:sz w:val="21"/>
                <w:szCs w:val="21"/>
              </w:rPr>
            </w:pPr>
            <w:r w:rsidRPr="002C641A">
              <w:rPr>
                <w:sz w:val="21"/>
                <w:szCs w:val="21"/>
              </w:rPr>
              <w:t>37</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31417CE" w14:textId="77777777" w:rsidR="00D60186" w:rsidRPr="002C641A" w:rsidRDefault="00D60186" w:rsidP="002C641A">
            <w:pPr>
              <w:jc w:val="right"/>
              <w:rPr>
                <w:sz w:val="21"/>
                <w:szCs w:val="21"/>
              </w:rPr>
            </w:pPr>
            <w:r w:rsidRPr="002C641A">
              <w:rPr>
                <w:sz w:val="21"/>
                <w:szCs w:val="21"/>
              </w:rPr>
              <w:t>22</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34E1E4B2" w14:textId="77777777" w:rsidR="00D60186" w:rsidRPr="002C641A" w:rsidRDefault="00D60186" w:rsidP="002C641A">
            <w:pPr>
              <w:jc w:val="right"/>
              <w:rPr>
                <w:sz w:val="21"/>
                <w:szCs w:val="21"/>
              </w:rPr>
            </w:pPr>
            <w:r w:rsidRPr="002C641A">
              <w:rPr>
                <w:sz w:val="21"/>
                <w:szCs w:val="21"/>
              </w:rPr>
              <w:t>277</w:t>
            </w:r>
          </w:p>
        </w:tc>
      </w:tr>
      <w:tr w:rsidR="00E76DC8" w:rsidRPr="00225D4D" w14:paraId="2953B868" w14:textId="77777777">
        <w:trPr>
          <w:trHeight w:val="380"/>
        </w:trPr>
        <w:tc>
          <w:tcPr>
            <w:tcW w:w="2480" w:type="dxa"/>
            <w:tcBorders>
              <w:top w:val="nil"/>
              <w:left w:val="nil"/>
              <w:bottom w:val="nil"/>
              <w:right w:val="nil"/>
            </w:tcBorders>
            <w:tcMar>
              <w:top w:w="128" w:type="dxa"/>
              <w:left w:w="43" w:type="dxa"/>
              <w:bottom w:w="43" w:type="dxa"/>
              <w:right w:w="43" w:type="dxa"/>
            </w:tcMar>
          </w:tcPr>
          <w:p w14:paraId="3C7A7643" w14:textId="77777777" w:rsidR="00D60186" w:rsidRPr="002C641A" w:rsidRDefault="00D60186" w:rsidP="00225D4D">
            <w:pPr>
              <w:rPr>
                <w:sz w:val="21"/>
                <w:szCs w:val="21"/>
              </w:rPr>
            </w:pPr>
            <w:r w:rsidRPr="002C641A">
              <w:rPr>
                <w:sz w:val="21"/>
                <w:szCs w:val="21"/>
              </w:rPr>
              <w:t xml:space="preserve">60–79 </w:t>
            </w:r>
          </w:p>
        </w:tc>
        <w:tc>
          <w:tcPr>
            <w:tcW w:w="1400" w:type="dxa"/>
            <w:tcBorders>
              <w:top w:val="nil"/>
              <w:left w:val="nil"/>
              <w:bottom w:val="nil"/>
              <w:right w:val="nil"/>
            </w:tcBorders>
            <w:tcMar>
              <w:top w:w="128" w:type="dxa"/>
              <w:left w:w="43" w:type="dxa"/>
              <w:bottom w:w="43" w:type="dxa"/>
              <w:right w:w="43" w:type="dxa"/>
            </w:tcMar>
            <w:vAlign w:val="bottom"/>
          </w:tcPr>
          <w:p w14:paraId="4117CF24" w14:textId="77777777" w:rsidR="00D60186" w:rsidRPr="002C641A" w:rsidRDefault="00D60186" w:rsidP="002C641A">
            <w:pPr>
              <w:jc w:val="right"/>
              <w:rPr>
                <w:sz w:val="21"/>
                <w:szCs w:val="21"/>
              </w:rPr>
            </w:pPr>
            <w:r w:rsidRPr="002C641A">
              <w:rPr>
                <w:sz w:val="21"/>
                <w:szCs w:val="21"/>
              </w:rPr>
              <w:t>66</w:t>
            </w:r>
          </w:p>
        </w:tc>
        <w:tc>
          <w:tcPr>
            <w:tcW w:w="1400" w:type="dxa"/>
            <w:tcBorders>
              <w:top w:val="nil"/>
              <w:left w:val="nil"/>
              <w:bottom w:val="nil"/>
              <w:right w:val="nil"/>
            </w:tcBorders>
            <w:tcMar>
              <w:top w:w="128" w:type="dxa"/>
              <w:left w:w="43" w:type="dxa"/>
              <w:bottom w:w="43" w:type="dxa"/>
              <w:right w:w="43" w:type="dxa"/>
            </w:tcMar>
            <w:vAlign w:val="bottom"/>
          </w:tcPr>
          <w:p w14:paraId="49727A02" w14:textId="77777777" w:rsidR="00D60186" w:rsidRPr="002C641A" w:rsidRDefault="00D60186" w:rsidP="002C641A">
            <w:pPr>
              <w:jc w:val="right"/>
              <w:rPr>
                <w:sz w:val="21"/>
                <w:szCs w:val="21"/>
              </w:rPr>
            </w:pPr>
            <w:r w:rsidRPr="002C641A">
              <w:rPr>
                <w:sz w:val="21"/>
                <w:szCs w:val="21"/>
              </w:rPr>
              <w:t>58</w:t>
            </w:r>
          </w:p>
        </w:tc>
        <w:tc>
          <w:tcPr>
            <w:tcW w:w="1400" w:type="dxa"/>
            <w:tcBorders>
              <w:top w:val="nil"/>
              <w:left w:val="nil"/>
              <w:bottom w:val="nil"/>
              <w:right w:val="nil"/>
            </w:tcBorders>
            <w:tcMar>
              <w:top w:w="128" w:type="dxa"/>
              <w:left w:w="43" w:type="dxa"/>
              <w:bottom w:w="43" w:type="dxa"/>
              <w:right w:w="43" w:type="dxa"/>
            </w:tcMar>
            <w:vAlign w:val="bottom"/>
          </w:tcPr>
          <w:p w14:paraId="47BF8813" w14:textId="77777777" w:rsidR="00D60186" w:rsidRPr="002C641A" w:rsidRDefault="00D60186" w:rsidP="002C641A">
            <w:pPr>
              <w:jc w:val="right"/>
              <w:rPr>
                <w:sz w:val="21"/>
                <w:szCs w:val="21"/>
              </w:rPr>
            </w:pPr>
            <w:r w:rsidRPr="002C641A">
              <w:rPr>
                <w:sz w:val="21"/>
                <w:szCs w:val="21"/>
              </w:rPr>
              <w:t>41</w:t>
            </w:r>
          </w:p>
        </w:tc>
        <w:tc>
          <w:tcPr>
            <w:tcW w:w="1400" w:type="dxa"/>
            <w:tcBorders>
              <w:top w:val="nil"/>
              <w:left w:val="nil"/>
              <w:bottom w:val="nil"/>
              <w:right w:val="nil"/>
            </w:tcBorders>
            <w:tcMar>
              <w:top w:w="128" w:type="dxa"/>
              <w:left w:w="43" w:type="dxa"/>
              <w:bottom w:w="43" w:type="dxa"/>
              <w:right w:w="43" w:type="dxa"/>
            </w:tcMar>
            <w:vAlign w:val="bottom"/>
          </w:tcPr>
          <w:p w14:paraId="19D42994" w14:textId="77777777" w:rsidR="00D60186" w:rsidRPr="002C641A" w:rsidRDefault="00D60186" w:rsidP="002C641A">
            <w:pPr>
              <w:jc w:val="right"/>
              <w:rPr>
                <w:sz w:val="21"/>
                <w:szCs w:val="21"/>
              </w:rPr>
            </w:pPr>
            <w:r w:rsidRPr="002C641A">
              <w:rPr>
                <w:sz w:val="21"/>
                <w:szCs w:val="21"/>
              </w:rPr>
              <w:t>21</w:t>
            </w:r>
          </w:p>
        </w:tc>
        <w:tc>
          <w:tcPr>
            <w:tcW w:w="1400" w:type="dxa"/>
            <w:tcBorders>
              <w:top w:val="nil"/>
              <w:left w:val="nil"/>
              <w:bottom w:val="nil"/>
              <w:right w:val="nil"/>
            </w:tcBorders>
            <w:tcMar>
              <w:top w:w="128" w:type="dxa"/>
              <w:left w:w="43" w:type="dxa"/>
              <w:bottom w:w="43" w:type="dxa"/>
              <w:right w:w="43" w:type="dxa"/>
            </w:tcMar>
            <w:vAlign w:val="bottom"/>
          </w:tcPr>
          <w:p w14:paraId="7B4BE316" w14:textId="77777777" w:rsidR="00D60186" w:rsidRPr="002C641A" w:rsidRDefault="00D60186" w:rsidP="002C641A">
            <w:pPr>
              <w:jc w:val="right"/>
              <w:rPr>
                <w:sz w:val="21"/>
                <w:szCs w:val="21"/>
              </w:rPr>
            </w:pPr>
            <w:r w:rsidRPr="002C641A">
              <w:rPr>
                <w:sz w:val="21"/>
                <w:szCs w:val="21"/>
              </w:rPr>
              <w:t>208</w:t>
            </w:r>
          </w:p>
        </w:tc>
      </w:tr>
      <w:tr w:rsidR="00E76DC8" w:rsidRPr="00225D4D" w14:paraId="744F19BB" w14:textId="77777777">
        <w:trPr>
          <w:trHeight w:val="380"/>
        </w:trPr>
        <w:tc>
          <w:tcPr>
            <w:tcW w:w="2480" w:type="dxa"/>
            <w:tcBorders>
              <w:top w:val="nil"/>
              <w:left w:val="nil"/>
              <w:bottom w:val="nil"/>
              <w:right w:val="nil"/>
            </w:tcBorders>
            <w:tcMar>
              <w:top w:w="128" w:type="dxa"/>
              <w:left w:w="43" w:type="dxa"/>
              <w:bottom w:w="43" w:type="dxa"/>
              <w:right w:w="43" w:type="dxa"/>
            </w:tcMar>
          </w:tcPr>
          <w:p w14:paraId="0BD6398A" w14:textId="77777777" w:rsidR="00D60186" w:rsidRPr="002C641A" w:rsidRDefault="00D60186" w:rsidP="00225D4D">
            <w:pPr>
              <w:rPr>
                <w:sz w:val="21"/>
                <w:szCs w:val="21"/>
              </w:rPr>
            </w:pPr>
            <w:r w:rsidRPr="002C641A">
              <w:rPr>
                <w:sz w:val="21"/>
                <w:szCs w:val="21"/>
              </w:rPr>
              <w:t>40–59</w:t>
            </w:r>
          </w:p>
        </w:tc>
        <w:tc>
          <w:tcPr>
            <w:tcW w:w="1400" w:type="dxa"/>
            <w:tcBorders>
              <w:top w:val="nil"/>
              <w:left w:val="nil"/>
              <w:bottom w:val="nil"/>
              <w:right w:val="nil"/>
            </w:tcBorders>
            <w:tcMar>
              <w:top w:w="128" w:type="dxa"/>
              <w:left w:w="43" w:type="dxa"/>
              <w:bottom w:w="43" w:type="dxa"/>
              <w:right w:w="43" w:type="dxa"/>
            </w:tcMar>
            <w:vAlign w:val="bottom"/>
          </w:tcPr>
          <w:p w14:paraId="346A08BF" w14:textId="77777777" w:rsidR="00D60186" w:rsidRPr="002C641A" w:rsidRDefault="00D60186" w:rsidP="002C641A">
            <w:pPr>
              <w:jc w:val="right"/>
              <w:rPr>
                <w:sz w:val="21"/>
                <w:szCs w:val="21"/>
              </w:rPr>
            </w:pPr>
            <w:r w:rsidRPr="002C641A">
              <w:rPr>
                <w:sz w:val="21"/>
                <w:szCs w:val="21"/>
              </w:rPr>
              <w:t>72</w:t>
            </w:r>
          </w:p>
        </w:tc>
        <w:tc>
          <w:tcPr>
            <w:tcW w:w="1400" w:type="dxa"/>
            <w:tcBorders>
              <w:top w:val="nil"/>
              <w:left w:val="nil"/>
              <w:bottom w:val="nil"/>
              <w:right w:val="nil"/>
            </w:tcBorders>
            <w:tcMar>
              <w:top w:w="128" w:type="dxa"/>
              <w:left w:w="43" w:type="dxa"/>
              <w:bottom w:w="43" w:type="dxa"/>
              <w:right w:w="43" w:type="dxa"/>
            </w:tcMar>
            <w:vAlign w:val="bottom"/>
          </w:tcPr>
          <w:p w14:paraId="62DE6844" w14:textId="77777777" w:rsidR="00D60186" w:rsidRPr="002C641A" w:rsidRDefault="00D60186" w:rsidP="002C641A">
            <w:pPr>
              <w:jc w:val="right"/>
              <w:rPr>
                <w:sz w:val="21"/>
                <w:szCs w:val="21"/>
              </w:rPr>
            </w:pPr>
            <w:r w:rsidRPr="002C641A">
              <w:rPr>
                <w:sz w:val="21"/>
                <w:szCs w:val="21"/>
              </w:rPr>
              <w:t>65</w:t>
            </w:r>
          </w:p>
        </w:tc>
        <w:tc>
          <w:tcPr>
            <w:tcW w:w="1400" w:type="dxa"/>
            <w:tcBorders>
              <w:top w:val="nil"/>
              <w:left w:val="nil"/>
              <w:bottom w:val="nil"/>
              <w:right w:val="nil"/>
            </w:tcBorders>
            <w:tcMar>
              <w:top w:w="128" w:type="dxa"/>
              <w:left w:w="43" w:type="dxa"/>
              <w:bottom w:w="43" w:type="dxa"/>
              <w:right w:w="43" w:type="dxa"/>
            </w:tcMar>
            <w:vAlign w:val="bottom"/>
          </w:tcPr>
          <w:p w14:paraId="0952F397" w14:textId="77777777" w:rsidR="00D60186" w:rsidRPr="002C641A" w:rsidRDefault="00D60186" w:rsidP="002C641A">
            <w:pPr>
              <w:jc w:val="right"/>
              <w:rPr>
                <w:sz w:val="21"/>
                <w:szCs w:val="21"/>
              </w:rPr>
            </w:pPr>
            <w:r w:rsidRPr="002C641A">
              <w:rPr>
                <w:sz w:val="21"/>
                <w:szCs w:val="21"/>
              </w:rPr>
              <w:t>47</w:t>
            </w:r>
          </w:p>
        </w:tc>
        <w:tc>
          <w:tcPr>
            <w:tcW w:w="1400" w:type="dxa"/>
            <w:tcBorders>
              <w:top w:val="nil"/>
              <w:left w:val="nil"/>
              <w:bottom w:val="nil"/>
              <w:right w:val="nil"/>
            </w:tcBorders>
            <w:tcMar>
              <w:top w:w="128" w:type="dxa"/>
              <w:left w:w="43" w:type="dxa"/>
              <w:bottom w:w="43" w:type="dxa"/>
              <w:right w:w="43" w:type="dxa"/>
            </w:tcMar>
            <w:vAlign w:val="bottom"/>
          </w:tcPr>
          <w:p w14:paraId="4E579722" w14:textId="77777777" w:rsidR="00D60186" w:rsidRPr="002C641A" w:rsidRDefault="00D60186" w:rsidP="002C641A">
            <w:pPr>
              <w:jc w:val="right"/>
              <w:rPr>
                <w:sz w:val="21"/>
                <w:szCs w:val="21"/>
              </w:rPr>
            </w:pPr>
            <w:r w:rsidRPr="002C641A">
              <w:rPr>
                <w:sz w:val="21"/>
                <w:szCs w:val="21"/>
              </w:rPr>
              <w:t>22</w:t>
            </w:r>
          </w:p>
        </w:tc>
        <w:tc>
          <w:tcPr>
            <w:tcW w:w="1400" w:type="dxa"/>
            <w:tcBorders>
              <w:top w:val="nil"/>
              <w:left w:val="nil"/>
              <w:bottom w:val="nil"/>
              <w:right w:val="nil"/>
            </w:tcBorders>
            <w:tcMar>
              <w:top w:w="128" w:type="dxa"/>
              <w:left w:w="43" w:type="dxa"/>
              <w:bottom w:w="43" w:type="dxa"/>
              <w:right w:w="43" w:type="dxa"/>
            </w:tcMar>
            <w:vAlign w:val="bottom"/>
          </w:tcPr>
          <w:p w14:paraId="114DE4CC" w14:textId="77777777" w:rsidR="00D60186" w:rsidRPr="002C641A" w:rsidRDefault="00D60186" w:rsidP="002C641A">
            <w:pPr>
              <w:jc w:val="right"/>
              <w:rPr>
                <w:sz w:val="21"/>
                <w:szCs w:val="21"/>
              </w:rPr>
            </w:pPr>
            <w:r w:rsidRPr="002C641A">
              <w:rPr>
                <w:sz w:val="21"/>
                <w:szCs w:val="21"/>
              </w:rPr>
              <w:t>269</w:t>
            </w:r>
          </w:p>
        </w:tc>
      </w:tr>
      <w:tr w:rsidR="00E76DC8" w:rsidRPr="00225D4D" w14:paraId="3B0AA1F7" w14:textId="77777777">
        <w:trPr>
          <w:trHeight w:val="380"/>
        </w:trPr>
        <w:tc>
          <w:tcPr>
            <w:tcW w:w="2480" w:type="dxa"/>
            <w:tcBorders>
              <w:top w:val="nil"/>
              <w:left w:val="nil"/>
              <w:bottom w:val="nil"/>
              <w:right w:val="nil"/>
            </w:tcBorders>
            <w:tcMar>
              <w:top w:w="128" w:type="dxa"/>
              <w:left w:w="43" w:type="dxa"/>
              <w:bottom w:w="43" w:type="dxa"/>
              <w:right w:w="43" w:type="dxa"/>
            </w:tcMar>
          </w:tcPr>
          <w:p w14:paraId="199B20E8" w14:textId="77777777" w:rsidR="00D60186" w:rsidRPr="002C641A" w:rsidRDefault="00D60186" w:rsidP="00225D4D">
            <w:pPr>
              <w:rPr>
                <w:sz w:val="21"/>
                <w:szCs w:val="21"/>
              </w:rPr>
            </w:pPr>
            <w:r w:rsidRPr="002C641A">
              <w:rPr>
                <w:sz w:val="21"/>
                <w:szCs w:val="21"/>
              </w:rPr>
              <w:t>20–39</w:t>
            </w:r>
          </w:p>
        </w:tc>
        <w:tc>
          <w:tcPr>
            <w:tcW w:w="1400" w:type="dxa"/>
            <w:tcBorders>
              <w:top w:val="nil"/>
              <w:left w:val="nil"/>
              <w:bottom w:val="nil"/>
              <w:right w:val="nil"/>
            </w:tcBorders>
            <w:tcMar>
              <w:top w:w="128" w:type="dxa"/>
              <w:left w:w="43" w:type="dxa"/>
              <w:bottom w:w="43" w:type="dxa"/>
              <w:right w:w="43" w:type="dxa"/>
            </w:tcMar>
            <w:vAlign w:val="bottom"/>
          </w:tcPr>
          <w:p w14:paraId="6F4A356D" w14:textId="77777777" w:rsidR="00D60186" w:rsidRPr="002C641A" w:rsidRDefault="00D60186" w:rsidP="002C641A">
            <w:pPr>
              <w:jc w:val="right"/>
              <w:rPr>
                <w:sz w:val="21"/>
                <w:szCs w:val="21"/>
              </w:rPr>
            </w:pPr>
            <w:r w:rsidRPr="002C641A">
              <w:rPr>
                <w:sz w:val="21"/>
                <w:szCs w:val="21"/>
              </w:rPr>
              <w:t>77</w:t>
            </w:r>
          </w:p>
        </w:tc>
        <w:tc>
          <w:tcPr>
            <w:tcW w:w="1400" w:type="dxa"/>
            <w:tcBorders>
              <w:top w:val="nil"/>
              <w:left w:val="nil"/>
              <w:bottom w:val="nil"/>
              <w:right w:val="nil"/>
            </w:tcBorders>
            <w:tcMar>
              <w:top w:w="128" w:type="dxa"/>
              <w:left w:w="43" w:type="dxa"/>
              <w:bottom w:w="43" w:type="dxa"/>
              <w:right w:w="43" w:type="dxa"/>
            </w:tcMar>
            <w:vAlign w:val="bottom"/>
          </w:tcPr>
          <w:p w14:paraId="0CF08BF0" w14:textId="77777777" w:rsidR="00D60186" w:rsidRPr="002C641A" w:rsidRDefault="00D60186" w:rsidP="002C641A">
            <w:pPr>
              <w:jc w:val="right"/>
              <w:rPr>
                <w:sz w:val="21"/>
                <w:szCs w:val="21"/>
              </w:rPr>
            </w:pPr>
            <w:r w:rsidRPr="002C641A">
              <w:rPr>
                <w:sz w:val="21"/>
                <w:szCs w:val="21"/>
              </w:rPr>
              <w:t>69</w:t>
            </w:r>
          </w:p>
        </w:tc>
        <w:tc>
          <w:tcPr>
            <w:tcW w:w="1400" w:type="dxa"/>
            <w:tcBorders>
              <w:top w:val="nil"/>
              <w:left w:val="nil"/>
              <w:bottom w:val="nil"/>
              <w:right w:val="nil"/>
            </w:tcBorders>
            <w:tcMar>
              <w:top w:w="128" w:type="dxa"/>
              <w:left w:w="43" w:type="dxa"/>
              <w:bottom w:w="43" w:type="dxa"/>
              <w:right w:w="43" w:type="dxa"/>
            </w:tcMar>
            <w:vAlign w:val="bottom"/>
          </w:tcPr>
          <w:p w14:paraId="03353B0D" w14:textId="77777777" w:rsidR="00D60186" w:rsidRPr="002C641A" w:rsidRDefault="00D60186" w:rsidP="002C641A">
            <w:pPr>
              <w:jc w:val="right"/>
              <w:rPr>
                <w:sz w:val="21"/>
                <w:szCs w:val="21"/>
              </w:rPr>
            </w:pPr>
            <w:r w:rsidRPr="002C641A">
              <w:rPr>
                <w:sz w:val="21"/>
                <w:szCs w:val="21"/>
              </w:rPr>
              <w:t>46</w:t>
            </w:r>
          </w:p>
        </w:tc>
        <w:tc>
          <w:tcPr>
            <w:tcW w:w="1400" w:type="dxa"/>
            <w:tcBorders>
              <w:top w:val="nil"/>
              <w:left w:val="nil"/>
              <w:bottom w:val="nil"/>
              <w:right w:val="nil"/>
            </w:tcBorders>
            <w:tcMar>
              <w:top w:w="128" w:type="dxa"/>
              <w:left w:w="43" w:type="dxa"/>
              <w:bottom w:w="43" w:type="dxa"/>
              <w:right w:w="43" w:type="dxa"/>
            </w:tcMar>
            <w:vAlign w:val="bottom"/>
          </w:tcPr>
          <w:p w14:paraId="2C27126D" w14:textId="77777777" w:rsidR="00D60186" w:rsidRPr="002C641A" w:rsidRDefault="00D60186" w:rsidP="002C641A">
            <w:pPr>
              <w:jc w:val="right"/>
              <w:rPr>
                <w:sz w:val="21"/>
                <w:szCs w:val="21"/>
              </w:rPr>
            </w:pPr>
            <w:r w:rsidRPr="002C641A">
              <w:rPr>
                <w:sz w:val="21"/>
                <w:szCs w:val="21"/>
              </w:rPr>
              <w:t>21</w:t>
            </w:r>
          </w:p>
        </w:tc>
        <w:tc>
          <w:tcPr>
            <w:tcW w:w="1400" w:type="dxa"/>
            <w:tcBorders>
              <w:top w:val="nil"/>
              <w:left w:val="nil"/>
              <w:bottom w:val="nil"/>
              <w:right w:val="nil"/>
            </w:tcBorders>
            <w:tcMar>
              <w:top w:w="128" w:type="dxa"/>
              <w:left w:w="43" w:type="dxa"/>
              <w:bottom w:w="43" w:type="dxa"/>
              <w:right w:w="43" w:type="dxa"/>
            </w:tcMar>
            <w:vAlign w:val="bottom"/>
          </w:tcPr>
          <w:p w14:paraId="71FABBFC" w14:textId="77777777" w:rsidR="00D60186" w:rsidRPr="002C641A" w:rsidRDefault="00D60186" w:rsidP="002C641A">
            <w:pPr>
              <w:jc w:val="right"/>
              <w:rPr>
                <w:sz w:val="21"/>
                <w:szCs w:val="21"/>
              </w:rPr>
            </w:pPr>
            <w:r w:rsidRPr="002C641A">
              <w:rPr>
                <w:sz w:val="21"/>
                <w:szCs w:val="21"/>
              </w:rPr>
              <w:t>335</w:t>
            </w:r>
          </w:p>
        </w:tc>
      </w:tr>
      <w:tr w:rsidR="00E76DC8" w:rsidRPr="00225D4D" w14:paraId="6C578888" w14:textId="77777777">
        <w:trPr>
          <w:trHeight w:val="380"/>
        </w:trPr>
        <w:tc>
          <w:tcPr>
            <w:tcW w:w="2480" w:type="dxa"/>
            <w:tcBorders>
              <w:top w:val="nil"/>
              <w:left w:val="nil"/>
              <w:bottom w:val="single" w:sz="4" w:space="0" w:color="000000"/>
              <w:right w:val="nil"/>
            </w:tcBorders>
            <w:tcMar>
              <w:top w:w="128" w:type="dxa"/>
              <w:left w:w="43" w:type="dxa"/>
              <w:bottom w:w="43" w:type="dxa"/>
              <w:right w:w="43" w:type="dxa"/>
            </w:tcMar>
          </w:tcPr>
          <w:p w14:paraId="21F45E78" w14:textId="77777777" w:rsidR="00D60186" w:rsidRPr="002C641A" w:rsidRDefault="00D60186" w:rsidP="00225D4D">
            <w:pPr>
              <w:rPr>
                <w:sz w:val="21"/>
                <w:szCs w:val="21"/>
              </w:rPr>
            </w:pPr>
            <w:r w:rsidRPr="002C641A">
              <w:rPr>
                <w:sz w:val="21"/>
                <w:szCs w:val="21"/>
              </w:rPr>
              <w:t>0–19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6D8DDFD" w14:textId="77777777" w:rsidR="00D60186" w:rsidRPr="002C641A" w:rsidRDefault="00D60186" w:rsidP="002C641A">
            <w:pPr>
              <w:jc w:val="right"/>
              <w:rPr>
                <w:sz w:val="21"/>
                <w:szCs w:val="21"/>
              </w:rPr>
            </w:pPr>
            <w:r w:rsidRPr="002C641A">
              <w:rPr>
                <w:sz w:val="21"/>
                <w:szCs w:val="21"/>
              </w:rPr>
              <w:t>88</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8C8F5D2" w14:textId="77777777" w:rsidR="00D60186" w:rsidRPr="002C641A" w:rsidRDefault="00D60186" w:rsidP="002C641A">
            <w:pPr>
              <w:jc w:val="right"/>
              <w:rPr>
                <w:sz w:val="21"/>
                <w:szCs w:val="21"/>
              </w:rPr>
            </w:pPr>
            <w:r w:rsidRPr="002C641A">
              <w:rPr>
                <w:sz w:val="21"/>
                <w:szCs w:val="21"/>
              </w:rPr>
              <w:t>82</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08B5B00" w14:textId="77777777" w:rsidR="00D60186" w:rsidRPr="002C641A" w:rsidRDefault="00D60186" w:rsidP="002C641A">
            <w:pPr>
              <w:jc w:val="right"/>
              <w:rPr>
                <w:sz w:val="21"/>
                <w:szCs w:val="21"/>
              </w:rPr>
            </w:pPr>
            <w:r w:rsidRPr="002C641A">
              <w:rPr>
                <w:sz w:val="21"/>
                <w:szCs w:val="21"/>
              </w:rPr>
              <w:t>63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D2EBD15" w14:textId="77777777" w:rsidR="00D60186" w:rsidRPr="002C641A" w:rsidRDefault="00D60186" w:rsidP="002C641A">
            <w:pPr>
              <w:jc w:val="right"/>
              <w:rPr>
                <w:sz w:val="21"/>
                <w:szCs w:val="21"/>
              </w:rPr>
            </w:pPr>
            <w:r w:rsidRPr="002C641A">
              <w:rPr>
                <w:sz w:val="21"/>
                <w:szCs w:val="21"/>
              </w:rPr>
              <w:t>34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5189D4E" w14:textId="77777777" w:rsidR="00D60186" w:rsidRPr="002C641A" w:rsidRDefault="00D60186" w:rsidP="002C641A">
            <w:pPr>
              <w:jc w:val="right"/>
              <w:rPr>
                <w:sz w:val="21"/>
                <w:szCs w:val="21"/>
              </w:rPr>
            </w:pPr>
            <w:r w:rsidRPr="002C641A">
              <w:rPr>
                <w:sz w:val="21"/>
                <w:szCs w:val="21"/>
              </w:rPr>
              <w:t>1101</w:t>
            </w:r>
          </w:p>
        </w:tc>
      </w:tr>
    </w:tbl>
    <w:p w14:paraId="12C397BC" w14:textId="77777777" w:rsidR="00D60186" w:rsidRPr="00225D4D" w:rsidRDefault="00D60186" w:rsidP="00225D4D">
      <w:pPr>
        <w:pStyle w:val="tabell-noter"/>
        <w:rPr>
          <w:rStyle w:val="skrift-hevet"/>
        </w:rPr>
      </w:pPr>
      <w:r w:rsidRPr="00225D4D">
        <w:rPr>
          <w:rStyle w:val="skrift-hevet"/>
        </w:rPr>
        <w:t>1</w:t>
      </w:r>
      <w:r w:rsidRPr="00225D4D">
        <w:tab/>
      </w:r>
      <w:proofErr w:type="spellStart"/>
      <w:r w:rsidRPr="00225D4D">
        <w:t>Skyssdekning</w:t>
      </w:r>
      <w:proofErr w:type="spellEnd"/>
      <w:r w:rsidRPr="00225D4D">
        <w:t xml:space="preserve"> er berekna ut </w:t>
      </w:r>
      <w:proofErr w:type="spellStart"/>
      <w:r w:rsidRPr="00225D4D">
        <w:t>frå</w:t>
      </w:r>
      <w:proofErr w:type="spellEnd"/>
      <w:r w:rsidRPr="00225D4D">
        <w:t xml:space="preserve"> prosentdel </w:t>
      </w:r>
      <w:proofErr w:type="spellStart"/>
      <w:r w:rsidRPr="00225D4D">
        <w:t>elevar</w:t>
      </w:r>
      <w:proofErr w:type="spellEnd"/>
      <w:r w:rsidRPr="00225D4D">
        <w:t xml:space="preserve"> på 1. trinn som får skyss. </w:t>
      </w:r>
      <w:proofErr w:type="spellStart"/>
      <w:r w:rsidRPr="00225D4D">
        <w:t>Skular</w:t>
      </w:r>
      <w:proofErr w:type="spellEnd"/>
      <w:r w:rsidRPr="00225D4D">
        <w:t xml:space="preserve"> som </w:t>
      </w:r>
      <w:proofErr w:type="spellStart"/>
      <w:r w:rsidRPr="00225D4D">
        <w:t>ikkje</w:t>
      </w:r>
      <w:proofErr w:type="spellEnd"/>
      <w:r w:rsidRPr="00225D4D">
        <w:t xml:space="preserve"> har </w:t>
      </w:r>
      <w:proofErr w:type="spellStart"/>
      <w:r w:rsidRPr="00225D4D">
        <w:t>elevar</w:t>
      </w:r>
      <w:proofErr w:type="spellEnd"/>
      <w:r w:rsidRPr="00225D4D">
        <w:t xml:space="preserve"> på 1. trinn, er derfor </w:t>
      </w:r>
      <w:proofErr w:type="spellStart"/>
      <w:r w:rsidRPr="00225D4D">
        <w:t>ikkje</w:t>
      </w:r>
      <w:proofErr w:type="spellEnd"/>
      <w:r w:rsidRPr="00225D4D">
        <w:t xml:space="preserve"> med i </w:t>
      </w:r>
      <w:proofErr w:type="spellStart"/>
      <w:r w:rsidRPr="00225D4D">
        <w:t>utvalet</w:t>
      </w:r>
      <w:proofErr w:type="spellEnd"/>
      <w:r w:rsidRPr="00225D4D">
        <w:t>.</w:t>
      </w:r>
    </w:p>
    <w:p w14:paraId="74A0C6C2" w14:textId="77777777" w:rsidR="00D60186" w:rsidRPr="00225D4D" w:rsidRDefault="00D60186" w:rsidP="008D6210">
      <w:pPr>
        <w:pStyle w:val="Kilde"/>
      </w:pPr>
      <w:r w:rsidRPr="00225D4D">
        <w:t>Kjelde: GSI</w:t>
      </w:r>
    </w:p>
    <w:p w14:paraId="56F5FAE9" w14:textId="77777777" w:rsidR="00D60186" w:rsidRPr="00225D4D" w:rsidRDefault="00D60186" w:rsidP="00225D4D">
      <w:proofErr w:type="spellStart"/>
      <w:r w:rsidRPr="00225D4D">
        <w:t>Analysane</w:t>
      </w:r>
      <w:proofErr w:type="spellEnd"/>
      <w:r w:rsidRPr="00225D4D">
        <w:t xml:space="preserve"> tyder på at </w:t>
      </w:r>
      <w:proofErr w:type="spellStart"/>
      <w:r w:rsidRPr="00225D4D">
        <w:t>manglande</w:t>
      </w:r>
      <w:proofErr w:type="spellEnd"/>
      <w:r w:rsidRPr="00225D4D">
        <w:t xml:space="preserve"> rett til skyss heim </w:t>
      </w:r>
      <w:proofErr w:type="spellStart"/>
      <w:r w:rsidRPr="00225D4D">
        <w:t>frå</w:t>
      </w:r>
      <w:proofErr w:type="spellEnd"/>
      <w:r w:rsidRPr="00225D4D">
        <w:t xml:space="preserve"> SFO kan føre til at færre </w:t>
      </w:r>
      <w:proofErr w:type="spellStart"/>
      <w:r w:rsidRPr="00225D4D">
        <w:t>elevar</w:t>
      </w:r>
      <w:proofErr w:type="spellEnd"/>
      <w:r w:rsidRPr="00225D4D">
        <w:t xml:space="preserve"> </w:t>
      </w:r>
      <w:proofErr w:type="spellStart"/>
      <w:r w:rsidRPr="00225D4D">
        <w:t>nyttar</w:t>
      </w:r>
      <w:proofErr w:type="spellEnd"/>
      <w:r w:rsidRPr="00225D4D">
        <w:t xml:space="preserve"> </w:t>
      </w:r>
      <w:proofErr w:type="spellStart"/>
      <w:r w:rsidRPr="00225D4D">
        <w:t>skulefritidsordninga</w:t>
      </w:r>
      <w:proofErr w:type="spellEnd"/>
      <w:r w:rsidRPr="00225D4D">
        <w:t xml:space="preserve">. </w:t>
      </w:r>
      <w:proofErr w:type="spellStart"/>
      <w:r w:rsidRPr="00225D4D">
        <w:t>Sjølv</w:t>
      </w:r>
      <w:proofErr w:type="spellEnd"/>
      <w:r w:rsidRPr="00225D4D">
        <w:t xml:space="preserve"> om </w:t>
      </w:r>
      <w:proofErr w:type="spellStart"/>
      <w:r w:rsidRPr="00225D4D">
        <w:t>mykje</w:t>
      </w:r>
      <w:proofErr w:type="spellEnd"/>
      <w:r w:rsidRPr="00225D4D">
        <w:t xml:space="preserve"> tyder på at </w:t>
      </w:r>
      <w:proofErr w:type="spellStart"/>
      <w:r w:rsidRPr="00225D4D">
        <w:t>manglande</w:t>
      </w:r>
      <w:proofErr w:type="spellEnd"/>
      <w:r w:rsidRPr="00225D4D">
        <w:t xml:space="preserve"> rett til skyss er ei viktig forklaring på </w:t>
      </w:r>
      <w:proofErr w:type="spellStart"/>
      <w:r w:rsidRPr="00225D4D">
        <w:t>lågare</w:t>
      </w:r>
      <w:proofErr w:type="spellEnd"/>
      <w:r w:rsidRPr="00225D4D">
        <w:t xml:space="preserve"> deltaking på </w:t>
      </w:r>
      <w:proofErr w:type="spellStart"/>
      <w:r w:rsidRPr="00225D4D">
        <w:t>skular</w:t>
      </w:r>
      <w:proofErr w:type="spellEnd"/>
      <w:r w:rsidRPr="00225D4D">
        <w:t xml:space="preserve"> med </w:t>
      </w:r>
      <w:proofErr w:type="spellStart"/>
      <w:r w:rsidRPr="00225D4D">
        <w:t>høg</w:t>
      </w:r>
      <w:proofErr w:type="spellEnd"/>
      <w:r w:rsidRPr="00225D4D">
        <w:t xml:space="preserve"> </w:t>
      </w:r>
      <w:proofErr w:type="spellStart"/>
      <w:r w:rsidRPr="00225D4D">
        <w:t>skyssdekning</w:t>
      </w:r>
      <w:proofErr w:type="spellEnd"/>
      <w:r w:rsidRPr="00225D4D">
        <w:t xml:space="preserve">, kan vi </w:t>
      </w:r>
      <w:proofErr w:type="spellStart"/>
      <w:r w:rsidRPr="00225D4D">
        <w:t>ikkje</w:t>
      </w:r>
      <w:proofErr w:type="spellEnd"/>
      <w:r w:rsidRPr="00225D4D">
        <w:t xml:space="preserve"> utelukke andre årsaker. Til dømes kan lang </w:t>
      </w:r>
      <w:proofErr w:type="spellStart"/>
      <w:r w:rsidRPr="00225D4D">
        <w:t>skuleveg</w:t>
      </w:r>
      <w:proofErr w:type="spellEnd"/>
      <w:r w:rsidRPr="00225D4D">
        <w:t xml:space="preserve"> ete av tida </w:t>
      </w:r>
      <w:proofErr w:type="spellStart"/>
      <w:r w:rsidRPr="00225D4D">
        <w:t>elevane</w:t>
      </w:r>
      <w:proofErr w:type="spellEnd"/>
      <w:r w:rsidRPr="00225D4D">
        <w:t xml:space="preserve"> ville ha </w:t>
      </w:r>
      <w:proofErr w:type="spellStart"/>
      <w:r w:rsidRPr="00225D4D">
        <w:t>vore</w:t>
      </w:r>
      <w:proofErr w:type="spellEnd"/>
      <w:r w:rsidRPr="00225D4D">
        <w:t xml:space="preserve"> på SFO, eller </w:t>
      </w:r>
      <w:proofErr w:type="spellStart"/>
      <w:r w:rsidRPr="00225D4D">
        <w:t>elevane</w:t>
      </w:r>
      <w:proofErr w:type="spellEnd"/>
      <w:r w:rsidRPr="00225D4D">
        <w:t xml:space="preserve"> ville ha fått for lange </w:t>
      </w:r>
      <w:proofErr w:type="spellStart"/>
      <w:r w:rsidRPr="00225D4D">
        <w:t>dagar</w:t>
      </w:r>
      <w:proofErr w:type="spellEnd"/>
      <w:r w:rsidRPr="00225D4D">
        <w:t xml:space="preserve"> om </w:t>
      </w:r>
      <w:proofErr w:type="spellStart"/>
      <w:r w:rsidRPr="00225D4D">
        <w:t>dei</w:t>
      </w:r>
      <w:proofErr w:type="spellEnd"/>
      <w:r w:rsidRPr="00225D4D">
        <w:t xml:space="preserve"> skulle ha </w:t>
      </w:r>
      <w:proofErr w:type="spellStart"/>
      <w:r w:rsidRPr="00225D4D">
        <w:t>delteke</w:t>
      </w:r>
      <w:proofErr w:type="spellEnd"/>
      <w:r w:rsidRPr="00225D4D">
        <w:t xml:space="preserve"> på SFO i tillegg til </w:t>
      </w:r>
      <w:proofErr w:type="spellStart"/>
      <w:r w:rsidRPr="00225D4D">
        <w:t>reisevegen</w:t>
      </w:r>
      <w:proofErr w:type="spellEnd"/>
      <w:r w:rsidRPr="00225D4D">
        <w:t>.</w:t>
      </w:r>
    </w:p>
    <w:p w14:paraId="35A78EFE" w14:textId="77777777" w:rsidR="00D60186" w:rsidRPr="00225D4D" w:rsidRDefault="00D60186" w:rsidP="00225D4D">
      <w:r w:rsidRPr="00225D4D">
        <w:t xml:space="preserve">I </w:t>
      </w:r>
      <w:r w:rsidRPr="00225D4D">
        <w:rPr>
          <w:rStyle w:val="kursiv"/>
        </w:rPr>
        <w:t>Spørsmål til Skole-Norge</w:t>
      </w:r>
      <w:r w:rsidRPr="00225D4D">
        <w:t xml:space="preserve"> våren 2025 blei </w:t>
      </w:r>
      <w:proofErr w:type="spellStart"/>
      <w:r w:rsidRPr="00225D4D">
        <w:t>skuleeigarar</w:t>
      </w:r>
      <w:proofErr w:type="spellEnd"/>
      <w:r w:rsidRPr="00225D4D">
        <w:t xml:space="preserve"> og </w:t>
      </w:r>
      <w:proofErr w:type="spellStart"/>
      <w:r w:rsidRPr="00225D4D">
        <w:t>skuleleiarar</w:t>
      </w:r>
      <w:proofErr w:type="spellEnd"/>
      <w:r w:rsidRPr="00225D4D">
        <w:t xml:space="preserve"> i </w:t>
      </w:r>
      <w:proofErr w:type="spellStart"/>
      <w:r w:rsidRPr="00225D4D">
        <w:t>grunnskulen</w:t>
      </w:r>
      <w:proofErr w:type="spellEnd"/>
      <w:r w:rsidRPr="00225D4D">
        <w:t xml:space="preserve"> </w:t>
      </w:r>
      <w:proofErr w:type="spellStart"/>
      <w:r w:rsidRPr="00225D4D">
        <w:t>spurde</w:t>
      </w:r>
      <w:proofErr w:type="spellEnd"/>
      <w:r w:rsidRPr="00225D4D">
        <w:t xml:space="preserve"> om det er </w:t>
      </w:r>
      <w:proofErr w:type="spellStart"/>
      <w:r w:rsidRPr="00225D4D">
        <w:t>tilbod</w:t>
      </w:r>
      <w:proofErr w:type="spellEnd"/>
      <w:r w:rsidRPr="00225D4D">
        <w:t xml:space="preserve"> om skyss til og </w:t>
      </w:r>
      <w:proofErr w:type="spellStart"/>
      <w:r w:rsidRPr="00225D4D">
        <w:t>frå</w:t>
      </w:r>
      <w:proofErr w:type="spellEnd"/>
      <w:r w:rsidRPr="00225D4D">
        <w:t xml:space="preserve"> SFO for barn som har vedtak om skyss til og </w:t>
      </w:r>
      <w:proofErr w:type="spellStart"/>
      <w:r w:rsidRPr="00225D4D">
        <w:t>frå</w:t>
      </w:r>
      <w:proofErr w:type="spellEnd"/>
      <w:r w:rsidRPr="00225D4D">
        <w:t xml:space="preserve"> </w:t>
      </w:r>
      <w:proofErr w:type="spellStart"/>
      <w:r w:rsidRPr="00225D4D">
        <w:t>skulen</w:t>
      </w:r>
      <w:proofErr w:type="spellEnd"/>
      <w:r w:rsidRPr="00225D4D">
        <w:t xml:space="preserve">. 20 pst. av </w:t>
      </w:r>
      <w:proofErr w:type="spellStart"/>
      <w:r w:rsidRPr="00225D4D">
        <w:t>skuleeigarane</w:t>
      </w:r>
      <w:proofErr w:type="spellEnd"/>
      <w:r w:rsidRPr="00225D4D">
        <w:t xml:space="preserve"> og 21 pst. av </w:t>
      </w:r>
      <w:proofErr w:type="spellStart"/>
      <w:r w:rsidRPr="00225D4D">
        <w:t>skuleleiarane</w:t>
      </w:r>
      <w:proofErr w:type="spellEnd"/>
      <w:r w:rsidRPr="00225D4D">
        <w:t xml:space="preserve"> svarte at alle barn som har vedtak om skyss til og </w:t>
      </w:r>
      <w:proofErr w:type="spellStart"/>
      <w:r w:rsidRPr="00225D4D">
        <w:t>frå</w:t>
      </w:r>
      <w:proofErr w:type="spellEnd"/>
      <w:r w:rsidRPr="00225D4D">
        <w:t xml:space="preserve"> </w:t>
      </w:r>
      <w:proofErr w:type="spellStart"/>
      <w:r w:rsidRPr="00225D4D">
        <w:t>skulen</w:t>
      </w:r>
      <w:proofErr w:type="spellEnd"/>
      <w:r w:rsidRPr="00225D4D">
        <w:t xml:space="preserve">, også får </w:t>
      </w:r>
      <w:proofErr w:type="spellStart"/>
      <w:r w:rsidRPr="00225D4D">
        <w:t>tilbod</w:t>
      </w:r>
      <w:proofErr w:type="spellEnd"/>
      <w:r w:rsidRPr="00225D4D">
        <w:t xml:space="preserve"> om skyss til og </w:t>
      </w:r>
      <w:proofErr w:type="spellStart"/>
      <w:r w:rsidRPr="00225D4D">
        <w:t>frå</w:t>
      </w:r>
      <w:proofErr w:type="spellEnd"/>
      <w:r w:rsidRPr="00225D4D">
        <w:t xml:space="preserve"> SFO. Det er </w:t>
      </w:r>
      <w:proofErr w:type="spellStart"/>
      <w:r w:rsidRPr="00225D4D">
        <w:t>vanlegare</w:t>
      </w:r>
      <w:proofErr w:type="spellEnd"/>
      <w:r w:rsidRPr="00225D4D">
        <w:t xml:space="preserve"> med </w:t>
      </w:r>
      <w:proofErr w:type="spellStart"/>
      <w:r w:rsidRPr="00225D4D">
        <w:t>tilbod</w:t>
      </w:r>
      <w:proofErr w:type="spellEnd"/>
      <w:r w:rsidRPr="00225D4D">
        <w:t xml:space="preserve"> om skyss til og </w:t>
      </w:r>
      <w:proofErr w:type="spellStart"/>
      <w:r w:rsidRPr="00225D4D">
        <w:t>frå</w:t>
      </w:r>
      <w:proofErr w:type="spellEnd"/>
      <w:r w:rsidRPr="00225D4D">
        <w:t xml:space="preserve"> SFO på større </w:t>
      </w:r>
      <w:proofErr w:type="spellStart"/>
      <w:r w:rsidRPr="00225D4D">
        <w:t>skular</w:t>
      </w:r>
      <w:proofErr w:type="spellEnd"/>
      <w:r w:rsidRPr="00225D4D">
        <w:t xml:space="preserve"> (33 pst.) og på </w:t>
      </w:r>
      <w:proofErr w:type="spellStart"/>
      <w:r w:rsidRPr="00225D4D">
        <w:t>skular</w:t>
      </w:r>
      <w:proofErr w:type="spellEnd"/>
      <w:r w:rsidRPr="00225D4D">
        <w:t xml:space="preserve"> i </w:t>
      </w:r>
      <w:proofErr w:type="spellStart"/>
      <w:r w:rsidRPr="00225D4D">
        <w:t>meir</w:t>
      </w:r>
      <w:proofErr w:type="spellEnd"/>
      <w:r w:rsidRPr="00225D4D">
        <w:t xml:space="preserve"> sentrale område (36 pst.).</w:t>
      </w:r>
    </w:p>
    <w:p w14:paraId="782571A6" w14:textId="77777777" w:rsidR="00D60186" w:rsidRPr="00225D4D" w:rsidRDefault="00D60186" w:rsidP="00225D4D">
      <w:pPr>
        <w:pStyle w:val="avsnitt-under-undertittel"/>
      </w:pPr>
      <w:r w:rsidRPr="00225D4D">
        <w:t>SFO-</w:t>
      </w:r>
      <w:proofErr w:type="spellStart"/>
      <w:r w:rsidRPr="00225D4D">
        <w:t>tilbod</w:t>
      </w:r>
      <w:proofErr w:type="spellEnd"/>
      <w:r w:rsidRPr="00225D4D">
        <w:t xml:space="preserve"> i </w:t>
      </w:r>
      <w:proofErr w:type="spellStart"/>
      <w:r w:rsidRPr="00225D4D">
        <w:t>skuleferiane</w:t>
      </w:r>
      <w:proofErr w:type="spellEnd"/>
    </w:p>
    <w:p w14:paraId="4F85E32B" w14:textId="77777777" w:rsidR="00D60186" w:rsidRPr="00225D4D" w:rsidRDefault="00D60186" w:rsidP="00225D4D">
      <w:proofErr w:type="spellStart"/>
      <w:r w:rsidRPr="00225D4D">
        <w:t>Kommunane</w:t>
      </w:r>
      <w:proofErr w:type="spellEnd"/>
      <w:r w:rsidRPr="00225D4D">
        <w:t xml:space="preserve"> rapporterer </w:t>
      </w:r>
      <w:proofErr w:type="spellStart"/>
      <w:r w:rsidRPr="00225D4D">
        <w:t>ikkje</w:t>
      </w:r>
      <w:proofErr w:type="spellEnd"/>
      <w:r w:rsidRPr="00225D4D">
        <w:t xml:space="preserve"> i GSI om </w:t>
      </w:r>
      <w:proofErr w:type="spellStart"/>
      <w:r w:rsidRPr="00225D4D">
        <w:t>dei</w:t>
      </w:r>
      <w:proofErr w:type="spellEnd"/>
      <w:r w:rsidRPr="00225D4D">
        <w:t xml:space="preserve"> har SFO-</w:t>
      </w:r>
      <w:proofErr w:type="spellStart"/>
      <w:r w:rsidRPr="00225D4D">
        <w:t>tilbod</w:t>
      </w:r>
      <w:proofErr w:type="spellEnd"/>
      <w:r w:rsidRPr="00225D4D">
        <w:t xml:space="preserve"> i </w:t>
      </w:r>
      <w:proofErr w:type="spellStart"/>
      <w:r w:rsidRPr="00225D4D">
        <w:t>feriane</w:t>
      </w:r>
      <w:proofErr w:type="spellEnd"/>
      <w:r w:rsidRPr="00225D4D">
        <w:t xml:space="preserve">. Utdanningsdirektoratet har derfor gjort </w:t>
      </w:r>
      <w:proofErr w:type="spellStart"/>
      <w:r w:rsidRPr="00225D4D">
        <w:t>ein</w:t>
      </w:r>
      <w:proofErr w:type="spellEnd"/>
      <w:r w:rsidRPr="00225D4D">
        <w:t xml:space="preserve"> manuell gjennomgang av </w:t>
      </w:r>
      <w:proofErr w:type="spellStart"/>
      <w:r w:rsidRPr="00225D4D">
        <w:t>nettstadane</w:t>
      </w:r>
      <w:proofErr w:type="spellEnd"/>
      <w:r w:rsidRPr="00225D4D">
        <w:t xml:space="preserve"> til </w:t>
      </w:r>
      <w:proofErr w:type="spellStart"/>
      <w:r w:rsidRPr="00225D4D">
        <w:t>kommunane</w:t>
      </w:r>
      <w:proofErr w:type="spellEnd"/>
      <w:r w:rsidRPr="00225D4D">
        <w:t xml:space="preserve"> </w:t>
      </w:r>
      <w:proofErr w:type="spellStart"/>
      <w:r w:rsidRPr="00225D4D">
        <w:t>hausten</w:t>
      </w:r>
      <w:proofErr w:type="spellEnd"/>
      <w:r w:rsidRPr="00225D4D">
        <w:t xml:space="preserve"> 2024. Denne viste at 84 pst. av </w:t>
      </w:r>
      <w:proofErr w:type="spellStart"/>
      <w:r w:rsidRPr="00225D4D">
        <w:t>kommunane</w:t>
      </w:r>
      <w:proofErr w:type="spellEnd"/>
      <w:r w:rsidRPr="00225D4D">
        <w:t xml:space="preserve"> i </w:t>
      </w:r>
      <w:proofErr w:type="spellStart"/>
      <w:r w:rsidRPr="00225D4D">
        <w:t>hovudsak</w:t>
      </w:r>
      <w:proofErr w:type="spellEnd"/>
      <w:r w:rsidRPr="00225D4D">
        <w:t xml:space="preserve"> held </w:t>
      </w:r>
      <w:proofErr w:type="spellStart"/>
      <w:r w:rsidRPr="00225D4D">
        <w:t>skulefritidsordninga</w:t>
      </w:r>
      <w:proofErr w:type="spellEnd"/>
      <w:r w:rsidRPr="00225D4D">
        <w:t xml:space="preserve"> </w:t>
      </w:r>
      <w:proofErr w:type="spellStart"/>
      <w:r w:rsidRPr="00225D4D">
        <w:t>open</w:t>
      </w:r>
      <w:proofErr w:type="spellEnd"/>
      <w:r w:rsidRPr="00225D4D">
        <w:t xml:space="preserve"> i </w:t>
      </w:r>
      <w:proofErr w:type="spellStart"/>
      <w:r w:rsidRPr="00225D4D">
        <w:t>feriar</w:t>
      </w:r>
      <w:proofErr w:type="spellEnd"/>
      <w:r w:rsidRPr="00225D4D">
        <w:t xml:space="preserve">, med unntak av </w:t>
      </w:r>
      <w:proofErr w:type="spellStart"/>
      <w:r w:rsidRPr="00225D4D">
        <w:t>nokre</w:t>
      </w:r>
      <w:proofErr w:type="spellEnd"/>
      <w:r w:rsidRPr="00225D4D">
        <w:t xml:space="preserve"> veker om </w:t>
      </w:r>
      <w:proofErr w:type="spellStart"/>
      <w:r w:rsidRPr="00225D4D">
        <w:t>sommaren</w:t>
      </w:r>
      <w:proofErr w:type="spellEnd"/>
      <w:r w:rsidRPr="00225D4D">
        <w:t xml:space="preserve">, </w:t>
      </w:r>
      <w:proofErr w:type="spellStart"/>
      <w:r w:rsidRPr="00225D4D">
        <w:t>planleggingsdagar</w:t>
      </w:r>
      <w:proofErr w:type="spellEnd"/>
      <w:r w:rsidRPr="00225D4D">
        <w:t xml:space="preserve"> og jul/nyttår. </w:t>
      </w:r>
      <w:proofErr w:type="spellStart"/>
      <w:r w:rsidRPr="00225D4D">
        <w:t>Kommunane</w:t>
      </w:r>
      <w:proofErr w:type="spellEnd"/>
      <w:r w:rsidRPr="00225D4D">
        <w:t xml:space="preserve"> som i liten grad har </w:t>
      </w:r>
      <w:proofErr w:type="spellStart"/>
      <w:r w:rsidRPr="00225D4D">
        <w:t>open</w:t>
      </w:r>
      <w:proofErr w:type="spellEnd"/>
      <w:r w:rsidRPr="00225D4D">
        <w:t xml:space="preserve"> SFO i </w:t>
      </w:r>
      <w:proofErr w:type="spellStart"/>
      <w:r w:rsidRPr="00225D4D">
        <w:t>feriar</w:t>
      </w:r>
      <w:proofErr w:type="spellEnd"/>
      <w:r w:rsidRPr="00225D4D">
        <w:t xml:space="preserve">, er </w:t>
      </w:r>
      <w:proofErr w:type="spellStart"/>
      <w:r w:rsidRPr="00225D4D">
        <w:t>hovudsakleg</w:t>
      </w:r>
      <w:proofErr w:type="spellEnd"/>
      <w:r w:rsidRPr="00225D4D">
        <w:t xml:space="preserve"> </w:t>
      </w:r>
      <w:proofErr w:type="spellStart"/>
      <w:r w:rsidRPr="00225D4D">
        <w:t>kommunar</w:t>
      </w:r>
      <w:proofErr w:type="spellEnd"/>
      <w:r w:rsidRPr="00225D4D">
        <w:t xml:space="preserve"> med lågt </w:t>
      </w:r>
      <w:proofErr w:type="spellStart"/>
      <w:r w:rsidRPr="00225D4D">
        <w:t>folketal</w:t>
      </w:r>
      <w:proofErr w:type="spellEnd"/>
      <w:r w:rsidRPr="00225D4D">
        <w:t xml:space="preserve">. Det er </w:t>
      </w:r>
      <w:proofErr w:type="spellStart"/>
      <w:r w:rsidRPr="00225D4D">
        <w:t>vanskeleg</w:t>
      </w:r>
      <w:proofErr w:type="spellEnd"/>
      <w:r w:rsidRPr="00225D4D">
        <w:t xml:space="preserve"> å </w:t>
      </w:r>
      <w:proofErr w:type="spellStart"/>
      <w:r w:rsidRPr="00225D4D">
        <w:t>kome</w:t>
      </w:r>
      <w:proofErr w:type="spellEnd"/>
      <w:r w:rsidRPr="00225D4D">
        <w:t xml:space="preserve"> med </w:t>
      </w:r>
      <w:proofErr w:type="spellStart"/>
      <w:r w:rsidRPr="00225D4D">
        <w:t>meir</w:t>
      </w:r>
      <w:proofErr w:type="spellEnd"/>
      <w:r w:rsidRPr="00225D4D">
        <w:t xml:space="preserve"> presise tal, ettersom det varierer kor detaljert informasjon </w:t>
      </w:r>
      <w:proofErr w:type="spellStart"/>
      <w:r w:rsidRPr="00225D4D">
        <w:t>kommunane</w:t>
      </w:r>
      <w:proofErr w:type="spellEnd"/>
      <w:r w:rsidRPr="00225D4D">
        <w:t xml:space="preserve"> har om SFO-</w:t>
      </w:r>
      <w:proofErr w:type="spellStart"/>
      <w:r w:rsidRPr="00225D4D">
        <w:t>tilbodet</w:t>
      </w:r>
      <w:proofErr w:type="spellEnd"/>
      <w:r w:rsidRPr="00225D4D">
        <w:t xml:space="preserve"> på </w:t>
      </w:r>
      <w:proofErr w:type="spellStart"/>
      <w:r w:rsidRPr="00225D4D">
        <w:t>nettstadane</w:t>
      </w:r>
      <w:proofErr w:type="spellEnd"/>
      <w:r w:rsidRPr="00225D4D">
        <w:t xml:space="preserve"> sine.</w:t>
      </w:r>
    </w:p>
    <w:p w14:paraId="5E68B7D2" w14:textId="77777777" w:rsidR="00D60186" w:rsidRPr="00225D4D" w:rsidRDefault="00D60186" w:rsidP="00225D4D">
      <w:r w:rsidRPr="00225D4D">
        <w:t xml:space="preserve">Også undersøkinga </w:t>
      </w:r>
      <w:r w:rsidRPr="00225D4D">
        <w:rPr>
          <w:rStyle w:val="kursiv"/>
        </w:rPr>
        <w:t xml:space="preserve">Spørsmål til Skole-Norge </w:t>
      </w:r>
      <w:r w:rsidRPr="00225D4D">
        <w:t xml:space="preserve">våren 2025 viste at 84 pst. av </w:t>
      </w:r>
      <w:proofErr w:type="spellStart"/>
      <w:r w:rsidRPr="00225D4D">
        <w:t>kommunane</w:t>
      </w:r>
      <w:proofErr w:type="spellEnd"/>
      <w:r w:rsidRPr="00225D4D">
        <w:t xml:space="preserve"> hadde </w:t>
      </w:r>
      <w:proofErr w:type="spellStart"/>
      <w:r w:rsidRPr="00225D4D">
        <w:t>tilbod</w:t>
      </w:r>
      <w:proofErr w:type="spellEnd"/>
      <w:r w:rsidRPr="00225D4D">
        <w:t xml:space="preserve"> om SFO i </w:t>
      </w:r>
      <w:proofErr w:type="spellStart"/>
      <w:r w:rsidRPr="00225D4D">
        <w:t>feriar</w:t>
      </w:r>
      <w:proofErr w:type="spellEnd"/>
      <w:r w:rsidRPr="00225D4D">
        <w:t xml:space="preserve">, </w:t>
      </w:r>
      <w:proofErr w:type="spellStart"/>
      <w:r w:rsidRPr="00225D4D">
        <w:t>utanom</w:t>
      </w:r>
      <w:proofErr w:type="spellEnd"/>
      <w:r w:rsidRPr="00225D4D">
        <w:t xml:space="preserve"> juli og </w:t>
      </w:r>
      <w:proofErr w:type="spellStart"/>
      <w:r w:rsidRPr="00225D4D">
        <w:t>heilagdagar</w:t>
      </w:r>
      <w:proofErr w:type="spellEnd"/>
      <w:r w:rsidRPr="00225D4D">
        <w:t xml:space="preserve">. 91 pst. av </w:t>
      </w:r>
      <w:proofErr w:type="spellStart"/>
      <w:r w:rsidRPr="00225D4D">
        <w:t>desse</w:t>
      </w:r>
      <w:proofErr w:type="spellEnd"/>
      <w:r w:rsidRPr="00225D4D">
        <w:t xml:space="preserve"> </w:t>
      </w:r>
      <w:proofErr w:type="spellStart"/>
      <w:r w:rsidRPr="00225D4D">
        <w:t>seier</w:t>
      </w:r>
      <w:proofErr w:type="spellEnd"/>
      <w:r w:rsidRPr="00225D4D">
        <w:t xml:space="preserve"> at </w:t>
      </w:r>
      <w:proofErr w:type="spellStart"/>
      <w:r w:rsidRPr="00225D4D">
        <w:t>dei</w:t>
      </w:r>
      <w:proofErr w:type="spellEnd"/>
      <w:r w:rsidRPr="00225D4D">
        <w:t xml:space="preserve"> </w:t>
      </w:r>
      <w:proofErr w:type="spellStart"/>
      <w:r w:rsidRPr="00225D4D">
        <w:t>ikkje</w:t>
      </w:r>
      <w:proofErr w:type="spellEnd"/>
      <w:r w:rsidRPr="00225D4D">
        <w:t xml:space="preserve"> har endra </w:t>
      </w:r>
      <w:proofErr w:type="spellStart"/>
      <w:r w:rsidRPr="00225D4D">
        <w:t>tilbodet</w:t>
      </w:r>
      <w:proofErr w:type="spellEnd"/>
      <w:r w:rsidRPr="00225D4D">
        <w:t xml:space="preserve"> etter at 12 </w:t>
      </w:r>
      <w:proofErr w:type="spellStart"/>
      <w:r w:rsidRPr="00225D4D">
        <w:t>timar</w:t>
      </w:r>
      <w:proofErr w:type="spellEnd"/>
      <w:r w:rsidRPr="00225D4D">
        <w:t xml:space="preserve"> gratis SFO i </w:t>
      </w:r>
      <w:proofErr w:type="spellStart"/>
      <w:r w:rsidRPr="00225D4D">
        <w:t>veka</w:t>
      </w:r>
      <w:proofErr w:type="spellEnd"/>
      <w:r w:rsidRPr="00225D4D">
        <w:t xml:space="preserve"> blei innført. 3 pst. seier at </w:t>
      </w:r>
      <w:proofErr w:type="spellStart"/>
      <w:r w:rsidRPr="00225D4D">
        <w:t>dei</w:t>
      </w:r>
      <w:proofErr w:type="spellEnd"/>
      <w:r w:rsidRPr="00225D4D">
        <w:t xml:space="preserve"> har </w:t>
      </w:r>
      <w:proofErr w:type="spellStart"/>
      <w:r w:rsidRPr="00225D4D">
        <w:t>auka</w:t>
      </w:r>
      <w:proofErr w:type="spellEnd"/>
      <w:r w:rsidRPr="00225D4D">
        <w:t xml:space="preserve"> </w:t>
      </w:r>
      <w:proofErr w:type="spellStart"/>
      <w:r w:rsidRPr="00225D4D">
        <w:t>tilbodet</w:t>
      </w:r>
      <w:proofErr w:type="spellEnd"/>
      <w:r w:rsidRPr="00225D4D">
        <w:t xml:space="preserve"> i </w:t>
      </w:r>
      <w:proofErr w:type="spellStart"/>
      <w:r w:rsidRPr="00225D4D">
        <w:t>feriane</w:t>
      </w:r>
      <w:proofErr w:type="spellEnd"/>
      <w:r w:rsidRPr="00225D4D">
        <w:t xml:space="preserve">, </w:t>
      </w:r>
      <w:proofErr w:type="spellStart"/>
      <w:r w:rsidRPr="00225D4D">
        <w:t>medan</w:t>
      </w:r>
      <w:proofErr w:type="spellEnd"/>
      <w:r w:rsidRPr="00225D4D">
        <w:t xml:space="preserve"> 6 pst. seier at </w:t>
      </w:r>
      <w:proofErr w:type="spellStart"/>
      <w:r w:rsidRPr="00225D4D">
        <w:t>dei</w:t>
      </w:r>
      <w:proofErr w:type="spellEnd"/>
      <w:r w:rsidRPr="00225D4D">
        <w:t xml:space="preserve"> har redusert </w:t>
      </w:r>
      <w:proofErr w:type="spellStart"/>
      <w:r w:rsidRPr="00225D4D">
        <w:t>tilbodet</w:t>
      </w:r>
      <w:proofErr w:type="spellEnd"/>
      <w:r w:rsidRPr="00225D4D">
        <w:t xml:space="preserve"> i </w:t>
      </w:r>
      <w:proofErr w:type="spellStart"/>
      <w:r w:rsidRPr="00225D4D">
        <w:t>feriane</w:t>
      </w:r>
      <w:proofErr w:type="spellEnd"/>
      <w:r w:rsidRPr="00225D4D">
        <w:t>.</w:t>
      </w:r>
    </w:p>
    <w:p w14:paraId="7260CCE7" w14:textId="77777777" w:rsidR="00D60186" w:rsidRPr="00225D4D" w:rsidRDefault="00D60186" w:rsidP="00225D4D">
      <w:pPr>
        <w:pStyle w:val="avsnitt-under-undertittel"/>
      </w:pPr>
      <w:r w:rsidRPr="00225D4D">
        <w:t xml:space="preserve">Barn i SFO med behov for </w:t>
      </w:r>
      <w:proofErr w:type="spellStart"/>
      <w:r w:rsidRPr="00225D4D">
        <w:t>særskild</w:t>
      </w:r>
      <w:proofErr w:type="spellEnd"/>
      <w:r w:rsidRPr="00225D4D">
        <w:t xml:space="preserve"> tilrettelegging</w:t>
      </w:r>
    </w:p>
    <w:p w14:paraId="06A19D0D" w14:textId="77777777" w:rsidR="00D60186" w:rsidRPr="00225D4D" w:rsidRDefault="00D60186" w:rsidP="00225D4D">
      <w:r w:rsidRPr="00225D4D">
        <w:t xml:space="preserve">Departementet har </w:t>
      </w:r>
      <w:proofErr w:type="spellStart"/>
      <w:r w:rsidRPr="00225D4D">
        <w:t>ikkje</w:t>
      </w:r>
      <w:proofErr w:type="spellEnd"/>
      <w:r w:rsidRPr="00225D4D">
        <w:t xml:space="preserve"> </w:t>
      </w:r>
      <w:proofErr w:type="spellStart"/>
      <w:r w:rsidRPr="00225D4D">
        <w:t>tilstrekkeleg</w:t>
      </w:r>
      <w:proofErr w:type="spellEnd"/>
      <w:r w:rsidRPr="00225D4D">
        <w:t xml:space="preserve"> kunnskap om barn med behov for </w:t>
      </w:r>
      <w:proofErr w:type="spellStart"/>
      <w:r w:rsidRPr="00225D4D">
        <w:t>særskild</w:t>
      </w:r>
      <w:proofErr w:type="spellEnd"/>
      <w:r w:rsidRPr="00225D4D">
        <w:t xml:space="preserve"> tilrettelegging i SFO. Rapporten </w:t>
      </w:r>
      <w:r w:rsidRPr="00225D4D">
        <w:rPr>
          <w:rStyle w:val="kursiv"/>
        </w:rPr>
        <w:t xml:space="preserve">Lek, læring og ikke-pedagogikk for alle. Nasjonal evaluering av skolefritidsordningen i Norge </w:t>
      </w:r>
      <w:proofErr w:type="spellStart"/>
      <w:r w:rsidRPr="00225D4D">
        <w:t>frå</w:t>
      </w:r>
      <w:proofErr w:type="spellEnd"/>
      <w:r w:rsidRPr="00225D4D">
        <w:t xml:space="preserve"> NTNU Samfunnsforsking i 2018 </w:t>
      </w:r>
      <w:proofErr w:type="spellStart"/>
      <w:r w:rsidRPr="00225D4D">
        <w:t>peikte</w:t>
      </w:r>
      <w:proofErr w:type="spellEnd"/>
      <w:r w:rsidRPr="00225D4D">
        <w:t xml:space="preserve"> på at foreldre til barn med behov for </w:t>
      </w:r>
      <w:proofErr w:type="spellStart"/>
      <w:r w:rsidRPr="00225D4D">
        <w:t>særskild</w:t>
      </w:r>
      <w:proofErr w:type="spellEnd"/>
      <w:r w:rsidRPr="00225D4D">
        <w:t xml:space="preserve"> tilrettelegging vurderte SFO </w:t>
      </w:r>
      <w:proofErr w:type="spellStart"/>
      <w:r w:rsidRPr="00225D4D">
        <w:t>meir</w:t>
      </w:r>
      <w:proofErr w:type="spellEnd"/>
      <w:r w:rsidRPr="00225D4D">
        <w:t xml:space="preserve"> negativt enn andre foreldre. </w:t>
      </w:r>
      <w:proofErr w:type="spellStart"/>
      <w:r w:rsidRPr="00225D4D">
        <w:t>Særleg</w:t>
      </w:r>
      <w:proofErr w:type="spellEnd"/>
      <w:r w:rsidRPr="00225D4D">
        <w:t xml:space="preserve"> gjaldt dette spørsmål som handla om bemanning, kompetanse, </w:t>
      </w:r>
      <w:proofErr w:type="spellStart"/>
      <w:r w:rsidRPr="00225D4D">
        <w:t>aktivitetstilbod</w:t>
      </w:r>
      <w:proofErr w:type="spellEnd"/>
      <w:r w:rsidRPr="00225D4D">
        <w:t xml:space="preserve"> og leksehjelp. Evalueringa </w:t>
      </w:r>
      <w:proofErr w:type="spellStart"/>
      <w:r w:rsidRPr="00225D4D">
        <w:t>peika</w:t>
      </w:r>
      <w:proofErr w:type="spellEnd"/>
      <w:r w:rsidRPr="00225D4D">
        <w:t xml:space="preserve"> på at mange tilsette opplevde ressursmangel som ei stor utfordring i arbeidet med å inkludere barn med behov for </w:t>
      </w:r>
      <w:proofErr w:type="spellStart"/>
      <w:r w:rsidRPr="00225D4D">
        <w:t>særskild</w:t>
      </w:r>
      <w:proofErr w:type="spellEnd"/>
      <w:r w:rsidRPr="00225D4D">
        <w:t xml:space="preserve"> tilrettelegging. I NTNU Samfunnsforsknings </w:t>
      </w:r>
      <w:r w:rsidRPr="00225D4D">
        <w:rPr>
          <w:rStyle w:val="kursiv"/>
        </w:rPr>
        <w:t>Innføring av rammeplan i SFO – Sluttrapport fra evalueringen av de første årene med rammeplan</w:t>
      </w:r>
      <w:r w:rsidRPr="00225D4D">
        <w:t xml:space="preserve"> </w:t>
      </w:r>
      <w:proofErr w:type="spellStart"/>
      <w:r w:rsidRPr="00225D4D">
        <w:t>frå</w:t>
      </w:r>
      <w:proofErr w:type="spellEnd"/>
      <w:r w:rsidRPr="00225D4D">
        <w:t xml:space="preserve"> 2024 kjem det fram at </w:t>
      </w:r>
      <w:proofErr w:type="spellStart"/>
      <w:r w:rsidRPr="00225D4D">
        <w:t>dei</w:t>
      </w:r>
      <w:proofErr w:type="spellEnd"/>
      <w:r w:rsidRPr="00225D4D">
        <w:t xml:space="preserve"> tilsette har om lag lik vurdering av om barn med behov for </w:t>
      </w:r>
      <w:proofErr w:type="spellStart"/>
      <w:r w:rsidRPr="00225D4D">
        <w:t>særskild</w:t>
      </w:r>
      <w:proofErr w:type="spellEnd"/>
      <w:r w:rsidRPr="00225D4D">
        <w:t xml:space="preserve"> tilrettelegging i SFO </w:t>
      </w:r>
      <w:proofErr w:type="spellStart"/>
      <w:r w:rsidRPr="00225D4D">
        <w:t>deltek</w:t>
      </w:r>
      <w:proofErr w:type="spellEnd"/>
      <w:r w:rsidRPr="00225D4D">
        <w:t xml:space="preserve"> i </w:t>
      </w:r>
      <w:proofErr w:type="spellStart"/>
      <w:r w:rsidRPr="00225D4D">
        <w:t>aktivitetar</w:t>
      </w:r>
      <w:proofErr w:type="spellEnd"/>
      <w:r w:rsidRPr="00225D4D">
        <w:t xml:space="preserve"> på lik linje med andre barn </w:t>
      </w:r>
      <w:proofErr w:type="spellStart"/>
      <w:r w:rsidRPr="00225D4D">
        <w:t>frå</w:t>
      </w:r>
      <w:proofErr w:type="spellEnd"/>
      <w:r w:rsidRPr="00225D4D">
        <w:t xml:space="preserve"> 2018 (93 pst.) til 2022 (94 pst.). På den andre sida har det </w:t>
      </w:r>
      <w:proofErr w:type="spellStart"/>
      <w:r w:rsidRPr="00225D4D">
        <w:t>vore</w:t>
      </w:r>
      <w:proofErr w:type="spellEnd"/>
      <w:r w:rsidRPr="00225D4D">
        <w:t xml:space="preserve"> </w:t>
      </w:r>
      <w:proofErr w:type="spellStart"/>
      <w:r w:rsidRPr="00225D4D">
        <w:t>ein</w:t>
      </w:r>
      <w:proofErr w:type="spellEnd"/>
      <w:r w:rsidRPr="00225D4D">
        <w:t xml:space="preserve"> nedgang i vurderinga av dette </w:t>
      </w:r>
      <w:proofErr w:type="spellStart"/>
      <w:r w:rsidRPr="00225D4D">
        <w:t>samanlikna</w:t>
      </w:r>
      <w:proofErr w:type="spellEnd"/>
      <w:r w:rsidRPr="00225D4D">
        <w:t xml:space="preserve"> med 2023 (88 pst.) når </w:t>
      </w:r>
      <w:proofErr w:type="spellStart"/>
      <w:r w:rsidRPr="00225D4D">
        <w:t>ein</w:t>
      </w:r>
      <w:proofErr w:type="spellEnd"/>
      <w:r w:rsidRPr="00225D4D">
        <w:t xml:space="preserve"> ser på svaralternativa «Ja, absolutt» og «Ja, til dels» samla. Det har også </w:t>
      </w:r>
      <w:proofErr w:type="spellStart"/>
      <w:r w:rsidRPr="00225D4D">
        <w:t>vore</w:t>
      </w:r>
      <w:proofErr w:type="spellEnd"/>
      <w:r w:rsidRPr="00225D4D">
        <w:t xml:space="preserve"> ei negativ utvikling mellom </w:t>
      </w:r>
      <w:proofErr w:type="spellStart"/>
      <w:r w:rsidRPr="00225D4D">
        <w:t>dei</w:t>
      </w:r>
      <w:proofErr w:type="spellEnd"/>
      <w:r w:rsidRPr="00225D4D">
        <w:t xml:space="preserve"> to </w:t>
      </w:r>
      <w:proofErr w:type="spellStart"/>
      <w:r w:rsidRPr="00225D4D">
        <w:t>svarkategoriane</w:t>
      </w:r>
      <w:proofErr w:type="spellEnd"/>
      <w:r w:rsidRPr="00225D4D">
        <w:t xml:space="preserve"> </w:t>
      </w:r>
      <w:proofErr w:type="spellStart"/>
      <w:r w:rsidRPr="00225D4D">
        <w:t>frå</w:t>
      </w:r>
      <w:proofErr w:type="spellEnd"/>
      <w:r w:rsidRPr="00225D4D">
        <w:t xml:space="preserve"> 2018 til 2023. Innføringa av, og arbeidet med, rammeplanen kan ha ført til </w:t>
      </w:r>
      <w:proofErr w:type="spellStart"/>
      <w:r w:rsidRPr="00225D4D">
        <w:t>auka</w:t>
      </w:r>
      <w:proofErr w:type="spellEnd"/>
      <w:r w:rsidRPr="00225D4D">
        <w:t xml:space="preserve"> </w:t>
      </w:r>
      <w:proofErr w:type="spellStart"/>
      <w:r w:rsidRPr="00225D4D">
        <w:t>medvit</w:t>
      </w:r>
      <w:proofErr w:type="spellEnd"/>
      <w:r w:rsidRPr="00225D4D">
        <w:t xml:space="preserve"> blant </w:t>
      </w:r>
      <w:proofErr w:type="spellStart"/>
      <w:r w:rsidRPr="00225D4D">
        <w:t>dei</w:t>
      </w:r>
      <w:proofErr w:type="spellEnd"/>
      <w:r w:rsidRPr="00225D4D">
        <w:t xml:space="preserve"> tilsette om barn med behov for </w:t>
      </w:r>
      <w:proofErr w:type="spellStart"/>
      <w:r w:rsidRPr="00225D4D">
        <w:t>særskild</w:t>
      </w:r>
      <w:proofErr w:type="spellEnd"/>
      <w:r w:rsidRPr="00225D4D">
        <w:t xml:space="preserve"> tilrettelegging, og dette kan forklare </w:t>
      </w:r>
      <w:proofErr w:type="spellStart"/>
      <w:r w:rsidRPr="00225D4D">
        <w:t>noko</w:t>
      </w:r>
      <w:proofErr w:type="spellEnd"/>
      <w:r w:rsidRPr="00225D4D">
        <w:t xml:space="preserve"> av denne nedgangen. Det er heller </w:t>
      </w:r>
      <w:proofErr w:type="spellStart"/>
      <w:r w:rsidRPr="00225D4D">
        <w:t>ikkje</w:t>
      </w:r>
      <w:proofErr w:type="spellEnd"/>
      <w:r w:rsidRPr="00225D4D">
        <w:t xml:space="preserve"> </w:t>
      </w:r>
      <w:proofErr w:type="spellStart"/>
      <w:r w:rsidRPr="00225D4D">
        <w:t>usannsynleg</w:t>
      </w:r>
      <w:proofErr w:type="spellEnd"/>
      <w:r w:rsidRPr="00225D4D">
        <w:t xml:space="preserve"> at </w:t>
      </w:r>
      <w:proofErr w:type="spellStart"/>
      <w:r w:rsidRPr="00225D4D">
        <w:t>auken</w:t>
      </w:r>
      <w:proofErr w:type="spellEnd"/>
      <w:r w:rsidRPr="00225D4D">
        <w:t xml:space="preserve"> i </w:t>
      </w:r>
      <w:proofErr w:type="spellStart"/>
      <w:r w:rsidRPr="00225D4D">
        <w:t>talet</w:t>
      </w:r>
      <w:proofErr w:type="spellEnd"/>
      <w:r w:rsidRPr="00225D4D">
        <w:t xml:space="preserve"> på barn i SFO som kom med innføringa av 12 </w:t>
      </w:r>
      <w:proofErr w:type="spellStart"/>
      <w:r w:rsidRPr="00225D4D">
        <w:t>timar</w:t>
      </w:r>
      <w:proofErr w:type="spellEnd"/>
      <w:r w:rsidRPr="00225D4D">
        <w:t xml:space="preserve"> gratis SFO, og den reduserte bemanningstettleiken, har gjort </w:t>
      </w:r>
      <w:proofErr w:type="spellStart"/>
      <w:r w:rsidRPr="00225D4D">
        <w:t>tilbodet</w:t>
      </w:r>
      <w:proofErr w:type="spellEnd"/>
      <w:r w:rsidRPr="00225D4D">
        <w:t xml:space="preserve"> for barn med behov for </w:t>
      </w:r>
      <w:proofErr w:type="spellStart"/>
      <w:r w:rsidRPr="00225D4D">
        <w:t>særskild</w:t>
      </w:r>
      <w:proofErr w:type="spellEnd"/>
      <w:r w:rsidRPr="00225D4D">
        <w:t xml:space="preserve"> tilrettelegging </w:t>
      </w:r>
      <w:proofErr w:type="spellStart"/>
      <w:r w:rsidRPr="00225D4D">
        <w:t>dårlegare</w:t>
      </w:r>
      <w:proofErr w:type="spellEnd"/>
      <w:r w:rsidRPr="00225D4D">
        <w:t>.</w:t>
      </w:r>
    </w:p>
    <w:p w14:paraId="0112BB31" w14:textId="77777777" w:rsidR="00D60186" w:rsidRPr="00225D4D" w:rsidRDefault="00D60186" w:rsidP="00225D4D">
      <w:r w:rsidRPr="00225D4D">
        <w:t xml:space="preserve">I </w:t>
      </w:r>
      <w:r w:rsidRPr="00225D4D">
        <w:rPr>
          <w:rStyle w:val="kursiv"/>
        </w:rPr>
        <w:t>Spørsmål til Skole-Norge</w:t>
      </w:r>
      <w:r w:rsidRPr="00225D4D">
        <w:t xml:space="preserve"> våren 2025 </w:t>
      </w:r>
      <w:proofErr w:type="spellStart"/>
      <w:r w:rsidRPr="00225D4D">
        <w:t>fekk</w:t>
      </w:r>
      <w:proofErr w:type="spellEnd"/>
      <w:r w:rsidRPr="00225D4D">
        <w:t xml:space="preserve"> </w:t>
      </w:r>
      <w:proofErr w:type="spellStart"/>
      <w:r w:rsidRPr="00225D4D">
        <w:t>skuleleiarar</w:t>
      </w:r>
      <w:proofErr w:type="spellEnd"/>
      <w:r w:rsidRPr="00225D4D">
        <w:t xml:space="preserve"> i </w:t>
      </w:r>
      <w:proofErr w:type="spellStart"/>
      <w:r w:rsidRPr="00225D4D">
        <w:t>grunnskulen</w:t>
      </w:r>
      <w:proofErr w:type="spellEnd"/>
      <w:r w:rsidRPr="00225D4D">
        <w:t xml:space="preserve"> spørsmål om korleis </w:t>
      </w:r>
      <w:proofErr w:type="spellStart"/>
      <w:r w:rsidRPr="00225D4D">
        <w:t>skulen</w:t>
      </w:r>
      <w:proofErr w:type="spellEnd"/>
      <w:r w:rsidRPr="00225D4D">
        <w:t xml:space="preserve"> legg til rette for barn med behov for </w:t>
      </w:r>
      <w:proofErr w:type="spellStart"/>
      <w:r w:rsidRPr="00225D4D">
        <w:t>særskild</w:t>
      </w:r>
      <w:proofErr w:type="spellEnd"/>
      <w:r w:rsidRPr="00225D4D">
        <w:t xml:space="preserve"> tilrettelegging i SFO. </w:t>
      </w:r>
      <w:proofErr w:type="spellStart"/>
      <w:r w:rsidRPr="00225D4D">
        <w:t>Fleire</w:t>
      </w:r>
      <w:proofErr w:type="spellEnd"/>
      <w:r w:rsidRPr="00225D4D">
        <w:t xml:space="preserve"> svar var </w:t>
      </w:r>
      <w:proofErr w:type="spellStart"/>
      <w:r w:rsidRPr="00225D4D">
        <w:t>moglege</w:t>
      </w:r>
      <w:proofErr w:type="spellEnd"/>
      <w:r w:rsidRPr="00225D4D">
        <w:t xml:space="preserve">. Undersøkinga viser at over halvparten av </w:t>
      </w:r>
      <w:proofErr w:type="spellStart"/>
      <w:r w:rsidRPr="00225D4D">
        <w:t>skuleleiarane</w:t>
      </w:r>
      <w:proofErr w:type="spellEnd"/>
      <w:r w:rsidRPr="00225D4D">
        <w:t xml:space="preserve"> som svarte på undersøkinga, </w:t>
      </w:r>
      <w:proofErr w:type="spellStart"/>
      <w:r w:rsidRPr="00225D4D">
        <w:t>seier</w:t>
      </w:r>
      <w:proofErr w:type="spellEnd"/>
      <w:r w:rsidRPr="00225D4D">
        <w:t xml:space="preserve"> at </w:t>
      </w:r>
      <w:proofErr w:type="spellStart"/>
      <w:r w:rsidRPr="00225D4D">
        <w:t>assistentar</w:t>
      </w:r>
      <w:proofErr w:type="spellEnd"/>
      <w:r w:rsidRPr="00225D4D">
        <w:t xml:space="preserve"> </w:t>
      </w:r>
      <w:proofErr w:type="spellStart"/>
      <w:r w:rsidRPr="00225D4D">
        <w:t>vanlegvis</w:t>
      </w:r>
      <w:proofErr w:type="spellEnd"/>
      <w:r w:rsidRPr="00225D4D">
        <w:t xml:space="preserve"> følger med </w:t>
      </w:r>
      <w:proofErr w:type="spellStart"/>
      <w:r w:rsidRPr="00225D4D">
        <w:t>vidare</w:t>
      </w:r>
      <w:proofErr w:type="spellEnd"/>
      <w:r w:rsidRPr="00225D4D">
        <w:t xml:space="preserve"> </w:t>
      </w:r>
      <w:proofErr w:type="spellStart"/>
      <w:r w:rsidRPr="00225D4D">
        <w:t>frå</w:t>
      </w:r>
      <w:proofErr w:type="spellEnd"/>
      <w:r w:rsidRPr="00225D4D">
        <w:t xml:space="preserve"> </w:t>
      </w:r>
      <w:proofErr w:type="spellStart"/>
      <w:r w:rsidRPr="00225D4D">
        <w:t>skulen</w:t>
      </w:r>
      <w:proofErr w:type="spellEnd"/>
      <w:r w:rsidRPr="00225D4D">
        <w:t xml:space="preserve"> til SFO (55 pst.), og at det er </w:t>
      </w:r>
      <w:proofErr w:type="spellStart"/>
      <w:r w:rsidRPr="00225D4D">
        <w:t>ein</w:t>
      </w:r>
      <w:proofErr w:type="spellEnd"/>
      <w:r w:rsidRPr="00225D4D">
        <w:t xml:space="preserve"> eller </w:t>
      </w:r>
      <w:proofErr w:type="spellStart"/>
      <w:r w:rsidRPr="00225D4D">
        <w:t>fleire</w:t>
      </w:r>
      <w:proofErr w:type="spellEnd"/>
      <w:r w:rsidRPr="00225D4D">
        <w:t xml:space="preserve"> tilsette som har </w:t>
      </w:r>
      <w:proofErr w:type="spellStart"/>
      <w:r w:rsidRPr="00225D4D">
        <w:t>eit</w:t>
      </w:r>
      <w:proofErr w:type="spellEnd"/>
      <w:r w:rsidRPr="00225D4D">
        <w:t xml:space="preserve"> særskilt ansvar for å følge opp barn med behov for </w:t>
      </w:r>
      <w:proofErr w:type="spellStart"/>
      <w:r w:rsidRPr="00225D4D">
        <w:t>særskild</w:t>
      </w:r>
      <w:proofErr w:type="spellEnd"/>
      <w:r w:rsidRPr="00225D4D">
        <w:t xml:space="preserve"> tilrettelegging (54 pst.). Det er også 47 pst. som </w:t>
      </w:r>
      <w:proofErr w:type="spellStart"/>
      <w:r w:rsidRPr="00225D4D">
        <w:t>seier</w:t>
      </w:r>
      <w:proofErr w:type="spellEnd"/>
      <w:r w:rsidRPr="00225D4D">
        <w:t xml:space="preserve"> at </w:t>
      </w:r>
      <w:proofErr w:type="spellStart"/>
      <w:r w:rsidRPr="00225D4D">
        <w:t>dei</w:t>
      </w:r>
      <w:proofErr w:type="spellEnd"/>
      <w:r w:rsidRPr="00225D4D">
        <w:t xml:space="preserve"> har </w:t>
      </w:r>
      <w:proofErr w:type="spellStart"/>
      <w:r w:rsidRPr="00225D4D">
        <w:t>auka</w:t>
      </w:r>
      <w:proofErr w:type="spellEnd"/>
      <w:r w:rsidRPr="00225D4D">
        <w:t xml:space="preserve"> grunnbemanninga for å ivareta tilretteleggingsbehov for enkelte barn. Det er </w:t>
      </w:r>
      <w:proofErr w:type="spellStart"/>
      <w:r w:rsidRPr="00225D4D">
        <w:t>berre</w:t>
      </w:r>
      <w:proofErr w:type="spellEnd"/>
      <w:r w:rsidRPr="00225D4D">
        <w:t xml:space="preserve"> </w:t>
      </w:r>
      <w:proofErr w:type="spellStart"/>
      <w:r w:rsidRPr="00225D4D">
        <w:t>eit</w:t>
      </w:r>
      <w:proofErr w:type="spellEnd"/>
      <w:r w:rsidRPr="00225D4D">
        <w:t xml:space="preserve"> </w:t>
      </w:r>
      <w:proofErr w:type="spellStart"/>
      <w:r w:rsidRPr="00225D4D">
        <w:t>fåtal</w:t>
      </w:r>
      <w:proofErr w:type="spellEnd"/>
      <w:r w:rsidRPr="00225D4D">
        <w:t xml:space="preserve"> (17 pst.) som </w:t>
      </w:r>
      <w:proofErr w:type="spellStart"/>
      <w:r w:rsidRPr="00225D4D">
        <w:t>seier</w:t>
      </w:r>
      <w:proofErr w:type="spellEnd"/>
      <w:r w:rsidRPr="00225D4D">
        <w:t xml:space="preserve"> at </w:t>
      </w:r>
      <w:proofErr w:type="spellStart"/>
      <w:r w:rsidRPr="00225D4D">
        <w:t>dei</w:t>
      </w:r>
      <w:proofErr w:type="spellEnd"/>
      <w:r w:rsidRPr="00225D4D">
        <w:t xml:space="preserve"> har same bemanning uavhengig av om </w:t>
      </w:r>
      <w:proofErr w:type="spellStart"/>
      <w:r w:rsidRPr="00225D4D">
        <w:t>dei</w:t>
      </w:r>
      <w:proofErr w:type="spellEnd"/>
      <w:r w:rsidRPr="00225D4D">
        <w:t xml:space="preserve"> har barn med behov for </w:t>
      </w:r>
      <w:proofErr w:type="spellStart"/>
      <w:r w:rsidRPr="00225D4D">
        <w:t>særskild</w:t>
      </w:r>
      <w:proofErr w:type="spellEnd"/>
      <w:r w:rsidRPr="00225D4D">
        <w:t xml:space="preserve"> tilrettelegging.</w:t>
      </w:r>
    </w:p>
    <w:p w14:paraId="46A3F482" w14:textId="77777777" w:rsidR="00D60186" w:rsidRPr="00225D4D" w:rsidRDefault="00D60186" w:rsidP="00225D4D">
      <w:proofErr w:type="spellStart"/>
      <w:r w:rsidRPr="00225D4D">
        <w:t>Skuleeigarane</w:t>
      </w:r>
      <w:proofErr w:type="spellEnd"/>
      <w:r w:rsidRPr="00225D4D">
        <w:t xml:space="preserve"> i kommunen </w:t>
      </w:r>
      <w:proofErr w:type="spellStart"/>
      <w:r w:rsidRPr="00225D4D">
        <w:t>fekk</w:t>
      </w:r>
      <w:proofErr w:type="spellEnd"/>
      <w:r w:rsidRPr="00225D4D">
        <w:t xml:space="preserve"> same spørsmål, men andre </w:t>
      </w:r>
      <w:proofErr w:type="spellStart"/>
      <w:r w:rsidRPr="00225D4D">
        <w:t>svarkategoriar</w:t>
      </w:r>
      <w:proofErr w:type="spellEnd"/>
      <w:r w:rsidRPr="00225D4D">
        <w:t xml:space="preserve">. Her var det </w:t>
      </w:r>
      <w:proofErr w:type="spellStart"/>
      <w:r w:rsidRPr="00225D4D">
        <w:t>eit</w:t>
      </w:r>
      <w:proofErr w:type="spellEnd"/>
      <w:r w:rsidRPr="00225D4D">
        <w:t xml:space="preserve"> </w:t>
      </w:r>
      <w:proofErr w:type="spellStart"/>
      <w:r w:rsidRPr="00225D4D">
        <w:t>fleirtal</w:t>
      </w:r>
      <w:proofErr w:type="spellEnd"/>
      <w:r w:rsidRPr="00225D4D">
        <w:t xml:space="preserve"> (65 pst.) som sa at </w:t>
      </w:r>
      <w:proofErr w:type="spellStart"/>
      <w:r w:rsidRPr="00225D4D">
        <w:t>dei</w:t>
      </w:r>
      <w:proofErr w:type="spellEnd"/>
      <w:r w:rsidRPr="00225D4D">
        <w:t xml:space="preserve"> vurderer om barn med vedtak om </w:t>
      </w:r>
      <w:proofErr w:type="spellStart"/>
      <w:r w:rsidRPr="00225D4D">
        <w:t>personleg</w:t>
      </w:r>
      <w:proofErr w:type="spellEnd"/>
      <w:r w:rsidRPr="00225D4D">
        <w:t xml:space="preserve"> assistanse etter </w:t>
      </w:r>
      <w:proofErr w:type="spellStart"/>
      <w:r w:rsidRPr="00225D4D">
        <w:t>opplæringslova</w:t>
      </w:r>
      <w:proofErr w:type="spellEnd"/>
      <w:r w:rsidRPr="00225D4D">
        <w:t xml:space="preserve"> § 11-4 også har behov for assistent i SFO. </w:t>
      </w:r>
      <w:proofErr w:type="spellStart"/>
      <w:r w:rsidRPr="00225D4D">
        <w:t>Ein</w:t>
      </w:r>
      <w:proofErr w:type="spellEnd"/>
      <w:r w:rsidRPr="00225D4D">
        <w:t xml:space="preserve"> mindre prosentdel av </w:t>
      </w:r>
      <w:proofErr w:type="spellStart"/>
      <w:r w:rsidRPr="00225D4D">
        <w:t>skuleeigarane</w:t>
      </w:r>
      <w:proofErr w:type="spellEnd"/>
      <w:r w:rsidRPr="00225D4D">
        <w:t xml:space="preserve"> </w:t>
      </w:r>
      <w:proofErr w:type="spellStart"/>
      <w:r w:rsidRPr="00225D4D">
        <w:t>seier</w:t>
      </w:r>
      <w:proofErr w:type="spellEnd"/>
      <w:r w:rsidRPr="00225D4D">
        <w:t xml:space="preserve"> at </w:t>
      </w:r>
      <w:proofErr w:type="spellStart"/>
      <w:r w:rsidRPr="00225D4D">
        <w:t>dei</w:t>
      </w:r>
      <w:proofErr w:type="spellEnd"/>
      <w:r w:rsidRPr="00225D4D">
        <w:t xml:space="preserve"> har </w:t>
      </w:r>
      <w:proofErr w:type="spellStart"/>
      <w:r w:rsidRPr="00225D4D">
        <w:t>nokre</w:t>
      </w:r>
      <w:proofErr w:type="spellEnd"/>
      <w:r w:rsidRPr="00225D4D">
        <w:t xml:space="preserve"> tilsette med </w:t>
      </w:r>
      <w:proofErr w:type="spellStart"/>
      <w:r w:rsidRPr="00225D4D">
        <w:t>særleg</w:t>
      </w:r>
      <w:proofErr w:type="spellEnd"/>
      <w:r w:rsidRPr="00225D4D">
        <w:t xml:space="preserve"> kompetanse som hjelper SFO-ar som har barn med behov for </w:t>
      </w:r>
      <w:proofErr w:type="spellStart"/>
      <w:r w:rsidRPr="00225D4D">
        <w:t>særskild</w:t>
      </w:r>
      <w:proofErr w:type="spellEnd"/>
      <w:r w:rsidRPr="00225D4D">
        <w:t xml:space="preserve"> tilrettelegging (35 pst.), at enkelte </w:t>
      </w:r>
      <w:proofErr w:type="spellStart"/>
      <w:r w:rsidRPr="00225D4D">
        <w:t>diagnosar</w:t>
      </w:r>
      <w:proofErr w:type="spellEnd"/>
      <w:r w:rsidRPr="00225D4D">
        <w:t>/</w:t>
      </w:r>
      <w:proofErr w:type="spellStart"/>
      <w:r w:rsidRPr="00225D4D">
        <w:t>funksjonsnedsetjingar</w:t>
      </w:r>
      <w:proofErr w:type="spellEnd"/>
      <w:r w:rsidRPr="00225D4D">
        <w:t xml:space="preserve"> utløyser </w:t>
      </w:r>
      <w:proofErr w:type="spellStart"/>
      <w:r w:rsidRPr="00225D4D">
        <w:t>midlar</w:t>
      </w:r>
      <w:proofErr w:type="spellEnd"/>
      <w:r w:rsidRPr="00225D4D">
        <w:t xml:space="preserve"> til </w:t>
      </w:r>
      <w:proofErr w:type="spellStart"/>
      <w:r w:rsidRPr="00225D4D">
        <w:t>auka</w:t>
      </w:r>
      <w:proofErr w:type="spellEnd"/>
      <w:r w:rsidRPr="00225D4D">
        <w:t xml:space="preserve"> bemanning i SFO (29 pst.), eller at SFO-ar med barn med behov for </w:t>
      </w:r>
      <w:proofErr w:type="spellStart"/>
      <w:r w:rsidRPr="00225D4D">
        <w:t>særskild</w:t>
      </w:r>
      <w:proofErr w:type="spellEnd"/>
      <w:r w:rsidRPr="00225D4D">
        <w:t xml:space="preserve"> tilrettelegging kan søke kommunen om </w:t>
      </w:r>
      <w:proofErr w:type="spellStart"/>
      <w:r w:rsidRPr="00225D4D">
        <w:t>auka</w:t>
      </w:r>
      <w:proofErr w:type="spellEnd"/>
      <w:r w:rsidRPr="00225D4D">
        <w:t xml:space="preserve"> grunnbemanning (21 pst.). </w:t>
      </w:r>
      <w:proofErr w:type="spellStart"/>
      <w:r w:rsidRPr="00225D4D">
        <w:t>Fleire</w:t>
      </w:r>
      <w:proofErr w:type="spellEnd"/>
      <w:r w:rsidRPr="00225D4D">
        <w:t xml:space="preserve"> svar var </w:t>
      </w:r>
      <w:proofErr w:type="spellStart"/>
      <w:r w:rsidRPr="00225D4D">
        <w:t>moglege</w:t>
      </w:r>
      <w:proofErr w:type="spellEnd"/>
      <w:r w:rsidRPr="00225D4D">
        <w:t>.</w:t>
      </w:r>
    </w:p>
    <w:p w14:paraId="1AE7F16D" w14:textId="77777777" w:rsidR="00D60186" w:rsidRPr="00225D4D" w:rsidRDefault="00D60186" w:rsidP="00225D4D">
      <w:r w:rsidRPr="00225D4D">
        <w:t xml:space="preserve">Kartlegginga av kompetansebehov i SFO som Utdanningsdirektoratet gjennomførte i 2023, viser at arbeid med barn med behov for </w:t>
      </w:r>
      <w:proofErr w:type="spellStart"/>
      <w:r w:rsidRPr="00225D4D">
        <w:t>særskild</w:t>
      </w:r>
      <w:proofErr w:type="spellEnd"/>
      <w:r w:rsidRPr="00225D4D">
        <w:t xml:space="preserve"> tilrettelegging er </w:t>
      </w:r>
      <w:proofErr w:type="spellStart"/>
      <w:r w:rsidRPr="00225D4D">
        <w:t>eit</w:t>
      </w:r>
      <w:proofErr w:type="spellEnd"/>
      <w:r w:rsidRPr="00225D4D">
        <w:t xml:space="preserve"> område der mange ønsker kompetanseheving. Direktoratet har utvikla støttemateriell om </w:t>
      </w:r>
      <w:proofErr w:type="spellStart"/>
      <w:r w:rsidRPr="00225D4D">
        <w:t>inkluderande</w:t>
      </w:r>
      <w:proofErr w:type="spellEnd"/>
      <w:r w:rsidRPr="00225D4D">
        <w:t xml:space="preserve"> fellesskap for barn med behov for </w:t>
      </w:r>
      <w:proofErr w:type="spellStart"/>
      <w:r w:rsidRPr="00225D4D">
        <w:t>særskild</w:t>
      </w:r>
      <w:proofErr w:type="spellEnd"/>
      <w:r w:rsidRPr="00225D4D">
        <w:t xml:space="preserve"> tilrettelegging i SFO. SFO er omfatta av Kompetanseløftet for spesialpedagogikk og </w:t>
      </w:r>
      <w:proofErr w:type="spellStart"/>
      <w:r w:rsidRPr="00225D4D">
        <w:t>inkluderande</w:t>
      </w:r>
      <w:proofErr w:type="spellEnd"/>
      <w:r w:rsidRPr="00225D4D">
        <w:t xml:space="preserve"> praksis, </w:t>
      </w:r>
      <w:proofErr w:type="spellStart"/>
      <w:r w:rsidRPr="00225D4D">
        <w:t>eit</w:t>
      </w:r>
      <w:proofErr w:type="spellEnd"/>
      <w:r w:rsidRPr="00225D4D">
        <w:t xml:space="preserve"> tiltak for </w:t>
      </w:r>
      <w:proofErr w:type="spellStart"/>
      <w:r w:rsidRPr="00225D4D">
        <w:t>leiarar</w:t>
      </w:r>
      <w:proofErr w:type="spellEnd"/>
      <w:r w:rsidRPr="00225D4D">
        <w:t xml:space="preserve"> og tilsette i </w:t>
      </w:r>
      <w:proofErr w:type="spellStart"/>
      <w:r w:rsidRPr="00225D4D">
        <w:t>barnehagar</w:t>
      </w:r>
      <w:proofErr w:type="spellEnd"/>
      <w:r w:rsidRPr="00225D4D">
        <w:t xml:space="preserve">, </w:t>
      </w:r>
      <w:proofErr w:type="spellStart"/>
      <w:r w:rsidRPr="00225D4D">
        <w:t>skular</w:t>
      </w:r>
      <w:proofErr w:type="spellEnd"/>
      <w:r w:rsidRPr="00225D4D">
        <w:t xml:space="preserve"> og PP-</w:t>
      </w:r>
      <w:proofErr w:type="spellStart"/>
      <w:r w:rsidRPr="00225D4D">
        <w:t>tenesta</w:t>
      </w:r>
      <w:proofErr w:type="spellEnd"/>
      <w:r w:rsidRPr="00225D4D">
        <w:t xml:space="preserve"> som skal bidra til å styrke kompetansen til </w:t>
      </w:r>
      <w:proofErr w:type="spellStart"/>
      <w:r w:rsidRPr="00225D4D">
        <w:t>dei</w:t>
      </w:r>
      <w:proofErr w:type="spellEnd"/>
      <w:r w:rsidRPr="00225D4D">
        <w:t xml:space="preserve"> tilsette. Målet er at alle barn og unge skal oppleve </w:t>
      </w:r>
      <w:proofErr w:type="spellStart"/>
      <w:r w:rsidRPr="00225D4D">
        <w:t>eit</w:t>
      </w:r>
      <w:proofErr w:type="spellEnd"/>
      <w:r w:rsidRPr="00225D4D">
        <w:t xml:space="preserve"> godt tilpassa og </w:t>
      </w:r>
      <w:proofErr w:type="spellStart"/>
      <w:r w:rsidRPr="00225D4D">
        <w:t>inkluderande</w:t>
      </w:r>
      <w:proofErr w:type="spellEnd"/>
      <w:r w:rsidRPr="00225D4D">
        <w:t xml:space="preserve"> </w:t>
      </w:r>
      <w:proofErr w:type="spellStart"/>
      <w:r w:rsidRPr="00225D4D">
        <w:t>tilbod</w:t>
      </w:r>
      <w:proofErr w:type="spellEnd"/>
      <w:r w:rsidRPr="00225D4D">
        <w:t xml:space="preserve"> i barnehage og </w:t>
      </w:r>
      <w:proofErr w:type="spellStart"/>
      <w:r w:rsidRPr="00225D4D">
        <w:t>skule</w:t>
      </w:r>
      <w:proofErr w:type="spellEnd"/>
      <w:r w:rsidRPr="00225D4D">
        <w:t xml:space="preserve">. Gjennom kompetanseløftet har </w:t>
      </w:r>
      <w:proofErr w:type="spellStart"/>
      <w:r w:rsidRPr="00225D4D">
        <w:t>kommunane</w:t>
      </w:r>
      <w:proofErr w:type="spellEnd"/>
      <w:r w:rsidRPr="00225D4D">
        <w:t xml:space="preserve"> fått </w:t>
      </w:r>
      <w:proofErr w:type="spellStart"/>
      <w:r w:rsidRPr="00225D4D">
        <w:t>tilskot</w:t>
      </w:r>
      <w:proofErr w:type="spellEnd"/>
      <w:r w:rsidRPr="00225D4D">
        <w:t xml:space="preserve"> til kollektiv kompetanseutvikling på arbeidsplassen, utvikling av relevante </w:t>
      </w:r>
      <w:proofErr w:type="spellStart"/>
      <w:r w:rsidRPr="00225D4D">
        <w:t>nettressursar</w:t>
      </w:r>
      <w:proofErr w:type="spellEnd"/>
      <w:r w:rsidRPr="00225D4D">
        <w:t xml:space="preserve"> og </w:t>
      </w:r>
      <w:proofErr w:type="spellStart"/>
      <w:r w:rsidRPr="00225D4D">
        <w:t>kompetansepakkar</w:t>
      </w:r>
      <w:proofErr w:type="spellEnd"/>
      <w:r w:rsidRPr="00225D4D">
        <w:t xml:space="preserve"> og </w:t>
      </w:r>
      <w:proofErr w:type="spellStart"/>
      <w:r w:rsidRPr="00225D4D">
        <w:t>vidareutdanningstilbod</w:t>
      </w:r>
      <w:proofErr w:type="spellEnd"/>
      <w:r w:rsidRPr="00225D4D">
        <w:t xml:space="preserve"> i spesialpedagogikk. Over 300 </w:t>
      </w:r>
      <w:proofErr w:type="spellStart"/>
      <w:r w:rsidRPr="00225D4D">
        <w:t>kommunar</w:t>
      </w:r>
      <w:proofErr w:type="spellEnd"/>
      <w:r w:rsidRPr="00225D4D">
        <w:t xml:space="preserve"> deltok i ordninga i 2023 og </w:t>
      </w:r>
      <w:proofErr w:type="spellStart"/>
      <w:r w:rsidRPr="00225D4D">
        <w:t>utviklar</w:t>
      </w:r>
      <w:proofErr w:type="spellEnd"/>
      <w:r w:rsidRPr="00225D4D">
        <w:t xml:space="preserve"> lokale kompetansetiltak i samarbeid med universitet og </w:t>
      </w:r>
      <w:proofErr w:type="spellStart"/>
      <w:r w:rsidRPr="00225D4D">
        <w:t>høgskular</w:t>
      </w:r>
      <w:proofErr w:type="spellEnd"/>
      <w:r w:rsidRPr="00225D4D">
        <w:t xml:space="preserve"> (</w:t>
      </w:r>
      <w:proofErr w:type="spellStart"/>
      <w:r w:rsidRPr="00225D4D">
        <w:t>partnarskap</w:t>
      </w:r>
      <w:proofErr w:type="spellEnd"/>
      <w:r w:rsidRPr="00225D4D">
        <w:t xml:space="preserve">). 42 pst. av </w:t>
      </w:r>
      <w:proofErr w:type="spellStart"/>
      <w:r w:rsidRPr="00225D4D">
        <w:t>partnarskapane</w:t>
      </w:r>
      <w:proofErr w:type="spellEnd"/>
      <w:r w:rsidRPr="00225D4D">
        <w:t xml:space="preserve"> rapporterer at SFO </w:t>
      </w:r>
      <w:proofErr w:type="spellStart"/>
      <w:r w:rsidRPr="00225D4D">
        <w:t>deltek</w:t>
      </w:r>
      <w:proofErr w:type="spellEnd"/>
      <w:r w:rsidRPr="00225D4D">
        <w:t xml:space="preserve"> i </w:t>
      </w:r>
      <w:proofErr w:type="spellStart"/>
      <w:r w:rsidRPr="00225D4D">
        <w:t>dei</w:t>
      </w:r>
      <w:proofErr w:type="spellEnd"/>
      <w:r w:rsidRPr="00225D4D">
        <w:t xml:space="preserve"> kollektive kompetansetiltaka i kompetanseløftet. I 2025 blei det løyvd 165 mill. kroner til kompetanseløftet. </w:t>
      </w:r>
      <w:proofErr w:type="spellStart"/>
      <w:r w:rsidRPr="00225D4D">
        <w:t>Frå</w:t>
      </w:r>
      <w:proofErr w:type="spellEnd"/>
      <w:r w:rsidRPr="00225D4D">
        <w:t xml:space="preserve"> 2026 vil kompetanseløftet inngå i og bli </w:t>
      </w:r>
      <w:proofErr w:type="spellStart"/>
      <w:r w:rsidRPr="00225D4D">
        <w:t>ivareteke</w:t>
      </w:r>
      <w:proofErr w:type="spellEnd"/>
      <w:r w:rsidRPr="00225D4D">
        <w:t xml:space="preserve"> i </w:t>
      </w:r>
      <w:proofErr w:type="spellStart"/>
      <w:r w:rsidRPr="00225D4D">
        <w:t>tilskotsordningane</w:t>
      </w:r>
      <w:proofErr w:type="spellEnd"/>
      <w:r w:rsidRPr="00225D4D">
        <w:t xml:space="preserve"> for kollektiv kompetanseutvikling i det </w:t>
      </w:r>
      <w:proofErr w:type="spellStart"/>
      <w:r w:rsidRPr="00225D4D">
        <w:t>heilskaplege</w:t>
      </w:r>
      <w:proofErr w:type="spellEnd"/>
      <w:r w:rsidRPr="00225D4D">
        <w:t xml:space="preserve"> systemet for kompetanse- og karriereutvikling. Departementet viser også til </w:t>
      </w:r>
      <w:proofErr w:type="spellStart"/>
      <w:r w:rsidRPr="00225D4D">
        <w:t>auken</w:t>
      </w:r>
      <w:proofErr w:type="spellEnd"/>
      <w:r w:rsidRPr="00225D4D">
        <w:t xml:space="preserve"> i frie inntekter til </w:t>
      </w:r>
      <w:proofErr w:type="spellStart"/>
      <w:r w:rsidRPr="00225D4D">
        <w:t>kommunane</w:t>
      </w:r>
      <w:proofErr w:type="spellEnd"/>
      <w:r w:rsidRPr="00225D4D">
        <w:t xml:space="preserve"> for å styrke bemanninga i SFO </w:t>
      </w:r>
      <w:proofErr w:type="spellStart"/>
      <w:r w:rsidRPr="00225D4D">
        <w:t>frå</w:t>
      </w:r>
      <w:proofErr w:type="spellEnd"/>
      <w:r w:rsidRPr="00225D4D">
        <w:t xml:space="preserve"> 2025.</w:t>
      </w:r>
    </w:p>
    <w:p w14:paraId="4F25AB81"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73314396" w14:textId="77777777" w:rsidR="00D60186" w:rsidRPr="00225D4D" w:rsidRDefault="00D60186" w:rsidP="00225D4D">
      <w:pPr>
        <w:pStyle w:val="Overskrift2"/>
      </w:pPr>
      <w:r w:rsidRPr="00225D4D">
        <w:t>Stortingssesjon 2022–2023</w:t>
      </w:r>
    </w:p>
    <w:p w14:paraId="43FAB586" w14:textId="77777777" w:rsidR="00D60186" w:rsidRPr="00225D4D" w:rsidRDefault="00D60186" w:rsidP="00225D4D">
      <w:pPr>
        <w:pStyle w:val="Undertittel"/>
      </w:pPr>
      <w:r w:rsidRPr="00225D4D">
        <w:t>Oppmodingsvedtak under kunnskapsministeren</w:t>
      </w:r>
    </w:p>
    <w:p w14:paraId="04129C0B" w14:textId="77777777" w:rsidR="00D60186" w:rsidRPr="00225D4D" w:rsidRDefault="00D60186" w:rsidP="00225D4D">
      <w:pPr>
        <w:pStyle w:val="avsnitt-tittel"/>
      </w:pPr>
      <w:r w:rsidRPr="00225D4D">
        <w:t xml:space="preserve">Strategi for å styrke laget rundt </w:t>
      </w:r>
      <w:proofErr w:type="spellStart"/>
      <w:r w:rsidRPr="00225D4D">
        <w:t>læraren</w:t>
      </w:r>
      <w:proofErr w:type="spellEnd"/>
      <w:r w:rsidRPr="00225D4D">
        <w:t xml:space="preserve"> og eleven</w:t>
      </w:r>
    </w:p>
    <w:p w14:paraId="58F8F49D" w14:textId="77777777" w:rsidR="00D60186" w:rsidRPr="00225D4D" w:rsidRDefault="00D60186" w:rsidP="00225D4D">
      <w:pPr>
        <w:pStyle w:val="avsnitt-undertittel"/>
      </w:pPr>
      <w:r w:rsidRPr="00225D4D">
        <w:t>Vedtak nr. 472, 31. januar 2023:</w:t>
      </w:r>
    </w:p>
    <w:p w14:paraId="61CD01BA" w14:textId="77777777" w:rsidR="00D60186" w:rsidRPr="00225D4D" w:rsidRDefault="00D60186" w:rsidP="00225D4D">
      <w:pPr>
        <w:pStyle w:val="blokksit"/>
        <w:rPr>
          <w:rStyle w:val="kursiv"/>
        </w:rPr>
      </w:pPr>
      <w:r w:rsidRPr="00225D4D">
        <w:rPr>
          <w:rStyle w:val="kursiv"/>
        </w:rPr>
        <w:t>Stortinget ber regjeringen legge frem en strategi for å styrke laget rundt læreren og eleven slik at læreren får bedre tid til sine kjerneoppgaver og eleven får tettere oppfølging, herunder øke antall ansatte og styrke samarbeidet mellom faginstanser og få flere yrkesgrupper med helse- og sosialfaglig kompetanse inn i skolen.</w:t>
      </w:r>
    </w:p>
    <w:p w14:paraId="10C81C7B"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8:21 S (2022–2023) </w:t>
      </w:r>
      <w:r w:rsidRPr="00225D4D">
        <w:rPr>
          <w:rStyle w:val="kursiv"/>
        </w:rPr>
        <w:t xml:space="preserve">Representantforslag fra stortingsrepresentantene Abid Raja, Guri Melby, Ingvild </w:t>
      </w:r>
      <w:proofErr w:type="spellStart"/>
      <w:r w:rsidRPr="00225D4D">
        <w:rPr>
          <w:rStyle w:val="kursiv"/>
        </w:rPr>
        <w:t>Wetrhus</w:t>
      </w:r>
      <w:proofErr w:type="spellEnd"/>
      <w:r w:rsidRPr="00225D4D">
        <w:rPr>
          <w:rStyle w:val="kursiv"/>
        </w:rPr>
        <w:t xml:space="preserve"> </w:t>
      </w:r>
      <w:proofErr w:type="spellStart"/>
      <w:r w:rsidRPr="00225D4D">
        <w:rPr>
          <w:rStyle w:val="kursiv"/>
        </w:rPr>
        <w:t>Thorsvik</w:t>
      </w:r>
      <w:proofErr w:type="spellEnd"/>
      <w:r w:rsidRPr="00225D4D">
        <w:rPr>
          <w:rStyle w:val="kursiv"/>
        </w:rPr>
        <w:t xml:space="preserve"> og Alfred Jens Bjørlo om å ta læreryrket framover</w:t>
      </w:r>
      <w:r w:rsidRPr="00225D4D">
        <w:t xml:space="preserve">, jf. </w:t>
      </w:r>
      <w:proofErr w:type="spellStart"/>
      <w:r w:rsidRPr="00225D4D">
        <w:t>Innst</w:t>
      </w:r>
      <w:proofErr w:type="spellEnd"/>
      <w:r w:rsidRPr="00225D4D">
        <w:t>. 158 S (2022–2023).</w:t>
      </w:r>
    </w:p>
    <w:p w14:paraId="67F96157" w14:textId="77777777" w:rsidR="00D60186" w:rsidRPr="00225D4D" w:rsidRDefault="00D60186" w:rsidP="00225D4D">
      <w:r w:rsidRPr="00225D4D">
        <w:t xml:space="preserve">Departementet viser til omtale under vedtak nr. 64, 28. november 2024 om utgreiing av styrking av laget rundt </w:t>
      </w:r>
      <w:proofErr w:type="spellStart"/>
      <w:r w:rsidRPr="00225D4D">
        <w:t>elevar</w:t>
      </w:r>
      <w:proofErr w:type="spellEnd"/>
      <w:r w:rsidRPr="00225D4D">
        <w:t xml:space="preserve"> og </w:t>
      </w:r>
      <w:proofErr w:type="spellStart"/>
      <w:r w:rsidRPr="00225D4D">
        <w:t>lærarar</w:t>
      </w:r>
      <w:proofErr w:type="spellEnd"/>
      <w:r w:rsidRPr="00225D4D">
        <w:t>.</w:t>
      </w:r>
    </w:p>
    <w:p w14:paraId="65182B75"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6B481413" w14:textId="77777777" w:rsidR="00D60186" w:rsidRPr="00225D4D" w:rsidRDefault="00D60186" w:rsidP="00225D4D">
      <w:pPr>
        <w:pStyle w:val="avsnitt-tittel"/>
      </w:pPr>
      <w:r w:rsidRPr="00225D4D">
        <w:t xml:space="preserve">Vald og </w:t>
      </w:r>
      <w:proofErr w:type="spellStart"/>
      <w:r w:rsidRPr="00225D4D">
        <w:t>truslar</w:t>
      </w:r>
      <w:proofErr w:type="spellEnd"/>
      <w:r w:rsidRPr="00225D4D">
        <w:t xml:space="preserve"> i </w:t>
      </w:r>
      <w:proofErr w:type="spellStart"/>
      <w:r w:rsidRPr="00225D4D">
        <w:t>skulen</w:t>
      </w:r>
      <w:proofErr w:type="spellEnd"/>
    </w:p>
    <w:p w14:paraId="4736FE4F" w14:textId="77777777" w:rsidR="00D60186" w:rsidRPr="00225D4D" w:rsidRDefault="00D60186" w:rsidP="00225D4D">
      <w:pPr>
        <w:pStyle w:val="avsnitt-undertittel"/>
      </w:pPr>
      <w:r w:rsidRPr="00225D4D">
        <w:t>Vedtak nr. 625, 25. april 2023:</w:t>
      </w:r>
    </w:p>
    <w:p w14:paraId="23C6FBA3" w14:textId="77777777" w:rsidR="00D60186" w:rsidRPr="00225D4D" w:rsidRDefault="00D60186" w:rsidP="00225D4D">
      <w:pPr>
        <w:pStyle w:val="blokksit"/>
        <w:rPr>
          <w:rStyle w:val="kursiv"/>
        </w:rPr>
      </w:pPr>
      <w:r w:rsidRPr="00225D4D">
        <w:rPr>
          <w:rStyle w:val="kursiv"/>
        </w:rPr>
        <w:t>Stortinget ber regjeringen om årlig å rapportere om statistikk og utviklingen når det gjelder vold og trusler i norsk skole.</w:t>
      </w:r>
    </w:p>
    <w:p w14:paraId="23B05503"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Dok</w:t>
      </w:r>
      <w:proofErr w:type="spellEnd"/>
      <w:r w:rsidRPr="00225D4D">
        <w:t xml:space="preserve"> 8:144 S (2022–2023) </w:t>
      </w:r>
      <w:r w:rsidRPr="00225D4D">
        <w:rPr>
          <w:rStyle w:val="kursiv"/>
        </w:rPr>
        <w:t xml:space="preserve">Representantforslag fra stortingsrepresentantene </w:t>
      </w:r>
      <w:proofErr w:type="spellStart"/>
      <w:r w:rsidRPr="00225D4D">
        <w:rPr>
          <w:rStyle w:val="kursiv"/>
        </w:rPr>
        <w:t>Himanshu</w:t>
      </w:r>
      <w:proofErr w:type="spellEnd"/>
      <w:r w:rsidRPr="00225D4D">
        <w:rPr>
          <w:rStyle w:val="kursiv"/>
        </w:rPr>
        <w:t xml:space="preserve"> </w:t>
      </w:r>
      <w:proofErr w:type="spellStart"/>
      <w:r w:rsidRPr="00225D4D">
        <w:rPr>
          <w:rStyle w:val="kursiv"/>
        </w:rPr>
        <w:t>Gulati</w:t>
      </w:r>
      <w:proofErr w:type="spellEnd"/>
      <w:r w:rsidRPr="00225D4D">
        <w:rPr>
          <w:rStyle w:val="kursiv"/>
        </w:rPr>
        <w:t xml:space="preserve">, Sylvi Listhaug, Terje Halleland, Marius </w:t>
      </w:r>
      <w:proofErr w:type="spellStart"/>
      <w:r w:rsidRPr="00225D4D">
        <w:rPr>
          <w:rStyle w:val="kursiv"/>
        </w:rPr>
        <w:t>Arion</w:t>
      </w:r>
      <w:proofErr w:type="spellEnd"/>
      <w:r w:rsidRPr="00225D4D">
        <w:rPr>
          <w:rStyle w:val="kursiv"/>
        </w:rPr>
        <w:t xml:space="preserve"> Nilsen, Dagfinn Henrik Olsen og Erlend Wiborg</w:t>
      </w:r>
      <w:r w:rsidRPr="00225D4D">
        <w:t xml:space="preserve">, jf. </w:t>
      </w:r>
      <w:proofErr w:type="spellStart"/>
      <w:r w:rsidRPr="00225D4D">
        <w:t>Innst</w:t>
      </w:r>
      <w:proofErr w:type="spellEnd"/>
      <w:r w:rsidRPr="00225D4D">
        <w:t>. 288 S (2022–2023).</w:t>
      </w:r>
    </w:p>
    <w:p w14:paraId="3EBA21CA"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intensjonen bak dette vedtaket er å få </w:t>
      </w:r>
      <w:proofErr w:type="spellStart"/>
      <w:r w:rsidRPr="00225D4D">
        <w:t>meir</w:t>
      </w:r>
      <w:proofErr w:type="spellEnd"/>
      <w:r w:rsidRPr="00225D4D">
        <w:t xml:space="preserve"> informasjon og kunnskap om vald og </w:t>
      </w:r>
      <w:proofErr w:type="spellStart"/>
      <w:r w:rsidRPr="00225D4D">
        <w:t>truslar</w:t>
      </w:r>
      <w:proofErr w:type="spellEnd"/>
      <w:r w:rsidRPr="00225D4D">
        <w:t xml:space="preserve"> i </w:t>
      </w:r>
      <w:proofErr w:type="spellStart"/>
      <w:r w:rsidRPr="00225D4D">
        <w:t>skulen</w:t>
      </w:r>
      <w:proofErr w:type="spellEnd"/>
      <w:r w:rsidRPr="00225D4D">
        <w:t xml:space="preserve">. Departementet vurderer det slik at den beste måten å oppfylle dette på er å få fram </w:t>
      </w:r>
      <w:proofErr w:type="spellStart"/>
      <w:r w:rsidRPr="00225D4D">
        <w:t>eit</w:t>
      </w:r>
      <w:proofErr w:type="spellEnd"/>
      <w:r w:rsidRPr="00225D4D">
        <w:t xml:space="preserve"> kunnskapsgrunnlag som både </w:t>
      </w:r>
      <w:proofErr w:type="spellStart"/>
      <w:r w:rsidRPr="00225D4D">
        <w:t>gjer</w:t>
      </w:r>
      <w:proofErr w:type="spellEnd"/>
      <w:r w:rsidRPr="00225D4D">
        <w:t xml:space="preserve"> greie for tilstanden i </w:t>
      </w:r>
      <w:proofErr w:type="spellStart"/>
      <w:r w:rsidRPr="00225D4D">
        <w:t>skulen</w:t>
      </w:r>
      <w:proofErr w:type="spellEnd"/>
      <w:r w:rsidRPr="00225D4D">
        <w:t xml:space="preserve"> og som kan </w:t>
      </w:r>
      <w:proofErr w:type="spellStart"/>
      <w:r w:rsidRPr="00225D4D">
        <w:t>nyttast</w:t>
      </w:r>
      <w:proofErr w:type="spellEnd"/>
      <w:r w:rsidRPr="00225D4D">
        <w:t xml:space="preserve"> til å vurdere </w:t>
      </w:r>
      <w:proofErr w:type="spellStart"/>
      <w:r w:rsidRPr="00225D4D">
        <w:t>kva</w:t>
      </w:r>
      <w:proofErr w:type="spellEnd"/>
      <w:r w:rsidRPr="00225D4D">
        <w:t xml:space="preserve"> som er gode tiltak – både nasjonalt og lokalt. Departementet meiner at dette kan </w:t>
      </w:r>
      <w:proofErr w:type="spellStart"/>
      <w:r w:rsidRPr="00225D4D">
        <w:t>gjerast</w:t>
      </w:r>
      <w:proofErr w:type="spellEnd"/>
      <w:r w:rsidRPr="00225D4D">
        <w:t xml:space="preserve"> best gjennom å </w:t>
      </w:r>
      <w:proofErr w:type="spellStart"/>
      <w:r w:rsidRPr="00225D4D">
        <w:t>halde</w:t>
      </w:r>
      <w:proofErr w:type="spellEnd"/>
      <w:r w:rsidRPr="00225D4D">
        <w:t xml:space="preserve"> fram å nytte den statistikken som </w:t>
      </w:r>
      <w:proofErr w:type="spellStart"/>
      <w:r w:rsidRPr="00225D4D">
        <w:t>allereie</w:t>
      </w:r>
      <w:proofErr w:type="spellEnd"/>
      <w:r w:rsidRPr="00225D4D">
        <w:t xml:space="preserve"> blir publisert av SSB og STAMI (Statens arbeidsmiljøinstitutt) kvart tredje år, og bygge ut kunnskapsgrunnlaget gjennom </w:t>
      </w:r>
      <w:proofErr w:type="spellStart"/>
      <w:r w:rsidRPr="00225D4D">
        <w:t>meir</w:t>
      </w:r>
      <w:proofErr w:type="spellEnd"/>
      <w:r w:rsidRPr="00225D4D">
        <w:t xml:space="preserve"> kvalitativ kunnskap og forsking. Dette er i tråd med Utdanningsdirektoratets </w:t>
      </w:r>
      <w:proofErr w:type="spellStart"/>
      <w:r w:rsidRPr="00225D4D">
        <w:t>faglege</w:t>
      </w:r>
      <w:proofErr w:type="spellEnd"/>
      <w:r w:rsidRPr="00225D4D">
        <w:t xml:space="preserve"> vurdering og sektoren sine </w:t>
      </w:r>
      <w:proofErr w:type="spellStart"/>
      <w:r w:rsidRPr="00225D4D">
        <w:t>innspel</w:t>
      </w:r>
      <w:proofErr w:type="spellEnd"/>
      <w:r w:rsidRPr="00225D4D">
        <w:t xml:space="preserve"> og </w:t>
      </w:r>
      <w:proofErr w:type="spellStart"/>
      <w:r w:rsidRPr="00225D4D">
        <w:t>tilbakemeldingar</w:t>
      </w:r>
      <w:proofErr w:type="spellEnd"/>
      <w:r w:rsidRPr="00225D4D">
        <w:t xml:space="preserve">. Sektoren er heilt </w:t>
      </w:r>
      <w:proofErr w:type="spellStart"/>
      <w:r w:rsidRPr="00225D4D">
        <w:t>tydeleg</w:t>
      </w:r>
      <w:proofErr w:type="spellEnd"/>
      <w:r w:rsidRPr="00225D4D">
        <w:t xml:space="preserve"> på at det </w:t>
      </w:r>
      <w:proofErr w:type="spellStart"/>
      <w:r w:rsidRPr="00225D4D">
        <w:t>ikkje</w:t>
      </w:r>
      <w:proofErr w:type="spellEnd"/>
      <w:r w:rsidRPr="00225D4D">
        <w:t xml:space="preserve"> er behov for </w:t>
      </w:r>
      <w:proofErr w:type="spellStart"/>
      <w:r w:rsidRPr="00225D4D">
        <w:t>meir</w:t>
      </w:r>
      <w:proofErr w:type="spellEnd"/>
      <w:r w:rsidRPr="00225D4D">
        <w:t xml:space="preserve"> statistikk, men at </w:t>
      </w:r>
      <w:proofErr w:type="spellStart"/>
      <w:r w:rsidRPr="00225D4D">
        <w:t>skulane</w:t>
      </w:r>
      <w:proofErr w:type="spellEnd"/>
      <w:r w:rsidRPr="00225D4D">
        <w:t xml:space="preserve"> og </w:t>
      </w:r>
      <w:proofErr w:type="spellStart"/>
      <w:r w:rsidRPr="00225D4D">
        <w:t>skuleeigarar</w:t>
      </w:r>
      <w:proofErr w:type="spellEnd"/>
      <w:r w:rsidRPr="00225D4D">
        <w:t xml:space="preserve"> treng </w:t>
      </w:r>
      <w:proofErr w:type="spellStart"/>
      <w:r w:rsidRPr="00225D4D">
        <w:t>meir</w:t>
      </w:r>
      <w:proofErr w:type="spellEnd"/>
      <w:r w:rsidRPr="00225D4D">
        <w:t xml:space="preserve"> kvalitativ kunnskap for å kunne </w:t>
      </w:r>
      <w:proofErr w:type="spellStart"/>
      <w:r w:rsidRPr="00225D4D">
        <w:t>setje</w:t>
      </w:r>
      <w:proofErr w:type="spellEnd"/>
      <w:r w:rsidRPr="00225D4D">
        <w:t xml:space="preserve"> inn treffsikre tiltak. Departementet </w:t>
      </w:r>
      <w:proofErr w:type="spellStart"/>
      <w:r w:rsidRPr="00225D4D">
        <w:t>støttar</w:t>
      </w:r>
      <w:proofErr w:type="spellEnd"/>
      <w:r w:rsidRPr="00225D4D">
        <w:t xml:space="preserve"> dette. Som </w:t>
      </w:r>
      <w:proofErr w:type="spellStart"/>
      <w:r w:rsidRPr="00225D4D">
        <w:t>eit</w:t>
      </w:r>
      <w:proofErr w:type="spellEnd"/>
      <w:r w:rsidRPr="00225D4D">
        <w:t xml:space="preserve"> første ledd i å </w:t>
      </w:r>
      <w:proofErr w:type="spellStart"/>
      <w:r w:rsidRPr="00225D4D">
        <w:t>auke</w:t>
      </w:r>
      <w:proofErr w:type="spellEnd"/>
      <w:r w:rsidRPr="00225D4D">
        <w:t xml:space="preserve"> kunnskapsgrunnlaget mottok departementet i august 2025 </w:t>
      </w:r>
      <w:proofErr w:type="spellStart"/>
      <w:r w:rsidRPr="00225D4D">
        <w:t>ein</w:t>
      </w:r>
      <w:proofErr w:type="spellEnd"/>
      <w:r w:rsidRPr="00225D4D">
        <w:t xml:space="preserve"> rapport </w:t>
      </w:r>
      <w:proofErr w:type="spellStart"/>
      <w:r w:rsidRPr="00225D4D">
        <w:t>frå</w:t>
      </w:r>
      <w:proofErr w:type="spellEnd"/>
      <w:r w:rsidRPr="00225D4D">
        <w:t xml:space="preserve"> NIFU om vald og </w:t>
      </w:r>
      <w:proofErr w:type="spellStart"/>
      <w:r w:rsidRPr="00225D4D">
        <w:t>truslar</w:t>
      </w:r>
      <w:proofErr w:type="spellEnd"/>
      <w:r w:rsidRPr="00225D4D">
        <w:t xml:space="preserve"> i </w:t>
      </w:r>
      <w:proofErr w:type="spellStart"/>
      <w:r w:rsidRPr="00225D4D">
        <w:t>skulen</w:t>
      </w:r>
      <w:proofErr w:type="spellEnd"/>
      <w:r w:rsidRPr="00225D4D">
        <w:t xml:space="preserve">, </w:t>
      </w:r>
      <w:r w:rsidRPr="00225D4D">
        <w:rPr>
          <w:rStyle w:val="kursiv"/>
        </w:rPr>
        <w:t>Når skolen blir utrygg for de voksne – En studie av vold og trusler mot ansatte i skolen</w:t>
      </w:r>
      <w:r w:rsidRPr="00225D4D">
        <w:t xml:space="preserve">. Rapporten gir </w:t>
      </w:r>
      <w:proofErr w:type="spellStart"/>
      <w:r w:rsidRPr="00225D4D">
        <w:t>eit</w:t>
      </w:r>
      <w:proofErr w:type="spellEnd"/>
      <w:r w:rsidRPr="00225D4D">
        <w:t xml:space="preserve"> nyttig innblikk i kor komplekse saker dette er og at </w:t>
      </w:r>
      <w:proofErr w:type="spellStart"/>
      <w:r w:rsidRPr="00225D4D">
        <w:t>skulanes</w:t>
      </w:r>
      <w:proofErr w:type="spellEnd"/>
      <w:r w:rsidRPr="00225D4D">
        <w:t xml:space="preserve"> handtering av slike </w:t>
      </w:r>
      <w:proofErr w:type="spellStart"/>
      <w:r w:rsidRPr="00225D4D">
        <w:t>utfordringar</w:t>
      </w:r>
      <w:proofErr w:type="spellEnd"/>
      <w:r w:rsidRPr="00225D4D">
        <w:t xml:space="preserve"> er ulik. </w:t>
      </w:r>
      <w:proofErr w:type="spellStart"/>
      <w:r w:rsidRPr="00225D4D">
        <w:t>Forskarane</w:t>
      </w:r>
      <w:proofErr w:type="spellEnd"/>
      <w:r w:rsidRPr="00225D4D">
        <w:t xml:space="preserve"> bak rapporten viser til at det er lite kunnskap om tiltak som kan </w:t>
      </w:r>
      <w:proofErr w:type="spellStart"/>
      <w:r w:rsidRPr="00225D4D">
        <w:t>førebygge</w:t>
      </w:r>
      <w:proofErr w:type="spellEnd"/>
      <w:r w:rsidRPr="00225D4D">
        <w:t xml:space="preserve"> omfanget av vald og </w:t>
      </w:r>
      <w:proofErr w:type="spellStart"/>
      <w:r w:rsidRPr="00225D4D">
        <w:t>truslar</w:t>
      </w:r>
      <w:proofErr w:type="spellEnd"/>
      <w:r w:rsidRPr="00225D4D">
        <w:t xml:space="preserve">. Departementet vil derfor i 2026 innhente </w:t>
      </w:r>
      <w:proofErr w:type="spellStart"/>
      <w:r w:rsidRPr="00225D4D">
        <w:t>endå</w:t>
      </w:r>
      <w:proofErr w:type="spellEnd"/>
      <w:r w:rsidRPr="00225D4D">
        <w:t xml:space="preserve"> </w:t>
      </w:r>
      <w:proofErr w:type="spellStart"/>
      <w:r w:rsidRPr="00225D4D">
        <w:t>meir</w:t>
      </w:r>
      <w:proofErr w:type="spellEnd"/>
      <w:r w:rsidRPr="00225D4D">
        <w:t xml:space="preserve"> kunnskap om vald og </w:t>
      </w:r>
      <w:proofErr w:type="spellStart"/>
      <w:r w:rsidRPr="00225D4D">
        <w:t>truslar</w:t>
      </w:r>
      <w:proofErr w:type="spellEnd"/>
      <w:r w:rsidRPr="00225D4D">
        <w:t xml:space="preserve"> i </w:t>
      </w:r>
      <w:proofErr w:type="spellStart"/>
      <w:r w:rsidRPr="00225D4D">
        <w:t>skulen</w:t>
      </w:r>
      <w:proofErr w:type="spellEnd"/>
      <w:r w:rsidRPr="00225D4D">
        <w:t>.</w:t>
      </w:r>
    </w:p>
    <w:p w14:paraId="05AF2A16"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2BEE5075" w14:textId="77777777" w:rsidR="00D60186" w:rsidRPr="00225D4D" w:rsidRDefault="00D60186" w:rsidP="00225D4D">
      <w:pPr>
        <w:pStyle w:val="avsnitt-tittel"/>
      </w:pPr>
      <w:proofErr w:type="spellStart"/>
      <w:r w:rsidRPr="00225D4D">
        <w:t>Læringsstøttande</w:t>
      </w:r>
      <w:proofErr w:type="spellEnd"/>
      <w:r w:rsidRPr="00225D4D">
        <w:t xml:space="preserve"> </w:t>
      </w:r>
      <w:proofErr w:type="spellStart"/>
      <w:r w:rsidRPr="00225D4D">
        <w:t>ressursar</w:t>
      </w:r>
      <w:proofErr w:type="spellEnd"/>
      <w:r w:rsidRPr="00225D4D">
        <w:t xml:space="preserve"> på begge målformer</w:t>
      </w:r>
    </w:p>
    <w:p w14:paraId="70915066" w14:textId="77777777" w:rsidR="00D60186" w:rsidRPr="00225D4D" w:rsidRDefault="00D60186" w:rsidP="00225D4D">
      <w:pPr>
        <w:pStyle w:val="avsnitt-undertittel"/>
      </w:pPr>
      <w:r w:rsidRPr="00225D4D">
        <w:t>Vedtak nr. 734, 5. juni 2023:</w:t>
      </w:r>
    </w:p>
    <w:p w14:paraId="11C6463A" w14:textId="77777777" w:rsidR="00D60186" w:rsidRPr="00225D4D" w:rsidRDefault="00D60186" w:rsidP="00225D4D">
      <w:pPr>
        <w:pStyle w:val="blokksit"/>
        <w:rPr>
          <w:rStyle w:val="kursiv"/>
        </w:rPr>
      </w:pPr>
      <w:r w:rsidRPr="00225D4D">
        <w:rPr>
          <w:rStyle w:val="kursiv"/>
        </w:rPr>
        <w:t xml:space="preserve">Stortinget ber regjeringen gjennomføre en kunnskapsinnhenting rundt omfanget av bruken av </w:t>
      </w:r>
      <w:proofErr w:type="spellStart"/>
      <w:r w:rsidRPr="00225D4D">
        <w:rPr>
          <w:rStyle w:val="kursiv"/>
        </w:rPr>
        <w:t>læringsstøttende</w:t>
      </w:r>
      <w:proofErr w:type="spellEnd"/>
      <w:r w:rsidRPr="00225D4D">
        <w:rPr>
          <w:rStyle w:val="kursiv"/>
        </w:rPr>
        <w:t xml:space="preserve"> ressurser i opplæringen som ikke foreligger på begge målformer, og komme tilbake til Stortinget med en vurdering av i hvilken grad dette påvirker særlig nynorsk-elevenes rett til opplæring på eget språk.</w:t>
      </w:r>
    </w:p>
    <w:p w14:paraId="7E80EB92"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57 L (2022–2023) </w:t>
      </w:r>
      <w:r w:rsidRPr="00225D4D">
        <w:rPr>
          <w:rStyle w:val="kursiv"/>
        </w:rPr>
        <w:t xml:space="preserve">Lov om grunnskoleopplæringa og den </w:t>
      </w:r>
      <w:proofErr w:type="spellStart"/>
      <w:r w:rsidRPr="00225D4D">
        <w:rPr>
          <w:rStyle w:val="kursiv"/>
        </w:rPr>
        <w:t>vidaregåande</w:t>
      </w:r>
      <w:proofErr w:type="spellEnd"/>
      <w:r w:rsidRPr="00225D4D">
        <w:rPr>
          <w:rStyle w:val="kursiv"/>
        </w:rPr>
        <w:t xml:space="preserve"> opplæringa (opplæringslova)</w:t>
      </w:r>
      <w:r w:rsidRPr="00225D4D">
        <w:t xml:space="preserve">, jf. </w:t>
      </w:r>
      <w:proofErr w:type="spellStart"/>
      <w:r w:rsidRPr="00225D4D">
        <w:t>Innst</w:t>
      </w:r>
      <w:proofErr w:type="spellEnd"/>
      <w:r w:rsidRPr="00225D4D">
        <w:t>. 442 L (2022–2023).</w:t>
      </w:r>
    </w:p>
    <w:p w14:paraId="32DA2B56" w14:textId="77777777" w:rsidR="00D60186" w:rsidRPr="00225D4D" w:rsidRDefault="00D60186" w:rsidP="00225D4D">
      <w:r w:rsidRPr="00225D4D">
        <w:t xml:space="preserve">Utdanningsdirektoratet har fått i oppdrag å gjennomføre </w:t>
      </w:r>
      <w:proofErr w:type="gramStart"/>
      <w:r w:rsidRPr="00225D4D">
        <w:t>ei kunnskapsinnhenting</w:t>
      </w:r>
      <w:proofErr w:type="gramEnd"/>
      <w:r w:rsidRPr="00225D4D">
        <w:t xml:space="preserve"> om omfanget av bruken av </w:t>
      </w:r>
      <w:proofErr w:type="spellStart"/>
      <w:r w:rsidRPr="00225D4D">
        <w:t>læringsressursar</w:t>
      </w:r>
      <w:proofErr w:type="spellEnd"/>
      <w:r w:rsidRPr="00225D4D">
        <w:t xml:space="preserve"> som </w:t>
      </w:r>
      <w:proofErr w:type="spellStart"/>
      <w:r w:rsidRPr="00225D4D">
        <w:t>ikkje</w:t>
      </w:r>
      <w:proofErr w:type="spellEnd"/>
      <w:r w:rsidRPr="00225D4D">
        <w:t xml:space="preserve"> ligg føre på begge målformer. NIFU har på oppdrag </w:t>
      </w:r>
      <w:proofErr w:type="spellStart"/>
      <w:r w:rsidRPr="00225D4D">
        <w:t>frå</w:t>
      </w:r>
      <w:proofErr w:type="spellEnd"/>
      <w:r w:rsidRPr="00225D4D">
        <w:t xml:space="preserve"> Utdanningsdirektoratet gjennomført </w:t>
      </w:r>
      <w:proofErr w:type="gramStart"/>
      <w:r w:rsidRPr="00225D4D">
        <w:t>ei kunnskapsinnhenting</w:t>
      </w:r>
      <w:proofErr w:type="gramEnd"/>
      <w:r w:rsidRPr="00225D4D">
        <w:t xml:space="preserve"> om </w:t>
      </w:r>
      <w:proofErr w:type="spellStart"/>
      <w:r w:rsidRPr="00225D4D">
        <w:t>læringsressursar</w:t>
      </w:r>
      <w:proofErr w:type="spellEnd"/>
      <w:r w:rsidRPr="00225D4D">
        <w:t xml:space="preserve"> på nynorsk i dagens </w:t>
      </w:r>
      <w:proofErr w:type="spellStart"/>
      <w:r w:rsidRPr="00225D4D">
        <w:t>skule</w:t>
      </w:r>
      <w:proofErr w:type="spellEnd"/>
      <w:r w:rsidRPr="00225D4D">
        <w:t xml:space="preserve">, som svar på dette. Departementet </w:t>
      </w:r>
      <w:proofErr w:type="spellStart"/>
      <w:r w:rsidRPr="00225D4D">
        <w:t>fekk</w:t>
      </w:r>
      <w:proofErr w:type="spellEnd"/>
      <w:r w:rsidRPr="00225D4D">
        <w:t xml:space="preserve"> kartlegginga våren 2025, og den syner mellom anna at det er færre </w:t>
      </w:r>
      <w:proofErr w:type="spellStart"/>
      <w:r w:rsidRPr="00225D4D">
        <w:t>læringsressursar</w:t>
      </w:r>
      <w:proofErr w:type="spellEnd"/>
      <w:r w:rsidRPr="00225D4D">
        <w:t xml:space="preserve"> på nynorsk enn på bokmål, og at det i mange tilfelle er </w:t>
      </w:r>
      <w:proofErr w:type="spellStart"/>
      <w:r w:rsidRPr="00225D4D">
        <w:t>vanskeleg</w:t>
      </w:r>
      <w:proofErr w:type="spellEnd"/>
      <w:r w:rsidRPr="00225D4D">
        <w:t xml:space="preserve"> å finne fram til </w:t>
      </w:r>
      <w:proofErr w:type="spellStart"/>
      <w:r w:rsidRPr="00225D4D">
        <w:t>dei</w:t>
      </w:r>
      <w:proofErr w:type="spellEnd"/>
      <w:r w:rsidRPr="00225D4D">
        <w:t xml:space="preserve"> nynorske </w:t>
      </w:r>
      <w:proofErr w:type="spellStart"/>
      <w:r w:rsidRPr="00225D4D">
        <w:t>læringsressursane</w:t>
      </w:r>
      <w:proofErr w:type="spellEnd"/>
      <w:r w:rsidRPr="00225D4D">
        <w:t xml:space="preserve">. Læreboka på nynorsk blir </w:t>
      </w:r>
      <w:proofErr w:type="spellStart"/>
      <w:r w:rsidRPr="00225D4D">
        <w:t>meir</w:t>
      </w:r>
      <w:proofErr w:type="spellEnd"/>
      <w:r w:rsidRPr="00225D4D">
        <w:t xml:space="preserve"> nytta enn </w:t>
      </w:r>
      <w:proofErr w:type="spellStart"/>
      <w:r w:rsidRPr="00225D4D">
        <w:t>læringsressursar</w:t>
      </w:r>
      <w:proofErr w:type="spellEnd"/>
      <w:r w:rsidRPr="00225D4D">
        <w:t xml:space="preserve">, og </w:t>
      </w:r>
      <w:proofErr w:type="spellStart"/>
      <w:r w:rsidRPr="00225D4D">
        <w:t>læringsressursane</w:t>
      </w:r>
      <w:proofErr w:type="spellEnd"/>
      <w:r w:rsidRPr="00225D4D">
        <w:t xml:space="preserve"> som blir nytta, er i mange tilfelle på bokmål. </w:t>
      </w:r>
      <w:proofErr w:type="spellStart"/>
      <w:r w:rsidRPr="00225D4D">
        <w:t>Forskarane</w:t>
      </w:r>
      <w:proofErr w:type="spellEnd"/>
      <w:r w:rsidRPr="00225D4D">
        <w:t xml:space="preserve"> finn at </w:t>
      </w:r>
      <w:proofErr w:type="spellStart"/>
      <w:r w:rsidRPr="00225D4D">
        <w:t>læringsressursane</w:t>
      </w:r>
      <w:proofErr w:type="spellEnd"/>
      <w:r w:rsidRPr="00225D4D">
        <w:t xml:space="preserve"> blir brukte som </w:t>
      </w:r>
      <w:proofErr w:type="spellStart"/>
      <w:r w:rsidRPr="00225D4D">
        <w:t>eit</w:t>
      </w:r>
      <w:proofErr w:type="spellEnd"/>
      <w:r w:rsidRPr="00225D4D">
        <w:t xml:space="preserve"> tillegg for å variere, aktualisere eller </w:t>
      </w:r>
      <w:proofErr w:type="spellStart"/>
      <w:r w:rsidRPr="00225D4D">
        <w:t>samanfatte</w:t>
      </w:r>
      <w:proofErr w:type="spellEnd"/>
      <w:r w:rsidRPr="00225D4D">
        <w:t>.</w:t>
      </w:r>
    </w:p>
    <w:p w14:paraId="76BD6046" w14:textId="77777777" w:rsidR="00D60186" w:rsidRPr="00225D4D" w:rsidRDefault="00D60186" w:rsidP="00225D4D">
      <w:proofErr w:type="spellStart"/>
      <w:r w:rsidRPr="00225D4D">
        <w:t>Vidare</w:t>
      </w:r>
      <w:proofErr w:type="spellEnd"/>
      <w:r w:rsidRPr="00225D4D">
        <w:t xml:space="preserve"> skal direktoratet vurdere i kva grad omfanget av bruken påverkar </w:t>
      </w:r>
      <w:proofErr w:type="spellStart"/>
      <w:r w:rsidRPr="00225D4D">
        <w:t>særleg</w:t>
      </w:r>
      <w:proofErr w:type="spellEnd"/>
      <w:r w:rsidRPr="00225D4D">
        <w:t xml:space="preserve"> </w:t>
      </w:r>
      <w:proofErr w:type="spellStart"/>
      <w:r w:rsidRPr="00225D4D">
        <w:t>elevar</w:t>
      </w:r>
      <w:proofErr w:type="spellEnd"/>
      <w:r w:rsidRPr="00225D4D">
        <w:t xml:space="preserve"> med nynorsk som </w:t>
      </w:r>
      <w:proofErr w:type="spellStart"/>
      <w:r w:rsidRPr="00225D4D">
        <w:t>hovudmål</w:t>
      </w:r>
      <w:proofErr w:type="spellEnd"/>
      <w:r w:rsidRPr="00225D4D">
        <w:t xml:space="preserve"> og retten </w:t>
      </w:r>
      <w:proofErr w:type="spellStart"/>
      <w:r w:rsidRPr="00225D4D">
        <w:t>deira</w:t>
      </w:r>
      <w:proofErr w:type="spellEnd"/>
      <w:r w:rsidRPr="00225D4D">
        <w:t xml:space="preserve"> til opplæring på eige språk, og vurdere aktuelle tiltak. Direktoratet skal sende </w:t>
      </w:r>
      <w:proofErr w:type="spellStart"/>
      <w:r w:rsidRPr="00225D4D">
        <w:t>tilrådingane</w:t>
      </w:r>
      <w:proofErr w:type="spellEnd"/>
      <w:r w:rsidRPr="00225D4D">
        <w:t xml:space="preserve"> sine til departementet </w:t>
      </w:r>
      <w:proofErr w:type="spellStart"/>
      <w:r w:rsidRPr="00225D4D">
        <w:t>innan</w:t>
      </w:r>
      <w:proofErr w:type="spellEnd"/>
      <w:r w:rsidRPr="00225D4D">
        <w:t xml:space="preserve"> 1. desember 2025.</w:t>
      </w:r>
    </w:p>
    <w:p w14:paraId="5A235C0F"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198F8464" w14:textId="77777777" w:rsidR="00D60186" w:rsidRPr="00225D4D" w:rsidRDefault="00D60186" w:rsidP="00225D4D">
      <w:pPr>
        <w:pStyle w:val="avsnitt-tittel"/>
      </w:pPr>
      <w:r w:rsidRPr="00225D4D">
        <w:t>IB-</w:t>
      </w:r>
      <w:proofErr w:type="spellStart"/>
      <w:r w:rsidRPr="00225D4D">
        <w:t>tilbod</w:t>
      </w:r>
      <w:proofErr w:type="spellEnd"/>
      <w:r w:rsidRPr="00225D4D">
        <w:t xml:space="preserve"> både i </w:t>
      </w:r>
      <w:proofErr w:type="spellStart"/>
      <w:r w:rsidRPr="00225D4D">
        <w:t>grunnskulen</w:t>
      </w:r>
      <w:proofErr w:type="spellEnd"/>
      <w:r w:rsidRPr="00225D4D">
        <w:t xml:space="preserve"> og </w:t>
      </w:r>
      <w:proofErr w:type="spellStart"/>
      <w:r w:rsidRPr="00225D4D">
        <w:t>vidaregåande</w:t>
      </w:r>
      <w:proofErr w:type="spellEnd"/>
      <w:r w:rsidRPr="00225D4D">
        <w:t xml:space="preserve"> skule</w:t>
      </w:r>
    </w:p>
    <w:p w14:paraId="31D6BB1C" w14:textId="77777777" w:rsidR="00D60186" w:rsidRPr="00225D4D" w:rsidRDefault="00D60186" w:rsidP="00225D4D">
      <w:pPr>
        <w:pStyle w:val="avsnitt-undertittel"/>
      </w:pPr>
      <w:r w:rsidRPr="00225D4D">
        <w:t>Vedtak nr. 735, 5. juni 2023:</w:t>
      </w:r>
    </w:p>
    <w:p w14:paraId="15D4DF4A" w14:textId="77777777" w:rsidR="00D60186" w:rsidRPr="00225D4D" w:rsidRDefault="00D60186" w:rsidP="00225D4D">
      <w:pPr>
        <w:pStyle w:val="blokksit"/>
        <w:rPr>
          <w:rStyle w:val="kursiv"/>
        </w:rPr>
      </w:pPr>
      <w:r w:rsidRPr="00225D4D">
        <w:rPr>
          <w:rStyle w:val="kursiv"/>
        </w:rPr>
        <w:t xml:space="preserve">Stortinget ber regjeringen vurdere å åpne for muligheten til å tilby International </w:t>
      </w:r>
      <w:proofErr w:type="spellStart"/>
      <w:r w:rsidRPr="00225D4D">
        <w:rPr>
          <w:rStyle w:val="kursiv"/>
        </w:rPr>
        <w:t>Baccalaureate</w:t>
      </w:r>
      <w:proofErr w:type="spellEnd"/>
      <w:r w:rsidRPr="00225D4D">
        <w:rPr>
          <w:rStyle w:val="kursiv"/>
        </w:rPr>
        <w:t xml:space="preserve"> (IB) både i grunnskolen og videregående skole, og komme tilbake til Stortinget på egnet måte.</w:t>
      </w:r>
    </w:p>
    <w:p w14:paraId="2286E39D"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57 L (2022–2023) </w:t>
      </w:r>
      <w:r w:rsidRPr="00225D4D">
        <w:rPr>
          <w:rStyle w:val="kursiv"/>
        </w:rPr>
        <w:t xml:space="preserve">Lov om grunnskoleopplæringa og den </w:t>
      </w:r>
      <w:proofErr w:type="spellStart"/>
      <w:r w:rsidRPr="00225D4D">
        <w:rPr>
          <w:rStyle w:val="kursiv"/>
        </w:rPr>
        <w:t>vidaregåande</w:t>
      </w:r>
      <w:proofErr w:type="spellEnd"/>
      <w:r w:rsidRPr="00225D4D">
        <w:rPr>
          <w:rStyle w:val="kursiv"/>
        </w:rPr>
        <w:t xml:space="preserve"> opplæringa (opplæringslova)</w:t>
      </w:r>
      <w:r w:rsidRPr="00225D4D">
        <w:t xml:space="preserve">, jf. </w:t>
      </w:r>
      <w:proofErr w:type="spellStart"/>
      <w:r w:rsidRPr="00225D4D">
        <w:t>Innst</w:t>
      </w:r>
      <w:proofErr w:type="spellEnd"/>
      <w:r w:rsidRPr="00225D4D">
        <w:t>. 442 L (2022–2023).</w:t>
      </w:r>
    </w:p>
    <w:p w14:paraId="2BD6CDAF" w14:textId="77777777" w:rsidR="00D60186" w:rsidRPr="00225D4D" w:rsidRDefault="00D60186" w:rsidP="00225D4D">
      <w:r w:rsidRPr="00225D4D">
        <w:t xml:space="preserve">International </w:t>
      </w:r>
      <w:proofErr w:type="spellStart"/>
      <w:r w:rsidRPr="00225D4D">
        <w:t>Baccalaureate</w:t>
      </w:r>
      <w:proofErr w:type="spellEnd"/>
      <w:r w:rsidRPr="00225D4D">
        <w:t xml:space="preserve"> (IB) er ei internasjonal </w:t>
      </w:r>
      <w:proofErr w:type="spellStart"/>
      <w:r w:rsidRPr="00225D4D">
        <w:t>skulelinje</w:t>
      </w:r>
      <w:proofErr w:type="spellEnd"/>
      <w:r w:rsidRPr="00225D4D">
        <w:t xml:space="preserve"> på både </w:t>
      </w:r>
      <w:proofErr w:type="spellStart"/>
      <w:r w:rsidRPr="00225D4D">
        <w:t>grunnskulenivå</w:t>
      </w:r>
      <w:proofErr w:type="spellEnd"/>
      <w:r w:rsidRPr="00225D4D">
        <w:t xml:space="preserve"> og </w:t>
      </w:r>
      <w:proofErr w:type="spellStart"/>
      <w:r w:rsidRPr="00225D4D">
        <w:t>vidaregåande</w:t>
      </w:r>
      <w:proofErr w:type="spellEnd"/>
      <w:r w:rsidRPr="00225D4D">
        <w:t xml:space="preserve"> nivå som </w:t>
      </w:r>
      <w:proofErr w:type="spellStart"/>
      <w:r w:rsidRPr="00225D4D">
        <w:t>finst</w:t>
      </w:r>
      <w:proofErr w:type="spellEnd"/>
      <w:r w:rsidRPr="00225D4D">
        <w:t xml:space="preserve"> i </w:t>
      </w:r>
      <w:proofErr w:type="spellStart"/>
      <w:r w:rsidRPr="00225D4D">
        <w:t>meir</w:t>
      </w:r>
      <w:proofErr w:type="spellEnd"/>
      <w:r w:rsidRPr="00225D4D">
        <w:t xml:space="preserve"> enn 100 land, inkludert </w:t>
      </w:r>
      <w:proofErr w:type="spellStart"/>
      <w:r w:rsidRPr="00225D4D">
        <w:t>Noreg</w:t>
      </w:r>
      <w:proofErr w:type="spellEnd"/>
      <w:r w:rsidRPr="00225D4D">
        <w:t xml:space="preserve">. </w:t>
      </w:r>
      <w:proofErr w:type="spellStart"/>
      <w:r w:rsidRPr="00225D4D">
        <w:t>Offentlege</w:t>
      </w:r>
      <w:proofErr w:type="spellEnd"/>
      <w:r w:rsidRPr="00225D4D">
        <w:t xml:space="preserve"> </w:t>
      </w:r>
      <w:proofErr w:type="spellStart"/>
      <w:r w:rsidRPr="00225D4D">
        <w:t>grunnskular</w:t>
      </w:r>
      <w:proofErr w:type="spellEnd"/>
      <w:r w:rsidRPr="00225D4D">
        <w:t xml:space="preserve"> kan </w:t>
      </w:r>
      <w:proofErr w:type="spellStart"/>
      <w:r w:rsidRPr="00225D4D">
        <w:t>ikkje</w:t>
      </w:r>
      <w:proofErr w:type="spellEnd"/>
      <w:r w:rsidRPr="00225D4D">
        <w:t xml:space="preserve"> tilby IB, men det er </w:t>
      </w:r>
      <w:proofErr w:type="spellStart"/>
      <w:r w:rsidRPr="00225D4D">
        <w:t>mogleg</w:t>
      </w:r>
      <w:proofErr w:type="spellEnd"/>
      <w:r w:rsidRPr="00225D4D">
        <w:t xml:space="preserve"> for </w:t>
      </w:r>
      <w:proofErr w:type="spellStart"/>
      <w:r w:rsidRPr="00225D4D">
        <w:t>offentlege</w:t>
      </w:r>
      <w:proofErr w:type="spellEnd"/>
      <w:r w:rsidRPr="00225D4D">
        <w:t xml:space="preserve"> </w:t>
      </w:r>
      <w:proofErr w:type="spellStart"/>
      <w:r w:rsidRPr="00225D4D">
        <w:t>vidaregåande</w:t>
      </w:r>
      <w:proofErr w:type="spellEnd"/>
      <w:r w:rsidRPr="00225D4D">
        <w:t xml:space="preserve"> </w:t>
      </w:r>
      <w:proofErr w:type="spellStart"/>
      <w:r w:rsidRPr="00225D4D">
        <w:t>skular</w:t>
      </w:r>
      <w:proofErr w:type="spellEnd"/>
      <w:r w:rsidRPr="00225D4D">
        <w:t xml:space="preserve"> å tilby IB. </w:t>
      </w:r>
      <w:proofErr w:type="spellStart"/>
      <w:r w:rsidRPr="00225D4D">
        <w:t>Skulane</w:t>
      </w:r>
      <w:proofErr w:type="spellEnd"/>
      <w:r w:rsidRPr="00225D4D">
        <w:t xml:space="preserve"> som ønsker å tilby IB, må </w:t>
      </w:r>
      <w:proofErr w:type="spellStart"/>
      <w:r w:rsidRPr="00225D4D">
        <w:t>godkjennast</w:t>
      </w:r>
      <w:proofErr w:type="spellEnd"/>
      <w:r w:rsidRPr="00225D4D">
        <w:t xml:space="preserve"> av IBO (International </w:t>
      </w:r>
      <w:proofErr w:type="spellStart"/>
      <w:r w:rsidRPr="00225D4D">
        <w:t>Baccalaureate</w:t>
      </w:r>
      <w:proofErr w:type="spellEnd"/>
      <w:r w:rsidRPr="00225D4D">
        <w:t xml:space="preserve"> Organization). IB-opplæring </w:t>
      </w:r>
      <w:proofErr w:type="spellStart"/>
      <w:r w:rsidRPr="00225D4D">
        <w:t>inneber</w:t>
      </w:r>
      <w:proofErr w:type="spellEnd"/>
      <w:r w:rsidRPr="00225D4D">
        <w:t xml:space="preserve"> at opplæringa følger </w:t>
      </w:r>
      <w:proofErr w:type="spellStart"/>
      <w:r w:rsidRPr="00225D4D">
        <w:t>dei</w:t>
      </w:r>
      <w:proofErr w:type="spellEnd"/>
      <w:r w:rsidRPr="00225D4D">
        <w:t xml:space="preserve"> internasjonale IB-programma med mellom anna eigne </w:t>
      </w:r>
      <w:proofErr w:type="spellStart"/>
      <w:r w:rsidRPr="00225D4D">
        <w:t>læreplanar</w:t>
      </w:r>
      <w:proofErr w:type="spellEnd"/>
      <w:r w:rsidRPr="00225D4D">
        <w:t xml:space="preserve"> i fag, eiga fag- og timefordeling og engelsk som opplæringsspråk. IB-programma avvik </w:t>
      </w:r>
      <w:proofErr w:type="spellStart"/>
      <w:r w:rsidRPr="00225D4D">
        <w:t>frå</w:t>
      </w:r>
      <w:proofErr w:type="spellEnd"/>
      <w:r w:rsidRPr="00225D4D">
        <w:t xml:space="preserve"> den norske inndelinga av </w:t>
      </w:r>
      <w:proofErr w:type="spellStart"/>
      <w:r w:rsidRPr="00225D4D">
        <w:t>skuleslag</w:t>
      </w:r>
      <w:proofErr w:type="spellEnd"/>
      <w:r w:rsidRPr="00225D4D">
        <w:t xml:space="preserve"> og skuletrinn. IB-programmet PYP (1–6) kan </w:t>
      </w:r>
      <w:proofErr w:type="spellStart"/>
      <w:r w:rsidRPr="00225D4D">
        <w:t>samanliknast</w:t>
      </w:r>
      <w:proofErr w:type="spellEnd"/>
      <w:r w:rsidRPr="00225D4D">
        <w:t xml:space="preserve"> med 1. til 6. trinn i norsk </w:t>
      </w:r>
      <w:proofErr w:type="spellStart"/>
      <w:r w:rsidRPr="00225D4D">
        <w:t>grunnskule</w:t>
      </w:r>
      <w:proofErr w:type="spellEnd"/>
      <w:r w:rsidRPr="00225D4D">
        <w:t xml:space="preserve">, IB-programmet MYP (1–5) kan </w:t>
      </w:r>
      <w:proofErr w:type="spellStart"/>
      <w:r w:rsidRPr="00225D4D">
        <w:t>samanliknast</w:t>
      </w:r>
      <w:proofErr w:type="spellEnd"/>
      <w:r w:rsidRPr="00225D4D">
        <w:t xml:space="preserve"> med 7. til 10. trinn i norsk </w:t>
      </w:r>
      <w:proofErr w:type="spellStart"/>
      <w:r w:rsidRPr="00225D4D">
        <w:t>grunnskule</w:t>
      </w:r>
      <w:proofErr w:type="spellEnd"/>
      <w:r w:rsidRPr="00225D4D">
        <w:t xml:space="preserve">, og IB-programmet DP kan </w:t>
      </w:r>
      <w:proofErr w:type="spellStart"/>
      <w:r w:rsidRPr="00225D4D">
        <w:t>samanliknast</w:t>
      </w:r>
      <w:proofErr w:type="spellEnd"/>
      <w:r w:rsidRPr="00225D4D">
        <w:t xml:space="preserve"> med vg2 og vg3 i norsk </w:t>
      </w:r>
      <w:proofErr w:type="spellStart"/>
      <w:r w:rsidRPr="00225D4D">
        <w:t>vidaregåande</w:t>
      </w:r>
      <w:proofErr w:type="spellEnd"/>
      <w:r w:rsidRPr="00225D4D">
        <w:t xml:space="preserve"> opplæring.</w:t>
      </w:r>
    </w:p>
    <w:p w14:paraId="6A9D8FA2" w14:textId="77777777" w:rsidR="00D60186" w:rsidRPr="00225D4D" w:rsidRDefault="00D60186" w:rsidP="00225D4D">
      <w:r w:rsidRPr="00225D4D">
        <w:t xml:space="preserve">Departementet har i arbeidet med å følge opp oppmodingsvedtaket innhenta </w:t>
      </w:r>
      <w:proofErr w:type="spellStart"/>
      <w:r w:rsidRPr="00225D4D">
        <w:t>innspel</w:t>
      </w:r>
      <w:proofErr w:type="spellEnd"/>
      <w:r w:rsidRPr="00225D4D">
        <w:t xml:space="preserve"> </w:t>
      </w:r>
      <w:proofErr w:type="spellStart"/>
      <w:r w:rsidRPr="00225D4D">
        <w:t>frå</w:t>
      </w:r>
      <w:proofErr w:type="spellEnd"/>
      <w:r w:rsidRPr="00225D4D">
        <w:t xml:space="preserve"> </w:t>
      </w:r>
      <w:proofErr w:type="spellStart"/>
      <w:r w:rsidRPr="00225D4D">
        <w:t>statsforvaltarane</w:t>
      </w:r>
      <w:proofErr w:type="spellEnd"/>
      <w:r w:rsidRPr="00225D4D">
        <w:t xml:space="preserve">, </w:t>
      </w:r>
      <w:proofErr w:type="spellStart"/>
      <w:r w:rsidRPr="00225D4D">
        <w:t>fylkeskommunane</w:t>
      </w:r>
      <w:proofErr w:type="spellEnd"/>
      <w:r w:rsidRPr="00225D4D">
        <w:t>, KS, Norwegian IB Schools (NIBS) og Abelia.</w:t>
      </w:r>
    </w:p>
    <w:p w14:paraId="399C2A9F" w14:textId="77777777" w:rsidR="00D60186" w:rsidRPr="00225D4D" w:rsidRDefault="00D60186" w:rsidP="00225D4D">
      <w:pPr>
        <w:pStyle w:val="avsnitt-under-undertittel"/>
      </w:pPr>
      <w:proofErr w:type="spellStart"/>
      <w:r w:rsidRPr="00225D4D">
        <w:t>Grunnskulen</w:t>
      </w:r>
      <w:proofErr w:type="spellEnd"/>
    </w:p>
    <w:p w14:paraId="371BD766" w14:textId="43BDDB7F" w:rsidR="00D60186" w:rsidRPr="00225D4D" w:rsidRDefault="00D60186" w:rsidP="00225D4D">
      <w:proofErr w:type="spellStart"/>
      <w:r w:rsidRPr="00225D4D">
        <w:t>Kommunane</w:t>
      </w:r>
      <w:proofErr w:type="spellEnd"/>
      <w:r w:rsidRPr="00225D4D">
        <w:t xml:space="preserve"> kan </w:t>
      </w:r>
      <w:proofErr w:type="spellStart"/>
      <w:r w:rsidRPr="00225D4D">
        <w:t>ikkje</w:t>
      </w:r>
      <w:proofErr w:type="spellEnd"/>
      <w:r w:rsidRPr="00225D4D">
        <w:t xml:space="preserve"> tilby internasjonal opplæring som del av den </w:t>
      </w:r>
      <w:proofErr w:type="spellStart"/>
      <w:r w:rsidRPr="00225D4D">
        <w:t>offentlege</w:t>
      </w:r>
      <w:proofErr w:type="spellEnd"/>
      <w:r w:rsidRPr="00225D4D">
        <w:t xml:space="preserve"> </w:t>
      </w:r>
      <w:proofErr w:type="spellStart"/>
      <w:r w:rsidRPr="00225D4D">
        <w:t>grunnskulen</w:t>
      </w:r>
      <w:proofErr w:type="spellEnd"/>
      <w:r w:rsidRPr="00225D4D">
        <w:t xml:space="preserve"> i </w:t>
      </w:r>
      <w:proofErr w:type="spellStart"/>
      <w:r w:rsidRPr="00225D4D">
        <w:t>Noreg</w:t>
      </w:r>
      <w:proofErr w:type="spellEnd"/>
      <w:r w:rsidRPr="00225D4D">
        <w:t xml:space="preserve"> i dag, fordi det følger av </w:t>
      </w:r>
      <w:proofErr w:type="spellStart"/>
      <w:r w:rsidRPr="00225D4D">
        <w:t>opplæringslova</w:t>
      </w:r>
      <w:proofErr w:type="spellEnd"/>
      <w:r w:rsidRPr="00225D4D">
        <w:t xml:space="preserve"> § 2</w:t>
      </w:r>
      <w:r w:rsidR="00225D4D">
        <w:t>-</w:t>
      </w:r>
      <w:r w:rsidRPr="00225D4D">
        <w:t xml:space="preserve">3 første ledd at den </w:t>
      </w:r>
      <w:proofErr w:type="spellStart"/>
      <w:r w:rsidRPr="00225D4D">
        <w:t>offentlege</w:t>
      </w:r>
      <w:proofErr w:type="spellEnd"/>
      <w:r w:rsidRPr="00225D4D">
        <w:t xml:space="preserve"> </w:t>
      </w:r>
      <w:proofErr w:type="spellStart"/>
      <w:r w:rsidRPr="00225D4D">
        <w:t>grunnskuleopplæringa</w:t>
      </w:r>
      <w:proofErr w:type="spellEnd"/>
      <w:r w:rsidRPr="00225D4D">
        <w:t xml:space="preserve"> skal følge norske </w:t>
      </w:r>
      <w:proofErr w:type="spellStart"/>
      <w:r w:rsidRPr="00225D4D">
        <w:t>læreplanar</w:t>
      </w:r>
      <w:proofErr w:type="spellEnd"/>
      <w:r w:rsidRPr="00225D4D">
        <w:t xml:space="preserve">, fag- og timefordeling og så </w:t>
      </w:r>
      <w:proofErr w:type="spellStart"/>
      <w:r w:rsidRPr="00225D4D">
        <w:t>vidare</w:t>
      </w:r>
      <w:proofErr w:type="spellEnd"/>
      <w:r w:rsidRPr="00225D4D">
        <w:t xml:space="preserve">. Private </w:t>
      </w:r>
      <w:proofErr w:type="spellStart"/>
      <w:r w:rsidRPr="00225D4D">
        <w:t>grunnskular</w:t>
      </w:r>
      <w:proofErr w:type="spellEnd"/>
      <w:r w:rsidRPr="00225D4D">
        <w:t xml:space="preserve"> kan tilby IB ved godkjenning etter godkjenningsgrunnlaget «internasjonalt» i </w:t>
      </w:r>
      <w:proofErr w:type="spellStart"/>
      <w:r w:rsidRPr="00225D4D">
        <w:t>privatskulelova</w:t>
      </w:r>
      <w:proofErr w:type="spellEnd"/>
      <w:r w:rsidRPr="00225D4D">
        <w:t xml:space="preserve"> § 2-1, eller med godkjenning etter </w:t>
      </w:r>
      <w:proofErr w:type="spellStart"/>
      <w:r w:rsidRPr="00225D4D">
        <w:t>opplæringslova</w:t>
      </w:r>
      <w:proofErr w:type="spellEnd"/>
      <w:r w:rsidRPr="00225D4D">
        <w:t xml:space="preserve"> § 22</w:t>
      </w:r>
      <w:r w:rsidR="00225D4D">
        <w:t>-</w:t>
      </w:r>
      <w:r w:rsidRPr="00225D4D">
        <w:t>1.</w:t>
      </w:r>
    </w:p>
    <w:p w14:paraId="42234264" w14:textId="77777777" w:rsidR="00D60186" w:rsidRPr="00225D4D" w:rsidRDefault="00D60186" w:rsidP="00225D4D">
      <w:r w:rsidRPr="00225D4D">
        <w:t xml:space="preserve">Etter departementets vurdering er det reint prinsipielt problematisk at </w:t>
      </w:r>
      <w:proofErr w:type="spellStart"/>
      <w:r w:rsidRPr="00225D4D">
        <w:t>eit</w:t>
      </w:r>
      <w:proofErr w:type="spellEnd"/>
      <w:r w:rsidRPr="00225D4D">
        <w:t xml:space="preserve"> </w:t>
      </w:r>
      <w:proofErr w:type="spellStart"/>
      <w:r w:rsidRPr="00225D4D">
        <w:t>skuletilbod</w:t>
      </w:r>
      <w:proofErr w:type="spellEnd"/>
      <w:r w:rsidRPr="00225D4D">
        <w:t xml:space="preserve"> som </w:t>
      </w:r>
      <w:proofErr w:type="spellStart"/>
      <w:r w:rsidRPr="00225D4D">
        <w:t>ikkje</w:t>
      </w:r>
      <w:proofErr w:type="spellEnd"/>
      <w:r w:rsidRPr="00225D4D">
        <w:t xml:space="preserve"> følger norske </w:t>
      </w:r>
      <w:proofErr w:type="spellStart"/>
      <w:r w:rsidRPr="00225D4D">
        <w:t>læreplanar</w:t>
      </w:r>
      <w:proofErr w:type="spellEnd"/>
      <w:r w:rsidRPr="00225D4D">
        <w:t xml:space="preserve"> og fag- og timefordeling, skal kunne inngå i den </w:t>
      </w:r>
      <w:proofErr w:type="spellStart"/>
      <w:r w:rsidRPr="00225D4D">
        <w:t>offentlege</w:t>
      </w:r>
      <w:proofErr w:type="spellEnd"/>
      <w:r w:rsidRPr="00225D4D">
        <w:t xml:space="preserve"> norske </w:t>
      </w:r>
      <w:proofErr w:type="spellStart"/>
      <w:r w:rsidRPr="00225D4D">
        <w:t>grunnskuleopplæringa</w:t>
      </w:r>
      <w:proofErr w:type="spellEnd"/>
      <w:r w:rsidRPr="00225D4D">
        <w:t xml:space="preserve">. Norske </w:t>
      </w:r>
      <w:proofErr w:type="spellStart"/>
      <w:r w:rsidRPr="00225D4D">
        <w:t>myndigheiter</w:t>
      </w:r>
      <w:proofErr w:type="spellEnd"/>
      <w:r w:rsidRPr="00225D4D">
        <w:t xml:space="preserve"> har i utgangspunktet ingen </w:t>
      </w:r>
      <w:proofErr w:type="spellStart"/>
      <w:r w:rsidRPr="00225D4D">
        <w:t>innverknad</w:t>
      </w:r>
      <w:proofErr w:type="spellEnd"/>
      <w:r w:rsidRPr="00225D4D">
        <w:t xml:space="preserve"> på </w:t>
      </w:r>
      <w:proofErr w:type="spellStart"/>
      <w:r w:rsidRPr="00225D4D">
        <w:t>innhaldet</w:t>
      </w:r>
      <w:proofErr w:type="spellEnd"/>
      <w:r w:rsidRPr="00225D4D">
        <w:t xml:space="preserve"> i IB-opplæringa, og det vil utfordre kva som skal </w:t>
      </w:r>
      <w:proofErr w:type="spellStart"/>
      <w:r w:rsidRPr="00225D4D">
        <w:t>vere</w:t>
      </w:r>
      <w:proofErr w:type="spellEnd"/>
      <w:r w:rsidRPr="00225D4D">
        <w:t xml:space="preserve"> felles av </w:t>
      </w:r>
      <w:proofErr w:type="spellStart"/>
      <w:r w:rsidRPr="00225D4D">
        <w:t>innhaldet</w:t>
      </w:r>
      <w:proofErr w:type="spellEnd"/>
      <w:r w:rsidRPr="00225D4D">
        <w:t xml:space="preserve"> i den </w:t>
      </w:r>
      <w:proofErr w:type="spellStart"/>
      <w:r w:rsidRPr="00225D4D">
        <w:t>offentlege</w:t>
      </w:r>
      <w:proofErr w:type="spellEnd"/>
      <w:r w:rsidRPr="00225D4D">
        <w:t xml:space="preserve"> </w:t>
      </w:r>
      <w:proofErr w:type="spellStart"/>
      <w:r w:rsidRPr="00225D4D">
        <w:t>skulen</w:t>
      </w:r>
      <w:proofErr w:type="spellEnd"/>
      <w:r w:rsidRPr="00225D4D">
        <w:t xml:space="preserve">, og dermed kunne vatne ut den norske </w:t>
      </w:r>
      <w:proofErr w:type="spellStart"/>
      <w:r w:rsidRPr="00225D4D">
        <w:t>fellesskulen</w:t>
      </w:r>
      <w:proofErr w:type="spellEnd"/>
      <w:r w:rsidRPr="00225D4D">
        <w:t xml:space="preserve">. Regjeringa meiner at norske </w:t>
      </w:r>
      <w:proofErr w:type="spellStart"/>
      <w:r w:rsidRPr="00225D4D">
        <w:t>myndigheiter</w:t>
      </w:r>
      <w:proofErr w:type="spellEnd"/>
      <w:r w:rsidRPr="00225D4D">
        <w:t xml:space="preserve"> bør ha kontroll på </w:t>
      </w:r>
      <w:proofErr w:type="spellStart"/>
      <w:r w:rsidRPr="00225D4D">
        <w:t>grunnskuleopplæringa</w:t>
      </w:r>
      <w:proofErr w:type="spellEnd"/>
      <w:r w:rsidRPr="00225D4D">
        <w:t xml:space="preserve"> som er </w:t>
      </w:r>
      <w:proofErr w:type="spellStart"/>
      <w:r w:rsidRPr="00225D4D">
        <w:t>eit</w:t>
      </w:r>
      <w:proofErr w:type="spellEnd"/>
      <w:r w:rsidRPr="00225D4D">
        <w:t xml:space="preserve"> </w:t>
      </w:r>
      <w:proofErr w:type="spellStart"/>
      <w:r w:rsidRPr="00225D4D">
        <w:t>offentleg</w:t>
      </w:r>
      <w:proofErr w:type="spellEnd"/>
      <w:r w:rsidRPr="00225D4D">
        <w:t xml:space="preserve"> </w:t>
      </w:r>
      <w:proofErr w:type="spellStart"/>
      <w:r w:rsidRPr="00225D4D">
        <w:t>tilbod</w:t>
      </w:r>
      <w:proofErr w:type="spellEnd"/>
      <w:r w:rsidRPr="00225D4D">
        <w:t>.</w:t>
      </w:r>
    </w:p>
    <w:p w14:paraId="5DB6C41A" w14:textId="77777777" w:rsidR="00D60186" w:rsidRPr="00225D4D" w:rsidRDefault="00D60186" w:rsidP="00225D4D">
      <w:r w:rsidRPr="00225D4D">
        <w:t xml:space="preserve">I tillegg viser kunnskapsgrunnlaget at IB </w:t>
      </w:r>
      <w:proofErr w:type="spellStart"/>
      <w:r w:rsidRPr="00225D4D">
        <w:t>ikkje</w:t>
      </w:r>
      <w:proofErr w:type="spellEnd"/>
      <w:r w:rsidRPr="00225D4D">
        <w:t xml:space="preserve"> kan </w:t>
      </w:r>
      <w:proofErr w:type="spellStart"/>
      <w:r w:rsidRPr="00225D4D">
        <w:t>reknast</w:t>
      </w:r>
      <w:proofErr w:type="spellEnd"/>
      <w:r w:rsidRPr="00225D4D">
        <w:t xml:space="preserve"> som </w:t>
      </w:r>
      <w:proofErr w:type="spellStart"/>
      <w:r w:rsidRPr="00225D4D">
        <w:t>tilstrekkeleg</w:t>
      </w:r>
      <w:proofErr w:type="spellEnd"/>
      <w:r w:rsidRPr="00225D4D">
        <w:t xml:space="preserve"> </w:t>
      </w:r>
      <w:proofErr w:type="spellStart"/>
      <w:r w:rsidRPr="00225D4D">
        <w:t>inkluderande</w:t>
      </w:r>
      <w:proofErr w:type="spellEnd"/>
      <w:r w:rsidRPr="00225D4D">
        <w:t xml:space="preserve">. Østlandsforskning har evaluert </w:t>
      </w:r>
      <w:proofErr w:type="spellStart"/>
      <w:r w:rsidRPr="00225D4D">
        <w:t>eit</w:t>
      </w:r>
      <w:proofErr w:type="spellEnd"/>
      <w:r w:rsidRPr="00225D4D">
        <w:t xml:space="preserve"> forsøk med IB i </w:t>
      </w:r>
      <w:proofErr w:type="spellStart"/>
      <w:r w:rsidRPr="00225D4D">
        <w:t>grunnskulen</w:t>
      </w:r>
      <w:proofErr w:type="spellEnd"/>
      <w:r w:rsidRPr="00225D4D">
        <w:t xml:space="preserve"> i Oslo kommune og leverte sluttrapport om dette i august 2022 (</w:t>
      </w:r>
      <w:r w:rsidRPr="00225D4D">
        <w:rPr>
          <w:rStyle w:val="kursiv"/>
        </w:rPr>
        <w:t>Evaluering av forsøket med grunnskoletilbud etter IB-læreplaner i Oslo kommune</w:t>
      </w:r>
      <w:r w:rsidRPr="00225D4D">
        <w:t xml:space="preserve">, Skriftserien 21-2022). </w:t>
      </w:r>
      <w:proofErr w:type="spellStart"/>
      <w:r w:rsidRPr="00225D4D">
        <w:t>Sjølv</w:t>
      </w:r>
      <w:proofErr w:type="spellEnd"/>
      <w:r w:rsidRPr="00225D4D">
        <w:t xml:space="preserve"> om Østlandsforskning viser til </w:t>
      </w:r>
      <w:proofErr w:type="spellStart"/>
      <w:r w:rsidRPr="00225D4D">
        <w:t>fleire</w:t>
      </w:r>
      <w:proofErr w:type="spellEnd"/>
      <w:r w:rsidRPr="00225D4D">
        <w:t xml:space="preserve"> positive sider ved forsøket, </w:t>
      </w:r>
      <w:proofErr w:type="spellStart"/>
      <w:r w:rsidRPr="00225D4D">
        <w:t>peikar</w:t>
      </w:r>
      <w:proofErr w:type="spellEnd"/>
      <w:r w:rsidRPr="00225D4D">
        <w:t xml:space="preserve"> </w:t>
      </w:r>
      <w:proofErr w:type="spellStart"/>
      <w:r w:rsidRPr="00225D4D">
        <w:t>dei</w:t>
      </w:r>
      <w:proofErr w:type="spellEnd"/>
      <w:r w:rsidRPr="00225D4D">
        <w:t xml:space="preserve"> på enkelte </w:t>
      </w:r>
      <w:proofErr w:type="spellStart"/>
      <w:r w:rsidRPr="00225D4D">
        <w:t>utfordringar</w:t>
      </w:r>
      <w:proofErr w:type="spellEnd"/>
      <w:r w:rsidRPr="00225D4D">
        <w:t xml:space="preserve"> med IB-opplæring i </w:t>
      </w:r>
      <w:proofErr w:type="spellStart"/>
      <w:r w:rsidRPr="00225D4D">
        <w:t>grunnskuletilbodet</w:t>
      </w:r>
      <w:proofErr w:type="spellEnd"/>
      <w:r w:rsidRPr="00225D4D">
        <w:t xml:space="preserve"> til kommunen. Dei viser mellom anna til </w:t>
      </w:r>
      <w:proofErr w:type="spellStart"/>
      <w:r w:rsidRPr="00225D4D">
        <w:t>utfordringar</w:t>
      </w:r>
      <w:proofErr w:type="spellEnd"/>
      <w:r w:rsidRPr="00225D4D">
        <w:t xml:space="preserve"> med å nå ut til ei brei samfunnsgruppe, </w:t>
      </w:r>
      <w:proofErr w:type="spellStart"/>
      <w:r w:rsidRPr="00225D4D">
        <w:t>sidan</w:t>
      </w:r>
      <w:proofErr w:type="spellEnd"/>
      <w:r w:rsidRPr="00225D4D">
        <w:t xml:space="preserve"> </w:t>
      </w:r>
      <w:proofErr w:type="spellStart"/>
      <w:r w:rsidRPr="00225D4D">
        <w:t>foreldra</w:t>
      </w:r>
      <w:proofErr w:type="spellEnd"/>
      <w:r w:rsidRPr="00225D4D">
        <w:t xml:space="preserve"> til barna som er med på forsøksordninga, har </w:t>
      </w:r>
      <w:proofErr w:type="spellStart"/>
      <w:r w:rsidRPr="00225D4D">
        <w:t>høgare</w:t>
      </w:r>
      <w:proofErr w:type="spellEnd"/>
      <w:r w:rsidRPr="00225D4D">
        <w:t xml:space="preserve"> utdanning og inntekt enn gjennomsnittet i Oslo. Østlandsforskning </w:t>
      </w:r>
      <w:proofErr w:type="spellStart"/>
      <w:r w:rsidRPr="00225D4D">
        <w:t>peika</w:t>
      </w:r>
      <w:proofErr w:type="spellEnd"/>
      <w:r w:rsidRPr="00225D4D">
        <w:t xml:space="preserve"> òg på </w:t>
      </w:r>
      <w:proofErr w:type="spellStart"/>
      <w:r w:rsidRPr="00225D4D">
        <w:t>manglande</w:t>
      </w:r>
      <w:proofErr w:type="spellEnd"/>
      <w:r w:rsidRPr="00225D4D">
        <w:t xml:space="preserve"> sosial omgang mellom IB-</w:t>
      </w:r>
      <w:proofErr w:type="spellStart"/>
      <w:r w:rsidRPr="00225D4D">
        <w:t>elevar</w:t>
      </w:r>
      <w:proofErr w:type="spellEnd"/>
      <w:r w:rsidRPr="00225D4D">
        <w:t xml:space="preserve"> og ordinære </w:t>
      </w:r>
      <w:proofErr w:type="spellStart"/>
      <w:r w:rsidRPr="00225D4D">
        <w:t>elevar</w:t>
      </w:r>
      <w:proofErr w:type="spellEnd"/>
      <w:r w:rsidRPr="00225D4D">
        <w:t xml:space="preserve"> som ei utfordring i forsøket i Oslo, og at IB blir opplevd som «</w:t>
      </w:r>
      <w:proofErr w:type="spellStart"/>
      <w:r w:rsidRPr="00225D4D">
        <w:t>ein</w:t>
      </w:r>
      <w:proofErr w:type="spellEnd"/>
      <w:r w:rsidRPr="00225D4D">
        <w:t xml:space="preserve"> skule i </w:t>
      </w:r>
      <w:proofErr w:type="spellStart"/>
      <w:r w:rsidRPr="00225D4D">
        <w:t>skulen</w:t>
      </w:r>
      <w:proofErr w:type="spellEnd"/>
      <w:r w:rsidRPr="00225D4D">
        <w:t>».</w:t>
      </w:r>
    </w:p>
    <w:p w14:paraId="478E081D" w14:textId="77777777" w:rsidR="00D60186" w:rsidRPr="00225D4D" w:rsidRDefault="00D60186" w:rsidP="00225D4D">
      <w:r w:rsidRPr="00225D4D">
        <w:t xml:space="preserve">I tillegg vil </w:t>
      </w:r>
      <w:proofErr w:type="spellStart"/>
      <w:r w:rsidRPr="00225D4D">
        <w:t>eit</w:t>
      </w:r>
      <w:proofErr w:type="spellEnd"/>
      <w:r w:rsidRPr="00225D4D">
        <w:t xml:space="preserve"> </w:t>
      </w:r>
      <w:proofErr w:type="spellStart"/>
      <w:r w:rsidRPr="00225D4D">
        <w:t>offentleg</w:t>
      </w:r>
      <w:proofErr w:type="spellEnd"/>
      <w:r w:rsidRPr="00225D4D">
        <w:t xml:space="preserve"> IB-</w:t>
      </w:r>
      <w:proofErr w:type="spellStart"/>
      <w:r w:rsidRPr="00225D4D">
        <w:t>tilbod</w:t>
      </w:r>
      <w:proofErr w:type="spellEnd"/>
      <w:r w:rsidRPr="00225D4D">
        <w:t xml:space="preserve"> kunne legge press på kommuneøkonomi og </w:t>
      </w:r>
      <w:proofErr w:type="spellStart"/>
      <w:r w:rsidRPr="00225D4D">
        <w:t>lærarressursar</w:t>
      </w:r>
      <w:proofErr w:type="spellEnd"/>
      <w:r w:rsidRPr="00225D4D">
        <w:t xml:space="preserve">. </w:t>
      </w:r>
      <w:proofErr w:type="spellStart"/>
      <w:r w:rsidRPr="00225D4D">
        <w:t>Kommunane</w:t>
      </w:r>
      <w:proofErr w:type="spellEnd"/>
      <w:r w:rsidRPr="00225D4D">
        <w:t xml:space="preserve"> må </w:t>
      </w:r>
      <w:proofErr w:type="spellStart"/>
      <w:r w:rsidRPr="00225D4D">
        <w:t>rekne</w:t>
      </w:r>
      <w:proofErr w:type="spellEnd"/>
      <w:r w:rsidRPr="00225D4D">
        <w:t xml:space="preserve"> med </w:t>
      </w:r>
      <w:proofErr w:type="spellStart"/>
      <w:r w:rsidRPr="00225D4D">
        <w:t>ein</w:t>
      </w:r>
      <w:proofErr w:type="spellEnd"/>
      <w:r w:rsidRPr="00225D4D">
        <w:t xml:space="preserve"> </w:t>
      </w:r>
      <w:proofErr w:type="spellStart"/>
      <w:r w:rsidRPr="00225D4D">
        <w:t>monaleg</w:t>
      </w:r>
      <w:proofErr w:type="spellEnd"/>
      <w:r w:rsidRPr="00225D4D">
        <w:t xml:space="preserve"> </w:t>
      </w:r>
      <w:proofErr w:type="spellStart"/>
      <w:r w:rsidRPr="00225D4D">
        <w:t>meirkostnad</w:t>
      </w:r>
      <w:proofErr w:type="spellEnd"/>
      <w:r w:rsidRPr="00225D4D">
        <w:t xml:space="preserve"> for IB-opplæring </w:t>
      </w:r>
      <w:proofErr w:type="spellStart"/>
      <w:r w:rsidRPr="00225D4D">
        <w:t>samanlikna</w:t>
      </w:r>
      <w:proofErr w:type="spellEnd"/>
      <w:r w:rsidRPr="00225D4D">
        <w:t xml:space="preserve"> med </w:t>
      </w:r>
      <w:proofErr w:type="spellStart"/>
      <w:r w:rsidRPr="00225D4D">
        <w:t>alminneleg</w:t>
      </w:r>
      <w:proofErr w:type="spellEnd"/>
      <w:r w:rsidRPr="00225D4D">
        <w:t xml:space="preserve"> </w:t>
      </w:r>
      <w:proofErr w:type="spellStart"/>
      <w:r w:rsidRPr="00225D4D">
        <w:t>grunnskuleopplæring</w:t>
      </w:r>
      <w:proofErr w:type="spellEnd"/>
      <w:r w:rsidRPr="00225D4D">
        <w:t xml:space="preserve">. Relevante kostnader er mellom anna årskontingent til IBO og kursing av </w:t>
      </w:r>
      <w:proofErr w:type="spellStart"/>
      <w:r w:rsidRPr="00225D4D">
        <w:t>lærarar</w:t>
      </w:r>
      <w:proofErr w:type="spellEnd"/>
      <w:r w:rsidRPr="00225D4D">
        <w:t xml:space="preserve">. I tillegg gjennomfører IBO ei «5 </w:t>
      </w:r>
      <w:proofErr w:type="spellStart"/>
      <w:r w:rsidRPr="00225D4D">
        <w:t>year</w:t>
      </w:r>
      <w:proofErr w:type="spellEnd"/>
      <w:r w:rsidRPr="00225D4D">
        <w:t xml:space="preserve"> </w:t>
      </w:r>
      <w:proofErr w:type="spellStart"/>
      <w:r w:rsidRPr="00225D4D">
        <w:t>evaluation</w:t>
      </w:r>
      <w:proofErr w:type="spellEnd"/>
      <w:r w:rsidRPr="00225D4D">
        <w:t xml:space="preserve">», som </w:t>
      </w:r>
      <w:proofErr w:type="spellStart"/>
      <w:r w:rsidRPr="00225D4D">
        <w:t>inneber</w:t>
      </w:r>
      <w:proofErr w:type="spellEnd"/>
      <w:r w:rsidRPr="00225D4D">
        <w:t xml:space="preserve"> tilsyn og kontroll av ei rekke krav. Norwegian IB Schools (NIBS) har spelt inn at dette </w:t>
      </w:r>
      <w:proofErr w:type="spellStart"/>
      <w:r w:rsidRPr="00225D4D">
        <w:t>sikrar</w:t>
      </w:r>
      <w:proofErr w:type="spellEnd"/>
      <w:r w:rsidRPr="00225D4D">
        <w:t xml:space="preserve"> god kvalitet i opplæringa, men at evalueringa tidvis krev </w:t>
      </w:r>
      <w:proofErr w:type="spellStart"/>
      <w:r w:rsidRPr="00225D4D">
        <w:t>mykje</w:t>
      </w:r>
      <w:proofErr w:type="spellEnd"/>
      <w:r w:rsidRPr="00225D4D">
        <w:t xml:space="preserve"> ressursbruk </w:t>
      </w:r>
      <w:proofErr w:type="spellStart"/>
      <w:r w:rsidRPr="00225D4D">
        <w:t>frå</w:t>
      </w:r>
      <w:proofErr w:type="spellEnd"/>
      <w:r w:rsidRPr="00225D4D">
        <w:t xml:space="preserve"> </w:t>
      </w:r>
      <w:proofErr w:type="spellStart"/>
      <w:r w:rsidRPr="00225D4D">
        <w:t>skulane</w:t>
      </w:r>
      <w:proofErr w:type="spellEnd"/>
      <w:r w:rsidRPr="00225D4D">
        <w:t xml:space="preserve">. Totalt sett vil IB-opplæring </w:t>
      </w:r>
      <w:proofErr w:type="spellStart"/>
      <w:r w:rsidRPr="00225D4D">
        <w:t>krevje</w:t>
      </w:r>
      <w:proofErr w:type="spellEnd"/>
      <w:r w:rsidRPr="00225D4D">
        <w:t xml:space="preserve"> </w:t>
      </w:r>
      <w:proofErr w:type="spellStart"/>
      <w:r w:rsidRPr="00225D4D">
        <w:t>ein</w:t>
      </w:r>
      <w:proofErr w:type="spellEnd"/>
      <w:r w:rsidRPr="00225D4D">
        <w:t xml:space="preserve"> del </w:t>
      </w:r>
      <w:proofErr w:type="spellStart"/>
      <w:r w:rsidRPr="00225D4D">
        <w:t>ressursar</w:t>
      </w:r>
      <w:proofErr w:type="spellEnd"/>
      <w:r w:rsidRPr="00225D4D">
        <w:t xml:space="preserve"> som kan gå ut over den ordinære opplæringa i kommunen.</w:t>
      </w:r>
    </w:p>
    <w:p w14:paraId="2EDA253D" w14:textId="77777777" w:rsidR="00D60186" w:rsidRPr="00225D4D" w:rsidRDefault="00D60186" w:rsidP="00225D4D">
      <w:r w:rsidRPr="00225D4D">
        <w:t xml:space="preserve">Departementet meiner det er realistisk at </w:t>
      </w:r>
      <w:proofErr w:type="spellStart"/>
      <w:r w:rsidRPr="00225D4D">
        <w:t>berre</w:t>
      </w:r>
      <w:proofErr w:type="spellEnd"/>
      <w:r w:rsidRPr="00225D4D">
        <w:t xml:space="preserve"> </w:t>
      </w:r>
      <w:proofErr w:type="spellStart"/>
      <w:r w:rsidRPr="00225D4D">
        <w:t>dei</w:t>
      </w:r>
      <w:proofErr w:type="spellEnd"/>
      <w:r w:rsidRPr="00225D4D">
        <w:t xml:space="preserve"> største og/eller mest sentrale </w:t>
      </w:r>
      <w:proofErr w:type="spellStart"/>
      <w:r w:rsidRPr="00225D4D">
        <w:t>kommunane</w:t>
      </w:r>
      <w:proofErr w:type="spellEnd"/>
      <w:r w:rsidRPr="00225D4D">
        <w:t xml:space="preserve"> vil kunne tilby IB-opplæring, både på grunn av behov for </w:t>
      </w:r>
      <w:proofErr w:type="spellStart"/>
      <w:r w:rsidRPr="00225D4D">
        <w:t>ressursar</w:t>
      </w:r>
      <w:proofErr w:type="spellEnd"/>
      <w:r w:rsidRPr="00225D4D">
        <w:t xml:space="preserve"> (økonomi og kompetanse) og med tanke på elevgrunnlag. Dette kan gi store </w:t>
      </w:r>
      <w:proofErr w:type="spellStart"/>
      <w:r w:rsidRPr="00225D4D">
        <w:t>forskjellar</w:t>
      </w:r>
      <w:proofErr w:type="spellEnd"/>
      <w:r w:rsidRPr="00225D4D">
        <w:t xml:space="preserve"> i </w:t>
      </w:r>
      <w:proofErr w:type="spellStart"/>
      <w:r w:rsidRPr="00225D4D">
        <w:t>tilbodet</w:t>
      </w:r>
      <w:proofErr w:type="spellEnd"/>
      <w:r w:rsidRPr="00225D4D">
        <w:t xml:space="preserve"> ut </w:t>
      </w:r>
      <w:proofErr w:type="spellStart"/>
      <w:r w:rsidRPr="00225D4D">
        <w:t>frå</w:t>
      </w:r>
      <w:proofErr w:type="spellEnd"/>
      <w:r w:rsidRPr="00225D4D">
        <w:t xml:space="preserve"> bustad.</w:t>
      </w:r>
    </w:p>
    <w:p w14:paraId="01D373CC" w14:textId="77777777" w:rsidR="00D60186" w:rsidRPr="00225D4D" w:rsidRDefault="00D60186" w:rsidP="00225D4D">
      <w:r w:rsidRPr="00225D4D">
        <w:t xml:space="preserve">Departementet meiner </w:t>
      </w:r>
      <w:proofErr w:type="spellStart"/>
      <w:r w:rsidRPr="00225D4D">
        <w:t>vidare</w:t>
      </w:r>
      <w:proofErr w:type="spellEnd"/>
      <w:r w:rsidRPr="00225D4D">
        <w:t xml:space="preserve"> at det reelle behovet for IB-</w:t>
      </w:r>
      <w:proofErr w:type="spellStart"/>
      <w:r w:rsidRPr="00225D4D">
        <w:t>tilbod</w:t>
      </w:r>
      <w:proofErr w:type="spellEnd"/>
      <w:r w:rsidRPr="00225D4D">
        <w:t xml:space="preserve"> i den </w:t>
      </w:r>
      <w:proofErr w:type="spellStart"/>
      <w:r w:rsidRPr="00225D4D">
        <w:t>offentlege</w:t>
      </w:r>
      <w:proofErr w:type="spellEnd"/>
      <w:r w:rsidRPr="00225D4D">
        <w:t xml:space="preserve"> </w:t>
      </w:r>
      <w:proofErr w:type="spellStart"/>
      <w:r w:rsidRPr="00225D4D">
        <w:t>grunnskulen</w:t>
      </w:r>
      <w:proofErr w:type="spellEnd"/>
      <w:r w:rsidRPr="00225D4D">
        <w:t xml:space="preserve"> er avgrensa. Departementet får tidvis </w:t>
      </w:r>
      <w:proofErr w:type="spellStart"/>
      <w:r w:rsidRPr="00225D4D">
        <w:t>innspel</w:t>
      </w:r>
      <w:proofErr w:type="spellEnd"/>
      <w:r w:rsidRPr="00225D4D">
        <w:t xml:space="preserve"> om at </w:t>
      </w:r>
      <w:proofErr w:type="spellStart"/>
      <w:r w:rsidRPr="00225D4D">
        <w:t>kommunar</w:t>
      </w:r>
      <w:proofErr w:type="spellEnd"/>
      <w:r w:rsidRPr="00225D4D">
        <w:t xml:space="preserve"> bør kunne tilby IB, mellom anna som </w:t>
      </w:r>
      <w:proofErr w:type="spellStart"/>
      <w:r w:rsidRPr="00225D4D">
        <w:t>verkemiddel</w:t>
      </w:r>
      <w:proofErr w:type="spellEnd"/>
      <w:r w:rsidRPr="00225D4D">
        <w:t xml:space="preserve"> for å tiltrekke seg relevant og høgt utdanna arbeidskraft </w:t>
      </w:r>
      <w:proofErr w:type="spellStart"/>
      <w:r w:rsidRPr="00225D4D">
        <w:t>frå</w:t>
      </w:r>
      <w:proofErr w:type="spellEnd"/>
      <w:r w:rsidRPr="00225D4D">
        <w:t xml:space="preserve"> utlandet, og fordi det vil kunne </w:t>
      </w:r>
      <w:proofErr w:type="spellStart"/>
      <w:r w:rsidRPr="00225D4D">
        <w:t>vere</w:t>
      </w:r>
      <w:proofErr w:type="spellEnd"/>
      <w:r w:rsidRPr="00225D4D">
        <w:t xml:space="preserve"> fordelaktig for </w:t>
      </w:r>
      <w:proofErr w:type="spellStart"/>
      <w:r w:rsidRPr="00225D4D">
        <w:t>utanlandske</w:t>
      </w:r>
      <w:proofErr w:type="spellEnd"/>
      <w:r w:rsidRPr="00225D4D">
        <w:t xml:space="preserve"> </w:t>
      </w:r>
      <w:proofErr w:type="spellStart"/>
      <w:r w:rsidRPr="00225D4D">
        <w:t>familiar</w:t>
      </w:r>
      <w:proofErr w:type="spellEnd"/>
      <w:r w:rsidRPr="00225D4D">
        <w:t xml:space="preserve"> som bur mellombels i </w:t>
      </w:r>
      <w:proofErr w:type="spellStart"/>
      <w:r w:rsidRPr="00225D4D">
        <w:t>Noreg</w:t>
      </w:r>
      <w:proofErr w:type="spellEnd"/>
      <w:r w:rsidRPr="00225D4D">
        <w:t xml:space="preserve">, eller for norske </w:t>
      </w:r>
      <w:proofErr w:type="spellStart"/>
      <w:r w:rsidRPr="00225D4D">
        <w:t>familiar</w:t>
      </w:r>
      <w:proofErr w:type="spellEnd"/>
      <w:r w:rsidRPr="00225D4D">
        <w:t xml:space="preserve"> som planlegg </w:t>
      </w:r>
      <w:proofErr w:type="spellStart"/>
      <w:r w:rsidRPr="00225D4D">
        <w:t>utanlandsopphald</w:t>
      </w:r>
      <w:proofErr w:type="spellEnd"/>
      <w:r w:rsidRPr="00225D4D">
        <w:t xml:space="preserve">. Når det </w:t>
      </w:r>
      <w:proofErr w:type="spellStart"/>
      <w:r w:rsidRPr="00225D4D">
        <w:t>gjeld</w:t>
      </w:r>
      <w:proofErr w:type="spellEnd"/>
      <w:r w:rsidRPr="00225D4D">
        <w:t xml:space="preserve"> behovet for å kunne tiltrekke seg høgt utdanna internasjonal arbeidskraft, meiner departementet at dette omsynet er </w:t>
      </w:r>
      <w:proofErr w:type="spellStart"/>
      <w:r w:rsidRPr="00225D4D">
        <w:t>ivareteke</w:t>
      </w:r>
      <w:proofErr w:type="spellEnd"/>
      <w:r w:rsidRPr="00225D4D">
        <w:t xml:space="preserve"> av høvet til å få godkjent private </w:t>
      </w:r>
      <w:proofErr w:type="spellStart"/>
      <w:r w:rsidRPr="00225D4D">
        <w:t>skular</w:t>
      </w:r>
      <w:proofErr w:type="spellEnd"/>
      <w:r w:rsidRPr="00225D4D">
        <w:t xml:space="preserve"> etter </w:t>
      </w:r>
      <w:proofErr w:type="spellStart"/>
      <w:r w:rsidRPr="00225D4D">
        <w:t>privatskulelova</w:t>
      </w:r>
      <w:proofErr w:type="spellEnd"/>
      <w:r w:rsidRPr="00225D4D">
        <w:t xml:space="preserve"> og </w:t>
      </w:r>
      <w:proofErr w:type="spellStart"/>
      <w:r w:rsidRPr="00225D4D">
        <w:t>opplæringslova</w:t>
      </w:r>
      <w:proofErr w:type="spellEnd"/>
      <w:r w:rsidRPr="00225D4D">
        <w:t xml:space="preserve"> § 22-1. Ved innføringa av godkjenningsgrunnlaget «internasjonalt» i </w:t>
      </w:r>
      <w:proofErr w:type="spellStart"/>
      <w:r w:rsidRPr="00225D4D">
        <w:t>privatskulelova</w:t>
      </w:r>
      <w:proofErr w:type="spellEnd"/>
      <w:r w:rsidRPr="00225D4D">
        <w:t xml:space="preserve"> blei det vist til nettopp behova for kompetanse i arbeids- og næringslivet, jf. Ot.prp. nr. 37 (2006–2007) punkt 8.2.6.1. </w:t>
      </w:r>
      <w:proofErr w:type="spellStart"/>
      <w:r w:rsidRPr="00225D4D">
        <w:t>Desse</w:t>
      </w:r>
      <w:proofErr w:type="spellEnd"/>
      <w:r w:rsidRPr="00225D4D">
        <w:t xml:space="preserve"> </w:t>
      </w:r>
      <w:proofErr w:type="spellStart"/>
      <w:r w:rsidRPr="00225D4D">
        <w:t>familiane</w:t>
      </w:r>
      <w:proofErr w:type="spellEnd"/>
      <w:r w:rsidRPr="00225D4D">
        <w:t xml:space="preserve"> vil derfor kunne få behova sine dekte av private IB-</w:t>
      </w:r>
      <w:proofErr w:type="spellStart"/>
      <w:r w:rsidRPr="00225D4D">
        <w:t>tilbod</w:t>
      </w:r>
      <w:proofErr w:type="spellEnd"/>
      <w:r w:rsidRPr="00225D4D">
        <w:t xml:space="preserve">, slik som er </w:t>
      </w:r>
      <w:proofErr w:type="spellStart"/>
      <w:r w:rsidRPr="00225D4D">
        <w:t>vanleg</w:t>
      </w:r>
      <w:proofErr w:type="spellEnd"/>
      <w:r w:rsidRPr="00225D4D">
        <w:t xml:space="preserve"> i </w:t>
      </w:r>
      <w:proofErr w:type="spellStart"/>
      <w:r w:rsidRPr="00225D4D">
        <w:t>dei</w:t>
      </w:r>
      <w:proofErr w:type="spellEnd"/>
      <w:r w:rsidRPr="00225D4D">
        <w:t xml:space="preserve"> fleste land. </w:t>
      </w:r>
      <w:proofErr w:type="spellStart"/>
      <w:r w:rsidRPr="00225D4D">
        <w:t>Sjølv</w:t>
      </w:r>
      <w:proofErr w:type="spellEnd"/>
      <w:r w:rsidRPr="00225D4D">
        <w:t xml:space="preserve"> om enkelte </w:t>
      </w:r>
      <w:proofErr w:type="spellStart"/>
      <w:r w:rsidRPr="00225D4D">
        <w:t>delar</w:t>
      </w:r>
      <w:proofErr w:type="spellEnd"/>
      <w:r w:rsidRPr="00225D4D">
        <w:t xml:space="preserve"> av sektoren er positive til å inkludere IB i den </w:t>
      </w:r>
      <w:proofErr w:type="spellStart"/>
      <w:r w:rsidRPr="00225D4D">
        <w:t>offentlege</w:t>
      </w:r>
      <w:proofErr w:type="spellEnd"/>
      <w:r w:rsidRPr="00225D4D">
        <w:t xml:space="preserve"> </w:t>
      </w:r>
      <w:proofErr w:type="spellStart"/>
      <w:r w:rsidRPr="00225D4D">
        <w:t>grunnskulen</w:t>
      </w:r>
      <w:proofErr w:type="spellEnd"/>
      <w:r w:rsidRPr="00225D4D">
        <w:t xml:space="preserve">, har </w:t>
      </w:r>
      <w:proofErr w:type="spellStart"/>
      <w:r w:rsidRPr="00225D4D">
        <w:t>ikkje</w:t>
      </w:r>
      <w:proofErr w:type="spellEnd"/>
      <w:r w:rsidRPr="00225D4D">
        <w:t xml:space="preserve"> departementet identifisert </w:t>
      </w:r>
      <w:proofErr w:type="spellStart"/>
      <w:r w:rsidRPr="00225D4D">
        <w:t>eit</w:t>
      </w:r>
      <w:proofErr w:type="spellEnd"/>
      <w:r w:rsidRPr="00225D4D">
        <w:t xml:space="preserve"> stort behov for IB-opplæring på </w:t>
      </w:r>
      <w:proofErr w:type="spellStart"/>
      <w:r w:rsidRPr="00225D4D">
        <w:t>grunnskulenivå</w:t>
      </w:r>
      <w:proofErr w:type="spellEnd"/>
      <w:r w:rsidRPr="00225D4D">
        <w:t xml:space="preserve"> i kommunal regi.</w:t>
      </w:r>
    </w:p>
    <w:p w14:paraId="280E1C66" w14:textId="77777777" w:rsidR="00D60186" w:rsidRPr="00225D4D" w:rsidRDefault="00D60186" w:rsidP="00225D4D">
      <w:r w:rsidRPr="00225D4D">
        <w:t xml:space="preserve">Departementet har òg gjort ei vurdering av </w:t>
      </w:r>
      <w:proofErr w:type="spellStart"/>
      <w:r w:rsidRPr="00225D4D">
        <w:t>kva</w:t>
      </w:r>
      <w:proofErr w:type="spellEnd"/>
      <w:r w:rsidRPr="00225D4D">
        <w:t xml:space="preserve"> som er best for barna. Isolert sett kan det </w:t>
      </w:r>
      <w:proofErr w:type="spellStart"/>
      <w:r w:rsidRPr="00225D4D">
        <w:t>argumenterast</w:t>
      </w:r>
      <w:proofErr w:type="spellEnd"/>
      <w:r w:rsidRPr="00225D4D">
        <w:t xml:space="preserve"> for at </w:t>
      </w:r>
      <w:proofErr w:type="spellStart"/>
      <w:r w:rsidRPr="00225D4D">
        <w:t>fleire</w:t>
      </w:r>
      <w:proofErr w:type="spellEnd"/>
      <w:r w:rsidRPr="00225D4D">
        <w:t xml:space="preserve"> valalternativ er til det beste for barna. På den andre sida følger det av Østlandsforsknings evaluering av forsøket i Oslo, at IB blir oppfatta som </w:t>
      </w:r>
      <w:proofErr w:type="spellStart"/>
      <w:r w:rsidRPr="00225D4D">
        <w:t>ein</w:t>
      </w:r>
      <w:proofErr w:type="spellEnd"/>
      <w:r w:rsidRPr="00225D4D">
        <w:t xml:space="preserve"> skule i </w:t>
      </w:r>
      <w:proofErr w:type="spellStart"/>
      <w:r w:rsidRPr="00225D4D">
        <w:t>skulen</w:t>
      </w:r>
      <w:proofErr w:type="spellEnd"/>
      <w:r w:rsidRPr="00225D4D">
        <w:t xml:space="preserve">, </w:t>
      </w:r>
      <w:proofErr w:type="spellStart"/>
      <w:r w:rsidRPr="00225D4D">
        <w:t>noko</w:t>
      </w:r>
      <w:proofErr w:type="spellEnd"/>
      <w:r w:rsidRPr="00225D4D">
        <w:t xml:space="preserve"> som generelt kan </w:t>
      </w:r>
      <w:proofErr w:type="spellStart"/>
      <w:r w:rsidRPr="00225D4D">
        <w:t>påverke</w:t>
      </w:r>
      <w:proofErr w:type="spellEnd"/>
      <w:r w:rsidRPr="00225D4D">
        <w:t xml:space="preserve"> trivsel, inkludering og </w:t>
      </w:r>
      <w:proofErr w:type="spellStart"/>
      <w:r w:rsidRPr="00225D4D">
        <w:t>skulemiljø</w:t>
      </w:r>
      <w:proofErr w:type="spellEnd"/>
      <w:r w:rsidRPr="00225D4D">
        <w:t xml:space="preserve"> negativt. For barn flest kan det </w:t>
      </w:r>
      <w:proofErr w:type="spellStart"/>
      <w:r w:rsidRPr="00225D4D">
        <w:t>vere</w:t>
      </w:r>
      <w:proofErr w:type="spellEnd"/>
      <w:r w:rsidRPr="00225D4D">
        <w:t xml:space="preserve"> negativt om kommunen prioriterer </w:t>
      </w:r>
      <w:proofErr w:type="spellStart"/>
      <w:r w:rsidRPr="00225D4D">
        <w:t>eit</w:t>
      </w:r>
      <w:proofErr w:type="spellEnd"/>
      <w:r w:rsidRPr="00225D4D">
        <w:t xml:space="preserve"> kostbart </w:t>
      </w:r>
      <w:proofErr w:type="spellStart"/>
      <w:r w:rsidRPr="00225D4D">
        <w:t>tilbod</w:t>
      </w:r>
      <w:proofErr w:type="spellEnd"/>
      <w:r w:rsidRPr="00225D4D">
        <w:t xml:space="preserve"> til </w:t>
      </w:r>
      <w:proofErr w:type="spellStart"/>
      <w:r w:rsidRPr="00225D4D">
        <w:t>nokre</w:t>
      </w:r>
      <w:proofErr w:type="spellEnd"/>
      <w:r w:rsidRPr="00225D4D">
        <w:t xml:space="preserve"> få på kostnad av det ordinære </w:t>
      </w:r>
      <w:proofErr w:type="spellStart"/>
      <w:r w:rsidRPr="00225D4D">
        <w:t>opplæringstilbodet</w:t>
      </w:r>
      <w:proofErr w:type="spellEnd"/>
      <w:r w:rsidRPr="00225D4D">
        <w:t xml:space="preserve">. </w:t>
      </w:r>
      <w:proofErr w:type="spellStart"/>
      <w:r w:rsidRPr="00225D4D">
        <w:t>Fleire</w:t>
      </w:r>
      <w:proofErr w:type="spellEnd"/>
      <w:r w:rsidRPr="00225D4D">
        <w:t xml:space="preserve"> valalternativ for </w:t>
      </w:r>
      <w:proofErr w:type="spellStart"/>
      <w:r w:rsidRPr="00225D4D">
        <w:t>nokre</w:t>
      </w:r>
      <w:proofErr w:type="spellEnd"/>
      <w:r w:rsidRPr="00225D4D">
        <w:t xml:space="preserve"> få </w:t>
      </w:r>
      <w:proofErr w:type="spellStart"/>
      <w:r w:rsidRPr="00225D4D">
        <w:t>elevar</w:t>
      </w:r>
      <w:proofErr w:type="spellEnd"/>
      <w:r w:rsidRPr="00225D4D">
        <w:t xml:space="preserve"> kan gi færre </w:t>
      </w:r>
      <w:proofErr w:type="spellStart"/>
      <w:r w:rsidRPr="00225D4D">
        <w:t>moglegheiter</w:t>
      </w:r>
      <w:proofErr w:type="spellEnd"/>
      <w:r w:rsidRPr="00225D4D">
        <w:t xml:space="preserve"> for </w:t>
      </w:r>
      <w:proofErr w:type="spellStart"/>
      <w:r w:rsidRPr="00225D4D">
        <w:t>fleirtalet</w:t>
      </w:r>
      <w:proofErr w:type="spellEnd"/>
      <w:r w:rsidRPr="00225D4D">
        <w:t>.</w:t>
      </w:r>
    </w:p>
    <w:p w14:paraId="40642CE1" w14:textId="77777777" w:rsidR="00D60186" w:rsidRPr="00225D4D" w:rsidRDefault="00D60186" w:rsidP="00225D4D">
      <w:r w:rsidRPr="00225D4D">
        <w:t xml:space="preserve">Departementet vurderer at det </w:t>
      </w:r>
      <w:proofErr w:type="spellStart"/>
      <w:r w:rsidRPr="00225D4D">
        <w:t>ikkje</w:t>
      </w:r>
      <w:proofErr w:type="spellEnd"/>
      <w:r w:rsidRPr="00225D4D">
        <w:t xml:space="preserve"> er </w:t>
      </w:r>
      <w:proofErr w:type="spellStart"/>
      <w:r w:rsidRPr="00225D4D">
        <w:t>formålstenleg</w:t>
      </w:r>
      <w:proofErr w:type="spellEnd"/>
      <w:r w:rsidRPr="00225D4D">
        <w:t xml:space="preserve"> å foreslå </w:t>
      </w:r>
      <w:proofErr w:type="spellStart"/>
      <w:r w:rsidRPr="00225D4D">
        <w:t>endringar</w:t>
      </w:r>
      <w:proofErr w:type="spellEnd"/>
      <w:r w:rsidRPr="00225D4D">
        <w:t xml:space="preserve"> i </w:t>
      </w:r>
      <w:proofErr w:type="spellStart"/>
      <w:r w:rsidRPr="00225D4D">
        <w:t>opplæringslova</w:t>
      </w:r>
      <w:proofErr w:type="spellEnd"/>
      <w:r w:rsidRPr="00225D4D">
        <w:t xml:space="preserve"> som gir </w:t>
      </w:r>
      <w:proofErr w:type="spellStart"/>
      <w:r w:rsidRPr="00225D4D">
        <w:t>kommunane</w:t>
      </w:r>
      <w:proofErr w:type="spellEnd"/>
      <w:r w:rsidRPr="00225D4D">
        <w:t xml:space="preserve"> høve til å tilby IB i den </w:t>
      </w:r>
      <w:proofErr w:type="spellStart"/>
      <w:r w:rsidRPr="00225D4D">
        <w:t>offentlege</w:t>
      </w:r>
      <w:proofErr w:type="spellEnd"/>
      <w:r w:rsidRPr="00225D4D">
        <w:t xml:space="preserve"> </w:t>
      </w:r>
      <w:proofErr w:type="spellStart"/>
      <w:r w:rsidRPr="00225D4D">
        <w:t>grunnskuleopplæringa</w:t>
      </w:r>
      <w:proofErr w:type="spellEnd"/>
      <w:r w:rsidRPr="00225D4D">
        <w:t>.</w:t>
      </w:r>
    </w:p>
    <w:p w14:paraId="5E1A8A94" w14:textId="77777777" w:rsidR="00D60186" w:rsidRPr="00225D4D" w:rsidRDefault="00D60186" w:rsidP="00225D4D">
      <w:pPr>
        <w:pStyle w:val="avsnitt-under-undertittel"/>
      </w:pPr>
      <w:proofErr w:type="spellStart"/>
      <w:r w:rsidRPr="00225D4D">
        <w:t>Vidaregåande</w:t>
      </w:r>
      <w:proofErr w:type="spellEnd"/>
      <w:r w:rsidRPr="00225D4D">
        <w:t xml:space="preserve"> opplæring</w:t>
      </w:r>
    </w:p>
    <w:p w14:paraId="3B433D9C" w14:textId="77777777" w:rsidR="00D60186" w:rsidRPr="00225D4D" w:rsidRDefault="00D60186" w:rsidP="00225D4D">
      <w:proofErr w:type="spellStart"/>
      <w:r w:rsidRPr="00225D4D">
        <w:t>Opplæringslova</w:t>
      </w:r>
      <w:proofErr w:type="spellEnd"/>
      <w:r w:rsidRPr="00225D4D">
        <w:t xml:space="preserve"> </w:t>
      </w:r>
      <w:proofErr w:type="spellStart"/>
      <w:r w:rsidRPr="00225D4D">
        <w:t>opnar</w:t>
      </w:r>
      <w:proofErr w:type="spellEnd"/>
      <w:r w:rsidRPr="00225D4D">
        <w:t xml:space="preserve"> </w:t>
      </w:r>
      <w:proofErr w:type="spellStart"/>
      <w:r w:rsidRPr="00225D4D">
        <w:t>ikkje</w:t>
      </w:r>
      <w:proofErr w:type="spellEnd"/>
      <w:r w:rsidRPr="00225D4D">
        <w:t xml:space="preserve"> for at opplæringa kan følge andre </w:t>
      </w:r>
      <w:proofErr w:type="spellStart"/>
      <w:r w:rsidRPr="00225D4D">
        <w:t>læreplanar</w:t>
      </w:r>
      <w:proofErr w:type="spellEnd"/>
      <w:r w:rsidRPr="00225D4D">
        <w:t xml:space="preserve">, men departementet har </w:t>
      </w:r>
      <w:proofErr w:type="spellStart"/>
      <w:r w:rsidRPr="00225D4D">
        <w:t>sidan</w:t>
      </w:r>
      <w:proofErr w:type="spellEnd"/>
      <w:r w:rsidRPr="00225D4D">
        <w:t xml:space="preserve"> 2007 lagt til grunn at «</w:t>
      </w:r>
      <w:r w:rsidRPr="00225D4D">
        <w:rPr>
          <w:rStyle w:val="kursiv"/>
        </w:rPr>
        <w:t>opplæringsloven i seg selv [ikke er] til hinder for at fylkeskommunene tilbyr IB, men IB er ikke formelt en del av den offentlige tilbudsstrukturen</w:t>
      </w:r>
      <w:r w:rsidRPr="00225D4D">
        <w:t xml:space="preserve">» (sjå Ot.prp. nr. 37 (2006–2007) punkt 8.2.6.1). I dag er det </w:t>
      </w:r>
      <w:proofErr w:type="spellStart"/>
      <w:r w:rsidRPr="00225D4D">
        <w:t>fleire</w:t>
      </w:r>
      <w:proofErr w:type="spellEnd"/>
      <w:r w:rsidRPr="00225D4D">
        <w:t xml:space="preserve"> </w:t>
      </w:r>
      <w:proofErr w:type="spellStart"/>
      <w:r w:rsidRPr="00225D4D">
        <w:t>fylkeskommunar</w:t>
      </w:r>
      <w:proofErr w:type="spellEnd"/>
      <w:r w:rsidRPr="00225D4D">
        <w:t xml:space="preserve"> som tilbyr diplomprogrammet (DP) i IB. Denne opplæringa er </w:t>
      </w:r>
      <w:proofErr w:type="spellStart"/>
      <w:r w:rsidRPr="00225D4D">
        <w:t>ikkje</w:t>
      </w:r>
      <w:proofErr w:type="spellEnd"/>
      <w:r w:rsidRPr="00225D4D">
        <w:t xml:space="preserve"> omfatta av </w:t>
      </w:r>
      <w:proofErr w:type="spellStart"/>
      <w:r w:rsidRPr="00225D4D">
        <w:t>opplæringslova</w:t>
      </w:r>
      <w:proofErr w:type="spellEnd"/>
      <w:r w:rsidRPr="00225D4D">
        <w:t xml:space="preserve">. Det er òg private </w:t>
      </w:r>
      <w:proofErr w:type="spellStart"/>
      <w:r w:rsidRPr="00225D4D">
        <w:t>skular</w:t>
      </w:r>
      <w:proofErr w:type="spellEnd"/>
      <w:r w:rsidRPr="00225D4D">
        <w:t xml:space="preserve"> som tilbyr slik opplæring i dag, både </w:t>
      </w:r>
      <w:proofErr w:type="spellStart"/>
      <w:r w:rsidRPr="00225D4D">
        <w:t>skular</w:t>
      </w:r>
      <w:proofErr w:type="spellEnd"/>
      <w:r w:rsidRPr="00225D4D">
        <w:t xml:space="preserve"> </w:t>
      </w:r>
      <w:proofErr w:type="spellStart"/>
      <w:r w:rsidRPr="00225D4D">
        <w:t>godkjende</w:t>
      </w:r>
      <w:proofErr w:type="spellEnd"/>
      <w:r w:rsidRPr="00225D4D">
        <w:t xml:space="preserve"> etter </w:t>
      </w:r>
      <w:proofErr w:type="spellStart"/>
      <w:r w:rsidRPr="00225D4D">
        <w:t>privatskulelova</w:t>
      </w:r>
      <w:proofErr w:type="spellEnd"/>
      <w:r w:rsidRPr="00225D4D">
        <w:t xml:space="preserve"> med rett til </w:t>
      </w:r>
      <w:proofErr w:type="spellStart"/>
      <w:r w:rsidRPr="00225D4D">
        <w:t>offentleg</w:t>
      </w:r>
      <w:proofErr w:type="spellEnd"/>
      <w:r w:rsidRPr="00225D4D">
        <w:t xml:space="preserve"> </w:t>
      </w:r>
      <w:proofErr w:type="spellStart"/>
      <w:r w:rsidRPr="00225D4D">
        <w:t>tilskot</w:t>
      </w:r>
      <w:proofErr w:type="spellEnd"/>
      <w:r w:rsidRPr="00225D4D">
        <w:t xml:space="preserve"> og </w:t>
      </w:r>
      <w:proofErr w:type="spellStart"/>
      <w:r w:rsidRPr="00225D4D">
        <w:t>skular</w:t>
      </w:r>
      <w:proofErr w:type="spellEnd"/>
      <w:r w:rsidRPr="00225D4D">
        <w:t xml:space="preserve"> som driv </w:t>
      </w:r>
      <w:proofErr w:type="spellStart"/>
      <w:r w:rsidRPr="00225D4D">
        <w:t>utan</w:t>
      </w:r>
      <w:proofErr w:type="spellEnd"/>
      <w:r w:rsidRPr="00225D4D">
        <w:t xml:space="preserve"> </w:t>
      </w:r>
      <w:proofErr w:type="spellStart"/>
      <w:r w:rsidRPr="00225D4D">
        <w:t>offentleg</w:t>
      </w:r>
      <w:proofErr w:type="spellEnd"/>
      <w:r w:rsidRPr="00225D4D">
        <w:t xml:space="preserve"> godkjenning og </w:t>
      </w:r>
      <w:proofErr w:type="spellStart"/>
      <w:r w:rsidRPr="00225D4D">
        <w:t>utan</w:t>
      </w:r>
      <w:proofErr w:type="spellEnd"/>
      <w:r w:rsidRPr="00225D4D">
        <w:t xml:space="preserve"> rett til </w:t>
      </w:r>
      <w:proofErr w:type="spellStart"/>
      <w:r w:rsidRPr="00225D4D">
        <w:t>offentleg</w:t>
      </w:r>
      <w:proofErr w:type="spellEnd"/>
      <w:r w:rsidRPr="00225D4D">
        <w:t xml:space="preserve"> </w:t>
      </w:r>
      <w:proofErr w:type="spellStart"/>
      <w:r w:rsidRPr="00225D4D">
        <w:t>tilskot</w:t>
      </w:r>
      <w:proofErr w:type="spellEnd"/>
      <w:r w:rsidRPr="00225D4D">
        <w:t>.</w:t>
      </w:r>
    </w:p>
    <w:p w14:paraId="1D9F6E74" w14:textId="77777777" w:rsidR="00D60186" w:rsidRPr="00225D4D" w:rsidRDefault="00D60186" w:rsidP="00225D4D">
      <w:r w:rsidRPr="00225D4D">
        <w:t xml:space="preserve">Departementet har </w:t>
      </w:r>
      <w:proofErr w:type="spellStart"/>
      <w:r w:rsidRPr="00225D4D">
        <w:t>ikkje</w:t>
      </w:r>
      <w:proofErr w:type="spellEnd"/>
      <w:r w:rsidRPr="00225D4D">
        <w:t xml:space="preserve"> </w:t>
      </w:r>
      <w:proofErr w:type="spellStart"/>
      <w:r w:rsidRPr="00225D4D">
        <w:t>motteke</w:t>
      </w:r>
      <w:proofErr w:type="spellEnd"/>
      <w:r w:rsidRPr="00225D4D">
        <w:t xml:space="preserve"> </w:t>
      </w:r>
      <w:proofErr w:type="spellStart"/>
      <w:r w:rsidRPr="00225D4D">
        <w:t>innspel</w:t>
      </w:r>
      <w:proofErr w:type="spellEnd"/>
      <w:r w:rsidRPr="00225D4D">
        <w:t xml:space="preserve"> om at det bør </w:t>
      </w:r>
      <w:proofErr w:type="spellStart"/>
      <w:r w:rsidRPr="00225D4D">
        <w:t>regulerast</w:t>
      </w:r>
      <w:proofErr w:type="spellEnd"/>
      <w:r w:rsidRPr="00225D4D">
        <w:t xml:space="preserve"> </w:t>
      </w:r>
      <w:proofErr w:type="spellStart"/>
      <w:r w:rsidRPr="00225D4D">
        <w:t>eit</w:t>
      </w:r>
      <w:proofErr w:type="spellEnd"/>
      <w:r w:rsidRPr="00225D4D">
        <w:t xml:space="preserve"> </w:t>
      </w:r>
      <w:proofErr w:type="spellStart"/>
      <w:r w:rsidRPr="00225D4D">
        <w:t>forbod</w:t>
      </w:r>
      <w:proofErr w:type="spellEnd"/>
      <w:r w:rsidRPr="00225D4D">
        <w:t xml:space="preserve"> mot at </w:t>
      </w:r>
      <w:proofErr w:type="spellStart"/>
      <w:r w:rsidRPr="00225D4D">
        <w:t>fylkeskommunane</w:t>
      </w:r>
      <w:proofErr w:type="spellEnd"/>
      <w:r w:rsidRPr="00225D4D">
        <w:t xml:space="preserve"> kan tilby IB-opplæring. Dei sentrale </w:t>
      </w:r>
      <w:proofErr w:type="spellStart"/>
      <w:r w:rsidRPr="00225D4D">
        <w:t>aktørane</w:t>
      </w:r>
      <w:proofErr w:type="spellEnd"/>
      <w:r w:rsidRPr="00225D4D">
        <w:t xml:space="preserve"> er likevel </w:t>
      </w:r>
      <w:proofErr w:type="spellStart"/>
      <w:r w:rsidRPr="00225D4D">
        <w:t>noko</w:t>
      </w:r>
      <w:proofErr w:type="spellEnd"/>
      <w:r w:rsidRPr="00225D4D">
        <w:t xml:space="preserve"> delte i synet på om det er nødvendig å </w:t>
      </w:r>
      <w:proofErr w:type="spellStart"/>
      <w:r w:rsidRPr="00225D4D">
        <w:t>gjere</w:t>
      </w:r>
      <w:proofErr w:type="spellEnd"/>
      <w:r w:rsidRPr="00225D4D">
        <w:t xml:space="preserve"> </w:t>
      </w:r>
      <w:proofErr w:type="spellStart"/>
      <w:r w:rsidRPr="00225D4D">
        <w:t>opplæringslova</w:t>
      </w:r>
      <w:proofErr w:type="spellEnd"/>
      <w:r w:rsidRPr="00225D4D">
        <w:t xml:space="preserve"> </w:t>
      </w:r>
      <w:proofErr w:type="spellStart"/>
      <w:r w:rsidRPr="00225D4D">
        <w:t>gjeldande</w:t>
      </w:r>
      <w:proofErr w:type="spellEnd"/>
      <w:r w:rsidRPr="00225D4D">
        <w:t xml:space="preserve"> for </w:t>
      </w:r>
      <w:proofErr w:type="spellStart"/>
      <w:r w:rsidRPr="00225D4D">
        <w:t>tilboda</w:t>
      </w:r>
      <w:proofErr w:type="spellEnd"/>
      <w:r w:rsidRPr="00225D4D">
        <w:t xml:space="preserve">. Departementet har fått enkelte </w:t>
      </w:r>
      <w:proofErr w:type="spellStart"/>
      <w:r w:rsidRPr="00225D4D">
        <w:t>innspel</w:t>
      </w:r>
      <w:proofErr w:type="spellEnd"/>
      <w:r w:rsidRPr="00225D4D">
        <w:t xml:space="preserve"> om at det å </w:t>
      </w:r>
      <w:proofErr w:type="spellStart"/>
      <w:r w:rsidRPr="00225D4D">
        <w:t>gjere</w:t>
      </w:r>
      <w:proofErr w:type="spellEnd"/>
      <w:r w:rsidRPr="00225D4D">
        <w:t xml:space="preserve"> </w:t>
      </w:r>
      <w:proofErr w:type="spellStart"/>
      <w:r w:rsidRPr="00225D4D">
        <w:t>opplæringslova</w:t>
      </w:r>
      <w:proofErr w:type="spellEnd"/>
      <w:r w:rsidRPr="00225D4D">
        <w:t xml:space="preserve"> </w:t>
      </w:r>
      <w:proofErr w:type="spellStart"/>
      <w:r w:rsidRPr="00225D4D">
        <w:t>gjeldande</w:t>
      </w:r>
      <w:proofErr w:type="spellEnd"/>
      <w:r w:rsidRPr="00225D4D">
        <w:t xml:space="preserve"> for IB-opplæringa på </w:t>
      </w:r>
      <w:proofErr w:type="spellStart"/>
      <w:r w:rsidRPr="00225D4D">
        <w:t>vidaregåande</w:t>
      </w:r>
      <w:proofErr w:type="spellEnd"/>
      <w:r w:rsidRPr="00225D4D">
        <w:t xml:space="preserve"> nivå kan </w:t>
      </w:r>
      <w:proofErr w:type="spellStart"/>
      <w:r w:rsidRPr="00225D4D">
        <w:t>gjere</w:t>
      </w:r>
      <w:proofErr w:type="spellEnd"/>
      <w:r w:rsidRPr="00225D4D">
        <w:t xml:space="preserve"> det </w:t>
      </w:r>
      <w:proofErr w:type="spellStart"/>
      <w:r w:rsidRPr="00225D4D">
        <w:t>tydelegare</w:t>
      </w:r>
      <w:proofErr w:type="spellEnd"/>
      <w:r w:rsidRPr="00225D4D">
        <w:t xml:space="preserve"> for </w:t>
      </w:r>
      <w:proofErr w:type="spellStart"/>
      <w:r w:rsidRPr="00225D4D">
        <w:t>elevane</w:t>
      </w:r>
      <w:proofErr w:type="spellEnd"/>
      <w:r w:rsidRPr="00225D4D">
        <w:t xml:space="preserve"> kva regler som gjeld og </w:t>
      </w:r>
      <w:proofErr w:type="spellStart"/>
      <w:r w:rsidRPr="00225D4D">
        <w:t>ikkje</w:t>
      </w:r>
      <w:proofErr w:type="spellEnd"/>
      <w:r w:rsidRPr="00225D4D">
        <w:t xml:space="preserve"> gjeld for IB-</w:t>
      </w:r>
      <w:proofErr w:type="spellStart"/>
      <w:r w:rsidRPr="00225D4D">
        <w:t>tilboda</w:t>
      </w:r>
      <w:proofErr w:type="spellEnd"/>
      <w:r w:rsidRPr="00225D4D">
        <w:t xml:space="preserve"> i </w:t>
      </w:r>
      <w:proofErr w:type="spellStart"/>
      <w:r w:rsidRPr="00225D4D">
        <w:t>offentleg</w:t>
      </w:r>
      <w:proofErr w:type="spellEnd"/>
      <w:r w:rsidRPr="00225D4D">
        <w:t xml:space="preserve"> regi. På den andre sida opplyser </w:t>
      </w:r>
      <w:proofErr w:type="spellStart"/>
      <w:r w:rsidRPr="00225D4D">
        <w:t>dei</w:t>
      </w:r>
      <w:proofErr w:type="spellEnd"/>
      <w:r w:rsidRPr="00225D4D">
        <w:t xml:space="preserve"> fleste </w:t>
      </w:r>
      <w:proofErr w:type="spellStart"/>
      <w:r w:rsidRPr="00225D4D">
        <w:t>statsforvaltarembeta</w:t>
      </w:r>
      <w:proofErr w:type="spellEnd"/>
      <w:r w:rsidRPr="00225D4D">
        <w:t xml:space="preserve"> at </w:t>
      </w:r>
      <w:proofErr w:type="spellStart"/>
      <w:r w:rsidRPr="00225D4D">
        <w:t>dei</w:t>
      </w:r>
      <w:proofErr w:type="spellEnd"/>
      <w:r w:rsidRPr="00225D4D">
        <w:t xml:space="preserve"> </w:t>
      </w:r>
      <w:proofErr w:type="spellStart"/>
      <w:r w:rsidRPr="00225D4D">
        <w:t>ikkje</w:t>
      </w:r>
      <w:proofErr w:type="spellEnd"/>
      <w:r w:rsidRPr="00225D4D">
        <w:t xml:space="preserve"> har fått </w:t>
      </w:r>
      <w:proofErr w:type="spellStart"/>
      <w:r w:rsidRPr="00225D4D">
        <w:t>innspel</w:t>
      </w:r>
      <w:proofErr w:type="spellEnd"/>
      <w:r w:rsidRPr="00225D4D">
        <w:t xml:space="preserve"> om eller </w:t>
      </w:r>
      <w:proofErr w:type="spellStart"/>
      <w:r w:rsidRPr="00225D4D">
        <w:t>førespurnader</w:t>
      </w:r>
      <w:proofErr w:type="spellEnd"/>
      <w:r w:rsidRPr="00225D4D">
        <w:t xml:space="preserve"> som indikerer at det er behov for å </w:t>
      </w:r>
      <w:proofErr w:type="spellStart"/>
      <w:r w:rsidRPr="00225D4D">
        <w:t>klargjere</w:t>
      </w:r>
      <w:proofErr w:type="spellEnd"/>
      <w:r w:rsidRPr="00225D4D">
        <w:t xml:space="preserve"> kva regler som </w:t>
      </w:r>
      <w:proofErr w:type="spellStart"/>
      <w:r w:rsidRPr="00225D4D">
        <w:t>gjeld</w:t>
      </w:r>
      <w:proofErr w:type="spellEnd"/>
      <w:r w:rsidRPr="00225D4D">
        <w:t xml:space="preserve"> for IB-</w:t>
      </w:r>
      <w:proofErr w:type="spellStart"/>
      <w:r w:rsidRPr="00225D4D">
        <w:t>tilboda</w:t>
      </w:r>
      <w:proofErr w:type="spellEnd"/>
      <w:r w:rsidRPr="00225D4D">
        <w:t xml:space="preserve"> og for </w:t>
      </w:r>
      <w:proofErr w:type="spellStart"/>
      <w:r w:rsidRPr="00225D4D">
        <w:t>elevane</w:t>
      </w:r>
      <w:proofErr w:type="spellEnd"/>
      <w:r w:rsidRPr="00225D4D">
        <w:t xml:space="preserve"> som </w:t>
      </w:r>
      <w:proofErr w:type="spellStart"/>
      <w:r w:rsidRPr="00225D4D">
        <w:t>nyttar</w:t>
      </w:r>
      <w:proofErr w:type="spellEnd"/>
      <w:r w:rsidRPr="00225D4D">
        <w:t xml:space="preserve"> </w:t>
      </w:r>
      <w:proofErr w:type="spellStart"/>
      <w:r w:rsidRPr="00225D4D">
        <w:t>desse</w:t>
      </w:r>
      <w:proofErr w:type="spellEnd"/>
      <w:r w:rsidRPr="00225D4D">
        <w:t xml:space="preserve"> </w:t>
      </w:r>
      <w:proofErr w:type="spellStart"/>
      <w:r w:rsidRPr="00225D4D">
        <w:t>tilboda</w:t>
      </w:r>
      <w:proofErr w:type="spellEnd"/>
      <w:r w:rsidRPr="00225D4D">
        <w:t>.</w:t>
      </w:r>
    </w:p>
    <w:p w14:paraId="085D1762" w14:textId="77777777" w:rsidR="00D60186" w:rsidRPr="00225D4D" w:rsidRDefault="00D60186" w:rsidP="00225D4D">
      <w:r w:rsidRPr="00225D4D">
        <w:t xml:space="preserve">Etter departementet </w:t>
      </w:r>
      <w:proofErr w:type="spellStart"/>
      <w:r w:rsidRPr="00225D4D">
        <w:t>si</w:t>
      </w:r>
      <w:proofErr w:type="spellEnd"/>
      <w:r w:rsidRPr="00225D4D">
        <w:t xml:space="preserve"> vurdering er det </w:t>
      </w:r>
      <w:proofErr w:type="spellStart"/>
      <w:r w:rsidRPr="00225D4D">
        <w:t>ikkje</w:t>
      </w:r>
      <w:proofErr w:type="spellEnd"/>
      <w:r w:rsidRPr="00225D4D">
        <w:t xml:space="preserve"> behov for å regulere dette i </w:t>
      </w:r>
      <w:proofErr w:type="spellStart"/>
      <w:r w:rsidRPr="00225D4D">
        <w:t>opplæringslova</w:t>
      </w:r>
      <w:proofErr w:type="spellEnd"/>
      <w:r w:rsidRPr="00225D4D">
        <w:t xml:space="preserve"> no. Departementet vil likevel følge med og </w:t>
      </w:r>
      <w:proofErr w:type="spellStart"/>
      <w:r w:rsidRPr="00225D4D">
        <w:t>kome</w:t>
      </w:r>
      <w:proofErr w:type="spellEnd"/>
      <w:r w:rsidRPr="00225D4D">
        <w:t xml:space="preserve"> tilbake til Stortinget om behovet </w:t>
      </w:r>
      <w:proofErr w:type="spellStart"/>
      <w:r w:rsidRPr="00225D4D">
        <w:t>endrar</w:t>
      </w:r>
      <w:proofErr w:type="spellEnd"/>
      <w:r w:rsidRPr="00225D4D">
        <w:t xml:space="preserve"> seg.</w:t>
      </w:r>
    </w:p>
    <w:p w14:paraId="7656C9C3" w14:textId="77777777" w:rsidR="00D60186" w:rsidRPr="00225D4D" w:rsidRDefault="00D60186" w:rsidP="00225D4D">
      <w:r w:rsidRPr="00225D4D">
        <w:t xml:space="preserve">Departementet viser til </w:t>
      </w:r>
      <w:proofErr w:type="spellStart"/>
      <w:r w:rsidRPr="00225D4D">
        <w:t>vurderingane</w:t>
      </w:r>
      <w:proofErr w:type="spellEnd"/>
      <w:r w:rsidRPr="00225D4D">
        <w:t xml:space="preserve"> over og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7A8742C2" w14:textId="77777777" w:rsidR="00D60186" w:rsidRPr="00225D4D" w:rsidRDefault="00D60186" w:rsidP="00225D4D">
      <w:pPr>
        <w:pStyle w:val="avsnitt-tittel"/>
      </w:pPr>
      <w:r w:rsidRPr="00225D4D">
        <w:t>Sikre individuell tilrettelegging av opplæringa</w:t>
      </w:r>
    </w:p>
    <w:p w14:paraId="321915AC" w14:textId="77777777" w:rsidR="00D60186" w:rsidRPr="00225D4D" w:rsidRDefault="00D60186" w:rsidP="00225D4D">
      <w:pPr>
        <w:pStyle w:val="avsnitt-undertittel"/>
      </w:pPr>
      <w:r w:rsidRPr="00225D4D">
        <w:t>Vedtak nr. 738, 5. juni 2023:</w:t>
      </w:r>
    </w:p>
    <w:p w14:paraId="07613171" w14:textId="77777777" w:rsidR="00D60186" w:rsidRPr="00225D4D" w:rsidRDefault="00D60186" w:rsidP="00225D4D">
      <w:pPr>
        <w:pStyle w:val="blokksit"/>
        <w:rPr>
          <w:rStyle w:val="kursiv"/>
        </w:rPr>
      </w:pPr>
      <w:r w:rsidRPr="00225D4D">
        <w:rPr>
          <w:rStyle w:val="kursiv"/>
        </w:rPr>
        <w:t>Stortinget ber regjeringen komme tilbake til Stortinget med en vurdering av hvordan gjennomføring av vedtak om individuell tilrettelegging av opplæringen kan sikres, og påklages. I påvente av dette ber Stortinget regjeringen om å legge til grunn at manglende gjennomføring av individuell tilrettelegging av opplæringen fortsatt kan påklages til statsforvalteren.</w:t>
      </w:r>
    </w:p>
    <w:p w14:paraId="36B27A3E"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57 L (2022–2023) </w:t>
      </w:r>
      <w:r w:rsidRPr="00225D4D">
        <w:rPr>
          <w:rStyle w:val="kursiv"/>
        </w:rPr>
        <w:t xml:space="preserve">Lov om grunnskoleopplæringa og den </w:t>
      </w:r>
      <w:proofErr w:type="spellStart"/>
      <w:r w:rsidRPr="00225D4D">
        <w:rPr>
          <w:rStyle w:val="kursiv"/>
        </w:rPr>
        <w:t>vidaregåande</w:t>
      </w:r>
      <w:proofErr w:type="spellEnd"/>
      <w:r w:rsidRPr="00225D4D">
        <w:rPr>
          <w:rStyle w:val="kursiv"/>
        </w:rPr>
        <w:t xml:space="preserve"> opplæringa (opplæringslova)</w:t>
      </w:r>
      <w:r w:rsidRPr="00225D4D">
        <w:t xml:space="preserve">, jf. </w:t>
      </w:r>
      <w:proofErr w:type="spellStart"/>
      <w:r w:rsidRPr="00225D4D">
        <w:t>Innst</w:t>
      </w:r>
      <w:proofErr w:type="spellEnd"/>
      <w:r w:rsidRPr="00225D4D">
        <w:t>. 442 L (2022–2023).</w:t>
      </w:r>
    </w:p>
    <w:p w14:paraId="78086D38" w14:textId="77777777" w:rsidR="00D60186" w:rsidRPr="00225D4D" w:rsidRDefault="00D60186" w:rsidP="00225D4D">
      <w:r w:rsidRPr="00225D4D">
        <w:t xml:space="preserve">I oppdrag nr. 2025-01 i tildelingsbrevet for 2025 har Utdanningsdirektoratet fått ulike deloppdrag om kunnskap, status og tiltak for å sikre betre </w:t>
      </w:r>
      <w:proofErr w:type="spellStart"/>
      <w:r w:rsidRPr="00225D4D">
        <w:t>tidleg</w:t>
      </w:r>
      <w:proofErr w:type="spellEnd"/>
      <w:r w:rsidRPr="00225D4D">
        <w:t xml:space="preserve"> innsats, tilpassa opplæring og individuell tilrettelegging.</w:t>
      </w:r>
    </w:p>
    <w:p w14:paraId="7652EF3B" w14:textId="77777777" w:rsidR="00D60186" w:rsidRPr="00225D4D" w:rsidRDefault="00D60186" w:rsidP="00225D4D">
      <w:r w:rsidRPr="00225D4D">
        <w:t xml:space="preserve">Deloppdrag 3 og 4 blei </w:t>
      </w:r>
      <w:proofErr w:type="spellStart"/>
      <w:r w:rsidRPr="00225D4D">
        <w:t>gjevne</w:t>
      </w:r>
      <w:proofErr w:type="spellEnd"/>
      <w:r w:rsidRPr="00225D4D">
        <w:t xml:space="preserve"> som oppfølging av oppmodingsvedtaket. I del 3 blei Utdanningsdirektoratet bede om å utarbeide </w:t>
      </w:r>
      <w:proofErr w:type="spellStart"/>
      <w:r w:rsidRPr="00225D4D">
        <w:t>eit</w:t>
      </w:r>
      <w:proofErr w:type="spellEnd"/>
      <w:r w:rsidRPr="00225D4D">
        <w:t xml:space="preserve"> kunnskapsgrunnlag om i kva grad og korleis </w:t>
      </w:r>
      <w:proofErr w:type="spellStart"/>
      <w:r w:rsidRPr="00225D4D">
        <w:t>statsforvaltarane</w:t>
      </w:r>
      <w:proofErr w:type="spellEnd"/>
      <w:r w:rsidRPr="00225D4D">
        <w:t xml:space="preserve"> </w:t>
      </w:r>
      <w:proofErr w:type="spellStart"/>
      <w:r w:rsidRPr="00225D4D">
        <w:t>behandlar</w:t>
      </w:r>
      <w:proofErr w:type="spellEnd"/>
      <w:r w:rsidRPr="00225D4D">
        <w:t xml:space="preserve"> klager på </w:t>
      </w:r>
      <w:proofErr w:type="spellStart"/>
      <w:r w:rsidRPr="00225D4D">
        <w:t>manglande</w:t>
      </w:r>
      <w:proofErr w:type="spellEnd"/>
      <w:r w:rsidRPr="00225D4D">
        <w:t xml:space="preserve"> gjennomføring av vedtak etter </w:t>
      </w:r>
      <w:proofErr w:type="spellStart"/>
      <w:r w:rsidRPr="00225D4D">
        <w:t>opplæringslova</w:t>
      </w:r>
      <w:proofErr w:type="spellEnd"/>
      <w:r w:rsidRPr="00225D4D">
        <w:t xml:space="preserve"> i dag. Som del av dette skulle Utdanningsdirektoratet undersøke kor stor </w:t>
      </w:r>
      <w:proofErr w:type="spellStart"/>
      <w:r w:rsidRPr="00225D4D">
        <w:t>innverknad</w:t>
      </w:r>
      <w:proofErr w:type="spellEnd"/>
      <w:r w:rsidRPr="00225D4D">
        <w:t xml:space="preserve"> klagebehandlinga har på oppfølginga av </w:t>
      </w:r>
      <w:proofErr w:type="spellStart"/>
      <w:r w:rsidRPr="00225D4D">
        <w:t>dei</w:t>
      </w:r>
      <w:proofErr w:type="spellEnd"/>
      <w:r w:rsidRPr="00225D4D">
        <w:t xml:space="preserve"> aktuelle sakene i </w:t>
      </w:r>
      <w:proofErr w:type="spellStart"/>
      <w:r w:rsidRPr="00225D4D">
        <w:t>kommunane</w:t>
      </w:r>
      <w:proofErr w:type="spellEnd"/>
      <w:r w:rsidRPr="00225D4D">
        <w:t xml:space="preserve"> og </w:t>
      </w:r>
      <w:proofErr w:type="spellStart"/>
      <w:r w:rsidRPr="00225D4D">
        <w:t>fylkeskommunane</w:t>
      </w:r>
      <w:proofErr w:type="spellEnd"/>
      <w:r w:rsidRPr="00225D4D">
        <w:t xml:space="preserve"> (på </w:t>
      </w:r>
      <w:proofErr w:type="spellStart"/>
      <w:r w:rsidRPr="00225D4D">
        <w:t>skulane</w:t>
      </w:r>
      <w:proofErr w:type="spellEnd"/>
      <w:r w:rsidRPr="00225D4D">
        <w:t xml:space="preserve">), og på at </w:t>
      </w:r>
      <w:proofErr w:type="spellStart"/>
      <w:r w:rsidRPr="00225D4D">
        <w:t>elevane</w:t>
      </w:r>
      <w:proofErr w:type="spellEnd"/>
      <w:r w:rsidRPr="00225D4D">
        <w:t xml:space="preserve"> får oppfylt </w:t>
      </w:r>
      <w:proofErr w:type="spellStart"/>
      <w:r w:rsidRPr="00225D4D">
        <w:t>rettane</w:t>
      </w:r>
      <w:proofErr w:type="spellEnd"/>
      <w:r w:rsidRPr="00225D4D">
        <w:t xml:space="preserve"> sine. Utdanningsdirektoratet leverte svar på del 3 av oppdraget </w:t>
      </w:r>
      <w:proofErr w:type="spellStart"/>
      <w:r w:rsidRPr="00225D4D">
        <w:t>innan</w:t>
      </w:r>
      <w:proofErr w:type="spellEnd"/>
      <w:r w:rsidRPr="00225D4D">
        <w:t xml:space="preserve"> fristen 16. april 2025. I del 4 av oppdraget skulle Utdanningsdirektoratet bruke kunnskapsgrunnlaget </w:t>
      </w:r>
      <w:proofErr w:type="spellStart"/>
      <w:r w:rsidRPr="00225D4D">
        <w:t>frå</w:t>
      </w:r>
      <w:proofErr w:type="spellEnd"/>
      <w:r w:rsidRPr="00225D4D">
        <w:t xml:space="preserve"> del 3 til å tilrå kva tiltak som bør </w:t>
      </w:r>
      <w:proofErr w:type="spellStart"/>
      <w:r w:rsidRPr="00225D4D">
        <w:t>innførast</w:t>
      </w:r>
      <w:proofErr w:type="spellEnd"/>
      <w:r w:rsidRPr="00225D4D">
        <w:t xml:space="preserve"> for betre å sikre at </w:t>
      </w:r>
      <w:proofErr w:type="spellStart"/>
      <w:r w:rsidRPr="00225D4D">
        <w:t>skulane</w:t>
      </w:r>
      <w:proofErr w:type="spellEnd"/>
      <w:r w:rsidRPr="00225D4D">
        <w:t xml:space="preserve"> gjennomfører vedtak om individuell tilrettelegging av opplæringa og andre vedtak som gir </w:t>
      </w:r>
      <w:proofErr w:type="spellStart"/>
      <w:r w:rsidRPr="00225D4D">
        <w:t>grunnleggande</w:t>
      </w:r>
      <w:proofErr w:type="spellEnd"/>
      <w:r w:rsidRPr="00225D4D">
        <w:t xml:space="preserve"> </w:t>
      </w:r>
      <w:proofErr w:type="spellStart"/>
      <w:r w:rsidRPr="00225D4D">
        <w:t>føresetnader</w:t>
      </w:r>
      <w:proofErr w:type="spellEnd"/>
      <w:r w:rsidRPr="00225D4D">
        <w:t xml:space="preserve"> for å sikre at </w:t>
      </w:r>
      <w:proofErr w:type="spellStart"/>
      <w:r w:rsidRPr="00225D4D">
        <w:t>elevane</w:t>
      </w:r>
      <w:proofErr w:type="spellEnd"/>
      <w:r w:rsidRPr="00225D4D">
        <w:t xml:space="preserve"> får </w:t>
      </w:r>
      <w:proofErr w:type="spellStart"/>
      <w:r w:rsidRPr="00225D4D">
        <w:t>tilfredsstillande</w:t>
      </w:r>
      <w:proofErr w:type="spellEnd"/>
      <w:r w:rsidRPr="00225D4D">
        <w:t xml:space="preserve"> utbytte av opplæringa, og kva </w:t>
      </w:r>
      <w:proofErr w:type="spellStart"/>
      <w:r w:rsidRPr="00225D4D">
        <w:t>verkemiddel</w:t>
      </w:r>
      <w:proofErr w:type="spellEnd"/>
      <w:r w:rsidRPr="00225D4D">
        <w:t xml:space="preserve"> det bør </w:t>
      </w:r>
      <w:proofErr w:type="spellStart"/>
      <w:r w:rsidRPr="00225D4D">
        <w:t>vere</w:t>
      </w:r>
      <w:proofErr w:type="spellEnd"/>
      <w:r w:rsidRPr="00225D4D">
        <w:t xml:space="preserve"> for oppfølging der </w:t>
      </w:r>
      <w:proofErr w:type="spellStart"/>
      <w:r w:rsidRPr="00225D4D">
        <w:t>skulane</w:t>
      </w:r>
      <w:proofErr w:type="spellEnd"/>
      <w:r w:rsidRPr="00225D4D">
        <w:t xml:space="preserve"> </w:t>
      </w:r>
      <w:proofErr w:type="spellStart"/>
      <w:r w:rsidRPr="00225D4D">
        <w:t>ikkje</w:t>
      </w:r>
      <w:proofErr w:type="spellEnd"/>
      <w:r w:rsidRPr="00225D4D">
        <w:t xml:space="preserve"> gjennomfører slike vedtak. </w:t>
      </w:r>
      <w:proofErr w:type="spellStart"/>
      <w:r w:rsidRPr="00225D4D">
        <w:t>Opphavleg</w:t>
      </w:r>
      <w:proofErr w:type="spellEnd"/>
      <w:r w:rsidRPr="00225D4D">
        <w:t xml:space="preserve"> frist for del 4 var 30. juni, </w:t>
      </w:r>
      <w:proofErr w:type="spellStart"/>
      <w:r w:rsidRPr="00225D4D">
        <w:t>seinare</w:t>
      </w:r>
      <w:proofErr w:type="spellEnd"/>
      <w:r w:rsidRPr="00225D4D">
        <w:t xml:space="preserve"> vart han </w:t>
      </w:r>
      <w:proofErr w:type="spellStart"/>
      <w:r w:rsidRPr="00225D4D">
        <w:t>forlengd</w:t>
      </w:r>
      <w:proofErr w:type="spellEnd"/>
      <w:r w:rsidRPr="00225D4D">
        <w:t xml:space="preserve"> til 15. oktober 2025.</w:t>
      </w:r>
    </w:p>
    <w:p w14:paraId="66B0AE3B"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vedtaket overfor Stortinget på </w:t>
      </w:r>
      <w:proofErr w:type="spellStart"/>
      <w:r w:rsidRPr="00225D4D">
        <w:t>ein</w:t>
      </w:r>
      <w:proofErr w:type="spellEnd"/>
      <w:r w:rsidRPr="00225D4D">
        <w:t xml:space="preserve"> eigna måte.</w:t>
      </w:r>
    </w:p>
    <w:p w14:paraId="2318FAC2" w14:textId="77777777" w:rsidR="00D60186" w:rsidRPr="00225D4D" w:rsidRDefault="00D60186" w:rsidP="00225D4D">
      <w:pPr>
        <w:pStyle w:val="Undertittel"/>
      </w:pPr>
      <w:r w:rsidRPr="00225D4D">
        <w:t xml:space="preserve">Oppmodingsvedtak under forskings- og </w:t>
      </w:r>
      <w:proofErr w:type="spellStart"/>
      <w:r w:rsidRPr="00225D4D">
        <w:t>høgare</w:t>
      </w:r>
      <w:proofErr w:type="spellEnd"/>
      <w:r w:rsidRPr="00225D4D">
        <w:t xml:space="preserve"> utdanningsministeren</w:t>
      </w:r>
    </w:p>
    <w:p w14:paraId="1058987B" w14:textId="77777777" w:rsidR="00D60186" w:rsidRPr="00225D4D" w:rsidRDefault="00D60186" w:rsidP="00225D4D">
      <w:pPr>
        <w:pStyle w:val="avsnitt-tittel"/>
      </w:pPr>
      <w:proofErr w:type="spellStart"/>
      <w:r w:rsidRPr="00225D4D">
        <w:t>Meir</w:t>
      </w:r>
      <w:proofErr w:type="spellEnd"/>
      <w:r w:rsidRPr="00225D4D">
        <w:t xml:space="preserve"> variert praksis i </w:t>
      </w:r>
      <w:proofErr w:type="spellStart"/>
      <w:r w:rsidRPr="00225D4D">
        <w:t>lærarutdanningane</w:t>
      </w:r>
      <w:proofErr w:type="spellEnd"/>
      <w:r w:rsidRPr="00225D4D">
        <w:t xml:space="preserve"> m.m.</w:t>
      </w:r>
    </w:p>
    <w:p w14:paraId="31DE5C69" w14:textId="77777777" w:rsidR="00D60186" w:rsidRPr="00225D4D" w:rsidRDefault="00D60186" w:rsidP="00225D4D">
      <w:pPr>
        <w:pStyle w:val="avsnitt-undertittel"/>
      </w:pPr>
      <w:r w:rsidRPr="00225D4D">
        <w:t>Vedtak nr. 471, 31. januar 2023:</w:t>
      </w:r>
    </w:p>
    <w:p w14:paraId="3A8BE4B0" w14:textId="77777777" w:rsidR="00D60186" w:rsidRPr="00225D4D" w:rsidRDefault="00D60186" w:rsidP="00225D4D">
      <w:pPr>
        <w:pStyle w:val="blokksit"/>
        <w:rPr>
          <w:rStyle w:val="kursiv"/>
        </w:rPr>
      </w:pPr>
      <w:r w:rsidRPr="00225D4D">
        <w:rPr>
          <w:rStyle w:val="kursiv"/>
        </w:rPr>
        <w:t>Stortinget ber regjeringen legge til rette for mer variert praksis i lærerutdanningene og sikre bedre oppfølging og veiledning av nye lærere i starten av karrieren, og komme tilbake til Stortinget på egnet måte.</w:t>
      </w:r>
    </w:p>
    <w:p w14:paraId="23D104CA"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8:21 S (2022–2023) </w:t>
      </w:r>
      <w:r w:rsidRPr="00225D4D">
        <w:rPr>
          <w:rStyle w:val="kursiv"/>
        </w:rPr>
        <w:t xml:space="preserve">Representantforslag fra stortingsrepresentantene Abid Raja, Guri Melby, Ingvild </w:t>
      </w:r>
      <w:proofErr w:type="spellStart"/>
      <w:r w:rsidRPr="00225D4D">
        <w:rPr>
          <w:rStyle w:val="kursiv"/>
        </w:rPr>
        <w:t>Wetrhus</w:t>
      </w:r>
      <w:proofErr w:type="spellEnd"/>
      <w:r w:rsidRPr="00225D4D">
        <w:rPr>
          <w:rStyle w:val="kursiv"/>
        </w:rPr>
        <w:t xml:space="preserve"> </w:t>
      </w:r>
      <w:proofErr w:type="spellStart"/>
      <w:r w:rsidRPr="00225D4D">
        <w:rPr>
          <w:rStyle w:val="kursiv"/>
        </w:rPr>
        <w:t>Thorsvik</w:t>
      </w:r>
      <w:proofErr w:type="spellEnd"/>
      <w:r w:rsidRPr="00225D4D">
        <w:rPr>
          <w:rStyle w:val="kursiv"/>
        </w:rPr>
        <w:t xml:space="preserve"> og Alfred Jens Bjørlo om å ta læreryrket framover</w:t>
      </w:r>
      <w:r w:rsidRPr="00225D4D">
        <w:t xml:space="preserve">, jf. </w:t>
      </w:r>
      <w:proofErr w:type="spellStart"/>
      <w:r w:rsidRPr="00225D4D">
        <w:t>Innst</w:t>
      </w:r>
      <w:proofErr w:type="spellEnd"/>
      <w:r w:rsidRPr="00225D4D">
        <w:t>. 158 S (2022–2023).</w:t>
      </w:r>
    </w:p>
    <w:p w14:paraId="24B16C7C" w14:textId="77777777" w:rsidR="00D60186" w:rsidRPr="00225D4D" w:rsidRDefault="00D60186" w:rsidP="00225D4D">
      <w:r w:rsidRPr="00225D4D">
        <w:t xml:space="preserve">Kunnskapsdepartementet held fram med å legge om til ei </w:t>
      </w:r>
      <w:proofErr w:type="spellStart"/>
      <w:r w:rsidRPr="00225D4D">
        <w:t>meir</w:t>
      </w:r>
      <w:proofErr w:type="spellEnd"/>
      <w:r w:rsidRPr="00225D4D">
        <w:t xml:space="preserve"> overordna styring av </w:t>
      </w:r>
      <w:proofErr w:type="spellStart"/>
      <w:r w:rsidRPr="00225D4D">
        <w:t>lærarutdanningane</w:t>
      </w:r>
      <w:proofErr w:type="spellEnd"/>
      <w:r w:rsidRPr="00225D4D">
        <w:t xml:space="preserve">. Formålet er at </w:t>
      </w:r>
      <w:proofErr w:type="spellStart"/>
      <w:r w:rsidRPr="00225D4D">
        <w:t>institusjonane</w:t>
      </w:r>
      <w:proofErr w:type="spellEnd"/>
      <w:r w:rsidRPr="00225D4D">
        <w:t xml:space="preserve"> får større fridom og fleksibilitet til å utvikle </w:t>
      </w:r>
      <w:proofErr w:type="spellStart"/>
      <w:r w:rsidRPr="00225D4D">
        <w:t>utdanningane</w:t>
      </w:r>
      <w:proofErr w:type="spellEnd"/>
      <w:r w:rsidRPr="00225D4D">
        <w:t xml:space="preserve">. 30. juni 2023 fastsette Kunnskapsdepartementet </w:t>
      </w:r>
      <w:proofErr w:type="spellStart"/>
      <w:r w:rsidRPr="00225D4D">
        <w:t>forenklingar</w:t>
      </w:r>
      <w:proofErr w:type="spellEnd"/>
      <w:r w:rsidRPr="00225D4D">
        <w:t xml:space="preserve"> i </w:t>
      </w:r>
      <w:proofErr w:type="spellStart"/>
      <w:r w:rsidRPr="00225D4D">
        <w:t>rammeplanane</w:t>
      </w:r>
      <w:proofErr w:type="spellEnd"/>
      <w:r w:rsidRPr="00225D4D">
        <w:t xml:space="preserve"> som mellom anna skal bidra til </w:t>
      </w:r>
      <w:proofErr w:type="spellStart"/>
      <w:r w:rsidRPr="00225D4D">
        <w:t>meir</w:t>
      </w:r>
      <w:proofErr w:type="spellEnd"/>
      <w:r w:rsidRPr="00225D4D">
        <w:t xml:space="preserve"> variert praksis. Regjeringa si ekspertgruppe om styring av </w:t>
      </w:r>
      <w:proofErr w:type="spellStart"/>
      <w:r w:rsidRPr="00225D4D">
        <w:t>lærarutdanningane</w:t>
      </w:r>
      <w:proofErr w:type="spellEnd"/>
      <w:r w:rsidRPr="00225D4D">
        <w:t xml:space="preserve"> leverte sine </w:t>
      </w:r>
      <w:proofErr w:type="spellStart"/>
      <w:r w:rsidRPr="00225D4D">
        <w:t>tilrådingar</w:t>
      </w:r>
      <w:proofErr w:type="spellEnd"/>
      <w:r w:rsidRPr="00225D4D">
        <w:t xml:space="preserve"> til forskings- og </w:t>
      </w:r>
      <w:proofErr w:type="spellStart"/>
      <w:r w:rsidRPr="00225D4D">
        <w:t>høgare</w:t>
      </w:r>
      <w:proofErr w:type="spellEnd"/>
      <w:r w:rsidRPr="00225D4D">
        <w:t xml:space="preserve"> utdanningsministeren 20. juni 2024. Gruppa tilrår mellom anna at det blir laga </w:t>
      </w:r>
      <w:proofErr w:type="spellStart"/>
      <w:r w:rsidRPr="00225D4D">
        <w:t>éin</w:t>
      </w:r>
      <w:proofErr w:type="spellEnd"/>
      <w:r w:rsidRPr="00225D4D">
        <w:t xml:space="preserve"> rammeplan for </w:t>
      </w:r>
      <w:proofErr w:type="spellStart"/>
      <w:r w:rsidRPr="00225D4D">
        <w:t>lærarutdanningane</w:t>
      </w:r>
      <w:proofErr w:type="spellEnd"/>
      <w:r w:rsidRPr="00225D4D">
        <w:t xml:space="preserve"> som skal erstatte dagens elleve </w:t>
      </w:r>
      <w:proofErr w:type="spellStart"/>
      <w:r w:rsidRPr="00225D4D">
        <w:t>rammeplanar</w:t>
      </w:r>
      <w:proofErr w:type="spellEnd"/>
      <w:r w:rsidRPr="00225D4D">
        <w:t xml:space="preserve">. Gruppa tilrår </w:t>
      </w:r>
      <w:proofErr w:type="spellStart"/>
      <w:r w:rsidRPr="00225D4D">
        <w:t>vidare</w:t>
      </w:r>
      <w:proofErr w:type="spellEnd"/>
      <w:r w:rsidRPr="00225D4D">
        <w:t xml:space="preserve"> at </w:t>
      </w:r>
      <w:proofErr w:type="spellStart"/>
      <w:r w:rsidRPr="00225D4D">
        <w:t>partnarskap</w:t>
      </w:r>
      <w:proofErr w:type="spellEnd"/>
      <w:r w:rsidRPr="00225D4D">
        <w:t xml:space="preserve"> mellom </w:t>
      </w:r>
      <w:proofErr w:type="spellStart"/>
      <w:r w:rsidRPr="00225D4D">
        <w:t>lærarutdanningsinstitusjonane</w:t>
      </w:r>
      <w:proofErr w:type="spellEnd"/>
      <w:r w:rsidRPr="00225D4D">
        <w:t xml:space="preserve"> og praksisfeltet blir forskriftsfesta.</w:t>
      </w:r>
    </w:p>
    <w:p w14:paraId="459BA63E" w14:textId="77777777" w:rsidR="00D60186" w:rsidRPr="00225D4D" w:rsidRDefault="00D60186" w:rsidP="00225D4D">
      <w:r w:rsidRPr="00225D4D">
        <w:t xml:space="preserve">Gode </w:t>
      </w:r>
      <w:proofErr w:type="spellStart"/>
      <w:r w:rsidRPr="00225D4D">
        <w:t>partnarskapar</w:t>
      </w:r>
      <w:proofErr w:type="spellEnd"/>
      <w:r w:rsidRPr="00225D4D">
        <w:t xml:space="preserve"> er </w:t>
      </w:r>
      <w:proofErr w:type="spellStart"/>
      <w:r w:rsidRPr="00225D4D">
        <w:t>ein</w:t>
      </w:r>
      <w:proofErr w:type="spellEnd"/>
      <w:r w:rsidRPr="00225D4D">
        <w:t xml:space="preserve"> </w:t>
      </w:r>
      <w:proofErr w:type="spellStart"/>
      <w:r w:rsidRPr="00225D4D">
        <w:t>føresetnad</w:t>
      </w:r>
      <w:proofErr w:type="spellEnd"/>
      <w:r w:rsidRPr="00225D4D">
        <w:t xml:space="preserve"> for god praksis og kan bidra til </w:t>
      </w:r>
      <w:proofErr w:type="spellStart"/>
      <w:r w:rsidRPr="00225D4D">
        <w:t>meir</w:t>
      </w:r>
      <w:proofErr w:type="spellEnd"/>
      <w:r w:rsidRPr="00225D4D">
        <w:t xml:space="preserve"> variasjon. I Meld. St. 19 (2023–2024) </w:t>
      </w:r>
      <w:r w:rsidRPr="00225D4D">
        <w:rPr>
          <w:rStyle w:val="kursiv"/>
        </w:rPr>
        <w:t xml:space="preserve">Profesjonsnære </w:t>
      </w:r>
      <w:proofErr w:type="spellStart"/>
      <w:r w:rsidRPr="00225D4D">
        <w:rPr>
          <w:rStyle w:val="kursiv"/>
        </w:rPr>
        <w:t>utdanningar</w:t>
      </w:r>
      <w:proofErr w:type="spellEnd"/>
      <w:r w:rsidRPr="00225D4D">
        <w:rPr>
          <w:rStyle w:val="kursiv"/>
        </w:rPr>
        <w:t xml:space="preserve"> over heile landet</w:t>
      </w:r>
      <w:r w:rsidRPr="00225D4D">
        <w:t xml:space="preserve"> slår regjeringa fast at ho vil </w:t>
      </w:r>
      <w:proofErr w:type="spellStart"/>
      <w:r w:rsidRPr="00225D4D">
        <w:t>halde</w:t>
      </w:r>
      <w:proofErr w:type="spellEnd"/>
      <w:r w:rsidRPr="00225D4D">
        <w:t xml:space="preserve"> fram med satsinga på </w:t>
      </w:r>
      <w:proofErr w:type="spellStart"/>
      <w:r w:rsidRPr="00225D4D">
        <w:t>partnarskapssamarbeid</w:t>
      </w:r>
      <w:proofErr w:type="spellEnd"/>
      <w:r w:rsidRPr="00225D4D">
        <w:t xml:space="preserve"> i </w:t>
      </w:r>
      <w:proofErr w:type="spellStart"/>
      <w:r w:rsidRPr="00225D4D">
        <w:t>lærarutdanningane</w:t>
      </w:r>
      <w:proofErr w:type="spellEnd"/>
      <w:r w:rsidRPr="00225D4D">
        <w:t xml:space="preserve"> og </w:t>
      </w:r>
      <w:proofErr w:type="spellStart"/>
      <w:r w:rsidRPr="00225D4D">
        <w:t>forventar</w:t>
      </w:r>
      <w:proofErr w:type="spellEnd"/>
      <w:r w:rsidRPr="00225D4D">
        <w:t xml:space="preserve"> at universitet og </w:t>
      </w:r>
      <w:proofErr w:type="spellStart"/>
      <w:r w:rsidRPr="00225D4D">
        <w:t>høgskular</w:t>
      </w:r>
      <w:proofErr w:type="spellEnd"/>
      <w:r w:rsidRPr="00225D4D">
        <w:t xml:space="preserve"> samarbeider med arbeidslivet om </w:t>
      </w:r>
      <w:proofErr w:type="spellStart"/>
      <w:r w:rsidRPr="00225D4D">
        <w:t>innhaldet</w:t>
      </w:r>
      <w:proofErr w:type="spellEnd"/>
      <w:r w:rsidRPr="00225D4D">
        <w:t xml:space="preserve"> i </w:t>
      </w:r>
      <w:proofErr w:type="spellStart"/>
      <w:r w:rsidRPr="00225D4D">
        <w:t>utdanningane</w:t>
      </w:r>
      <w:proofErr w:type="spellEnd"/>
      <w:r w:rsidRPr="00225D4D">
        <w:t xml:space="preserve">. I meldinga står det òg at regjeringa vil vurdere å fjerne det forskriftsfesta kravet om fordeling av praksis i </w:t>
      </w:r>
      <w:proofErr w:type="spellStart"/>
      <w:r w:rsidRPr="00225D4D">
        <w:t>lærarutdanningane</w:t>
      </w:r>
      <w:proofErr w:type="spellEnd"/>
      <w:r w:rsidRPr="00225D4D">
        <w:t xml:space="preserve"> i oppfølginga av arbeidet til ekspertgruppa om styring av </w:t>
      </w:r>
      <w:proofErr w:type="spellStart"/>
      <w:r w:rsidRPr="00225D4D">
        <w:t>lærarutdanningane</w:t>
      </w:r>
      <w:proofErr w:type="spellEnd"/>
      <w:r w:rsidRPr="00225D4D">
        <w:t xml:space="preserve">. Lengre </w:t>
      </w:r>
      <w:proofErr w:type="spellStart"/>
      <w:r w:rsidRPr="00225D4D">
        <w:t>praksisperiodar</w:t>
      </w:r>
      <w:proofErr w:type="spellEnd"/>
      <w:r w:rsidRPr="00225D4D">
        <w:t xml:space="preserve"> kan gi </w:t>
      </w:r>
      <w:proofErr w:type="spellStart"/>
      <w:r w:rsidRPr="00225D4D">
        <w:t>studentane</w:t>
      </w:r>
      <w:proofErr w:type="spellEnd"/>
      <w:r w:rsidRPr="00225D4D">
        <w:t xml:space="preserve"> </w:t>
      </w:r>
      <w:proofErr w:type="spellStart"/>
      <w:r w:rsidRPr="00225D4D">
        <w:t>breiare</w:t>
      </w:r>
      <w:proofErr w:type="spellEnd"/>
      <w:r w:rsidRPr="00225D4D">
        <w:t xml:space="preserve"> erfaring </w:t>
      </w:r>
      <w:proofErr w:type="spellStart"/>
      <w:r w:rsidRPr="00225D4D">
        <w:t>frå</w:t>
      </w:r>
      <w:proofErr w:type="spellEnd"/>
      <w:r w:rsidRPr="00225D4D">
        <w:t xml:space="preserve"> </w:t>
      </w:r>
      <w:proofErr w:type="spellStart"/>
      <w:r w:rsidRPr="00225D4D">
        <w:t>kvardagen</w:t>
      </w:r>
      <w:proofErr w:type="spellEnd"/>
      <w:r w:rsidRPr="00225D4D">
        <w:t xml:space="preserve"> i </w:t>
      </w:r>
      <w:proofErr w:type="spellStart"/>
      <w:r w:rsidRPr="00225D4D">
        <w:t>skulen</w:t>
      </w:r>
      <w:proofErr w:type="spellEnd"/>
      <w:r w:rsidRPr="00225D4D">
        <w:t xml:space="preserve">, og med det </w:t>
      </w:r>
      <w:proofErr w:type="spellStart"/>
      <w:r w:rsidRPr="00225D4D">
        <w:t>meir</w:t>
      </w:r>
      <w:proofErr w:type="spellEnd"/>
      <w:r w:rsidRPr="00225D4D">
        <w:t xml:space="preserve"> relevant praksis. </w:t>
      </w:r>
      <w:proofErr w:type="spellStart"/>
      <w:r w:rsidRPr="00225D4D">
        <w:t>Fagleg</w:t>
      </w:r>
      <w:proofErr w:type="spellEnd"/>
      <w:r w:rsidRPr="00225D4D">
        <w:t xml:space="preserve"> råd for </w:t>
      </w:r>
      <w:proofErr w:type="spellStart"/>
      <w:r w:rsidRPr="00225D4D">
        <w:t>lærarutdanning</w:t>
      </w:r>
      <w:proofErr w:type="spellEnd"/>
      <w:r w:rsidRPr="00225D4D">
        <w:t xml:space="preserve"> 2025 har greidd ut omgrepet «utvida praksis» i </w:t>
      </w:r>
      <w:proofErr w:type="spellStart"/>
      <w:r w:rsidRPr="00225D4D">
        <w:t>lærarutdanningane</w:t>
      </w:r>
      <w:proofErr w:type="spellEnd"/>
      <w:r w:rsidRPr="00225D4D">
        <w:t xml:space="preserve">. Ei utvida forståing av praksis som </w:t>
      </w:r>
      <w:proofErr w:type="spellStart"/>
      <w:r w:rsidRPr="00225D4D">
        <w:t>noko</w:t>
      </w:r>
      <w:proofErr w:type="spellEnd"/>
      <w:r w:rsidRPr="00225D4D">
        <w:t xml:space="preserve"> </w:t>
      </w:r>
      <w:proofErr w:type="spellStart"/>
      <w:r w:rsidRPr="00225D4D">
        <w:t>meir</w:t>
      </w:r>
      <w:proofErr w:type="spellEnd"/>
      <w:r w:rsidRPr="00225D4D">
        <w:t xml:space="preserve"> enn </w:t>
      </w:r>
      <w:proofErr w:type="spellStart"/>
      <w:r w:rsidRPr="00225D4D">
        <w:t>dei</w:t>
      </w:r>
      <w:proofErr w:type="spellEnd"/>
      <w:r w:rsidRPr="00225D4D">
        <w:t xml:space="preserve"> ordinære </w:t>
      </w:r>
      <w:proofErr w:type="spellStart"/>
      <w:r w:rsidRPr="00225D4D">
        <w:t>praksisdagane</w:t>
      </w:r>
      <w:proofErr w:type="spellEnd"/>
      <w:r w:rsidRPr="00225D4D">
        <w:t xml:space="preserve"> kan bidra til å gi </w:t>
      </w:r>
      <w:proofErr w:type="spellStart"/>
      <w:r w:rsidRPr="00225D4D">
        <w:t>studentane</w:t>
      </w:r>
      <w:proofErr w:type="spellEnd"/>
      <w:r w:rsidRPr="00225D4D">
        <w:t xml:space="preserve"> </w:t>
      </w:r>
      <w:proofErr w:type="spellStart"/>
      <w:r w:rsidRPr="00225D4D">
        <w:t>meir</w:t>
      </w:r>
      <w:proofErr w:type="spellEnd"/>
      <w:r w:rsidRPr="00225D4D">
        <w:t xml:space="preserve"> varierte </w:t>
      </w:r>
      <w:proofErr w:type="spellStart"/>
      <w:r w:rsidRPr="00225D4D">
        <w:t>praksiserfaringar</w:t>
      </w:r>
      <w:proofErr w:type="spellEnd"/>
      <w:r w:rsidRPr="00225D4D">
        <w:t xml:space="preserve"> gjennom utdanninga.</w:t>
      </w:r>
    </w:p>
    <w:p w14:paraId="7F456027" w14:textId="77777777" w:rsidR="00D60186" w:rsidRPr="00225D4D" w:rsidRDefault="00D60186" w:rsidP="00225D4D">
      <w:r w:rsidRPr="00225D4D">
        <w:t xml:space="preserve">Regjeringa lanserte i mai 2025 strategien for </w:t>
      </w:r>
      <w:proofErr w:type="spellStart"/>
      <w:r w:rsidRPr="00225D4D">
        <w:t>eit</w:t>
      </w:r>
      <w:proofErr w:type="spellEnd"/>
      <w:r w:rsidRPr="00225D4D">
        <w:t xml:space="preserve"> nytt </w:t>
      </w:r>
      <w:proofErr w:type="spellStart"/>
      <w:r w:rsidRPr="00225D4D">
        <w:t>heilskapleg</w:t>
      </w:r>
      <w:proofErr w:type="spellEnd"/>
      <w:r w:rsidRPr="00225D4D">
        <w:t xml:space="preserve"> system for kompetanse- og karriereutvikling i barnehage og grunnopplæring. </w:t>
      </w:r>
      <w:proofErr w:type="spellStart"/>
      <w:r w:rsidRPr="00225D4D">
        <w:t>Eit</w:t>
      </w:r>
      <w:proofErr w:type="spellEnd"/>
      <w:r w:rsidRPr="00225D4D">
        <w:t xml:space="preserve"> av </w:t>
      </w:r>
      <w:proofErr w:type="spellStart"/>
      <w:r w:rsidRPr="00225D4D">
        <w:t>hovudtiltaka</w:t>
      </w:r>
      <w:proofErr w:type="spellEnd"/>
      <w:r w:rsidRPr="00225D4D">
        <w:t xml:space="preserve"> i systemet er å styrke rettleiinga av nyutdanna </w:t>
      </w:r>
      <w:proofErr w:type="spellStart"/>
      <w:r w:rsidRPr="00225D4D">
        <w:t>lærarar</w:t>
      </w:r>
      <w:proofErr w:type="spellEnd"/>
      <w:r w:rsidRPr="00225D4D">
        <w:t xml:space="preserve"> i barnehage og </w:t>
      </w:r>
      <w:proofErr w:type="spellStart"/>
      <w:r w:rsidRPr="00225D4D">
        <w:t>skule</w:t>
      </w:r>
      <w:proofErr w:type="spellEnd"/>
      <w:r w:rsidRPr="00225D4D">
        <w:t xml:space="preserve">. </w:t>
      </w:r>
      <w:proofErr w:type="spellStart"/>
      <w:r w:rsidRPr="00225D4D">
        <w:t>Frå</w:t>
      </w:r>
      <w:proofErr w:type="spellEnd"/>
      <w:r w:rsidRPr="00225D4D">
        <w:t xml:space="preserve"> </w:t>
      </w:r>
      <w:proofErr w:type="spellStart"/>
      <w:r w:rsidRPr="00225D4D">
        <w:t>hausten</w:t>
      </w:r>
      <w:proofErr w:type="spellEnd"/>
      <w:r w:rsidRPr="00225D4D">
        <w:t xml:space="preserve"> 2025 er </w:t>
      </w:r>
      <w:proofErr w:type="spellStart"/>
      <w:r w:rsidRPr="00225D4D">
        <w:t>tilskotsordninga</w:t>
      </w:r>
      <w:proofErr w:type="spellEnd"/>
      <w:r w:rsidRPr="00225D4D">
        <w:t xml:space="preserve"> til rettleiing for nyutdanna </w:t>
      </w:r>
      <w:proofErr w:type="spellStart"/>
      <w:r w:rsidRPr="00225D4D">
        <w:t>lærarar</w:t>
      </w:r>
      <w:proofErr w:type="spellEnd"/>
      <w:r w:rsidRPr="00225D4D">
        <w:t xml:space="preserve"> utvida til også å gjelde nyutdanna </w:t>
      </w:r>
      <w:proofErr w:type="spellStart"/>
      <w:r w:rsidRPr="00225D4D">
        <w:t>lærarar</w:t>
      </w:r>
      <w:proofErr w:type="spellEnd"/>
      <w:r w:rsidRPr="00225D4D">
        <w:t xml:space="preserve"> i barnehage og </w:t>
      </w:r>
      <w:proofErr w:type="spellStart"/>
      <w:r w:rsidRPr="00225D4D">
        <w:t>vidaregåande</w:t>
      </w:r>
      <w:proofErr w:type="spellEnd"/>
      <w:r w:rsidRPr="00225D4D">
        <w:t xml:space="preserve"> </w:t>
      </w:r>
      <w:proofErr w:type="spellStart"/>
      <w:r w:rsidRPr="00225D4D">
        <w:t>skule</w:t>
      </w:r>
      <w:proofErr w:type="spellEnd"/>
      <w:r w:rsidRPr="00225D4D">
        <w:t xml:space="preserve">, og ordninga er styrkt med 75 mill. kroner. Regjeringa foreslår å </w:t>
      </w:r>
      <w:proofErr w:type="spellStart"/>
      <w:r w:rsidRPr="00225D4D">
        <w:t>auke</w:t>
      </w:r>
      <w:proofErr w:type="spellEnd"/>
      <w:r w:rsidRPr="00225D4D">
        <w:t xml:space="preserve"> </w:t>
      </w:r>
      <w:proofErr w:type="spellStart"/>
      <w:r w:rsidRPr="00225D4D">
        <w:t>tilskotet</w:t>
      </w:r>
      <w:proofErr w:type="spellEnd"/>
      <w:r w:rsidRPr="00225D4D">
        <w:t xml:space="preserve"> </w:t>
      </w:r>
      <w:proofErr w:type="spellStart"/>
      <w:r w:rsidRPr="00225D4D">
        <w:t>ytterlegare</w:t>
      </w:r>
      <w:proofErr w:type="spellEnd"/>
      <w:r w:rsidRPr="00225D4D">
        <w:t xml:space="preserve"> med 75 mill. kroner i 2026, slik at løyvinga totalt blir på 225,8 mill. kroner.</w:t>
      </w:r>
    </w:p>
    <w:p w14:paraId="2386AAE3" w14:textId="77777777" w:rsidR="00D60186" w:rsidRPr="00225D4D" w:rsidRDefault="00D60186" w:rsidP="00225D4D">
      <w:r w:rsidRPr="00225D4D">
        <w:t xml:space="preserve">Regjeringa ønsker å bidra til at </w:t>
      </w:r>
      <w:proofErr w:type="spellStart"/>
      <w:r w:rsidRPr="00225D4D">
        <w:t>utdanningsinstitusjonane</w:t>
      </w:r>
      <w:proofErr w:type="spellEnd"/>
      <w:r w:rsidRPr="00225D4D">
        <w:t xml:space="preserve"> kan tilby </w:t>
      </w:r>
      <w:proofErr w:type="spellStart"/>
      <w:r w:rsidRPr="00225D4D">
        <w:t>meir</w:t>
      </w:r>
      <w:proofErr w:type="spellEnd"/>
      <w:r w:rsidRPr="00225D4D">
        <w:t xml:space="preserve"> fleksibel, </w:t>
      </w:r>
      <w:proofErr w:type="spellStart"/>
      <w:r w:rsidRPr="00225D4D">
        <w:t>meir</w:t>
      </w:r>
      <w:proofErr w:type="spellEnd"/>
      <w:r w:rsidRPr="00225D4D">
        <w:t xml:space="preserve"> relevante og </w:t>
      </w:r>
      <w:proofErr w:type="spellStart"/>
      <w:r w:rsidRPr="00225D4D">
        <w:t>meir</w:t>
      </w:r>
      <w:proofErr w:type="spellEnd"/>
      <w:r w:rsidRPr="00225D4D">
        <w:t xml:space="preserve"> praksisnære </w:t>
      </w:r>
      <w:proofErr w:type="spellStart"/>
      <w:r w:rsidRPr="00225D4D">
        <w:t>lærarutdanningar</w:t>
      </w:r>
      <w:proofErr w:type="spellEnd"/>
      <w:r w:rsidRPr="00225D4D">
        <w:t xml:space="preserve">. I mars 2025 konkluderte regjeringa med å gå </w:t>
      </w:r>
      <w:proofErr w:type="spellStart"/>
      <w:r w:rsidRPr="00225D4D">
        <w:t>frå</w:t>
      </w:r>
      <w:proofErr w:type="spellEnd"/>
      <w:r w:rsidRPr="00225D4D">
        <w:t xml:space="preserve"> elleve til to </w:t>
      </w:r>
      <w:proofErr w:type="spellStart"/>
      <w:r w:rsidRPr="00225D4D">
        <w:t>rammeplanar</w:t>
      </w:r>
      <w:proofErr w:type="spellEnd"/>
      <w:r w:rsidRPr="00225D4D">
        <w:t xml:space="preserve"> for </w:t>
      </w:r>
      <w:proofErr w:type="spellStart"/>
      <w:r w:rsidRPr="00225D4D">
        <w:t>lærarutdanningane</w:t>
      </w:r>
      <w:proofErr w:type="spellEnd"/>
      <w:r w:rsidRPr="00225D4D">
        <w:t xml:space="preserve">; </w:t>
      </w:r>
      <w:proofErr w:type="spellStart"/>
      <w:r w:rsidRPr="00225D4D">
        <w:t>ein</w:t>
      </w:r>
      <w:proofErr w:type="spellEnd"/>
      <w:r w:rsidRPr="00225D4D">
        <w:t xml:space="preserve"> rammeplan for </w:t>
      </w:r>
      <w:proofErr w:type="spellStart"/>
      <w:r w:rsidRPr="00225D4D">
        <w:t>dei</w:t>
      </w:r>
      <w:proofErr w:type="spellEnd"/>
      <w:r w:rsidRPr="00225D4D">
        <w:t xml:space="preserve"> ordinære og </w:t>
      </w:r>
      <w:proofErr w:type="spellStart"/>
      <w:r w:rsidRPr="00225D4D">
        <w:t>ein</w:t>
      </w:r>
      <w:proofErr w:type="spellEnd"/>
      <w:r w:rsidRPr="00225D4D">
        <w:t xml:space="preserve"> rammeplan for </w:t>
      </w:r>
      <w:proofErr w:type="spellStart"/>
      <w:r w:rsidRPr="00225D4D">
        <w:t>dei</w:t>
      </w:r>
      <w:proofErr w:type="spellEnd"/>
      <w:r w:rsidRPr="00225D4D">
        <w:t xml:space="preserve"> samiske </w:t>
      </w:r>
      <w:proofErr w:type="spellStart"/>
      <w:r w:rsidRPr="00225D4D">
        <w:t>lærarutdanningane</w:t>
      </w:r>
      <w:proofErr w:type="spellEnd"/>
      <w:r w:rsidRPr="00225D4D">
        <w:t xml:space="preserve">. Departementet har gitt </w:t>
      </w:r>
      <w:proofErr w:type="spellStart"/>
      <w:r w:rsidRPr="00225D4D">
        <w:t>Fagleg</w:t>
      </w:r>
      <w:proofErr w:type="spellEnd"/>
      <w:r w:rsidRPr="00225D4D">
        <w:t xml:space="preserve"> råd for </w:t>
      </w:r>
      <w:proofErr w:type="spellStart"/>
      <w:r w:rsidRPr="00225D4D">
        <w:t>lærarutdanning</w:t>
      </w:r>
      <w:proofErr w:type="spellEnd"/>
      <w:r w:rsidRPr="00225D4D">
        <w:t xml:space="preserve"> 2025 i oppdrag å utarbeide forslag til </w:t>
      </w:r>
      <w:proofErr w:type="spellStart"/>
      <w:r w:rsidRPr="00225D4D">
        <w:t>ein</w:t>
      </w:r>
      <w:proofErr w:type="spellEnd"/>
      <w:r w:rsidRPr="00225D4D">
        <w:t xml:space="preserve"> felles rammeplan for </w:t>
      </w:r>
      <w:proofErr w:type="spellStart"/>
      <w:r w:rsidRPr="00225D4D">
        <w:t>dei</w:t>
      </w:r>
      <w:proofErr w:type="spellEnd"/>
      <w:r w:rsidRPr="00225D4D">
        <w:t xml:space="preserve"> ordinære </w:t>
      </w:r>
      <w:proofErr w:type="spellStart"/>
      <w:r w:rsidRPr="00225D4D">
        <w:t>lærarutdanningane</w:t>
      </w:r>
      <w:proofErr w:type="spellEnd"/>
      <w:r w:rsidRPr="00225D4D">
        <w:t xml:space="preserve">. Dette er ei oppfølging av prosessen for </w:t>
      </w:r>
      <w:proofErr w:type="spellStart"/>
      <w:r w:rsidRPr="00225D4D">
        <w:t>meir</w:t>
      </w:r>
      <w:proofErr w:type="spellEnd"/>
      <w:r w:rsidRPr="00225D4D">
        <w:t xml:space="preserve"> overordna styring av </w:t>
      </w:r>
      <w:proofErr w:type="spellStart"/>
      <w:r w:rsidRPr="00225D4D">
        <w:t>lærarutdanningane</w:t>
      </w:r>
      <w:proofErr w:type="spellEnd"/>
      <w:r w:rsidRPr="00225D4D">
        <w:t xml:space="preserve">. Målet med prosessen er å legge </w:t>
      </w:r>
      <w:proofErr w:type="spellStart"/>
      <w:r w:rsidRPr="00225D4D">
        <w:t>betre</w:t>
      </w:r>
      <w:proofErr w:type="spellEnd"/>
      <w:r w:rsidRPr="00225D4D">
        <w:t xml:space="preserve"> til rette for at </w:t>
      </w:r>
      <w:proofErr w:type="spellStart"/>
      <w:r w:rsidRPr="00225D4D">
        <w:t>institusjonane</w:t>
      </w:r>
      <w:proofErr w:type="spellEnd"/>
      <w:r w:rsidRPr="00225D4D">
        <w:t xml:space="preserve">, i samarbeid med praksisfeltet, kan utvikle kvaliteten i norsk </w:t>
      </w:r>
      <w:proofErr w:type="spellStart"/>
      <w:r w:rsidRPr="00225D4D">
        <w:t>lærarutdanning</w:t>
      </w:r>
      <w:proofErr w:type="spellEnd"/>
      <w:r w:rsidRPr="00225D4D">
        <w:t xml:space="preserve"> og samtidig gi </w:t>
      </w:r>
      <w:proofErr w:type="spellStart"/>
      <w:r w:rsidRPr="00225D4D">
        <w:t>meir</w:t>
      </w:r>
      <w:proofErr w:type="spellEnd"/>
      <w:r w:rsidRPr="00225D4D">
        <w:t xml:space="preserve"> fleksibilitet for å tilpasse </w:t>
      </w:r>
      <w:proofErr w:type="spellStart"/>
      <w:r w:rsidRPr="00225D4D">
        <w:t>utdanningane</w:t>
      </w:r>
      <w:proofErr w:type="spellEnd"/>
      <w:r w:rsidRPr="00225D4D">
        <w:t xml:space="preserve"> betre til lokale og regionale kompetansebehov. I april 2025 sende departementet ut </w:t>
      </w:r>
      <w:proofErr w:type="spellStart"/>
      <w:r w:rsidRPr="00225D4D">
        <w:t>eit</w:t>
      </w:r>
      <w:proofErr w:type="spellEnd"/>
      <w:r w:rsidRPr="00225D4D">
        <w:t xml:space="preserve"> brev til alle </w:t>
      </w:r>
      <w:proofErr w:type="spellStart"/>
      <w:r w:rsidRPr="00225D4D">
        <w:t>lærarutdanningsinstitusjonane</w:t>
      </w:r>
      <w:proofErr w:type="spellEnd"/>
      <w:r w:rsidRPr="00225D4D">
        <w:t xml:space="preserve"> med ei oppmoding om å gjennomføre forsøk med alternativ organisering av </w:t>
      </w:r>
      <w:proofErr w:type="spellStart"/>
      <w:r w:rsidRPr="00225D4D">
        <w:t>lærarutdanningane</w:t>
      </w:r>
      <w:proofErr w:type="spellEnd"/>
      <w:r w:rsidRPr="00225D4D">
        <w:t xml:space="preserve">. Dette </w:t>
      </w:r>
      <w:proofErr w:type="spellStart"/>
      <w:r w:rsidRPr="00225D4D">
        <w:t>inneber</w:t>
      </w:r>
      <w:proofErr w:type="spellEnd"/>
      <w:r w:rsidRPr="00225D4D">
        <w:t xml:space="preserve"> </w:t>
      </w:r>
      <w:proofErr w:type="spellStart"/>
      <w:r w:rsidRPr="00225D4D">
        <w:t>meir</w:t>
      </w:r>
      <w:proofErr w:type="spellEnd"/>
      <w:r w:rsidRPr="00225D4D">
        <w:t xml:space="preserve"> og </w:t>
      </w:r>
      <w:proofErr w:type="spellStart"/>
      <w:r w:rsidRPr="00225D4D">
        <w:t>meir</w:t>
      </w:r>
      <w:proofErr w:type="spellEnd"/>
      <w:r w:rsidRPr="00225D4D">
        <w:t xml:space="preserve"> variert praksis og at nyutdanna </w:t>
      </w:r>
      <w:proofErr w:type="spellStart"/>
      <w:r w:rsidRPr="00225D4D">
        <w:t>lærarar</w:t>
      </w:r>
      <w:proofErr w:type="spellEnd"/>
      <w:r w:rsidRPr="00225D4D">
        <w:t xml:space="preserve"> blir </w:t>
      </w:r>
      <w:proofErr w:type="spellStart"/>
      <w:r w:rsidRPr="00225D4D">
        <w:t>endå</w:t>
      </w:r>
      <w:proofErr w:type="spellEnd"/>
      <w:r w:rsidRPr="00225D4D">
        <w:t xml:space="preserve"> betre førebudde på </w:t>
      </w:r>
      <w:proofErr w:type="spellStart"/>
      <w:r w:rsidRPr="00225D4D">
        <w:t>kvardagen</w:t>
      </w:r>
      <w:proofErr w:type="spellEnd"/>
      <w:r w:rsidRPr="00225D4D">
        <w:t xml:space="preserve"> i </w:t>
      </w:r>
      <w:proofErr w:type="spellStart"/>
      <w:r w:rsidRPr="00225D4D">
        <w:t>skular</w:t>
      </w:r>
      <w:proofErr w:type="spellEnd"/>
      <w:r w:rsidRPr="00225D4D">
        <w:t xml:space="preserve"> og </w:t>
      </w:r>
      <w:proofErr w:type="spellStart"/>
      <w:r w:rsidRPr="00225D4D">
        <w:t>barnehagar</w:t>
      </w:r>
      <w:proofErr w:type="spellEnd"/>
      <w:r w:rsidRPr="00225D4D">
        <w:t xml:space="preserve"> etter fullført utdanning. Forsøka med alternative </w:t>
      </w:r>
      <w:proofErr w:type="spellStart"/>
      <w:r w:rsidRPr="00225D4D">
        <w:t>organiseringar</w:t>
      </w:r>
      <w:proofErr w:type="spellEnd"/>
      <w:r w:rsidRPr="00225D4D">
        <w:t xml:space="preserve"> av </w:t>
      </w:r>
      <w:proofErr w:type="spellStart"/>
      <w:r w:rsidRPr="00225D4D">
        <w:t>lærarutdanningane</w:t>
      </w:r>
      <w:proofErr w:type="spellEnd"/>
      <w:r w:rsidRPr="00225D4D">
        <w:t xml:space="preserve"> skal gi ny kunnskap om og erfaring med korleis profesjonsretting og praksisnærleik kan </w:t>
      </w:r>
      <w:proofErr w:type="spellStart"/>
      <w:r w:rsidRPr="00225D4D">
        <w:t>styrkast</w:t>
      </w:r>
      <w:proofErr w:type="spellEnd"/>
      <w:r w:rsidRPr="00225D4D">
        <w:t xml:space="preserve"> </w:t>
      </w:r>
      <w:proofErr w:type="spellStart"/>
      <w:r w:rsidRPr="00225D4D">
        <w:t>innanfor</w:t>
      </w:r>
      <w:proofErr w:type="spellEnd"/>
      <w:r w:rsidRPr="00225D4D">
        <w:t xml:space="preserve"> den </w:t>
      </w:r>
      <w:proofErr w:type="spellStart"/>
      <w:r w:rsidRPr="00225D4D">
        <w:t>eksisterande</w:t>
      </w:r>
      <w:proofErr w:type="spellEnd"/>
      <w:r w:rsidRPr="00225D4D">
        <w:t xml:space="preserve"> ramma av </w:t>
      </w:r>
      <w:proofErr w:type="spellStart"/>
      <w:r w:rsidRPr="00225D4D">
        <w:t>lærarutdanningane</w:t>
      </w:r>
      <w:proofErr w:type="spellEnd"/>
      <w:r w:rsidRPr="00225D4D">
        <w:t>.</w:t>
      </w:r>
    </w:p>
    <w:p w14:paraId="00567D8B"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111ADE05" w14:textId="77777777" w:rsidR="00D60186" w:rsidRPr="00225D4D" w:rsidRDefault="00D60186" w:rsidP="00225D4D">
      <w:pPr>
        <w:pStyle w:val="avsnitt-tittel"/>
      </w:pPr>
      <w:r w:rsidRPr="00225D4D">
        <w:t xml:space="preserve">Plan for å </w:t>
      </w:r>
      <w:proofErr w:type="spellStart"/>
      <w:r w:rsidRPr="00225D4D">
        <w:t>vidareutvikle</w:t>
      </w:r>
      <w:proofErr w:type="spellEnd"/>
      <w:r w:rsidRPr="00225D4D">
        <w:t xml:space="preserve"> </w:t>
      </w:r>
      <w:proofErr w:type="spellStart"/>
      <w:r w:rsidRPr="00225D4D">
        <w:t>høgare</w:t>
      </w:r>
      <w:proofErr w:type="spellEnd"/>
      <w:r w:rsidRPr="00225D4D">
        <w:t xml:space="preserve"> </w:t>
      </w:r>
      <w:proofErr w:type="spellStart"/>
      <w:r w:rsidRPr="00225D4D">
        <w:t>yrkesfagleg</w:t>
      </w:r>
      <w:proofErr w:type="spellEnd"/>
      <w:r w:rsidRPr="00225D4D">
        <w:t xml:space="preserve"> utdanning</w:t>
      </w:r>
    </w:p>
    <w:p w14:paraId="4EC412D9" w14:textId="77777777" w:rsidR="00D60186" w:rsidRPr="00225D4D" w:rsidRDefault="00D60186" w:rsidP="00225D4D">
      <w:pPr>
        <w:pStyle w:val="avsnitt-undertittel"/>
      </w:pPr>
      <w:r w:rsidRPr="00225D4D">
        <w:t>Vedtak nr. 484, 14. februar 2023:</w:t>
      </w:r>
    </w:p>
    <w:p w14:paraId="5313FD68" w14:textId="77777777" w:rsidR="00D60186" w:rsidRPr="00225D4D" w:rsidRDefault="00D60186" w:rsidP="00225D4D">
      <w:pPr>
        <w:pStyle w:val="blokksit"/>
        <w:rPr>
          <w:rStyle w:val="kursiv"/>
        </w:rPr>
      </w:pPr>
      <w:r w:rsidRPr="00225D4D">
        <w:rPr>
          <w:rStyle w:val="kursiv"/>
        </w:rPr>
        <w:t>Stortinget ber regjeringen, i arbeidet med en stortingsmelding om fagskoler, legge fram en plan for videreutviklingen av den høyere yrkesfaglige utdanningen som blant annet drøfter finansiering, studiepoengsystem, kapasitet og akkreditering.</w:t>
      </w:r>
    </w:p>
    <w:p w14:paraId="40ED6462"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5 (2022–2023) </w:t>
      </w:r>
      <w:r w:rsidRPr="00225D4D">
        <w:rPr>
          <w:rStyle w:val="kursiv"/>
        </w:rPr>
        <w:t>Langtidsplan for forskning og høyere utdanning 2023–2032</w:t>
      </w:r>
      <w:r w:rsidRPr="00225D4D">
        <w:t xml:space="preserve">, jf. </w:t>
      </w:r>
      <w:proofErr w:type="spellStart"/>
      <w:r w:rsidRPr="00225D4D">
        <w:t>Innst</w:t>
      </w:r>
      <w:proofErr w:type="spellEnd"/>
      <w:r w:rsidRPr="00225D4D">
        <w:t>. 170 S (2022–2023).</w:t>
      </w:r>
    </w:p>
    <w:p w14:paraId="6E30E920" w14:textId="77777777" w:rsidR="00D60186" w:rsidRPr="00225D4D" w:rsidRDefault="00D60186" w:rsidP="00225D4D">
      <w:r w:rsidRPr="00225D4D">
        <w:t xml:space="preserve">Regjeringa la våren 2025 fram ei melding til Stortinget om </w:t>
      </w:r>
      <w:proofErr w:type="spellStart"/>
      <w:r w:rsidRPr="00225D4D">
        <w:t>høgare</w:t>
      </w:r>
      <w:proofErr w:type="spellEnd"/>
      <w:r w:rsidRPr="00225D4D">
        <w:t xml:space="preserve"> </w:t>
      </w:r>
      <w:proofErr w:type="spellStart"/>
      <w:r w:rsidRPr="00225D4D">
        <w:t>yrkesfagleg</w:t>
      </w:r>
      <w:proofErr w:type="spellEnd"/>
      <w:r w:rsidRPr="00225D4D">
        <w:t xml:space="preserve"> utdanning, Meld. St. 11 (2024–2025) </w:t>
      </w:r>
      <w:r w:rsidRPr="00225D4D">
        <w:rPr>
          <w:rStyle w:val="kursiv"/>
        </w:rPr>
        <w:t xml:space="preserve">Fagfolk for </w:t>
      </w:r>
      <w:proofErr w:type="spellStart"/>
      <w:r w:rsidRPr="00225D4D">
        <w:rPr>
          <w:rStyle w:val="kursiv"/>
        </w:rPr>
        <w:t>ein</w:t>
      </w:r>
      <w:proofErr w:type="spellEnd"/>
      <w:r w:rsidRPr="00225D4D">
        <w:rPr>
          <w:rStyle w:val="kursiv"/>
        </w:rPr>
        <w:t xml:space="preserve"> ny tid – med </w:t>
      </w:r>
      <w:proofErr w:type="spellStart"/>
      <w:r w:rsidRPr="00225D4D">
        <w:rPr>
          <w:rStyle w:val="kursiv"/>
        </w:rPr>
        <w:t>høgare</w:t>
      </w:r>
      <w:proofErr w:type="spellEnd"/>
      <w:r w:rsidRPr="00225D4D">
        <w:rPr>
          <w:rStyle w:val="kursiv"/>
        </w:rPr>
        <w:t xml:space="preserve"> </w:t>
      </w:r>
      <w:proofErr w:type="spellStart"/>
      <w:r w:rsidRPr="00225D4D">
        <w:rPr>
          <w:rStyle w:val="kursiv"/>
        </w:rPr>
        <w:t>yrkesfagleg</w:t>
      </w:r>
      <w:proofErr w:type="spellEnd"/>
      <w:r w:rsidRPr="00225D4D">
        <w:rPr>
          <w:rStyle w:val="kursiv"/>
        </w:rPr>
        <w:t xml:space="preserve"> utdanning</w:t>
      </w:r>
      <w:r w:rsidRPr="00225D4D">
        <w:t xml:space="preserve">. Gjennom </w:t>
      </w:r>
      <w:proofErr w:type="spellStart"/>
      <w:r w:rsidRPr="00225D4D">
        <w:t>høgare</w:t>
      </w:r>
      <w:proofErr w:type="spellEnd"/>
      <w:r w:rsidRPr="00225D4D">
        <w:t xml:space="preserve"> </w:t>
      </w:r>
      <w:proofErr w:type="spellStart"/>
      <w:r w:rsidRPr="00225D4D">
        <w:t>yrkesfagleg</w:t>
      </w:r>
      <w:proofErr w:type="spellEnd"/>
      <w:r w:rsidRPr="00225D4D">
        <w:t xml:space="preserve"> utdanning vil regjeringa sikre arbeidslivet </w:t>
      </w:r>
      <w:proofErr w:type="spellStart"/>
      <w:r w:rsidRPr="00225D4D">
        <w:t>fleire</w:t>
      </w:r>
      <w:proofErr w:type="spellEnd"/>
      <w:r w:rsidRPr="00225D4D">
        <w:t xml:space="preserve"> </w:t>
      </w:r>
      <w:proofErr w:type="spellStart"/>
      <w:r w:rsidRPr="00225D4D">
        <w:t>kandidatar</w:t>
      </w:r>
      <w:proofErr w:type="spellEnd"/>
      <w:r w:rsidRPr="00225D4D">
        <w:t xml:space="preserve"> og </w:t>
      </w:r>
      <w:proofErr w:type="spellStart"/>
      <w:r w:rsidRPr="00225D4D">
        <w:t>fleire</w:t>
      </w:r>
      <w:proofErr w:type="spellEnd"/>
      <w:r w:rsidRPr="00225D4D">
        <w:t xml:space="preserve"> </w:t>
      </w:r>
      <w:proofErr w:type="spellStart"/>
      <w:r w:rsidRPr="00225D4D">
        <w:t>meir</w:t>
      </w:r>
      <w:proofErr w:type="spellEnd"/>
      <w:r w:rsidRPr="00225D4D">
        <w:t xml:space="preserve"> kompetente </w:t>
      </w:r>
      <w:proofErr w:type="spellStart"/>
      <w:r w:rsidRPr="00225D4D">
        <w:t>kandidatar</w:t>
      </w:r>
      <w:proofErr w:type="spellEnd"/>
      <w:r w:rsidRPr="00225D4D">
        <w:t xml:space="preserve">. For å få til dette og utvikle fagskulesektoren framover blir det i meldinga lagt opp til å styrke </w:t>
      </w:r>
      <w:proofErr w:type="spellStart"/>
      <w:r w:rsidRPr="00225D4D">
        <w:t>høgare</w:t>
      </w:r>
      <w:proofErr w:type="spellEnd"/>
      <w:r w:rsidRPr="00225D4D">
        <w:t xml:space="preserve"> </w:t>
      </w:r>
      <w:proofErr w:type="spellStart"/>
      <w:r w:rsidRPr="00225D4D">
        <w:t>yrkesfagleg</w:t>
      </w:r>
      <w:proofErr w:type="spellEnd"/>
      <w:r w:rsidRPr="00225D4D">
        <w:t xml:space="preserve"> utdanning gjennom 29 tiltak som er retta mot </w:t>
      </w:r>
      <w:proofErr w:type="spellStart"/>
      <w:r w:rsidRPr="00225D4D">
        <w:t>fagskulane</w:t>
      </w:r>
      <w:proofErr w:type="spellEnd"/>
      <w:r w:rsidRPr="00225D4D">
        <w:t xml:space="preserve">, </w:t>
      </w:r>
      <w:proofErr w:type="spellStart"/>
      <w:r w:rsidRPr="00225D4D">
        <w:t>fagskulestudentane</w:t>
      </w:r>
      <w:proofErr w:type="spellEnd"/>
      <w:r w:rsidRPr="00225D4D">
        <w:t xml:space="preserve"> og </w:t>
      </w:r>
      <w:proofErr w:type="spellStart"/>
      <w:r w:rsidRPr="00225D4D">
        <w:t>fylkeskommunane</w:t>
      </w:r>
      <w:proofErr w:type="spellEnd"/>
      <w:r w:rsidRPr="00225D4D">
        <w:t xml:space="preserve">. Tiltaka har i stor grad fått tilslutning </w:t>
      </w:r>
      <w:proofErr w:type="spellStart"/>
      <w:r w:rsidRPr="00225D4D">
        <w:t>frå</w:t>
      </w:r>
      <w:proofErr w:type="spellEnd"/>
      <w:r w:rsidRPr="00225D4D">
        <w:t xml:space="preserve"> Stortinget.</w:t>
      </w:r>
    </w:p>
    <w:p w14:paraId="656C758C" w14:textId="77777777" w:rsidR="00D60186" w:rsidRPr="00225D4D" w:rsidRDefault="00D60186" w:rsidP="00225D4D">
      <w:proofErr w:type="spellStart"/>
      <w:r w:rsidRPr="00225D4D">
        <w:t>Eit</w:t>
      </w:r>
      <w:proofErr w:type="spellEnd"/>
      <w:r w:rsidRPr="00225D4D">
        <w:t xml:space="preserve"> tiltak i meldinga er at </w:t>
      </w:r>
      <w:proofErr w:type="spellStart"/>
      <w:r w:rsidRPr="00225D4D">
        <w:t>fagskulane</w:t>
      </w:r>
      <w:proofErr w:type="spellEnd"/>
      <w:r w:rsidRPr="00225D4D">
        <w:t xml:space="preserve"> vil få rammetildeling av </w:t>
      </w:r>
      <w:proofErr w:type="spellStart"/>
      <w:r w:rsidRPr="00225D4D">
        <w:t>dei</w:t>
      </w:r>
      <w:proofErr w:type="spellEnd"/>
      <w:r w:rsidRPr="00225D4D">
        <w:t xml:space="preserve"> </w:t>
      </w:r>
      <w:proofErr w:type="spellStart"/>
      <w:r w:rsidRPr="00225D4D">
        <w:t>statlege</w:t>
      </w:r>
      <w:proofErr w:type="spellEnd"/>
      <w:r w:rsidRPr="00225D4D">
        <w:t xml:space="preserve"> </w:t>
      </w:r>
      <w:proofErr w:type="spellStart"/>
      <w:r w:rsidRPr="00225D4D">
        <w:t>midlane</w:t>
      </w:r>
      <w:proofErr w:type="spellEnd"/>
      <w:r w:rsidRPr="00225D4D">
        <w:t xml:space="preserve"> som </w:t>
      </w:r>
      <w:proofErr w:type="spellStart"/>
      <w:r w:rsidRPr="00225D4D">
        <w:t>fylkeskommunane</w:t>
      </w:r>
      <w:proofErr w:type="spellEnd"/>
      <w:r w:rsidRPr="00225D4D">
        <w:t xml:space="preserve"> tildeler til drift. Dette betyr mindre detaljstyring av </w:t>
      </w:r>
      <w:proofErr w:type="spellStart"/>
      <w:r w:rsidRPr="00225D4D">
        <w:t>fagskulane</w:t>
      </w:r>
      <w:proofErr w:type="spellEnd"/>
      <w:r w:rsidRPr="00225D4D">
        <w:t xml:space="preserve"> og </w:t>
      </w:r>
      <w:proofErr w:type="spellStart"/>
      <w:r w:rsidRPr="00225D4D">
        <w:t>meir</w:t>
      </w:r>
      <w:proofErr w:type="spellEnd"/>
      <w:r w:rsidRPr="00225D4D">
        <w:t xml:space="preserve"> fleksibilitet for å tilpasse </w:t>
      </w:r>
      <w:proofErr w:type="spellStart"/>
      <w:r w:rsidRPr="00225D4D">
        <w:t>utdanningstilboda</w:t>
      </w:r>
      <w:proofErr w:type="spellEnd"/>
      <w:r w:rsidRPr="00225D4D">
        <w:t xml:space="preserve"> til </w:t>
      </w:r>
      <w:proofErr w:type="spellStart"/>
      <w:r w:rsidRPr="00225D4D">
        <w:t>skiftande</w:t>
      </w:r>
      <w:proofErr w:type="spellEnd"/>
      <w:r w:rsidRPr="00225D4D">
        <w:t xml:space="preserve"> behov i arbeidslivet og </w:t>
      </w:r>
      <w:proofErr w:type="spellStart"/>
      <w:r w:rsidRPr="00225D4D">
        <w:t>etterspurnad</w:t>
      </w:r>
      <w:proofErr w:type="spellEnd"/>
      <w:r w:rsidRPr="00225D4D">
        <w:t xml:space="preserve"> </w:t>
      </w:r>
      <w:proofErr w:type="spellStart"/>
      <w:r w:rsidRPr="00225D4D">
        <w:t>frå</w:t>
      </w:r>
      <w:proofErr w:type="spellEnd"/>
      <w:r w:rsidRPr="00225D4D">
        <w:t xml:space="preserve"> </w:t>
      </w:r>
      <w:proofErr w:type="spellStart"/>
      <w:r w:rsidRPr="00225D4D">
        <w:t>studentane</w:t>
      </w:r>
      <w:proofErr w:type="spellEnd"/>
      <w:r w:rsidRPr="00225D4D">
        <w:t xml:space="preserve">. </w:t>
      </w:r>
      <w:proofErr w:type="spellStart"/>
      <w:r w:rsidRPr="00225D4D">
        <w:t>Vidare</w:t>
      </w:r>
      <w:proofErr w:type="spellEnd"/>
      <w:r w:rsidRPr="00225D4D">
        <w:t xml:space="preserve"> skal </w:t>
      </w:r>
      <w:proofErr w:type="spellStart"/>
      <w:r w:rsidRPr="00225D4D">
        <w:t>fagskulane</w:t>
      </w:r>
      <w:proofErr w:type="spellEnd"/>
      <w:r w:rsidRPr="00225D4D">
        <w:t xml:space="preserve"> kunne tilby </w:t>
      </w:r>
      <w:proofErr w:type="spellStart"/>
      <w:r w:rsidRPr="00225D4D">
        <w:t>høgare</w:t>
      </w:r>
      <w:proofErr w:type="spellEnd"/>
      <w:r w:rsidRPr="00225D4D">
        <w:t xml:space="preserve"> </w:t>
      </w:r>
      <w:proofErr w:type="spellStart"/>
      <w:r w:rsidRPr="00225D4D">
        <w:t>yrkesfagleg</w:t>
      </w:r>
      <w:proofErr w:type="spellEnd"/>
      <w:r w:rsidRPr="00225D4D">
        <w:t xml:space="preserve"> utdanning på nivå 6 og 7 i Nasjonalt kvalifikasjonsrammeverk for livslang læring (NKR). Dette vil gi </w:t>
      </w:r>
      <w:proofErr w:type="spellStart"/>
      <w:r w:rsidRPr="00225D4D">
        <w:t>fleire</w:t>
      </w:r>
      <w:proofErr w:type="spellEnd"/>
      <w:r w:rsidRPr="00225D4D">
        <w:t xml:space="preserve"> </w:t>
      </w:r>
      <w:proofErr w:type="spellStart"/>
      <w:r w:rsidRPr="00225D4D">
        <w:t>moglegheiter</w:t>
      </w:r>
      <w:proofErr w:type="spellEnd"/>
      <w:r w:rsidRPr="00225D4D">
        <w:t xml:space="preserve"> for spesialisering og </w:t>
      </w:r>
      <w:proofErr w:type="spellStart"/>
      <w:r w:rsidRPr="00225D4D">
        <w:t>fagleg</w:t>
      </w:r>
      <w:proofErr w:type="spellEnd"/>
      <w:r w:rsidRPr="00225D4D">
        <w:t xml:space="preserve"> fordjuping gjennom heile yrkeslivet. Stortinget </w:t>
      </w:r>
      <w:proofErr w:type="spellStart"/>
      <w:r w:rsidRPr="00225D4D">
        <w:t>opna</w:t>
      </w:r>
      <w:proofErr w:type="spellEnd"/>
      <w:r w:rsidRPr="00225D4D">
        <w:t xml:space="preserve"> for institusjonsakkreditering for </w:t>
      </w:r>
      <w:proofErr w:type="spellStart"/>
      <w:r w:rsidRPr="00225D4D">
        <w:t>fagskular</w:t>
      </w:r>
      <w:proofErr w:type="spellEnd"/>
      <w:r w:rsidRPr="00225D4D">
        <w:t xml:space="preserve"> i mai 2024, og i juni 2025 har Kunnskapsdepartementet fastsett vilkåra for institusjonsakkreditering.</w:t>
      </w:r>
    </w:p>
    <w:p w14:paraId="0CE65EB1" w14:textId="77777777" w:rsidR="00D60186" w:rsidRPr="00225D4D" w:rsidRDefault="00D60186" w:rsidP="00225D4D">
      <w:r w:rsidRPr="00225D4D">
        <w:t xml:space="preserve">For at </w:t>
      </w:r>
      <w:proofErr w:type="spellStart"/>
      <w:r w:rsidRPr="00225D4D">
        <w:t>fleire</w:t>
      </w:r>
      <w:proofErr w:type="spellEnd"/>
      <w:r w:rsidRPr="00225D4D">
        <w:t xml:space="preserve"> skal kunne ta </w:t>
      </w:r>
      <w:proofErr w:type="spellStart"/>
      <w:r w:rsidRPr="00225D4D">
        <w:t>høgare</w:t>
      </w:r>
      <w:proofErr w:type="spellEnd"/>
      <w:r w:rsidRPr="00225D4D">
        <w:t xml:space="preserve"> </w:t>
      </w:r>
      <w:proofErr w:type="spellStart"/>
      <w:r w:rsidRPr="00225D4D">
        <w:t>yrkesfagleg</w:t>
      </w:r>
      <w:proofErr w:type="spellEnd"/>
      <w:r w:rsidRPr="00225D4D">
        <w:t xml:space="preserve"> utdanning, foreslår regjeringa </w:t>
      </w:r>
      <w:proofErr w:type="spellStart"/>
      <w:r w:rsidRPr="00225D4D">
        <w:t>midlar</w:t>
      </w:r>
      <w:proofErr w:type="spellEnd"/>
      <w:r w:rsidRPr="00225D4D">
        <w:t xml:space="preserve"> til 900 nye </w:t>
      </w:r>
      <w:proofErr w:type="spellStart"/>
      <w:r w:rsidRPr="00225D4D">
        <w:t>studieplassar</w:t>
      </w:r>
      <w:proofErr w:type="spellEnd"/>
      <w:r w:rsidRPr="00225D4D">
        <w:t xml:space="preserve"> i </w:t>
      </w:r>
      <w:proofErr w:type="spellStart"/>
      <w:r w:rsidRPr="00225D4D">
        <w:t>fagskulane</w:t>
      </w:r>
      <w:proofErr w:type="spellEnd"/>
      <w:r w:rsidRPr="00225D4D">
        <w:t xml:space="preserve"> i statsbudsjettet for 2026. Ei satsing på kapasitetsvekst i </w:t>
      </w:r>
      <w:proofErr w:type="spellStart"/>
      <w:r w:rsidRPr="00225D4D">
        <w:t>høgare</w:t>
      </w:r>
      <w:proofErr w:type="spellEnd"/>
      <w:r w:rsidRPr="00225D4D">
        <w:t xml:space="preserve"> </w:t>
      </w:r>
      <w:proofErr w:type="spellStart"/>
      <w:r w:rsidRPr="00225D4D">
        <w:t>yrkesfagleg</w:t>
      </w:r>
      <w:proofErr w:type="spellEnd"/>
      <w:r w:rsidRPr="00225D4D">
        <w:t xml:space="preserve"> utdanning er i samsvar med Meld. St. 11 (2024–2025) </w:t>
      </w:r>
      <w:r w:rsidRPr="00225D4D">
        <w:rPr>
          <w:rStyle w:val="kursiv"/>
        </w:rPr>
        <w:t>Fagfolk for en ny tid – med høyere yrkesfaglig utdanning.</w:t>
      </w:r>
    </w:p>
    <w:p w14:paraId="7CCB762D" w14:textId="77777777" w:rsidR="00D60186" w:rsidRPr="00225D4D" w:rsidRDefault="00D60186" w:rsidP="00225D4D">
      <w:r w:rsidRPr="00225D4D">
        <w:t xml:space="preserve">I behandlinga av meldinga om </w:t>
      </w:r>
      <w:proofErr w:type="spellStart"/>
      <w:r w:rsidRPr="00225D4D">
        <w:t>høgare</w:t>
      </w:r>
      <w:proofErr w:type="spellEnd"/>
      <w:r w:rsidRPr="00225D4D">
        <w:t xml:space="preserve"> </w:t>
      </w:r>
      <w:proofErr w:type="spellStart"/>
      <w:r w:rsidRPr="00225D4D">
        <w:t>yrkesfagleg</w:t>
      </w:r>
      <w:proofErr w:type="spellEnd"/>
      <w:r w:rsidRPr="00225D4D">
        <w:t xml:space="preserve"> utdanning har Stortinget gjort fem vedtak. </w:t>
      </w:r>
      <w:proofErr w:type="spellStart"/>
      <w:r w:rsidRPr="00225D4D">
        <w:t>Desse</w:t>
      </w:r>
      <w:proofErr w:type="spellEnd"/>
      <w:r w:rsidRPr="00225D4D">
        <w:t xml:space="preserve"> vedtaka gjeld mellom anna bruk av European Credit Transfer and </w:t>
      </w:r>
      <w:proofErr w:type="spellStart"/>
      <w:r w:rsidRPr="00225D4D">
        <w:t>Accumulation</w:t>
      </w:r>
      <w:proofErr w:type="spellEnd"/>
      <w:r w:rsidRPr="00225D4D">
        <w:t xml:space="preserve"> System (ECTS) i </w:t>
      </w:r>
      <w:proofErr w:type="spellStart"/>
      <w:r w:rsidRPr="00225D4D">
        <w:t>høgare</w:t>
      </w:r>
      <w:proofErr w:type="spellEnd"/>
      <w:r w:rsidRPr="00225D4D">
        <w:t xml:space="preserve"> </w:t>
      </w:r>
      <w:proofErr w:type="spellStart"/>
      <w:r w:rsidRPr="00225D4D">
        <w:t>yrkesfagleg</w:t>
      </w:r>
      <w:proofErr w:type="spellEnd"/>
      <w:r w:rsidRPr="00225D4D">
        <w:t xml:space="preserve"> utdanning og </w:t>
      </w:r>
      <w:proofErr w:type="spellStart"/>
      <w:r w:rsidRPr="00225D4D">
        <w:t>nemningar</w:t>
      </w:r>
      <w:proofErr w:type="spellEnd"/>
      <w:r w:rsidRPr="00225D4D">
        <w:t xml:space="preserve"> på grader på NKR-nivå 6 og 7. Sjå omtale av oppmodingsvedtak nr. 681–685, som er </w:t>
      </w:r>
      <w:proofErr w:type="spellStart"/>
      <w:r w:rsidRPr="00225D4D">
        <w:t>vedtekne</w:t>
      </w:r>
      <w:proofErr w:type="spellEnd"/>
      <w:r w:rsidRPr="00225D4D">
        <w:t xml:space="preserve"> 13. mai 2025.</w:t>
      </w:r>
    </w:p>
    <w:p w14:paraId="2481A04C"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1BEF5881" w14:textId="77777777" w:rsidR="00D60186" w:rsidRPr="00225D4D" w:rsidRDefault="00D60186" w:rsidP="00225D4D">
      <w:pPr>
        <w:pStyle w:val="Overskrift2"/>
      </w:pPr>
      <w:r w:rsidRPr="00225D4D">
        <w:t>Stortingssesjon 2021–2022</w:t>
      </w:r>
    </w:p>
    <w:p w14:paraId="48231EFC" w14:textId="77777777" w:rsidR="00D60186" w:rsidRPr="00225D4D" w:rsidRDefault="00D60186" w:rsidP="00225D4D">
      <w:pPr>
        <w:pStyle w:val="Undertittel"/>
      </w:pPr>
      <w:r w:rsidRPr="00225D4D">
        <w:t>Oppmodingsvedtak under kunnskapsministeren</w:t>
      </w:r>
    </w:p>
    <w:p w14:paraId="06688663"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Meldeplikt ved overføring av </w:t>
      </w:r>
      <w:proofErr w:type="spellStart"/>
      <w:r w:rsidRPr="00225D4D">
        <w:t>eigedomsrett</w:t>
      </w:r>
      <w:proofErr w:type="spellEnd"/>
    </w:p>
    <w:p w14:paraId="72F83976" w14:textId="77777777" w:rsidR="00D60186" w:rsidRPr="00225D4D" w:rsidRDefault="00D60186" w:rsidP="00225D4D">
      <w:pPr>
        <w:pStyle w:val="avsnitt-undertittel"/>
      </w:pPr>
      <w:r w:rsidRPr="00225D4D">
        <w:t>Vedtak nr. 35, pkt. 44, 2. desember 2021:</w:t>
      </w:r>
    </w:p>
    <w:p w14:paraId="37C1583B" w14:textId="77777777" w:rsidR="00D60186" w:rsidRPr="00225D4D" w:rsidRDefault="00D60186" w:rsidP="00225D4D">
      <w:pPr>
        <w:pStyle w:val="blokksit"/>
        <w:rPr>
          <w:rStyle w:val="kursiv"/>
        </w:rPr>
      </w:pPr>
      <w:r w:rsidRPr="00225D4D">
        <w:rPr>
          <w:rStyle w:val="kursiv"/>
        </w:rPr>
        <w:t>Stortinget ber regjeringen i forskrift og lovforslag innføre meldeplikt til kommunen når eiendomsrett til barnehage i kommunen blir overført til andre enn staten eller den fylkeskommune der eiendommen ligger, og utrede hvordan det kan innføres en forkjøpsrett for kommuner.</w:t>
      </w:r>
    </w:p>
    <w:p w14:paraId="0F62ACB9"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 (2021–2022) </w:t>
      </w:r>
      <w:r w:rsidRPr="00225D4D">
        <w:rPr>
          <w:rStyle w:val="kursiv"/>
        </w:rPr>
        <w:t>Nasjonalbudsjettet 2022</w:t>
      </w:r>
      <w:r w:rsidRPr="00225D4D">
        <w:t xml:space="preserve">, jf. </w:t>
      </w:r>
      <w:proofErr w:type="spellStart"/>
      <w:r w:rsidRPr="00225D4D">
        <w:t>Innst</w:t>
      </w:r>
      <w:proofErr w:type="spellEnd"/>
      <w:r w:rsidRPr="00225D4D">
        <w:t>. 2 S (2021–2022).</w:t>
      </w:r>
    </w:p>
    <w:p w14:paraId="5788EE27" w14:textId="77777777" w:rsidR="00D60186" w:rsidRPr="00225D4D" w:rsidRDefault="00D60186" w:rsidP="00225D4D">
      <w:r w:rsidRPr="00225D4D">
        <w:t xml:space="preserve">Vedtaket om å innføre meldeplikt til kommunen blei våren 2022 </w:t>
      </w:r>
      <w:proofErr w:type="spellStart"/>
      <w:r w:rsidRPr="00225D4D">
        <w:t>følgt</w:t>
      </w:r>
      <w:proofErr w:type="spellEnd"/>
      <w:r w:rsidRPr="00225D4D">
        <w:t xml:space="preserve"> opp i </w:t>
      </w:r>
      <w:proofErr w:type="spellStart"/>
      <w:r w:rsidRPr="00225D4D">
        <w:t>Prop</w:t>
      </w:r>
      <w:proofErr w:type="spellEnd"/>
      <w:r w:rsidRPr="00225D4D">
        <w:t xml:space="preserve">. 82 L (2021–2022) </w:t>
      </w:r>
      <w:r w:rsidRPr="00225D4D">
        <w:rPr>
          <w:rStyle w:val="kursiv"/>
        </w:rPr>
        <w:t>Endringer i barnehageloven (selvstendig rettssubjekt, forbud mot annen virksomhet, meldeplikt m.m.)</w:t>
      </w:r>
      <w:r w:rsidRPr="00225D4D">
        <w:t xml:space="preserve">. I proposisjonen blei det foreslått krav om at private </w:t>
      </w:r>
      <w:proofErr w:type="spellStart"/>
      <w:r w:rsidRPr="00225D4D">
        <w:t>barnehagar</w:t>
      </w:r>
      <w:proofErr w:type="spellEnd"/>
      <w:r w:rsidRPr="00225D4D">
        <w:t xml:space="preserve"> skal melde </w:t>
      </w:r>
      <w:proofErr w:type="spellStart"/>
      <w:r w:rsidRPr="00225D4D">
        <w:t>frå</w:t>
      </w:r>
      <w:proofErr w:type="spellEnd"/>
      <w:r w:rsidRPr="00225D4D">
        <w:t xml:space="preserve"> til kommunen og Utdanningsdirektoratet ved nedlegging, </w:t>
      </w:r>
      <w:proofErr w:type="spellStart"/>
      <w:r w:rsidRPr="00225D4D">
        <w:t>eigarskifte</w:t>
      </w:r>
      <w:proofErr w:type="spellEnd"/>
      <w:r w:rsidRPr="00225D4D">
        <w:t xml:space="preserve"> eller andre organisatoriske </w:t>
      </w:r>
      <w:proofErr w:type="spellStart"/>
      <w:r w:rsidRPr="00225D4D">
        <w:t>endringar</w:t>
      </w:r>
      <w:proofErr w:type="spellEnd"/>
      <w:r w:rsidRPr="00225D4D">
        <w:t xml:space="preserve">. Stortinget behandla forslaget 31. mai 2022, jf. </w:t>
      </w:r>
      <w:proofErr w:type="spellStart"/>
      <w:r w:rsidRPr="00225D4D">
        <w:t>Innst</w:t>
      </w:r>
      <w:proofErr w:type="spellEnd"/>
      <w:r w:rsidRPr="00225D4D">
        <w:t>. 403 L (2021–2022).</w:t>
      </w:r>
    </w:p>
    <w:p w14:paraId="3B2529CE" w14:textId="77777777" w:rsidR="00D60186" w:rsidRPr="00225D4D" w:rsidRDefault="00D60186" w:rsidP="00225D4D">
      <w:r w:rsidRPr="00225D4D">
        <w:t xml:space="preserve">I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foreslo Kunnskapsdepartementet å lovfeste at private </w:t>
      </w:r>
      <w:proofErr w:type="spellStart"/>
      <w:r w:rsidRPr="00225D4D">
        <w:t>barnehagar</w:t>
      </w:r>
      <w:proofErr w:type="spellEnd"/>
      <w:r w:rsidRPr="00225D4D">
        <w:t xml:space="preserve"> skal melde </w:t>
      </w:r>
      <w:proofErr w:type="spellStart"/>
      <w:r w:rsidRPr="00225D4D">
        <w:t>frå</w:t>
      </w:r>
      <w:proofErr w:type="spellEnd"/>
      <w:r w:rsidRPr="00225D4D">
        <w:t xml:space="preserve"> til kommunen og Utdanningsdirektoratet ved overføring av </w:t>
      </w:r>
      <w:proofErr w:type="spellStart"/>
      <w:r w:rsidRPr="00225D4D">
        <w:t>eigedom</w:t>
      </w:r>
      <w:proofErr w:type="spellEnd"/>
      <w:r w:rsidRPr="00225D4D">
        <w:t xml:space="preserve">. Endringa skal </w:t>
      </w:r>
      <w:proofErr w:type="spellStart"/>
      <w:r w:rsidRPr="00225D4D">
        <w:t>gjere</w:t>
      </w:r>
      <w:proofErr w:type="spellEnd"/>
      <w:r w:rsidRPr="00225D4D">
        <w:t xml:space="preserve"> det </w:t>
      </w:r>
      <w:proofErr w:type="spellStart"/>
      <w:r w:rsidRPr="00225D4D">
        <w:t>tydeleg</w:t>
      </w:r>
      <w:proofErr w:type="spellEnd"/>
      <w:r w:rsidRPr="00225D4D">
        <w:t xml:space="preserve"> at meldeplikta også gjeld der det </w:t>
      </w:r>
      <w:proofErr w:type="spellStart"/>
      <w:r w:rsidRPr="00225D4D">
        <w:t>berre</w:t>
      </w:r>
      <w:proofErr w:type="spellEnd"/>
      <w:r w:rsidRPr="00225D4D">
        <w:t xml:space="preserve"> er </w:t>
      </w:r>
      <w:proofErr w:type="spellStart"/>
      <w:r w:rsidRPr="00225D4D">
        <w:t>eigedom</w:t>
      </w:r>
      <w:proofErr w:type="spellEnd"/>
      <w:r w:rsidRPr="00225D4D">
        <w:t xml:space="preserve"> som blir overført. Stortinget behandla forslaget 3. juni 2025, jf. </w:t>
      </w:r>
      <w:proofErr w:type="spellStart"/>
      <w:r w:rsidRPr="00225D4D">
        <w:t>Innst</w:t>
      </w:r>
      <w:proofErr w:type="spellEnd"/>
      <w:r w:rsidRPr="00225D4D">
        <w:t xml:space="preserve">. 510 L (2024–2025). For </w:t>
      </w:r>
      <w:proofErr w:type="spellStart"/>
      <w:r w:rsidRPr="00225D4D">
        <w:t>meir</w:t>
      </w:r>
      <w:proofErr w:type="spellEnd"/>
      <w:r w:rsidRPr="00225D4D">
        <w:t xml:space="preserve"> </w:t>
      </w:r>
      <w:proofErr w:type="spellStart"/>
      <w:r w:rsidRPr="00225D4D">
        <w:t>utførleg</w:t>
      </w:r>
      <w:proofErr w:type="spellEnd"/>
      <w:r w:rsidRPr="00225D4D">
        <w:t xml:space="preserve"> informasjon om arbeidet med regelverket for private </w:t>
      </w:r>
      <w:proofErr w:type="spellStart"/>
      <w:r w:rsidRPr="00225D4D">
        <w:t>barnehagar</w:t>
      </w:r>
      <w:proofErr w:type="spellEnd"/>
      <w:r w:rsidRPr="00225D4D">
        <w:t xml:space="preserve">, sjå del II, programkategori 07.30 </w:t>
      </w:r>
      <w:proofErr w:type="spellStart"/>
      <w:r w:rsidRPr="00225D4D">
        <w:t>Barnehagar</w:t>
      </w:r>
      <w:proofErr w:type="spellEnd"/>
      <w:r w:rsidRPr="00225D4D">
        <w:t>.</w:t>
      </w:r>
    </w:p>
    <w:p w14:paraId="1BC1A34C"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6EA25DD1"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Gjeninnføre rett for </w:t>
      </w:r>
      <w:proofErr w:type="spellStart"/>
      <w:r w:rsidRPr="00225D4D">
        <w:t>kommunane</w:t>
      </w:r>
      <w:proofErr w:type="spellEnd"/>
      <w:r w:rsidRPr="00225D4D">
        <w:t xml:space="preserve"> til å føre tilsyn</w:t>
      </w:r>
    </w:p>
    <w:p w14:paraId="65F61881" w14:textId="77777777" w:rsidR="00D60186" w:rsidRPr="00225D4D" w:rsidRDefault="00D60186" w:rsidP="00225D4D">
      <w:pPr>
        <w:pStyle w:val="avsnitt-undertittel"/>
      </w:pPr>
      <w:r w:rsidRPr="00225D4D">
        <w:t>Vedtak nr. 35, pkt. 45, 2. desember 2021:</w:t>
      </w:r>
    </w:p>
    <w:p w14:paraId="2D16F730" w14:textId="77777777" w:rsidR="00D60186" w:rsidRPr="00225D4D" w:rsidRDefault="00D60186" w:rsidP="00225D4D">
      <w:pPr>
        <w:pStyle w:val="blokksit"/>
        <w:rPr>
          <w:rStyle w:val="kursiv"/>
        </w:rPr>
      </w:pPr>
      <w:r w:rsidRPr="00225D4D">
        <w:rPr>
          <w:rStyle w:val="kursiv"/>
        </w:rPr>
        <w:t>Stortinget ber regjeringen fremme nødvendige forslag for å gjeninnføre kommunenes rett til å føre tilsyn med private barnehager, herunder gi kommunene innsyn i alle økonomiske disposisjoner i barnehager i kommunen som mottar tilskudd.</w:t>
      </w:r>
    </w:p>
    <w:p w14:paraId="6515BC9C"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 (2021–2022) </w:t>
      </w:r>
      <w:r w:rsidRPr="00225D4D">
        <w:rPr>
          <w:rStyle w:val="kursiv"/>
        </w:rPr>
        <w:t>Nasjonalbudsjettet 2022</w:t>
      </w:r>
      <w:r w:rsidRPr="00225D4D">
        <w:t xml:space="preserve">, jf. </w:t>
      </w:r>
      <w:proofErr w:type="spellStart"/>
      <w:r w:rsidRPr="00225D4D">
        <w:t>Innst</w:t>
      </w:r>
      <w:proofErr w:type="spellEnd"/>
      <w:r w:rsidRPr="00225D4D">
        <w:t>. 2 S (2021–2022).</w:t>
      </w:r>
    </w:p>
    <w:p w14:paraId="0DF19427" w14:textId="77777777" w:rsidR="00D60186" w:rsidRPr="00225D4D" w:rsidRDefault="00D60186" w:rsidP="00225D4D">
      <w:r w:rsidRPr="00225D4D">
        <w:t xml:space="preserve">I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foreslo Kunnskapsdepartementet å lovfeste at kommunen kan </w:t>
      </w:r>
      <w:proofErr w:type="spellStart"/>
      <w:r w:rsidRPr="00225D4D">
        <w:t>gjere</w:t>
      </w:r>
      <w:proofErr w:type="spellEnd"/>
      <w:r w:rsidRPr="00225D4D">
        <w:t xml:space="preserve"> vedtak om at </w:t>
      </w:r>
      <w:proofErr w:type="spellStart"/>
      <w:r w:rsidRPr="00225D4D">
        <w:t>tilskot</w:t>
      </w:r>
      <w:proofErr w:type="spellEnd"/>
      <w:r w:rsidRPr="00225D4D">
        <w:t xml:space="preserve"> til barnehagen skal </w:t>
      </w:r>
      <w:proofErr w:type="spellStart"/>
      <w:r w:rsidRPr="00225D4D">
        <w:t>haldast</w:t>
      </w:r>
      <w:proofErr w:type="spellEnd"/>
      <w:r w:rsidRPr="00225D4D">
        <w:t xml:space="preserve"> tilbake, </w:t>
      </w:r>
      <w:proofErr w:type="spellStart"/>
      <w:r w:rsidRPr="00225D4D">
        <w:t>reduserast</w:t>
      </w:r>
      <w:proofErr w:type="spellEnd"/>
      <w:r w:rsidRPr="00225D4D">
        <w:t xml:space="preserve"> eller </w:t>
      </w:r>
      <w:proofErr w:type="spellStart"/>
      <w:r w:rsidRPr="00225D4D">
        <w:t>krevjast</w:t>
      </w:r>
      <w:proofErr w:type="spellEnd"/>
      <w:r w:rsidRPr="00225D4D">
        <w:t xml:space="preserve"> tilbakebetalt ved </w:t>
      </w:r>
      <w:proofErr w:type="spellStart"/>
      <w:r w:rsidRPr="00225D4D">
        <w:t>brot</w:t>
      </w:r>
      <w:proofErr w:type="spellEnd"/>
      <w:r w:rsidRPr="00225D4D">
        <w:t xml:space="preserve"> på krav i barnehagelova med forskrifter som kommunen fører tilsyn med. Departementet bad om </w:t>
      </w:r>
      <w:proofErr w:type="spellStart"/>
      <w:r w:rsidRPr="00225D4D">
        <w:t>høyringsinstansane</w:t>
      </w:r>
      <w:proofErr w:type="spellEnd"/>
      <w:r w:rsidRPr="00225D4D">
        <w:t xml:space="preserve"> sine synspunkt på om det er behov for å gi kommunen heimel til å føre tilsyn med krava til bruk av </w:t>
      </w:r>
      <w:proofErr w:type="spellStart"/>
      <w:r w:rsidRPr="00225D4D">
        <w:t>offentlege</w:t>
      </w:r>
      <w:proofErr w:type="spellEnd"/>
      <w:r w:rsidRPr="00225D4D">
        <w:t xml:space="preserve"> </w:t>
      </w:r>
      <w:proofErr w:type="spellStart"/>
      <w:r w:rsidRPr="00225D4D">
        <w:t>tilskot</w:t>
      </w:r>
      <w:proofErr w:type="spellEnd"/>
      <w:r w:rsidRPr="00225D4D">
        <w:t xml:space="preserve"> og foreldrebetaling i barnehagelova kapittel V med forskrifter. </w:t>
      </w:r>
      <w:proofErr w:type="spellStart"/>
      <w:r w:rsidRPr="00225D4D">
        <w:t>Høyringsinstansane</w:t>
      </w:r>
      <w:proofErr w:type="spellEnd"/>
      <w:r w:rsidRPr="00225D4D">
        <w:t xml:space="preserve"> som har uttalt seg om dette, ser det </w:t>
      </w:r>
      <w:proofErr w:type="spellStart"/>
      <w:r w:rsidRPr="00225D4D">
        <w:t>ikkje</w:t>
      </w:r>
      <w:proofErr w:type="spellEnd"/>
      <w:r w:rsidRPr="00225D4D">
        <w:t xml:space="preserve"> som </w:t>
      </w:r>
      <w:proofErr w:type="spellStart"/>
      <w:r w:rsidRPr="00225D4D">
        <w:t>tenleg</w:t>
      </w:r>
      <w:proofErr w:type="spellEnd"/>
      <w:r w:rsidRPr="00225D4D">
        <w:t xml:space="preserve"> at </w:t>
      </w:r>
      <w:proofErr w:type="spellStart"/>
      <w:r w:rsidRPr="00225D4D">
        <w:t>kommunane</w:t>
      </w:r>
      <w:proofErr w:type="spellEnd"/>
      <w:r w:rsidRPr="00225D4D">
        <w:t xml:space="preserve"> skal få tilbake </w:t>
      </w:r>
      <w:proofErr w:type="spellStart"/>
      <w:r w:rsidRPr="00225D4D">
        <w:t>ein</w:t>
      </w:r>
      <w:proofErr w:type="spellEnd"/>
      <w:r w:rsidRPr="00225D4D">
        <w:t xml:space="preserve"> slik heimel. Stortinget behandla forslaget 3. juni 2025, jf. </w:t>
      </w:r>
      <w:proofErr w:type="spellStart"/>
      <w:r w:rsidRPr="00225D4D">
        <w:t>Innst</w:t>
      </w:r>
      <w:proofErr w:type="spellEnd"/>
      <w:r w:rsidRPr="00225D4D">
        <w:t xml:space="preserve">. 510 L (2024–2025). For </w:t>
      </w:r>
      <w:proofErr w:type="spellStart"/>
      <w:r w:rsidRPr="00225D4D">
        <w:t>meir</w:t>
      </w:r>
      <w:proofErr w:type="spellEnd"/>
      <w:r w:rsidRPr="00225D4D">
        <w:t xml:space="preserve"> </w:t>
      </w:r>
      <w:proofErr w:type="spellStart"/>
      <w:r w:rsidRPr="00225D4D">
        <w:t>utførleg</w:t>
      </w:r>
      <w:proofErr w:type="spellEnd"/>
      <w:r w:rsidRPr="00225D4D">
        <w:t xml:space="preserve"> informasjon om arbeidet med regelverket for private </w:t>
      </w:r>
      <w:proofErr w:type="spellStart"/>
      <w:r w:rsidRPr="00225D4D">
        <w:t>barnehagar</w:t>
      </w:r>
      <w:proofErr w:type="spellEnd"/>
      <w:r w:rsidRPr="00225D4D">
        <w:t xml:space="preserve">, sjå del II, programkategori 07.30 </w:t>
      </w:r>
      <w:proofErr w:type="spellStart"/>
      <w:r w:rsidRPr="00225D4D">
        <w:t>Barnehagar</w:t>
      </w:r>
      <w:proofErr w:type="spellEnd"/>
      <w:r w:rsidRPr="00225D4D">
        <w:t>.</w:t>
      </w:r>
    </w:p>
    <w:p w14:paraId="07CD49BA"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699228D4" w14:textId="77777777" w:rsidR="00D60186" w:rsidRPr="00225D4D" w:rsidRDefault="00D60186" w:rsidP="00225D4D">
      <w:pPr>
        <w:pStyle w:val="Overskrift2"/>
      </w:pPr>
      <w:r w:rsidRPr="00225D4D">
        <w:t>Stortingssesjon 2020–2021</w:t>
      </w:r>
    </w:p>
    <w:p w14:paraId="27353910" w14:textId="77777777" w:rsidR="00D60186" w:rsidRPr="00225D4D" w:rsidRDefault="00D60186" w:rsidP="00225D4D">
      <w:pPr>
        <w:pStyle w:val="Undertittel"/>
      </w:pPr>
      <w:r w:rsidRPr="00225D4D">
        <w:t>Oppmodingsvedtak under kunnskapsministeren</w:t>
      </w:r>
    </w:p>
    <w:p w14:paraId="3FDAF1CE" w14:textId="77777777" w:rsidR="00D60186" w:rsidRPr="00225D4D" w:rsidRDefault="00D60186" w:rsidP="00225D4D">
      <w:pPr>
        <w:pStyle w:val="avsnitt-tittel"/>
      </w:pPr>
      <w:r w:rsidRPr="00225D4D">
        <w:t xml:space="preserve">Politiattest for </w:t>
      </w:r>
      <w:proofErr w:type="spellStart"/>
      <w:r w:rsidRPr="00225D4D">
        <w:t>tilsetjing</w:t>
      </w:r>
      <w:proofErr w:type="spellEnd"/>
      <w:r w:rsidRPr="00225D4D">
        <w:t xml:space="preserve"> i </w:t>
      </w:r>
      <w:proofErr w:type="spellStart"/>
      <w:r w:rsidRPr="00225D4D">
        <w:t>skular</w:t>
      </w:r>
      <w:proofErr w:type="spellEnd"/>
      <w:r w:rsidRPr="00225D4D">
        <w:t xml:space="preserve"> og </w:t>
      </w:r>
      <w:proofErr w:type="spellStart"/>
      <w:r w:rsidRPr="00225D4D">
        <w:t>barnehagar</w:t>
      </w:r>
      <w:proofErr w:type="spellEnd"/>
    </w:p>
    <w:p w14:paraId="4D7B4141" w14:textId="77777777" w:rsidR="00D60186" w:rsidRPr="00225D4D" w:rsidRDefault="00D60186" w:rsidP="00225D4D">
      <w:pPr>
        <w:pStyle w:val="avsnitt-undertittel"/>
      </w:pPr>
      <w:r w:rsidRPr="00225D4D">
        <w:t>Vedtak nr. 79, 12. november 2020:</w:t>
      </w:r>
    </w:p>
    <w:p w14:paraId="0C833727" w14:textId="77777777" w:rsidR="00D60186" w:rsidRPr="00225D4D" w:rsidRDefault="00D60186" w:rsidP="00225D4D">
      <w:pPr>
        <w:pStyle w:val="blokksit"/>
        <w:rPr>
          <w:rStyle w:val="kursiv"/>
        </w:rPr>
      </w:pPr>
      <w:r w:rsidRPr="00225D4D">
        <w:rPr>
          <w:rStyle w:val="kursiv"/>
        </w:rPr>
        <w:t>Stortinget ber regjeringen om å fremme forslag om nødvendige regelendringer slik at politiattesten gir et fullstendig bilde av søkeren og viser alle relevante lovbrudd i de tilfeller som gjelder ansettelsesforhold i skole, barnehage eller andre steder der kontakt med barn utgjør en viktig del av stillingen.</w:t>
      </w:r>
    </w:p>
    <w:p w14:paraId="20E79329"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8:113 S (2019–2020) </w:t>
      </w:r>
      <w:r w:rsidRPr="00225D4D">
        <w:rPr>
          <w:rStyle w:val="kursiv"/>
        </w:rPr>
        <w:t xml:space="preserve">Representantforslag fra stortingsrepresentantene Hanne Dyveke </w:t>
      </w:r>
      <w:proofErr w:type="spellStart"/>
      <w:r w:rsidRPr="00225D4D">
        <w:rPr>
          <w:rStyle w:val="kursiv"/>
        </w:rPr>
        <w:t>Søttar</w:t>
      </w:r>
      <w:proofErr w:type="spellEnd"/>
      <w:r w:rsidRPr="00225D4D">
        <w:rPr>
          <w:rStyle w:val="kursiv"/>
        </w:rPr>
        <w:t xml:space="preserve">, Kari </w:t>
      </w:r>
      <w:proofErr w:type="spellStart"/>
      <w:r w:rsidRPr="00225D4D">
        <w:rPr>
          <w:rStyle w:val="kursiv"/>
        </w:rPr>
        <w:t>Kjønaas</w:t>
      </w:r>
      <w:proofErr w:type="spellEnd"/>
      <w:r w:rsidRPr="00225D4D">
        <w:rPr>
          <w:rStyle w:val="kursiv"/>
        </w:rPr>
        <w:t xml:space="preserve"> Kjos, Silje Hjemdal og Roy Steffensen om nødvendige regelendringer om politiattest for ansettelsesforhold i skoler og barnehager</w:t>
      </w:r>
      <w:r w:rsidRPr="00225D4D">
        <w:t xml:space="preserve">, jf. </w:t>
      </w:r>
      <w:proofErr w:type="spellStart"/>
      <w:r w:rsidRPr="00225D4D">
        <w:t>Innst</w:t>
      </w:r>
      <w:proofErr w:type="spellEnd"/>
      <w:r w:rsidRPr="00225D4D">
        <w:t>. 64 S (2020–2021).</w:t>
      </w:r>
    </w:p>
    <w:p w14:paraId="6F054403" w14:textId="77777777" w:rsidR="00D60186" w:rsidRPr="00225D4D" w:rsidRDefault="00D60186" w:rsidP="00225D4D">
      <w:r w:rsidRPr="00225D4D">
        <w:t xml:space="preserve">Området for kva </w:t>
      </w:r>
      <w:proofErr w:type="spellStart"/>
      <w:r w:rsidRPr="00225D4D">
        <w:t>straffebod</w:t>
      </w:r>
      <w:proofErr w:type="spellEnd"/>
      <w:r w:rsidRPr="00225D4D">
        <w:t xml:space="preserve"> som skal noterast på </w:t>
      </w:r>
      <w:proofErr w:type="spellStart"/>
      <w:r w:rsidRPr="00225D4D">
        <w:t>ein</w:t>
      </w:r>
      <w:proofErr w:type="spellEnd"/>
      <w:r w:rsidRPr="00225D4D">
        <w:t xml:space="preserve"> politiattest, er utvida i </w:t>
      </w:r>
      <w:proofErr w:type="spellStart"/>
      <w:r w:rsidRPr="00225D4D">
        <w:t>opplæringslova</w:t>
      </w:r>
      <w:proofErr w:type="spellEnd"/>
      <w:r w:rsidRPr="00225D4D">
        <w:t xml:space="preserve"> som tok til å gjelde 1. august 2024. Det </w:t>
      </w:r>
      <w:proofErr w:type="spellStart"/>
      <w:r w:rsidRPr="00225D4D">
        <w:t>omfattar</w:t>
      </w:r>
      <w:proofErr w:type="spellEnd"/>
      <w:r w:rsidRPr="00225D4D">
        <w:t xml:space="preserve"> </w:t>
      </w:r>
      <w:proofErr w:type="spellStart"/>
      <w:r w:rsidRPr="00225D4D">
        <w:t>fleire</w:t>
      </w:r>
      <w:proofErr w:type="spellEnd"/>
      <w:r w:rsidRPr="00225D4D">
        <w:t xml:space="preserve"> </w:t>
      </w:r>
      <w:proofErr w:type="spellStart"/>
      <w:r w:rsidRPr="00225D4D">
        <w:t>straffebod</w:t>
      </w:r>
      <w:proofErr w:type="spellEnd"/>
      <w:r w:rsidRPr="00225D4D">
        <w:t xml:space="preserve"> enn politiregisterlova § 39, og dette </w:t>
      </w:r>
      <w:proofErr w:type="spellStart"/>
      <w:r w:rsidRPr="00225D4D">
        <w:t>inneber</w:t>
      </w:r>
      <w:proofErr w:type="spellEnd"/>
      <w:r w:rsidRPr="00225D4D">
        <w:t xml:space="preserve"> </w:t>
      </w:r>
      <w:proofErr w:type="spellStart"/>
      <w:r w:rsidRPr="00225D4D">
        <w:t>eit</w:t>
      </w:r>
      <w:proofErr w:type="spellEnd"/>
      <w:r w:rsidRPr="00225D4D">
        <w:t xml:space="preserve"> avvik </w:t>
      </w:r>
      <w:proofErr w:type="spellStart"/>
      <w:r w:rsidRPr="00225D4D">
        <w:t>frå</w:t>
      </w:r>
      <w:proofErr w:type="spellEnd"/>
      <w:r w:rsidRPr="00225D4D">
        <w:t xml:space="preserve"> den elles </w:t>
      </w:r>
      <w:proofErr w:type="spellStart"/>
      <w:r w:rsidRPr="00225D4D">
        <w:t>einsarta</w:t>
      </w:r>
      <w:proofErr w:type="spellEnd"/>
      <w:r w:rsidRPr="00225D4D">
        <w:t xml:space="preserve"> reguleringa av </w:t>
      </w:r>
      <w:proofErr w:type="spellStart"/>
      <w:r w:rsidRPr="00225D4D">
        <w:t>barneomsorgsattestar</w:t>
      </w:r>
      <w:proofErr w:type="spellEnd"/>
      <w:r w:rsidRPr="00225D4D">
        <w:t>.</w:t>
      </w:r>
    </w:p>
    <w:p w14:paraId="380F292B" w14:textId="77777777" w:rsidR="00D60186" w:rsidRPr="00225D4D" w:rsidRDefault="00D60186" w:rsidP="00225D4D">
      <w:r w:rsidRPr="00225D4D">
        <w:t xml:space="preserve">Regjeringa følger opp oppmodingsvedtaket </w:t>
      </w:r>
      <w:proofErr w:type="spellStart"/>
      <w:r w:rsidRPr="00225D4D">
        <w:t>vidare</w:t>
      </w:r>
      <w:proofErr w:type="spellEnd"/>
      <w:r w:rsidRPr="00225D4D">
        <w:t xml:space="preserve"> gjennom </w:t>
      </w:r>
      <w:proofErr w:type="spellStart"/>
      <w:r w:rsidRPr="00225D4D">
        <w:t>eit</w:t>
      </w:r>
      <w:proofErr w:type="spellEnd"/>
      <w:r w:rsidRPr="00225D4D">
        <w:t xml:space="preserve"> interdepartementalt samarbeid for gjennomgang og eventuell revisjon av </w:t>
      </w:r>
      <w:proofErr w:type="spellStart"/>
      <w:r w:rsidRPr="00225D4D">
        <w:t>reglane</w:t>
      </w:r>
      <w:proofErr w:type="spellEnd"/>
      <w:r w:rsidRPr="00225D4D">
        <w:t xml:space="preserve"> om </w:t>
      </w:r>
      <w:proofErr w:type="spellStart"/>
      <w:r w:rsidRPr="00225D4D">
        <w:t>barneomsorgsattestar</w:t>
      </w:r>
      <w:proofErr w:type="spellEnd"/>
      <w:r w:rsidRPr="00225D4D">
        <w:t xml:space="preserve"> etter politiregisterlova. Det blir </w:t>
      </w:r>
      <w:proofErr w:type="spellStart"/>
      <w:r w:rsidRPr="00225D4D">
        <w:t>arbeidd</w:t>
      </w:r>
      <w:proofErr w:type="spellEnd"/>
      <w:r w:rsidRPr="00225D4D">
        <w:t xml:space="preserve"> for å sende </w:t>
      </w:r>
      <w:proofErr w:type="spellStart"/>
      <w:r w:rsidRPr="00225D4D">
        <w:t>eit</w:t>
      </w:r>
      <w:proofErr w:type="spellEnd"/>
      <w:r w:rsidRPr="00225D4D">
        <w:t xml:space="preserve"> forslag til endring av politiregisterlova og </w:t>
      </w:r>
      <w:proofErr w:type="spellStart"/>
      <w:r w:rsidRPr="00225D4D">
        <w:t>reglane</w:t>
      </w:r>
      <w:proofErr w:type="spellEnd"/>
      <w:r w:rsidRPr="00225D4D">
        <w:t xml:space="preserve"> om politiattest på </w:t>
      </w:r>
      <w:proofErr w:type="spellStart"/>
      <w:r w:rsidRPr="00225D4D">
        <w:t>høyring</w:t>
      </w:r>
      <w:proofErr w:type="spellEnd"/>
      <w:r w:rsidRPr="00225D4D">
        <w:t xml:space="preserve">. Gjennom revisjon av politiregisterlova tek </w:t>
      </w:r>
      <w:proofErr w:type="spellStart"/>
      <w:r w:rsidRPr="00225D4D">
        <w:t>ein</w:t>
      </w:r>
      <w:proofErr w:type="spellEnd"/>
      <w:r w:rsidRPr="00225D4D">
        <w:t xml:space="preserve"> sikte på å etablere </w:t>
      </w:r>
      <w:proofErr w:type="spellStart"/>
      <w:r w:rsidRPr="00225D4D">
        <w:t>ein</w:t>
      </w:r>
      <w:proofErr w:type="spellEnd"/>
      <w:r w:rsidRPr="00225D4D">
        <w:t xml:space="preserve"> </w:t>
      </w:r>
      <w:proofErr w:type="spellStart"/>
      <w:r w:rsidRPr="00225D4D">
        <w:t>einsarta</w:t>
      </w:r>
      <w:proofErr w:type="spellEnd"/>
      <w:r w:rsidRPr="00225D4D">
        <w:t xml:space="preserve"> praksis for </w:t>
      </w:r>
      <w:proofErr w:type="spellStart"/>
      <w:r w:rsidRPr="00225D4D">
        <w:t>innhaldet</w:t>
      </w:r>
      <w:proofErr w:type="spellEnd"/>
      <w:r w:rsidRPr="00225D4D">
        <w:t xml:space="preserve"> av </w:t>
      </w:r>
      <w:proofErr w:type="spellStart"/>
      <w:r w:rsidRPr="00225D4D">
        <w:t>barneomsorgsattestar</w:t>
      </w:r>
      <w:proofErr w:type="spellEnd"/>
      <w:r w:rsidRPr="00225D4D">
        <w:t xml:space="preserve"> i samarbeid mellom </w:t>
      </w:r>
      <w:proofErr w:type="spellStart"/>
      <w:r w:rsidRPr="00225D4D">
        <w:t>dei</w:t>
      </w:r>
      <w:proofErr w:type="spellEnd"/>
      <w:r w:rsidRPr="00225D4D">
        <w:t xml:space="preserve"> departementa det gjeld.</w:t>
      </w:r>
    </w:p>
    <w:p w14:paraId="38AB16B0"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w:t>
      </w:r>
      <w:proofErr w:type="spellStart"/>
      <w:r w:rsidRPr="00225D4D">
        <w:t>ein</w:t>
      </w:r>
      <w:proofErr w:type="spellEnd"/>
      <w:r w:rsidRPr="00225D4D">
        <w:t xml:space="preserve"> eigna måte.</w:t>
      </w:r>
    </w:p>
    <w:p w14:paraId="16921D08" w14:textId="77777777" w:rsidR="00D60186" w:rsidRPr="00225D4D" w:rsidRDefault="00D60186" w:rsidP="00225D4D">
      <w:pPr>
        <w:pStyle w:val="avsnitt-tittel"/>
      </w:pPr>
      <w:proofErr w:type="spellStart"/>
      <w:r w:rsidRPr="00225D4D">
        <w:t>Heilskaplege</w:t>
      </w:r>
      <w:proofErr w:type="spellEnd"/>
      <w:r w:rsidRPr="00225D4D">
        <w:t xml:space="preserve"> og koordinerte </w:t>
      </w:r>
      <w:proofErr w:type="spellStart"/>
      <w:r w:rsidRPr="00225D4D">
        <w:t>tenester</w:t>
      </w:r>
      <w:proofErr w:type="spellEnd"/>
    </w:p>
    <w:p w14:paraId="7E706D21" w14:textId="77777777" w:rsidR="00D60186" w:rsidRPr="00225D4D" w:rsidRDefault="00D60186" w:rsidP="00225D4D">
      <w:pPr>
        <w:pStyle w:val="avsnitt-undertittel"/>
      </w:pPr>
      <w:r w:rsidRPr="00225D4D">
        <w:t>Vedtak nr. 1104, 2. juni 2021:</w:t>
      </w:r>
    </w:p>
    <w:p w14:paraId="3A179827" w14:textId="77777777" w:rsidR="00D60186" w:rsidRPr="00225D4D" w:rsidRDefault="00D60186" w:rsidP="00225D4D">
      <w:pPr>
        <w:pStyle w:val="blokksit"/>
        <w:rPr>
          <w:rStyle w:val="kursiv"/>
        </w:rPr>
      </w:pPr>
      <w:r w:rsidRPr="00225D4D">
        <w:rPr>
          <w:rStyle w:val="kursiv"/>
        </w:rPr>
        <w:t>Stortinget ber regjeringen utrede og fremme en sak for Stortinget med forslag til nødvendige lovendringer for å sikre at barn som trenger det, gis en rett til helhetlige og koordinerte tjenester.</w:t>
      </w:r>
    </w:p>
    <w:p w14:paraId="3634F21A"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100 L (2020–2021) </w:t>
      </w:r>
      <w:r w:rsidRPr="00225D4D">
        <w:rPr>
          <w:rStyle w:val="kursiv"/>
        </w:rPr>
        <w:t>Endringer i velferdstjenestelovgivningen (samarbeid, samordning og barnekoordinator)</w:t>
      </w:r>
      <w:r w:rsidRPr="00225D4D">
        <w:t xml:space="preserve">, jf. </w:t>
      </w:r>
      <w:proofErr w:type="spellStart"/>
      <w:r w:rsidRPr="00225D4D">
        <w:t>Innst</w:t>
      </w:r>
      <w:proofErr w:type="spellEnd"/>
      <w:r w:rsidRPr="00225D4D">
        <w:t>. 581 L (2020–2021).</w:t>
      </w:r>
    </w:p>
    <w:p w14:paraId="2838926F" w14:textId="77777777" w:rsidR="00D60186" w:rsidRPr="00225D4D" w:rsidRDefault="00D60186" w:rsidP="00225D4D">
      <w:r w:rsidRPr="00225D4D">
        <w:t xml:space="preserve">Regjeringa er </w:t>
      </w:r>
      <w:proofErr w:type="spellStart"/>
      <w:r w:rsidRPr="00225D4D">
        <w:t>oppteken</w:t>
      </w:r>
      <w:proofErr w:type="spellEnd"/>
      <w:r w:rsidRPr="00225D4D">
        <w:t xml:space="preserve"> av at barn og unge får </w:t>
      </w:r>
      <w:proofErr w:type="spellStart"/>
      <w:r w:rsidRPr="00225D4D">
        <w:t>dei</w:t>
      </w:r>
      <w:proofErr w:type="spellEnd"/>
      <w:r w:rsidRPr="00225D4D">
        <w:t xml:space="preserve"> </w:t>
      </w:r>
      <w:proofErr w:type="spellStart"/>
      <w:r w:rsidRPr="00225D4D">
        <w:t>tenestene</w:t>
      </w:r>
      <w:proofErr w:type="spellEnd"/>
      <w:r w:rsidRPr="00225D4D">
        <w:t xml:space="preserve"> </w:t>
      </w:r>
      <w:proofErr w:type="spellStart"/>
      <w:r w:rsidRPr="00225D4D">
        <w:t>dei</w:t>
      </w:r>
      <w:proofErr w:type="spellEnd"/>
      <w:r w:rsidRPr="00225D4D">
        <w:t xml:space="preserve"> treng, og at </w:t>
      </w:r>
      <w:proofErr w:type="spellStart"/>
      <w:r w:rsidRPr="00225D4D">
        <w:t>tenestene</w:t>
      </w:r>
      <w:proofErr w:type="spellEnd"/>
      <w:r w:rsidRPr="00225D4D">
        <w:t xml:space="preserve"> er godt koordinerte. 1. august 2022 tok ei rekke </w:t>
      </w:r>
      <w:proofErr w:type="spellStart"/>
      <w:r w:rsidRPr="00225D4D">
        <w:t>endringar</w:t>
      </w:r>
      <w:proofErr w:type="spellEnd"/>
      <w:r w:rsidRPr="00225D4D">
        <w:t xml:space="preserve"> i </w:t>
      </w:r>
      <w:proofErr w:type="spellStart"/>
      <w:r w:rsidRPr="00225D4D">
        <w:t>velferdstenestelovgivinga</w:t>
      </w:r>
      <w:proofErr w:type="spellEnd"/>
      <w:r w:rsidRPr="00225D4D">
        <w:t xml:space="preserve"> til å gjelde, jf. </w:t>
      </w:r>
      <w:proofErr w:type="spellStart"/>
      <w:r w:rsidRPr="00225D4D">
        <w:t>Innst</w:t>
      </w:r>
      <w:proofErr w:type="spellEnd"/>
      <w:r w:rsidRPr="00225D4D">
        <w:t xml:space="preserve">. 581 L (2020–2021) og </w:t>
      </w:r>
      <w:proofErr w:type="spellStart"/>
      <w:r w:rsidRPr="00225D4D">
        <w:t>Prop</w:t>
      </w:r>
      <w:proofErr w:type="spellEnd"/>
      <w:r w:rsidRPr="00225D4D">
        <w:t xml:space="preserve">. 100 L (2020–2021). </w:t>
      </w:r>
      <w:proofErr w:type="spellStart"/>
      <w:r w:rsidRPr="00225D4D">
        <w:t>Endringane</w:t>
      </w:r>
      <w:proofErr w:type="spellEnd"/>
      <w:r w:rsidRPr="00225D4D">
        <w:t xml:space="preserve"> </w:t>
      </w:r>
      <w:proofErr w:type="spellStart"/>
      <w:r w:rsidRPr="00225D4D">
        <w:t>omfattar</w:t>
      </w:r>
      <w:proofErr w:type="spellEnd"/>
      <w:r w:rsidRPr="00225D4D">
        <w:t xml:space="preserve"> 14 lover og </w:t>
      </w:r>
      <w:proofErr w:type="spellStart"/>
      <w:r w:rsidRPr="00225D4D">
        <w:t>inneber</w:t>
      </w:r>
      <w:proofErr w:type="spellEnd"/>
      <w:r w:rsidRPr="00225D4D">
        <w:t xml:space="preserve"> mellom anna at </w:t>
      </w:r>
      <w:proofErr w:type="spellStart"/>
      <w:r w:rsidRPr="00225D4D">
        <w:t>reglane</w:t>
      </w:r>
      <w:proofErr w:type="spellEnd"/>
      <w:r w:rsidRPr="00225D4D">
        <w:t xml:space="preserve"> om samarbeid og individuell plan er harmoniserte og styrkte, at det er innført ei plikt for kommunen til å samordne </w:t>
      </w:r>
      <w:proofErr w:type="spellStart"/>
      <w:r w:rsidRPr="00225D4D">
        <w:t>tenestetilbodet</w:t>
      </w:r>
      <w:proofErr w:type="spellEnd"/>
      <w:r w:rsidRPr="00225D4D">
        <w:t xml:space="preserve"> til den enkelte, og at det er innført rett til barnekoordinator på visse vilkår. Formålet med </w:t>
      </w:r>
      <w:proofErr w:type="spellStart"/>
      <w:r w:rsidRPr="00225D4D">
        <w:t>endringane</w:t>
      </w:r>
      <w:proofErr w:type="spellEnd"/>
      <w:r w:rsidRPr="00225D4D">
        <w:t xml:space="preserve"> er å styrke oppfølginga av </w:t>
      </w:r>
      <w:proofErr w:type="gramStart"/>
      <w:r w:rsidRPr="00225D4D">
        <w:t>utsette</w:t>
      </w:r>
      <w:proofErr w:type="gramEnd"/>
      <w:r w:rsidRPr="00225D4D">
        <w:t xml:space="preserve"> barn og unge og </w:t>
      </w:r>
      <w:proofErr w:type="spellStart"/>
      <w:r w:rsidRPr="00225D4D">
        <w:t>familiane</w:t>
      </w:r>
      <w:proofErr w:type="spellEnd"/>
      <w:r w:rsidRPr="00225D4D">
        <w:t xml:space="preserve"> </w:t>
      </w:r>
      <w:proofErr w:type="spellStart"/>
      <w:r w:rsidRPr="00225D4D">
        <w:t>deira</w:t>
      </w:r>
      <w:proofErr w:type="spellEnd"/>
      <w:r w:rsidRPr="00225D4D">
        <w:t xml:space="preserve"> gjennom </w:t>
      </w:r>
      <w:proofErr w:type="spellStart"/>
      <w:r w:rsidRPr="00225D4D">
        <w:t>auka</w:t>
      </w:r>
      <w:proofErr w:type="spellEnd"/>
      <w:r w:rsidRPr="00225D4D">
        <w:t xml:space="preserve"> samarbeid mellom </w:t>
      </w:r>
      <w:proofErr w:type="spellStart"/>
      <w:r w:rsidRPr="00225D4D">
        <w:t>velferdstenestene</w:t>
      </w:r>
      <w:proofErr w:type="spellEnd"/>
      <w:r w:rsidRPr="00225D4D">
        <w:t>.</w:t>
      </w:r>
    </w:p>
    <w:p w14:paraId="1D566EA3" w14:textId="77777777" w:rsidR="00D60186" w:rsidRPr="00225D4D" w:rsidRDefault="00D60186" w:rsidP="00225D4D">
      <w:r w:rsidRPr="00225D4D">
        <w:t xml:space="preserve">Det er viktig at </w:t>
      </w:r>
      <w:proofErr w:type="spellStart"/>
      <w:r w:rsidRPr="00225D4D">
        <w:t>reglane</w:t>
      </w:r>
      <w:proofErr w:type="spellEnd"/>
      <w:r w:rsidRPr="00225D4D">
        <w:t xml:space="preserve"> legg til rette for godt samarbeid mellom </w:t>
      </w:r>
      <w:proofErr w:type="spellStart"/>
      <w:r w:rsidRPr="00225D4D">
        <w:t>tenestene</w:t>
      </w:r>
      <w:proofErr w:type="spellEnd"/>
      <w:r w:rsidRPr="00225D4D">
        <w:t xml:space="preserve">. Samstundes er det viktig å arbeide med å skape </w:t>
      </w:r>
      <w:proofErr w:type="spellStart"/>
      <w:r w:rsidRPr="00225D4D">
        <w:t>ein</w:t>
      </w:r>
      <w:proofErr w:type="spellEnd"/>
      <w:r w:rsidRPr="00225D4D">
        <w:t xml:space="preserve"> god samarbeidskultur i </w:t>
      </w:r>
      <w:proofErr w:type="spellStart"/>
      <w:r w:rsidRPr="00225D4D">
        <w:t>tenestene</w:t>
      </w:r>
      <w:proofErr w:type="spellEnd"/>
      <w:r w:rsidRPr="00225D4D">
        <w:t xml:space="preserve">, både i kommune, fylkeskommune og stat. Helsedirektoratet, Arbeids- og velferdsdirektoratet, Barne-, ungdoms- og familiedirektoratet og Utdanningsdirektoratet har utarbeidd </w:t>
      </w:r>
      <w:proofErr w:type="spellStart"/>
      <w:r w:rsidRPr="00225D4D">
        <w:t>ein</w:t>
      </w:r>
      <w:proofErr w:type="spellEnd"/>
      <w:r w:rsidRPr="00225D4D">
        <w:t xml:space="preserve"> felles </w:t>
      </w:r>
      <w:proofErr w:type="spellStart"/>
      <w:r w:rsidRPr="00225D4D">
        <w:t>rettleiar</w:t>
      </w:r>
      <w:proofErr w:type="spellEnd"/>
      <w:r w:rsidRPr="00225D4D">
        <w:t xml:space="preserve"> om samarbeid på tvers av </w:t>
      </w:r>
      <w:proofErr w:type="spellStart"/>
      <w:r w:rsidRPr="00225D4D">
        <w:t>velferdstenestene</w:t>
      </w:r>
      <w:proofErr w:type="spellEnd"/>
      <w:r w:rsidRPr="00225D4D">
        <w:t xml:space="preserve"> som blei publisert </w:t>
      </w:r>
      <w:proofErr w:type="spellStart"/>
      <w:r w:rsidRPr="00225D4D">
        <w:t>hausten</w:t>
      </w:r>
      <w:proofErr w:type="spellEnd"/>
      <w:r w:rsidRPr="00225D4D">
        <w:t xml:space="preserve"> 2022.</w:t>
      </w:r>
    </w:p>
    <w:p w14:paraId="17DF338A" w14:textId="77777777" w:rsidR="00D60186" w:rsidRPr="00225D4D" w:rsidRDefault="00D60186" w:rsidP="00225D4D">
      <w:proofErr w:type="spellStart"/>
      <w:r w:rsidRPr="00225D4D">
        <w:t>Regelendringane</w:t>
      </w:r>
      <w:proofErr w:type="spellEnd"/>
      <w:r w:rsidRPr="00225D4D">
        <w:t xml:space="preserve"> blir evaluerte av </w:t>
      </w:r>
      <w:proofErr w:type="spellStart"/>
      <w:r w:rsidRPr="00225D4D">
        <w:t>Noregs</w:t>
      </w:r>
      <w:proofErr w:type="spellEnd"/>
      <w:r w:rsidRPr="00225D4D">
        <w:t xml:space="preserve"> teknisk-</w:t>
      </w:r>
      <w:proofErr w:type="spellStart"/>
      <w:r w:rsidRPr="00225D4D">
        <w:t>naturvitskaplege</w:t>
      </w:r>
      <w:proofErr w:type="spellEnd"/>
      <w:r w:rsidRPr="00225D4D">
        <w:t xml:space="preserve"> universitet (NTNU). Evalueringa skal ha implementeringa av </w:t>
      </w:r>
      <w:proofErr w:type="spellStart"/>
      <w:r w:rsidRPr="00225D4D">
        <w:t>lovendringane</w:t>
      </w:r>
      <w:proofErr w:type="spellEnd"/>
      <w:r w:rsidRPr="00225D4D">
        <w:t xml:space="preserve"> som </w:t>
      </w:r>
      <w:proofErr w:type="spellStart"/>
      <w:r w:rsidRPr="00225D4D">
        <w:t>hovudformål</w:t>
      </w:r>
      <w:proofErr w:type="spellEnd"/>
      <w:r w:rsidRPr="00225D4D">
        <w:t xml:space="preserve">. NTNU skal undersøke korleis sentrale </w:t>
      </w:r>
      <w:proofErr w:type="spellStart"/>
      <w:r w:rsidRPr="00225D4D">
        <w:t>aktørar</w:t>
      </w:r>
      <w:proofErr w:type="spellEnd"/>
      <w:r w:rsidRPr="00225D4D">
        <w:t xml:space="preserve"> </w:t>
      </w:r>
      <w:proofErr w:type="spellStart"/>
      <w:r w:rsidRPr="00225D4D">
        <w:t>tolkar</w:t>
      </w:r>
      <w:proofErr w:type="spellEnd"/>
      <w:r w:rsidRPr="00225D4D">
        <w:t xml:space="preserve"> og </w:t>
      </w:r>
      <w:proofErr w:type="spellStart"/>
      <w:r w:rsidRPr="00225D4D">
        <w:t>set</w:t>
      </w:r>
      <w:proofErr w:type="spellEnd"/>
      <w:r w:rsidRPr="00225D4D">
        <w:t xml:space="preserve"> i verk </w:t>
      </w:r>
      <w:proofErr w:type="spellStart"/>
      <w:r w:rsidRPr="00225D4D">
        <w:t>lovendringane</w:t>
      </w:r>
      <w:proofErr w:type="spellEnd"/>
      <w:r w:rsidRPr="00225D4D">
        <w:t xml:space="preserve">. </w:t>
      </w:r>
      <w:proofErr w:type="spellStart"/>
      <w:r w:rsidRPr="00225D4D">
        <w:t>Vidare</w:t>
      </w:r>
      <w:proofErr w:type="spellEnd"/>
      <w:r w:rsidRPr="00225D4D">
        <w:t xml:space="preserve"> skal evalueringa fange opp </w:t>
      </w:r>
      <w:proofErr w:type="spellStart"/>
      <w:r w:rsidRPr="00225D4D">
        <w:t>endringar</w:t>
      </w:r>
      <w:proofErr w:type="spellEnd"/>
      <w:r w:rsidRPr="00225D4D">
        <w:t xml:space="preserve"> som følger av </w:t>
      </w:r>
      <w:proofErr w:type="spellStart"/>
      <w:r w:rsidRPr="00225D4D">
        <w:t>lovendringane</w:t>
      </w:r>
      <w:proofErr w:type="spellEnd"/>
      <w:r w:rsidRPr="00225D4D">
        <w:t xml:space="preserve">, og om </w:t>
      </w:r>
      <w:proofErr w:type="spellStart"/>
      <w:r w:rsidRPr="00225D4D">
        <w:t>målsetjingane</w:t>
      </w:r>
      <w:proofErr w:type="spellEnd"/>
      <w:r w:rsidRPr="00225D4D">
        <w:t xml:space="preserve"> for </w:t>
      </w:r>
      <w:proofErr w:type="spellStart"/>
      <w:r w:rsidRPr="00225D4D">
        <w:t>endringane</w:t>
      </w:r>
      <w:proofErr w:type="spellEnd"/>
      <w:r w:rsidRPr="00225D4D">
        <w:t xml:space="preserve"> blir oppfylte. NTNU Samfunnsforskning leverte delrapport 1 i juli 2023 og delrapport 2 i september 2024. Evalueringa vil </w:t>
      </w:r>
      <w:proofErr w:type="spellStart"/>
      <w:r w:rsidRPr="00225D4D">
        <w:t>halde</w:t>
      </w:r>
      <w:proofErr w:type="spellEnd"/>
      <w:r w:rsidRPr="00225D4D">
        <w:t xml:space="preserve"> fram til våren 2027.</w:t>
      </w:r>
    </w:p>
    <w:p w14:paraId="68C9042E" w14:textId="77777777" w:rsidR="00D60186" w:rsidRPr="00225D4D" w:rsidRDefault="00D60186" w:rsidP="00225D4D">
      <w:r w:rsidRPr="00225D4D">
        <w:t xml:space="preserve">Regjeringa vil vente til evalueringa er ferdig, før ei eventuell utgreiing av behovet for </w:t>
      </w:r>
      <w:proofErr w:type="spellStart"/>
      <w:r w:rsidRPr="00225D4D">
        <w:t>ytterlegare</w:t>
      </w:r>
      <w:proofErr w:type="spellEnd"/>
      <w:r w:rsidRPr="00225D4D">
        <w:t xml:space="preserve"> </w:t>
      </w:r>
      <w:proofErr w:type="spellStart"/>
      <w:r w:rsidRPr="00225D4D">
        <w:t>lovendringar</w:t>
      </w:r>
      <w:proofErr w:type="spellEnd"/>
      <w:r w:rsidRPr="00225D4D">
        <w:t xml:space="preserve"> for å sikre at barn og unge får </w:t>
      </w:r>
      <w:proofErr w:type="spellStart"/>
      <w:r w:rsidRPr="00225D4D">
        <w:t>heilskaplege</w:t>
      </w:r>
      <w:proofErr w:type="spellEnd"/>
      <w:r w:rsidRPr="00225D4D">
        <w:t xml:space="preserve"> og koordinerte </w:t>
      </w:r>
      <w:proofErr w:type="spellStart"/>
      <w:r w:rsidRPr="00225D4D">
        <w:t>tenester</w:t>
      </w:r>
      <w:proofErr w:type="spellEnd"/>
      <w:r w:rsidRPr="00225D4D">
        <w:t>.</w:t>
      </w:r>
    </w:p>
    <w:p w14:paraId="02B24AC2" w14:textId="77777777" w:rsidR="00D60186" w:rsidRPr="00225D4D" w:rsidRDefault="00D60186" w:rsidP="00225D4D">
      <w:r w:rsidRPr="00225D4D">
        <w:t xml:space="preserve">Departementet vil </w:t>
      </w:r>
      <w:proofErr w:type="spellStart"/>
      <w:r w:rsidRPr="00225D4D">
        <w:t>kome</w:t>
      </w:r>
      <w:proofErr w:type="spellEnd"/>
      <w:r w:rsidRPr="00225D4D">
        <w:t xml:space="preserve"> tilbake til Stortinget på </w:t>
      </w:r>
      <w:proofErr w:type="spellStart"/>
      <w:r w:rsidRPr="00225D4D">
        <w:t>ein</w:t>
      </w:r>
      <w:proofErr w:type="spellEnd"/>
      <w:r w:rsidRPr="00225D4D">
        <w:t xml:space="preserve"> eigna måte.</w:t>
      </w:r>
    </w:p>
    <w:p w14:paraId="0CEA9320" w14:textId="77777777" w:rsidR="00D60186" w:rsidRPr="00225D4D" w:rsidRDefault="00D60186" w:rsidP="00225D4D">
      <w:pPr>
        <w:pStyle w:val="Overskrift2"/>
      </w:pPr>
      <w:r w:rsidRPr="00225D4D">
        <w:t>Stortingssesjon 2019–2020</w:t>
      </w:r>
    </w:p>
    <w:p w14:paraId="1E1AF145" w14:textId="77777777" w:rsidR="00D60186" w:rsidRPr="00225D4D" w:rsidRDefault="00D60186" w:rsidP="00225D4D">
      <w:pPr>
        <w:pStyle w:val="Undertittel"/>
      </w:pPr>
      <w:r w:rsidRPr="00225D4D">
        <w:t xml:space="preserve">Oppmodingsvedtak under forskings- og </w:t>
      </w:r>
      <w:proofErr w:type="spellStart"/>
      <w:r w:rsidRPr="00225D4D">
        <w:t>høgare</w:t>
      </w:r>
      <w:proofErr w:type="spellEnd"/>
      <w:r w:rsidRPr="00225D4D">
        <w:t xml:space="preserve"> utdanningsministeren</w:t>
      </w:r>
    </w:p>
    <w:p w14:paraId="0AA6A8D8" w14:textId="77777777" w:rsidR="00D60186" w:rsidRPr="00225D4D" w:rsidRDefault="00D60186" w:rsidP="00225D4D">
      <w:pPr>
        <w:pStyle w:val="avsnitt-tittel"/>
      </w:pPr>
      <w:proofErr w:type="spellStart"/>
      <w:r w:rsidRPr="00225D4D">
        <w:t>Studieplassar</w:t>
      </w:r>
      <w:proofErr w:type="spellEnd"/>
      <w:r w:rsidRPr="00225D4D">
        <w:t xml:space="preserve"> i </w:t>
      </w:r>
      <w:proofErr w:type="spellStart"/>
      <w:r w:rsidRPr="00225D4D">
        <w:t>høgare</w:t>
      </w:r>
      <w:proofErr w:type="spellEnd"/>
      <w:r w:rsidRPr="00225D4D">
        <w:t xml:space="preserve"> </w:t>
      </w:r>
      <w:proofErr w:type="spellStart"/>
      <w:r w:rsidRPr="00225D4D">
        <w:t>yrkesfagleg</w:t>
      </w:r>
      <w:proofErr w:type="spellEnd"/>
      <w:r w:rsidRPr="00225D4D">
        <w:t xml:space="preserve"> utdanning</w:t>
      </w:r>
    </w:p>
    <w:p w14:paraId="36A82752" w14:textId="77777777" w:rsidR="00D60186" w:rsidRPr="00225D4D" w:rsidRDefault="00D60186" w:rsidP="00225D4D">
      <w:pPr>
        <w:pStyle w:val="avsnitt-undertittel"/>
      </w:pPr>
      <w:r w:rsidRPr="00225D4D">
        <w:t>Vedtak nr. 700, 15. juni 2020:</w:t>
      </w:r>
    </w:p>
    <w:p w14:paraId="6BF94380" w14:textId="77777777" w:rsidR="00D60186" w:rsidRPr="00225D4D" w:rsidRDefault="00D60186" w:rsidP="00225D4D">
      <w:pPr>
        <w:pStyle w:val="blokksit"/>
        <w:rPr>
          <w:rStyle w:val="kursiv"/>
        </w:rPr>
      </w:pPr>
      <w:r w:rsidRPr="00225D4D">
        <w:rPr>
          <w:rStyle w:val="kursiv"/>
        </w:rPr>
        <w:t xml:space="preserve">Stortinget ber regjeringen opprette inntil 1 000 nye studieplasser innen høyere yrkesfaglig utdanning fra høsten 2020, i tillegg til at de 1 000 studieplassene som regjeringen varslet i </w:t>
      </w:r>
      <w:proofErr w:type="spellStart"/>
      <w:r w:rsidRPr="00225D4D">
        <w:rPr>
          <w:rStyle w:val="kursiv"/>
        </w:rPr>
        <w:t>Prop</w:t>
      </w:r>
      <w:proofErr w:type="spellEnd"/>
      <w:r w:rsidRPr="00225D4D">
        <w:rPr>
          <w:rStyle w:val="kursiv"/>
        </w:rPr>
        <w:t>. 117 S (2019–2020), skal bli permanente, og at det videre utarbeides en forpliktende opptrappingsplan med 1 000 nye studieplasser årlig over fem år.</w:t>
      </w:r>
    </w:p>
    <w:p w14:paraId="549F6B67"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14 (2019–2020) </w:t>
      </w:r>
      <w:r w:rsidRPr="00225D4D">
        <w:rPr>
          <w:rStyle w:val="kursiv"/>
        </w:rPr>
        <w:t>Kompetansereformen – Lære hele livet</w:t>
      </w:r>
      <w:r w:rsidRPr="00225D4D">
        <w:t xml:space="preserve">, jf. </w:t>
      </w:r>
      <w:proofErr w:type="spellStart"/>
      <w:r w:rsidRPr="00225D4D">
        <w:t>Innst</w:t>
      </w:r>
      <w:proofErr w:type="spellEnd"/>
      <w:r w:rsidRPr="00225D4D">
        <w:t>. 370 S (2019–2020).</w:t>
      </w:r>
    </w:p>
    <w:p w14:paraId="02E82976" w14:textId="77777777" w:rsidR="00D60186" w:rsidRPr="00225D4D" w:rsidRDefault="00D60186" w:rsidP="00225D4D">
      <w:r w:rsidRPr="00225D4D">
        <w:t xml:space="preserve">Regjeringa </w:t>
      </w:r>
      <w:proofErr w:type="spellStart"/>
      <w:r w:rsidRPr="00225D4D">
        <w:t>legg</w:t>
      </w:r>
      <w:proofErr w:type="spellEnd"/>
      <w:r w:rsidRPr="00225D4D">
        <w:t xml:space="preserve"> til grunn at vedtaket </w:t>
      </w:r>
      <w:proofErr w:type="spellStart"/>
      <w:r w:rsidRPr="00225D4D">
        <w:t>omfattar</w:t>
      </w:r>
      <w:proofErr w:type="spellEnd"/>
      <w:r w:rsidRPr="00225D4D">
        <w:t xml:space="preserve"> totalt 5 000 nye </w:t>
      </w:r>
      <w:proofErr w:type="spellStart"/>
      <w:r w:rsidRPr="00225D4D">
        <w:t>studieplassar</w:t>
      </w:r>
      <w:proofErr w:type="spellEnd"/>
      <w:r w:rsidRPr="00225D4D">
        <w:t xml:space="preserve"> i </w:t>
      </w:r>
      <w:proofErr w:type="spellStart"/>
      <w:r w:rsidRPr="00225D4D">
        <w:t>høgare</w:t>
      </w:r>
      <w:proofErr w:type="spellEnd"/>
      <w:r w:rsidRPr="00225D4D">
        <w:t xml:space="preserve"> </w:t>
      </w:r>
      <w:proofErr w:type="spellStart"/>
      <w:r w:rsidRPr="00225D4D">
        <w:t>yrkesfagleg</w:t>
      </w:r>
      <w:proofErr w:type="spellEnd"/>
      <w:r w:rsidRPr="00225D4D">
        <w:t xml:space="preserve"> utdanning. Stortinget har i perioden 2020–2025 løyvd </w:t>
      </w:r>
      <w:proofErr w:type="spellStart"/>
      <w:r w:rsidRPr="00225D4D">
        <w:t>midlar</w:t>
      </w:r>
      <w:proofErr w:type="spellEnd"/>
      <w:r w:rsidRPr="00225D4D">
        <w:t xml:space="preserve"> til totalt 4 100 nye </w:t>
      </w:r>
      <w:proofErr w:type="spellStart"/>
      <w:r w:rsidRPr="00225D4D">
        <w:t>studieplassar</w:t>
      </w:r>
      <w:proofErr w:type="spellEnd"/>
      <w:r w:rsidRPr="00225D4D">
        <w:t xml:space="preserve"> i </w:t>
      </w:r>
      <w:proofErr w:type="spellStart"/>
      <w:r w:rsidRPr="00225D4D">
        <w:t>fagskulane</w:t>
      </w:r>
      <w:proofErr w:type="spellEnd"/>
      <w:r w:rsidRPr="00225D4D">
        <w:t xml:space="preserve">. Dette er den største kapasitetsveksten i </w:t>
      </w:r>
      <w:proofErr w:type="spellStart"/>
      <w:r w:rsidRPr="00225D4D">
        <w:t>høgare</w:t>
      </w:r>
      <w:proofErr w:type="spellEnd"/>
      <w:r w:rsidRPr="00225D4D">
        <w:t xml:space="preserve"> </w:t>
      </w:r>
      <w:proofErr w:type="spellStart"/>
      <w:r w:rsidRPr="00225D4D">
        <w:t>yrkesfagleg</w:t>
      </w:r>
      <w:proofErr w:type="spellEnd"/>
      <w:r w:rsidRPr="00225D4D">
        <w:t xml:space="preserve"> utdanning </w:t>
      </w:r>
      <w:proofErr w:type="spellStart"/>
      <w:r w:rsidRPr="00225D4D">
        <w:t>nokon</w:t>
      </w:r>
      <w:proofErr w:type="spellEnd"/>
      <w:r w:rsidRPr="00225D4D">
        <w:t xml:space="preserve"> gong.</w:t>
      </w:r>
    </w:p>
    <w:p w14:paraId="1F8B3B95" w14:textId="77777777" w:rsidR="00D60186" w:rsidRPr="00225D4D" w:rsidRDefault="00D60186" w:rsidP="00225D4D">
      <w:r w:rsidRPr="00225D4D">
        <w:t xml:space="preserve">Det er </w:t>
      </w:r>
      <w:proofErr w:type="spellStart"/>
      <w:r w:rsidRPr="00225D4D">
        <w:t>ein</w:t>
      </w:r>
      <w:proofErr w:type="spellEnd"/>
      <w:r w:rsidRPr="00225D4D">
        <w:t xml:space="preserve"> </w:t>
      </w:r>
      <w:proofErr w:type="spellStart"/>
      <w:r w:rsidRPr="00225D4D">
        <w:t>aukande</w:t>
      </w:r>
      <w:proofErr w:type="spellEnd"/>
      <w:r w:rsidRPr="00225D4D">
        <w:t xml:space="preserve"> mangel på kompetent arbeidskraft. Regjeringa vil gjennom </w:t>
      </w:r>
      <w:proofErr w:type="spellStart"/>
      <w:r w:rsidRPr="00225D4D">
        <w:t>høgare</w:t>
      </w:r>
      <w:proofErr w:type="spellEnd"/>
      <w:r w:rsidRPr="00225D4D">
        <w:t xml:space="preserve"> </w:t>
      </w:r>
      <w:proofErr w:type="spellStart"/>
      <w:r w:rsidRPr="00225D4D">
        <w:t>yrkesfagleg</w:t>
      </w:r>
      <w:proofErr w:type="spellEnd"/>
      <w:r w:rsidRPr="00225D4D">
        <w:t xml:space="preserve"> utdanning sikre </w:t>
      </w:r>
      <w:proofErr w:type="spellStart"/>
      <w:r w:rsidRPr="00225D4D">
        <w:t>fleire</w:t>
      </w:r>
      <w:proofErr w:type="spellEnd"/>
      <w:r w:rsidRPr="00225D4D">
        <w:t xml:space="preserve"> </w:t>
      </w:r>
      <w:proofErr w:type="spellStart"/>
      <w:r w:rsidRPr="00225D4D">
        <w:t>kandidatar</w:t>
      </w:r>
      <w:proofErr w:type="spellEnd"/>
      <w:r w:rsidRPr="00225D4D">
        <w:t xml:space="preserve"> og </w:t>
      </w:r>
      <w:proofErr w:type="spellStart"/>
      <w:r w:rsidRPr="00225D4D">
        <w:t>fleire</w:t>
      </w:r>
      <w:proofErr w:type="spellEnd"/>
      <w:r w:rsidRPr="00225D4D">
        <w:t xml:space="preserve"> </w:t>
      </w:r>
      <w:proofErr w:type="spellStart"/>
      <w:r w:rsidRPr="00225D4D">
        <w:t>meir</w:t>
      </w:r>
      <w:proofErr w:type="spellEnd"/>
      <w:r w:rsidRPr="00225D4D">
        <w:t xml:space="preserve"> kompetente </w:t>
      </w:r>
      <w:proofErr w:type="spellStart"/>
      <w:r w:rsidRPr="00225D4D">
        <w:t>kandidatar</w:t>
      </w:r>
      <w:proofErr w:type="spellEnd"/>
      <w:r w:rsidRPr="00225D4D">
        <w:t xml:space="preserve"> til norsk arbeidsliv. For at </w:t>
      </w:r>
      <w:proofErr w:type="spellStart"/>
      <w:r w:rsidRPr="00225D4D">
        <w:t>fleire</w:t>
      </w:r>
      <w:proofErr w:type="spellEnd"/>
      <w:r w:rsidRPr="00225D4D">
        <w:t xml:space="preserve"> skal kunne ta </w:t>
      </w:r>
      <w:proofErr w:type="spellStart"/>
      <w:r w:rsidRPr="00225D4D">
        <w:t>høgare</w:t>
      </w:r>
      <w:proofErr w:type="spellEnd"/>
      <w:r w:rsidRPr="00225D4D">
        <w:t xml:space="preserve"> </w:t>
      </w:r>
      <w:proofErr w:type="spellStart"/>
      <w:r w:rsidRPr="00225D4D">
        <w:t>yrkesfagleg</w:t>
      </w:r>
      <w:proofErr w:type="spellEnd"/>
      <w:r w:rsidRPr="00225D4D">
        <w:t xml:space="preserve"> utdanning, foreslår regjeringa </w:t>
      </w:r>
      <w:proofErr w:type="spellStart"/>
      <w:r w:rsidRPr="00225D4D">
        <w:t>midlar</w:t>
      </w:r>
      <w:proofErr w:type="spellEnd"/>
      <w:r w:rsidRPr="00225D4D">
        <w:t xml:space="preserve"> til 900 nye </w:t>
      </w:r>
      <w:proofErr w:type="spellStart"/>
      <w:r w:rsidRPr="00225D4D">
        <w:t>studieplassar</w:t>
      </w:r>
      <w:proofErr w:type="spellEnd"/>
      <w:r w:rsidRPr="00225D4D">
        <w:t xml:space="preserve"> i </w:t>
      </w:r>
      <w:proofErr w:type="spellStart"/>
      <w:r w:rsidRPr="00225D4D">
        <w:t>fagskulane</w:t>
      </w:r>
      <w:proofErr w:type="spellEnd"/>
      <w:r w:rsidRPr="00225D4D">
        <w:t xml:space="preserve"> i 2026. Ei satsing på kapasitetsvekst i </w:t>
      </w:r>
      <w:proofErr w:type="spellStart"/>
      <w:r w:rsidRPr="00225D4D">
        <w:t>høgare</w:t>
      </w:r>
      <w:proofErr w:type="spellEnd"/>
      <w:r w:rsidRPr="00225D4D">
        <w:t xml:space="preserve"> </w:t>
      </w:r>
      <w:proofErr w:type="spellStart"/>
      <w:r w:rsidRPr="00225D4D">
        <w:t>yrkesfagleg</w:t>
      </w:r>
      <w:proofErr w:type="spellEnd"/>
      <w:r w:rsidRPr="00225D4D">
        <w:t xml:space="preserve"> utdanning er i samsvar med Meld. St. 11 (2024–2025) </w:t>
      </w:r>
      <w:r w:rsidRPr="00225D4D">
        <w:rPr>
          <w:rStyle w:val="kursiv"/>
        </w:rPr>
        <w:t>Fagfolk for en ny tid – med høyere yrkesfaglig utdanning.</w:t>
      </w:r>
    </w:p>
    <w:p w14:paraId="3B7980F3"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med dette er </w:t>
      </w:r>
      <w:proofErr w:type="spellStart"/>
      <w:r w:rsidRPr="00225D4D">
        <w:t>følgt</w:t>
      </w:r>
      <w:proofErr w:type="spellEnd"/>
      <w:r w:rsidRPr="00225D4D">
        <w:t xml:space="preserve"> opp.</w:t>
      </w:r>
    </w:p>
    <w:p w14:paraId="3F54AF23" w14:textId="77777777" w:rsidR="00D60186" w:rsidRPr="00225D4D" w:rsidRDefault="00D60186" w:rsidP="00225D4D">
      <w:pPr>
        <w:pStyle w:val="Overskrift2"/>
      </w:pPr>
      <w:r w:rsidRPr="00225D4D">
        <w:t>Stortingssesjon 2018–2019</w:t>
      </w:r>
    </w:p>
    <w:p w14:paraId="2ECFA8C8" w14:textId="77777777" w:rsidR="00D60186" w:rsidRPr="00225D4D" w:rsidRDefault="00D60186" w:rsidP="00225D4D">
      <w:pPr>
        <w:pStyle w:val="Undertittel"/>
      </w:pPr>
      <w:r w:rsidRPr="00225D4D">
        <w:t>Oppmodingsvedtak under kunnskapsministeren</w:t>
      </w:r>
    </w:p>
    <w:p w14:paraId="6F8ADD0A"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Finansieringssystemet og ideelle </w:t>
      </w:r>
      <w:proofErr w:type="spellStart"/>
      <w:r w:rsidRPr="00225D4D">
        <w:t>barnehagar</w:t>
      </w:r>
      <w:proofErr w:type="spellEnd"/>
    </w:p>
    <w:p w14:paraId="3D4EC769" w14:textId="77777777" w:rsidR="00D60186" w:rsidRPr="00225D4D" w:rsidRDefault="00D60186" w:rsidP="00225D4D">
      <w:pPr>
        <w:pStyle w:val="avsnitt-undertittel"/>
      </w:pPr>
      <w:r w:rsidRPr="00225D4D">
        <w:t>Vedtak nr. 51, 22. november 2018:</w:t>
      </w:r>
    </w:p>
    <w:p w14:paraId="1244EDE0" w14:textId="77777777" w:rsidR="00D60186" w:rsidRPr="00225D4D" w:rsidRDefault="00D60186" w:rsidP="00225D4D">
      <w:pPr>
        <w:pStyle w:val="blokksit"/>
        <w:rPr>
          <w:rStyle w:val="kursiv"/>
        </w:rPr>
      </w:pPr>
      <w:r w:rsidRPr="00225D4D">
        <w:rPr>
          <w:rStyle w:val="kursiv"/>
        </w:rPr>
        <w:t>Stortinget ber regjeringen gjennomgå finansieringssystemet for private og kommunale barnehager med sikte på å ivareta de små og ideelle barnehagene og en mangfoldig barnehagesektor.</w:t>
      </w:r>
    </w:p>
    <w:p w14:paraId="79665EF9"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8:231 S (2017–2018) </w:t>
      </w:r>
      <w:r w:rsidRPr="00225D4D">
        <w:rPr>
          <w:rStyle w:val="kursiv"/>
        </w:rPr>
        <w:t xml:space="preserve">Representantforslag fra stortingsrepresentantene Audun Lysbakken og Bjørnar Moxnes om en mangfoldig barnehagestruktur der pengene går til barnas beste, </w:t>
      </w:r>
      <w:r w:rsidRPr="00225D4D">
        <w:t xml:space="preserve">jf. </w:t>
      </w:r>
      <w:proofErr w:type="spellStart"/>
      <w:r w:rsidRPr="00225D4D">
        <w:t>Innst</w:t>
      </w:r>
      <w:proofErr w:type="spellEnd"/>
      <w:r w:rsidRPr="00225D4D">
        <w:t>. 51 S (2018–2019).</w:t>
      </w:r>
    </w:p>
    <w:p w14:paraId="675663ED" w14:textId="77777777" w:rsidR="00D60186" w:rsidRPr="00225D4D" w:rsidRDefault="00D60186" w:rsidP="00225D4D">
      <w:r w:rsidRPr="00225D4D">
        <w:t xml:space="preserve">I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foreslo Kunnskapsdepartementet nye </w:t>
      </w:r>
      <w:proofErr w:type="spellStart"/>
      <w:r w:rsidRPr="00225D4D">
        <w:t>reglar</w:t>
      </w:r>
      <w:proofErr w:type="spellEnd"/>
      <w:r w:rsidRPr="00225D4D">
        <w:t xml:space="preserve"> om </w:t>
      </w:r>
      <w:proofErr w:type="spellStart"/>
      <w:r w:rsidRPr="00225D4D">
        <w:t>tilskot</w:t>
      </w:r>
      <w:proofErr w:type="spellEnd"/>
      <w:r w:rsidRPr="00225D4D">
        <w:t xml:space="preserve"> til private </w:t>
      </w:r>
      <w:proofErr w:type="spellStart"/>
      <w:r w:rsidRPr="00225D4D">
        <w:t>barnehagar</w:t>
      </w:r>
      <w:proofErr w:type="spellEnd"/>
      <w:r w:rsidRPr="00225D4D">
        <w:t xml:space="preserve">. Forslaget til nye </w:t>
      </w:r>
      <w:proofErr w:type="spellStart"/>
      <w:r w:rsidRPr="00225D4D">
        <w:t>reglar</w:t>
      </w:r>
      <w:proofErr w:type="spellEnd"/>
      <w:r w:rsidRPr="00225D4D">
        <w:t xml:space="preserve"> om </w:t>
      </w:r>
      <w:proofErr w:type="spellStart"/>
      <w:r w:rsidRPr="00225D4D">
        <w:t>driftstilskot</w:t>
      </w:r>
      <w:proofErr w:type="spellEnd"/>
      <w:r w:rsidRPr="00225D4D">
        <w:t xml:space="preserve"> </w:t>
      </w:r>
      <w:proofErr w:type="spellStart"/>
      <w:r w:rsidRPr="00225D4D">
        <w:t>tek</w:t>
      </w:r>
      <w:proofErr w:type="spellEnd"/>
      <w:r w:rsidRPr="00225D4D">
        <w:t xml:space="preserve"> omsyn til at enkelte </w:t>
      </w:r>
      <w:proofErr w:type="spellStart"/>
      <w:r w:rsidRPr="00225D4D">
        <w:t>barnehagar</w:t>
      </w:r>
      <w:proofErr w:type="spellEnd"/>
      <w:r w:rsidRPr="00225D4D">
        <w:t xml:space="preserve"> kan ha </w:t>
      </w:r>
      <w:proofErr w:type="spellStart"/>
      <w:r w:rsidRPr="00225D4D">
        <w:t>nokre</w:t>
      </w:r>
      <w:proofErr w:type="spellEnd"/>
      <w:r w:rsidRPr="00225D4D">
        <w:t xml:space="preserve"> </w:t>
      </w:r>
      <w:proofErr w:type="spellStart"/>
      <w:r w:rsidRPr="00225D4D">
        <w:t>særlege</w:t>
      </w:r>
      <w:proofErr w:type="spellEnd"/>
      <w:r w:rsidRPr="00225D4D">
        <w:t xml:space="preserve"> </w:t>
      </w:r>
      <w:proofErr w:type="spellStart"/>
      <w:r w:rsidRPr="00225D4D">
        <w:t>driftsføresetnader</w:t>
      </w:r>
      <w:proofErr w:type="spellEnd"/>
      <w:r w:rsidRPr="00225D4D">
        <w:t xml:space="preserve">. Det kan til dømes </w:t>
      </w:r>
      <w:proofErr w:type="spellStart"/>
      <w:r w:rsidRPr="00225D4D">
        <w:t>vere</w:t>
      </w:r>
      <w:proofErr w:type="spellEnd"/>
      <w:r w:rsidRPr="00225D4D">
        <w:t xml:space="preserve"> små </w:t>
      </w:r>
      <w:proofErr w:type="spellStart"/>
      <w:r w:rsidRPr="00225D4D">
        <w:t>barnehagar</w:t>
      </w:r>
      <w:proofErr w:type="spellEnd"/>
      <w:r w:rsidRPr="00225D4D">
        <w:t xml:space="preserve"> som må ha </w:t>
      </w:r>
      <w:proofErr w:type="spellStart"/>
      <w:r w:rsidRPr="00225D4D">
        <w:t>høgare</w:t>
      </w:r>
      <w:proofErr w:type="spellEnd"/>
      <w:r w:rsidRPr="00225D4D">
        <w:t xml:space="preserve"> bemanning enn det som følger av lova. Då kan </w:t>
      </w:r>
      <w:proofErr w:type="spellStart"/>
      <w:r w:rsidRPr="00225D4D">
        <w:t>tilskota</w:t>
      </w:r>
      <w:proofErr w:type="spellEnd"/>
      <w:r w:rsidRPr="00225D4D">
        <w:t xml:space="preserve"> </w:t>
      </w:r>
      <w:proofErr w:type="spellStart"/>
      <w:r w:rsidRPr="00225D4D">
        <w:t>differensierast</w:t>
      </w:r>
      <w:proofErr w:type="spellEnd"/>
      <w:r w:rsidRPr="00225D4D">
        <w:t xml:space="preserve"> på bakgrunn av dette. Forslaga til nye </w:t>
      </w:r>
      <w:proofErr w:type="spellStart"/>
      <w:r w:rsidRPr="00225D4D">
        <w:t>reglar</w:t>
      </w:r>
      <w:proofErr w:type="spellEnd"/>
      <w:r w:rsidRPr="00225D4D">
        <w:t xml:space="preserve"> om </w:t>
      </w:r>
      <w:proofErr w:type="spellStart"/>
      <w:r w:rsidRPr="00225D4D">
        <w:t>pensjonstilskot</w:t>
      </w:r>
      <w:proofErr w:type="spellEnd"/>
      <w:r w:rsidRPr="00225D4D">
        <w:t xml:space="preserve"> </w:t>
      </w:r>
      <w:proofErr w:type="spellStart"/>
      <w:r w:rsidRPr="00225D4D">
        <w:t>opnar</w:t>
      </w:r>
      <w:proofErr w:type="spellEnd"/>
      <w:r w:rsidRPr="00225D4D">
        <w:t xml:space="preserve"> for større differensiering av </w:t>
      </w:r>
      <w:proofErr w:type="spellStart"/>
      <w:r w:rsidRPr="00225D4D">
        <w:t>tilskot</w:t>
      </w:r>
      <w:proofErr w:type="spellEnd"/>
      <w:r w:rsidRPr="00225D4D">
        <w:t xml:space="preserve"> ut </w:t>
      </w:r>
      <w:proofErr w:type="spellStart"/>
      <w:r w:rsidRPr="00225D4D">
        <w:t>frå</w:t>
      </w:r>
      <w:proofErr w:type="spellEnd"/>
      <w:r w:rsidRPr="00225D4D">
        <w:t xml:space="preserve"> vilkåra i </w:t>
      </w:r>
      <w:proofErr w:type="spellStart"/>
      <w:r w:rsidRPr="00225D4D">
        <w:t>pensjonsavtalane</w:t>
      </w:r>
      <w:proofErr w:type="spellEnd"/>
      <w:r w:rsidRPr="00225D4D">
        <w:t xml:space="preserve"> til </w:t>
      </w:r>
      <w:proofErr w:type="spellStart"/>
      <w:r w:rsidRPr="00225D4D">
        <w:t>barnehagane</w:t>
      </w:r>
      <w:proofErr w:type="spellEnd"/>
      <w:r w:rsidRPr="00225D4D">
        <w:t xml:space="preserve">. Det er også foreslått </w:t>
      </w:r>
      <w:proofErr w:type="spellStart"/>
      <w:r w:rsidRPr="00225D4D">
        <w:t>ein</w:t>
      </w:r>
      <w:proofErr w:type="spellEnd"/>
      <w:r w:rsidRPr="00225D4D">
        <w:t xml:space="preserve"> særregel for private </w:t>
      </w:r>
      <w:proofErr w:type="spellStart"/>
      <w:r w:rsidRPr="00225D4D">
        <w:t>barnehagar</w:t>
      </w:r>
      <w:proofErr w:type="spellEnd"/>
      <w:r w:rsidRPr="00225D4D">
        <w:t xml:space="preserve"> med historiske </w:t>
      </w:r>
      <w:proofErr w:type="spellStart"/>
      <w:r w:rsidRPr="00225D4D">
        <w:t>forpliktingar</w:t>
      </w:r>
      <w:proofErr w:type="spellEnd"/>
      <w:r w:rsidRPr="00225D4D">
        <w:t xml:space="preserve"> basert på </w:t>
      </w:r>
      <w:proofErr w:type="spellStart"/>
      <w:r w:rsidRPr="00225D4D">
        <w:t>avtalar</w:t>
      </w:r>
      <w:proofErr w:type="spellEnd"/>
      <w:r w:rsidRPr="00225D4D">
        <w:t xml:space="preserve"> om </w:t>
      </w:r>
      <w:proofErr w:type="spellStart"/>
      <w:r w:rsidRPr="00225D4D">
        <w:t>offentleg</w:t>
      </w:r>
      <w:proofErr w:type="spellEnd"/>
      <w:r w:rsidRPr="00225D4D">
        <w:t xml:space="preserve"> </w:t>
      </w:r>
      <w:proofErr w:type="spellStart"/>
      <w:r w:rsidRPr="00225D4D">
        <w:t>tenestepensjon</w:t>
      </w:r>
      <w:proofErr w:type="spellEnd"/>
      <w:r w:rsidRPr="00225D4D">
        <w:t xml:space="preserve">. </w:t>
      </w:r>
      <w:proofErr w:type="spellStart"/>
      <w:r w:rsidRPr="00225D4D">
        <w:t>Desse</w:t>
      </w:r>
      <w:proofErr w:type="spellEnd"/>
      <w:r w:rsidRPr="00225D4D">
        <w:t xml:space="preserve"> </w:t>
      </w:r>
      <w:proofErr w:type="spellStart"/>
      <w:r w:rsidRPr="00225D4D">
        <w:t>barnehagane</w:t>
      </w:r>
      <w:proofErr w:type="spellEnd"/>
      <w:r w:rsidRPr="00225D4D">
        <w:t xml:space="preserve"> skal få dekt pensjonsutgiftene opp til ei øvre grense. Det er i tillegg foreslått å gi </w:t>
      </w:r>
      <w:proofErr w:type="spellStart"/>
      <w:r w:rsidRPr="00225D4D">
        <w:t>kommunane</w:t>
      </w:r>
      <w:proofErr w:type="spellEnd"/>
      <w:r w:rsidRPr="00225D4D">
        <w:t xml:space="preserve"> høve til å prioritere ideelle </w:t>
      </w:r>
      <w:proofErr w:type="spellStart"/>
      <w:r w:rsidRPr="00225D4D">
        <w:t>barnehagar</w:t>
      </w:r>
      <w:proofErr w:type="spellEnd"/>
      <w:r w:rsidRPr="00225D4D">
        <w:t xml:space="preserve"> ved etablering av nye private </w:t>
      </w:r>
      <w:proofErr w:type="spellStart"/>
      <w:r w:rsidRPr="00225D4D">
        <w:t>barnehagar</w:t>
      </w:r>
      <w:proofErr w:type="spellEnd"/>
      <w:r w:rsidRPr="00225D4D">
        <w:t xml:space="preserve">. Stortinget behandla forslaget 3. juni 2025, jf. </w:t>
      </w:r>
      <w:proofErr w:type="spellStart"/>
      <w:r w:rsidRPr="00225D4D">
        <w:t>Innst</w:t>
      </w:r>
      <w:proofErr w:type="spellEnd"/>
      <w:r w:rsidRPr="00225D4D">
        <w:t xml:space="preserve">. 510 L (2024–2025). For </w:t>
      </w:r>
      <w:proofErr w:type="spellStart"/>
      <w:r w:rsidRPr="00225D4D">
        <w:t>meir</w:t>
      </w:r>
      <w:proofErr w:type="spellEnd"/>
      <w:r w:rsidRPr="00225D4D">
        <w:t xml:space="preserve"> </w:t>
      </w:r>
      <w:proofErr w:type="spellStart"/>
      <w:r w:rsidRPr="00225D4D">
        <w:t>utførleg</w:t>
      </w:r>
      <w:proofErr w:type="spellEnd"/>
      <w:r w:rsidRPr="00225D4D">
        <w:t xml:space="preserve"> informasjon om arbeidet med regelverket for private </w:t>
      </w:r>
      <w:proofErr w:type="spellStart"/>
      <w:r w:rsidRPr="00225D4D">
        <w:t>barnehagar</w:t>
      </w:r>
      <w:proofErr w:type="spellEnd"/>
      <w:r w:rsidRPr="00225D4D">
        <w:t xml:space="preserve">, sjå del II, programkategori 07.30 </w:t>
      </w:r>
      <w:proofErr w:type="spellStart"/>
      <w:r w:rsidRPr="00225D4D">
        <w:t>Barnehagar</w:t>
      </w:r>
      <w:proofErr w:type="spellEnd"/>
      <w:r w:rsidRPr="00225D4D">
        <w:t>.</w:t>
      </w:r>
    </w:p>
    <w:p w14:paraId="78446378"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72A8F3C4" w14:textId="77777777" w:rsidR="00D60186" w:rsidRPr="00225D4D" w:rsidRDefault="00D60186" w:rsidP="00225D4D">
      <w:pPr>
        <w:pStyle w:val="Overskrift2"/>
      </w:pPr>
      <w:r w:rsidRPr="00225D4D">
        <w:t>Stortingssesjon 2017–2018</w:t>
      </w:r>
    </w:p>
    <w:p w14:paraId="569CAC19" w14:textId="77777777" w:rsidR="00D60186" w:rsidRPr="00225D4D" w:rsidRDefault="00D60186" w:rsidP="00225D4D">
      <w:pPr>
        <w:pStyle w:val="Undertittel"/>
      </w:pPr>
      <w:r w:rsidRPr="00225D4D">
        <w:t>Oppmodingsvedtak under kunnskapsministeren</w:t>
      </w:r>
    </w:p>
    <w:p w14:paraId="53832BB3"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Vilkår på linje med </w:t>
      </w:r>
      <w:proofErr w:type="spellStart"/>
      <w:r w:rsidRPr="00225D4D">
        <w:t>offentlege</w:t>
      </w:r>
      <w:proofErr w:type="spellEnd"/>
      <w:r w:rsidRPr="00225D4D">
        <w:t xml:space="preserve"> </w:t>
      </w:r>
      <w:proofErr w:type="spellStart"/>
      <w:r w:rsidRPr="00225D4D">
        <w:t>barnehagar</w:t>
      </w:r>
      <w:proofErr w:type="spellEnd"/>
    </w:p>
    <w:p w14:paraId="6A304C17" w14:textId="77777777" w:rsidR="00D60186" w:rsidRPr="00225D4D" w:rsidRDefault="00D60186" w:rsidP="00225D4D">
      <w:pPr>
        <w:pStyle w:val="avsnitt-undertittel"/>
      </w:pPr>
      <w:r w:rsidRPr="00225D4D">
        <w:t>Vedtak nr. 461, 13. februar 2018:</w:t>
      </w:r>
    </w:p>
    <w:p w14:paraId="59E3F4EE" w14:textId="77777777" w:rsidR="00D60186" w:rsidRPr="00225D4D" w:rsidRDefault="00D60186" w:rsidP="00225D4D">
      <w:pPr>
        <w:pStyle w:val="blokksit"/>
        <w:rPr>
          <w:rStyle w:val="kursiv"/>
        </w:rPr>
      </w:pPr>
      <w:r w:rsidRPr="00225D4D">
        <w:rPr>
          <w:rStyle w:val="kursiv"/>
        </w:rPr>
        <w:t>Stortinget ber regjeringen vurdere hvordan det kan sikres at private barnehager har lønns-, arbeids- og pensjonsvilkår minst på linje med ansatte i offentlige barnehager, og komme tilbake til Stortinget på egnet måte.</w:t>
      </w:r>
    </w:p>
    <w:p w14:paraId="193841DA"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Dokument 8:18 S (2017–2018) </w:t>
      </w:r>
      <w:r w:rsidRPr="00225D4D">
        <w:rPr>
          <w:rStyle w:val="kursiv"/>
        </w:rPr>
        <w:t xml:space="preserve">Representantforslag fra stortingsrepresentantene Audun Lysbakken, Mona Lill Fagerås og Solfrid </w:t>
      </w:r>
      <w:proofErr w:type="spellStart"/>
      <w:r w:rsidRPr="00225D4D">
        <w:rPr>
          <w:rStyle w:val="kursiv"/>
        </w:rPr>
        <w:t>Lerbrekk</w:t>
      </w:r>
      <w:proofErr w:type="spellEnd"/>
      <w:r w:rsidRPr="00225D4D">
        <w:rPr>
          <w:rStyle w:val="kursiv"/>
        </w:rPr>
        <w:t xml:space="preserve"> om profittfri barnehage, </w:t>
      </w:r>
      <w:r w:rsidRPr="00225D4D">
        <w:t xml:space="preserve">jf. </w:t>
      </w:r>
      <w:proofErr w:type="spellStart"/>
      <w:r w:rsidRPr="00225D4D">
        <w:t>Innst</w:t>
      </w:r>
      <w:proofErr w:type="spellEnd"/>
      <w:r w:rsidRPr="00225D4D">
        <w:t>. 114 S (2017–2018).</w:t>
      </w:r>
    </w:p>
    <w:p w14:paraId="1E43178C" w14:textId="77777777" w:rsidR="00D60186" w:rsidRPr="00225D4D" w:rsidRDefault="00D60186" w:rsidP="00225D4D">
      <w:r w:rsidRPr="00225D4D">
        <w:t xml:space="preserve">I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foreslo Kunnskapsdepartementet nye </w:t>
      </w:r>
      <w:proofErr w:type="spellStart"/>
      <w:r w:rsidRPr="00225D4D">
        <w:t>reglar</w:t>
      </w:r>
      <w:proofErr w:type="spellEnd"/>
      <w:r w:rsidRPr="00225D4D">
        <w:t xml:space="preserve"> om </w:t>
      </w:r>
      <w:proofErr w:type="spellStart"/>
      <w:r w:rsidRPr="00225D4D">
        <w:t>tilskot</w:t>
      </w:r>
      <w:proofErr w:type="spellEnd"/>
      <w:r w:rsidRPr="00225D4D">
        <w:t xml:space="preserve"> til pensjon. Forslaga </w:t>
      </w:r>
      <w:proofErr w:type="spellStart"/>
      <w:r w:rsidRPr="00225D4D">
        <w:t>opnar</w:t>
      </w:r>
      <w:proofErr w:type="spellEnd"/>
      <w:r w:rsidRPr="00225D4D">
        <w:t xml:space="preserve"> for større differensiering av </w:t>
      </w:r>
      <w:proofErr w:type="spellStart"/>
      <w:r w:rsidRPr="00225D4D">
        <w:t>tilskot</w:t>
      </w:r>
      <w:proofErr w:type="spellEnd"/>
      <w:r w:rsidRPr="00225D4D">
        <w:t xml:space="preserve"> ut </w:t>
      </w:r>
      <w:proofErr w:type="spellStart"/>
      <w:r w:rsidRPr="00225D4D">
        <w:t>frå</w:t>
      </w:r>
      <w:proofErr w:type="spellEnd"/>
      <w:r w:rsidRPr="00225D4D">
        <w:t xml:space="preserve"> vilkåra i </w:t>
      </w:r>
      <w:proofErr w:type="spellStart"/>
      <w:r w:rsidRPr="00225D4D">
        <w:t>pensjonsavtalane</w:t>
      </w:r>
      <w:proofErr w:type="spellEnd"/>
      <w:r w:rsidRPr="00225D4D">
        <w:t xml:space="preserve"> til </w:t>
      </w:r>
      <w:proofErr w:type="spellStart"/>
      <w:r w:rsidRPr="00225D4D">
        <w:t>barnehagane</w:t>
      </w:r>
      <w:proofErr w:type="spellEnd"/>
      <w:r w:rsidRPr="00225D4D">
        <w:t xml:space="preserve">. Det er også foreslått </w:t>
      </w:r>
      <w:proofErr w:type="spellStart"/>
      <w:r w:rsidRPr="00225D4D">
        <w:t>ein</w:t>
      </w:r>
      <w:proofErr w:type="spellEnd"/>
      <w:r w:rsidRPr="00225D4D">
        <w:t xml:space="preserve"> særregel for private </w:t>
      </w:r>
      <w:proofErr w:type="spellStart"/>
      <w:r w:rsidRPr="00225D4D">
        <w:t>barnehagar</w:t>
      </w:r>
      <w:proofErr w:type="spellEnd"/>
      <w:r w:rsidRPr="00225D4D">
        <w:t xml:space="preserve"> med historiske </w:t>
      </w:r>
      <w:proofErr w:type="spellStart"/>
      <w:r w:rsidRPr="00225D4D">
        <w:t>forpliktingar</w:t>
      </w:r>
      <w:proofErr w:type="spellEnd"/>
      <w:r w:rsidRPr="00225D4D">
        <w:t xml:space="preserve"> basert på </w:t>
      </w:r>
      <w:proofErr w:type="spellStart"/>
      <w:r w:rsidRPr="00225D4D">
        <w:t>avtalar</w:t>
      </w:r>
      <w:proofErr w:type="spellEnd"/>
      <w:r w:rsidRPr="00225D4D">
        <w:t xml:space="preserve"> om </w:t>
      </w:r>
      <w:proofErr w:type="spellStart"/>
      <w:r w:rsidRPr="00225D4D">
        <w:t>offentleg</w:t>
      </w:r>
      <w:proofErr w:type="spellEnd"/>
      <w:r w:rsidRPr="00225D4D">
        <w:t xml:space="preserve"> </w:t>
      </w:r>
      <w:proofErr w:type="spellStart"/>
      <w:r w:rsidRPr="00225D4D">
        <w:t>tenestepensjon</w:t>
      </w:r>
      <w:proofErr w:type="spellEnd"/>
      <w:r w:rsidRPr="00225D4D">
        <w:t xml:space="preserve">. </w:t>
      </w:r>
      <w:proofErr w:type="spellStart"/>
      <w:r w:rsidRPr="00225D4D">
        <w:t>Desse</w:t>
      </w:r>
      <w:proofErr w:type="spellEnd"/>
      <w:r w:rsidRPr="00225D4D">
        <w:t xml:space="preserve"> </w:t>
      </w:r>
      <w:proofErr w:type="spellStart"/>
      <w:r w:rsidRPr="00225D4D">
        <w:t>barnehagane</w:t>
      </w:r>
      <w:proofErr w:type="spellEnd"/>
      <w:r w:rsidRPr="00225D4D">
        <w:t xml:space="preserve"> skal få dekt pensjonsutgiftene opp til ei øvre grense. Stortinget behandla forslaget 3. juni 2025, jf. </w:t>
      </w:r>
      <w:proofErr w:type="spellStart"/>
      <w:r w:rsidRPr="00225D4D">
        <w:t>Innst</w:t>
      </w:r>
      <w:proofErr w:type="spellEnd"/>
      <w:r w:rsidRPr="00225D4D">
        <w:t xml:space="preserve">. 510 L (2024–2025). For </w:t>
      </w:r>
      <w:proofErr w:type="spellStart"/>
      <w:r w:rsidRPr="00225D4D">
        <w:t>meir</w:t>
      </w:r>
      <w:proofErr w:type="spellEnd"/>
      <w:r w:rsidRPr="00225D4D">
        <w:t xml:space="preserve"> </w:t>
      </w:r>
      <w:proofErr w:type="spellStart"/>
      <w:r w:rsidRPr="00225D4D">
        <w:t>utførleg</w:t>
      </w:r>
      <w:proofErr w:type="spellEnd"/>
      <w:r w:rsidRPr="00225D4D">
        <w:t xml:space="preserve"> informasjon om arbeidet med regelverket for private </w:t>
      </w:r>
      <w:proofErr w:type="spellStart"/>
      <w:r w:rsidRPr="00225D4D">
        <w:t>barnehagar</w:t>
      </w:r>
      <w:proofErr w:type="spellEnd"/>
      <w:r w:rsidRPr="00225D4D">
        <w:t xml:space="preserve">, sjå del II, programkategori 07.30 </w:t>
      </w:r>
      <w:proofErr w:type="spellStart"/>
      <w:r w:rsidRPr="00225D4D">
        <w:t>Barnehagar</w:t>
      </w:r>
      <w:proofErr w:type="spellEnd"/>
      <w:r w:rsidRPr="00225D4D">
        <w:t>.</w:t>
      </w:r>
    </w:p>
    <w:p w14:paraId="0EEB170D"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6BE0023F" w14:textId="77777777" w:rsidR="00D60186" w:rsidRPr="00225D4D" w:rsidRDefault="00D60186" w:rsidP="00225D4D">
      <w:pPr>
        <w:pStyle w:val="avsnitt-tittel"/>
      </w:pPr>
      <w:r w:rsidRPr="00225D4D">
        <w:t xml:space="preserve">Private </w:t>
      </w:r>
      <w:proofErr w:type="spellStart"/>
      <w:r w:rsidRPr="00225D4D">
        <w:t>barnehagar</w:t>
      </w:r>
      <w:proofErr w:type="spellEnd"/>
      <w:r w:rsidRPr="00225D4D">
        <w:t xml:space="preserve">: Finansieringssystem som </w:t>
      </w:r>
      <w:proofErr w:type="spellStart"/>
      <w:r w:rsidRPr="00225D4D">
        <w:t>ivaretek</w:t>
      </w:r>
      <w:proofErr w:type="spellEnd"/>
      <w:r w:rsidRPr="00225D4D">
        <w:t xml:space="preserve"> </w:t>
      </w:r>
      <w:proofErr w:type="spellStart"/>
      <w:r w:rsidRPr="00225D4D">
        <w:t>mangfaldet</w:t>
      </w:r>
      <w:proofErr w:type="spellEnd"/>
    </w:p>
    <w:p w14:paraId="0BC31164" w14:textId="77777777" w:rsidR="00D60186" w:rsidRPr="00225D4D" w:rsidRDefault="00D60186" w:rsidP="00225D4D">
      <w:pPr>
        <w:pStyle w:val="avsnitt-undertittel"/>
      </w:pPr>
      <w:r w:rsidRPr="00225D4D">
        <w:t>Vedtak nr. 802, 31. mai 2018:</w:t>
      </w:r>
    </w:p>
    <w:p w14:paraId="557EEF63" w14:textId="77777777" w:rsidR="00D60186" w:rsidRPr="00225D4D" w:rsidRDefault="00D60186" w:rsidP="00225D4D">
      <w:pPr>
        <w:pStyle w:val="blokksit"/>
        <w:rPr>
          <w:rStyle w:val="kursiv"/>
        </w:rPr>
      </w:pPr>
      <w:r w:rsidRPr="00225D4D">
        <w:rPr>
          <w:rStyle w:val="kursiv"/>
        </w:rPr>
        <w:t>Stortinget ber regjeringen i sitt videre arbeid med regulering av barnehagesektoren se på modeller i finansieringssystemet som så langt som mulig ivaretar et mangfold av barnehager og barnehageeiere, samt reduserer etterslepet i tilskuddsgrunnlaget overfor private barnehager.</w:t>
      </w:r>
    </w:p>
    <w:p w14:paraId="01B27C70"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w:t>
      </w:r>
      <w:proofErr w:type="spellStart"/>
      <w:r w:rsidRPr="00225D4D">
        <w:t>Prop</w:t>
      </w:r>
      <w:proofErr w:type="spellEnd"/>
      <w:r w:rsidRPr="00225D4D">
        <w:t xml:space="preserve">. 67 L (2017–2018) </w:t>
      </w:r>
      <w:r w:rsidRPr="00225D4D">
        <w:rPr>
          <w:rStyle w:val="kursiv"/>
        </w:rPr>
        <w:t>Endringer i barnehageloven mv. (minimumsnorm for grunnbemanning, plikt til å samarbeide om barnas overgang fra barnehage til skole og SFO mv.)</w:t>
      </w:r>
      <w:r w:rsidRPr="00225D4D">
        <w:t xml:space="preserve">, jf. </w:t>
      </w:r>
      <w:proofErr w:type="spellStart"/>
      <w:r w:rsidRPr="00225D4D">
        <w:t>Innst</w:t>
      </w:r>
      <w:proofErr w:type="spellEnd"/>
      <w:r w:rsidRPr="00225D4D">
        <w:t>. 319 L (2017–2018).</w:t>
      </w:r>
    </w:p>
    <w:p w14:paraId="375C9580" w14:textId="77777777" w:rsidR="00D60186" w:rsidRPr="00225D4D" w:rsidRDefault="00D60186" w:rsidP="00225D4D">
      <w:r w:rsidRPr="00225D4D">
        <w:t xml:space="preserve">I </w:t>
      </w:r>
      <w:proofErr w:type="spellStart"/>
      <w:r w:rsidRPr="00225D4D">
        <w:t>Prop</w:t>
      </w:r>
      <w:proofErr w:type="spellEnd"/>
      <w:r w:rsidRPr="00225D4D">
        <w:t xml:space="preserve">. 138 L (2024–2025) </w:t>
      </w:r>
      <w:r w:rsidRPr="00225D4D">
        <w:rPr>
          <w:rStyle w:val="kursiv"/>
        </w:rPr>
        <w:t>Endringer i barnehageloven (styring og finansiering av barnehagesektoren)</w:t>
      </w:r>
      <w:r w:rsidRPr="00225D4D">
        <w:t xml:space="preserve"> foreslo Kunnskapsdepartementet nye </w:t>
      </w:r>
      <w:proofErr w:type="spellStart"/>
      <w:r w:rsidRPr="00225D4D">
        <w:t>reglar</w:t>
      </w:r>
      <w:proofErr w:type="spellEnd"/>
      <w:r w:rsidRPr="00225D4D">
        <w:t xml:space="preserve"> om </w:t>
      </w:r>
      <w:proofErr w:type="spellStart"/>
      <w:r w:rsidRPr="00225D4D">
        <w:t>tilskot</w:t>
      </w:r>
      <w:proofErr w:type="spellEnd"/>
      <w:r w:rsidRPr="00225D4D">
        <w:t xml:space="preserve"> til private </w:t>
      </w:r>
      <w:proofErr w:type="spellStart"/>
      <w:r w:rsidRPr="00225D4D">
        <w:t>barnehagar</w:t>
      </w:r>
      <w:proofErr w:type="spellEnd"/>
      <w:r w:rsidRPr="00225D4D">
        <w:t xml:space="preserve">. Forslaget til nye </w:t>
      </w:r>
      <w:proofErr w:type="spellStart"/>
      <w:r w:rsidRPr="00225D4D">
        <w:t>reglar</w:t>
      </w:r>
      <w:proofErr w:type="spellEnd"/>
      <w:r w:rsidRPr="00225D4D">
        <w:t xml:space="preserve"> om </w:t>
      </w:r>
      <w:proofErr w:type="spellStart"/>
      <w:r w:rsidRPr="00225D4D">
        <w:t>driftstilskot</w:t>
      </w:r>
      <w:proofErr w:type="spellEnd"/>
      <w:r w:rsidRPr="00225D4D">
        <w:t xml:space="preserve"> </w:t>
      </w:r>
      <w:proofErr w:type="spellStart"/>
      <w:r w:rsidRPr="00225D4D">
        <w:t>tek</w:t>
      </w:r>
      <w:proofErr w:type="spellEnd"/>
      <w:r w:rsidRPr="00225D4D">
        <w:t xml:space="preserve"> omsyn til at enkelte </w:t>
      </w:r>
      <w:proofErr w:type="spellStart"/>
      <w:r w:rsidRPr="00225D4D">
        <w:t>barnehagar</w:t>
      </w:r>
      <w:proofErr w:type="spellEnd"/>
      <w:r w:rsidRPr="00225D4D">
        <w:t xml:space="preserve"> kan ha </w:t>
      </w:r>
      <w:proofErr w:type="spellStart"/>
      <w:r w:rsidRPr="00225D4D">
        <w:t>nokre</w:t>
      </w:r>
      <w:proofErr w:type="spellEnd"/>
      <w:r w:rsidRPr="00225D4D">
        <w:t xml:space="preserve"> </w:t>
      </w:r>
      <w:proofErr w:type="spellStart"/>
      <w:r w:rsidRPr="00225D4D">
        <w:t>særlege</w:t>
      </w:r>
      <w:proofErr w:type="spellEnd"/>
      <w:r w:rsidRPr="00225D4D">
        <w:t xml:space="preserve"> </w:t>
      </w:r>
      <w:proofErr w:type="spellStart"/>
      <w:r w:rsidRPr="00225D4D">
        <w:t>driftsføresetnader</w:t>
      </w:r>
      <w:proofErr w:type="spellEnd"/>
      <w:r w:rsidRPr="00225D4D">
        <w:t xml:space="preserve">. Det kan til dømes </w:t>
      </w:r>
      <w:proofErr w:type="spellStart"/>
      <w:r w:rsidRPr="00225D4D">
        <w:t>vere</w:t>
      </w:r>
      <w:proofErr w:type="spellEnd"/>
      <w:r w:rsidRPr="00225D4D">
        <w:t xml:space="preserve"> små </w:t>
      </w:r>
      <w:proofErr w:type="spellStart"/>
      <w:r w:rsidRPr="00225D4D">
        <w:t>barnehagar</w:t>
      </w:r>
      <w:proofErr w:type="spellEnd"/>
      <w:r w:rsidRPr="00225D4D">
        <w:t xml:space="preserve"> som må ha </w:t>
      </w:r>
      <w:proofErr w:type="spellStart"/>
      <w:r w:rsidRPr="00225D4D">
        <w:t>høgare</w:t>
      </w:r>
      <w:proofErr w:type="spellEnd"/>
      <w:r w:rsidRPr="00225D4D">
        <w:t xml:space="preserve"> bemanning enn det som følger av lova. Då kan </w:t>
      </w:r>
      <w:proofErr w:type="spellStart"/>
      <w:r w:rsidRPr="00225D4D">
        <w:t>tilskota</w:t>
      </w:r>
      <w:proofErr w:type="spellEnd"/>
      <w:r w:rsidRPr="00225D4D">
        <w:t xml:space="preserve"> </w:t>
      </w:r>
      <w:proofErr w:type="spellStart"/>
      <w:r w:rsidRPr="00225D4D">
        <w:t>differensierast</w:t>
      </w:r>
      <w:proofErr w:type="spellEnd"/>
      <w:r w:rsidRPr="00225D4D">
        <w:t xml:space="preserve"> på bakgrunn av dette. Det er også foreslått ei plikt for kommunen til å gi ekstra </w:t>
      </w:r>
      <w:proofErr w:type="spellStart"/>
      <w:r w:rsidRPr="00225D4D">
        <w:t>grunntilskot</w:t>
      </w:r>
      <w:proofErr w:type="spellEnd"/>
      <w:r w:rsidRPr="00225D4D">
        <w:t xml:space="preserve"> til private </w:t>
      </w:r>
      <w:proofErr w:type="spellStart"/>
      <w:r w:rsidRPr="00225D4D">
        <w:t>barnehagar</w:t>
      </w:r>
      <w:proofErr w:type="spellEnd"/>
      <w:r w:rsidRPr="00225D4D">
        <w:t xml:space="preserve"> for å finansiere nye krav </w:t>
      </w:r>
      <w:proofErr w:type="spellStart"/>
      <w:r w:rsidRPr="00225D4D">
        <w:t>frå</w:t>
      </w:r>
      <w:proofErr w:type="spellEnd"/>
      <w:r w:rsidRPr="00225D4D">
        <w:t xml:space="preserve"> det tidspunktet krava får verknad for private </w:t>
      </w:r>
      <w:proofErr w:type="spellStart"/>
      <w:r w:rsidRPr="00225D4D">
        <w:t>barnehagar</w:t>
      </w:r>
      <w:proofErr w:type="spellEnd"/>
      <w:r w:rsidRPr="00225D4D">
        <w:t xml:space="preserve">. Forslaga til nye </w:t>
      </w:r>
      <w:proofErr w:type="spellStart"/>
      <w:r w:rsidRPr="00225D4D">
        <w:t>reglar</w:t>
      </w:r>
      <w:proofErr w:type="spellEnd"/>
      <w:r w:rsidRPr="00225D4D">
        <w:t xml:space="preserve"> om </w:t>
      </w:r>
      <w:proofErr w:type="spellStart"/>
      <w:r w:rsidRPr="00225D4D">
        <w:t>pensjonstilskot</w:t>
      </w:r>
      <w:proofErr w:type="spellEnd"/>
      <w:r w:rsidRPr="00225D4D">
        <w:t xml:space="preserve"> </w:t>
      </w:r>
      <w:proofErr w:type="spellStart"/>
      <w:r w:rsidRPr="00225D4D">
        <w:t>opnar</w:t>
      </w:r>
      <w:proofErr w:type="spellEnd"/>
      <w:r w:rsidRPr="00225D4D">
        <w:t xml:space="preserve"> for større differensiering av </w:t>
      </w:r>
      <w:proofErr w:type="spellStart"/>
      <w:r w:rsidRPr="00225D4D">
        <w:t>tilskot</w:t>
      </w:r>
      <w:proofErr w:type="spellEnd"/>
      <w:r w:rsidRPr="00225D4D">
        <w:t xml:space="preserve"> ut </w:t>
      </w:r>
      <w:proofErr w:type="spellStart"/>
      <w:r w:rsidRPr="00225D4D">
        <w:t>frå</w:t>
      </w:r>
      <w:proofErr w:type="spellEnd"/>
      <w:r w:rsidRPr="00225D4D">
        <w:t xml:space="preserve"> vilkåra i </w:t>
      </w:r>
      <w:proofErr w:type="spellStart"/>
      <w:r w:rsidRPr="00225D4D">
        <w:t>pensjonsavtalane</w:t>
      </w:r>
      <w:proofErr w:type="spellEnd"/>
      <w:r w:rsidRPr="00225D4D">
        <w:t xml:space="preserve"> til </w:t>
      </w:r>
      <w:proofErr w:type="spellStart"/>
      <w:r w:rsidRPr="00225D4D">
        <w:t>barnehagane</w:t>
      </w:r>
      <w:proofErr w:type="spellEnd"/>
      <w:r w:rsidRPr="00225D4D">
        <w:t xml:space="preserve">. Det er i tillegg foreslått </w:t>
      </w:r>
      <w:proofErr w:type="spellStart"/>
      <w:r w:rsidRPr="00225D4D">
        <w:t>ein</w:t>
      </w:r>
      <w:proofErr w:type="spellEnd"/>
      <w:r w:rsidRPr="00225D4D">
        <w:t xml:space="preserve"> særregel for private </w:t>
      </w:r>
      <w:proofErr w:type="spellStart"/>
      <w:r w:rsidRPr="00225D4D">
        <w:t>barnehagar</w:t>
      </w:r>
      <w:proofErr w:type="spellEnd"/>
      <w:r w:rsidRPr="00225D4D">
        <w:t xml:space="preserve"> med historiske </w:t>
      </w:r>
      <w:proofErr w:type="spellStart"/>
      <w:r w:rsidRPr="00225D4D">
        <w:t>forpliktingar</w:t>
      </w:r>
      <w:proofErr w:type="spellEnd"/>
      <w:r w:rsidRPr="00225D4D">
        <w:t xml:space="preserve"> basert på </w:t>
      </w:r>
      <w:proofErr w:type="spellStart"/>
      <w:r w:rsidRPr="00225D4D">
        <w:t>avtalar</w:t>
      </w:r>
      <w:proofErr w:type="spellEnd"/>
      <w:r w:rsidRPr="00225D4D">
        <w:t xml:space="preserve"> om </w:t>
      </w:r>
      <w:proofErr w:type="spellStart"/>
      <w:r w:rsidRPr="00225D4D">
        <w:t>offentleg</w:t>
      </w:r>
      <w:proofErr w:type="spellEnd"/>
      <w:r w:rsidRPr="00225D4D">
        <w:t xml:space="preserve"> </w:t>
      </w:r>
      <w:proofErr w:type="spellStart"/>
      <w:r w:rsidRPr="00225D4D">
        <w:t>tenestepensjon</w:t>
      </w:r>
      <w:proofErr w:type="spellEnd"/>
      <w:r w:rsidRPr="00225D4D">
        <w:t xml:space="preserve">. </w:t>
      </w:r>
      <w:proofErr w:type="spellStart"/>
      <w:r w:rsidRPr="00225D4D">
        <w:t>Desse</w:t>
      </w:r>
      <w:proofErr w:type="spellEnd"/>
      <w:r w:rsidRPr="00225D4D">
        <w:t xml:space="preserve"> </w:t>
      </w:r>
      <w:proofErr w:type="spellStart"/>
      <w:r w:rsidRPr="00225D4D">
        <w:t>barnehagane</w:t>
      </w:r>
      <w:proofErr w:type="spellEnd"/>
      <w:r w:rsidRPr="00225D4D">
        <w:t xml:space="preserve"> skal få dekt pensjonsutgiftene opp til ei øvre grense. Stortinget behandla forslaget 3. juni 2025, jf. </w:t>
      </w:r>
      <w:proofErr w:type="spellStart"/>
      <w:r w:rsidRPr="00225D4D">
        <w:t>Innst</w:t>
      </w:r>
      <w:proofErr w:type="spellEnd"/>
      <w:r w:rsidRPr="00225D4D">
        <w:t xml:space="preserve">. 510 L (2024–2025). For </w:t>
      </w:r>
      <w:proofErr w:type="spellStart"/>
      <w:r w:rsidRPr="00225D4D">
        <w:t>meir</w:t>
      </w:r>
      <w:proofErr w:type="spellEnd"/>
      <w:r w:rsidRPr="00225D4D">
        <w:t xml:space="preserve"> </w:t>
      </w:r>
      <w:proofErr w:type="spellStart"/>
      <w:r w:rsidRPr="00225D4D">
        <w:t>utførleg</w:t>
      </w:r>
      <w:proofErr w:type="spellEnd"/>
      <w:r w:rsidRPr="00225D4D">
        <w:t xml:space="preserve"> informasjon om arbeidet med regelverket for private </w:t>
      </w:r>
      <w:proofErr w:type="spellStart"/>
      <w:r w:rsidRPr="00225D4D">
        <w:t>barnehagar</w:t>
      </w:r>
      <w:proofErr w:type="spellEnd"/>
      <w:r w:rsidRPr="00225D4D">
        <w:t xml:space="preserve">, sjå del II, programkategori 07.30 </w:t>
      </w:r>
      <w:proofErr w:type="spellStart"/>
      <w:r w:rsidRPr="00225D4D">
        <w:t>Barnehagar</w:t>
      </w:r>
      <w:proofErr w:type="spellEnd"/>
      <w:r w:rsidRPr="00225D4D">
        <w:t>.</w:t>
      </w:r>
    </w:p>
    <w:p w14:paraId="75E02DE9"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vedtaket er </w:t>
      </w:r>
      <w:proofErr w:type="spellStart"/>
      <w:r w:rsidRPr="00225D4D">
        <w:t>følgt</w:t>
      </w:r>
      <w:proofErr w:type="spellEnd"/>
      <w:r w:rsidRPr="00225D4D">
        <w:t xml:space="preserve"> opp.</w:t>
      </w:r>
    </w:p>
    <w:p w14:paraId="344E2F64" w14:textId="77777777" w:rsidR="00D60186" w:rsidRPr="00225D4D" w:rsidRDefault="00D60186" w:rsidP="00225D4D">
      <w:pPr>
        <w:pStyle w:val="Overskrift2"/>
      </w:pPr>
      <w:r w:rsidRPr="00225D4D">
        <w:t>Stortingssesjon 2016–2017</w:t>
      </w:r>
    </w:p>
    <w:p w14:paraId="367CF0F6" w14:textId="77777777" w:rsidR="00D60186" w:rsidRPr="00225D4D" w:rsidRDefault="00D60186" w:rsidP="00225D4D">
      <w:pPr>
        <w:pStyle w:val="Undertittel"/>
      </w:pPr>
      <w:r w:rsidRPr="00225D4D">
        <w:t xml:space="preserve">Oppmodingsvedtak under forskings- og </w:t>
      </w:r>
      <w:proofErr w:type="spellStart"/>
      <w:r w:rsidRPr="00225D4D">
        <w:t>høgare</w:t>
      </w:r>
      <w:proofErr w:type="spellEnd"/>
      <w:r w:rsidRPr="00225D4D">
        <w:t xml:space="preserve"> utdanningsministeren</w:t>
      </w:r>
    </w:p>
    <w:p w14:paraId="7234DAD7" w14:textId="77777777" w:rsidR="00D60186" w:rsidRPr="00225D4D" w:rsidRDefault="00D60186" w:rsidP="00225D4D">
      <w:pPr>
        <w:pStyle w:val="avsnitt-tittel"/>
      </w:pPr>
      <w:r w:rsidRPr="00225D4D">
        <w:t xml:space="preserve">Medlemskap i studentsamskipnad for </w:t>
      </w:r>
      <w:proofErr w:type="spellStart"/>
      <w:r w:rsidRPr="00225D4D">
        <w:t>fagskular</w:t>
      </w:r>
      <w:proofErr w:type="spellEnd"/>
    </w:p>
    <w:p w14:paraId="70BC6343" w14:textId="77777777" w:rsidR="00D60186" w:rsidRPr="00225D4D" w:rsidRDefault="00D60186" w:rsidP="00225D4D">
      <w:pPr>
        <w:pStyle w:val="avsnitt-undertittel"/>
      </w:pPr>
      <w:r w:rsidRPr="00225D4D">
        <w:t>Vedtak nr. 642, 2. mai 2017:</w:t>
      </w:r>
    </w:p>
    <w:p w14:paraId="0638F69B" w14:textId="77777777" w:rsidR="00D60186" w:rsidRPr="00225D4D" w:rsidRDefault="00D60186" w:rsidP="00225D4D">
      <w:pPr>
        <w:pStyle w:val="blokksit"/>
        <w:rPr>
          <w:rStyle w:val="kursiv"/>
        </w:rPr>
      </w:pPr>
      <w:r w:rsidRPr="00225D4D">
        <w:rPr>
          <w:rStyle w:val="kursiv"/>
        </w:rPr>
        <w:t>Stortinget ber regjeringen i forbindelse med evalueringen av de kvalitetshevende tiltakene vurdere om fagskoler etter bestemte kriterier bør ha plikt til medlemskap i studentsamskipnad.</w:t>
      </w:r>
    </w:p>
    <w:p w14:paraId="52595620"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9 (2016–2017) </w:t>
      </w:r>
      <w:r w:rsidRPr="00225D4D">
        <w:rPr>
          <w:rStyle w:val="kursiv"/>
        </w:rPr>
        <w:t>Fagfolk for fremtiden – Fagskoleutdanning</w:t>
      </w:r>
      <w:r w:rsidRPr="00225D4D">
        <w:t xml:space="preserve">, jf. </w:t>
      </w:r>
      <w:proofErr w:type="spellStart"/>
      <w:r w:rsidRPr="00225D4D">
        <w:t>Innst</w:t>
      </w:r>
      <w:proofErr w:type="spellEnd"/>
      <w:r w:rsidRPr="00225D4D">
        <w:t>. 254 S (2016–2017).</w:t>
      </w:r>
    </w:p>
    <w:p w14:paraId="4849DDD8" w14:textId="77777777" w:rsidR="00D60186" w:rsidRPr="00225D4D" w:rsidRDefault="00D60186" w:rsidP="00225D4D">
      <w:r w:rsidRPr="00225D4D">
        <w:t xml:space="preserve">I samband med evalueringa av fagskulemeldinga gjennomførte </w:t>
      </w:r>
      <w:proofErr w:type="spellStart"/>
      <w:r w:rsidRPr="00225D4D">
        <w:t>Deloitte</w:t>
      </w:r>
      <w:proofErr w:type="spellEnd"/>
      <w:r w:rsidRPr="00225D4D">
        <w:t xml:space="preserve"> ei </w:t>
      </w:r>
      <w:proofErr w:type="spellStart"/>
      <w:r w:rsidRPr="00225D4D">
        <w:t>spørjeundersøking</w:t>
      </w:r>
      <w:proofErr w:type="spellEnd"/>
      <w:r w:rsidRPr="00225D4D">
        <w:t xml:space="preserve"> der </w:t>
      </w:r>
      <w:proofErr w:type="spellStart"/>
      <w:r w:rsidRPr="00225D4D">
        <w:t>respondentane</w:t>
      </w:r>
      <w:proofErr w:type="spellEnd"/>
      <w:r w:rsidRPr="00225D4D">
        <w:t xml:space="preserve"> </w:t>
      </w:r>
      <w:proofErr w:type="spellStart"/>
      <w:r w:rsidRPr="00225D4D">
        <w:t>fekk</w:t>
      </w:r>
      <w:proofErr w:type="spellEnd"/>
      <w:r w:rsidRPr="00225D4D">
        <w:t xml:space="preserve"> spørsmål om </w:t>
      </w:r>
      <w:proofErr w:type="spellStart"/>
      <w:r w:rsidRPr="00225D4D">
        <w:t>tilknyting</w:t>
      </w:r>
      <w:proofErr w:type="spellEnd"/>
      <w:r w:rsidRPr="00225D4D">
        <w:t xml:space="preserve"> til studentsamskipnad. </w:t>
      </w:r>
      <w:proofErr w:type="spellStart"/>
      <w:r w:rsidRPr="00225D4D">
        <w:t>Hausten</w:t>
      </w:r>
      <w:proofErr w:type="spellEnd"/>
      <w:r w:rsidRPr="00225D4D">
        <w:t xml:space="preserve"> 2022 svarte 37 pst. av </w:t>
      </w:r>
      <w:proofErr w:type="spellStart"/>
      <w:r w:rsidRPr="00225D4D">
        <w:t>rektorane</w:t>
      </w:r>
      <w:proofErr w:type="spellEnd"/>
      <w:r w:rsidRPr="00225D4D">
        <w:t xml:space="preserve"> at </w:t>
      </w:r>
      <w:proofErr w:type="spellStart"/>
      <w:r w:rsidRPr="00225D4D">
        <w:t>fagskulen</w:t>
      </w:r>
      <w:proofErr w:type="spellEnd"/>
      <w:r w:rsidRPr="00225D4D">
        <w:t xml:space="preserve"> er knytt til </w:t>
      </w:r>
      <w:proofErr w:type="spellStart"/>
      <w:r w:rsidRPr="00225D4D">
        <w:t>ein</w:t>
      </w:r>
      <w:proofErr w:type="spellEnd"/>
      <w:r w:rsidRPr="00225D4D">
        <w:t xml:space="preserve"> studentsamskipnad. Blant </w:t>
      </w:r>
      <w:proofErr w:type="spellStart"/>
      <w:r w:rsidRPr="00225D4D">
        <w:t>fagskulane</w:t>
      </w:r>
      <w:proofErr w:type="spellEnd"/>
      <w:r w:rsidRPr="00225D4D">
        <w:t xml:space="preserve"> med </w:t>
      </w:r>
      <w:proofErr w:type="spellStart"/>
      <w:r w:rsidRPr="00225D4D">
        <w:t>offentleg</w:t>
      </w:r>
      <w:proofErr w:type="spellEnd"/>
      <w:r w:rsidRPr="00225D4D">
        <w:t xml:space="preserve"> </w:t>
      </w:r>
      <w:proofErr w:type="spellStart"/>
      <w:r w:rsidRPr="00225D4D">
        <w:t>eigarskap</w:t>
      </w:r>
      <w:proofErr w:type="spellEnd"/>
      <w:r w:rsidRPr="00225D4D">
        <w:t xml:space="preserve"> var det 57 pst. som svarte at </w:t>
      </w:r>
      <w:proofErr w:type="spellStart"/>
      <w:r w:rsidRPr="00225D4D">
        <w:t>fagskulen</w:t>
      </w:r>
      <w:proofErr w:type="spellEnd"/>
      <w:r w:rsidRPr="00225D4D">
        <w:t xml:space="preserve"> var knytt til </w:t>
      </w:r>
      <w:proofErr w:type="spellStart"/>
      <w:r w:rsidRPr="00225D4D">
        <w:t>ein</w:t>
      </w:r>
      <w:proofErr w:type="spellEnd"/>
      <w:r w:rsidRPr="00225D4D">
        <w:t xml:space="preserve"> studentsamskipnad. Inntrykket </w:t>
      </w:r>
      <w:proofErr w:type="spellStart"/>
      <w:r w:rsidRPr="00225D4D">
        <w:t>frå</w:t>
      </w:r>
      <w:proofErr w:type="spellEnd"/>
      <w:r w:rsidRPr="00225D4D">
        <w:t xml:space="preserve"> evalueringa til </w:t>
      </w:r>
      <w:proofErr w:type="spellStart"/>
      <w:r w:rsidRPr="00225D4D">
        <w:t>Deloitte</w:t>
      </w:r>
      <w:proofErr w:type="spellEnd"/>
      <w:r w:rsidRPr="00225D4D">
        <w:t xml:space="preserve"> og </w:t>
      </w:r>
      <w:proofErr w:type="spellStart"/>
      <w:r w:rsidRPr="00225D4D">
        <w:t>innspela</w:t>
      </w:r>
      <w:proofErr w:type="spellEnd"/>
      <w:r w:rsidRPr="00225D4D">
        <w:t xml:space="preserve"> til Meld. St. 11 (2024–2025) </w:t>
      </w:r>
      <w:r w:rsidRPr="00225D4D">
        <w:rPr>
          <w:rStyle w:val="kursiv"/>
        </w:rPr>
        <w:t xml:space="preserve">Fagfolk for en ny tid – med høyere yrkesfaglig utdanning </w:t>
      </w:r>
      <w:r w:rsidRPr="00225D4D">
        <w:t xml:space="preserve">er at det er brei semje i sektoren om at det er </w:t>
      </w:r>
      <w:proofErr w:type="spellStart"/>
      <w:r w:rsidRPr="00225D4D">
        <w:t>ønskeleg</w:t>
      </w:r>
      <w:proofErr w:type="spellEnd"/>
      <w:r w:rsidRPr="00225D4D">
        <w:t xml:space="preserve"> med </w:t>
      </w:r>
      <w:proofErr w:type="spellStart"/>
      <w:r w:rsidRPr="00225D4D">
        <w:t>ein</w:t>
      </w:r>
      <w:proofErr w:type="spellEnd"/>
      <w:r w:rsidRPr="00225D4D">
        <w:t xml:space="preserve"> rett til medlemskap i studentsamskipnad for </w:t>
      </w:r>
      <w:proofErr w:type="spellStart"/>
      <w:r w:rsidRPr="00225D4D">
        <w:t>fagskular</w:t>
      </w:r>
      <w:proofErr w:type="spellEnd"/>
      <w:r w:rsidRPr="00225D4D">
        <w:t xml:space="preserve">, men at det </w:t>
      </w:r>
      <w:proofErr w:type="spellStart"/>
      <w:r w:rsidRPr="00225D4D">
        <w:t>ikkje</w:t>
      </w:r>
      <w:proofErr w:type="spellEnd"/>
      <w:r w:rsidRPr="00225D4D">
        <w:t xml:space="preserve"> er </w:t>
      </w:r>
      <w:proofErr w:type="spellStart"/>
      <w:r w:rsidRPr="00225D4D">
        <w:t>formålstenleg</w:t>
      </w:r>
      <w:proofErr w:type="spellEnd"/>
      <w:r w:rsidRPr="00225D4D">
        <w:t xml:space="preserve"> med ei plikt. Som </w:t>
      </w:r>
      <w:proofErr w:type="spellStart"/>
      <w:r w:rsidRPr="00225D4D">
        <w:t>omtala</w:t>
      </w:r>
      <w:proofErr w:type="spellEnd"/>
      <w:r w:rsidRPr="00225D4D">
        <w:t xml:space="preserve"> i Meld. St. 11 (2024–2025</w:t>
      </w:r>
      <w:proofErr w:type="gramStart"/>
      <w:r w:rsidRPr="00225D4D">
        <w:t>) )</w:t>
      </w:r>
      <w:proofErr w:type="gramEnd"/>
      <w:r w:rsidRPr="00225D4D">
        <w:t xml:space="preserve"> </w:t>
      </w:r>
      <w:r w:rsidRPr="00225D4D">
        <w:rPr>
          <w:rStyle w:val="kursiv"/>
        </w:rPr>
        <w:t xml:space="preserve">Fagfolk for en ny tid – med høyere yrkesfaglig utdanning, </w:t>
      </w:r>
      <w:r w:rsidRPr="00225D4D">
        <w:t xml:space="preserve">meiner regjeringa derfor at det </w:t>
      </w:r>
      <w:proofErr w:type="spellStart"/>
      <w:r w:rsidRPr="00225D4D">
        <w:t>ikkje</w:t>
      </w:r>
      <w:proofErr w:type="spellEnd"/>
      <w:r w:rsidRPr="00225D4D">
        <w:t xml:space="preserve"> er nødvendig å utgreie dette </w:t>
      </w:r>
      <w:proofErr w:type="spellStart"/>
      <w:r w:rsidRPr="00225D4D">
        <w:t>nærare</w:t>
      </w:r>
      <w:proofErr w:type="spellEnd"/>
      <w:r w:rsidRPr="00225D4D">
        <w:t>.</w:t>
      </w:r>
    </w:p>
    <w:p w14:paraId="54D0879A"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oppmodingsvedtaket med dette er </w:t>
      </w:r>
      <w:proofErr w:type="spellStart"/>
      <w:r w:rsidRPr="00225D4D">
        <w:t>følgt</w:t>
      </w:r>
      <w:proofErr w:type="spellEnd"/>
      <w:r w:rsidRPr="00225D4D">
        <w:t xml:space="preserve"> opp.</w:t>
      </w:r>
    </w:p>
    <w:p w14:paraId="5EEEFA82" w14:textId="77777777" w:rsidR="00D60186" w:rsidRPr="00225D4D" w:rsidRDefault="00D60186" w:rsidP="00225D4D">
      <w:pPr>
        <w:pStyle w:val="Overskrift2"/>
      </w:pPr>
      <w:r w:rsidRPr="00225D4D">
        <w:t>Stortingssesjon 2015–2016</w:t>
      </w:r>
    </w:p>
    <w:p w14:paraId="110D25B8" w14:textId="77777777" w:rsidR="00D60186" w:rsidRPr="00225D4D" w:rsidRDefault="00D60186" w:rsidP="00225D4D">
      <w:pPr>
        <w:pStyle w:val="Undertittel"/>
      </w:pPr>
      <w:r w:rsidRPr="00225D4D">
        <w:t>Oppmodingsvedtak under kunnskapsministeren</w:t>
      </w:r>
    </w:p>
    <w:p w14:paraId="406CCB2D" w14:textId="77777777" w:rsidR="00D60186" w:rsidRPr="00225D4D" w:rsidRDefault="00D60186" w:rsidP="00225D4D">
      <w:pPr>
        <w:pStyle w:val="avsnitt-tittel"/>
      </w:pPr>
      <w:r w:rsidRPr="00225D4D">
        <w:t>Krav om norsk og samisk språk i barnehagesektoren</w:t>
      </w:r>
    </w:p>
    <w:p w14:paraId="28BB5431" w14:textId="77777777" w:rsidR="00D60186" w:rsidRPr="00225D4D" w:rsidRDefault="00D60186" w:rsidP="00225D4D">
      <w:pPr>
        <w:pStyle w:val="avsnitt-undertittel"/>
      </w:pPr>
      <w:r w:rsidRPr="00225D4D">
        <w:t>Vedtak nr. 796, 7. juni 2016:</w:t>
      </w:r>
    </w:p>
    <w:p w14:paraId="3599A349" w14:textId="77777777" w:rsidR="00D60186" w:rsidRPr="00225D4D" w:rsidRDefault="00D60186" w:rsidP="00225D4D">
      <w:pPr>
        <w:pStyle w:val="blokksit"/>
        <w:rPr>
          <w:rStyle w:val="kursiv"/>
        </w:rPr>
      </w:pPr>
      <w:r w:rsidRPr="00225D4D">
        <w:rPr>
          <w:rStyle w:val="kursiv"/>
        </w:rPr>
        <w:t>Stortinget ber regjeringen utarbeide forslag til endringer i barnehageloven som sikrer at ansatte i offentlige og private barnehager behersker norsk språk, og at ansatte i samiske barnehager behersker samisk språk.</w:t>
      </w:r>
    </w:p>
    <w:p w14:paraId="6219E5EF" w14:textId="77777777" w:rsidR="00D60186" w:rsidRPr="00225D4D" w:rsidRDefault="00D60186" w:rsidP="00225D4D">
      <w:r w:rsidRPr="00225D4D">
        <w:t xml:space="preserve">Oppmodingsvedtaket blei gjort i samband med </w:t>
      </w:r>
      <w:proofErr w:type="spellStart"/>
      <w:r w:rsidRPr="00225D4D">
        <w:t>behandlinga</w:t>
      </w:r>
      <w:proofErr w:type="spellEnd"/>
      <w:r w:rsidRPr="00225D4D">
        <w:t xml:space="preserve"> av Meld. St. 19 (2015–2016) </w:t>
      </w:r>
      <w:r w:rsidRPr="00225D4D">
        <w:rPr>
          <w:rStyle w:val="kursiv"/>
        </w:rPr>
        <w:t>Tid for lek og læring. Bedre innhold i barnehagen</w:t>
      </w:r>
      <w:r w:rsidRPr="00225D4D">
        <w:t xml:space="preserve">, jf. </w:t>
      </w:r>
      <w:proofErr w:type="spellStart"/>
      <w:r w:rsidRPr="00225D4D">
        <w:t>Innst</w:t>
      </w:r>
      <w:proofErr w:type="spellEnd"/>
      <w:r w:rsidRPr="00225D4D">
        <w:t>. 348 S (2015–2016).</w:t>
      </w:r>
    </w:p>
    <w:p w14:paraId="1696E76E" w14:textId="77777777" w:rsidR="00D60186" w:rsidRPr="00225D4D" w:rsidRDefault="00D60186" w:rsidP="00225D4D">
      <w:r w:rsidRPr="00225D4D">
        <w:t xml:space="preserve">Departementet viser til omtale i </w:t>
      </w:r>
      <w:proofErr w:type="spellStart"/>
      <w:r w:rsidRPr="00225D4D">
        <w:t>Prop</w:t>
      </w:r>
      <w:proofErr w:type="spellEnd"/>
      <w:r w:rsidRPr="00225D4D">
        <w:t xml:space="preserve">. 1 S (2018–2019) om den delen av vedtaket som gjeld norsk språk, og at denne delen er </w:t>
      </w:r>
      <w:proofErr w:type="spellStart"/>
      <w:r w:rsidRPr="00225D4D">
        <w:t>følgt</w:t>
      </w:r>
      <w:proofErr w:type="spellEnd"/>
      <w:r w:rsidRPr="00225D4D">
        <w:t xml:space="preserve"> opp gjennom ei lovendring som tok til å gjelde 1. august 2018, jf. barnehagelova § 27.</w:t>
      </w:r>
    </w:p>
    <w:p w14:paraId="36392620" w14:textId="77777777" w:rsidR="00D60186" w:rsidRPr="00225D4D" w:rsidRDefault="00D60186" w:rsidP="00225D4D">
      <w:r w:rsidRPr="00225D4D">
        <w:t xml:space="preserve">Den delen av vedtaket som gjeld samisk språk, har </w:t>
      </w:r>
      <w:proofErr w:type="spellStart"/>
      <w:r w:rsidRPr="00225D4D">
        <w:t>samanheng</w:t>
      </w:r>
      <w:proofErr w:type="spellEnd"/>
      <w:r w:rsidRPr="00225D4D">
        <w:t xml:space="preserve"> med oppfølginga av NOU 2016: 18 </w:t>
      </w:r>
      <w:r w:rsidRPr="00225D4D">
        <w:rPr>
          <w:rStyle w:val="kursiv"/>
        </w:rPr>
        <w:t xml:space="preserve">Hjertespråket. Forslag til lovverk, tiltak og </w:t>
      </w:r>
      <w:proofErr w:type="spellStart"/>
      <w:r w:rsidRPr="00225D4D">
        <w:rPr>
          <w:rStyle w:val="kursiv"/>
        </w:rPr>
        <w:t>ordningar</w:t>
      </w:r>
      <w:proofErr w:type="spellEnd"/>
      <w:r w:rsidRPr="00225D4D">
        <w:rPr>
          <w:rStyle w:val="kursiv"/>
        </w:rPr>
        <w:t xml:space="preserve"> for samiske språk</w:t>
      </w:r>
      <w:r w:rsidRPr="00225D4D">
        <w:t>.</w:t>
      </w:r>
    </w:p>
    <w:p w14:paraId="4978782F" w14:textId="77777777" w:rsidR="00D60186" w:rsidRPr="00225D4D" w:rsidRDefault="00D60186" w:rsidP="00225D4D">
      <w:r w:rsidRPr="00225D4D">
        <w:t xml:space="preserve">Regjeringa la våren 2023 fram Meld. St. 13 (2022–2023) </w:t>
      </w:r>
      <w:r w:rsidRPr="00225D4D">
        <w:rPr>
          <w:rStyle w:val="kursiv"/>
        </w:rPr>
        <w:t>Samisk språk, kultur og samfunnsliv – Kompetanse og rekruttering i barnehage, grunnopplæring og høyere utdanning</w:t>
      </w:r>
      <w:r w:rsidRPr="00225D4D">
        <w:t xml:space="preserve">. Meldinga </w:t>
      </w:r>
      <w:proofErr w:type="spellStart"/>
      <w:r w:rsidRPr="00225D4D">
        <w:t>skildar</w:t>
      </w:r>
      <w:proofErr w:type="spellEnd"/>
      <w:r w:rsidRPr="00225D4D">
        <w:t xml:space="preserve"> situasjonen og </w:t>
      </w:r>
      <w:proofErr w:type="spellStart"/>
      <w:r w:rsidRPr="00225D4D">
        <w:t>peiker</w:t>
      </w:r>
      <w:proofErr w:type="spellEnd"/>
      <w:r w:rsidRPr="00225D4D">
        <w:t xml:space="preserve"> på </w:t>
      </w:r>
      <w:proofErr w:type="spellStart"/>
      <w:r w:rsidRPr="00225D4D">
        <w:t>hovudutfordringane</w:t>
      </w:r>
      <w:proofErr w:type="spellEnd"/>
      <w:r w:rsidRPr="00225D4D">
        <w:t xml:space="preserve"> for å få </w:t>
      </w:r>
      <w:proofErr w:type="spellStart"/>
      <w:r w:rsidRPr="00225D4D">
        <w:t>fleire</w:t>
      </w:r>
      <w:proofErr w:type="spellEnd"/>
      <w:r w:rsidRPr="00225D4D">
        <w:t xml:space="preserve"> samiske </w:t>
      </w:r>
      <w:proofErr w:type="spellStart"/>
      <w:r w:rsidRPr="00225D4D">
        <w:t>språkbrukarar</w:t>
      </w:r>
      <w:proofErr w:type="spellEnd"/>
      <w:r w:rsidRPr="00225D4D">
        <w:t xml:space="preserve">. Dette er komplekse </w:t>
      </w:r>
      <w:proofErr w:type="spellStart"/>
      <w:r w:rsidRPr="00225D4D">
        <w:t>utfordringar</w:t>
      </w:r>
      <w:proofErr w:type="spellEnd"/>
      <w:r w:rsidRPr="00225D4D">
        <w:t xml:space="preserve"> som vil </w:t>
      </w:r>
      <w:proofErr w:type="spellStart"/>
      <w:r w:rsidRPr="00225D4D">
        <w:t>krevje</w:t>
      </w:r>
      <w:proofErr w:type="spellEnd"/>
      <w:r w:rsidRPr="00225D4D">
        <w:t xml:space="preserve"> systematisk innsats på </w:t>
      </w:r>
      <w:proofErr w:type="spellStart"/>
      <w:r w:rsidRPr="00225D4D">
        <w:t>fleire</w:t>
      </w:r>
      <w:proofErr w:type="spellEnd"/>
      <w:r w:rsidRPr="00225D4D">
        <w:t xml:space="preserve"> område samstundes. </w:t>
      </w:r>
      <w:proofErr w:type="spellStart"/>
      <w:r w:rsidRPr="00225D4D">
        <w:t>Vidare</w:t>
      </w:r>
      <w:proofErr w:type="spellEnd"/>
      <w:r w:rsidRPr="00225D4D">
        <w:t xml:space="preserve"> </w:t>
      </w:r>
      <w:proofErr w:type="spellStart"/>
      <w:r w:rsidRPr="00225D4D">
        <w:t>skildrar</w:t>
      </w:r>
      <w:proofErr w:type="spellEnd"/>
      <w:r w:rsidRPr="00225D4D">
        <w:t xml:space="preserve"> meldinga </w:t>
      </w:r>
      <w:proofErr w:type="spellStart"/>
      <w:r w:rsidRPr="00225D4D">
        <w:t>pågåande</w:t>
      </w:r>
      <w:proofErr w:type="spellEnd"/>
      <w:r w:rsidRPr="00225D4D">
        <w:t xml:space="preserve"> </w:t>
      </w:r>
      <w:proofErr w:type="spellStart"/>
      <w:r w:rsidRPr="00225D4D">
        <w:t>prosessar</w:t>
      </w:r>
      <w:proofErr w:type="spellEnd"/>
      <w:r w:rsidRPr="00225D4D">
        <w:t xml:space="preserve"> og prioriterte innsatsområde som kan bidra til å </w:t>
      </w:r>
      <w:proofErr w:type="spellStart"/>
      <w:r w:rsidRPr="00225D4D">
        <w:t>auke</w:t>
      </w:r>
      <w:proofErr w:type="spellEnd"/>
      <w:r w:rsidRPr="00225D4D">
        <w:t xml:space="preserve"> </w:t>
      </w:r>
      <w:proofErr w:type="spellStart"/>
      <w:r w:rsidRPr="00225D4D">
        <w:t>talet</w:t>
      </w:r>
      <w:proofErr w:type="spellEnd"/>
      <w:r w:rsidRPr="00225D4D">
        <w:t xml:space="preserve"> på </w:t>
      </w:r>
      <w:proofErr w:type="spellStart"/>
      <w:r w:rsidRPr="00225D4D">
        <w:t>samiskspråklege</w:t>
      </w:r>
      <w:proofErr w:type="spellEnd"/>
      <w:r w:rsidRPr="00225D4D">
        <w:t xml:space="preserve"> på alle nivå i utdanningsløpet. Mangelen på </w:t>
      </w:r>
      <w:proofErr w:type="spellStart"/>
      <w:r w:rsidRPr="00225D4D">
        <w:t>samiskspråkleg</w:t>
      </w:r>
      <w:proofErr w:type="spellEnd"/>
      <w:r w:rsidRPr="00225D4D">
        <w:t xml:space="preserve"> kompetanse er den største utfordringa for å kunne gi gode </w:t>
      </w:r>
      <w:proofErr w:type="spellStart"/>
      <w:r w:rsidRPr="00225D4D">
        <w:t>tenester</w:t>
      </w:r>
      <w:proofErr w:type="spellEnd"/>
      <w:r w:rsidRPr="00225D4D">
        <w:t xml:space="preserve"> til den samiske befolkninga. Stortinget har behandla meldinga, jf. </w:t>
      </w:r>
      <w:proofErr w:type="spellStart"/>
      <w:r w:rsidRPr="00225D4D">
        <w:t>Innst</w:t>
      </w:r>
      <w:proofErr w:type="spellEnd"/>
      <w:r w:rsidRPr="00225D4D">
        <w:t>. 473 S (2022–2023).</w:t>
      </w:r>
    </w:p>
    <w:p w14:paraId="2DA785C2" w14:textId="77777777" w:rsidR="00D60186" w:rsidRPr="00225D4D" w:rsidRDefault="00D60186" w:rsidP="00225D4D">
      <w:r w:rsidRPr="00225D4D">
        <w:t xml:space="preserve">Samiske </w:t>
      </w:r>
      <w:proofErr w:type="spellStart"/>
      <w:r w:rsidRPr="00225D4D">
        <w:t>barnehagetilbod</w:t>
      </w:r>
      <w:proofErr w:type="spellEnd"/>
      <w:r w:rsidRPr="00225D4D">
        <w:t xml:space="preserve"> er </w:t>
      </w:r>
      <w:proofErr w:type="spellStart"/>
      <w:r w:rsidRPr="00225D4D">
        <w:t>eit</w:t>
      </w:r>
      <w:proofErr w:type="spellEnd"/>
      <w:r w:rsidRPr="00225D4D">
        <w:t xml:space="preserve"> av </w:t>
      </w:r>
      <w:proofErr w:type="spellStart"/>
      <w:r w:rsidRPr="00225D4D">
        <w:t>dei</w:t>
      </w:r>
      <w:proofErr w:type="spellEnd"/>
      <w:r w:rsidRPr="00225D4D">
        <w:t xml:space="preserve"> </w:t>
      </w:r>
      <w:proofErr w:type="spellStart"/>
      <w:r w:rsidRPr="00225D4D">
        <w:t>viktigaste</w:t>
      </w:r>
      <w:proofErr w:type="spellEnd"/>
      <w:r w:rsidRPr="00225D4D">
        <w:t xml:space="preserve"> tiltaka for å styrke bruken av samisk språk. Mangelen på </w:t>
      </w:r>
      <w:proofErr w:type="spellStart"/>
      <w:r w:rsidRPr="00225D4D">
        <w:t>samiskspråklege</w:t>
      </w:r>
      <w:proofErr w:type="spellEnd"/>
      <w:r w:rsidRPr="00225D4D">
        <w:t xml:space="preserve"> tilsette er den største utfordringa for å styrke og utvikle samisk språk og samisk identitet i </w:t>
      </w:r>
      <w:proofErr w:type="spellStart"/>
      <w:r w:rsidRPr="00225D4D">
        <w:t>barnehagane</w:t>
      </w:r>
      <w:proofErr w:type="spellEnd"/>
      <w:r w:rsidRPr="00225D4D">
        <w:t xml:space="preserve">. I dialog med Sametinget vil regjeringa </w:t>
      </w:r>
      <w:proofErr w:type="spellStart"/>
      <w:r w:rsidRPr="00225D4D">
        <w:t>setje</w:t>
      </w:r>
      <w:proofErr w:type="spellEnd"/>
      <w:r w:rsidRPr="00225D4D">
        <w:t xml:space="preserve"> ned ei ekspertgruppe som skal bidra til å styrke kunnskapsgrunnlaget om samiske </w:t>
      </w:r>
      <w:proofErr w:type="spellStart"/>
      <w:r w:rsidRPr="00225D4D">
        <w:t>barnehagetilbod</w:t>
      </w:r>
      <w:proofErr w:type="spellEnd"/>
      <w:r w:rsidRPr="00225D4D">
        <w:t xml:space="preserve"> og vurdere korleis samiske </w:t>
      </w:r>
      <w:proofErr w:type="spellStart"/>
      <w:r w:rsidRPr="00225D4D">
        <w:t>barnehagetilbod</w:t>
      </w:r>
      <w:proofErr w:type="spellEnd"/>
      <w:r w:rsidRPr="00225D4D">
        <w:t xml:space="preserve"> kan </w:t>
      </w:r>
      <w:proofErr w:type="spellStart"/>
      <w:r w:rsidRPr="00225D4D">
        <w:t>forbetrast</w:t>
      </w:r>
      <w:proofErr w:type="spellEnd"/>
      <w:r w:rsidRPr="00225D4D">
        <w:t>.</w:t>
      </w:r>
    </w:p>
    <w:p w14:paraId="0EC31F6C" w14:textId="77777777" w:rsidR="00D60186" w:rsidRPr="00225D4D" w:rsidRDefault="00D60186" w:rsidP="00225D4D">
      <w:r w:rsidRPr="00225D4D">
        <w:t xml:space="preserve">Regjeringa meiner det må </w:t>
      </w:r>
      <w:proofErr w:type="spellStart"/>
      <w:r w:rsidRPr="00225D4D">
        <w:t>vere</w:t>
      </w:r>
      <w:proofErr w:type="spellEnd"/>
      <w:r w:rsidRPr="00225D4D">
        <w:t xml:space="preserve"> </w:t>
      </w:r>
      <w:proofErr w:type="spellStart"/>
      <w:r w:rsidRPr="00225D4D">
        <w:t>mogleg</w:t>
      </w:r>
      <w:proofErr w:type="spellEnd"/>
      <w:r w:rsidRPr="00225D4D">
        <w:t xml:space="preserve"> for </w:t>
      </w:r>
      <w:proofErr w:type="spellStart"/>
      <w:r w:rsidRPr="00225D4D">
        <w:t>kommunane</w:t>
      </w:r>
      <w:proofErr w:type="spellEnd"/>
      <w:r w:rsidRPr="00225D4D">
        <w:t xml:space="preserve"> å oppfylle nye lovkrav som blir sette til dømes til språk og kompetanse hos </w:t>
      </w:r>
      <w:proofErr w:type="spellStart"/>
      <w:r w:rsidRPr="00225D4D">
        <w:t>dei</w:t>
      </w:r>
      <w:proofErr w:type="spellEnd"/>
      <w:r w:rsidRPr="00225D4D">
        <w:t xml:space="preserve"> tilsette i </w:t>
      </w:r>
      <w:proofErr w:type="spellStart"/>
      <w:r w:rsidRPr="00225D4D">
        <w:t>barnehagane</w:t>
      </w:r>
      <w:proofErr w:type="spellEnd"/>
      <w:r w:rsidRPr="00225D4D">
        <w:t xml:space="preserve">. Å innføre </w:t>
      </w:r>
      <w:proofErr w:type="spellStart"/>
      <w:r w:rsidRPr="00225D4D">
        <w:t>eit</w:t>
      </w:r>
      <w:proofErr w:type="spellEnd"/>
      <w:r w:rsidRPr="00225D4D">
        <w:t xml:space="preserve"> lovkrav </w:t>
      </w:r>
      <w:proofErr w:type="spellStart"/>
      <w:r w:rsidRPr="00225D4D">
        <w:t>no</w:t>
      </w:r>
      <w:proofErr w:type="spellEnd"/>
      <w:r w:rsidRPr="00225D4D">
        <w:t xml:space="preserve"> om at alle tilsette i samiske </w:t>
      </w:r>
      <w:proofErr w:type="spellStart"/>
      <w:r w:rsidRPr="00225D4D">
        <w:t>barnehagar</w:t>
      </w:r>
      <w:proofErr w:type="spellEnd"/>
      <w:r w:rsidRPr="00225D4D">
        <w:t xml:space="preserve"> skal beherske samisk språk vil </w:t>
      </w:r>
      <w:proofErr w:type="spellStart"/>
      <w:r w:rsidRPr="00225D4D">
        <w:t>ikkje</w:t>
      </w:r>
      <w:proofErr w:type="spellEnd"/>
      <w:r w:rsidRPr="00225D4D">
        <w:t xml:space="preserve"> </w:t>
      </w:r>
      <w:proofErr w:type="spellStart"/>
      <w:r w:rsidRPr="00225D4D">
        <w:t>vere</w:t>
      </w:r>
      <w:proofErr w:type="spellEnd"/>
      <w:r w:rsidRPr="00225D4D">
        <w:t xml:space="preserve"> realistisk for </w:t>
      </w:r>
      <w:proofErr w:type="spellStart"/>
      <w:r w:rsidRPr="00225D4D">
        <w:t>kommunane</w:t>
      </w:r>
      <w:proofErr w:type="spellEnd"/>
      <w:r w:rsidRPr="00225D4D">
        <w:t xml:space="preserve"> å oppfylle. Regjeringa har gjennom </w:t>
      </w:r>
      <w:proofErr w:type="spellStart"/>
      <w:r w:rsidRPr="00225D4D">
        <w:t>meldingar</w:t>
      </w:r>
      <w:proofErr w:type="spellEnd"/>
      <w:r w:rsidRPr="00225D4D">
        <w:t xml:space="preserve"> til Stortinget lagt fram status og tiltak som på sikt vil betre situasjonen, </w:t>
      </w:r>
      <w:proofErr w:type="spellStart"/>
      <w:r w:rsidRPr="00225D4D">
        <w:t>seinast</w:t>
      </w:r>
      <w:proofErr w:type="spellEnd"/>
      <w:r w:rsidRPr="00225D4D">
        <w:t xml:space="preserve"> i Meld. St. 17 (2024–2025) </w:t>
      </w:r>
      <w:r w:rsidRPr="00225D4D">
        <w:rPr>
          <w:rStyle w:val="kursiv"/>
        </w:rPr>
        <w:t>Samisk språk, kultur og samfunnsliv – Kommunale tjenestetilbud til samiske innbyggere</w:t>
      </w:r>
      <w:r w:rsidRPr="00225D4D">
        <w:t xml:space="preserve">, mellom anna ekspertgruppa </w:t>
      </w:r>
      <w:proofErr w:type="spellStart"/>
      <w:r w:rsidRPr="00225D4D">
        <w:t>nemnt</w:t>
      </w:r>
      <w:proofErr w:type="spellEnd"/>
      <w:r w:rsidRPr="00225D4D">
        <w:t xml:space="preserve"> </w:t>
      </w:r>
      <w:proofErr w:type="spellStart"/>
      <w:r w:rsidRPr="00225D4D">
        <w:t>ovanfor</w:t>
      </w:r>
      <w:proofErr w:type="spellEnd"/>
      <w:r w:rsidRPr="00225D4D">
        <w:t xml:space="preserve"> og tiltak for </w:t>
      </w:r>
      <w:proofErr w:type="spellStart"/>
      <w:r w:rsidRPr="00225D4D">
        <w:t>auka</w:t>
      </w:r>
      <w:proofErr w:type="spellEnd"/>
      <w:r w:rsidRPr="00225D4D">
        <w:t xml:space="preserve"> kompetanse og rekruttering i </w:t>
      </w:r>
      <w:proofErr w:type="spellStart"/>
      <w:r w:rsidRPr="00225D4D">
        <w:t>barnehagane</w:t>
      </w:r>
      <w:proofErr w:type="spellEnd"/>
      <w:r w:rsidRPr="00225D4D">
        <w:t xml:space="preserve"> og grunnopplæringa. Stortinget har i </w:t>
      </w:r>
      <w:proofErr w:type="spellStart"/>
      <w:r w:rsidRPr="00225D4D">
        <w:t>si</w:t>
      </w:r>
      <w:proofErr w:type="spellEnd"/>
      <w:r w:rsidRPr="00225D4D">
        <w:t xml:space="preserve"> behandling slutta seg til </w:t>
      </w:r>
      <w:proofErr w:type="spellStart"/>
      <w:r w:rsidRPr="00225D4D">
        <w:t>vurderingane</w:t>
      </w:r>
      <w:proofErr w:type="spellEnd"/>
      <w:r w:rsidRPr="00225D4D">
        <w:t xml:space="preserve"> til regjeringa.</w:t>
      </w:r>
    </w:p>
    <w:p w14:paraId="6E9931B2" w14:textId="77777777" w:rsidR="00D60186" w:rsidRPr="00225D4D" w:rsidRDefault="00D60186" w:rsidP="00225D4D">
      <w:r w:rsidRPr="00225D4D">
        <w:t xml:space="preserve">Regjeringa vil </w:t>
      </w:r>
      <w:proofErr w:type="spellStart"/>
      <w:r w:rsidRPr="00225D4D">
        <w:t>framleis</w:t>
      </w:r>
      <w:proofErr w:type="spellEnd"/>
      <w:r w:rsidRPr="00225D4D">
        <w:t xml:space="preserve"> følge med på situasjonen og på sikt vurdere om det er </w:t>
      </w:r>
      <w:proofErr w:type="spellStart"/>
      <w:r w:rsidRPr="00225D4D">
        <w:t>tilstrekkeleg</w:t>
      </w:r>
      <w:proofErr w:type="spellEnd"/>
      <w:r w:rsidRPr="00225D4D">
        <w:t xml:space="preserve"> med samisk kompetanse i </w:t>
      </w:r>
      <w:proofErr w:type="spellStart"/>
      <w:r w:rsidRPr="00225D4D">
        <w:t>barnehagane</w:t>
      </w:r>
      <w:proofErr w:type="spellEnd"/>
      <w:r w:rsidRPr="00225D4D">
        <w:t xml:space="preserve"> til at det kan </w:t>
      </w:r>
      <w:proofErr w:type="spellStart"/>
      <w:r w:rsidRPr="00225D4D">
        <w:t>utformast</w:t>
      </w:r>
      <w:proofErr w:type="spellEnd"/>
      <w:r w:rsidRPr="00225D4D">
        <w:t xml:space="preserve"> forslag til </w:t>
      </w:r>
      <w:proofErr w:type="spellStart"/>
      <w:r w:rsidRPr="00225D4D">
        <w:t>eit</w:t>
      </w:r>
      <w:proofErr w:type="spellEnd"/>
      <w:r w:rsidRPr="00225D4D">
        <w:t xml:space="preserve"> lovkrav i barnehagelova.</w:t>
      </w:r>
    </w:p>
    <w:p w14:paraId="0614741A"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oppmodingsvedtaket med dette er </w:t>
      </w:r>
      <w:proofErr w:type="spellStart"/>
      <w:r w:rsidRPr="00225D4D">
        <w:t>følgt</w:t>
      </w:r>
      <w:proofErr w:type="spellEnd"/>
      <w:r w:rsidRPr="00225D4D">
        <w:t xml:space="preserve"> opp.</w:t>
      </w:r>
    </w:p>
    <w:p w14:paraId="59B6B56D" w14:textId="77777777" w:rsidR="00D60186" w:rsidRPr="00225D4D" w:rsidRDefault="00D60186" w:rsidP="00225D4D">
      <w:pPr>
        <w:pStyle w:val="Overskrift1"/>
      </w:pPr>
      <w:r w:rsidRPr="00225D4D">
        <w:t>Landbruks- og matdepartementet</w:t>
      </w:r>
    </w:p>
    <w:p w14:paraId="515B0857" w14:textId="77777777" w:rsidR="00D60186" w:rsidRPr="00225D4D" w:rsidRDefault="00D60186" w:rsidP="00225D4D">
      <w:r w:rsidRPr="00225D4D">
        <w:t xml:space="preserve">Tabell 14.1 viser </w:t>
      </w:r>
      <w:proofErr w:type="gramStart"/>
      <w:r w:rsidRPr="00225D4D">
        <w:t>ei oversikt</w:t>
      </w:r>
      <w:proofErr w:type="gramEnd"/>
      <w:r w:rsidRPr="00225D4D">
        <w:t xml:space="preserve"> over oppfølginga av oppmodings- og utgreiingsvedtak under Landbruks- og matdepartementet.</w:t>
      </w:r>
    </w:p>
    <w:p w14:paraId="2C5BC11B" w14:textId="77777777" w:rsidR="00D60186" w:rsidRPr="00225D4D" w:rsidRDefault="00D60186" w:rsidP="00225D4D">
      <w:r w:rsidRPr="00225D4D">
        <w:t xml:space="preserve">I siste kolonne i tabellen </w:t>
      </w:r>
      <w:proofErr w:type="spellStart"/>
      <w:r w:rsidRPr="00225D4D">
        <w:t>nedanfor</w:t>
      </w:r>
      <w:proofErr w:type="spellEnd"/>
      <w:r w:rsidRPr="00225D4D">
        <w:t xml:space="preserve"> går det fram om departementet </w:t>
      </w:r>
      <w:proofErr w:type="spellStart"/>
      <w:r w:rsidRPr="00225D4D">
        <w:t>legg</w:t>
      </w:r>
      <w:proofErr w:type="spellEnd"/>
      <w:r w:rsidRPr="00225D4D">
        <w:t xml:space="preserve"> opp til at rapporteringa på oppmodingsvedtaket </w:t>
      </w:r>
      <w:proofErr w:type="spellStart"/>
      <w:r w:rsidRPr="00225D4D">
        <w:t>no</w:t>
      </w:r>
      <w:proofErr w:type="spellEnd"/>
      <w:r w:rsidRPr="00225D4D">
        <w:t xml:space="preserve"> blir avslutta, eller om departementet òg vil rapportere på vedtaket i budsjettproposisjonen for neste år.</w:t>
      </w:r>
    </w:p>
    <w:p w14:paraId="44AA8AD4" w14:textId="5D9CC918" w:rsidR="002D4C2A" w:rsidRPr="00225D4D" w:rsidRDefault="002D4C2A" w:rsidP="00225D4D">
      <w:pPr>
        <w:pStyle w:val="tabell-tittel"/>
      </w:pPr>
      <w:r w:rsidRPr="00225D4D">
        <w:t>Oversikt over oppmodings- og utgreiingsvedtak, ordna etter sesjon og nummer</w:t>
      </w:r>
    </w:p>
    <w:p w14:paraId="570BF7EF" w14:textId="77777777" w:rsidR="00D60186" w:rsidRPr="00225D4D" w:rsidRDefault="00D60186" w:rsidP="00225D4D">
      <w:pPr>
        <w:pStyle w:val="Tabellnavn"/>
      </w:pPr>
      <w:r w:rsidRPr="00225D4D">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120"/>
        <w:gridCol w:w="1280"/>
        <w:gridCol w:w="5600"/>
        <w:gridCol w:w="1560"/>
      </w:tblGrid>
      <w:tr w:rsidR="00E76DC8" w:rsidRPr="00225D4D" w14:paraId="683E1E1B" w14:textId="77777777">
        <w:trPr>
          <w:trHeight w:val="600"/>
        </w:trPr>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AC2BDA" w14:textId="77777777" w:rsidR="00D60186" w:rsidRPr="008D6210" w:rsidRDefault="00D60186" w:rsidP="00225D4D">
            <w:pPr>
              <w:rPr>
                <w:sz w:val="21"/>
                <w:szCs w:val="21"/>
              </w:rPr>
            </w:pPr>
            <w:r w:rsidRPr="008D6210">
              <w:rPr>
                <w:sz w:val="21"/>
                <w:szCs w:val="21"/>
              </w:rPr>
              <w:t>Sesjon</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1AFFF6" w14:textId="77777777" w:rsidR="00D60186" w:rsidRPr="008D6210" w:rsidRDefault="00D60186" w:rsidP="008D6210">
            <w:pPr>
              <w:ind w:right="113"/>
              <w:jc w:val="right"/>
              <w:rPr>
                <w:sz w:val="21"/>
                <w:szCs w:val="21"/>
              </w:rPr>
            </w:pPr>
            <w:r w:rsidRPr="008D6210">
              <w:rPr>
                <w:sz w:val="21"/>
                <w:szCs w:val="21"/>
              </w:rPr>
              <w:t>Vedtak nr.</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DA2D36" w14:textId="77777777" w:rsidR="00D60186" w:rsidRPr="008D6210" w:rsidRDefault="00D60186" w:rsidP="00225D4D">
            <w:pPr>
              <w:rPr>
                <w:sz w:val="21"/>
                <w:szCs w:val="21"/>
              </w:rPr>
            </w:pPr>
            <w:r w:rsidRPr="008D6210">
              <w:rPr>
                <w:sz w:val="21"/>
                <w:szCs w:val="21"/>
              </w:rPr>
              <w:t>Stikkord</w:t>
            </w:r>
          </w:p>
        </w:tc>
        <w:tc>
          <w:tcPr>
            <w:tcW w:w="1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5055295" w14:textId="77777777" w:rsidR="00D60186" w:rsidRPr="008D6210" w:rsidRDefault="00D60186" w:rsidP="008D6210">
            <w:pPr>
              <w:jc w:val="right"/>
              <w:rPr>
                <w:sz w:val="21"/>
                <w:szCs w:val="21"/>
              </w:rPr>
            </w:pPr>
            <w:r w:rsidRPr="008D6210">
              <w:rPr>
                <w:sz w:val="21"/>
                <w:szCs w:val="21"/>
              </w:rPr>
              <w:t>Rapportering blir avslutta (Ja/Nei)</w:t>
            </w:r>
          </w:p>
        </w:tc>
      </w:tr>
      <w:tr w:rsidR="00E76DC8" w:rsidRPr="00225D4D" w14:paraId="56B7ACFA" w14:textId="77777777" w:rsidTr="008D6210">
        <w:trPr>
          <w:trHeight w:val="20"/>
        </w:trPr>
        <w:tc>
          <w:tcPr>
            <w:tcW w:w="1120" w:type="dxa"/>
            <w:tcBorders>
              <w:top w:val="single" w:sz="4" w:space="0" w:color="000000"/>
              <w:left w:val="nil"/>
              <w:bottom w:val="nil"/>
              <w:right w:val="nil"/>
            </w:tcBorders>
            <w:tcMar>
              <w:top w:w="128" w:type="dxa"/>
              <w:left w:w="43" w:type="dxa"/>
              <w:bottom w:w="43" w:type="dxa"/>
              <w:right w:w="43" w:type="dxa"/>
            </w:tcMar>
          </w:tcPr>
          <w:p w14:paraId="3215D4F1" w14:textId="77777777" w:rsidR="00D60186" w:rsidRPr="008D6210" w:rsidRDefault="00D60186" w:rsidP="00225D4D">
            <w:pPr>
              <w:rPr>
                <w:sz w:val="21"/>
                <w:szCs w:val="21"/>
              </w:rPr>
            </w:pPr>
            <w:r w:rsidRPr="008D6210">
              <w:rPr>
                <w:sz w:val="21"/>
                <w:szCs w:val="21"/>
              </w:rPr>
              <w:t>2024–2025</w:t>
            </w:r>
          </w:p>
        </w:tc>
        <w:tc>
          <w:tcPr>
            <w:tcW w:w="1280" w:type="dxa"/>
            <w:tcBorders>
              <w:top w:val="single" w:sz="4" w:space="0" w:color="000000"/>
              <w:left w:val="nil"/>
              <w:bottom w:val="nil"/>
              <w:right w:val="nil"/>
            </w:tcBorders>
            <w:tcMar>
              <w:top w:w="128" w:type="dxa"/>
              <w:left w:w="43" w:type="dxa"/>
              <w:bottom w:w="43" w:type="dxa"/>
              <w:right w:w="43" w:type="dxa"/>
            </w:tcMar>
          </w:tcPr>
          <w:p w14:paraId="0A96E0F2" w14:textId="77777777" w:rsidR="00D60186" w:rsidRPr="008D6210" w:rsidRDefault="00D60186" w:rsidP="008D6210">
            <w:pPr>
              <w:ind w:right="113"/>
              <w:jc w:val="right"/>
              <w:rPr>
                <w:sz w:val="21"/>
                <w:szCs w:val="21"/>
              </w:rPr>
            </w:pPr>
            <w:r w:rsidRPr="008D6210">
              <w:rPr>
                <w:sz w:val="21"/>
                <w:szCs w:val="21"/>
              </w:rPr>
              <w:t>1248</w:t>
            </w:r>
          </w:p>
        </w:tc>
        <w:tc>
          <w:tcPr>
            <w:tcW w:w="5600" w:type="dxa"/>
            <w:tcBorders>
              <w:top w:val="single" w:sz="4" w:space="0" w:color="000000"/>
              <w:left w:val="nil"/>
              <w:bottom w:val="nil"/>
              <w:right w:val="nil"/>
            </w:tcBorders>
            <w:tcMar>
              <w:top w:w="128" w:type="dxa"/>
              <w:left w:w="43" w:type="dxa"/>
              <w:bottom w:w="43" w:type="dxa"/>
              <w:right w:w="43" w:type="dxa"/>
            </w:tcMar>
          </w:tcPr>
          <w:p w14:paraId="59404AA7" w14:textId="77777777" w:rsidR="00D60186" w:rsidRPr="008D6210" w:rsidRDefault="00D60186" w:rsidP="00225D4D">
            <w:pPr>
              <w:rPr>
                <w:sz w:val="21"/>
                <w:szCs w:val="21"/>
              </w:rPr>
            </w:pPr>
            <w:proofErr w:type="spellStart"/>
            <w:r w:rsidRPr="008D6210">
              <w:rPr>
                <w:sz w:val="21"/>
                <w:szCs w:val="21"/>
              </w:rPr>
              <w:t>Midlar</w:t>
            </w:r>
            <w:proofErr w:type="spellEnd"/>
            <w:r w:rsidRPr="008D6210">
              <w:rPr>
                <w:sz w:val="21"/>
                <w:szCs w:val="21"/>
              </w:rPr>
              <w:t xml:space="preserve"> til handverksysting ved </w:t>
            </w:r>
            <w:proofErr w:type="spellStart"/>
            <w:r w:rsidRPr="008D6210">
              <w:rPr>
                <w:sz w:val="21"/>
                <w:szCs w:val="21"/>
              </w:rPr>
              <w:t>fagskulen</w:t>
            </w:r>
            <w:proofErr w:type="spellEnd"/>
            <w:r w:rsidRPr="008D6210">
              <w:rPr>
                <w:sz w:val="21"/>
                <w:szCs w:val="21"/>
              </w:rPr>
              <w:t xml:space="preserve"> </w:t>
            </w:r>
            <w:proofErr w:type="spellStart"/>
            <w:r w:rsidRPr="008D6210">
              <w:rPr>
                <w:sz w:val="21"/>
                <w:szCs w:val="21"/>
              </w:rPr>
              <w:t>Vestland</w:t>
            </w:r>
            <w:proofErr w:type="spellEnd"/>
          </w:p>
        </w:tc>
        <w:tc>
          <w:tcPr>
            <w:tcW w:w="1560" w:type="dxa"/>
            <w:tcBorders>
              <w:top w:val="single" w:sz="4" w:space="0" w:color="000000"/>
              <w:left w:val="nil"/>
              <w:bottom w:val="nil"/>
              <w:right w:val="nil"/>
            </w:tcBorders>
            <w:tcMar>
              <w:top w:w="128" w:type="dxa"/>
              <w:left w:w="43" w:type="dxa"/>
              <w:bottom w:w="43" w:type="dxa"/>
              <w:right w:w="43" w:type="dxa"/>
            </w:tcMar>
            <w:vAlign w:val="bottom"/>
          </w:tcPr>
          <w:p w14:paraId="127CBEFD" w14:textId="77777777" w:rsidR="00D60186" w:rsidRPr="008D6210" w:rsidRDefault="00D60186" w:rsidP="008D6210">
            <w:pPr>
              <w:jc w:val="right"/>
              <w:rPr>
                <w:sz w:val="21"/>
                <w:szCs w:val="21"/>
              </w:rPr>
            </w:pPr>
            <w:r w:rsidRPr="008D6210">
              <w:rPr>
                <w:sz w:val="21"/>
                <w:szCs w:val="21"/>
              </w:rPr>
              <w:t>Ja</w:t>
            </w:r>
          </w:p>
        </w:tc>
      </w:tr>
      <w:tr w:rsidR="00E76DC8" w:rsidRPr="00225D4D" w14:paraId="64C65FC1"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5F73CE15"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8B5DE9B" w14:textId="77777777" w:rsidR="00D60186" w:rsidRPr="008D6210" w:rsidRDefault="00D60186" w:rsidP="008D6210">
            <w:pPr>
              <w:ind w:right="113"/>
              <w:jc w:val="right"/>
              <w:rPr>
                <w:sz w:val="21"/>
                <w:szCs w:val="21"/>
              </w:rPr>
            </w:pPr>
            <w:r w:rsidRPr="008D6210">
              <w:rPr>
                <w:sz w:val="21"/>
                <w:szCs w:val="21"/>
              </w:rPr>
              <w:t>1123</w:t>
            </w:r>
          </w:p>
        </w:tc>
        <w:tc>
          <w:tcPr>
            <w:tcW w:w="5600" w:type="dxa"/>
            <w:tcBorders>
              <w:top w:val="nil"/>
              <w:left w:val="nil"/>
              <w:bottom w:val="nil"/>
              <w:right w:val="nil"/>
            </w:tcBorders>
            <w:tcMar>
              <w:top w:w="128" w:type="dxa"/>
              <w:left w:w="43" w:type="dxa"/>
              <w:bottom w:w="43" w:type="dxa"/>
              <w:right w:w="43" w:type="dxa"/>
            </w:tcMar>
          </w:tcPr>
          <w:p w14:paraId="7429DE7C" w14:textId="77777777" w:rsidR="00D60186" w:rsidRPr="008D6210" w:rsidRDefault="00D60186" w:rsidP="00225D4D">
            <w:pPr>
              <w:rPr>
                <w:sz w:val="21"/>
                <w:szCs w:val="21"/>
              </w:rPr>
            </w:pPr>
            <w:proofErr w:type="spellStart"/>
            <w:r w:rsidRPr="008D6210">
              <w:rPr>
                <w:sz w:val="21"/>
                <w:szCs w:val="21"/>
              </w:rPr>
              <w:t>Konfliktførebyggjande</w:t>
            </w:r>
            <w:proofErr w:type="spellEnd"/>
            <w:r w:rsidRPr="008D6210">
              <w:rPr>
                <w:sz w:val="21"/>
                <w:szCs w:val="21"/>
              </w:rPr>
              <w:t xml:space="preserve"> tiltak i framtidige </w:t>
            </w:r>
            <w:proofErr w:type="spellStart"/>
            <w:r w:rsidRPr="008D6210">
              <w:rPr>
                <w:sz w:val="21"/>
                <w:szCs w:val="21"/>
              </w:rPr>
              <w:t>reindriftsavtalar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054936C2" w14:textId="77777777" w:rsidR="00D60186" w:rsidRPr="008D6210" w:rsidRDefault="00D60186" w:rsidP="008D6210">
            <w:pPr>
              <w:jc w:val="right"/>
              <w:rPr>
                <w:sz w:val="21"/>
                <w:szCs w:val="21"/>
              </w:rPr>
            </w:pPr>
            <w:r w:rsidRPr="008D6210">
              <w:rPr>
                <w:sz w:val="21"/>
                <w:szCs w:val="21"/>
              </w:rPr>
              <w:t>Ja</w:t>
            </w:r>
          </w:p>
        </w:tc>
      </w:tr>
      <w:tr w:rsidR="00E76DC8" w:rsidRPr="00225D4D" w14:paraId="67E70B22"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2954608E"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5090194" w14:textId="77777777" w:rsidR="00D60186" w:rsidRPr="008D6210" w:rsidRDefault="00D60186" w:rsidP="008D6210">
            <w:pPr>
              <w:ind w:right="113"/>
              <w:jc w:val="right"/>
              <w:rPr>
                <w:sz w:val="21"/>
                <w:szCs w:val="21"/>
              </w:rPr>
            </w:pPr>
            <w:r w:rsidRPr="008D6210">
              <w:rPr>
                <w:sz w:val="21"/>
                <w:szCs w:val="21"/>
              </w:rPr>
              <w:t>1122</w:t>
            </w:r>
          </w:p>
        </w:tc>
        <w:tc>
          <w:tcPr>
            <w:tcW w:w="5600" w:type="dxa"/>
            <w:tcBorders>
              <w:top w:val="nil"/>
              <w:left w:val="nil"/>
              <w:bottom w:val="nil"/>
              <w:right w:val="nil"/>
            </w:tcBorders>
            <w:tcMar>
              <w:top w:w="128" w:type="dxa"/>
              <w:left w:w="43" w:type="dxa"/>
              <w:bottom w:w="43" w:type="dxa"/>
              <w:right w:w="43" w:type="dxa"/>
            </w:tcMar>
          </w:tcPr>
          <w:p w14:paraId="658E4402" w14:textId="77777777" w:rsidR="00D60186" w:rsidRPr="008D6210" w:rsidRDefault="00D60186" w:rsidP="00225D4D">
            <w:pPr>
              <w:rPr>
                <w:sz w:val="21"/>
                <w:szCs w:val="21"/>
              </w:rPr>
            </w:pPr>
            <w:r w:rsidRPr="008D6210">
              <w:rPr>
                <w:sz w:val="21"/>
                <w:szCs w:val="21"/>
              </w:rPr>
              <w:t>Rammevilkår for lokalmatproduksjon og agroturisme</w:t>
            </w:r>
          </w:p>
        </w:tc>
        <w:tc>
          <w:tcPr>
            <w:tcW w:w="1560" w:type="dxa"/>
            <w:tcBorders>
              <w:top w:val="nil"/>
              <w:left w:val="nil"/>
              <w:bottom w:val="nil"/>
              <w:right w:val="nil"/>
            </w:tcBorders>
            <w:tcMar>
              <w:top w:w="128" w:type="dxa"/>
              <w:left w:w="43" w:type="dxa"/>
              <w:bottom w:w="43" w:type="dxa"/>
              <w:right w:w="43" w:type="dxa"/>
            </w:tcMar>
            <w:vAlign w:val="bottom"/>
          </w:tcPr>
          <w:p w14:paraId="1DD3F83D" w14:textId="77777777" w:rsidR="00D60186" w:rsidRPr="008D6210" w:rsidRDefault="00D60186" w:rsidP="008D6210">
            <w:pPr>
              <w:jc w:val="right"/>
              <w:rPr>
                <w:sz w:val="21"/>
                <w:szCs w:val="21"/>
              </w:rPr>
            </w:pPr>
            <w:r w:rsidRPr="008D6210">
              <w:rPr>
                <w:sz w:val="21"/>
                <w:szCs w:val="21"/>
              </w:rPr>
              <w:t>Nei</w:t>
            </w:r>
          </w:p>
        </w:tc>
      </w:tr>
      <w:tr w:rsidR="00E76DC8" w:rsidRPr="00225D4D" w14:paraId="348A4D71"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25A3026D"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9A0D8B9" w14:textId="77777777" w:rsidR="00D60186" w:rsidRPr="008D6210" w:rsidRDefault="00D60186" w:rsidP="008D6210">
            <w:pPr>
              <w:ind w:right="113"/>
              <w:jc w:val="right"/>
              <w:rPr>
                <w:sz w:val="21"/>
                <w:szCs w:val="21"/>
              </w:rPr>
            </w:pPr>
            <w:r w:rsidRPr="008D6210">
              <w:rPr>
                <w:sz w:val="21"/>
                <w:szCs w:val="21"/>
              </w:rPr>
              <w:t>1121</w:t>
            </w:r>
          </w:p>
        </w:tc>
        <w:tc>
          <w:tcPr>
            <w:tcW w:w="5600" w:type="dxa"/>
            <w:tcBorders>
              <w:top w:val="nil"/>
              <w:left w:val="nil"/>
              <w:bottom w:val="nil"/>
              <w:right w:val="nil"/>
            </w:tcBorders>
            <w:tcMar>
              <w:top w:w="128" w:type="dxa"/>
              <w:left w:w="43" w:type="dxa"/>
              <w:bottom w:w="43" w:type="dxa"/>
              <w:right w:w="43" w:type="dxa"/>
            </w:tcMar>
          </w:tcPr>
          <w:p w14:paraId="2AA73C33" w14:textId="77777777" w:rsidR="00D60186" w:rsidRPr="008D6210" w:rsidRDefault="00D60186" w:rsidP="00225D4D">
            <w:pPr>
              <w:rPr>
                <w:sz w:val="21"/>
                <w:szCs w:val="21"/>
              </w:rPr>
            </w:pPr>
            <w:r w:rsidRPr="008D6210">
              <w:rPr>
                <w:sz w:val="21"/>
                <w:szCs w:val="21"/>
              </w:rPr>
              <w:t xml:space="preserve">Opphavsmerking av produkt </w:t>
            </w:r>
          </w:p>
        </w:tc>
        <w:tc>
          <w:tcPr>
            <w:tcW w:w="1560" w:type="dxa"/>
            <w:tcBorders>
              <w:top w:val="nil"/>
              <w:left w:val="nil"/>
              <w:bottom w:val="nil"/>
              <w:right w:val="nil"/>
            </w:tcBorders>
            <w:tcMar>
              <w:top w:w="128" w:type="dxa"/>
              <w:left w:w="43" w:type="dxa"/>
              <w:bottom w:w="43" w:type="dxa"/>
              <w:right w:w="43" w:type="dxa"/>
            </w:tcMar>
            <w:vAlign w:val="bottom"/>
          </w:tcPr>
          <w:p w14:paraId="6CBD4844" w14:textId="77777777" w:rsidR="00D60186" w:rsidRPr="008D6210" w:rsidRDefault="00D60186" w:rsidP="008D6210">
            <w:pPr>
              <w:jc w:val="right"/>
              <w:rPr>
                <w:sz w:val="21"/>
                <w:szCs w:val="21"/>
              </w:rPr>
            </w:pPr>
            <w:r w:rsidRPr="008D6210">
              <w:rPr>
                <w:sz w:val="21"/>
                <w:szCs w:val="21"/>
              </w:rPr>
              <w:t>Nei</w:t>
            </w:r>
          </w:p>
        </w:tc>
      </w:tr>
      <w:tr w:rsidR="00E76DC8" w:rsidRPr="00225D4D" w14:paraId="388E55D7"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38C9C1E4"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F201980" w14:textId="77777777" w:rsidR="00D60186" w:rsidRPr="008D6210" w:rsidRDefault="00D60186" w:rsidP="008D6210">
            <w:pPr>
              <w:ind w:right="113"/>
              <w:jc w:val="right"/>
              <w:rPr>
                <w:sz w:val="21"/>
                <w:szCs w:val="21"/>
              </w:rPr>
            </w:pPr>
            <w:r w:rsidRPr="008D6210">
              <w:rPr>
                <w:sz w:val="21"/>
                <w:szCs w:val="21"/>
              </w:rPr>
              <w:t xml:space="preserve">1120 </w:t>
            </w:r>
          </w:p>
        </w:tc>
        <w:tc>
          <w:tcPr>
            <w:tcW w:w="5600" w:type="dxa"/>
            <w:tcBorders>
              <w:top w:val="nil"/>
              <w:left w:val="nil"/>
              <w:bottom w:val="nil"/>
              <w:right w:val="nil"/>
            </w:tcBorders>
            <w:tcMar>
              <w:top w:w="128" w:type="dxa"/>
              <w:left w:w="43" w:type="dxa"/>
              <w:bottom w:w="43" w:type="dxa"/>
              <w:right w:w="43" w:type="dxa"/>
            </w:tcMar>
          </w:tcPr>
          <w:p w14:paraId="7D7F1CE3" w14:textId="77777777" w:rsidR="00D60186" w:rsidRPr="008D6210" w:rsidRDefault="00D60186" w:rsidP="00225D4D">
            <w:pPr>
              <w:rPr>
                <w:sz w:val="21"/>
                <w:szCs w:val="21"/>
              </w:rPr>
            </w:pPr>
            <w:r w:rsidRPr="008D6210">
              <w:rPr>
                <w:sz w:val="21"/>
                <w:szCs w:val="21"/>
              </w:rPr>
              <w:t>Reduksjon av nitrogentilførsel i Oslofjorden</w:t>
            </w:r>
          </w:p>
        </w:tc>
        <w:tc>
          <w:tcPr>
            <w:tcW w:w="1560" w:type="dxa"/>
            <w:tcBorders>
              <w:top w:val="nil"/>
              <w:left w:val="nil"/>
              <w:bottom w:val="nil"/>
              <w:right w:val="nil"/>
            </w:tcBorders>
            <w:tcMar>
              <w:top w:w="128" w:type="dxa"/>
              <w:left w:w="43" w:type="dxa"/>
              <w:bottom w:w="43" w:type="dxa"/>
              <w:right w:w="43" w:type="dxa"/>
            </w:tcMar>
            <w:vAlign w:val="bottom"/>
          </w:tcPr>
          <w:p w14:paraId="1084250E" w14:textId="77777777" w:rsidR="00D60186" w:rsidRPr="008D6210" w:rsidRDefault="00D60186" w:rsidP="008D6210">
            <w:pPr>
              <w:jc w:val="right"/>
              <w:rPr>
                <w:sz w:val="21"/>
                <w:szCs w:val="21"/>
              </w:rPr>
            </w:pPr>
            <w:r w:rsidRPr="008D6210">
              <w:rPr>
                <w:sz w:val="21"/>
                <w:szCs w:val="21"/>
              </w:rPr>
              <w:t>Nei</w:t>
            </w:r>
          </w:p>
        </w:tc>
      </w:tr>
      <w:tr w:rsidR="00E76DC8" w:rsidRPr="00225D4D" w14:paraId="378D6101"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477FE515"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0843784" w14:textId="77777777" w:rsidR="00D60186" w:rsidRPr="008D6210" w:rsidRDefault="00D60186" w:rsidP="008D6210">
            <w:pPr>
              <w:ind w:right="113"/>
              <w:jc w:val="right"/>
              <w:rPr>
                <w:sz w:val="21"/>
                <w:szCs w:val="21"/>
              </w:rPr>
            </w:pPr>
            <w:r w:rsidRPr="008D6210">
              <w:rPr>
                <w:sz w:val="21"/>
                <w:szCs w:val="21"/>
              </w:rPr>
              <w:t>1117</w:t>
            </w:r>
          </w:p>
        </w:tc>
        <w:tc>
          <w:tcPr>
            <w:tcW w:w="5600" w:type="dxa"/>
            <w:tcBorders>
              <w:top w:val="nil"/>
              <w:left w:val="nil"/>
              <w:bottom w:val="nil"/>
              <w:right w:val="nil"/>
            </w:tcBorders>
            <w:tcMar>
              <w:top w:w="128" w:type="dxa"/>
              <w:left w:w="43" w:type="dxa"/>
              <w:bottom w:w="43" w:type="dxa"/>
              <w:right w:w="43" w:type="dxa"/>
            </w:tcMar>
          </w:tcPr>
          <w:p w14:paraId="3B52711C" w14:textId="77777777" w:rsidR="00D60186" w:rsidRPr="008D6210" w:rsidRDefault="00D60186" w:rsidP="00225D4D">
            <w:pPr>
              <w:rPr>
                <w:sz w:val="21"/>
                <w:szCs w:val="21"/>
              </w:rPr>
            </w:pPr>
            <w:r w:rsidRPr="008D6210">
              <w:rPr>
                <w:sz w:val="21"/>
                <w:szCs w:val="21"/>
              </w:rPr>
              <w:t xml:space="preserve">Tang, tare og </w:t>
            </w:r>
            <w:proofErr w:type="spellStart"/>
            <w:r w:rsidRPr="008D6210">
              <w:rPr>
                <w:sz w:val="21"/>
                <w:szCs w:val="21"/>
              </w:rPr>
              <w:t>mikroalgar</w:t>
            </w:r>
            <w:proofErr w:type="spellEnd"/>
            <w:r w:rsidRPr="008D6210">
              <w:rPr>
                <w:sz w:val="21"/>
                <w:szCs w:val="21"/>
              </w:rPr>
              <w:t xml:space="preserve"> i dyrefôr</w:t>
            </w:r>
          </w:p>
        </w:tc>
        <w:tc>
          <w:tcPr>
            <w:tcW w:w="1560" w:type="dxa"/>
            <w:tcBorders>
              <w:top w:val="nil"/>
              <w:left w:val="nil"/>
              <w:bottom w:val="nil"/>
              <w:right w:val="nil"/>
            </w:tcBorders>
            <w:tcMar>
              <w:top w:w="128" w:type="dxa"/>
              <w:left w:w="43" w:type="dxa"/>
              <w:bottom w:w="43" w:type="dxa"/>
              <w:right w:w="43" w:type="dxa"/>
            </w:tcMar>
            <w:vAlign w:val="bottom"/>
          </w:tcPr>
          <w:p w14:paraId="64CA14D0" w14:textId="77777777" w:rsidR="00D60186" w:rsidRPr="008D6210" w:rsidRDefault="00D60186" w:rsidP="008D6210">
            <w:pPr>
              <w:jc w:val="right"/>
              <w:rPr>
                <w:sz w:val="21"/>
                <w:szCs w:val="21"/>
              </w:rPr>
            </w:pPr>
            <w:r w:rsidRPr="008D6210">
              <w:rPr>
                <w:sz w:val="21"/>
                <w:szCs w:val="21"/>
              </w:rPr>
              <w:t>Ja</w:t>
            </w:r>
          </w:p>
        </w:tc>
      </w:tr>
      <w:tr w:rsidR="00E76DC8" w:rsidRPr="00225D4D" w14:paraId="2DE6E0E4"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45CF3D5A"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A71854E" w14:textId="77777777" w:rsidR="00D60186" w:rsidRPr="008D6210" w:rsidRDefault="00D60186" w:rsidP="008D6210">
            <w:pPr>
              <w:ind w:right="113"/>
              <w:jc w:val="right"/>
              <w:rPr>
                <w:sz w:val="21"/>
                <w:szCs w:val="21"/>
              </w:rPr>
            </w:pPr>
            <w:r w:rsidRPr="008D6210">
              <w:rPr>
                <w:sz w:val="21"/>
                <w:szCs w:val="21"/>
              </w:rPr>
              <w:t>1116</w:t>
            </w:r>
          </w:p>
        </w:tc>
        <w:tc>
          <w:tcPr>
            <w:tcW w:w="5600" w:type="dxa"/>
            <w:tcBorders>
              <w:top w:val="nil"/>
              <w:left w:val="nil"/>
              <w:bottom w:val="nil"/>
              <w:right w:val="nil"/>
            </w:tcBorders>
            <w:tcMar>
              <w:top w:w="128" w:type="dxa"/>
              <w:left w:w="43" w:type="dxa"/>
              <w:bottom w:w="43" w:type="dxa"/>
              <w:right w:w="43" w:type="dxa"/>
            </w:tcMar>
          </w:tcPr>
          <w:p w14:paraId="3013D27C" w14:textId="77777777" w:rsidR="00D60186" w:rsidRPr="008D6210" w:rsidRDefault="00D60186" w:rsidP="00225D4D">
            <w:pPr>
              <w:rPr>
                <w:sz w:val="21"/>
                <w:szCs w:val="21"/>
              </w:rPr>
            </w:pPr>
            <w:r w:rsidRPr="008D6210">
              <w:rPr>
                <w:sz w:val="21"/>
                <w:szCs w:val="21"/>
              </w:rPr>
              <w:t xml:space="preserve">Rammevilkår for </w:t>
            </w:r>
            <w:proofErr w:type="spellStart"/>
            <w:r w:rsidRPr="008D6210">
              <w:rPr>
                <w:sz w:val="21"/>
                <w:szCs w:val="21"/>
              </w:rPr>
              <w:t>miljøvenleg</w:t>
            </w:r>
            <w:proofErr w:type="spellEnd"/>
            <w:r w:rsidRPr="008D6210">
              <w:rPr>
                <w:sz w:val="21"/>
                <w:szCs w:val="21"/>
              </w:rPr>
              <w:t xml:space="preserve"> gjødsel, </w:t>
            </w:r>
            <w:proofErr w:type="spellStart"/>
            <w:r w:rsidRPr="008D6210">
              <w:rPr>
                <w:sz w:val="21"/>
                <w:szCs w:val="21"/>
              </w:rPr>
              <w:t>jordforbetring</w:t>
            </w:r>
            <w:proofErr w:type="spellEnd"/>
            <w:r w:rsidRPr="008D6210">
              <w:rPr>
                <w:sz w:val="21"/>
                <w:szCs w:val="21"/>
              </w:rPr>
              <w:t xml:space="preserve"> og </w:t>
            </w:r>
            <w:r w:rsidRPr="008D6210">
              <w:rPr>
                <w:sz w:val="21"/>
                <w:szCs w:val="21"/>
              </w:rPr>
              <w:br/>
              <w:t>bioenergi</w:t>
            </w:r>
          </w:p>
        </w:tc>
        <w:tc>
          <w:tcPr>
            <w:tcW w:w="1560" w:type="dxa"/>
            <w:tcBorders>
              <w:top w:val="nil"/>
              <w:left w:val="nil"/>
              <w:bottom w:val="nil"/>
              <w:right w:val="nil"/>
            </w:tcBorders>
            <w:tcMar>
              <w:top w:w="128" w:type="dxa"/>
              <w:left w:w="43" w:type="dxa"/>
              <w:bottom w:w="43" w:type="dxa"/>
              <w:right w:w="43" w:type="dxa"/>
            </w:tcMar>
            <w:vAlign w:val="bottom"/>
          </w:tcPr>
          <w:p w14:paraId="037EAE06" w14:textId="77777777" w:rsidR="00D60186" w:rsidRPr="008D6210" w:rsidRDefault="00D60186" w:rsidP="008D6210">
            <w:pPr>
              <w:jc w:val="right"/>
              <w:rPr>
                <w:sz w:val="21"/>
                <w:szCs w:val="21"/>
              </w:rPr>
            </w:pPr>
            <w:r w:rsidRPr="008D6210">
              <w:rPr>
                <w:sz w:val="21"/>
                <w:szCs w:val="21"/>
              </w:rPr>
              <w:t>Nei</w:t>
            </w:r>
          </w:p>
        </w:tc>
      </w:tr>
      <w:tr w:rsidR="00E76DC8" w:rsidRPr="00225D4D" w14:paraId="3499B005"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0D4E53F6"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0F7C2A3" w14:textId="77777777" w:rsidR="00D60186" w:rsidRPr="008D6210" w:rsidRDefault="00D60186" w:rsidP="008D6210">
            <w:pPr>
              <w:ind w:right="113"/>
              <w:jc w:val="right"/>
              <w:rPr>
                <w:sz w:val="21"/>
                <w:szCs w:val="21"/>
              </w:rPr>
            </w:pPr>
            <w:r w:rsidRPr="008D6210">
              <w:rPr>
                <w:sz w:val="21"/>
                <w:szCs w:val="21"/>
              </w:rPr>
              <w:t>1115</w:t>
            </w:r>
          </w:p>
        </w:tc>
        <w:tc>
          <w:tcPr>
            <w:tcW w:w="5600" w:type="dxa"/>
            <w:tcBorders>
              <w:top w:val="nil"/>
              <w:left w:val="nil"/>
              <w:bottom w:val="nil"/>
              <w:right w:val="nil"/>
            </w:tcBorders>
            <w:tcMar>
              <w:top w:w="128" w:type="dxa"/>
              <w:left w:w="43" w:type="dxa"/>
              <w:bottom w:w="43" w:type="dxa"/>
              <w:right w:w="43" w:type="dxa"/>
            </w:tcMar>
          </w:tcPr>
          <w:p w14:paraId="0BF29885" w14:textId="77777777" w:rsidR="00D60186" w:rsidRPr="008D6210" w:rsidRDefault="00D60186" w:rsidP="00225D4D">
            <w:pPr>
              <w:rPr>
                <w:sz w:val="21"/>
                <w:szCs w:val="21"/>
              </w:rPr>
            </w:pPr>
            <w:r w:rsidRPr="008D6210">
              <w:rPr>
                <w:sz w:val="21"/>
                <w:szCs w:val="21"/>
              </w:rPr>
              <w:t>Utvikling av grøntsektoren i norsk matproduksjon</w:t>
            </w:r>
          </w:p>
        </w:tc>
        <w:tc>
          <w:tcPr>
            <w:tcW w:w="1560" w:type="dxa"/>
            <w:tcBorders>
              <w:top w:val="nil"/>
              <w:left w:val="nil"/>
              <w:bottom w:val="nil"/>
              <w:right w:val="nil"/>
            </w:tcBorders>
            <w:tcMar>
              <w:top w:w="128" w:type="dxa"/>
              <w:left w:w="43" w:type="dxa"/>
              <w:bottom w:w="43" w:type="dxa"/>
              <w:right w:w="43" w:type="dxa"/>
            </w:tcMar>
            <w:vAlign w:val="bottom"/>
          </w:tcPr>
          <w:p w14:paraId="74D1EDB8" w14:textId="77777777" w:rsidR="00D60186" w:rsidRPr="008D6210" w:rsidRDefault="00D60186" w:rsidP="008D6210">
            <w:pPr>
              <w:jc w:val="right"/>
              <w:rPr>
                <w:sz w:val="21"/>
                <w:szCs w:val="21"/>
              </w:rPr>
            </w:pPr>
            <w:r w:rsidRPr="008D6210">
              <w:rPr>
                <w:sz w:val="21"/>
                <w:szCs w:val="21"/>
              </w:rPr>
              <w:t>Ja</w:t>
            </w:r>
          </w:p>
        </w:tc>
      </w:tr>
      <w:tr w:rsidR="00E76DC8" w:rsidRPr="00225D4D" w14:paraId="634CE627"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0702732E"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04096A81" w14:textId="77777777" w:rsidR="00D60186" w:rsidRPr="008D6210" w:rsidRDefault="00D60186" w:rsidP="008D6210">
            <w:pPr>
              <w:ind w:right="113"/>
              <w:jc w:val="right"/>
              <w:rPr>
                <w:sz w:val="21"/>
                <w:szCs w:val="21"/>
              </w:rPr>
            </w:pPr>
            <w:r w:rsidRPr="008D6210">
              <w:rPr>
                <w:sz w:val="21"/>
                <w:szCs w:val="21"/>
              </w:rPr>
              <w:t>1114</w:t>
            </w:r>
          </w:p>
        </w:tc>
        <w:tc>
          <w:tcPr>
            <w:tcW w:w="5600" w:type="dxa"/>
            <w:tcBorders>
              <w:top w:val="nil"/>
              <w:left w:val="nil"/>
              <w:bottom w:val="nil"/>
              <w:right w:val="nil"/>
            </w:tcBorders>
            <w:tcMar>
              <w:top w:w="128" w:type="dxa"/>
              <w:left w:w="43" w:type="dxa"/>
              <w:bottom w:w="43" w:type="dxa"/>
              <w:right w:w="43" w:type="dxa"/>
            </w:tcMar>
          </w:tcPr>
          <w:p w14:paraId="78479294" w14:textId="77777777" w:rsidR="00D60186" w:rsidRPr="008D6210" w:rsidRDefault="00D60186" w:rsidP="00225D4D">
            <w:pPr>
              <w:rPr>
                <w:sz w:val="21"/>
                <w:szCs w:val="21"/>
              </w:rPr>
            </w:pPr>
            <w:r w:rsidRPr="008D6210">
              <w:rPr>
                <w:sz w:val="21"/>
                <w:szCs w:val="21"/>
              </w:rPr>
              <w:t xml:space="preserve">Sikre at inntektsgapet held fram å </w:t>
            </w:r>
            <w:proofErr w:type="spellStart"/>
            <w:r w:rsidRPr="008D6210">
              <w:rPr>
                <w:sz w:val="21"/>
                <w:szCs w:val="21"/>
              </w:rPr>
              <w:t>vere</w:t>
            </w:r>
            <w:proofErr w:type="spellEnd"/>
            <w:r w:rsidRPr="008D6210">
              <w:rPr>
                <w:sz w:val="21"/>
                <w:szCs w:val="21"/>
              </w:rPr>
              <w:t xml:space="preserve"> tetta framover</w:t>
            </w:r>
          </w:p>
        </w:tc>
        <w:tc>
          <w:tcPr>
            <w:tcW w:w="1560" w:type="dxa"/>
            <w:tcBorders>
              <w:top w:val="nil"/>
              <w:left w:val="nil"/>
              <w:bottom w:val="nil"/>
              <w:right w:val="nil"/>
            </w:tcBorders>
            <w:tcMar>
              <w:top w:w="128" w:type="dxa"/>
              <w:left w:w="43" w:type="dxa"/>
              <w:bottom w:w="43" w:type="dxa"/>
              <w:right w:w="43" w:type="dxa"/>
            </w:tcMar>
            <w:vAlign w:val="bottom"/>
          </w:tcPr>
          <w:p w14:paraId="6CCF2F0D" w14:textId="77777777" w:rsidR="00D60186" w:rsidRPr="008D6210" w:rsidRDefault="00D60186" w:rsidP="008D6210">
            <w:pPr>
              <w:jc w:val="right"/>
              <w:rPr>
                <w:sz w:val="21"/>
                <w:szCs w:val="21"/>
              </w:rPr>
            </w:pPr>
            <w:r w:rsidRPr="008D6210">
              <w:rPr>
                <w:sz w:val="21"/>
                <w:szCs w:val="21"/>
              </w:rPr>
              <w:t>Ja</w:t>
            </w:r>
          </w:p>
        </w:tc>
      </w:tr>
      <w:tr w:rsidR="00E76DC8" w:rsidRPr="00225D4D" w14:paraId="2D5C8474"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18265DAE"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2E4AB30" w14:textId="77777777" w:rsidR="00D60186" w:rsidRPr="008D6210" w:rsidRDefault="00D60186" w:rsidP="008D6210">
            <w:pPr>
              <w:ind w:right="113"/>
              <w:jc w:val="right"/>
              <w:rPr>
                <w:sz w:val="21"/>
                <w:szCs w:val="21"/>
              </w:rPr>
            </w:pPr>
            <w:r w:rsidRPr="008D6210">
              <w:rPr>
                <w:sz w:val="21"/>
                <w:szCs w:val="21"/>
              </w:rPr>
              <w:t>1113</w:t>
            </w:r>
          </w:p>
        </w:tc>
        <w:tc>
          <w:tcPr>
            <w:tcW w:w="5600" w:type="dxa"/>
            <w:tcBorders>
              <w:top w:val="nil"/>
              <w:left w:val="nil"/>
              <w:bottom w:val="nil"/>
              <w:right w:val="nil"/>
            </w:tcBorders>
            <w:tcMar>
              <w:top w:w="128" w:type="dxa"/>
              <w:left w:w="43" w:type="dxa"/>
              <w:bottom w:w="43" w:type="dxa"/>
              <w:right w:w="43" w:type="dxa"/>
            </w:tcMar>
          </w:tcPr>
          <w:p w14:paraId="69881525" w14:textId="77777777" w:rsidR="00D60186" w:rsidRPr="008D6210" w:rsidRDefault="00D60186" w:rsidP="00225D4D">
            <w:pPr>
              <w:rPr>
                <w:sz w:val="21"/>
                <w:szCs w:val="21"/>
              </w:rPr>
            </w:pPr>
            <w:proofErr w:type="spellStart"/>
            <w:r w:rsidRPr="008D6210">
              <w:rPr>
                <w:sz w:val="21"/>
                <w:szCs w:val="21"/>
              </w:rPr>
              <w:t>Auka</w:t>
            </w:r>
            <w:proofErr w:type="spellEnd"/>
            <w:r w:rsidRPr="008D6210">
              <w:rPr>
                <w:sz w:val="21"/>
                <w:szCs w:val="21"/>
              </w:rPr>
              <w:t xml:space="preserve"> verdiskaping i grøntsektoren</w:t>
            </w:r>
          </w:p>
        </w:tc>
        <w:tc>
          <w:tcPr>
            <w:tcW w:w="1560" w:type="dxa"/>
            <w:tcBorders>
              <w:top w:val="nil"/>
              <w:left w:val="nil"/>
              <w:bottom w:val="nil"/>
              <w:right w:val="nil"/>
            </w:tcBorders>
            <w:tcMar>
              <w:top w:w="128" w:type="dxa"/>
              <w:left w:w="43" w:type="dxa"/>
              <w:bottom w:w="43" w:type="dxa"/>
              <w:right w:w="43" w:type="dxa"/>
            </w:tcMar>
            <w:vAlign w:val="bottom"/>
          </w:tcPr>
          <w:p w14:paraId="24A01BF0" w14:textId="77777777" w:rsidR="00D60186" w:rsidRPr="008D6210" w:rsidRDefault="00D60186" w:rsidP="008D6210">
            <w:pPr>
              <w:jc w:val="right"/>
              <w:rPr>
                <w:sz w:val="21"/>
                <w:szCs w:val="21"/>
              </w:rPr>
            </w:pPr>
            <w:r w:rsidRPr="008D6210">
              <w:rPr>
                <w:sz w:val="21"/>
                <w:szCs w:val="21"/>
              </w:rPr>
              <w:t>Ja</w:t>
            </w:r>
          </w:p>
        </w:tc>
      </w:tr>
      <w:tr w:rsidR="00E76DC8" w:rsidRPr="00225D4D" w14:paraId="5A6311EA"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51522DCE"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8B4259B" w14:textId="77777777" w:rsidR="00D60186" w:rsidRPr="008D6210" w:rsidRDefault="00D60186" w:rsidP="008D6210">
            <w:pPr>
              <w:ind w:right="113"/>
              <w:jc w:val="right"/>
              <w:rPr>
                <w:sz w:val="21"/>
                <w:szCs w:val="21"/>
              </w:rPr>
            </w:pPr>
            <w:r w:rsidRPr="008D6210">
              <w:rPr>
                <w:sz w:val="21"/>
                <w:szCs w:val="21"/>
              </w:rPr>
              <w:t>1112</w:t>
            </w:r>
          </w:p>
        </w:tc>
        <w:tc>
          <w:tcPr>
            <w:tcW w:w="5600" w:type="dxa"/>
            <w:tcBorders>
              <w:top w:val="nil"/>
              <w:left w:val="nil"/>
              <w:bottom w:val="nil"/>
              <w:right w:val="nil"/>
            </w:tcBorders>
            <w:tcMar>
              <w:top w:w="128" w:type="dxa"/>
              <w:left w:w="43" w:type="dxa"/>
              <w:bottom w:w="43" w:type="dxa"/>
              <w:right w:w="43" w:type="dxa"/>
            </w:tcMar>
          </w:tcPr>
          <w:p w14:paraId="1213891F" w14:textId="77777777" w:rsidR="00D60186" w:rsidRPr="008D6210" w:rsidRDefault="00D60186" w:rsidP="00225D4D">
            <w:pPr>
              <w:rPr>
                <w:sz w:val="21"/>
                <w:szCs w:val="21"/>
              </w:rPr>
            </w:pPr>
            <w:proofErr w:type="spellStart"/>
            <w:r w:rsidRPr="008D6210">
              <w:rPr>
                <w:sz w:val="21"/>
                <w:szCs w:val="21"/>
              </w:rPr>
              <w:t>Styrkje</w:t>
            </w:r>
            <w:proofErr w:type="spellEnd"/>
            <w:r w:rsidRPr="008D6210">
              <w:rPr>
                <w:sz w:val="21"/>
                <w:szCs w:val="21"/>
              </w:rPr>
              <w:t xml:space="preserve"> satsinga på produksjon av </w:t>
            </w:r>
            <w:proofErr w:type="spellStart"/>
            <w:r w:rsidRPr="008D6210">
              <w:rPr>
                <w:sz w:val="21"/>
                <w:szCs w:val="21"/>
              </w:rPr>
              <w:t>plantevekstar</w:t>
            </w:r>
            <w:proofErr w:type="spellEnd"/>
            <w:r w:rsidRPr="008D6210">
              <w:rPr>
                <w:sz w:val="21"/>
                <w:szCs w:val="21"/>
              </w:rPr>
              <w:t xml:space="preserve"> til mat</w:t>
            </w:r>
          </w:p>
        </w:tc>
        <w:tc>
          <w:tcPr>
            <w:tcW w:w="1560" w:type="dxa"/>
            <w:tcBorders>
              <w:top w:val="nil"/>
              <w:left w:val="nil"/>
              <w:bottom w:val="nil"/>
              <w:right w:val="nil"/>
            </w:tcBorders>
            <w:tcMar>
              <w:top w:w="128" w:type="dxa"/>
              <w:left w:w="43" w:type="dxa"/>
              <w:bottom w:w="43" w:type="dxa"/>
              <w:right w:w="43" w:type="dxa"/>
            </w:tcMar>
            <w:vAlign w:val="bottom"/>
          </w:tcPr>
          <w:p w14:paraId="12802DA0" w14:textId="77777777" w:rsidR="00D60186" w:rsidRPr="008D6210" w:rsidRDefault="00D60186" w:rsidP="008D6210">
            <w:pPr>
              <w:jc w:val="right"/>
              <w:rPr>
                <w:sz w:val="21"/>
                <w:szCs w:val="21"/>
              </w:rPr>
            </w:pPr>
            <w:r w:rsidRPr="008D6210">
              <w:rPr>
                <w:sz w:val="21"/>
                <w:szCs w:val="21"/>
              </w:rPr>
              <w:t>Ja</w:t>
            </w:r>
          </w:p>
        </w:tc>
      </w:tr>
      <w:tr w:rsidR="00E76DC8" w:rsidRPr="00225D4D" w14:paraId="0EDFA073"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25B32017"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3E2E347" w14:textId="77777777" w:rsidR="00D60186" w:rsidRPr="008D6210" w:rsidRDefault="00D60186" w:rsidP="008D6210">
            <w:pPr>
              <w:ind w:right="113"/>
              <w:jc w:val="right"/>
              <w:rPr>
                <w:sz w:val="21"/>
                <w:szCs w:val="21"/>
              </w:rPr>
            </w:pPr>
            <w:r w:rsidRPr="008D6210">
              <w:rPr>
                <w:sz w:val="21"/>
                <w:szCs w:val="21"/>
              </w:rPr>
              <w:t>1095</w:t>
            </w:r>
          </w:p>
        </w:tc>
        <w:tc>
          <w:tcPr>
            <w:tcW w:w="5600" w:type="dxa"/>
            <w:tcBorders>
              <w:top w:val="nil"/>
              <w:left w:val="nil"/>
              <w:bottom w:val="nil"/>
              <w:right w:val="nil"/>
            </w:tcBorders>
            <w:tcMar>
              <w:top w:w="128" w:type="dxa"/>
              <w:left w:w="43" w:type="dxa"/>
              <w:bottom w:w="43" w:type="dxa"/>
              <w:right w:w="43" w:type="dxa"/>
            </w:tcMar>
          </w:tcPr>
          <w:p w14:paraId="1235FB3B" w14:textId="77777777" w:rsidR="00D60186" w:rsidRPr="008D6210" w:rsidRDefault="00D60186" w:rsidP="00225D4D">
            <w:pPr>
              <w:rPr>
                <w:sz w:val="21"/>
                <w:szCs w:val="21"/>
              </w:rPr>
            </w:pPr>
            <w:proofErr w:type="spellStart"/>
            <w:r w:rsidRPr="008D6210">
              <w:rPr>
                <w:sz w:val="21"/>
                <w:szCs w:val="21"/>
              </w:rPr>
              <w:t>Vidareføre</w:t>
            </w:r>
            <w:proofErr w:type="spellEnd"/>
            <w:r w:rsidRPr="008D6210">
              <w:rPr>
                <w:sz w:val="21"/>
                <w:szCs w:val="21"/>
              </w:rPr>
              <w:t xml:space="preserve"> straumstøtte for jordbruks- og veksthusnæringa</w:t>
            </w:r>
          </w:p>
        </w:tc>
        <w:tc>
          <w:tcPr>
            <w:tcW w:w="1560" w:type="dxa"/>
            <w:tcBorders>
              <w:top w:val="nil"/>
              <w:left w:val="nil"/>
              <w:bottom w:val="nil"/>
              <w:right w:val="nil"/>
            </w:tcBorders>
            <w:tcMar>
              <w:top w:w="128" w:type="dxa"/>
              <w:left w:w="43" w:type="dxa"/>
              <w:bottom w:w="43" w:type="dxa"/>
              <w:right w:w="43" w:type="dxa"/>
            </w:tcMar>
            <w:vAlign w:val="bottom"/>
          </w:tcPr>
          <w:p w14:paraId="3BF3B125" w14:textId="77777777" w:rsidR="00D60186" w:rsidRPr="008D6210" w:rsidRDefault="00D60186" w:rsidP="008D6210">
            <w:pPr>
              <w:jc w:val="right"/>
              <w:rPr>
                <w:sz w:val="21"/>
                <w:szCs w:val="21"/>
              </w:rPr>
            </w:pPr>
            <w:r w:rsidRPr="008D6210">
              <w:rPr>
                <w:sz w:val="21"/>
                <w:szCs w:val="21"/>
              </w:rPr>
              <w:t>Ja</w:t>
            </w:r>
          </w:p>
        </w:tc>
      </w:tr>
      <w:tr w:rsidR="00E76DC8" w:rsidRPr="00225D4D" w14:paraId="0F3EADEE"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341B249C"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0583D6E" w14:textId="77777777" w:rsidR="00D60186" w:rsidRPr="008D6210" w:rsidRDefault="00D60186" w:rsidP="008D6210">
            <w:pPr>
              <w:ind w:right="113"/>
              <w:jc w:val="right"/>
              <w:rPr>
                <w:sz w:val="21"/>
                <w:szCs w:val="21"/>
              </w:rPr>
            </w:pPr>
            <w:r w:rsidRPr="008D6210">
              <w:rPr>
                <w:sz w:val="21"/>
                <w:szCs w:val="21"/>
              </w:rPr>
              <w:t>772</w:t>
            </w:r>
          </w:p>
        </w:tc>
        <w:tc>
          <w:tcPr>
            <w:tcW w:w="5600" w:type="dxa"/>
            <w:tcBorders>
              <w:top w:val="nil"/>
              <w:left w:val="nil"/>
              <w:bottom w:val="nil"/>
              <w:right w:val="nil"/>
            </w:tcBorders>
            <w:tcMar>
              <w:top w:w="128" w:type="dxa"/>
              <w:left w:w="43" w:type="dxa"/>
              <w:bottom w:w="43" w:type="dxa"/>
              <w:right w:w="43" w:type="dxa"/>
            </w:tcMar>
          </w:tcPr>
          <w:p w14:paraId="243966C0" w14:textId="77777777" w:rsidR="00D60186" w:rsidRPr="008D6210" w:rsidRDefault="00D60186" w:rsidP="00225D4D">
            <w:pPr>
              <w:rPr>
                <w:sz w:val="21"/>
                <w:szCs w:val="21"/>
              </w:rPr>
            </w:pPr>
            <w:r w:rsidRPr="008D6210">
              <w:rPr>
                <w:sz w:val="21"/>
                <w:szCs w:val="21"/>
              </w:rPr>
              <w:t xml:space="preserve">Lov om </w:t>
            </w:r>
            <w:proofErr w:type="spellStart"/>
            <w:r w:rsidRPr="008D6210">
              <w:rPr>
                <w:sz w:val="21"/>
                <w:szCs w:val="21"/>
              </w:rPr>
              <w:t>førebygging</w:t>
            </w:r>
            <w:proofErr w:type="spellEnd"/>
            <w:r w:rsidRPr="008D6210">
              <w:rPr>
                <w:sz w:val="21"/>
                <w:szCs w:val="21"/>
              </w:rPr>
              <w:t xml:space="preserve"> og reduksjon av matsvinn</w:t>
            </w:r>
          </w:p>
        </w:tc>
        <w:tc>
          <w:tcPr>
            <w:tcW w:w="1560" w:type="dxa"/>
            <w:tcBorders>
              <w:top w:val="nil"/>
              <w:left w:val="nil"/>
              <w:bottom w:val="nil"/>
              <w:right w:val="nil"/>
            </w:tcBorders>
            <w:tcMar>
              <w:top w:w="128" w:type="dxa"/>
              <w:left w:w="43" w:type="dxa"/>
              <w:bottom w:w="43" w:type="dxa"/>
              <w:right w:w="43" w:type="dxa"/>
            </w:tcMar>
            <w:vAlign w:val="bottom"/>
          </w:tcPr>
          <w:p w14:paraId="492799A8" w14:textId="77777777" w:rsidR="00D60186" w:rsidRPr="008D6210" w:rsidRDefault="00D60186" w:rsidP="008D6210">
            <w:pPr>
              <w:jc w:val="right"/>
              <w:rPr>
                <w:sz w:val="21"/>
                <w:szCs w:val="21"/>
              </w:rPr>
            </w:pPr>
            <w:r w:rsidRPr="008D6210">
              <w:rPr>
                <w:sz w:val="21"/>
                <w:szCs w:val="21"/>
              </w:rPr>
              <w:t>Nei</w:t>
            </w:r>
          </w:p>
        </w:tc>
      </w:tr>
      <w:tr w:rsidR="00E76DC8" w:rsidRPr="00225D4D" w14:paraId="0A30B690"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2A34C83"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DBB419C" w14:textId="77777777" w:rsidR="00D60186" w:rsidRPr="008D6210" w:rsidRDefault="00D60186" w:rsidP="008D6210">
            <w:pPr>
              <w:ind w:right="113"/>
              <w:jc w:val="right"/>
              <w:rPr>
                <w:sz w:val="21"/>
                <w:szCs w:val="21"/>
              </w:rPr>
            </w:pPr>
            <w:r w:rsidRPr="008D6210">
              <w:rPr>
                <w:sz w:val="21"/>
                <w:szCs w:val="21"/>
              </w:rPr>
              <w:t>747</w:t>
            </w:r>
          </w:p>
        </w:tc>
        <w:tc>
          <w:tcPr>
            <w:tcW w:w="5600" w:type="dxa"/>
            <w:tcBorders>
              <w:top w:val="nil"/>
              <w:left w:val="nil"/>
              <w:bottom w:val="nil"/>
              <w:right w:val="nil"/>
            </w:tcBorders>
            <w:tcMar>
              <w:top w:w="128" w:type="dxa"/>
              <w:left w:w="43" w:type="dxa"/>
              <w:bottom w:w="43" w:type="dxa"/>
              <w:right w:w="43" w:type="dxa"/>
            </w:tcMar>
          </w:tcPr>
          <w:p w14:paraId="13D0FFFA" w14:textId="77777777" w:rsidR="00D60186" w:rsidRPr="008D6210" w:rsidRDefault="00D60186" w:rsidP="00225D4D">
            <w:pPr>
              <w:rPr>
                <w:sz w:val="21"/>
                <w:szCs w:val="21"/>
              </w:rPr>
            </w:pPr>
            <w:r w:rsidRPr="008D6210">
              <w:rPr>
                <w:sz w:val="21"/>
                <w:szCs w:val="21"/>
              </w:rPr>
              <w:t>Regulering av jakttid for elg i Finnmark</w:t>
            </w:r>
          </w:p>
        </w:tc>
        <w:tc>
          <w:tcPr>
            <w:tcW w:w="1560" w:type="dxa"/>
            <w:tcBorders>
              <w:top w:val="nil"/>
              <w:left w:val="nil"/>
              <w:bottom w:val="nil"/>
              <w:right w:val="nil"/>
            </w:tcBorders>
            <w:tcMar>
              <w:top w:w="128" w:type="dxa"/>
              <w:left w:w="43" w:type="dxa"/>
              <w:bottom w:w="43" w:type="dxa"/>
              <w:right w:w="43" w:type="dxa"/>
            </w:tcMar>
            <w:vAlign w:val="bottom"/>
          </w:tcPr>
          <w:p w14:paraId="53F8C880" w14:textId="77777777" w:rsidR="00D60186" w:rsidRPr="008D6210" w:rsidRDefault="00D60186" w:rsidP="008D6210">
            <w:pPr>
              <w:jc w:val="right"/>
              <w:rPr>
                <w:sz w:val="21"/>
                <w:szCs w:val="21"/>
              </w:rPr>
            </w:pPr>
            <w:r w:rsidRPr="008D6210">
              <w:rPr>
                <w:sz w:val="21"/>
                <w:szCs w:val="21"/>
              </w:rPr>
              <w:t>Ja</w:t>
            </w:r>
          </w:p>
        </w:tc>
      </w:tr>
      <w:tr w:rsidR="00E76DC8" w:rsidRPr="00225D4D" w14:paraId="7938CAC7"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09D8608C"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CFC911B" w14:textId="77777777" w:rsidR="00D60186" w:rsidRPr="008D6210" w:rsidRDefault="00D60186" w:rsidP="008D6210">
            <w:pPr>
              <w:ind w:right="113"/>
              <w:jc w:val="right"/>
              <w:rPr>
                <w:sz w:val="21"/>
                <w:szCs w:val="21"/>
              </w:rPr>
            </w:pPr>
            <w:r w:rsidRPr="008D6210">
              <w:rPr>
                <w:sz w:val="21"/>
                <w:szCs w:val="21"/>
              </w:rPr>
              <w:t>746</w:t>
            </w:r>
          </w:p>
        </w:tc>
        <w:tc>
          <w:tcPr>
            <w:tcW w:w="5600" w:type="dxa"/>
            <w:tcBorders>
              <w:top w:val="nil"/>
              <w:left w:val="nil"/>
              <w:bottom w:val="nil"/>
              <w:right w:val="nil"/>
            </w:tcBorders>
            <w:tcMar>
              <w:top w:w="128" w:type="dxa"/>
              <w:left w:w="43" w:type="dxa"/>
              <w:bottom w:w="43" w:type="dxa"/>
              <w:right w:w="43" w:type="dxa"/>
            </w:tcMar>
          </w:tcPr>
          <w:p w14:paraId="1057A622" w14:textId="77777777" w:rsidR="00D60186" w:rsidRPr="008D6210" w:rsidRDefault="00D60186" w:rsidP="00225D4D">
            <w:pPr>
              <w:rPr>
                <w:sz w:val="21"/>
                <w:szCs w:val="21"/>
              </w:rPr>
            </w:pPr>
            <w:r w:rsidRPr="008D6210">
              <w:rPr>
                <w:sz w:val="21"/>
                <w:szCs w:val="21"/>
              </w:rPr>
              <w:t>Bruk av termiske siktemiddel ved hjortejakt</w:t>
            </w:r>
          </w:p>
        </w:tc>
        <w:tc>
          <w:tcPr>
            <w:tcW w:w="1560" w:type="dxa"/>
            <w:tcBorders>
              <w:top w:val="nil"/>
              <w:left w:val="nil"/>
              <w:bottom w:val="nil"/>
              <w:right w:val="nil"/>
            </w:tcBorders>
            <w:tcMar>
              <w:top w:w="128" w:type="dxa"/>
              <w:left w:w="43" w:type="dxa"/>
              <w:bottom w:w="43" w:type="dxa"/>
              <w:right w:w="43" w:type="dxa"/>
            </w:tcMar>
            <w:vAlign w:val="bottom"/>
          </w:tcPr>
          <w:p w14:paraId="0D8D1A5B" w14:textId="77777777" w:rsidR="00D60186" w:rsidRPr="008D6210" w:rsidRDefault="00D60186" w:rsidP="008D6210">
            <w:pPr>
              <w:jc w:val="right"/>
              <w:rPr>
                <w:sz w:val="21"/>
                <w:szCs w:val="21"/>
              </w:rPr>
            </w:pPr>
            <w:r w:rsidRPr="008D6210">
              <w:rPr>
                <w:sz w:val="21"/>
                <w:szCs w:val="21"/>
              </w:rPr>
              <w:t>Ja</w:t>
            </w:r>
          </w:p>
        </w:tc>
      </w:tr>
      <w:tr w:rsidR="00E76DC8" w:rsidRPr="00225D4D" w14:paraId="5C4C0F07"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12C83D91"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6EE8E29" w14:textId="77777777" w:rsidR="00D60186" w:rsidRPr="008D6210" w:rsidRDefault="00D60186" w:rsidP="008D6210">
            <w:pPr>
              <w:ind w:right="113"/>
              <w:jc w:val="right"/>
              <w:rPr>
                <w:sz w:val="21"/>
                <w:szCs w:val="21"/>
              </w:rPr>
            </w:pPr>
            <w:r w:rsidRPr="008D6210">
              <w:rPr>
                <w:sz w:val="21"/>
                <w:szCs w:val="21"/>
              </w:rPr>
              <w:t>745</w:t>
            </w:r>
          </w:p>
        </w:tc>
        <w:tc>
          <w:tcPr>
            <w:tcW w:w="5600" w:type="dxa"/>
            <w:tcBorders>
              <w:top w:val="nil"/>
              <w:left w:val="nil"/>
              <w:bottom w:val="nil"/>
              <w:right w:val="nil"/>
            </w:tcBorders>
            <w:tcMar>
              <w:top w:w="128" w:type="dxa"/>
              <w:left w:w="43" w:type="dxa"/>
              <w:bottom w:w="43" w:type="dxa"/>
              <w:right w:w="43" w:type="dxa"/>
            </w:tcMar>
          </w:tcPr>
          <w:p w14:paraId="28D0945C" w14:textId="77777777" w:rsidR="00D60186" w:rsidRPr="008D6210" w:rsidRDefault="00D60186" w:rsidP="00225D4D">
            <w:pPr>
              <w:rPr>
                <w:sz w:val="21"/>
                <w:szCs w:val="21"/>
              </w:rPr>
            </w:pPr>
            <w:r w:rsidRPr="008D6210">
              <w:rPr>
                <w:sz w:val="21"/>
                <w:szCs w:val="21"/>
              </w:rPr>
              <w:t>Bruk av drone ved ettersøk av påskutt storvilt</w:t>
            </w:r>
          </w:p>
        </w:tc>
        <w:tc>
          <w:tcPr>
            <w:tcW w:w="1560" w:type="dxa"/>
            <w:tcBorders>
              <w:top w:val="nil"/>
              <w:left w:val="nil"/>
              <w:bottom w:val="nil"/>
              <w:right w:val="nil"/>
            </w:tcBorders>
            <w:tcMar>
              <w:top w:w="128" w:type="dxa"/>
              <w:left w:w="43" w:type="dxa"/>
              <w:bottom w:w="43" w:type="dxa"/>
              <w:right w:w="43" w:type="dxa"/>
            </w:tcMar>
            <w:vAlign w:val="bottom"/>
          </w:tcPr>
          <w:p w14:paraId="64D8629D" w14:textId="77777777" w:rsidR="00D60186" w:rsidRPr="008D6210" w:rsidRDefault="00D60186" w:rsidP="008D6210">
            <w:pPr>
              <w:jc w:val="right"/>
              <w:rPr>
                <w:sz w:val="21"/>
                <w:szCs w:val="21"/>
              </w:rPr>
            </w:pPr>
            <w:r w:rsidRPr="008D6210">
              <w:rPr>
                <w:sz w:val="21"/>
                <w:szCs w:val="21"/>
              </w:rPr>
              <w:t>Ja</w:t>
            </w:r>
          </w:p>
        </w:tc>
      </w:tr>
      <w:tr w:rsidR="00E76DC8" w:rsidRPr="00225D4D" w14:paraId="7030D7FE"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6CE97241"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2D12B56" w14:textId="77777777" w:rsidR="00D60186" w:rsidRPr="008D6210" w:rsidRDefault="00D60186" w:rsidP="008D6210">
            <w:pPr>
              <w:ind w:right="113"/>
              <w:jc w:val="right"/>
              <w:rPr>
                <w:sz w:val="21"/>
                <w:szCs w:val="21"/>
              </w:rPr>
            </w:pPr>
            <w:r w:rsidRPr="008D6210">
              <w:rPr>
                <w:sz w:val="21"/>
                <w:szCs w:val="21"/>
              </w:rPr>
              <w:t>744</w:t>
            </w:r>
          </w:p>
        </w:tc>
        <w:tc>
          <w:tcPr>
            <w:tcW w:w="5600" w:type="dxa"/>
            <w:tcBorders>
              <w:top w:val="nil"/>
              <w:left w:val="nil"/>
              <w:bottom w:val="nil"/>
              <w:right w:val="nil"/>
            </w:tcBorders>
            <w:tcMar>
              <w:top w:w="128" w:type="dxa"/>
              <w:left w:w="43" w:type="dxa"/>
              <w:bottom w:w="43" w:type="dxa"/>
              <w:right w:w="43" w:type="dxa"/>
            </w:tcMar>
          </w:tcPr>
          <w:p w14:paraId="3D7868AB" w14:textId="77777777" w:rsidR="00D60186" w:rsidRPr="008D6210" w:rsidRDefault="00D60186" w:rsidP="00225D4D">
            <w:pPr>
              <w:rPr>
                <w:sz w:val="21"/>
                <w:szCs w:val="21"/>
              </w:rPr>
            </w:pPr>
            <w:r w:rsidRPr="008D6210">
              <w:rPr>
                <w:sz w:val="21"/>
                <w:szCs w:val="21"/>
              </w:rPr>
              <w:t>Krav om merking av feller ved bruk av jegernummer</w:t>
            </w:r>
          </w:p>
        </w:tc>
        <w:tc>
          <w:tcPr>
            <w:tcW w:w="1560" w:type="dxa"/>
            <w:tcBorders>
              <w:top w:val="nil"/>
              <w:left w:val="nil"/>
              <w:bottom w:val="nil"/>
              <w:right w:val="nil"/>
            </w:tcBorders>
            <w:tcMar>
              <w:top w:w="128" w:type="dxa"/>
              <w:left w:w="43" w:type="dxa"/>
              <w:bottom w:w="43" w:type="dxa"/>
              <w:right w:w="43" w:type="dxa"/>
            </w:tcMar>
            <w:vAlign w:val="bottom"/>
          </w:tcPr>
          <w:p w14:paraId="4F544D93" w14:textId="77777777" w:rsidR="00D60186" w:rsidRPr="008D6210" w:rsidRDefault="00D60186" w:rsidP="008D6210">
            <w:pPr>
              <w:jc w:val="right"/>
              <w:rPr>
                <w:sz w:val="21"/>
                <w:szCs w:val="21"/>
              </w:rPr>
            </w:pPr>
            <w:r w:rsidRPr="008D6210">
              <w:rPr>
                <w:sz w:val="21"/>
                <w:szCs w:val="21"/>
              </w:rPr>
              <w:t>Ja</w:t>
            </w:r>
          </w:p>
        </w:tc>
      </w:tr>
      <w:tr w:rsidR="00E76DC8" w:rsidRPr="00225D4D" w14:paraId="3303B136"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1CDB1214"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B5144D6" w14:textId="77777777" w:rsidR="00D60186" w:rsidRPr="008D6210" w:rsidRDefault="00D60186" w:rsidP="008D6210">
            <w:pPr>
              <w:ind w:right="113"/>
              <w:jc w:val="right"/>
              <w:rPr>
                <w:sz w:val="21"/>
                <w:szCs w:val="21"/>
              </w:rPr>
            </w:pPr>
            <w:r w:rsidRPr="008D6210">
              <w:rPr>
                <w:sz w:val="21"/>
                <w:szCs w:val="21"/>
              </w:rPr>
              <w:t>743</w:t>
            </w:r>
          </w:p>
        </w:tc>
        <w:tc>
          <w:tcPr>
            <w:tcW w:w="5600" w:type="dxa"/>
            <w:tcBorders>
              <w:top w:val="nil"/>
              <w:left w:val="nil"/>
              <w:bottom w:val="nil"/>
              <w:right w:val="nil"/>
            </w:tcBorders>
            <w:tcMar>
              <w:top w:w="128" w:type="dxa"/>
              <w:left w:w="43" w:type="dxa"/>
              <w:bottom w:w="43" w:type="dxa"/>
              <w:right w:w="43" w:type="dxa"/>
            </w:tcMar>
          </w:tcPr>
          <w:p w14:paraId="17CA88BB" w14:textId="77777777" w:rsidR="00D60186" w:rsidRPr="008D6210" w:rsidRDefault="00D60186" w:rsidP="00225D4D">
            <w:pPr>
              <w:rPr>
                <w:sz w:val="21"/>
                <w:szCs w:val="21"/>
              </w:rPr>
            </w:pPr>
            <w:proofErr w:type="spellStart"/>
            <w:r w:rsidRPr="008D6210">
              <w:rPr>
                <w:sz w:val="21"/>
                <w:szCs w:val="21"/>
              </w:rPr>
              <w:t>Bandtvang</w:t>
            </w:r>
            <w:proofErr w:type="spellEnd"/>
            <w:r w:rsidRPr="008D6210">
              <w:rPr>
                <w:sz w:val="21"/>
                <w:szCs w:val="21"/>
              </w:rPr>
              <w:t xml:space="preserve"> for </w:t>
            </w:r>
            <w:proofErr w:type="spellStart"/>
            <w:r w:rsidRPr="008D6210">
              <w:rPr>
                <w:sz w:val="21"/>
                <w:szCs w:val="21"/>
              </w:rPr>
              <w:t>førar</w:t>
            </w:r>
            <w:proofErr w:type="spellEnd"/>
            <w:r w:rsidRPr="008D6210">
              <w:rPr>
                <w:sz w:val="21"/>
                <w:szCs w:val="21"/>
              </w:rPr>
              <w:t xml:space="preserve">- og </w:t>
            </w:r>
            <w:proofErr w:type="spellStart"/>
            <w:r w:rsidRPr="008D6210">
              <w:rPr>
                <w:sz w:val="21"/>
                <w:szCs w:val="21"/>
              </w:rPr>
              <w:t>servicehundar</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4FEC303F" w14:textId="77777777" w:rsidR="00D60186" w:rsidRPr="008D6210" w:rsidRDefault="00D60186" w:rsidP="008D6210">
            <w:pPr>
              <w:jc w:val="right"/>
              <w:rPr>
                <w:sz w:val="21"/>
                <w:szCs w:val="21"/>
              </w:rPr>
            </w:pPr>
            <w:r w:rsidRPr="008D6210">
              <w:rPr>
                <w:sz w:val="21"/>
                <w:szCs w:val="21"/>
              </w:rPr>
              <w:t>Ja</w:t>
            </w:r>
          </w:p>
        </w:tc>
      </w:tr>
      <w:tr w:rsidR="00E76DC8" w:rsidRPr="00225D4D" w14:paraId="0EA13A16"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2FB233AB"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274F2CC" w14:textId="77777777" w:rsidR="00D60186" w:rsidRPr="008D6210" w:rsidRDefault="00D60186" w:rsidP="008D6210">
            <w:pPr>
              <w:ind w:right="113"/>
              <w:jc w:val="right"/>
              <w:rPr>
                <w:sz w:val="21"/>
                <w:szCs w:val="21"/>
              </w:rPr>
            </w:pPr>
            <w:r w:rsidRPr="008D6210">
              <w:rPr>
                <w:sz w:val="21"/>
                <w:szCs w:val="21"/>
              </w:rPr>
              <w:t>716</w:t>
            </w:r>
          </w:p>
        </w:tc>
        <w:tc>
          <w:tcPr>
            <w:tcW w:w="5600" w:type="dxa"/>
            <w:tcBorders>
              <w:top w:val="nil"/>
              <w:left w:val="nil"/>
              <w:bottom w:val="nil"/>
              <w:right w:val="nil"/>
            </w:tcBorders>
            <w:tcMar>
              <w:top w:w="128" w:type="dxa"/>
              <w:left w:w="43" w:type="dxa"/>
              <w:bottom w:w="43" w:type="dxa"/>
              <w:right w:w="43" w:type="dxa"/>
            </w:tcMar>
          </w:tcPr>
          <w:p w14:paraId="3B93677B" w14:textId="77777777" w:rsidR="00D60186" w:rsidRPr="008D6210" w:rsidRDefault="00D60186" w:rsidP="00225D4D">
            <w:pPr>
              <w:rPr>
                <w:sz w:val="21"/>
                <w:szCs w:val="21"/>
              </w:rPr>
            </w:pPr>
            <w:proofErr w:type="spellStart"/>
            <w:r w:rsidRPr="008D6210">
              <w:rPr>
                <w:sz w:val="21"/>
                <w:szCs w:val="21"/>
              </w:rPr>
              <w:t>Matkornpartnarskapet</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20F5BEB0" w14:textId="77777777" w:rsidR="00D60186" w:rsidRPr="008D6210" w:rsidRDefault="00D60186" w:rsidP="008D6210">
            <w:pPr>
              <w:jc w:val="right"/>
              <w:rPr>
                <w:sz w:val="21"/>
                <w:szCs w:val="21"/>
              </w:rPr>
            </w:pPr>
            <w:r w:rsidRPr="008D6210">
              <w:rPr>
                <w:sz w:val="21"/>
                <w:szCs w:val="21"/>
              </w:rPr>
              <w:t>Ja</w:t>
            </w:r>
          </w:p>
        </w:tc>
      </w:tr>
      <w:tr w:rsidR="00E76DC8" w:rsidRPr="00225D4D" w14:paraId="35604759"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5A3E10CB"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1A171B6F" w14:textId="77777777" w:rsidR="00D60186" w:rsidRPr="008D6210" w:rsidRDefault="00D60186" w:rsidP="008D6210">
            <w:pPr>
              <w:ind w:right="113"/>
              <w:jc w:val="right"/>
              <w:rPr>
                <w:sz w:val="21"/>
                <w:szCs w:val="21"/>
              </w:rPr>
            </w:pPr>
            <w:r w:rsidRPr="008D6210">
              <w:rPr>
                <w:sz w:val="21"/>
                <w:szCs w:val="21"/>
              </w:rPr>
              <w:t>715</w:t>
            </w:r>
          </w:p>
        </w:tc>
        <w:tc>
          <w:tcPr>
            <w:tcW w:w="5600" w:type="dxa"/>
            <w:tcBorders>
              <w:top w:val="nil"/>
              <w:left w:val="nil"/>
              <w:bottom w:val="nil"/>
              <w:right w:val="nil"/>
            </w:tcBorders>
            <w:tcMar>
              <w:top w:w="128" w:type="dxa"/>
              <w:left w:w="43" w:type="dxa"/>
              <w:bottom w:w="43" w:type="dxa"/>
              <w:right w:w="43" w:type="dxa"/>
            </w:tcMar>
          </w:tcPr>
          <w:p w14:paraId="03842315" w14:textId="77777777" w:rsidR="00D60186" w:rsidRPr="008D6210" w:rsidRDefault="00D60186" w:rsidP="00225D4D">
            <w:pPr>
              <w:rPr>
                <w:sz w:val="21"/>
                <w:szCs w:val="21"/>
              </w:rPr>
            </w:pPr>
            <w:r w:rsidRPr="008D6210">
              <w:rPr>
                <w:sz w:val="21"/>
                <w:szCs w:val="21"/>
              </w:rPr>
              <w:t xml:space="preserve">Strategi for å </w:t>
            </w:r>
            <w:proofErr w:type="spellStart"/>
            <w:r w:rsidRPr="008D6210">
              <w:rPr>
                <w:sz w:val="21"/>
                <w:szCs w:val="21"/>
              </w:rPr>
              <w:t>styrkje</w:t>
            </w:r>
            <w:proofErr w:type="spellEnd"/>
            <w:r w:rsidRPr="008D6210">
              <w:rPr>
                <w:sz w:val="21"/>
                <w:szCs w:val="21"/>
              </w:rPr>
              <w:t xml:space="preserve"> innovasjon og </w:t>
            </w:r>
            <w:proofErr w:type="spellStart"/>
            <w:r w:rsidRPr="008D6210">
              <w:rPr>
                <w:sz w:val="21"/>
                <w:szCs w:val="21"/>
              </w:rPr>
              <w:t>agritech</w:t>
            </w:r>
            <w:proofErr w:type="spellEnd"/>
            <w:r w:rsidRPr="008D6210">
              <w:rPr>
                <w:sz w:val="21"/>
                <w:szCs w:val="21"/>
              </w:rPr>
              <w:t xml:space="preserve"> i norsk </w:t>
            </w:r>
            <w:r w:rsidRPr="008D6210">
              <w:rPr>
                <w:sz w:val="21"/>
                <w:szCs w:val="21"/>
              </w:rPr>
              <w:br/>
              <w:t>landbruk</w:t>
            </w:r>
          </w:p>
        </w:tc>
        <w:tc>
          <w:tcPr>
            <w:tcW w:w="1560" w:type="dxa"/>
            <w:tcBorders>
              <w:top w:val="nil"/>
              <w:left w:val="nil"/>
              <w:bottom w:val="nil"/>
              <w:right w:val="nil"/>
            </w:tcBorders>
            <w:tcMar>
              <w:top w:w="128" w:type="dxa"/>
              <w:left w:w="43" w:type="dxa"/>
              <w:bottom w:w="43" w:type="dxa"/>
              <w:right w:w="43" w:type="dxa"/>
            </w:tcMar>
            <w:vAlign w:val="bottom"/>
          </w:tcPr>
          <w:p w14:paraId="7F42811E" w14:textId="77777777" w:rsidR="00D60186" w:rsidRPr="008D6210" w:rsidRDefault="00D60186" w:rsidP="008D6210">
            <w:pPr>
              <w:jc w:val="right"/>
              <w:rPr>
                <w:sz w:val="21"/>
                <w:szCs w:val="21"/>
              </w:rPr>
            </w:pPr>
            <w:r w:rsidRPr="008D6210">
              <w:rPr>
                <w:sz w:val="21"/>
                <w:szCs w:val="21"/>
              </w:rPr>
              <w:t>Nei</w:t>
            </w:r>
          </w:p>
        </w:tc>
      </w:tr>
      <w:tr w:rsidR="00E76DC8" w:rsidRPr="00225D4D" w14:paraId="757B9ABA"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499DE717"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9B73B51" w14:textId="77777777" w:rsidR="00D60186" w:rsidRPr="008D6210" w:rsidRDefault="00D60186" w:rsidP="008D6210">
            <w:pPr>
              <w:ind w:right="113"/>
              <w:jc w:val="right"/>
              <w:rPr>
                <w:sz w:val="21"/>
                <w:szCs w:val="21"/>
              </w:rPr>
            </w:pPr>
            <w:r w:rsidRPr="008D6210">
              <w:rPr>
                <w:sz w:val="21"/>
                <w:szCs w:val="21"/>
              </w:rPr>
              <w:t>700</w:t>
            </w:r>
          </w:p>
        </w:tc>
        <w:tc>
          <w:tcPr>
            <w:tcW w:w="5600" w:type="dxa"/>
            <w:tcBorders>
              <w:top w:val="nil"/>
              <w:left w:val="nil"/>
              <w:bottom w:val="nil"/>
              <w:right w:val="nil"/>
            </w:tcBorders>
            <w:tcMar>
              <w:top w:w="128" w:type="dxa"/>
              <w:left w:w="43" w:type="dxa"/>
              <w:bottom w:w="43" w:type="dxa"/>
              <w:right w:w="43" w:type="dxa"/>
            </w:tcMar>
          </w:tcPr>
          <w:p w14:paraId="156B63BA" w14:textId="77777777" w:rsidR="00D60186" w:rsidRPr="008D6210" w:rsidRDefault="00D60186" w:rsidP="00225D4D">
            <w:pPr>
              <w:rPr>
                <w:sz w:val="21"/>
                <w:szCs w:val="21"/>
              </w:rPr>
            </w:pPr>
            <w:r w:rsidRPr="008D6210">
              <w:rPr>
                <w:sz w:val="21"/>
                <w:szCs w:val="21"/>
              </w:rPr>
              <w:t>Reindriftslova og tvangsmulkt</w:t>
            </w:r>
          </w:p>
        </w:tc>
        <w:tc>
          <w:tcPr>
            <w:tcW w:w="1560" w:type="dxa"/>
            <w:tcBorders>
              <w:top w:val="nil"/>
              <w:left w:val="nil"/>
              <w:bottom w:val="nil"/>
              <w:right w:val="nil"/>
            </w:tcBorders>
            <w:tcMar>
              <w:top w:w="128" w:type="dxa"/>
              <w:left w:w="43" w:type="dxa"/>
              <w:bottom w:w="43" w:type="dxa"/>
              <w:right w:w="43" w:type="dxa"/>
            </w:tcMar>
            <w:vAlign w:val="bottom"/>
          </w:tcPr>
          <w:p w14:paraId="53DD8D1E" w14:textId="77777777" w:rsidR="00D60186" w:rsidRPr="008D6210" w:rsidRDefault="00D60186" w:rsidP="008D6210">
            <w:pPr>
              <w:jc w:val="right"/>
              <w:rPr>
                <w:sz w:val="21"/>
                <w:szCs w:val="21"/>
              </w:rPr>
            </w:pPr>
            <w:r w:rsidRPr="008D6210">
              <w:rPr>
                <w:sz w:val="21"/>
                <w:szCs w:val="21"/>
              </w:rPr>
              <w:t>Nei</w:t>
            </w:r>
          </w:p>
        </w:tc>
      </w:tr>
      <w:tr w:rsidR="00E76DC8" w:rsidRPr="00225D4D" w14:paraId="61CC69E5"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21EBC1D1"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C77264C" w14:textId="77777777" w:rsidR="00D60186" w:rsidRPr="008D6210" w:rsidRDefault="00D60186" w:rsidP="008D6210">
            <w:pPr>
              <w:ind w:right="113"/>
              <w:jc w:val="right"/>
              <w:rPr>
                <w:sz w:val="21"/>
                <w:szCs w:val="21"/>
              </w:rPr>
            </w:pPr>
            <w:r w:rsidRPr="008D6210">
              <w:rPr>
                <w:sz w:val="21"/>
                <w:szCs w:val="21"/>
              </w:rPr>
              <w:t>645</w:t>
            </w:r>
          </w:p>
        </w:tc>
        <w:tc>
          <w:tcPr>
            <w:tcW w:w="5600" w:type="dxa"/>
            <w:tcBorders>
              <w:top w:val="nil"/>
              <w:left w:val="nil"/>
              <w:bottom w:val="nil"/>
              <w:right w:val="nil"/>
            </w:tcBorders>
            <w:tcMar>
              <w:top w:w="128" w:type="dxa"/>
              <w:left w:w="43" w:type="dxa"/>
              <w:bottom w:w="43" w:type="dxa"/>
              <w:right w:w="43" w:type="dxa"/>
            </w:tcMar>
          </w:tcPr>
          <w:p w14:paraId="3205145E" w14:textId="77777777" w:rsidR="00D60186" w:rsidRPr="008D6210" w:rsidRDefault="00D60186" w:rsidP="00225D4D">
            <w:pPr>
              <w:rPr>
                <w:sz w:val="21"/>
                <w:szCs w:val="21"/>
              </w:rPr>
            </w:pPr>
            <w:r w:rsidRPr="008D6210">
              <w:rPr>
                <w:sz w:val="21"/>
                <w:szCs w:val="21"/>
              </w:rPr>
              <w:t>Lagring av korn på gardsbruk</w:t>
            </w:r>
          </w:p>
        </w:tc>
        <w:tc>
          <w:tcPr>
            <w:tcW w:w="1560" w:type="dxa"/>
            <w:tcBorders>
              <w:top w:val="nil"/>
              <w:left w:val="nil"/>
              <w:bottom w:val="nil"/>
              <w:right w:val="nil"/>
            </w:tcBorders>
            <w:tcMar>
              <w:top w:w="128" w:type="dxa"/>
              <w:left w:w="43" w:type="dxa"/>
              <w:bottom w:w="43" w:type="dxa"/>
              <w:right w:w="43" w:type="dxa"/>
            </w:tcMar>
            <w:vAlign w:val="bottom"/>
          </w:tcPr>
          <w:p w14:paraId="07EB1D37" w14:textId="77777777" w:rsidR="00D60186" w:rsidRPr="008D6210" w:rsidRDefault="00D60186" w:rsidP="008D6210">
            <w:pPr>
              <w:jc w:val="right"/>
              <w:rPr>
                <w:sz w:val="21"/>
                <w:szCs w:val="21"/>
              </w:rPr>
            </w:pPr>
            <w:r w:rsidRPr="008D6210">
              <w:rPr>
                <w:sz w:val="21"/>
                <w:szCs w:val="21"/>
              </w:rPr>
              <w:t>Ja</w:t>
            </w:r>
          </w:p>
        </w:tc>
      </w:tr>
      <w:tr w:rsidR="00E76DC8" w:rsidRPr="00225D4D" w14:paraId="01D57D00"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A0768C1"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094AA9E7" w14:textId="77777777" w:rsidR="00D60186" w:rsidRPr="008D6210" w:rsidRDefault="00D60186" w:rsidP="008D6210">
            <w:pPr>
              <w:ind w:right="113"/>
              <w:jc w:val="right"/>
              <w:rPr>
                <w:sz w:val="21"/>
                <w:szCs w:val="21"/>
              </w:rPr>
            </w:pPr>
            <w:r w:rsidRPr="008D6210">
              <w:rPr>
                <w:sz w:val="21"/>
                <w:szCs w:val="21"/>
              </w:rPr>
              <w:t>568</w:t>
            </w:r>
          </w:p>
        </w:tc>
        <w:tc>
          <w:tcPr>
            <w:tcW w:w="5600" w:type="dxa"/>
            <w:tcBorders>
              <w:top w:val="nil"/>
              <w:left w:val="nil"/>
              <w:bottom w:val="nil"/>
              <w:right w:val="nil"/>
            </w:tcBorders>
            <w:tcMar>
              <w:top w:w="128" w:type="dxa"/>
              <w:left w:w="43" w:type="dxa"/>
              <w:bottom w:w="43" w:type="dxa"/>
              <w:right w:w="43" w:type="dxa"/>
            </w:tcMar>
          </w:tcPr>
          <w:p w14:paraId="1064CB14" w14:textId="77777777" w:rsidR="00D60186" w:rsidRPr="008D6210" w:rsidRDefault="00D60186" w:rsidP="00225D4D">
            <w:pPr>
              <w:rPr>
                <w:sz w:val="21"/>
                <w:szCs w:val="21"/>
              </w:rPr>
            </w:pPr>
            <w:r w:rsidRPr="008D6210">
              <w:rPr>
                <w:sz w:val="21"/>
                <w:szCs w:val="21"/>
              </w:rPr>
              <w:t xml:space="preserve">Ta vare på villgeitene </w:t>
            </w:r>
          </w:p>
        </w:tc>
        <w:tc>
          <w:tcPr>
            <w:tcW w:w="1560" w:type="dxa"/>
            <w:tcBorders>
              <w:top w:val="nil"/>
              <w:left w:val="nil"/>
              <w:bottom w:val="nil"/>
              <w:right w:val="nil"/>
            </w:tcBorders>
            <w:tcMar>
              <w:top w:w="128" w:type="dxa"/>
              <w:left w:w="43" w:type="dxa"/>
              <w:bottom w:w="43" w:type="dxa"/>
              <w:right w:w="43" w:type="dxa"/>
            </w:tcMar>
            <w:vAlign w:val="bottom"/>
          </w:tcPr>
          <w:p w14:paraId="05CF6EAC" w14:textId="77777777" w:rsidR="00D60186" w:rsidRPr="008D6210" w:rsidRDefault="00D60186" w:rsidP="008D6210">
            <w:pPr>
              <w:jc w:val="right"/>
              <w:rPr>
                <w:sz w:val="21"/>
                <w:szCs w:val="21"/>
              </w:rPr>
            </w:pPr>
            <w:r w:rsidRPr="008D6210">
              <w:rPr>
                <w:sz w:val="21"/>
                <w:szCs w:val="21"/>
              </w:rPr>
              <w:t>Ja</w:t>
            </w:r>
          </w:p>
        </w:tc>
      </w:tr>
      <w:tr w:rsidR="00E76DC8" w:rsidRPr="00225D4D" w14:paraId="5153B9E6"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6292B89"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4780C01" w14:textId="77777777" w:rsidR="00D60186" w:rsidRPr="008D6210" w:rsidRDefault="00D60186" w:rsidP="008D6210">
            <w:pPr>
              <w:ind w:right="113"/>
              <w:jc w:val="right"/>
              <w:rPr>
                <w:sz w:val="21"/>
                <w:szCs w:val="21"/>
              </w:rPr>
            </w:pPr>
            <w:r w:rsidRPr="008D6210">
              <w:rPr>
                <w:sz w:val="21"/>
                <w:szCs w:val="21"/>
              </w:rPr>
              <w:t>566</w:t>
            </w:r>
          </w:p>
        </w:tc>
        <w:tc>
          <w:tcPr>
            <w:tcW w:w="5600" w:type="dxa"/>
            <w:tcBorders>
              <w:top w:val="nil"/>
              <w:left w:val="nil"/>
              <w:bottom w:val="nil"/>
              <w:right w:val="nil"/>
            </w:tcBorders>
            <w:tcMar>
              <w:top w:w="128" w:type="dxa"/>
              <w:left w:w="43" w:type="dxa"/>
              <w:bottom w:w="43" w:type="dxa"/>
              <w:right w:w="43" w:type="dxa"/>
            </w:tcMar>
          </w:tcPr>
          <w:p w14:paraId="2C7135B1" w14:textId="77777777" w:rsidR="00D60186" w:rsidRPr="008D6210" w:rsidRDefault="00D60186" w:rsidP="00225D4D">
            <w:pPr>
              <w:rPr>
                <w:sz w:val="21"/>
                <w:szCs w:val="21"/>
              </w:rPr>
            </w:pPr>
            <w:proofErr w:type="spellStart"/>
            <w:r w:rsidRPr="008D6210">
              <w:rPr>
                <w:sz w:val="21"/>
                <w:szCs w:val="21"/>
              </w:rPr>
              <w:t>Naturleg</w:t>
            </w:r>
            <w:proofErr w:type="spellEnd"/>
            <w:r w:rsidRPr="008D6210">
              <w:rPr>
                <w:sz w:val="21"/>
                <w:szCs w:val="21"/>
              </w:rPr>
              <w:t xml:space="preserve"> lys i fjørfefjøs</w:t>
            </w:r>
          </w:p>
        </w:tc>
        <w:tc>
          <w:tcPr>
            <w:tcW w:w="1560" w:type="dxa"/>
            <w:tcBorders>
              <w:top w:val="nil"/>
              <w:left w:val="nil"/>
              <w:bottom w:val="nil"/>
              <w:right w:val="nil"/>
            </w:tcBorders>
            <w:tcMar>
              <w:top w:w="128" w:type="dxa"/>
              <w:left w:w="43" w:type="dxa"/>
              <w:bottom w:w="43" w:type="dxa"/>
              <w:right w:w="43" w:type="dxa"/>
            </w:tcMar>
            <w:vAlign w:val="bottom"/>
          </w:tcPr>
          <w:p w14:paraId="0E258B0A" w14:textId="77777777" w:rsidR="00D60186" w:rsidRPr="008D6210" w:rsidRDefault="00D60186" w:rsidP="008D6210">
            <w:pPr>
              <w:jc w:val="right"/>
              <w:rPr>
                <w:sz w:val="21"/>
                <w:szCs w:val="21"/>
              </w:rPr>
            </w:pPr>
            <w:r w:rsidRPr="008D6210">
              <w:rPr>
                <w:sz w:val="21"/>
                <w:szCs w:val="21"/>
              </w:rPr>
              <w:t>Nei</w:t>
            </w:r>
          </w:p>
        </w:tc>
      </w:tr>
      <w:tr w:rsidR="00E76DC8" w:rsidRPr="00225D4D" w14:paraId="33379733"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140FA066"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689157D" w14:textId="77777777" w:rsidR="00D60186" w:rsidRPr="008D6210" w:rsidRDefault="00D60186" w:rsidP="008D6210">
            <w:pPr>
              <w:ind w:right="113"/>
              <w:jc w:val="right"/>
              <w:rPr>
                <w:sz w:val="21"/>
                <w:szCs w:val="21"/>
              </w:rPr>
            </w:pPr>
            <w:r w:rsidRPr="008D6210">
              <w:rPr>
                <w:sz w:val="21"/>
                <w:szCs w:val="21"/>
              </w:rPr>
              <w:t>565</w:t>
            </w:r>
          </w:p>
        </w:tc>
        <w:tc>
          <w:tcPr>
            <w:tcW w:w="5600" w:type="dxa"/>
            <w:tcBorders>
              <w:top w:val="nil"/>
              <w:left w:val="nil"/>
              <w:bottom w:val="nil"/>
              <w:right w:val="nil"/>
            </w:tcBorders>
            <w:tcMar>
              <w:top w:w="128" w:type="dxa"/>
              <w:left w:w="43" w:type="dxa"/>
              <w:bottom w:w="43" w:type="dxa"/>
              <w:right w:w="43" w:type="dxa"/>
            </w:tcMar>
          </w:tcPr>
          <w:p w14:paraId="440A2B3C" w14:textId="77777777" w:rsidR="00D60186" w:rsidRPr="008D6210" w:rsidRDefault="00D60186" w:rsidP="00225D4D">
            <w:pPr>
              <w:rPr>
                <w:sz w:val="21"/>
                <w:szCs w:val="21"/>
              </w:rPr>
            </w:pPr>
            <w:r w:rsidRPr="008D6210">
              <w:rPr>
                <w:sz w:val="21"/>
                <w:szCs w:val="21"/>
              </w:rPr>
              <w:t>Fiksering av svin</w:t>
            </w:r>
          </w:p>
        </w:tc>
        <w:tc>
          <w:tcPr>
            <w:tcW w:w="1560" w:type="dxa"/>
            <w:tcBorders>
              <w:top w:val="nil"/>
              <w:left w:val="nil"/>
              <w:bottom w:val="nil"/>
              <w:right w:val="nil"/>
            </w:tcBorders>
            <w:tcMar>
              <w:top w:w="128" w:type="dxa"/>
              <w:left w:w="43" w:type="dxa"/>
              <w:bottom w:w="43" w:type="dxa"/>
              <w:right w:w="43" w:type="dxa"/>
            </w:tcMar>
            <w:vAlign w:val="bottom"/>
          </w:tcPr>
          <w:p w14:paraId="552979EF" w14:textId="77777777" w:rsidR="00D60186" w:rsidRPr="008D6210" w:rsidRDefault="00D60186" w:rsidP="008D6210">
            <w:pPr>
              <w:jc w:val="right"/>
              <w:rPr>
                <w:sz w:val="21"/>
                <w:szCs w:val="21"/>
              </w:rPr>
            </w:pPr>
            <w:r w:rsidRPr="008D6210">
              <w:rPr>
                <w:sz w:val="21"/>
                <w:szCs w:val="21"/>
              </w:rPr>
              <w:t>Nei</w:t>
            </w:r>
          </w:p>
        </w:tc>
      </w:tr>
      <w:tr w:rsidR="00E76DC8" w:rsidRPr="00225D4D" w14:paraId="5B8414F5"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6B03D0A"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6222ADB4" w14:textId="77777777" w:rsidR="00D60186" w:rsidRPr="008D6210" w:rsidRDefault="00D60186" w:rsidP="008D6210">
            <w:pPr>
              <w:ind w:right="113"/>
              <w:jc w:val="right"/>
              <w:rPr>
                <w:sz w:val="21"/>
                <w:szCs w:val="21"/>
              </w:rPr>
            </w:pPr>
            <w:r w:rsidRPr="008D6210">
              <w:rPr>
                <w:sz w:val="21"/>
                <w:szCs w:val="21"/>
              </w:rPr>
              <w:t>564</w:t>
            </w:r>
          </w:p>
        </w:tc>
        <w:tc>
          <w:tcPr>
            <w:tcW w:w="5600" w:type="dxa"/>
            <w:tcBorders>
              <w:top w:val="nil"/>
              <w:left w:val="nil"/>
              <w:bottom w:val="nil"/>
              <w:right w:val="nil"/>
            </w:tcBorders>
            <w:tcMar>
              <w:top w:w="128" w:type="dxa"/>
              <w:left w:w="43" w:type="dxa"/>
              <w:bottom w:w="43" w:type="dxa"/>
              <w:right w:w="43" w:type="dxa"/>
            </w:tcMar>
          </w:tcPr>
          <w:p w14:paraId="676EC301" w14:textId="77777777" w:rsidR="00D60186" w:rsidRPr="008D6210" w:rsidRDefault="00D60186" w:rsidP="00225D4D">
            <w:pPr>
              <w:rPr>
                <w:sz w:val="21"/>
                <w:szCs w:val="21"/>
              </w:rPr>
            </w:pPr>
            <w:proofErr w:type="spellStart"/>
            <w:r w:rsidRPr="008D6210">
              <w:rPr>
                <w:sz w:val="21"/>
                <w:szCs w:val="21"/>
              </w:rPr>
              <w:t>Fødebingar</w:t>
            </w:r>
            <w:proofErr w:type="spellEnd"/>
            <w:r w:rsidRPr="008D6210">
              <w:rPr>
                <w:sz w:val="21"/>
                <w:szCs w:val="21"/>
              </w:rPr>
              <w:t xml:space="preserve"> for svin</w:t>
            </w:r>
          </w:p>
        </w:tc>
        <w:tc>
          <w:tcPr>
            <w:tcW w:w="1560" w:type="dxa"/>
            <w:tcBorders>
              <w:top w:val="nil"/>
              <w:left w:val="nil"/>
              <w:bottom w:val="nil"/>
              <w:right w:val="nil"/>
            </w:tcBorders>
            <w:tcMar>
              <w:top w:w="128" w:type="dxa"/>
              <w:left w:w="43" w:type="dxa"/>
              <w:bottom w:w="43" w:type="dxa"/>
              <w:right w:w="43" w:type="dxa"/>
            </w:tcMar>
            <w:vAlign w:val="bottom"/>
          </w:tcPr>
          <w:p w14:paraId="1F3BFDCB" w14:textId="77777777" w:rsidR="00D60186" w:rsidRPr="008D6210" w:rsidRDefault="00D60186" w:rsidP="008D6210">
            <w:pPr>
              <w:jc w:val="right"/>
              <w:rPr>
                <w:sz w:val="21"/>
                <w:szCs w:val="21"/>
              </w:rPr>
            </w:pPr>
            <w:r w:rsidRPr="008D6210">
              <w:rPr>
                <w:sz w:val="21"/>
                <w:szCs w:val="21"/>
              </w:rPr>
              <w:t>Nei</w:t>
            </w:r>
          </w:p>
        </w:tc>
      </w:tr>
      <w:tr w:rsidR="00E76DC8" w:rsidRPr="00225D4D" w14:paraId="1E8E45C3"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524EE64"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4DA680B" w14:textId="77777777" w:rsidR="00D60186" w:rsidRPr="008D6210" w:rsidRDefault="00D60186" w:rsidP="008D6210">
            <w:pPr>
              <w:ind w:right="113"/>
              <w:jc w:val="right"/>
              <w:rPr>
                <w:sz w:val="21"/>
                <w:szCs w:val="21"/>
              </w:rPr>
            </w:pPr>
            <w:r w:rsidRPr="008D6210">
              <w:rPr>
                <w:sz w:val="21"/>
                <w:szCs w:val="21"/>
              </w:rPr>
              <w:t>563</w:t>
            </w:r>
          </w:p>
        </w:tc>
        <w:tc>
          <w:tcPr>
            <w:tcW w:w="5600" w:type="dxa"/>
            <w:tcBorders>
              <w:top w:val="nil"/>
              <w:left w:val="nil"/>
              <w:bottom w:val="nil"/>
              <w:right w:val="nil"/>
            </w:tcBorders>
            <w:tcMar>
              <w:top w:w="128" w:type="dxa"/>
              <w:left w:w="43" w:type="dxa"/>
              <w:bottom w:w="43" w:type="dxa"/>
              <w:right w:w="43" w:type="dxa"/>
            </w:tcMar>
          </w:tcPr>
          <w:p w14:paraId="69D62F42" w14:textId="77777777" w:rsidR="00D60186" w:rsidRPr="008D6210" w:rsidRDefault="00D60186" w:rsidP="00225D4D">
            <w:pPr>
              <w:rPr>
                <w:sz w:val="21"/>
                <w:szCs w:val="21"/>
              </w:rPr>
            </w:pPr>
            <w:r w:rsidRPr="008D6210">
              <w:rPr>
                <w:sz w:val="21"/>
                <w:szCs w:val="21"/>
              </w:rPr>
              <w:t>Gjennomgå og endre forskrift om hald av svin</w:t>
            </w:r>
          </w:p>
        </w:tc>
        <w:tc>
          <w:tcPr>
            <w:tcW w:w="1560" w:type="dxa"/>
            <w:tcBorders>
              <w:top w:val="nil"/>
              <w:left w:val="nil"/>
              <w:bottom w:val="nil"/>
              <w:right w:val="nil"/>
            </w:tcBorders>
            <w:tcMar>
              <w:top w:w="128" w:type="dxa"/>
              <w:left w:w="43" w:type="dxa"/>
              <w:bottom w:w="43" w:type="dxa"/>
              <w:right w:w="43" w:type="dxa"/>
            </w:tcMar>
            <w:vAlign w:val="bottom"/>
          </w:tcPr>
          <w:p w14:paraId="58DFD8D5" w14:textId="77777777" w:rsidR="00D60186" w:rsidRPr="008D6210" w:rsidRDefault="00D60186" w:rsidP="008D6210">
            <w:pPr>
              <w:jc w:val="right"/>
              <w:rPr>
                <w:sz w:val="21"/>
                <w:szCs w:val="21"/>
              </w:rPr>
            </w:pPr>
            <w:r w:rsidRPr="008D6210">
              <w:rPr>
                <w:sz w:val="21"/>
                <w:szCs w:val="21"/>
              </w:rPr>
              <w:t>Nei</w:t>
            </w:r>
          </w:p>
        </w:tc>
      </w:tr>
      <w:tr w:rsidR="00E76DC8" w:rsidRPr="00225D4D" w14:paraId="2D998D2F"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53171046"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36D81D61" w14:textId="77777777" w:rsidR="00D60186" w:rsidRPr="008D6210" w:rsidRDefault="00D60186" w:rsidP="008D6210">
            <w:pPr>
              <w:ind w:right="113"/>
              <w:jc w:val="right"/>
              <w:rPr>
                <w:sz w:val="21"/>
                <w:szCs w:val="21"/>
              </w:rPr>
            </w:pPr>
            <w:r w:rsidRPr="008D6210">
              <w:rPr>
                <w:sz w:val="21"/>
                <w:szCs w:val="21"/>
              </w:rPr>
              <w:t>561</w:t>
            </w:r>
          </w:p>
        </w:tc>
        <w:tc>
          <w:tcPr>
            <w:tcW w:w="5600" w:type="dxa"/>
            <w:tcBorders>
              <w:top w:val="nil"/>
              <w:left w:val="nil"/>
              <w:bottom w:val="nil"/>
              <w:right w:val="nil"/>
            </w:tcBorders>
            <w:tcMar>
              <w:top w:w="128" w:type="dxa"/>
              <w:left w:w="43" w:type="dxa"/>
              <w:bottom w:w="43" w:type="dxa"/>
              <w:right w:w="43" w:type="dxa"/>
            </w:tcMar>
          </w:tcPr>
          <w:p w14:paraId="1BEBE4D0" w14:textId="77777777" w:rsidR="00D60186" w:rsidRPr="008D6210" w:rsidRDefault="00D60186" w:rsidP="00225D4D">
            <w:pPr>
              <w:rPr>
                <w:sz w:val="21"/>
                <w:szCs w:val="21"/>
              </w:rPr>
            </w:pPr>
            <w:proofErr w:type="spellStart"/>
            <w:r w:rsidRPr="008D6210">
              <w:rPr>
                <w:sz w:val="21"/>
                <w:szCs w:val="21"/>
              </w:rPr>
              <w:t>Faktorar</w:t>
            </w:r>
            <w:proofErr w:type="spellEnd"/>
            <w:r w:rsidRPr="008D6210">
              <w:rPr>
                <w:sz w:val="21"/>
                <w:szCs w:val="21"/>
              </w:rPr>
              <w:t xml:space="preserve"> som skal </w:t>
            </w:r>
            <w:proofErr w:type="spellStart"/>
            <w:r w:rsidRPr="008D6210">
              <w:rPr>
                <w:sz w:val="21"/>
                <w:szCs w:val="21"/>
              </w:rPr>
              <w:t>liggje</w:t>
            </w:r>
            <w:proofErr w:type="spellEnd"/>
            <w:r w:rsidRPr="008D6210">
              <w:rPr>
                <w:sz w:val="21"/>
                <w:szCs w:val="21"/>
              </w:rPr>
              <w:t xml:space="preserve"> fast i </w:t>
            </w:r>
            <w:proofErr w:type="spellStart"/>
            <w:r w:rsidRPr="008D6210">
              <w:rPr>
                <w:sz w:val="21"/>
                <w:szCs w:val="21"/>
              </w:rPr>
              <w:t>talgrunnlaget</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43B5B97B" w14:textId="77777777" w:rsidR="00D60186" w:rsidRPr="008D6210" w:rsidRDefault="00D60186" w:rsidP="008D6210">
            <w:pPr>
              <w:jc w:val="right"/>
              <w:rPr>
                <w:sz w:val="21"/>
                <w:szCs w:val="21"/>
              </w:rPr>
            </w:pPr>
            <w:r w:rsidRPr="008D6210">
              <w:rPr>
                <w:sz w:val="21"/>
                <w:szCs w:val="21"/>
              </w:rPr>
              <w:t>Ja</w:t>
            </w:r>
          </w:p>
        </w:tc>
      </w:tr>
      <w:tr w:rsidR="00E76DC8" w:rsidRPr="00225D4D" w14:paraId="1BC1054A"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6CA1452"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417A7C3C" w14:textId="77777777" w:rsidR="00D60186" w:rsidRPr="008D6210" w:rsidRDefault="00D60186" w:rsidP="008D6210">
            <w:pPr>
              <w:ind w:right="113"/>
              <w:jc w:val="right"/>
              <w:rPr>
                <w:sz w:val="21"/>
                <w:szCs w:val="21"/>
              </w:rPr>
            </w:pPr>
            <w:r w:rsidRPr="008D6210">
              <w:rPr>
                <w:sz w:val="21"/>
                <w:szCs w:val="21"/>
              </w:rPr>
              <w:t>560</w:t>
            </w:r>
          </w:p>
        </w:tc>
        <w:tc>
          <w:tcPr>
            <w:tcW w:w="5600" w:type="dxa"/>
            <w:tcBorders>
              <w:top w:val="nil"/>
              <w:left w:val="nil"/>
              <w:bottom w:val="nil"/>
              <w:right w:val="nil"/>
            </w:tcBorders>
            <w:tcMar>
              <w:top w:w="128" w:type="dxa"/>
              <w:left w:w="43" w:type="dxa"/>
              <w:bottom w:w="43" w:type="dxa"/>
              <w:right w:w="43" w:type="dxa"/>
            </w:tcMar>
          </w:tcPr>
          <w:p w14:paraId="12FCD9C0" w14:textId="77777777" w:rsidR="00D60186" w:rsidRPr="008D6210" w:rsidRDefault="00D60186" w:rsidP="00225D4D">
            <w:pPr>
              <w:rPr>
                <w:sz w:val="21"/>
                <w:szCs w:val="21"/>
              </w:rPr>
            </w:pPr>
            <w:r w:rsidRPr="008D6210">
              <w:rPr>
                <w:sz w:val="21"/>
                <w:szCs w:val="21"/>
              </w:rPr>
              <w:t>Prioritering av Nord-</w:t>
            </w:r>
            <w:proofErr w:type="spellStart"/>
            <w:r w:rsidRPr="008D6210">
              <w:rPr>
                <w:sz w:val="21"/>
                <w:szCs w:val="21"/>
              </w:rPr>
              <w:t>Noreg</w:t>
            </w:r>
            <w:proofErr w:type="spellEnd"/>
            <w:r w:rsidRPr="008D6210">
              <w:rPr>
                <w:sz w:val="21"/>
                <w:szCs w:val="21"/>
              </w:rPr>
              <w:t xml:space="preserve"> i </w:t>
            </w:r>
            <w:proofErr w:type="spellStart"/>
            <w:r w:rsidRPr="008D6210">
              <w:rPr>
                <w:sz w:val="21"/>
                <w:szCs w:val="21"/>
              </w:rPr>
              <w:t>jordbruksoppgjeret</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093A46F6" w14:textId="77777777" w:rsidR="00D60186" w:rsidRPr="008D6210" w:rsidRDefault="00D60186" w:rsidP="008D6210">
            <w:pPr>
              <w:jc w:val="right"/>
              <w:rPr>
                <w:sz w:val="21"/>
                <w:szCs w:val="21"/>
              </w:rPr>
            </w:pPr>
            <w:r w:rsidRPr="008D6210">
              <w:rPr>
                <w:sz w:val="21"/>
                <w:szCs w:val="21"/>
              </w:rPr>
              <w:t>Ja</w:t>
            </w:r>
          </w:p>
        </w:tc>
      </w:tr>
      <w:tr w:rsidR="00E76DC8" w:rsidRPr="00225D4D" w14:paraId="2B5913EF"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56F4AB04"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0351AF12" w14:textId="77777777" w:rsidR="00D60186" w:rsidRPr="008D6210" w:rsidRDefault="00D60186" w:rsidP="008D6210">
            <w:pPr>
              <w:ind w:right="113"/>
              <w:jc w:val="right"/>
              <w:rPr>
                <w:sz w:val="21"/>
                <w:szCs w:val="21"/>
              </w:rPr>
            </w:pPr>
            <w:r w:rsidRPr="008D6210">
              <w:rPr>
                <w:sz w:val="21"/>
                <w:szCs w:val="21"/>
              </w:rPr>
              <w:t>559</w:t>
            </w:r>
          </w:p>
        </w:tc>
        <w:tc>
          <w:tcPr>
            <w:tcW w:w="5600" w:type="dxa"/>
            <w:tcBorders>
              <w:top w:val="nil"/>
              <w:left w:val="nil"/>
              <w:bottom w:val="nil"/>
              <w:right w:val="nil"/>
            </w:tcBorders>
            <w:tcMar>
              <w:top w:w="128" w:type="dxa"/>
              <w:left w:w="43" w:type="dxa"/>
              <w:bottom w:w="43" w:type="dxa"/>
              <w:right w:w="43" w:type="dxa"/>
            </w:tcMar>
          </w:tcPr>
          <w:p w14:paraId="6FB5E741" w14:textId="77777777" w:rsidR="00D60186" w:rsidRPr="008D6210" w:rsidRDefault="00D60186" w:rsidP="00225D4D">
            <w:pPr>
              <w:rPr>
                <w:sz w:val="21"/>
                <w:szCs w:val="21"/>
              </w:rPr>
            </w:pPr>
            <w:r w:rsidRPr="008D6210">
              <w:rPr>
                <w:sz w:val="21"/>
                <w:szCs w:val="21"/>
              </w:rPr>
              <w:t xml:space="preserve">Tiltak for </w:t>
            </w:r>
            <w:proofErr w:type="spellStart"/>
            <w:r w:rsidRPr="008D6210">
              <w:rPr>
                <w:sz w:val="21"/>
                <w:szCs w:val="21"/>
              </w:rPr>
              <w:t>auka</w:t>
            </w:r>
            <w:proofErr w:type="spellEnd"/>
            <w:r w:rsidRPr="008D6210">
              <w:rPr>
                <w:sz w:val="21"/>
                <w:szCs w:val="21"/>
              </w:rPr>
              <w:t xml:space="preserve"> etterspørsel økologisk mat</w:t>
            </w:r>
          </w:p>
        </w:tc>
        <w:tc>
          <w:tcPr>
            <w:tcW w:w="1560" w:type="dxa"/>
            <w:tcBorders>
              <w:top w:val="nil"/>
              <w:left w:val="nil"/>
              <w:bottom w:val="nil"/>
              <w:right w:val="nil"/>
            </w:tcBorders>
            <w:tcMar>
              <w:top w:w="128" w:type="dxa"/>
              <w:left w:w="43" w:type="dxa"/>
              <w:bottom w:w="43" w:type="dxa"/>
              <w:right w:w="43" w:type="dxa"/>
            </w:tcMar>
            <w:vAlign w:val="bottom"/>
          </w:tcPr>
          <w:p w14:paraId="30759EC7" w14:textId="77777777" w:rsidR="00D60186" w:rsidRPr="008D6210" w:rsidRDefault="00D60186" w:rsidP="008D6210">
            <w:pPr>
              <w:jc w:val="right"/>
              <w:rPr>
                <w:sz w:val="21"/>
                <w:szCs w:val="21"/>
              </w:rPr>
            </w:pPr>
            <w:r w:rsidRPr="008D6210">
              <w:rPr>
                <w:sz w:val="21"/>
                <w:szCs w:val="21"/>
              </w:rPr>
              <w:t>Ja</w:t>
            </w:r>
          </w:p>
        </w:tc>
      </w:tr>
      <w:tr w:rsidR="00E76DC8" w:rsidRPr="00225D4D" w14:paraId="26D4FC3D"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135E70EC"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291ED0F2" w14:textId="77777777" w:rsidR="00D60186" w:rsidRPr="008D6210" w:rsidRDefault="00D60186" w:rsidP="008D6210">
            <w:pPr>
              <w:ind w:right="113"/>
              <w:jc w:val="right"/>
              <w:rPr>
                <w:sz w:val="21"/>
                <w:szCs w:val="21"/>
              </w:rPr>
            </w:pPr>
            <w:r w:rsidRPr="008D6210">
              <w:rPr>
                <w:sz w:val="21"/>
                <w:szCs w:val="21"/>
              </w:rPr>
              <w:t>558</w:t>
            </w:r>
          </w:p>
        </w:tc>
        <w:tc>
          <w:tcPr>
            <w:tcW w:w="5600" w:type="dxa"/>
            <w:tcBorders>
              <w:top w:val="nil"/>
              <w:left w:val="nil"/>
              <w:bottom w:val="nil"/>
              <w:right w:val="nil"/>
            </w:tcBorders>
            <w:tcMar>
              <w:top w:w="128" w:type="dxa"/>
              <w:left w:w="43" w:type="dxa"/>
              <w:bottom w:w="43" w:type="dxa"/>
              <w:right w:w="43" w:type="dxa"/>
            </w:tcMar>
          </w:tcPr>
          <w:p w14:paraId="1E42AB22" w14:textId="77777777" w:rsidR="00D60186" w:rsidRPr="008D6210" w:rsidRDefault="00D60186" w:rsidP="00225D4D">
            <w:pPr>
              <w:rPr>
                <w:sz w:val="21"/>
                <w:szCs w:val="21"/>
              </w:rPr>
            </w:pPr>
            <w:r w:rsidRPr="008D6210">
              <w:rPr>
                <w:sz w:val="21"/>
                <w:szCs w:val="21"/>
              </w:rPr>
              <w:t>Produksjonsmål økologisk mat</w:t>
            </w:r>
          </w:p>
        </w:tc>
        <w:tc>
          <w:tcPr>
            <w:tcW w:w="1560" w:type="dxa"/>
            <w:tcBorders>
              <w:top w:val="nil"/>
              <w:left w:val="nil"/>
              <w:bottom w:val="nil"/>
              <w:right w:val="nil"/>
            </w:tcBorders>
            <w:tcMar>
              <w:top w:w="128" w:type="dxa"/>
              <w:left w:w="43" w:type="dxa"/>
              <w:bottom w:w="43" w:type="dxa"/>
              <w:right w:w="43" w:type="dxa"/>
            </w:tcMar>
            <w:vAlign w:val="bottom"/>
          </w:tcPr>
          <w:p w14:paraId="7EABFB4F" w14:textId="77777777" w:rsidR="00D60186" w:rsidRPr="008D6210" w:rsidRDefault="00D60186" w:rsidP="008D6210">
            <w:pPr>
              <w:jc w:val="right"/>
              <w:rPr>
                <w:sz w:val="21"/>
                <w:szCs w:val="21"/>
              </w:rPr>
            </w:pPr>
            <w:r w:rsidRPr="008D6210">
              <w:rPr>
                <w:sz w:val="21"/>
                <w:szCs w:val="21"/>
              </w:rPr>
              <w:t>Ja</w:t>
            </w:r>
          </w:p>
        </w:tc>
      </w:tr>
      <w:tr w:rsidR="00E76DC8" w:rsidRPr="00225D4D" w14:paraId="7CA6E789"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53DD716C"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71551E17" w14:textId="77777777" w:rsidR="00D60186" w:rsidRPr="008D6210" w:rsidRDefault="00D60186" w:rsidP="008D6210">
            <w:pPr>
              <w:ind w:right="113"/>
              <w:jc w:val="right"/>
              <w:rPr>
                <w:sz w:val="21"/>
                <w:szCs w:val="21"/>
              </w:rPr>
            </w:pPr>
            <w:r w:rsidRPr="008D6210">
              <w:rPr>
                <w:sz w:val="21"/>
                <w:szCs w:val="21"/>
              </w:rPr>
              <w:t>557</w:t>
            </w:r>
          </w:p>
        </w:tc>
        <w:tc>
          <w:tcPr>
            <w:tcW w:w="5600" w:type="dxa"/>
            <w:tcBorders>
              <w:top w:val="nil"/>
              <w:left w:val="nil"/>
              <w:bottom w:val="nil"/>
              <w:right w:val="nil"/>
            </w:tcBorders>
            <w:tcMar>
              <w:top w:w="128" w:type="dxa"/>
              <w:left w:w="43" w:type="dxa"/>
              <w:bottom w:w="43" w:type="dxa"/>
              <w:right w:w="43" w:type="dxa"/>
            </w:tcMar>
          </w:tcPr>
          <w:p w14:paraId="69703ABC" w14:textId="77777777" w:rsidR="00D60186" w:rsidRPr="008D6210" w:rsidRDefault="00D60186" w:rsidP="00225D4D">
            <w:pPr>
              <w:rPr>
                <w:sz w:val="21"/>
                <w:szCs w:val="21"/>
              </w:rPr>
            </w:pPr>
            <w:r w:rsidRPr="008D6210">
              <w:rPr>
                <w:sz w:val="21"/>
                <w:szCs w:val="21"/>
              </w:rPr>
              <w:t>Jordbrukskonto</w:t>
            </w:r>
          </w:p>
        </w:tc>
        <w:tc>
          <w:tcPr>
            <w:tcW w:w="1560" w:type="dxa"/>
            <w:tcBorders>
              <w:top w:val="nil"/>
              <w:left w:val="nil"/>
              <w:bottom w:val="nil"/>
              <w:right w:val="nil"/>
            </w:tcBorders>
            <w:tcMar>
              <w:top w:w="128" w:type="dxa"/>
              <w:left w:w="43" w:type="dxa"/>
              <w:bottom w:w="43" w:type="dxa"/>
              <w:right w:w="43" w:type="dxa"/>
            </w:tcMar>
            <w:vAlign w:val="bottom"/>
          </w:tcPr>
          <w:p w14:paraId="118A2B2C" w14:textId="77777777" w:rsidR="00D60186" w:rsidRPr="008D6210" w:rsidRDefault="00D60186" w:rsidP="008D6210">
            <w:pPr>
              <w:jc w:val="right"/>
              <w:rPr>
                <w:sz w:val="21"/>
                <w:szCs w:val="21"/>
              </w:rPr>
            </w:pPr>
            <w:r w:rsidRPr="008D6210">
              <w:rPr>
                <w:sz w:val="21"/>
                <w:szCs w:val="21"/>
              </w:rPr>
              <w:t>Ja</w:t>
            </w:r>
          </w:p>
        </w:tc>
      </w:tr>
      <w:tr w:rsidR="00E76DC8" w:rsidRPr="00225D4D" w14:paraId="25FDCB2D"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2A0D6796" w14:textId="77777777" w:rsidR="00D60186" w:rsidRPr="008D6210" w:rsidRDefault="00D60186" w:rsidP="00225D4D">
            <w:pPr>
              <w:rPr>
                <w:sz w:val="21"/>
                <w:szCs w:val="21"/>
              </w:rPr>
            </w:pPr>
            <w:r w:rsidRPr="008D6210">
              <w:rPr>
                <w:sz w:val="21"/>
                <w:szCs w:val="21"/>
              </w:rPr>
              <w:t>2024–2025</w:t>
            </w:r>
          </w:p>
        </w:tc>
        <w:tc>
          <w:tcPr>
            <w:tcW w:w="1280" w:type="dxa"/>
            <w:tcBorders>
              <w:top w:val="nil"/>
              <w:left w:val="nil"/>
              <w:bottom w:val="nil"/>
              <w:right w:val="nil"/>
            </w:tcBorders>
            <w:tcMar>
              <w:top w:w="128" w:type="dxa"/>
              <w:left w:w="43" w:type="dxa"/>
              <w:bottom w:w="43" w:type="dxa"/>
              <w:right w:w="43" w:type="dxa"/>
            </w:tcMar>
          </w:tcPr>
          <w:p w14:paraId="5F4B9FDC" w14:textId="77777777" w:rsidR="00D60186" w:rsidRPr="008D6210" w:rsidRDefault="00D60186" w:rsidP="008D6210">
            <w:pPr>
              <w:ind w:right="113"/>
              <w:jc w:val="right"/>
              <w:rPr>
                <w:sz w:val="21"/>
                <w:szCs w:val="21"/>
              </w:rPr>
            </w:pPr>
            <w:r w:rsidRPr="008D6210">
              <w:rPr>
                <w:sz w:val="21"/>
                <w:szCs w:val="21"/>
              </w:rPr>
              <w:t>556</w:t>
            </w:r>
          </w:p>
        </w:tc>
        <w:tc>
          <w:tcPr>
            <w:tcW w:w="5600" w:type="dxa"/>
            <w:tcBorders>
              <w:top w:val="nil"/>
              <w:left w:val="nil"/>
              <w:bottom w:val="nil"/>
              <w:right w:val="nil"/>
            </w:tcBorders>
            <w:tcMar>
              <w:top w:w="128" w:type="dxa"/>
              <w:left w:w="43" w:type="dxa"/>
              <w:bottom w:w="43" w:type="dxa"/>
              <w:right w:w="43" w:type="dxa"/>
            </w:tcMar>
          </w:tcPr>
          <w:p w14:paraId="7340A7DD" w14:textId="77777777" w:rsidR="00D60186" w:rsidRPr="008D6210" w:rsidRDefault="00D60186" w:rsidP="00225D4D">
            <w:pPr>
              <w:rPr>
                <w:sz w:val="21"/>
                <w:szCs w:val="21"/>
              </w:rPr>
            </w:pPr>
            <w:proofErr w:type="spellStart"/>
            <w:r w:rsidRPr="008D6210">
              <w:rPr>
                <w:sz w:val="21"/>
                <w:szCs w:val="21"/>
              </w:rPr>
              <w:t>Offentleg</w:t>
            </w:r>
            <w:proofErr w:type="spellEnd"/>
            <w:r w:rsidRPr="008D6210">
              <w:rPr>
                <w:sz w:val="21"/>
                <w:szCs w:val="21"/>
              </w:rPr>
              <w:t xml:space="preserve"> </w:t>
            </w:r>
            <w:proofErr w:type="spellStart"/>
            <w:r w:rsidRPr="008D6210">
              <w:rPr>
                <w:sz w:val="21"/>
                <w:szCs w:val="21"/>
              </w:rPr>
              <w:t>utval</w:t>
            </w:r>
            <w:proofErr w:type="spellEnd"/>
            <w:r w:rsidRPr="008D6210">
              <w:rPr>
                <w:sz w:val="21"/>
                <w:szCs w:val="21"/>
              </w:rPr>
              <w:t xml:space="preserve"> om inntekter i jordbruket</w:t>
            </w:r>
          </w:p>
        </w:tc>
        <w:tc>
          <w:tcPr>
            <w:tcW w:w="1560" w:type="dxa"/>
            <w:tcBorders>
              <w:top w:val="nil"/>
              <w:left w:val="nil"/>
              <w:bottom w:val="nil"/>
              <w:right w:val="nil"/>
            </w:tcBorders>
            <w:tcMar>
              <w:top w:w="128" w:type="dxa"/>
              <w:left w:w="43" w:type="dxa"/>
              <w:bottom w:w="43" w:type="dxa"/>
              <w:right w:w="43" w:type="dxa"/>
            </w:tcMar>
            <w:vAlign w:val="bottom"/>
          </w:tcPr>
          <w:p w14:paraId="1274CD89" w14:textId="77777777" w:rsidR="00D60186" w:rsidRPr="008D6210" w:rsidRDefault="00D60186" w:rsidP="008D6210">
            <w:pPr>
              <w:jc w:val="right"/>
              <w:rPr>
                <w:sz w:val="21"/>
                <w:szCs w:val="21"/>
              </w:rPr>
            </w:pPr>
            <w:r w:rsidRPr="008D6210">
              <w:rPr>
                <w:sz w:val="21"/>
                <w:szCs w:val="21"/>
              </w:rPr>
              <w:t>Ja</w:t>
            </w:r>
          </w:p>
        </w:tc>
      </w:tr>
      <w:tr w:rsidR="00E76DC8" w:rsidRPr="00225D4D" w14:paraId="65ADD070"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14683EFD" w14:textId="77777777" w:rsidR="00D60186" w:rsidRPr="008D6210" w:rsidRDefault="00D60186" w:rsidP="00225D4D">
            <w:pPr>
              <w:rPr>
                <w:sz w:val="21"/>
                <w:szCs w:val="21"/>
              </w:rPr>
            </w:pPr>
            <w:r w:rsidRPr="008D6210">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7E4527E1" w14:textId="77777777" w:rsidR="00D60186" w:rsidRPr="008D6210" w:rsidRDefault="00D60186" w:rsidP="008D6210">
            <w:pPr>
              <w:ind w:right="113"/>
              <w:jc w:val="right"/>
              <w:rPr>
                <w:sz w:val="21"/>
                <w:szCs w:val="21"/>
              </w:rPr>
            </w:pPr>
            <w:r w:rsidRPr="008D6210">
              <w:rPr>
                <w:sz w:val="21"/>
                <w:szCs w:val="21"/>
              </w:rPr>
              <w:t>850</w:t>
            </w:r>
          </w:p>
        </w:tc>
        <w:tc>
          <w:tcPr>
            <w:tcW w:w="5600" w:type="dxa"/>
            <w:tcBorders>
              <w:top w:val="nil"/>
              <w:left w:val="nil"/>
              <w:bottom w:val="nil"/>
              <w:right w:val="nil"/>
            </w:tcBorders>
            <w:tcMar>
              <w:top w:w="128" w:type="dxa"/>
              <w:left w:w="43" w:type="dxa"/>
              <w:bottom w:w="43" w:type="dxa"/>
              <w:right w:w="43" w:type="dxa"/>
            </w:tcMar>
          </w:tcPr>
          <w:p w14:paraId="3E17D6E1" w14:textId="77777777" w:rsidR="00D60186" w:rsidRPr="008D6210" w:rsidRDefault="00D60186" w:rsidP="00225D4D">
            <w:pPr>
              <w:rPr>
                <w:sz w:val="21"/>
                <w:szCs w:val="21"/>
              </w:rPr>
            </w:pPr>
            <w:r w:rsidRPr="008D6210">
              <w:rPr>
                <w:sz w:val="21"/>
                <w:szCs w:val="21"/>
              </w:rPr>
              <w:t>Tiltakspakke for å redusere jordbruksareal ute av drift</w:t>
            </w:r>
          </w:p>
        </w:tc>
        <w:tc>
          <w:tcPr>
            <w:tcW w:w="1560" w:type="dxa"/>
            <w:tcBorders>
              <w:top w:val="nil"/>
              <w:left w:val="nil"/>
              <w:bottom w:val="nil"/>
              <w:right w:val="nil"/>
            </w:tcBorders>
            <w:tcMar>
              <w:top w:w="128" w:type="dxa"/>
              <w:left w:w="43" w:type="dxa"/>
              <w:bottom w:w="43" w:type="dxa"/>
              <w:right w:w="43" w:type="dxa"/>
            </w:tcMar>
            <w:vAlign w:val="bottom"/>
          </w:tcPr>
          <w:p w14:paraId="339B3E32" w14:textId="77777777" w:rsidR="00D60186" w:rsidRPr="008D6210" w:rsidRDefault="00D60186" w:rsidP="008D6210">
            <w:pPr>
              <w:jc w:val="right"/>
              <w:rPr>
                <w:sz w:val="21"/>
                <w:szCs w:val="21"/>
              </w:rPr>
            </w:pPr>
            <w:r w:rsidRPr="008D6210">
              <w:rPr>
                <w:sz w:val="21"/>
                <w:szCs w:val="21"/>
              </w:rPr>
              <w:t>Ja</w:t>
            </w:r>
          </w:p>
        </w:tc>
      </w:tr>
      <w:tr w:rsidR="00E76DC8" w:rsidRPr="00225D4D" w14:paraId="23BBE9DE"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58225571" w14:textId="77777777" w:rsidR="00D60186" w:rsidRPr="008D6210" w:rsidRDefault="00D60186" w:rsidP="00225D4D">
            <w:pPr>
              <w:rPr>
                <w:sz w:val="21"/>
                <w:szCs w:val="21"/>
              </w:rPr>
            </w:pPr>
            <w:r w:rsidRPr="008D6210">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3834BA73" w14:textId="77777777" w:rsidR="00D60186" w:rsidRPr="008D6210" w:rsidRDefault="00D60186" w:rsidP="008D6210">
            <w:pPr>
              <w:ind w:right="113"/>
              <w:jc w:val="right"/>
              <w:rPr>
                <w:sz w:val="21"/>
                <w:szCs w:val="21"/>
              </w:rPr>
            </w:pPr>
            <w:r w:rsidRPr="008D6210">
              <w:rPr>
                <w:sz w:val="21"/>
                <w:szCs w:val="21"/>
              </w:rPr>
              <w:t>847</w:t>
            </w:r>
          </w:p>
        </w:tc>
        <w:tc>
          <w:tcPr>
            <w:tcW w:w="5600" w:type="dxa"/>
            <w:tcBorders>
              <w:top w:val="nil"/>
              <w:left w:val="nil"/>
              <w:bottom w:val="nil"/>
              <w:right w:val="nil"/>
            </w:tcBorders>
            <w:tcMar>
              <w:top w:w="128" w:type="dxa"/>
              <w:left w:w="43" w:type="dxa"/>
              <w:bottom w:w="43" w:type="dxa"/>
              <w:right w:w="43" w:type="dxa"/>
            </w:tcMar>
          </w:tcPr>
          <w:p w14:paraId="59E1A4EB" w14:textId="77777777" w:rsidR="00D60186" w:rsidRPr="008D6210" w:rsidRDefault="00D60186" w:rsidP="00225D4D">
            <w:pPr>
              <w:rPr>
                <w:sz w:val="21"/>
                <w:szCs w:val="21"/>
              </w:rPr>
            </w:pPr>
            <w:r w:rsidRPr="008D6210">
              <w:rPr>
                <w:sz w:val="21"/>
                <w:szCs w:val="21"/>
              </w:rPr>
              <w:t xml:space="preserve">Prinsipp for </w:t>
            </w:r>
            <w:proofErr w:type="spellStart"/>
            <w:r w:rsidRPr="008D6210">
              <w:rPr>
                <w:sz w:val="21"/>
                <w:szCs w:val="21"/>
              </w:rPr>
              <w:t>berekning</w:t>
            </w:r>
            <w:proofErr w:type="spellEnd"/>
            <w:r w:rsidRPr="008D6210">
              <w:rPr>
                <w:sz w:val="21"/>
                <w:szCs w:val="21"/>
              </w:rPr>
              <w:t xml:space="preserve"> av inntekt i jordbruket</w:t>
            </w:r>
          </w:p>
        </w:tc>
        <w:tc>
          <w:tcPr>
            <w:tcW w:w="1560" w:type="dxa"/>
            <w:tcBorders>
              <w:top w:val="nil"/>
              <w:left w:val="nil"/>
              <w:bottom w:val="nil"/>
              <w:right w:val="nil"/>
            </w:tcBorders>
            <w:tcMar>
              <w:top w:w="128" w:type="dxa"/>
              <w:left w:w="43" w:type="dxa"/>
              <w:bottom w:w="43" w:type="dxa"/>
              <w:right w:w="43" w:type="dxa"/>
            </w:tcMar>
            <w:vAlign w:val="bottom"/>
          </w:tcPr>
          <w:p w14:paraId="4080AEBA" w14:textId="77777777" w:rsidR="00D60186" w:rsidRPr="008D6210" w:rsidRDefault="00D60186" w:rsidP="008D6210">
            <w:pPr>
              <w:jc w:val="right"/>
              <w:rPr>
                <w:sz w:val="21"/>
                <w:szCs w:val="21"/>
              </w:rPr>
            </w:pPr>
            <w:r w:rsidRPr="008D6210">
              <w:rPr>
                <w:sz w:val="21"/>
                <w:szCs w:val="21"/>
              </w:rPr>
              <w:t>Ja</w:t>
            </w:r>
          </w:p>
        </w:tc>
      </w:tr>
      <w:tr w:rsidR="00E76DC8" w:rsidRPr="00225D4D" w14:paraId="5941A7E5"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B07AA62" w14:textId="77777777" w:rsidR="00D60186" w:rsidRPr="008D6210" w:rsidRDefault="00D60186" w:rsidP="00225D4D">
            <w:pPr>
              <w:rPr>
                <w:sz w:val="21"/>
                <w:szCs w:val="21"/>
              </w:rPr>
            </w:pPr>
            <w:r w:rsidRPr="008D6210">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70206F67" w14:textId="77777777" w:rsidR="00D60186" w:rsidRPr="008D6210" w:rsidRDefault="00D60186" w:rsidP="008D6210">
            <w:pPr>
              <w:ind w:right="113"/>
              <w:jc w:val="right"/>
              <w:rPr>
                <w:sz w:val="21"/>
                <w:szCs w:val="21"/>
              </w:rPr>
            </w:pPr>
            <w:r w:rsidRPr="008D6210">
              <w:rPr>
                <w:sz w:val="21"/>
                <w:szCs w:val="21"/>
              </w:rPr>
              <w:t>846</w:t>
            </w:r>
          </w:p>
        </w:tc>
        <w:tc>
          <w:tcPr>
            <w:tcW w:w="5600" w:type="dxa"/>
            <w:tcBorders>
              <w:top w:val="nil"/>
              <w:left w:val="nil"/>
              <w:bottom w:val="nil"/>
              <w:right w:val="nil"/>
            </w:tcBorders>
            <w:tcMar>
              <w:top w:w="128" w:type="dxa"/>
              <w:left w:w="43" w:type="dxa"/>
              <w:bottom w:w="43" w:type="dxa"/>
              <w:right w:w="43" w:type="dxa"/>
            </w:tcMar>
          </w:tcPr>
          <w:p w14:paraId="275EC1B9" w14:textId="77777777" w:rsidR="00D60186" w:rsidRPr="008D6210" w:rsidRDefault="00D60186" w:rsidP="00225D4D">
            <w:pPr>
              <w:rPr>
                <w:sz w:val="21"/>
                <w:szCs w:val="21"/>
              </w:rPr>
            </w:pPr>
            <w:r w:rsidRPr="008D6210">
              <w:rPr>
                <w:sz w:val="21"/>
                <w:szCs w:val="21"/>
              </w:rPr>
              <w:t>Prisutjamningsordninga for mjølk</w:t>
            </w:r>
          </w:p>
        </w:tc>
        <w:tc>
          <w:tcPr>
            <w:tcW w:w="1560" w:type="dxa"/>
            <w:tcBorders>
              <w:top w:val="nil"/>
              <w:left w:val="nil"/>
              <w:bottom w:val="nil"/>
              <w:right w:val="nil"/>
            </w:tcBorders>
            <w:tcMar>
              <w:top w:w="128" w:type="dxa"/>
              <w:left w:w="43" w:type="dxa"/>
              <w:bottom w:w="43" w:type="dxa"/>
              <w:right w:w="43" w:type="dxa"/>
            </w:tcMar>
            <w:vAlign w:val="bottom"/>
          </w:tcPr>
          <w:p w14:paraId="793AA10F" w14:textId="77777777" w:rsidR="00D60186" w:rsidRPr="008D6210" w:rsidRDefault="00D60186" w:rsidP="008D6210">
            <w:pPr>
              <w:jc w:val="right"/>
              <w:rPr>
                <w:sz w:val="21"/>
                <w:szCs w:val="21"/>
              </w:rPr>
            </w:pPr>
            <w:r w:rsidRPr="008D6210">
              <w:rPr>
                <w:sz w:val="21"/>
                <w:szCs w:val="21"/>
              </w:rPr>
              <w:t>Ja</w:t>
            </w:r>
          </w:p>
        </w:tc>
      </w:tr>
      <w:tr w:rsidR="00E76DC8" w:rsidRPr="00225D4D" w14:paraId="1CDF8944"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46D2E850" w14:textId="77777777" w:rsidR="00D60186" w:rsidRPr="008D6210" w:rsidRDefault="00D60186" w:rsidP="00225D4D">
            <w:pPr>
              <w:rPr>
                <w:sz w:val="21"/>
                <w:szCs w:val="21"/>
              </w:rPr>
            </w:pPr>
            <w:r w:rsidRPr="008D6210">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24272306" w14:textId="77777777" w:rsidR="00D60186" w:rsidRPr="008D6210" w:rsidRDefault="00D60186" w:rsidP="008D6210">
            <w:pPr>
              <w:ind w:right="113"/>
              <w:jc w:val="right"/>
              <w:rPr>
                <w:sz w:val="21"/>
                <w:szCs w:val="21"/>
              </w:rPr>
            </w:pPr>
            <w:r w:rsidRPr="008D6210">
              <w:rPr>
                <w:sz w:val="21"/>
                <w:szCs w:val="21"/>
              </w:rPr>
              <w:t>569</w:t>
            </w:r>
          </w:p>
        </w:tc>
        <w:tc>
          <w:tcPr>
            <w:tcW w:w="5600" w:type="dxa"/>
            <w:tcBorders>
              <w:top w:val="nil"/>
              <w:left w:val="nil"/>
              <w:bottom w:val="nil"/>
              <w:right w:val="nil"/>
            </w:tcBorders>
            <w:tcMar>
              <w:top w:w="128" w:type="dxa"/>
              <w:left w:w="43" w:type="dxa"/>
              <w:bottom w:w="43" w:type="dxa"/>
              <w:right w:w="43" w:type="dxa"/>
            </w:tcMar>
          </w:tcPr>
          <w:p w14:paraId="0C776E7B" w14:textId="77777777" w:rsidR="00D60186" w:rsidRPr="008D6210" w:rsidRDefault="00D60186" w:rsidP="00225D4D">
            <w:pPr>
              <w:rPr>
                <w:sz w:val="21"/>
                <w:szCs w:val="21"/>
              </w:rPr>
            </w:pPr>
            <w:r w:rsidRPr="008D6210">
              <w:rPr>
                <w:sz w:val="21"/>
                <w:szCs w:val="21"/>
              </w:rPr>
              <w:t xml:space="preserve">Gjennomgang av </w:t>
            </w:r>
            <w:proofErr w:type="spellStart"/>
            <w:r w:rsidRPr="008D6210">
              <w:rPr>
                <w:sz w:val="21"/>
                <w:szCs w:val="21"/>
              </w:rPr>
              <w:t>tilskottsystemet</w:t>
            </w:r>
            <w:proofErr w:type="spellEnd"/>
            <w:r w:rsidRPr="008D6210">
              <w:rPr>
                <w:sz w:val="21"/>
                <w:szCs w:val="21"/>
              </w:rPr>
              <w:t xml:space="preserve"> i jordbruket</w:t>
            </w:r>
          </w:p>
        </w:tc>
        <w:tc>
          <w:tcPr>
            <w:tcW w:w="1560" w:type="dxa"/>
            <w:tcBorders>
              <w:top w:val="nil"/>
              <w:left w:val="nil"/>
              <w:bottom w:val="nil"/>
              <w:right w:val="nil"/>
            </w:tcBorders>
            <w:tcMar>
              <w:top w:w="128" w:type="dxa"/>
              <w:left w:w="43" w:type="dxa"/>
              <w:bottom w:w="43" w:type="dxa"/>
              <w:right w:w="43" w:type="dxa"/>
            </w:tcMar>
            <w:vAlign w:val="bottom"/>
          </w:tcPr>
          <w:p w14:paraId="5CD61B3B" w14:textId="77777777" w:rsidR="00D60186" w:rsidRPr="008D6210" w:rsidRDefault="00D60186" w:rsidP="008D6210">
            <w:pPr>
              <w:jc w:val="right"/>
              <w:rPr>
                <w:sz w:val="21"/>
                <w:szCs w:val="21"/>
              </w:rPr>
            </w:pPr>
            <w:r w:rsidRPr="008D6210">
              <w:rPr>
                <w:sz w:val="21"/>
                <w:szCs w:val="21"/>
              </w:rPr>
              <w:t>Ja</w:t>
            </w:r>
          </w:p>
        </w:tc>
      </w:tr>
      <w:tr w:rsidR="00E76DC8" w:rsidRPr="00225D4D" w14:paraId="1FFC7A96"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46A1BF95" w14:textId="77777777" w:rsidR="00D60186" w:rsidRPr="008D6210" w:rsidRDefault="00D60186" w:rsidP="00225D4D">
            <w:pPr>
              <w:rPr>
                <w:sz w:val="21"/>
                <w:szCs w:val="21"/>
              </w:rPr>
            </w:pPr>
            <w:r w:rsidRPr="008D6210">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463F94B7" w14:textId="77777777" w:rsidR="00D60186" w:rsidRPr="008D6210" w:rsidRDefault="00D60186" w:rsidP="008D6210">
            <w:pPr>
              <w:ind w:right="113"/>
              <w:jc w:val="right"/>
              <w:rPr>
                <w:sz w:val="21"/>
                <w:szCs w:val="21"/>
              </w:rPr>
            </w:pPr>
            <w:r w:rsidRPr="008D6210">
              <w:rPr>
                <w:sz w:val="21"/>
                <w:szCs w:val="21"/>
              </w:rPr>
              <w:t>567</w:t>
            </w:r>
          </w:p>
        </w:tc>
        <w:tc>
          <w:tcPr>
            <w:tcW w:w="5600" w:type="dxa"/>
            <w:tcBorders>
              <w:top w:val="nil"/>
              <w:left w:val="nil"/>
              <w:bottom w:val="nil"/>
              <w:right w:val="nil"/>
            </w:tcBorders>
            <w:tcMar>
              <w:top w:w="128" w:type="dxa"/>
              <w:left w:w="43" w:type="dxa"/>
              <w:bottom w:w="43" w:type="dxa"/>
              <w:right w:w="43" w:type="dxa"/>
            </w:tcMar>
          </w:tcPr>
          <w:p w14:paraId="1039054D" w14:textId="77777777" w:rsidR="00D60186" w:rsidRPr="008D6210" w:rsidRDefault="00D60186" w:rsidP="00225D4D">
            <w:pPr>
              <w:rPr>
                <w:sz w:val="21"/>
                <w:szCs w:val="21"/>
              </w:rPr>
            </w:pPr>
            <w:r w:rsidRPr="008D6210">
              <w:rPr>
                <w:sz w:val="21"/>
                <w:szCs w:val="21"/>
              </w:rPr>
              <w:t>Revidert strategi for økologisk landbruk</w:t>
            </w:r>
          </w:p>
        </w:tc>
        <w:tc>
          <w:tcPr>
            <w:tcW w:w="1560" w:type="dxa"/>
            <w:tcBorders>
              <w:top w:val="nil"/>
              <w:left w:val="nil"/>
              <w:bottom w:val="nil"/>
              <w:right w:val="nil"/>
            </w:tcBorders>
            <w:tcMar>
              <w:top w:w="128" w:type="dxa"/>
              <w:left w:w="43" w:type="dxa"/>
              <w:bottom w:w="43" w:type="dxa"/>
              <w:right w:w="43" w:type="dxa"/>
            </w:tcMar>
            <w:vAlign w:val="bottom"/>
          </w:tcPr>
          <w:p w14:paraId="768D261F" w14:textId="77777777" w:rsidR="00D60186" w:rsidRPr="008D6210" w:rsidRDefault="00D60186" w:rsidP="008D6210">
            <w:pPr>
              <w:jc w:val="right"/>
              <w:rPr>
                <w:sz w:val="21"/>
                <w:szCs w:val="21"/>
              </w:rPr>
            </w:pPr>
            <w:r w:rsidRPr="008D6210">
              <w:rPr>
                <w:sz w:val="21"/>
                <w:szCs w:val="21"/>
              </w:rPr>
              <w:t>Ja</w:t>
            </w:r>
          </w:p>
        </w:tc>
      </w:tr>
      <w:tr w:rsidR="00E76DC8" w:rsidRPr="00225D4D" w14:paraId="7BF4C105"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33F781C4" w14:textId="77777777" w:rsidR="00D60186" w:rsidRPr="008D6210" w:rsidRDefault="00D60186" w:rsidP="00225D4D">
            <w:pPr>
              <w:rPr>
                <w:sz w:val="21"/>
                <w:szCs w:val="21"/>
              </w:rPr>
            </w:pPr>
            <w:r w:rsidRPr="008D6210">
              <w:rPr>
                <w:sz w:val="21"/>
                <w:szCs w:val="21"/>
              </w:rPr>
              <w:t>2023–2024</w:t>
            </w:r>
          </w:p>
        </w:tc>
        <w:tc>
          <w:tcPr>
            <w:tcW w:w="1280" w:type="dxa"/>
            <w:tcBorders>
              <w:top w:val="nil"/>
              <w:left w:val="nil"/>
              <w:bottom w:val="nil"/>
              <w:right w:val="nil"/>
            </w:tcBorders>
            <w:tcMar>
              <w:top w:w="128" w:type="dxa"/>
              <w:left w:w="43" w:type="dxa"/>
              <w:bottom w:w="43" w:type="dxa"/>
              <w:right w:w="43" w:type="dxa"/>
            </w:tcMar>
          </w:tcPr>
          <w:p w14:paraId="393A1BAA" w14:textId="77777777" w:rsidR="00D60186" w:rsidRPr="008D6210" w:rsidRDefault="00D60186" w:rsidP="008D6210">
            <w:pPr>
              <w:ind w:right="113"/>
              <w:jc w:val="right"/>
              <w:rPr>
                <w:sz w:val="21"/>
                <w:szCs w:val="21"/>
              </w:rPr>
            </w:pPr>
            <w:r w:rsidRPr="008D6210">
              <w:rPr>
                <w:sz w:val="21"/>
                <w:szCs w:val="21"/>
              </w:rPr>
              <w:t>566</w:t>
            </w:r>
          </w:p>
        </w:tc>
        <w:tc>
          <w:tcPr>
            <w:tcW w:w="5600" w:type="dxa"/>
            <w:tcBorders>
              <w:top w:val="nil"/>
              <w:left w:val="nil"/>
              <w:bottom w:val="nil"/>
              <w:right w:val="nil"/>
            </w:tcBorders>
            <w:tcMar>
              <w:top w:w="128" w:type="dxa"/>
              <w:left w:w="43" w:type="dxa"/>
              <w:bottom w:w="43" w:type="dxa"/>
              <w:right w:w="43" w:type="dxa"/>
            </w:tcMar>
          </w:tcPr>
          <w:p w14:paraId="05440BF9" w14:textId="77777777" w:rsidR="00D60186" w:rsidRPr="008D6210" w:rsidRDefault="00D60186" w:rsidP="00225D4D">
            <w:pPr>
              <w:rPr>
                <w:sz w:val="21"/>
                <w:szCs w:val="21"/>
              </w:rPr>
            </w:pPr>
            <w:r w:rsidRPr="008D6210">
              <w:rPr>
                <w:sz w:val="21"/>
                <w:szCs w:val="21"/>
              </w:rPr>
              <w:t xml:space="preserve">Plan for </w:t>
            </w:r>
            <w:proofErr w:type="spellStart"/>
            <w:r w:rsidRPr="008D6210">
              <w:rPr>
                <w:sz w:val="21"/>
                <w:szCs w:val="21"/>
              </w:rPr>
              <w:t>meir</w:t>
            </w:r>
            <w:proofErr w:type="spellEnd"/>
            <w:r w:rsidRPr="008D6210">
              <w:rPr>
                <w:sz w:val="21"/>
                <w:szCs w:val="21"/>
              </w:rPr>
              <w:t xml:space="preserve"> plantebasert mat</w:t>
            </w:r>
          </w:p>
        </w:tc>
        <w:tc>
          <w:tcPr>
            <w:tcW w:w="1560" w:type="dxa"/>
            <w:tcBorders>
              <w:top w:val="nil"/>
              <w:left w:val="nil"/>
              <w:bottom w:val="nil"/>
              <w:right w:val="nil"/>
            </w:tcBorders>
            <w:tcMar>
              <w:top w:w="128" w:type="dxa"/>
              <w:left w:w="43" w:type="dxa"/>
              <w:bottom w:w="43" w:type="dxa"/>
              <w:right w:w="43" w:type="dxa"/>
            </w:tcMar>
            <w:vAlign w:val="bottom"/>
          </w:tcPr>
          <w:p w14:paraId="1E8C0050" w14:textId="77777777" w:rsidR="00D60186" w:rsidRPr="008D6210" w:rsidRDefault="00D60186" w:rsidP="008D6210">
            <w:pPr>
              <w:jc w:val="right"/>
              <w:rPr>
                <w:sz w:val="21"/>
                <w:szCs w:val="21"/>
              </w:rPr>
            </w:pPr>
            <w:r w:rsidRPr="008D6210">
              <w:rPr>
                <w:sz w:val="21"/>
                <w:szCs w:val="21"/>
              </w:rPr>
              <w:t>Ja</w:t>
            </w:r>
          </w:p>
        </w:tc>
      </w:tr>
      <w:tr w:rsidR="00E76DC8" w:rsidRPr="00225D4D" w14:paraId="0518265A"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79DD35A" w14:textId="77777777" w:rsidR="00D60186" w:rsidRPr="008D6210" w:rsidRDefault="00D60186" w:rsidP="00225D4D">
            <w:pPr>
              <w:rPr>
                <w:sz w:val="21"/>
                <w:szCs w:val="21"/>
              </w:rPr>
            </w:pPr>
            <w:r w:rsidRPr="008D6210">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7CC20B51" w14:textId="77777777" w:rsidR="00D60186" w:rsidRPr="008D6210" w:rsidRDefault="00D60186" w:rsidP="008D6210">
            <w:pPr>
              <w:ind w:right="113"/>
              <w:jc w:val="right"/>
              <w:rPr>
                <w:sz w:val="21"/>
                <w:szCs w:val="21"/>
              </w:rPr>
            </w:pPr>
            <w:r w:rsidRPr="008D6210">
              <w:rPr>
                <w:sz w:val="21"/>
                <w:szCs w:val="21"/>
              </w:rPr>
              <w:t>702</w:t>
            </w:r>
          </w:p>
        </w:tc>
        <w:tc>
          <w:tcPr>
            <w:tcW w:w="5600" w:type="dxa"/>
            <w:tcBorders>
              <w:top w:val="nil"/>
              <w:left w:val="nil"/>
              <w:bottom w:val="nil"/>
              <w:right w:val="nil"/>
            </w:tcBorders>
            <w:tcMar>
              <w:top w:w="128" w:type="dxa"/>
              <w:left w:w="43" w:type="dxa"/>
              <w:bottom w:w="43" w:type="dxa"/>
              <w:right w:w="43" w:type="dxa"/>
            </w:tcMar>
          </w:tcPr>
          <w:p w14:paraId="3B392AB9" w14:textId="77777777" w:rsidR="00D60186" w:rsidRPr="008D6210" w:rsidRDefault="00D60186" w:rsidP="00225D4D">
            <w:pPr>
              <w:rPr>
                <w:sz w:val="21"/>
                <w:szCs w:val="21"/>
              </w:rPr>
            </w:pPr>
            <w:proofErr w:type="spellStart"/>
            <w:r w:rsidRPr="008D6210">
              <w:rPr>
                <w:sz w:val="21"/>
                <w:szCs w:val="21"/>
              </w:rPr>
              <w:t>Strengare</w:t>
            </w:r>
            <w:proofErr w:type="spellEnd"/>
            <w:r w:rsidRPr="008D6210">
              <w:rPr>
                <w:sz w:val="21"/>
                <w:szCs w:val="21"/>
              </w:rPr>
              <w:t xml:space="preserve"> straff for </w:t>
            </w:r>
            <w:proofErr w:type="spellStart"/>
            <w:r w:rsidRPr="008D6210">
              <w:rPr>
                <w:sz w:val="21"/>
                <w:szCs w:val="21"/>
              </w:rPr>
              <w:t>alvorleg</w:t>
            </w:r>
            <w:proofErr w:type="spellEnd"/>
            <w:r w:rsidRPr="008D6210">
              <w:rPr>
                <w:sz w:val="21"/>
                <w:szCs w:val="21"/>
              </w:rPr>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1B28BE45" w14:textId="77777777" w:rsidR="00D60186" w:rsidRPr="008D6210" w:rsidRDefault="00D60186" w:rsidP="008D6210">
            <w:pPr>
              <w:jc w:val="right"/>
              <w:rPr>
                <w:sz w:val="21"/>
                <w:szCs w:val="21"/>
              </w:rPr>
            </w:pPr>
            <w:r w:rsidRPr="008D6210">
              <w:rPr>
                <w:sz w:val="21"/>
                <w:szCs w:val="21"/>
              </w:rPr>
              <w:t>Ja</w:t>
            </w:r>
          </w:p>
        </w:tc>
      </w:tr>
      <w:tr w:rsidR="00E76DC8" w:rsidRPr="00225D4D" w14:paraId="16817E78"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0A83F08A" w14:textId="77777777" w:rsidR="00D60186" w:rsidRPr="008D6210" w:rsidRDefault="00D60186" w:rsidP="00225D4D">
            <w:pPr>
              <w:rPr>
                <w:sz w:val="21"/>
                <w:szCs w:val="21"/>
              </w:rPr>
            </w:pPr>
            <w:r w:rsidRPr="008D6210">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02AF8733" w14:textId="77777777" w:rsidR="00D60186" w:rsidRPr="008D6210" w:rsidRDefault="00D60186" w:rsidP="008D6210">
            <w:pPr>
              <w:ind w:right="113"/>
              <w:jc w:val="right"/>
              <w:rPr>
                <w:sz w:val="21"/>
                <w:szCs w:val="21"/>
              </w:rPr>
            </w:pPr>
            <w:r w:rsidRPr="008D6210">
              <w:rPr>
                <w:sz w:val="21"/>
                <w:szCs w:val="21"/>
              </w:rPr>
              <w:t>701</w:t>
            </w:r>
          </w:p>
        </w:tc>
        <w:tc>
          <w:tcPr>
            <w:tcW w:w="5600" w:type="dxa"/>
            <w:tcBorders>
              <w:top w:val="nil"/>
              <w:left w:val="nil"/>
              <w:bottom w:val="nil"/>
              <w:right w:val="nil"/>
            </w:tcBorders>
            <w:tcMar>
              <w:top w:w="128" w:type="dxa"/>
              <w:left w:w="43" w:type="dxa"/>
              <w:bottom w:w="43" w:type="dxa"/>
              <w:right w:w="43" w:type="dxa"/>
            </w:tcMar>
          </w:tcPr>
          <w:p w14:paraId="22E25152" w14:textId="77777777" w:rsidR="00D60186" w:rsidRPr="008D6210" w:rsidRDefault="00D60186" w:rsidP="00225D4D">
            <w:pPr>
              <w:rPr>
                <w:sz w:val="21"/>
                <w:szCs w:val="21"/>
              </w:rPr>
            </w:pPr>
            <w:proofErr w:type="spellStart"/>
            <w:r w:rsidRPr="008D6210">
              <w:rPr>
                <w:sz w:val="21"/>
                <w:szCs w:val="21"/>
              </w:rPr>
              <w:t>Strengare</w:t>
            </w:r>
            <w:proofErr w:type="spellEnd"/>
            <w:r w:rsidRPr="008D6210">
              <w:rPr>
                <w:sz w:val="21"/>
                <w:szCs w:val="21"/>
              </w:rPr>
              <w:t xml:space="preserve"> straff for </w:t>
            </w:r>
            <w:proofErr w:type="spellStart"/>
            <w:r w:rsidRPr="008D6210">
              <w:rPr>
                <w:sz w:val="21"/>
                <w:szCs w:val="21"/>
              </w:rPr>
              <w:t>alvorleg</w:t>
            </w:r>
            <w:proofErr w:type="spellEnd"/>
            <w:r w:rsidRPr="008D6210">
              <w:rPr>
                <w:sz w:val="21"/>
                <w:szCs w:val="21"/>
              </w:rPr>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5F568D8F" w14:textId="77777777" w:rsidR="00D60186" w:rsidRPr="008D6210" w:rsidRDefault="00D60186" w:rsidP="008D6210">
            <w:pPr>
              <w:jc w:val="right"/>
              <w:rPr>
                <w:sz w:val="21"/>
                <w:szCs w:val="21"/>
              </w:rPr>
            </w:pPr>
            <w:r w:rsidRPr="008D6210">
              <w:rPr>
                <w:sz w:val="21"/>
                <w:szCs w:val="21"/>
              </w:rPr>
              <w:t>Ja</w:t>
            </w:r>
          </w:p>
        </w:tc>
      </w:tr>
      <w:tr w:rsidR="00E76DC8" w:rsidRPr="00225D4D" w14:paraId="5E763A20"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00DD7B11" w14:textId="77777777" w:rsidR="00D60186" w:rsidRPr="008D6210" w:rsidRDefault="00D60186" w:rsidP="00225D4D">
            <w:pPr>
              <w:rPr>
                <w:sz w:val="21"/>
                <w:szCs w:val="21"/>
              </w:rPr>
            </w:pPr>
            <w:r w:rsidRPr="008D6210">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4BC6FADD" w14:textId="77777777" w:rsidR="00D60186" w:rsidRPr="008D6210" w:rsidRDefault="00D60186" w:rsidP="008D6210">
            <w:pPr>
              <w:ind w:right="113"/>
              <w:jc w:val="right"/>
              <w:rPr>
                <w:sz w:val="21"/>
                <w:szCs w:val="21"/>
              </w:rPr>
            </w:pPr>
            <w:r w:rsidRPr="008D6210">
              <w:rPr>
                <w:sz w:val="21"/>
                <w:szCs w:val="21"/>
              </w:rPr>
              <w:t>700</w:t>
            </w:r>
          </w:p>
        </w:tc>
        <w:tc>
          <w:tcPr>
            <w:tcW w:w="5600" w:type="dxa"/>
            <w:tcBorders>
              <w:top w:val="nil"/>
              <w:left w:val="nil"/>
              <w:bottom w:val="nil"/>
              <w:right w:val="nil"/>
            </w:tcBorders>
            <w:tcMar>
              <w:top w:w="128" w:type="dxa"/>
              <w:left w:w="43" w:type="dxa"/>
              <w:bottom w:w="43" w:type="dxa"/>
              <w:right w:w="43" w:type="dxa"/>
            </w:tcMar>
          </w:tcPr>
          <w:p w14:paraId="2B92D943" w14:textId="77777777" w:rsidR="00D60186" w:rsidRPr="008D6210" w:rsidRDefault="00D60186" w:rsidP="00225D4D">
            <w:pPr>
              <w:rPr>
                <w:sz w:val="21"/>
                <w:szCs w:val="21"/>
              </w:rPr>
            </w:pPr>
            <w:proofErr w:type="spellStart"/>
            <w:r w:rsidRPr="008D6210">
              <w:rPr>
                <w:sz w:val="21"/>
                <w:szCs w:val="21"/>
              </w:rPr>
              <w:t>Strengare</w:t>
            </w:r>
            <w:proofErr w:type="spellEnd"/>
            <w:r w:rsidRPr="008D6210">
              <w:rPr>
                <w:sz w:val="21"/>
                <w:szCs w:val="21"/>
              </w:rPr>
              <w:t xml:space="preserve"> straff for </w:t>
            </w:r>
            <w:proofErr w:type="spellStart"/>
            <w:r w:rsidRPr="008D6210">
              <w:rPr>
                <w:sz w:val="21"/>
                <w:szCs w:val="21"/>
              </w:rPr>
              <w:t>alvorleg</w:t>
            </w:r>
            <w:proofErr w:type="spellEnd"/>
            <w:r w:rsidRPr="008D6210">
              <w:rPr>
                <w:sz w:val="21"/>
                <w:szCs w:val="21"/>
              </w:rPr>
              <w:t xml:space="preserve"> dyrekriminalitet</w:t>
            </w:r>
          </w:p>
        </w:tc>
        <w:tc>
          <w:tcPr>
            <w:tcW w:w="1560" w:type="dxa"/>
            <w:tcBorders>
              <w:top w:val="nil"/>
              <w:left w:val="nil"/>
              <w:bottom w:val="nil"/>
              <w:right w:val="nil"/>
            </w:tcBorders>
            <w:tcMar>
              <w:top w:w="128" w:type="dxa"/>
              <w:left w:w="43" w:type="dxa"/>
              <w:bottom w:w="43" w:type="dxa"/>
              <w:right w:w="43" w:type="dxa"/>
            </w:tcMar>
            <w:vAlign w:val="bottom"/>
          </w:tcPr>
          <w:p w14:paraId="3BA5B0A3" w14:textId="77777777" w:rsidR="00D60186" w:rsidRPr="008D6210" w:rsidRDefault="00D60186" w:rsidP="008D6210">
            <w:pPr>
              <w:jc w:val="right"/>
              <w:rPr>
                <w:sz w:val="21"/>
                <w:szCs w:val="21"/>
              </w:rPr>
            </w:pPr>
            <w:r w:rsidRPr="008D6210">
              <w:rPr>
                <w:sz w:val="21"/>
                <w:szCs w:val="21"/>
              </w:rPr>
              <w:t>Nei</w:t>
            </w:r>
          </w:p>
        </w:tc>
      </w:tr>
      <w:tr w:rsidR="00E76DC8" w:rsidRPr="00225D4D" w14:paraId="0FACBFEA"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8A0C074" w14:textId="77777777" w:rsidR="00D60186" w:rsidRPr="008D6210" w:rsidRDefault="00D60186" w:rsidP="00225D4D">
            <w:pPr>
              <w:rPr>
                <w:sz w:val="21"/>
                <w:szCs w:val="21"/>
              </w:rPr>
            </w:pPr>
            <w:r w:rsidRPr="008D6210">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4A041262" w14:textId="77777777" w:rsidR="00D60186" w:rsidRPr="008D6210" w:rsidRDefault="00D60186" w:rsidP="008D6210">
            <w:pPr>
              <w:ind w:right="113"/>
              <w:jc w:val="right"/>
              <w:rPr>
                <w:sz w:val="21"/>
                <w:szCs w:val="21"/>
              </w:rPr>
            </w:pPr>
            <w:r w:rsidRPr="008D6210">
              <w:rPr>
                <w:sz w:val="21"/>
                <w:szCs w:val="21"/>
              </w:rPr>
              <w:t>519</w:t>
            </w:r>
          </w:p>
        </w:tc>
        <w:tc>
          <w:tcPr>
            <w:tcW w:w="5600" w:type="dxa"/>
            <w:tcBorders>
              <w:top w:val="nil"/>
              <w:left w:val="nil"/>
              <w:bottom w:val="nil"/>
              <w:right w:val="nil"/>
            </w:tcBorders>
            <w:tcMar>
              <w:top w:w="128" w:type="dxa"/>
              <w:left w:w="43" w:type="dxa"/>
              <w:bottom w:w="43" w:type="dxa"/>
              <w:right w:w="43" w:type="dxa"/>
            </w:tcMar>
          </w:tcPr>
          <w:p w14:paraId="19421757" w14:textId="77777777" w:rsidR="00D60186" w:rsidRPr="008D6210" w:rsidRDefault="00D60186" w:rsidP="00225D4D">
            <w:pPr>
              <w:rPr>
                <w:sz w:val="21"/>
                <w:szCs w:val="21"/>
              </w:rPr>
            </w:pPr>
            <w:r w:rsidRPr="008D6210">
              <w:rPr>
                <w:sz w:val="21"/>
                <w:szCs w:val="21"/>
              </w:rPr>
              <w:t xml:space="preserve">Innsamling, registrering og kontroll av viktige </w:t>
            </w:r>
            <w:proofErr w:type="spellStart"/>
            <w:r w:rsidRPr="008D6210">
              <w:rPr>
                <w:sz w:val="21"/>
                <w:szCs w:val="21"/>
              </w:rPr>
              <w:t>naturverdiar</w:t>
            </w:r>
            <w:proofErr w:type="spellEnd"/>
            <w:r w:rsidRPr="008D6210">
              <w:rPr>
                <w:sz w:val="21"/>
                <w:szCs w:val="21"/>
              </w:rPr>
              <w:t xml:space="preserve"> i norsk skog</w:t>
            </w:r>
          </w:p>
        </w:tc>
        <w:tc>
          <w:tcPr>
            <w:tcW w:w="1560" w:type="dxa"/>
            <w:tcBorders>
              <w:top w:val="nil"/>
              <w:left w:val="nil"/>
              <w:bottom w:val="nil"/>
              <w:right w:val="nil"/>
            </w:tcBorders>
            <w:tcMar>
              <w:top w:w="128" w:type="dxa"/>
              <w:left w:w="43" w:type="dxa"/>
              <w:bottom w:w="43" w:type="dxa"/>
              <w:right w:w="43" w:type="dxa"/>
            </w:tcMar>
            <w:vAlign w:val="bottom"/>
          </w:tcPr>
          <w:p w14:paraId="17862100" w14:textId="77777777" w:rsidR="00D60186" w:rsidRPr="008D6210" w:rsidRDefault="00D60186" w:rsidP="008D6210">
            <w:pPr>
              <w:jc w:val="right"/>
              <w:rPr>
                <w:sz w:val="21"/>
                <w:szCs w:val="21"/>
              </w:rPr>
            </w:pPr>
            <w:r w:rsidRPr="008D6210">
              <w:rPr>
                <w:sz w:val="21"/>
                <w:szCs w:val="21"/>
              </w:rPr>
              <w:t>Nei</w:t>
            </w:r>
          </w:p>
        </w:tc>
      </w:tr>
      <w:tr w:rsidR="00E76DC8" w:rsidRPr="00225D4D" w14:paraId="4F540E70"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14B2F59" w14:textId="77777777" w:rsidR="00D60186" w:rsidRPr="008D6210" w:rsidRDefault="00D60186" w:rsidP="00225D4D">
            <w:pPr>
              <w:rPr>
                <w:sz w:val="21"/>
                <w:szCs w:val="21"/>
              </w:rPr>
            </w:pPr>
            <w:r w:rsidRPr="008D6210">
              <w:rPr>
                <w:sz w:val="21"/>
                <w:szCs w:val="21"/>
              </w:rPr>
              <w:t>2022–2023</w:t>
            </w:r>
          </w:p>
        </w:tc>
        <w:tc>
          <w:tcPr>
            <w:tcW w:w="1280" w:type="dxa"/>
            <w:tcBorders>
              <w:top w:val="nil"/>
              <w:left w:val="nil"/>
              <w:bottom w:val="nil"/>
              <w:right w:val="nil"/>
            </w:tcBorders>
            <w:tcMar>
              <w:top w:w="128" w:type="dxa"/>
              <w:left w:w="43" w:type="dxa"/>
              <w:bottom w:w="43" w:type="dxa"/>
              <w:right w:w="43" w:type="dxa"/>
            </w:tcMar>
          </w:tcPr>
          <w:p w14:paraId="6C646423" w14:textId="77777777" w:rsidR="00D60186" w:rsidRPr="008D6210" w:rsidRDefault="00D60186" w:rsidP="008D6210">
            <w:pPr>
              <w:ind w:right="113"/>
              <w:jc w:val="right"/>
              <w:rPr>
                <w:sz w:val="21"/>
                <w:szCs w:val="21"/>
              </w:rPr>
            </w:pPr>
            <w:r w:rsidRPr="008D6210">
              <w:rPr>
                <w:sz w:val="21"/>
                <w:szCs w:val="21"/>
              </w:rPr>
              <w:t>95</w:t>
            </w:r>
          </w:p>
        </w:tc>
        <w:tc>
          <w:tcPr>
            <w:tcW w:w="5600" w:type="dxa"/>
            <w:tcBorders>
              <w:top w:val="nil"/>
              <w:left w:val="nil"/>
              <w:bottom w:val="nil"/>
              <w:right w:val="nil"/>
            </w:tcBorders>
            <w:tcMar>
              <w:top w:w="128" w:type="dxa"/>
              <w:left w:w="43" w:type="dxa"/>
              <w:bottom w:w="43" w:type="dxa"/>
              <w:right w:w="43" w:type="dxa"/>
            </w:tcMar>
          </w:tcPr>
          <w:p w14:paraId="626287D3" w14:textId="77777777" w:rsidR="00D60186" w:rsidRPr="008D6210" w:rsidRDefault="00D60186" w:rsidP="00225D4D">
            <w:pPr>
              <w:rPr>
                <w:sz w:val="21"/>
                <w:szCs w:val="21"/>
              </w:rPr>
            </w:pPr>
            <w:proofErr w:type="spellStart"/>
            <w:r w:rsidRPr="008D6210">
              <w:rPr>
                <w:sz w:val="21"/>
                <w:szCs w:val="21"/>
              </w:rPr>
              <w:t>Utval</w:t>
            </w:r>
            <w:proofErr w:type="spellEnd"/>
            <w:r w:rsidRPr="008D6210">
              <w:rPr>
                <w:sz w:val="21"/>
                <w:szCs w:val="21"/>
              </w:rPr>
              <w:t xml:space="preserve"> </w:t>
            </w:r>
            <w:proofErr w:type="spellStart"/>
            <w:r w:rsidRPr="008D6210">
              <w:rPr>
                <w:sz w:val="21"/>
                <w:szCs w:val="21"/>
              </w:rPr>
              <w:t>matkastelov</w:t>
            </w:r>
            <w:proofErr w:type="spellEnd"/>
          </w:p>
        </w:tc>
        <w:tc>
          <w:tcPr>
            <w:tcW w:w="1560" w:type="dxa"/>
            <w:tcBorders>
              <w:top w:val="nil"/>
              <w:left w:val="nil"/>
              <w:bottom w:val="nil"/>
              <w:right w:val="nil"/>
            </w:tcBorders>
            <w:tcMar>
              <w:top w:w="128" w:type="dxa"/>
              <w:left w:w="43" w:type="dxa"/>
              <w:bottom w:w="43" w:type="dxa"/>
              <w:right w:w="43" w:type="dxa"/>
            </w:tcMar>
            <w:vAlign w:val="bottom"/>
          </w:tcPr>
          <w:p w14:paraId="7901A641" w14:textId="77777777" w:rsidR="00D60186" w:rsidRPr="008D6210" w:rsidRDefault="00D60186" w:rsidP="008D6210">
            <w:pPr>
              <w:jc w:val="right"/>
              <w:rPr>
                <w:sz w:val="21"/>
                <w:szCs w:val="21"/>
              </w:rPr>
            </w:pPr>
            <w:r w:rsidRPr="008D6210">
              <w:rPr>
                <w:sz w:val="21"/>
                <w:szCs w:val="21"/>
              </w:rPr>
              <w:t>Ja</w:t>
            </w:r>
          </w:p>
        </w:tc>
      </w:tr>
      <w:tr w:rsidR="00E76DC8" w:rsidRPr="00225D4D" w14:paraId="132335F6"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66BABE38" w14:textId="77777777" w:rsidR="00D60186" w:rsidRPr="008D6210" w:rsidRDefault="00D60186" w:rsidP="00225D4D">
            <w:pPr>
              <w:rPr>
                <w:sz w:val="21"/>
                <w:szCs w:val="21"/>
              </w:rPr>
            </w:pPr>
            <w:r w:rsidRPr="008D6210">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25205AE3" w14:textId="77777777" w:rsidR="00D60186" w:rsidRPr="008D6210" w:rsidRDefault="00D60186" w:rsidP="008D6210">
            <w:pPr>
              <w:ind w:right="113"/>
              <w:jc w:val="right"/>
              <w:rPr>
                <w:sz w:val="21"/>
                <w:szCs w:val="21"/>
              </w:rPr>
            </w:pPr>
            <w:r w:rsidRPr="008D6210">
              <w:rPr>
                <w:sz w:val="21"/>
                <w:szCs w:val="21"/>
              </w:rPr>
              <w:t>754</w:t>
            </w:r>
          </w:p>
        </w:tc>
        <w:tc>
          <w:tcPr>
            <w:tcW w:w="5600" w:type="dxa"/>
            <w:tcBorders>
              <w:top w:val="nil"/>
              <w:left w:val="nil"/>
              <w:bottom w:val="nil"/>
              <w:right w:val="nil"/>
            </w:tcBorders>
            <w:tcMar>
              <w:top w:w="128" w:type="dxa"/>
              <w:left w:w="43" w:type="dxa"/>
              <w:bottom w:w="43" w:type="dxa"/>
              <w:right w:w="43" w:type="dxa"/>
            </w:tcMar>
          </w:tcPr>
          <w:p w14:paraId="654B898F" w14:textId="77777777" w:rsidR="00D60186" w:rsidRPr="008D6210" w:rsidRDefault="00D60186" w:rsidP="00225D4D">
            <w:pPr>
              <w:rPr>
                <w:sz w:val="21"/>
                <w:szCs w:val="21"/>
              </w:rPr>
            </w:pPr>
            <w:proofErr w:type="spellStart"/>
            <w:r w:rsidRPr="008D6210">
              <w:rPr>
                <w:sz w:val="21"/>
                <w:szCs w:val="21"/>
              </w:rPr>
              <w:t>Bransjeavtalar</w:t>
            </w:r>
            <w:proofErr w:type="spellEnd"/>
            <w:r w:rsidRPr="008D6210">
              <w:rPr>
                <w:sz w:val="21"/>
                <w:szCs w:val="21"/>
              </w:rPr>
              <w:t xml:space="preserve"> for biogassproduksjon</w:t>
            </w:r>
          </w:p>
        </w:tc>
        <w:tc>
          <w:tcPr>
            <w:tcW w:w="1560" w:type="dxa"/>
            <w:tcBorders>
              <w:top w:val="nil"/>
              <w:left w:val="nil"/>
              <w:bottom w:val="nil"/>
              <w:right w:val="nil"/>
            </w:tcBorders>
            <w:tcMar>
              <w:top w:w="128" w:type="dxa"/>
              <w:left w:w="43" w:type="dxa"/>
              <w:bottom w:w="43" w:type="dxa"/>
              <w:right w:w="43" w:type="dxa"/>
            </w:tcMar>
            <w:vAlign w:val="bottom"/>
          </w:tcPr>
          <w:p w14:paraId="1DE91DA6" w14:textId="77777777" w:rsidR="00D60186" w:rsidRPr="008D6210" w:rsidRDefault="00D60186" w:rsidP="008D6210">
            <w:pPr>
              <w:jc w:val="right"/>
              <w:rPr>
                <w:sz w:val="21"/>
                <w:szCs w:val="21"/>
              </w:rPr>
            </w:pPr>
            <w:r w:rsidRPr="008D6210">
              <w:rPr>
                <w:sz w:val="21"/>
                <w:szCs w:val="21"/>
              </w:rPr>
              <w:t>Ja</w:t>
            </w:r>
          </w:p>
        </w:tc>
      </w:tr>
      <w:tr w:rsidR="00E76DC8" w:rsidRPr="00225D4D" w14:paraId="3C284ABA"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48D9CAE0" w14:textId="77777777" w:rsidR="00D60186" w:rsidRPr="008D6210" w:rsidRDefault="00D60186" w:rsidP="00225D4D">
            <w:pPr>
              <w:rPr>
                <w:sz w:val="21"/>
                <w:szCs w:val="21"/>
              </w:rPr>
            </w:pPr>
            <w:r w:rsidRPr="008D6210">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6648C92A" w14:textId="77777777" w:rsidR="00D60186" w:rsidRPr="008D6210" w:rsidRDefault="00D60186" w:rsidP="008D6210">
            <w:pPr>
              <w:ind w:right="113"/>
              <w:jc w:val="right"/>
              <w:rPr>
                <w:sz w:val="21"/>
                <w:szCs w:val="21"/>
              </w:rPr>
            </w:pPr>
            <w:r w:rsidRPr="008D6210">
              <w:rPr>
                <w:sz w:val="21"/>
                <w:szCs w:val="21"/>
              </w:rPr>
              <w:t>381</w:t>
            </w:r>
          </w:p>
        </w:tc>
        <w:tc>
          <w:tcPr>
            <w:tcW w:w="5600" w:type="dxa"/>
            <w:tcBorders>
              <w:top w:val="nil"/>
              <w:left w:val="nil"/>
              <w:bottom w:val="nil"/>
              <w:right w:val="nil"/>
            </w:tcBorders>
            <w:tcMar>
              <w:top w:w="128" w:type="dxa"/>
              <w:left w:w="43" w:type="dxa"/>
              <w:bottom w:w="43" w:type="dxa"/>
              <w:right w:w="43" w:type="dxa"/>
            </w:tcMar>
          </w:tcPr>
          <w:p w14:paraId="115A4FA4" w14:textId="77777777" w:rsidR="00D60186" w:rsidRPr="008D6210" w:rsidRDefault="00D60186" w:rsidP="00225D4D">
            <w:pPr>
              <w:rPr>
                <w:sz w:val="21"/>
                <w:szCs w:val="21"/>
              </w:rPr>
            </w:pPr>
            <w:r w:rsidRPr="008D6210">
              <w:rPr>
                <w:sz w:val="21"/>
                <w:szCs w:val="21"/>
              </w:rPr>
              <w:t xml:space="preserve">Melding til Stortinget om dyrevelferd som </w:t>
            </w:r>
            <w:proofErr w:type="spellStart"/>
            <w:r w:rsidRPr="008D6210">
              <w:rPr>
                <w:sz w:val="21"/>
                <w:szCs w:val="21"/>
              </w:rPr>
              <w:t>byggjer</w:t>
            </w:r>
            <w:proofErr w:type="spellEnd"/>
            <w:r w:rsidRPr="008D6210">
              <w:rPr>
                <w:sz w:val="21"/>
                <w:szCs w:val="21"/>
              </w:rPr>
              <w:t xml:space="preserve"> </w:t>
            </w:r>
            <w:r w:rsidRPr="008D6210">
              <w:rPr>
                <w:sz w:val="21"/>
                <w:szCs w:val="21"/>
              </w:rPr>
              <w:br/>
              <w:t>på oppdatert kunnskap</w:t>
            </w:r>
          </w:p>
        </w:tc>
        <w:tc>
          <w:tcPr>
            <w:tcW w:w="1560" w:type="dxa"/>
            <w:tcBorders>
              <w:top w:val="nil"/>
              <w:left w:val="nil"/>
              <w:bottom w:val="nil"/>
              <w:right w:val="nil"/>
            </w:tcBorders>
            <w:tcMar>
              <w:top w:w="128" w:type="dxa"/>
              <w:left w:w="43" w:type="dxa"/>
              <w:bottom w:w="43" w:type="dxa"/>
              <w:right w:w="43" w:type="dxa"/>
            </w:tcMar>
            <w:vAlign w:val="bottom"/>
          </w:tcPr>
          <w:p w14:paraId="50ADF1F6" w14:textId="77777777" w:rsidR="00D60186" w:rsidRPr="008D6210" w:rsidRDefault="00D60186" w:rsidP="008D6210">
            <w:pPr>
              <w:jc w:val="right"/>
              <w:rPr>
                <w:sz w:val="21"/>
                <w:szCs w:val="21"/>
              </w:rPr>
            </w:pPr>
            <w:r w:rsidRPr="008D6210">
              <w:rPr>
                <w:sz w:val="21"/>
                <w:szCs w:val="21"/>
              </w:rPr>
              <w:t>Ja</w:t>
            </w:r>
          </w:p>
        </w:tc>
      </w:tr>
      <w:tr w:rsidR="00E76DC8" w:rsidRPr="00225D4D" w14:paraId="0C80C2EF"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70C78BAC" w14:textId="77777777" w:rsidR="00D60186" w:rsidRPr="008D6210" w:rsidRDefault="00D60186" w:rsidP="00225D4D">
            <w:pPr>
              <w:rPr>
                <w:sz w:val="21"/>
                <w:szCs w:val="21"/>
              </w:rPr>
            </w:pPr>
            <w:r w:rsidRPr="008D6210">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324637FA" w14:textId="77777777" w:rsidR="00D60186" w:rsidRPr="008D6210" w:rsidRDefault="00D60186" w:rsidP="008D6210">
            <w:pPr>
              <w:ind w:right="113"/>
              <w:jc w:val="right"/>
              <w:rPr>
                <w:sz w:val="21"/>
                <w:szCs w:val="21"/>
              </w:rPr>
            </w:pPr>
            <w:r w:rsidRPr="008D6210">
              <w:rPr>
                <w:sz w:val="21"/>
                <w:szCs w:val="21"/>
              </w:rPr>
              <w:t>382</w:t>
            </w:r>
          </w:p>
        </w:tc>
        <w:tc>
          <w:tcPr>
            <w:tcW w:w="5600" w:type="dxa"/>
            <w:tcBorders>
              <w:top w:val="nil"/>
              <w:left w:val="nil"/>
              <w:bottom w:val="nil"/>
              <w:right w:val="nil"/>
            </w:tcBorders>
            <w:tcMar>
              <w:top w:w="128" w:type="dxa"/>
              <w:left w:w="43" w:type="dxa"/>
              <w:bottom w:w="43" w:type="dxa"/>
              <w:right w:w="43" w:type="dxa"/>
            </w:tcMar>
          </w:tcPr>
          <w:p w14:paraId="4ADE3A47" w14:textId="77777777" w:rsidR="00D60186" w:rsidRPr="008D6210" w:rsidRDefault="00D60186" w:rsidP="00225D4D">
            <w:pPr>
              <w:rPr>
                <w:sz w:val="21"/>
                <w:szCs w:val="21"/>
              </w:rPr>
            </w:pPr>
            <w:r w:rsidRPr="008D6210">
              <w:rPr>
                <w:sz w:val="21"/>
                <w:szCs w:val="21"/>
              </w:rPr>
              <w:t>Dyrevelferda i svinenæringa</w:t>
            </w:r>
          </w:p>
        </w:tc>
        <w:tc>
          <w:tcPr>
            <w:tcW w:w="1560" w:type="dxa"/>
            <w:tcBorders>
              <w:top w:val="nil"/>
              <w:left w:val="nil"/>
              <w:bottom w:val="nil"/>
              <w:right w:val="nil"/>
            </w:tcBorders>
            <w:tcMar>
              <w:top w:w="128" w:type="dxa"/>
              <w:left w:w="43" w:type="dxa"/>
              <w:bottom w:w="43" w:type="dxa"/>
              <w:right w:w="43" w:type="dxa"/>
            </w:tcMar>
            <w:vAlign w:val="bottom"/>
          </w:tcPr>
          <w:p w14:paraId="4A6E8212" w14:textId="77777777" w:rsidR="00D60186" w:rsidRPr="008D6210" w:rsidRDefault="00D60186" w:rsidP="008D6210">
            <w:pPr>
              <w:jc w:val="right"/>
              <w:rPr>
                <w:sz w:val="21"/>
                <w:szCs w:val="21"/>
              </w:rPr>
            </w:pPr>
            <w:r w:rsidRPr="008D6210">
              <w:rPr>
                <w:sz w:val="21"/>
                <w:szCs w:val="21"/>
              </w:rPr>
              <w:t>Nei</w:t>
            </w:r>
          </w:p>
        </w:tc>
      </w:tr>
      <w:tr w:rsidR="00E76DC8" w:rsidRPr="00225D4D" w14:paraId="76D0D31B"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42C30EDC" w14:textId="77777777" w:rsidR="00D60186" w:rsidRPr="008D6210" w:rsidRDefault="00D60186" w:rsidP="00225D4D">
            <w:pPr>
              <w:rPr>
                <w:sz w:val="21"/>
                <w:szCs w:val="21"/>
              </w:rPr>
            </w:pPr>
            <w:r w:rsidRPr="008D6210">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501DE510" w14:textId="77777777" w:rsidR="00D60186" w:rsidRPr="008D6210" w:rsidRDefault="00D60186" w:rsidP="008D6210">
            <w:pPr>
              <w:ind w:right="113"/>
              <w:jc w:val="right"/>
              <w:rPr>
                <w:sz w:val="21"/>
                <w:szCs w:val="21"/>
              </w:rPr>
            </w:pPr>
            <w:r w:rsidRPr="008D6210">
              <w:rPr>
                <w:sz w:val="21"/>
                <w:szCs w:val="21"/>
              </w:rPr>
              <w:t>383</w:t>
            </w:r>
          </w:p>
        </w:tc>
        <w:tc>
          <w:tcPr>
            <w:tcW w:w="5600" w:type="dxa"/>
            <w:tcBorders>
              <w:top w:val="nil"/>
              <w:left w:val="nil"/>
              <w:bottom w:val="nil"/>
              <w:right w:val="nil"/>
            </w:tcBorders>
            <w:tcMar>
              <w:top w:w="128" w:type="dxa"/>
              <w:left w:w="43" w:type="dxa"/>
              <w:bottom w:w="43" w:type="dxa"/>
              <w:right w:w="43" w:type="dxa"/>
            </w:tcMar>
          </w:tcPr>
          <w:p w14:paraId="25E97A2B" w14:textId="77777777" w:rsidR="00D60186" w:rsidRPr="008D6210" w:rsidRDefault="00D60186" w:rsidP="00225D4D">
            <w:pPr>
              <w:rPr>
                <w:sz w:val="21"/>
                <w:szCs w:val="21"/>
              </w:rPr>
            </w:pPr>
            <w:r w:rsidRPr="008D6210">
              <w:rPr>
                <w:sz w:val="21"/>
                <w:szCs w:val="21"/>
              </w:rPr>
              <w:t>Konkrete tiltak i melding til Stortinget om dyrevelferd</w:t>
            </w:r>
          </w:p>
        </w:tc>
        <w:tc>
          <w:tcPr>
            <w:tcW w:w="1560" w:type="dxa"/>
            <w:tcBorders>
              <w:top w:val="nil"/>
              <w:left w:val="nil"/>
              <w:bottom w:val="nil"/>
              <w:right w:val="nil"/>
            </w:tcBorders>
            <w:tcMar>
              <w:top w:w="128" w:type="dxa"/>
              <w:left w:w="43" w:type="dxa"/>
              <w:bottom w:w="43" w:type="dxa"/>
              <w:right w:w="43" w:type="dxa"/>
            </w:tcMar>
            <w:vAlign w:val="bottom"/>
          </w:tcPr>
          <w:p w14:paraId="090097EB" w14:textId="77777777" w:rsidR="00D60186" w:rsidRPr="008D6210" w:rsidRDefault="00D60186" w:rsidP="008D6210">
            <w:pPr>
              <w:jc w:val="right"/>
              <w:rPr>
                <w:sz w:val="21"/>
                <w:szCs w:val="21"/>
              </w:rPr>
            </w:pPr>
            <w:r w:rsidRPr="008D6210">
              <w:rPr>
                <w:sz w:val="21"/>
                <w:szCs w:val="21"/>
              </w:rPr>
              <w:t>Ja</w:t>
            </w:r>
          </w:p>
        </w:tc>
      </w:tr>
      <w:tr w:rsidR="00E76DC8" w:rsidRPr="00225D4D" w14:paraId="526D0D8B" w14:textId="77777777" w:rsidTr="008D6210">
        <w:trPr>
          <w:trHeight w:val="20"/>
        </w:trPr>
        <w:tc>
          <w:tcPr>
            <w:tcW w:w="1120" w:type="dxa"/>
            <w:tcBorders>
              <w:top w:val="nil"/>
              <w:left w:val="nil"/>
              <w:bottom w:val="nil"/>
              <w:right w:val="nil"/>
            </w:tcBorders>
            <w:tcMar>
              <w:top w:w="128" w:type="dxa"/>
              <w:left w:w="43" w:type="dxa"/>
              <w:bottom w:w="43" w:type="dxa"/>
              <w:right w:w="43" w:type="dxa"/>
            </w:tcMar>
          </w:tcPr>
          <w:p w14:paraId="443FB09D" w14:textId="77777777" w:rsidR="00D60186" w:rsidRPr="008D6210" w:rsidRDefault="00D60186" w:rsidP="00225D4D">
            <w:pPr>
              <w:rPr>
                <w:sz w:val="21"/>
                <w:szCs w:val="21"/>
              </w:rPr>
            </w:pPr>
            <w:r w:rsidRPr="008D6210">
              <w:rPr>
                <w:sz w:val="21"/>
                <w:szCs w:val="21"/>
              </w:rPr>
              <w:t>2021–2022</w:t>
            </w:r>
          </w:p>
        </w:tc>
        <w:tc>
          <w:tcPr>
            <w:tcW w:w="1280" w:type="dxa"/>
            <w:tcBorders>
              <w:top w:val="nil"/>
              <w:left w:val="nil"/>
              <w:bottom w:val="nil"/>
              <w:right w:val="nil"/>
            </w:tcBorders>
            <w:tcMar>
              <w:top w:w="128" w:type="dxa"/>
              <w:left w:w="43" w:type="dxa"/>
              <w:bottom w:w="43" w:type="dxa"/>
              <w:right w:w="43" w:type="dxa"/>
            </w:tcMar>
          </w:tcPr>
          <w:p w14:paraId="5A674FF9" w14:textId="77777777" w:rsidR="00D60186" w:rsidRPr="008D6210" w:rsidRDefault="00D60186" w:rsidP="008D6210">
            <w:pPr>
              <w:ind w:right="113"/>
              <w:jc w:val="right"/>
              <w:rPr>
                <w:sz w:val="21"/>
                <w:szCs w:val="21"/>
              </w:rPr>
            </w:pPr>
            <w:r w:rsidRPr="008D6210">
              <w:rPr>
                <w:sz w:val="21"/>
                <w:szCs w:val="21"/>
              </w:rPr>
              <w:t>384</w:t>
            </w:r>
          </w:p>
        </w:tc>
        <w:tc>
          <w:tcPr>
            <w:tcW w:w="5600" w:type="dxa"/>
            <w:tcBorders>
              <w:top w:val="nil"/>
              <w:left w:val="nil"/>
              <w:bottom w:val="nil"/>
              <w:right w:val="nil"/>
            </w:tcBorders>
            <w:tcMar>
              <w:top w:w="128" w:type="dxa"/>
              <w:left w:w="43" w:type="dxa"/>
              <w:bottom w:w="43" w:type="dxa"/>
              <w:right w:w="43" w:type="dxa"/>
            </w:tcMar>
          </w:tcPr>
          <w:p w14:paraId="4873F499" w14:textId="77777777" w:rsidR="00D60186" w:rsidRPr="008D6210" w:rsidRDefault="00D60186" w:rsidP="00225D4D">
            <w:pPr>
              <w:rPr>
                <w:sz w:val="21"/>
                <w:szCs w:val="21"/>
              </w:rPr>
            </w:pPr>
            <w:r w:rsidRPr="008D6210">
              <w:rPr>
                <w:sz w:val="21"/>
                <w:szCs w:val="21"/>
              </w:rPr>
              <w:t>Alternativ til CO</w:t>
            </w:r>
            <w:r w:rsidRPr="008D6210">
              <w:rPr>
                <w:rStyle w:val="skrift-senket"/>
                <w:sz w:val="21"/>
                <w:szCs w:val="21"/>
              </w:rPr>
              <w:t>2</w:t>
            </w:r>
            <w:r w:rsidRPr="008D6210">
              <w:rPr>
                <w:sz w:val="21"/>
                <w:szCs w:val="21"/>
              </w:rPr>
              <w:t>-bedøving av dyr</w:t>
            </w:r>
          </w:p>
        </w:tc>
        <w:tc>
          <w:tcPr>
            <w:tcW w:w="1560" w:type="dxa"/>
            <w:tcBorders>
              <w:top w:val="nil"/>
              <w:left w:val="nil"/>
              <w:bottom w:val="nil"/>
              <w:right w:val="nil"/>
            </w:tcBorders>
            <w:tcMar>
              <w:top w:w="128" w:type="dxa"/>
              <w:left w:w="43" w:type="dxa"/>
              <w:bottom w:w="43" w:type="dxa"/>
              <w:right w:w="43" w:type="dxa"/>
            </w:tcMar>
            <w:vAlign w:val="bottom"/>
          </w:tcPr>
          <w:p w14:paraId="237B7610" w14:textId="77777777" w:rsidR="00D60186" w:rsidRPr="008D6210" w:rsidRDefault="00D60186" w:rsidP="008D6210">
            <w:pPr>
              <w:jc w:val="right"/>
              <w:rPr>
                <w:sz w:val="21"/>
                <w:szCs w:val="21"/>
              </w:rPr>
            </w:pPr>
            <w:r w:rsidRPr="008D6210">
              <w:rPr>
                <w:sz w:val="21"/>
                <w:szCs w:val="21"/>
              </w:rPr>
              <w:t>Ja</w:t>
            </w:r>
          </w:p>
        </w:tc>
      </w:tr>
      <w:tr w:rsidR="00E76DC8" w:rsidRPr="00225D4D" w14:paraId="0EC6DBBB" w14:textId="77777777" w:rsidTr="008D6210">
        <w:trPr>
          <w:trHeight w:val="20"/>
        </w:trPr>
        <w:tc>
          <w:tcPr>
            <w:tcW w:w="1120" w:type="dxa"/>
            <w:tcBorders>
              <w:top w:val="nil"/>
              <w:left w:val="nil"/>
              <w:bottom w:val="single" w:sz="4" w:space="0" w:color="000000"/>
              <w:right w:val="nil"/>
            </w:tcBorders>
            <w:tcMar>
              <w:top w:w="128" w:type="dxa"/>
              <w:left w:w="43" w:type="dxa"/>
              <w:bottom w:w="43" w:type="dxa"/>
              <w:right w:w="43" w:type="dxa"/>
            </w:tcMar>
          </w:tcPr>
          <w:p w14:paraId="3CAD5D25" w14:textId="77777777" w:rsidR="00D60186" w:rsidRPr="008D6210" w:rsidRDefault="00D60186" w:rsidP="00225D4D">
            <w:pPr>
              <w:rPr>
                <w:sz w:val="21"/>
                <w:szCs w:val="21"/>
              </w:rPr>
            </w:pPr>
            <w:r w:rsidRPr="008D6210">
              <w:rPr>
                <w:sz w:val="21"/>
                <w:szCs w:val="21"/>
              </w:rPr>
              <w:t>2017–2018</w:t>
            </w:r>
          </w:p>
        </w:tc>
        <w:tc>
          <w:tcPr>
            <w:tcW w:w="1280" w:type="dxa"/>
            <w:tcBorders>
              <w:top w:val="nil"/>
              <w:left w:val="nil"/>
              <w:bottom w:val="single" w:sz="4" w:space="0" w:color="000000"/>
              <w:right w:val="nil"/>
            </w:tcBorders>
            <w:tcMar>
              <w:top w:w="128" w:type="dxa"/>
              <w:left w:w="43" w:type="dxa"/>
              <w:bottom w:w="43" w:type="dxa"/>
              <w:right w:w="43" w:type="dxa"/>
            </w:tcMar>
          </w:tcPr>
          <w:p w14:paraId="61DB3180" w14:textId="77777777" w:rsidR="00D60186" w:rsidRPr="008D6210" w:rsidRDefault="00D60186" w:rsidP="008D6210">
            <w:pPr>
              <w:ind w:right="113"/>
              <w:jc w:val="right"/>
              <w:rPr>
                <w:sz w:val="21"/>
                <w:szCs w:val="21"/>
              </w:rPr>
            </w:pPr>
            <w:r w:rsidRPr="008D6210">
              <w:rPr>
                <w:sz w:val="21"/>
                <w:szCs w:val="21"/>
              </w:rPr>
              <w:t>489</w:t>
            </w:r>
          </w:p>
        </w:tc>
        <w:tc>
          <w:tcPr>
            <w:tcW w:w="5600" w:type="dxa"/>
            <w:tcBorders>
              <w:top w:val="nil"/>
              <w:left w:val="nil"/>
              <w:bottom w:val="single" w:sz="4" w:space="0" w:color="000000"/>
              <w:right w:val="nil"/>
            </w:tcBorders>
            <w:tcMar>
              <w:top w:w="128" w:type="dxa"/>
              <w:left w:w="43" w:type="dxa"/>
              <w:bottom w:w="43" w:type="dxa"/>
              <w:right w:w="43" w:type="dxa"/>
            </w:tcMar>
          </w:tcPr>
          <w:p w14:paraId="3106EC45" w14:textId="77777777" w:rsidR="00D60186" w:rsidRPr="008D6210" w:rsidRDefault="00D60186" w:rsidP="00225D4D">
            <w:pPr>
              <w:rPr>
                <w:sz w:val="21"/>
                <w:szCs w:val="21"/>
              </w:rPr>
            </w:pPr>
            <w:proofErr w:type="spellStart"/>
            <w:r w:rsidRPr="008D6210">
              <w:rPr>
                <w:sz w:val="21"/>
                <w:szCs w:val="21"/>
              </w:rPr>
              <w:t>Fremje</w:t>
            </w:r>
            <w:proofErr w:type="spellEnd"/>
            <w:r w:rsidRPr="008D6210">
              <w:rPr>
                <w:sz w:val="21"/>
                <w:szCs w:val="21"/>
              </w:rPr>
              <w:t xml:space="preserve"> forslag til </w:t>
            </w:r>
            <w:proofErr w:type="spellStart"/>
            <w:r w:rsidRPr="008D6210">
              <w:rPr>
                <w:sz w:val="21"/>
                <w:szCs w:val="21"/>
              </w:rPr>
              <w:t>ein</w:t>
            </w:r>
            <w:proofErr w:type="spellEnd"/>
            <w:r w:rsidRPr="008D6210">
              <w:rPr>
                <w:sz w:val="21"/>
                <w:szCs w:val="21"/>
              </w:rPr>
              <w:t xml:space="preserve"> </w:t>
            </w:r>
            <w:proofErr w:type="spellStart"/>
            <w:r w:rsidRPr="008D6210">
              <w:rPr>
                <w:sz w:val="21"/>
                <w:szCs w:val="21"/>
              </w:rPr>
              <w:t>matkastelov</w:t>
            </w:r>
            <w:proofErr w:type="spellEnd"/>
          </w:p>
        </w:tc>
        <w:tc>
          <w:tcPr>
            <w:tcW w:w="1560" w:type="dxa"/>
            <w:tcBorders>
              <w:top w:val="nil"/>
              <w:left w:val="nil"/>
              <w:bottom w:val="single" w:sz="4" w:space="0" w:color="000000"/>
              <w:right w:val="nil"/>
            </w:tcBorders>
            <w:tcMar>
              <w:top w:w="128" w:type="dxa"/>
              <w:left w:w="43" w:type="dxa"/>
              <w:bottom w:w="43" w:type="dxa"/>
              <w:right w:w="43" w:type="dxa"/>
            </w:tcMar>
            <w:vAlign w:val="bottom"/>
          </w:tcPr>
          <w:p w14:paraId="71A2D4B3" w14:textId="77777777" w:rsidR="00D60186" w:rsidRPr="008D6210" w:rsidRDefault="00D60186" w:rsidP="008D6210">
            <w:pPr>
              <w:jc w:val="right"/>
              <w:rPr>
                <w:sz w:val="21"/>
                <w:szCs w:val="21"/>
              </w:rPr>
            </w:pPr>
            <w:r w:rsidRPr="008D6210">
              <w:rPr>
                <w:sz w:val="21"/>
                <w:szCs w:val="21"/>
              </w:rPr>
              <w:t>Ja</w:t>
            </w:r>
          </w:p>
        </w:tc>
      </w:tr>
    </w:tbl>
    <w:p w14:paraId="5162CA82" w14:textId="77777777" w:rsidR="00D60186" w:rsidRPr="00225D4D" w:rsidRDefault="00D60186" w:rsidP="008D6210">
      <w:pPr>
        <w:pStyle w:val="Overskrift2"/>
        <w:numPr>
          <w:ilvl w:val="1"/>
          <w:numId w:val="39"/>
        </w:numPr>
      </w:pPr>
      <w:r w:rsidRPr="00225D4D">
        <w:t>Oppmodings- og utgreiingsvedtak i stortingssesjonen 2024–2025</w:t>
      </w:r>
    </w:p>
    <w:p w14:paraId="55FFBDF5" w14:textId="77777777" w:rsidR="00D60186" w:rsidRPr="00225D4D" w:rsidRDefault="00D60186" w:rsidP="00225D4D">
      <w:pPr>
        <w:pStyle w:val="avsnitt-tittel"/>
      </w:pPr>
      <w:proofErr w:type="spellStart"/>
      <w:r w:rsidRPr="00225D4D">
        <w:t>Midlar</w:t>
      </w:r>
      <w:proofErr w:type="spellEnd"/>
      <w:r w:rsidRPr="00225D4D">
        <w:t xml:space="preserve"> til handverksysting ved </w:t>
      </w:r>
      <w:proofErr w:type="spellStart"/>
      <w:r w:rsidRPr="00225D4D">
        <w:t>fagskulen</w:t>
      </w:r>
      <w:proofErr w:type="spellEnd"/>
      <w:r w:rsidRPr="00225D4D">
        <w:t xml:space="preserve"> </w:t>
      </w:r>
      <w:proofErr w:type="spellStart"/>
      <w:r w:rsidRPr="00225D4D">
        <w:t>Vestland</w:t>
      </w:r>
      <w:proofErr w:type="spellEnd"/>
    </w:p>
    <w:p w14:paraId="4F274CF3" w14:textId="77777777" w:rsidR="00D60186" w:rsidRPr="00225D4D" w:rsidRDefault="00D60186" w:rsidP="00225D4D">
      <w:pPr>
        <w:pStyle w:val="avsnitt-undertittel"/>
      </w:pPr>
      <w:r w:rsidRPr="00225D4D">
        <w:t>Vedtak nr. 1248, 20. juni 2025:</w:t>
      </w:r>
    </w:p>
    <w:p w14:paraId="31BFE42A" w14:textId="77777777" w:rsidR="00D60186" w:rsidRPr="00225D4D" w:rsidRDefault="00D60186" w:rsidP="00225D4D">
      <w:pPr>
        <w:pStyle w:val="blokksit"/>
        <w:rPr>
          <w:rStyle w:val="kursiv"/>
        </w:rPr>
      </w:pPr>
      <w:r w:rsidRPr="00225D4D">
        <w:rPr>
          <w:rStyle w:val="kursiv"/>
        </w:rPr>
        <w:t xml:space="preserve">«Stortinget ber regjeringen tilføre utdanningstilbudet innen håndverksysting i regi av fagskolen </w:t>
      </w:r>
      <w:proofErr w:type="spellStart"/>
      <w:r w:rsidRPr="00225D4D">
        <w:rPr>
          <w:rStyle w:val="kursiv"/>
        </w:rPr>
        <w:t>Vestland</w:t>
      </w:r>
      <w:proofErr w:type="spellEnd"/>
      <w:r w:rsidRPr="00225D4D">
        <w:rPr>
          <w:rStyle w:val="kursiv"/>
        </w:rPr>
        <w:t xml:space="preserve"> 2 mill. kroner for 2025.»</w:t>
      </w:r>
    </w:p>
    <w:p w14:paraId="29A0E997" w14:textId="77777777" w:rsidR="00D60186" w:rsidRPr="00225D4D" w:rsidRDefault="00D60186" w:rsidP="00225D4D">
      <w:r w:rsidRPr="00225D4D">
        <w:t xml:space="preserve">Vedtaket blei fatta ved handsaminga av Meld. St. 2 (2024–2025) </w:t>
      </w:r>
      <w:r w:rsidRPr="00225D4D">
        <w:rPr>
          <w:rStyle w:val="kursiv"/>
        </w:rPr>
        <w:t>Revidert nasjonalbudsjett,</w:t>
      </w:r>
      <w:r w:rsidRPr="00225D4D">
        <w:t xml:space="preserve"> jf. </w:t>
      </w:r>
      <w:proofErr w:type="spellStart"/>
      <w:r w:rsidRPr="00225D4D">
        <w:t>Innst</w:t>
      </w:r>
      <w:proofErr w:type="spellEnd"/>
      <w:r w:rsidRPr="00225D4D">
        <w:t>. 540 S (2024–2025).</w:t>
      </w:r>
    </w:p>
    <w:p w14:paraId="1D2E0087" w14:textId="77777777" w:rsidR="00D60186" w:rsidRPr="00225D4D" w:rsidRDefault="00D60186" w:rsidP="00225D4D">
      <w:r w:rsidRPr="00225D4D">
        <w:t xml:space="preserve">Vedtaket er </w:t>
      </w:r>
      <w:proofErr w:type="spellStart"/>
      <w:r w:rsidRPr="00225D4D">
        <w:t>følgt</w:t>
      </w:r>
      <w:proofErr w:type="spellEnd"/>
      <w:r w:rsidRPr="00225D4D">
        <w:t xml:space="preserve"> opp gjennom overføring av </w:t>
      </w:r>
      <w:proofErr w:type="spellStart"/>
      <w:r w:rsidRPr="00225D4D">
        <w:t>midlar</w:t>
      </w:r>
      <w:proofErr w:type="spellEnd"/>
      <w:r w:rsidRPr="00225D4D">
        <w:t xml:space="preserve"> til </w:t>
      </w:r>
      <w:proofErr w:type="spellStart"/>
      <w:r w:rsidRPr="00225D4D">
        <w:t>Vestland</w:t>
      </w:r>
      <w:proofErr w:type="spellEnd"/>
      <w:r w:rsidRPr="00225D4D">
        <w:t xml:space="preserve"> fylkeskommune med kriterium for bruk av </w:t>
      </w:r>
      <w:proofErr w:type="spellStart"/>
      <w:r w:rsidRPr="00225D4D">
        <w:t>midlane</w:t>
      </w:r>
      <w:proofErr w:type="spellEnd"/>
      <w:r w:rsidRPr="00225D4D">
        <w:t xml:space="preserve"> og krav til rapportering på </w:t>
      </w:r>
      <w:proofErr w:type="spellStart"/>
      <w:r w:rsidRPr="00225D4D">
        <w:t>desse</w:t>
      </w:r>
      <w:proofErr w:type="spellEnd"/>
      <w:r w:rsidRPr="00225D4D">
        <w:t xml:space="preserve"> i 2026. Departementet </w:t>
      </w:r>
      <w:proofErr w:type="spellStart"/>
      <w:r w:rsidRPr="00225D4D">
        <w:t>legg</w:t>
      </w:r>
      <w:proofErr w:type="spellEnd"/>
      <w:r w:rsidRPr="00225D4D">
        <w:t xml:space="preserve"> til grunn at vedtak nr. 1248, 20. juni 2025, med dette er </w:t>
      </w:r>
      <w:proofErr w:type="spellStart"/>
      <w:r w:rsidRPr="00225D4D">
        <w:t>følgt</w:t>
      </w:r>
      <w:proofErr w:type="spellEnd"/>
      <w:r w:rsidRPr="00225D4D">
        <w:t xml:space="preserve"> opp.</w:t>
      </w:r>
    </w:p>
    <w:p w14:paraId="08D6F724" w14:textId="77777777" w:rsidR="00D60186" w:rsidRPr="00225D4D" w:rsidRDefault="00D60186" w:rsidP="00225D4D">
      <w:pPr>
        <w:pStyle w:val="avsnitt-tittel"/>
      </w:pPr>
      <w:proofErr w:type="spellStart"/>
      <w:r w:rsidRPr="00225D4D">
        <w:t>Konfliktførebyggjande</w:t>
      </w:r>
      <w:proofErr w:type="spellEnd"/>
      <w:r w:rsidRPr="00225D4D">
        <w:t xml:space="preserve"> tiltak i framtidige </w:t>
      </w:r>
      <w:proofErr w:type="spellStart"/>
      <w:r w:rsidRPr="00225D4D">
        <w:t>reindriftsavtalar</w:t>
      </w:r>
      <w:proofErr w:type="spellEnd"/>
    </w:p>
    <w:p w14:paraId="39D3C71E" w14:textId="77777777" w:rsidR="00D60186" w:rsidRPr="00225D4D" w:rsidRDefault="00D60186" w:rsidP="00225D4D">
      <w:pPr>
        <w:pStyle w:val="avsnitt-undertittel"/>
      </w:pPr>
      <w:r w:rsidRPr="00225D4D">
        <w:t>Vedtak nr. 1123, 18. juni 2025:</w:t>
      </w:r>
    </w:p>
    <w:p w14:paraId="0C8A95BB" w14:textId="77777777" w:rsidR="00D60186" w:rsidRPr="00225D4D" w:rsidRDefault="00D60186" w:rsidP="00225D4D">
      <w:pPr>
        <w:pStyle w:val="blokksit"/>
        <w:rPr>
          <w:rStyle w:val="kursiv"/>
        </w:rPr>
      </w:pPr>
      <w:r w:rsidRPr="00225D4D">
        <w:rPr>
          <w:rStyle w:val="kursiv"/>
        </w:rPr>
        <w:t>«Stortinget ber regjeringen prioritere konfliktforebyggende tiltak i fremtidige reindriftsavtaler og legge til rette for å etablere sperregjerder i beitegrenser der det er en konflikt mellom grunneier og reindrift, selv om en av partene ikke ønsker det.»</w:t>
      </w:r>
    </w:p>
    <w:p w14:paraId="3B9ED384"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143 S (2024–2025) </w:t>
      </w:r>
      <w:r w:rsidRPr="00225D4D">
        <w:rPr>
          <w:rStyle w:val="kursiv"/>
        </w:rPr>
        <w:t>Reindriftsavtalen 2025/2026,</w:t>
      </w:r>
      <w:r w:rsidRPr="00225D4D">
        <w:t xml:space="preserve"> jf. </w:t>
      </w:r>
      <w:proofErr w:type="spellStart"/>
      <w:r w:rsidRPr="00225D4D">
        <w:t>Innst</w:t>
      </w:r>
      <w:proofErr w:type="spellEnd"/>
      <w:r w:rsidRPr="00225D4D">
        <w:t>. 533 S (2024–2025).</w:t>
      </w:r>
    </w:p>
    <w:p w14:paraId="57254BB7" w14:textId="77777777" w:rsidR="00D60186" w:rsidRPr="00225D4D" w:rsidRDefault="00D60186" w:rsidP="00225D4D">
      <w:r w:rsidRPr="00225D4D">
        <w:t xml:space="preserve">Regjeringa vil </w:t>
      </w:r>
      <w:proofErr w:type="spellStart"/>
      <w:r w:rsidRPr="00225D4D">
        <w:t>følgje</w:t>
      </w:r>
      <w:proofErr w:type="spellEnd"/>
      <w:r w:rsidRPr="00225D4D">
        <w:t xml:space="preserve"> opp prioritering av </w:t>
      </w:r>
      <w:proofErr w:type="spellStart"/>
      <w:r w:rsidRPr="00225D4D">
        <w:t>konfliktforebyggjande</w:t>
      </w:r>
      <w:proofErr w:type="spellEnd"/>
      <w:r w:rsidRPr="00225D4D">
        <w:t xml:space="preserve"> tiltak i </w:t>
      </w:r>
      <w:proofErr w:type="spellStart"/>
      <w:r w:rsidRPr="00225D4D">
        <w:t>forhandlingane</w:t>
      </w:r>
      <w:proofErr w:type="spellEnd"/>
      <w:r w:rsidRPr="00225D4D">
        <w:t xml:space="preserve"> om reindriftsavtale for 2026/2027. Landbruks- og matdepartementet har etablert </w:t>
      </w:r>
      <w:proofErr w:type="spellStart"/>
      <w:r w:rsidRPr="00225D4D">
        <w:t>eit</w:t>
      </w:r>
      <w:proofErr w:type="spellEnd"/>
      <w:r w:rsidRPr="00225D4D">
        <w:t xml:space="preserve"> </w:t>
      </w:r>
      <w:proofErr w:type="spellStart"/>
      <w:r w:rsidRPr="00225D4D">
        <w:t>utval</w:t>
      </w:r>
      <w:proofErr w:type="spellEnd"/>
      <w:r w:rsidRPr="00225D4D">
        <w:t xml:space="preserve"> for sameksistens mellom reindrift og jordbruk, som mellom anna vurderer behovet for sperregjerde i Nord-Østerdalen. Departementet </w:t>
      </w:r>
      <w:proofErr w:type="spellStart"/>
      <w:r w:rsidRPr="00225D4D">
        <w:t>reknar</w:t>
      </w:r>
      <w:proofErr w:type="spellEnd"/>
      <w:r w:rsidRPr="00225D4D">
        <w:t xml:space="preserve"> rapporteringa på dette oppmodingsvedtaket som avslutta.</w:t>
      </w:r>
    </w:p>
    <w:p w14:paraId="4CD68060" w14:textId="77777777" w:rsidR="00D60186" w:rsidRPr="00225D4D" w:rsidRDefault="00D60186" w:rsidP="00225D4D">
      <w:pPr>
        <w:pStyle w:val="avsnitt-tittel"/>
      </w:pPr>
      <w:r w:rsidRPr="00225D4D">
        <w:t>Rammevilkår for lokalmatproduksjon og agroturisme</w:t>
      </w:r>
    </w:p>
    <w:p w14:paraId="5C07B4FF" w14:textId="77777777" w:rsidR="00D60186" w:rsidRPr="00225D4D" w:rsidRDefault="00D60186" w:rsidP="00225D4D">
      <w:pPr>
        <w:pStyle w:val="avsnitt-undertittel"/>
      </w:pPr>
      <w:r w:rsidRPr="00225D4D">
        <w:t>Vedtak nr. 1122, 18. juni 2025:</w:t>
      </w:r>
    </w:p>
    <w:p w14:paraId="2EB77779" w14:textId="77777777" w:rsidR="00D60186" w:rsidRPr="00225D4D" w:rsidRDefault="00D60186" w:rsidP="00225D4D">
      <w:pPr>
        <w:pStyle w:val="blokksit"/>
        <w:rPr>
          <w:rStyle w:val="kursiv"/>
        </w:rPr>
      </w:pPr>
      <w:r w:rsidRPr="00225D4D">
        <w:rPr>
          <w:rStyle w:val="kursiv"/>
        </w:rPr>
        <w:t>«Stortinget ber regjeringen styrke rammevilkårene for lokalmatproduksjon og agroturisme for å bidra til økt regional verdiskaping og bosetting.»</w:t>
      </w:r>
    </w:p>
    <w:p w14:paraId="4F6F38D2"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78E39E49" w14:textId="77777777" w:rsidR="00D60186" w:rsidRPr="00225D4D" w:rsidRDefault="00D60186" w:rsidP="00225D4D">
      <w:r w:rsidRPr="00225D4D">
        <w:t xml:space="preserve">Regjeringa vil bidra til å </w:t>
      </w:r>
      <w:proofErr w:type="spellStart"/>
      <w:r w:rsidRPr="00225D4D">
        <w:t>styrkje</w:t>
      </w:r>
      <w:proofErr w:type="spellEnd"/>
      <w:r w:rsidRPr="00225D4D">
        <w:t xml:space="preserve"> rammevilkåra både for </w:t>
      </w:r>
      <w:proofErr w:type="spellStart"/>
      <w:r w:rsidRPr="00225D4D">
        <w:t>lokalmatprodusentar</w:t>
      </w:r>
      <w:proofErr w:type="spellEnd"/>
      <w:r w:rsidRPr="00225D4D">
        <w:t xml:space="preserve"> og turisme basert på garden sine </w:t>
      </w:r>
      <w:proofErr w:type="spellStart"/>
      <w:r w:rsidRPr="00225D4D">
        <w:t>ressursar</w:t>
      </w:r>
      <w:proofErr w:type="spellEnd"/>
      <w:r w:rsidRPr="00225D4D">
        <w:t xml:space="preserve"> gjennom oppfølging av </w:t>
      </w:r>
      <w:r w:rsidRPr="00225D4D">
        <w:rPr>
          <w:rStyle w:val="kursiv"/>
        </w:rPr>
        <w:t xml:space="preserve">Oppskrift for </w:t>
      </w:r>
      <w:proofErr w:type="spellStart"/>
      <w:r w:rsidRPr="00225D4D">
        <w:rPr>
          <w:rStyle w:val="kursiv"/>
        </w:rPr>
        <w:t>meir</w:t>
      </w:r>
      <w:proofErr w:type="spellEnd"/>
      <w:r w:rsidRPr="00225D4D">
        <w:rPr>
          <w:rStyle w:val="kursiv"/>
        </w:rPr>
        <w:t xml:space="preserve"> lokalmat og -drikke</w:t>
      </w:r>
      <w:r w:rsidRPr="00225D4D">
        <w:t xml:space="preserve">. Regjeringa vil </w:t>
      </w:r>
      <w:proofErr w:type="spellStart"/>
      <w:r w:rsidRPr="00225D4D">
        <w:t>følgje</w:t>
      </w:r>
      <w:proofErr w:type="spellEnd"/>
      <w:r w:rsidRPr="00225D4D">
        <w:t xml:space="preserve"> opp vedtaket, og komme tilbake til Stortinget på eigna måte.</w:t>
      </w:r>
    </w:p>
    <w:p w14:paraId="4F3C5A18" w14:textId="77777777" w:rsidR="00D60186" w:rsidRPr="00225D4D" w:rsidRDefault="00D60186" w:rsidP="00225D4D">
      <w:pPr>
        <w:pStyle w:val="avsnitt-tittel"/>
      </w:pPr>
      <w:r w:rsidRPr="00225D4D">
        <w:t>Opphavsmerking av produkt</w:t>
      </w:r>
    </w:p>
    <w:p w14:paraId="5959230F" w14:textId="77777777" w:rsidR="00D60186" w:rsidRPr="00225D4D" w:rsidRDefault="00D60186" w:rsidP="00225D4D">
      <w:pPr>
        <w:pStyle w:val="avsnitt-undertittel"/>
      </w:pPr>
      <w:r w:rsidRPr="00225D4D">
        <w:t>Vedtak nr. 1121, 18. juni 2025:</w:t>
      </w:r>
    </w:p>
    <w:p w14:paraId="4BA2D635" w14:textId="77777777" w:rsidR="00D60186" w:rsidRPr="00225D4D" w:rsidRDefault="00D60186" w:rsidP="00225D4D">
      <w:pPr>
        <w:pStyle w:val="blokksit"/>
        <w:rPr>
          <w:rStyle w:val="kursiv"/>
        </w:rPr>
      </w:pPr>
      <w:r w:rsidRPr="00225D4D">
        <w:rPr>
          <w:rStyle w:val="kursiv"/>
        </w:rPr>
        <w:t>«Stortinget ber regjeringen innføre krav om opprinnelsesmerking av produkter slik at forbrukerne kan ta opplyste valg.»</w:t>
      </w:r>
    </w:p>
    <w:p w14:paraId="41008E57"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4D616656"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og komme tilbake til Stortinget på eigna måte.</w:t>
      </w:r>
    </w:p>
    <w:p w14:paraId="2C9FDD11" w14:textId="77777777" w:rsidR="00D60186" w:rsidRPr="00225D4D" w:rsidRDefault="00D60186" w:rsidP="00225D4D">
      <w:pPr>
        <w:pStyle w:val="avsnitt-tittel"/>
      </w:pPr>
      <w:r w:rsidRPr="00225D4D">
        <w:t>Reduksjon av nitrogentilførsel i Oslofjorden</w:t>
      </w:r>
    </w:p>
    <w:p w14:paraId="0BF09744" w14:textId="77777777" w:rsidR="00D60186" w:rsidRPr="00225D4D" w:rsidRDefault="00D60186" w:rsidP="00225D4D">
      <w:pPr>
        <w:pStyle w:val="avsnitt-undertittel"/>
      </w:pPr>
      <w:r w:rsidRPr="00225D4D">
        <w:t>Vedtak nr. 1120, 18. juni 2025:</w:t>
      </w:r>
    </w:p>
    <w:p w14:paraId="27E7C720" w14:textId="77777777" w:rsidR="00D60186" w:rsidRPr="00225D4D" w:rsidRDefault="00D60186" w:rsidP="00225D4D">
      <w:pPr>
        <w:pStyle w:val="blokksit"/>
        <w:rPr>
          <w:rStyle w:val="kursiv"/>
        </w:rPr>
      </w:pPr>
      <w:r w:rsidRPr="00225D4D">
        <w:rPr>
          <w:rStyle w:val="kursiv"/>
        </w:rPr>
        <w:t>«Stortinget ber regjeringen sikre at det i arbeidet med «Helhetlig plan for bærekraftig bruk av nitrogen i jordbruket» foreslås løsninger som raskt reduserer nitrogentilførselen i Oslofjorden.»</w:t>
      </w:r>
    </w:p>
    <w:p w14:paraId="01CECBAE"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75687666"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ved å supplere mandatet for arbeidet med </w:t>
      </w:r>
      <w:r w:rsidRPr="00225D4D">
        <w:rPr>
          <w:rStyle w:val="kursiv"/>
        </w:rPr>
        <w:t xml:space="preserve">Helhetlig plan for </w:t>
      </w:r>
      <w:proofErr w:type="spellStart"/>
      <w:r w:rsidRPr="00225D4D">
        <w:rPr>
          <w:rStyle w:val="kursiv"/>
        </w:rPr>
        <w:t>berekraftig</w:t>
      </w:r>
      <w:proofErr w:type="spellEnd"/>
      <w:r w:rsidRPr="00225D4D">
        <w:rPr>
          <w:rStyle w:val="kursiv"/>
        </w:rPr>
        <w:t xml:space="preserve"> bruk av nitrogen</w:t>
      </w:r>
      <w:r w:rsidRPr="00225D4D">
        <w:t xml:space="preserve">. Arbeidet har frist 15. mars 2026 for oppfølging i </w:t>
      </w:r>
      <w:proofErr w:type="spellStart"/>
      <w:r w:rsidRPr="00225D4D">
        <w:t>jordbruksoppgjeret</w:t>
      </w:r>
      <w:proofErr w:type="spellEnd"/>
      <w:r w:rsidRPr="00225D4D">
        <w:t xml:space="preserve"> 2026. Regjeringa vil komme tilbake til Stortinget i samband med </w:t>
      </w:r>
      <w:proofErr w:type="spellStart"/>
      <w:r w:rsidRPr="00225D4D">
        <w:t>jordbruksoppgjeret</w:t>
      </w:r>
      <w:proofErr w:type="spellEnd"/>
      <w:r w:rsidRPr="00225D4D">
        <w:t xml:space="preserve"> 2026.</w:t>
      </w:r>
    </w:p>
    <w:p w14:paraId="43931CFF" w14:textId="77777777" w:rsidR="00D60186" w:rsidRPr="00225D4D" w:rsidRDefault="00D60186" w:rsidP="00225D4D">
      <w:pPr>
        <w:pStyle w:val="avsnitt-tittel"/>
      </w:pPr>
      <w:r w:rsidRPr="00225D4D">
        <w:t xml:space="preserve">Tang, tare og </w:t>
      </w:r>
      <w:proofErr w:type="spellStart"/>
      <w:r w:rsidRPr="00225D4D">
        <w:t>mikroalgar</w:t>
      </w:r>
      <w:proofErr w:type="spellEnd"/>
      <w:r w:rsidRPr="00225D4D">
        <w:t xml:space="preserve"> i dyrefôr</w:t>
      </w:r>
    </w:p>
    <w:p w14:paraId="7DCC2971" w14:textId="77777777" w:rsidR="00D60186" w:rsidRPr="00225D4D" w:rsidRDefault="00D60186" w:rsidP="00225D4D">
      <w:pPr>
        <w:pStyle w:val="avsnitt-undertittel"/>
      </w:pPr>
      <w:r w:rsidRPr="00225D4D">
        <w:t>Vedtak nr. 1117, 18. juni 2025:</w:t>
      </w:r>
    </w:p>
    <w:p w14:paraId="1C5EC6D8" w14:textId="77777777" w:rsidR="00D60186" w:rsidRPr="00225D4D" w:rsidRDefault="00D60186" w:rsidP="00225D4D">
      <w:pPr>
        <w:pStyle w:val="blokksit"/>
        <w:rPr>
          <w:rStyle w:val="kursiv"/>
        </w:rPr>
      </w:pPr>
      <w:r w:rsidRPr="00225D4D">
        <w:rPr>
          <w:rStyle w:val="kursiv"/>
        </w:rPr>
        <w:t>«Stortinget ber regjeringen vurdere tiltak for å legge til rette for økt bruk av tang og tare til dyrefôr, og muligheten for å utvikle mikroalger til bruk i dyrefôr for å redusere metanutslipp i landbruket.»</w:t>
      </w:r>
    </w:p>
    <w:p w14:paraId="7AFF0A6E"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2540267B" w14:textId="77777777" w:rsidR="00D60186" w:rsidRPr="00225D4D" w:rsidRDefault="00D60186" w:rsidP="00225D4D">
      <w:r w:rsidRPr="00225D4D">
        <w:t xml:space="preserve">Regjeringa har sett i gang </w:t>
      </w:r>
      <w:proofErr w:type="spellStart"/>
      <w:r w:rsidRPr="00225D4D">
        <w:t>eit</w:t>
      </w:r>
      <w:proofErr w:type="spellEnd"/>
      <w:r w:rsidRPr="00225D4D">
        <w:t xml:space="preserve"> samfunnsoppdrag med mål at alt fôr til oppdrettsfisk og husdyr skal komme </w:t>
      </w:r>
      <w:proofErr w:type="spellStart"/>
      <w:r w:rsidRPr="00225D4D">
        <w:t>frå</w:t>
      </w:r>
      <w:proofErr w:type="spellEnd"/>
      <w:r w:rsidRPr="00225D4D">
        <w:t xml:space="preserve"> </w:t>
      </w:r>
      <w:proofErr w:type="spellStart"/>
      <w:r w:rsidRPr="00225D4D">
        <w:t>berekraftige</w:t>
      </w:r>
      <w:proofErr w:type="spellEnd"/>
      <w:r w:rsidRPr="00225D4D">
        <w:t xml:space="preserve"> kjelder, og bidra til å redusere klimagassutsleppa i </w:t>
      </w:r>
      <w:proofErr w:type="spellStart"/>
      <w:r w:rsidRPr="00225D4D">
        <w:t>matsystema</w:t>
      </w:r>
      <w:proofErr w:type="spellEnd"/>
      <w:r w:rsidRPr="00225D4D">
        <w:t xml:space="preserve"> </w:t>
      </w:r>
      <w:proofErr w:type="spellStart"/>
      <w:r w:rsidRPr="00225D4D">
        <w:t>innan</w:t>
      </w:r>
      <w:proofErr w:type="spellEnd"/>
      <w:r w:rsidRPr="00225D4D">
        <w:t xml:space="preserve"> 2034. Eventuelle tiltak for å </w:t>
      </w:r>
      <w:proofErr w:type="spellStart"/>
      <w:r w:rsidRPr="00225D4D">
        <w:t>leggje</w:t>
      </w:r>
      <w:proofErr w:type="spellEnd"/>
      <w:r w:rsidRPr="00225D4D">
        <w:t xml:space="preserve"> til rette for </w:t>
      </w:r>
      <w:proofErr w:type="spellStart"/>
      <w:r w:rsidRPr="00225D4D">
        <w:t>auka</w:t>
      </w:r>
      <w:proofErr w:type="spellEnd"/>
      <w:r w:rsidRPr="00225D4D">
        <w:t xml:space="preserve"> bruk av tang, tare og </w:t>
      </w:r>
      <w:proofErr w:type="spellStart"/>
      <w:r w:rsidRPr="00225D4D">
        <w:t>mikroalgar</w:t>
      </w:r>
      <w:proofErr w:type="spellEnd"/>
      <w:r w:rsidRPr="00225D4D">
        <w:t xml:space="preserve"> i dyrefôr er relevante for samfunnsoppdraget, og anna forskings- og utviklingsaktivitet på området. Forskingsinnsatsen på fôrområdet er styrkt, og det er nedsett ei styringsgruppe for samfunnsoppdraget som skal gi </w:t>
      </w:r>
      <w:proofErr w:type="spellStart"/>
      <w:r w:rsidRPr="00225D4D">
        <w:t>faglege</w:t>
      </w:r>
      <w:proofErr w:type="spellEnd"/>
      <w:r w:rsidRPr="00225D4D">
        <w:t xml:space="preserve"> råd om korleis </w:t>
      </w:r>
      <w:proofErr w:type="spellStart"/>
      <w:r w:rsidRPr="00225D4D">
        <w:t>ein</w:t>
      </w:r>
      <w:proofErr w:type="spellEnd"/>
      <w:r w:rsidRPr="00225D4D">
        <w:t xml:space="preserve"> kan nå </w:t>
      </w:r>
      <w:proofErr w:type="spellStart"/>
      <w:r w:rsidRPr="00225D4D">
        <w:t>dei</w:t>
      </w:r>
      <w:proofErr w:type="spellEnd"/>
      <w:r w:rsidRPr="00225D4D">
        <w:t xml:space="preserve"> måla som er sette. </w:t>
      </w:r>
      <w:proofErr w:type="spellStart"/>
      <w:r w:rsidRPr="00225D4D">
        <w:t>Ein</w:t>
      </w:r>
      <w:proofErr w:type="spellEnd"/>
      <w:r w:rsidRPr="00225D4D">
        <w:t xml:space="preserve"> første rapport </w:t>
      </w:r>
      <w:proofErr w:type="spellStart"/>
      <w:r w:rsidRPr="00225D4D">
        <w:t>frå</w:t>
      </w:r>
      <w:proofErr w:type="spellEnd"/>
      <w:r w:rsidRPr="00225D4D">
        <w:t xml:space="preserve"> styringsgruppa er forventa i november 2025. Ei vurdering av ulike fôrråvarer med omsyn til </w:t>
      </w:r>
      <w:proofErr w:type="spellStart"/>
      <w:r w:rsidRPr="00225D4D">
        <w:t>auka</w:t>
      </w:r>
      <w:proofErr w:type="spellEnd"/>
      <w:r w:rsidRPr="00225D4D">
        <w:t xml:space="preserve"> </w:t>
      </w:r>
      <w:proofErr w:type="spellStart"/>
      <w:r w:rsidRPr="00225D4D">
        <w:t>berekraft</w:t>
      </w:r>
      <w:proofErr w:type="spellEnd"/>
      <w:r w:rsidRPr="00225D4D">
        <w:t xml:space="preserve"> i </w:t>
      </w:r>
      <w:proofErr w:type="spellStart"/>
      <w:r w:rsidRPr="00225D4D">
        <w:t>matsystema</w:t>
      </w:r>
      <w:proofErr w:type="spellEnd"/>
      <w:r w:rsidRPr="00225D4D">
        <w:t xml:space="preserve">, inkludert reduserte klimagassutslepp, vil inngå i det </w:t>
      </w:r>
      <w:proofErr w:type="spellStart"/>
      <w:r w:rsidRPr="00225D4D">
        <w:t>vidare</w:t>
      </w:r>
      <w:proofErr w:type="spellEnd"/>
      <w:r w:rsidRPr="00225D4D">
        <w:t xml:space="preserve"> arbeidet med samfunnsoppdraget. Departementet </w:t>
      </w:r>
      <w:proofErr w:type="spellStart"/>
      <w:r w:rsidRPr="00225D4D">
        <w:t>reknar</w:t>
      </w:r>
      <w:proofErr w:type="spellEnd"/>
      <w:r w:rsidRPr="00225D4D">
        <w:t xml:space="preserve"> rapporteringa på dette oppmodingsvedtaket som avslutta.</w:t>
      </w:r>
    </w:p>
    <w:p w14:paraId="291114BA" w14:textId="77777777" w:rsidR="00D60186" w:rsidRPr="00225D4D" w:rsidRDefault="00D60186" w:rsidP="00225D4D">
      <w:pPr>
        <w:pStyle w:val="avsnitt-tittel"/>
      </w:pPr>
      <w:r w:rsidRPr="00225D4D">
        <w:t xml:space="preserve">Rammevilkår for </w:t>
      </w:r>
      <w:proofErr w:type="spellStart"/>
      <w:r w:rsidRPr="00225D4D">
        <w:t>miljøvenleg</w:t>
      </w:r>
      <w:proofErr w:type="spellEnd"/>
      <w:r w:rsidRPr="00225D4D">
        <w:t xml:space="preserve"> gjødsel, </w:t>
      </w:r>
      <w:proofErr w:type="spellStart"/>
      <w:r w:rsidRPr="00225D4D">
        <w:t>jordforbetring</w:t>
      </w:r>
      <w:proofErr w:type="spellEnd"/>
      <w:r w:rsidRPr="00225D4D">
        <w:t xml:space="preserve"> og bioenergi</w:t>
      </w:r>
    </w:p>
    <w:p w14:paraId="0F54E775" w14:textId="77777777" w:rsidR="00D60186" w:rsidRPr="00225D4D" w:rsidRDefault="00D60186" w:rsidP="00225D4D">
      <w:pPr>
        <w:pStyle w:val="avsnitt-undertittel"/>
      </w:pPr>
      <w:r w:rsidRPr="00225D4D">
        <w:t>Vedtak nr. 1116, 18. juni 2025:</w:t>
      </w:r>
    </w:p>
    <w:p w14:paraId="47403CB5" w14:textId="77777777" w:rsidR="00D60186" w:rsidRPr="00225D4D" w:rsidRDefault="00D60186" w:rsidP="00225D4D">
      <w:pPr>
        <w:pStyle w:val="blokksit"/>
        <w:rPr>
          <w:rStyle w:val="kursiv"/>
        </w:rPr>
      </w:pPr>
      <w:r w:rsidRPr="00225D4D">
        <w:rPr>
          <w:rStyle w:val="kursiv"/>
        </w:rPr>
        <w:t>«Stortinget ber regjeringen bedre rammevilkårene for utvikling av miljøvennlig gjødsel, jordforbedring og bioenergi.»</w:t>
      </w:r>
    </w:p>
    <w:p w14:paraId="0665D75B"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0C036B3E" w14:textId="77777777" w:rsidR="00D60186" w:rsidRPr="00225D4D" w:rsidRDefault="00D60186" w:rsidP="00225D4D">
      <w:r w:rsidRPr="00225D4D">
        <w:t xml:space="preserve">Regjeringa har i januar 2025 fastsett nytt gjødselregelverk. Regjeringa </w:t>
      </w:r>
      <w:proofErr w:type="spellStart"/>
      <w:r w:rsidRPr="00225D4D">
        <w:t>rustar</w:t>
      </w:r>
      <w:proofErr w:type="spellEnd"/>
      <w:r w:rsidRPr="00225D4D">
        <w:t xml:space="preserve"> </w:t>
      </w:r>
      <w:proofErr w:type="spellStart"/>
      <w:r w:rsidRPr="00225D4D">
        <w:t>no</w:t>
      </w:r>
      <w:proofErr w:type="spellEnd"/>
      <w:r w:rsidRPr="00225D4D">
        <w:t xml:space="preserve"> opp rettleiings- og støtteverktøy som skal </w:t>
      </w:r>
      <w:proofErr w:type="spellStart"/>
      <w:r w:rsidRPr="00225D4D">
        <w:t>setje</w:t>
      </w:r>
      <w:proofErr w:type="spellEnd"/>
      <w:r w:rsidRPr="00225D4D">
        <w:t xml:space="preserve"> </w:t>
      </w:r>
      <w:proofErr w:type="spellStart"/>
      <w:r w:rsidRPr="00225D4D">
        <w:t>føretak</w:t>
      </w:r>
      <w:proofErr w:type="spellEnd"/>
      <w:r w:rsidRPr="00225D4D">
        <w:t xml:space="preserve"> og forvaltning i stand til å </w:t>
      </w:r>
      <w:proofErr w:type="spellStart"/>
      <w:r w:rsidRPr="00225D4D">
        <w:t>følgje</w:t>
      </w:r>
      <w:proofErr w:type="spellEnd"/>
      <w:r w:rsidRPr="00225D4D">
        <w:t xml:space="preserve"> opp regelverket på </w:t>
      </w:r>
      <w:proofErr w:type="spellStart"/>
      <w:r w:rsidRPr="00225D4D">
        <w:t>ein</w:t>
      </w:r>
      <w:proofErr w:type="spellEnd"/>
      <w:r w:rsidRPr="00225D4D">
        <w:t xml:space="preserve"> god måte. I </w:t>
      </w:r>
      <w:proofErr w:type="spellStart"/>
      <w:r w:rsidRPr="00225D4D">
        <w:t>jordbruksoppgjeret</w:t>
      </w:r>
      <w:proofErr w:type="spellEnd"/>
      <w:r w:rsidRPr="00225D4D">
        <w:t xml:space="preserve"> 2025 var det semje om </w:t>
      </w:r>
      <w:proofErr w:type="spellStart"/>
      <w:r w:rsidRPr="00225D4D">
        <w:t>auka</w:t>
      </w:r>
      <w:proofErr w:type="spellEnd"/>
      <w:r w:rsidRPr="00225D4D">
        <w:t xml:space="preserve"> </w:t>
      </w:r>
      <w:proofErr w:type="spellStart"/>
      <w:r w:rsidRPr="00225D4D">
        <w:t>løyvingar</w:t>
      </w:r>
      <w:proofErr w:type="spellEnd"/>
      <w:r w:rsidRPr="00225D4D">
        <w:t xml:space="preserve"> til mellom anna tilskott til </w:t>
      </w:r>
      <w:proofErr w:type="spellStart"/>
      <w:r w:rsidRPr="00225D4D">
        <w:t>miljøvenleg</w:t>
      </w:r>
      <w:proofErr w:type="spellEnd"/>
      <w:r w:rsidRPr="00225D4D">
        <w:t xml:space="preserve"> spreiing av husdyrgjødsel. I dag blir det gitt tilskott for levering av husdyrgjødsel til biogassanlegg, og det skal </w:t>
      </w:r>
      <w:proofErr w:type="spellStart"/>
      <w:r w:rsidRPr="00225D4D">
        <w:t>no</w:t>
      </w:r>
      <w:proofErr w:type="spellEnd"/>
      <w:r w:rsidRPr="00225D4D">
        <w:t xml:space="preserve"> </w:t>
      </w:r>
      <w:proofErr w:type="spellStart"/>
      <w:r w:rsidRPr="00225D4D">
        <w:t>greiast</w:t>
      </w:r>
      <w:proofErr w:type="spellEnd"/>
      <w:r w:rsidRPr="00225D4D">
        <w:t xml:space="preserve"> ut om ordninga skal </w:t>
      </w:r>
      <w:proofErr w:type="spellStart"/>
      <w:r w:rsidRPr="00225D4D">
        <w:t>leggjast</w:t>
      </w:r>
      <w:proofErr w:type="spellEnd"/>
      <w:r w:rsidRPr="00225D4D">
        <w:t xml:space="preserve"> om til ei teknologinøytral ordning. Bruk av fangvekstar </w:t>
      </w:r>
      <w:proofErr w:type="spellStart"/>
      <w:r w:rsidRPr="00225D4D">
        <w:t>bidreg</w:t>
      </w:r>
      <w:proofErr w:type="spellEnd"/>
      <w:r w:rsidRPr="00225D4D">
        <w:t xml:space="preserve"> til </w:t>
      </w:r>
      <w:proofErr w:type="spellStart"/>
      <w:r w:rsidRPr="00225D4D">
        <w:t>jordforbetring</w:t>
      </w:r>
      <w:proofErr w:type="spellEnd"/>
      <w:r w:rsidRPr="00225D4D">
        <w:t xml:space="preserve">, og </w:t>
      </w:r>
      <w:proofErr w:type="spellStart"/>
      <w:r w:rsidRPr="00225D4D">
        <w:t>dei</w:t>
      </w:r>
      <w:proofErr w:type="spellEnd"/>
      <w:r w:rsidRPr="00225D4D">
        <w:t xml:space="preserve"> siste åra er det innført både krav og tilskott for å </w:t>
      </w:r>
      <w:proofErr w:type="spellStart"/>
      <w:r w:rsidRPr="00225D4D">
        <w:t>fremje</w:t>
      </w:r>
      <w:proofErr w:type="spellEnd"/>
      <w:r w:rsidRPr="00225D4D">
        <w:t xml:space="preserve"> bruk av fangvekstar.</w:t>
      </w:r>
    </w:p>
    <w:p w14:paraId="7A35F14D"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w:t>
      </w:r>
      <w:proofErr w:type="spellStart"/>
      <w:r w:rsidRPr="00225D4D">
        <w:t>vidare</w:t>
      </w:r>
      <w:proofErr w:type="spellEnd"/>
      <w:r w:rsidRPr="00225D4D">
        <w:t xml:space="preserve"> og komme tilbake til Stortinget på eigna måte.</w:t>
      </w:r>
    </w:p>
    <w:p w14:paraId="027717A1" w14:textId="77777777" w:rsidR="00D60186" w:rsidRPr="00225D4D" w:rsidRDefault="00D60186" w:rsidP="00225D4D">
      <w:pPr>
        <w:pStyle w:val="avsnitt-tittel"/>
      </w:pPr>
      <w:r w:rsidRPr="00225D4D">
        <w:t>Utvikling av grøntsektoren i norsk matproduksjon</w:t>
      </w:r>
    </w:p>
    <w:p w14:paraId="2DD22A52" w14:textId="77777777" w:rsidR="00D60186" w:rsidRPr="00225D4D" w:rsidRDefault="00D60186" w:rsidP="00225D4D">
      <w:pPr>
        <w:pStyle w:val="avsnitt-undertittel"/>
      </w:pPr>
      <w:r w:rsidRPr="00225D4D">
        <w:t>Vedtak nr. 1115, 18. juni 2025:</w:t>
      </w:r>
    </w:p>
    <w:p w14:paraId="72AE536C" w14:textId="77777777" w:rsidR="00D60186" w:rsidRPr="00225D4D" w:rsidRDefault="00D60186" w:rsidP="00225D4D">
      <w:pPr>
        <w:pStyle w:val="blokksit"/>
        <w:rPr>
          <w:rStyle w:val="kursiv"/>
        </w:rPr>
      </w:pPr>
      <w:r w:rsidRPr="00225D4D">
        <w:rPr>
          <w:rStyle w:val="kursiv"/>
        </w:rPr>
        <w:t>«Stortinget ber regjeringen legge til grunn at grøntsektoren skal utvikles til å spille en større rolle i norsk matproduksjon frem mot 2035, og at dette skal reflekteres i målformuleringene og prioriteringene i jordbruksforhandlingene fremover.»</w:t>
      </w:r>
    </w:p>
    <w:p w14:paraId="24C33997"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70852A4C" w14:textId="77777777" w:rsidR="00D60186" w:rsidRPr="00225D4D" w:rsidRDefault="00D60186" w:rsidP="00225D4D">
      <w:r w:rsidRPr="00225D4D">
        <w:t xml:space="preserve">Regjeringa vil </w:t>
      </w:r>
      <w:proofErr w:type="spellStart"/>
      <w:r w:rsidRPr="00225D4D">
        <w:t>følgje</w:t>
      </w:r>
      <w:proofErr w:type="spellEnd"/>
      <w:r w:rsidRPr="00225D4D">
        <w:t xml:space="preserve"> opp dette mellom anna i </w:t>
      </w:r>
      <w:proofErr w:type="spellStart"/>
      <w:r w:rsidRPr="00225D4D">
        <w:t>jordbruksoppgjeret</w:t>
      </w:r>
      <w:proofErr w:type="spellEnd"/>
      <w:r w:rsidRPr="00225D4D">
        <w:t xml:space="preserve"> i 2026, og departementet </w:t>
      </w:r>
      <w:proofErr w:type="spellStart"/>
      <w:r w:rsidRPr="00225D4D">
        <w:t>reknar</w:t>
      </w:r>
      <w:proofErr w:type="spellEnd"/>
      <w:r w:rsidRPr="00225D4D">
        <w:t xml:space="preserve"> rapporteringa på dette oppmodingsvedtaket som avslutta.</w:t>
      </w:r>
    </w:p>
    <w:p w14:paraId="3FB49AA6" w14:textId="77777777" w:rsidR="00D60186" w:rsidRPr="00225D4D" w:rsidRDefault="00D60186" w:rsidP="00225D4D">
      <w:pPr>
        <w:pStyle w:val="avsnitt-tittel"/>
      </w:pPr>
      <w:r w:rsidRPr="00225D4D">
        <w:t xml:space="preserve">Sikre at inntektsgapet held fram å </w:t>
      </w:r>
      <w:proofErr w:type="spellStart"/>
      <w:r w:rsidRPr="00225D4D">
        <w:t>vere</w:t>
      </w:r>
      <w:proofErr w:type="spellEnd"/>
      <w:r w:rsidRPr="00225D4D">
        <w:t xml:space="preserve"> tetta framover</w:t>
      </w:r>
    </w:p>
    <w:p w14:paraId="0E9DA1A8" w14:textId="77777777" w:rsidR="00D60186" w:rsidRPr="00225D4D" w:rsidRDefault="00D60186" w:rsidP="00225D4D">
      <w:pPr>
        <w:pStyle w:val="avsnitt-undertittel"/>
      </w:pPr>
      <w:r w:rsidRPr="00225D4D">
        <w:t>Vedtak nr. 1114, 18. juni 2025:</w:t>
      </w:r>
    </w:p>
    <w:p w14:paraId="504F6B38" w14:textId="77777777" w:rsidR="00D60186" w:rsidRPr="00225D4D" w:rsidRDefault="00D60186" w:rsidP="00225D4D">
      <w:pPr>
        <w:pStyle w:val="blokksit"/>
        <w:rPr>
          <w:rStyle w:val="kursiv"/>
        </w:rPr>
      </w:pPr>
      <w:r w:rsidRPr="00225D4D">
        <w:rPr>
          <w:rStyle w:val="kursiv"/>
        </w:rPr>
        <w:t>«Stortinget ber regjeringen sikre at inntektsgapet mellom bønder og andre grupper i samfunnet forblir tettet fremover.»</w:t>
      </w:r>
    </w:p>
    <w:p w14:paraId="11D11E3C"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1E81A3F0" w14:textId="77777777" w:rsidR="00D60186" w:rsidRPr="00225D4D" w:rsidRDefault="00D60186" w:rsidP="00225D4D">
      <w:r w:rsidRPr="00225D4D">
        <w:t xml:space="preserve">Regjeringa vil </w:t>
      </w:r>
      <w:proofErr w:type="spellStart"/>
      <w:r w:rsidRPr="00225D4D">
        <w:t>følgje</w:t>
      </w:r>
      <w:proofErr w:type="spellEnd"/>
      <w:r w:rsidRPr="00225D4D">
        <w:t xml:space="preserve"> opp dette i </w:t>
      </w:r>
      <w:proofErr w:type="spellStart"/>
      <w:r w:rsidRPr="00225D4D">
        <w:t>dei</w:t>
      </w:r>
      <w:proofErr w:type="spellEnd"/>
      <w:r w:rsidRPr="00225D4D">
        <w:t xml:space="preserve"> </w:t>
      </w:r>
      <w:proofErr w:type="spellStart"/>
      <w:r w:rsidRPr="00225D4D">
        <w:t>årlege</w:t>
      </w:r>
      <w:proofErr w:type="spellEnd"/>
      <w:r w:rsidRPr="00225D4D">
        <w:t xml:space="preserve"> </w:t>
      </w:r>
      <w:proofErr w:type="spellStart"/>
      <w:r w:rsidRPr="00225D4D">
        <w:t>jordbruksoppgjera</w:t>
      </w:r>
      <w:proofErr w:type="spellEnd"/>
      <w:r w:rsidRPr="00225D4D">
        <w:t xml:space="preserve">, og departementet </w:t>
      </w:r>
      <w:proofErr w:type="spellStart"/>
      <w:r w:rsidRPr="00225D4D">
        <w:t>reknar</w:t>
      </w:r>
      <w:proofErr w:type="spellEnd"/>
      <w:r w:rsidRPr="00225D4D">
        <w:t xml:space="preserve"> rapporteringa på dette oppmodingsvedtaket som avslutta.</w:t>
      </w:r>
    </w:p>
    <w:p w14:paraId="6E7AF43E" w14:textId="77777777" w:rsidR="00D60186" w:rsidRPr="00225D4D" w:rsidRDefault="00D60186" w:rsidP="00225D4D">
      <w:pPr>
        <w:pStyle w:val="avsnitt-tittel"/>
      </w:pPr>
      <w:proofErr w:type="spellStart"/>
      <w:r w:rsidRPr="00225D4D">
        <w:t>Auka</w:t>
      </w:r>
      <w:proofErr w:type="spellEnd"/>
      <w:r w:rsidRPr="00225D4D">
        <w:t xml:space="preserve"> verdiskaping i grøntsektoren</w:t>
      </w:r>
    </w:p>
    <w:p w14:paraId="7DF8E85A" w14:textId="77777777" w:rsidR="00D60186" w:rsidRPr="00225D4D" w:rsidRDefault="00D60186" w:rsidP="00225D4D">
      <w:pPr>
        <w:pStyle w:val="avsnitt-undertittel"/>
      </w:pPr>
      <w:r w:rsidRPr="00225D4D">
        <w:t>Vedtak nr. 1113, 18. juni 2025:</w:t>
      </w:r>
    </w:p>
    <w:p w14:paraId="50F6D262" w14:textId="77777777" w:rsidR="00D60186" w:rsidRPr="00225D4D" w:rsidRDefault="00D60186" w:rsidP="00225D4D">
      <w:pPr>
        <w:pStyle w:val="blokksit"/>
        <w:rPr>
          <w:rStyle w:val="kursiv"/>
        </w:rPr>
      </w:pPr>
      <w:r w:rsidRPr="00225D4D">
        <w:rPr>
          <w:rStyle w:val="kursiv"/>
        </w:rPr>
        <w:t>«Stortinget ber regjeringen legge til rette for økt verdiskaping i grøntsektoren gjennom målrettede tiltak som styrker denne sektorens konkurranseevne.»</w:t>
      </w:r>
    </w:p>
    <w:p w14:paraId="27F1E606"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061247A7" w14:textId="77777777" w:rsidR="00D60186" w:rsidRPr="00225D4D" w:rsidRDefault="00D60186" w:rsidP="00225D4D">
      <w:r w:rsidRPr="00225D4D">
        <w:t xml:space="preserve">Regjeringa vil </w:t>
      </w:r>
      <w:proofErr w:type="spellStart"/>
      <w:r w:rsidRPr="00225D4D">
        <w:t>følgje</w:t>
      </w:r>
      <w:proofErr w:type="spellEnd"/>
      <w:r w:rsidRPr="00225D4D">
        <w:t xml:space="preserve"> opp dette mellom anna i </w:t>
      </w:r>
      <w:proofErr w:type="spellStart"/>
      <w:r w:rsidRPr="00225D4D">
        <w:t>jordbruksoppgjeret</w:t>
      </w:r>
      <w:proofErr w:type="spellEnd"/>
      <w:r w:rsidRPr="00225D4D">
        <w:t xml:space="preserve"> i 2026, og departementet </w:t>
      </w:r>
      <w:proofErr w:type="spellStart"/>
      <w:r w:rsidRPr="00225D4D">
        <w:t>reknar</w:t>
      </w:r>
      <w:proofErr w:type="spellEnd"/>
      <w:r w:rsidRPr="00225D4D">
        <w:t xml:space="preserve"> rapporteringa på dette oppmodingsvedtaket som avslutta.</w:t>
      </w:r>
    </w:p>
    <w:p w14:paraId="0653927C" w14:textId="77777777" w:rsidR="00D60186" w:rsidRPr="00225D4D" w:rsidRDefault="00D60186" w:rsidP="00225D4D">
      <w:pPr>
        <w:pStyle w:val="avsnitt-tittel"/>
      </w:pPr>
      <w:proofErr w:type="spellStart"/>
      <w:r w:rsidRPr="00225D4D">
        <w:t>Styrkje</w:t>
      </w:r>
      <w:proofErr w:type="spellEnd"/>
      <w:r w:rsidRPr="00225D4D">
        <w:t xml:space="preserve"> satsinga på produksjon av </w:t>
      </w:r>
      <w:proofErr w:type="spellStart"/>
      <w:r w:rsidRPr="00225D4D">
        <w:t>plantevekstar</w:t>
      </w:r>
      <w:proofErr w:type="spellEnd"/>
      <w:r w:rsidRPr="00225D4D">
        <w:t xml:space="preserve"> til mat</w:t>
      </w:r>
    </w:p>
    <w:p w14:paraId="4F275718" w14:textId="77777777" w:rsidR="00D60186" w:rsidRPr="00225D4D" w:rsidRDefault="00D60186" w:rsidP="00225D4D">
      <w:pPr>
        <w:pStyle w:val="avsnitt-undertittel"/>
      </w:pPr>
      <w:r w:rsidRPr="00225D4D">
        <w:t>Vedtak nr. 1112, 18. juni 2025:</w:t>
      </w:r>
    </w:p>
    <w:p w14:paraId="33450877" w14:textId="77777777" w:rsidR="00D60186" w:rsidRPr="00225D4D" w:rsidRDefault="00D60186" w:rsidP="00225D4D">
      <w:pPr>
        <w:pStyle w:val="blokksit"/>
        <w:rPr>
          <w:rStyle w:val="kursiv"/>
        </w:rPr>
      </w:pPr>
      <w:r w:rsidRPr="00225D4D">
        <w:rPr>
          <w:rStyle w:val="kursiv"/>
        </w:rPr>
        <w:t>«Stortinget ber regjeringen fremover styrke satsingen på produksjon av plantevekster til mat, for å øke selvforsyningen.»</w:t>
      </w:r>
    </w:p>
    <w:p w14:paraId="7A628169"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149 S (2024–2025) </w:t>
      </w:r>
      <w:proofErr w:type="spellStart"/>
      <w:r w:rsidRPr="00225D4D">
        <w:rPr>
          <w:rStyle w:val="kursiv"/>
        </w:rPr>
        <w:t>Jordbruksoppgjeret</w:t>
      </w:r>
      <w:proofErr w:type="spellEnd"/>
      <w:r w:rsidRPr="00225D4D">
        <w:rPr>
          <w:rStyle w:val="kursiv"/>
        </w:rPr>
        <w:t xml:space="preserve"> 2025</w:t>
      </w:r>
      <w:r w:rsidRPr="00225D4D">
        <w:t xml:space="preserve">, jf. </w:t>
      </w:r>
      <w:proofErr w:type="spellStart"/>
      <w:r w:rsidRPr="00225D4D">
        <w:t>Innst</w:t>
      </w:r>
      <w:proofErr w:type="spellEnd"/>
      <w:r w:rsidRPr="00225D4D">
        <w:t>. 534 S (2024–2025).</w:t>
      </w:r>
    </w:p>
    <w:p w14:paraId="300BA496" w14:textId="77777777" w:rsidR="00D60186" w:rsidRPr="00225D4D" w:rsidRDefault="00D60186" w:rsidP="00225D4D">
      <w:r w:rsidRPr="00225D4D">
        <w:t xml:space="preserve">Regjeringa vil </w:t>
      </w:r>
      <w:proofErr w:type="spellStart"/>
      <w:r w:rsidRPr="00225D4D">
        <w:t>følgje</w:t>
      </w:r>
      <w:proofErr w:type="spellEnd"/>
      <w:r w:rsidRPr="00225D4D">
        <w:t xml:space="preserve"> opp dette mellom anna i </w:t>
      </w:r>
      <w:proofErr w:type="spellStart"/>
      <w:r w:rsidRPr="00225D4D">
        <w:t>jordbruksoppgjeret</w:t>
      </w:r>
      <w:proofErr w:type="spellEnd"/>
      <w:r w:rsidRPr="00225D4D">
        <w:t xml:space="preserve"> i 2026, og departementet </w:t>
      </w:r>
      <w:proofErr w:type="spellStart"/>
      <w:r w:rsidRPr="00225D4D">
        <w:t>reknar</w:t>
      </w:r>
      <w:proofErr w:type="spellEnd"/>
      <w:r w:rsidRPr="00225D4D">
        <w:t xml:space="preserve"> rapporteringa på dette oppmodingsvedtaket som avslutta.</w:t>
      </w:r>
    </w:p>
    <w:p w14:paraId="49B5E9AE" w14:textId="77777777" w:rsidR="00D60186" w:rsidRPr="00225D4D" w:rsidRDefault="00D60186" w:rsidP="00225D4D">
      <w:pPr>
        <w:pStyle w:val="avsnitt-tittel"/>
      </w:pPr>
      <w:proofErr w:type="spellStart"/>
      <w:r w:rsidRPr="00225D4D">
        <w:t>Vidareføre</w:t>
      </w:r>
      <w:proofErr w:type="spellEnd"/>
      <w:r w:rsidRPr="00225D4D">
        <w:t xml:space="preserve"> straumstøtte for jordbruks- og veksthusnæringa</w:t>
      </w:r>
    </w:p>
    <w:p w14:paraId="62D29439" w14:textId="77777777" w:rsidR="00D60186" w:rsidRPr="00225D4D" w:rsidRDefault="00D60186" w:rsidP="00225D4D">
      <w:pPr>
        <w:pStyle w:val="avsnitt-undertittel"/>
      </w:pPr>
      <w:r w:rsidRPr="00225D4D">
        <w:t>Vedtak nr. 1095, 16. juni 2025:</w:t>
      </w:r>
    </w:p>
    <w:p w14:paraId="438D2AA5" w14:textId="77777777" w:rsidR="00D60186" w:rsidRPr="00225D4D" w:rsidRDefault="00D60186" w:rsidP="00225D4D">
      <w:pPr>
        <w:pStyle w:val="blokksit"/>
        <w:rPr>
          <w:rStyle w:val="kursiv"/>
        </w:rPr>
      </w:pPr>
      <w:r w:rsidRPr="00225D4D">
        <w:rPr>
          <w:rStyle w:val="kursiv"/>
        </w:rPr>
        <w:t>«Stortinget ber regjeringen om å videreføre strømstøtteordningen for jordbruks- og veksthusnæringen til 31. desember 2029»</w:t>
      </w:r>
    </w:p>
    <w:p w14:paraId="19A9D0EA"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148 L (2024–2025) </w:t>
      </w:r>
      <w:r w:rsidRPr="00225D4D">
        <w:rPr>
          <w:rStyle w:val="kursiv"/>
        </w:rPr>
        <w:t>Lov om Norgespris og strømstønad til husholdninger.</w:t>
      </w:r>
    </w:p>
    <w:p w14:paraId="22C053BD" w14:textId="77777777" w:rsidR="00D60186" w:rsidRPr="00225D4D" w:rsidRDefault="00D60186" w:rsidP="00225D4D">
      <w:r w:rsidRPr="00225D4D">
        <w:t xml:space="preserve">Regjeringa har </w:t>
      </w:r>
      <w:proofErr w:type="spellStart"/>
      <w:r w:rsidRPr="00225D4D">
        <w:t>følgt</w:t>
      </w:r>
      <w:proofErr w:type="spellEnd"/>
      <w:r w:rsidRPr="00225D4D">
        <w:t xml:space="preserve"> opp dette gjennom endring i forskrift, og vil </w:t>
      </w:r>
      <w:proofErr w:type="spellStart"/>
      <w:r w:rsidRPr="00225D4D">
        <w:t>følgje</w:t>
      </w:r>
      <w:proofErr w:type="spellEnd"/>
      <w:r w:rsidRPr="00225D4D">
        <w:t xml:space="preserve"> opp </w:t>
      </w:r>
      <w:proofErr w:type="spellStart"/>
      <w:r w:rsidRPr="00225D4D">
        <w:t>vidare</w:t>
      </w:r>
      <w:proofErr w:type="spellEnd"/>
      <w:r w:rsidRPr="00225D4D">
        <w:t xml:space="preserve"> gjennom </w:t>
      </w:r>
      <w:proofErr w:type="spellStart"/>
      <w:r w:rsidRPr="00225D4D">
        <w:t>løyvingar</w:t>
      </w:r>
      <w:proofErr w:type="spellEnd"/>
      <w:r w:rsidRPr="00225D4D">
        <w:t xml:space="preserve"> i </w:t>
      </w:r>
      <w:proofErr w:type="spellStart"/>
      <w:r w:rsidRPr="00225D4D">
        <w:t>dei</w:t>
      </w:r>
      <w:proofErr w:type="spellEnd"/>
      <w:r w:rsidRPr="00225D4D">
        <w:t xml:space="preserve"> </w:t>
      </w:r>
      <w:proofErr w:type="spellStart"/>
      <w:r w:rsidRPr="00225D4D">
        <w:t>årlege</w:t>
      </w:r>
      <w:proofErr w:type="spellEnd"/>
      <w:r w:rsidRPr="00225D4D">
        <w:t xml:space="preserve"> statsbudsjetta. Departementet </w:t>
      </w:r>
      <w:proofErr w:type="spellStart"/>
      <w:r w:rsidRPr="00225D4D">
        <w:t>legg</w:t>
      </w:r>
      <w:proofErr w:type="spellEnd"/>
      <w:r w:rsidRPr="00225D4D">
        <w:t xml:space="preserve"> til grunn at vedtak nr. 1095, 16 juni 2025 med dette er </w:t>
      </w:r>
      <w:proofErr w:type="spellStart"/>
      <w:r w:rsidRPr="00225D4D">
        <w:t>følgt</w:t>
      </w:r>
      <w:proofErr w:type="spellEnd"/>
      <w:r w:rsidRPr="00225D4D">
        <w:t xml:space="preserve"> opp.</w:t>
      </w:r>
    </w:p>
    <w:p w14:paraId="47592C03" w14:textId="77777777" w:rsidR="00D60186" w:rsidRPr="00225D4D" w:rsidRDefault="00D60186" w:rsidP="00225D4D">
      <w:pPr>
        <w:pStyle w:val="avsnitt-tittel"/>
      </w:pPr>
      <w:r w:rsidRPr="00225D4D">
        <w:t xml:space="preserve">Lov om </w:t>
      </w:r>
      <w:proofErr w:type="spellStart"/>
      <w:r w:rsidRPr="00225D4D">
        <w:t>førebygging</w:t>
      </w:r>
      <w:proofErr w:type="spellEnd"/>
      <w:r w:rsidRPr="00225D4D">
        <w:t xml:space="preserve"> og reduksjon av matsvinn</w:t>
      </w:r>
    </w:p>
    <w:p w14:paraId="42FA4B54" w14:textId="77777777" w:rsidR="00D60186" w:rsidRPr="00225D4D" w:rsidRDefault="00D60186" w:rsidP="00225D4D">
      <w:pPr>
        <w:pStyle w:val="avsnitt-undertittel"/>
      </w:pPr>
      <w:r w:rsidRPr="00225D4D">
        <w:t>Vedtak nr. 772, 27. mai 2025:</w:t>
      </w:r>
    </w:p>
    <w:p w14:paraId="17289FFF" w14:textId="77777777" w:rsidR="00D60186" w:rsidRPr="00225D4D" w:rsidRDefault="00D60186" w:rsidP="00225D4D">
      <w:pPr>
        <w:pStyle w:val="blokksit"/>
        <w:rPr>
          <w:rStyle w:val="kursiv"/>
        </w:rPr>
      </w:pPr>
      <w:r w:rsidRPr="00225D4D">
        <w:rPr>
          <w:rStyle w:val="kursiv"/>
        </w:rPr>
        <w:t>«Stortinget ber regjeringen gjøre de nødvendige tiltak for å sikre at det ikke lønner seg for virksomheter å destruere mat, fremfor å gi maten bort.»</w:t>
      </w:r>
    </w:p>
    <w:p w14:paraId="0C8EC23F" w14:textId="77777777" w:rsidR="00D60186" w:rsidRPr="00225D4D" w:rsidRDefault="00D60186" w:rsidP="00225D4D">
      <w:r w:rsidRPr="00225D4D">
        <w:t xml:space="preserve">Vedtaket blei fatta ved handsaminga </w:t>
      </w:r>
      <w:proofErr w:type="spellStart"/>
      <w:r w:rsidRPr="00225D4D">
        <w:t>Prop</w:t>
      </w:r>
      <w:proofErr w:type="spellEnd"/>
      <w:r w:rsidRPr="00225D4D">
        <w:t xml:space="preserve">. 130 L (2024–2025) </w:t>
      </w:r>
      <w:r w:rsidRPr="00225D4D">
        <w:rPr>
          <w:rStyle w:val="kursiv"/>
        </w:rPr>
        <w:t xml:space="preserve">Lov om </w:t>
      </w:r>
      <w:proofErr w:type="spellStart"/>
      <w:r w:rsidRPr="00225D4D">
        <w:rPr>
          <w:rStyle w:val="kursiv"/>
        </w:rPr>
        <w:t>førebygging</w:t>
      </w:r>
      <w:proofErr w:type="spellEnd"/>
      <w:r w:rsidRPr="00225D4D">
        <w:rPr>
          <w:rStyle w:val="kursiv"/>
        </w:rPr>
        <w:t xml:space="preserve"> og reduksjon av matsvinn</w:t>
      </w:r>
      <w:r w:rsidRPr="00225D4D">
        <w:t>, jf. lovvedtak 68 (2024–2025).</w:t>
      </w:r>
    </w:p>
    <w:p w14:paraId="5BBE9EBC"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og komme tilbake til Stortinget på eigna måte.</w:t>
      </w:r>
    </w:p>
    <w:p w14:paraId="3ADC86D0" w14:textId="77777777" w:rsidR="00D60186" w:rsidRPr="00225D4D" w:rsidRDefault="00D60186" w:rsidP="00225D4D">
      <w:pPr>
        <w:pStyle w:val="avsnitt-tittel"/>
      </w:pPr>
      <w:r w:rsidRPr="00225D4D">
        <w:t>Regulering av jakttid for elg i Finnmark</w:t>
      </w:r>
    </w:p>
    <w:p w14:paraId="392C9E59" w14:textId="77777777" w:rsidR="00D60186" w:rsidRPr="00225D4D" w:rsidRDefault="00D60186" w:rsidP="00225D4D">
      <w:pPr>
        <w:pStyle w:val="avsnitt-undertittel"/>
      </w:pPr>
      <w:r w:rsidRPr="00225D4D">
        <w:t>Vedtak nr. 747, 26. mai 2025:</w:t>
      </w:r>
    </w:p>
    <w:p w14:paraId="7FC38C6D" w14:textId="77777777" w:rsidR="00D60186" w:rsidRPr="00225D4D" w:rsidRDefault="00D60186" w:rsidP="00225D4D">
      <w:pPr>
        <w:pStyle w:val="blokksit"/>
        <w:rPr>
          <w:rStyle w:val="kursiv"/>
        </w:rPr>
      </w:pPr>
      <w:r w:rsidRPr="00225D4D">
        <w:rPr>
          <w:rStyle w:val="kursiv"/>
        </w:rPr>
        <w:t>«Stortinget ber regjeringen fremme forslag om nødvendige endringer i viltressursloven §§ 10 og 42 som gjør at Finnmarkseiendommen, etter forslag fra den enkelte kommune, kan regulere jakttida for elg i perioden 1. september-23. desember i Finnmark.»</w:t>
      </w:r>
    </w:p>
    <w:p w14:paraId="0BEF3879"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78 L (2024–2025) </w:t>
      </w:r>
      <w:r w:rsidRPr="00225D4D">
        <w:rPr>
          <w:rStyle w:val="kursiv"/>
        </w:rPr>
        <w:t>Lov om jakt, fangst og felling av vilt mv. (viltressursloven)</w:t>
      </w:r>
      <w:r w:rsidRPr="00225D4D">
        <w:t>.</w:t>
      </w:r>
    </w:p>
    <w:p w14:paraId="73562BA2"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gjennom ei lov- og forskriftsendring. Departementet </w:t>
      </w:r>
      <w:proofErr w:type="spellStart"/>
      <w:r w:rsidRPr="00225D4D">
        <w:t>reknar</w:t>
      </w:r>
      <w:proofErr w:type="spellEnd"/>
      <w:r w:rsidRPr="00225D4D">
        <w:t xml:space="preserve"> rapporteringa på dette oppmodingsvedtaket som avslutta.</w:t>
      </w:r>
    </w:p>
    <w:p w14:paraId="4BD4D019" w14:textId="77777777" w:rsidR="00D60186" w:rsidRPr="00225D4D" w:rsidRDefault="00D60186" w:rsidP="00225D4D">
      <w:pPr>
        <w:pStyle w:val="avsnitt-tittel"/>
      </w:pPr>
      <w:r w:rsidRPr="00225D4D">
        <w:t>Bruk av termiske siktemiddel ved hjortejakt</w:t>
      </w:r>
    </w:p>
    <w:p w14:paraId="3E403ECD" w14:textId="77777777" w:rsidR="00D60186" w:rsidRPr="00225D4D" w:rsidRDefault="00D60186" w:rsidP="00225D4D">
      <w:pPr>
        <w:pStyle w:val="avsnitt-undertittel"/>
      </w:pPr>
      <w:r w:rsidRPr="00225D4D">
        <w:t>Vedtak nr. 746, 26. mai 2025:</w:t>
      </w:r>
    </w:p>
    <w:p w14:paraId="41B611A5" w14:textId="77777777" w:rsidR="00D60186" w:rsidRPr="00225D4D" w:rsidRDefault="00D60186" w:rsidP="00225D4D">
      <w:pPr>
        <w:pStyle w:val="blokksit"/>
        <w:rPr>
          <w:rStyle w:val="kursiv"/>
        </w:rPr>
      </w:pPr>
      <w:r w:rsidRPr="00225D4D">
        <w:rPr>
          <w:rStyle w:val="kursiv"/>
        </w:rPr>
        <w:t>«Stortinget ber regjeringen raskt utforme forskrift som fortsatt tillater bruk av termisk sikte i hjortejakt.»</w:t>
      </w:r>
    </w:p>
    <w:p w14:paraId="00CFB240"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78 L (2024–2025) </w:t>
      </w:r>
      <w:r w:rsidRPr="00225D4D">
        <w:rPr>
          <w:rStyle w:val="kursiv"/>
        </w:rPr>
        <w:t>Lov om jakt, fangst og felling av vilt mv. (viltressursloven)</w:t>
      </w:r>
      <w:r w:rsidRPr="00225D4D">
        <w:t>.</w:t>
      </w:r>
    </w:p>
    <w:p w14:paraId="3AF5E36B"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gjennom ei endring i forskrift av 22. mars 2002 nr. 313 om utøving av jakt, felling og fangst. Departementet </w:t>
      </w:r>
      <w:proofErr w:type="spellStart"/>
      <w:r w:rsidRPr="00225D4D">
        <w:t>reknar</w:t>
      </w:r>
      <w:proofErr w:type="spellEnd"/>
      <w:r w:rsidRPr="00225D4D">
        <w:t xml:space="preserve"> rapporteringa på dette oppmodingsvedtaket som avslutta.</w:t>
      </w:r>
    </w:p>
    <w:p w14:paraId="0622531F" w14:textId="77777777" w:rsidR="00D60186" w:rsidRPr="00225D4D" w:rsidRDefault="00D60186" w:rsidP="00225D4D">
      <w:pPr>
        <w:pStyle w:val="avsnitt-tittel"/>
      </w:pPr>
      <w:r w:rsidRPr="00225D4D">
        <w:t>Bruk av drone ved ettersøk av påskutt storvilt</w:t>
      </w:r>
    </w:p>
    <w:p w14:paraId="6DDB83A2" w14:textId="77777777" w:rsidR="00D60186" w:rsidRPr="00225D4D" w:rsidRDefault="00D60186" w:rsidP="00225D4D">
      <w:pPr>
        <w:pStyle w:val="avsnitt-undertittel"/>
      </w:pPr>
      <w:r w:rsidRPr="00225D4D">
        <w:t>Vedtak nr. 745, 26. mai 2025:</w:t>
      </w:r>
    </w:p>
    <w:p w14:paraId="1955C09C" w14:textId="77777777" w:rsidR="00D60186" w:rsidRPr="00225D4D" w:rsidRDefault="00D60186" w:rsidP="00225D4D">
      <w:pPr>
        <w:pStyle w:val="blokksit"/>
        <w:rPr>
          <w:rStyle w:val="kursiv"/>
        </w:rPr>
      </w:pPr>
      <w:r w:rsidRPr="00225D4D">
        <w:rPr>
          <w:rStyle w:val="kursiv"/>
        </w:rPr>
        <w:t>«Stortinget ber regjeringen komme tilbake til Stortinget med forslag til nødvendige endringer i viltressursloven § 29 slik at jegere på land kan ha anledning til å benytte luftfartøy (drone) ved ettersøk av påskutt storvilt, tilsvarende som ved ettersøk av påskutt sjøfugl.»</w:t>
      </w:r>
    </w:p>
    <w:p w14:paraId="09CAE3BD"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78 L (2024–2025) </w:t>
      </w:r>
      <w:r w:rsidRPr="00225D4D">
        <w:rPr>
          <w:rStyle w:val="kursiv"/>
        </w:rPr>
        <w:t>Lov om jakt, fangst og felling av vilt mv. (viltressursloven)</w:t>
      </w:r>
      <w:r w:rsidRPr="00225D4D">
        <w:t>.</w:t>
      </w:r>
    </w:p>
    <w:p w14:paraId="478F6C94"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gjennom ei lovendring. Departementet </w:t>
      </w:r>
      <w:proofErr w:type="spellStart"/>
      <w:r w:rsidRPr="00225D4D">
        <w:t>reknar</w:t>
      </w:r>
      <w:proofErr w:type="spellEnd"/>
      <w:r w:rsidRPr="00225D4D">
        <w:t xml:space="preserve"> rapporteringa på dette oppmodingsvedtaket som avslutta.</w:t>
      </w:r>
    </w:p>
    <w:p w14:paraId="644535F7" w14:textId="77777777" w:rsidR="00D60186" w:rsidRPr="00225D4D" w:rsidRDefault="00D60186" w:rsidP="00225D4D">
      <w:pPr>
        <w:pStyle w:val="avsnitt-tittel"/>
      </w:pPr>
      <w:r w:rsidRPr="00225D4D">
        <w:t>Krav om merking av feller ved bruk av jegernummer</w:t>
      </w:r>
    </w:p>
    <w:p w14:paraId="4E343A84" w14:textId="77777777" w:rsidR="00D60186" w:rsidRPr="00225D4D" w:rsidRDefault="00D60186" w:rsidP="00225D4D">
      <w:pPr>
        <w:pStyle w:val="avsnitt-undertittel"/>
      </w:pPr>
      <w:r w:rsidRPr="00225D4D">
        <w:t>Vedtak nr. 744, 26. mai 2025:</w:t>
      </w:r>
    </w:p>
    <w:p w14:paraId="44B5C879" w14:textId="77777777" w:rsidR="00D60186" w:rsidRPr="00225D4D" w:rsidRDefault="00D60186" w:rsidP="00225D4D">
      <w:pPr>
        <w:pStyle w:val="blokksit"/>
        <w:rPr>
          <w:rStyle w:val="kursiv"/>
        </w:rPr>
      </w:pPr>
      <w:r w:rsidRPr="00225D4D">
        <w:rPr>
          <w:rStyle w:val="kursiv"/>
        </w:rPr>
        <w:t>«Stortinget ber regjeringen komme tilbake til Stortinget med forslag til nødvendige endringer i viltressursloven § 25 slik at det innføres krav om merking av feller ved bruk av jegernummer. Merkingen skal sikre oppsynets mulighet for identifisering og at eiers navn blir unntatt offentlighet.»</w:t>
      </w:r>
    </w:p>
    <w:p w14:paraId="0CD8A0BA"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78 L (2024–2025) </w:t>
      </w:r>
      <w:r w:rsidRPr="00225D4D">
        <w:rPr>
          <w:rStyle w:val="kursiv"/>
        </w:rPr>
        <w:t>Lov om jakt, fangst og felling av vilt mv. (viltressursloven).</w:t>
      </w:r>
    </w:p>
    <w:p w14:paraId="6D9AC015"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gjennom ei lovendring. Departementet </w:t>
      </w:r>
      <w:proofErr w:type="spellStart"/>
      <w:r w:rsidRPr="00225D4D">
        <w:t>reknar</w:t>
      </w:r>
      <w:proofErr w:type="spellEnd"/>
      <w:r w:rsidRPr="00225D4D">
        <w:t xml:space="preserve"> rapporteringa på dette oppmodingsvedtaket som avslutta.</w:t>
      </w:r>
    </w:p>
    <w:p w14:paraId="64C7CE87" w14:textId="77777777" w:rsidR="00D60186" w:rsidRPr="00225D4D" w:rsidRDefault="00D60186" w:rsidP="00225D4D">
      <w:pPr>
        <w:pStyle w:val="avsnitt-tittel"/>
      </w:pPr>
      <w:proofErr w:type="spellStart"/>
      <w:r w:rsidRPr="00225D4D">
        <w:t>Bandtvang</w:t>
      </w:r>
      <w:proofErr w:type="spellEnd"/>
      <w:r w:rsidRPr="00225D4D">
        <w:t xml:space="preserve"> for </w:t>
      </w:r>
      <w:proofErr w:type="spellStart"/>
      <w:r w:rsidRPr="00225D4D">
        <w:t>førar</w:t>
      </w:r>
      <w:proofErr w:type="spellEnd"/>
      <w:r w:rsidRPr="00225D4D">
        <w:t xml:space="preserve">- og </w:t>
      </w:r>
      <w:proofErr w:type="spellStart"/>
      <w:r w:rsidRPr="00225D4D">
        <w:t>servicehundar</w:t>
      </w:r>
      <w:proofErr w:type="spellEnd"/>
    </w:p>
    <w:p w14:paraId="604AF645" w14:textId="77777777" w:rsidR="00D60186" w:rsidRPr="00225D4D" w:rsidRDefault="00D60186" w:rsidP="00225D4D">
      <w:pPr>
        <w:pStyle w:val="avsnitt-undertittel"/>
      </w:pPr>
      <w:r w:rsidRPr="00225D4D">
        <w:t>Vedtak nr. 743, 26. mai 2025:</w:t>
      </w:r>
    </w:p>
    <w:p w14:paraId="36D69E1E" w14:textId="77777777" w:rsidR="00D60186" w:rsidRPr="00225D4D" w:rsidRDefault="00D60186" w:rsidP="00225D4D">
      <w:pPr>
        <w:pStyle w:val="blokksit"/>
        <w:rPr>
          <w:rStyle w:val="kursiv"/>
        </w:rPr>
      </w:pPr>
      <w:r w:rsidRPr="00225D4D">
        <w:rPr>
          <w:rStyle w:val="kursiv"/>
        </w:rPr>
        <w:t>«Stortinget ber regjeringen, senest innen 1. oktober 2025, forskriftsfeste unntak fra sikringsreglene for servicehunder.»</w:t>
      </w:r>
    </w:p>
    <w:p w14:paraId="627CB1B3" w14:textId="77777777" w:rsidR="00D60186" w:rsidRPr="00225D4D" w:rsidRDefault="00D60186" w:rsidP="00225D4D">
      <w:r w:rsidRPr="00225D4D">
        <w:t xml:space="preserve">Vedtaket blei fatta ved handsaming av Dokument 8:160 L (2024–2025) </w:t>
      </w:r>
      <w:r w:rsidRPr="00225D4D">
        <w:rPr>
          <w:rStyle w:val="kursiv"/>
        </w:rPr>
        <w:t xml:space="preserve">Representantforslag om likestilling av </w:t>
      </w:r>
      <w:proofErr w:type="spellStart"/>
      <w:r w:rsidRPr="00225D4D">
        <w:rPr>
          <w:rStyle w:val="kursiv"/>
        </w:rPr>
        <w:t>førar</w:t>
      </w:r>
      <w:proofErr w:type="spellEnd"/>
      <w:r w:rsidRPr="00225D4D">
        <w:rPr>
          <w:rStyle w:val="kursiv"/>
        </w:rPr>
        <w:t xml:space="preserve">- og </w:t>
      </w:r>
      <w:proofErr w:type="spellStart"/>
      <w:r w:rsidRPr="00225D4D">
        <w:rPr>
          <w:rStyle w:val="kursiv"/>
        </w:rPr>
        <w:t>servicehundar</w:t>
      </w:r>
      <w:proofErr w:type="spellEnd"/>
      <w:r w:rsidRPr="00225D4D">
        <w:rPr>
          <w:rStyle w:val="kursiv"/>
        </w:rPr>
        <w:t xml:space="preserve"> i spørsmål om </w:t>
      </w:r>
      <w:proofErr w:type="spellStart"/>
      <w:r w:rsidRPr="00225D4D">
        <w:rPr>
          <w:rStyle w:val="kursiv"/>
        </w:rPr>
        <w:t>bandtvang</w:t>
      </w:r>
      <w:proofErr w:type="spellEnd"/>
      <w:r w:rsidRPr="00225D4D">
        <w:t xml:space="preserve">, jf. </w:t>
      </w:r>
      <w:proofErr w:type="spellStart"/>
      <w:r w:rsidRPr="00225D4D">
        <w:t>Innst</w:t>
      </w:r>
      <w:proofErr w:type="spellEnd"/>
      <w:r w:rsidRPr="00225D4D">
        <w:t xml:space="preserve">. 309 L (2024–2025) Regjeringa følgjer opp vedtaket med </w:t>
      </w:r>
      <w:proofErr w:type="spellStart"/>
      <w:r w:rsidRPr="00225D4D">
        <w:t>eit</w:t>
      </w:r>
      <w:proofErr w:type="spellEnd"/>
      <w:r w:rsidRPr="00225D4D">
        <w:t xml:space="preserve"> forslag til forskriftsfesting. Landbruks- og matdepartementet sendte </w:t>
      </w:r>
      <w:r w:rsidRPr="00225D4D">
        <w:rPr>
          <w:rStyle w:val="kursiv"/>
        </w:rPr>
        <w:t>Forskrift om unntak fra båndtvang for servicehunder</w:t>
      </w:r>
      <w:r w:rsidRPr="00225D4D">
        <w:t xml:space="preserve"> på </w:t>
      </w:r>
      <w:proofErr w:type="spellStart"/>
      <w:r w:rsidRPr="00225D4D">
        <w:t>offentleg</w:t>
      </w:r>
      <w:proofErr w:type="spellEnd"/>
      <w:r w:rsidRPr="00225D4D">
        <w:t xml:space="preserve"> </w:t>
      </w:r>
      <w:proofErr w:type="spellStart"/>
      <w:r w:rsidRPr="00225D4D">
        <w:t>høyring</w:t>
      </w:r>
      <w:proofErr w:type="spellEnd"/>
      <w:r w:rsidRPr="00225D4D">
        <w:t xml:space="preserve"> i juni 2025, med </w:t>
      </w:r>
      <w:proofErr w:type="spellStart"/>
      <w:r w:rsidRPr="00225D4D">
        <w:t>høyringsfrist</w:t>
      </w:r>
      <w:proofErr w:type="spellEnd"/>
      <w:r w:rsidRPr="00225D4D">
        <w:t xml:space="preserve"> 10. august 2025. Forskrifta blei fastsett 20. august 2025. Departementet </w:t>
      </w:r>
      <w:proofErr w:type="spellStart"/>
      <w:r w:rsidRPr="00225D4D">
        <w:t>legg</w:t>
      </w:r>
      <w:proofErr w:type="spellEnd"/>
      <w:r w:rsidRPr="00225D4D">
        <w:t xml:space="preserve"> til grunn at vedtak nr. 743, 26. mai 2025, med dette er </w:t>
      </w:r>
      <w:proofErr w:type="spellStart"/>
      <w:r w:rsidRPr="00225D4D">
        <w:t>følgt</w:t>
      </w:r>
      <w:proofErr w:type="spellEnd"/>
      <w:r w:rsidRPr="00225D4D">
        <w:t xml:space="preserve"> opp.</w:t>
      </w:r>
    </w:p>
    <w:p w14:paraId="64BA00D5" w14:textId="77777777" w:rsidR="00D60186" w:rsidRPr="00225D4D" w:rsidRDefault="00D60186" w:rsidP="00225D4D">
      <w:pPr>
        <w:pStyle w:val="avsnitt-tittel"/>
      </w:pPr>
      <w:proofErr w:type="spellStart"/>
      <w:r w:rsidRPr="00225D4D">
        <w:t>Matkornpartnarskapet</w:t>
      </w:r>
      <w:proofErr w:type="spellEnd"/>
    </w:p>
    <w:p w14:paraId="4EBEDF4B" w14:textId="77777777" w:rsidR="00D60186" w:rsidRPr="00225D4D" w:rsidRDefault="00D60186" w:rsidP="00225D4D">
      <w:pPr>
        <w:pStyle w:val="avsnitt-undertittel"/>
      </w:pPr>
      <w:r w:rsidRPr="00225D4D">
        <w:t>Vedtak nr. 716, 22. mai 2025:</w:t>
      </w:r>
    </w:p>
    <w:p w14:paraId="0B891A04" w14:textId="77777777" w:rsidR="00D60186" w:rsidRPr="00225D4D" w:rsidRDefault="00D60186" w:rsidP="00225D4D">
      <w:pPr>
        <w:pStyle w:val="blokksit"/>
        <w:rPr>
          <w:rStyle w:val="kursiv"/>
        </w:rPr>
      </w:pPr>
      <w:r w:rsidRPr="00225D4D">
        <w:rPr>
          <w:rStyle w:val="kursiv"/>
        </w:rPr>
        <w:t>«Stortinget ber regjeringen videreføre Matkornpartnerskapet etter 2030.»</w:t>
      </w:r>
    </w:p>
    <w:p w14:paraId="25B7AFCC" w14:textId="77777777" w:rsidR="00D60186" w:rsidRPr="00225D4D" w:rsidRDefault="00D60186" w:rsidP="00225D4D">
      <w:r w:rsidRPr="00225D4D">
        <w:t xml:space="preserve">Vedtaket blei fatta ved handsaminga av Dokument 8:234 S (2024–2025) </w:t>
      </w:r>
      <w:r w:rsidRPr="00225D4D">
        <w:rPr>
          <w:rStyle w:val="kursiv"/>
        </w:rPr>
        <w:t xml:space="preserve">Representantforslag om å styrke innovasjon og </w:t>
      </w:r>
      <w:proofErr w:type="spellStart"/>
      <w:r w:rsidRPr="00225D4D">
        <w:rPr>
          <w:rStyle w:val="kursiv"/>
        </w:rPr>
        <w:t>AgriTech</w:t>
      </w:r>
      <w:proofErr w:type="spellEnd"/>
      <w:r w:rsidRPr="00225D4D">
        <w:rPr>
          <w:rStyle w:val="kursiv"/>
        </w:rPr>
        <w:t xml:space="preserve"> i norsk landbruk</w:t>
      </w:r>
      <w:r w:rsidRPr="00225D4D">
        <w:t xml:space="preserve">, jf. </w:t>
      </w:r>
      <w:proofErr w:type="spellStart"/>
      <w:r w:rsidRPr="00225D4D">
        <w:t>Innst</w:t>
      </w:r>
      <w:proofErr w:type="spellEnd"/>
      <w:r w:rsidRPr="00225D4D">
        <w:t>. 293 S (2024–2025).</w:t>
      </w:r>
    </w:p>
    <w:p w14:paraId="12DFDC42" w14:textId="77777777" w:rsidR="00D60186" w:rsidRPr="00225D4D" w:rsidRDefault="00D60186" w:rsidP="00225D4D">
      <w:pPr>
        <w:rPr>
          <w:rStyle w:val="kursiv"/>
        </w:rPr>
      </w:pPr>
      <w:proofErr w:type="spellStart"/>
      <w:r w:rsidRPr="00225D4D">
        <w:rPr>
          <w:rStyle w:val="kursiv"/>
        </w:rPr>
        <w:t>Matkornpartnarskapet</w:t>
      </w:r>
      <w:proofErr w:type="spellEnd"/>
      <w:r w:rsidRPr="00225D4D">
        <w:t xml:space="preserve"> er </w:t>
      </w:r>
      <w:proofErr w:type="spellStart"/>
      <w:r w:rsidRPr="00225D4D">
        <w:t>eit</w:t>
      </w:r>
      <w:proofErr w:type="spellEnd"/>
      <w:r w:rsidRPr="00225D4D">
        <w:t xml:space="preserve"> </w:t>
      </w:r>
      <w:proofErr w:type="spellStart"/>
      <w:r w:rsidRPr="00225D4D">
        <w:t>forpliktande</w:t>
      </w:r>
      <w:proofErr w:type="spellEnd"/>
      <w:r w:rsidRPr="00225D4D">
        <w:t xml:space="preserve"> samarbeid mellom </w:t>
      </w:r>
      <w:proofErr w:type="spellStart"/>
      <w:r w:rsidRPr="00225D4D">
        <w:t>aktørar</w:t>
      </w:r>
      <w:proofErr w:type="spellEnd"/>
      <w:r w:rsidRPr="00225D4D">
        <w:t xml:space="preserve"> i </w:t>
      </w:r>
      <w:proofErr w:type="spellStart"/>
      <w:r w:rsidRPr="00225D4D">
        <w:t>verdikjeda</w:t>
      </w:r>
      <w:proofErr w:type="spellEnd"/>
      <w:r w:rsidRPr="00225D4D">
        <w:t xml:space="preserve"> for matkorn og planteprotein, og staten er </w:t>
      </w:r>
      <w:proofErr w:type="spellStart"/>
      <w:r w:rsidRPr="00225D4D">
        <w:t>ikkje</w:t>
      </w:r>
      <w:proofErr w:type="spellEnd"/>
      <w:r w:rsidRPr="00225D4D">
        <w:t xml:space="preserve"> </w:t>
      </w:r>
      <w:proofErr w:type="spellStart"/>
      <w:r w:rsidRPr="00225D4D">
        <w:t>ein</w:t>
      </w:r>
      <w:proofErr w:type="spellEnd"/>
      <w:r w:rsidRPr="00225D4D">
        <w:t xml:space="preserve"> del av dette </w:t>
      </w:r>
      <w:proofErr w:type="spellStart"/>
      <w:r w:rsidRPr="00225D4D">
        <w:t>partnarskapet</w:t>
      </w:r>
      <w:proofErr w:type="spellEnd"/>
      <w:r w:rsidRPr="00225D4D">
        <w:t xml:space="preserve">. Regjeringa er positive til det gode arbeidet som blir gjort for å </w:t>
      </w:r>
      <w:proofErr w:type="spellStart"/>
      <w:r w:rsidRPr="00225D4D">
        <w:t>leggje</w:t>
      </w:r>
      <w:proofErr w:type="spellEnd"/>
      <w:r w:rsidRPr="00225D4D">
        <w:t xml:space="preserve"> til rette for </w:t>
      </w:r>
      <w:proofErr w:type="spellStart"/>
      <w:r w:rsidRPr="00225D4D">
        <w:t>auka</w:t>
      </w:r>
      <w:proofErr w:type="spellEnd"/>
      <w:r w:rsidRPr="00225D4D">
        <w:t xml:space="preserve"> produksjon og forbruk av norsk matkorn og planteprotein gjennom </w:t>
      </w:r>
      <w:proofErr w:type="spellStart"/>
      <w:r w:rsidRPr="00225D4D">
        <w:t>Matkornpartnarskapet</w:t>
      </w:r>
      <w:proofErr w:type="spellEnd"/>
      <w:r w:rsidRPr="00225D4D">
        <w:t xml:space="preserve">. Regjeringa har gjennom </w:t>
      </w:r>
      <w:proofErr w:type="spellStart"/>
      <w:r w:rsidRPr="00225D4D">
        <w:t>dei</w:t>
      </w:r>
      <w:proofErr w:type="spellEnd"/>
      <w:r w:rsidRPr="00225D4D">
        <w:t xml:space="preserve"> siste </w:t>
      </w:r>
      <w:proofErr w:type="spellStart"/>
      <w:r w:rsidRPr="00225D4D">
        <w:t>jordbruksoppgjera</w:t>
      </w:r>
      <w:proofErr w:type="spellEnd"/>
      <w:r w:rsidRPr="00225D4D">
        <w:t xml:space="preserve"> prioritert kornproduksjon og </w:t>
      </w:r>
      <w:proofErr w:type="spellStart"/>
      <w:r w:rsidRPr="00225D4D">
        <w:t>særleg</w:t>
      </w:r>
      <w:proofErr w:type="spellEnd"/>
      <w:r w:rsidRPr="00225D4D">
        <w:t xml:space="preserve"> tiltak for å </w:t>
      </w:r>
      <w:proofErr w:type="spellStart"/>
      <w:r w:rsidRPr="00225D4D">
        <w:t>auke</w:t>
      </w:r>
      <w:proofErr w:type="spellEnd"/>
      <w:r w:rsidRPr="00225D4D">
        <w:t xml:space="preserve"> delen norsk matkorn. Regjeringa </w:t>
      </w:r>
      <w:proofErr w:type="spellStart"/>
      <w:r w:rsidRPr="00225D4D">
        <w:t>legg</w:t>
      </w:r>
      <w:proofErr w:type="spellEnd"/>
      <w:r w:rsidRPr="00225D4D">
        <w:t xml:space="preserve"> til grunn at det er </w:t>
      </w:r>
      <w:proofErr w:type="spellStart"/>
      <w:r w:rsidRPr="00225D4D">
        <w:t>aktørane</w:t>
      </w:r>
      <w:proofErr w:type="spellEnd"/>
      <w:r w:rsidRPr="00225D4D">
        <w:t xml:space="preserve"> som har etablert </w:t>
      </w:r>
      <w:proofErr w:type="spellStart"/>
      <w:r w:rsidRPr="00225D4D">
        <w:t>partnarskapet</w:t>
      </w:r>
      <w:proofErr w:type="spellEnd"/>
      <w:r w:rsidRPr="00225D4D">
        <w:t xml:space="preserve"> som kan føre dette </w:t>
      </w:r>
      <w:proofErr w:type="spellStart"/>
      <w:r w:rsidRPr="00225D4D">
        <w:t>vidare</w:t>
      </w:r>
      <w:proofErr w:type="spellEnd"/>
      <w:r w:rsidRPr="00225D4D">
        <w:t xml:space="preserve">, </w:t>
      </w:r>
      <w:proofErr w:type="spellStart"/>
      <w:r w:rsidRPr="00225D4D">
        <w:t>utan</w:t>
      </w:r>
      <w:proofErr w:type="spellEnd"/>
      <w:r w:rsidRPr="00225D4D">
        <w:t xml:space="preserve"> at staten kan styre dette initiativet. Regjeringa har </w:t>
      </w:r>
      <w:proofErr w:type="spellStart"/>
      <w:r w:rsidRPr="00225D4D">
        <w:t>arbeidd</w:t>
      </w:r>
      <w:proofErr w:type="spellEnd"/>
      <w:r w:rsidRPr="00225D4D">
        <w:t xml:space="preserve"> med å </w:t>
      </w:r>
      <w:proofErr w:type="spellStart"/>
      <w:r w:rsidRPr="00225D4D">
        <w:t>leggje</w:t>
      </w:r>
      <w:proofErr w:type="spellEnd"/>
      <w:r w:rsidRPr="00225D4D">
        <w:t xml:space="preserve"> til rette for </w:t>
      </w:r>
      <w:proofErr w:type="spellStart"/>
      <w:r w:rsidRPr="00225D4D">
        <w:t>auka</w:t>
      </w:r>
      <w:proofErr w:type="spellEnd"/>
      <w:r w:rsidRPr="00225D4D">
        <w:t xml:space="preserve"> produksjon av matkorn gjennom </w:t>
      </w:r>
      <w:proofErr w:type="spellStart"/>
      <w:r w:rsidRPr="00225D4D">
        <w:t>jordbruksforhandlingane</w:t>
      </w:r>
      <w:proofErr w:type="spellEnd"/>
      <w:r w:rsidRPr="00225D4D">
        <w:t>. I den siste jordbruksavtalen blei det mellom anna prioritert satsing på matkveite.</w:t>
      </w:r>
    </w:p>
    <w:p w14:paraId="31119DD4" w14:textId="77777777" w:rsidR="00D60186" w:rsidRPr="00225D4D" w:rsidRDefault="00D60186" w:rsidP="00225D4D">
      <w:r w:rsidRPr="00225D4D">
        <w:t xml:space="preserve">Regjeringa er </w:t>
      </w:r>
      <w:proofErr w:type="spellStart"/>
      <w:r w:rsidRPr="00225D4D">
        <w:t>oppteken</w:t>
      </w:r>
      <w:proofErr w:type="spellEnd"/>
      <w:r w:rsidRPr="00225D4D">
        <w:t xml:space="preserve"> av at Matkornpartnerskapet blir ført </w:t>
      </w:r>
      <w:proofErr w:type="spellStart"/>
      <w:r w:rsidRPr="00225D4D">
        <w:t>vidare</w:t>
      </w:r>
      <w:proofErr w:type="spellEnd"/>
      <w:r w:rsidRPr="00225D4D">
        <w:t xml:space="preserve"> for å kunne bidra til å nå </w:t>
      </w:r>
      <w:proofErr w:type="spellStart"/>
      <w:r w:rsidRPr="00225D4D">
        <w:t>målsetjingane</w:t>
      </w:r>
      <w:proofErr w:type="spellEnd"/>
      <w:r w:rsidRPr="00225D4D">
        <w:t xml:space="preserve"> for </w:t>
      </w:r>
      <w:proofErr w:type="spellStart"/>
      <w:r w:rsidRPr="00225D4D">
        <w:t>auka</w:t>
      </w:r>
      <w:proofErr w:type="spellEnd"/>
      <w:r w:rsidRPr="00225D4D">
        <w:t xml:space="preserve"> verdiskaping og </w:t>
      </w:r>
      <w:proofErr w:type="spellStart"/>
      <w:r w:rsidRPr="00225D4D">
        <w:t>sjølvforsyning</w:t>
      </w:r>
      <w:proofErr w:type="spellEnd"/>
      <w:r w:rsidRPr="00225D4D">
        <w:t xml:space="preserve"> med norsk matkorn.</w:t>
      </w:r>
    </w:p>
    <w:p w14:paraId="0BE09D4B" w14:textId="77777777" w:rsidR="00D60186" w:rsidRPr="00225D4D" w:rsidRDefault="00D60186" w:rsidP="00225D4D">
      <w:r w:rsidRPr="00225D4D">
        <w:t xml:space="preserve">Regjeringa vil komme tilbake til tiltak for </w:t>
      </w:r>
      <w:proofErr w:type="spellStart"/>
      <w:r w:rsidRPr="00225D4D">
        <w:t>auka</w:t>
      </w:r>
      <w:proofErr w:type="spellEnd"/>
      <w:r w:rsidRPr="00225D4D">
        <w:t xml:space="preserve"> norsk matkornproduksjon gjennom </w:t>
      </w:r>
      <w:proofErr w:type="spellStart"/>
      <w:r w:rsidRPr="00225D4D">
        <w:t>dei</w:t>
      </w:r>
      <w:proofErr w:type="spellEnd"/>
      <w:r w:rsidRPr="00225D4D">
        <w:t xml:space="preserve"> </w:t>
      </w:r>
      <w:proofErr w:type="spellStart"/>
      <w:r w:rsidRPr="00225D4D">
        <w:t>årlege</w:t>
      </w:r>
      <w:proofErr w:type="spellEnd"/>
      <w:r w:rsidRPr="00225D4D">
        <w:t xml:space="preserve"> </w:t>
      </w:r>
      <w:proofErr w:type="spellStart"/>
      <w:r w:rsidRPr="00225D4D">
        <w:t>jordbruksoppgjera</w:t>
      </w:r>
      <w:proofErr w:type="spellEnd"/>
      <w:r w:rsidRPr="00225D4D">
        <w:t xml:space="preserve">, og departementet </w:t>
      </w:r>
      <w:proofErr w:type="spellStart"/>
      <w:r w:rsidRPr="00225D4D">
        <w:t>reknar</w:t>
      </w:r>
      <w:proofErr w:type="spellEnd"/>
      <w:r w:rsidRPr="00225D4D">
        <w:t xml:space="preserve"> rapporteringa på dette oppmodingsvedtaket som avslutta.</w:t>
      </w:r>
    </w:p>
    <w:p w14:paraId="42FF0077" w14:textId="77777777" w:rsidR="00D60186" w:rsidRPr="00225D4D" w:rsidRDefault="00D60186" w:rsidP="00225D4D">
      <w:pPr>
        <w:pStyle w:val="avsnitt-tittel"/>
      </w:pPr>
      <w:r w:rsidRPr="00225D4D">
        <w:t xml:space="preserve">Strategi for å </w:t>
      </w:r>
      <w:proofErr w:type="spellStart"/>
      <w:r w:rsidRPr="00225D4D">
        <w:t>styrkje</w:t>
      </w:r>
      <w:proofErr w:type="spellEnd"/>
      <w:r w:rsidRPr="00225D4D">
        <w:t xml:space="preserve"> innovasjon og </w:t>
      </w:r>
      <w:proofErr w:type="spellStart"/>
      <w:r w:rsidRPr="00225D4D">
        <w:t>agritech</w:t>
      </w:r>
      <w:proofErr w:type="spellEnd"/>
      <w:r w:rsidRPr="00225D4D">
        <w:t xml:space="preserve"> i norsk landbruk</w:t>
      </w:r>
    </w:p>
    <w:p w14:paraId="4BC1B43D" w14:textId="77777777" w:rsidR="00D60186" w:rsidRPr="00225D4D" w:rsidRDefault="00D60186" w:rsidP="00225D4D">
      <w:pPr>
        <w:pStyle w:val="avsnitt-undertittel"/>
      </w:pPr>
      <w:r w:rsidRPr="00225D4D">
        <w:t>Vedtak nr. 715, 22. mai 2025:</w:t>
      </w:r>
    </w:p>
    <w:p w14:paraId="612C6E49" w14:textId="77777777" w:rsidR="00D60186" w:rsidRPr="00225D4D" w:rsidRDefault="00D60186" w:rsidP="00225D4D">
      <w:pPr>
        <w:pStyle w:val="blokksit"/>
        <w:rPr>
          <w:rStyle w:val="kursiv"/>
        </w:rPr>
      </w:pPr>
      <w:r w:rsidRPr="00225D4D">
        <w:rPr>
          <w:rStyle w:val="kursiv"/>
        </w:rPr>
        <w:t xml:space="preserve">«Stortinget ber regjeringen utarbeide en egen strategi for hvordan Norge kan lykkes med </w:t>
      </w:r>
      <w:proofErr w:type="spellStart"/>
      <w:r w:rsidRPr="00225D4D">
        <w:rPr>
          <w:rStyle w:val="kursiv"/>
        </w:rPr>
        <w:t>agritech</w:t>
      </w:r>
      <w:proofErr w:type="spellEnd"/>
      <w:r w:rsidRPr="00225D4D">
        <w:rPr>
          <w:rStyle w:val="kursiv"/>
        </w:rPr>
        <w:t xml:space="preserve">, herunder styrke utvikling, forskning, økt kommersialisering av </w:t>
      </w:r>
      <w:proofErr w:type="spellStart"/>
      <w:r w:rsidRPr="00225D4D">
        <w:rPr>
          <w:rStyle w:val="kursiv"/>
        </w:rPr>
        <w:t>agritech</w:t>
      </w:r>
      <w:proofErr w:type="spellEnd"/>
      <w:r w:rsidRPr="00225D4D">
        <w:rPr>
          <w:rStyle w:val="kursiv"/>
        </w:rPr>
        <w:t xml:space="preserve"> i Norge og økt adapsjon i landbruket.»</w:t>
      </w:r>
    </w:p>
    <w:p w14:paraId="008FD677" w14:textId="77777777" w:rsidR="00D60186" w:rsidRPr="00225D4D" w:rsidRDefault="00D60186" w:rsidP="00225D4D">
      <w:r w:rsidRPr="00225D4D">
        <w:t xml:space="preserve">Vedtaket blei fatta ved handsaminga av </w:t>
      </w:r>
      <w:r w:rsidRPr="00225D4D">
        <w:rPr>
          <w:rStyle w:val="kursiv"/>
        </w:rPr>
        <w:t xml:space="preserve">Representantforslag om å </w:t>
      </w:r>
      <w:proofErr w:type="spellStart"/>
      <w:r w:rsidRPr="00225D4D">
        <w:rPr>
          <w:rStyle w:val="kursiv"/>
        </w:rPr>
        <w:t>styrkje</w:t>
      </w:r>
      <w:proofErr w:type="spellEnd"/>
      <w:r w:rsidRPr="00225D4D">
        <w:rPr>
          <w:rStyle w:val="kursiv"/>
        </w:rPr>
        <w:t xml:space="preserve"> innovasjon og </w:t>
      </w:r>
      <w:proofErr w:type="spellStart"/>
      <w:r w:rsidRPr="00225D4D">
        <w:rPr>
          <w:rStyle w:val="kursiv"/>
        </w:rPr>
        <w:t>agritech</w:t>
      </w:r>
      <w:proofErr w:type="spellEnd"/>
      <w:r w:rsidRPr="00225D4D">
        <w:rPr>
          <w:rStyle w:val="kursiv"/>
        </w:rPr>
        <w:t xml:space="preserve"> i norsk landbruk</w:t>
      </w:r>
      <w:r w:rsidRPr="00225D4D">
        <w:t xml:space="preserve"> (Dokument 8:234 S (2024–2025), jf. </w:t>
      </w:r>
      <w:proofErr w:type="spellStart"/>
      <w:r w:rsidRPr="00225D4D">
        <w:t>Innst</w:t>
      </w:r>
      <w:proofErr w:type="spellEnd"/>
      <w:r w:rsidRPr="00225D4D">
        <w:t>. 293 S (2024–2025).</w:t>
      </w:r>
    </w:p>
    <w:p w14:paraId="292354F2"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Departementet vil starte arbeidet med å utarbeide </w:t>
      </w:r>
      <w:proofErr w:type="spellStart"/>
      <w:r w:rsidRPr="00225D4D">
        <w:t>ein</w:t>
      </w:r>
      <w:proofErr w:type="spellEnd"/>
      <w:r w:rsidRPr="00225D4D">
        <w:t xml:space="preserve"> strategi og kjem tilbake til Stortinget på eigna måte.</w:t>
      </w:r>
    </w:p>
    <w:p w14:paraId="4B7E86DB" w14:textId="77777777" w:rsidR="00D60186" w:rsidRPr="00225D4D" w:rsidRDefault="00D60186" w:rsidP="00225D4D">
      <w:pPr>
        <w:pStyle w:val="avsnitt-tittel"/>
      </w:pPr>
      <w:r w:rsidRPr="00225D4D">
        <w:t>Reindriftslova og tvangsmulkt</w:t>
      </w:r>
    </w:p>
    <w:p w14:paraId="500854B7" w14:textId="77777777" w:rsidR="00D60186" w:rsidRPr="00225D4D" w:rsidRDefault="00D60186" w:rsidP="00225D4D">
      <w:pPr>
        <w:pStyle w:val="avsnitt-undertittel"/>
      </w:pPr>
      <w:r w:rsidRPr="00225D4D">
        <w:t>Vedtak nr. 700, 20. mai 2025:</w:t>
      </w:r>
    </w:p>
    <w:p w14:paraId="6AA6C7D8" w14:textId="77777777" w:rsidR="00D60186" w:rsidRPr="00225D4D" w:rsidRDefault="00D60186" w:rsidP="00225D4D">
      <w:pPr>
        <w:pStyle w:val="blokksit"/>
        <w:rPr>
          <w:rStyle w:val="kursiv"/>
        </w:rPr>
      </w:pPr>
      <w:r w:rsidRPr="00225D4D">
        <w:rPr>
          <w:rStyle w:val="kursiv"/>
        </w:rPr>
        <w:t>«Stortinget ber regjeringen komme tilbake til Stortinget med forslag til nødvendige lov- og forskriftsendringer som medfører at det er Landbruksdirektoratet eller statsforvalteren, og ikke reindriftsstyret, som har kompetanse til å fatte vedtak om pålegg etter reindriftsloven § 75 og ilegge tvangsmulkt etter reindriftsloven § 76 i konfliktsaker mellom reindrift og landbruk som gjelder ulovlig beiting, herunder på innmark. Dette inkluderer nødvendige lov- og forskriftsendringer som medfører at Landbruks- og matdepartementet er klageinstans for Landbruksdirektoratets vedtak i slike saker.».</w:t>
      </w:r>
    </w:p>
    <w:p w14:paraId="1B4DA1BB"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63 L (2024–2025) </w:t>
      </w:r>
      <w:r w:rsidRPr="00225D4D">
        <w:rPr>
          <w:rStyle w:val="kursiv"/>
        </w:rPr>
        <w:t>Endringer i reindriftsloven og jordskiftelova (</w:t>
      </w:r>
      <w:proofErr w:type="spellStart"/>
      <w:r w:rsidRPr="00225D4D">
        <w:rPr>
          <w:rStyle w:val="kursiv"/>
        </w:rPr>
        <w:t>distriktsstyring</w:t>
      </w:r>
      <w:proofErr w:type="spellEnd"/>
      <w:r w:rsidRPr="00225D4D">
        <w:rPr>
          <w:rStyle w:val="kursiv"/>
        </w:rPr>
        <w:t>, reintallsreduksjon, erstatning og tilgjengeliggjøring av jordskiftelova på interne forhold i reindriften)</w:t>
      </w:r>
      <w:r w:rsidRPr="00225D4D">
        <w:t xml:space="preserve">, jf. </w:t>
      </w:r>
      <w:proofErr w:type="spellStart"/>
      <w:r w:rsidRPr="00225D4D">
        <w:t>Innst</w:t>
      </w:r>
      <w:proofErr w:type="spellEnd"/>
      <w:r w:rsidRPr="00225D4D">
        <w:t>. 256 L (2024–2025).</w:t>
      </w:r>
    </w:p>
    <w:p w14:paraId="0C424ADE"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og komme tilbake til Stortinget på eigna måte.</w:t>
      </w:r>
    </w:p>
    <w:p w14:paraId="663EE882" w14:textId="77777777" w:rsidR="00D60186" w:rsidRPr="00225D4D" w:rsidRDefault="00D60186" w:rsidP="00225D4D">
      <w:pPr>
        <w:pStyle w:val="avsnitt-tittel"/>
      </w:pPr>
      <w:r w:rsidRPr="00225D4D">
        <w:t>Lagring av korn på gardsbruk</w:t>
      </w:r>
    </w:p>
    <w:p w14:paraId="166AB678" w14:textId="77777777" w:rsidR="00D60186" w:rsidRPr="00225D4D" w:rsidRDefault="00D60186" w:rsidP="00225D4D">
      <w:pPr>
        <w:pStyle w:val="avsnitt-undertittel"/>
      </w:pPr>
      <w:r w:rsidRPr="00225D4D">
        <w:t>Vedtak nr. 645, 6. mai 2025:</w:t>
      </w:r>
    </w:p>
    <w:p w14:paraId="16E6DB02" w14:textId="77777777" w:rsidR="00D60186" w:rsidRPr="00225D4D" w:rsidRDefault="00D60186" w:rsidP="00225D4D">
      <w:pPr>
        <w:pStyle w:val="blokksit"/>
        <w:rPr>
          <w:rStyle w:val="kursiv"/>
        </w:rPr>
      </w:pPr>
      <w:r w:rsidRPr="00225D4D">
        <w:rPr>
          <w:rStyle w:val="kursiv"/>
        </w:rPr>
        <w:t>«Stortinget ber regjeringen legge til rette for mindre, lokale anlegg for spredt lagring av korn på gårdsbruk.»</w:t>
      </w:r>
    </w:p>
    <w:p w14:paraId="316CA528" w14:textId="77777777" w:rsidR="00D60186" w:rsidRPr="00225D4D" w:rsidRDefault="00D60186" w:rsidP="00225D4D">
      <w:r w:rsidRPr="00225D4D">
        <w:t xml:space="preserve">Vedtaket blei fatta ved handsaminga av Meld. St. 9 (2024–2025) </w:t>
      </w:r>
      <w:r w:rsidRPr="00225D4D">
        <w:rPr>
          <w:rStyle w:val="kursiv"/>
        </w:rPr>
        <w:t>Totalberedskapsmeldingen. Forberedt på kriser og krig</w:t>
      </w:r>
      <w:r w:rsidRPr="00225D4D">
        <w:t>.</w:t>
      </w:r>
    </w:p>
    <w:p w14:paraId="3008C9AC" w14:textId="77777777" w:rsidR="00D60186" w:rsidRPr="00225D4D" w:rsidRDefault="00D60186" w:rsidP="00225D4D">
      <w:r w:rsidRPr="00225D4D">
        <w:t xml:space="preserve">Regjeringa følgjer opp dette i </w:t>
      </w:r>
      <w:proofErr w:type="spellStart"/>
      <w:r w:rsidRPr="00225D4D">
        <w:t>dei</w:t>
      </w:r>
      <w:proofErr w:type="spellEnd"/>
      <w:r w:rsidRPr="00225D4D">
        <w:t xml:space="preserve"> </w:t>
      </w:r>
      <w:proofErr w:type="spellStart"/>
      <w:r w:rsidRPr="00225D4D">
        <w:t>årlege</w:t>
      </w:r>
      <w:proofErr w:type="spellEnd"/>
      <w:r w:rsidRPr="00225D4D">
        <w:t xml:space="preserve"> </w:t>
      </w:r>
      <w:proofErr w:type="spellStart"/>
      <w:r w:rsidRPr="00225D4D">
        <w:t>jordbruksoppgjera</w:t>
      </w:r>
      <w:proofErr w:type="spellEnd"/>
      <w:r w:rsidRPr="00225D4D">
        <w:t xml:space="preserve">, mellom anna i </w:t>
      </w:r>
      <w:proofErr w:type="spellStart"/>
      <w:r w:rsidRPr="00225D4D">
        <w:t>jordbruksoppgjeret</w:t>
      </w:r>
      <w:proofErr w:type="spellEnd"/>
      <w:r w:rsidRPr="00225D4D">
        <w:t xml:space="preserve"> i 2026, og departementet </w:t>
      </w:r>
      <w:proofErr w:type="spellStart"/>
      <w:r w:rsidRPr="00225D4D">
        <w:t>reknar</w:t>
      </w:r>
      <w:proofErr w:type="spellEnd"/>
      <w:r w:rsidRPr="00225D4D">
        <w:t xml:space="preserve"> rapporteringa på dette oppmodingsvedtaket som avslutta.</w:t>
      </w:r>
    </w:p>
    <w:p w14:paraId="5C2D92AA" w14:textId="77777777" w:rsidR="00D60186" w:rsidRPr="00225D4D" w:rsidRDefault="00D60186" w:rsidP="00225D4D">
      <w:pPr>
        <w:pStyle w:val="avsnitt-tittel"/>
      </w:pPr>
      <w:r w:rsidRPr="00225D4D">
        <w:t>Ta vare på villgeitene</w:t>
      </w:r>
    </w:p>
    <w:p w14:paraId="5B607306" w14:textId="77777777" w:rsidR="00D60186" w:rsidRPr="00225D4D" w:rsidRDefault="00D60186" w:rsidP="00225D4D">
      <w:pPr>
        <w:pStyle w:val="avsnitt-undertittel"/>
      </w:pPr>
      <w:r w:rsidRPr="00225D4D">
        <w:t>Vedtak nr. 568, 10. april 2025:</w:t>
      </w:r>
    </w:p>
    <w:p w14:paraId="1E29A345" w14:textId="77777777" w:rsidR="00D60186" w:rsidRPr="00225D4D" w:rsidRDefault="00D60186" w:rsidP="00225D4D">
      <w:pPr>
        <w:pStyle w:val="blokksit"/>
        <w:rPr>
          <w:rStyle w:val="kursiv"/>
        </w:rPr>
      </w:pPr>
      <w:r w:rsidRPr="00225D4D">
        <w:rPr>
          <w:rStyle w:val="kursiv"/>
        </w:rPr>
        <w:t xml:space="preserve">«Stortinget ber regjeringa ta initiativ til at Mattilsynet, i staden for å avvikle heile </w:t>
      </w:r>
      <w:proofErr w:type="spellStart"/>
      <w:r w:rsidRPr="00225D4D">
        <w:rPr>
          <w:rStyle w:val="kursiv"/>
        </w:rPr>
        <w:t>villgeitflokken</w:t>
      </w:r>
      <w:proofErr w:type="spellEnd"/>
      <w:r w:rsidRPr="00225D4D">
        <w:rPr>
          <w:rStyle w:val="kursiv"/>
        </w:rPr>
        <w:t xml:space="preserve"> </w:t>
      </w:r>
      <w:proofErr w:type="spellStart"/>
      <w:r w:rsidRPr="00225D4D">
        <w:rPr>
          <w:rStyle w:val="kursiv"/>
        </w:rPr>
        <w:t>innan</w:t>
      </w:r>
      <w:proofErr w:type="spellEnd"/>
      <w:r w:rsidRPr="00225D4D">
        <w:rPr>
          <w:rStyle w:val="kursiv"/>
        </w:rPr>
        <w:t xml:space="preserve"> fristen som </w:t>
      </w:r>
      <w:proofErr w:type="spellStart"/>
      <w:r w:rsidRPr="00225D4D">
        <w:rPr>
          <w:rStyle w:val="kursiv"/>
        </w:rPr>
        <w:t>no</w:t>
      </w:r>
      <w:proofErr w:type="spellEnd"/>
      <w:r w:rsidRPr="00225D4D">
        <w:rPr>
          <w:rStyle w:val="kursiv"/>
        </w:rPr>
        <w:t xml:space="preserve"> er sett, arbeider </w:t>
      </w:r>
      <w:proofErr w:type="spellStart"/>
      <w:r w:rsidRPr="00225D4D">
        <w:rPr>
          <w:rStyle w:val="kursiv"/>
        </w:rPr>
        <w:t>vidare</w:t>
      </w:r>
      <w:proofErr w:type="spellEnd"/>
      <w:r w:rsidRPr="00225D4D">
        <w:rPr>
          <w:rStyle w:val="kursiv"/>
        </w:rPr>
        <w:t xml:space="preserve"> for å finne </w:t>
      </w:r>
      <w:proofErr w:type="spellStart"/>
      <w:r w:rsidRPr="00225D4D">
        <w:rPr>
          <w:rStyle w:val="kursiv"/>
        </w:rPr>
        <w:t>løysingar</w:t>
      </w:r>
      <w:proofErr w:type="spellEnd"/>
      <w:r w:rsidRPr="00225D4D">
        <w:rPr>
          <w:rStyle w:val="kursiv"/>
        </w:rPr>
        <w:t xml:space="preserve"> som </w:t>
      </w:r>
      <w:proofErr w:type="spellStart"/>
      <w:r w:rsidRPr="00225D4D">
        <w:rPr>
          <w:rStyle w:val="kursiv"/>
        </w:rPr>
        <w:t>sikrar</w:t>
      </w:r>
      <w:proofErr w:type="spellEnd"/>
      <w:r w:rsidRPr="00225D4D">
        <w:rPr>
          <w:rStyle w:val="kursiv"/>
        </w:rPr>
        <w:t xml:space="preserve"> dyrevelferda til Kvistgeitene og tar vare på </w:t>
      </w:r>
      <w:proofErr w:type="spellStart"/>
      <w:r w:rsidRPr="00225D4D">
        <w:rPr>
          <w:rStyle w:val="kursiv"/>
        </w:rPr>
        <w:t>genressursane</w:t>
      </w:r>
      <w:proofErr w:type="spellEnd"/>
      <w:r w:rsidRPr="00225D4D">
        <w:rPr>
          <w:rStyle w:val="kursiv"/>
        </w:rPr>
        <w:t xml:space="preserve"> i </w:t>
      </w:r>
      <w:proofErr w:type="spellStart"/>
      <w:r w:rsidRPr="00225D4D">
        <w:rPr>
          <w:rStyle w:val="kursiv"/>
        </w:rPr>
        <w:t>vidare</w:t>
      </w:r>
      <w:proofErr w:type="spellEnd"/>
      <w:r w:rsidRPr="00225D4D">
        <w:rPr>
          <w:rStyle w:val="kursiv"/>
        </w:rPr>
        <w:t xml:space="preserve"> </w:t>
      </w:r>
      <w:proofErr w:type="spellStart"/>
      <w:r w:rsidRPr="00225D4D">
        <w:rPr>
          <w:rStyle w:val="kursiv"/>
        </w:rPr>
        <w:t>husdyrhald</w:t>
      </w:r>
      <w:proofErr w:type="spellEnd"/>
      <w:r w:rsidRPr="00225D4D">
        <w:rPr>
          <w:rStyle w:val="kursiv"/>
        </w:rPr>
        <w:t>.»</w:t>
      </w:r>
    </w:p>
    <w:p w14:paraId="3E694BBC" w14:textId="77777777" w:rsidR="00D60186" w:rsidRPr="00225D4D" w:rsidRDefault="00D60186" w:rsidP="00225D4D">
      <w:r w:rsidRPr="00225D4D">
        <w:t xml:space="preserve">Vedtaket blei fatta ved handsaminga av Dokument 8:95 S (2024–2025) som </w:t>
      </w:r>
      <w:proofErr w:type="spellStart"/>
      <w:r w:rsidRPr="00225D4D">
        <w:t>omhandlar</w:t>
      </w:r>
      <w:proofErr w:type="spellEnd"/>
      <w:r w:rsidRPr="00225D4D">
        <w:t xml:space="preserve"> </w:t>
      </w:r>
      <w:r w:rsidRPr="00225D4D">
        <w:rPr>
          <w:rStyle w:val="kursiv"/>
        </w:rPr>
        <w:t>Representantforslag om å ta vare på villgeitene</w:t>
      </w:r>
      <w:r w:rsidRPr="00225D4D">
        <w:t xml:space="preserve">, jf. </w:t>
      </w:r>
      <w:proofErr w:type="spellStart"/>
      <w:r w:rsidRPr="00225D4D">
        <w:t>Innst</w:t>
      </w:r>
      <w:proofErr w:type="spellEnd"/>
      <w:r w:rsidRPr="00225D4D">
        <w:t>. 192 S (2024–2025).</w:t>
      </w:r>
    </w:p>
    <w:p w14:paraId="688B3194" w14:textId="77777777" w:rsidR="00D60186" w:rsidRPr="00225D4D" w:rsidRDefault="00D60186" w:rsidP="00225D4D">
      <w:r w:rsidRPr="00225D4D">
        <w:t xml:space="preserve">Landbruks- og matdepartementet har </w:t>
      </w:r>
      <w:proofErr w:type="spellStart"/>
      <w:r w:rsidRPr="00225D4D">
        <w:t>vore</w:t>
      </w:r>
      <w:proofErr w:type="spellEnd"/>
      <w:r w:rsidRPr="00225D4D">
        <w:t xml:space="preserve"> i dialog med Mattilsynet om saka, og </w:t>
      </w:r>
      <w:proofErr w:type="spellStart"/>
      <w:r w:rsidRPr="00225D4D">
        <w:t>legg</w:t>
      </w:r>
      <w:proofErr w:type="spellEnd"/>
      <w:r w:rsidRPr="00225D4D">
        <w:t xml:space="preserve"> til grunn at Mattilsynet finn gode </w:t>
      </w:r>
      <w:proofErr w:type="spellStart"/>
      <w:r w:rsidRPr="00225D4D">
        <w:t>løysingar</w:t>
      </w:r>
      <w:proofErr w:type="spellEnd"/>
      <w:r w:rsidRPr="00225D4D">
        <w:t xml:space="preserve"> i samarbeid med andre </w:t>
      </w:r>
      <w:proofErr w:type="spellStart"/>
      <w:r w:rsidRPr="00225D4D">
        <w:t>interessentar</w:t>
      </w:r>
      <w:proofErr w:type="spellEnd"/>
      <w:r w:rsidRPr="00225D4D">
        <w:t xml:space="preserve">. </w:t>
      </w:r>
      <w:proofErr w:type="spellStart"/>
      <w:r w:rsidRPr="00225D4D">
        <w:t>Desse</w:t>
      </w:r>
      <w:proofErr w:type="spellEnd"/>
      <w:r w:rsidRPr="00225D4D">
        <w:t xml:space="preserve"> </w:t>
      </w:r>
      <w:proofErr w:type="spellStart"/>
      <w:r w:rsidRPr="00225D4D">
        <w:t>interessentane</w:t>
      </w:r>
      <w:proofErr w:type="spellEnd"/>
      <w:r w:rsidRPr="00225D4D">
        <w:t xml:space="preserve"> er </w:t>
      </w:r>
      <w:proofErr w:type="spellStart"/>
      <w:r w:rsidRPr="00225D4D">
        <w:t>eigar</w:t>
      </w:r>
      <w:proofErr w:type="spellEnd"/>
      <w:r w:rsidRPr="00225D4D">
        <w:t xml:space="preserve"> av flokken, Norsk genressurssenter ved Norsk institutt for bioøkonomi og verten for ei </w:t>
      </w:r>
      <w:proofErr w:type="spellStart"/>
      <w:r w:rsidRPr="00225D4D">
        <w:t>planlagd</w:t>
      </w:r>
      <w:proofErr w:type="spellEnd"/>
      <w:r w:rsidRPr="00225D4D">
        <w:t xml:space="preserve"> bevaringsbesetning. Det går føre seg arbeid for å etablere ei bevaringsbesetning og å avvikle resten av den forvilla geiteflokken. Departementet </w:t>
      </w:r>
      <w:proofErr w:type="spellStart"/>
      <w:r w:rsidRPr="00225D4D">
        <w:t>legg</w:t>
      </w:r>
      <w:proofErr w:type="spellEnd"/>
      <w:r w:rsidRPr="00225D4D">
        <w:t xml:space="preserve"> til grunn at vedtak nr. 568, av 16. april 2025, med dette er </w:t>
      </w:r>
      <w:proofErr w:type="spellStart"/>
      <w:r w:rsidRPr="00225D4D">
        <w:t>følgt</w:t>
      </w:r>
      <w:proofErr w:type="spellEnd"/>
      <w:r w:rsidRPr="00225D4D">
        <w:t xml:space="preserve"> opp.</w:t>
      </w:r>
    </w:p>
    <w:p w14:paraId="3EF9E324" w14:textId="77777777" w:rsidR="00D60186" w:rsidRPr="00225D4D" w:rsidRDefault="00D60186" w:rsidP="00225D4D">
      <w:pPr>
        <w:pStyle w:val="avsnitt-tittel"/>
      </w:pPr>
      <w:proofErr w:type="spellStart"/>
      <w:r w:rsidRPr="00225D4D">
        <w:t>Naturleg</w:t>
      </w:r>
      <w:proofErr w:type="spellEnd"/>
      <w:r w:rsidRPr="00225D4D">
        <w:t xml:space="preserve"> lys i fjørfefjøs</w:t>
      </w:r>
    </w:p>
    <w:p w14:paraId="138BB6E5" w14:textId="77777777" w:rsidR="00D60186" w:rsidRPr="00225D4D" w:rsidRDefault="00D60186" w:rsidP="00225D4D">
      <w:pPr>
        <w:pStyle w:val="avsnitt-undertittel"/>
      </w:pPr>
      <w:r w:rsidRPr="00225D4D">
        <w:t>Vedtak nr. 566, 10. april 2025:</w:t>
      </w:r>
    </w:p>
    <w:p w14:paraId="71F4285C" w14:textId="77777777" w:rsidR="00D60186" w:rsidRPr="00225D4D" w:rsidRDefault="00D60186" w:rsidP="00225D4D">
      <w:pPr>
        <w:pStyle w:val="blokksit"/>
        <w:rPr>
          <w:rStyle w:val="kursiv"/>
        </w:rPr>
      </w:pPr>
      <w:r w:rsidRPr="00225D4D">
        <w:rPr>
          <w:rStyle w:val="kursiv"/>
        </w:rPr>
        <w:t>«Stortinget ber regjeringen innføre krav om naturlig lys i eksisterende fjørfefjøs og alle nye fjørfefjøs. I eksisterende fjørfefjøs kan LED-lys med dagslysspekter erstatte naturlig lys.»</w:t>
      </w:r>
    </w:p>
    <w:p w14:paraId="3EBD41F7" w14:textId="77777777" w:rsidR="00D60186" w:rsidRPr="00225D4D" w:rsidRDefault="00D60186" w:rsidP="00225D4D">
      <w:r w:rsidRPr="00225D4D">
        <w:t xml:space="preserve">Vedtaket blei fatta ved handsaminga av Meld. St. 8 (2024–2025) </w:t>
      </w:r>
      <w:r w:rsidRPr="00225D4D">
        <w:rPr>
          <w:rStyle w:val="kursiv"/>
        </w:rPr>
        <w:t>Dyrevelferd</w:t>
      </w:r>
      <w:r w:rsidRPr="00225D4D">
        <w:t xml:space="preserve">, jf. </w:t>
      </w:r>
      <w:proofErr w:type="spellStart"/>
      <w:r w:rsidRPr="00225D4D">
        <w:t>Innst</w:t>
      </w:r>
      <w:proofErr w:type="spellEnd"/>
      <w:r w:rsidRPr="00225D4D">
        <w:t>. 200 S (2024–2025).</w:t>
      </w:r>
    </w:p>
    <w:p w14:paraId="7D9873F9"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og komme tilbake til Stortinget på eigna måte.</w:t>
      </w:r>
    </w:p>
    <w:p w14:paraId="5CA61017" w14:textId="77777777" w:rsidR="00D60186" w:rsidRPr="00225D4D" w:rsidRDefault="00D60186" w:rsidP="00225D4D">
      <w:pPr>
        <w:pStyle w:val="avsnitt-tittel"/>
      </w:pPr>
      <w:r w:rsidRPr="00225D4D">
        <w:t>Fiksering av svin</w:t>
      </w:r>
    </w:p>
    <w:p w14:paraId="69C42D47" w14:textId="77777777" w:rsidR="00D60186" w:rsidRPr="00225D4D" w:rsidRDefault="00D60186" w:rsidP="00225D4D">
      <w:pPr>
        <w:pStyle w:val="avsnitt-undertittel"/>
      </w:pPr>
      <w:r w:rsidRPr="00225D4D">
        <w:t>Vedtak nr. 565, 10. april 2025:</w:t>
      </w:r>
    </w:p>
    <w:p w14:paraId="2609DE5A" w14:textId="77777777" w:rsidR="00D60186" w:rsidRPr="00225D4D" w:rsidRDefault="00D60186" w:rsidP="00225D4D">
      <w:pPr>
        <w:pStyle w:val="blokksit"/>
        <w:rPr>
          <w:rStyle w:val="kursiv"/>
        </w:rPr>
      </w:pPr>
      <w:r w:rsidRPr="00225D4D">
        <w:rPr>
          <w:rStyle w:val="kursiv"/>
        </w:rPr>
        <w:t>«Stortinget ber regjeringen avvikle unntakene om fiksering av svin og avslutte bruken av fiksering senest innen utgangen av 2027.»</w:t>
      </w:r>
    </w:p>
    <w:p w14:paraId="63A3E933" w14:textId="77777777" w:rsidR="00D60186" w:rsidRPr="00225D4D" w:rsidRDefault="00D60186" w:rsidP="00225D4D">
      <w:r w:rsidRPr="00225D4D">
        <w:t xml:space="preserve">Vedtaket blei fatta ved handsaminga av Meld. St. 8 (2024–2025) </w:t>
      </w:r>
      <w:r w:rsidRPr="00225D4D">
        <w:rPr>
          <w:rStyle w:val="kursiv"/>
        </w:rPr>
        <w:t>Dyrevelferd,</w:t>
      </w:r>
      <w:r w:rsidRPr="00225D4D">
        <w:t xml:space="preserve"> jf. </w:t>
      </w:r>
      <w:proofErr w:type="spellStart"/>
      <w:r w:rsidRPr="00225D4D">
        <w:t>Innst</w:t>
      </w:r>
      <w:proofErr w:type="spellEnd"/>
      <w:r w:rsidRPr="00225D4D">
        <w:t>. 200 S (2024–2025).</w:t>
      </w:r>
    </w:p>
    <w:p w14:paraId="223646CF"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og komme tilbake til Stortinget på eigna måte.</w:t>
      </w:r>
    </w:p>
    <w:p w14:paraId="174741A7" w14:textId="77777777" w:rsidR="00D60186" w:rsidRPr="00225D4D" w:rsidRDefault="00D60186" w:rsidP="00225D4D">
      <w:pPr>
        <w:pStyle w:val="avsnitt-tittel"/>
      </w:pPr>
      <w:proofErr w:type="spellStart"/>
      <w:r w:rsidRPr="00225D4D">
        <w:t>Fødebingar</w:t>
      </w:r>
      <w:proofErr w:type="spellEnd"/>
      <w:r w:rsidRPr="00225D4D">
        <w:t xml:space="preserve"> for svin</w:t>
      </w:r>
    </w:p>
    <w:p w14:paraId="23AE5DF7" w14:textId="77777777" w:rsidR="00D60186" w:rsidRPr="00225D4D" w:rsidRDefault="00D60186" w:rsidP="00225D4D">
      <w:pPr>
        <w:pStyle w:val="avsnitt-undertittel"/>
      </w:pPr>
      <w:r w:rsidRPr="00225D4D">
        <w:t>Vedtak nr. 564, 10. april 2025:</w:t>
      </w:r>
    </w:p>
    <w:p w14:paraId="73578C57" w14:textId="77777777" w:rsidR="00D60186" w:rsidRPr="00225D4D" w:rsidRDefault="00D60186" w:rsidP="00225D4D">
      <w:pPr>
        <w:pStyle w:val="blokksit"/>
        <w:rPr>
          <w:rStyle w:val="kursiv"/>
        </w:rPr>
      </w:pPr>
      <w:r w:rsidRPr="00225D4D">
        <w:rPr>
          <w:rStyle w:val="kursiv"/>
        </w:rPr>
        <w:t>«Stortinget ber regjeringen endre totalareal i fødebinger for svin slik at det fastsettes til minst 7,5 m2 for nybygg.»</w:t>
      </w:r>
    </w:p>
    <w:p w14:paraId="00AFEDFB" w14:textId="77777777" w:rsidR="00D60186" w:rsidRPr="00225D4D" w:rsidRDefault="00D60186" w:rsidP="00225D4D">
      <w:r w:rsidRPr="00225D4D">
        <w:t xml:space="preserve">Vedtaket blei fatta ved handsaminga av Meld. St. 8 (2024–2025) </w:t>
      </w:r>
      <w:r w:rsidRPr="00225D4D">
        <w:rPr>
          <w:rStyle w:val="kursiv"/>
        </w:rPr>
        <w:t>Dyrevelferd,</w:t>
      </w:r>
      <w:r w:rsidRPr="00225D4D">
        <w:t xml:space="preserve"> jf. </w:t>
      </w:r>
      <w:proofErr w:type="spellStart"/>
      <w:r w:rsidRPr="00225D4D">
        <w:t>Innst</w:t>
      </w:r>
      <w:proofErr w:type="spellEnd"/>
      <w:r w:rsidRPr="00225D4D">
        <w:t>. 200 S (2024–2025).</w:t>
      </w:r>
    </w:p>
    <w:p w14:paraId="784959C5"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og komme tilbake til Stortinget på eigna måte.</w:t>
      </w:r>
    </w:p>
    <w:p w14:paraId="3105E57C" w14:textId="77777777" w:rsidR="00D60186" w:rsidRPr="00225D4D" w:rsidRDefault="00D60186" w:rsidP="00225D4D">
      <w:pPr>
        <w:pStyle w:val="avsnitt-tittel"/>
      </w:pPr>
      <w:r w:rsidRPr="00225D4D">
        <w:t>Gjennomgå og endre forskrift om hald av svin</w:t>
      </w:r>
    </w:p>
    <w:p w14:paraId="4A41A249" w14:textId="77777777" w:rsidR="00D60186" w:rsidRPr="00225D4D" w:rsidRDefault="00D60186" w:rsidP="00225D4D">
      <w:pPr>
        <w:pStyle w:val="avsnitt-undertittel"/>
      </w:pPr>
      <w:r w:rsidRPr="00225D4D">
        <w:t>Vedtak nr. 563, 10. april 2025:</w:t>
      </w:r>
    </w:p>
    <w:p w14:paraId="52FB94FF" w14:textId="77777777" w:rsidR="00D60186" w:rsidRPr="00225D4D" w:rsidRDefault="00D60186" w:rsidP="00225D4D">
      <w:pPr>
        <w:pStyle w:val="blokksit"/>
        <w:rPr>
          <w:rStyle w:val="kursiv"/>
        </w:rPr>
      </w:pPr>
      <w:r w:rsidRPr="00225D4D">
        <w:rPr>
          <w:rStyle w:val="kursiv"/>
        </w:rPr>
        <w:t>«Stortinget ber regjeringen snarest gjennomgå og endre forskrift om hold av svin for å øke dyrevelferden i svinenæringen, med formål om å innføre økt krav til areal og krav til mykt underlag og bedre miljøberikelse og stille strengere krav til dyrevelferd ved oppgraderinger av driftsbygninger eller ved nybygg.»</w:t>
      </w:r>
    </w:p>
    <w:p w14:paraId="188FE99C" w14:textId="77777777" w:rsidR="00D60186" w:rsidRPr="00225D4D" w:rsidRDefault="00D60186" w:rsidP="00225D4D">
      <w:r w:rsidRPr="00225D4D">
        <w:t xml:space="preserve">Vedtaket blei fatta ved handsaminga av Meld. St. 8 (2024–2025) </w:t>
      </w:r>
      <w:r w:rsidRPr="00225D4D">
        <w:rPr>
          <w:rStyle w:val="kursiv"/>
        </w:rPr>
        <w:t>Dyrevelferd,</w:t>
      </w:r>
      <w:r w:rsidRPr="00225D4D">
        <w:t xml:space="preserve"> jf. </w:t>
      </w:r>
      <w:proofErr w:type="spellStart"/>
      <w:r w:rsidRPr="00225D4D">
        <w:t>Innst</w:t>
      </w:r>
      <w:proofErr w:type="spellEnd"/>
      <w:r w:rsidRPr="00225D4D">
        <w:t>. 200 S (2024–2025).</w:t>
      </w:r>
    </w:p>
    <w:p w14:paraId="6401B985" w14:textId="77777777" w:rsidR="00D60186" w:rsidRPr="00225D4D" w:rsidRDefault="00D60186" w:rsidP="00225D4D">
      <w:r w:rsidRPr="00225D4D">
        <w:t xml:space="preserve">Regjeringa vil </w:t>
      </w:r>
      <w:proofErr w:type="spellStart"/>
      <w:r w:rsidRPr="00225D4D">
        <w:t>følgje</w:t>
      </w:r>
      <w:proofErr w:type="spellEnd"/>
      <w:r w:rsidRPr="00225D4D">
        <w:t xml:space="preserve"> opp vedtaket med ei forskriftsendring og komme tilbake til Stortinget på eigna måte.</w:t>
      </w:r>
    </w:p>
    <w:p w14:paraId="313717D5" w14:textId="77777777" w:rsidR="00D60186" w:rsidRPr="00225D4D" w:rsidRDefault="00D60186" w:rsidP="00225D4D">
      <w:pPr>
        <w:pStyle w:val="avsnitt-tittel"/>
      </w:pPr>
      <w:proofErr w:type="spellStart"/>
      <w:r w:rsidRPr="00225D4D">
        <w:t>Faktorar</w:t>
      </w:r>
      <w:proofErr w:type="spellEnd"/>
      <w:r w:rsidRPr="00225D4D">
        <w:t xml:space="preserve"> som skal </w:t>
      </w:r>
      <w:proofErr w:type="spellStart"/>
      <w:r w:rsidRPr="00225D4D">
        <w:t>liggje</w:t>
      </w:r>
      <w:proofErr w:type="spellEnd"/>
      <w:r w:rsidRPr="00225D4D">
        <w:t xml:space="preserve"> fast i </w:t>
      </w:r>
      <w:proofErr w:type="spellStart"/>
      <w:r w:rsidRPr="00225D4D">
        <w:t>talgrunnlaget</w:t>
      </w:r>
      <w:proofErr w:type="spellEnd"/>
    </w:p>
    <w:p w14:paraId="299A0B2A" w14:textId="77777777" w:rsidR="00D60186" w:rsidRPr="00225D4D" w:rsidRDefault="00D60186" w:rsidP="00225D4D">
      <w:pPr>
        <w:pStyle w:val="avsnitt-undertittel"/>
      </w:pPr>
      <w:r w:rsidRPr="00225D4D">
        <w:t>Vedtak nr. 561, 8. april 2025:</w:t>
      </w:r>
    </w:p>
    <w:p w14:paraId="15AB1A5C" w14:textId="77777777" w:rsidR="00D60186" w:rsidRPr="00225D4D" w:rsidRDefault="00D60186" w:rsidP="00225D4D">
      <w:pPr>
        <w:pStyle w:val="blokksit"/>
        <w:rPr>
          <w:rStyle w:val="kursiv"/>
        </w:rPr>
      </w:pPr>
      <w:r w:rsidRPr="00225D4D">
        <w:rPr>
          <w:rStyle w:val="kursiv"/>
        </w:rPr>
        <w:t xml:space="preserve">«Stortinget ber regjeringa </w:t>
      </w:r>
      <w:proofErr w:type="spellStart"/>
      <w:r w:rsidRPr="00225D4D">
        <w:rPr>
          <w:rStyle w:val="kursiv"/>
        </w:rPr>
        <w:t>leggje</w:t>
      </w:r>
      <w:proofErr w:type="spellEnd"/>
      <w:r w:rsidRPr="00225D4D">
        <w:rPr>
          <w:rStyle w:val="kursiv"/>
        </w:rPr>
        <w:t xml:space="preserve"> til grunn at normeringsfaktoren, avsetning til </w:t>
      </w:r>
      <w:proofErr w:type="spellStart"/>
      <w:r w:rsidRPr="00225D4D">
        <w:rPr>
          <w:rStyle w:val="kursiv"/>
        </w:rPr>
        <w:t>investeringar</w:t>
      </w:r>
      <w:proofErr w:type="spellEnd"/>
      <w:r w:rsidRPr="00225D4D">
        <w:rPr>
          <w:rStyle w:val="kursiv"/>
        </w:rPr>
        <w:t xml:space="preserve"> i avskrivbar eigenkapital og </w:t>
      </w:r>
      <w:proofErr w:type="spellStart"/>
      <w:r w:rsidRPr="00225D4D">
        <w:rPr>
          <w:rStyle w:val="kursiv"/>
        </w:rPr>
        <w:t>samanlikningsgruppe</w:t>
      </w:r>
      <w:proofErr w:type="spellEnd"/>
      <w:r w:rsidRPr="00225D4D">
        <w:rPr>
          <w:rStyle w:val="kursiv"/>
        </w:rPr>
        <w:t xml:space="preserve"> ligg fast i </w:t>
      </w:r>
      <w:proofErr w:type="spellStart"/>
      <w:r w:rsidRPr="00225D4D">
        <w:rPr>
          <w:rStyle w:val="kursiv"/>
        </w:rPr>
        <w:t>talgrunnlaget</w:t>
      </w:r>
      <w:proofErr w:type="spellEnd"/>
      <w:r w:rsidRPr="00225D4D">
        <w:rPr>
          <w:rStyle w:val="kursiv"/>
        </w:rPr>
        <w:t xml:space="preserve"> slik det vart nytta ved </w:t>
      </w:r>
      <w:proofErr w:type="spellStart"/>
      <w:r w:rsidRPr="00225D4D">
        <w:rPr>
          <w:rStyle w:val="kursiv"/>
        </w:rPr>
        <w:t>jordbruksoppgjeret</w:t>
      </w:r>
      <w:proofErr w:type="spellEnd"/>
      <w:r w:rsidRPr="00225D4D">
        <w:rPr>
          <w:rStyle w:val="kursiv"/>
        </w:rPr>
        <w:t xml:space="preserve"> 2024, men at </w:t>
      </w:r>
      <w:proofErr w:type="spellStart"/>
      <w:r w:rsidRPr="00225D4D">
        <w:rPr>
          <w:rStyle w:val="kursiv"/>
        </w:rPr>
        <w:t>timetalet</w:t>
      </w:r>
      <w:proofErr w:type="spellEnd"/>
      <w:r w:rsidRPr="00225D4D">
        <w:rPr>
          <w:rStyle w:val="kursiv"/>
        </w:rPr>
        <w:t xml:space="preserve"> per årsverk i jordbruket vert redusert med 50 </w:t>
      </w:r>
      <w:proofErr w:type="spellStart"/>
      <w:r w:rsidRPr="00225D4D">
        <w:rPr>
          <w:rStyle w:val="kursiv"/>
        </w:rPr>
        <w:t>timar</w:t>
      </w:r>
      <w:proofErr w:type="spellEnd"/>
      <w:r w:rsidRPr="00225D4D">
        <w:rPr>
          <w:rStyle w:val="kursiv"/>
        </w:rPr>
        <w:t xml:space="preserve"> til 1 700 </w:t>
      </w:r>
      <w:proofErr w:type="spellStart"/>
      <w:r w:rsidRPr="00225D4D">
        <w:rPr>
          <w:rStyle w:val="kursiv"/>
        </w:rPr>
        <w:t>timar</w:t>
      </w:r>
      <w:proofErr w:type="spellEnd"/>
      <w:r w:rsidRPr="00225D4D">
        <w:rPr>
          <w:rStyle w:val="kursiv"/>
        </w:rPr>
        <w:t xml:space="preserve"> i to like trinn med verknad for kalenderåra 2026 og 2027.»</w:t>
      </w:r>
    </w:p>
    <w:p w14:paraId="601EF591" w14:textId="77777777" w:rsidR="00D60186" w:rsidRPr="00225D4D" w:rsidRDefault="00D60186" w:rsidP="00225D4D">
      <w:r w:rsidRPr="00225D4D">
        <w:t xml:space="preserve">Vedtaket blei fatta ved handsaminga av Meld. St. 10 (2024–2025) </w:t>
      </w:r>
      <w:r w:rsidRPr="00225D4D">
        <w:rPr>
          <w:rStyle w:val="kursiv"/>
        </w:rPr>
        <w:t xml:space="preserve">Prinsipp for </w:t>
      </w:r>
      <w:proofErr w:type="spellStart"/>
      <w:r w:rsidRPr="00225D4D">
        <w:rPr>
          <w:rStyle w:val="kursiv"/>
        </w:rPr>
        <w:t>talgrunnlag</w:t>
      </w:r>
      <w:proofErr w:type="spellEnd"/>
      <w:r w:rsidRPr="00225D4D">
        <w:rPr>
          <w:rStyle w:val="kursiv"/>
        </w:rPr>
        <w:t xml:space="preserve"> m.m. i jordbrukspolitikken,</w:t>
      </w:r>
      <w:r w:rsidRPr="00225D4D">
        <w:t xml:space="preserve"> jf. </w:t>
      </w:r>
      <w:proofErr w:type="spellStart"/>
      <w:r w:rsidRPr="00225D4D">
        <w:t>Innst</w:t>
      </w:r>
      <w:proofErr w:type="spellEnd"/>
      <w:r w:rsidRPr="00225D4D">
        <w:t>. 197 S (2024–2025).</w:t>
      </w:r>
    </w:p>
    <w:p w14:paraId="1EBF93B8" w14:textId="77777777" w:rsidR="00D60186" w:rsidRPr="00225D4D" w:rsidRDefault="00D60186" w:rsidP="00225D4D">
      <w:r w:rsidRPr="00225D4D">
        <w:t xml:space="preserve">Vedtaket blei lagt til grunn i </w:t>
      </w:r>
      <w:proofErr w:type="spellStart"/>
      <w:r w:rsidRPr="00225D4D">
        <w:t>jordbruksoppgjeret</w:t>
      </w:r>
      <w:proofErr w:type="spellEnd"/>
      <w:r w:rsidRPr="00225D4D">
        <w:t xml:space="preserve"> 2025, og vil bli lagt til grunn for </w:t>
      </w:r>
      <w:proofErr w:type="spellStart"/>
      <w:r w:rsidRPr="00225D4D">
        <w:t>oppgjeret</w:t>
      </w:r>
      <w:proofErr w:type="spellEnd"/>
      <w:r w:rsidRPr="00225D4D">
        <w:t xml:space="preserve"> i 2026. Departementet </w:t>
      </w:r>
      <w:proofErr w:type="spellStart"/>
      <w:r w:rsidRPr="00225D4D">
        <w:t>legg</w:t>
      </w:r>
      <w:proofErr w:type="spellEnd"/>
      <w:r w:rsidRPr="00225D4D">
        <w:t xml:space="preserve"> til grunn at vedtak nr. 561, 8. april 2025, med dette er </w:t>
      </w:r>
      <w:proofErr w:type="spellStart"/>
      <w:r w:rsidRPr="00225D4D">
        <w:t>følgt</w:t>
      </w:r>
      <w:proofErr w:type="spellEnd"/>
      <w:r w:rsidRPr="00225D4D">
        <w:t xml:space="preserve"> opp.</w:t>
      </w:r>
    </w:p>
    <w:p w14:paraId="3692BDBB" w14:textId="77777777" w:rsidR="00D60186" w:rsidRPr="00225D4D" w:rsidRDefault="00D60186" w:rsidP="00225D4D">
      <w:pPr>
        <w:pStyle w:val="avsnitt-tittel"/>
      </w:pPr>
      <w:r w:rsidRPr="00225D4D">
        <w:t>Prioritering av Nord-</w:t>
      </w:r>
      <w:proofErr w:type="spellStart"/>
      <w:r w:rsidRPr="00225D4D">
        <w:t>Noreg</w:t>
      </w:r>
      <w:proofErr w:type="spellEnd"/>
      <w:r w:rsidRPr="00225D4D">
        <w:t xml:space="preserve"> i </w:t>
      </w:r>
      <w:proofErr w:type="spellStart"/>
      <w:r w:rsidRPr="00225D4D">
        <w:t>jordbruksoppgjeret</w:t>
      </w:r>
      <w:proofErr w:type="spellEnd"/>
    </w:p>
    <w:p w14:paraId="36857824" w14:textId="77777777" w:rsidR="00D60186" w:rsidRPr="00225D4D" w:rsidRDefault="00D60186" w:rsidP="00225D4D">
      <w:pPr>
        <w:pStyle w:val="avsnitt-undertittel"/>
      </w:pPr>
      <w:r w:rsidRPr="00225D4D">
        <w:t>Vedtak nr. 560, 8. april 2025:</w:t>
      </w:r>
    </w:p>
    <w:p w14:paraId="395EC250" w14:textId="77777777" w:rsidR="00D60186" w:rsidRPr="00225D4D" w:rsidRDefault="00D60186" w:rsidP="00225D4D">
      <w:pPr>
        <w:pStyle w:val="blokksit"/>
        <w:rPr>
          <w:rStyle w:val="kursiv"/>
        </w:rPr>
      </w:pPr>
      <w:r w:rsidRPr="00225D4D">
        <w:rPr>
          <w:rStyle w:val="kursiv"/>
        </w:rPr>
        <w:t>«Stortinget ber regjeringa ha ei kraftig prioritering av Nord-</w:t>
      </w:r>
      <w:proofErr w:type="spellStart"/>
      <w:r w:rsidRPr="00225D4D">
        <w:rPr>
          <w:rStyle w:val="kursiv"/>
        </w:rPr>
        <w:t>Noreg</w:t>
      </w:r>
      <w:proofErr w:type="spellEnd"/>
      <w:r w:rsidRPr="00225D4D">
        <w:rPr>
          <w:rStyle w:val="kursiv"/>
        </w:rPr>
        <w:t xml:space="preserve"> i </w:t>
      </w:r>
      <w:proofErr w:type="spellStart"/>
      <w:r w:rsidRPr="00225D4D">
        <w:rPr>
          <w:rStyle w:val="kursiv"/>
        </w:rPr>
        <w:t>jordbruksoppgjeret</w:t>
      </w:r>
      <w:proofErr w:type="spellEnd"/>
      <w:r w:rsidRPr="00225D4D">
        <w:rPr>
          <w:rStyle w:val="kursiv"/>
        </w:rPr>
        <w:t xml:space="preserve"> 2025.»</w:t>
      </w:r>
    </w:p>
    <w:p w14:paraId="03514A9D" w14:textId="77777777" w:rsidR="00D60186" w:rsidRPr="00225D4D" w:rsidRDefault="00D60186" w:rsidP="00225D4D">
      <w:r w:rsidRPr="00225D4D">
        <w:t xml:space="preserve">Vedtaket blei fatta ved handsaminga av Meld. St. 10 (2024–2025) </w:t>
      </w:r>
      <w:r w:rsidRPr="00225D4D">
        <w:rPr>
          <w:rStyle w:val="kursiv"/>
        </w:rPr>
        <w:t xml:space="preserve">Prinsipp for </w:t>
      </w:r>
      <w:proofErr w:type="spellStart"/>
      <w:r w:rsidRPr="00225D4D">
        <w:rPr>
          <w:rStyle w:val="kursiv"/>
        </w:rPr>
        <w:t>talgrunnlag</w:t>
      </w:r>
      <w:proofErr w:type="spellEnd"/>
      <w:r w:rsidRPr="00225D4D">
        <w:rPr>
          <w:rStyle w:val="kursiv"/>
        </w:rPr>
        <w:t xml:space="preserve"> m.m. i jordbrukspolitikken,</w:t>
      </w:r>
      <w:r w:rsidRPr="00225D4D">
        <w:t xml:space="preserve"> jf. </w:t>
      </w:r>
      <w:proofErr w:type="spellStart"/>
      <w:r w:rsidRPr="00225D4D">
        <w:t>Innst</w:t>
      </w:r>
      <w:proofErr w:type="spellEnd"/>
      <w:r w:rsidRPr="00225D4D">
        <w:t>. 197 S (2024–2025).</w:t>
      </w:r>
    </w:p>
    <w:p w14:paraId="60A80A74" w14:textId="77777777" w:rsidR="00D60186" w:rsidRPr="00225D4D" w:rsidRDefault="00D60186" w:rsidP="00225D4D">
      <w:r w:rsidRPr="00225D4D">
        <w:t xml:space="preserve">Regjeringa la i </w:t>
      </w:r>
      <w:proofErr w:type="spellStart"/>
      <w:r w:rsidRPr="00225D4D">
        <w:t>jordbruksoppgjeret</w:t>
      </w:r>
      <w:proofErr w:type="spellEnd"/>
      <w:r w:rsidRPr="00225D4D">
        <w:t xml:space="preserve"> 2025 opp til ei kraftig prioritering av Nord-</w:t>
      </w:r>
      <w:proofErr w:type="spellStart"/>
      <w:r w:rsidRPr="00225D4D">
        <w:t>Noreg</w:t>
      </w:r>
      <w:proofErr w:type="spellEnd"/>
      <w:r w:rsidRPr="00225D4D">
        <w:t xml:space="preserve">, mellom anna gjennom </w:t>
      </w:r>
      <w:proofErr w:type="spellStart"/>
      <w:r w:rsidRPr="00225D4D">
        <w:t>aukingar</w:t>
      </w:r>
      <w:proofErr w:type="spellEnd"/>
      <w:r w:rsidRPr="00225D4D">
        <w:t xml:space="preserve"> i tilskott for produksjon og areal, oppretting av </w:t>
      </w:r>
      <w:proofErr w:type="gramStart"/>
      <w:r w:rsidRPr="00225D4D">
        <w:t>ei eiga rekrutteringskvote</w:t>
      </w:r>
      <w:proofErr w:type="gramEnd"/>
      <w:r w:rsidRPr="00225D4D">
        <w:t xml:space="preserve"> for mjølk og </w:t>
      </w:r>
      <w:proofErr w:type="spellStart"/>
      <w:r w:rsidRPr="00225D4D">
        <w:t>auke</w:t>
      </w:r>
      <w:proofErr w:type="spellEnd"/>
      <w:r w:rsidRPr="00225D4D">
        <w:t xml:space="preserve"> av tilskottsdelen for </w:t>
      </w:r>
      <w:proofErr w:type="spellStart"/>
      <w:r w:rsidRPr="00225D4D">
        <w:t>investeringar</w:t>
      </w:r>
      <w:proofErr w:type="spellEnd"/>
      <w:r w:rsidRPr="00225D4D">
        <w:t xml:space="preserve"> i omlegging til lausdrift for storfe og svineproduksjon.</w:t>
      </w:r>
    </w:p>
    <w:p w14:paraId="29A5DE6F"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 nr. 560, 8. april 2025, med dette er </w:t>
      </w:r>
      <w:proofErr w:type="spellStart"/>
      <w:r w:rsidRPr="00225D4D">
        <w:t>følgt</w:t>
      </w:r>
      <w:proofErr w:type="spellEnd"/>
      <w:r w:rsidRPr="00225D4D">
        <w:t xml:space="preserve"> opp.</w:t>
      </w:r>
    </w:p>
    <w:p w14:paraId="5B530E15" w14:textId="77777777" w:rsidR="00D60186" w:rsidRPr="00225D4D" w:rsidRDefault="00D60186" w:rsidP="00225D4D">
      <w:pPr>
        <w:pStyle w:val="avsnitt-tittel"/>
      </w:pPr>
      <w:r w:rsidRPr="00225D4D">
        <w:t xml:space="preserve">Tiltak for </w:t>
      </w:r>
      <w:proofErr w:type="spellStart"/>
      <w:r w:rsidRPr="00225D4D">
        <w:t>auka</w:t>
      </w:r>
      <w:proofErr w:type="spellEnd"/>
      <w:r w:rsidRPr="00225D4D">
        <w:t xml:space="preserve"> etterspørsel etter økologisk mat</w:t>
      </w:r>
    </w:p>
    <w:p w14:paraId="1C501997" w14:textId="77777777" w:rsidR="00D60186" w:rsidRPr="00225D4D" w:rsidRDefault="00D60186" w:rsidP="00225D4D">
      <w:pPr>
        <w:pStyle w:val="avsnitt-undertittel"/>
      </w:pPr>
      <w:r w:rsidRPr="00225D4D">
        <w:t>Vedtak nr. 559, 8. april 2025:</w:t>
      </w:r>
    </w:p>
    <w:p w14:paraId="47F28727" w14:textId="77777777" w:rsidR="00D60186" w:rsidRPr="00225D4D" w:rsidRDefault="00D60186" w:rsidP="00225D4D">
      <w:pPr>
        <w:pStyle w:val="blokksit"/>
        <w:rPr>
          <w:rStyle w:val="kursiv"/>
        </w:rPr>
      </w:pPr>
      <w:r w:rsidRPr="00225D4D">
        <w:rPr>
          <w:rStyle w:val="kursiv"/>
        </w:rPr>
        <w:t xml:space="preserve">«Stortinget ber regjeringa våren 2025, i «Nasjonal strategi for økologisk jordbruk», </w:t>
      </w:r>
      <w:proofErr w:type="spellStart"/>
      <w:r w:rsidRPr="00225D4D">
        <w:rPr>
          <w:rStyle w:val="kursiv"/>
        </w:rPr>
        <w:t>kome</w:t>
      </w:r>
      <w:proofErr w:type="spellEnd"/>
      <w:r w:rsidRPr="00225D4D">
        <w:rPr>
          <w:rStyle w:val="kursiv"/>
        </w:rPr>
        <w:t xml:space="preserve"> med framlegg til korleis </w:t>
      </w:r>
      <w:proofErr w:type="spellStart"/>
      <w:r w:rsidRPr="00225D4D">
        <w:rPr>
          <w:rStyle w:val="kursiv"/>
        </w:rPr>
        <w:t>ein</w:t>
      </w:r>
      <w:proofErr w:type="spellEnd"/>
      <w:r w:rsidRPr="00225D4D">
        <w:rPr>
          <w:rStyle w:val="kursiv"/>
        </w:rPr>
        <w:t xml:space="preserve"> kan </w:t>
      </w:r>
      <w:proofErr w:type="spellStart"/>
      <w:r w:rsidRPr="00225D4D">
        <w:rPr>
          <w:rStyle w:val="kursiv"/>
        </w:rPr>
        <w:t>auke</w:t>
      </w:r>
      <w:proofErr w:type="spellEnd"/>
      <w:r w:rsidRPr="00225D4D">
        <w:rPr>
          <w:rStyle w:val="kursiv"/>
        </w:rPr>
        <w:t xml:space="preserve"> </w:t>
      </w:r>
      <w:proofErr w:type="spellStart"/>
      <w:r w:rsidRPr="00225D4D">
        <w:rPr>
          <w:rStyle w:val="kursiv"/>
        </w:rPr>
        <w:t>etterspurnaden</w:t>
      </w:r>
      <w:proofErr w:type="spellEnd"/>
      <w:r w:rsidRPr="00225D4D">
        <w:rPr>
          <w:rStyle w:val="kursiv"/>
        </w:rPr>
        <w:t xml:space="preserve"> etter økologisk mat gjennom ulike konkrete tiltak som </w:t>
      </w:r>
      <w:proofErr w:type="spellStart"/>
      <w:r w:rsidRPr="00225D4D">
        <w:rPr>
          <w:rStyle w:val="kursiv"/>
        </w:rPr>
        <w:t>legg</w:t>
      </w:r>
      <w:proofErr w:type="spellEnd"/>
      <w:r w:rsidRPr="00225D4D">
        <w:rPr>
          <w:rStyle w:val="kursiv"/>
        </w:rPr>
        <w:t xml:space="preserve"> til rette for </w:t>
      </w:r>
      <w:proofErr w:type="spellStart"/>
      <w:r w:rsidRPr="00225D4D">
        <w:rPr>
          <w:rStyle w:val="kursiv"/>
        </w:rPr>
        <w:t>auka</w:t>
      </w:r>
      <w:proofErr w:type="spellEnd"/>
      <w:r w:rsidRPr="00225D4D">
        <w:rPr>
          <w:rStyle w:val="kursiv"/>
        </w:rPr>
        <w:t xml:space="preserve"> </w:t>
      </w:r>
      <w:proofErr w:type="spellStart"/>
      <w:r w:rsidRPr="00225D4D">
        <w:rPr>
          <w:rStyle w:val="kursiv"/>
        </w:rPr>
        <w:t>etterspurnad</w:t>
      </w:r>
      <w:proofErr w:type="spellEnd"/>
      <w:r w:rsidRPr="00225D4D">
        <w:rPr>
          <w:rStyle w:val="kursiv"/>
        </w:rPr>
        <w:t xml:space="preserve"> både </w:t>
      </w:r>
      <w:proofErr w:type="spellStart"/>
      <w:r w:rsidRPr="00225D4D">
        <w:rPr>
          <w:rStyle w:val="kursiv"/>
        </w:rPr>
        <w:t>frå</w:t>
      </w:r>
      <w:proofErr w:type="spellEnd"/>
      <w:r w:rsidRPr="00225D4D">
        <w:rPr>
          <w:rStyle w:val="kursiv"/>
        </w:rPr>
        <w:t xml:space="preserve"> private og det </w:t>
      </w:r>
      <w:proofErr w:type="spellStart"/>
      <w:r w:rsidRPr="00225D4D">
        <w:rPr>
          <w:rStyle w:val="kursiv"/>
        </w:rPr>
        <w:t>offentlege</w:t>
      </w:r>
      <w:proofErr w:type="spellEnd"/>
      <w:r w:rsidRPr="00225D4D">
        <w:rPr>
          <w:rStyle w:val="kursiv"/>
        </w:rPr>
        <w:t xml:space="preserve">. Det skal mellom anna </w:t>
      </w:r>
      <w:proofErr w:type="spellStart"/>
      <w:r w:rsidRPr="00225D4D">
        <w:rPr>
          <w:rStyle w:val="kursiv"/>
        </w:rPr>
        <w:t>vurderast</w:t>
      </w:r>
      <w:proofErr w:type="spellEnd"/>
      <w:r w:rsidRPr="00225D4D">
        <w:rPr>
          <w:rStyle w:val="kursiv"/>
        </w:rPr>
        <w:t xml:space="preserve"> om det er tiltak i Danmark og Sverige som kan </w:t>
      </w:r>
      <w:proofErr w:type="spellStart"/>
      <w:r w:rsidRPr="00225D4D">
        <w:rPr>
          <w:rStyle w:val="kursiv"/>
        </w:rPr>
        <w:t>nyttast</w:t>
      </w:r>
      <w:proofErr w:type="spellEnd"/>
      <w:r w:rsidRPr="00225D4D">
        <w:rPr>
          <w:rStyle w:val="kursiv"/>
        </w:rPr>
        <w:t xml:space="preserve"> i </w:t>
      </w:r>
      <w:proofErr w:type="spellStart"/>
      <w:r w:rsidRPr="00225D4D">
        <w:rPr>
          <w:rStyle w:val="kursiv"/>
        </w:rPr>
        <w:t>Noreg</w:t>
      </w:r>
      <w:proofErr w:type="spellEnd"/>
      <w:r w:rsidRPr="00225D4D">
        <w:rPr>
          <w:rStyle w:val="kursiv"/>
        </w:rPr>
        <w:t xml:space="preserve">. Det skal </w:t>
      </w:r>
      <w:proofErr w:type="spellStart"/>
      <w:r w:rsidRPr="00225D4D">
        <w:rPr>
          <w:rStyle w:val="kursiv"/>
        </w:rPr>
        <w:t>vere</w:t>
      </w:r>
      <w:proofErr w:type="spellEnd"/>
      <w:r w:rsidRPr="00225D4D">
        <w:rPr>
          <w:rStyle w:val="kursiv"/>
        </w:rPr>
        <w:t xml:space="preserve"> </w:t>
      </w:r>
      <w:proofErr w:type="spellStart"/>
      <w:r w:rsidRPr="00225D4D">
        <w:rPr>
          <w:rStyle w:val="kursiv"/>
        </w:rPr>
        <w:t>eit</w:t>
      </w:r>
      <w:proofErr w:type="spellEnd"/>
      <w:r w:rsidRPr="00225D4D">
        <w:rPr>
          <w:rStyle w:val="kursiv"/>
        </w:rPr>
        <w:t xml:space="preserve"> </w:t>
      </w:r>
      <w:proofErr w:type="spellStart"/>
      <w:r w:rsidRPr="00225D4D">
        <w:rPr>
          <w:rStyle w:val="kursiv"/>
        </w:rPr>
        <w:t>særleg</w:t>
      </w:r>
      <w:proofErr w:type="spellEnd"/>
      <w:r w:rsidRPr="00225D4D">
        <w:rPr>
          <w:rStyle w:val="kursiv"/>
        </w:rPr>
        <w:t xml:space="preserve"> </w:t>
      </w:r>
      <w:proofErr w:type="gramStart"/>
      <w:r w:rsidRPr="00225D4D">
        <w:rPr>
          <w:rStyle w:val="kursiv"/>
        </w:rPr>
        <w:t>fokus</w:t>
      </w:r>
      <w:proofErr w:type="gramEnd"/>
      <w:r w:rsidRPr="00225D4D">
        <w:rPr>
          <w:rStyle w:val="kursiv"/>
        </w:rPr>
        <w:t xml:space="preserve"> på at norsk økologisk produksjon skal kunne møte </w:t>
      </w:r>
      <w:proofErr w:type="spellStart"/>
      <w:r w:rsidRPr="00225D4D">
        <w:rPr>
          <w:rStyle w:val="kursiv"/>
        </w:rPr>
        <w:t>ein</w:t>
      </w:r>
      <w:proofErr w:type="spellEnd"/>
      <w:r w:rsidRPr="00225D4D">
        <w:rPr>
          <w:rStyle w:val="kursiv"/>
        </w:rPr>
        <w:t xml:space="preserve"> </w:t>
      </w:r>
      <w:proofErr w:type="spellStart"/>
      <w:r w:rsidRPr="00225D4D">
        <w:rPr>
          <w:rStyle w:val="kursiv"/>
        </w:rPr>
        <w:t>auka</w:t>
      </w:r>
      <w:proofErr w:type="spellEnd"/>
      <w:r w:rsidRPr="00225D4D">
        <w:rPr>
          <w:rStyle w:val="kursiv"/>
        </w:rPr>
        <w:t xml:space="preserve"> </w:t>
      </w:r>
      <w:proofErr w:type="spellStart"/>
      <w:r w:rsidRPr="00225D4D">
        <w:rPr>
          <w:rStyle w:val="kursiv"/>
        </w:rPr>
        <w:t>etterspurnad</w:t>
      </w:r>
      <w:proofErr w:type="spellEnd"/>
      <w:r w:rsidRPr="00225D4D">
        <w:rPr>
          <w:rStyle w:val="kursiv"/>
        </w:rPr>
        <w:t>.»</w:t>
      </w:r>
    </w:p>
    <w:p w14:paraId="3E37C014" w14:textId="77777777" w:rsidR="00D60186" w:rsidRPr="00225D4D" w:rsidRDefault="00D60186" w:rsidP="00225D4D">
      <w:r w:rsidRPr="00225D4D">
        <w:t xml:space="preserve">Vedtaket blei fatta ved handsaminga av Meld. St. 10 (2024–2025) </w:t>
      </w:r>
      <w:r w:rsidRPr="00225D4D">
        <w:rPr>
          <w:rStyle w:val="kursiv"/>
        </w:rPr>
        <w:t xml:space="preserve">Prinsipp for </w:t>
      </w:r>
      <w:proofErr w:type="spellStart"/>
      <w:r w:rsidRPr="00225D4D">
        <w:rPr>
          <w:rStyle w:val="kursiv"/>
        </w:rPr>
        <w:t>talgrunnlag</w:t>
      </w:r>
      <w:proofErr w:type="spellEnd"/>
      <w:r w:rsidRPr="00225D4D">
        <w:rPr>
          <w:rStyle w:val="kursiv"/>
        </w:rPr>
        <w:t xml:space="preserve"> m.m. i jordbrukspolitikken,</w:t>
      </w:r>
      <w:r w:rsidRPr="00225D4D">
        <w:t xml:space="preserve"> jf. </w:t>
      </w:r>
      <w:proofErr w:type="spellStart"/>
      <w:r w:rsidRPr="00225D4D">
        <w:t>Innst</w:t>
      </w:r>
      <w:proofErr w:type="spellEnd"/>
      <w:r w:rsidRPr="00225D4D">
        <w:t>. 197 S (2024–2025).</w:t>
      </w:r>
    </w:p>
    <w:p w14:paraId="7BD0A218" w14:textId="77777777" w:rsidR="00D60186" w:rsidRPr="00225D4D" w:rsidRDefault="00D60186" w:rsidP="00225D4D">
      <w:r w:rsidRPr="00225D4D">
        <w:t xml:space="preserve">Regjeringa la våren 2025 fram strategien </w:t>
      </w:r>
      <w:r w:rsidRPr="00225D4D">
        <w:rPr>
          <w:rStyle w:val="kursiv"/>
        </w:rPr>
        <w:t>Fra økologisk jord til middagsbord. Nasjonal strategi for økologisk jordbruk 2025–2032</w:t>
      </w:r>
      <w:r w:rsidRPr="00225D4D">
        <w:t xml:space="preserve"> i tråd med Stortinget sitt vedtak. Strategien er utgangspunkt for regjeringa </w:t>
      </w:r>
      <w:proofErr w:type="spellStart"/>
      <w:r w:rsidRPr="00225D4D">
        <w:t>si</w:t>
      </w:r>
      <w:proofErr w:type="spellEnd"/>
      <w:r w:rsidRPr="00225D4D">
        <w:t xml:space="preserve"> satsing på økologisk jordbruk, og er omtalt og </w:t>
      </w:r>
      <w:proofErr w:type="spellStart"/>
      <w:r w:rsidRPr="00225D4D">
        <w:t>følgt</w:t>
      </w:r>
      <w:proofErr w:type="spellEnd"/>
      <w:r w:rsidRPr="00225D4D">
        <w:t xml:space="preserve"> opp i </w:t>
      </w:r>
      <w:proofErr w:type="spellStart"/>
      <w:r w:rsidRPr="00225D4D">
        <w:t>jordbruksoppgjeret</w:t>
      </w:r>
      <w:proofErr w:type="spellEnd"/>
      <w:r w:rsidRPr="00225D4D">
        <w:t xml:space="preserve"> 2025, jf. </w:t>
      </w:r>
      <w:proofErr w:type="spellStart"/>
      <w:r w:rsidRPr="00225D4D">
        <w:t>Prop</w:t>
      </w:r>
      <w:proofErr w:type="spellEnd"/>
      <w:r w:rsidRPr="00225D4D">
        <w:t xml:space="preserve">. 149 S (2024–2025) og </w:t>
      </w:r>
      <w:proofErr w:type="spellStart"/>
      <w:r w:rsidRPr="00225D4D">
        <w:t>Innst</w:t>
      </w:r>
      <w:proofErr w:type="spellEnd"/>
      <w:r w:rsidRPr="00225D4D">
        <w:t xml:space="preserve">. 534 S (2024–2025). Strategien skal </w:t>
      </w:r>
      <w:proofErr w:type="spellStart"/>
      <w:r w:rsidRPr="00225D4D">
        <w:t>følgjast</w:t>
      </w:r>
      <w:proofErr w:type="spellEnd"/>
      <w:r w:rsidRPr="00225D4D">
        <w:t xml:space="preserve"> </w:t>
      </w:r>
      <w:proofErr w:type="spellStart"/>
      <w:r w:rsidRPr="00225D4D">
        <w:t>vidare</w:t>
      </w:r>
      <w:proofErr w:type="spellEnd"/>
      <w:r w:rsidRPr="00225D4D">
        <w:t xml:space="preserve"> opp fram mot 2032. Departementet </w:t>
      </w:r>
      <w:proofErr w:type="spellStart"/>
      <w:r w:rsidRPr="00225D4D">
        <w:t>legg</w:t>
      </w:r>
      <w:proofErr w:type="spellEnd"/>
      <w:r w:rsidRPr="00225D4D">
        <w:t xml:space="preserve"> til grunn at vedtak nr. 559, 8. april 2025, med dette er </w:t>
      </w:r>
      <w:proofErr w:type="spellStart"/>
      <w:r w:rsidRPr="00225D4D">
        <w:t>følgt</w:t>
      </w:r>
      <w:proofErr w:type="spellEnd"/>
      <w:r w:rsidRPr="00225D4D">
        <w:t xml:space="preserve"> opp.</w:t>
      </w:r>
    </w:p>
    <w:p w14:paraId="0DE762F7" w14:textId="77777777" w:rsidR="00D60186" w:rsidRPr="00225D4D" w:rsidRDefault="00D60186" w:rsidP="00225D4D">
      <w:pPr>
        <w:pStyle w:val="avsnitt-tittel"/>
      </w:pPr>
      <w:r w:rsidRPr="00225D4D">
        <w:t>Produksjonsmål økologisk mat</w:t>
      </w:r>
    </w:p>
    <w:p w14:paraId="00CC551B" w14:textId="77777777" w:rsidR="00D60186" w:rsidRPr="00225D4D" w:rsidRDefault="00D60186" w:rsidP="00225D4D">
      <w:pPr>
        <w:pStyle w:val="avsnitt-undertittel"/>
      </w:pPr>
      <w:r w:rsidRPr="00225D4D">
        <w:t>Vedtak nr. 558, 8. april 2025:</w:t>
      </w:r>
    </w:p>
    <w:p w14:paraId="39E9A934" w14:textId="77777777" w:rsidR="00D60186" w:rsidRPr="00225D4D" w:rsidRDefault="00D60186" w:rsidP="00225D4D">
      <w:pPr>
        <w:pStyle w:val="blokksit"/>
        <w:rPr>
          <w:rStyle w:val="kursiv"/>
        </w:rPr>
      </w:pPr>
      <w:r w:rsidRPr="00225D4D">
        <w:rPr>
          <w:rStyle w:val="kursiv"/>
        </w:rPr>
        <w:t xml:space="preserve">«Stortinget ber regjeringa </w:t>
      </w:r>
      <w:proofErr w:type="spellStart"/>
      <w:r w:rsidRPr="00225D4D">
        <w:rPr>
          <w:rStyle w:val="kursiv"/>
        </w:rPr>
        <w:t>leggje</w:t>
      </w:r>
      <w:proofErr w:type="spellEnd"/>
      <w:r w:rsidRPr="00225D4D">
        <w:rPr>
          <w:rStyle w:val="kursiv"/>
        </w:rPr>
        <w:t xml:space="preserve"> til grunn </w:t>
      </w:r>
      <w:proofErr w:type="spellStart"/>
      <w:r w:rsidRPr="00225D4D">
        <w:rPr>
          <w:rStyle w:val="kursiv"/>
        </w:rPr>
        <w:t>følgjande</w:t>
      </w:r>
      <w:proofErr w:type="spellEnd"/>
      <w:r w:rsidRPr="00225D4D">
        <w:rPr>
          <w:rStyle w:val="kursiv"/>
        </w:rPr>
        <w:t xml:space="preserve"> målsetting om produksjon av økologisk mat: </w:t>
      </w:r>
      <w:proofErr w:type="spellStart"/>
      <w:r w:rsidRPr="00225D4D">
        <w:rPr>
          <w:rStyle w:val="kursiv"/>
        </w:rPr>
        <w:t>Eit</w:t>
      </w:r>
      <w:proofErr w:type="spellEnd"/>
      <w:r w:rsidRPr="00225D4D">
        <w:rPr>
          <w:rStyle w:val="kursiv"/>
        </w:rPr>
        <w:t xml:space="preserve"> produksjonsmål der 10 pst. av det totale jordbruksarealet skal </w:t>
      </w:r>
      <w:proofErr w:type="spellStart"/>
      <w:r w:rsidRPr="00225D4D">
        <w:rPr>
          <w:rStyle w:val="kursiv"/>
        </w:rPr>
        <w:t>vere</w:t>
      </w:r>
      <w:proofErr w:type="spellEnd"/>
      <w:r w:rsidRPr="00225D4D">
        <w:rPr>
          <w:rStyle w:val="kursiv"/>
        </w:rPr>
        <w:t xml:space="preserve"> økologisk </w:t>
      </w:r>
      <w:proofErr w:type="spellStart"/>
      <w:r w:rsidRPr="00225D4D">
        <w:rPr>
          <w:rStyle w:val="kursiv"/>
        </w:rPr>
        <w:t>innan</w:t>
      </w:r>
      <w:proofErr w:type="spellEnd"/>
      <w:r w:rsidRPr="00225D4D">
        <w:rPr>
          <w:rStyle w:val="kursiv"/>
        </w:rPr>
        <w:t xml:space="preserve"> 2032, kombinert med </w:t>
      </w:r>
      <w:proofErr w:type="spellStart"/>
      <w:r w:rsidRPr="00225D4D">
        <w:rPr>
          <w:rStyle w:val="kursiv"/>
        </w:rPr>
        <w:t>verkemiddel</w:t>
      </w:r>
      <w:proofErr w:type="spellEnd"/>
      <w:r w:rsidRPr="00225D4D">
        <w:rPr>
          <w:rStyle w:val="kursiv"/>
        </w:rPr>
        <w:t xml:space="preserve"> som stimulerer til </w:t>
      </w:r>
      <w:proofErr w:type="spellStart"/>
      <w:r w:rsidRPr="00225D4D">
        <w:rPr>
          <w:rStyle w:val="kursiv"/>
        </w:rPr>
        <w:t>auka</w:t>
      </w:r>
      <w:proofErr w:type="spellEnd"/>
      <w:r w:rsidRPr="00225D4D">
        <w:rPr>
          <w:rStyle w:val="kursiv"/>
        </w:rPr>
        <w:t xml:space="preserve"> </w:t>
      </w:r>
      <w:proofErr w:type="spellStart"/>
      <w:r w:rsidRPr="00225D4D">
        <w:rPr>
          <w:rStyle w:val="kursiv"/>
        </w:rPr>
        <w:t>omsetnad</w:t>
      </w:r>
      <w:proofErr w:type="spellEnd"/>
      <w:r w:rsidRPr="00225D4D">
        <w:rPr>
          <w:rStyle w:val="kursiv"/>
        </w:rPr>
        <w:t xml:space="preserve"> av og </w:t>
      </w:r>
      <w:proofErr w:type="spellStart"/>
      <w:r w:rsidRPr="00225D4D">
        <w:rPr>
          <w:rStyle w:val="kursiv"/>
        </w:rPr>
        <w:t>etterspurnad</w:t>
      </w:r>
      <w:proofErr w:type="spellEnd"/>
      <w:r w:rsidRPr="00225D4D">
        <w:rPr>
          <w:rStyle w:val="kursiv"/>
        </w:rPr>
        <w:t xml:space="preserve"> etter økologisk mat i </w:t>
      </w:r>
      <w:proofErr w:type="spellStart"/>
      <w:r w:rsidRPr="00225D4D">
        <w:rPr>
          <w:rStyle w:val="kursiv"/>
        </w:rPr>
        <w:t>marknaden</w:t>
      </w:r>
      <w:proofErr w:type="spellEnd"/>
      <w:r w:rsidRPr="00225D4D">
        <w:rPr>
          <w:rStyle w:val="kursiv"/>
        </w:rPr>
        <w:t>.»</w:t>
      </w:r>
    </w:p>
    <w:p w14:paraId="540CF2CD" w14:textId="77777777" w:rsidR="00D60186" w:rsidRPr="00225D4D" w:rsidRDefault="00D60186" w:rsidP="00225D4D">
      <w:r w:rsidRPr="00225D4D">
        <w:t xml:space="preserve">Vedtaket blei fatta ved handsaminga av Meld. St. 10 (2024–2025) </w:t>
      </w:r>
      <w:r w:rsidRPr="00225D4D">
        <w:rPr>
          <w:rStyle w:val="kursiv"/>
        </w:rPr>
        <w:t xml:space="preserve">Prinsipp for </w:t>
      </w:r>
      <w:proofErr w:type="spellStart"/>
      <w:r w:rsidRPr="00225D4D">
        <w:rPr>
          <w:rStyle w:val="kursiv"/>
        </w:rPr>
        <w:t>talgrunnlag</w:t>
      </w:r>
      <w:proofErr w:type="spellEnd"/>
      <w:r w:rsidRPr="00225D4D">
        <w:rPr>
          <w:rStyle w:val="kursiv"/>
        </w:rPr>
        <w:t xml:space="preserve"> m.m. i jordbrukspolitikken,</w:t>
      </w:r>
      <w:r w:rsidRPr="00225D4D">
        <w:t xml:space="preserve"> jf. </w:t>
      </w:r>
      <w:proofErr w:type="spellStart"/>
      <w:r w:rsidRPr="00225D4D">
        <w:t>Innst</w:t>
      </w:r>
      <w:proofErr w:type="spellEnd"/>
      <w:r w:rsidRPr="00225D4D">
        <w:t>. 197 S (2024–2025).</w:t>
      </w:r>
    </w:p>
    <w:p w14:paraId="0FCB8FA5" w14:textId="77777777" w:rsidR="00D60186" w:rsidRPr="00225D4D" w:rsidRDefault="00D60186" w:rsidP="00225D4D">
      <w:r w:rsidRPr="00225D4D">
        <w:t xml:space="preserve">Regjeringa la våren 2025 fram strategien </w:t>
      </w:r>
      <w:r w:rsidRPr="00225D4D">
        <w:rPr>
          <w:rStyle w:val="kursiv"/>
        </w:rPr>
        <w:t>Fra økologisk jord til middagsbord. Nasjonal strategi for økologisk jordbruk 2025–2032</w:t>
      </w:r>
      <w:r w:rsidRPr="00225D4D">
        <w:t xml:space="preserve">. Mål for strategien er det same som målformuleringa i vedtak nr. 558, og ligg til grunn for regjeringa sitt arbeid med økologisk jordbruk. Departementet </w:t>
      </w:r>
      <w:proofErr w:type="spellStart"/>
      <w:r w:rsidRPr="00225D4D">
        <w:t>legg</w:t>
      </w:r>
      <w:proofErr w:type="spellEnd"/>
      <w:r w:rsidRPr="00225D4D">
        <w:t xml:space="preserve"> til grunn at vedtak nr. 558, 8. april 2025, med dette er </w:t>
      </w:r>
      <w:proofErr w:type="spellStart"/>
      <w:r w:rsidRPr="00225D4D">
        <w:t>følgt</w:t>
      </w:r>
      <w:proofErr w:type="spellEnd"/>
      <w:r w:rsidRPr="00225D4D">
        <w:t xml:space="preserve"> opp.</w:t>
      </w:r>
    </w:p>
    <w:p w14:paraId="0F52795F" w14:textId="77777777" w:rsidR="00D60186" w:rsidRPr="00225D4D" w:rsidRDefault="00D60186" w:rsidP="00225D4D">
      <w:pPr>
        <w:pStyle w:val="avsnitt-tittel"/>
      </w:pPr>
      <w:r w:rsidRPr="00225D4D">
        <w:t>Jordbrukskonto</w:t>
      </w:r>
    </w:p>
    <w:p w14:paraId="6A06EF7A" w14:textId="77777777" w:rsidR="00D60186" w:rsidRPr="00225D4D" w:rsidRDefault="00D60186" w:rsidP="00225D4D">
      <w:pPr>
        <w:pStyle w:val="avsnitt-undertittel"/>
      </w:pPr>
      <w:r w:rsidRPr="00225D4D">
        <w:t>Vedtak nr. 557, 8. april 2025:</w:t>
      </w:r>
    </w:p>
    <w:p w14:paraId="271DFD7A" w14:textId="77777777" w:rsidR="00D60186" w:rsidRPr="00225D4D" w:rsidRDefault="00D60186" w:rsidP="00225D4D">
      <w:pPr>
        <w:pStyle w:val="blokksit"/>
        <w:rPr>
          <w:rStyle w:val="kursiv"/>
        </w:rPr>
      </w:pPr>
      <w:r w:rsidRPr="00225D4D">
        <w:rPr>
          <w:rStyle w:val="kursiv"/>
        </w:rPr>
        <w:t xml:space="preserve">«Stortinget ber regjeringa våren 2025 </w:t>
      </w:r>
      <w:proofErr w:type="spellStart"/>
      <w:r w:rsidRPr="00225D4D">
        <w:rPr>
          <w:rStyle w:val="kursiv"/>
        </w:rPr>
        <w:t>kome</w:t>
      </w:r>
      <w:proofErr w:type="spellEnd"/>
      <w:r w:rsidRPr="00225D4D">
        <w:rPr>
          <w:rStyle w:val="kursiv"/>
        </w:rPr>
        <w:t xml:space="preserve"> med framlegg til jordbrukskonto, med verknad </w:t>
      </w:r>
      <w:proofErr w:type="spellStart"/>
      <w:r w:rsidRPr="00225D4D">
        <w:rPr>
          <w:rStyle w:val="kursiv"/>
        </w:rPr>
        <w:t>frå</w:t>
      </w:r>
      <w:proofErr w:type="spellEnd"/>
      <w:r w:rsidRPr="00225D4D">
        <w:rPr>
          <w:rStyle w:val="kursiv"/>
        </w:rPr>
        <w:t xml:space="preserve"> og med inntektsåret 2025.»</w:t>
      </w:r>
    </w:p>
    <w:p w14:paraId="44920936" w14:textId="77777777" w:rsidR="00D60186" w:rsidRPr="00225D4D" w:rsidRDefault="00D60186" w:rsidP="00225D4D">
      <w:r w:rsidRPr="00225D4D">
        <w:t xml:space="preserve">Vedtaket blei fatta ved handsaminga av Meld. St. 10 (2024–2025) </w:t>
      </w:r>
      <w:r w:rsidRPr="00225D4D">
        <w:rPr>
          <w:rStyle w:val="kursiv"/>
        </w:rPr>
        <w:t xml:space="preserve">Prinsipp for </w:t>
      </w:r>
      <w:proofErr w:type="spellStart"/>
      <w:r w:rsidRPr="00225D4D">
        <w:rPr>
          <w:rStyle w:val="kursiv"/>
        </w:rPr>
        <w:t>talgrunnlag</w:t>
      </w:r>
      <w:proofErr w:type="spellEnd"/>
      <w:r w:rsidRPr="00225D4D">
        <w:rPr>
          <w:rStyle w:val="kursiv"/>
        </w:rPr>
        <w:t xml:space="preserve"> m.m. i jordbrukspolitikken,</w:t>
      </w:r>
      <w:r w:rsidRPr="00225D4D">
        <w:t xml:space="preserve"> jf. </w:t>
      </w:r>
      <w:proofErr w:type="spellStart"/>
      <w:r w:rsidRPr="00225D4D">
        <w:t>Innst</w:t>
      </w:r>
      <w:proofErr w:type="spellEnd"/>
      <w:r w:rsidRPr="00225D4D">
        <w:t>. 197 S (2024–2025).</w:t>
      </w:r>
    </w:p>
    <w:p w14:paraId="317838EE" w14:textId="77777777" w:rsidR="00D60186" w:rsidRPr="00225D4D" w:rsidRDefault="00D60186" w:rsidP="00225D4D">
      <w:r w:rsidRPr="00225D4D">
        <w:t xml:space="preserve">Regjeringa har </w:t>
      </w:r>
      <w:proofErr w:type="spellStart"/>
      <w:r w:rsidRPr="00225D4D">
        <w:t>fremja</w:t>
      </w:r>
      <w:proofErr w:type="spellEnd"/>
      <w:r w:rsidRPr="00225D4D">
        <w:t xml:space="preserve"> forslag til jordbrukskonto med verknad </w:t>
      </w:r>
      <w:proofErr w:type="spellStart"/>
      <w:r w:rsidRPr="00225D4D">
        <w:t>frå</w:t>
      </w:r>
      <w:proofErr w:type="spellEnd"/>
      <w:r w:rsidRPr="00225D4D">
        <w:t xml:space="preserve"> og med inntektsåret 2025. Departementet </w:t>
      </w:r>
      <w:proofErr w:type="spellStart"/>
      <w:r w:rsidRPr="00225D4D">
        <w:t>legg</w:t>
      </w:r>
      <w:proofErr w:type="spellEnd"/>
      <w:r w:rsidRPr="00225D4D">
        <w:t xml:space="preserve"> til grunn at vedtak nr. 557, 8. april 2025, med dette er </w:t>
      </w:r>
      <w:proofErr w:type="spellStart"/>
      <w:r w:rsidRPr="00225D4D">
        <w:t>følgt</w:t>
      </w:r>
      <w:proofErr w:type="spellEnd"/>
      <w:r w:rsidRPr="00225D4D">
        <w:t xml:space="preserve"> opp.</w:t>
      </w:r>
    </w:p>
    <w:p w14:paraId="6C2CD3E8" w14:textId="77777777" w:rsidR="00D60186" w:rsidRPr="00225D4D" w:rsidRDefault="00D60186" w:rsidP="00225D4D">
      <w:pPr>
        <w:pStyle w:val="avsnitt-tittel"/>
      </w:pPr>
      <w:proofErr w:type="spellStart"/>
      <w:r w:rsidRPr="00225D4D">
        <w:t>Offentleg</w:t>
      </w:r>
      <w:proofErr w:type="spellEnd"/>
      <w:r w:rsidRPr="00225D4D">
        <w:t xml:space="preserve"> </w:t>
      </w:r>
      <w:proofErr w:type="spellStart"/>
      <w:r w:rsidRPr="00225D4D">
        <w:t>utval</w:t>
      </w:r>
      <w:proofErr w:type="spellEnd"/>
      <w:r w:rsidRPr="00225D4D">
        <w:t xml:space="preserve"> om inntekter i jordbruket</w:t>
      </w:r>
    </w:p>
    <w:p w14:paraId="0ECA5622" w14:textId="77777777" w:rsidR="00D60186" w:rsidRPr="00225D4D" w:rsidRDefault="00D60186" w:rsidP="00225D4D">
      <w:pPr>
        <w:pStyle w:val="avsnitt-undertittel"/>
      </w:pPr>
      <w:r w:rsidRPr="00225D4D">
        <w:t>Vedtak nr. 556, 8. april 2025:</w:t>
      </w:r>
    </w:p>
    <w:p w14:paraId="03570ABB" w14:textId="77777777" w:rsidR="00D60186" w:rsidRPr="00225D4D" w:rsidRDefault="00D60186" w:rsidP="00225D4D">
      <w:pPr>
        <w:pStyle w:val="blokksit"/>
        <w:rPr>
          <w:rStyle w:val="kursiv"/>
        </w:rPr>
      </w:pPr>
      <w:r w:rsidRPr="00225D4D">
        <w:rPr>
          <w:rStyle w:val="kursiv"/>
        </w:rPr>
        <w:t>«Stortinget ber regjeringen snarest mulig sette ned et offentlig utvalg som skal vurdere inntektene i jordbruket i forhold til inntektene til sammenlignbare næringsdrivende.»</w:t>
      </w:r>
    </w:p>
    <w:p w14:paraId="3D435A23" w14:textId="77777777" w:rsidR="00D60186" w:rsidRPr="00225D4D" w:rsidRDefault="00D60186" w:rsidP="00225D4D">
      <w:r w:rsidRPr="00225D4D">
        <w:t xml:space="preserve">Vedtaket blei fatta ved handsaminga av Meld. St. 10 (2024–2025) </w:t>
      </w:r>
      <w:r w:rsidRPr="00225D4D">
        <w:rPr>
          <w:rStyle w:val="kursiv"/>
        </w:rPr>
        <w:t xml:space="preserve">Prinsipp for </w:t>
      </w:r>
      <w:proofErr w:type="spellStart"/>
      <w:r w:rsidRPr="00225D4D">
        <w:rPr>
          <w:rStyle w:val="kursiv"/>
        </w:rPr>
        <w:t>talgrunnlag</w:t>
      </w:r>
      <w:proofErr w:type="spellEnd"/>
      <w:r w:rsidRPr="00225D4D">
        <w:rPr>
          <w:rStyle w:val="kursiv"/>
        </w:rPr>
        <w:t xml:space="preserve"> m.m. i jordbrukspolitikken,</w:t>
      </w:r>
      <w:r w:rsidRPr="00225D4D">
        <w:t xml:space="preserve"> jf. </w:t>
      </w:r>
      <w:proofErr w:type="spellStart"/>
      <w:r w:rsidRPr="00225D4D">
        <w:t>Innst</w:t>
      </w:r>
      <w:proofErr w:type="spellEnd"/>
      <w:r w:rsidRPr="00225D4D">
        <w:t>. 197 S (2024–2025).</w:t>
      </w:r>
    </w:p>
    <w:p w14:paraId="5BE5BF03" w14:textId="77777777" w:rsidR="00D60186" w:rsidRPr="00225D4D" w:rsidRDefault="00D60186" w:rsidP="00225D4D">
      <w:r w:rsidRPr="00225D4D">
        <w:t xml:space="preserve">I NOU 2022: 14 </w:t>
      </w:r>
      <w:r w:rsidRPr="00225D4D">
        <w:rPr>
          <w:rStyle w:val="kursiv"/>
        </w:rPr>
        <w:t xml:space="preserve">Inntektsmåling i jordbruket </w:t>
      </w:r>
      <w:r w:rsidRPr="00225D4D">
        <w:t xml:space="preserve">blei det gjort </w:t>
      </w:r>
      <w:proofErr w:type="spellStart"/>
      <w:r w:rsidRPr="00225D4D">
        <w:t>vurderingar</w:t>
      </w:r>
      <w:proofErr w:type="spellEnd"/>
      <w:r w:rsidRPr="00225D4D">
        <w:t xml:space="preserve"> av om inntektene i jordbruket kunne </w:t>
      </w:r>
      <w:proofErr w:type="spellStart"/>
      <w:r w:rsidRPr="00225D4D">
        <w:t>samanliknast</w:t>
      </w:r>
      <w:proofErr w:type="spellEnd"/>
      <w:r w:rsidRPr="00225D4D">
        <w:t xml:space="preserve"> med andre </w:t>
      </w:r>
      <w:proofErr w:type="spellStart"/>
      <w:r w:rsidRPr="00225D4D">
        <w:t>næringsdrivande</w:t>
      </w:r>
      <w:proofErr w:type="spellEnd"/>
      <w:r w:rsidRPr="00225D4D">
        <w:t xml:space="preserve">. NOU-en gav òg </w:t>
      </w:r>
      <w:proofErr w:type="spellStart"/>
      <w:r w:rsidRPr="00225D4D">
        <w:t>omfattande</w:t>
      </w:r>
      <w:proofErr w:type="spellEnd"/>
      <w:r w:rsidRPr="00225D4D">
        <w:t xml:space="preserve"> statistikk over inntekter på personnivå for jordbruk </w:t>
      </w:r>
      <w:proofErr w:type="spellStart"/>
      <w:r w:rsidRPr="00225D4D">
        <w:t>samanlikna</w:t>
      </w:r>
      <w:proofErr w:type="spellEnd"/>
      <w:r w:rsidRPr="00225D4D">
        <w:t xml:space="preserve"> med andre grupper i samfunnet. Departementet viser til at statistikken </w:t>
      </w:r>
      <w:proofErr w:type="spellStart"/>
      <w:r w:rsidRPr="00225D4D">
        <w:t>korkje</w:t>
      </w:r>
      <w:proofErr w:type="spellEnd"/>
      <w:r w:rsidRPr="00225D4D">
        <w:t xml:space="preserve"> har </w:t>
      </w:r>
      <w:proofErr w:type="spellStart"/>
      <w:r w:rsidRPr="00225D4D">
        <w:t>tilstrekkeleg</w:t>
      </w:r>
      <w:proofErr w:type="spellEnd"/>
      <w:r w:rsidRPr="00225D4D">
        <w:t xml:space="preserve"> detaljnivå eller ei </w:t>
      </w:r>
      <w:proofErr w:type="spellStart"/>
      <w:r w:rsidRPr="00225D4D">
        <w:t>løpande</w:t>
      </w:r>
      <w:proofErr w:type="spellEnd"/>
      <w:r w:rsidRPr="00225D4D">
        <w:t xml:space="preserve"> måling av arbeidsforbruket hos andre </w:t>
      </w:r>
      <w:proofErr w:type="spellStart"/>
      <w:r w:rsidRPr="00225D4D">
        <w:t>næringsdrivande</w:t>
      </w:r>
      <w:proofErr w:type="spellEnd"/>
      <w:r w:rsidRPr="00225D4D">
        <w:t xml:space="preserve">, </w:t>
      </w:r>
      <w:proofErr w:type="spellStart"/>
      <w:r w:rsidRPr="00225D4D">
        <w:t>noko</w:t>
      </w:r>
      <w:proofErr w:type="spellEnd"/>
      <w:r w:rsidRPr="00225D4D">
        <w:t xml:space="preserve"> som </w:t>
      </w:r>
      <w:proofErr w:type="spellStart"/>
      <w:r w:rsidRPr="00225D4D">
        <w:t>gjer</w:t>
      </w:r>
      <w:proofErr w:type="spellEnd"/>
      <w:r w:rsidRPr="00225D4D">
        <w:t xml:space="preserve"> at ho </w:t>
      </w:r>
      <w:proofErr w:type="spellStart"/>
      <w:r w:rsidRPr="00225D4D">
        <w:t>ikkje</w:t>
      </w:r>
      <w:proofErr w:type="spellEnd"/>
      <w:r w:rsidRPr="00225D4D">
        <w:t xml:space="preserve"> kan </w:t>
      </w:r>
      <w:proofErr w:type="spellStart"/>
      <w:r w:rsidRPr="00225D4D">
        <w:t>nyttast</w:t>
      </w:r>
      <w:proofErr w:type="spellEnd"/>
      <w:r w:rsidRPr="00225D4D">
        <w:t xml:space="preserve"> til å </w:t>
      </w:r>
      <w:proofErr w:type="spellStart"/>
      <w:r w:rsidRPr="00225D4D">
        <w:t>følgje</w:t>
      </w:r>
      <w:proofErr w:type="spellEnd"/>
      <w:r w:rsidRPr="00225D4D">
        <w:t xml:space="preserve"> opp inntektsmålet for jordbruket.</w:t>
      </w:r>
    </w:p>
    <w:p w14:paraId="17DDCF2D" w14:textId="77777777" w:rsidR="00D60186" w:rsidRPr="00225D4D" w:rsidRDefault="00D60186" w:rsidP="00225D4D">
      <w:r w:rsidRPr="00225D4D">
        <w:t xml:space="preserve">Departementet meiner at </w:t>
      </w:r>
      <w:proofErr w:type="spellStart"/>
      <w:r w:rsidRPr="00225D4D">
        <w:t>eit</w:t>
      </w:r>
      <w:proofErr w:type="spellEnd"/>
      <w:r w:rsidRPr="00225D4D">
        <w:t xml:space="preserve"> nytt </w:t>
      </w:r>
      <w:proofErr w:type="spellStart"/>
      <w:r w:rsidRPr="00225D4D">
        <w:t>utval</w:t>
      </w:r>
      <w:proofErr w:type="spellEnd"/>
      <w:r w:rsidRPr="00225D4D">
        <w:t xml:space="preserve"> </w:t>
      </w:r>
      <w:proofErr w:type="spellStart"/>
      <w:r w:rsidRPr="00225D4D">
        <w:t>ikkje</w:t>
      </w:r>
      <w:proofErr w:type="spellEnd"/>
      <w:r w:rsidRPr="00225D4D">
        <w:t xml:space="preserve"> vil kunne gi ny informasjon som vil </w:t>
      </w:r>
      <w:proofErr w:type="spellStart"/>
      <w:r w:rsidRPr="00225D4D">
        <w:t>forbetre</w:t>
      </w:r>
      <w:proofErr w:type="spellEnd"/>
      <w:r w:rsidRPr="00225D4D">
        <w:t xml:space="preserve"> grunnlaget for å </w:t>
      </w:r>
      <w:proofErr w:type="spellStart"/>
      <w:r w:rsidRPr="00225D4D">
        <w:t>gjere</w:t>
      </w:r>
      <w:proofErr w:type="spellEnd"/>
      <w:r w:rsidRPr="00225D4D">
        <w:t xml:space="preserve"> ei </w:t>
      </w:r>
      <w:proofErr w:type="spellStart"/>
      <w:r w:rsidRPr="00225D4D">
        <w:t>inntektssamanlikning</w:t>
      </w:r>
      <w:proofErr w:type="spellEnd"/>
      <w:r w:rsidRPr="00225D4D">
        <w:t xml:space="preserve"> mellom jordbruket og andre grupper.</w:t>
      </w:r>
    </w:p>
    <w:p w14:paraId="3361B934" w14:textId="77777777" w:rsidR="00D60186" w:rsidRPr="00225D4D" w:rsidRDefault="00D60186" w:rsidP="00225D4D">
      <w:r w:rsidRPr="00225D4D">
        <w:t xml:space="preserve">Regjeringa tilrår </w:t>
      </w:r>
      <w:proofErr w:type="spellStart"/>
      <w:r w:rsidRPr="00225D4D">
        <w:t>difor</w:t>
      </w:r>
      <w:proofErr w:type="spellEnd"/>
      <w:r w:rsidRPr="00225D4D">
        <w:t xml:space="preserve"> at oppmodingsvedtaket blir oppheva jf. forslag til vedtak.</w:t>
      </w:r>
    </w:p>
    <w:p w14:paraId="470AE126" w14:textId="77777777" w:rsidR="00D60186" w:rsidRPr="00225D4D" w:rsidRDefault="00D60186" w:rsidP="00225D4D">
      <w:pPr>
        <w:pStyle w:val="Overskrift2"/>
      </w:pPr>
      <w:r w:rsidRPr="00225D4D">
        <w:t>Oppmodings- og utgreiingsvedtak i stortingssesjonen 2023–2024</w:t>
      </w:r>
    </w:p>
    <w:p w14:paraId="076C3FCE" w14:textId="77777777" w:rsidR="00D60186" w:rsidRPr="00225D4D" w:rsidRDefault="00D60186" w:rsidP="00225D4D">
      <w:pPr>
        <w:pStyle w:val="avsnitt-tittel"/>
      </w:pPr>
      <w:r w:rsidRPr="00225D4D">
        <w:t>Tiltakspakke for å redusere jordbruksareal ute av drift</w:t>
      </w:r>
    </w:p>
    <w:p w14:paraId="5ED882DF" w14:textId="77777777" w:rsidR="00D60186" w:rsidRPr="00225D4D" w:rsidRDefault="00D60186" w:rsidP="00225D4D">
      <w:pPr>
        <w:pStyle w:val="avsnitt-undertittel"/>
      </w:pPr>
      <w:r w:rsidRPr="00225D4D">
        <w:t>Vedtak nr. 850, 21. juni 2024:</w:t>
      </w:r>
    </w:p>
    <w:p w14:paraId="33219854" w14:textId="77777777" w:rsidR="00D60186" w:rsidRPr="00225D4D" w:rsidRDefault="00D60186" w:rsidP="00225D4D">
      <w:pPr>
        <w:pStyle w:val="blokksit"/>
        <w:rPr>
          <w:rStyle w:val="kursiv"/>
        </w:rPr>
      </w:pPr>
      <w:r w:rsidRPr="00225D4D">
        <w:rPr>
          <w:rStyle w:val="kursiv"/>
        </w:rPr>
        <w:t>«Stortinget ber regjeringen frem til jordbruksoppgjøret for 2025 utrede en tiltakspakke for å redusere jordbruksareal som er ute av drift.»</w:t>
      </w:r>
    </w:p>
    <w:p w14:paraId="2ADD96E6"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105 S (2023–2024) </w:t>
      </w:r>
      <w:proofErr w:type="spellStart"/>
      <w:r w:rsidRPr="00225D4D">
        <w:rPr>
          <w:rStyle w:val="kursiv"/>
        </w:rPr>
        <w:t>Jordbruksoppgjeret</w:t>
      </w:r>
      <w:proofErr w:type="spellEnd"/>
      <w:r w:rsidRPr="00225D4D">
        <w:rPr>
          <w:rStyle w:val="kursiv"/>
        </w:rPr>
        <w:t xml:space="preserve"> 2024</w:t>
      </w:r>
      <w:r w:rsidRPr="00225D4D">
        <w:t xml:space="preserve">, jf. </w:t>
      </w:r>
      <w:proofErr w:type="spellStart"/>
      <w:r w:rsidRPr="00225D4D">
        <w:t>Innst</w:t>
      </w:r>
      <w:proofErr w:type="spellEnd"/>
      <w:r w:rsidRPr="00225D4D">
        <w:t>. 448 S (2023–2024).</w:t>
      </w:r>
    </w:p>
    <w:p w14:paraId="11F2BADE" w14:textId="77777777" w:rsidR="00D60186" w:rsidRPr="00225D4D" w:rsidRDefault="00D60186" w:rsidP="00225D4D">
      <w:r w:rsidRPr="00225D4D">
        <w:t xml:space="preserve">Vedtaket blei </w:t>
      </w:r>
      <w:proofErr w:type="spellStart"/>
      <w:r w:rsidRPr="00225D4D">
        <w:t>følgt</w:t>
      </w:r>
      <w:proofErr w:type="spellEnd"/>
      <w:r w:rsidRPr="00225D4D">
        <w:t xml:space="preserve"> opp i </w:t>
      </w:r>
      <w:proofErr w:type="spellStart"/>
      <w:r w:rsidRPr="00225D4D">
        <w:t>jordbruksoppgjeret</w:t>
      </w:r>
      <w:proofErr w:type="spellEnd"/>
      <w:r w:rsidRPr="00225D4D">
        <w:t xml:space="preserve"> i 2024 og 2025, med utprøving av </w:t>
      </w:r>
      <w:proofErr w:type="spellStart"/>
      <w:r w:rsidRPr="00225D4D">
        <w:t>eit</w:t>
      </w:r>
      <w:proofErr w:type="spellEnd"/>
      <w:r w:rsidRPr="00225D4D">
        <w:t xml:space="preserve"> teigbasert tilskott. Det er sett i gang ei prøveordning i </w:t>
      </w:r>
      <w:proofErr w:type="spellStart"/>
      <w:r w:rsidRPr="00225D4D">
        <w:t>utvalde</w:t>
      </w:r>
      <w:proofErr w:type="spellEnd"/>
      <w:r w:rsidRPr="00225D4D">
        <w:t xml:space="preserve"> </w:t>
      </w:r>
      <w:proofErr w:type="spellStart"/>
      <w:r w:rsidRPr="00225D4D">
        <w:t>kommunar</w:t>
      </w:r>
      <w:proofErr w:type="spellEnd"/>
      <w:r w:rsidRPr="00225D4D">
        <w:t xml:space="preserve"> i Nord-</w:t>
      </w:r>
      <w:proofErr w:type="spellStart"/>
      <w:r w:rsidRPr="00225D4D">
        <w:t>Noreg</w:t>
      </w:r>
      <w:proofErr w:type="spellEnd"/>
      <w:r w:rsidRPr="00225D4D">
        <w:t xml:space="preserve"> med stor andel areal som det </w:t>
      </w:r>
      <w:proofErr w:type="spellStart"/>
      <w:r w:rsidRPr="00225D4D">
        <w:t>ikkje</w:t>
      </w:r>
      <w:proofErr w:type="spellEnd"/>
      <w:r w:rsidRPr="00225D4D">
        <w:t xml:space="preserve"> blir søkt tilskott til. Landbruksdirektoratet har ansvar for prosjektet, og skal rapportere på resultata </w:t>
      </w:r>
      <w:proofErr w:type="spellStart"/>
      <w:r w:rsidRPr="00225D4D">
        <w:t>frå</w:t>
      </w:r>
      <w:proofErr w:type="spellEnd"/>
      <w:r w:rsidRPr="00225D4D">
        <w:t xml:space="preserve"> prosjektet til </w:t>
      </w:r>
      <w:proofErr w:type="spellStart"/>
      <w:r w:rsidRPr="00225D4D">
        <w:t>avtalepartane</w:t>
      </w:r>
      <w:proofErr w:type="spellEnd"/>
      <w:r w:rsidRPr="00225D4D">
        <w:t xml:space="preserve"> våren 2026. Evaluering og utvikling av tilskottet vil bli </w:t>
      </w:r>
      <w:proofErr w:type="spellStart"/>
      <w:r w:rsidRPr="00225D4D">
        <w:t>følgt</w:t>
      </w:r>
      <w:proofErr w:type="spellEnd"/>
      <w:r w:rsidRPr="00225D4D">
        <w:t xml:space="preserve"> opp i </w:t>
      </w:r>
      <w:proofErr w:type="spellStart"/>
      <w:r w:rsidRPr="00225D4D">
        <w:t>jordbruksoppgjeret</w:t>
      </w:r>
      <w:proofErr w:type="spellEnd"/>
      <w:r w:rsidRPr="00225D4D">
        <w:t xml:space="preserve"> i 2026. Departementet </w:t>
      </w:r>
      <w:proofErr w:type="spellStart"/>
      <w:r w:rsidRPr="00225D4D">
        <w:t>legg</w:t>
      </w:r>
      <w:proofErr w:type="spellEnd"/>
      <w:r w:rsidRPr="00225D4D">
        <w:t xml:space="preserve"> til grunn at vedtak nr. 850, 21. juni 2025, med dette er </w:t>
      </w:r>
      <w:proofErr w:type="spellStart"/>
      <w:r w:rsidRPr="00225D4D">
        <w:t>følgt</w:t>
      </w:r>
      <w:proofErr w:type="spellEnd"/>
      <w:r w:rsidRPr="00225D4D">
        <w:t xml:space="preserve"> opp.</w:t>
      </w:r>
    </w:p>
    <w:p w14:paraId="27F78ACD" w14:textId="77777777" w:rsidR="00D60186" w:rsidRPr="00225D4D" w:rsidRDefault="00D60186" w:rsidP="00225D4D">
      <w:pPr>
        <w:pStyle w:val="avsnitt-tittel"/>
      </w:pPr>
      <w:r w:rsidRPr="00225D4D">
        <w:t xml:space="preserve">Prinsipp for </w:t>
      </w:r>
      <w:proofErr w:type="spellStart"/>
      <w:r w:rsidRPr="00225D4D">
        <w:t>berekning</w:t>
      </w:r>
      <w:proofErr w:type="spellEnd"/>
      <w:r w:rsidRPr="00225D4D">
        <w:t xml:space="preserve"> av inntekt i jordbruket</w:t>
      </w:r>
    </w:p>
    <w:p w14:paraId="5E949E22" w14:textId="77777777" w:rsidR="00D60186" w:rsidRPr="00225D4D" w:rsidRDefault="00D60186" w:rsidP="00225D4D">
      <w:pPr>
        <w:pStyle w:val="avsnitt-undertittel"/>
      </w:pPr>
      <w:r w:rsidRPr="00225D4D">
        <w:t>Vedtak nr. 847, 21. juni 2024:</w:t>
      </w:r>
    </w:p>
    <w:p w14:paraId="06835905" w14:textId="77777777" w:rsidR="00D60186" w:rsidRPr="00225D4D" w:rsidRDefault="00D60186" w:rsidP="00225D4D">
      <w:pPr>
        <w:pStyle w:val="blokksit"/>
        <w:rPr>
          <w:rStyle w:val="kursiv"/>
        </w:rPr>
      </w:pPr>
      <w:r w:rsidRPr="00225D4D">
        <w:rPr>
          <w:rStyle w:val="kursiv"/>
        </w:rPr>
        <w:t>«Stortinget ber regjeringen innen februar 2025 på nytt komme tilbake med egen sak med forslag til prinsipper for beregning av inntekt i jordbruket og sammenligning med andre grupper, for å sikre demokratisk forankring av tallgrunnalet til bruk i jordbruksoppgjørene og legitimitet til forhandlingsinstituttet.»</w:t>
      </w:r>
    </w:p>
    <w:p w14:paraId="77FAC00C"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105 S (2023–2024) </w:t>
      </w:r>
      <w:proofErr w:type="spellStart"/>
      <w:r w:rsidRPr="00225D4D">
        <w:rPr>
          <w:rStyle w:val="kursiv"/>
        </w:rPr>
        <w:t>Jordbruksoppgjeret</w:t>
      </w:r>
      <w:proofErr w:type="spellEnd"/>
      <w:r w:rsidRPr="00225D4D">
        <w:rPr>
          <w:rStyle w:val="kursiv"/>
        </w:rPr>
        <w:t xml:space="preserve"> 2024</w:t>
      </w:r>
      <w:r w:rsidRPr="00225D4D">
        <w:t xml:space="preserve">, som </w:t>
      </w:r>
      <w:proofErr w:type="spellStart"/>
      <w:r w:rsidRPr="00225D4D">
        <w:t>eit</w:t>
      </w:r>
      <w:proofErr w:type="spellEnd"/>
      <w:r w:rsidRPr="00225D4D">
        <w:t xml:space="preserve"> laust forslag til </w:t>
      </w:r>
      <w:proofErr w:type="spellStart"/>
      <w:r w:rsidRPr="00225D4D">
        <w:t>Innst</w:t>
      </w:r>
      <w:proofErr w:type="spellEnd"/>
      <w:r w:rsidRPr="00225D4D">
        <w:t>. 448 S (2023–2024).</w:t>
      </w:r>
    </w:p>
    <w:p w14:paraId="69A68524" w14:textId="77777777" w:rsidR="00D60186" w:rsidRPr="00225D4D" w:rsidRDefault="00D60186" w:rsidP="00225D4D">
      <w:r w:rsidRPr="00225D4D">
        <w:t xml:space="preserve">Den 8. april 2025 handsama Stortinget Meld. St. 10 (2024–2025) </w:t>
      </w:r>
      <w:r w:rsidRPr="00225D4D">
        <w:rPr>
          <w:rStyle w:val="kursiv"/>
        </w:rPr>
        <w:t>Prinsipper for tallgrunnlag m.m. i jordbrukspolitikken</w:t>
      </w:r>
      <w:r w:rsidRPr="00225D4D">
        <w:t xml:space="preserve">. Stortinget sitt vedtak 561, 8. april 2025, </w:t>
      </w:r>
      <w:proofErr w:type="spellStart"/>
      <w:r w:rsidRPr="00225D4D">
        <w:t>avklarar</w:t>
      </w:r>
      <w:proofErr w:type="spellEnd"/>
      <w:r w:rsidRPr="00225D4D">
        <w:t xml:space="preserve"> </w:t>
      </w:r>
      <w:proofErr w:type="spellStart"/>
      <w:r w:rsidRPr="00225D4D">
        <w:t>dei</w:t>
      </w:r>
      <w:proofErr w:type="spellEnd"/>
      <w:r w:rsidRPr="00225D4D">
        <w:t xml:space="preserve"> politiske premissa for </w:t>
      </w:r>
      <w:proofErr w:type="spellStart"/>
      <w:r w:rsidRPr="00225D4D">
        <w:t>talgrunnlaget</w:t>
      </w:r>
      <w:proofErr w:type="spellEnd"/>
      <w:r w:rsidRPr="00225D4D">
        <w:t>:</w:t>
      </w:r>
    </w:p>
    <w:p w14:paraId="344EAECA" w14:textId="77777777" w:rsidR="00D60186" w:rsidRPr="00225D4D" w:rsidRDefault="00D60186" w:rsidP="00225D4D">
      <w:pPr>
        <w:pStyle w:val="blokksit"/>
        <w:rPr>
          <w:rStyle w:val="kursiv"/>
        </w:rPr>
      </w:pPr>
      <w:r w:rsidRPr="00225D4D">
        <w:rPr>
          <w:rStyle w:val="kursiv"/>
        </w:rPr>
        <w:t xml:space="preserve">«Stortinget ber regjeringa </w:t>
      </w:r>
      <w:proofErr w:type="spellStart"/>
      <w:r w:rsidRPr="00225D4D">
        <w:rPr>
          <w:rStyle w:val="kursiv"/>
        </w:rPr>
        <w:t>leggje</w:t>
      </w:r>
      <w:proofErr w:type="spellEnd"/>
      <w:r w:rsidRPr="00225D4D">
        <w:rPr>
          <w:rStyle w:val="kursiv"/>
        </w:rPr>
        <w:t xml:space="preserve"> til grunn at normeringsfaktoren, avsetning til </w:t>
      </w:r>
      <w:proofErr w:type="spellStart"/>
      <w:r w:rsidRPr="00225D4D">
        <w:rPr>
          <w:rStyle w:val="kursiv"/>
        </w:rPr>
        <w:t>investeringar</w:t>
      </w:r>
      <w:proofErr w:type="spellEnd"/>
      <w:r w:rsidRPr="00225D4D">
        <w:rPr>
          <w:rStyle w:val="kursiv"/>
        </w:rPr>
        <w:t xml:space="preserve"> i avskrivbar eigenkapital og </w:t>
      </w:r>
      <w:proofErr w:type="spellStart"/>
      <w:r w:rsidRPr="00225D4D">
        <w:rPr>
          <w:rStyle w:val="kursiv"/>
        </w:rPr>
        <w:t>samanlikningsgruppe</w:t>
      </w:r>
      <w:proofErr w:type="spellEnd"/>
      <w:r w:rsidRPr="00225D4D">
        <w:rPr>
          <w:rStyle w:val="kursiv"/>
        </w:rPr>
        <w:t xml:space="preserve"> ligg fast i </w:t>
      </w:r>
      <w:proofErr w:type="spellStart"/>
      <w:r w:rsidRPr="00225D4D">
        <w:rPr>
          <w:rStyle w:val="kursiv"/>
        </w:rPr>
        <w:t>talgrunnlaget</w:t>
      </w:r>
      <w:proofErr w:type="spellEnd"/>
      <w:r w:rsidRPr="00225D4D">
        <w:rPr>
          <w:rStyle w:val="kursiv"/>
        </w:rPr>
        <w:t xml:space="preserve"> slik det vart nytta ved </w:t>
      </w:r>
      <w:proofErr w:type="spellStart"/>
      <w:r w:rsidRPr="00225D4D">
        <w:rPr>
          <w:rStyle w:val="kursiv"/>
        </w:rPr>
        <w:t>jordbruksoppgjeret</w:t>
      </w:r>
      <w:proofErr w:type="spellEnd"/>
      <w:r w:rsidRPr="00225D4D">
        <w:rPr>
          <w:rStyle w:val="kursiv"/>
        </w:rPr>
        <w:t xml:space="preserve"> 2024, men at </w:t>
      </w:r>
      <w:proofErr w:type="spellStart"/>
      <w:r w:rsidRPr="00225D4D">
        <w:rPr>
          <w:rStyle w:val="kursiv"/>
        </w:rPr>
        <w:t>timetalet</w:t>
      </w:r>
      <w:proofErr w:type="spellEnd"/>
      <w:r w:rsidRPr="00225D4D">
        <w:rPr>
          <w:rStyle w:val="kursiv"/>
        </w:rPr>
        <w:t xml:space="preserve"> per årsverk i jordbruket vert redusert med 50 </w:t>
      </w:r>
      <w:proofErr w:type="spellStart"/>
      <w:r w:rsidRPr="00225D4D">
        <w:rPr>
          <w:rStyle w:val="kursiv"/>
        </w:rPr>
        <w:t>timar</w:t>
      </w:r>
      <w:proofErr w:type="spellEnd"/>
      <w:r w:rsidRPr="00225D4D">
        <w:rPr>
          <w:rStyle w:val="kursiv"/>
        </w:rPr>
        <w:t xml:space="preserve"> til 1 700 </w:t>
      </w:r>
      <w:proofErr w:type="spellStart"/>
      <w:r w:rsidRPr="00225D4D">
        <w:rPr>
          <w:rStyle w:val="kursiv"/>
        </w:rPr>
        <w:t>timar</w:t>
      </w:r>
      <w:proofErr w:type="spellEnd"/>
      <w:r w:rsidRPr="00225D4D">
        <w:rPr>
          <w:rStyle w:val="kursiv"/>
        </w:rPr>
        <w:t xml:space="preserve"> i to like trinn med verknad for kalenderåra 2026 og 2027.»</w:t>
      </w:r>
    </w:p>
    <w:p w14:paraId="499446C3"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 nr. 847, 21. juni 2024, med dette er </w:t>
      </w:r>
      <w:proofErr w:type="spellStart"/>
      <w:r w:rsidRPr="00225D4D">
        <w:t>følgt</w:t>
      </w:r>
      <w:proofErr w:type="spellEnd"/>
      <w:r w:rsidRPr="00225D4D">
        <w:t xml:space="preserve"> opp.</w:t>
      </w:r>
    </w:p>
    <w:p w14:paraId="586B7656" w14:textId="77777777" w:rsidR="00D60186" w:rsidRPr="00225D4D" w:rsidRDefault="00D60186" w:rsidP="00225D4D">
      <w:pPr>
        <w:pStyle w:val="avsnitt-tittel"/>
      </w:pPr>
      <w:r w:rsidRPr="00225D4D">
        <w:t>Prisutjamningsordninga for mjølk</w:t>
      </w:r>
    </w:p>
    <w:p w14:paraId="2DA7B6BB" w14:textId="77777777" w:rsidR="00D60186" w:rsidRPr="00225D4D" w:rsidRDefault="00D60186" w:rsidP="00225D4D">
      <w:pPr>
        <w:pStyle w:val="avsnitt-undertittel"/>
      </w:pPr>
      <w:r w:rsidRPr="00225D4D">
        <w:t>Vedtak nr. 846, 21. juni 2024:</w:t>
      </w:r>
    </w:p>
    <w:p w14:paraId="1619F695" w14:textId="77777777" w:rsidR="00D60186" w:rsidRPr="00225D4D" w:rsidRDefault="00D60186" w:rsidP="00225D4D">
      <w:pPr>
        <w:pStyle w:val="blokksit"/>
        <w:rPr>
          <w:rStyle w:val="kursiv"/>
        </w:rPr>
      </w:pPr>
      <w:r w:rsidRPr="00225D4D">
        <w:rPr>
          <w:rStyle w:val="kursiv"/>
        </w:rPr>
        <w:t>«Stortinget ber regjeringen sørge for at ny markedsordning for melk har fungert minst ett år, før det vurderes å gjennomføre reduksjon av de konkurransefremmende tiltakene i prisutjevningsordningen for melk.»</w:t>
      </w:r>
    </w:p>
    <w:p w14:paraId="7D157303" w14:textId="77777777" w:rsidR="00D60186" w:rsidRPr="00225D4D" w:rsidRDefault="00D60186" w:rsidP="00225D4D">
      <w:r w:rsidRPr="00225D4D">
        <w:t xml:space="preserve">Vedtaket blei fatta ved handsaminga av </w:t>
      </w:r>
      <w:proofErr w:type="spellStart"/>
      <w:r w:rsidRPr="00225D4D">
        <w:t>Prop</w:t>
      </w:r>
      <w:proofErr w:type="spellEnd"/>
      <w:r w:rsidRPr="00225D4D">
        <w:t xml:space="preserve">. 105 S (2023–2024) </w:t>
      </w:r>
      <w:proofErr w:type="spellStart"/>
      <w:r w:rsidRPr="00225D4D">
        <w:rPr>
          <w:rStyle w:val="kursiv"/>
        </w:rPr>
        <w:t>Jordbruksoppgjeret</w:t>
      </w:r>
      <w:proofErr w:type="spellEnd"/>
      <w:r w:rsidRPr="00225D4D">
        <w:rPr>
          <w:rStyle w:val="kursiv"/>
        </w:rPr>
        <w:t xml:space="preserve"> 2024</w:t>
      </w:r>
      <w:r w:rsidRPr="00225D4D">
        <w:t xml:space="preserve">, som </w:t>
      </w:r>
      <w:proofErr w:type="spellStart"/>
      <w:r w:rsidRPr="00225D4D">
        <w:t>eit</w:t>
      </w:r>
      <w:proofErr w:type="spellEnd"/>
      <w:r w:rsidRPr="00225D4D">
        <w:t xml:space="preserve"> laust forslag til </w:t>
      </w:r>
      <w:proofErr w:type="spellStart"/>
      <w:r w:rsidRPr="00225D4D">
        <w:t>Innst</w:t>
      </w:r>
      <w:proofErr w:type="spellEnd"/>
      <w:r w:rsidRPr="00225D4D">
        <w:t>. 448 S (2023–2024).</w:t>
      </w:r>
    </w:p>
    <w:p w14:paraId="3AEA45D5" w14:textId="77777777" w:rsidR="00D60186" w:rsidRPr="00225D4D" w:rsidRDefault="00D60186" w:rsidP="00225D4D">
      <w:r w:rsidRPr="00225D4D">
        <w:t xml:space="preserve">Det blei gjort </w:t>
      </w:r>
      <w:proofErr w:type="spellStart"/>
      <w:r w:rsidRPr="00225D4D">
        <w:t>vesentlege</w:t>
      </w:r>
      <w:proofErr w:type="spellEnd"/>
      <w:r w:rsidRPr="00225D4D">
        <w:t xml:space="preserve"> </w:t>
      </w:r>
      <w:proofErr w:type="spellStart"/>
      <w:r w:rsidRPr="00225D4D">
        <w:t>endringar</w:t>
      </w:r>
      <w:proofErr w:type="spellEnd"/>
      <w:r w:rsidRPr="00225D4D">
        <w:t xml:space="preserve"> i </w:t>
      </w:r>
      <w:proofErr w:type="spellStart"/>
      <w:r w:rsidRPr="00225D4D">
        <w:t>marknadsordninga</w:t>
      </w:r>
      <w:proofErr w:type="spellEnd"/>
      <w:r w:rsidRPr="00225D4D">
        <w:t xml:space="preserve"> for mjølk </w:t>
      </w:r>
      <w:proofErr w:type="spellStart"/>
      <w:r w:rsidRPr="00225D4D">
        <w:t>frå</w:t>
      </w:r>
      <w:proofErr w:type="spellEnd"/>
      <w:r w:rsidRPr="00225D4D">
        <w:t xml:space="preserve"> 1. november i 2024, då målprismodellen blei avvikla og volummodellen for mjølk blei innført. Den 1. november i 2025 har denne modellen verka </w:t>
      </w:r>
      <w:proofErr w:type="spellStart"/>
      <w:r w:rsidRPr="00225D4D">
        <w:t>eitt</w:t>
      </w:r>
      <w:proofErr w:type="spellEnd"/>
      <w:r w:rsidRPr="00225D4D">
        <w:t xml:space="preserve"> år, og det er </w:t>
      </w:r>
      <w:proofErr w:type="spellStart"/>
      <w:r w:rsidRPr="00225D4D">
        <w:t>ikkje</w:t>
      </w:r>
      <w:proofErr w:type="spellEnd"/>
      <w:r w:rsidRPr="00225D4D">
        <w:t xml:space="preserve"> gjort </w:t>
      </w:r>
      <w:proofErr w:type="spellStart"/>
      <w:r w:rsidRPr="00225D4D">
        <w:t>endringar</w:t>
      </w:r>
      <w:proofErr w:type="spellEnd"/>
      <w:r w:rsidRPr="00225D4D">
        <w:t xml:space="preserve"> i </w:t>
      </w:r>
      <w:proofErr w:type="spellStart"/>
      <w:r w:rsidRPr="00225D4D">
        <w:t>dei</w:t>
      </w:r>
      <w:proofErr w:type="spellEnd"/>
      <w:r w:rsidRPr="00225D4D">
        <w:t xml:space="preserve"> </w:t>
      </w:r>
      <w:proofErr w:type="spellStart"/>
      <w:r w:rsidRPr="00225D4D">
        <w:t>konkurransefremjande</w:t>
      </w:r>
      <w:proofErr w:type="spellEnd"/>
      <w:r w:rsidRPr="00225D4D">
        <w:t xml:space="preserve"> tiltaka i prisutjamningsordninga for mjølk i denne perioden. Departementet </w:t>
      </w:r>
      <w:proofErr w:type="spellStart"/>
      <w:r w:rsidRPr="00225D4D">
        <w:t>legg</w:t>
      </w:r>
      <w:proofErr w:type="spellEnd"/>
      <w:r w:rsidRPr="00225D4D">
        <w:t xml:space="preserve"> med det til grunn at vedtaket er </w:t>
      </w:r>
      <w:proofErr w:type="spellStart"/>
      <w:r w:rsidRPr="00225D4D">
        <w:t>følgt</w:t>
      </w:r>
      <w:proofErr w:type="spellEnd"/>
      <w:r w:rsidRPr="00225D4D">
        <w:t xml:space="preserve"> opp.</w:t>
      </w:r>
    </w:p>
    <w:p w14:paraId="4885CD14" w14:textId="77777777" w:rsidR="00D60186" w:rsidRPr="00225D4D" w:rsidRDefault="00D60186" w:rsidP="00225D4D">
      <w:pPr>
        <w:pStyle w:val="avsnitt-tittel"/>
      </w:pPr>
      <w:r w:rsidRPr="00225D4D">
        <w:t xml:space="preserve">Gjennomgang av </w:t>
      </w:r>
      <w:proofErr w:type="spellStart"/>
      <w:r w:rsidRPr="00225D4D">
        <w:t>tilskottsystemet</w:t>
      </w:r>
      <w:proofErr w:type="spellEnd"/>
      <w:r w:rsidRPr="00225D4D">
        <w:t xml:space="preserve"> i jordbruket</w:t>
      </w:r>
    </w:p>
    <w:p w14:paraId="501943CB" w14:textId="77777777" w:rsidR="00D60186" w:rsidRPr="00225D4D" w:rsidRDefault="00D60186" w:rsidP="00225D4D">
      <w:pPr>
        <w:pStyle w:val="avsnitt-undertittel"/>
      </w:pPr>
      <w:r w:rsidRPr="00225D4D">
        <w:t>Vedtak nr. 569, 18. april 2024:</w:t>
      </w:r>
    </w:p>
    <w:p w14:paraId="744AA02E" w14:textId="77777777" w:rsidR="00D60186" w:rsidRPr="00225D4D" w:rsidRDefault="00D60186" w:rsidP="00225D4D">
      <w:pPr>
        <w:pStyle w:val="blokksit"/>
        <w:rPr>
          <w:rStyle w:val="kursiv"/>
        </w:rPr>
      </w:pPr>
      <w:r w:rsidRPr="00225D4D">
        <w:rPr>
          <w:rStyle w:val="kursiv"/>
        </w:rPr>
        <w:t>«Stortinget ber regjeringen gå gjennom tilskuddssystemet for å vurdere om overføringene til jordbruket fører til en styrking av norsk selvforsyning, og at mer jord i Norge tas i bruk til matproduksjon.»</w:t>
      </w:r>
    </w:p>
    <w:p w14:paraId="6DEFF1F4" w14:textId="77777777" w:rsidR="00D60186" w:rsidRPr="00225D4D" w:rsidRDefault="00D60186" w:rsidP="00225D4D">
      <w:r w:rsidRPr="00225D4D">
        <w:t xml:space="preserve">Vedtaket blei fatta ved handsaminga av Meld. St. 11 (2023–2024) </w:t>
      </w:r>
      <w:r w:rsidRPr="00225D4D">
        <w:rPr>
          <w:rStyle w:val="kursiv"/>
        </w:rPr>
        <w:t xml:space="preserve">Strategi for </w:t>
      </w:r>
      <w:proofErr w:type="spellStart"/>
      <w:r w:rsidRPr="00225D4D">
        <w:rPr>
          <w:rStyle w:val="kursiv"/>
        </w:rPr>
        <w:t>auka</w:t>
      </w:r>
      <w:proofErr w:type="spellEnd"/>
      <w:r w:rsidRPr="00225D4D">
        <w:rPr>
          <w:rStyle w:val="kursiv"/>
        </w:rPr>
        <w:t xml:space="preserve"> </w:t>
      </w:r>
      <w:proofErr w:type="spellStart"/>
      <w:r w:rsidRPr="00225D4D">
        <w:rPr>
          <w:rStyle w:val="kursiv"/>
        </w:rPr>
        <w:t>sjølvforsyning</w:t>
      </w:r>
      <w:proofErr w:type="spellEnd"/>
      <w:r w:rsidRPr="00225D4D">
        <w:rPr>
          <w:rStyle w:val="kursiv"/>
        </w:rPr>
        <w:t xml:space="preserve"> av jordbruksvarer og plan for opptrapping av </w:t>
      </w:r>
      <w:proofErr w:type="spellStart"/>
      <w:r w:rsidRPr="00225D4D">
        <w:rPr>
          <w:rStyle w:val="kursiv"/>
        </w:rPr>
        <w:t>inntektsmoglegheitene</w:t>
      </w:r>
      <w:proofErr w:type="spellEnd"/>
      <w:r w:rsidRPr="00225D4D">
        <w:rPr>
          <w:rStyle w:val="kursiv"/>
        </w:rPr>
        <w:t xml:space="preserve"> i jordbruket</w:t>
      </w:r>
      <w:r w:rsidRPr="00225D4D">
        <w:t xml:space="preserve">, jf. </w:t>
      </w:r>
      <w:proofErr w:type="spellStart"/>
      <w:r w:rsidRPr="00225D4D">
        <w:t>Innst</w:t>
      </w:r>
      <w:proofErr w:type="spellEnd"/>
      <w:r w:rsidRPr="00225D4D">
        <w:t>. 258 S (2023–2024).</w:t>
      </w:r>
    </w:p>
    <w:p w14:paraId="2922178D" w14:textId="77777777" w:rsidR="00D60186" w:rsidRPr="00225D4D" w:rsidRDefault="00D60186" w:rsidP="00225D4D">
      <w:r w:rsidRPr="00225D4D">
        <w:t xml:space="preserve">Dei </w:t>
      </w:r>
      <w:proofErr w:type="spellStart"/>
      <w:r w:rsidRPr="00225D4D">
        <w:t>årlege</w:t>
      </w:r>
      <w:proofErr w:type="spellEnd"/>
      <w:r w:rsidRPr="00225D4D">
        <w:t xml:space="preserve"> </w:t>
      </w:r>
      <w:proofErr w:type="spellStart"/>
      <w:r w:rsidRPr="00225D4D">
        <w:t>jordbruksoppgjera</w:t>
      </w:r>
      <w:proofErr w:type="spellEnd"/>
      <w:r w:rsidRPr="00225D4D">
        <w:t xml:space="preserve"> </w:t>
      </w:r>
      <w:proofErr w:type="spellStart"/>
      <w:r w:rsidRPr="00225D4D">
        <w:t>inneber</w:t>
      </w:r>
      <w:proofErr w:type="spellEnd"/>
      <w:r w:rsidRPr="00225D4D">
        <w:t xml:space="preserve"> </w:t>
      </w:r>
      <w:proofErr w:type="spellStart"/>
      <w:r w:rsidRPr="00225D4D">
        <w:t>ein</w:t>
      </w:r>
      <w:proofErr w:type="spellEnd"/>
      <w:r w:rsidRPr="00225D4D">
        <w:t xml:space="preserve"> gjennomgang av alle </w:t>
      </w:r>
      <w:proofErr w:type="spellStart"/>
      <w:r w:rsidRPr="00225D4D">
        <w:t>tilskottsordningane</w:t>
      </w:r>
      <w:proofErr w:type="spellEnd"/>
      <w:r w:rsidRPr="00225D4D">
        <w:t xml:space="preserve"> i jordbruket, med sikte på å </w:t>
      </w:r>
      <w:proofErr w:type="spellStart"/>
      <w:r w:rsidRPr="00225D4D">
        <w:t>styrkje</w:t>
      </w:r>
      <w:proofErr w:type="spellEnd"/>
      <w:r w:rsidRPr="00225D4D">
        <w:t xml:space="preserve"> produksjonen av norske jordbruksprodukt og jordbruk over heile landet. I </w:t>
      </w:r>
      <w:proofErr w:type="spellStart"/>
      <w:r w:rsidRPr="00225D4D">
        <w:t>Prop</w:t>
      </w:r>
      <w:proofErr w:type="spellEnd"/>
      <w:r w:rsidRPr="00225D4D">
        <w:t xml:space="preserve">. 149 S (2024–2025) </w:t>
      </w:r>
      <w:r w:rsidRPr="00225D4D">
        <w:rPr>
          <w:rStyle w:val="kursiv"/>
        </w:rPr>
        <w:t>Jordbruksoppgjøret 2025</w:t>
      </w:r>
      <w:r w:rsidRPr="00225D4D">
        <w:t xml:space="preserve">, er det ei liste over tiltak i jordbruksavtalen som </w:t>
      </w:r>
      <w:proofErr w:type="spellStart"/>
      <w:r w:rsidRPr="00225D4D">
        <w:t>særskild</w:t>
      </w:r>
      <w:proofErr w:type="spellEnd"/>
      <w:r w:rsidRPr="00225D4D">
        <w:t xml:space="preserve"> </w:t>
      </w:r>
      <w:proofErr w:type="spellStart"/>
      <w:r w:rsidRPr="00225D4D">
        <w:t>bidreg</w:t>
      </w:r>
      <w:proofErr w:type="spellEnd"/>
      <w:r w:rsidRPr="00225D4D">
        <w:t xml:space="preserve"> til </w:t>
      </w:r>
      <w:proofErr w:type="spellStart"/>
      <w:r w:rsidRPr="00225D4D">
        <w:t>auka</w:t>
      </w:r>
      <w:proofErr w:type="spellEnd"/>
      <w:r w:rsidRPr="00225D4D">
        <w:t xml:space="preserve"> </w:t>
      </w:r>
      <w:proofErr w:type="spellStart"/>
      <w:r w:rsidRPr="00225D4D">
        <w:t>sjølvforsyning</w:t>
      </w:r>
      <w:proofErr w:type="spellEnd"/>
      <w:r w:rsidRPr="00225D4D">
        <w:t xml:space="preserve">. Ei partssamansett arbeidsgruppe leverte </w:t>
      </w:r>
      <w:proofErr w:type="spellStart"/>
      <w:r w:rsidRPr="00225D4D">
        <w:t>ein</w:t>
      </w:r>
      <w:proofErr w:type="spellEnd"/>
      <w:r w:rsidRPr="00225D4D">
        <w:t xml:space="preserve"> gjennomgang av korn- og kraftfôrpolitikken 7. mars 2025. Rapporten blei </w:t>
      </w:r>
      <w:proofErr w:type="spellStart"/>
      <w:r w:rsidRPr="00225D4D">
        <w:t>følgt</w:t>
      </w:r>
      <w:proofErr w:type="spellEnd"/>
      <w:r w:rsidRPr="00225D4D">
        <w:t xml:space="preserve"> opp i </w:t>
      </w:r>
      <w:proofErr w:type="spellStart"/>
      <w:r w:rsidRPr="00225D4D">
        <w:t>jordbruksoppgjeret</w:t>
      </w:r>
      <w:proofErr w:type="spellEnd"/>
      <w:r w:rsidRPr="00225D4D">
        <w:t xml:space="preserve"> 2025. Regjeringa har nedsett </w:t>
      </w:r>
      <w:proofErr w:type="spellStart"/>
      <w:r w:rsidRPr="00225D4D">
        <w:t>eit</w:t>
      </w:r>
      <w:proofErr w:type="spellEnd"/>
      <w:r w:rsidRPr="00225D4D">
        <w:t xml:space="preserve"> </w:t>
      </w:r>
      <w:proofErr w:type="spellStart"/>
      <w:r w:rsidRPr="00225D4D">
        <w:t>offentleg</w:t>
      </w:r>
      <w:proofErr w:type="spellEnd"/>
      <w:r w:rsidRPr="00225D4D">
        <w:t xml:space="preserve"> </w:t>
      </w:r>
      <w:proofErr w:type="spellStart"/>
      <w:r w:rsidRPr="00225D4D">
        <w:t>utval</w:t>
      </w:r>
      <w:proofErr w:type="spellEnd"/>
      <w:r w:rsidRPr="00225D4D">
        <w:t xml:space="preserve"> som skal lage ei utgreiing om framtidas </w:t>
      </w:r>
      <w:proofErr w:type="spellStart"/>
      <w:r w:rsidRPr="00225D4D">
        <w:t>matsystem</w:t>
      </w:r>
      <w:proofErr w:type="spellEnd"/>
      <w:r w:rsidRPr="00225D4D">
        <w:t xml:space="preserve">. </w:t>
      </w:r>
      <w:proofErr w:type="spellStart"/>
      <w:r w:rsidRPr="00225D4D">
        <w:t>Utvalet</w:t>
      </w:r>
      <w:proofErr w:type="spellEnd"/>
      <w:r w:rsidRPr="00225D4D">
        <w:t xml:space="preserve"> skal levere sin rapport 1. november 2026.</w:t>
      </w:r>
    </w:p>
    <w:p w14:paraId="1BEE4415"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 nr. 569, 18. april 2025, med dette er </w:t>
      </w:r>
      <w:proofErr w:type="spellStart"/>
      <w:r w:rsidRPr="00225D4D">
        <w:t>følgt</w:t>
      </w:r>
      <w:proofErr w:type="spellEnd"/>
      <w:r w:rsidRPr="00225D4D">
        <w:t xml:space="preserve"> opp.</w:t>
      </w:r>
    </w:p>
    <w:p w14:paraId="1EB69486" w14:textId="77777777" w:rsidR="00D60186" w:rsidRPr="00225D4D" w:rsidRDefault="00D60186" w:rsidP="00225D4D">
      <w:pPr>
        <w:pStyle w:val="avsnitt-tittel"/>
      </w:pPr>
      <w:r w:rsidRPr="00225D4D">
        <w:t>Revidert strategi for økologisk landbruk</w:t>
      </w:r>
    </w:p>
    <w:p w14:paraId="5D6CA9AD" w14:textId="77777777" w:rsidR="00D60186" w:rsidRPr="00225D4D" w:rsidRDefault="00D60186" w:rsidP="00225D4D">
      <w:pPr>
        <w:pStyle w:val="avsnitt-undertittel"/>
      </w:pPr>
      <w:r w:rsidRPr="00225D4D">
        <w:t>Vedtak nr. 567, 18. april 2024:</w:t>
      </w:r>
    </w:p>
    <w:p w14:paraId="2CB63940" w14:textId="77777777" w:rsidR="00D60186" w:rsidRPr="00225D4D" w:rsidRDefault="00D60186" w:rsidP="00225D4D">
      <w:pPr>
        <w:pStyle w:val="blokksit"/>
        <w:rPr>
          <w:rStyle w:val="kursiv"/>
        </w:rPr>
      </w:pPr>
      <w:r w:rsidRPr="00225D4D">
        <w:rPr>
          <w:rStyle w:val="kursiv"/>
        </w:rPr>
        <w:t>«Stortinget ber regjeringen revidere strategien for økologisk landbruk i 2024.»</w:t>
      </w:r>
    </w:p>
    <w:p w14:paraId="65BF1933" w14:textId="77777777" w:rsidR="00D60186" w:rsidRPr="00225D4D" w:rsidRDefault="00D60186" w:rsidP="00225D4D">
      <w:r w:rsidRPr="00225D4D">
        <w:t xml:space="preserve">Vedtaket blei fatta ved handsaminga av Meld. St. 11 (2023–2024) </w:t>
      </w:r>
      <w:r w:rsidRPr="00225D4D">
        <w:rPr>
          <w:rStyle w:val="kursiv"/>
        </w:rPr>
        <w:t xml:space="preserve">Strategi for </w:t>
      </w:r>
      <w:proofErr w:type="spellStart"/>
      <w:r w:rsidRPr="00225D4D">
        <w:rPr>
          <w:rStyle w:val="kursiv"/>
        </w:rPr>
        <w:t>auka</w:t>
      </w:r>
      <w:proofErr w:type="spellEnd"/>
      <w:r w:rsidRPr="00225D4D">
        <w:rPr>
          <w:rStyle w:val="kursiv"/>
        </w:rPr>
        <w:t xml:space="preserve"> </w:t>
      </w:r>
      <w:proofErr w:type="spellStart"/>
      <w:r w:rsidRPr="00225D4D">
        <w:rPr>
          <w:rStyle w:val="kursiv"/>
        </w:rPr>
        <w:t>sjølvforsyning</w:t>
      </w:r>
      <w:proofErr w:type="spellEnd"/>
      <w:r w:rsidRPr="00225D4D">
        <w:rPr>
          <w:rStyle w:val="kursiv"/>
        </w:rPr>
        <w:t xml:space="preserve"> av jordbruksvarer og plan for opptrapping av </w:t>
      </w:r>
      <w:proofErr w:type="spellStart"/>
      <w:r w:rsidRPr="00225D4D">
        <w:rPr>
          <w:rStyle w:val="kursiv"/>
        </w:rPr>
        <w:t>inntektsmoglegheitene</w:t>
      </w:r>
      <w:proofErr w:type="spellEnd"/>
      <w:r w:rsidRPr="00225D4D">
        <w:rPr>
          <w:rStyle w:val="kursiv"/>
        </w:rPr>
        <w:t xml:space="preserve"> i jordbruket</w:t>
      </w:r>
      <w:r w:rsidRPr="00225D4D">
        <w:t xml:space="preserve">, jf. </w:t>
      </w:r>
      <w:proofErr w:type="spellStart"/>
      <w:r w:rsidRPr="00225D4D">
        <w:t>Innst</w:t>
      </w:r>
      <w:proofErr w:type="spellEnd"/>
      <w:r w:rsidRPr="00225D4D">
        <w:t>. 258 S (2023–2024).</w:t>
      </w:r>
    </w:p>
    <w:p w14:paraId="6F36A845" w14:textId="77777777" w:rsidR="00D60186" w:rsidRPr="00225D4D" w:rsidRDefault="00D60186" w:rsidP="00225D4D">
      <w:r w:rsidRPr="00225D4D">
        <w:t xml:space="preserve">Regjeringa la våren 2025 fram strategien </w:t>
      </w:r>
      <w:r w:rsidRPr="00225D4D">
        <w:rPr>
          <w:rStyle w:val="kursiv"/>
        </w:rPr>
        <w:t>Fra økologisk jord til middagsbord. Nasjonal strategi for økologisk jordbruk 2025–2032</w:t>
      </w:r>
      <w:r w:rsidRPr="00225D4D">
        <w:t xml:space="preserve">. Dette dokumentet </w:t>
      </w:r>
      <w:proofErr w:type="spellStart"/>
      <w:r w:rsidRPr="00225D4D">
        <w:t>erstattar</w:t>
      </w:r>
      <w:proofErr w:type="spellEnd"/>
      <w:r w:rsidRPr="00225D4D">
        <w:t xml:space="preserve"> strategien om økologisk jordbruk </w:t>
      </w:r>
      <w:proofErr w:type="spellStart"/>
      <w:r w:rsidRPr="00225D4D">
        <w:t>frå</w:t>
      </w:r>
      <w:proofErr w:type="spellEnd"/>
      <w:r w:rsidRPr="00225D4D">
        <w:t xml:space="preserve"> 2018, og er den </w:t>
      </w:r>
      <w:proofErr w:type="spellStart"/>
      <w:r w:rsidRPr="00225D4D">
        <w:t>gjeldande</w:t>
      </w:r>
      <w:proofErr w:type="spellEnd"/>
      <w:r w:rsidRPr="00225D4D">
        <w:t xml:space="preserve"> nasjonale strategien for økologisk jordbruk fram til 2032. Departementet </w:t>
      </w:r>
      <w:proofErr w:type="spellStart"/>
      <w:r w:rsidRPr="00225D4D">
        <w:t>legg</w:t>
      </w:r>
      <w:proofErr w:type="spellEnd"/>
      <w:r w:rsidRPr="00225D4D">
        <w:t xml:space="preserve"> til grunn at vedtak nr. 567, 18. april 2024, med dette er </w:t>
      </w:r>
      <w:proofErr w:type="spellStart"/>
      <w:r w:rsidRPr="00225D4D">
        <w:t>følgt</w:t>
      </w:r>
      <w:proofErr w:type="spellEnd"/>
      <w:r w:rsidRPr="00225D4D">
        <w:t xml:space="preserve"> opp.</w:t>
      </w:r>
    </w:p>
    <w:p w14:paraId="1EE24ABE" w14:textId="77777777" w:rsidR="00D60186" w:rsidRPr="00225D4D" w:rsidRDefault="00D60186" w:rsidP="00225D4D">
      <w:pPr>
        <w:pStyle w:val="avsnitt-tittel"/>
      </w:pPr>
      <w:r w:rsidRPr="00225D4D">
        <w:t xml:space="preserve">Plan for </w:t>
      </w:r>
      <w:proofErr w:type="spellStart"/>
      <w:r w:rsidRPr="00225D4D">
        <w:t>meir</w:t>
      </w:r>
      <w:proofErr w:type="spellEnd"/>
      <w:r w:rsidRPr="00225D4D">
        <w:t xml:space="preserve"> plantebasert mat</w:t>
      </w:r>
    </w:p>
    <w:p w14:paraId="6A5A0F3F" w14:textId="77777777" w:rsidR="00D60186" w:rsidRPr="00225D4D" w:rsidRDefault="00D60186" w:rsidP="00225D4D">
      <w:pPr>
        <w:pStyle w:val="avsnitt-undertittel"/>
      </w:pPr>
      <w:r w:rsidRPr="00225D4D">
        <w:t>Vedtak nr. 566, 18. april 2024:</w:t>
      </w:r>
    </w:p>
    <w:p w14:paraId="1C07D4E2" w14:textId="77777777" w:rsidR="00D60186" w:rsidRPr="00225D4D" w:rsidRDefault="00D60186" w:rsidP="00225D4D">
      <w:pPr>
        <w:pStyle w:val="blokksit"/>
        <w:rPr>
          <w:rStyle w:val="kursiv"/>
        </w:rPr>
      </w:pPr>
      <w:r w:rsidRPr="00225D4D">
        <w:rPr>
          <w:rStyle w:val="kursiv"/>
        </w:rPr>
        <w:t>«Stortinget ber regjeringen komme tilbake til Stortinget våren 2025 med en plan for mer plantebasert mat, hvor målet er at den samlede norske plantebaserte produksjonen skal styrkes og sammenhengen mellom de ulike leddene i verdikjeden skal økes.»</w:t>
      </w:r>
    </w:p>
    <w:p w14:paraId="737E9247" w14:textId="77777777" w:rsidR="00D60186" w:rsidRPr="00225D4D" w:rsidRDefault="00D60186" w:rsidP="00225D4D">
      <w:r w:rsidRPr="00225D4D">
        <w:t xml:space="preserve">Vedtaket blei fatta ved handsaminga av Meld. St. 11 (2023–2024) </w:t>
      </w:r>
      <w:r w:rsidRPr="00225D4D">
        <w:rPr>
          <w:rStyle w:val="kursiv"/>
        </w:rPr>
        <w:t xml:space="preserve">Strategi for </w:t>
      </w:r>
      <w:proofErr w:type="spellStart"/>
      <w:r w:rsidRPr="00225D4D">
        <w:rPr>
          <w:rStyle w:val="kursiv"/>
        </w:rPr>
        <w:t>auka</w:t>
      </w:r>
      <w:proofErr w:type="spellEnd"/>
      <w:r w:rsidRPr="00225D4D">
        <w:rPr>
          <w:rStyle w:val="kursiv"/>
        </w:rPr>
        <w:t xml:space="preserve"> </w:t>
      </w:r>
      <w:proofErr w:type="spellStart"/>
      <w:r w:rsidRPr="00225D4D">
        <w:rPr>
          <w:rStyle w:val="kursiv"/>
        </w:rPr>
        <w:t>sjølvforsyning</w:t>
      </w:r>
      <w:proofErr w:type="spellEnd"/>
      <w:r w:rsidRPr="00225D4D">
        <w:rPr>
          <w:rStyle w:val="kursiv"/>
        </w:rPr>
        <w:t xml:space="preserve"> av jordbruksvarer og plan for opptrapping av </w:t>
      </w:r>
      <w:proofErr w:type="spellStart"/>
      <w:r w:rsidRPr="00225D4D">
        <w:rPr>
          <w:rStyle w:val="kursiv"/>
        </w:rPr>
        <w:t>inntektsmoglegheitene</w:t>
      </w:r>
      <w:proofErr w:type="spellEnd"/>
      <w:r w:rsidRPr="00225D4D">
        <w:rPr>
          <w:rStyle w:val="kursiv"/>
        </w:rPr>
        <w:t xml:space="preserve"> i jordbruket</w:t>
      </w:r>
      <w:r w:rsidRPr="00225D4D">
        <w:t xml:space="preserve">, jf. </w:t>
      </w:r>
      <w:proofErr w:type="spellStart"/>
      <w:r w:rsidRPr="00225D4D">
        <w:t>Innst</w:t>
      </w:r>
      <w:proofErr w:type="spellEnd"/>
      <w:r w:rsidRPr="00225D4D">
        <w:t>. 258 S (2023–2024).</w:t>
      </w:r>
    </w:p>
    <w:p w14:paraId="59BEA620" w14:textId="77777777" w:rsidR="00D60186" w:rsidRPr="00225D4D" w:rsidRDefault="00D60186" w:rsidP="00225D4D">
      <w:r w:rsidRPr="00225D4D">
        <w:t xml:space="preserve">I tråd med Meld. St. 11 (2023–2024), skal alle tiltak i jordbrukspolitikken framover </w:t>
      </w:r>
      <w:proofErr w:type="spellStart"/>
      <w:r w:rsidRPr="00225D4D">
        <w:t>vurderast</w:t>
      </w:r>
      <w:proofErr w:type="spellEnd"/>
      <w:r w:rsidRPr="00225D4D">
        <w:t xml:space="preserve"> opp mot korleis </w:t>
      </w:r>
      <w:proofErr w:type="spellStart"/>
      <w:r w:rsidRPr="00225D4D">
        <w:t>dei</w:t>
      </w:r>
      <w:proofErr w:type="spellEnd"/>
      <w:r w:rsidRPr="00225D4D">
        <w:t xml:space="preserve"> påverkar målet om </w:t>
      </w:r>
      <w:proofErr w:type="spellStart"/>
      <w:r w:rsidRPr="00225D4D">
        <w:t>auka</w:t>
      </w:r>
      <w:proofErr w:type="spellEnd"/>
      <w:r w:rsidRPr="00225D4D">
        <w:t xml:space="preserve"> </w:t>
      </w:r>
      <w:proofErr w:type="spellStart"/>
      <w:r w:rsidRPr="00225D4D">
        <w:t>sjølvforsyning</w:t>
      </w:r>
      <w:proofErr w:type="spellEnd"/>
      <w:r w:rsidRPr="00225D4D">
        <w:t xml:space="preserve">. I </w:t>
      </w:r>
      <w:proofErr w:type="spellStart"/>
      <w:r w:rsidRPr="00225D4D">
        <w:t>Prop</w:t>
      </w:r>
      <w:proofErr w:type="spellEnd"/>
      <w:r w:rsidRPr="00225D4D">
        <w:t xml:space="preserve">. 149 S (2024–2025) </w:t>
      </w:r>
      <w:r w:rsidRPr="00225D4D">
        <w:rPr>
          <w:rStyle w:val="kursiv"/>
        </w:rPr>
        <w:t>Jordbruksoppgjøret 2025</w:t>
      </w:r>
      <w:r w:rsidRPr="00225D4D">
        <w:t xml:space="preserve">, er det ei liste over tiltak i jordbruksavtalen som særskilt </w:t>
      </w:r>
      <w:proofErr w:type="spellStart"/>
      <w:r w:rsidRPr="00225D4D">
        <w:t>bidreg</w:t>
      </w:r>
      <w:proofErr w:type="spellEnd"/>
      <w:r w:rsidRPr="00225D4D">
        <w:t xml:space="preserve"> til </w:t>
      </w:r>
      <w:proofErr w:type="spellStart"/>
      <w:r w:rsidRPr="00225D4D">
        <w:t>auka</w:t>
      </w:r>
      <w:proofErr w:type="spellEnd"/>
      <w:r w:rsidRPr="00225D4D">
        <w:t xml:space="preserve"> </w:t>
      </w:r>
      <w:proofErr w:type="spellStart"/>
      <w:r w:rsidRPr="00225D4D">
        <w:t>sjølvforsyning</w:t>
      </w:r>
      <w:proofErr w:type="spellEnd"/>
      <w:r w:rsidRPr="00225D4D">
        <w:t xml:space="preserve">. Dette blir </w:t>
      </w:r>
      <w:proofErr w:type="spellStart"/>
      <w:r w:rsidRPr="00225D4D">
        <w:t>følgt</w:t>
      </w:r>
      <w:proofErr w:type="spellEnd"/>
      <w:r w:rsidRPr="00225D4D">
        <w:t xml:space="preserve"> opp mellom anna i </w:t>
      </w:r>
      <w:proofErr w:type="spellStart"/>
      <w:r w:rsidRPr="00225D4D">
        <w:t>dei</w:t>
      </w:r>
      <w:proofErr w:type="spellEnd"/>
      <w:r w:rsidRPr="00225D4D">
        <w:t xml:space="preserve"> </w:t>
      </w:r>
      <w:proofErr w:type="spellStart"/>
      <w:r w:rsidRPr="00225D4D">
        <w:t>årlege</w:t>
      </w:r>
      <w:proofErr w:type="spellEnd"/>
      <w:r w:rsidRPr="00225D4D">
        <w:t xml:space="preserve"> </w:t>
      </w:r>
      <w:proofErr w:type="spellStart"/>
      <w:r w:rsidRPr="00225D4D">
        <w:t>jordbruksoppgjera</w:t>
      </w:r>
      <w:proofErr w:type="spellEnd"/>
      <w:r w:rsidRPr="00225D4D">
        <w:t xml:space="preserve">. I </w:t>
      </w:r>
      <w:proofErr w:type="spellStart"/>
      <w:r w:rsidRPr="00225D4D">
        <w:t>jordbruksoppgjera</w:t>
      </w:r>
      <w:proofErr w:type="spellEnd"/>
      <w:r w:rsidRPr="00225D4D">
        <w:t xml:space="preserve"> i 2024 og 2025 har </w:t>
      </w:r>
      <w:proofErr w:type="spellStart"/>
      <w:r w:rsidRPr="00225D4D">
        <w:t>partane</w:t>
      </w:r>
      <w:proofErr w:type="spellEnd"/>
      <w:r w:rsidRPr="00225D4D">
        <w:t xml:space="preserve"> blitt samde om å </w:t>
      </w:r>
      <w:proofErr w:type="spellStart"/>
      <w:r w:rsidRPr="00225D4D">
        <w:t>auke</w:t>
      </w:r>
      <w:proofErr w:type="spellEnd"/>
      <w:r w:rsidRPr="00225D4D">
        <w:t xml:space="preserve"> </w:t>
      </w:r>
      <w:proofErr w:type="spellStart"/>
      <w:r w:rsidRPr="00225D4D">
        <w:t>tilkotta</w:t>
      </w:r>
      <w:proofErr w:type="spellEnd"/>
      <w:r w:rsidRPr="00225D4D">
        <w:t xml:space="preserve"> til produksjon av plantebasert mat substansielt. Regjeringa har nedsett </w:t>
      </w:r>
      <w:proofErr w:type="spellStart"/>
      <w:r w:rsidRPr="00225D4D">
        <w:t>eit</w:t>
      </w:r>
      <w:proofErr w:type="spellEnd"/>
      <w:r w:rsidRPr="00225D4D">
        <w:t xml:space="preserve"> </w:t>
      </w:r>
      <w:proofErr w:type="spellStart"/>
      <w:r w:rsidRPr="00225D4D">
        <w:t>offentleg</w:t>
      </w:r>
      <w:proofErr w:type="spellEnd"/>
      <w:r w:rsidRPr="00225D4D">
        <w:t xml:space="preserve"> </w:t>
      </w:r>
      <w:proofErr w:type="spellStart"/>
      <w:r w:rsidRPr="00225D4D">
        <w:t>utval</w:t>
      </w:r>
      <w:proofErr w:type="spellEnd"/>
      <w:r w:rsidRPr="00225D4D">
        <w:t xml:space="preserve"> som skal lage ei utgreiing om framtidas </w:t>
      </w:r>
      <w:proofErr w:type="spellStart"/>
      <w:r w:rsidRPr="00225D4D">
        <w:t>matsystem</w:t>
      </w:r>
      <w:proofErr w:type="spellEnd"/>
      <w:r w:rsidRPr="00225D4D">
        <w:t xml:space="preserve">. </w:t>
      </w:r>
      <w:proofErr w:type="spellStart"/>
      <w:r w:rsidRPr="00225D4D">
        <w:t>Utvalet</w:t>
      </w:r>
      <w:proofErr w:type="spellEnd"/>
      <w:r w:rsidRPr="00225D4D">
        <w:t xml:space="preserve"> skal levere sin rapport 1. november 2026.</w:t>
      </w:r>
    </w:p>
    <w:p w14:paraId="01F80F0B" w14:textId="77777777" w:rsidR="00D60186" w:rsidRPr="00225D4D" w:rsidRDefault="00D60186" w:rsidP="00225D4D">
      <w:r w:rsidRPr="00225D4D">
        <w:t xml:space="preserve">Departementet </w:t>
      </w:r>
      <w:proofErr w:type="spellStart"/>
      <w:r w:rsidRPr="00225D4D">
        <w:t>legg</w:t>
      </w:r>
      <w:proofErr w:type="spellEnd"/>
      <w:r w:rsidRPr="00225D4D">
        <w:t xml:space="preserve"> til grunn at vedtak nr. 566, 18. april 2025, med dette er </w:t>
      </w:r>
      <w:proofErr w:type="spellStart"/>
      <w:r w:rsidRPr="00225D4D">
        <w:t>følgt</w:t>
      </w:r>
      <w:proofErr w:type="spellEnd"/>
      <w:r w:rsidRPr="00225D4D">
        <w:t xml:space="preserve"> opp.</w:t>
      </w:r>
    </w:p>
    <w:p w14:paraId="2465BE50" w14:textId="77777777" w:rsidR="00D60186" w:rsidRPr="00225D4D" w:rsidRDefault="00D60186" w:rsidP="00225D4D">
      <w:pPr>
        <w:pStyle w:val="Overskrift2"/>
      </w:pPr>
      <w:r w:rsidRPr="00225D4D">
        <w:t>Oppmodings- og utgreiingsvedtak i stortingssesjonen 2022–2023</w:t>
      </w:r>
    </w:p>
    <w:p w14:paraId="6E42C812" w14:textId="77777777" w:rsidR="00D60186" w:rsidRPr="00225D4D" w:rsidRDefault="00D60186" w:rsidP="00225D4D">
      <w:pPr>
        <w:pStyle w:val="avsnitt-tittel"/>
      </w:pPr>
      <w:proofErr w:type="spellStart"/>
      <w:r w:rsidRPr="00225D4D">
        <w:t>Strengare</w:t>
      </w:r>
      <w:proofErr w:type="spellEnd"/>
      <w:r w:rsidRPr="00225D4D">
        <w:t xml:space="preserve"> straff for </w:t>
      </w:r>
      <w:proofErr w:type="spellStart"/>
      <w:r w:rsidRPr="00225D4D">
        <w:t>alvorleg</w:t>
      </w:r>
      <w:proofErr w:type="spellEnd"/>
      <w:r w:rsidRPr="00225D4D">
        <w:t xml:space="preserve"> dyrekriminalitet</w:t>
      </w:r>
    </w:p>
    <w:p w14:paraId="1302568C" w14:textId="77777777" w:rsidR="00D60186" w:rsidRPr="00225D4D" w:rsidRDefault="00D60186" w:rsidP="00225D4D">
      <w:pPr>
        <w:pStyle w:val="avsnitt-undertittel"/>
      </w:pPr>
      <w:r w:rsidRPr="00225D4D">
        <w:t>Vedtak nr. 702, 25 mai 2023:</w:t>
      </w:r>
    </w:p>
    <w:p w14:paraId="5BBF0403" w14:textId="77777777" w:rsidR="00D60186" w:rsidRPr="00225D4D" w:rsidRDefault="00D60186" w:rsidP="00225D4D">
      <w:pPr>
        <w:pStyle w:val="blokksit"/>
        <w:rPr>
          <w:rStyle w:val="kursiv"/>
        </w:rPr>
      </w:pPr>
      <w:r w:rsidRPr="00225D4D">
        <w:rPr>
          <w:rStyle w:val="kursiv"/>
        </w:rPr>
        <w:t>«Stortinget ber regjeringen sikre at Mattilsynet i større grad anmelder alvorlige brudd på dyrevelferdsloven.»</w:t>
      </w:r>
    </w:p>
    <w:p w14:paraId="4A09C80C" w14:textId="77777777" w:rsidR="00D60186" w:rsidRPr="00225D4D" w:rsidRDefault="00D60186" w:rsidP="00225D4D">
      <w:r w:rsidRPr="00225D4D">
        <w:t xml:space="preserve">Vedtaket blei fatta ved handsaminga av Dokument 8:219 S (2022–2023), jf. </w:t>
      </w:r>
      <w:proofErr w:type="spellStart"/>
      <w:r w:rsidRPr="00225D4D">
        <w:t>Innst</w:t>
      </w:r>
      <w:proofErr w:type="spellEnd"/>
      <w:r w:rsidRPr="00225D4D">
        <w:t xml:space="preserve">. 369 S (2022–2023), som </w:t>
      </w:r>
      <w:proofErr w:type="spellStart"/>
      <w:r w:rsidRPr="00225D4D">
        <w:t>omhandlar</w:t>
      </w:r>
      <w:proofErr w:type="spellEnd"/>
      <w:r w:rsidRPr="00225D4D">
        <w:t xml:space="preserve"> representantforslag om </w:t>
      </w:r>
      <w:proofErr w:type="spellStart"/>
      <w:r w:rsidRPr="00225D4D">
        <w:t>strengare</w:t>
      </w:r>
      <w:proofErr w:type="spellEnd"/>
      <w:r w:rsidRPr="00225D4D">
        <w:t xml:space="preserve"> straff for </w:t>
      </w:r>
      <w:proofErr w:type="spellStart"/>
      <w:r w:rsidRPr="00225D4D">
        <w:t>alvorleg</w:t>
      </w:r>
      <w:proofErr w:type="spellEnd"/>
      <w:r w:rsidRPr="00225D4D">
        <w:t xml:space="preserve"> dyrekriminalitet.</w:t>
      </w:r>
    </w:p>
    <w:p w14:paraId="744C4FD8" w14:textId="77777777" w:rsidR="00D60186" w:rsidRPr="00225D4D" w:rsidRDefault="00D60186" w:rsidP="00225D4D">
      <w:r w:rsidRPr="00225D4D">
        <w:t xml:space="preserve">Mattilsynet har styrkt arbeidet med dyrevelferdskriminalitet og har utarbeidd </w:t>
      </w:r>
      <w:proofErr w:type="spellStart"/>
      <w:r w:rsidRPr="00225D4D">
        <w:t>retningsliner</w:t>
      </w:r>
      <w:proofErr w:type="spellEnd"/>
      <w:r w:rsidRPr="00225D4D">
        <w:t xml:space="preserve"> for samarbeid mellom politiet og Mattilsynet. Tal på </w:t>
      </w:r>
      <w:proofErr w:type="spellStart"/>
      <w:r w:rsidRPr="00225D4D">
        <w:t>meldingar</w:t>
      </w:r>
      <w:proofErr w:type="spellEnd"/>
      <w:r w:rsidRPr="00225D4D">
        <w:t xml:space="preserve"> til politiet har </w:t>
      </w:r>
      <w:proofErr w:type="spellStart"/>
      <w:r w:rsidRPr="00225D4D">
        <w:t>auka</w:t>
      </w:r>
      <w:proofErr w:type="spellEnd"/>
      <w:r w:rsidRPr="00225D4D">
        <w:t xml:space="preserve"> </w:t>
      </w:r>
      <w:proofErr w:type="spellStart"/>
      <w:r w:rsidRPr="00225D4D">
        <w:t>dei</w:t>
      </w:r>
      <w:proofErr w:type="spellEnd"/>
      <w:r w:rsidRPr="00225D4D">
        <w:t xml:space="preserve"> siste åra, og dette vil bli </w:t>
      </w:r>
      <w:proofErr w:type="spellStart"/>
      <w:r w:rsidRPr="00225D4D">
        <w:t>følgt</w:t>
      </w:r>
      <w:proofErr w:type="spellEnd"/>
      <w:r w:rsidRPr="00225D4D">
        <w:t xml:space="preserve"> opp </w:t>
      </w:r>
      <w:proofErr w:type="spellStart"/>
      <w:r w:rsidRPr="00225D4D">
        <w:t>vidare</w:t>
      </w:r>
      <w:proofErr w:type="spellEnd"/>
      <w:r w:rsidRPr="00225D4D">
        <w:t xml:space="preserve"> framover. Temaet er òg omtalt i dyrevelferdsmeldinga som er handsama i Stortinget. Departementet </w:t>
      </w:r>
      <w:proofErr w:type="spellStart"/>
      <w:r w:rsidRPr="00225D4D">
        <w:t>legg</w:t>
      </w:r>
      <w:proofErr w:type="spellEnd"/>
      <w:r w:rsidRPr="00225D4D">
        <w:t xml:space="preserve"> til grunn at vedtak nr. 702, 25. mai 2023, med dette er </w:t>
      </w:r>
      <w:proofErr w:type="spellStart"/>
      <w:r w:rsidRPr="00225D4D">
        <w:t>følgt</w:t>
      </w:r>
      <w:proofErr w:type="spellEnd"/>
      <w:r w:rsidRPr="00225D4D">
        <w:t xml:space="preserve"> opp.</w:t>
      </w:r>
    </w:p>
    <w:p w14:paraId="2EA0095B" w14:textId="77777777" w:rsidR="00D60186" w:rsidRPr="00225D4D" w:rsidRDefault="00D60186" w:rsidP="00225D4D">
      <w:pPr>
        <w:pStyle w:val="avsnitt-tittel"/>
      </w:pPr>
      <w:proofErr w:type="spellStart"/>
      <w:r w:rsidRPr="00225D4D">
        <w:t>Strengare</w:t>
      </w:r>
      <w:proofErr w:type="spellEnd"/>
      <w:r w:rsidRPr="00225D4D">
        <w:t xml:space="preserve"> straff for </w:t>
      </w:r>
      <w:proofErr w:type="spellStart"/>
      <w:r w:rsidRPr="00225D4D">
        <w:t>alvorleg</w:t>
      </w:r>
      <w:proofErr w:type="spellEnd"/>
      <w:r w:rsidRPr="00225D4D">
        <w:t xml:space="preserve"> dyrekriminalitet</w:t>
      </w:r>
    </w:p>
    <w:p w14:paraId="4C93B383" w14:textId="77777777" w:rsidR="00D60186" w:rsidRPr="00225D4D" w:rsidRDefault="00D60186" w:rsidP="00225D4D">
      <w:pPr>
        <w:pStyle w:val="avsnitt-undertittel"/>
      </w:pPr>
      <w:r w:rsidRPr="00225D4D">
        <w:t>Vedtak nr. 701, 25 mai 2023:</w:t>
      </w:r>
    </w:p>
    <w:p w14:paraId="595A7F0E" w14:textId="77777777" w:rsidR="00D60186" w:rsidRPr="00225D4D" w:rsidRDefault="00D60186" w:rsidP="00225D4D">
      <w:pPr>
        <w:pStyle w:val="blokksit"/>
        <w:rPr>
          <w:rStyle w:val="kursiv"/>
        </w:rPr>
      </w:pPr>
      <w:r w:rsidRPr="00225D4D">
        <w:rPr>
          <w:rStyle w:val="kursiv"/>
        </w:rPr>
        <w:t>«Stortinget ber regjeringen sikre at dyreeiere som ikke etterkommer pålegg fra Mattilsynet etter alvorlige og gjentatte brudd på dyrevelferdsloven, lettere fratas retten til å drive med husdyrhold.»</w:t>
      </w:r>
    </w:p>
    <w:p w14:paraId="7FC92D73" w14:textId="77777777" w:rsidR="00D60186" w:rsidRPr="00225D4D" w:rsidRDefault="00D60186" w:rsidP="00225D4D">
      <w:r w:rsidRPr="00225D4D">
        <w:t xml:space="preserve">Vedtaket blei fatta ved handsaminga av Dokument 8:219 S (2022–2023), jf. </w:t>
      </w:r>
      <w:proofErr w:type="spellStart"/>
      <w:r w:rsidRPr="00225D4D">
        <w:t>Innst</w:t>
      </w:r>
      <w:proofErr w:type="spellEnd"/>
      <w:r w:rsidRPr="00225D4D">
        <w:t xml:space="preserve">. 369 S (2022–2023), som </w:t>
      </w:r>
      <w:proofErr w:type="spellStart"/>
      <w:r w:rsidRPr="00225D4D">
        <w:t>omhandlar</w:t>
      </w:r>
      <w:proofErr w:type="spellEnd"/>
      <w:r w:rsidRPr="00225D4D">
        <w:t xml:space="preserve"> representantforslag om </w:t>
      </w:r>
      <w:proofErr w:type="spellStart"/>
      <w:r w:rsidRPr="00225D4D">
        <w:t>strengare</w:t>
      </w:r>
      <w:proofErr w:type="spellEnd"/>
      <w:r w:rsidRPr="00225D4D">
        <w:t xml:space="preserve"> straff for </w:t>
      </w:r>
      <w:proofErr w:type="spellStart"/>
      <w:r w:rsidRPr="00225D4D">
        <w:t>alvorleg</w:t>
      </w:r>
      <w:proofErr w:type="spellEnd"/>
      <w:r w:rsidRPr="00225D4D">
        <w:t xml:space="preserve"> dyrekriminalitet.</w:t>
      </w:r>
    </w:p>
    <w:p w14:paraId="63E18E29" w14:textId="77777777" w:rsidR="00D60186" w:rsidRPr="00225D4D" w:rsidRDefault="00D60186" w:rsidP="00225D4D">
      <w:r w:rsidRPr="00225D4D">
        <w:t xml:space="preserve">Oppfølging av kronisk </w:t>
      </w:r>
      <w:proofErr w:type="spellStart"/>
      <w:r w:rsidRPr="00225D4D">
        <w:t>dårlege</w:t>
      </w:r>
      <w:proofErr w:type="spellEnd"/>
      <w:r w:rsidRPr="00225D4D">
        <w:t xml:space="preserve"> </w:t>
      </w:r>
      <w:proofErr w:type="spellStart"/>
      <w:r w:rsidRPr="00225D4D">
        <w:t>dyrehald</w:t>
      </w:r>
      <w:proofErr w:type="spellEnd"/>
      <w:r w:rsidRPr="00225D4D">
        <w:t xml:space="preserve"> har </w:t>
      </w:r>
      <w:proofErr w:type="spellStart"/>
      <w:r w:rsidRPr="00225D4D">
        <w:t>vore</w:t>
      </w:r>
      <w:proofErr w:type="spellEnd"/>
      <w:r w:rsidRPr="00225D4D">
        <w:t xml:space="preserve"> </w:t>
      </w:r>
      <w:proofErr w:type="spellStart"/>
      <w:r w:rsidRPr="00225D4D">
        <w:t>eit</w:t>
      </w:r>
      <w:proofErr w:type="spellEnd"/>
      <w:r w:rsidRPr="00225D4D">
        <w:t xml:space="preserve"> prioritert område for Mattilsynet </w:t>
      </w:r>
      <w:proofErr w:type="spellStart"/>
      <w:r w:rsidRPr="00225D4D">
        <w:t>dei</w:t>
      </w:r>
      <w:proofErr w:type="spellEnd"/>
      <w:r w:rsidRPr="00225D4D">
        <w:t xml:space="preserve"> siste åra, og </w:t>
      </w:r>
      <w:proofErr w:type="spellStart"/>
      <w:r w:rsidRPr="00225D4D">
        <w:t>retningsliner</w:t>
      </w:r>
      <w:proofErr w:type="spellEnd"/>
      <w:r w:rsidRPr="00225D4D">
        <w:t xml:space="preserve"> for oppfølging av </w:t>
      </w:r>
      <w:proofErr w:type="spellStart"/>
      <w:r w:rsidRPr="00225D4D">
        <w:t>desse</w:t>
      </w:r>
      <w:proofErr w:type="spellEnd"/>
      <w:r w:rsidRPr="00225D4D">
        <w:t xml:space="preserve"> </w:t>
      </w:r>
      <w:proofErr w:type="spellStart"/>
      <w:r w:rsidRPr="00225D4D">
        <w:t>dyrehalda</w:t>
      </w:r>
      <w:proofErr w:type="spellEnd"/>
      <w:r w:rsidRPr="00225D4D">
        <w:t xml:space="preserve"> er reviderte. Departementet har </w:t>
      </w:r>
      <w:proofErr w:type="spellStart"/>
      <w:r w:rsidRPr="00225D4D">
        <w:t>motteke</w:t>
      </w:r>
      <w:proofErr w:type="spellEnd"/>
      <w:r w:rsidRPr="00225D4D">
        <w:t xml:space="preserve"> </w:t>
      </w:r>
      <w:proofErr w:type="spellStart"/>
      <w:r w:rsidRPr="00225D4D">
        <w:t>fleire</w:t>
      </w:r>
      <w:proofErr w:type="spellEnd"/>
      <w:r w:rsidRPr="00225D4D">
        <w:t xml:space="preserve"> </w:t>
      </w:r>
      <w:proofErr w:type="spellStart"/>
      <w:r w:rsidRPr="00225D4D">
        <w:t>innspel</w:t>
      </w:r>
      <w:proofErr w:type="spellEnd"/>
      <w:r w:rsidRPr="00225D4D">
        <w:t xml:space="preserve"> om tilsynet sin verkemiddelbruk, og temaet er omtalt i Meld. St. 8 (2024–2025) </w:t>
      </w:r>
      <w:r w:rsidRPr="00225D4D">
        <w:rPr>
          <w:rStyle w:val="kursiv"/>
        </w:rPr>
        <w:t>Dyrevelferd</w:t>
      </w:r>
      <w:r w:rsidRPr="00225D4D">
        <w:t xml:space="preserve"> som er handsama i Stortinget. Departementet </w:t>
      </w:r>
      <w:proofErr w:type="spellStart"/>
      <w:r w:rsidRPr="00225D4D">
        <w:t>reknar</w:t>
      </w:r>
      <w:proofErr w:type="spellEnd"/>
      <w:r w:rsidRPr="00225D4D">
        <w:t xml:space="preserve"> rapporteringa på dette </w:t>
      </w:r>
      <w:proofErr w:type="spellStart"/>
      <w:r w:rsidRPr="00225D4D">
        <w:t>oppmodningsvedtaket</w:t>
      </w:r>
      <w:proofErr w:type="spellEnd"/>
      <w:r w:rsidRPr="00225D4D">
        <w:t xml:space="preserve"> som avslutta.</w:t>
      </w:r>
    </w:p>
    <w:p w14:paraId="5F179E9F" w14:textId="77777777" w:rsidR="00D60186" w:rsidRPr="00225D4D" w:rsidRDefault="00D60186" w:rsidP="00225D4D">
      <w:pPr>
        <w:pStyle w:val="avsnitt-tittel"/>
      </w:pPr>
      <w:proofErr w:type="spellStart"/>
      <w:r w:rsidRPr="00225D4D">
        <w:t>Strengare</w:t>
      </w:r>
      <w:proofErr w:type="spellEnd"/>
      <w:r w:rsidRPr="00225D4D">
        <w:t xml:space="preserve"> straff for </w:t>
      </w:r>
      <w:proofErr w:type="spellStart"/>
      <w:r w:rsidRPr="00225D4D">
        <w:t>alvorleg</w:t>
      </w:r>
      <w:proofErr w:type="spellEnd"/>
      <w:r w:rsidRPr="00225D4D">
        <w:t xml:space="preserve"> dyrekriminalitet</w:t>
      </w:r>
    </w:p>
    <w:p w14:paraId="282D30E6" w14:textId="77777777" w:rsidR="00D60186" w:rsidRPr="00225D4D" w:rsidRDefault="00D60186" w:rsidP="00225D4D">
      <w:pPr>
        <w:pStyle w:val="avsnitt-undertittel"/>
      </w:pPr>
      <w:r w:rsidRPr="00225D4D">
        <w:t>Vedtak nr. 700, 25 mai 2023:</w:t>
      </w:r>
    </w:p>
    <w:p w14:paraId="68B9BA0C" w14:textId="77777777" w:rsidR="00D60186" w:rsidRPr="00225D4D" w:rsidRDefault="00D60186" w:rsidP="00225D4D">
      <w:pPr>
        <w:pStyle w:val="blokksit"/>
        <w:rPr>
          <w:rStyle w:val="kursiv"/>
        </w:rPr>
      </w:pPr>
      <w:r w:rsidRPr="00225D4D">
        <w:rPr>
          <w:rStyle w:val="kursiv"/>
        </w:rPr>
        <w:t>«Stortinget ber regjeringen fremme lovforslag om å inkludere dyrevelferdsloven § 37 i opplistingen i straffeprosessloven § 216 b første ledd bokstav b.»</w:t>
      </w:r>
    </w:p>
    <w:p w14:paraId="38235E0A" w14:textId="77777777" w:rsidR="00D60186" w:rsidRPr="00225D4D" w:rsidRDefault="00D60186" w:rsidP="00225D4D">
      <w:r w:rsidRPr="00225D4D">
        <w:t xml:space="preserve">Vedtaket blei fatta ved handsaminga av Dokument 8:219 S (2022–2023), jf. </w:t>
      </w:r>
      <w:proofErr w:type="spellStart"/>
      <w:r w:rsidRPr="00225D4D">
        <w:t>Innst</w:t>
      </w:r>
      <w:proofErr w:type="spellEnd"/>
      <w:r w:rsidRPr="00225D4D">
        <w:t xml:space="preserve">. 369 S (2022–2023) som </w:t>
      </w:r>
      <w:proofErr w:type="spellStart"/>
      <w:r w:rsidRPr="00225D4D">
        <w:t>omhandlar</w:t>
      </w:r>
      <w:proofErr w:type="spellEnd"/>
      <w:r w:rsidRPr="00225D4D">
        <w:t xml:space="preserve"> representantforslag om </w:t>
      </w:r>
      <w:proofErr w:type="spellStart"/>
      <w:r w:rsidRPr="00225D4D">
        <w:t>strengare</w:t>
      </w:r>
      <w:proofErr w:type="spellEnd"/>
      <w:r w:rsidRPr="00225D4D">
        <w:t xml:space="preserve"> straff for </w:t>
      </w:r>
      <w:proofErr w:type="spellStart"/>
      <w:r w:rsidRPr="00225D4D">
        <w:t>alvorleg</w:t>
      </w:r>
      <w:proofErr w:type="spellEnd"/>
      <w:r w:rsidRPr="00225D4D">
        <w:t xml:space="preserve"> dyrekriminalitet.</w:t>
      </w:r>
    </w:p>
    <w:p w14:paraId="3FDB6CE4" w14:textId="77777777" w:rsidR="00D60186" w:rsidRPr="00225D4D" w:rsidRDefault="00D60186" w:rsidP="00225D4D">
      <w:r w:rsidRPr="00225D4D">
        <w:t xml:space="preserve">Dyrevelferdskriminalitet og strafferamma etter dyrevelferdslova, er omtalt i Meld. St. 8 (2024–2025) </w:t>
      </w:r>
      <w:r w:rsidRPr="00225D4D">
        <w:rPr>
          <w:rStyle w:val="kursiv"/>
        </w:rPr>
        <w:t>Dyrevelferd</w:t>
      </w:r>
      <w:r w:rsidRPr="00225D4D">
        <w:t xml:space="preserve">. Det er varsla i meldinga at regjeringa vil greie ut </w:t>
      </w:r>
      <w:proofErr w:type="spellStart"/>
      <w:r w:rsidRPr="00225D4D">
        <w:t>ein</w:t>
      </w:r>
      <w:proofErr w:type="spellEnd"/>
      <w:r w:rsidRPr="00225D4D">
        <w:t xml:space="preserve"> </w:t>
      </w:r>
      <w:proofErr w:type="spellStart"/>
      <w:r w:rsidRPr="00225D4D">
        <w:t>auke</w:t>
      </w:r>
      <w:proofErr w:type="spellEnd"/>
      <w:r w:rsidRPr="00225D4D">
        <w:t xml:space="preserve"> i strafferamma ved grove brott på dyrevelferdslova, i tillegg til </w:t>
      </w:r>
      <w:proofErr w:type="spellStart"/>
      <w:r w:rsidRPr="00225D4D">
        <w:t>konsekvensar</w:t>
      </w:r>
      <w:proofErr w:type="spellEnd"/>
      <w:r w:rsidRPr="00225D4D">
        <w:t xml:space="preserve"> og lovtekniske spørsmål som utforming og plassering av ei slik endring. Regjeringa vil komme tilbake til Stortinget på eigna måte.</w:t>
      </w:r>
    </w:p>
    <w:p w14:paraId="5FED36B3" w14:textId="77777777" w:rsidR="00D60186" w:rsidRPr="00225D4D" w:rsidRDefault="00D60186" w:rsidP="00225D4D">
      <w:pPr>
        <w:pStyle w:val="avsnitt-tittel"/>
      </w:pPr>
      <w:r w:rsidRPr="00225D4D">
        <w:t xml:space="preserve">Innsamling, registrering og kontroll av viktige </w:t>
      </w:r>
      <w:proofErr w:type="spellStart"/>
      <w:r w:rsidRPr="00225D4D">
        <w:t>naturverdiar</w:t>
      </w:r>
      <w:proofErr w:type="spellEnd"/>
      <w:r w:rsidRPr="00225D4D">
        <w:t xml:space="preserve"> i norsk skog</w:t>
      </w:r>
    </w:p>
    <w:p w14:paraId="2A5862FF" w14:textId="77777777" w:rsidR="00D60186" w:rsidRPr="00225D4D" w:rsidRDefault="00D60186" w:rsidP="00225D4D">
      <w:pPr>
        <w:pStyle w:val="avsnitt-undertittel"/>
      </w:pPr>
      <w:r w:rsidRPr="00225D4D">
        <w:t>Vedtak nr. 519, 14. mars 2023:</w:t>
      </w:r>
    </w:p>
    <w:p w14:paraId="1BDA8EAE" w14:textId="77777777" w:rsidR="00D60186" w:rsidRPr="00225D4D" w:rsidRDefault="00D60186" w:rsidP="00225D4D">
      <w:pPr>
        <w:pStyle w:val="blokksit"/>
        <w:rPr>
          <w:rStyle w:val="kursiv"/>
        </w:rPr>
      </w:pPr>
      <w:r w:rsidRPr="00225D4D">
        <w:rPr>
          <w:rStyle w:val="kursiv"/>
        </w:rPr>
        <w:t>«Stortinget ber regjeringen gjennomgå dagens metode for innsamling, registrering og kontroll av viktige naturverdier i norsk skog, og vurdere tiltak for å sikre at intensjonen med miljøregistrering er ivaretatt, og at miljøregistreringen har tilstrekkelig kvalitet.»</w:t>
      </w:r>
    </w:p>
    <w:p w14:paraId="2AA06BF9" w14:textId="77777777" w:rsidR="00D60186" w:rsidRPr="00225D4D" w:rsidRDefault="00D60186" w:rsidP="00225D4D">
      <w:r w:rsidRPr="00225D4D">
        <w:t xml:space="preserve">Vedtaket blei fatta ved handsaminga av Dokument 8:40 S (2022–2023), jf. </w:t>
      </w:r>
      <w:proofErr w:type="spellStart"/>
      <w:r w:rsidRPr="00225D4D">
        <w:t>Innst</w:t>
      </w:r>
      <w:proofErr w:type="spellEnd"/>
      <w:r w:rsidRPr="00225D4D">
        <w:t xml:space="preserve">. 191 S (2022–2023) som </w:t>
      </w:r>
      <w:proofErr w:type="spellStart"/>
      <w:r w:rsidRPr="00225D4D">
        <w:t>omhandlar</w:t>
      </w:r>
      <w:proofErr w:type="spellEnd"/>
      <w:r w:rsidRPr="00225D4D">
        <w:t xml:space="preserve"> representantforslag om </w:t>
      </w:r>
      <w:proofErr w:type="spellStart"/>
      <w:r w:rsidRPr="00225D4D">
        <w:t>ein</w:t>
      </w:r>
      <w:proofErr w:type="spellEnd"/>
      <w:r w:rsidRPr="00225D4D">
        <w:t xml:space="preserve"> ny skogpolitikk.</w:t>
      </w:r>
    </w:p>
    <w:p w14:paraId="675B033A" w14:textId="77777777" w:rsidR="00D60186" w:rsidRPr="00225D4D" w:rsidRDefault="00D60186" w:rsidP="00225D4D">
      <w:r w:rsidRPr="00225D4D">
        <w:t xml:space="preserve">Landbruks- og matdepartementet gav i mai 2023 Landbruksdirektoratet i oppdrag å </w:t>
      </w:r>
      <w:proofErr w:type="spellStart"/>
      <w:r w:rsidRPr="00225D4D">
        <w:t>setje</w:t>
      </w:r>
      <w:proofErr w:type="spellEnd"/>
      <w:r w:rsidRPr="00225D4D">
        <w:t xml:space="preserve"> i gang </w:t>
      </w:r>
      <w:proofErr w:type="spellStart"/>
      <w:r w:rsidRPr="00225D4D">
        <w:t>ein</w:t>
      </w:r>
      <w:proofErr w:type="spellEnd"/>
      <w:r w:rsidRPr="00225D4D">
        <w:t xml:space="preserve"> feltkontroll av </w:t>
      </w:r>
      <w:proofErr w:type="spellStart"/>
      <w:r w:rsidRPr="00225D4D">
        <w:t>miljøregistreringar</w:t>
      </w:r>
      <w:proofErr w:type="spellEnd"/>
      <w:r w:rsidRPr="00225D4D">
        <w:t xml:space="preserve"> i skog. Landbruksdirektoratet har, </w:t>
      </w:r>
      <w:proofErr w:type="spellStart"/>
      <w:r w:rsidRPr="00225D4D">
        <w:t>saman</w:t>
      </w:r>
      <w:proofErr w:type="spellEnd"/>
      <w:r w:rsidRPr="00225D4D">
        <w:t xml:space="preserve"> med Landsskogtakseringa ved Norsk institutt for bioøkonomi (NIBIO), utvikla </w:t>
      </w:r>
      <w:proofErr w:type="spellStart"/>
      <w:r w:rsidRPr="00225D4D">
        <w:t>eit</w:t>
      </w:r>
      <w:proofErr w:type="spellEnd"/>
      <w:r w:rsidRPr="00225D4D">
        <w:t xml:space="preserve"> kontrollopplegg. Opplegget blei starta opp i </w:t>
      </w:r>
      <w:proofErr w:type="spellStart"/>
      <w:r w:rsidRPr="00225D4D">
        <w:t>feltsesongen</w:t>
      </w:r>
      <w:proofErr w:type="spellEnd"/>
      <w:r w:rsidRPr="00225D4D">
        <w:t xml:space="preserve"> 2024 og er </w:t>
      </w:r>
      <w:proofErr w:type="spellStart"/>
      <w:r w:rsidRPr="00225D4D">
        <w:t>vidareført</w:t>
      </w:r>
      <w:proofErr w:type="spellEnd"/>
      <w:r w:rsidRPr="00225D4D">
        <w:t xml:space="preserve"> i 2025. NIBIO har òg gått gjennom instruksen for </w:t>
      </w:r>
      <w:proofErr w:type="spellStart"/>
      <w:r w:rsidRPr="00225D4D">
        <w:t>miljøregistreringar</w:t>
      </w:r>
      <w:proofErr w:type="spellEnd"/>
      <w:r w:rsidRPr="00225D4D">
        <w:t xml:space="preserve"> i skog, med sikte på å kunne evaluere både instruksen og oppfølginga av den etter over 20 år med </w:t>
      </w:r>
      <w:proofErr w:type="spellStart"/>
      <w:r w:rsidRPr="00225D4D">
        <w:t>miljøregistreringar</w:t>
      </w:r>
      <w:proofErr w:type="spellEnd"/>
      <w:r w:rsidRPr="00225D4D">
        <w:t xml:space="preserve">. Målet er å sluttføre dette arbeidet i </w:t>
      </w:r>
      <w:proofErr w:type="spellStart"/>
      <w:r w:rsidRPr="00225D4D">
        <w:t>feltsesongen</w:t>
      </w:r>
      <w:proofErr w:type="spellEnd"/>
      <w:r w:rsidRPr="00225D4D">
        <w:t xml:space="preserve"> 2025. Regjeringa vil komme tilbake til Stortinget på eigna måte når arbeidet er sluttført.</w:t>
      </w:r>
    </w:p>
    <w:p w14:paraId="2997A4C2" w14:textId="77777777" w:rsidR="00D60186" w:rsidRPr="00225D4D" w:rsidRDefault="00D60186" w:rsidP="00225D4D">
      <w:pPr>
        <w:pStyle w:val="avsnitt-tittel"/>
      </w:pPr>
      <w:proofErr w:type="spellStart"/>
      <w:r w:rsidRPr="00225D4D">
        <w:t>Utval</w:t>
      </w:r>
      <w:proofErr w:type="spellEnd"/>
      <w:r w:rsidRPr="00225D4D">
        <w:t xml:space="preserve"> </w:t>
      </w:r>
      <w:proofErr w:type="spellStart"/>
      <w:r w:rsidRPr="00225D4D">
        <w:t>matkastelov</w:t>
      </w:r>
      <w:proofErr w:type="spellEnd"/>
    </w:p>
    <w:p w14:paraId="39987467" w14:textId="77777777" w:rsidR="00D60186" w:rsidRPr="00225D4D" w:rsidRDefault="00D60186" w:rsidP="00225D4D">
      <w:pPr>
        <w:pStyle w:val="avsnitt-undertittel"/>
      </w:pPr>
      <w:r w:rsidRPr="00225D4D">
        <w:t>Vedtak nr. 95, 1. desember 2022:</w:t>
      </w:r>
    </w:p>
    <w:p w14:paraId="28B669AA" w14:textId="77777777" w:rsidR="00D60186" w:rsidRPr="00225D4D" w:rsidRDefault="00D60186" w:rsidP="00225D4D">
      <w:pPr>
        <w:pStyle w:val="blokksit"/>
        <w:rPr>
          <w:rStyle w:val="kursiv"/>
        </w:rPr>
      </w:pPr>
      <w:r w:rsidRPr="00225D4D">
        <w:rPr>
          <w:rStyle w:val="kursiv"/>
        </w:rPr>
        <w:t xml:space="preserve">«Stortinget ber regjeringen sette ned et utvalg for å utrede </w:t>
      </w:r>
      <w:proofErr w:type="spellStart"/>
      <w:r w:rsidRPr="00225D4D">
        <w:rPr>
          <w:rStyle w:val="kursiv"/>
        </w:rPr>
        <w:t>matkastelov</w:t>
      </w:r>
      <w:proofErr w:type="spellEnd"/>
      <w:r w:rsidRPr="00225D4D">
        <w:rPr>
          <w:rStyle w:val="kursiv"/>
        </w:rPr>
        <w:t xml:space="preserve"> med mål om at loven skal tre i kraft i 2024.»</w:t>
      </w:r>
    </w:p>
    <w:p w14:paraId="790054DA" w14:textId="77777777" w:rsidR="00D60186" w:rsidRPr="00225D4D" w:rsidRDefault="00D60186" w:rsidP="00225D4D">
      <w:r w:rsidRPr="00225D4D">
        <w:t xml:space="preserve">Vedtaket blei fatta ved handsaminga Meld. St. 1 (2022–2023) </w:t>
      </w:r>
      <w:r w:rsidRPr="00225D4D">
        <w:rPr>
          <w:rStyle w:val="kursiv"/>
        </w:rPr>
        <w:t>Nasjonalbudsjettet 2023</w:t>
      </w:r>
      <w:r w:rsidRPr="00225D4D">
        <w:t xml:space="preserve">, jf. </w:t>
      </w:r>
      <w:proofErr w:type="spellStart"/>
      <w:r w:rsidRPr="00225D4D">
        <w:t>Innst</w:t>
      </w:r>
      <w:proofErr w:type="spellEnd"/>
      <w:r w:rsidRPr="00225D4D">
        <w:t>. 2 S (2022–2023).</w:t>
      </w:r>
    </w:p>
    <w:p w14:paraId="1CC434F2" w14:textId="77777777" w:rsidR="00D60186" w:rsidRPr="00225D4D" w:rsidRDefault="00D60186" w:rsidP="00225D4D">
      <w:r w:rsidRPr="00225D4D">
        <w:t xml:space="preserve">Regjeringa sette i februar 2023 ned </w:t>
      </w:r>
      <w:proofErr w:type="spellStart"/>
      <w:r w:rsidRPr="00225D4D">
        <w:t>eit</w:t>
      </w:r>
      <w:proofErr w:type="spellEnd"/>
      <w:r w:rsidRPr="00225D4D">
        <w:t xml:space="preserve"> </w:t>
      </w:r>
      <w:proofErr w:type="spellStart"/>
      <w:r w:rsidRPr="00225D4D">
        <w:t>utval</w:t>
      </w:r>
      <w:proofErr w:type="spellEnd"/>
      <w:r w:rsidRPr="00225D4D">
        <w:t xml:space="preserve"> som skulle greie ut </w:t>
      </w:r>
      <w:proofErr w:type="spellStart"/>
      <w:r w:rsidRPr="00225D4D">
        <w:t>heilskapleg</w:t>
      </w:r>
      <w:proofErr w:type="spellEnd"/>
      <w:r w:rsidRPr="00225D4D">
        <w:t xml:space="preserve"> tiltaks- og verkemiddelbruk for å nå målet om 50 pst. reduksjon av matsvinnet </w:t>
      </w:r>
      <w:proofErr w:type="spellStart"/>
      <w:r w:rsidRPr="00225D4D">
        <w:t>innan</w:t>
      </w:r>
      <w:proofErr w:type="spellEnd"/>
      <w:r w:rsidRPr="00225D4D">
        <w:t xml:space="preserve"> 2030, og korleis ei </w:t>
      </w:r>
      <w:proofErr w:type="spellStart"/>
      <w:r w:rsidRPr="00225D4D">
        <w:t>matkastelov</w:t>
      </w:r>
      <w:proofErr w:type="spellEnd"/>
      <w:r w:rsidRPr="00225D4D">
        <w:t xml:space="preserve"> skal inngå i </w:t>
      </w:r>
      <w:proofErr w:type="spellStart"/>
      <w:r w:rsidRPr="00225D4D">
        <w:t>ein</w:t>
      </w:r>
      <w:proofErr w:type="spellEnd"/>
      <w:r w:rsidRPr="00225D4D">
        <w:t xml:space="preserve"> samla verkemiddelbruk. Rapport </w:t>
      </w:r>
      <w:proofErr w:type="spellStart"/>
      <w:r w:rsidRPr="00225D4D">
        <w:t>frå</w:t>
      </w:r>
      <w:proofErr w:type="spellEnd"/>
      <w:r w:rsidRPr="00225D4D">
        <w:t xml:space="preserve"> </w:t>
      </w:r>
      <w:proofErr w:type="spellStart"/>
      <w:r w:rsidRPr="00225D4D">
        <w:t>utvalet</w:t>
      </w:r>
      <w:proofErr w:type="spellEnd"/>
      <w:r w:rsidRPr="00225D4D">
        <w:t xml:space="preserve"> kom i januar 2024.</w:t>
      </w:r>
    </w:p>
    <w:p w14:paraId="2E2FE43C" w14:textId="77777777" w:rsidR="00D60186" w:rsidRPr="00225D4D" w:rsidRDefault="00D60186" w:rsidP="00225D4D">
      <w:r w:rsidRPr="00225D4D">
        <w:t xml:space="preserve">Regjeringa la i april 2025 fram forslag til lov om </w:t>
      </w:r>
      <w:proofErr w:type="spellStart"/>
      <w:r w:rsidRPr="00225D4D">
        <w:t>førebygging</w:t>
      </w:r>
      <w:proofErr w:type="spellEnd"/>
      <w:r w:rsidRPr="00225D4D">
        <w:t xml:space="preserve"> og reduksjon av matsvinn for Stortinget, og lova blei </w:t>
      </w:r>
      <w:proofErr w:type="spellStart"/>
      <w:r w:rsidRPr="00225D4D">
        <w:t>vedteke</w:t>
      </w:r>
      <w:proofErr w:type="spellEnd"/>
      <w:r w:rsidRPr="00225D4D">
        <w:t xml:space="preserve"> av Stortinget i juni 2025. Det er òg sett i gang utgreiingsarbeid for å få på plass </w:t>
      </w:r>
      <w:proofErr w:type="spellStart"/>
      <w:r w:rsidRPr="00225D4D">
        <w:t>utfyllande</w:t>
      </w:r>
      <w:proofErr w:type="spellEnd"/>
      <w:r w:rsidRPr="00225D4D">
        <w:t xml:space="preserve"> forskrifter med sikte på at </w:t>
      </w:r>
      <w:proofErr w:type="spellStart"/>
      <w:r w:rsidRPr="00225D4D">
        <w:t>desse</w:t>
      </w:r>
      <w:proofErr w:type="spellEnd"/>
      <w:r w:rsidRPr="00225D4D">
        <w:t xml:space="preserve"> trer i kraft i løpet av 2026. Departementet </w:t>
      </w:r>
      <w:proofErr w:type="spellStart"/>
      <w:r w:rsidRPr="00225D4D">
        <w:t>legg</w:t>
      </w:r>
      <w:proofErr w:type="spellEnd"/>
      <w:r w:rsidRPr="00225D4D">
        <w:t xml:space="preserve"> til grunn at vedtak nr. 95, 1. desember 2022, med dette er </w:t>
      </w:r>
      <w:proofErr w:type="spellStart"/>
      <w:r w:rsidRPr="00225D4D">
        <w:t>følgt</w:t>
      </w:r>
      <w:proofErr w:type="spellEnd"/>
      <w:r w:rsidRPr="00225D4D">
        <w:t xml:space="preserve"> opp.</w:t>
      </w:r>
    </w:p>
    <w:p w14:paraId="7E538DBC" w14:textId="77777777" w:rsidR="00D60186" w:rsidRPr="00225D4D" w:rsidRDefault="00D60186" w:rsidP="00225D4D">
      <w:pPr>
        <w:pStyle w:val="Overskrift2"/>
      </w:pPr>
      <w:r w:rsidRPr="00225D4D">
        <w:t>Oppmodings- og utgreiingsvedtak i stortingssesjonen 2021–2022</w:t>
      </w:r>
    </w:p>
    <w:p w14:paraId="6671717C" w14:textId="77777777" w:rsidR="00D60186" w:rsidRPr="00225D4D" w:rsidRDefault="00D60186" w:rsidP="00225D4D">
      <w:pPr>
        <w:pStyle w:val="avsnitt-tittel"/>
      </w:pPr>
      <w:proofErr w:type="spellStart"/>
      <w:r w:rsidRPr="00225D4D">
        <w:t>Bransjeavtalar</w:t>
      </w:r>
      <w:proofErr w:type="spellEnd"/>
      <w:r w:rsidRPr="00225D4D">
        <w:t xml:space="preserve"> for biogassproduksjon</w:t>
      </w:r>
    </w:p>
    <w:p w14:paraId="291B9C8E" w14:textId="77777777" w:rsidR="00D60186" w:rsidRPr="00225D4D" w:rsidRDefault="00D60186" w:rsidP="00225D4D">
      <w:pPr>
        <w:pStyle w:val="avsnitt-undertittel"/>
      </w:pPr>
      <w:r w:rsidRPr="00225D4D">
        <w:t>Vedtak nr. 754, 10. juni 2022:</w:t>
      </w:r>
    </w:p>
    <w:p w14:paraId="2351CCC1" w14:textId="77777777" w:rsidR="00D60186" w:rsidRPr="00225D4D" w:rsidRDefault="00D60186" w:rsidP="00225D4D">
      <w:pPr>
        <w:pStyle w:val="blokksit"/>
        <w:rPr>
          <w:rStyle w:val="kursiv"/>
        </w:rPr>
      </w:pPr>
      <w:r w:rsidRPr="00225D4D">
        <w:rPr>
          <w:rStyle w:val="kursiv"/>
        </w:rPr>
        <w:t xml:space="preserve">«Stortinget ber regjeringen ta initiativ til å opprette bransjeavtaler med landbruket og fiskeri- og havbruksnæringen med mål og tiltak for å øke leveransen av råstoff til biogassproduksjon. Klyngesamarbeid på tvers av </w:t>
      </w:r>
      <w:proofErr w:type="spellStart"/>
      <w:r w:rsidRPr="00225D4D">
        <w:rPr>
          <w:rStyle w:val="kursiv"/>
        </w:rPr>
        <w:t>bionæringene</w:t>
      </w:r>
      <w:proofErr w:type="spellEnd"/>
      <w:r w:rsidRPr="00225D4D">
        <w:rPr>
          <w:rStyle w:val="kursiv"/>
        </w:rPr>
        <w:t xml:space="preserve"> vil spille en viktig rolle i dette arbeidet.»</w:t>
      </w:r>
    </w:p>
    <w:p w14:paraId="1428C170" w14:textId="77777777" w:rsidR="00D60186" w:rsidRPr="00225D4D" w:rsidRDefault="00D60186" w:rsidP="00225D4D">
      <w:r w:rsidRPr="00225D4D">
        <w:t xml:space="preserve">Vedtaket blei fatta ved handsaminga av Meld. St. 36 (2020–2021) og Meld. St. 11 (2021–2022) </w:t>
      </w:r>
      <w:r w:rsidRPr="00225D4D">
        <w:rPr>
          <w:rStyle w:val="kursiv"/>
        </w:rPr>
        <w:t>Energi til arbeid – langsiktig verdiskaping fra norske energiressurser</w:t>
      </w:r>
      <w:r w:rsidRPr="00225D4D">
        <w:t xml:space="preserve">, jf. </w:t>
      </w:r>
      <w:proofErr w:type="spellStart"/>
      <w:r w:rsidRPr="00225D4D">
        <w:t>Innst</w:t>
      </w:r>
      <w:proofErr w:type="spellEnd"/>
      <w:r w:rsidRPr="00225D4D">
        <w:t xml:space="preserve">. 446 S (2021–2022). </w:t>
      </w:r>
      <w:proofErr w:type="spellStart"/>
      <w:r w:rsidRPr="00225D4D">
        <w:t>Eit</w:t>
      </w:r>
      <w:proofErr w:type="spellEnd"/>
      <w:r w:rsidRPr="00225D4D">
        <w:t xml:space="preserve"> breitt spekter av </w:t>
      </w:r>
      <w:proofErr w:type="spellStart"/>
      <w:r w:rsidRPr="00225D4D">
        <w:t>verkemiddel</w:t>
      </w:r>
      <w:proofErr w:type="spellEnd"/>
      <w:r w:rsidRPr="00225D4D">
        <w:t xml:space="preserve"> </w:t>
      </w:r>
      <w:proofErr w:type="spellStart"/>
      <w:r w:rsidRPr="00225D4D">
        <w:t>bidreg</w:t>
      </w:r>
      <w:proofErr w:type="spellEnd"/>
      <w:r w:rsidRPr="00225D4D">
        <w:t xml:space="preserve"> til å </w:t>
      </w:r>
      <w:proofErr w:type="spellStart"/>
      <w:r w:rsidRPr="00225D4D">
        <w:t>fremje</w:t>
      </w:r>
      <w:proofErr w:type="spellEnd"/>
      <w:r w:rsidRPr="00225D4D">
        <w:t xml:space="preserve"> bruk og produksjon av biogass i </w:t>
      </w:r>
      <w:proofErr w:type="spellStart"/>
      <w:r w:rsidRPr="00225D4D">
        <w:t>Noreg</w:t>
      </w:r>
      <w:proofErr w:type="spellEnd"/>
      <w:r w:rsidRPr="00225D4D">
        <w:t xml:space="preserve">. Som omtalt i Meld. St. 25 (2024–2025) </w:t>
      </w:r>
      <w:r w:rsidRPr="00225D4D">
        <w:rPr>
          <w:rStyle w:val="kursiv"/>
        </w:rPr>
        <w:t>Klimamelding 2035</w:t>
      </w:r>
      <w:r w:rsidRPr="00225D4D">
        <w:t xml:space="preserve">, er kostnader for biogasshandsaming og </w:t>
      </w:r>
      <w:proofErr w:type="spellStart"/>
      <w:r w:rsidRPr="00225D4D">
        <w:t>utfordringar</w:t>
      </w:r>
      <w:proofErr w:type="spellEnd"/>
      <w:r w:rsidRPr="00225D4D">
        <w:t xml:space="preserve"> med å skaffe avsetning for den </w:t>
      </w:r>
      <w:proofErr w:type="spellStart"/>
      <w:r w:rsidRPr="00225D4D">
        <w:t>næringshaldige</w:t>
      </w:r>
      <w:proofErr w:type="spellEnd"/>
      <w:r w:rsidRPr="00225D4D">
        <w:t xml:space="preserve"> bioresten viktige </w:t>
      </w:r>
      <w:proofErr w:type="spellStart"/>
      <w:r w:rsidRPr="00225D4D">
        <w:t>barrierar</w:t>
      </w:r>
      <w:proofErr w:type="spellEnd"/>
      <w:r w:rsidRPr="00225D4D">
        <w:t xml:space="preserve"> for </w:t>
      </w:r>
      <w:proofErr w:type="spellStart"/>
      <w:r w:rsidRPr="00225D4D">
        <w:t>auka</w:t>
      </w:r>
      <w:proofErr w:type="spellEnd"/>
      <w:r w:rsidRPr="00225D4D">
        <w:t xml:space="preserve"> biogassproduksjon. Gjennom arbeidet som er sett i gang med samfunnsoppdrag sirkulærøkonomi, og oppfølging av </w:t>
      </w:r>
      <w:proofErr w:type="spellStart"/>
      <w:r w:rsidRPr="00225D4D">
        <w:t>ekspertutval</w:t>
      </w:r>
      <w:proofErr w:type="spellEnd"/>
      <w:r w:rsidRPr="00225D4D">
        <w:t xml:space="preserve"> sirkulærøkonomi, vil regjeringa gjennomgå </w:t>
      </w:r>
      <w:proofErr w:type="spellStart"/>
      <w:r w:rsidRPr="00225D4D">
        <w:t>verkemiddel</w:t>
      </w:r>
      <w:proofErr w:type="spellEnd"/>
      <w:r w:rsidRPr="00225D4D">
        <w:t xml:space="preserve"> for å oppnå </w:t>
      </w:r>
      <w:proofErr w:type="spellStart"/>
      <w:r w:rsidRPr="00225D4D">
        <w:t>meir</w:t>
      </w:r>
      <w:proofErr w:type="spellEnd"/>
      <w:r w:rsidRPr="00225D4D">
        <w:t xml:space="preserve"> sirkulære verdikjeder. Departementet </w:t>
      </w:r>
      <w:proofErr w:type="spellStart"/>
      <w:r w:rsidRPr="00225D4D">
        <w:t>reknar</w:t>
      </w:r>
      <w:proofErr w:type="spellEnd"/>
      <w:r w:rsidRPr="00225D4D">
        <w:t xml:space="preserve"> rapporteringa på dette oppmodingsvedtaket som avslutta.</w:t>
      </w:r>
    </w:p>
    <w:p w14:paraId="7A919770" w14:textId="77777777" w:rsidR="00D60186" w:rsidRPr="00225D4D" w:rsidRDefault="00D60186" w:rsidP="00225D4D">
      <w:pPr>
        <w:pStyle w:val="avsnitt-tittel"/>
      </w:pPr>
      <w:r w:rsidRPr="00225D4D">
        <w:t xml:space="preserve">Melding til Stortinget om dyrevelferd som </w:t>
      </w:r>
      <w:proofErr w:type="spellStart"/>
      <w:r w:rsidRPr="00225D4D">
        <w:t>byggjer</w:t>
      </w:r>
      <w:proofErr w:type="spellEnd"/>
      <w:r w:rsidRPr="00225D4D">
        <w:t xml:space="preserve"> på oppdatert kunnskap</w:t>
      </w:r>
    </w:p>
    <w:p w14:paraId="3E6B94E8" w14:textId="77777777" w:rsidR="00D60186" w:rsidRPr="00225D4D" w:rsidRDefault="00D60186" w:rsidP="00225D4D">
      <w:pPr>
        <w:pStyle w:val="avsnitt-undertittel"/>
      </w:pPr>
      <w:r w:rsidRPr="00225D4D">
        <w:t>Vedtak nr. 381, 15. februar 2022:</w:t>
      </w:r>
    </w:p>
    <w:p w14:paraId="403C4D71" w14:textId="77777777" w:rsidR="00D60186" w:rsidRPr="00225D4D" w:rsidRDefault="00D60186" w:rsidP="00225D4D">
      <w:pPr>
        <w:pStyle w:val="blokksit"/>
        <w:rPr>
          <w:rStyle w:val="kursiv"/>
        </w:rPr>
      </w:pPr>
      <w:r w:rsidRPr="00225D4D">
        <w:rPr>
          <w:rStyle w:val="kursiv"/>
        </w:rPr>
        <w:t>«Stortinget ber regjeringen legge fram en dyrevelferdsmelding som bygger på oppdatert kunnskap om dyrevelferd med utgangspunkt i faglige og faktiske forhold. Meldingen bør se faglig og politisk på problemstillinger knyttet til dyrehold, og gi oversikt over det vi gjør bra i dag, og om det er noe som kan gjøre annerledes og bedre i framtida. Det er sammenheng mellom menneskevelferd og dyrevelferd. Meldingen bør omtale dette.»</w:t>
      </w:r>
    </w:p>
    <w:p w14:paraId="6473B4A0" w14:textId="77777777" w:rsidR="00D60186" w:rsidRPr="00225D4D" w:rsidRDefault="00D60186" w:rsidP="00225D4D">
      <w:r w:rsidRPr="00225D4D">
        <w:t xml:space="preserve">Vedtaket blei fatta ved handsaminga av Dokument 8:25 S (2021–2022), jf. </w:t>
      </w:r>
      <w:proofErr w:type="spellStart"/>
      <w:r w:rsidRPr="00225D4D">
        <w:t>Innst</w:t>
      </w:r>
      <w:proofErr w:type="spellEnd"/>
      <w:r w:rsidRPr="00225D4D">
        <w:t xml:space="preserve">. 130 S (2021–2022) som </w:t>
      </w:r>
      <w:proofErr w:type="spellStart"/>
      <w:r w:rsidRPr="00225D4D">
        <w:t>omhandlar</w:t>
      </w:r>
      <w:proofErr w:type="spellEnd"/>
      <w:r w:rsidRPr="00225D4D">
        <w:t xml:space="preserve"> representantforslag om å </w:t>
      </w:r>
      <w:proofErr w:type="spellStart"/>
      <w:r w:rsidRPr="00225D4D">
        <w:t>styrkje</w:t>
      </w:r>
      <w:proofErr w:type="spellEnd"/>
      <w:r w:rsidRPr="00225D4D">
        <w:t xml:space="preserve"> dyrevelferda for produksjonsdyr.</w:t>
      </w:r>
    </w:p>
    <w:p w14:paraId="45E55064" w14:textId="77777777" w:rsidR="00D60186" w:rsidRPr="00225D4D" w:rsidRDefault="00D60186" w:rsidP="00225D4D">
      <w:r w:rsidRPr="00225D4D">
        <w:t xml:space="preserve">Meld. St. 8 (2024–2024) </w:t>
      </w:r>
      <w:r w:rsidRPr="00225D4D">
        <w:rPr>
          <w:rStyle w:val="kursiv"/>
        </w:rPr>
        <w:t>Dyrevelferd</w:t>
      </w:r>
      <w:r w:rsidRPr="00225D4D">
        <w:t xml:space="preserve">, blei lagd fram for Stortinget 20. desember 2024 og handsama i Stortinget 8. april 2025. I tråd med oppmodingsvedtaket </w:t>
      </w:r>
      <w:proofErr w:type="spellStart"/>
      <w:r w:rsidRPr="00225D4D">
        <w:t>byggjer</w:t>
      </w:r>
      <w:proofErr w:type="spellEnd"/>
      <w:r w:rsidRPr="00225D4D">
        <w:t xml:space="preserve"> meldinga på oppdatert kunnskap med utgangspunkt i </w:t>
      </w:r>
      <w:proofErr w:type="spellStart"/>
      <w:r w:rsidRPr="00225D4D">
        <w:t>faglege</w:t>
      </w:r>
      <w:proofErr w:type="spellEnd"/>
      <w:r w:rsidRPr="00225D4D">
        <w:t xml:space="preserve"> og faktiske forhold. Relevante </w:t>
      </w:r>
      <w:proofErr w:type="spellStart"/>
      <w:r w:rsidRPr="00225D4D">
        <w:t>problemstillingar</w:t>
      </w:r>
      <w:proofErr w:type="spellEnd"/>
      <w:r w:rsidRPr="00225D4D">
        <w:t xml:space="preserve"> er vurderte både </w:t>
      </w:r>
      <w:proofErr w:type="spellStart"/>
      <w:r w:rsidRPr="00225D4D">
        <w:t>fagleg</w:t>
      </w:r>
      <w:proofErr w:type="spellEnd"/>
      <w:r w:rsidRPr="00225D4D">
        <w:t xml:space="preserve"> og politisk. I meldinga er det gjort greie for positive sider ved norsk </w:t>
      </w:r>
      <w:proofErr w:type="spellStart"/>
      <w:r w:rsidRPr="00225D4D">
        <w:t>dyrehald</w:t>
      </w:r>
      <w:proofErr w:type="spellEnd"/>
      <w:r w:rsidRPr="00225D4D">
        <w:t xml:space="preserve">. Det er òg gitt konkrete </w:t>
      </w:r>
      <w:proofErr w:type="spellStart"/>
      <w:r w:rsidRPr="00225D4D">
        <w:t>tilvisingar</w:t>
      </w:r>
      <w:proofErr w:type="spellEnd"/>
      <w:r w:rsidRPr="00225D4D">
        <w:t xml:space="preserve"> på kva som kan og bør </w:t>
      </w:r>
      <w:proofErr w:type="spellStart"/>
      <w:r w:rsidRPr="00225D4D">
        <w:t>forbetrast</w:t>
      </w:r>
      <w:proofErr w:type="spellEnd"/>
      <w:r w:rsidRPr="00225D4D">
        <w:t xml:space="preserve">. Departementet </w:t>
      </w:r>
      <w:proofErr w:type="spellStart"/>
      <w:r w:rsidRPr="00225D4D">
        <w:t>legg</w:t>
      </w:r>
      <w:proofErr w:type="spellEnd"/>
      <w:r w:rsidRPr="00225D4D">
        <w:t xml:space="preserve"> til grunn at vedtak nr. 381, 15. februar 2022, med dette er </w:t>
      </w:r>
      <w:proofErr w:type="spellStart"/>
      <w:r w:rsidRPr="00225D4D">
        <w:t>følgt</w:t>
      </w:r>
      <w:proofErr w:type="spellEnd"/>
      <w:r w:rsidRPr="00225D4D">
        <w:t xml:space="preserve"> opp.</w:t>
      </w:r>
    </w:p>
    <w:p w14:paraId="0949E63F" w14:textId="77777777" w:rsidR="00D60186" w:rsidRPr="00225D4D" w:rsidRDefault="00D60186" w:rsidP="00225D4D">
      <w:pPr>
        <w:pStyle w:val="avsnitt-tittel"/>
      </w:pPr>
      <w:r w:rsidRPr="00225D4D">
        <w:t>Dyrevelferda i svinenæringa</w:t>
      </w:r>
    </w:p>
    <w:p w14:paraId="7312B129" w14:textId="77777777" w:rsidR="00D60186" w:rsidRPr="00225D4D" w:rsidRDefault="00D60186" w:rsidP="00225D4D">
      <w:pPr>
        <w:pStyle w:val="avsnitt-undertittel"/>
      </w:pPr>
      <w:r w:rsidRPr="00225D4D">
        <w:t>Vedtak nr. 382, 15. februar 2022:</w:t>
      </w:r>
    </w:p>
    <w:p w14:paraId="2F236D87" w14:textId="77777777" w:rsidR="00D60186" w:rsidRPr="00225D4D" w:rsidRDefault="00D60186" w:rsidP="00225D4D">
      <w:pPr>
        <w:pStyle w:val="blokksit"/>
        <w:rPr>
          <w:rStyle w:val="kursiv"/>
        </w:rPr>
      </w:pPr>
      <w:r w:rsidRPr="00225D4D">
        <w:rPr>
          <w:rStyle w:val="kursiv"/>
        </w:rPr>
        <w:t>«Stortinget ber regjeringen se på insentiver som vil øke dyrevelferden i svinenæringen, særlig med hensyn til areal, underlag og miljøberikelse, og stille strengere krav til dyrevelferd ved oppgraderinger av driftsbygninger eller nybygg.»</w:t>
      </w:r>
    </w:p>
    <w:p w14:paraId="7D2DA2CA" w14:textId="77777777" w:rsidR="00D60186" w:rsidRPr="00225D4D" w:rsidRDefault="00D60186" w:rsidP="00225D4D">
      <w:r w:rsidRPr="00225D4D">
        <w:t xml:space="preserve">Vedtaket blei fatta ved handsaminga av Dokument 8:25 S (2021–2022), jf. </w:t>
      </w:r>
      <w:proofErr w:type="spellStart"/>
      <w:r w:rsidRPr="00225D4D">
        <w:t>Innst</w:t>
      </w:r>
      <w:proofErr w:type="spellEnd"/>
      <w:r w:rsidRPr="00225D4D">
        <w:t xml:space="preserve">. 130 S (2021–2022), som </w:t>
      </w:r>
      <w:proofErr w:type="spellStart"/>
      <w:r w:rsidRPr="00225D4D">
        <w:t>omhandlar</w:t>
      </w:r>
      <w:proofErr w:type="spellEnd"/>
      <w:r w:rsidRPr="00225D4D">
        <w:t xml:space="preserve"> representantforslag om å </w:t>
      </w:r>
      <w:proofErr w:type="spellStart"/>
      <w:r w:rsidRPr="00225D4D">
        <w:t>styrkje</w:t>
      </w:r>
      <w:proofErr w:type="spellEnd"/>
      <w:r w:rsidRPr="00225D4D">
        <w:t xml:space="preserve"> dyrevelferda for produksjonsdyr.</w:t>
      </w:r>
    </w:p>
    <w:p w14:paraId="5ACB1BEA" w14:textId="77777777" w:rsidR="00D60186" w:rsidRPr="00225D4D" w:rsidRDefault="00D60186" w:rsidP="00225D4D">
      <w:r w:rsidRPr="00225D4D">
        <w:t xml:space="preserve">I Meld. St. 8 (2024–2024) </w:t>
      </w:r>
      <w:r w:rsidRPr="00225D4D">
        <w:rPr>
          <w:rStyle w:val="kursiv"/>
        </w:rPr>
        <w:t>Dyrevelferd</w:t>
      </w:r>
      <w:r w:rsidRPr="00225D4D">
        <w:t xml:space="preserve">, blir det varsla </w:t>
      </w:r>
      <w:proofErr w:type="spellStart"/>
      <w:r w:rsidRPr="00225D4D">
        <w:t>fleire</w:t>
      </w:r>
      <w:proofErr w:type="spellEnd"/>
      <w:r w:rsidRPr="00225D4D">
        <w:t xml:space="preserve"> tiltak for å </w:t>
      </w:r>
      <w:proofErr w:type="spellStart"/>
      <w:r w:rsidRPr="00225D4D">
        <w:t>betra</w:t>
      </w:r>
      <w:proofErr w:type="spellEnd"/>
      <w:r w:rsidRPr="00225D4D">
        <w:t xml:space="preserve"> dyrevelferda i svinenæringa, mellom anna å greie ut korleis areal og kvaliteten på areal til svin kan </w:t>
      </w:r>
      <w:proofErr w:type="spellStart"/>
      <w:r w:rsidRPr="00225D4D">
        <w:t>aukast</w:t>
      </w:r>
      <w:proofErr w:type="spellEnd"/>
      <w:r w:rsidRPr="00225D4D">
        <w:t xml:space="preserve"> og </w:t>
      </w:r>
      <w:proofErr w:type="spellStart"/>
      <w:r w:rsidRPr="00225D4D">
        <w:t>utviklast</w:t>
      </w:r>
      <w:proofErr w:type="spellEnd"/>
      <w:r w:rsidRPr="00225D4D">
        <w:t xml:space="preserve"> for framtidas driftssystem i svineproduksjonen. Det blir gjort framlegg om å innføre </w:t>
      </w:r>
      <w:proofErr w:type="spellStart"/>
      <w:r w:rsidRPr="00225D4D">
        <w:t>forbod</w:t>
      </w:r>
      <w:proofErr w:type="spellEnd"/>
      <w:r w:rsidRPr="00225D4D">
        <w:t xml:space="preserve"> mot fiksering av purker i </w:t>
      </w:r>
      <w:proofErr w:type="spellStart"/>
      <w:r w:rsidRPr="00225D4D">
        <w:t>fødebingar</w:t>
      </w:r>
      <w:proofErr w:type="spellEnd"/>
      <w:r w:rsidRPr="00225D4D">
        <w:t xml:space="preserve"> etter ei overgangstid for </w:t>
      </w:r>
      <w:proofErr w:type="spellStart"/>
      <w:r w:rsidRPr="00225D4D">
        <w:t>eksisterande</w:t>
      </w:r>
      <w:proofErr w:type="spellEnd"/>
      <w:r w:rsidRPr="00225D4D">
        <w:t xml:space="preserve"> </w:t>
      </w:r>
      <w:proofErr w:type="spellStart"/>
      <w:r w:rsidRPr="00225D4D">
        <w:t>driftsbygningar</w:t>
      </w:r>
      <w:proofErr w:type="spellEnd"/>
      <w:r w:rsidRPr="00225D4D">
        <w:t xml:space="preserve">. Landbruks- og matdepartementet arbeider </w:t>
      </w:r>
      <w:proofErr w:type="spellStart"/>
      <w:r w:rsidRPr="00225D4D">
        <w:t>no</w:t>
      </w:r>
      <w:proofErr w:type="spellEnd"/>
      <w:r w:rsidRPr="00225D4D">
        <w:t xml:space="preserve"> med å </w:t>
      </w:r>
      <w:proofErr w:type="spellStart"/>
      <w:r w:rsidRPr="00225D4D">
        <w:t>følgje</w:t>
      </w:r>
      <w:proofErr w:type="spellEnd"/>
      <w:r w:rsidRPr="00225D4D">
        <w:t xml:space="preserve"> opp dette, og vil komme tilbake til Stortinget på eigna måte.</w:t>
      </w:r>
    </w:p>
    <w:p w14:paraId="3CFAB5A7" w14:textId="77777777" w:rsidR="00D60186" w:rsidRPr="00225D4D" w:rsidRDefault="00D60186" w:rsidP="00225D4D">
      <w:pPr>
        <w:pStyle w:val="avsnitt-tittel"/>
      </w:pPr>
      <w:r w:rsidRPr="00225D4D">
        <w:t>Konkrete tiltak i melding til Stortinget om dyrevelferd</w:t>
      </w:r>
    </w:p>
    <w:p w14:paraId="791792BE" w14:textId="77777777" w:rsidR="00D60186" w:rsidRPr="00225D4D" w:rsidRDefault="00D60186" w:rsidP="00225D4D">
      <w:pPr>
        <w:pStyle w:val="avsnitt-undertittel"/>
      </w:pPr>
      <w:r w:rsidRPr="00225D4D">
        <w:t>Vedtak nr. 383, 15. februar 2022:</w:t>
      </w:r>
    </w:p>
    <w:p w14:paraId="18658361" w14:textId="77777777" w:rsidR="00D60186" w:rsidRPr="00225D4D" w:rsidRDefault="00D60186" w:rsidP="00225D4D">
      <w:pPr>
        <w:pStyle w:val="blokksit"/>
        <w:rPr>
          <w:rStyle w:val="kursiv"/>
        </w:rPr>
      </w:pPr>
      <w:r w:rsidRPr="00225D4D">
        <w:rPr>
          <w:rStyle w:val="kursiv"/>
        </w:rPr>
        <w:t xml:space="preserve">«Stortinget ber regjeringa legge fram ei </w:t>
      </w:r>
      <w:proofErr w:type="spellStart"/>
      <w:r w:rsidRPr="00225D4D">
        <w:rPr>
          <w:rStyle w:val="kursiv"/>
        </w:rPr>
        <w:t>heilskapleg</w:t>
      </w:r>
      <w:proofErr w:type="spellEnd"/>
      <w:r w:rsidRPr="00225D4D">
        <w:rPr>
          <w:rStyle w:val="kursiv"/>
        </w:rPr>
        <w:t xml:space="preserve"> stortingsmelding om dyrevelferd som </w:t>
      </w:r>
      <w:proofErr w:type="spellStart"/>
      <w:r w:rsidRPr="00225D4D">
        <w:rPr>
          <w:rStyle w:val="kursiv"/>
        </w:rPr>
        <w:t>omfattar</w:t>
      </w:r>
      <w:proofErr w:type="spellEnd"/>
      <w:r w:rsidRPr="00225D4D">
        <w:rPr>
          <w:rStyle w:val="kursiv"/>
        </w:rPr>
        <w:t xml:space="preserve"> både produksjonsdyr i landbruket, kjæledyr og fiskeoppdrett, </w:t>
      </w:r>
      <w:proofErr w:type="spellStart"/>
      <w:r w:rsidRPr="00225D4D">
        <w:rPr>
          <w:rStyle w:val="kursiv"/>
        </w:rPr>
        <w:t>seinast</w:t>
      </w:r>
      <w:proofErr w:type="spellEnd"/>
      <w:r w:rsidRPr="00225D4D">
        <w:rPr>
          <w:rStyle w:val="kursiv"/>
        </w:rPr>
        <w:t xml:space="preserve"> i vårsesjonen 2023. Regjeringa vert </w:t>
      </w:r>
      <w:proofErr w:type="spellStart"/>
      <w:r w:rsidRPr="00225D4D">
        <w:rPr>
          <w:rStyle w:val="kursiv"/>
        </w:rPr>
        <w:t>beden</w:t>
      </w:r>
      <w:proofErr w:type="spellEnd"/>
      <w:r w:rsidRPr="00225D4D">
        <w:rPr>
          <w:rStyle w:val="kursiv"/>
        </w:rPr>
        <w:t xml:space="preserve"> om å greie ut og foreslå konkrete tiltak i meldinga både for </w:t>
      </w:r>
      <w:proofErr w:type="spellStart"/>
      <w:r w:rsidRPr="00225D4D">
        <w:rPr>
          <w:rStyle w:val="kursiv"/>
        </w:rPr>
        <w:t>betra</w:t>
      </w:r>
      <w:proofErr w:type="spellEnd"/>
      <w:r w:rsidRPr="00225D4D">
        <w:rPr>
          <w:rStyle w:val="kursiv"/>
        </w:rPr>
        <w:t xml:space="preserve"> dyrevelferd generelt og for spesifikke </w:t>
      </w:r>
      <w:proofErr w:type="spellStart"/>
      <w:r w:rsidRPr="00225D4D">
        <w:rPr>
          <w:rStyle w:val="kursiv"/>
        </w:rPr>
        <w:t>artar</w:t>
      </w:r>
      <w:proofErr w:type="spellEnd"/>
      <w:r w:rsidRPr="00225D4D">
        <w:rPr>
          <w:rStyle w:val="kursiv"/>
        </w:rPr>
        <w:t xml:space="preserve">/grupper av dyr, herunder </w:t>
      </w:r>
      <w:proofErr w:type="spellStart"/>
      <w:r w:rsidRPr="00225D4D">
        <w:rPr>
          <w:rStyle w:val="kursiv"/>
        </w:rPr>
        <w:t>følgjande</w:t>
      </w:r>
      <w:proofErr w:type="spellEnd"/>
      <w:r w:rsidRPr="00225D4D">
        <w:rPr>
          <w:rStyle w:val="kursiv"/>
        </w:rPr>
        <w:t xml:space="preserve"> tema:</w:t>
      </w:r>
    </w:p>
    <w:p w14:paraId="096DD990" w14:textId="77777777" w:rsidR="00D60186" w:rsidRPr="00225D4D" w:rsidRDefault="00D60186" w:rsidP="00225D4D">
      <w:pPr>
        <w:pStyle w:val="Liste2"/>
        <w:rPr>
          <w:rStyle w:val="kursiv"/>
        </w:rPr>
      </w:pPr>
      <w:r w:rsidRPr="00225D4D">
        <w:rPr>
          <w:rStyle w:val="kursiv"/>
        </w:rPr>
        <w:t xml:space="preserve">å greie ut korleis økonomiske </w:t>
      </w:r>
      <w:proofErr w:type="spellStart"/>
      <w:r w:rsidRPr="00225D4D">
        <w:rPr>
          <w:rStyle w:val="kursiv"/>
        </w:rPr>
        <w:t>verkemiddel</w:t>
      </w:r>
      <w:proofErr w:type="spellEnd"/>
      <w:r w:rsidRPr="00225D4D">
        <w:rPr>
          <w:rStyle w:val="kursiv"/>
        </w:rPr>
        <w:t xml:space="preserve"> i landbrukspolitikken kan </w:t>
      </w:r>
      <w:proofErr w:type="spellStart"/>
      <w:r w:rsidRPr="00225D4D">
        <w:rPr>
          <w:rStyle w:val="kursiv"/>
        </w:rPr>
        <w:t>innrettast</w:t>
      </w:r>
      <w:proofErr w:type="spellEnd"/>
      <w:r w:rsidRPr="00225D4D">
        <w:rPr>
          <w:rStyle w:val="kursiv"/>
        </w:rPr>
        <w:t xml:space="preserve"> på </w:t>
      </w:r>
      <w:proofErr w:type="spellStart"/>
      <w:r w:rsidRPr="00225D4D">
        <w:rPr>
          <w:rStyle w:val="kursiv"/>
        </w:rPr>
        <w:t>ein</w:t>
      </w:r>
      <w:proofErr w:type="spellEnd"/>
      <w:r w:rsidRPr="00225D4D">
        <w:rPr>
          <w:rStyle w:val="kursiv"/>
        </w:rPr>
        <w:t xml:space="preserve"> måte som </w:t>
      </w:r>
      <w:proofErr w:type="spellStart"/>
      <w:r w:rsidRPr="00225D4D">
        <w:rPr>
          <w:rStyle w:val="kursiv"/>
        </w:rPr>
        <w:t>løner</w:t>
      </w:r>
      <w:proofErr w:type="spellEnd"/>
      <w:r w:rsidRPr="00225D4D">
        <w:rPr>
          <w:rStyle w:val="kursiv"/>
        </w:rPr>
        <w:t xml:space="preserve"> god dyrevelferd.</w:t>
      </w:r>
    </w:p>
    <w:p w14:paraId="56401B10" w14:textId="77777777" w:rsidR="00D60186" w:rsidRPr="00225D4D" w:rsidRDefault="00D60186" w:rsidP="00225D4D">
      <w:pPr>
        <w:pStyle w:val="Liste2"/>
        <w:rPr>
          <w:rStyle w:val="kursiv"/>
        </w:rPr>
      </w:pPr>
      <w:r w:rsidRPr="00225D4D">
        <w:rPr>
          <w:rStyle w:val="kursiv"/>
        </w:rPr>
        <w:t xml:space="preserve">å greie ut korleis norsk regelverk vil måtte </w:t>
      </w:r>
      <w:proofErr w:type="spellStart"/>
      <w:r w:rsidRPr="00225D4D">
        <w:rPr>
          <w:rStyle w:val="kursiv"/>
        </w:rPr>
        <w:t>endrast</w:t>
      </w:r>
      <w:proofErr w:type="spellEnd"/>
      <w:r w:rsidRPr="00225D4D">
        <w:rPr>
          <w:rStyle w:val="kursiv"/>
        </w:rPr>
        <w:t xml:space="preserve"> ved implementering av EU sitt varsla </w:t>
      </w:r>
      <w:proofErr w:type="spellStart"/>
      <w:r w:rsidRPr="00225D4D">
        <w:rPr>
          <w:rStyle w:val="kursiv"/>
        </w:rPr>
        <w:t>forbod</w:t>
      </w:r>
      <w:proofErr w:type="spellEnd"/>
      <w:r w:rsidRPr="00225D4D">
        <w:rPr>
          <w:rStyle w:val="kursiv"/>
        </w:rPr>
        <w:t xml:space="preserve"> mot hald av dyr i bur og trange </w:t>
      </w:r>
      <w:proofErr w:type="spellStart"/>
      <w:r w:rsidRPr="00225D4D">
        <w:rPr>
          <w:rStyle w:val="kursiv"/>
        </w:rPr>
        <w:t>bingar</w:t>
      </w:r>
      <w:proofErr w:type="spellEnd"/>
      <w:r w:rsidRPr="00225D4D">
        <w:rPr>
          <w:rStyle w:val="kursiv"/>
        </w:rPr>
        <w:t>.</w:t>
      </w:r>
    </w:p>
    <w:p w14:paraId="745B2607" w14:textId="77777777" w:rsidR="00D60186" w:rsidRPr="00225D4D" w:rsidRDefault="00D60186" w:rsidP="00225D4D">
      <w:pPr>
        <w:pStyle w:val="Liste2"/>
        <w:rPr>
          <w:rStyle w:val="kursiv"/>
        </w:rPr>
      </w:pPr>
      <w:r w:rsidRPr="00225D4D">
        <w:rPr>
          <w:rStyle w:val="kursiv"/>
        </w:rPr>
        <w:t xml:space="preserve">å greie ut Mattilsynet sin kontroll- og rettleiingsfunksjon og </w:t>
      </w:r>
      <w:proofErr w:type="spellStart"/>
      <w:r w:rsidRPr="00225D4D">
        <w:rPr>
          <w:rStyle w:val="kursiv"/>
        </w:rPr>
        <w:t>trong</w:t>
      </w:r>
      <w:proofErr w:type="spellEnd"/>
      <w:r w:rsidRPr="00225D4D">
        <w:rPr>
          <w:rStyle w:val="kursiv"/>
        </w:rPr>
        <w:t xml:space="preserve"> for </w:t>
      </w:r>
      <w:proofErr w:type="spellStart"/>
      <w:r w:rsidRPr="00225D4D">
        <w:rPr>
          <w:rStyle w:val="kursiv"/>
        </w:rPr>
        <w:t>ressursar</w:t>
      </w:r>
      <w:proofErr w:type="spellEnd"/>
      <w:r w:rsidRPr="00225D4D">
        <w:rPr>
          <w:rStyle w:val="kursiv"/>
        </w:rPr>
        <w:t xml:space="preserve"> for å sikre </w:t>
      </w:r>
      <w:proofErr w:type="spellStart"/>
      <w:r w:rsidRPr="00225D4D">
        <w:rPr>
          <w:rStyle w:val="kursiv"/>
        </w:rPr>
        <w:t>tilstrekkeleg</w:t>
      </w:r>
      <w:proofErr w:type="spellEnd"/>
      <w:r w:rsidRPr="00225D4D">
        <w:rPr>
          <w:rStyle w:val="kursiv"/>
        </w:rPr>
        <w:t xml:space="preserve"> oppfølging av dyrevelferden i landbruket.</w:t>
      </w:r>
    </w:p>
    <w:p w14:paraId="67CEC5FD" w14:textId="77777777" w:rsidR="00D60186" w:rsidRPr="00225D4D" w:rsidRDefault="00D60186" w:rsidP="00225D4D">
      <w:pPr>
        <w:pStyle w:val="Liste2"/>
        <w:rPr>
          <w:rStyle w:val="kursiv"/>
        </w:rPr>
      </w:pPr>
      <w:r w:rsidRPr="00225D4D">
        <w:rPr>
          <w:rStyle w:val="kursiv"/>
        </w:rPr>
        <w:t xml:space="preserve">å greie ut </w:t>
      </w:r>
      <w:proofErr w:type="spellStart"/>
      <w:r w:rsidRPr="00225D4D">
        <w:rPr>
          <w:rStyle w:val="kursiv"/>
        </w:rPr>
        <w:t>merkeordningar</w:t>
      </w:r>
      <w:proofErr w:type="spellEnd"/>
      <w:r w:rsidRPr="00225D4D">
        <w:rPr>
          <w:rStyle w:val="kursiv"/>
        </w:rPr>
        <w:t xml:space="preserve"> som </w:t>
      </w:r>
      <w:proofErr w:type="spellStart"/>
      <w:r w:rsidRPr="00225D4D">
        <w:rPr>
          <w:rStyle w:val="kursiv"/>
        </w:rPr>
        <w:t>gjer</w:t>
      </w:r>
      <w:proofErr w:type="spellEnd"/>
      <w:r w:rsidRPr="00225D4D">
        <w:rPr>
          <w:rStyle w:val="kursiv"/>
        </w:rPr>
        <w:t xml:space="preserve"> det </w:t>
      </w:r>
      <w:proofErr w:type="spellStart"/>
      <w:r w:rsidRPr="00225D4D">
        <w:rPr>
          <w:rStyle w:val="kursiv"/>
        </w:rPr>
        <w:t>lettare</w:t>
      </w:r>
      <w:proofErr w:type="spellEnd"/>
      <w:r w:rsidRPr="00225D4D">
        <w:rPr>
          <w:rStyle w:val="kursiv"/>
        </w:rPr>
        <w:t xml:space="preserve"> for </w:t>
      </w:r>
      <w:proofErr w:type="spellStart"/>
      <w:r w:rsidRPr="00225D4D">
        <w:rPr>
          <w:rStyle w:val="kursiv"/>
        </w:rPr>
        <w:t>forbrukaren</w:t>
      </w:r>
      <w:proofErr w:type="spellEnd"/>
      <w:r w:rsidRPr="00225D4D">
        <w:rPr>
          <w:rStyle w:val="kursiv"/>
        </w:rPr>
        <w:t xml:space="preserve"> å </w:t>
      </w:r>
      <w:proofErr w:type="spellStart"/>
      <w:r w:rsidRPr="00225D4D">
        <w:rPr>
          <w:rStyle w:val="kursiv"/>
        </w:rPr>
        <w:t>velje</w:t>
      </w:r>
      <w:proofErr w:type="spellEnd"/>
      <w:r w:rsidRPr="00225D4D">
        <w:rPr>
          <w:rStyle w:val="kursiv"/>
        </w:rPr>
        <w:t xml:space="preserve"> </w:t>
      </w:r>
      <w:proofErr w:type="spellStart"/>
      <w:r w:rsidRPr="00225D4D">
        <w:rPr>
          <w:rStyle w:val="kursiv"/>
        </w:rPr>
        <w:t>dyrevenlege</w:t>
      </w:r>
      <w:proofErr w:type="spellEnd"/>
      <w:r w:rsidRPr="00225D4D">
        <w:rPr>
          <w:rStyle w:val="kursiv"/>
        </w:rPr>
        <w:t xml:space="preserve"> produkt. Ei slik merkeordning kan </w:t>
      </w:r>
      <w:proofErr w:type="spellStart"/>
      <w:r w:rsidRPr="00225D4D">
        <w:rPr>
          <w:rStyle w:val="kursiv"/>
        </w:rPr>
        <w:t>vere</w:t>
      </w:r>
      <w:proofErr w:type="spellEnd"/>
      <w:r w:rsidRPr="00225D4D">
        <w:rPr>
          <w:rStyle w:val="kursiv"/>
        </w:rPr>
        <w:t xml:space="preserve"> </w:t>
      </w:r>
      <w:proofErr w:type="spellStart"/>
      <w:r w:rsidRPr="00225D4D">
        <w:rPr>
          <w:rStyle w:val="kursiv"/>
        </w:rPr>
        <w:t>statleg</w:t>
      </w:r>
      <w:proofErr w:type="spellEnd"/>
      <w:r w:rsidRPr="00225D4D">
        <w:rPr>
          <w:rStyle w:val="kursiv"/>
        </w:rPr>
        <w:t xml:space="preserve"> eller privat.</w:t>
      </w:r>
    </w:p>
    <w:p w14:paraId="028E6709" w14:textId="77777777" w:rsidR="00D60186" w:rsidRPr="00225D4D" w:rsidRDefault="00D60186" w:rsidP="00225D4D">
      <w:pPr>
        <w:pStyle w:val="Liste2"/>
        <w:rPr>
          <w:rStyle w:val="kursiv"/>
        </w:rPr>
      </w:pPr>
      <w:r w:rsidRPr="00225D4D">
        <w:rPr>
          <w:rStyle w:val="kursiv"/>
        </w:rPr>
        <w:t xml:space="preserve">å greie ut korleis </w:t>
      </w:r>
      <w:proofErr w:type="spellStart"/>
      <w:r w:rsidRPr="00225D4D">
        <w:rPr>
          <w:rStyle w:val="kursiv"/>
        </w:rPr>
        <w:t>grisar</w:t>
      </w:r>
      <w:proofErr w:type="spellEnd"/>
      <w:r w:rsidRPr="00225D4D">
        <w:rPr>
          <w:rStyle w:val="kursiv"/>
        </w:rPr>
        <w:t xml:space="preserve"> kan </w:t>
      </w:r>
      <w:proofErr w:type="spellStart"/>
      <w:r w:rsidRPr="00225D4D">
        <w:rPr>
          <w:rStyle w:val="kursiv"/>
        </w:rPr>
        <w:t>sikrast</w:t>
      </w:r>
      <w:proofErr w:type="spellEnd"/>
      <w:r w:rsidRPr="00225D4D">
        <w:rPr>
          <w:rStyle w:val="kursiv"/>
        </w:rPr>
        <w:t xml:space="preserve"> betre tilgang til uteareal, til dømes gjennom </w:t>
      </w:r>
      <w:proofErr w:type="spellStart"/>
      <w:r w:rsidRPr="00225D4D">
        <w:rPr>
          <w:rStyle w:val="kursiv"/>
        </w:rPr>
        <w:t>tilskots</w:t>
      </w:r>
      <w:proofErr w:type="spellEnd"/>
      <w:r w:rsidRPr="00225D4D">
        <w:rPr>
          <w:rStyle w:val="kursiv"/>
        </w:rPr>
        <w:t xml:space="preserve">- eller </w:t>
      </w:r>
      <w:proofErr w:type="spellStart"/>
      <w:r w:rsidRPr="00225D4D">
        <w:rPr>
          <w:rStyle w:val="kursiv"/>
        </w:rPr>
        <w:t>merkeordningar</w:t>
      </w:r>
      <w:proofErr w:type="spellEnd"/>
      <w:r w:rsidRPr="00225D4D">
        <w:rPr>
          <w:rStyle w:val="kursiv"/>
        </w:rPr>
        <w:t xml:space="preserve">, eventuelt gjennom </w:t>
      </w:r>
      <w:proofErr w:type="spellStart"/>
      <w:r w:rsidRPr="00225D4D">
        <w:rPr>
          <w:rStyle w:val="kursiv"/>
        </w:rPr>
        <w:t>endringar</w:t>
      </w:r>
      <w:proofErr w:type="spellEnd"/>
      <w:r w:rsidRPr="00225D4D">
        <w:rPr>
          <w:rStyle w:val="kursiv"/>
        </w:rPr>
        <w:t xml:space="preserve"> i lovverket.»</w:t>
      </w:r>
    </w:p>
    <w:p w14:paraId="2C137BDE" w14:textId="77777777" w:rsidR="00D60186" w:rsidRPr="00225D4D" w:rsidRDefault="00D60186" w:rsidP="00225D4D">
      <w:r w:rsidRPr="00225D4D">
        <w:t xml:space="preserve">Vedtaket blei fatta ved handsaminga av Dokument 8:25 S (2021–2022), jf. </w:t>
      </w:r>
      <w:proofErr w:type="spellStart"/>
      <w:r w:rsidRPr="00225D4D">
        <w:t>Innst</w:t>
      </w:r>
      <w:proofErr w:type="spellEnd"/>
      <w:r w:rsidRPr="00225D4D">
        <w:t xml:space="preserve">. 130 S (2021–2022), som </w:t>
      </w:r>
      <w:proofErr w:type="spellStart"/>
      <w:r w:rsidRPr="00225D4D">
        <w:t>omhandlar</w:t>
      </w:r>
      <w:proofErr w:type="spellEnd"/>
      <w:r w:rsidRPr="00225D4D">
        <w:t xml:space="preserve"> representantforslag om å </w:t>
      </w:r>
      <w:proofErr w:type="spellStart"/>
      <w:r w:rsidRPr="00225D4D">
        <w:t>styrkje</w:t>
      </w:r>
      <w:proofErr w:type="spellEnd"/>
      <w:r w:rsidRPr="00225D4D">
        <w:t xml:space="preserve"> dyrevelferda for produksjonsdyr.</w:t>
      </w:r>
    </w:p>
    <w:p w14:paraId="0283C4F4" w14:textId="77777777" w:rsidR="00D60186" w:rsidRPr="00225D4D" w:rsidRDefault="00D60186" w:rsidP="00225D4D">
      <w:r w:rsidRPr="00225D4D">
        <w:t xml:space="preserve">Meld. St. 8 (2024–2024) </w:t>
      </w:r>
      <w:r w:rsidRPr="00225D4D">
        <w:rPr>
          <w:rStyle w:val="kursiv"/>
        </w:rPr>
        <w:t>Dyrevelferd</w:t>
      </w:r>
      <w:r w:rsidRPr="00225D4D">
        <w:t xml:space="preserve">, blei lagd fram for Stortinget 20. desember 2024 og handsama i Stortinget 8. april 2025. Dyrevelferdsmeldinga gir, i tråd med oppmodingsvedtaket, </w:t>
      </w:r>
      <w:proofErr w:type="spellStart"/>
      <w:r w:rsidRPr="00225D4D">
        <w:t>ein</w:t>
      </w:r>
      <w:proofErr w:type="spellEnd"/>
      <w:r w:rsidRPr="00225D4D">
        <w:t xml:space="preserve"> </w:t>
      </w:r>
      <w:proofErr w:type="spellStart"/>
      <w:r w:rsidRPr="00225D4D">
        <w:t>heilskapleg</w:t>
      </w:r>
      <w:proofErr w:type="spellEnd"/>
      <w:r w:rsidRPr="00225D4D">
        <w:t xml:space="preserve"> gjennomgang av dyrevelferda og </w:t>
      </w:r>
      <w:proofErr w:type="spellStart"/>
      <w:r w:rsidRPr="00225D4D">
        <w:t>omfattar</w:t>
      </w:r>
      <w:proofErr w:type="spellEnd"/>
      <w:r w:rsidRPr="00225D4D">
        <w:t xml:space="preserve"> både produksjonsdyr i landbruket, kjæledyr og fiskeoppdrett. Konkrete tiltak blir </w:t>
      </w:r>
      <w:proofErr w:type="spellStart"/>
      <w:r w:rsidRPr="00225D4D">
        <w:t>utgreidd</w:t>
      </w:r>
      <w:proofErr w:type="spellEnd"/>
      <w:r w:rsidRPr="00225D4D">
        <w:t xml:space="preserve"> og foreslått, både for å </w:t>
      </w:r>
      <w:proofErr w:type="spellStart"/>
      <w:r w:rsidRPr="00225D4D">
        <w:t>forbetre</w:t>
      </w:r>
      <w:proofErr w:type="spellEnd"/>
      <w:r w:rsidRPr="00225D4D">
        <w:t xml:space="preserve"> dyrevelferda generelt og for spesifikke </w:t>
      </w:r>
      <w:proofErr w:type="spellStart"/>
      <w:r w:rsidRPr="00225D4D">
        <w:t>artar</w:t>
      </w:r>
      <w:proofErr w:type="spellEnd"/>
      <w:r w:rsidRPr="00225D4D">
        <w:t xml:space="preserve"> og grupper av dyr.</w:t>
      </w:r>
    </w:p>
    <w:p w14:paraId="14276BD5" w14:textId="77777777" w:rsidR="00D60186" w:rsidRPr="00225D4D" w:rsidRDefault="00D60186" w:rsidP="00225D4D">
      <w:pPr>
        <w:pStyle w:val="Liste"/>
      </w:pPr>
      <w:r w:rsidRPr="00225D4D">
        <w:t xml:space="preserve">Innretning av økonomiske </w:t>
      </w:r>
      <w:proofErr w:type="spellStart"/>
      <w:r w:rsidRPr="00225D4D">
        <w:t>verkemiddel</w:t>
      </w:r>
      <w:proofErr w:type="spellEnd"/>
      <w:r w:rsidRPr="00225D4D">
        <w:t xml:space="preserve"> i landbrukspolitikken blir avklart i </w:t>
      </w:r>
      <w:proofErr w:type="spellStart"/>
      <w:r w:rsidRPr="00225D4D">
        <w:t>dei</w:t>
      </w:r>
      <w:proofErr w:type="spellEnd"/>
      <w:r w:rsidRPr="00225D4D">
        <w:t xml:space="preserve"> </w:t>
      </w:r>
      <w:proofErr w:type="spellStart"/>
      <w:r w:rsidRPr="00225D4D">
        <w:t>årlege</w:t>
      </w:r>
      <w:proofErr w:type="spellEnd"/>
      <w:r w:rsidRPr="00225D4D">
        <w:t xml:space="preserve"> </w:t>
      </w:r>
      <w:proofErr w:type="spellStart"/>
      <w:r w:rsidRPr="00225D4D">
        <w:t>jordbruksforhandlingane</w:t>
      </w:r>
      <w:proofErr w:type="spellEnd"/>
      <w:r w:rsidRPr="00225D4D">
        <w:t xml:space="preserve"> og fell etter vurderinga til regjeringa </w:t>
      </w:r>
      <w:proofErr w:type="spellStart"/>
      <w:r w:rsidRPr="00225D4D">
        <w:t>utanfor</w:t>
      </w:r>
      <w:proofErr w:type="spellEnd"/>
      <w:r w:rsidRPr="00225D4D">
        <w:t xml:space="preserve"> rammene av stortingsmeldinga. Det blir i dag ytt </w:t>
      </w:r>
      <w:proofErr w:type="spellStart"/>
      <w:r w:rsidRPr="00225D4D">
        <w:t>investeringsmidlar</w:t>
      </w:r>
      <w:proofErr w:type="spellEnd"/>
      <w:r w:rsidRPr="00225D4D">
        <w:t xml:space="preserve"> over jordbruksavtalen mellom anna til omlegging av mjølkeproduksjonen til lausdrift.</w:t>
      </w:r>
    </w:p>
    <w:p w14:paraId="47607DC8" w14:textId="77777777" w:rsidR="00D60186" w:rsidRPr="00225D4D" w:rsidRDefault="00D60186" w:rsidP="00225D4D">
      <w:pPr>
        <w:pStyle w:val="Liste"/>
      </w:pPr>
      <w:r w:rsidRPr="00225D4D">
        <w:t xml:space="preserve">Potensielle </w:t>
      </w:r>
      <w:proofErr w:type="spellStart"/>
      <w:r w:rsidRPr="00225D4D">
        <w:t>endringar</w:t>
      </w:r>
      <w:proofErr w:type="spellEnd"/>
      <w:r w:rsidRPr="00225D4D">
        <w:t xml:space="preserve"> i norsk regelverk som </w:t>
      </w:r>
      <w:proofErr w:type="spellStart"/>
      <w:r w:rsidRPr="00225D4D">
        <w:t>følgje</w:t>
      </w:r>
      <w:proofErr w:type="spellEnd"/>
      <w:r w:rsidRPr="00225D4D">
        <w:t xml:space="preserve"> av eventuelt endra EU-regelverk, er </w:t>
      </w:r>
      <w:proofErr w:type="spellStart"/>
      <w:r w:rsidRPr="00225D4D">
        <w:t>ikkje</w:t>
      </w:r>
      <w:proofErr w:type="spellEnd"/>
      <w:r w:rsidRPr="00225D4D">
        <w:t xml:space="preserve"> </w:t>
      </w:r>
      <w:proofErr w:type="spellStart"/>
      <w:r w:rsidRPr="00225D4D">
        <w:t>utgreidd</w:t>
      </w:r>
      <w:proofErr w:type="spellEnd"/>
      <w:r w:rsidRPr="00225D4D">
        <w:t xml:space="preserve"> fordi det </w:t>
      </w:r>
      <w:proofErr w:type="spellStart"/>
      <w:r w:rsidRPr="00225D4D">
        <w:t>ikkje</w:t>
      </w:r>
      <w:proofErr w:type="spellEnd"/>
      <w:r w:rsidRPr="00225D4D">
        <w:t xml:space="preserve"> er klart korleis EU-regelverket i tilfelle blir utforma. Meldinga omtaler likevel ulike tiltak for å fase ut burhald og gi dyr større plass.</w:t>
      </w:r>
    </w:p>
    <w:p w14:paraId="5BC6435D" w14:textId="77777777" w:rsidR="00D60186" w:rsidRPr="00225D4D" w:rsidRDefault="00D60186" w:rsidP="00225D4D">
      <w:pPr>
        <w:pStyle w:val="Liste"/>
      </w:pPr>
      <w:r w:rsidRPr="00225D4D">
        <w:t xml:space="preserve">Meldinga </w:t>
      </w:r>
      <w:proofErr w:type="spellStart"/>
      <w:r w:rsidRPr="00225D4D">
        <w:t>drøftar</w:t>
      </w:r>
      <w:proofErr w:type="spellEnd"/>
      <w:r w:rsidRPr="00225D4D">
        <w:t xml:space="preserve"> forhold som kan </w:t>
      </w:r>
      <w:proofErr w:type="spellStart"/>
      <w:r w:rsidRPr="00225D4D">
        <w:t>styrkje</w:t>
      </w:r>
      <w:proofErr w:type="spellEnd"/>
      <w:r w:rsidRPr="00225D4D">
        <w:t xml:space="preserve"> Mattilsynet sin kontroll- og rettleiingsfunksjon, under dette </w:t>
      </w:r>
      <w:proofErr w:type="spellStart"/>
      <w:r w:rsidRPr="00225D4D">
        <w:t>forbetre</w:t>
      </w:r>
      <w:proofErr w:type="spellEnd"/>
      <w:r w:rsidRPr="00225D4D">
        <w:t xml:space="preserve"> </w:t>
      </w:r>
      <w:proofErr w:type="spellStart"/>
      <w:r w:rsidRPr="00225D4D">
        <w:t>oversikta</w:t>
      </w:r>
      <w:proofErr w:type="spellEnd"/>
      <w:r w:rsidRPr="00225D4D">
        <w:t xml:space="preserve"> over tilstanden i </w:t>
      </w:r>
      <w:proofErr w:type="spellStart"/>
      <w:r w:rsidRPr="00225D4D">
        <w:t>dyrehalda</w:t>
      </w:r>
      <w:proofErr w:type="spellEnd"/>
      <w:r w:rsidRPr="00225D4D">
        <w:t xml:space="preserve"> og styrking av Mattilsynet sine </w:t>
      </w:r>
      <w:proofErr w:type="spellStart"/>
      <w:r w:rsidRPr="00225D4D">
        <w:t>verkemiddel</w:t>
      </w:r>
      <w:proofErr w:type="spellEnd"/>
      <w:r w:rsidRPr="00225D4D">
        <w:t>. Ressursspørsmål for Mattilsynet vil bli handtert i den ordinære budsjettprosessen.</w:t>
      </w:r>
    </w:p>
    <w:p w14:paraId="60131B3A" w14:textId="77777777" w:rsidR="00D60186" w:rsidRPr="00225D4D" w:rsidRDefault="00D60186" w:rsidP="00225D4D">
      <w:pPr>
        <w:pStyle w:val="Liste"/>
      </w:pPr>
      <w:proofErr w:type="spellStart"/>
      <w:r w:rsidRPr="00225D4D">
        <w:t>Moglege</w:t>
      </w:r>
      <w:proofErr w:type="spellEnd"/>
      <w:r w:rsidRPr="00225D4D">
        <w:t xml:space="preserve"> </w:t>
      </w:r>
      <w:proofErr w:type="spellStart"/>
      <w:r w:rsidRPr="00225D4D">
        <w:t>merkeordningar</w:t>
      </w:r>
      <w:proofErr w:type="spellEnd"/>
      <w:r w:rsidRPr="00225D4D">
        <w:t xml:space="preserve">, i </w:t>
      </w:r>
      <w:proofErr w:type="spellStart"/>
      <w:r w:rsidRPr="00225D4D">
        <w:t>statleg</w:t>
      </w:r>
      <w:proofErr w:type="spellEnd"/>
      <w:r w:rsidRPr="00225D4D">
        <w:t xml:space="preserve"> eller privat regi, for å </w:t>
      </w:r>
      <w:proofErr w:type="spellStart"/>
      <w:r w:rsidRPr="00225D4D">
        <w:t>gjere</w:t>
      </w:r>
      <w:proofErr w:type="spellEnd"/>
      <w:r w:rsidRPr="00225D4D">
        <w:t xml:space="preserve"> det </w:t>
      </w:r>
      <w:proofErr w:type="spellStart"/>
      <w:r w:rsidRPr="00225D4D">
        <w:t>lettare</w:t>
      </w:r>
      <w:proofErr w:type="spellEnd"/>
      <w:r w:rsidRPr="00225D4D">
        <w:t xml:space="preserve"> for </w:t>
      </w:r>
      <w:proofErr w:type="spellStart"/>
      <w:r w:rsidRPr="00225D4D">
        <w:t>forbrukarane</w:t>
      </w:r>
      <w:proofErr w:type="spellEnd"/>
      <w:r w:rsidRPr="00225D4D">
        <w:t xml:space="preserve"> å </w:t>
      </w:r>
      <w:proofErr w:type="spellStart"/>
      <w:r w:rsidRPr="00225D4D">
        <w:t>velje</w:t>
      </w:r>
      <w:proofErr w:type="spellEnd"/>
      <w:r w:rsidRPr="00225D4D">
        <w:t xml:space="preserve"> </w:t>
      </w:r>
      <w:proofErr w:type="spellStart"/>
      <w:r w:rsidRPr="00225D4D">
        <w:t>dyrevenlege</w:t>
      </w:r>
      <w:proofErr w:type="spellEnd"/>
      <w:r w:rsidRPr="00225D4D">
        <w:t xml:space="preserve"> produkt, er drøfta, jf. meldinga sitt kap. 7.4.1 om dyrevelferdsmerking.</w:t>
      </w:r>
    </w:p>
    <w:p w14:paraId="5808751B" w14:textId="77777777" w:rsidR="00D60186" w:rsidRPr="00225D4D" w:rsidRDefault="00D60186" w:rsidP="00225D4D">
      <w:pPr>
        <w:pStyle w:val="Liste"/>
      </w:pPr>
      <w:r w:rsidRPr="00225D4D">
        <w:t xml:space="preserve">Meldinga signaliserer at departementet vil greie ut korleis areal og kvaliteten på areal til svin kan </w:t>
      </w:r>
      <w:proofErr w:type="spellStart"/>
      <w:r w:rsidRPr="00225D4D">
        <w:t>aukast</w:t>
      </w:r>
      <w:proofErr w:type="spellEnd"/>
      <w:r w:rsidRPr="00225D4D">
        <w:t xml:space="preserve"> og </w:t>
      </w:r>
      <w:proofErr w:type="spellStart"/>
      <w:r w:rsidRPr="00225D4D">
        <w:t>utviklast</w:t>
      </w:r>
      <w:proofErr w:type="spellEnd"/>
      <w:r w:rsidRPr="00225D4D">
        <w:t xml:space="preserve"> for framtidige driftssystem i svineproduksjonen.</w:t>
      </w:r>
    </w:p>
    <w:p w14:paraId="5781825F" w14:textId="77777777" w:rsidR="00D60186" w:rsidRPr="00225D4D" w:rsidRDefault="00D60186" w:rsidP="00225D4D">
      <w:r w:rsidRPr="00225D4D">
        <w:t xml:space="preserve">Landbruks- og matdepartementet arbeider </w:t>
      </w:r>
      <w:proofErr w:type="spellStart"/>
      <w:r w:rsidRPr="00225D4D">
        <w:t>no</w:t>
      </w:r>
      <w:proofErr w:type="spellEnd"/>
      <w:r w:rsidRPr="00225D4D">
        <w:t xml:space="preserve"> med å </w:t>
      </w:r>
      <w:proofErr w:type="spellStart"/>
      <w:r w:rsidRPr="00225D4D">
        <w:t>følgje</w:t>
      </w:r>
      <w:proofErr w:type="spellEnd"/>
      <w:r w:rsidRPr="00225D4D">
        <w:t xml:space="preserve"> opp meldinga. Departementet </w:t>
      </w:r>
      <w:proofErr w:type="spellStart"/>
      <w:r w:rsidRPr="00225D4D">
        <w:t>legg</w:t>
      </w:r>
      <w:proofErr w:type="spellEnd"/>
      <w:r w:rsidRPr="00225D4D">
        <w:t xml:space="preserve"> til grunn at vedtak nr. 383, 15. februar 2022, med dette er </w:t>
      </w:r>
      <w:proofErr w:type="spellStart"/>
      <w:r w:rsidRPr="00225D4D">
        <w:t>følgt</w:t>
      </w:r>
      <w:proofErr w:type="spellEnd"/>
      <w:r w:rsidRPr="00225D4D">
        <w:t xml:space="preserve"> opp.</w:t>
      </w:r>
    </w:p>
    <w:p w14:paraId="1E735021" w14:textId="77777777" w:rsidR="00D60186" w:rsidRPr="00225D4D" w:rsidRDefault="00D60186" w:rsidP="00225D4D">
      <w:pPr>
        <w:pStyle w:val="avsnitt-tittel"/>
      </w:pPr>
      <w:r w:rsidRPr="00225D4D">
        <w:t>Alternativ til CO</w:t>
      </w:r>
      <w:r w:rsidRPr="00225D4D">
        <w:rPr>
          <w:rStyle w:val="skrift-senket"/>
        </w:rPr>
        <w:t>2</w:t>
      </w:r>
      <w:r w:rsidRPr="00225D4D">
        <w:t>-bedøving av dyr</w:t>
      </w:r>
    </w:p>
    <w:p w14:paraId="48D5BEC1" w14:textId="77777777" w:rsidR="00D60186" w:rsidRPr="00225D4D" w:rsidRDefault="00D60186" w:rsidP="00225D4D">
      <w:pPr>
        <w:pStyle w:val="avsnitt-undertittel"/>
      </w:pPr>
      <w:r w:rsidRPr="00225D4D">
        <w:t>Vedtak nr. 384, 15. februar 2022:</w:t>
      </w:r>
    </w:p>
    <w:p w14:paraId="4B03D7DE" w14:textId="77777777" w:rsidR="00D60186" w:rsidRPr="00225D4D" w:rsidRDefault="00D60186" w:rsidP="00225D4D">
      <w:pPr>
        <w:pStyle w:val="blokksit"/>
        <w:rPr>
          <w:rStyle w:val="kursiv"/>
        </w:rPr>
      </w:pPr>
      <w:r w:rsidRPr="00225D4D">
        <w:rPr>
          <w:rStyle w:val="kursiv"/>
        </w:rPr>
        <w:t>«Stortinget ber regjeringa sørge for at det vert forska på alternativ til CO</w:t>
      </w:r>
      <w:r w:rsidRPr="00225D4D">
        <w:rPr>
          <w:rStyle w:val="skrift-senket"/>
        </w:rPr>
        <w:t>2</w:t>
      </w:r>
      <w:r w:rsidRPr="00225D4D">
        <w:rPr>
          <w:rStyle w:val="kursiv"/>
        </w:rPr>
        <w:t xml:space="preserve">-bedøving av dyr i slakteri og kverning av </w:t>
      </w:r>
      <w:proofErr w:type="spellStart"/>
      <w:r w:rsidRPr="00225D4D">
        <w:rPr>
          <w:rStyle w:val="kursiv"/>
        </w:rPr>
        <w:t>hanekyllingar</w:t>
      </w:r>
      <w:proofErr w:type="spellEnd"/>
      <w:r w:rsidRPr="00225D4D">
        <w:rPr>
          <w:rStyle w:val="kursiv"/>
        </w:rPr>
        <w:t xml:space="preserve"> (maserasjon), med mål om at det vert innført betre </w:t>
      </w:r>
      <w:proofErr w:type="spellStart"/>
      <w:r w:rsidRPr="00225D4D">
        <w:rPr>
          <w:rStyle w:val="kursiv"/>
        </w:rPr>
        <w:t>metodar</w:t>
      </w:r>
      <w:proofErr w:type="spellEnd"/>
      <w:r w:rsidRPr="00225D4D">
        <w:rPr>
          <w:rStyle w:val="kursiv"/>
        </w:rPr>
        <w:t xml:space="preserve"> for avliving, og at det på sikt kan </w:t>
      </w:r>
      <w:proofErr w:type="spellStart"/>
      <w:r w:rsidRPr="00225D4D">
        <w:rPr>
          <w:rStyle w:val="kursiv"/>
        </w:rPr>
        <w:t>innførast</w:t>
      </w:r>
      <w:proofErr w:type="spellEnd"/>
      <w:r w:rsidRPr="00225D4D">
        <w:rPr>
          <w:rStyle w:val="kursiv"/>
        </w:rPr>
        <w:t xml:space="preserve"> </w:t>
      </w:r>
      <w:proofErr w:type="spellStart"/>
      <w:r w:rsidRPr="00225D4D">
        <w:rPr>
          <w:rStyle w:val="kursiv"/>
        </w:rPr>
        <w:t>eit</w:t>
      </w:r>
      <w:proofErr w:type="spellEnd"/>
      <w:r w:rsidRPr="00225D4D">
        <w:rPr>
          <w:rStyle w:val="kursiv"/>
        </w:rPr>
        <w:t xml:space="preserve"> </w:t>
      </w:r>
      <w:proofErr w:type="spellStart"/>
      <w:r w:rsidRPr="00225D4D">
        <w:rPr>
          <w:rStyle w:val="kursiv"/>
        </w:rPr>
        <w:t>forbod</w:t>
      </w:r>
      <w:proofErr w:type="spellEnd"/>
      <w:r w:rsidRPr="00225D4D">
        <w:rPr>
          <w:rStyle w:val="kursiv"/>
        </w:rPr>
        <w:t xml:space="preserve"> mot dagens praksis.»</w:t>
      </w:r>
    </w:p>
    <w:p w14:paraId="6D7D2CBF" w14:textId="77777777" w:rsidR="00D60186" w:rsidRPr="00225D4D" w:rsidRDefault="00D60186" w:rsidP="00225D4D">
      <w:r w:rsidRPr="00225D4D">
        <w:t xml:space="preserve">Vedtaket blei fatta ved handsaminga av Dokument 8:25 S (2021–2022), jf. </w:t>
      </w:r>
      <w:proofErr w:type="spellStart"/>
      <w:r w:rsidRPr="00225D4D">
        <w:t>Innst</w:t>
      </w:r>
      <w:proofErr w:type="spellEnd"/>
      <w:r w:rsidRPr="00225D4D">
        <w:t xml:space="preserve">. 130 S (2021–2022), som </w:t>
      </w:r>
      <w:proofErr w:type="spellStart"/>
      <w:r w:rsidRPr="00225D4D">
        <w:t>omhandlar</w:t>
      </w:r>
      <w:proofErr w:type="spellEnd"/>
      <w:r w:rsidRPr="00225D4D">
        <w:t xml:space="preserve"> representantforslag om å </w:t>
      </w:r>
      <w:proofErr w:type="spellStart"/>
      <w:r w:rsidRPr="00225D4D">
        <w:t>styrkje</w:t>
      </w:r>
      <w:proofErr w:type="spellEnd"/>
      <w:r w:rsidRPr="00225D4D">
        <w:t xml:space="preserve"> dyrevelferda for produksjonsdyr.</w:t>
      </w:r>
    </w:p>
    <w:p w14:paraId="762A9810" w14:textId="77777777" w:rsidR="00D60186" w:rsidRPr="00225D4D" w:rsidRDefault="00D60186" w:rsidP="00225D4D">
      <w:r w:rsidRPr="00225D4D">
        <w:t>Det går føre seg internasjonal forsking på alternativ til bedøving av dyr med CO</w:t>
      </w:r>
      <w:r w:rsidRPr="00225D4D">
        <w:rPr>
          <w:rStyle w:val="skrift-senket"/>
        </w:rPr>
        <w:t>2</w:t>
      </w:r>
      <w:r w:rsidRPr="00225D4D">
        <w:t xml:space="preserve"> og alternative </w:t>
      </w:r>
      <w:proofErr w:type="spellStart"/>
      <w:r w:rsidRPr="00225D4D">
        <w:t>metodar</w:t>
      </w:r>
      <w:proofErr w:type="spellEnd"/>
      <w:r w:rsidRPr="00225D4D">
        <w:t xml:space="preserve"> til kverning av daggamle </w:t>
      </w:r>
      <w:proofErr w:type="spellStart"/>
      <w:r w:rsidRPr="00225D4D">
        <w:t>hanekyllingar</w:t>
      </w:r>
      <w:proofErr w:type="spellEnd"/>
      <w:r w:rsidRPr="00225D4D">
        <w:t xml:space="preserve">. Landbruks- og matdepartementet følgjer med på denne forskinga. </w:t>
      </w:r>
      <w:proofErr w:type="spellStart"/>
      <w:r w:rsidRPr="00225D4D">
        <w:t>Metodar</w:t>
      </w:r>
      <w:proofErr w:type="spellEnd"/>
      <w:r w:rsidRPr="00225D4D">
        <w:t xml:space="preserve"> for avliving av dyr er regulerte i EØS-harmonisert regelverk. Så langt </w:t>
      </w:r>
      <w:proofErr w:type="spellStart"/>
      <w:r w:rsidRPr="00225D4D">
        <w:t>synest</w:t>
      </w:r>
      <w:proofErr w:type="spellEnd"/>
      <w:r w:rsidRPr="00225D4D">
        <w:t xml:space="preserve"> det </w:t>
      </w:r>
      <w:proofErr w:type="spellStart"/>
      <w:r w:rsidRPr="00225D4D">
        <w:t>krevjande</w:t>
      </w:r>
      <w:proofErr w:type="spellEnd"/>
      <w:r w:rsidRPr="00225D4D">
        <w:t xml:space="preserve"> å identifisere fullgode alternativ til CO</w:t>
      </w:r>
      <w:r w:rsidRPr="00225D4D">
        <w:rPr>
          <w:rStyle w:val="skrift-senket"/>
        </w:rPr>
        <w:t>2</w:t>
      </w:r>
      <w:r w:rsidRPr="00225D4D">
        <w:t xml:space="preserve">-bedøving. I </w:t>
      </w:r>
      <w:proofErr w:type="spellStart"/>
      <w:r w:rsidRPr="00225D4D">
        <w:t>Noreg</w:t>
      </w:r>
      <w:proofErr w:type="spellEnd"/>
      <w:r w:rsidRPr="00225D4D">
        <w:t xml:space="preserve"> har </w:t>
      </w:r>
      <w:proofErr w:type="spellStart"/>
      <w:r w:rsidRPr="00225D4D">
        <w:t>eitt</w:t>
      </w:r>
      <w:proofErr w:type="spellEnd"/>
      <w:r w:rsidRPr="00225D4D">
        <w:t xml:space="preserve"> av to verpehønerugerier installert sorteringsmaskin som sorterer ut egg med </w:t>
      </w:r>
      <w:proofErr w:type="spellStart"/>
      <w:r w:rsidRPr="00225D4D">
        <w:t>hanekyllingar</w:t>
      </w:r>
      <w:proofErr w:type="spellEnd"/>
      <w:r w:rsidRPr="00225D4D">
        <w:t xml:space="preserve"> </w:t>
      </w:r>
      <w:proofErr w:type="spellStart"/>
      <w:r w:rsidRPr="00225D4D">
        <w:t>tidleg</w:t>
      </w:r>
      <w:proofErr w:type="spellEnd"/>
      <w:r w:rsidRPr="00225D4D">
        <w:t xml:space="preserve"> i rugeprosessen, slik at </w:t>
      </w:r>
      <w:proofErr w:type="spellStart"/>
      <w:r w:rsidRPr="00225D4D">
        <w:t>hanekyllingembryo</w:t>
      </w:r>
      <w:proofErr w:type="spellEnd"/>
      <w:r w:rsidRPr="00225D4D">
        <w:t xml:space="preserve"> blir avliva i egget. I stortingsmeldinga </w:t>
      </w:r>
      <w:proofErr w:type="spellStart"/>
      <w:r w:rsidRPr="00225D4D">
        <w:t>uttrykkjer</w:t>
      </w:r>
      <w:proofErr w:type="spellEnd"/>
      <w:r w:rsidRPr="00225D4D">
        <w:t xml:space="preserve"> regjeringa støtte til satsinga til næringa på </w:t>
      </w:r>
      <w:proofErr w:type="spellStart"/>
      <w:r w:rsidRPr="00225D4D">
        <w:t>metodar</w:t>
      </w:r>
      <w:proofErr w:type="spellEnd"/>
      <w:r w:rsidRPr="00225D4D">
        <w:t xml:space="preserve"> for kjønnssortering i egget, og signaliserer at det skal </w:t>
      </w:r>
      <w:proofErr w:type="spellStart"/>
      <w:r w:rsidRPr="00225D4D">
        <w:t>arbeidast</w:t>
      </w:r>
      <w:proofErr w:type="spellEnd"/>
      <w:r w:rsidRPr="00225D4D">
        <w:t xml:space="preserve"> for </w:t>
      </w:r>
      <w:proofErr w:type="spellStart"/>
      <w:r w:rsidRPr="00225D4D">
        <w:t>eit</w:t>
      </w:r>
      <w:proofErr w:type="spellEnd"/>
      <w:r w:rsidRPr="00225D4D">
        <w:t xml:space="preserve"> europeisk </w:t>
      </w:r>
      <w:proofErr w:type="spellStart"/>
      <w:r w:rsidRPr="00225D4D">
        <w:t>forbod</w:t>
      </w:r>
      <w:proofErr w:type="spellEnd"/>
      <w:r w:rsidRPr="00225D4D">
        <w:t xml:space="preserve"> mot kverning av daggamle </w:t>
      </w:r>
      <w:proofErr w:type="spellStart"/>
      <w:r w:rsidRPr="00225D4D">
        <w:t>kyllingar</w:t>
      </w:r>
      <w:proofErr w:type="spellEnd"/>
      <w:r w:rsidRPr="00225D4D">
        <w:t xml:space="preserve">. Departementet </w:t>
      </w:r>
      <w:proofErr w:type="spellStart"/>
      <w:r w:rsidRPr="00225D4D">
        <w:t>legg</w:t>
      </w:r>
      <w:proofErr w:type="spellEnd"/>
      <w:r w:rsidRPr="00225D4D">
        <w:t xml:space="preserve"> til grunn at vedtak nr. 384, 15. februar 2022, med dette er </w:t>
      </w:r>
      <w:proofErr w:type="spellStart"/>
      <w:r w:rsidRPr="00225D4D">
        <w:t>følgt</w:t>
      </w:r>
      <w:proofErr w:type="spellEnd"/>
      <w:r w:rsidRPr="00225D4D">
        <w:t xml:space="preserve"> opp.</w:t>
      </w:r>
    </w:p>
    <w:p w14:paraId="5B18A79B" w14:textId="77777777" w:rsidR="00D60186" w:rsidRPr="00225D4D" w:rsidRDefault="00D60186" w:rsidP="00225D4D">
      <w:pPr>
        <w:pStyle w:val="Overskrift2"/>
      </w:pPr>
      <w:r w:rsidRPr="00225D4D">
        <w:t>Oppmodings- og utgreiingsvedtak i stortingssesjonen 2017–2018</w:t>
      </w:r>
    </w:p>
    <w:p w14:paraId="5BE2C0A5" w14:textId="77777777" w:rsidR="00D60186" w:rsidRPr="00225D4D" w:rsidRDefault="00D60186" w:rsidP="00225D4D">
      <w:pPr>
        <w:pStyle w:val="avsnitt-tittel"/>
      </w:pPr>
      <w:proofErr w:type="spellStart"/>
      <w:r w:rsidRPr="00225D4D">
        <w:t>Fremje</w:t>
      </w:r>
      <w:proofErr w:type="spellEnd"/>
      <w:r w:rsidRPr="00225D4D">
        <w:t xml:space="preserve"> forslag til ei </w:t>
      </w:r>
      <w:proofErr w:type="spellStart"/>
      <w:r w:rsidRPr="00225D4D">
        <w:t>matkastelov</w:t>
      </w:r>
      <w:proofErr w:type="spellEnd"/>
    </w:p>
    <w:p w14:paraId="250563E4" w14:textId="77777777" w:rsidR="00D60186" w:rsidRPr="00225D4D" w:rsidRDefault="00D60186" w:rsidP="00225D4D">
      <w:pPr>
        <w:pStyle w:val="avsnitt-undertittel"/>
      </w:pPr>
      <w:r w:rsidRPr="00225D4D">
        <w:t>Vedtak nr. 489, 27. februar 2018:</w:t>
      </w:r>
    </w:p>
    <w:p w14:paraId="5AD5F586" w14:textId="77777777" w:rsidR="00D60186" w:rsidRPr="00225D4D" w:rsidRDefault="00D60186" w:rsidP="00225D4D">
      <w:pPr>
        <w:pStyle w:val="blokksit"/>
        <w:rPr>
          <w:rStyle w:val="kursiv"/>
        </w:rPr>
      </w:pPr>
      <w:r w:rsidRPr="00225D4D">
        <w:rPr>
          <w:rStyle w:val="kursiv"/>
        </w:rPr>
        <w:t xml:space="preserve">«Stortinget ber regjeringen fremme forslag til en </w:t>
      </w:r>
      <w:proofErr w:type="spellStart"/>
      <w:r w:rsidRPr="00225D4D">
        <w:rPr>
          <w:rStyle w:val="kursiv"/>
        </w:rPr>
        <w:t>matkastelov</w:t>
      </w:r>
      <w:proofErr w:type="spellEnd"/>
      <w:r w:rsidRPr="00225D4D">
        <w:rPr>
          <w:rStyle w:val="kursiv"/>
        </w:rPr>
        <w:t xml:space="preserve"> som omfatter næringsmiddelindustrien og matvarebransjen. Loven bør omfatte påbud om å donere all spiselig overskuddsmat til veldedige formål og sekundært til dyrefôr, samt påbud om å offentliggjøre nøkkeltall knyttet til matsvinn og reduksjon av matsvinn.»</w:t>
      </w:r>
    </w:p>
    <w:p w14:paraId="5D38EB65" w14:textId="77777777" w:rsidR="00D60186" w:rsidRPr="00225D4D" w:rsidRDefault="00D60186" w:rsidP="00225D4D">
      <w:r w:rsidRPr="00225D4D">
        <w:t xml:space="preserve">Vedtaket blei fatta ved handsaminga av Meld. St. 45 (2016–2017) </w:t>
      </w:r>
      <w:r w:rsidRPr="00225D4D">
        <w:rPr>
          <w:rStyle w:val="kursiv"/>
        </w:rPr>
        <w:t>Avfall som ressurs – Avfallspolitikk og sirkulær økonomi</w:t>
      </w:r>
      <w:r w:rsidRPr="00225D4D">
        <w:t xml:space="preserve">, jf. </w:t>
      </w:r>
      <w:proofErr w:type="spellStart"/>
      <w:r w:rsidRPr="00225D4D">
        <w:t>Innst</w:t>
      </w:r>
      <w:proofErr w:type="spellEnd"/>
      <w:r w:rsidRPr="00225D4D">
        <w:t>. 127 S (2017–2018).</w:t>
      </w:r>
    </w:p>
    <w:p w14:paraId="6BAB7A19" w14:textId="77777777" w:rsidR="00D60186" w:rsidRPr="00225D4D" w:rsidRDefault="00D60186" w:rsidP="00225D4D">
      <w:r w:rsidRPr="00225D4D">
        <w:t xml:space="preserve">Regjeringa sette i februar 2023 ned </w:t>
      </w:r>
      <w:proofErr w:type="spellStart"/>
      <w:r w:rsidRPr="00225D4D">
        <w:t>eit</w:t>
      </w:r>
      <w:proofErr w:type="spellEnd"/>
      <w:r w:rsidRPr="00225D4D">
        <w:t xml:space="preserve"> </w:t>
      </w:r>
      <w:proofErr w:type="spellStart"/>
      <w:r w:rsidRPr="00225D4D">
        <w:t>utval</w:t>
      </w:r>
      <w:proofErr w:type="spellEnd"/>
      <w:r w:rsidRPr="00225D4D">
        <w:t xml:space="preserve"> som skal greie ut </w:t>
      </w:r>
      <w:proofErr w:type="spellStart"/>
      <w:r w:rsidRPr="00225D4D">
        <w:t>heilskapleg</w:t>
      </w:r>
      <w:proofErr w:type="spellEnd"/>
      <w:r w:rsidRPr="00225D4D">
        <w:t xml:space="preserve"> tiltaks- og verkemiddelbruk for å nå målet om 50 pst. reduksjon av matsvinnet </w:t>
      </w:r>
      <w:proofErr w:type="spellStart"/>
      <w:r w:rsidRPr="00225D4D">
        <w:t>innan</w:t>
      </w:r>
      <w:proofErr w:type="spellEnd"/>
      <w:r w:rsidRPr="00225D4D">
        <w:t xml:space="preserve"> 2030, og korleis ei </w:t>
      </w:r>
      <w:proofErr w:type="spellStart"/>
      <w:r w:rsidRPr="00225D4D">
        <w:t>matkastelov</w:t>
      </w:r>
      <w:proofErr w:type="spellEnd"/>
      <w:r w:rsidRPr="00225D4D">
        <w:t xml:space="preserve"> skal inngå i </w:t>
      </w:r>
      <w:proofErr w:type="spellStart"/>
      <w:r w:rsidRPr="00225D4D">
        <w:t>ein</w:t>
      </w:r>
      <w:proofErr w:type="spellEnd"/>
      <w:r w:rsidRPr="00225D4D">
        <w:t xml:space="preserve"> samla verkemiddelbruk. Rapport </w:t>
      </w:r>
      <w:proofErr w:type="spellStart"/>
      <w:r w:rsidRPr="00225D4D">
        <w:t>frå</w:t>
      </w:r>
      <w:proofErr w:type="spellEnd"/>
      <w:r w:rsidRPr="00225D4D">
        <w:t xml:space="preserve"> </w:t>
      </w:r>
      <w:proofErr w:type="spellStart"/>
      <w:r w:rsidRPr="00225D4D">
        <w:t>utvalet</w:t>
      </w:r>
      <w:proofErr w:type="spellEnd"/>
      <w:r w:rsidRPr="00225D4D">
        <w:t xml:space="preserve"> kom i januar 2024.</w:t>
      </w:r>
    </w:p>
    <w:p w14:paraId="2C780D51" w14:textId="77777777" w:rsidR="00D60186" w:rsidRPr="00225D4D" w:rsidRDefault="00D60186" w:rsidP="00225D4D">
      <w:r w:rsidRPr="00225D4D">
        <w:t xml:space="preserve">Landbruks- og matdepartementet har </w:t>
      </w:r>
      <w:proofErr w:type="spellStart"/>
      <w:r w:rsidRPr="00225D4D">
        <w:t>følgt</w:t>
      </w:r>
      <w:proofErr w:type="spellEnd"/>
      <w:r w:rsidRPr="00225D4D">
        <w:t xml:space="preserve"> opp saka i samråd med Helse- og omsorgsdepartementet, Nærings- og fiskeridepartementet, Klima- og miljødepartementet og Barne- og familiedepartementet. Regjeringa la fram forslag til lov om </w:t>
      </w:r>
      <w:proofErr w:type="spellStart"/>
      <w:r w:rsidRPr="00225D4D">
        <w:t>førebygging</w:t>
      </w:r>
      <w:proofErr w:type="spellEnd"/>
      <w:r w:rsidRPr="00225D4D">
        <w:t xml:space="preserve"> og reduksjon av matsvinn for Stortinget i april 2025, og lova blei </w:t>
      </w:r>
      <w:proofErr w:type="spellStart"/>
      <w:r w:rsidRPr="00225D4D">
        <w:t>vedteken</w:t>
      </w:r>
      <w:proofErr w:type="spellEnd"/>
      <w:r w:rsidRPr="00225D4D">
        <w:t xml:space="preserve"> av Stortinget i juni 2025. §§ 4 og 5 i lova følgjer opp del 2 av oppmodingsvedtaket om </w:t>
      </w:r>
      <w:proofErr w:type="spellStart"/>
      <w:r w:rsidRPr="00225D4D">
        <w:t>påbod</w:t>
      </w:r>
      <w:proofErr w:type="spellEnd"/>
      <w:r w:rsidRPr="00225D4D">
        <w:t xml:space="preserve"> om </w:t>
      </w:r>
      <w:proofErr w:type="spellStart"/>
      <w:r w:rsidRPr="00225D4D">
        <w:t>offentleggjering</w:t>
      </w:r>
      <w:proofErr w:type="spellEnd"/>
      <w:r w:rsidRPr="00225D4D">
        <w:t xml:space="preserve"> av nøkkeltal og donasjon av overskottsmat. Det er òg sett i gang utgreiingsarbeid for å få på plass </w:t>
      </w:r>
      <w:proofErr w:type="spellStart"/>
      <w:r w:rsidRPr="00225D4D">
        <w:t>utfyllande</w:t>
      </w:r>
      <w:proofErr w:type="spellEnd"/>
      <w:r w:rsidRPr="00225D4D">
        <w:t xml:space="preserve"> forskrifter med sikte på at </w:t>
      </w:r>
      <w:proofErr w:type="spellStart"/>
      <w:r w:rsidRPr="00225D4D">
        <w:t>desse</w:t>
      </w:r>
      <w:proofErr w:type="spellEnd"/>
      <w:r w:rsidRPr="00225D4D">
        <w:t xml:space="preserve"> trer i kraft i løpet av 2026. Departementet </w:t>
      </w:r>
      <w:proofErr w:type="spellStart"/>
      <w:r w:rsidRPr="00225D4D">
        <w:t>legg</w:t>
      </w:r>
      <w:proofErr w:type="spellEnd"/>
      <w:r w:rsidRPr="00225D4D">
        <w:t xml:space="preserve"> til grunn at vedtak nr. 489, 27. februar 2018, med dette er </w:t>
      </w:r>
      <w:proofErr w:type="spellStart"/>
      <w:r w:rsidRPr="00225D4D">
        <w:t>følgt</w:t>
      </w:r>
      <w:proofErr w:type="spellEnd"/>
      <w:r w:rsidRPr="00225D4D">
        <w:t xml:space="preserve"> opp.</w:t>
      </w:r>
    </w:p>
    <w:p w14:paraId="14A39633" w14:textId="77777777" w:rsidR="00D60186" w:rsidRPr="00225D4D" w:rsidRDefault="00D60186" w:rsidP="00225D4D">
      <w:pPr>
        <w:pStyle w:val="Overskrift1"/>
      </w:pPr>
      <w:r w:rsidRPr="00225D4D">
        <w:t>Nærings- og fiskeridepartementet</w:t>
      </w:r>
    </w:p>
    <w:p w14:paraId="62C5D7BA" w14:textId="77777777" w:rsidR="00D60186" w:rsidRPr="00225D4D" w:rsidRDefault="00D60186" w:rsidP="00225D4D">
      <w:r w:rsidRPr="00225D4D">
        <w:t xml:space="preserve">Nedenfor gis en oversikt over oppfølging av anmodnings- og utredningsvedtak under Nærings- og fiskeridepartementet. Oversikten inkluderer alle vedtak fra stortingssesjonen 2024–2025, og de vedtakene fra tidligere stortingssesjoner som kontroll- og konstitusjonskomiteen i </w:t>
      </w:r>
      <w:proofErr w:type="spellStart"/>
      <w:r w:rsidRPr="00225D4D">
        <w:t>Innst</w:t>
      </w:r>
      <w:proofErr w:type="spellEnd"/>
      <w:r w:rsidRPr="00225D4D">
        <w:t>. 216 S (2024–2025) mente ikke var kvittert ut. I tabellen nedenfor angis det også hvorvidt departementet planlegger at rapporteringen knyttet til anmodningsvedtaket nå avsluttes eller om departementet vil rapportere konkret på vedtaket også i neste års budsjettproposisjon.</w:t>
      </w:r>
    </w:p>
    <w:p w14:paraId="70E61375" w14:textId="45855E9F" w:rsidR="002D4C2A" w:rsidRPr="00225D4D" w:rsidRDefault="002D4C2A" w:rsidP="00225D4D">
      <w:pPr>
        <w:pStyle w:val="tabell-tittel"/>
      </w:pPr>
      <w:r w:rsidRPr="00225D4D">
        <w:t>Oversikt over anmodnings- og utredningsvedtak, ordnet etter sesjon og nummer</w:t>
      </w:r>
    </w:p>
    <w:p w14:paraId="5AF1D30F" w14:textId="77777777" w:rsidR="00D60186" w:rsidRPr="00225D4D" w:rsidRDefault="00D60186" w:rsidP="00225D4D">
      <w:pPr>
        <w:pStyle w:val="Tabellnavn"/>
      </w:pPr>
      <w:r w:rsidRPr="00225D4D">
        <w:t>04J1xx2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5600"/>
        <w:gridCol w:w="1400"/>
      </w:tblGrid>
      <w:tr w:rsidR="00E76DC8" w:rsidRPr="00225D4D" w14:paraId="2EB8D868"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05C600" w14:textId="77777777" w:rsidR="00D60186" w:rsidRPr="008D6210" w:rsidRDefault="00D60186" w:rsidP="00225D4D">
            <w:pPr>
              <w:rPr>
                <w:sz w:val="21"/>
                <w:szCs w:val="21"/>
              </w:rPr>
            </w:pPr>
            <w:r w:rsidRPr="008D6210">
              <w:rPr>
                <w:sz w:val="21"/>
                <w:szCs w:val="21"/>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89D2C7" w14:textId="77777777" w:rsidR="00D60186" w:rsidRPr="008D6210" w:rsidRDefault="00D60186" w:rsidP="008D6210">
            <w:pPr>
              <w:ind w:right="113"/>
              <w:jc w:val="right"/>
              <w:rPr>
                <w:sz w:val="21"/>
                <w:szCs w:val="21"/>
              </w:rPr>
            </w:pPr>
            <w:r w:rsidRPr="008D6210">
              <w:rPr>
                <w:sz w:val="21"/>
                <w:szCs w:val="21"/>
              </w:rPr>
              <w:t>Vedtak nr.</w:t>
            </w:r>
          </w:p>
        </w:tc>
        <w:tc>
          <w:tcPr>
            <w:tcW w:w="56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6801E6" w14:textId="77777777" w:rsidR="00D60186" w:rsidRPr="008D6210" w:rsidRDefault="00D60186" w:rsidP="00225D4D">
            <w:pPr>
              <w:rPr>
                <w:sz w:val="21"/>
                <w:szCs w:val="21"/>
              </w:rPr>
            </w:pPr>
            <w:r w:rsidRPr="008D6210">
              <w:rPr>
                <w:sz w:val="21"/>
                <w:szCs w:val="21"/>
              </w:rPr>
              <w:t>Stikkord</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D93B8" w14:textId="77777777" w:rsidR="00D60186" w:rsidRPr="008D6210" w:rsidRDefault="00D60186" w:rsidP="008D6210">
            <w:pPr>
              <w:jc w:val="right"/>
              <w:rPr>
                <w:sz w:val="21"/>
                <w:szCs w:val="21"/>
              </w:rPr>
            </w:pPr>
            <w:r w:rsidRPr="008D6210">
              <w:rPr>
                <w:sz w:val="21"/>
                <w:szCs w:val="21"/>
              </w:rPr>
              <w:t xml:space="preserve">Rapportering </w:t>
            </w:r>
            <w:r w:rsidRPr="008D6210">
              <w:rPr>
                <w:sz w:val="21"/>
                <w:szCs w:val="21"/>
              </w:rPr>
              <w:br/>
              <w:t xml:space="preserve">avsluttes </w:t>
            </w:r>
            <w:r w:rsidRPr="008D6210">
              <w:rPr>
                <w:sz w:val="21"/>
                <w:szCs w:val="21"/>
              </w:rPr>
              <w:br/>
              <w:t>(Ja/Nei)</w:t>
            </w:r>
          </w:p>
        </w:tc>
      </w:tr>
      <w:tr w:rsidR="00E76DC8" w:rsidRPr="00225D4D" w14:paraId="7B0BC8FD" w14:textId="77777777" w:rsidTr="004003C1">
        <w:trPr>
          <w:trHeight w:val="20"/>
        </w:trPr>
        <w:tc>
          <w:tcPr>
            <w:tcW w:w="1400" w:type="dxa"/>
            <w:tcBorders>
              <w:top w:val="single" w:sz="4" w:space="0" w:color="000000"/>
              <w:left w:val="nil"/>
              <w:bottom w:val="nil"/>
              <w:right w:val="nil"/>
            </w:tcBorders>
            <w:tcMar>
              <w:top w:w="128" w:type="dxa"/>
              <w:left w:w="43" w:type="dxa"/>
              <w:bottom w:w="43" w:type="dxa"/>
              <w:right w:w="43" w:type="dxa"/>
            </w:tcMar>
          </w:tcPr>
          <w:p w14:paraId="0452CA1A" w14:textId="77777777" w:rsidR="00D60186" w:rsidRPr="008D6210" w:rsidRDefault="00D60186" w:rsidP="00225D4D">
            <w:pPr>
              <w:rPr>
                <w:sz w:val="21"/>
                <w:szCs w:val="21"/>
              </w:rPr>
            </w:pPr>
            <w:r w:rsidRPr="008D6210">
              <w:rPr>
                <w:sz w:val="21"/>
                <w:szCs w:val="21"/>
              </w:rPr>
              <w:t>2024–2025</w:t>
            </w:r>
          </w:p>
        </w:tc>
        <w:tc>
          <w:tcPr>
            <w:tcW w:w="1120" w:type="dxa"/>
            <w:tcBorders>
              <w:top w:val="single" w:sz="4" w:space="0" w:color="000000"/>
              <w:left w:val="nil"/>
              <w:bottom w:val="nil"/>
              <w:right w:val="nil"/>
            </w:tcBorders>
            <w:tcMar>
              <w:top w:w="128" w:type="dxa"/>
              <w:left w:w="43" w:type="dxa"/>
              <w:bottom w:w="43" w:type="dxa"/>
              <w:right w:w="43" w:type="dxa"/>
            </w:tcMar>
          </w:tcPr>
          <w:p w14:paraId="77200363" w14:textId="77777777" w:rsidR="00D60186" w:rsidRPr="008D6210" w:rsidRDefault="00D60186" w:rsidP="008D6210">
            <w:pPr>
              <w:ind w:right="113"/>
              <w:jc w:val="right"/>
              <w:rPr>
                <w:sz w:val="21"/>
                <w:szCs w:val="21"/>
              </w:rPr>
            </w:pPr>
            <w:r w:rsidRPr="008D6210">
              <w:rPr>
                <w:sz w:val="21"/>
                <w:szCs w:val="21"/>
              </w:rPr>
              <w:t>99</w:t>
            </w:r>
          </w:p>
        </w:tc>
        <w:tc>
          <w:tcPr>
            <w:tcW w:w="5600" w:type="dxa"/>
            <w:tcBorders>
              <w:top w:val="single" w:sz="4" w:space="0" w:color="000000"/>
              <w:left w:val="nil"/>
              <w:bottom w:val="nil"/>
              <w:right w:val="nil"/>
            </w:tcBorders>
            <w:tcMar>
              <w:top w:w="128" w:type="dxa"/>
              <w:left w:w="43" w:type="dxa"/>
              <w:bottom w:w="43" w:type="dxa"/>
              <w:right w:w="43" w:type="dxa"/>
            </w:tcMar>
          </w:tcPr>
          <w:p w14:paraId="222ED2CB" w14:textId="77777777" w:rsidR="00D60186" w:rsidRPr="008D6210" w:rsidRDefault="00D60186" w:rsidP="00225D4D">
            <w:pPr>
              <w:rPr>
                <w:sz w:val="21"/>
                <w:szCs w:val="21"/>
              </w:rPr>
            </w:pPr>
            <w:r w:rsidRPr="008D6210">
              <w:rPr>
                <w:sz w:val="21"/>
                <w:szCs w:val="21"/>
              </w:rPr>
              <w:t>Turistfiske – reduksjon i utførselskvoten</w:t>
            </w:r>
          </w:p>
        </w:tc>
        <w:tc>
          <w:tcPr>
            <w:tcW w:w="1400" w:type="dxa"/>
            <w:tcBorders>
              <w:top w:val="single" w:sz="4" w:space="0" w:color="000000"/>
              <w:left w:val="nil"/>
              <w:bottom w:val="nil"/>
              <w:right w:val="nil"/>
            </w:tcBorders>
            <w:tcMar>
              <w:top w:w="128" w:type="dxa"/>
              <w:left w:w="43" w:type="dxa"/>
              <w:bottom w:w="43" w:type="dxa"/>
              <w:right w:w="43" w:type="dxa"/>
            </w:tcMar>
          </w:tcPr>
          <w:p w14:paraId="795989E3" w14:textId="77777777" w:rsidR="00D60186" w:rsidRPr="008D6210" w:rsidRDefault="00D60186" w:rsidP="008D6210">
            <w:pPr>
              <w:jc w:val="right"/>
              <w:rPr>
                <w:sz w:val="21"/>
                <w:szCs w:val="21"/>
              </w:rPr>
            </w:pPr>
            <w:r w:rsidRPr="008D6210">
              <w:rPr>
                <w:sz w:val="21"/>
                <w:szCs w:val="21"/>
              </w:rPr>
              <w:t>Ja</w:t>
            </w:r>
          </w:p>
        </w:tc>
      </w:tr>
      <w:tr w:rsidR="00E76DC8" w:rsidRPr="00225D4D" w14:paraId="718EE12B"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E2A981C"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31A29F0" w14:textId="77777777" w:rsidR="00D60186" w:rsidRPr="008D6210" w:rsidRDefault="00D60186" w:rsidP="008D6210">
            <w:pPr>
              <w:ind w:right="113"/>
              <w:jc w:val="right"/>
              <w:rPr>
                <w:sz w:val="21"/>
                <w:szCs w:val="21"/>
              </w:rPr>
            </w:pPr>
            <w:r w:rsidRPr="008D6210">
              <w:rPr>
                <w:sz w:val="21"/>
                <w:szCs w:val="21"/>
              </w:rPr>
              <w:t>100</w:t>
            </w:r>
          </w:p>
        </w:tc>
        <w:tc>
          <w:tcPr>
            <w:tcW w:w="5600" w:type="dxa"/>
            <w:tcBorders>
              <w:top w:val="nil"/>
              <w:left w:val="nil"/>
              <w:bottom w:val="nil"/>
              <w:right w:val="nil"/>
            </w:tcBorders>
            <w:tcMar>
              <w:top w:w="128" w:type="dxa"/>
              <w:left w:w="43" w:type="dxa"/>
              <w:bottom w:w="43" w:type="dxa"/>
              <w:right w:w="43" w:type="dxa"/>
            </w:tcMar>
          </w:tcPr>
          <w:p w14:paraId="6DC7A5C4" w14:textId="77777777" w:rsidR="00D60186" w:rsidRPr="008D6210" w:rsidRDefault="00D60186" w:rsidP="00225D4D">
            <w:pPr>
              <w:rPr>
                <w:sz w:val="21"/>
                <w:szCs w:val="21"/>
              </w:rPr>
            </w:pPr>
            <w:r w:rsidRPr="008D6210">
              <w:rPr>
                <w:sz w:val="21"/>
                <w:szCs w:val="21"/>
              </w:rPr>
              <w:t>Oppdrett – utvidelse av forbud mot utslipp av behandlingsvann</w:t>
            </w:r>
          </w:p>
        </w:tc>
        <w:tc>
          <w:tcPr>
            <w:tcW w:w="1400" w:type="dxa"/>
            <w:tcBorders>
              <w:top w:val="nil"/>
              <w:left w:val="nil"/>
              <w:bottom w:val="nil"/>
              <w:right w:val="nil"/>
            </w:tcBorders>
            <w:tcMar>
              <w:top w:w="128" w:type="dxa"/>
              <w:left w:w="43" w:type="dxa"/>
              <w:bottom w:w="43" w:type="dxa"/>
              <w:right w:w="43" w:type="dxa"/>
            </w:tcMar>
          </w:tcPr>
          <w:p w14:paraId="1F2F3848" w14:textId="77777777" w:rsidR="00D60186" w:rsidRPr="008D6210" w:rsidRDefault="00D60186" w:rsidP="008D6210">
            <w:pPr>
              <w:jc w:val="right"/>
              <w:rPr>
                <w:sz w:val="21"/>
                <w:szCs w:val="21"/>
              </w:rPr>
            </w:pPr>
            <w:r w:rsidRPr="008D6210">
              <w:rPr>
                <w:sz w:val="21"/>
                <w:szCs w:val="21"/>
              </w:rPr>
              <w:t>Ja</w:t>
            </w:r>
          </w:p>
        </w:tc>
      </w:tr>
      <w:tr w:rsidR="00E76DC8" w:rsidRPr="00225D4D" w14:paraId="471AF39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161259C"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6EC963B" w14:textId="77777777" w:rsidR="00D60186" w:rsidRPr="008D6210" w:rsidRDefault="00D60186" w:rsidP="008D6210">
            <w:pPr>
              <w:ind w:right="113"/>
              <w:jc w:val="right"/>
              <w:rPr>
                <w:sz w:val="21"/>
                <w:szCs w:val="21"/>
              </w:rPr>
            </w:pPr>
            <w:r w:rsidRPr="008D6210">
              <w:rPr>
                <w:sz w:val="21"/>
                <w:szCs w:val="21"/>
              </w:rPr>
              <w:t>461</w:t>
            </w:r>
          </w:p>
        </w:tc>
        <w:tc>
          <w:tcPr>
            <w:tcW w:w="5600" w:type="dxa"/>
            <w:tcBorders>
              <w:top w:val="nil"/>
              <w:left w:val="nil"/>
              <w:bottom w:val="nil"/>
              <w:right w:val="nil"/>
            </w:tcBorders>
            <w:tcMar>
              <w:top w:w="128" w:type="dxa"/>
              <w:left w:w="43" w:type="dxa"/>
              <w:bottom w:w="43" w:type="dxa"/>
              <w:right w:w="43" w:type="dxa"/>
            </w:tcMar>
          </w:tcPr>
          <w:p w14:paraId="4D4C36FD" w14:textId="77777777" w:rsidR="00D60186" w:rsidRPr="008D6210" w:rsidRDefault="00D60186" w:rsidP="00225D4D">
            <w:pPr>
              <w:rPr>
                <w:sz w:val="21"/>
                <w:szCs w:val="21"/>
              </w:rPr>
            </w:pPr>
            <w:r w:rsidRPr="008D6210">
              <w:rPr>
                <w:sz w:val="21"/>
                <w:szCs w:val="21"/>
              </w:rPr>
              <w:t>Regulatoriske sandkasser – testing av ny teknologi</w:t>
            </w:r>
          </w:p>
        </w:tc>
        <w:tc>
          <w:tcPr>
            <w:tcW w:w="1400" w:type="dxa"/>
            <w:tcBorders>
              <w:top w:val="nil"/>
              <w:left w:val="nil"/>
              <w:bottom w:val="nil"/>
              <w:right w:val="nil"/>
            </w:tcBorders>
            <w:tcMar>
              <w:top w:w="128" w:type="dxa"/>
              <w:left w:w="43" w:type="dxa"/>
              <w:bottom w:w="43" w:type="dxa"/>
              <w:right w:w="43" w:type="dxa"/>
            </w:tcMar>
          </w:tcPr>
          <w:p w14:paraId="7FE674C7" w14:textId="77777777" w:rsidR="00D60186" w:rsidRPr="008D6210" w:rsidRDefault="00D60186" w:rsidP="008D6210">
            <w:pPr>
              <w:jc w:val="right"/>
              <w:rPr>
                <w:sz w:val="21"/>
                <w:szCs w:val="21"/>
              </w:rPr>
            </w:pPr>
            <w:r w:rsidRPr="008D6210">
              <w:rPr>
                <w:sz w:val="21"/>
                <w:szCs w:val="21"/>
              </w:rPr>
              <w:t>Ja</w:t>
            </w:r>
          </w:p>
        </w:tc>
      </w:tr>
      <w:tr w:rsidR="00E76DC8" w:rsidRPr="00225D4D" w14:paraId="1CA20F0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FFF1CDA"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902B7DB" w14:textId="77777777" w:rsidR="00D60186" w:rsidRPr="008D6210" w:rsidRDefault="00D60186" w:rsidP="008D6210">
            <w:pPr>
              <w:ind w:right="113"/>
              <w:jc w:val="right"/>
              <w:rPr>
                <w:sz w:val="21"/>
                <w:szCs w:val="21"/>
              </w:rPr>
            </w:pPr>
            <w:r w:rsidRPr="008D6210">
              <w:rPr>
                <w:sz w:val="21"/>
                <w:szCs w:val="21"/>
              </w:rPr>
              <w:t>462</w:t>
            </w:r>
          </w:p>
        </w:tc>
        <w:tc>
          <w:tcPr>
            <w:tcW w:w="5600" w:type="dxa"/>
            <w:tcBorders>
              <w:top w:val="nil"/>
              <w:left w:val="nil"/>
              <w:bottom w:val="nil"/>
              <w:right w:val="nil"/>
            </w:tcBorders>
            <w:tcMar>
              <w:top w:w="128" w:type="dxa"/>
              <w:left w:w="43" w:type="dxa"/>
              <w:bottom w:w="43" w:type="dxa"/>
              <w:right w:w="43" w:type="dxa"/>
            </w:tcMar>
          </w:tcPr>
          <w:p w14:paraId="68540C52" w14:textId="77777777" w:rsidR="00D60186" w:rsidRPr="008D6210" w:rsidRDefault="00D60186" w:rsidP="00225D4D">
            <w:pPr>
              <w:rPr>
                <w:sz w:val="21"/>
                <w:szCs w:val="21"/>
              </w:rPr>
            </w:pPr>
            <w:r w:rsidRPr="008D6210">
              <w:rPr>
                <w:sz w:val="21"/>
                <w:szCs w:val="21"/>
              </w:rPr>
              <w:t>FoU i næringslivet – 2 pst. av BNP</w:t>
            </w:r>
          </w:p>
        </w:tc>
        <w:tc>
          <w:tcPr>
            <w:tcW w:w="1400" w:type="dxa"/>
            <w:tcBorders>
              <w:top w:val="nil"/>
              <w:left w:val="nil"/>
              <w:bottom w:val="nil"/>
              <w:right w:val="nil"/>
            </w:tcBorders>
            <w:tcMar>
              <w:top w:w="128" w:type="dxa"/>
              <w:left w:w="43" w:type="dxa"/>
              <w:bottom w:w="43" w:type="dxa"/>
              <w:right w:w="43" w:type="dxa"/>
            </w:tcMar>
          </w:tcPr>
          <w:p w14:paraId="7B6995BB" w14:textId="77777777" w:rsidR="00D60186" w:rsidRPr="008D6210" w:rsidRDefault="00D60186" w:rsidP="008D6210">
            <w:pPr>
              <w:jc w:val="right"/>
              <w:rPr>
                <w:sz w:val="21"/>
                <w:szCs w:val="21"/>
              </w:rPr>
            </w:pPr>
            <w:r w:rsidRPr="008D6210">
              <w:rPr>
                <w:sz w:val="21"/>
                <w:szCs w:val="21"/>
              </w:rPr>
              <w:t>Ja</w:t>
            </w:r>
          </w:p>
        </w:tc>
      </w:tr>
      <w:tr w:rsidR="00E76DC8" w:rsidRPr="00225D4D" w14:paraId="670293E6"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026A51C"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598CD6F" w14:textId="77777777" w:rsidR="00D60186" w:rsidRPr="008D6210" w:rsidRDefault="00D60186" w:rsidP="008D6210">
            <w:pPr>
              <w:ind w:right="113"/>
              <w:jc w:val="right"/>
              <w:rPr>
                <w:sz w:val="21"/>
                <w:szCs w:val="21"/>
              </w:rPr>
            </w:pPr>
            <w:r w:rsidRPr="008D6210">
              <w:rPr>
                <w:sz w:val="21"/>
                <w:szCs w:val="21"/>
              </w:rPr>
              <w:t>463</w:t>
            </w:r>
          </w:p>
        </w:tc>
        <w:tc>
          <w:tcPr>
            <w:tcW w:w="5600" w:type="dxa"/>
            <w:tcBorders>
              <w:top w:val="nil"/>
              <w:left w:val="nil"/>
              <w:bottom w:val="nil"/>
              <w:right w:val="nil"/>
            </w:tcBorders>
            <w:tcMar>
              <w:top w:w="128" w:type="dxa"/>
              <w:left w:w="43" w:type="dxa"/>
              <w:bottom w:w="43" w:type="dxa"/>
              <w:right w:w="43" w:type="dxa"/>
            </w:tcMar>
          </w:tcPr>
          <w:p w14:paraId="420DDFE2" w14:textId="77777777" w:rsidR="00D60186" w:rsidRPr="008D6210" w:rsidRDefault="00D60186" w:rsidP="00225D4D">
            <w:pPr>
              <w:rPr>
                <w:sz w:val="21"/>
                <w:szCs w:val="21"/>
              </w:rPr>
            </w:pPr>
            <w:r w:rsidRPr="008D6210">
              <w:rPr>
                <w:sz w:val="21"/>
                <w:szCs w:val="21"/>
              </w:rPr>
              <w:t>Kompetansehevingsprogrammer – offentlig sektor</w:t>
            </w:r>
          </w:p>
        </w:tc>
        <w:tc>
          <w:tcPr>
            <w:tcW w:w="1400" w:type="dxa"/>
            <w:tcBorders>
              <w:top w:val="nil"/>
              <w:left w:val="nil"/>
              <w:bottom w:val="nil"/>
              <w:right w:val="nil"/>
            </w:tcBorders>
            <w:tcMar>
              <w:top w:w="128" w:type="dxa"/>
              <w:left w:w="43" w:type="dxa"/>
              <w:bottom w:w="43" w:type="dxa"/>
              <w:right w:w="43" w:type="dxa"/>
            </w:tcMar>
          </w:tcPr>
          <w:p w14:paraId="2952C2A9" w14:textId="77777777" w:rsidR="00D60186" w:rsidRPr="008D6210" w:rsidRDefault="00D60186" w:rsidP="008D6210">
            <w:pPr>
              <w:jc w:val="right"/>
              <w:rPr>
                <w:sz w:val="21"/>
                <w:szCs w:val="21"/>
              </w:rPr>
            </w:pPr>
            <w:r w:rsidRPr="008D6210">
              <w:rPr>
                <w:sz w:val="21"/>
                <w:szCs w:val="21"/>
              </w:rPr>
              <w:t>Ja</w:t>
            </w:r>
          </w:p>
        </w:tc>
      </w:tr>
      <w:tr w:rsidR="00E76DC8" w:rsidRPr="00225D4D" w14:paraId="1D5F296F"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8F0DBD5"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B2E6F30" w14:textId="77777777" w:rsidR="00D60186" w:rsidRPr="008D6210" w:rsidRDefault="00D60186" w:rsidP="008D6210">
            <w:pPr>
              <w:ind w:right="113"/>
              <w:jc w:val="right"/>
              <w:rPr>
                <w:sz w:val="21"/>
                <w:szCs w:val="21"/>
              </w:rPr>
            </w:pPr>
            <w:r w:rsidRPr="008D6210">
              <w:rPr>
                <w:sz w:val="21"/>
                <w:szCs w:val="21"/>
              </w:rPr>
              <w:t>465</w:t>
            </w:r>
          </w:p>
        </w:tc>
        <w:tc>
          <w:tcPr>
            <w:tcW w:w="5600" w:type="dxa"/>
            <w:tcBorders>
              <w:top w:val="nil"/>
              <w:left w:val="nil"/>
              <w:bottom w:val="nil"/>
              <w:right w:val="nil"/>
            </w:tcBorders>
            <w:tcMar>
              <w:top w:w="128" w:type="dxa"/>
              <w:left w:w="43" w:type="dxa"/>
              <w:bottom w:w="43" w:type="dxa"/>
              <w:right w:w="43" w:type="dxa"/>
            </w:tcMar>
          </w:tcPr>
          <w:p w14:paraId="3F6C8B75" w14:textId="77777777" w:rsidR="00D60186" w:rsidRPr="008D6210" w:rsidRDefault="00D60186" w:rsidP="00225D4D">
            <w:pPr>
              <w:rPr>
                <w:sz w:val="21"/>
                <w:szCs w:val="21"/>
              </w:rPr>
            </w:pPr>
            <w:r w:rsidRPr="008D6210">
              <w:rPr>
                <w:sz w:val="21"/>
                <w:szCs w:val="21"/>
              </w:rPr>
              <w:t>Immaterielle verdier – kreative næringer</w:t>
            </w:r>
          </w:p>
        </w:tc>
        <w:tc>
          <w:tcPr>
            <w:tcW w:w="1400" w:type="dxa"/>
            <w:tcBorders>
              <w:top w:val="nil"/>
              <w:left w:val="nil"/>
              <w:bottom w:val="nil"/>
              <w:right w:val="nil"/>
            </w:tcBorders>
            <w:tcMar>
              <w:top w:w="128" w:type="dxa"/>
              <w:left w:w="43" w:type="dxa"/>
              <w:bottom w:w="43" w:type="dxa"/>
              <w:right w:w="43" w:type="dxa"/>
            </w:tcMar>
          </w:tcPr>
          <w:p w14:paraId="422EEDA2" w14:textId="77777777" w:rsidR="00D60186" w:rsidRPr="008D6210" w:rsidRDefault="00D60186" w:rsidP="008D6210">
            <w:pPr>
              <w:jc w:val="right"/>
              <w:rPr>
                <w:sz w:val="21"/>
                <w:szCs w:val="21"/>
              </w:rPr>
            </w:pPr>
            <w:r w:rsidRPr="008D6210">
              <w:rPr>
                <w:sz w:val="21"/>
                <w:szCs w:val="21"/>
              </w:rPr>
              <w:t>Nei</w:t>
            </w:r>
          </w:p>
        </w:tc>
      </w:tr>
      <w:tr w:rsidR="00E76DC8" w:rsidRPr="00225D4D" w14:paraId="4581A32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6C54909"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98FC393" w14:textId="77777777" w:rsidR="00D60186" w:rsidRPr="008D6210" w:rsidRDefault="00D60186" w:rsidP="008D6210">
            <w:pPr>
              <w:ind w:right="113"/>
              <w:jc w:val="right"/>
              <w:rPr>
                <w:sz w:val="21"/>
                <w:szCs w:val="21"/>
              </w:rPr>
            </w:pPr>
            <w:r w:rsidRPr="008D6210">
              <w:rPr>
                <w:sz w:val="21"/>
                <w:szCs w:val="21"/>
              </w:rPr>
              <w:t>529</w:t>
            </w:r>
          </w:p>
        </w:tc>
        <w:tc>
          <w:tcPr>
            <w:tcW w:w="5600" w:type="dxa"/>
            <w:tcBorders>
              <w:top w:val="nil"/>
              <w:left w:val="nil"/>
              <w:bottom w:val="nil"/>
              <w:right w:val="nil"/>
            </w:tcBorders>
            <w:tcMar>
              <w:top w:w="128" w:type="dxa"/>
              <w:left w:w="43" w:type="dxa"/>
              <w:bottom w:w="43" w:type="dxa"/>
              <w:right w:w="43" w:type="dxa"/>
            </w:tcMar>
          </w:tcPr>
          <w:p w14:paraId="5B4EA80E" w14:textId="77777777" w:rsidR="00D60186" w:rsidRPr="008D6210" w:rsidRDefault="00D60186" w:rsidP="00225D4D">
            <w:pPr>
              <w:rPr>
                <w:sz w:val="21"/>
                <w:szCs w:val="21"/>
              </w:rPr>
            </w:pPr>
            <w:r w:rsidRPr="008D6210">
              <w:rPr>
                <w:sz w:val="21"/>
                <w:szCs w:val="21"/>
              </w:rPr>
              <w:t>Inntekter til kommunene fra mineraler</w:t>
            </w:r>
          </w:p>
        </w:tc>
        <w:tc>
          <w:tcPr>
            <w:tcW w:w="1400" w:type="dxa"/>
            <w:tcBorders>
              <w:top w:val="nil"/>
              <w:left w:val="nil"/>
              <w:bottom w:val="nil"/>
              <w:right w:val="nil"/>
            </w:tcBorders>
            <w:tcMar>
              <w:top w:w="128" w:type="dxa"/>
              <w:left w:w="43" w:type="dxa"/>
              <w:bottom w:w="43" w:type="dxa"/>
              <w:right w:w="43" w:type="dxa"/>
            </w:tcMar>
          </w:tcPr>
          <w:p w14:paraId="73921020" w14:textId="77777777" w:rsidR="00D60186" w:rsidRPr="008D6210" w:rsidRDefault="00D60186" w:rsidP="008D6210">
            <w:pPr>
              <w:jc w:val="right"/>
              <w:rPr>
                <w:sz w:val="21"/>
                <w:szCs w:val="21"/>
              </w:rPr>
            </w:pPr>
            <w:r w:rsidRPr="008D6210">
              <w:rPr>
                <w:sz w:val="21"/>
                <w:szCs w:val="21"/>
              </w:rPr>
              <w:t>Nei</w:t>
            </w:r>
          </w:p>
        </w:tc>
      </w:tr>
      <w:tr w:rsidR="00E76DC8" w:rsidRPr="00225D4D" w14:paraId="60A75C78"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95D9917"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6C6D37C" w14:textId="77777777" w:rsidR="00D60186" w:rsidRPr="008D6210" w:rsidRDefault="00D60186" w:rsidP="008D6210">
            <w:pPr>
              <w:ind w:right="113"/>
              <w:jc w:val="right"/>
              <w:rPr>
                <w:sz w:val="21"/>
                <w:szCs w:val="21"/>
              </w:rPr>
            </w:pPr>
            <w:r w:rsidRPr="008D6210">
              <w:rPr>
                <w:sz w:val="21"/>
                <w:szCs w:val="21"/>
              </w:rPr>
              <w:t>530</w:t>
            </w:r>
          </w:p>
        </w:tc>
        <w:tc>
          <w:tcPr>
            <w:tcW w:w="5600" w:type="dxa"/>
            <w:tcBorders>
              <w:top w:val="nil"/>
              <w:left w:val="nil"/>
              <w:bottom w:val="nil"/>
              <w:right w:val="nil"/>
            </w:tcBorders>
            <w:tcMar>
              <w:top w:w="128" w:type="dxa"/>
              <w:left w:w="43" w:type="dxa"/>
              <w:bottom w:w="43" w:type="dxa"/>
              <w:right w:w="43" w:type="dxa"/>
            </w:tcMar>
          </w:tcPr>
          <w:p w14:paraId="04AC0482" w14:textId="77777777" w:rsidR="00D60186" w:rsidRPr="008D6210" w:rsidRDefault="00D60186" w:rsidP="00225D4D">
            <w:pPr>
              <w:rPr>
                <w:sz w:val="21"/>
                <w:szCs w:val="21"/>
              </w:rPr>
            </w:pPr>
            <w:r w:rsidRPr="008D6210">
              <w:rPr>
                <w:sz w:val="21"/>
                <w:szCs w:val="21"/>
              </w:rPr>
              <w:t>Nordisk samarbeid om mineraler</w:t>
            </w:r>
          </w:p>
        </w:tc>
        <w:tc>
          <w:tcPr>
            <w:tcW w:w="1400" w:type="dxa"/>
            <w:tcBorders>
              <w:top w:val="nil"/>
              <w:left w:val="nil"/>
              <w:bottom w:val="nil"/>
              <w:right w:val="nil"/>
            </w:tcBorders>
            <w:tcMar>
              <w:top w:w="128" w:type="dxa"/>
              <w:left w:w="43" w:type="dxa"/>
              <w:bottom w:w="43" w:type="dxa"/>
              <w:right w:w="43" w:type="dxa"/>
            </w:tcMar>
          </w:tcPr>
          <w:p w14:paraId="56359524" w14:textId="77777777" w:rsidR="00D60186" w:rsidRPr="008D6210" w:rsidRDefault="00D60186" w:rsidP="008D6210">
            <w:pPr>
              <w:jc w:val="right"/>
              <w:rPr>
                <w:sz w:val="21"/>
                <w:szCs w:val="21"/>
              </w:rPr>
            </w:pPr>
            <w:r w:rsidRPr="008D6210">
              <w:rPr>
                <w:sz w:val="21"/>
                <w:szCs w:val="21"/>
              </w:rPr>
              <w:t>Nei</w:t>
            </w:r>
          </w:p>
        </w:tc>
      </w:tr>
      <w:tr w:rsidR="00E76DC8" w:rsidRPr="00225D4D" w14:paraId="1D1A4FF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F9351FF"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1BD546B" w14:textId="77777777" w:rsidR="00D60186" w:rsidRPr="008D6210" w:rsidRDefault="00D60186" w:rsidP="008D6210">
            <w:pPr>
              <w:ind w:right="113"/>
              <w:jc w:val="right"/>
              <w:rPr>
                <w:sz w:val="21"/>
                <w:szCs w:val="21"/>
              </w:rPr>
            </w:pPr>
            <w:r w:rsidRPr="008D6210">
              <w:rPr>
                <w:sz w:val="21"/>
                <w:szCs w:val="21"/>
              </w:rPr>
              <w:t>642</w:t>
            </w:r>
          </w:p>
        </w:tc>
        <w:tc>
          <w:tcPr>
            <w:tcW w:w="5600" w:type="dxa"/>
            <w:tcBorders>
              <w:top w:val="nil"/>
              <w:left w:val="nil"/>
              <w:bottom w:val="nil"/>
              <w:right w:val="nil"/>
            </w:tcBorders>
            <w:tcMar>
              <w:top w:w="128" w:type="dxa"/>
              <w:left w:w="43" w:type="dxa"/>
              <w:bottom w:w="43" w:type="dxa"/>
              <w:right w:w="43" w:type="dxa"/>
            </w:tcMar>
          </w:tcPr>
          <w:p w14:paraId="775C49DC" w14:textId="77777777" w:rsidR="00D60186" w:rsidRPr="008D6210" w:rsidRDefault="00D60186" w:rsidP="00225D4D">
            <w:pPr>
              <w:rPr>
                <w:sz w:val="21"/>
                <w:szCs w:val="21"/>
              </w:rPr>
            </w:pPr>
            <w:r w:rsidRPr="008D6210">
              <w:rPr>
                <w:sz w:val="21"/>
                <w:szCs w:val="21"/>
              </w:rPr>
              <w:t>Ressurser i maritim sektor i krise og krig</w:t>
            </w:r>
          </w:p>
        </w:tc>
        <w:tc>
          <w:tcPr>
            <w:tcW w:w="1400" w:type="dxa"/>
            <w:tcBorders>
              <w:top w:val="nil"/>
              <w:left w:val="nil"/>
              <w:bottom w:val="nil"/>
              <w:right w:val="nil"/>
            </w:tcBorders>
            <w:tcMar>
              <w:top w:w="128" w:type="dxa"/>
              <w:left w:w="43" w:type="dxa"/>
              <w:bottom w:w="43" w:type="dxa"/>
              <w:right w:w="43" w:type="dxa"/>
            </w:tcMar>
          </w:tcPr>
          <w:p w14:paraId="2A8A7795" w14:textId="77777777" w:rsidR="00D60186" w:rsidRPr="008D6210" w:rsidRDefault="00D60186" w:rsidP="008D6210">
            <w:pPr>
              <w:jc w:val="right"/>
              <w:rPr>
                <w:sz w:val="21"/>
                <w:szCs w:val="21"/>
              </w:rPr>
            </w:pPr>
            <w:r w:rsidRPr="008D6210">
              <w:rPr>
                <w:sz w:val="21"/>
                <w:szCs w:val="21"/>
              </w:rPr>
              <w:t>Ja</w:t>
            </w:r>
          </w:p>
        </w:tc>
      </w:tr>
      <w:tr w:rsidR="00E76DC8" w:rsidRPr="00225D4D" w14:paraId="0F0FB798"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579AEF7"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839E81C" w14:textId="77777777" w:rsidR="00D60186" w:rsidRPr="008D6210" w:rsidRDefault="00D60186" w:rsidP="008D6210">
            <w:pPr>
              <w:ind w:right="113"/>
              <w:jc w:val="right"/>
              <w:rPr>
                <w:sz w:val="21"/>
                <w:szCs w:val="21"/>
              </w:rPr>
            </w:pPr>
            <w:r w:rsidRPr="008D6210">
              <w:rPr>
                <w:sz w:val="21"/>
                <w:szCs w:val="21"/>
              </w:rPr>
              <w:t>643</w:t>
            </w:r>
          </w:p>
        </w:tc>
        <w:tc>
          <w:tcPr>
            <w:tcW w:w="5600" w:type="dxa"/>
            <w:tcBorders>
              <w:top w:val="nil"/>
              <w:left w:val="nil"/>
              <w:bottom w:val="nil"/>
              <w:right w:val="nil"/>
            </w:tcBorders>
            <w:tcMar>
              <w:top w:w="128" w:type="dxa"/>
              <w:left w:w="43" w:type="dxa"/>
              <w:bottom w:w="43" w:type="dxa"/>
              <w:right w:w="43" w:type="dxa"/>
            </w:tcMar>
          </w:tcPr>
          <w:p w14:paraId="608A64B8" w14:textId="77777777" w:rsidR="00D60186" w:rsidRPr="008D6210" w:rsidRDefault="00D60186" w:rsidP="00225D4D">
            <w:pPr>
              <w:rPr>
                <w:sz w:val="21"/>
                <w:szCs w:val="21"/>
              </w:rPr>
            </w:pPr>
            <w:r w:rsidRPr="008D6210">
              <w:rPr>
                <w:sz w:val="21"/>
                <w:szCs w:val="21"/>
              </w:rPr>
              <w:t>Modell for matsikkerhet som inkluderer sjømat, fiskeri og havbruk</w:t>
            </w:r>
          </w:p>
        </w:tc>
        <w:tc>
          <w:tcPr>
            <w:tcW w:w="1400" w:type="dxa"/>
            <w:tcBorders>
              <w:top w:val="nil"/>
              <w:left w:val="nil"/>
              <w:bottom w:val="nil"/>
              <w:right w:val="nil"/>
            </w:tcBorders>
            <w:tcMar>
              <w:top w:w="128" w:type="dxa"/>
              <w:left w:w="43" w:type="dxa"/>
              <w:bottom w:w="43" w:type="dxa"/>
              <w:right w:w="43" w:type="dxa"/>
            </w:tcMar>
          </w:tcPr>
          <w:p w14:paraId="3846CC13" w14:textId="77777777" w:rsidR="00D60186" w:rsidRPr="008D6210" w:rsidRDefault="00D60186" w:rsidP="008D6210">
            <w:pPr>
              <w:jc w:val="right"/>
              <w:rPr>
                <w:sz w:val="21"/>
                <w:szCs w:val="21"/>
              </w:rPr>
            </w:pPr>
            <w:r w:rsidRPr="008D6210">
              <w:rPr>
                <w:sz w:val="21"/>
                <w:szCs w:val="21"/>
              </w:rPr>
              <w:t>Nei</w:t>
            </w:r>
          </w:p>
        </w:tc>
      </w:tr>
      <w:tr w:rsidR="00E76DC8" w:rsidRPr="00225D4D" w14:paraId="4A8720D0"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902E8A8"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FA455D7" w14:textId="77777777" w:rsidR="00D60186" w:rsidRPr="008D6210" w:rsidRDefault="00D60186" w:rsidP="008D6210">
            <w:pPr>
              <w:ind w:right="113"/>
              <w:jc w:val="right"/>
              <w:rPr>
                <w:sz w:val="21"/>
                <w:szCs w:val="21"/>
              </w:rPr>
            </w:pPr>
            <w:r w:rsidRPr="008D6210">
              <w:rPr>
                <w:sz w:val="21"/>
                <w:szCs w:val="21"/>
              </w:rPr>
              <w:t>644</w:t>
            </w:r>
          </w:p>
        </w:tc>
        <w:tc>
          <w:tcPr>
            <w:tcW w:w="5600" w:type="dxa"/>
            <w:tcBorders>
              <w:top w:val="nil"/>
              <w:left w:val="nil"/>
              <w:bottom w:val="nil"/>
              <w:right w:val="nil"/>
            </w:tcBorders>
            <w:tcMar>
              <w:top w:w="128" w:type="dxa"/>
              <w:left w:w="43" w:type="dxa"/>
              <w:bottom w:w="43" w:type="dxa"/>
              <w:right w:w="43" w:type="dxa"/>
            </w:tcMar>
          </w:tcPr>
          <w:p w14:paraId="4E7DE6A8" w14:textId="77777777" w:rsidR="00D60186" w:rsidRPr="008D6210" w:rsidRDefault="00D60186" w:rsidP="00225D4D">
            <w:pPr>
              <w:rPr>
                <w:sz w:val="21"/>
                <w:szCs w:val="21"/>
              </w:rPr>
            </w:pPr>
            <w:r w:rsidRPr="008D6210">
              <w:rPr>
                <w:sz w:val="21"/>
                <w:szCs w:val="21"/>
              </w:rPr>
              <w:t>Plan for bemanning av norske skip i krig</w:t>
            </w:r>
          </w:p>
        </w:tc>
        <w:tc>
          <w:tcPr>
            <w:tcW w:w="1400" w:type="dxa"/>
            <w:tcBorders>
              <w:top w:val="nil"/>
              <w:left w:val="nil"/>
              <w:bottom w:val="nil"/>
              <w:right w:val="nil"/>
            </w:tcBorders>
            <w:tcMar>
              <w:top w:w="128" w:type="dxa"/>
              <w:left w:w="43" w:type="dxa"/>
              <w:bottom w:w="43" w:type="dxa"/>
              <w:right w:w="43" w:type="dxa"/>
            </w:tcMar>
          </w:tcPr>
          <w:p w14:paraId="4F0694CB" w14:textId="77777777" w:rsidR="00D60186" w:rsidRPr="008D6210" w:rsidRDefault="00D60186" w:rsidP="008D6210">
            <w:pPr>
              <w:jc w:val="right"/>
              <w:rPr>
                <w:sz w:val="21"/>
                <w:szCs w:val="21"/>
              </w:rPr>
            </w:pPr>
            <w:r w:rsidRPr="008D6210">
              <w:rPr>
                <w:sz w:val="21"/>
                <w:szCs w:val="21"/>
              </w:rPr>
              <w:t>Nei</w:t>
            </w:r>
          </w:p>
        </w:tc>
      </w:tr>
      <w:tr w:rsidR="00E76DC8" w:rsidRPr="00225D4D" w14:paraId="4D3301DE"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D02A913"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A1D0BC1" w14:textId="77777777" w:rsidR="00D60186" w:rsidRPr="008D6210" w:rsidRDefault="00D60186" w:rsidP="008D6210">
            <w:pPr>
              <w:ind w:right="113"/>
              <w:jc w:val="right"/>
              <w:rPr>
                <w:sz w:val="21"/>
                <w:szCs w:val="21"/>
              </w:rPr>
            </w:pPr>
            <w:r w:rsidRPr="008D6210">
              <w:rPr>
                <w:sz w:val="21"/>
                <w:szCs w:val="21"/>
              </w:rPr>
              <w:t>646</w:t>
            </w:r>
          </w:p>
        </w:tc>
        <w:tc>
          <w:tcPr>
            <w:tcW w:w="5600" w:type="dxa"/>
            <w:tcBorders>
              <w:top w:val="nil"/>
              <w:left w:val="nil"/>
              <w:bottom w:val="nil"/>
              <w:right w:val="nil"/>
            </w:tcBorders>
            <w:tcMar>
              <w:top w:w="128" w:type="dxa"/>
              <w:left w:w="43" w:type="dxa"/>
              <w:bottom w:w="43" w:type="dxa"/>
              <w:right w:w="43" w:type="dxa"/>
            </w:tcMar>
          </w:tcPr>
          <w:p w14:paraId="3758BA63" w14:textId="77777777" w:rsidR="00D60186" w:rsidRPr="008D6210" w:rsidRDefault="00D60186" w:rsidP="00225D4D">
            <w:pPr>
              <w:rPr>
                <w:sz w:val="21"/>
                <w:szCs w:val="21"/>
              </w:rPr>
            </w:pPr>
            <w:r w:rsidRPr="008D6210">
              <w:rPr>
                <w:sz w:val="21"/>
                <w:szCs w:val="21"/>
              </w:rPr>
              <w:t>Beredskapsbutikker etter finsk modell i dagligvarehandelen</w:t>
            </w:r>
          </w:p>
        </w:tc>
        <w:tc>
          <w:tcPr>
            <w:tcW w:w="1400" w:type="dxa"/>
            <w:tcBorders>
              <w:top w:val="nil"/>
              <w:left w:val="nil"/>
              <w:bottom w:val="nil"/>
              <w:right w:val="nil"/>
            </w:tcBorders>
            <w:tcMar>
              <w:top w:w="128" w:type="dxa"/>
              <w:left w:w="43" w:type="dxa"/>
              <w:bottom w:w="43" w:type="dxa"/>
              <w:right w:w="43" w:type="dxa"/>
            </w:tcMar>
          </w:tcPr>
          <w:p w14:paraId="61F3488C" w14:textId="77777777" w:rsidR="00D60186" w:rsidRPr="008D6210" w:rsidRDefault="00D60186" w:rsidP="008D6210">
            <w:pPr>
              <w:jc w:val="right"/>
              <w:rPr>
                <w:sz w:val="21"/>
                <w:szCs w:val="21"/>
              </w:rPr>
            </w:pPr>
            <w:r w:rsidRPr="008D6210">
              <w:rPr>
                <w:sz w:val="21"/>
                <w:szCs w:val="21"/>
              </w:rPr>
              <w:t>Nei</w:t>
            </w:r>
          </w:p>
        </w:tc>
      </w:tr>
      <w:tr w:rsidR="00E76DC8" w:rsidRPr="00225D4D" w14:paraId="7F5D634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8DB87C7"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8F4A6DF" w14:textId="77777777" w:rsidR="00D60186" w:rsidRPr="008D6210" w:rsidRDefault="00D60186" w:rsidP="008D6210">
            <w:pPr>
              <w:ind w:right="113"/>
              <w:jc w:val="right"/>
              <w:rPr>
                <w:sz w:val="21"/>
                <w:szCs w:val="21"/>
              </w:rPr>
            </w:pPr>
            <w:r w:rsidRPr="008D6210">
              <w:rPr>
                <w:sz w:val="21"/>
                <w:szCs w:val="21"/>
              </w:rPr>
              <w:t>649</w:t>
            </w:r>
          </w:p>
        </w:tc>
        <w:tc>
          <w:tcPr>
            <w:tcW w:w="5600" w:type="dxa"/>
            <w:tcBorders>
              <w:top w:val="nil"/>
              <w:left w:val="nil"/>
              <w:bottom w:val="nil"/>
              <w:right w:val="nil"/>
            </w:tcBorders>
            <w:tcMar>
              <w:top w:w="128" w:type="dxa"/>
              <w:left w:w="43" w:type="dxa"/>
              <w:bottom w:w="43" w:type="dxa"/>
              <w:right w:w="43" w:type="dxa"/>
            </w:tcMar>
          </w:tcPr>
          <w:p w14:paraId="3CB2A116" w14:textId="77777777" w:rsidR="00D60186" w:rsidRPr="008D6210" w:rsidRDefault="00D60186" w:rsidP="00225D4D">
            <w:pPr>
              <w:rPr>
                <w:sz w:val="21"/>
                <w:szCs w:val="21"/>
              </w:rPr>
            </w:pPr>
            <w:r w:rsidRPr="008D6210">
              <w:rPr>
                <w:sz w:val="21"/>
                <w:szCs w:val="21"/>
              </w:rPr>
              <w:t>Integrering av romsektoren i totalforsvaret</w:t>
            </w:r>
          </w:p>
        </w:tc>
        <w:tc>
          <w:tcPr>
            <w:tcW w:w="1400" w:type="dxa"/>
            <w:tcBorders>
              <w:top w:val="nil"/>
              <w:left w:val="nil"/>
              <w:bottom w:val="nil"/>
              <w:right w:val="nil"/>
            </w:tcBorders>
            <w:tcMar>
              <w:top w:w="128" w:type="dxa"/>
              <w:left w:w="43" w:type="dxa"/>
              <w:bottom w:w="43" w:type="dxa"/>
              <w:right w:w="43" w:type="dxa"/>
            </w:tcMar>
          </w:tcPr>
          <w:p w14:paraId="2BDAAE4C" w14:textId="77777777" w:rsidR="00D60186" w:rsidRPr="008D6210" w:rsidRDefault="00D60186" w:rsidP="008D6210">
            <w:pPr>
              <w:jc w:val="right"/>
              <w:rPr>
                <w:sz w:val="21"/>
                <w:szCs w:val="21"/>
              </w:rPr>
            </w:pPr>
            <w:r w:rsidRPr="008D6210">
              <w:rPr>
                <w:sz w:val="21"/>
                <w:szCs w:val="21"/>
              </w:rPr>
              <w:t xml:space="preserve">Nei </w:t>
            </w:r>
          </w:p>
        </w:tc>
      </w:tr>
      <w:tr w:rsidR="00E76DC8" w:rsidRPr="00225D4D" w14:paraId="03227716"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CB5F062"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AD3C0EF" w14:textId="77777777" w:rsidR="00D60186" w:rsidRPr="008D6210" w:rsidRDefault="00D60186" w:rsidP="008D6210">
            <w:pPr>
              <w:ind w:right="113"/>
              <w:jc w:val="right"/>
              <w:rPr>
                <w:sz w:val="21"/>
                <w:szCs w:val="21"/>
              </w:rPr>
            </w:pPr>
            <w:r w:rsidRPr="008D6210">
              <w:rPr>
                <w:sz w:val="21"/>
                <w:szCs w:val="21"/>
              </w:rPr>
              <w:t>650</w:t>
            </w:r>
          </w:p>
        </w:tc>
        <w:tc>
          <w:tcPr>
            <w:tcW w:w="5600" w:type="dxa"/>
            <w:tcBorders>
              <w:top w:val="nil"/>
              <w:left w:val="nil"/>
              <w:bottom w:val="nil"/>
              <w:right w:val="nil"/>
            </w:tcBorders>
            <w:tcMar>
              <w:top w:w="128" w:type="dxa"/>
              <w:left w:w="43" w:type="dxa"/>
              <w:bottom w:w="43" w:type="dxa"/>
              <w:right w:w="43" w:type="dxa"/>
            </w:tcMar>
          </w:tcPr>
          <w:p w14:paraId="189D68CB" w14:textId="77777777" w:rsidR="00D60186" w:rsidRPr="008D6210" w:rsidRDefault="00D60186" w:rsidP="00225D4D">
            <w:pPr>
              <w:rPr>
                <w:sz w:val="21"/>
                <w:szCs w:val="21"/>
              </w:rPr>
            </w:pPr>
            <w:r w:rsidRPr="008D6210">
              <w:rPr>
                <w:sz w:val="21"/>
                <w:szCs w:val="21"/>
              </w:rPr>
              <w:t>Satellittløsninger for kommunikasjon og overvåking</w:t>
            </w:r>
          </w:p>
        </w:tc>
        <w:tc>
          <w:tcPr>
            <w:tcW w:w="1400" w:type="dxa"/>
            <w:tcBorders>
              <w:top w:val="nil"/>
              <w:left w:val="nil"/>
              <w:bottom w:val="nil"/>
              <w:right w:val="nil"/>
            </w:tcBorders>
            <w:tcMar>
              <w:top w:w="128" w:type="dxa"/>
              <w:left w:w="43" w:type="dxa"/>
              <w:bottom w:w="43" w:type="dxa"/>
              <w:right w:w="43" w:type="dxa"/>
            </w:tcMar>
          </w:tcPr>
          <w:p w14:paraId="69C9F0A9" w14:textId="77777777" w:rsidR="00D60186" w:rsidRPr="008D6210" w:rsidRDefault="00D60186" w:rsidP="008D6210">
            <w:pPr>
              <w:jc w:val="right"/>
              <w:rPr>
                <w:sz w:val="21"/>
                <w:szCs w:val="21"/>
              </w:rPr>
            </w:pPr>
            <w:r w:rsidRPr="008D6210">
              <w:rPr>
                <w:sz w:val="21"/>
                <w:szCs w:val="21"/>
              </w:rPr>
              <w:t xml:space="preserve">Nei </w:t>
            </w:r>
          </w:p>
        </w:tc>
      </w:tr>
      <w:tr w:rsidR="00E76DC8" w:rsidRPr="00225D4D" w14:paraId="6BAD93B5"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C3F4BDA"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34DC145" w14:textId="77777777" w:rsidR="00D60186" w:rsidRPr="008D6210" w:rsidRDefault="00D60186" w:rsidP="008D6210">
            <w:pPr>
              <w:ind w:right="113"/>
              <w:jc w:val="right"/>
              <w:rPr>
                <w:sz w:val="21"/>
                <w:szCs w:val="21"/>
              </w:rPr>
            </w:pPr>
            <w:r w:rsidRPr="008D6210">
              <w:rPr>
                <w:sz w:val="21"/>
                <w:szCs w:val="21"/>
              </w:rPr>
              <w:t>651</w:t>
            </w:r>
          </w:p>
        </w:tc>
        <w:tc>
          <w:tcPr>
            <w:tcW w:w="5600" w:type="dxa"/>
            <w:tcBorders>
              <w:top w:val="nil"/>
              <w:left w:val="nil"/>
              <w:bottom w:val="nil"/>
              <w:right w:val="nil"/>
            </w:tcBorders>
            <w:tcMar>
              <w:top w:w="128" w:type="dxa"/>
              <w:left w:w="43" w:type="dxa"/>
              <w:bottom w:w="43" w:type="dxa"/>
              <w:right w:w="43" w:type="dxa"/>
            </w:tcMar>
          </w:tcPr>
          <w:p w14:paraId="58FC1ABA" w14:textId="77777777" w:rsidR="00D60186" w:rsidRPr="008D6210" w:rsidRDefault="00D60186" w:rsidP="00225D4D">
            <w:pPr>
              <w:rPr>
                <w:sz w:val="21"/>
                <w:szCs w:val="21"/>
              </w:rPr>
            </w:pPr>
            <w:r w:rsidRPr="008D6210">
              <w:rPr>
                <w:sz w:val="21"/>
                <w:szCs w:val="21"/>
              </w:rPr>
              <w:t>Styrking av kontrollen av verdikjeder i romsektoren</w:t>
            </w:r>
          </w:p>
        </w:tc>
        <w:tc>
          <w:tcPr>
            <w:tcW w:w="1400" w:type="dxa"/>
            <w:tcBorders>
              <w:top w:val="nil"/>
              <w:left w:val="nil"/>
              <w:bottom w:val="nil"/>
              <w:right w:val="nil"/>
            </w:tcBorders>
            <w:tcMar>
              <w:top w:w="128" w:type="dxa"/>
              <w:left w:w="43" w:type="dxa"/>
              <w:bottom w:w="43" w:type="dxa"/>
              <w:right w:w="43" w:type="dxa"/>
            </w:tcMar>
          </w:tcPr>
          <w:p w14:paraId="5A9A4749" w14:textId="77777777" w:rsidR="00D60186" w:rsidRPr="008D6210" w:rsidRDefault="00D60186" w:rsidP="008D6210">
            <w:pPr>
              <w:jc w:val="right"/>
              <w:rPr>
                <w:sz w:val="21"/>
                <w:szCs w:val="21"/>
              </w:rPr>
            </w:pPr>
            <w:r w:rsidRPr="008D6210">
              <w:rPr>
                <w:sz w:val="21"/>
                <w:szCs w:val="21"/>
              </w:rPr>
              <w:t xml:space="preserve">Nei </w:t>
            </w:r>
          </w:p>
        </w:tc>
      </w:tr>
      <w:tr w:rsidR="00E76DC8" w:rsidRPr="00225D4D" w14:paraId="1CC37521"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D087EEF"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9FAA483" w14:textId="77777777" w:rsidR="00D60186" w:rsidRPr="008D6210" w:rsidRDefault="00D60186" w:rsidP="008D6210">
            <w:pPr>
              <w:ind w:right="113"/>
              <w:jc w:val="right"/>
              <w:rPr>
                <w:sz w:val="21"/>
                <w:szCs w:val="21"/>
              </w:rPr>
            </w:pPr>
            <w:r w:rsidRPr="008D6210">
              <w:rPr>
                <w:sz w:val="21"/>
                <w:szCs w:val="21"/>
              </w:rPr>
              <w:t>735</w:t>
            </w:r>
          </w:p>
        </w:tc>
        <w:tc>
          <w:tcPr>
            <w:tcW w:w="5600" w:type="dxa"/>
            <w:tcBorders>
              <w:top w:val="nil"/>
              <w:left w:val="nil"/>
              <w:bottom w:val="nil"/>
              <w:right w:val="nil"/>
            </w:tcBorders>
            <w:tcMar>
              <w:top w:w="128" w:type="dxa"/>
              <w:left w:w="43" w:type="dxa"/>
              <w:bottom w:w="43" w:type="dxa"/>
              <w:right w:w="43" w:type="dxa"/>
            </w:tcMar>
          </w:tcPr>
          <w:p w14:paraId="2F862203" w14:textId="77777777" w:rsidR="00D60186" w:rsidRPr="008D6210" w:rsidRDefault="00D60186" w:rsidP="00225D4D">
            <w:pPr>
              <w:rPr>
                <w:sz w:val="21"/>
                <w:szCs w:val="21"/>
              </w:rPr>
            </w:pPr>
            <w:r w:rsidRPr="008D6210">
              <w:rPr>
                <w:sz w:val="21"/>
                <w:szCs w:val="21"/>
              </w:rPr>
              <w:t xml:space="preserve">Samordning for forskning, utvikling og innovasjon (FoU) </w:t>
            </w:r>
            <w:r w:rsidRPr="008D6210">
              <w:rPr>
                <w:sz w:val="21"/>
                <w:szCs w:val="21"/>
              </w:rPr>
              <w:br/>
              <w:t>i norske virksomheter</w:t>
            </w:r>
          </w:p>
        </w:tc>
        <w:tc>
          <w:tcPr>
            <w:tcW w:w="1400" w:type="dxa"/>
            <w:tcBorders>
              <w:top w:val="nil"/>
              <w:left w:val="nil"/>
              <w:bottom w:val="nil"/>
              <w:right w:val="nil"/>
            </w:tcBorders>
            <w:tcMar>
              <w:top w:w="128" w:type="dxa"/>
              <w:left w:w="43" w:type="dxa"/>
              <w:bottom w:w="43" w:type="dxa"/>
              <w:right w:w="43" w:type="dxa"/>
            </w:tcMar>
          </w:tcPr>
          <w:p w14:paraId="47D3A08F" w14:textId="77777777" w:rsidR="00D60186" w:rsidRPr="008D6210" w:rsidRDefault="00D60186" w:rsidP="008D6210">
            <w:pPr>
              <w:jc w:val="right"/>
              <w:rPr>
                <w:sz w:val="21"/>
                <w:szCs w:val="21"/>
              </w:rPr>
            </w:pPr>
            <w:r w:rsidRPr="008D6210">
              <w:rPr>
                <w:sz w:val="21"/>
                <w:szCs w:val="21"/>
              </w:rPr>
              <w:t>Nei</w:t>
            </w:r>
          </w:p>
        </w:tc>
      </w:tr>
      <w:tr w:rsidR="00E76DC8" w:rsidRPr="00225D4D" w14:paraId="2AE1E85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1712B0A"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D8CCD04" w14:textId="77777777" w:rsidR="00D60186" w:rsidRPr="008D6210" w:rsidRDefault="00D60186" w:rsidP="008D6210">
            <w:pPr>
              <w:ind w:right="113"/>
              <w:jc w:val="right"/>
              <w:rPr>
                <w:sz w:val="21"/>
                <w:szCs w:val="21"/>
              </w:rPr>
            </w:pPr>
            <w:r w:rsidRPr="008D6210">
              <w:rPr>
                <w:sz w:val="21"/>
                <w:szCs w:val="21"/>
              </w:rPr>
              <w:t>736</w:t>
            </w:r>
          </w:p>
        </w:tc>
        <w:tc>
          <w:tcPr>
            <w:tcW w:w="5600" w:type="dxa"/>
            <w:tcBorders>
              <w:top w:val="nil"/>
              <w:left w:val="nil"/>
              <w:bottom w:val="nil"/>
              <w:right w:val="nil"/>
            </w:tcBorders>
            <w:tcMar>
              <w:top w:w="128" w:type="dxa"/>
              <w:left w:w="43" w:type="dxa"/>
              <w:bottom w:w="43" w:type="dxa"/>
              <w:right w:w="43" w:type="dxa"/>
            </w:tcMar>
          </w:tcPr>
          <w:p w14:paraId="5DA1D6A3" w14:textId="77777777" w:rsidR="00D60186" w:rsidRPr="008D6210" w:rsidRDefault="00D60186" w:rsidP="00225D4D">
            <w:pPr>
              <w:rPr>
                <w:sz w:val="21"/>
                <w:szCs w:val="21"/>
              </w:rPr>
            </w:pPr>
            <w:r w:rsidRPr="008D6210">
              <w:rPr>
                <w:sz w:val="21"/>
                <w:szCs w:val="21"/>
              </w:rPr>
              <w:t xml:space="preserve">Statlig eierskap og statlige investeringsfond for økt </w:t>
            </w:r>
            <w:r w:rsidRPr="008D6210">
              <w:rPr>
                <w:sz w:val="21"/>
                <w:szCs w:val="21"/>
              </w:rPr>
              <w:br/>
              <w:t>FoU-intensitet næringslivet</w:t>
            </w:r>
          </w:p>
        </w:tc>
        <w:tc>
          <w:tcPr>
            <w:tcW w:w="1400" w:type="dxa"/>
            <w:tcBorders>
              <w:top w:val="nil"/>
              <w:left w:val="nil"/>
              <w:bottom w:val="nil"/>
              <w:right w:val="nil"/>
            </w:tcBorders>
            <w:tcMar>
              <w:top w:w="128" w:type="dxa"/>
              <w:left w:w="43" w:type="dxa"/>
              <w:bottom w:w="43" w:type="dxa"/>
              <w:right w:w="43" w:type="dxa"/>
            </w:tcMar>
          </w:tcPr>
          <w:p w14:paraId="24B4104C" w14:textId="77777777" w:rsidR="00D60186" w:rsidRPr="008D6210" w:rsidRDefault="00D60186" w:rsidP="008D6210">
            <w:pPr>
              <w:jc w:val="right"/>
              <w:rPr>
                <w:sz w:val="21"/>
                <w:szCs w:val="21"/>
              </w:rPr>
            </w:pPr>
            <w:r w:rsidRPr="008D6210">
              <w:rPr>
                <w:sz w:val="21"/>
                <w:szCs w:val="21"/>
              </w:rPr>
              <w:t>Nei</w:t>
            </w:r>
          </w:p>
        </w:tc>
      </w:tr>
      <w:tr w:rsidR="00E76DC8" w:rsidRPr="00225D4D" w14:paraId="6BF45DA6"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79BE677"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2E54349" w14:textId="77777777" w:rsidR="00D60186" w:rsidRPr="008D6210" w:rsidRDefault="00D60186" w:rsidP="008D6210">
            <w:pPr>
              <w:ind w:right="113"/>
              <w:jc w:val="right"/>
              <w:rPr>
                <w:sz w:val="21"/>
                <w:szCs w:val="21"/>
              </w:rPr>
            </w:pPr>
            <w:r w:rsidRPr="008D6210">
              <w:rPr>
                <w:sz w:val="21"/>
                <w:szCs w:val="21"/>
              </w:rPr>
              <w:t>761</w:t>
            </w:r>
          </w:p>
        </w:tc>
        <w:tc>
          <w:tcPr>
            <w:tcW w:w="5600" w:type="dxa"/>
            <w:tcBorders>
              <w:top w:val="nil"/>
              <w:left w:val="nil"/>
              <w:bottom w:val="nil"/>
              <w:right w:val="nil"/>
            </w:tcBorders>
            <w:tcMar>
              <w:top w:w="128" w:type="dxa"/>
              <w:left w:w="43" w:type="dxa"/>
              <w:bottom w:w="43" w:type="dxa"/>
              <w:right w:w="43" w:type="dxa"/>
            </w:tcMar>
          </w:tcPr>
          <w:p w14:paraId="6053427A" w14:textId="77777777" w:rsidR="00D60186" w:rsidRPr="008D6210" w:rsidRDefault="00D60186" w:rsidP="00225D4D">
            <w:pPr>
              <w:rPr>
                <w:sz w:val="21"/>
                <w:szCs w:val="21"/>
              </w:rPr>
            </w:pPr>
            <w:r w:rsidRPr="008D6210">
              <w:rPr>
                <w:sz w:val="21"/>
                <w:szCs w:val="21"/>
              </w:rPr>
              <w:t>Norsk næringsliv og ESAs programmer</w:t>
            </w:r>
          </w:p>
        </w:tc>
        <w:tc>
          <w:tcPr>
            <w:tcW w:w="1400" w:type="dxa"/>
            <w:tcBorders>
              <w:top w:val="nil"/>
              <w:left w:val="nil"/>
              <w:bottom w:val="nil"/>
              <w:right w:val="nil"/>
            </w:tcBorders>
            <w:tcMar>
              <w:top w:w="128" w:type="dxa"/>
              <w:left w:w="43" w:type="dxa"/>
              <w:bottom w:w="43" w:type="dxa"/>
              <w:right w:w="43" w:type="dxa"/>
            </w:tcMar>
          </w:tcPr>
          <w:p w14:paraId="752A1F01" w14:textId="77777777" w:rsidR="00D60186" w:rsidRPr="008D6210" w:rsidRDefault="00D60186" w:rsidP="008D6210">
            <w:pPr>
              <w:jc w:val="right"/>
              <w:rPr>
                <w:sz w:val="21"/>
                <w:szCs w:val="21"/>
              </w:rPr>
            </w:pPr>
            <w:r w:rsidRPr="008D6210">
              <w:rPr>
                <w:sz w:val="21"/>
                <w:szCs w:val="21"/>
              </w:rPr>
              <w:t>Nei</w:t>
            </w:r>
          </w:p>
        </w:tc>
      </w:tr>
      <w:tr w:rsidR="00E76DC8" w:rsidRPr="00225D4D" w14:paraId="697EEE5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8B9A5EA"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51EB82F" w14:textId="77777777" w:rsidR="00D60186" w:rsidRPr="008D6210" w:rsidRDefault="00D60186" w:rsidP="008D6210">
            <w:pPr>
              <w:ind w:right="113"/>
              <w:jc w:val="right"/>
              <w:rPr>
                <w:sz w:val="21"/>
                <w:szCs w:val="21"/>
              </w:rPr>
            </w:pPr>
            <w:r w:rsidRPr="008D6210">
              <w:rPr>
                <w:sz w:val="21"/>
                <w:szCs w:val="21"/>
              </w:rPr>
              <w:t>762</w:t>
            </w:r>
          </w:p>
        </w:tc>
        <w:tc>
          <w:tcPr>
            <w:tcW w:w="5600" w:type="dxa"/>
            <w:tcBorders>
              <w:top w:val="nil"/>
              <w:left w:val="nil"/>
              <w:bottom w:val="nil"/>
              <w:right w:val="nil"/>
            </w:tcBorders>
            <w:tcMar>
              <w:top w:w="128" w:type="dxa"/>
              <w:left w:w="43" w:type="dxa"/>
              <w:bottom w:w="43" w:type="dxa"/>
              <w:right w:w="43" w:type="dxa"/>
            </w:tcMar>
          </w:tcPr>
          <w:p w14:paraId="268CA311" w14:textId="77777777" w:rsidR="00D60186" w:rsidRPr="008D6210" w:rsidRDefault="00D60186" w:rsidP="00225D4D">
            <w:pPr>
              <w:rPr>
                <w:sz w:val="21"/>
                <w:szCs w:val="21"/>
              </w:rPr>
            </w:pPr>
            <w:r w:rsidRPr="008D6210">
              <w:rPr>
                <w:sz w:val="21"/>
                <w:szCs w:val="21"/>
              </w:rPr>
              <w:t>Samarbeid mellom forskningsinstitutter og romindustrien</w:t>
            </w:r>
          </w:p>
        </w:tc>
        <w:tc>
          <w:tcPr>
            <w:tcW w:w="1400" w:type="dxa"/>
            <w:tcBorders>
              <w:top w:val="nil"/>
              <w:left w:val="nil"/>
              <w:bottom w:val="nil"/>
              <w:right w:val="nil"/>
            </w:tcBorders>
            <w:tcMar>
              <w:top w:w="128" w:type="dxa"/>
              <w:left w:w="43" w:type="dxa"/>
              <w:bottom w:w="43" w:type="dxa"/>
              <w:right w:w="43" w:type="dxa"/>
            </w:tcMar>
          </w:tcPr>
          <w:p w14:paraId="7C587B4B" w14:textId="77777777" w:rsidR="00D60186" w:rsidRPr="008D6210" w:rsidRDefault="00D60186" w:rsidP="008D6210">
            <w:pPr>
              <w:jc w:val="right"/>
              <w:rPr>
                <w:sz w:val="21"/>
                <w:szCs w:val="21"/>
              </w:rPr>
            </w:pPr>
            <w:r w:rsidRPr="008D6210">
              <w:rPr>
                <w:sz w:val="21"/>
                <w:szCs w:val="21"/>
              </w:rPr>
              <w:t>Nei</w:t>
            </w:r>
          </w:p>
        </w:tc>
      </w:tr>
      <w:tr w:rsidR="00E76DC8" w:rsidRPr="00225D4D" w14:paraId="38A7D82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589A637"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CBA716F" w14:textId="77777777" w:rsidR="00D60186" w:rsidRPr="008D6210" w:rsidRDefault="00D60186" w:rsidP="008D6210">
            <w:pPr>
              <w:ind w:right="113"/>
              <w:jc w:val="right"/>
              <w:rPr>
                <w:sz w:val="21"/>
                <w:szCs w:val="21"/>
              </w:rPr>
            </w:pPr>
            <w:r w:rsidRPr="008D6210">
              <w:rPr>
                <w:sz w:val="21"/>
                <w:szCs w:val="21"/>
              </w:rPr>
              <w:t>763</w:t>
            </w:r>
          </w:p>
        </w:tc>
        <w:tc>
          <w:tcPr>
            <w:tcW w:w="5600" w:type="dxa"/>
            <w:tcBorders>
              <w:top w:val="nil"/>
              <w:left w:val="nil"/>
              <w:bottom w:val="nil"/>
              <w:right w:val="nil"/>
            </w:tcBorders>
            <w:tcMar>
              <w:top w:w="128" w:type="dxa"/>
              <w:left w:w="43" w:type="dxa"/>
              <w:bottom w:w="43" w:type="dxa"/>
              <w:right w:w="43" w:type="dxa"/>
            </w:tcMar>
          </w:tcPr>
          <w:p w14:paraId="279E86EB" w14:textId="77777777" w:rsidR="00D60186" w:rsidRPr="008D6210" w:rsidRDefault="00D60186" w:rsidP="00225D4D">
            <w:pPr>
              <w:rPr>
                <w:sz w:val="21"/>
                <w:szCs w:val="21"/>
              </w:rPr>
            </w:pPr>
            <w:r w:rsidRPr="008D6210">
              <w:rPr>
                <w:sz w:val="21"/>
                <w:szCs w:val="21"/>
              </w:rPr>
              <w:t xml:space="preserve">Arbeids- og ansvarsavklaring mellom romvirksomhetene </w:t>
            </w:r>
            <w:r w:rsidRPr="008D6210">
              <w:rPr>
                <w:sz w:val="21"/>
                <w:szCs w:val="21"/>
              </w:rPr>
              <w:br/>
              <w:t>i Norge</w:t>
            </w:r>
          </w:p>
        </w:tc>
        <w:tc>
          <w:tcPr>
            <w:tcW w:w="1400" w:type="dxa"/>
            <w:tcBorders>
              <w:top w:val="nil"/>
              <w:left w:val="nil"/>
              <w:bottom w:val="nil"/>
              <w:right w:val="nil"/>
            </w:tcBorders>
            <w:tcMar>
              <w:top w:w="128" w:type="dxa"/>
              <w:left w:w="43" w:type="dxa"/>
              <w:bottom w:w="43" w:type="dxa"/>
              <w:right w:w="43" w:type="dxa"/>
            </w:tcMar>
          </w:tcPr>
          <w:p w14:paraId="07AAA5D0" w14:textId="77777777" w:rsidR="00D60186" w:rsidRPr="008D6210" w:rsidRDefault="00D60186" w:rsidP="008D6210">
            <w:pPr>
              <w:jc w:val="right"/>
              <w:rPr>
                <w:sz w:val="21"/>
                <w:szCs w:val="21"/>
              </w:rPr>
            </w:pPr>
            <w:r w:rsidRPr="008D6210">
              <w:rPr>
                <w:sz w:val="21"/>
                <w:szCs w:val="21"/>
              </w:rPr>
              <w:t>Nei</w:t>
            </w:r>
          </w:p>
        </w:tc>
      </w:tr>
      <w:tr w:rsidR="00E76DC8" w:rsidRPr="00225D4D" w14:paraId="096F202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A1B5357"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558F2EB" w14:textId="77777777" w:rsidR="00D60186" w:rsidRPr="008D6210" w:rsidRDefault="00D60186" w:rsidP="008D6210">
            <w:pPr>
              <w:ind w:right="113"/>
              <w:jc w:val="right"/>
              <w:rPr>
                <w:sz w:val="21"/>
                <w:szCs w:val="21"/>
              </w:rPr>
            </w:pPr>
            <w:r w:rsidRPr="008D6210">
              <w:rPr>
                <w:sz w:val="21"/>
                <w:szCs w:val="21"/>
              </w:rPr>
              <w:t>764</w:t>
            </w:r>
          </w:p>
        </w:tc>
        <w:tc>
          <w:tcPr>
            <w:tcW w:w="5600" w:type="dxa"/>
            <w:tcBorders>
              <w:top w:val="nil"/>
              <w:left w:val="nil"/>
              <w:bottom w:val="nil"/>
              <w:right w:val="nil"/>
            </w:tcBorders>
            <w:tcMar>
              <w:top w:w="128" w:type="dxa"/>
              <w:left w:w="43" w:type="dxa"/>
              <w:bottom w:w="43" w:type="dxa"/>
              <w:right w:w="43" w:type="dxa"/>
            </w:tcMar>
          </w:tcPr>
          <w:p w14:paraId="606BF1B1" w14:textId="77777777" w:rsidR="00D60186" w:rsidRPr="008D6210" w:rsidRDefault="00D60186" w:rsidP="00225D4D">
            <w:pPr>
              <w:rPr>
                <w:sz w:val="21"/>
                <w:szCs w:val="21"/>
              </w:rPr>
            </w:pPr>
            <w:r w:rsidRPr="008D6210">
              <w:rPr>
                <w:sz w:val="21"/>
                <w:szCs w:val="21"/>
              </w:rPr>
              <w:t xml:space="preserve">Virkemidler for små og mellomstore selskaper </w:t>
            </w:r>
            <w:r w:rsidRPr="008D6210">
              <w:rPr>
                <w:sz w:val="21"/>
                <w:szCs w:val="21"/>
              </w:rPr>
              <w:br/>
              <w:t>i romsektoren</w:t>
            </w:r>
          </w:p>
        </w:tc>
        <w:tc>
          <w:tcPr>
            <w:tcW w:w="1400" w:type="dxa"/>
            <w:tcBorders>
              <w:top w:val="nil"/>
              <w:left w:val="nil"/>
              <w:bottom w:val="nil"/>
              <w:right w:val="nil"/>
            </w:tcBorders>
            <w:tcMar>
              <w:top w:w="128" w:type="dxa"/>
              <w:left w:w="43" w:type="dxa"/>
              <w:bottom w:w="43" w:type="dxa"/>
              <w:right w:w="43" w:type="dxa"/>
            </w:tcMar>
          </w:tcPr>
          <w:p w14:paraId="282408B7" w14:textId="77777777" w:rsidR="00D60186" w:rsidRPr="008D6210" w:rsidRDefault="00D60186" w:rsidP="008D6210">
            <w:pPr>
              <w:jc w:val="right"/>
              <w:rPr>
                <w:sz w:val="21"/>
                <w:szCs w:val="21"/>
              </w:rPr>
            </w:pPr>
            <w:r w:rsidRPr="008D6210">
              <w:rPr>
                <w:sz w:val="21"/>
                <w:szCs w:val="21"/>
              </w:rPr>
              <w:t>Nei</w:t>
            </w:r>
          </w:p>
        </w:tc>
      </w:tr>
      <w:tr w:rsidR="00E76DC8" w:rsidRPr="00225D4D" w14:paraId="198AA9C1"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73189E8"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28447ED" w14:textId="77777777" w:rsidR="00D60186" w:rsidRPr="008D6210" w:rsidRDefault="00D60186" w:rsidP="008D6210">
            <w:pPr>
              <w:ind w:right="113"/>
              <w:jc w:val="right"/>
              <w:rPr>
                <w:sz w:val="21"/>
                <w:szCs w:val="21"/>
              </w:rPr>
            </w:pPr>
            <w:r w:rsidRPr="008D6210">
              <w:rPr>
                <w:sz w:val="21"/>
                <w:szCs w:val="21"/>
              </w:rPr>
              <w:t>765</w:t>
            </w:r>
          </w:p>
        </w:tc>
        <w:tc>
          <w:tcPr>
            <w:tcW w:w="5600" w:type="dxa"/>
            <w:tcBorders>
              <w:top w:val="nil"/>
              <w:left w:val="nil"/>
              <w:bottom w:val="nil"/>
              <w:right w:val="nil"/>
            </w:tcBorders>
            <w:tcMar>
              <w:top w:w="128" w:type="dxa"/>
              <w:left w:w="43" w:type="dxa"/>
              <w:bottom w:w="43" w:type="dxa"/>
              <w:right w:w="43" w:type="dxa"/>
            </w:tcMar>
          </w:tcPr>
          <w:p w14:paraId="77C7FCE0" w14:textId="77777777" w:rsidR="00D60186" w:rsidRPr="008D6210" w:rsidRDefault="00D60186" w:rsidP="00225D4D">
            <w:pPr>
              <w:rPr>
                <w:sz w:val="21"/>
                <w:szCs w:val="21"/>
              </w:rPr>
            </w:pPr>
            <w:r w:rsidRPr="008D6210">
              <w:rPr>
                <w:sz w:val="21"/>
                <w:szCs w:val="21"/>
              </w:rPr>
              <w:t>Langsiktig strategi for norsk romsektor</w:t>
            </w:r>
          </w:p>
        </w:tc>
        <w:tc>
          <w:tcPr>
            <w:tcW w:w="1400" w:type="dxa"/>
            <w:tcBorders>
              <w:top w:val="nil"/>
              <w:left w:val="nil"/>
              <w:bottom w:val="nil"/>
              <w:right w:val="nil"/>
            </w:tcBorders>
            <w:tcMar>
              <w:top w:w="128" w:type="dxa"/>
              <w:left w:w="43" w:type="dxa"/>
              <w:bottom w:w="43" w:type="dxa"/>
              <w:right w:w="43" w:type="dxa"/>
            </w:tcMar>
          </w:tcPr>
          <w:p w14:paraId="4E3D1CE7" w14:textId="77777777" w:rsidR="00D60186" w:rsidRPr="008D6210" w:rsidRDefault="00D60186" w:rsidP="008D6210">
            <w:pPr>
              <w:jc w:val="right"/>
              <w:rPr>
                <w:sz w:val="21"/>
                <w:szCs w:val="21"/>
              </w:rPr>
            </w:pPr>
            <w:r w:rsidRPr="008D6210">
              <w:rPr>
                <w:sz w:val="21"/>
                <w:szCs w:val="21"/>
              </w:rPr>
              <w:t>Nei</w:t>
            </w:r>
          </w:p>
        </w:tc>
      </w:tr>
      <w:tr w:rsidR="00E76DC8" w:rsidRPr="00225D4D" w14:paraId="710F5A0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79F10CD"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C547173" w14:textId="77777777" w:rsidR="00D60186" w:rsidRPr="008D6210" w:rsidRDefault="00D60186" w:rsidP="008D6210">
            <w:pPr>
              <w:ind w:right="113"/>
              <w:jc w:val="right"/>
              <w:rPr>
                <w:sz w:val="21"/>
                <w:szCs w:val="21"/>
              </w:rPr>
            </w:pPr>
            <w:r w:rsidRPr="008D6210">
              <w:rPr>
                <w:sz w:val="21"/>
                <w:szCs w:val="21"/>
              </w:rPr>
              <w:t>766</w:t>
            </w:r>
          </w:p>
        </w:tc>
        <w:tc>
          <w:tcPr>
            <w:tcW w:w="5600" w:type="dxa"/>
            <w:tcBorders>
              <w:top w:val="nil"/>
              <w:left w:val="nil"/>
              <w:bottom w:val="nil"/>
              <w:right w:val="nil"/>
            </w:tcBorders>
            <w:tcMar>
              <w:top w:w="128" w:type="dxa"/>
              <w:left w:w="43" w:type="dxa"/>
              <w:bottom w:w="43" w:type="dxa"/>
              <w:right w:w="43" w:type="dxa"/>
            </w:tcMar>
          </w:tcPr>
          <w:p w14:paraId="3E910EB0" w14:textId="77777777" w:rsidR="00D60186" w:rsidRPr="008D6210" w:rsidRDefault="00D60186" w:rsidP="00225D4D">
            <w:pPr>
              <w:rPr>
                <w:sz w:val="21"/>
                <w:szCs w:val="21"/>
              </w:rPr>
            </w:pPr>
            <w:r w:rsidRPr="008D6210">
              <w:rPr>
                <w:sz w:val="21"/>
                <w:szCs w:val="21"/>
              </w:rPr>
              <w:t>Norges innbetalinger til ESAs frivillige programmer</w:t>
            </w:r>
          </w:p>
        </w:tc>
        <w:tc>
          <w:tcPr>
            <w:tcW w:w="1400" w:type="dxa"/>
            <w:tcBorders>
              <w:top w:val="nil"/>
              <w:left w:val="nil"/>
              <w:bottom w:val="nil"/>
              <w:right w:val="nil"/>
            </w:tcBorders>
            <w:tcMar>
              <w:top w:w="128" w:type="dxa"/>
              <w:left w:w="43" w:type="dxa"/>
              <w:bottom w:w="43" w:type="dxa"/>
              <w:right w:w="43" w:type="dxa"/>
            </w:tcMar>
          </w:tcPr>
          <w:p w14:paraId="5DED3B78" w14:textId="77777777" w:rsidR="00D60186" w:rsidRPr="008D6210" w:rsidRDefault="00D60186" w:rsidP="008D6210">
            <w:pPr>
              <w:jc w:val="right"/>
              <w:rPr>
                <w:sz w:val="21"/>
                <w:szCs w:val="21"/>
              </w:rPr>
            </w:pPr>
            <w:r w:rsidRPr="008D6210">
              <w:rPr>
                <w:sz w:val="21"/>
                <w:szCs w:val="21"/>
              </w:rPr>
              <w:t>Ja</w:t>
            </w:r>
          </w:p>
        </w:tc>
      </w:tr>
      <w:tr w:rsidR="00E76DC8" w:rsidRPr="00225D4D" w14:paraId="591C231E"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4FD02BF"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95F5BB0" w14:textId="77777777" w:rsidR="00D60186" w:rsidRPr="008D6210" w:rsidRDefault="00D60186" w:rsidP="008D6210">
            <w:pPr>
              <w:ind w:right="113"/>
              <w:jc w:val="right"/>
              <w:rPr>
                <w:sz w:val="21"/>
                <w:szCs w:val="21"/>
              </w:rPr>
            </w:pPr>
            <w:r w:rsidRPr="008D6210">
              <w:rPr>
                <w:sz w:val="21"/>
                <w:szCs w:val="21"/>
              </w:rPr>
              <w:t>767</w:t>
            </w:r>
          </w:p>
        </w:tc>
        <w:tc>
          <w:tcPr>
            <w:tcW w:w="5600" w:type="dxa"/>
            <w:tcBorders>
              <w:top w:val="nil"/>
              <w:left w:val="nil"/>
              <w:bottom w:val="nil"/>
              <w:right w:val="nil"/>
            </w:tcBorders>
            <w:tcMar>
              <w:top w:w="128" w:type="dxa"/>
              <w:left w:w="43" w:type="dxa"/>
              <w:bottom w:w="43" w:type="dxa"/>
              <w:right w:w="43" w:type="dxa"/>
            </w:tcMar>
          </w:tcPr>
          <w:p w14:paraId="4A4D43FB" w14:textId="77777777" w:rsidR="00D60186" w:rsidRPr="008D6210" w:rsidRDefault="00D60186" w:rsidP="00225D4D">
            <w:pPr>
              <w:rPr>
                <w:sz w:val="21"/>
                <w:szCs w:val="21"/>
              </w:rPr>
            </w:pPr>
            <w:r w:rsidRPr="008D6210">
              <w:rPr>
                <w:sz w:val="21"/>
                <w:szCs w:val="21"/>
              </w:rPr>
              <w:t xml:space="preserve">Langsiktig plan for Direktoratet for romvirksomhet og </w:t>
            </w:r>
            <w:r w:rsidRPr="008D6210">
              <w:rPr>
                <w:sz w:val="21"/>
                <w:szCs w:val="21"/>
              </w:rPr>
              <w:br/>
              <w:t>nasjonale følgemidler</w:t>
            </w:r>
          </w:p>
        </w:tc>
        <w:tc>
          <w:tcPr>
            <w:tcW w:w="1400" w:type="dxa"/>
            <w:tcBorders>
              <w:top w:val="nil"/>
              <w:left w:val="nil"/>
              <w:bottom w:val="nil"/>
              <w:right w:val="nil"/>
            </w:tcBorders>
            <w:tcMar>
              <w:top w:w="128" w:type="dxa"/>
              <w:left w:w="43" w:type="dxa"/>
              <w:bottom w:w="43" w:type="dxa"/>
              <w:right w:w="43" w:type="dxa"/>
            </w:tcMar>
          </w:tcPr>
          <w:p w14:paraId="1135D43F" w14:textId="77777777" w:rsidR="00D60186" w:rsidRPr="008D6210" w:rsidRDefault="00D60186" w:rsidP="008D6210">
            <w:pPr>
              <w:jc w:val="right"/>
              <w:rPr>
                <w:sz w:val="21"/>
                <w:szCs w:val="21"/>
              </w:rPr>
            </w:pPr>
            <w:r w:rsidRPr="008D6210">
              <w:rPr>
                <w:sz w:val="21"/>
                <w:szCs w:val="21"/>
              </w:rPr>
              <w:t>Nei</w:t>
            </w:r>
          </w:p>
        </w:tc>
      </w:tr>
      <w:tr w:rsidR="00E76DC8" w:rsidRPr="00225D4D" w14:paraId="4A5153A7"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77C1283"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DDEF28C" w14:textId="77777777" w:rsidR="00D60186" w:rsidRPr="008D6210" w:rsidRDefault="00D60186" w:rsidP="008D6210">
            <w:pPr>
              <w:ind w:right="113"/>
              <w:jc w:val="right"/>
              <w:rPr>
                <w:sz w:val="21"/>
                <w:szCs w:val="21"/>
              </w:rPr>
            </w:pPr>
            <w:r w:rsidRPr="008D6210">
              <w:rPr>
                <w:sz w:val="21"/>
                <w:szCs w:val="21"/>
              </w:rPr>
              <w:t>988</w:t>
            </w:r>
          </w:p>
        </w:tc>
        <w:tc>
          <w:tcPr>
            <w:tcW w:w="5600" w:type="dxa"/>
            <w:tcBorders>
              <w:top w:val="nil"/>
              <w:left w:val="nil"/>
              <w:bottom w:val="nil"/>
              <w:right w:val="nil"/>
            </w:tcBorders>
            <w:tcMar>
              <w:top w:w="128" w:type="dxa"/>
              <w:left w:w="43" w:type="dxa"/>
              <w:bottom w:w="43" w:type="dxa"/>
              <w:right w:w="43" w:type="dxa"/>
            </w:tcMar>
          </w:tcPr>
          <w:p w14:paraId="4D0BBF39" w14:textId="77777777" w:rsidR="00D60186" w:rsidRPr="008D6210" w:rsidRDefault="00D60186" w:rsidP="00225D4D">
            <w:pPr>
              <w:rPr>
                <w:sz w:val="21"/>
                <w:szCs w:val="21"/>
              </w:rPr>
            </w:pPr>
            <w:r w:rsidRPr="008D6210">
              <w:rPr>
                <w:sz w:val="21"/>
                <w:szCs w:val="21"/>
              </w:rPr>
              <w:t>Industrivekstavtaler om kraftprosjekter</w:t>
            </w:r>
          </w:p>
        </w:tc>
        <w:tc>
          <w:tcPr>
            <w:tcW w:w="1400" w:type="dxa"/>
            <w:tcBorders>
              <w:top w:val="nil"/>
              <w:left w:val="nil"/>
              <w:bottom w:val="nil"/>
              <w:right w:val="nil"/>
            </w:tcBorders>
            <w:tcMar>
              <w:top w:w="128" w:type="dxa"/>
              <w:left w:w="43" w:type="dxa"/>
              <w:bottom w:w="43" w:type="dxa"/>
              <w:right w:w="43" w:type="dxa"/>
            </w:tcMar>
          </w:tcPr>
          <w:p w14:paraId="56B3C9CB" w14:textId="77777777" w:rsidR="00D60186" w:rsidRPr="008D6210" w:rsidRDefault="00D60186" w:rsidP="008D6210">
            <w:pPr>
              <w:jc w:val="right"/>
              <w:rPr>
                <w:sz w:val="21"/>
                <w:szCs w:val="21"/>
              </w:rPr>
            </w:pPr>
            <w:r w:rsidRPr="008D6210">
              <w:rPr>
                <w:sz w:val="21"/>
                <w:szCs w:val="21"/>
              </w:rPr>
              <w:t>Nei</w:t>
            </w:r>
          </w:p>
        </w:tc>
      </w:tr>
      <w:tr w:rsidR="00E76DC8" w:rsidRPr="00225D4D" w14:paraId="5DADC98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D02FE84"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6EAE76A" w14:textId="77777777" w:rsidR="00D60186" w:rsidRPr="008D6210" w:rsidRDefault="00D60186" w:rsidP="008D6210">
            <w:pPr>
              <w:ind w:right="113"/>
              <w:jc w:val="right"/>
              <w:rPr>
                <w:sz w:val="21"/>
                <w:szCs w:val="21"/>
              </w:rPr>
            </w:pPr>
            <w:r w:rsidRPr="008D6210">
              <w:rPr>
                <w:sz w:val="21"/>
                <w:szCs w:val="21"/>
              </w:rPr>
              <w:t>1039</w:t>
            </w:r>
          </w:p>
        </w:tc>
        <w:tc>
          <w:tcPr>
            <w:tcW w:w="5600" w:type="dxa"/>
            <w:tcBorders>
              <w:top w:val="nil"/>
              <w:left w:val="nil"/>
              <w:bottom w:val="nil"/>
              <w:right w:val="nil"/>
            </w:tcBorders>
            <w:tcMar>
              <w:top w:w="128" w:type="dxa"/>
              <w:left w:w="43" w:type="dxa"/>
              <w:bottom w:w="43" w:type="dxa"/>
              <w:right w:w="43" w:type="dxa"/>
            </w:tcMar>
          </w:tcPr>
          <w:p w14:paraId="5CBCC910" w14:textId="77777777" w:rsidR="00D60186" w:rsidRPr="008D6210" w:rsidRDefault="00D60186" w:rsidP="00225D4D">
            <w:pPr>
              <w:rPr>
                <w:sz w:val="21"/>
                <w:szCs w:val="21"/>
              </w:rPr>
            </w:pPr>
            <w:r w:rsidRPr="008D6210">
              <w:rPr>
                <w:sz w:val="21"/>
                <w:szCs w:val="21"/>
              </w:rPr>
              <w:t>Utredning av reguleringssystem for havbruksnæringen</w:t>
            </w:r>
          </w:p>
        </w:tc>
        <w:tc>
          <w:tcPr>
            <w:tcW w:w="1400" w:type="dxa"/>
            <w:tcBorders>
              <w:top w:val="nil"/>
              <w:left w:val="nil"/>
              <w:bottom w:val="nil"/>
              <w:right w:val="nil"/>
            </w:tcBorders>
            <w:tcMar>
              <w:top w:w="128" w:type="dxa"/>
              <w:left w:w="43" w:type="dxa"/>
              <w:bottom w:w="43" w:type="dxa"/>
              <w:right w:w="43" w:type="dxa"/>
            </w:tcMar>
          </w:tcPr>
          <w:p w14:paraId="517A58CE" w14:textId="77777777" w:rsidR="00D60186" w:rsidRPr="008D6210" w:rsidRDefault="00D60186" w:rsidP="008D6210">
            <w:pPr>
              <w:jc w:val="right"/>
              <w:rPr>
                <w:sz w:val="21"/>
                <w:szCs w:val="21"/>
              </w:rPr>
            </w:pPr>
            <w:r w:rsidRPr="008D6210">
              <w:rPr>
                <w:sz w:val="21"/>
                <w:szCs w:val="21"/>
              </w:rPr>
              <w:t>Nei</w:t>
            </w:r>
          </w:p>
        </w:tc>
      </w:tr>
      <w:tr w:rsidR="00E76DC8" w:rsidRPr="00225D4D" w14:paraId="7A62BFFE"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F1A0395"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4085168" w14:textId="77777777" w:rsidR="00D60186" w:rsidRPr="008D6210" w:rsidRDefault="00D60186" w:rsidP="008D6210">
            <w:pPr>
              <w:ind w:right="113"/>
              <w:jc w:val="right"/>
              <w:rPr>
                <w:sz w:val="21"/>
                <w:szCs w:val="21"/>
              </w:rPr>
            </w:pPr>
            <w:r w:rsidRPr="008D6210">
              <w:rPr>
                <w:sz w:val="21"/>
                <w:szCs w:val="21"/>
              </w:rPr>
              <w:t>1040</w:t>
            </w:r>
          </w:p>
        </w:tc>
        <w:tc>
          <w:tcPr>
            <w:tcW w:w="5600" w:type="dxa"/>
            <w:tcBorders>
              <w:top w:val="nil"/>
              <w:left w:val="nil"/>
              <w:bottom w:val="nil"/>
              <w:right w:val="nil"/>
            </w:tcBorders>
            <w:tcMar>
              <w:top w:w="128" w:type="dxa"/>
              <w:left w:w="43" w:type="dxa"/>
              <w:bottom w:w="43" w:type="dxa"/>
              <w:right w:w="43" w:type="dxa"/>
            </w:tcMar>
          </w:tcPr>
          <w:p w14:paraId="5E27DA5F" w14:textId="77777777" w:rsidR="00D60186" w:rsidRPr="008D6210" w:rsidRDefault="00D60186" w:rsidP="00225D4D">
            <w:pPr>
              <w:rPr>
                <w:sz w:val="21"/>
                <w:szCs w:val="21"/>
              </w:rPr>
            </w:pPr>
            <w:r w:rsidRPr="008D6210">
              <w:rPr>
                <w:sz w:val="21"/>
                <w:szCs w:val="21"/>
              </w:rPr>
              <w:t>Styrking av datagrunnlag om miljøpåvirkning i havbruk</w:t>
            </w:r>
          </w:p>
        </w:tc>
        <w:tc>
          <w:tcPr>
            <w:tcW w:w="1400" w:type="dxa"/>
            <w:tcBorders>
              <w:top w:val="nil"/>
              <w:left w:val="nil"/>
              <w:bottom w:val="nil"/>
              <w:right w:val="nil"/>
            </w:tcBorders>
            <w:tcMar>
              <w:top w:w="128" w:type="dxa"/>
              <w:left w:w="43" w:type="dxa"/>
              <w:bottom w:w="43" w:type="dxa"/>
              <w:right w:w="43" w:type="dxa"/>
            </w:tcMar>
          </w:tcPr>
          <w:p w14:paraId="39F15550" w14:textId="77777777" w:rsidR="00D60186" w:rsidRPr="008D6210" w:rsidRDefault="00D60186" w:rsidP="008D6210">
            <w:pPr>
              <w:jc w:val="right"/>
              <w:rPr>
                <w:sz w:val="21"/>
                <w:szCs w:val="21"/>
              </w:rPr>
            </w:pPr>
            <w:r w:rsidRPr="008D6210">
              <w:rPr>
                <w:sz w:val="21"/>
                <w:szCs w:val="21"/>
              </w:rPr>
              <w:t>Nei</w:t>
            </w:r>
          </w:p>
        </w:tc>
      </w:tr>
      <w:tr w:rsidR="00E76DC8" w:rsidRPr="00225D4D" w14:paraId="618CB42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96C5CA0"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D2A2897" w14:textId="77777777" w:rsidR="00D60186" w:rsidRPr="008D6210" w:rsidRDefault="00D60186" w:rsidP="008D6210">
            <w:pPr>
              <w:ind w:right="113"/>
              <w:jc w:val="right"/>
              <w:rPr>
                <w:sz w:val="21"/>
                <w:szCs w:val="21"/>
              </w:rPr>
            </w:pPr>
            <w:r w:rsidRPr="008D6210">
              <w:rPr>
                <w:sz w:val="21"/>
                <w:szCs w:val="21"/>
              </w:rPr>
              <w:t>1041</w:t>
            </w:r>
          </w:p>
        </w:tc>
        <w:tc>
          <w:tcPr>
            <w:tcW w:w="5600" w:type="dxa"/>
            <w:tcBorders>
              <w:top w:val="nil"/>
              <w:left w:val="nil"/>
              <w:bottom w:val="nil"/>
              <w:right w:val="nil"/>
            </w:tcBorders>
            <w:tcMar>
              <w:top w:w="128" w:type="dxa"/>
              <w:left w:w="43" w:type="dxa"/>
              <w:bottom w:w="43" w:type="dxa"/>
              <w:right w:w="43" w:type="dxa"/>
            </w:tcMar>
          </w:tcPr>
          <w:p w14:paraId="2563E0C1" w14:textId="77777777" w:rsidR="00D60186" w:rsidRPr="008D6210" w:rsidRDefault="00D60186" w:rsidP="00225D4D">
            <w:pPr>
              <w:rPr>
                <w:sz w:val="21"/>
                <w:szCs w:val="21"/>
              </w:rPr>
            </w:pPr>
            <w:r w:rsidRPr="008D6210">
              <w:rPr>
                <w:sz w:val="21"/>
                <w:szCs w:val="21"/>
              </w:rPr>
              <w:t>Helhetlig kunnskapsgrunnlag om havbrukets miljøpåvirkning</w:t>
            </w:r>
          </w:p>
        </w:tc>
        <w:tc>
          <w:tcPr>
            <w:tcW w:w="1400" w:type="dxa"/>
            <w:tcBorders>
              <w:top w:val="nil"/>
              <w:left w:val="nil"/>
              <w:bottom w:val="nil"/>
              <w:right w:val="nil"/>
            </w:tcBorders>
            <w:tcMar>
              <w:top w:w="128" w:type="dxa"/>
              <w:left w:w="43" w:type="dxa"/>
              <w:bottom w:w="43" w:type="dxa"/>
              <w:right w:w="43" w:type="dxa"/>
            </w:tcMar>
          </w:tcPr>
          <w:p w14:paraId="03B212ED" w14:textId="77777777" w:rsidR="00D60186" w:rsidRPr="008D6210" w:rsidRDefault="00D60186" w:rsidP="008D6210">
            <w:pPr>
              <w:jc w:val="right"/>
              <w:rPr>
                <w:sz w:val="21"/>
                <w:szCs w:val="21"/>
              </w:rPr>
            </w:pPr>
            <w:r w:rsidRPr="008D6210">
              <w:rPr>
                <w:sz w:val="21"/>
                <w:szCs w:val="21"/>
              </w:rPr>
              <w:t>Nei</w:t>
            </w:r>
          </w:p>
        </w:tc>
      </w:tr>
      <w:tr w:rsidR="00E76DC8" w:rsidRPr="00225D4D" w14:paraId="2CC929A0"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DE86D39"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8B305DE" w14:textId="77777777" w:rsidR="00D60186" w:rsidRPr="008D6210" w:rsidRDefault="00D60186" w:rsidP="008D6210">
            <w:pPr>
              <w:ind w:right="113"/>
              <w:jc w:val="right"/>
              <w:rPr>
                <w:sz w:val="21"/>
                <w:szCs w:val="21"/>
              </w:rPr>
            </w:pPr>
            <w:r w:rsidRPr="008D6210">
              <w:rPr>
                <w:sz w:val="21"/>
                <w:szCs w:val="21"/>
              </w:rPr>
              <w:t>1042</w:t>
            </w:r>
          </w:p>
        </w:tc>
        <w:tc>
          <w:tcPr>
            <w:tcW w:w="5600" w:type="dxa"/>
            <w:tcBorders>
              <w:top w:val="nil"/>
              <w:left w:val="nil"/>
              <w:bottom w:val="nil"/>
              <w:right w:val="nil"/>
            </w:tcBorders>
            <w:tcMar>
              <w:top w:w="128" w:type="dxa"/>
              <w:left w:w="43" w:type="dxa"/>
              <w:bottom w:w="43" w:type="dxa"/>
              <w:right w:w="43" w:type="dxa"/>
            </w:tcMar>
          </w:tcPr>
          <w:p w14:paraId="56F4C753" w14:textId="77777777" w:rsidR="00D60186" w:rsidRPr="008D6210" w:rsidRDefault="00D60186" w:rsidP="00225D4D">
            <w:pPr>
              <w:rPr>
                <w:sz w:val="21"/>
                <w:szCs w:val="21"/>
              </w:rPr>
            </w:pPr>
            <w:r w:rsidRPr="008D6210">
              <w:rPr>
                <w:sz w:val="21"/>
                <w:szCs w:val="21"/>
              </w:rPr>
              <w:t>Bruk av trafikklysevaluering i videre havbruksregulering</w:t>
            </w:r>
          </w:p>
        </w:tc>
        <w:tc>
          <w:tcPr>
            <w:tcW w:w="1400" w:type="dxa"/>
            <w:tcBorders>
              <w:top w:val="nil"/>
              <w:left w:val="nil"/>
              <w:bottom w:val="nil"/>
              <w:right w:val="nil"/>
            </w:tcBorders>
            <w:tcMar>
              <w:top w:w="128" w:type="dxa"/>
              <w:left w:w="43" w:type="dxa"/>
              <w:bottom w:w="43" w:type="dxa"/>
              <w:right w:w="43" w:type="dxa"/>
            </w:tcMar>
          </w:tcPr>
          <w:p w14:paraId="078FA568" w14:textId="77777777" w:rsidR="00D60186" w:rsidRPr="008D6210" w:rsidRDefault="00D60186" w:rsidP="008D6210">
            <w:pPr>
              <w:jc w:val="right"/>
              <w:rPr>
                <w:sz w:val="21"/>
                <w:szCs w:val="21"/>
              </w:rPr>
            </w:pPr>
            <w:r w:rsidRPr="008D6210">
              <w:rPr>
                <w:sz w:val="21"/>
                <w:szCs w:val="21"/>
              </w:rPr>
              <w:t>Nei</w:t>
            </w:r>
          </w:p>
        </w:tc>
      </w:tr>
      <w:tr w:rsidR="00E76DC8" w:rsidRPr="00225D4D" w14:paraId="2C9D56E1"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C4EA45C"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00430F8" w14:textId="77777777" w:rsidR="00D60186" w:rsidRPr="008D6210" w:rsidRDefault="00D60186" w:rsidP="008D6210">
            <w:pPr>
              <w:ind w:right="113"/>
              <w:jc w:val="right"/>
              <w:rPr>
                <w:sz w:val="21"/>
                <w:szCs w:val="21"/>
              </w:rPr>
            </w:pPr>
            <w:r w:rsidRPr="008D6210">
              <w:rPr>
                <w:sz w:val="21"/>
                <w:szCs w:val="21"/>
              </w:rPr>
              <w:t>1043</w:t>
            </w:r>
          </w:p>
        </w:tc>
        <w:tc>
          <w:tcPr>
            <w:tcW w:w="5600" w:type="dxa"/>
            <w:tcBorders>
              <w:top w:val="nil"/>
              <w:left w:val="nil"/>
              <w:bottom w:val="nil"/>
              <w:right w:val="nil"/>
            </w:tcBorders>
            <w:tcMar>
              <w:top w:w="128" w:type="dxa"/>
              <w:left w:w="43" w:type="dxa"/>
              <w:bottom w:w="43" w:type="dxa"/>
              <w:right w:w="43" w:type="dxa"/>
            </w:tcMar>
          </w:tcPr>
          <w:p w14:paraId="2BD761E0" w14:textId="77777777" w:rsidR="00D60186" w:rsidRPr="008D6210" w:rsidRDefault="00D60186" w:rsidP="00225D4D">
            <w:pPr>
              <w:rPr>
                <w:sz w:val="21"/>
                <w:szCs w:val="21"/>
              </w:rPr>
            </w:pPr>
            <w:r w:rsidRPr="008D6210">
              <w:rPr>
                <w:sz w:val="21"/>
                <w:szCs w:val="21"/>
              </w:rPr>
              <w:t>Vurdere utvalg for dialog og samspill mellom aktørene innen havbruket</w:t>
            </w:r>
          </w:p>
        </w:tc>
        <w:tc>
          <w:tcPr>
            <w:tcW w:w="1400" w:type="dxa"/>
            <w:tcBorders>
              <w:top w:val="nil"/>
              <w:left w:val="nil"/>
              <w:bottom w:val="nil"/>
              <w:right w:val="nil"/>
            </w:tcBorders>
            <w:tcMar>
              <w:top w:w="128" w:type="dxa"/>
              <w:left w:w="43" w:type="dxa"/>
              <w:bottom w:w="43" w:type="dxa"/>
              <w:right w:w="43" w:type="dxa"/>
            </w:tcMar>
          </w:tcPr>
          <w:p w14:paraId="00D2A8AB" w14:textId="77777777" w:rsidR="00D60186" w:rsidRPr="008D6210" w:rsidRDefault="00D60186" w:rsidP="008D6210">
            <w:pPr>
              <w:jc w:val="right"/>
              <w:rPr>
                <w:sz w:val="21"/>
                <w:szCs w:val="21"/>
              </w:rPr>
            </w:pPr>
            <w:r w:rsidRPr="008D6210">
              <w:rPr>
                <w:sz w:val="21"/>
                <w:szCs w:val="21"/>
              </w:rPr>
              <w:t>Nei</w:t>
            </w:r>
          </w:p>
        </w:tc>
      </w:tr>
      <w:tr w:rsidR="00E76DC8" w:rsidRPr="00225D4D" w14:paraId="3E652D9B"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B1AB667"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AD46965" w14:textId="77777777" w:rsidR="00D60186" w:rsidRPr="008D6210" w:rsidRDefault="00D60186" w:rsidP="008D6210">
            <w:pPr>
              <w:ind w:right="113"/>
              <w:jc w:val="right"/>
              <w:rPr>
                <w:sz w:val="21"/>
                <w:szCs w:val="21"/>
              </w:rPr>
            </w:pPr>
            <w:r w:rsidRPr="008D6210">
              <w:rPr>
                <w:sz w:val="21"/>
                <w:szCs w:val="21"/>
              </w:rPr>
              <w:t>1044</w:t>
            </w:r>
          </w:p>
        </w:tc>
        <w:tc>
          <w:tcPr>
            <w:tcW w:w="5600" w:type="dxa"/>
            <w:tcBorders>
              <w:top w:val="nil"/>
              <w:left w:val="nil"/>
              <w:bottom w:val="nil"/>
              <w:right w:val="nil"/>
            </w:tcBorders>
            <w:tcMar>
              <w:top w:w="128" w:type="dxa"/>
              <w:left w:w="43" w:type="dxa"/>
              <w:bottom w:w="43" w:type="dxa"/>
              <w:right w:w="43" w:type="dxa"/>
            </w:tcMar>
          </w:tcPr>
          <w:p w14:paraId="01DC0CF7" w14:textId="77777777" w:rsidR="00D60186" w:rsidRPr="008D6210" w:rsidRDefault="00D60186" w:rsidP="00225D4D">
            <w:pPr>
              <w:rPr>
                <w:sz w:val="21"/>
                <w:szCs w:val="21"/>
              </w:rPr>
            </w:pPr>
            <w:r w:rsidRPr="008D6210">
              <w:rPr>
                <w:sz w:val="21"/>
                <w:szCs w:val="21"/>
              </w:rPr>
              <w:t>Raskere behandling av lokalitetssøknader i havbruk</w:t>
            </w:r>
          </w:p>
        </w:tc>
        <w:tc>
          <w:tcPr>
            <w:tcW w:w="1400" w:type="dxa"/>
            <w:tcBorders>
              <w:top w:val="nil"/>
              <w:left w:val="nil"/>
              <w:bottom w:val="nil"/>
              <w:right w:val="nil"/>
            </w:tcBorders>
            <w:tcMar>
              <w:top w:w="128" w:type="dxa"/>
              <w:left w:w="43" w:type="dxa"/>
              <w:bottom w:w="43" w:type="dxa"/>
              <w:right w:w="43" w:type="dxa"/>
            </w:tcMar>
          </w:tcPr>
          <w:p w14:paraId="71EA239D" w14:textId="77777777" w:rsidR="00D60186" w:rsidRPr="008D6210" w:rsidRDefault="00D60186" w:rsidP="008D6210">
            <w:pPr>
              <w:jc w:val="right"/>
              <w:rPr>
                <w:sz w:val="21"/>
                <w:szCs w:val="21"/>
              </w:rPr>
            </w:pPr>
            <w:r w:rsidRPr="008D6210">
              <w:rPr>
                <w:sz w:val="21"/>
                <w:szCs w:val="21"/>
              </w:rPr>
              <w:t>Nei</w:t>
            </w:r>
          </w:p>
        </w:tc>
      </w:tr>
      <w:tr w:rsidR="00E76DC8" w:rsidRPr="00225D4D" w14:paraId="6F75A087"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A936F8C"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52B1857" w14:textId="77777777" w:rsidR="00D60186" w:rsidRPr="008D6210" w:rsidRDefault="00D60186" w:rsidP="008D6210">
            <w:pPr>
              <w:ind w:right="113"/>
              <w:jc w:val="right"/>
              <w:rPr>
                <w:sz w:val="21"/>
                <w:szCs w:val="21"/>
              </w:rPr>
            </w:pPr>
            <w:r w:rsidRPr="008D6210">
              <w:rPr>
                <w:sz w:val="21"/>
                <w:szCs w:val="21"/>
              </w:rPr>
              <w:t>1045</w:t>
            </w:r>
          </w:p>
        </w:tc>
        <w:tc>
          <w:tcPr>
            <w:tcW w:w="5600" w:type="dxa"/>
            <w:tcBorders>
              <w:top w:val="nil"/>
              <w:left w:val="nil"/>
              <w:bottom w:val="nil"/>
              <w:right w:val="nil"/>
            </w:tcBorders>
            <w:tcMar>
              <w:top w:w="128" w:type="dxa"/>
              <w:left w:w="43" w:type="dxa"/>
              <w:bottom w:w="43" w:type="dxa"/>
              <w:right w:w="43" w:type="dxa"/>
            </w:tcMar>
          </w:tcPr>
          <w:p w14:paraId="31518A36" w14:textId="77777777" w:rsidR="00D60186" w:rsidRPr="008D6210" w:rsidRDefault="00D60186" w:rsidP="00225D4D">
            <w:pPr>
              <w:rPr>
                <w:sz w:val="21"/>
                <w:szCs w:val="21"/>
              </w:rPr>
            </w:pPr>
            <w:r w:rsidRPr="008D6210">
              <w:rPr>
                <w:sz w:val="21"/>
                <w:szCs w:val="21"/>
              </w:rPr>
              <w:t>Vurdering av et fiskeri- og havbruksdirektorat</w:t>
            </w:r>
          </w:p>
        </w:tc>
        <w:tc>
          <w:tcPr>
            <w:tcW w:w="1400" w:type="dxa"/>
            <w:tcBorders>
              <w:top w:val="nil"/>
              <w:left w:val="nil"/>
              <w:bottom w:val="nil"/>
              <w:right w:val="nil"/>
            </w:tcBorders>
            <w:tcMar>
              <w:top w:w="128" w:type="dxa"/>
              <w:left w:w="43" w:type="dxa"/>
              <w:bottom w:w="43" w:type="dxa"/>
              <w:right w:w="43" w:type="dxa"/>
            </w:tcMar>
          </w:tcPr>
          <w:p w14:paraId="203013D5" w14:textId="77777777" w:rsidR="00D60186" w:rsidRPr="008D6210" w:rsidRDefault="00D60186" w:rsidP="008D6210">
            <w:pPr>
              <w:jc w:val="right"/>
              <w:rPr>
                <w:sz w:val="21"/>
                <w:szCs w:val="21"/>
              </w:rPr>
            </w:pPr>
            <w:r w:rsidRPr="008D6210">
              <w:rPr>
                <w:sz w:val="21"/>
                <w:szCs w:val="21"/>
              </w:rPr>
              <w:t>Nei</w:t>
            </w:r>
          </w:p>
        </w:tc>
      </w:tr>
      <w:tr w:rsidR="00E76DC8" w:rsidRPr="00225D4D" w14:paraId="261D5FDA"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E9C4632"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C3D960D" w14:textId="77777777" w:rsidR="00D60186" w:rsidRPr="008D6210" w:rsidRDefault="00D60186" w:rsidP="008D6210">
            <w:pPr>
              <w:ind w:right="113"/>
              <w:jc w:val="right"/>
              <w:rPr>
                <w:sz w:val="21"/>
                <w:szCs w:val="21"/>
              </w:rPr>
            </w:pPr>
            <w:r w:rsidRPr="008D6210">
              <w:rPr>
                <w:sz w:val="21"/>
                <w:szCs w:val="21"/>
              </w:rPr>
              <w:t>1046</w:t>
            </w:r>
          </w:p>
        </w:tc>
        <w:tc>
          <w:tcPr>
            <w:tcW w:w="5600" w:type="dxa"/>
            <w:tcBorders>
              <w:top w:val="nil"/>
              <w:left w:val="nil"/>
              <w:bottom w:val="nil"/>
              <w:right w:val="nil"/>
            </w:tcBorders>
            <w:tcMar>
              <w:top w:w="128" w:type="dxa"/>
              <w:left w:w="43" w:type="dxa"/>
              <w:bottom w:w="43" w:type="dxa"/>
              <w:right w:w="43" w:type="dxa"/>
            </w:tcMar>
          </w:tcPr>
          <w:p w14:paraId="01B238CF" w14:textId="77777777" w:rsidR="00D60186" w:rsidRPr="008D6210" w:rsidRDefault="00D60186" w:rsidP="00225D4D">
            <w:pPr>
              <w:rPr>
                <w:sz w:val="21"/>
                <w:szCs w:val="21"/>
              </w:rPr>
            </w:pPr>
            <w:r w:rsidRPr="008D6210">
              <w:rPr>
                <w:sz w:val="21"/>
                <w:szCs w:val="21"/>
              </w:rPr>
              <w:t>Videreutvikling av havbruksfondet</w:t>
            </w:r>
          </w:p>
        </w:tc>
        <w:tc>
          <w:tcPr>
            <w:tcW w:w="1400" w:type="dxa"/>
            <w:tcBorders>
              <w:top w:val="nil"/>
              <w:left w:val="nil"/>
              <w:bottom w:val="nil"/>
              <w:right w:val="nil"/>
            </w:tcBorders>
            <w:tcMar>
              <w:top w:w="128" w:type="dxa"/>
              <w:left w:w="43" w:type="dxa"/>
              <w:bottom w:w="43" w:type="dxa"/>
              <w:right w:w="43" w:type="dxa"/>
            </w:tcMar>
          </w:tcPr>
          <w:p w14:paraId="2D3A06A3" w14:textId="77777777" w:rsidR="00D60186" w:rsidRPr="008D6210" w:rsidRDefault="00D60186" w:rsidP="008D6210">
            <w:pPr>
              <w:jc w:val="right"/>
              <w:rPr>
                <w:sz w:val="21"/>
                <w:szCs w:val="21"/>
              </w:rPr>
            </w:pPr>
            <w:r w:rsidRPr="008D6210">
              <w:rPr>
                <w:sz w:val="21"/>
                <w:szCs w:val="21"/>
              </w:rPr>
              <w:t>Nei</w:t>
            </w:r>
          </w:p>
        </w:tc>
      </w:tr>
      <w:tr w:rsidR="00E76DC8" w:rsidRPr="00225D4D" w14:paraId="4FF1EAB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FF3075C"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96E341B" w14:textId="77777777" w:rsidR="00D60186" w:rsidRPr="008D6210" w:rsidRDefault="00D60186" w:rsidP="008D6210">
            <w:pPr>
              <w:ind w:right="113"/>
              <w:jc w:val="right"/>
              <w:rPr>
                <w:sz w:val="21"/>
                <w:szCs w:val="21"/>
              </w:rPr>
            </w:pPr>
            <w:r w:rsidRPr="008D6210">
              <w:rPr>
                <w:sz w:val="21"/>
                <w:szCs w:val="21"/>
              </w:rPr>
              <w:t>1047</w:t>
            </w:r>
          </w:p>
        </w:tc>
        <w:tc>
          <w:tcPr>
            <w:tcW w:w="5600" w:type="dxa"/>
            <w:tcBorders>
              <w:top w:val="nil"/>
              <w:left w:val="nil"/>
              <w:bottom w:val="nil"/>
              <w:right w:val="nil"/>
            </w:tcBorders>
            <w:tcMar>
              <w:top w:w="128" w:type="dxa"/>
              <w:left w:w="43" w:type="dxa"/>
              <w:bottom w:w="43" w:type="dxa"/>
              <w:right w:w="43" w:type="dxa"/>
            </w:tcMar>
          </w:tcPr>
          <w:p w14:paraId="53D1C7EC" w14:textId="77777777" w:rsidR="00D60186" w:rsidRPr="008D6210" w:rsidRDefault="00D60186" w:rsidP="00225D4D">
            <w:pPr>
              <w:rPr>
                <w:sz w:val="21"/>
                <w:szCs w:val="21"/>
              </w:rPr>
            </w:pPr>
            <w:r w:rsidRPr="008D6210">
              <w:rPr>
                <w:sz w:val="21"/>
                <w:szCs w:val="21"/>
              </w:rPr>
              <w:t>Fordelingsnøkkel for lusekvoter basert på tillatt biomasse per selskap</w:t>
            </w:r>
          </w:p>
        </w:tc>
        <w:tc>
          <w:tcPr>
            <w:tcW w:w="1400" w:type="dxa"/>
            <w:tcBorders>
              <w:top w:val="nil"/>
              <w:left w:val="nil"/>
              <w:bottom w:val="nil"/>
              <w:right w:val="nil"/>
            </w:tcBorders>
            <w:tcMar>
              <w:top w:w="128" w:type="dxa"/>
              <w:left w:w="43" w:type="dxa"/>
              <w:bottom w:w="43" w:type="dxa"/>
              <w:right w:w="43" w:type="dxa"/>
            </w:tcMar>
          </w:tcPr>
          <w:p w14:paraId="31EF99F4" w14:textId="77777777" w:rsidR="00D60186" w:rsidRPr="008D6210" w:rsidRDefault="00D60186" w:rsidP="008D6210">
            <w:pPr>
              <w:jc w:val="right"/>
              <w:rPr>
                <w:sz w:val="21"/>
                <w:szCs w:val="21"/>
              </w:rPr>
            </w:pPr>
            <w:r w:rsidRPr="008D6210">
              <w:rPr>
                <w:sz w:val="21"/>
                <w:szCs w:val="21"/>
              </w:rPr>
              <w:t>Ja</w:t>
            </w:r>
          </w:p>
        </w:tc>
      </w:tr>
      <w:tr w:rsidR="00E76DC8" w:rsidRPr="00225D4D" w14:paraId="21FA48AA"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EC6A72F"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6085FBB" w14:textId="77777777" w:rsidR="00D60186" w:rsidRPr="008D6210" w:rsidRDefault="00D60186" w:rsidP="008D6210">
            <w:pPr>
              <w:ind w:right="113"/>
              <w:jc w:val="right"/>
              <w:rPr>
                <w:sz w:val="21"/>
                <w:szCs w:val="21"/>
              </w:rPr>
            </w:pPr>
            <w:r w:rsidRPr="008D6210">
              <w:rPr>
                <w:sz w:val="21"/>
                <w:szCs w:val="21"/>
              </w:rPr>
              <w:t>1048</w:t>
            </w:r>
          </w:p>
        </w:tc>
        <w:tc>
          <w:tcPr>
            <w:tcW w:w="5600" w:type="dxa"/>
            <w:tcBorders>
              <w:top w:val="nil"/>
              <w:left w:val="nil"/>
              <w:bottom w:val="nil"/>
              <w:right w:val="nil"/>
            </w:tcBorders>
            <w:tcMar>
              <w:top w:w="128" w:type="dxa"/>
              <w:left w:w="43" w:type="dxa"/>
              <w:bottom w:w="43" w:type="dxa"/>
              <w:right w:w="43" w:type="dxa"/>
            </w:tcMar>
          </w:tcPr>
          <w:p w14:paraId="3A4D88D6" w14:textId="77777777" w:rsidR="00D60186" w:rsidRPr="008D6210" w:rsidRDefault="00D60186" w:rsidP="00225D4D">
            <w:pPr>
              <w:rPr>
                <w:sz w:val="21"/>
                <w:szCs w:val="21"/>
              </w:rPr>
            </w:pPr>
            <w:r w:rsidRPr="008D6210">
              <w:rPr>
                <w:sz w:val="21"/>
                <w:szCs w:val="21"/>
              </w:rPr>
              <w:t>Rammevilkår for akvakulturnæringen</w:t>
            </w:r>
          </w:p>
        </w:tc>
        <w:tc>
          <w:tcPr>
            <w:tcW w:w="1400" w:type="dxa"/>
            <w:tcBorders>
              <w:top w:val="nil"/>
              <w:left w:val="nil"/>
              <w:bottom w:val="nil"/>
              <w:right w:val="nil"/>
            </w:tcBorders>
            <w:tcMar>
              <w:top w:w="128" w:type="dxa"/>
              <w:left w:w="43" w:type="dxa"/>
              <w:bottom w:w="43" w:type="dxa"/>
              <w:right w:w="43" w:type="dxa"/>
            </w:tcMar>
          </w:tcPr>
          <w:p w14:paraId="4B8755FB" w14:textId="77777777" w:rsidR="00D60186" w:rsidRPr="008D6210" w:rsidRDefault="00D60186" w:rsidP="008D6210">
            <w:pPr>
              <w:jc w:val="right"/>
              <w:rPr>
                <w:sz w:val="21"/>
                <w:szCs w:val="21"/>
              </w:rPr>
            </w:pPr>
            <w:r w:rsidRPr="008D6210">
              <w:rPr>
                <w:sz w:val="21"/>
                <w:szCs w:val="21"/>
              </w:rPr>
              <w:t>Nei</w:t>
            </w:r>
          </w:p>
        </w:tc>
      </w:tr>
      <w:tr w:rsidR="00E76DC8" w:rsidRPr="00225D4D" w14:paraId="0AF446BE"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9C26A5E"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2774BFF" w14:textId="77777777" w:rsidR="00D60186" w:rsidRPr="008D6210" w:rsidRDefault="00D60186" w:rsidP="008D6210">
            <w:pPr>
              <w:ind w:right="113"/>
              <w:jc w:val="right"/>
              <w:rPr>
                <w:sz w:val="21"/>
                <w:szCs w:val="21"/>
              </w:rPr>
            </w:pPr>
            <w:r w:rsidRPr="008D6210">
              <w:rPr>
                <w:sz w:val="21"/>
                <w:szCs w:val="21"/>
              </w:rPr>
              <w:t>1049</w:t>
            </w:r>
          </w:p>
        </w:tc>
        <w:tc>
          <w:tcPr>
            <w:tcW w:w="5600" w:type="dxa"/>
            <w:tcBorders>
              <w:top w:val="nil"/>
              <w:left w:val="nil"/>
              <w:bottom w:val="nil"/>
              <w:right w:val="nil"/>
            </w:tcBorders>
            <w:tcMar>
              <w:top w:w="128" w:type="dxa"/>
              <w:left w:w="43" w:type="dxa"/>
              <w:bottom w:w="43" w:type="dxa"/>
              <w:right w:w="43" w:type="dxa"/>
            </w:tcMar>
          </w:tcPr>
          <w:p w14:paraId="45AB6A26" w14:textId="77777777" w:rsidR="00D60186" w:rsidRPr="008D6210" w:rsidRDefault="00D60186" w:rsidP="00225D4D">
            <w:pPr>
              <w:rPr>
                <w:sz w:val="21"/>
                <w:szCs w:val="21"/>
              </w:rPr>
            </w:pPr>
            <w:r w:rsidRPr="008D6210">
              <w:rPr>
                <w:sz w:val="21"/>
                <w:szCs w:val="21"/>
              </w:rPr>
              <w:t xml:space="preserve">Opprettholdelse av </w:t>
            </w:r>
            <w:proofErr w:type="spellStart"/>
            <w:r w:rsidRPr="008D6210">
              <w:rPr>
                <w:sz w:val="21"/>
                <w:szCs w:val="21"/>
              </w:rPr>
              <w:t>artsbegrensning</w:t>
            </w:r>
            <w:proofErr w:type="spellEnd"/>
            <w:r w:rsidRPr="008D6210">
              <w:rPr>
                <w:sz w:val="21"/>
                <w:szCs w:val="21"/>
              </w:rPr>
              <w:t xml:space="preserve"> i akvakulturtillatelser</w:t>
            </w:r>
          </w:p>
        </w:tc>
        <w:tc>
          <w:tcPr>
            <w:tcW w:w="1400" w:type="dxa"/>
            <w:tcBorders>
              <w:top w:val="nil"/>
              <w:left w:val="nil"/>
              <w:bottom w:val="nil"/>
              <w:right w:val="nil"/>
            </w:tcBorders>
            <w:tcMar>
              <w:top w:w="128" w:type="dxa"/>
              <w:left w:w="43" w:type="dxa"/>
              <w:bottom w:w="43" w:type="dxa"/>
              <w:right w:w="43" w:type="dxa"/>
            </w:tcMar>
          </w:tcPr>
          <w:p w14:paraId="5C141EF3" w14:textId="77777777" w:rsidR="00D60186" w:rsidRPr="008D6210" w:rsidRDefault="00D60186" w:rsidP="008D6210">
            <w:pPr>
              <w:jc w:val="right"/>
              <w:rPr>
                <w:sz w:val="21"/>
                <w:szCs w:val="21"/>
              </w:rPr>
            </w:pPr>
            <w:r w:rsidRPr="008D6210">
              <w:rPr>
                <w:sz w:val="21"/>
                <w:szCs w:val="21"/>
              </w:rPr>
              <w:t>Nei</w:t>
            </w:r>
          </w:p>
        </w:tc>
      </w:tr>
      <w:tr w:rsidR="00E76DC8" w:rsidRPr="00225D4D" w14:paraId="1750D10B"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84AA12B"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215C6A9" w14:textId="77777777" w:rsidR="00D60186" w:rsidRPr="008D6210" w:rsidRDefault="00D60186" w:rsidP="008D6210">
            <w:pPr>
              <w:ind w:right="113"/>
              <w:jc w:val="right"/>
              <w:rPr>
                <w:sz w:val="21"/>
                <w:szCs w:val="21"/>
              </w:rPr>
            </w:pPr>
            <w:r w:rsidRPr="008D6210">
              <w:rPr>
                <w:sz w:val="21"/>
                <w:szCs w:val="21"/>
              </w:rPr>
              <w:t>1050</w:t>
            </w:r>
          </w:p>
        </w:tc>
        <w:tc>
          <w:tcPr>
            <w:tcW w:w="5600" w:type="dxa"/>
            <w:tcBorders>
              <w:top w:val="nil"/>
              <w:left w:val="nil"/>
              <w:bottom w:val="nil"/>
              <w:right w:val="nil"/>
            </w:tcBorders>
            <w:tcMar>
              <w:top w:w="128" w:type="dxa"/>
              <w:left w:w="43" w:type="dxa"/>
              <w:bottom w:w="43" w:type="dxa"/>
              <w:right w:w="43" w:type="dxa"/>
            </w:tcMar>
          </w:tcPr>
          <w:p w14:paraId="58732BA4" w14:textId="77777777" w:rsidR="00D60186" w:rsidRPr="008D6210" w:rsidRDefault="00D60186" w:rsidP="00225D4D">
            <w:pPr>
              <w:rPr>
                <w:sz w:val="21"/>
                <w:szCs w:val="21"/>
              </w:rPr>
            </w:pPr>
            <w:r w:rsidRPr="008D6210">
              <w:rPr>
                <w:sz w:val="21"/>
                <w:szCs w:val="21"/>
              </w:rPr>
              <w:t>Lokal foredling av oppdrettsfisk</w:t>
            </w:r>
          </w:p>
        </w:tc>
        <w:tc>
          <w:tcPr>
            <w:tcW w:w="1400" w:type="dxa"/>
            <w:tcBorders>
              <w:top w:val="nil"/>
              <w:left w:val="nil"/>
              <w:bottom w:val="nil"/>
              <w:right w:val="nil"/>
            </w:tcBorders>
            <w:tcMar>
              <w:top w:w="128" w:type="dxa"/>
              <w:left w:w="43" w:type="dxa"/>
              <w:bottom w:w="43" w:type="dxa"/>
              <w:right w:w="43" w:type="dxa"/>
            </w:tcMar>
          </w:tcPr>
          <w:p w14:paraId="555E2225" w14:textId="77777777" w:rsidR="00D60186" w:rsidRPr="008D6210" w:rsidRDefault="00D60186" w:rsidP="008D6210">
            <w:pPr>
              <w:jc w:val="right"/>
              <w:rPr>
                <w:sz w:val="21"/>
                <w:szCs w:val="21"/>
              </w:rPr>
            </w:pPr>
            <w:r w:rsidRPr="008D6210">
              <w:rPr>
                <w:sz w:val="21"/>
                <w:szCs w:val="21"/>
              </w:rPr>
              <w:t>Nei</w:t>
            </w:r>
          </w:p>
        </w:tc>
      </w:tr>
      <w:tr w:rsidR="00E76DC8" w:rsidRPr="00225D4D" w14:paraId="1134BB70"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270402E"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75AEC7D" w14:textId="77777777" w:rsidR="00D60186" w:rsidRPr="008D6210" w:rsidRDefault="00D60186" w:rsidP="008D6210">
            <w:pPr>
              <w:ind w:right="113"/>
              <w:jc w:val="right"/>
              <w:rPr>
                <w:sz w:val="21"/>
                <w:szCs w:val="21"/>
              </w:rPr>
            </w:pPr>
            <w:r w:rsidRPr="008D6210">
              <w:rPr>
                <w:sz w:val="21"/>
                <w:szCs w:val="21"/>
              </w:rPr>
              <w:t>1051</w:t>
            </w:r>
          </w:p>
        </w:tc>
        <w:tc>
          <w:tcPr>
            <w:tcW w:w="5600" w:type="dxa"/>
            <w:tcBorders>
              <w:top w:val="nil"/>
              <w:left w:val="nil"/>
              <w:bottom w:val="nil"/>
              <w:right w:val="nil"/>
            </w:tcBorders>
            <w:tcMar>
              <w:top w:w="128" w:type="dxa"/>
              <w:left w:w="43" w:type="dxa"/>
              <w:bottom w:w="43" w:type="dxa"/>
              <w:right w:w="43" w:type="dxa"/>
            </w:tcMar>
          </w:tcPr>
          <w:p w14:paraId="762F780F" w14:textId="77777777" w:rsidR="00D60186" w:rsidRPr="008D6210" w:rsidRDefault="00D60186" w:rsidP="00225D4D">
            <w:pPr>
              <w:rPr>
                <w:sz w:val="21"/>
                <w:szCs w:val="21"/>
              </w:rPr>
            </w:pPr>
            <w:r w:rsidRPr="008D6210">
              <w:rPr>
                <w:sz w:val="21"/>
                <w:szCs w:val="21"/>
              </w:rPr>
              <w:t>Sirkulærøkonomi i havbruket basert på slam og avfallsstrømmer</w:t>
            </w:r>
          </w:p>
        </w:tc>
        <w:tc>
          <w:tcPr>
            <w:tcW w:w="1400" w:type="dxa"/>
            <w:tcBorders>
              <w:top w:val="nil"/>
              <w:left w:val="nil"/>
              <w:bottom w:val="nil"/>
              <w:right w:val="nil"/>
            </w:tcBorders>
            <w:tcMar>
              <w:top w:w="128" w:type="dxa"/>
              <w:left w:w="43" w:type="dxa"/>
              <w:bottom w:w="43" w:type="dxa"/>
              <w:right w:w="43" w:type="dxa"/>
            </w:tcMar>
          </w:tcPr>
          <w:p w14:paraId="161DD302" w14:textId="77777777" w:rsidR="00D60186" w:rsidRPr="008D6210" w:rsidRDefault="00D60186" w:rsidP="008D6210">
            <w:pPr>
              <w:jc w:val="right"/>
              <w:rPr>
                <w:sz w:val="21"/>
                <w:szCs w:val="21"/>
              </w:rPr>
            </w:pPr>
            <w:r w:rsidRPr="008D6210">
              <w:rPr>
                <w:sz w:val="21"/>
                <w:szCs w:val="21"/>
              </w:rPr>
              <w:t>Nei</w:t>
            </w:r>
          </w:p>
        </w:tc>
      </w:tr>
      <w:tr w:rsidR="00E76DC8" w:rsidRPr="00225D4D" w14:paraId="2B1780E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F0764A5"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49ACE72E" w14:textId="77777777" w:rsidR="00D60186" w:rsidRPr="008D6210" w:rsidRDefault="00D60186" w:rsidP="008D6210">
            <w:pPr>
              <w:ind w:right="113"/>
              <w:jc w:val="right"/>
              <w:rPr>
                <w:sz w:val="21"/>
                <w:szCs w:val="21"/>
              </w:rPr>
            </w:pPr>
            <w:r w:rsidRPr="008D6210">
              <w:rPr>
                <w:sz w:val="21"/>
                <w:szCs w:val="21"/>
              </w:rPr>
              <w:t>1052</w:t>
            </w:r>
          </w:p>
        </w:tc>
        <w:tc>
          <w:tcPr>
            <w:tcW w:w="5600" w:type="dxa"/>
            <w:tcBorders>
              <w:top w:val="nil"/>
              <w:left w:val="nil"/>
              <w:bottom w:val="nil"/>
              <w:right w:val="nil"/>
            </w:tcBorders>
            <w:tcMar>
              <w:top w:w="128" w:type="dxa"/>
              <w:left w:w="43" w:type="dxa"/>
              <w:bottom w:w="43" w:type="dxa"/>
              <w:right w:w="43" w:type="dxa"/>
            </w:tcMar>
          </w:tcPr>
          <w:p w14:paraId="092DB65E" w14:textId="77777777" w:rsidR="00D60186" w:rsidRPr="008D6210" w:rsidRDefault="00D60186" w:rsidP="00225D4D">
            <w:pPr>
              <w:rPr>
                <w:sz w:val="21"/>
                <w:szCs w:val="21"/>
              </w:rPr>
            </w:pPr>
            <w:r w:rsidRPr="008D6210">
              <w:rPr>
                <w:sz w:val="21"/>
                <w:szCs w:val="21"/>
              </w:rPr>
              <w:t>Tiltak for dødelighet under 5 prosent i akvakultur</w:t>
            </w:r>
          </w:p>
        </w:tc>
        <w:tc>
          <w:tcPr>
            <w:tcW w:w="1400" w:type="dxa"/>
            <w:tcBorders>
              <w:top w:val="nil"/>
              <w:left w:val="nil"/>
              <w:bottom w:val="nil"/>
              <w:right w:val="nil"/>
            </w:tcBorders>
            <w:tcMar>
              <w:top w:w="128" w:type="dxa"/>
              <w:left w:w="43" w:type="dxa"/>
              <w:bottom w:w="43" w:type="dxa"/>
              <w:right w:w="43" w:type="dxa"/>
            </w:tcMar>
          </w:tcPr>
          <w:p w14:paraId="39B9E1C8" w14:textId="77777777" w:rsidR="00D60186" w:rsidRPr="008D6210" w:rsidRDefault="00D60186" w:rsidP="008D6210">
            <w:pPr>
              <w:jc w:val="right"/>
              <w:rPr>
                <w:sz w:val="21"/>
                <w:szCs w:val="21"/>
              </w:rPr>
            </w:pPr>
            <w:r w:rsidRPr="008D6210">
              <w:rPr>
                <w:sz w:val="21"/>
                <w:szCs w:val="21"/>
              </w:rPr>
              <w:t>Nei</w:t>
            </w:r>
          </w:p>
        </w:tc>
      </w:tr>
      <w:tr w:rsidR="00E76DC8" w:rsidRPr="00225D4D" w14:paraId="30FA1AD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FB84607"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B6351E9" w14:textId="77777777" w:rsidR="00D60186" w:rsidRPr="008D6210" w:rsidRDefault="00D60186" w:rsidP="008D6210">
            <w:pPr>
              <w:ind w:right="113"/>
              <w:jc w:val="right"/>
              <w:rPr>
                <w:sz w:val="21"/>
                <w:szCs w:val="21"/>
              </w:rPr>
            </w:pPr>
            <w:r w:rsidRPr="008D6210">
              <w:rPr>
                <w:sz w:val="21"/>
                <w:szCs w:val="21"/>
              </w:rPr>
              <w:t>1053</w:t>
            </w:r>
          </w:p>
        </w:tc>
        <w:tc>
          <w:tcPr>
            <w:tcW w:w="5600" w:type="dxa"/>
            <w:tcBorders>
              <w:top w:val="nil"/>
              <w:left w:val="nil"/>
              <w:bottom w:val="nil"/>
              <w:right w:val="nil"/>
            </w:tcBorders>
            <w:tcMar>
              <w:top w:w="128" w:type="dxa"/>
              <w:left w:w="43" w:type="dxa"/>
              <w:bottom w:w="43" w:type="dxa"/>
              <w:right w:w="43" w:type="dxa"/>
            </w:tcMar>
          </w:tcPr>
          <w:p w14:paraId="4C4A298A" w14:textId="77777777" w:rsidR="00D60186" w:rsidRPr="008D6210" w:rsidRDefault="00D60186" w:rsidP="00225D4D">
            <w:pPr>
              <w:rPr>
                <w:sz w:val="21"/>
                <w:szCs w:val="21"/>
              </w:rPr>
            </w:pPr>
            <w:r w:rsidRPr="008D6210">
              <w:rPr>
                <w:sz w:val="21"/>
                <w:szCs w:val="21"/>
              </w:rPr>
              <w:t>Teknologinøytral miljøteknologiordning for nullutslippsanlegg i røde områder</w:t>
            </w:r>
          </w:p>
        </w:tc>
        <w:tc>
          <w:tcPr>
            <w:tcW w:w="1400" w:type="dxa"/>
            <w:tcBorders>
              <w:top w:val="nil"/>
              <w:left w:val="nil"/>
              <w:bottom w:val="nil"/>
              <w:right w:val="nil"/>
            </w:tcBorders>
            <w:tcMar>
              <w:top w:w="128" w:type="dxa"/>
              <w:left w:w="43" w:type="dxa"/>
              <w:bottom w:w="43" w:type="dxa"/>
              <w:right w:w="43" w:type="dxa"/>
            </w:tcMar>
          </w:tcPr>
          <w:p w14:paraId="5428816D" w14:textId="77777777" w:rsidR="00D60186" w:rsidRPr="008D6210" w:rsidRDefault="00D60186" w:rsidP="008D6210">
            <w:pPr>
              <w:jc w:val="right"/>
              <w:rPr>
                <w:sz w:val="21"/>
                <w:szCs w:val="21"/>
              </w:rPr>
            </w:pPr>
            <w:r w:rsidRPr="008D6210">
              <w:rPr>
                <w:sz w:val="21"/>
                <w:szCs w:val="21"/>
              </w:rPr>
              <w:t>Nei</w:t>
            </w:r>
          </w:p>
        </w:tc>
      </w:tr>
      <w:tr w:rsidR="00E76DC8" w:rsidRPr="00225D4D" w14:paraId="06CDE6B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5E3DD88"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1B66BD2" w14:textId="77777777" w:rsidR="00D60186" w:rsidRPr="008D6210" w:rsidRDefault="00D60186" w:rsidP="008D6210">
            <w:pPr>
              <w:ind w:right="113"/>
              <w:jc w:val="right"/>
              <w:rPr>
                <w:sz w:val="21"/>
                <w:szCs w:val="21"/>
              </w:rPr>
            </w:pPr>
            <w:r w:rsidRPr="008D6210">
              <w:rPr>
                <w:sz w:val="21"/>
                <w:szCs w:val="21"/>
              </w:rPr>
              <w:t>1054</w:t>
            </w:r>
          </w:p>
        </w:tc>
        <w:tc>
          <w:tcPr>
            <w:tcW w:w="5600" w:type="dxa"/>
            <w:tcBorders>
              <w:top w:val="nil"/>
              <w:left w:val="nil"/>
              <w:bottom w:val="nil"/>
              <w:right w:val="nil"/>
            </w:tcBorders>
            <w:tcMar>
              <w:top w:w="128" w:type="dxa"/>
              <w:left w:w="43" w:type="dxa"/>
              <w:bottom w:w="43" w:type="dxa"/>
              <w:right w:w="43" w:type="dxa"/>
            </w:tcMar>
          </w:tcPr>
          <w:p w14:paraId="1E5320B9" w14:textId="77777777" w:rsidR="00D60186" w:rsidRPr="008D6210" w:rsidRDefault="00D60186" w:rsidP="00225D4D">
            <w:pPr>
              <w:rPr>
                <w:sz w:val="21"/>
                <w:szCs w:val="21"/>
              </w:rPr>
            </w:pPr>
            <w:r w:rsidRPr="008D6210">
              <w:rPr>
                <w:sz w:val="21"/>
                <w:szCs w:val="21"/>
              </w:rPr>
              <w:t>Ny ordning for lavutslippsteknologi i trafikklyssystemet</w:t>
            </w:r>
          </w:p>
        </w:tc>
        <w:tc>
          <w:tcPr>
            <w:tcW w:w="1400" w:type="dxa"/>
            <w:tcBorders>
              <w:top w:val="nil"/>
              <w:left w:val="nil"/>
              <w:bottom w:val="nil"/>
              <w:right w:val="nil"/>
            </w:tcBorders>
            <w:tcMar>
              <w:top w:w="128" w:type="dxa"/>
              <w:left w:w="43" w:type="dxa"/>
              <w:bottom w:w="43" w:type="dxa"/>
              <w:right w:w="43" w:type="dxa"/>
            </w:tcMar>
          </w:tcPr>
          <w:p w14:paraId="761B0CFB" w14:textId="77777777" w:rsidR="00D60186" w:rsidRPr="008D6210" w:rsidRDefault="00D60186" w:rsidP="008D6210">
            <w:pPr>
              <w:jc w:val="right"/>
              <w:rPr>
                <w:sz w:val="21"/>
                <w:szCs w:val="21"/>
              </w:rPr>
            </w:pPr>
            <w:r w:rsidRPr="008D6210">
              <w:rPr>
                <w:sz w:val="21"/>
                <w:szCs w:val="21"/>
              </w:rPr>
              <w:t>Nei</w:t>
            </w:r>
          </w:p>
        </w:tc>
      </w:tr>
      <w:tr w:rsidR="00E76DC8" w:rsidRPr="00225D4D" w14:paraId="33480490"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4195CFE"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C113391" w14:textId="77777777" w:rsidR="00D60186" w:rsidRPr="008D6210" w:rsidRDefault="00D60186" w:rsidP="008D6210">
            <w:pPr>
              <w:ind w:right="113"/>
              <w:jc w:val="right"/>
              <w:rPr>
                <w:sz w:val="21"/>
                <w:szCs w:val="21"/>
              </w:rPr>
            </w:pPr>
            <w:r w:rsidRPr="008D6210">
              <w:rPr>
                <w:sz w:val="21"/>
                <w:szCs w:val="21"/>
              </w:rPr>
              <w:t>1055</w:t>
            </w:r>
          </w:p>
        </w:tc>
        <w:tc>
          <w:tcPr>
            <w:tcW w:w="5600" w:type="dxa"/>
            <w:tcBorders>
              <w:top w:val="nil"/>
              <w:left w:val="nil"/>
              <w:bottom w:val="nil"/>
              <w:right w:val="nil"/>
            </w:tcBorders>
            <w:tcMar>
              <w:top w:w="128" w:type="dxa"/>
              <w:left w:w="43" w:type="dxa"/>
              <w:bottom w:w="43" w:type="dxa"/>
              <w:right w:w="43" w:type="dxa"/>
            </w:tcMar>
          </w:tcPr>
          <w:p w14:paraId="3AF443D4" w14:textId="77777777" w:rsidR="00D60186" w:rsidRPr="008D6210" w:rsidRDefault="00D60186" w:rsidP="00225D4D">
            <w:pPr>
              <w:rPr>
                <w:sz w:val="21"/>
                <w:szCs w:val="21"/>
              </w:rPr>
            </w:pPr>
            <w:r w:rsidRPr="008D6210">
              <w:rPr>
                <w:sz w:val="21"/>
                <w:szCs w:val="21"/>
              </w:rPr>
              <w:t>Videreføring av hensyn bak særtillatelser i ny regulering</w:t>
            </w:r>
          </w:p>
        </w:tc>
        <w:tc>
          <w:tcPr>
            <w:tcW w:w="1400" w:type="dxa"/>
            <w:tcBorders>
              <w:top w:val="nil"/>
              <w:left w:val="nil"/>
              <w:bottom w:val="nil"/>
              <w:right w:val="nil"/>
            </w:tcBorders>
            <w:tcMar>
              <w:top w:w="128" w:type="dxa"/>
              <w:left w:w="43" w:type="dxa"/>
              <w:bottom w:w="43" w:type="dxa"/>
              <w:right w:w="43" w:type="dxa"/>
            </w:tcMar>
          </w:tcPr>
          <w:p w14:paraId="47DAE31F" w14:textId="77777777" w:rsidR="00D60186" w:rsidRPr="008D6210" w:rsidRDefault="00D60186" w:rsidP="008D6210">
            <w:pPr>
              <w:jc w:val="right"/>
              <w:rPr>
                <w:sz w:val="21"/>
                <w:szCs w:val="21"/>
              </w:rPr>
            </w:pPr>
            <w:r w:rsidRPr="008D6210">
              <w:rPr>
                <w:sz w:val="21"/>
                <w:szCs w:val="21"/>
              </w:rPr>
              <w:t>Nei</w:t>
            </w:r>
          </w:p>
        </w:tc>
      </w:tr>
      <w:tr w:rsidR="00E76DC8" w:rsidRPr="00225D4D" w14:paraId="010A07A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CE3DC28"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C81CE2F" w14:textId="77777777" w:rsidR="00D60186" w:rsidRPr="008D6210" w:rsidRDefault="00D60186" w:rsidP="008D6210">
            <w:pPr>
              <w:ind w:right="113"/>
              <w:jc w:val="right"/>
              <w:rPr>
                <w:sz w:val="21"/>
                <w:szCs w:val="21"/>
              </w:rPr>
            </w:pPr>
            <w:r w:rsidRPr="008D6210">
              <w:rPr>
                <w:sz w:val="21"/>
                <w:szCs w:val="21"/>
              </w:rPr>
              <w:t>1056</w:t>
            </w:r>
          </w:p>
        </w:tc>
        <w:tc>
          <w:tcPr>
            <w:tcW w:w="5600" w:type="dxa"/>
            <w:tcBorders>
              <w:top w:val="nil"/>
              <w:left w:val="nil"/>
              <w:bottom w:val="nil"/>
              <w:right w:val="nil"/>
            </w:tcBorders>
            <w:tcMar>
              <w:top w:w="128" w:type="dxa"/>
              <w:left w:w="43" w:type="dxa"/>
              <w:bottom w:w="43" w:type="dxa"/>
              <w:right w:w="43" w:type="dxa"/>
            </w:tcMar>
          </w:tcPr>
          <w:p w14:paraId="1ACFD165" w14:textId="77777777" w:rsidR="00D60186" w:rsidRPr="008D6210" w:rsidRDefault="00D60186" w:rsidP="00225D4D">
            <w:pPr>
              <w:rPr>
                <w:sz w:val="21"/>
                <w:szCs w:val="21"/>
              </w:rPr>
            </w:pPr>
            <w:r w:rsidRPr="008D6210">
              <w:rPr>
                <w:sz w:val="21"/>
                <w:szCs w:val="21"/>
              </w:rPr>
              <w:t>HMS i havbruk</w:t>
            </w:r>
          </w:p>
        </w:tc>
        <w:tc>
          <w:tcPr>
            <w:tcW w:w="1400" w:type="dxa"/>
            <w:tcBorders>
              <w:top w:val="nil"/>
              <w:left w:val="nil"/>
              <w:bottom w:val="nil"/>
              <w:right w:val="nil"/>
            </w:tcBorders>
            <w:tcMar>
              <w:top w:w="128" w:type="dxa"/>
              <w:left w:w="43" w:type="dxa"/>
              <w:bottom w:w="43" w:type="dxa"/>
              <w:right w:w="43" w:type="dxa"/>
            </w:tcMar>
          </w:tcPr>
          <w:p w14:paraId="31A0CDF5" w14:textId="77777777" w:rsidR="00D60186" w:rsidRPr="008D6210" w:rsidRDefault="00D60186" w:rsidP="008D6210">
            <w:pPr>
              <w:jc w:val="right"/>
              <w:rPr>
                <w:sz w:val="21"/>
                <w:szCs w:val="21"/>
              </w:rPr>
            </w:pPr>
            <w:r w:rsidRPr="008D6210">
              <w:rPr>
                <w:sz w:val="21"/>
                <w:szCs w:val="21"/>
              </w:rPr>
              <w:t>Nei</w:t>
            </w:r>
          </w:p>
        </w:tc>
      </w:tr>
      <w:tr w:rsidR="00E76DC8" w:rsidRPr="00225D4D" w14:paraId="5E77D0D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8D518E3"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228C0A4" w14:textId="77777777" w:rsidR="00D60186" w:rsidRPr="008D6210" w:rsidRDefault="00D60186" w:rsidP="008D6210">
            <w:pPr>
              <w:ind w:right="113"/>
              <w:jc w:val="right"/>
              <w:rPr>
                <w:sz w:val="21"/>
                <w:szCs w:val="21"/>
              </w:rPr>
            </w:pPr>
            <w:r w:rsidRPr="008D6210">
              <w:rPr>
                <w:sz w:val="21"/>
                <w:szCs w:val="21"/>
              </w:rPr>
              <w:t>1057</w:t>
            </w:r>
          </w:p>
        </w:tc>
        <w:tc>
          <w:tcPr>
            <w:tcW w:w="5600" w:type="dxa"/>
            <w:tcBorders>
              <w:top w:val="nil"/>
              <w:left w:val="nil"/>
              <w:bottom w:val="nil"/>
              <w:right w:val="nil"/>
            </w:tcBorders>
            <w:tcMar>
              <w:top w:w="128" w:type="dxa"/>
              <w:left w:w="43" w:type="dxa"/>
              <w:bottom w:w="43" w:type="dxa"/>
              <w:right w:w="43" w:type="dxa"/>
            </w:tcMar>
          </w:tcPr>
          <w:p w14:paraId="1073227B" w14:textId="77777777" w:rsidR="00D60186" w:rsidRPr="008D6210" w:rsidRDefault="00D60186" w:rsidP="00225D4D">
            <w:pPr>
              <w:rPr>
                <w:sz w:val="21"/>
                <w:szCs w:val="21"/>
              </w:rPr>
            </w:pPr>
            <w:r w:rsidRPr="008D6210">
              <w:rPr>
                <w:sz w:val="21"/>
                <w:szCs w:val="21"/>
              </w:rPr>
              <w:t>Styrking av lavtrofisk akvakultur og makroalgedyrking</w:t>
            </w:r>
          </w:p>
        </w:tc>
        <w:tc>
          <w:tcPr>
            <w:tcW w:w="1400" w:type="dxa"/>
            <w:tcBorders>
              <w:top w:val="nil"/>
              <w:left w:val="nil"/>
              <w:bottom w:val="nil"/>
              <w:right w:val="nil"/>
            </w:tcBorders>
            <w:tcMar>
              <w:top w:w="128" w:type="dxa"/>
              <w:left w:w="43" w:type="dxa"/>
              <w:bottom w:w="43" w:type="dxa"/>
              <w:right w:w="43" w:type="dxa"/>
            </w:tcMar>
          </w:tcPr>
          <w:p w14:paraId="2BFE866D" w14:textId="77777777" w:rsidR="00D60186" w:rsidRPr="008D6210" w:rsidRDefault="00D60186" w:rsidP="008D6210">
            <w:pPr>
              <w:jc w:val="right"/>
              <w:rPr>
                <w:sz w:val="21"/>
                <w:szCs w:val="21"/>
              </w:rPr>
            </w:pPr>
            <w:r w:rsidRPr="008D6210">
              <w:rPr>
                <w:sz w:val="21"/>
                <w:szCs w:val="21"/>
              </w:rPr>
              <w:t>Nei</w:t>
            </w:r>
          </w:p>
        </w:tc>
      </w:tr>
      <w:tr w:rsidR="00E76DC8" w:rsidRPr="00225D4D" w14:paraId="47F64D7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593F916"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8C79C2F" w14:textId="77777777" w:rsidR="00D60186" w:rsidRPr="008D6210" w:rsidRDefault="00D60186" w:rsidP="008D6210">
            <w:pPr>
              <w:ind w:right="113"/>
              <w:jc w:val="right"/>
              <w:rPr>
                <w:sz w:val="21"/>
                <w:szCs w:val="21"/>
              </w:rPr>
            </w:pPr>
            <w:r w:rsidRPr="008D6210">
              <w:rPr>
                <w:sz w:val="21"/>
                <w:szCs w:val="21"/>
              </w:rPr>
              <w:t>1060</w:t>
            </w:r>
          </w:p>
        </w:tc>
        <w:tc>
          <w:tcPr>
            <w:tcW w:w="5600" w:type="dxa"/>
            <w:tcBorders>
              <w:top w:val="nil"/>
              <w:left w:val="nil"/>
              <w:bottom w:val="nil"/>
              <w:right w:val="nil"/>
            </w:tcBorders>
            <w:tcMar>
              <w:top w:w="128" w:type="dxa"/>
              <w:left w:w="43" w:type="dxa"/>
              <w:bottom w:w="43" w:type="dxa"/>
              <w:right w:w="43" w:type="dxa"/>
            </w:tcMar>
          </w:tcPr>
          <w:p w14:paraId="6CBF6CB8" w14:textId="77777777" w:rsidR="00D60186" w:rsidRPr="008D6210" w:rsidRDefault="00D60186" w:rsidP="00225D4D">
            <w:pPr>
              <w:rPr>
                <w:sz w:val="21"/>
                <w:szCs w:val="21"/>
              </w:rPr>
            </w:pPr>
            <w:r w:rsidRPr="008D6210">
              <w:rPr>
                <w:sz w:val="21"/>
                <w:szCs w:val="21"/>
              </w:rPr>
              <w:t>Modell for fordeling av urfolksvederlag</w:t>
            </w:r>
          </w:p>
        </w:tc>
        <w:tc>
          <w:tcPr>
            <w:tcW w:w="1400" w:type="dxa"/>
            <w:tcBorders>
              <w:top w:val="nil"/>
              <w:left w:val="nil"/>
              <w:bottom w:val="nil"/>
              <w:right w:val="nil"/>
            </w:tcBorders>
            <w:tcMar>
              <w:top w:w="128" w:type="dxa"/>
              <w:left w:w="43" w:type="dxa"/>
              <w:bottom w:w="43" w:type="dxa"/>
              <w:right w:w="43" w:type="dxa"/>
            </w:tcMar>
          </w:tcPr>
          <w:p w14:paraId="06BAD126" w14:textId="77777777" w:rsidR="00D60186" w:rsidRPr="008D6210" w:rsidRDefault="00D60186" w:rsidP="008D6210">
            <w:pPr>
              <w:jc w:val="right"/>
              <w:rPr>
                <w:sz w:val="21"/>
                <w:szCs w:val="21"/>
              </w:rPr>
            </w:pPr>
            <w:r w:rsidRPr="008D6210">
              <w:rPr>
                <w:sz w:val="21"/>
                <w:szCs w:val="21"/>
              </w:rPr>
              <w:t>Nei</w:t>
            </w:r>
          </w:p>
        </w:tc>
      </w:tr>
      <w:tr w:rsidR="00E76DC8" w:rsidRPr="00225D4D" w14:paraId="7C3247A5"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F076E1B"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B17D666" w14:textId="77777777" w:rsidR="00D60186" w:rsidRPr="008D6210" w:rsidRDefault="00D60186" w:rsidP="008D6210">
            <w:pPr>
              <w:ind w:right="113"/>
              <w:jc w:val="right"/>
              <w:rPr>
                <w:sz w:val="21"/>
                <w:szCs w:val="21"/>
              </w:rPr>
            </w:pPr>
            <w:r w:rsidRPr="008D6210">
              <w:rPr>
                <w:sz w:val="21"/>
                <w:szCs w:val="21"/>
              </w:rPr>
              <w:t>1092</w:t>
            </w:r>
          </w:p>
        </w:tc>
        <w:tc>
          <w:tcPr>
            <w:tcW w:w="5600" w:type="dxa"/>
            <w:tcBorders>
              <w:top w:val="nil"/>
              <w:left w:val="nil"/>
              <w:bottom w:val="nil"/>
              <w:right w:val="nil"/>
            </w:tcBorders>
            <w:tcMar>
              <w:top w:w="128" w:type="dxa"/>
              <w:left w:w="43" w:type="dxa"/>
              <w:bottom w:w="43" w:type="dxa"/>
              <w:right w:w="43" w:type="dxa"/>
            </w:tcMar>
          </w:tcPr>
          <w:p w14:paraId="0C890A08" w14:textId="77777777" w:rsidR="00D60186" w:rsidRPr="008D6210" w:rsidRDefault="00D60186" w:rsidP="00225D4D">
            <w:pPr>
              <w:rPr>
                <w:sz w:val="21"/>
                <w:szCs w:val="21"/>
              </w:rPr>
            </w:pPr>
            <w:r w:rsidRPr="008D6210">
              <w:rPr>
                <w:sz w:val="21"/>
                <w:szCs w:val="21"/>
              </w:rPr>
              <w:t>Norgespris for bedrifter og frivillighet</w:t>
            </w:r>
          </w:p>
        </w:tc>
        <w:tc>
          <w:tcPr>
            <w:tcW w:w="1400" w:type="dxa"/>
            <w:tcBorders>
              <w:top w:val="nil"/>
              <w:left w:val="nil"/>
              <w:bottom w:val="nil"/>
              <w:right w:val="nil"/>
            </w:tcBorders>
            <w:tcMar>
              <w:top w:w="128" w:type="dxa"/>
              <w:left w:w="43" w:type="dxa"/>
              <w:bottom w:w="43" w:type="dxa"/>
              <w:right w:w="43" w:type="dxa"/>
            </w:tcMar>
          </w:tcPr>
          <w:p w14:paraId="00529BDE" w14:textId="77777777" w:rsidR="00D60186" w:rsidRPr="008D6210" w:rsidRDefault="00D60186" w:rsidP="008D6210">
            <w:pPr>
              <w:jc w:val="right"/>
              <w:rPr>
                <w:sz w:val="21"/>
                <w:szCs w:val="21"/>
              </w:rPr>
            </w:pPr>
            <w:r w:rsidRPr="008D6210">
              <w:rPr>
                <w:sz w:val="21"/>
                <w:szCs w:val="21"/>
              </w:rPr>
              <w:t>Nei</w:t>
            </w:r>
          </w:p>
        </w:tc>
      </w:tr>
      <w:tr w:rsidR="00E76DC8" w:rsidRPr="00225D4D" w14:paraId="3337991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FF38765"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C9DF8B2" w14:textId="77777777" w:rsidR="00D60186" w:rsidRPr="008D6210" w:rsidRDefault="00D60186" w:rsidP="008D6210">
            <w:pPr>
              <w:ind w:right="113"/>
              <w:jc w:val="right"/>
              <w:rPr>
                <w:sz w:val="21"/>
                <w:szCs w:val="21"/>
              </w:rPr>
            </w:pPr>
            <w:r w:rsidRPr="008D6210">
              <w:rPr>
                <w:sz w:val="21"/>
                <w:szCs w:val="21"/>
              </w:rPr>
              <w:t>1119</w:t>
            </w:r>
          </w:p>
        </w:tc>
        <w:tc>
          <w:tcPr>
            <w:tcW w:w="5600" w:type="dxa"/>
            <w:tcBorders>
              <w:top w:val="nil"/>
              <w:left w:val="nil"/>
              <w:bottom w:val="nil"/>
              <w:right w:val="nil"/>
            </w:tcBorders>
            <w:tcMar>
              <w:top w:w="128" w:type="dxa"/>
              <w:left w:w="43" w:type="dxa"/>
              <w:bottom w:w="43" w:type="dxa"/>
              <w:right w:w="43" w:type="dxa"/>
            </w:tcMar>
          </w:tcPr>
          <w:p w14:paraId="435A97AF" w14:textId="77777777" w:rsidR="00D60186" w:rsidRPr="008D6210" w:rsidRDefault="00D60186" w:rsidP="00225D4D">
            <w:pPr>
              <w:rPr>
                <w:sz w:val="21"/>
                <w:szCs w:val="21"/>
              </w:rPr>
            </w:pPr>
            <w:r w:rsidRPr="008D6210">
              <w:rPr>
                <w:sz w:val="21"/>
                <w:szCs w:val="21"/>
              </w:rPr>
              <w:t>Felles nordisk matberedskapsplan</w:t>
            </w:r>
          </w:p>
        </w:tc>
        <w:tc>
          <w:tcPr>
            <w:tcW w:w="1400" w:type="dxa"/>
            <w:tcBorders>
              <w:top w:val="nil"/>
              <w:left w:val="nil"/>
              <w:bottom w:val="nil"/>
              <w:right w:val="nil"/>
            </w:tcBorders>
            <w:tcMar>
              <w:top w:w="128" w:type="dxa"/>
              <w:left w:w="43" w:type="dxa"/>
              <w:bottom w:w="43" w:type="dxa"/>
              <w:right w:w="43" w:type="dxa"/>
            </w:tcMar>
          </w:tcPr>
          <w:p w14:paraId="0579F84F" w14:textId="77777777" w:rsidR="00D60186" w:rsidRPr="008D6210" w:rsidRDefault="00D60186" w:rsidP="008D6210">
            <w:pPr>
              <w:jc w:val="right"/>
              <w:rPr>
                <w:sz w:val="21"/>
                <w:szCs w:val="21"/>
              </w:rPr>
            </w:pPr>
            <w:r w:rsidRPr="008D6210">
              <w:rPr>
                <w:sz w:val="21"/>
                <w:szCs w:val="21"/>
              </w:rPr>
              <w:t>Nei</w:t>
            </w:r>
          </w:p>
        </w:tc>
      </w:tr>
      <w:tr w:rsidR="00E76DC8" w:rsidRPr="00225D4D" w14:paraId="123684F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6F999AA" w14:textId="77777777" w:rsidR="00D60186" w:rsidRPr="008D6210" w:rsidRDefault="00D60186" w:rsidP="00225D4D">
            <w:pPr>
              <w:rPr>
                <w:sz w:val="21"/>
                <w:szCs w:val="21"/>
              </w:rPr>
            </w:pPr>
            <w:r w:rsidRPr="008D6210">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0890E6F" w14:textId="77777777" w:rsidR="00D60186" w:rsidRPr="008D6210" w:rsidRDefault="00D60186" w:rsidP="008D6210">
            <w:pPr>
              <w:ind w:right="113"/>
              <w:jc w:val="right"/>
              <w:rPr>
                <w:sz w:val="21"/>
                <w:szCs w:val="21"/>
              </w:rPr>
            </w:pPr>
            <w:r w:rsidRPr="008D6210">
              <w:rPr>
                <w:sz w:val="21"/>
                <w:szCs w:val="21"/>
              </w:rPr>
              <w:t>1246</w:t>
            </w:r>
          </w:p>
        </w:tc>
        <w:tc>
          <w:tcPr>
            <w:tcW w:w="5600" w:type="dxa"/>
            <w:tcBorders>
              <w:top w:val="nil"/>
              <w:left w:val="nil"/>
              <w:bottom w:val="nil"/>
              <w:right w:val="nil"/>
            </w:tcBorders>
            <w:tcMar>
              <w:top w:w="128" w:type="dxa"/>
              <w:left w:w="43" w:type="dxa"/>
              <w:bottom w:w="43" w:type="dxa"/>
              <w:right w:w="43" w:type="dxa"/>
            </w:tcMar>
          </w:tcPr>
          <w:p w14:paraId="04FBA5F3" w14:textId="77777777" w:rsidR="00D60186" w:rsidRPr="008D6210" w:rsidRDefault="00D60186" w:rsidP="00225D4D">
            <w:pPr>
              <w:rPr>
                <w:sz w:val="21"/>
                <w:szCs w:val="21"/>
              </w:rPr>
            </w:pPr>
            <w:r w:rsidRPr="008D6210">
              <w:rPr>
                <w:sz w:val="21"/>
                <w:szCs w:val="21"/>
              </w:rPr>
              <w:t>Ekstern kvalitetssikring (KS2) for Borg havn</w:t>
            </w:r>
          </w:p>
        </w:tc>
        <w:tc>
          <w:tcPr>
            <w:tcW w:w="1400" w:type="dxa"/>
            <w:tcBorders>
              <w:top w:val="nil"/>
              <w:left w:val="nil"/>
              <w:bottom w:val="nil"/>
              <w:right w:val="nil"/>
            </w:tcBorders>
            <w:tcMar>
              <w:top w:w="128" w:type="dxa"/>
              <w:left w:w="43" w:type="dxa"/>
              <w:bottom w:w="43" w:type="dxa"/>
              <w:right w:w="43" w:type="dxa"/>
            </w:tcMar>
          </w:tcPr>
          <w:p w14:paraId="451A04CA" w14:textId="77777777" w:rsidR="00D60186" w:rsidRPr="008D6210" w:rsidRDefault="00D60186" w:rsidP="008D6210">
            <w:pPr>
              <w:jc w:val="right"/>
              <w:rPr>
                <w:sz w:val="21"/>
                <w:szCs w:val="21"/>
              </w:rPr>
            </w:pPr>
            <w:r w:rsidRPr="008D6210">
              <w:rPr>
                <w:sz w:val="21"/>
                <w:szCs w:val="21"/>
              </w:rPr>
              <w:t xml:space="preserve">Nei </w:t>
            </w:r>
          </w:p>
        </w:tc>
      </w:tr>
      <w:tr w:rsidR="00E76DC8" w:rsidRPr="00225D4D" w14:paraId="1BD8748E"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0989BF3"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9A3A268" w14:textId="77777777" w:rsidR="00D60186" w:rsidRPr="008D6210" w:rsidRDefault="00D60186" w:rsidP="008D6210">
            <w:pPr>
              <w:ind w:right="113"/>
              <w:jc w:val="right"/>
              <w:rPr>
                <w:sz w:val="21"/>
                <w:szCs w:val="21"/>
              </w:rPr>
            </w:pPr>
            <w:r w:rsidRPr="008D6210">
              <w:rPr>
                <w:sz w:val="21"/>
                <w:szCs w:val="21"/>
              </w:rPr>
              <w:t>68</w:t>
            </w:r>
          </w:p>
        </w:tc>
        <w:tc>
          <w:tcPr>
            <w:tcW w:w="5600" w:type="dxa"/>
            <w:tcBorders>
              <w:top w:val="nil"/>
              <w:left w:val="nil"/>
              <w:bottom w:val="nil"/>
              <w:right w:val="nil"/>
            </w:tcBorders>
            <w:tcMar>
              <w:top w:w="128" w:type="dxa"/>
              <w:left w:w="43" w:type="dxa"/>
              <w:bottom w:w="43" w:type="dxa"/>
              <w:right w:w="43" w:type="dxa"/>
            </w:tcMar>
          </w:tcPr>
          <w:p w14:paraId="659A1D30" w14:textId="77777777" w:rsidR="00D60186" w:rsidRPr="008D6210" w:rsidRDefault="00D60186" w:rsidP="00225D4D">
            <w:pPr>
              <w:rPr>
                <w:sz w:val="21"/>
                <w:szCs w:val="21"/>
              </w:rPr>
            </w:pPr>
            <w:r w:rsidRPr="008D6210">
              <w:rPr>
                <w:sz w:val="21"/>
                <w:szCs w:val="21"/>
              </w:rPr>
              <w:t>Midlertidige maksimalpriser for løyvepliktig drosjetransport med motorvogn</w:t>
            </w:r>
          </w:p>
        </w:tc>
        <w:tc>
          <w:tcPr>
            <w:tcW w:w="1400" w:type="dxa"/>
            <w:tcBorders>
              <w:top w:val="nil"/>
              <w:left w:val="nil"/>
              <w:bottom w:val="nil"/>
              <w:right w:val="nil"/>
            </w:tcBorders>
            <w:tcMar>
              <w:top w:w="128" w:type="dxa"/>
              <w:left w:w="43" w:type="dxa"/>
              <w:bottom w:w="43" w:type="dxa"/>
              <w:right w:w="43" w:type="dxa"/>
            </w:tcMar>
          </w:tcPr>
          <w:p w14:paraId="645E971F" w14:textId="77777777" w:rsidR="00D60186" w:rsidRPr="008D6210" w:rsidRDefault="00D60186" w:rsidP="008D6210">
            <w:pPr>
              <w:jc w:val="right"/>
              <w:rPr>
                <w:sz w:val="21"/>
                <w:szCs w:val="21"/>
              </w:rPr>
            </w:pPr>
            <w:r w:rsidRPr="008D6210">
              <w:rPr>
                <w:sz w:val="21"/>
                <w:szCs w:val="21"/>
              </w:rPr>
              <w:t>Ja</w:t>
            </w:r>
          </w:p>
        </w:tc>
      </w:tr>
      <w:tr w:rsidR="00E76DC8" w:rsidRPr="00225D4D" w14:paraId="3380B90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9FC1B77"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7B680B1" w14:textId="77777777" w:rsidR="00D60186" w:rsidRPr="008D6210" w:rsidRDefault="00D60186" w:rsidP="008D6210">
            <w:pPr>
              <w:ind w:right="113"/>
              <w:jc w:val="right"/>
              <w:rPr>
                <w:sz w:val="21"/>
                <w:szCs w:val="21"/>
              </w:rPr>
            </w:pPr>
            <w:r w:rsidRPr="008D6210">
              <w:rPr>
                <w:sz w:val="21"/>
                <w:szCs w:val="21"/>
              </w:rPr>
              <w:t>78</w:t>
            </w:r>
          </w:p>
        </w:tc>
        <w:tc>
          <w:tcPr>
            <w:tcW w:w="5600" w:type="dxa"/>
            <w:tcBorders>
              <w:top w:val="nil"/>
              <w:left w:val="nil"/>
              <w:bottom w:val="nil"/>
              <w:right w:val="nil"/>
            </w:tcBorders>
            <w:tcMar>
              <w:top w:w="128" w:type="dxa"/>
              <w:left w:w="43" w:type="dxa"/>
              <w:bottom w:w="43" w:type="dxa"/>
              <w:right w:w="43" w:type="dxa"/>
            </w:tcMar>
          </w:tcPr>
          <w:p w14:paraId="6F73E5AF" w14:textId="77777777" w:rsidR="00D60186" w:rsidRPr="008D6210" w:rsidRDefault="00D60186" w:rsidP="00225D4D">
            <w:pPr>
              <w:rPr>
                <w:sz w:val="21"/>
                <w:szCs w:val="21"/>
              </w:rPr>
            </w:pPr>
            <w:r w:rsidRPr="008D6210">
              <w:rPr>
                <w:sz w:val="21"/>
                <w:szCs w:val="21"/>
              </w:rPr>
              <w:t xml:space="preserve">Innretning av det næringsrettede virkemiddelapparatet </w:t>
            </w:r>
            <w:r w:rsidRPr="008D6210">
              <w:rPr>
                <w:sz w:val="21"/>
                <w:szCs w:val="21"/>
              </w:rPr>
              <w:br/>
              <w:t>i samsvar med Parisavtalen</w:t>
            </w:r>
          </w:p>
        </w:tc>
        <w:tc>
          <w:tcPr>
            <w:tcW w:w="1400" w:type="dxa"/>
            <w:tcBorders>
              <w:top w:val="nil"/>
              <w:left w:val="nil"/>
              <w:bottom w:val="nil"/>
              <w:right w:val="nil"/>
            </w:tcBorders>
            <w:tcMar>
              <w:top w:w="128" w:type="dxa"/>
              <w:left w:w="43" w:type="dxa"/>
              <w:bottom w:w="43" w:type="dxa"/>
              <w:right w:w="43" w:type="dxa"/>
            </w:tcMar>
          </w:tcPr>
          <w:p w14:paraId="4C3F4D2E" w14:textId="77777777" w:rsidR="00D60186" w:rsidRPr="008D6210" w:rsidRDefault="00D60186" w:rsidP="008D6210">
            <w:pPr>
              <w:jc w:val="right"/>
              <w:rPr>
                <w:sz w:val="21"/>
                <w:szCs w:val="21"/>
              </w:rPr>
            </w:pPr>
            <w:r w:rsidRPr="008D6210">
              <w:rPr>
                <w:sz w:val="21"/>
                <w:szCs w:val="21"/>
              </w:rPr>
              <w:t>Ja</w:t>
            </w:r>
          </w:p>
        </w:tc>
      </w:tr>
      <w:tr w:rsidR="00E76DC8" w:rsidRPr="00225D4D" w14:paraId="376B128F"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C47EB4E"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E1B0966" w14:textId="77777777" w:rsidR="00D60186" w:rsidRPr="008D6210" w:rsidRDefault="00D60186" w:rsidP="008D6210">
            <w:pPr>
              <w:ind w:right="113"/>
              <w:jc w:val="right"/>
              <w:rPr>
                <w:sz w:val="21"/>
                <w:szCs w:val="21"/>
              </w:rPr>
            </w:pPr>
            <w:r w:rsidRPr="008D6210">
              <w:rPr>
                <w:sz w:val="21"/>
                <w:szCs w:val="21"/>
              </w:rPr>
              <w:t>85</w:t>
            </w:r>
          </w:p>
        </w:tc>
        <w:tc>
          <w:tcPr>
            <w:tcW w:w="5600" w:type="dxa"/>
            <w:tcBorders>
              <w:top w:val="nil"/>
              <w:left w:val="nil"/>
              <w:bottom w:val="nil"/>
              <w:right w:val="nil"/>
            </w:tcBorders>
            <w:tcMar>
              <w:top w:w="128" w:type="dxa"/>
              <w:left w:w="43" w:type="dxa"/>
              <w:bottom w:w="43" w:type="dxa"/>
              <w:right w:w="43" w:type="dxa"/>
            </w:tcMar>
          </w:tcPr>
          <w:p w14:paraId="0E443D7D" w14:textId="77777777" w:rsidR="00D60186" w:rsidRPr="008D6210" w:rsidRDefault="00D60186" w:rsidP="00225D4D">
            <w:pPr>
              <w:rPr>
                <w:sz w:val="21"/>
                <w:szCs w:val="21"/>
              </w:rPr>
            </w:pPr>
            <w:r w:rsidRPr="008D6210">
              <w:rPr>
                <w:sz w:val="21"/>
                <w:szCs w:val="21"/>
              </w:rPr>
              <w:t xml:space="preserve">Forskrift om innsyn i aksjeeierboken og regler om rapportering av eierskapsendringer i aksjeselskaper </w:t>
            </w:r>
          </w:p>
        </w:tc>
        <w:tc>
          <w:tcPr>
            <w:tcW w:w="1400" w:type="dxa"/>
            <w:tcBorders>
              <w:top w:val="nil"/>
              <w:left w:val="nil"/>
              <w:bottom w:val="nil"/>
              <w:right w:val="nil"/>
            </w:tcBorders>
            <w:tcMar>
              <w:top w:w="128" w:type="dxa"/>
              <w:left w:w="43" w:type="dxa"/>
              <w:bottom w:w="43" w:type="dxa"/>
              <w:right w:w="43" w:type="dxa"/>
            </w:tcMar>
          </w:tcPr>
          <w:p w14:paraId="6AF7970F" w14:textId="77777777" w:rsidR="00D60186" w:rsidRPr="008D6210" w:rsidRDefault="00D60186" w:rsidP="008D6210">
            <w:pPr>
              <w:jc w:val="right"/>
              <w:rPr>
                <w:sz w:val="21"/>
                <w:szCs w:val="21"/>
              </w:rPr>
            </w:pPr>
            <w:r w:rsidRPr="008D6210">
              <w:rPr>
                <w:sz w:val="21"/>
                <w:szCs w:val="21"/>
              </w:rPr>
              <w:t>Nei</w:t>
            </w:r>
          </w:p>
        </w:tc>
      </w:tr>
      <w:tr w:rsidR="00E76DC8" w:rsidRPr="00225D4D" w14:paraId="5314E315"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1B3D862"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B80F8AD" w14:textId="77777777" w:rsidR="00D60186" w:rsidRPr="008D6210" w:rsidRDefault="00D60186" w:rsidP="008D6210">
            <w:pPr>
              <w:ind w:right="113"/>
              <w:jc w:val="right"/>
              <w:rPr>
                <w:sz w:val="21"/>
                <w:szCs w:val="21"/>
              </w:rPr>
            </w:pPr>
            <w:r w:rsidRPr="008D6210">
              <w:rPr>
                <w:sz w:val="21"/>
                <w:szCs w:val="21"/>
              </w:rPr>
              <w:t>586</w:t>
            </w:r>
          </w:p>
        </w:tc>
        <w:tc>
          <w:tcPr>
            <w:tcW w:w="5600" w:type="dxa"/>
            <w:tcBorders>
              <w:top w:val="nil"/>
              <w:left w:val="nil"/>
              <w:bottom w:val="nil"/>
              <w:right w:val="nil"/>
            </w:tcBorders>
            <w:tcMar>
              <w:top w:w="128" w:type="dxa"/>
              <w:left w:w="43" w:type="dxa"/>
              <w:bottom w:w="43" w:type="dxa"/>
              <w:right w:w="43" w:type="dxa"/>
            </w:tcMar>
          </w:tcPr>
          <w:p w14:paraId="6DD0CCDA" w14:textId="77777777" w:rsidR="00D60186" w:rsidRPr="008D6210" w:rsidRDefault="00D60186" w:rsidP="00225D4D">
            <w:pPr>
              <w:rPr>
                <w:sz w:val="21"/>
                <w:szCs w:val="21"/>
              </w:rPr>
            </w:pPr>
            <w:r w:rsidRPr="008D6210">
              <w:rPr>
                <w:sz w:val="21"/>
                <w:szCs w:val="21"/>
              </w:rPr>
              <w:t>Eierskapsbegrensninger i kystfisket etter torsk, hyse og sei nord for 62 grader</w:t>
            </w:r>
          </w:p>
        </w:tc>
        <w:tc>
          <w:tcPr>
            <w:tcW w:w="1400" w:type="dxa"/>
            <w:tcBorders>
              <w:top w:val="nil"/>
              <w:left w:val="nil"/>
              <w:bottom w:val="nil"/>
              <w:right w:val="nil"/>
            </w:tcBorders>
            <w:tcMar>
              <w:top w:w="128" w:type="dxa"/>
              <w:left w:w="43" w:type="dxa"/>
              <w:bottom w:w="43" w:type="dxa"/>
              <w:right w:w="43" w:type="dxa"/>
            </w:tcMar>
          </w:tcPr>
          <w:p w14:paraId="7E4FB663" w14:textId="77777777" w:rsidR="00D60186" w:rsidRPr="008D6210" w:rsidRDefault="00D60186" w:rsidP="008D6210">
            <w:pPr>
              <w:jc w:val="right"/>
              <w:rPr>
                <w:sz w:val="21"/>
                <w:szCs w:val="21"/>
              </w:rPr>
            </w:pPr>
            <w:r w:rsidRPr="008D6210">
              <w:rPr>
                <w:sz w:val="21"/>
                <w:szCs w:val="21"/>
              </w:rPr>
              <w:t>Nei</w:t>
            </w:r>
          </w:p>
        </w:tc>
      </w:tr>
      <w:tr w:rsidR="00E76DC8" w:rsidRPr="00225D4D" w14:paraId="16D8D584"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35884DA"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5ED926F" w14:textId="77777777" w:rsidR="00D60186" w:rsidRPr="008D6210" w:rsidRDefault="00D60186" w:rsidP="008D6210">
            <w:pPr>
              <w:ind w:right="113"/>
              <w:jc w:val="right"/>
              <w:rPr>
                <w:sz w:val="21"/>
                <w:szCs w:val="21"/>
              </w:rPr>
            </w:pPr>
            <w:r w:rsidRPr="008D6210">
              <w:rPr>
                <w:sz w:val="21"/>
                <w:szCs w:val="21"/>
              </w:rPr>
              <w:t>587</w:t>
            </w:r>
          </w:p>
        </w:tc>
        <w:tc>
          <w:tcPr>
            <w:tcW w:w="5600" w:type="dxa"/>
            <w:tcBorders>
              <w:top w:val="nil"/>
              <w:left w:val="nil"/>
              <w:bottom w:val="nil"/>
              <w:right w:val="nil"/>
            </w:tcBorders>
            <w:tcMar>
              <w:top w:w="128" w:type="dxa"/>
              <w:left w:w="43" w:type="dxa"/>
              <w:bottom w:w="43" w:type="dxa"/>
              <w:right w:w="43" w:type="dxa"/>
            </w:tcMar>
          </w:tcPr>
          <w:p w14:paraId="1617941A" w14:textId="77777777" w:rsidR="00D60186" w:rsidRPr="008D6210" w:rsidRDefault="00D60186" w:rsidP="00225D4D">
            <w:pPr>
              <w:rPr>
                <w:sz w:val="21"/>
                <w:szCs w:val="21"/>
              </w:rPr>
            </w:pPr>
            <w:r w:rsidRPr="008D6210">
              <w:rPr>
                <w:sz w:val="21"/>
                <w:szCs w:val="21"/>
              </w:rPr>
              <w:t>Eierskapsbegrensninger i kystfisket etter andre arter enn torsk, hyse og sei nord for 62 grader</w:t>
            </w:r>
          </w:p>
        </w:tc>
        <w:tc>
          <w:tcPr>
            <w:tcW w:w="1400" w:type="dxa"/>
            <w:tcBorders>
              <w:top w:val="nil"/>
              <w:left w:val="nil"/>
              <w:bottom w:val="nil"/>
              <w:right w:val="nil"/>
            </w:tcBorders>
            <w:tcMar>
              <w:top w:w="128" w:type="dxa"/>
              <w:left w:w="43" w:type="dxa"/>
              <w:bottom w:w="43" w:type="dxa"/>
              <w:right w:w="43" w:type="dxa"/>
            </w:tcMar>
          </w:tcPr>
          <w:p w14:paraId="219972E1" w14:textId="77777777" w:rsidR="00D60186" w:rsidRPr="008D6210" w:rsidRDefault="00D60186" w:rsidP="008D6210">
            <w:pPr>
              <w:jc w:val="right"/>
              <w:rPr>
                <w:sz w:val="21"/>
                <w:szCs w:val="21"/>
              </w:rPr>
            </w:pPr>
            <w:r w:rsidRPr="008D6210">
              <w:rPr>
                <w:sz w:val="21"/>
                <w:szCs w:val="21"/>
              </w:rPr>
              <w:t>Nei</w:t>
            </w:r>
          </w:p>
        </w:tc>
      </w:tr>
      <w:tr w:rsidR="00E76DC8" w:rsidRPr="00225D4D" w14:paraId="44A8C88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783F023"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BA0379F" w14:textId="77777777" w:rsidR="00D60186" w:rsidRPr="008D6210" w:rsidRDefault="00D60186" w:rsidP="008D6210">
            <w:pPr>
              <w:ind w:right="113"/>
              <w:jc w:val="right"/>
              <w:rPr>
                <w:sz w:val="21"/>
                <w:szCs w:val="21"/>
              </w:rPr>
            </w:pPr>
            <w:r w:rsidRPr="008D6210">
              <w:rPr>
                <w:sz w:val="21"/>
                <w:szCs w:val="21"/>
              </w:rPr>
              <w:t>588</w:t>
            </w:r>
          </w:p>
        </w:tc>
        <w:tc>
          <w:tcPr>
            <w:tcW w:w="5600" w:type="dxa"/>
            <w:tcBorders>
              <w:top w:val="nil"/>
              <w:left w:val="nil"/>
              <w:bottom w:val="nil"/>
              <w:right w:val="nil"/>
            </w:tcBorders>
            <w:tcMar>
              <w:top w:w="128" w:type="dxa"/>
              <w:left w:w="43" w:type="dxa"/>
              <w:bottom w:w="43" w:type="dxa"/>
              <w:right w:w="43" w:type="dxa"/>
            </w:tcMar>
          </w:tcPr>
          <w:p w14:paraId="0C829E7D" w14:textId="77777777" w:rsidR="00D60186" w:rsidRPr="008D6210" w:rsidRDefault="00D60186" w:rsidP="00225D4D">
            <w:pPr>
              <w:rPr>
                <w:sz w:val="21"/>
                <w:szCs w:val="21"/>
              </w:rPr>
            </w:pPr>
            <w:r w:rsidRPr="008D6210">
              <w:rPr>
                <w:sz w:val="21"/>
                <w:szCs w:val="21"/>
              </w:rPr>
              <w:t>Særskilte regler om eierskapsbegrensninger for kystgruppen</w:t>
            </w:r>
          </w:p>
        </w:tc>
        <w:tc>
          <w:tcPr>
            <w:tcW w:w="1400" w:type="dxa"/>
            <w:tcBorders>
              <w:top w:val="nil"/>
              <w:left w:val="nil"/>
              <w:bottom w:val="nil"/>
              <w:right w:val="nil"/>
            </w:tcBorders>
            <w:tcMar>
              <w:top w:w="128" w:type="dxa"/>
              <w:left w:w="43" w:type="dxa"/>
              <w:bottom w:w="43" w:type="dxa"/>
              <w:right w:w="43" w:type="dxa"/>
            </w:tcMar>
          </w:tcPr>
          <w:p w14:paraId="0A06DF14" w14:textId="77777777" w:rsidR="00D60186" w:rsidRPr="008D6210" w:rsidRDefault="00D60186" w:rsidP="008D6210">
            <w:pPr>
              <w:jc w:val="right"/>
              <w:rPr>
                <w:sz w:val="21"/>
                <w:szCs w:val="21"/>
              </w:rPr>
            </w:pPr>
            <w:r w:rsidRPr="008D6210">
              <w:rPr>
                <w:sz w:val="21"/>
                <w:szCs w:val="21"/>
              </w:rPr>
              <w:t>Nei</w:t>
            </w:r>
          </w:p>
        </w:tc>
      </w:tr>
      <w:tr w:rsidR="00E76DC8" w:rsidRPr="00225D4D" w14:paraId="146B579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A228B3D"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A44579C" w14:textId="77777777" w:rsidR="00D60186" w:rsidRPr="008D6210" w:rsidRDefault="00D60186" w:rsidP="008D6210">
            <w:pPr>
              <w:ind w:right="113"/>
              <w:jc w:val="right"/>
              <w:rPr>
                <w:sz w:val="21"/>
                <w:szCs w:val="21"/>
              </w:rPr>
            </w:pPr>
            <w:r w:rsidRPr="008D6210">
              <w:rPr>
                <w:sz w:val="21"/>
                <w:szCs w:val="21"/>
              </w:rPr>
              <w:t>589</w:t>
            </w:r>
          </w:p>
        </w:tc>
        <w:tc>
          <w:tcPr>
            <w:tcW w:w="5600" w:type="dxa"/>
            <w:tcBorders>
              <w:top w:val="nil"/>
              <w:left w:val="nil"/>
              <w:bottom w:val="nil"/>
              <w:right w:val="nil"/>
            </w:tcBorders>
            <w:tcMar>
              <w:top w:w="128" w:type="dxa"/>
              <w:left w:w="43" w:type="dxa"/>
              <w:bottom w:w="43" w:type="dxa"/>
              <w:right w:w="43" w:type="dxa"/>
            </w:tcMar>
          </w:tcPr>
          <w:p w14:paraId="6AE1DB34" w14:textId="77777777" w:rsidR="00D60186" w:rsidRPr="008D6210" w:rsidRDefault="00D60186" w:rsidP="00225D4D">
            <w:pPr>
              <w:rPr>
                <w:sz w:val="21"/>
                <w:szCs w:val="21"/>
              </w:rPr>
            </w:pPr>
            <w:r w:rsidRPr="008D6210">
              <w:rPr>
                <w:sz w:val="21"/>
                <w:szCs w:val="21"/>
              </w:rPr>
              <w:t>Ny vurdering av leiefartøyordningen</w:t>
            </w:r>
          </w:p>
        </w:tc>
        <w:tc>
          <w:tcPr>
            <w:tcW w:w="1400" w:type="dxa"/>
            <w:tcBorders>
              <w:top w:val="nil"/>
              <w:left w:val="nil"/>
              <w:bottom w:val="nil"/>
              <w:right w:val="nil"/>
            </w:tcBorders>
            <w:tcMar>
              <w:top w:w="128" w:type="dxa"/>
              <w:left w:w="43" w:type="dxa"/>
              <w:bottom w:w="43" w:type="dxa"/>
              <w:right w:w="43" w:type="dxa"/>
            </w:tcMar>
          </w:tcPr>
          <w:p w14:paraId="75A34A6E" w14:textId="77777777" w:rsidR="00D60186" w:rsidRPr="008D6210" w:rsidRDefault="00D60186" w:rsidP="008D6210">
            <w:pPr>
              <w:jc w:val="right"/>
              <w:rPr>
                <w:sz w:val="21"/>
                <w:szCs w:val="21"/>
              </w:rPr>
            </w:pPr>
            <w:r w:rsidRPr="008D6210">
              <w:rPr>
                <w:sz w:val="21"/>
                <w:szCs w:val="21"/>
              </w:rPr>
              <w:t>Nei</w:t>
            </w:r>
          </w:p>
        </w:tc>
      </w:tr>
      <w:tr w:rsidR="00E76DC8" w:rsidRPr="00225D4D" w14:paraId="487BA56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50B4E62"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4DCAF758" w14:textId="77777777" w:rsidR="00D60186" w:rsidRPr="008D6210" w:rsidRDefault="00D60186" w:rsidP="008D6210">
            <w:pPr>
              <w:ind w:right="113"/>
              <w:jc w:val="right"/>
              <w:rPr>
                <w:sz w:val="21"/>
                <w:szCs w:val="21"/>
              </w:rPr>
            </w:pPr>
            <w:r w:rsidRPr="008D6210">
              <w:rPr>
                <w:sz w:val="21"/>
                <w:szCs w:val="21"/>
              </w:rPr>
              <w:t>591</w:t>
            </w:r>
          </w:p>
        </w:tc>
        <w:tc>
          <w:tcPr>
            <w:tcW w:w="5600" w:type="dxa"/>
            <w:tcBorders>
              <w:top w:val="nil"/>
              <w:left w:val="nil"/>
              <w:bottom w:val="nil"/>
              <w:right w:val="nil"/>
            </w:tcBorders>
            <w:tcMar>
              <w:top w:w="128" w:type="dxa"/>
              <w:left w:w="43" w:type="dxa"/>
              <w:bottom w:w="43" w:type="dxa"/>
              <w:right w:w="43" w:type="dxa"/>
            </w:tcMar>
          </w:tcPr>
          <w:p w14:paraId="7E7FBA9D" w14:textId="77777777" w:rsidR="00D60186" w:rsidRPr="008D6210" w:rsidRDefault="00D60186" w:rsidP="00225D4D">
            <w:pPr>
              <w:rPr>
                <w:sz w:val="21"/>
                <w:szCs w:val="21"/>
              </w:rPr>
            </w:pPr>
            <w:r w:rsidRPr="008D6210">
              <w:rPr>
                <w:sz w:val="21"/>
                <w:szCs w:val="21"/>
              </w:rPr>
              <w:t>Vurdering av strukturkvoteordningen</w:t>
            </w:r>
          </w:p>
        </w:tc>
        <w:tc>
          <w:tcPr>
            <w:tcW w:w="1400" w:type="dxa"/>
            <w:tcBorders>
              <w:top w:val="nil"/>
              <w:left w:val="nil"/>
              <w:bottom w:val="nil"/>
              <w:right w:val="nil"/>
            </w:tcBorders>
            <w:tcMar>
              <w:top w:w="128" w:type="dxa"/>
              <w:left w:w="43" w:type="dxa"/>
              <w:bottom w:w="43" w:type="dxa"/>
              <w:right w:w="43" w:type="dxa"/>
            </w:tcMar>
          </w:tcPr>
          <w:p w14:paraId="05271C77" w14:textId="77777777" w:rsidR="00D60186" w:rsidRPr="008D6210" w:rsidRDefault="00D60186" w:rsidP="008D6210">
            <w:pPr>
              <w:jc w:val="right"/>
              <w:rPr>
                <w:sz w:val="21"/>
                <w:szCs w:val="21"/>
              </w:rPr>
            </w:pPr>
            <w:r w:rsidRPr="008D6210">
              <w:rPr>
                <w:sz w:val="21"/>
                <w:szCs w:val="21"/>
              </w:rPr>
              <w:t>Nei</w:t>
            </w:r>
          </w:p>
        </w:tc>
      </w:tr>
      <w:tr w:rsidR="00E76DC8" w:rsidRPr="00225D4D" w14:paraId="671FDBA8"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A85EFCF"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F4DAE4C" w14:textId="77777777" w:rsidR="00D60186" w:rsidRPr="008D6210" w:rsidRDefault="00D60186" w:rsidP="008D6210">
            <w:pPr>
              <w:ind w:right="113"/>
              <w:jc w:val="right"/>
              <w:rPr>
                <w:sz w:val="21"/>
                <w:szCs w:val="21"/>
              </w:rPr>
            </w:pPr>
            <w:r w:rsidRPr="008D6210">
              <w:rPr>
                <w:sz w:val="21"/>
                <w:szCs w:val="21"/>
              </w:rPr>
              <w:t>592</w:t>
            </w:r>
          </w:p>
        </w:tc>
        <w:tc>
          <w:tcPr>
            <w:tcW w:w="5600" w:type="dxa"/>
            <w:tcBorders>
              <w:top w:val="nil"/>
              <w:left w:val="nil"/>
              <w:bottom w:val="nil"/>
              <w:right w:val="nil"/>
            </w:tcBorders>
            <w:tcMar>
              <w:top w:w="128" w:type="dxa"/>
              <w:left w:w="43" w:type="dxa"/>
              <w:bottom w:w="43" w:type="dxa"/>
              <w:right w:w="43" w:type="dxa"/>
            </w:tcMar>
          </w:tcPr>
          <w:p w14:paraId="322441C6" w14:textId="77777777" w:rsidR="00D60186" w:rsidRPr="008D6210" w:rsidRDefault="00D60186" w:rsidP="00225D4D">
            <w:pPr>
              <w:rPr>
                <w:sz w:val="21"/>
                <w:szCs w:val="21"/>
              </w:rPr>
            </w:pPr>
            <w:r w:rsidRPr="008D6210">
              <w:rPr>
                <w:sz w:val="21"/>
                <w:szCs w:val="21"/>
              </w:rPr>
              <w:t>Fordeling av strukturgevinst når strukturkvoter utløper</w:t>
            </w:r>
          </w:p>
        </w:tc>
        <w:tc>
          <w:tcPr>
            <w:tcW w:w="1400" w:type="dxa"/>
            <w:tcBorders>
              <w:top w:val="nil"/>
              <w:left w:val="nil"/>
              <w:bottom w:val="nil"/>
              <w:right w:val="nil"/>
            </w:tcBorders>
            <w:tcMar>
              <w:top w:w="128" w:type="dxa"/>
              <w:left w:w="43" w:type="dxa"/>
              <w:bottom w:w="43" w:type="dxa"/>
              <w:right w:w="43" w:type="dxa"/>
            </w:tcMar>
          </w:tcPr>
          <w:p w14:paraId="33FC0A31" w14:textId="77777777" w:rsidR="00D60186" w:rsidRPr="008D6210" w:rsidRDefault="00D60186" w:rsidP="008D6210">
            <w:pPr>
              <w:jc w:val="right"/>
              <w:rPr>
                <w:sz w:val="21"/>
                <w:szCs w:val="21"/>
              </w:rPr>
            </w:pPr>
            <w:r w:rsidRPr="008D6210">
              <w:rPr>
                <w:sz w:val="21"/>
                <w:szCs w:val="21"/>
              </w:rPr>
              <w:t xml:space="preserve">Nei </w:t>
            </w:r>
          </w:p>
        </w:tc>
      </w:tr>
      <w:tr w:rsidR="00E76DC8" w:rsidRPr="00225D4D" w14:paraId="75782AB1"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C3A9E69"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FDC0EF0" w14:textId="77777777" w:rsidR="00D60186" w:rsidRPr="008D6210" w:rsidRDefault="00D60186" w:rsidP="008D6210">
            <w:pPr>
              <w:ind w:right="113"/>
              <w:jc w:val="right"/>
              <w:rPr>
                <w:sz w:val="21"/>
                <w:szCs w:val="21"/>
              </w:rPr>
            </w:pPr>
            <w:r w:rsidRPr="008D6210">
              <w:rPr>
                <w:sz w:val="21"/>
                <w:szCs w:val="21"/>
              </w:rPr>
              <w:t>593</w:t>
            </w:r>
          </w:p>
        </w:tc>
        <w:tc>
          <w:tcPr>
            <w:tcW w:w="5600" w:type="dxa"/>
            <w:tcBorders>
              <w:top w:val="nil"/>
              <w:left w:val="nil"/>
              <w:bottom w:val="nil"/>
              <w:right w:val="nil"/>
            </w:tcBorders>
            <w:tcMar>
              <w:top w:w="128" w:type="dxa"/>
              <w:left w:w="43" w:type="dxa"/>
              <w:bottom w:w="43" w:type="dxa"/>
              <w:right w:w="43" w:type="dxa"/>
            </w:tcMar>
          </w:tcPr>
          <w:p w14:paraId="38360380" w14:textId="77777777" w:rsidR="00D60186" w:rsidRPr="008D6210" w:rsidRDefault="00D60186" w:rsidP="00225D4D">
            <w:pPr>
              <w:rPr>
                <w:sz w:val="21"/>
                <w:szCs w:val="21"/>
              </w:rPr>
            </w:pPr>
            <w:r w:rsidRPr="008D6210">
              <w:rPr>
                <w:sz w:val="21"/>
                <w:szCs w:val="21"/>
              </w:rPr>
              <w:t>Sammenslåingsordning for fartøy under 11 meter</w:t>
            </w:r>
          </w:p>
        </w:tc>
        <w:tc>
          <w:tcPr>
            <w:tcW w:w="1400" w:type="dxa"/>
            <w:tcBorders>
              <w:top w:val="nil"/>
              <w:left w:val="nil"/>
              <w:bottom w:val="nil"/>
              <w:right w:val="nil"/>
            </w:tcBorders>
            <w:tcMar>
              <w:top w:w="128" w:type="dxa"/>
              <w:left w:w="43" w:type="dxa"/>
              <w:bottom w:w="43" w:type="dxa"/>
              <w:right w:w="43" w:type="dxa"/>
            </w:tcMar>
          </w:tcPr>
          <w:p w14:paraId="0B311826" w14:textId="77777777" w:rsidR="00D60186" w:rsidRPr="008D6210" w:rsidRDefault="00D60186" w:rsidP="008D6210">
            <w:pPr>
              <w:jc w:val="right"/>
              <w:rPr>
                <w:sz w:val="21"/>
                <w:szCs w:val="21"/>
              </w:rPr>
            </w:pPr>
            <w:r w:rsidRPr="008D6210">
              <w:rPr>
                <w:sz w:val="21"/>
                <w:szCs w:val="21"/>
              </w:rPr>
              <w:t>Ja</w:t>
            </w:r>
          </w:p>
        </w:tc>
      </w:tr>
      <w:tr w:rsidR="00E76DC8" w:rsidRPr="00225D4D" w14:paraId="24CD091E"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E0AADAE"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AB5BCE9" w14:textId="77777777" w:rsidR="00D60186" w:rsidRPr="008D6210" w:rsidRDefault="00D60186" w:rsidP="008D6210">
            <w:pPr>
              <w:ind w:right="113"/>
              <w:jc w:val="right"/>
              <w:rPr>
                <w:sz w:val="21"/>
                <w:szCs w:val="21"/>
              </w:rPr>
            </w:pPr>
            <w:r w:rsidRPr="008D6210">
              <w:rPr>
                <w:sz w:val="21"/>
                <w:szCs w:val="21"/>
              </w:rPr>
              <w:t>594</w:t>
            </w:r>
          </w:p>
        </w:tc>
        <w:tc>
          <w:tcPr>
            <w:tcW w:w="5600" w:type="dxa"/>
            <w:tcBorders>
              <w:top w:val="nil"/>
              <w:left w:val="nil"/>
              <w:bottom w:val="nil"/>
              <w:right w:val="nil"/>
            </w:tcBorders>
            <w:tcMar>
              <w:top w:w="128" w:type="dxa"/>
              <w:left w:w="43" w:type="dxa"/>
              <w:bottom w:w="43" w:type="dxa"/>
              <w:right w:w="43" w:type="dxa"/>
            </w:tcMar>
          </w:tcPr>
          <w:p w14:paraId="491D022C" w14:textId="77777777" w:rsidR="00D60186" w:rsidRPr="008D6210" w:rsidRDefault="00D60186" w:rsidP="00225D4D">
            <w:pPr>
              <w:rPr>
                <w:sz w:val="21"/>
                <w:szCs w:val="21"/>
              </w:rPr>
            </w:pPr>
            <w:r w:rsidRPr="008D6210">
              <w:rPr>
                <w:sz w:val="21"/>
                <w:szCs w:val="21"/>
              </w:rPr>
              <w:t>Sammenslåingsordning for pelagiske fartøy under 11 meter</w:t>
            </w:r>
          </w:p>
        </w:tc>
        <w:tc>
          <w:tcPr>
            <w:tcW w:w="1400" w:type="dxa"/>
            <w:tcBorders>
              <w:top w:val="nil"/>
              <w:left w:val="nil"/>
              <w:bottom w:val="nil"/>
              <w:right w:val="nil"/>
            </w:tcBorders>
            <w:tcMar>
              <w:top w:w="128" w:type="dxa"/>
              <w:left w:w="43" w:type="dxa"/>
              <w:bottom w:w="43" w:type="dxa"/>
              <w:right w:w="43" w:type="dxa"/>
            </w:tcMar>
          </w:tcPr>
          <w:p w14:paraId="78E92F6B" w14:textId="77777777" w:rsidR="00D60186" w:rsidRPr="008D6210" w:rsidRDefault="00D60186" w:rsidP="008D6210">
            <w:pPr>
              <w:jc w:val="right"/>
              <w:rPr>
                <w:sz w:val="21"/>
                <w:szCs w:val="21"/>
              </w:rPr>
            </w:pPr>
            <w:r w:rsidRPr="008D6210">
              <w:rPr>
                <w:sz w:val="21"/>
                <w:szCs w:val="21"/>
              </w:rPr>
              <w:t>Nei</w:t>
            </w:r>
          </w:p>
        </w:tc>
      </w:tr>
      <w:tr w:rsidR="00E76DC8" w:rsidRPr="00225D4D" w14:paraId="77FB55F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8E39771"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E35B831" w14:textId="77777777" w:rsidR="00D60186" w:rsidRPr="008D6210" w:rsidRDefault="00D60186" w:rsidP="008D6210">
            <w:pPr>
              <w:ind w:right="113"/>
              <w:jc w:val="right"/>
              <w:rPr>
                <w:sz w:val="21"/>
                <w:szCs w:val="21"/>
              </w:rPr>
            </w:pPr>
            <w:r w:rsidRPr="008D6210">
              <w:rPr>
                <w:sz w:val="21"/>
                <w:szCs w:val="21"/>
              </w:rPr>
              <w:t>595</w:t>
            </w:r>
          </w:p>
        </w:tc>
        <w:tc>
          <w:tcPr>
            <w:tcW w:w="5600" w:type="dxa"/>
            <w:tcBorders>
              <w:top w:val="nil"/>
              <w:left w:val="nil"/>
              <w:bottom w:val="nil"/>
              <w:right w:val="nil"/>
            </w:tcBorders>
            <w:tcMar>
              <w:top w:w="128" w:type="dxa"/>
              <w:left w:w="43" w:type="dxa"/>
              <w:bottom w:w="43" w:type="dxa"/>
              <w:right w:w="43" w:type="dxa"/>
            </w:tcMar>
          </w:tcPr>
          <w:p w14:paraId="6DE83073" w14:textId="77777777" w:rsidR="00D60186" w:rsidRPr="008D6210" w:rsidRDefault="00D60186" w:rsidP="00225D4D">
            <w:pPr>
              <w:rPr>
                <w:sz w:val="21"/>
                <w:szCs w:val="21"/>
              </w:rPr>
            </w:pPr>
            <w:r w:rsidRPr="008D6210">
              <w:rPr>
                <w:sz w:val="21"/>
                <w:szCs w:val="21"/>
              </w:rPr>
              <w:t>Gjeninnføring av dynamisk trålstige for torsk</w:t>
            </w:r>
          </w:p>
        </w:tc>
        <w:tc>
          <w:tcPr>
            <w:tcW w:w="1400" w:type="dxa"/>
            <w:tcBorders>
              <w:top w:val="nil"/>
              <w:left w:val="nil"/>
              <w:bottom w:val="nil"/>
              <w:right w:val="nil"/>
            </w:tcBorders>
            <w:tcMar>
              <w:top w:w="128" w:type="dxa"/>
              <w:left w:w="43" w:type="dxa"/>
              <w:bottom w:w="43" w:type="dxa"/>
              <w:right w:w="43" w:type="dxa"/>
            </w:tcMar>
          </w:tcPr>
          <w:p w14:paraId="7F97A755" w14:textId="77777777" w:rsidR="00D60186" w:rsidRPr="008D6210" w:rsidRDefault="00D60186" w:rsidP="008D6210">
            <w:pPr>
              <w:jc w:val="right"/>
              <w:rPr>
                <w:sz w:val="21"/>
                <w:szCs w:val="21"/>
              </w:rPr>
            </w:pPr>
            <w:r w:rsidRPr="008D6210">
              <w:rPr>
                <w:sz w:val="21"/>
                <w:szCs w:val="21"/>
              </w:rPr>
              <w:t>Ja</w:t>
            </w:r>
          </w:p>
        </w:tc>
      </w:tr>
      <w:tr w:rsidR="00E76DC8" w:rsidRPr="00225D4D" w14:paraId="403A8BD4"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01D1EAD"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82E8CC4" w14:textId="77777777" w:rsidR="00D60186" w:rsidRPr="008D6210" w:rsidRDefault="00D60186" w:rsidP="008D6210">
            <w:pPr>
              <w:ind w:right="113"/>
              <w:jc w:val="right"/>
              <w:rPr>
                <w:sz w:val="21"/>
                <w:szCs w:val="21"/>
              </w:rPr>
            </w:pPr>
            <w:r w:rsidRPr="008D6210">
              <w:rPr>
                <w:sz w:val="21"/>
                <w:szCs w:val="21"/>
              </w:rPr>
              <w:t>597</w:t>
            </w:r>
          </w:p>
        </w:tc>
        <w:tc>
          <w:tcPr>
            <w:tcW w:w="5600" w:type="dxa"/>
            <w:tcBorders>
              <w:top w:val="nil"/>
              <w:left w:val="nil"/>
              <w:bottom w:val="nil"/>
              <w:right w:val="nil"/>
            </w:tcBorders>
            <w:tcMar>
              <w:top w:w="128" w:type="dxa"/>
              <w:left w:w="43" w:type="dxa"/>
              <w:bottom w:w="43" w:type="dxa"/>
              <w:right w:w="43" w:type="dxa"/>
            </w:tcMar>
          </w:tcPr>
          <w:p w14:paraId="2CDB24B5" w14:textId="77777777" w:rsidR="00D60186" w:rsidRPr="008D6210" w:rsidRDefault="00D60186" w:rsidP="00225D4D">
            <w:pPr>
              <w:rPr>
                <w:sz w:val="21"/>
                <w:szCs w:val="21"/>
              </w:rPr>
            </w:pPr>
            <w:r w:rsidRPr="008D6210">
              <w:rPr>
                <w:sz w:val="21"/>
                <w:szCs w:val="21"/>
              </w:rPr>
              <w:t>Åpen gruppes andel av totalkvoten for norsk torsk</w:t>
            </w:r>
          </w:p>
        </w:tc>
        <w:tc>
          <w:tcPr>
            <w:tcW w:w="1400" w:type="dxa"/>
            <w:tcBorders>
              <w:top w:val="nil"/>
              <w:left w:val="nil"/>
              <w:bottom w:val="nil"/>
              <w:right w:val="nil"/>
            </w:tcBorders>
            <w:tcMar>
              <w:top w:w="128" w:type="dxa"/>
              <w:left w:w="43" w:type="dxa"/>
              <w:bottom w:w="43" w:type="dxa"/>
              <w:right w:w="43" w:type="dxa"/>
            </w:tcMar>
          </w:tcPr>
          <w:p w14:paraId="6E1BEC06" w14:textId="77777777" w:rsidR="00D60186" w:rsidRPr="008D6210" w:rsidRDefault="00D60186" w:rsidP="008D6210">
            <w:pPr>
              <w:jc w:val="right"/>
              <w:rPr>
                <w:sz w:val="21"/>
                <w:szCs w:val="21"/>
              </w:rPr>
            </w:pPr>
            <w:r w:rsidRPr="008D6210">
              <w:rPr>
                <w:sz w:val="21"/>
                <w:szCs w:val="21"/>
              </w:rPr>
              <w:t>Ja</w:t>
            </w:r>
          </w:p>
        </w:tc>
      </w:tr>
      <w:tr w:rsidR="00E76DC8" w:rsidRPr="00225D4D" w14:paraId="10882581"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113225A"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619A478" w14:textId="77777777" w:rsidR="00D60186" w:rsidRPr="008D6210" w:rsidRDefault="00D60186" w:rsidP="008D6210">
            <w:pPr>
              <w:ind w:right="113"/>
              <w:jc w:val="right"/>
              <w:rPr>
                <w:sz w:val="21"/>
                <w:szCs w:val="21"/>
              </w:rPr>
            </w:pPr>
            <w:r w:rsidRPr="008D6210">
              <w:rPr>
                <w:sz w:val="21"/>
                <w:szCs w:val="21"/>
              </w:rPr>
              <w:t>598</w:t>
            </w:r>
          </w:p>
        </w:tc>
        <w:tc>
          <w:tcPr>
            <w:tcW w:w="5600" w:type="dxa"/>
            <w:tcBorders>
              <w:top w:val="nil"/>
              <w:left w:val="nil"/>
              <w:bottom w:val="nil"/>
              <w:right w:val="nil"/>
            </w:tcBorders>
            <w:tcMar>
              <w:top w:w="128" w:type="dxa"/>
              <w:left w:w="43" w:type="dxa"/>
              <w:bottom w:w="43" w:type="dxa"/>
              <w:right w:w="43" w:type="dxa"/>
            </w:tcMar>
          </w:tcPr>
          <w:p w14:paraId="50C77E43" w14:textId="77777777" w:rsidR="00D60186" w:rsidRPr="008D6210" w:rsidRDefault="00D60186" w:rsidP="00225D4D">
            <w:pPr>
              <w:rPr>
                <w:sz w:val="21"/>
                <w:szCs w:val="21"/>
              </w:rPr>
            </w:pPr>
            <w:r w:rsidRPr="008D6210">
              <w:rPr>
                <w:sz w:val="21"/>
                <w:szCs w:val="21"/>
              </w:rPr>
              <w:t>Omfordeling til lukket gruppe under 11 meter</w:t>
            </w:r>
          </w:p>
        </w:tc>
        <w:tc>
          <w:tcPr>
            <w:tcW w:w="1400" w:type="dxa"/>
            <w:tcBorders>
              <w:top w:val="nil"/>
              <w:left w:val="nil"/>
              <w:bottom w:val="nil"/>
              <w:right w:val="nil"/>
            </w:tcBorders>
            <w:tcMar>
              <w:top w:w="128" w:type="dxa"/>
              <w:left w:w="43" w:type="dxa"/>
              <w:bottom w:w="43" w:type="dxa"/>
              <w:right w:w="43" w:type="dxa"/>
            </w:tcMar>
          </w:tcPr>
          <w:p w14:paraId="1043B51F" w14:textId="77777777" w:rsidR="00D60186" w:rsidRPr="008D6210" w:rsidRDefault="00D60186" w:rsidP="008D6210">
            <w:pPr>
              <w:jc w:val="right"/>
              <w:rPr>
                <w:sz w:val="21"/>
                <w:szCs w:val="21"/>
              </w:rPr>
            </w:pPr>
            <w:r w:rsidRPr="008D6210">
              <w:rPr>
                <w:sz w:val="21"/>
                <w:szCs w:val="21"/>
              </w:rPr>
              <w:t>Ja</w:t>
            </w:r>
          </w:p>
        </w:tc>
      </w:tr>
      <w:tr w:rsidR="00E76DC8" w:rsidRPr="00225D4D" w14:paraId="006F9D4B"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2138507"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1E33C1A" w14:textId="77777777" w:rsidR="00D60186" w:rsidRPr="008D6210" w:rsidRDefault="00D60186" w:rsidP="008D6210">
            <w:pPr>
              <w:ind w:right="113"/>
              <w:jc w:val="right"/>
              <w:rPr>
                <w:sz w:val="21"/>
                <w:szCs w:val="21"/>
              </w:rPr>
            </w:pPr>
            <w:r w:rsidRPr="008D6210">
              <w:rPr>
                <w:sz w:val="21"/>
                <w:szCs w:val="21"/>
              </w:rPr>
              <w:t>599</w:t>
            </w:r>
          </w:p>
        </w:tc>
        <w:tc>
          <w:tcPr>
            <w:tcW w:w="5600" w:type="dxa"/>
            <w:tcBorders>
              <w:top w:val="nil"/>
              <w:left w:val="nil"/>
              <w:bottom w:val="nil"/>
              <w:right w:val="nil"/>
            </w:tcBorders>
            <w:tcMar>
              <w:top w:w="128" w:type="dxa"/>
              <w:left w:w="43" w:type="dxa"/>
              <w:bottom w:w="43" w:type="dxa"/>
              <w:right w:w="43" w:type="dxa"/>
            </w:tcMar>
          </w:tcPr>
          <w:p w14:paraId="15859421" w14:textId="77777777" w:rsidR="00D60186" w:rsidRPr="008D6210" w:rsidRDefault="00D60186" w:rsidP="00225D4D">
            <w:pPr>
              <w:rPr>
                <w:sz w:val="21"/>
                <w:szCs w:val="21"/>
              </w:rPr>
            </w:pPr>
            <w:r w:rsidRPr="008D6210">
              <w:rPr>
                <w:sz w:val="21"/>
                <w:szCs w:val="21"/>
              </w:rPr>
              <w:t>Gjennomgang av åpen gruppe</w:t>
            </w:r>
          </w:p>
        </w:tc>
        <w:tc>
          <w:tcPr>
            <w:tcW w:w="1400" w:type="dxa"/>
            <w:tcBorders>
              <w:top w:val="nil"/>
              <w:left w:val="nil"/>
              <w:bottom w:val="nil"/>
              <w:right w:val="nil"/>
            </w:tcBorders>
            <w:tcMar>
              <w:top w:w="128" w:type="dxa"/>
              <w:left w:w="43" w:type="dxa"/>
              <w:bottom w:w="43" w:type="dxa"/>
              <w:right w:w="43" w:type="dxa"/>
            </w:tcMar>
          </w:tcPr>
          <w:p w14:paraId="409071EE" w14:textId="77777777" w:rsidR="00D60186" w:rsidRPr="008D6210" w:rsidRDefault="00D60186" w:rsidP="008D6210">
            <w:pPr>
              <w:jc w:val="right"/>
              <w:rPr>
                <w:sz w:val="21"/>
                <w:szCs w:val="21"/>
              </w:rPr>
            </w:pPr>
            <w:r w:rsidRPr="008D6210">
              <w:rPr>
                <w:sz w:val="21"/>
                <w:szCs w:val="21"/>
              </w:rPr>
              <w:t>Nei</w:t>
            </w:r>
          </w:p>
        </w:tc>
      </w:tr>
      <w:tr w:rsidR="00E76DC8" w:rsidRPr="00225D4D" w14:paraId="2AAF1F98"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4F1F3F4"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128A9D6" w14:textId="77777777" w:rsidR="00D60186" w:rsidRPr="008D6210" w:rsidRDefault="00D60186" w:rsidP="008D6210">
            <w:pPr>
              <w:ind w:right="113"/>
              <w:jc w:val="right"/>
              <w:rPr>
                <w:sz w:val="21"/>
                <w:szCs w:val="21"/>
              </w:rPr>
            </w:pPr>
            <w:r w:rsidRPr="008D6210">
              <w:rPr>
                <w:sz w:val="21"/>
                <w:szCs w:val="21"/>
              </w:rPr>
              <w:t>600</w:t>
            </w:r>
          </w:p>
        </w:tc>
        <w:tc>
          <w:tcPr>
            <w:tcW w:w="5600" w:type="dxa"/>
            <w:tcBorders>
              <w:top w:val="nil"/>
              <w:left w:val="nil"/>
              <w:bottom w:val="nil"/>
              <w:right w:val="nil"/>
            </w:tcBorders>
            <w:tcMar>
              <w:top w:w="128" w:type="dxa"/>
              <w:left w:w="43" w:type="dxa"/>
              <w:bottom w:w="43" w:type="dxa"/>
              <w:right w:w="43" w:type="dxa"/>
            </w:tcMar>
          </w:tcPr>
          <w:p w14:paraId="70086602" w14:textId="77777777" w:rsidR="00D60186" w:rsidRPr="008D6210" w:rsidRDefault="00D60186" w:rsidP="00225D4D">
            <w:pPr>
              <w:rPr>
                <w:sz w:val="21"/>
                <w:szCs w:val="21"/>
              </w:rPr>
            </w:pPr>
            <w:r w:rsidRPr="008D6210">
              <w:rPr>
                <w:sz w:val="21"/>
                <w:szCs w:val="21"/>
              </w:rPr>
              <w:t xml:space="preserve">Gjeninnføring av </w:t>
            </w:r>
            <w:proofErr w:type="spellStart"/>
            <w:r w:rsidRPr="008D6210">
              <w:rPr>
                <w:sz w:val="21"/>
                <w:szCs w:val="21"/>
              </w:rPr>
              <w:t>sildestigen</w:t>
            </w:r>
            <w:proofErr w:type="spellEnd"/>
          </w:p>
        </w:tc>
        <w:tc>
          <w:tcPr>
            <w:tcW w:w="1400" w:type="dxa"/>
            <w:tcBorders>
              <w:top w:val="nil"/>
              <w:left w:val="nil"/>
              <w:bottom w:val="nil"/>
              <w:right w:val="nil"/>
            </w:tcBorders>
            <w:tcMar>
              <w:top w:w="128" w:type="dxa"/>
              <w:left w:w="43" w:type="dxa"/>
              <w:bottom w:w="43" w:type="dxa"/>
              <w:right w:w="43" w:type="dxa"/>
            </w:tcMar>
          </w:tcPr>
          <w:p w14:paraId="0D3E50D1" w14:textId="77777777" w:rsidR="00D60186" w:rsidRPr="008D6210" w:rsidRDefault="00D60186" w:rsidP="008D6210">
            <w:pPr>
              <w:jc w:val="right"/>
              <w:rPr>
                <w:sz w:val="21"/>
                <w:szCs w:val="21"/>
              </w:rPr>
            </w:pPr>
            <w:r w:rsidRPr="008D6210">
              <w:rPr>
                <w:sz w:val="21"/>
                <w:szCs w:val="21"/>
              </w:rPr>
              <w:t>Ja</w:t>
            </w:r>
          </w:p>
        </w:tc>
      </w:tr>
      <w:tr w:rsidR="00E76DC8" w:rsidRPr="00225D4D" w14:paraId="1E7FF4A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B5BD081"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2C5AA6E0" w14:textId="77777777" w:rsidR="00D60186" w:rsidRPr="008D6210" w:rsidRDefault="00D60186" w:rsidP="008D6210">
            <w:pPr>
              <w:ind w:right="113"/>
              <w:jc w:val="right"/>
              <w:rPr>
                <w:sz w:val="21"/>
                <w:szCs w:val="21"/>
              </w:rPr>
            </w:pPr>
            <w:r w:rsidRPr="008D6210">
              <w:rPr>
                <w:sz w:val="21"/>
                <w:szCs w:val="21"/>
              </w:rPr>
              <w:t>602</w:t>
            </w:r>
          </w:p>
        </w:tc>
        <w:tc>
          <w:tcPr>
            <w:tcW w:w="5600" w:type="dxa"/>
            <w:tcBorders>
              <w:top w:val="nil"/>
              <w:left w:val="nil"/>
              <w:bottom w:val="nil"/>
              <w:right w:val="nil"/>
            </w:tcBorders>
            <w:tcMar>
              <w:top w:w="128" w:type="dxa"/>
              <w:left w:w="43" w:type="dxa"/>
              <w:bottom w:w="43" w:type="dxa"/>
              <w:right w:w="43" w:type="dxa"/>
            </w:tcMar>
          </w:tcPr>
          <w:p w14:paraId="2CC0BA31" w14:textId="77777777" w:rsidR="00D60186" w:rsidRPr="008D6210" w:rsidRDefault="00D60186" w:rsidP="00225D4D">
            <w:pPr>
              <w:rPr>
                <w:sz w:val="21"/>
                <w:szCs w:val="21"/>
              </w:rPr>
            </w:pPr>
            <w:r w:rsidRPr="008D6210">
              <w:rPr>
                <w:sz w:val="21"/>
                <w:szCs w:val="21"/>
              </w:rPr>
              <w:t>Etterkontroll av fiskesalslagslova</w:t>
            </w:r>
          </w:p>
        </w:tc>
        <w:tc>
          <w:tcPr>
            <w:tcW w:w="1400" w:type="dxa"/>
            <w:tcBorders>
              <w:top w:val="nil"/>
              <w:left w:val="nil"/>
              <w:bottom w:val="nil"/>
              <w:right w:val="nil"/>
            </w:tcBorders>
            <w:tcMar>
              <w:top w:w="128" w:type="dxa"/>
              <w:left w:w="43" w:type="dxa"/>
              <w:bottom w:w="43" w:type="dxa"/>
              <w:right w:w="43" w:type="dxa"/>
            </w:tcMar>
          </w:tcPr>
          <w:p w14:paraId="78B3A2F8" w14:textId="77777777" w:rsidR="00D60186" w:rsidRPr="008D6210" w:rsidRDefault="00D60186" w:rsidP="008D6210">
            <w:pPr>
              <w:jc w:val="right"/>
              <w:rPr>
                <w:sz w:val="21"/>
                <w:szCs w:val="21"/>
              </w:rPr>
            </w:pPr>
            <w:r w:rsidRPr="008D6210">
              <w:rPr>
                <w:sz w:val="21"/>
                <w:szCs w:val="21"/>
              </w:rPr>
              <w:t xml:space="preserve">Nei </w:t>
            </w:r>
          </w:p>
        </w:tc>
      </w:tr>
      <w:tr w:rsidR="00E76DC8" w:rsidRPr="00225D4D" w14:paraId="4677AE87"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DD8E476"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4C15523" w14:textId="77777777" w:rsidR="00D60186" w:rsidRPr="008D6210" w:rsidRDefault="00D60186" w:rsidP="008D6210">
            <w:pPr>
              <w:ind w:right="113"/>
              <w:jc w:val="right"/>
              <w:rPr>
                <w:sz w:val="21"/>
                <w:szCs w:val="21"/>
              </w:rPr>
            </w:pPr>
            <w:r w:rsidRPr="008D6210">
              <w:rPr>
                <w:sz w:val="21"/>
                <w:szCs w:val="21"/>
              </w:rPr>
              <w:t>606</w:t>
            </w:r>
          </w:p>
        </w:tc>
        <w:tc>
          <w:tcPr>
            <w:tcW w:w="5600" w:type="dxa"/>
            <w:tcBorders>
              <w:top w:val="nil"/>
              <w:left w:val="nil"/>
              <w:bottom w:val="nil"/>
              <w:right w:val="nil"/>
            </w:tcBorders>
            <w:tcMar>
              <w:top w:w="128" w:type="dxa"/>
              <w:left w:w="43" w:type="dxa"/>
              <w:bottom w:w="43" w:type="dxa"/>
              <w:right w:w="43" w:type="dxa"/>
            </w:tcMar>
          </w:tcPr>
          <w:p w14:paraId="37EC0A7D" w14:textId="77777777" w:rsidR="00D60186" w:rsidRPr="008D6210" w:rsidRDefault="00D60186" w:rsidP="00225D4D">
            <w:pPr>
              <w:rPr>
                <w:sz w:val="21"/>
                <w:szCs w:val="21"/>
              </w:rPr>
            </w:pPr>
            <w:r w:rsidRPr="008D6210">
              <w:rPr>
                <w:sz w:val="21"/>
                <w:szCs w:val="21"/>
              </w:rPr>
              <w:t>Teknologinøytral miljøfleksibilitetsordning for havbruk</w:t>
            </w:r>
          </w:p>
        </w:tc>
        <w:tc>
          <w:tcPr>
            <w:tcW w:w="1400" w:type="dxa"/>
            <w:tcBorders>
              <w:top w:val="nil"/>
              <w:left w:val="nil"/>
              <w:bottom w:val="nil"/>
              <w:right w:val="nil"/>
            </w:tcBorders>
            <w:tcMar>
              <w:top w:w="128" w:type="dxa"/>
              <w:left w:w="43" w:type="dxa"/>
              <w:bottom w:w="43" w:type="dxa"/>
              <w:right w:w="43" w:type="dxa"/>
            </w:tcMar>
          </w:tcPr>
          <w:p w14:paraId="755B311A" w14:textId="77777777" w:rsidR="00D60186" w:rsidRPr="008D6210" w:rsidRDefault="00D60186" w:rsidP="008D6210">
            <w:pPr>
              <w:jc w:val="right"/>
              <w:rPr>
                <w:sz w:val="21"/>
                <w:szCs w:val="21"/>
              </w:rPr>
            </w:pPr>
            <w:r w:rsidRPr="008D6210">
              <w:rPr>
                <w:sz w:val="21"/>
                <w:szCs w:val="21"/>
              </w:rPr>
              <w:t>Ja</w:t>
            </w:r>
          </w:p>
        </w:tc>
      </w:tr>
      <w:tr w:rsidR="00E76DC8" w:rsidRPr="00225D4D" w14:paraId="62C6B49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86F4316"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F6D9F39" w14:textId="77777777" w:rsidR="00D60186" w:rsidRPr="008D6210" w:rsidRDefault="00D60186" w:rsidP="008D6210">
            <w:pPr>
              <w:ind w:right="113"/>
              <w:jc w:val="right"/>
              <w:rPr>
                <w:sz w:val="21"/>
                <w:szCs w:val="21"/>
              </w:rPr>
            </w:pPr>
            <w:r w:rsidRPr="008D6210">
              <w:rPr>
                <w:sz w:val="21"/>
                <w:szCs w:val="21"/>
              </w:rPr>
              <w:t>697</w:t>
            </w:r>
          </w:p>
        </w:tc>
        <w:tc>
          <w:tcPr>
            <w:tcW w:w="5600" w:type="dxa"/>
            <w:tcBorders>
              <w:top w:val="nil"/>
              <w:left w:val="nil"/>
              <w:bottom w:val="nil"/>
              <w:right w:val="nil"/>
            </w:tcBorders>
            <w:tcMar>
              <w:top w:w="128" w:type="dxa"/>
              <w:left w:w="43" w:type="dxa"/>
              <w:bottom w:w="43" w:type="dxa"/>
              <w:right w:w="43" w:type="dxa"/>
            </w:tcMar>
          </w:tcPr>
          <w:p w14:paraId="0B822DD8" w14:textId="77777777" w:rsidR="00D60186" w:rsidRPr="008D6210" w:rsidRDefault="00D60186" w:rsidP="00225D4D">
            <w:pPr>
              <w:rPr>
                <w:sz w:val="21"/>
                <w:szCs w:val="21"/>
                <w:lang w:val="en-GB"/>
              </w:rPr>
            </w:pPr>
            <w:proofErr w:type="spellStart"/>
            <w:r w:rsidRPr="008D6210">
              <w:rPr>
                <w:sz w:val="21"/>
                <w:szCs w:val="21"/>
                <w:lang w:val="en-GB"/>
              </w:rPr>
              <w:t>Fensfeltet</w:t>
            </w:r>
            <w:proofErr w:type="spellEnd"/>
            <w:r w:rsidRPr="008D6210">
              <w:rPr>
                <w:sz w:val="21"/>
                <w:szCs w:val="21"/>
                <w:lang w:val="en-GB"/>
              </w:rPr>
              <w:t xml:space="preserve"> og Mineral Security Partnership</w:t>
            </w:r>
          </w:p>
        </w:tc>
        <w:tc>
          <w:tcPr>
            <w:tcW w:w="1400" w:type="dxa"/>
            <w:tcBorders>
              <w:top w:val="nil"/>
              <w:left w:val="nil"/>
              <w:bottom w:val="nil"/>
              <w:right w:val="nil"/>
            </w:tcBorders>
            <w:tcMar>
              <w:top w:w="128" w:type="dxa"/>
              <w:left w:w="43" w:type="dxa"/>
              <w:bottom w:w="43" w:type="dxa"/>
              <w:right w:w="43" w:type="dxa"/>
            </w:tcMar>
          </w:tcPr>
          <w:p w14:paraId="1C256CAC" w14:textId="77777777" w:rsidR="00D60186" w:rsidRPr="008D6210" w:rsidRDefault="00D60186" w:rsidP="008D6210">
            <w:pPr>
              <w:jc w:val="right"/>
              <w:rPr>
                <w:sz w:val="21"/>
                <w:szCs w:val="21"/>
              </w:rPr>
            </w:pPr>
            <w:r w:rsidRPr="008D6210">
              <w:rPr>
                <w:sz w:val="21"/>
                <w:szCs w:val="21"/>
              </w:rPr>
              <w:t>Ja</w:t>
            </w:r>
          </w:p>
        </w:tc>
      </w:tr>
      <w:tr w:rsidR="00E76DC8" w:rsidRPr="00225D4D" w14:paraId="373CC75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C0BB25D"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7C696FD" w14:textId="77777777" w:rsidR="00D60186" w:rsidRPr="008D6210" w:rsidRDefault="00D60186" w:rsidP="008D6210">
            <w:pPr>
              <w:ind w:right="113"/>
              <w:jc w:val="right"/>
              <w:rPr>
                <w:sz w:val="21"/>
                <w:szCs w:val="21"/>
              </w:rPr>
            </w:pPr>
            <w:r w:rsidRPr="008D6210">
              <w:rPr>
                <w:sz w:val="21"/>
                <w:szCs w:val="21"/>
              </w:rPr>
              <w:t>698</w:t>
            </w:r>
          </w:p>
        </w:tc>
        <w:tc>
          <w:tcPr>
            <w:tcW w:w="5600" w:type="dxa"/>
            <w:tcBorders>
              <w:top w:val="nil"/>
              <w:left w:val="nil"/>
              <w:bottom w:val="nil"/>
              <w:right w:val="nil"/>
            </w:tcBorders>
            <w:tcMar>
              <w:top w:w="128" w:type="dxa"/>
              <w:left w:w="43" w:type="dxa"/>
              <w:bottom w:w="43" w:type="dxa"/>
              <w:right w:w="43" w:type="dxa"/>
            </w:tcMar>
          </w:tcPr>
          <w:p w14:paraId="489B55D4" w14:textId="77777777" w:rsidR="00D60186" w:rsidRPr="008D6210" w:rsidRDefault="00D60186" w:rsidP="00225D4D">
            <w:pPr>
              <w:rPr>
                <w:sz w:val="21"/>
                <w:szCs w:val="21"/>
              </w:rPr>
            </w:pPr>
            <w:r w:rsidRPr="008D6210">
              <w:rPr>
                <w:sz w:val="21"/>
                <w:szCs w:val="21"/>
              </w:rPr>
              <w:t>Samarbeidsavtale med USA om mineraler</w:t>
            </w:r>
          </w:p>
        </w:tc>
        <w:tc>
          <w:tcPr>
            <w:tcW w:w="1400" w:type="dxa"/>
            <w:tcBorders>
              <w:top w:val="nil"/>
              <w:left w:val="nil"/>
              <w:bottom w:val="nil"/>
              <w:right w:val="nil"/>
            </w:tcBorders>
            <w:tcMar>
              <w:top w:w="128" w:type="dxa"/>
              <w:left w:w="43" w:type="dxa"/>
              <w:bottom w:w="43" w:type="dxa"/>
              <w:right w:w="43" w:type="dxa"/>
            </w:tcMar>
          </w:tcPr>
          <w:p w14:paraId="0A3891C4" w14:textId="77777777" w:rsidR="00D60186" w:rsidRPr="008D6210" w:rsidRDefault="00D60186" w:rsidP="008D6210">
            <w:pPr>
              <w:jc w:val="right"/>
              <w:rPr>
                <w:sz w:val="21"/>
                <w:szCs w:val="21"/>
              </w:rPr>
            </w:pPr>
            <w:r w:rsidRPr="008D6210">
              <w:rPr>
                <w:sz w:val="21"/>
                <w:szCs w:val="21"/>
              </w:rPr>
              <w:t>Nei</w:t>
            </w:r>
          </w:p>
        </w:tc>
      </w:tr>
      <w:tr w:rsidR="00E76DC8" w:rsidRPr="00225D4D" w14:paraId="6C5FD98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1B77AB1"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6EAB356" w14:textId="77777777" w:rsidR="00D60186" w:rsidRPr="008D6210" w:rsidRDefault="00D60186" w:rsidP="008D6210">
            <w:pPr>
              <w:ind w:right="113"/>
              <w:jc w:val="right"/>
              <w:rPr>
                <w:sz w:val="21"/>
                <w:szCs w:val="21"/>
              </w:rPr>
            </w:pPr>
            <w:r w:rsidRPr="008D6210">
              <w:rPr>
                <w:sz w:val="21"/>
                <w:szCs w:val="21"/>
              </w:rPr>
              <w:t>699</w:t>
            </w:r>
          </w:p>
        </w:tc>
        <w:tc>
          <w:tcPr>
            <w:tcW w:w="5600" w:type="dxa"/>
            <w:tcBorders>
              <w:top w:val="nil"/>
              <w:left w:val="nil"/>
              <w:bottom w:val="nil"/>
              <w:right w:val="nil"/>
            </w:tcBorders>
            <w:tcMar>
              <w:top w:w="128" w:type="dxa"/>
              <w:left w:w="43" w:type="dxa"/>
              <w:bottom w:w="43" w:type="dxa"/>
              <w:right w:w="43" w:type="dxa"/>
            </w:tcMar>
          </w:tcPr>
          <w:p w14:paraId="54EEDEAE" w14:textId="77777777" w:rsidR="00D60186" w:rsidRPr="008D6210" w:rsidRDefault="00D60186" w:rsidP="00225D4D">
            <w:pPr>
              <w:rPr>
                <w:sz w:val="21"/>
                <w:szCs w:val="21"/>
              </w:rPr>
            </w:pPr>
            <w:r w:rsidRPr="008D6210">
              <w:rPr>
                <w:sz w:val="21"/>
                <w:szCs w:val="21"/>
              </w:rPr>
              <w:t>Offentlig-privat samhandling om overskuddsmasser</w:t>
            </w:r>
          </w:p>
        </w:tc>
        <w:tc>
          <w:tcPr>
            <w:tcW w:w="1400" w:type="dxa"/>
            <w:tcBorders>
              <w:top w:val="nil"/>
              <w:left w:val="nil"/>
              <w:bottom w:val="nil"/>
              <w:right w:val="nil"/>
            </w:tcBorders>
            <w:tcMar>
              <w:top w:w="128" w:type="dxa"/>
              <w:left w:w="43" w:type="dxa"/>
              <w:bottom w:w="43" w:type="dxa"/>
              <w:right w:w="43" w:type="dxa"/>
            </w:tcMar>
          </w:tcPr>
          <w:p w14:paraId="6AE19D63" w14:textId="77777777" w:rsidR="00D60186" w:rsidRPr="008D6210" w:rsidRDefault="00D60186" w:rsidP="008D6210">
            <w:pPr>
              <w:jc w:val="right"/>
              <w:rPr>
                <w:sz w:val="21"/>
                <w:szCs w:val="21"/>
              </w:rPr>
            </w:pPr>
            <w:r w:rsidRPr="008D6210">
              <w:rPr>
                <w:sz w:val="21"/>
                <w:szCs w:val="21"/>
              </w:rPr>
              <w:t>Nei</w:t>
            </w:r>
          </w:p>
        </w:tc>
      </w:tr>
      <w:tr w:rsidR="00E76DC8" w:rsidRPr="00225D4D" w14:paraId="0191DA0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429AFFE"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E517EE9" w14:textId="77777777" w:rsidR="00D60186" w:rsidRPr="008D6210" w:rsidRDefault="00D60186" w:rsidP="008D6210">
            <w:pPr>
              <w:ind w:right="113"/>
              <w:jc w:val="right"/>
              <w:rPr>
                <w:sz w:val="21"/>
                <w:szCs w:val="21"/>
              </w:rPr>
            </w:pPr>
            <w:r w:rsidRPr="008D6210">
              <w:rPr>
                <w:sz w:val="21"/>
                <w:szCs w:val="21"/>
              </w:rPr>
              <w:t>700</w:t>
            </w:r>
          </w:p>
        </w:tc>
        <w:tc>
          <w:tcPr>
            <w:tcW w:w="5600" w:type="dxa"/>
            <w:tcBorders>
              <w:top w:val="nil"/>
              <w:left w:val="nil"/>
              <w:bottom w:val="nil"/>
              <w:right w:val="nil"/>
            </w:tcBorders>
            <w:tcMar>
              <w:top w:w="128" w:type="dxa"/>
              <w:left w:w="43" w:type="dxa"/>
              <w:bottom w:w="43" w:type="dxa"/>
              <w:right w:w="43" w:type="dxa"/>
            </w:tcMar>
          </w:tcPr>
          <w:p w14:paraId="577E901A" w14:textId="77777777" w:rsidR="00D60186" w:rsidRPr="008D6210" w:rsidRDefault="00D60186" w:rsidP="00225D4D">
            <w:pPr>
              <w:rPr>
                <w:sz w:val="21"/>
                <w:szCs w:val="21"/>
              </w:rPr>
            </w:pPr>
            <w:r w:rsidRPr="008D6210">
              <w:rPr>
                <w:sz w:val="21"/>
                <w:szCs w:val="21"/>
              </w:rPr>
              <w:t>Prosjektgruppe for overskuddsmasser fra gruver</w:t>
            </w:r>
          </w:p>
        </w:tc>
        <w:tc>
          <w:tcPr>
            <w:tcW w:w="1400" w:type="dxa"/>
            <w:tcBorders>
              <w:top w:val="nil"/>
              <w:left w:val="nil"/>
              <w:bottom w:val="nil"/>
              <w:right w:val="nil"/>
            </w:tcBorders>
            <w:tcMar>
              <w:top w:w="128" w:type="dxa"/>
              <w:left w:w="43" w:type="dxa"/>
              <w:bottom w:w="43" w:type="dxa"/>
              <w:right w:w="43" w:type="dxa"/>
            </w:tcMar>
          </w:tcPr>
          <w:p w14:paraId="2D6B1F05" w14:textId="77777777" w:rsidR="00D60186" w:rsidRPr="008D6210" w:rsidRDefault="00D60186" w:rsidP="008D6210">
            <w:pPr>
              <w:jc w:val="right"/>
              <w:rPr>
                <w:sz w:val="21"/>
                <w:szCs w:val="21"/>
              </w:rPr>
            </w:pPr>
            <w:r w:rsidRPr="008D6210">
              <w:rPr>
                <w:sz w:val="21"/>
                <w:szCs w:val="21"/>
              </w:rPr>
              <w:t>Nei</w:t>
            </w:r>
          </w:p>
        </w:tc>
      </w:tr>
      <w:tr w:rsidR="00E76DC8" w:rsidRPr="00225D4D" w14:paraId="13BAC016"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3664F3B"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16FA5A9C" w14:textId="77777777" w:rsidR="00D60186" w:rsidRPr="008D6210" w:rsidRDefault="00D60186" w:rsidP="008D6210">
            <w:pPr>
              <w:ind w:right="113"/>
              <w:jc w:val="right"/>
              <w:rPr>
                <w:sz w:val="21"/>
                <w:szCs w:val="21"/>
              </w:rPr>
            </w:pPr>
            <w:r w:rsidRPr="008D6210">
              <w:rPr>
                <w:sz w:val="21"/>
                <w:szCs w:val="21"/>
              </w:rPr>
              <w:t>789</w:t>
            </w:r>
          </w:p>
        </w:tc>
        <w:tc>
          <w:tcPr>
            <w:tcW w:w="5600" w:type="dxa"/>
            <w:tcBorders>
              <w:top w:val="nil"/>
              <w:left w:val="nil"/>
              <w:bottom w:val="nil"/>
              <w:right w:val="nil"/>
            </w:tcBorders>
            <w:tcMar>
              <w:top w:w="128" w:type="dxa"/>
              <w:left w:w="43" w:type="dxa"/>
              <w:bottom w:w="43" w:type="dxa"/>
              <w:right w:w="43" w:type="dxa"/>
            </w:tcMar>
          </w:tcPr>
          <w:p w14:paraId="1D72DF40" w14:textId="77777777" w:rsidR="00D60186" w:rsidRPr="008D6210" w:rsidRDefault="00D60186" w:rsidP="00225D4D">
            <w:pPr>
              <w:rPr>
                <w:sz w:val="21"/>
                <w:szCs w:val="21"/>
              </w:rPr>
            </w:pPr>
            <w:r w:rsidRPr="008D6210">
              <w:rPr>
                <w:sz w:val="21"/>
                <w:szCs w:val="21"/>
              </w:rPr>
              <w:t>Restaurering av norsk tareskog</w:t>
            </w:r>
          </w:p>
        </w:tc>
        <w:tc>
          <w:tcPr>
            <w:tcW w:w="1400" w:type="dxa"/>
            <w:tcBorders>
              <w:top w:val="nil"/>
              <w:left w:val="nil"/>
              <w:bottom w:val="nil"/>
              <w:right w:val="nil"/>
            </w:tcBorders>
            <w:tcMar>
              <w:top w:w="128" w:type="dxa"/>
              <w:left w:w="43" w:type="dxa"/>
              <w:bottom w:w="43" w:type="dxa"/>
              <w:right w:w="43" w:type="dxa"/>
            </w:tcMar>
          </w:tcPr>
          <w:p w14:paraId="5AEB6627" w14:textId="77777777" w:rsidR="00D60186" w:rsidRPr="008D6210" w:rsidRDefault="00D60186" w:rsidP="008D6210">
            <w:pPr>
              <w:jc w:val="right"/>
              <w:rPr>
                <w:sz w:val="21"/>
                <w:szCs w:val="21"/>
              </w:rPr>
            </w:pPr>
            <w:r w:rsidRPr="008D6210">
              <w:rPr>
                <w:sz w:val="21"/>
                <w:szCs w:val="21"/>
              </w:rPr>
              <w:t>Nei</w:t>
            </w:r>
          </w:p>
        </w:tc>
      </w:tr>
      <w:tr w:rsidR="00E76DC8" w:rsidRPr="00225D4D" w14:paraId="6E93257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E67BE44"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CFB3255" w14:textId="77777777" w:rsidR="00D60186" w:rsidRPr="008D6210" w:rsidRDefault="00D60186" w:rsidP="008D6210">
            <w:pPr>
              <w:ind w:right="113"/>
              <w:jc w:val="right"/>
              <w:rPr>
                <w:sz w:val="21"/>
                <w:szCs w:val="21"/>
              </w:rPr>
            </w:pPr>
            <w:r w:rsidRPr="008D6210">
              <w:rPr>
                <w:sz w:val="21"/>
                <w:szCs w:val="21"/>
              </w:rPr>
              <w:t>844</w:t>
            </w:r>
          </w:p>
        </w:tc>
        <w:tc>
          <w:tcPr>
            <w:tcW w:w="5600" w:type="dxa"/>
            <w:tcBorders>
              <w:top w:val="nil"/>
              <w:left w:val="nil"/>
              <w:bottom w:val="nil"/>
              <w:right w:val="nil"/>
            </w:tcBorders>
            <w:tcMar>
              <w:top w:w="128" w:type="dxa"/>
              <w:left w:w="43" w:type="dxa"/>
              <w:bottom w:w="43" w:type="dxa"/>
              <w:right w:w="43" w:type="dxa"/>
            </w:tcMar>
          </w:tcPr>
          <w:p w14:paraId="7BC6DBFD" w14:textId="77777777" w:rsidR="00D60186" w:rsidRPr="008D6210" w:rsidRDefault="00D60186" w:rsidP="00225D4D">
            <w:pPr>
              <w:rPr>
                <w:sz w:val="21"/>
                <w:szCs w:val="21"/>
              </w:rPr>
            </w:pPr>
            <w:r w:rsidRPr="008D6210">
              <w:rPr>
                <w:sz w:val="21"/>
                <w:szCs w:val="21"/>
              </w:rPr>
              <w:t>Sertifikater for utenlandske sjøfolk</w:t>
            </w:r>
          </w:p>
        </w:tc>
        <w:tc>
          <w:tcPr>
            <w:tcW w:w="1400" w:type="dxa"/>
            <w:tcBorders>
              <w:top w:val="nil"/>
              <w:left w:val="nil"/>
              <w:bottom w:val="nil"/>
              <w:right w:val="nil"/>
            </w:tcBorders>
            <w:tcMar>
              <w:top w:w="128" w:type="dxa"/>
              <w:left w:w="43" w:type="dxa"/>
              <w:bottom w:w="43" w:type="dxa"/>
              <w:right w:w="43" w:type="dxa"/>
            </w:tcMar>
          </w:tcPr>
          <w:p w14:paraId="16F27585" w14:textId="77777777" w:rsidR="00D60186" w:rsidRPr="008D6210" w:rsidRDefault="00D60186" w:rsidP="008D6210">
            <w:pPr>
              <w:jc w:val="right"/>
              <w:rPr>
                <w:sz w:val="21"/>
                <w:szCs w:val="21"/>
              </w:rPr>
            </w:pPr>
            <w:r w:rsidRPr="008D6210">
              <w:rPr>
                <w:sz w:val="21"/>
                <w:szCs w:val="21"/>
              </w:rPr>
              <w:t>Ja</w:t>
            </w:r>
          </w:p>
        </w:tc>
      </w:tr>
      <w:tr w:rsidR="00E76DC8" w:rsidRPr="00225D4D" w14:paraId="2F1447FA"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E1212C4" w14:textId="77777777" w:rsidR="00D60186" w:rsidRPr="008D6210" w:rsidRDefault="00D60186" w:rsidP="00225D4D">
            <w:pPr>
              <w:rPr>
                <w:sz w:val="21"/>
                <w:szCs w:val="21"/>
              </w:rPr>
            </w:pPr>
            <w:r w:rsidRPr="008D6210">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666A17A" w14:textId="77777777" w:rsidR="00D60186" w:rsidRPr="008D6210" w:rsidRDefault="00D60186" w:rsidP="008D6210">
            <w:pPr>
              <w:ind w:right="113"/>
              <w:jc w:val="right"/>
              <w:rPr>
                <w:sz w:val="21"/>
                <w:szCs w:val="21"/>
              </w:rPr>
            </w:pPr>
            <w:r w:rsidRPr="008D6210">
              <w:rPr>
                <w:sz w:val="21"/>
                <w:szCs w:val="21"/>
              </w:rPr>
              <w:t>912</w:t>
            </w:r>
          </w:p>
        </w:tc>
        <w:tc>
          <w:tcPr>
            <w:tcW w:w="5600" w:type="dxa"/>
            <w:tcBorders>
              <w:top w:val="nil"/>
              <w:left w:val="nil"/>
              <w:bottom w:val="nil"/>
              <w:right w:val="nil"/>
            </w:tcBorders>
            <w:tcMar>
              <w:top w:w="128" w:type="dxa"/>
              <w:left w:w="43" w:type="dxa"/>
              <w:bottom w:w="43" w:type="dxa"/>
              <w:right w:w="43" w:type="dxa"/>
            </w:tcMar>
          </w:tcPr>
          <w:p w14:paraId="1A4D889C" w14:textId="77777777" w:rsidR="00D60186" w:rsidRPr="008D6210" w:rsidRDefault="00D60186" w:rsidP="00225D4D">
            <w:pPr>
              <w:rPr>
                <w:sz w:val="21"/>
                <w:szCs w:val="21"/>
              </w:rPr>
            </w:pPr>
            <w:r w:rsidRPr="008D6210">
              <w:rPr>
                <w:sz w:val="21"/>
                <w:szCs w:val="21"/>
              </w:rPr>
              <w:t>Restriksjoner på bunntrål og snurrevad i det kystnære fisket</w:t>
            </w:r>
          </w:p>
        </w:tc>
        <w:tc>
          <w:tcPr>
            <w:tcW w:w="1400" w:type="dxa"/>
            <w:tcBorders>
              <w:top w:val="nil"/>
              <w:left w:val="nil"/>
              <w:bottom w:val="nil"/>
              <w:right w:val="nil"/>
            </w:tcBorders>
            <w:tcMar>
              <w:top w:w="128" w:type="dxa"/>
              <w:left w:w="43" w:type="dxa"/>
              <w:bottom w:w="43" w:type="dxa"/>
              <w:right w:w="43" w:type="dxa"/>
            </w:tcMar>
          </w:tcPr>
          <w:p w14:paraId="2B7E807F" w14:textId="77777777" w:rsidR="00D60186" w:rsidRPr="008D6210" w:rsidRDefault="00D60186" w:rsidP="008D6210">
            <w:pPr>
              <w:jc w:val="right"/>
              <w:rPr>
                <w:sz w:val="21"/>
                <w:szCs w:val="21"/>
              </w:rPr>
            </w:pPr>
            <w:r w:rsidRPr="008D6210">
              <w:rPr>
                <w:sz w:val="21"/>
                <w:szCs w:val="21"/>
              </w:rPr>
              <w:t>Ja</w:t>
            </w:r>
          </w:p>
        </w:tc>
      </w:tr>
      <w:tr w:rsidR="00E76DC8" w:rsidRPr="00225D4D" w14:paraId="5A7D90EA"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81A125E" w14:textId="77777777" w:rsidR="00D60186" w:rsidRPr="008D6210" w:rsidRDefault="00D60186" w:rsidP="00225D4D">
            <w:pPr>
              <w:rPr>
                <w:sz w:val="21"/>
                <w:szCs w:val="21"/>
              </w:rPr>
            </w:pPr>
            <w:r w:rsidRPr="008D6210">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5B3F841A" w14:textId="77777777" w:rsidR="00D60186" w:rsidRPr="008D6210" w:rsidRDefault="00D60186" w:rsidP="008D6210">
            <w:pPr>
              <w:ind w:right="113"/>
              <w:jc w:val="right"/>
              <w:rPr>
                <w:sz w:val="21"/>
                <w:szCs w:val="21"/>
              </w:rPr>
            </w:pPr>
            <w:r w:rsidRPr="008D6210">
              <w:rPr>
                <w:sz w:val="21"/>
                <w:szCs w:val="21"/>
              </w:rPr>
              <w:t>55</w:t>
            </w:r>
          </w:p>
        </w:tc>
        <w:tc>
          <w:tcPr>
            <w:tcW w:w="5600" w:type="dxa"/>
            <w:tcBorders>
              <w:top w:val="nil"/>
              <w:left w:val="nil"/>
              <w:bottom w:val="nil"/>
              <w:right w:val="nil"/>
            </w:tcBorders>
            <w:tcMar>
              <w:top w:w="128" w:type="dxa"/>
              <w:left w:w="43" w:type="dxa"/>
              <w:bottom w:w="43" w:type="dxa"/>
              <w:right w:w="43" w:type="dxa"/>
            </w:tcMar>
          </w:tcPr>
          <w:p w14:paraId="2EBBBF20" w14:textId="77777777" w:rsidR="00D60186" w:rsidRPr="008D6210" w:rsidRDefault="00D60186" w:rsidP="00225D4D">
            <w:pPr>
              <w:rPr>
                <w:sz w:val="21"/>
                <w:szCs w:val="21"/>
              </w:rPr>
            </w:pPr>
            <w:r w:rsidRPr="008D6210">
              <w:rPr>
                <w:sz w:val="21"/>
                <w:szCs w:val="21"/>
              </w:rPr>
              <w:t>Strategi for vekst i kreativ industri</w:t>
            </w:r>
          </w:p>
        </w:tc>
        <w:tc>
          <w:tcPr>
            <w:tcW w:w="1400" w:type="dxa"/>
            <w:tcBorders>
              <w:top w:val="nil"/>
              <w:left w:val="nil"/>
              <w:bottom w:val="nil"/>
              <w:right w:val="nil"/>
            </w:tcBorders>
            <w:tcMar>
              <w:top w:w="128" w:type="dxa"/>
              <w:left w:w="43" w:type="dxa"/>
              <w:bottom w:w="43" w:type="dxa"/>
              <w:right w:w="43" w:type="dxa"/>
            </w:tcMar>
          </w:tcPr>
          <w:p w14:paraId="739FF4C1" w14:textId="77777777" w:rsidR="00D60186" w:rsidRPr="008D6210" w:rsidRDefault="00D60186" w:rsidP="008D6210">
            <w:pPr>
              <w:jc w:val="right"/>
              <w:rPr>
                <w:sz w:val="21"/>
                <w:szCs w:val="21"/>
              </w:rPr>
            </w:pPr>
            <w:r w:rsidRPr="008D6210">
              <w:rPr>
                <w:sz w:val="21"/>
                <w:szCs w:val="21"/>
              </w:rPr>
              <w:t>Ja</w:t>
            </w:r>
          </w:p>
        </w:tc>
      </w:tr>
      <w:tr w:rsidR="00E76DC8" w:rsidRPr="00225D4D" w14:paraId="4B76FA9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E2D4424" w14:textId="77777777" w:rsidR="00D60186" w:rsidRPr="008D6210" w:rsidRDefault="00D60186" w:rsidP="00225D4D">
            <w:pPr>
              <w:rPr>
                <w:sz w:val="21"/>
                <w:szCs w:val="21"/>
              </w:rPr>
            </w:pPr>
            <w:r w:rsidRPr="008D6210">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99BD878" w14:textId="77777777" w:rsidR="00D60186" w:rsidRPr="008D6210" w:rsidRDefault="00D60186" w:rsidP="008D6210">
            <w:pPr>
              <w:ind w:right="113"/>
              <w:jc w:val="right"/>
              <w:rPr>
                <w:sz w:val="21"/>
                <w:szCs w:val="21"/>
              </w:rPr>
            </w:pPr>
            <w:r w:rsidRPr="008D6210">
              <w:rPr>
                <w:sz w:val="21"/>
                <w:szCs w:val="21"/>
              </w:rPr>
              <w:t>56</w:t>
            </w:r>
          </w:p>
        </w:tc>
        <w:tc>
          <w:tcPr>
            <w:tcW w:w="5600" w:type="dxa"/>
            <w:tcBorders>
              <w:top w:val="nil"/>
              <w:left w:val="nil"/>
              <w:bottom w:val="nil"/>
              <w:right w:val="nil"/>
            </w:tcBorders>
            <w:tcMar>
              <w:top w:w="128" w:type="dxa"/>
              <w:left w:w="43" w:type="dxa"/>
              <w:bottom w:w="43" w:type="dxa"/>
              <w:right w:w="43" w:type="dxa"/>
            </w:tcMar>
          </w:tcPr>
          <w:p w14:paraId="7ACC40B1" w14:textId="77777777" w:rsidR="00D60186" w:rsidRPr="008D6210" w:rsidRDefault="00D60186" w:rsidP="00225D4D">
            <w:pPr>
              <w:rPr>
                <w:sz w:val="21"/>
                <w:szCs w:val="21"/>
              </w:rPr>
            </w:pPr>
            <w:r w:rsidRPr="008D6210">
              <w:rPr>
                <w:sz w:val="21"/>
                <w:szCs w:val="21"/>
              </w:rPr>
              <w:t>Gjennomgang av virkemiddelapparatet for kulturnæringer</w:t>
            </w:r>
          </w:p>
        </w:tc>
        <w:tc>
          <w:tcPr>
            <w:tcW w:w="1400" w:type="dxa"/>
            <w:tcBorders>
              <w:top w:val="nil"/>
              <w:left w:val="nil"/>
              <w:bottom w:val="nil"/>
              <w:right w:val="nil"/>
            </w:tcBorders>
            <w:tcMar>
              <w:top w:w="128" w:type="dxa"/>
              <w:left w:w="43" w:type="dxa"/>
              <w:bottom w:w="43" w:type="dxa"/>
              <w:right w:w="43" w:type="dxa"/>
            </w:tcMar>
          </w:tcPr>
          <w:p w14:paraId="08DAC2FC" w14:textId="77777777" w:rsidR="00D60186" w:rsidRPr="008D6210" w:rsidRDefault="00D60186" w:rsidP="008D6210">
            <w:pPr>
              <w:jc w:val="right"/>
              <w:rPr>
                <w:sz w:val="21"/>
                <w:szCs w:val="21"/>
              </w:rPr>
            </w:pPr>
            <w:r w:rsidRPr="008D6210">
              <w:rPr>
                <w:sz w:val="21"/>
                <w:szCs w:val="21"/>
              </w:rPr>
              <w:t>Ja</w:t>
            </w:r>
          </w:p>
        </w:tc>
      </w:tr>
      <w:tr w:rsidR="00E76DC8" w:rsidRPr="00225D4D" w14:paraId="1EAEF396"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E79344D" w14:textId="77777777" w:rsidR="00D60186" w:rsidRPr="008D6210" w:rsidRDefault="00D60186" w:rsidP="00225D4D">
            <w:pPr>
              <w:rPr>
                <w:sz w:val="21"/>
                <w:szCs w:val="21"/>
              </w:rPr>
            </w:pPr>
            <w:r w:rsidRPr="008D6210">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7AD82A96" w14:textId="77777777" w:rsidR="00D60186" w:rsidRPr="008D6210" w:rsidRDefault="00D60186" w:rsidP="008D6210">
            <w:pPr>
              <w:ind w:right="113"/>
              <w:jc w:val="right"/>
              <w:rPr>
                <w:sz w:val="21"/>
                <w:szCs w:val="21"/>
              </w:rPr>
            </w:pPr>
            <w:r w:rsidRPr="008D6210">
              <w:rPr>
                <w:sz w:val="21"/>
                <w:szCs w:val="21"/>
              </w:rPr>
              <w:t>68</w:t>
            </w:r>
          </w:p>
        </w:tc>
        <w:tc>
          <w:tcPr>
            <w:tcW w:w="5600" w:type="dxa"/>
            <w:tcBorders>
              <w:top w:val="nil"/>
              <w:left w:val="nil"/>
              <w:bottom w:val="nil"/>
              <w:right w:val="nil"/>
            </w:tcBorders>
            <w:tcMar>
              <w:top w:w="128" w:type="dxa"/>
              <w:left w:w="43" w:type="dxa"/>
              <w:bottom w:w="43" w:type="dxa"/>
              <w:right w:w="43" w:type="dxa"/>
            </w:tcMar>
          </w:tcPr>
          <w:p w14:paraId="51E6BAAC" w14:textId="77777777" w:rsidR="00D60186" w:rsidRPr="008D6210" w:rsidRDefault="00D60186" w:rsidP="00225D4D">
            <w:pPr>
              <w:rPr>
                <w:sz w:val="21"/>
                <w:szCs w:val="21"/>
              </w:rPr>
            </w:pPr>
            <w:r w:rsidRPr="008D6210">
              <w:rPr>
                <w:sz w:val="21"/>
                <w:szCs w:val="21"/>
              </w:rPr>
              <w:t>Opphevelse av boligstiftelser opprettet av kommune og boligbyggelag</w:t>
            </w:r>
          </w:p>
        </w:tc>
        <w:tc>
          <w:tcPr>
            <w:tcW w:w="1400" w:type="dxa"/>
            <w:tcBorders>
              <w:top w:val="nil"/>
              <w:left w:val="nil"/>
              <w:bottom w:val="nil"/>
              <w:right w:val="nil"/>
            </w:tcBorders>
            <w:tcMar>
              <w:top w:w="128" w:type="dxa"/>
              <w:left w:w="43" w:type="dxa"/>
              <w:bottom w:w="43" w:type="dxa"/>
              <w:right w:w="43" w:type="dxa"/>
            </w:tcMar>
          </w:tcPr>
          <w:p w14:paraId="1B942DD5" w14:textId="77777777" w:rsidR="00D60186" w:rsidRPr="008D6210" w:rsidRDefault="00D60186" w:rsidP="008D6210">
            <w:pPr>
              <w:jc w:val="right"/>
              <w:rPr>
                <w:sz w:val="21"/>
                <w:szCs w:val="21"/>
              </w:rPr>
            </w:pPr>
            <w:r w:rsidRPr="008D6210">
              <w:rPr>
                <w:sz w:val="21"/>
                <w:szCs w:val="21"/>
              </w:rPr>
              <w:t>Nei</w:t>
            </w:r>
          </w:p>
        </w:tc>
      </w:tr>
      <w:tr w:rsidR="00E76DC8" w:rsidRPr="00225D4D" w14:paraId="3671593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8C3859A" w14:textId="77777777" w:rsidR="00D60186" w:rsidRPr="008D6210" w:rsidRDefault="00D60186" w:rsidP="00225D4D">
            <w:pPr>
              <w:rPr>
                <w:sz w:val="21"/>
                <w:szCs w:val="21"/>
              </w:rPr>
            </w:pPr>
            <w:r w:rsidRPr="008D6210">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3FE9430E" w14:textId="77777777" w:rsidR="00D60186" w:rsidRPr="008D6210" w:rsidRDefault="00D60186" w:rsidP="008D6210">
            <w:pPr>
              <w:ind w:right="113"/>
              <w:jc w:val="right"/>
              <w:rPr>
                <w:sz w:val="21"/>
                <w:szCs w:val="21"/>
              </w:rPr>
            </w:pPr>
            <w:r w:rsidRPr="008D6210">
              <w:rPr>
                <w:sz w:val="21"/>
                <w:szCs w:val="21"/>
              </w:rPr>
              <w:t>99</w:t>
            </w:r>
          </w:p>
        </w:tc>
        <w:tc>
          <w:tcPr>
            <w:tcW w:w="5600" w:type="dxa"/>
            <w:tcBorders>
              <w:top w:val="nil"/>
              <w:left w:val="nil"/>
              <w:bottom w:val="nil"/>
              <w:right w:val="nil"/>
            </w:tcBorders>
            <w:tcMar>
              <w:top w:w="128" w:type="dxa"/>
              <w:left w:w="43" w:type="dxa"/>
              <w:bottom w:w="43" w:type="dxa"/>
              <w:right w:w="43" w:type="dxa"/>
            </w:tcMar>
          </w:tcPr>
          <w:p w14:paraId="72BE4F51" w14:textId="77777777" w:rsidR="00D60186" w:rsidRPr="008D6210" w:rsidRDefault="00D60186" w:rsidP="00225D4D">
            <w:pPr>
              <w:rPr>
                <w:sz w:val="21"/>
                <w:szCs w:val="21"/>
              </w:rPr>
            </w:pPr>
            <w:r w:rsidRPr="008D6210">
              <w:rPr>
                <w:sz w:val="21"/>
                <w:szCs w:val="21"/>
              </w:rPr>
              <w:t xml:space="preserve">Krav om </w:t>
            </w:r>
            <w:proofErr w:type="spellStart"/>
            <w:r w:rsidRPr="008D6210">
              <w:rPr>
                <w:sz w:val="21"/>
                <w:szCs w:val="21"/>
              </w:rPr>
              <w:t>tilbakefylling</w:t>
            </w:r>
            <w:proofErr w:type="spellEnd"/>
            <w:r w:rsidRPr="008D6210">
              <w:rPr>
                <w:sz w:val="21"/>
                <w:szCs w:val="21"/>
              </w:rPr>
              <w:t xml:space="preserve"> og ressursutnyttelse for gruvedrift </w:t>
            </w:r>
            <w:r w:rsidRPr="008D6210">
              <w:rPr>
                <w:sz w:val="21"/>
                <w:szCs w:val="21"/>
              </w:rPr>
              <w:br/>
              <w:t>i Norge</w:t>
            </w:r>
          </w:p>
        </w:tc>
        <w:tc>
          <w:tcPr>
            <w:tcW w:w="1400" w:type="dxa"/>
            <w:tcBorders>
              <w:top w:val="nil"/>
              <w:left w:val="nil"/>
              <w:bottom w:val="nil"/>
              <w:right w:val="nil"/>
            </w:tcBorders>
            <w:tcMar>
              <w:top w:w="128" w:type="dxa"/>
              <w:left w:w="43" w:type="dxa"/>
              <w:bottom w:w="43" w:type="dxa"/>
              <w:right w:w="43" w:type="dxa"/>
            </w:tcMar>
          </w:tcPr>
          <w:p w14:paraId="09F5D176" w14:textId="77777777" w:rsidR="00D60186" w:rsidRPr="008D6210" w:rsidRDefault="00D60186" w:rsidP="008D6210">
            <w:pPr>
              <w:jc w:val="right"/>
              <w:rPr>
                <w:sz w:val="21"/>
                <w:szCs w:val="21"/>
              </w:rPr>
            </w:pPr>
            <w:r w:rsidRPr="008D6210">
              <w:rPr>
                <w:sz w:val="21"/>
                <w:szCs w:val="21"/>
              </w:rPr>
              <w:t>Ja</w:t>
            </w:r>
          </w:p>
        </w:tc>
      </w:tr>
      <w:tr w:rsidR="00E76DC8" w:rsidRPr="00225D4D" w14:paraId="15118920"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5792392" w14:textId="77777777" w:rsidR="00D60186" w:rsidRPr="008D6210" w:rsidRDefault="00D60186" w:rsidP="00225D4D">
            <w:pPr>
              <w:rPr>
                <w:sz w:val="21"/>
                <w:szCs w:val="21"/>
              </w:rPr>
            </w:pPr>
            <w:r w:rsidRPr="008D6210">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03566A8A" w14:textId="77777777" w:rsidR="00D60186" w:rsidRPr="008D6210" w:rsidRDefault="00D60186" w:rsidP="008D6210">
            <w:pPr>
              <w:ind w:right="113"/>
              <w:jc w:val="right"/>
              <w:rPr>
                <w:sz w:val="21"/>
                <w:szCs w:val="21"/>
              </w:rPr>
            </w:pPr>
            <w:r w:rsidRPr="008D6210">
              <w:rPr>
                <w:sz w:val="21"/>
                <w:szCs w:val="21"/>
              </w:rPr>
              <w:t>716-1</w:t>
            </w:r>
          </w:p>
        </w:tc>
        <w:tc>
          <w:tcPr>
            <w:tcW w:w="5600" w:type="dxa"/>
            <w:tcBorders>
              <w:top w:val="nil"/>
              <w:left w:val="nil"/>
              <w:bottom w:val="nil"/>
              <w:right w:val="nil"/>
            </w:tcBorders>
            <w:tcMar>
              <w:top w:w="128" w:type="dxa"/>
              <w:left w:w="43" w:type="dxa"/>
              <w:bottom w:w="43" w:type="dxa"/>
              <w:right w:w="43" w:type="dxa"/>
            </w:tcMar>
          </w:tcPr>
          <w:p w14:paraId="2541E316" w14:textId="77777777" w:rsidR="00D60186" w:rsidRPr="008D6210" w:rsidRDefault="00D60186" w:rsidP="00225D4D">
            <w:pPr>
              <w:rPr>
                <w:sz w:val="21"/>
                <w:szCs w:val="21"/>
              </w:rPr>
            </w:pPr>
            <w:r w:rsidRPr="008D6210">
              <w:rPr>
                <w:sz w:val="21"/>
                <w:szCs w:val="21"/>
              </w:rPr>
              <w:t>Miljøindikatorer</w:t>
            </w:r>
          </w:p>
        </w:tc>
        <w:tc>
          <w:tcPr>
            <w:tcW w:w="1400" w:type="dxa"/>
            <w:tcBorders>
              <w:top w:val="nil"/>
              <w:left w:val="nil"/>
              <w:bottom w:val="nil"/>
              <w:right w:val="nil"/>
            </w:tcBorders>
            <w:tcMar>
              <w:top w:w="128" w:type="dxa"/>
              <w:left w:w="43" w:type="dxa"/>
              <w:bottom w:w="43" w:type="dxa"/>
              <w:right w:w="43" w:type="dxa"/>
            </w:tcMar>
          </w:tcPr>
          <w:p w14:paraId="6BB18A3F" w14:textId="77777777" w:rsidR="00D60186" w:rsidRPr="008D6210" w:rsidRDefault="00D60186" w:rsidP="008D6210">
            <w:pPr>
              <w:jc w:val="right"/>
              <w:rPr>
                <w:sz w:val="21"/>
                <w:szCs w:val="21"/>
              </w:rPr>
            </w:pPr>
            <w:r w:rsidRPr="008D6210">
              <w:rPr>
                <w:sz w:val="21"/>
                <w:szCs w:val="21"/>
              </w:rPr>
              <w:t>Ja</w:t>
            </w:r>
          </w:p>
        </w:tc>
      </w:tr>
      <w:tr w:rsidR="00E76DC8" w:rsidRPr="00225D4D" w14:paraId="0768F17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CC65C60" w14:textId="77777777" w:rsidR="00D60186" w:rsidRPr="008D6210" w:rsidRDefault="00D60186" w:rsidP="00225D4D">
            <w:pPr>
              <w:rPr>
                <w:sz w:val="21"/>
                <w:szCs w:val="21"/>
              </w:rPr>
            </w:pPr>
            <w:r w:rsidRPr="008D6210">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0D2C137" w14:textId="77777777" w:rsidR="00D60186" w:rsidRPr="008D6210" w:rsidRDefault="00D60186" w:rsidP="008D6210">
            <w:pPr>
              <w:ind w:right="113"/>
              <w:jc w:val="right"/>
              <w:rPr>
                <w:sz w:val="21"/>
                <w:szCs w:val="21"/>
              </w:rPr>
            </w:pPr>
            <w:r w:rsidRPr="008D6210">
              <w:rPr>
                <w:sz w:val="21"/>
                <w:szCs w:val="21"/>
              </w:rPr>
              <w:t>716-3</w:t>
            </w:r>
          </w:p>
        </w:tc>
        <w:tc>
          <w:tcPr>
            <w:tcW w:w="5600" w:type="dxa"/>
            <w:tcBorders>
              <w:top w:val="nil"/>
              <w:left w:val="nil"/>
              <w:bottom w:val="nil"/>
              <w:right w:val="nil"/>
            </w:tcBorders>
            <w:tcMar>
              <w:top w:w="128" w:type="dxa"/>
              <w:left w:w="43" w:type="dxa"/>
              <w:bottom w:w="43" w:type="dxa"/>
              <w:right w:w="43" w:type="dxa"/>
            </w:tcMar>
          </w:tcPr>
          <w:p w14:paraId="704B3BDC" w14:textId="77777777" w:rsidR="00D60186" w:rsidRPr="008D6210" w:rsidRDefault="00D60186" w:rsidP="00225D4D">
            <w:pPr>
              <w:rPr>
                <w:sz w:val="21"/>
                <w:szCs w:val="21"/>
              </w:rPr>
            </w:pPr>
            <w:r w:rsidRPr="008D6210">
              <w:rPr>
                <w:sz w:val="21"/>
                <w:szCs w:val="21"/>
              </w:rPr>
              <w:t>Nedtrukken produksjon</w:t>
            </w:r>
          </w:p>
        </w:tc>
        <w:tc>
          <w:tcPr>
            <w:tcW w:w="1400" w:type="dxa"/>
            <w:tcBorders>
              <w:top w:val="nil"/>
              <w:left w:val="nil"/>
              <w:bottom w:val="nil"/>
              <w:right w:val="nil"/>
            </w:tcBorders>
            <w:tcMar>
              <w:top w:w="128" w:type="dxa"/>
              <w:left w:w="43" w:type="dxa"/>
              <w:bottom w:w="43" w:type="dxa"/>
              <w:right w:w="43" w:type="dxa"/>
            </w:tcMar>
          </w:tcPr>
          <w:p w14:paraId="114461CF" w14:textId="77777777" w:rsidR="00D60186" w:rsidRPr="008D6210" w:rsidRDefault="00D60186" w:rsidP="008D6210">
            <w:pPr>
              <w:jc w:val="right"/>
              <w:rPr>
                <w:sz w:val="21"/>
                <w:szCs w:val="21"/>
              </w:rPr>
            </w:pPr>
            <w:r w:rsidRPr="008D6210">
              <w:rPr>
                <w:sz w:val="21"/>
                <w:szCs w:val="21"/>
              </w:rPr>
              <w:t>Ja</w:t>
            </w:r>
          </w:p>
        </w:tc>
      </w:tr>
      <w:tr w:rsidR="00E76DC8" w:rsidRPr="00225D4D" w14:paraId="6029CF67"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004C6C3" w14:textId="77777777" w:rsidR="00D60186" w:rsidRPr="008D6210" w:rsidRDefault="00D60186" w:rsidP="00225D4D">
            <w:pPr>
              <w:rPr>
                <w:sz w:val="21"/>
                <w:szCs w:val="21"/>
              </w:rPr>
            </w:pPr>
            <w:r w:rsidRPr="008D6210">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324A00D4" w14:textId="77777777" w:rsidR="00D60186" w:rsidRPr="008D6210" w:rsidRDefault="00D60186" w:rsidP="008D6210">
            <w:pPr>
              <w:ind w:right="113"/>
              <w:jc w:val="right"/>
              <w:rPr>
                <w:sz w:val="21"/>
                <w:szCs w:val="21"/>
              </w:rPr>
            </w:pPr>
            <w:r w:rsidRPr="008D6210">
              <w:rPr>
                <w:sz w:val="21"/>
                <w:szCs w:val="21"/>
              </w:rPr>
              <w:t>716-5</w:t>
            </w:r>
          </w:p>
        </w:tc>
        <w:tc>
          <w:tcPr>
            <w:tcW w:w="5600" w:type="dxa"/>
            <w:tcBorders>
              <w:top w:val="nil"/>
              <w:left w:val="nil"/>
              <w:bottom w:val="nil"/>
              <w:right w:val="nil"/>
            </w:tcBorders>
            <w:tcMar>
              <w:top w:w="128" w:type="dxa"/>
              <w:left w:w="43" w:type="dxa"/>
              <w:bottom w:w="43" w:type="dxa"/>
              <w:right w:w="43" w:type="dxa"/>
            </w:tcMar>
          </w:tcPr>
          <w:p w14:paraId="5C0EA49F" w14:textId="77777777" w:rsidR="00D60186" w:rsidRPr="008D6210" w:rsidRDefault="00D60186" w:rsidP="00225D4D">
            <w:pPr>
              <w:rPr>
                <w:sz w:val="21"/>
                <w:szCs w:val="21"/>
              </w:rPr>
            </w:pPr>
            <w:r w:rsidRPr="008D6210">
              <w:rPr>
                <w:sz w:val="21"/>
                <w:szCs w:val="21"/>
              </w:rPr>
              <w:t>Bedre organisering av samarbeidet mellom myndighetene og oppdrettsnæringen</w:t>
            </w:r>
          </w:p>
        </w:tc>
        <w:tc>
          <w:tcPr>
            <w:tcW w:w="1400" w:type="dxa"/>
            <w:tcBorders>
              <w:top w:val="nil"/>
              <w:left w:val="nil"/>
              <w:bottom w:val="nil"/>
              <w:right w:val="nil"/>
            </w:tcBorders>
            <w:tcMar>
              <w:top w:w="128" w:type="dxa"/>
              <w:left w:w="43" w:type="dxa"/>
              <w:bottom w:w="43" w:type="dxa"/>
              <w:right w:w="43" w:type="dxa"/>
            </w:tcMar>
          </w:tcPr>
          <w:p w14:paraId="38CE5F46" w14:textId="77777777" w:rsidR="00D60186" w:rsidRPr="008D6210" w:rsidRDefault="00D60186" w:rsidP="008D6210">
            <w:pPr>
              <w:jc w:val="right"/>
              <w:rPr>
                <w:sz w:val="21"/>
                <w:szCs w:val="21"/>
              </w:rPr>
            </w:pPr>
            <w:r w:rsidRPr="008D6210">
              <w:rPr>
                <w:sz w:val="21"/>
                <w:szCs w:val="21"/>
              </w:rPr>
              <w:t>Ja</w:t>
            </w:r>
          </w:p>
        </w:tc>
      </w:tr>
      <w:tr w:rsidR="00E76DC8" w:rsidRPr="00225D4D" w14:paraId="7E62AD51"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F068D7E" w14:textId="77777777" w:rsidR="00D60186" w:rsidRPr="008D6210" w:rsidRDefault="00D60186" w:rsidP="00225D4D">
            <w:pPr>
              <w:rPr>
                <w:sz w:val="21"/>
                <w:szCs w:val="21"/>
              </w:rPr>
            </w:pPr>
            <w:r w:rsidRPr="008D6210">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796EE3E6" w14:textId="77777777" w:rsidR="00D60186" w:rsidRPr="008D6210" w:rsidRDefault="00D60186" w:rsidP="008D6210">
            <w:pPr>
              <w:ind w:right="113"/>
              <w:jc w:val="right"/>
              <w:rPr>
                <w:sz w:val="21"/>
                <w:szCs w:val="21"/>
              </w:rPr>
            </w:pPr>
            <w:r w:rsidRPr="008D6210">
              <w:rPr>
                <w:sz w:val="21"/>
                <w:szCs w:val="21"/>
              </w:rPr>
              <w:t>933</w:t>
            </w:r>
          </w:p>
        </w:tc>
        <w:tc>
          <w:tcPr>
            <w:tcW w:w="5600" w:type="dxa"/>
            <w:tcBorders>
              <w:top w:val="nil"/>
              <w:left w:val="nil"/>
              <w:bottom w:val="nil"/>
              <w:right w:val="nil"/>
            </w:tcBorders>
            <w:tcMar>
              <w:top w:w="128" w:type="dxa"/>
              <w:left w:w="43" w:type="dxa"/>
              <w:bottom w:w="43" w:type="dxa"/>
              <w:right w:w="43" w:type="dxa"/>
            </w:tcMar>
          </w:tcPr>
          <w:p w14:paraId="2E29F98C" w14:textId="77777777" w:rsidR="00D60186" w:rsidRPr="008D6210" w:rsidRDefault="00D60186" w:rsidP="00225D4D">
            <w:pPr>
              <w:rPr>
                <w:sz w:val="21"/>
                <w:szCs w:val="21"/>
              </w:rPr>
            </w:pPr>
            <w:r w:rsidRPr="008D6210">
              <w:rPr>
                <w:sz w:val="21"/>
                <w:szCs w:val="21"/>
              </w:rPr>
              <w:t>Krav om nullutslipp for alle nye servicefartøy i havbruksnæringen fra 1. juli 2024</w:t>
            </w:r>
          </w:p>
        </w:tc>
        <w:tc>
          <w:tcPr>
            <w:tcW w:w="1400" w:type="dxa"/>
            <w:tcBorders>
              <w:top w:val="nil"/>
              <w:left w:val="nil"/>
              <w:bottom w:val="nil"/>
              <w:right w:val="nil"/>
            </w:tcBorders>
            <w:tcMar>
              <w:top w:w="128" w:type="dxa"/>
              <w:left w:w="43" w:type="dxa"/>
              <w:bottom w:w="43" w:type="dxa"/>
              <w:right w:w="43" w:type="dxa"/>
            </w:tcMar>
          </w:tcPr>
          <w:p w14:paraId="1B57479A" w14:textId="77777777" w:rsidR="00D60186" w:rsidRPr="008D6210" w:rsidRDefault="00D60186" w:rsidP="008D6210">
            <w:pPr>
              <w:jc w:val="right"/>
              <w:rPr>
                <w:sz w:val="21"/>
                <w:szCs w:val="21"/>
              </w:rPr>
            </w:pPr>
            <w:r w:rsidRPr="008D6210">
              <w:rPr>
                <w:sz w:val="21"/>
                <w:szCs w:val="21"/>
              </w:rPr>
              <w:t>Ja</w:t>
            </w:r>
          </w:p>
        </w:tc>
      </w:tr>
      <w:tr w:rsidR="00E76DC8" w:rsidRPr="00225D4D" w14:paraId="3E40F69B"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A9FFC7B" w14:textId="77777777" w:rsidR="00D60186" w:rsidRPr="008D6210" w:rsidRDefault="00D60186" w:rsidP="00225D4D">
            <w:pPr>
              <w:rPr>
                <w:sz w:val="21"/>
                <w:szCs w:val="21"/>
              </w:rPr>
            </w:pPr>
            <w:r w:rsidRPr="008D6210">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56A5BE7E" w14:textId="77777777" w:rsidR="00D60186" w:rsidRPr="008D6210" w:rsidRDefault="00D60186" w:rsidP="008D6210">
            <w:pPr>
              <w:ind w:right="113"/>
              <w:jc w:val="right"/>
              <w:rPr>
                <w:sz w:val="21"/>
                <w:szCs w:val="21"/>
              </w:rPr>
            </w:pPr>
            <w:r w:rsidRPr="008D6210">
              <w:rPr>
                <w:sz w:val="21"/>
                <w:szCs w:val="21"/>
              </w:rPr>
              <w:t>606</w:t>
            </w:r>
          </w:p>
        </w:tc>
        <w:tc>
          <w:tcPr>
            <w:tcW w:w="5600" w:type="dxa"/>
            <w:tcBorders>
              <w:top w:val="nil"/>
              <w:left w:val="nil"/>
              <w:bottom w:val="nil"/>
              <w:right w:val="nil"/>
            </w:tcBorders>
            <w:tcMar>
              <w:top w:w="128" w:type="dxa"/>
              <w:left w:w="43" w:type="dxa"/>
              <w:bottom w:w="43" w:type="dxa"/>
              <w:right w:w="43" w:type="dxa"/>
            </w:tcMar>
          </w:tcPr>
          <w:p w14:paraId="2F89D060" w14:textId="77777777" w:rsidR="00D60186" w:rsidRPr="008D6210" w:rsidRDefault="00D60186" w:rsidP="00225D4D">
            <w:pPr>
              <w:rPr>
                <w:sz w:val="21"/>
                <w:szCs w:val="21"/>
              </w:rPr>
            </w:pPr>
            <w:r w:rsidRPr="008D6210">
              <w:rPr>
                <w:sz w:val="21"/>
                <w:szCs w:val="21"/>
              </w:rPr>
              <w:t>Dagligvare – felles merkeordning for kjedenes egne merkevarer (EMV)</w:t>
            </w:r>
          </w:p>
        </w:tc>
        <w:tc>
          <w:tcPr>
            <w:tcW w:w="1400" w:type="dxa"/>
            <w:tcBorders>
              <w:top w:val="nil"/>
              <w:left w:val="nil"/>
              <w:bottom w:val="nil"/>
              <w:right w:val="nil"/>
            </w:tcBorders>
            <w:tcMar>
              <w:top w:w="128" w:type="dxa"/>
              <w:left w:w="43" w:type="dxa"/>
              <w:bottom w:w="43" w:type="dxa"/>
              <w:right w:w="43" w:type="dxa"/>
            </w:tcMar>
          </w:tcPr>
          <w:p w14:paraId="550BBC3B" w14:textId="77777777" w:rsidR="00D60186" w:rsidRPr="008D6210" w:rsidRDefault="00D60186" w:rsidP="008D6210">
            <w:pPr>
              <w:jc w:val="right"/>
              <w:rPr>
                <w:sz w:val="21"/>
                <w:szCs w:val="21"/>
              </w:rPr>
            </w:pPr>
            <w:r w:rsidRPr="008D6210">
              <w:rPr>
                <w:sz w:val="21"/>
                <w:szCs w:val="21"/>
              </w:rPr>
              <w:t>Ja</w:t>
            </w:r>
          </w:p>
        </w:tc>
      </w:tr>
      <w:tr w:rsidR="00E76DC8" w:rsidRPr="00225D4D" w14:paraId="798C942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D41639C" w14:textId="77777777" w:rsidR="00D60186" w:rsidRPr="008D6210" w:rsidRDefault="00D60186" w:rsidP="00225D4D">
            <w:pPr>
              <w:rPr>
                <w:sz w:val="21"/>
                <w:szCs w:val="21"/>
              </w:rPr>
            </w:pPr>
            <w:r w:rsidRPr="008D6210">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30974691" w14:textId="77777777" w:rsidR="00D60186" w:rsidRPr="008D6210" w:rsidRDefault="00D60186" w:rsidP="008D6210">
            <w:pPr>
              <w:ind w:right="113"/>
              <w:jc w:val="right"/>
              <w:rPr>
                <w:sz w:val="21"/>
                <w:szCs w:val="21"/>
              </w:rPr>
            </w:pPr>
            <w:r w:rsidRPr="008D6210">
              <w:rPr>
                <w:sz w:val="21"/>
                <w:szCs w:val="21"/>
              </w:rPr>
              <w:t>610</w:t>
            </w:r>
          </w:p>
        </w:tc>
        <w:tc>
          <w:tcPr>
            <w:tcW w:w="5600" w:type="dxa"/>
            <w:tcBorders>
              <w:top w:val="nil"/>
              <w:left w:val="nil"/>
              <w:bottom w:val="nil"/>
              <w:right w:val="nil"/>
            </w:tcBorders>
            <w:tcMar>
              <w:top w:w="128" w:type="dxa"/>
              <w:left w:w="43" w:type="dxa"/>
              <w:bottom w:w="43" w:type="dxa"/>
              <w:right w:w="43" w:type="dxa"/>
            </w:tcMar>
          </w:tcPr>
          <w:p w14:paraId="367AFBEC" w14:textId="77777777" w:rsidR="00D60186" w:rsidRPr="008D6210" w:rsidRDefault="00D60186" w:rsidP="00225D4D">
            <w:pPr>
              <w:rPr>
                <w:sz w:val="21"/>
                <w:szCs w:val="21"/>
              </w:rPr>
            </w:pPr>
            <w:r w:rsidRPr="008D6210">
              <w:rPr>
                <w:sz w:val="21"/>
                <w:szCs w:val="21"/>
              </w:rPr>
              <w:t>Dagligvare – konkurranse og mer åpenhet innenfor grossist- og distribusjonsleddet</w:t>
            </w:r>
          </w:p>
        </w:tc>
        <w:tc>
          <w:tcPr>
            <w:tcW w:w="1400" w:type="dxa"/>
            <w:tcBorders>
              <w:top w:val="nil"/>
              <w:left w:val="nil"/>
              <w:bottom w:val="nil"/>
              <w:right w:val="nil"/>
            </w:tcBorders>
            <w:tcMar>
              <w:top w:w="128" w:type="dxa"/>
              <w:left w:w="43" w:type="dxa"/>
              <w:bottom w:w="43" w:type="dxa"/>
              <w:right w:w="43" w:type="dxa"/>
            </w:tcMar>
          </w:tcPr>
          <w:p w14:paraId="271F5F02" w14:textId="77777777" w:rsidR="00D60186" w:rsidRPr="008D6210" w:rsidRDefault="00D60186" w:rsidP="008D6210">
            <w:pPr>
              <w:jc w:val="right"/>
              <w:rPr>
                <w:sz w:val="21"/>
                <w:szCs w:val="21"/>
              </w:rPr>
            </w:pPr>
            <w:r w:rsidRPr="008D6210">
              <w:rPr>
                <w:sz w:val="21"/>
                <w:szCs w:val="21"/>
              </w:rPr>
              <w:t>Nei</w:t>
            </w:r>
          </w:p>
        </w:tc>
      </w:tr>
      <w:tr w:rsidR="00E76DC8" w:rsidRPr="00225D4D" w14:paraId="606AAD1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11BD656" w14:textId="77777777" w:rsidR="00D60186" w:rsidRPr="008D6210" w:rsidRDefault="00D60186" w:rsidP="00225D4D">
            <w:pPr>
              <w:rPr>
                <w:sz w:val="21"/>
                <w:szCs w:val="21"/>
              </w:rPr>
            </w:pPr>
            <w:r w:rsidRPr="008D6210">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3FA6FFE" w14:textId="77777777" w:rsidR="00D60186" w:rsidRPr="008D6210" w:rsidRDefault="00D60186" w:rsidP="008D6210">
            <w:pPr>
              <w:ind w:right="113"/>
              <w:jc w:val="right"/>
              <w:rPr>
                <w:sz w:val="21"/>
                <w:szCs w:val="21"/>
              </w:rPr>
            </w:pPr>
            <w:r w:rsidRPr="008D6210">
              <w:rPr>
                <w:sz w:val="21"/>
                <w:szCs w:val="21"/>
              </w:rPr>
              <w:t>71</w:t>
            </w:r>
          </w:p>
        </w:tc>
        <w:tc>
          <w:tcPr>
            <w:tcW w:w="5600" w:type="dxa"/>
            <w:tcBorders>
              <w:top w:val="nil"/>
              <w:left w:val="nil"/>
              <w:bottom w:val="nil"/>
              <w:right w:val="nil"/>
            </w:tcBorders>
            <w:tcMar>
              <w:top w:w="128" w:type="dxa"/>
              <w:left w:w="43" w:type="dxa"/>
              <w:bottom w:w="43" w:type="dxa"/>
              <w:right w:w="43" w:type="dxa"/>
            </w:tcMar>
          </w:tcPr>
          <w:p w14:paraId="79A73970" w14:textId="77777777" w:rsidR="00D60186" w:rsidRPr="008D6210" w:rsidRDefault="00D60186" w:rsidP="00225D4D">
            <w:pPr>
              <w:rPr>
                <w:sz w:val="21"/>
                <w:szCs w:val="21"/>
              </w:rPr>
            </w:pPr>
            <w:r w:rsidRPr="008D6210">
              <w:rPr>
                <w:sz w:val="21"/>
                <w:szCs w:val="21"/>
              </w:rPr>
              <w:t>Sikre egenproduksjon – ordning med utleie av akvakulturtillatelser</w:t>
            </w:r>
          </w:p>
        </w:tc>
        <w:tc>
          <w:tcPr>
            <w:tcW w:w="1400" w:type="dxa"/>
            <w:tcBorders>
              <w:top w:val="nil"/>
              <w:left w:val="nil"/>
              <w:bottom w:val="nil"/>
              <w:right w:val="nil"/>
            </w:tcBorders>
            <w:tcMar>
              <w:top w:w="128" w:type="dxa"/>
              <w:left w:w="43" w:type="dxa"/>
              <w:bottom w:w="43" w:type="dxa"/>
              <w:right w:w="43" w:type="dxa"/>
            </w:tcMar>
          </w:tcPr>
          <w:p w14:paraId="1F53798C" w14:textId="77777777" w:rsidR="00D60186" w:rsidRPr="008D6210" w:rsidRDefault="00D60186" w:rsidP="008D6210">
            <w:pPr>
              <w:jc w:val="right"/>
              <w:rPr>
                <w:sz w:val="21"/>
                <w:szCs w:val="21"/>
              </w:rPr>
            </w:pPr>
            <w:r w:rsidRPr="008D6210">
              <w:rPr>
                <w:sz w:val="21"/>
                <w:szCs w:val="21"/>
              </w:rPr>
              <w:t>Ja</w:t>
            </w:r>
          </w:p>
        </w:tc>
      </w:tr>
      <w:tr w:rsidR="00E76DC8" w:rsidRPr="00225D4D" w14:paraId="7CB0B75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77E9B19" w14:textId="77777777" w:rsidR="00D60186" w:rsidRPr="008D6210" w:rsidRDefault="00D60186" w:rsidP="00225D4D">
            <w:pPr>
              <w:rPr>
                <w:sz w:val="21"/>
                <w:szCs w:val="21"/>
              </w:rPr>
            </w:pPr>
            <w:r w:rsidRPr="008D6210">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F110F2F" w14:textId="77777777" w:rsidR="00D60186" w:rsidRPr="008D6210" w:rsidRDefault="00D60186" w:rsidP="008D6210">
            <w:pPr>
              <w:ind w:right="113"/>
              <w:jc w:val="right"/>
              <w:rPr>
                <w:sz w:val="21"/>
                <w:szCs w:val="21"/>
              </w:rPr>
            </w:pPr>
            <w:r w:rsidRPr="008D6210">
              <w:rPr>
                <w:sz w:val="21"/>
                <w:szCs w:val="21"/>
              </w:rPr>
              <w:t>172</w:t>
            </w:r>
          </w:p>
        </w:tc>
        <w:tc>
          <w:tcPr>
            <w:tcW w:w="5600" w:type="dxa"/>
            <w:tcBorders>
              <w:top w:val="nil"/>
              <w:left w:val="nil"/>
              <w:bottom w:val="nil"/>
              <w:right w:val="nil"/>
            </w:tcBorders>
            <w:tcMar>
              <w:top w:w="128" w:type="dxa"/>
              <w:left w:w="43" w:type="dxa"/>
              <w:bottom w:w="43" w:type="dxa"/>
              <w:right w:w="43" w:type="dxa"/>
            </w:tcMar>
          </w:tcPr>
          <w:p w14:paraId="5C8056B7" w14:textId="77777777" w:rsidR="00D60186" w:rsidRPr="008D6210" w:rsidRDefault="00D60186" w:rsidP="00225D4D">
            <w:pPr>
              <w:rPr>
                <w:sz w:val="21"/>
                <w:szCs w:val="21"/>
              </w:rPr>
            </w:pPr>
            <w:r w:rsidRPr="008D6210">
              <w:rPr>
                <w:sz w:val="21"/>
                <w:szCs w:val="21"/>
              </w:rPr>
              <w:t>Mineralloven – forbedringer og forenklinger</w:t>
            </w:r>
          </w:p>
        </w:tc>
        <w:tc>
          <w:tcPr>
            <w:tcW w:w="1400" w:type="dxa"/>
            <w:tcBorders>
              <w:top w:val="nil"/>
              <w:left w:val="nil"/>
              <w:bottom w:val="nil"/>
              <w:right w:val="nil"/>
            </w:tcBorders>
            <w:tcMar>
              <w:top w:w="128" w:type="dxa"/>
              <w:left w:w="43" w:type="dxa"/>
              <w:bottom w:w="43" w:type="dxa"/>
              <w:right w:w="43" w:type="dxa"/>
            </w:tcMar>
          </w:tcPr>
          <w:p w14:paraId="428B7FC0" w14:textId="77777777" w:rsidR="00D60186" w:rsidRPr="008D6210" w:rsidRDefault="00D60186" w:rsidP="008D6210">
            <w:pPr>
              <w:jc w:val="right"/>
              <w:rPr>
                <w:sz w:val="21"/>
                <w:szCs w:val="21"/>
              </w:rPr>
            </w:pPr>
            <w:r w:rsidRPr="008D6210">
              <w:rPr>
                <w:sz w:val="21"/>
                <w:szCs w:val="21"/>
              </w:rPr>
              <w:t>Ja</w:t>
            </w:r>
          </w:p>
        </w:tc>
      </w:tr>
      <w:tr w:rsidR="00E76DC8" w:rsidRPr="00225D4D" w14:paraId="499DCAD5"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276BFEE" w14:textId="77777777" w:rsidR="00D60186" w:rsidRPr="008D6210" w:rsidRDefault="00D60186" w:rsidP="00225D4D">
            <w:pPr>
              <w:rPr>
                <w:sz w:val="21"/>
                <w:szCs w:val="21"/>
              </w:rPr>
            </w:pPr>
            <w:r w:rsidRPr="008D6210">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0ADC4D5" w14:textId="77777777" w:rsidR="00D60186" w:rsidRPr="008D6210" w:rsidRDefault="00D60186" w:rsidP="008D6210">
            <w:pPr>
              <w:ind w:right="113"/>
              <w:jc w:val="right"/>
              <w:rPr>
                <w:sz w:val="21"/>
                <w:szCs w:val="21"/>
              </w:rPr>
            </w:pPr>
            <w:r w:rsidRPr="008D6210">
              <w:rPr>
                <w:sz w:val="21"/>
                <w:szCs w:val="21"/>
              </w:rPr>
              <w:t>573</w:t>
            </w:r>
          </w:p>
        </w:tc>
        <w:tc>
          <w:tcPr>
            <w:tcW w:w="5600" w:type="dxa"/>
            <w:tcBorders>
              <w:top w:val="nil"/>
              <w:left w:val="nil"/>
              <w:bottom w:val="nil"/>
              <w:right w:val="nil"/>
            </w:tcBorders>
            <w:tcMar>
              <w:top w:w="128" w:type="dxa"/>
              <w:left w:w="43" w:type="dxa"/>
              <w:bottom w:w="43" w:type="dxa"/>
              <w:right w:w="43" w:type="dxa"/>
            </w:tcMar>
          </w:tcPr>
          <w:p w14:paraId="65650222" w14:textId="77777777" w:rsidR="00D60186" w:rsidRPr="008D6210" w:rsidRDefault="00D60186" w:rsidP="00225D4D">
            <w:pPr>
              <w:rPr>
                <w:sz w:val="21"/>
                <w:szCs w:val="21"/>
              </w:rPr>
            </w:pPr>
            <w:r w:rsidRPr="008D6210">
              <w:rPr>
                <w:sz w:val="21"/>
                <w:szCs w:val="21"/>
              </w:rPr>
              <w:t xml:space="preserve">Dagligvaremarkedet – regnskaps- og </w:t>
            </w:r>
            <w:proofErr w:type="spellStart"/>
            <w:r w:rsidRPr="008D6210">
              <w:rPr>
                <w:sz w:val="21"/>
                <w:szCs w:val="21"/>
              </w:rPr>
              <w:t>funksjonsmessig</w:t>
            </w:r>
            <w:proofErr w:type="spellEnd"/>
            <w:r w:rsidRPr="008D6210">
              <w:rPr>
                <w:sz w:val="21"/>
                <w:szCs w:val="21"/>
              </w:rPr>
              <w:t xml:space="preserve"> skille mellom leddene</w:t>
            </w:r>
          </w:p>
        </w:tc>
        <w:tc>
          <w:tcPr>
            <w:tcW w:w="1400" w:type="dxa"/>
            <w:tcBorders>
              <w:top w:val="nil"/>
              <w:left w:val="nil"/>
              <w:bottom w:val="nil"/>
              <w:right w:val="nil"/>
            </w:tcBorders>
            <w:tcMar>
              <w:top w:w="128" w:type="dxa"/>
              <w:left w:w="43" w:type="dxa"/>
              <w:bottom w:w="43" w:type="dxa"/>
              <w:right w:w="43" w:type="dxa"/>
            </w:tcMar>
          </w:tcPr>
          <w:p w14:paraId="6F0FBBA0" w14:textId="77777777" w:rsidR="00D60186" w:rsidRPr="008D6210" w:rsidRDefault="00D60186" w:rsidP="008D6210">
            <w:pPr>
              <w:jc w:val="right"/>
              <w:rPr>
                <w:sz w:val="21"/>
                <w:szCs w:val="21"/>
              </w:rPr>
            </w:pPr>
            <w:r w:rsidRPr="008D6210">
              <w:rPr>
                <w:sz w:val="21"/>
                <w:szCs w:val="21"/>
              </w:rPr>
              <w:t>Nei</w:t>
            </w:r>
          </w:p>
        </w:tc>
      </w:tr>
      <w:tr w:rsidR="00E76DC8" w:rsidRPr="00225D4D" w14:paraId="4C6A48D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57B21D3" w14:textId="77777777" w:rsidR="00D60186" w:rsidRPr="008D6210" w:rsidRDefault="00D60186" w:rsidP="00225D4D">
            <w:pPr>
              <w:rPr>
                <w:sz w:val="21"/>
                <w:szCs w:val="21"/>
              </w:rPr>
            </w:pPr>
            <w:r w:rsidRPr="008D6210">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1FCD6A54" w14:textId="77777777" w:rsidR="00D60186" w:rsidRPr="008D6210" w:rsidRDefault="00D60186" w:rsidP="008D6210">
            <w:pPr>
              <w:ind w:right="113"/>
              <w:jc w:val="right"/>
              <w:rPr>
                <w:sz w:val="21"/>
                <w:szCs w:val="21"/>
              </w:rPr>
            </w:pPr>
            <w:r w:rsidRPr="008D6210">
              <w:rPr>
                <w:sz w:val="21"/>
                <w:szCs w:val="21"/>
              </w:rPr>
              <w:t>574</w:t>
            </w:r>
          </w:p>
        </w:tc>
        <w:tc>
          <w:tcPr>
            <w:tcW w:w="5600" w:type="dxa"/>
            <w:tcBorders>
              <w:top w:val="nil"/>
              <w:left w:val="nil"/>
              <w:bottom w:val="nil"/>
              <w:right w:val="nil"/>
            </w:tcBorders>
            <w:tcMar>
              <w:top w:w="128" w:type="dxa"/>
              <w:left w:w="43" w:type="dxa"/>
              <w:bottom w:w="43" w:type="dxa"/>
              <w:right w:w="43" w:type="dxa"/>
            </w:tcMar>
          </w:tcPr>
          <w:p w14:paraId="2674E7B7" w14:textId="77777777" w:rsidR="00D60186" w:rsidRPr="008D6210" w:rsidRDefault="00D60186" w:rsidP="00225D4D">
            <w:pPr>
              <w:rPr>
                <w:sz w:val="21"/>
                <w:szCs w:val="21"/>
              </w:rPr>
            </w:pPr>
            <w:r w:rsidRPr="008D6210">
              <w:rPr>
                <w:sz w:val="21"/>
                <w:szCs w:val="21"/>
              </w:rPr>
              <w:t>Dagligvare – rabatter skal i større grad følge varen</w:t>
            </w:r>
          </w:p>
        </w:tc>
        <w:tc>
          <w:tcPr>
            <w:tcW w:w="1400" w:type="dxa"/>
            <w:tcBorders>
              <w:top w:val="nil"/>
              <w:left w:val="nil"/>
              <w:bottom w:val="nil"/>
              <w:right w:val="nil"/>
            </w:tcBorders>
            <w:tcMar>
              <w:top w:w="128" w:type="dxa"/>
              <w:left w:w="43" w:type="dxa"/>
              <w:bottom w:w="43" w:type="dxa"/>
              <w:right w:w="43" w:type="dxa"/>
            </w:tcMar>
          </w:tcPr>
          <w:p w14:paraId="6DEA3118" w14:textId="77777777" w:rsidR="00D60186" w:rsidRPr="008D6210" w:rsidRDefault="00D60186" w:rsidP="008D6210">
            <w:pPr>
              <w:jc w:val="right"/>
              <w:rPr>
                <w:sz w:val="21"/>
                <w:szCs w:val="21"/>
              </w:rPr>
            </w:pPr>
            <w:r w:rsidRPr="008D6210">
              <w:rPr>
                <w:sz w:val="21"/>
                <w:szCs w:val="21"/>
              </w:rPr>
              <w:t>Nei</w:t>
            </w:r>
          </w:p>
        </w:tc>
      </w:tr>
      <w:tr w:rsidR="00E76DC8" w:rsidRPr="00225D4D" w14:paraId="3CC1102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47992A9" w14:textId="77777777" w:rsidR="00D60186" w:rsidRPr="008D6210" w:rsidRDefault="00D60186" w:rsidP="00225D4D">
            <w:pPr>
              <w:rPr>
                <w:sz w:val="21"/>
                <w:szCs w:val="21"/>
              </w:rPr>
            </w:pPr>
            <w:r w:rsidRPr="008D6210">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66FC3176" w14:textId="77777777" w:rsidR="00D60186" w:rsidRPr="008D6210" w:rsidRDefault="00D60186" w:rsidP="008D6210">
            <w:pPr>
              <w:ind w:right="113"/>
              <w:jc w:val="right"/>
              <w:rPr>
                <w:sz w:val="21"/>
                <w:szCs w:val="21"/>
              </w:rPr>
            </w:pPr>
            <w:r w:rsidRPr="008D6210">
              <w:rPr>
                <w:sz w:val="21"/>
                <w:szCs w:val="21"/>
              </w:rPr>
              <w:t>839</w:t>
            </w:r>
          </w:p>
        </w:tc>
        <w:tc>
          <w:tcPr>
            <w:tcW w:w="5600" w:type="dxa"/>
            <w:tcBorders>
              <w:top w:val="nil"/>
              <w:left w:val="nil"/>
              <w:bottom w:val="nil"/>
              <w:right w:val="nil"/>
            </w:tcBorders>
            <w:tcMar>
              <w:top w:w="128" w:type="dxa"/>
              <w:left w:w="43" w:type="dxa"/>
              <w:bottom w:w="43" w:type="dxa"/>
              <w:right w:w="43" w:type="dxa"/>
            </w:tcMar>
          </w:tcPr>
          <w:p w14:paraId="7402746D" w14:textId="77777777" w:rsidR="00D60186" w:rsidRPr="008D6210" w:rsidRDefault="00D60186" w:rsidP="00225D4D">
            <w:pPr>
              <w:rPr>
                <w:sz w:val="21"/>
                <w:szCs w:val="21"/>
              </w:rPr>
            </w:pPr>
            <w:r w:rsidRPr="008D6210">
              <w:rPr>
                <w:sz w:val="21"/>
                <w:szCs w:val="21"/>
              </w:rPr>
              <w:t xml:space="preserve">Styrke og lovfeste tilskuddsordningen for sysselsetting av sjøfolk </w:t>
            </w:r>
          </w:p>
        </w:tc>
        <w:tc>
          <w:tcPr>
            <w:tcW w:w="1400" w:type="dxa"/>
            <w:tcBorders>
              <w:top w:val="nil"/>
              <w:left w:val="nil"/>
              <w:bottom w:val="nil"/>
              <w:right w:val="nil"/>
            </w:tcBorders>
            <w:tcMar>
              <w:top w:w="128" w:type="dxa"/>
              <w:left w:w="43" w:type="dxa"/>
              <w:bottom w:w="43" w:type="dxa"/>
              <w:right w:w="43" w:type="dxa"/>
            </w:tcMar>
          </w:tcPr>
          <w:p w14:paraId="1D395D68" w14:textId="77777777" w:rsidR="00D60186" w:rsidRPr="008D6210" w:rsidRDefault="00D60186" w:rsidP="008D6210">
            <w:pPr>
              <w:jc w:val="right"/>
              <w:rPr>
                <w:sz w:val="21"/>
                <w:szCs w:val="21"/>
              </w:rPr>
            </w:pPr>
            <w:r w:rsidRPr="008D6210">
              <w:rPr>
                <w:sz w:val="21"/>
                <w:szCs w:val="21"/>
              </w:rPr>
              <w:t>Nei</w:t>
            </w:r>
          </w:p>
        </w:tc>
      </w:tr>
      <w:tr w:rsidR="00E76DC8" w:rsidRPr="00225D4D" w14:paraId="252F02BA" w14:textId="77777777" w:rsidTr="004003C1">
        <w:trPr>
          <w:trHeight w:val="20"/>
        </w:trPr>
        <w:tc>
          <w:tcPr>
            <w:tcW w:w="1400" w:type="dxa"/>
            <w:tcBorders>
              <w:top w:val="nil"/>
              <w:left w:val="nil"/>
              <w:bottom w:val="single" w:sz="4" w:space="0" w:color="000000"/>
              <w:right w:val="nil"/>
            </w:tcBorders>
            <w:tcMar>
              <w:top w:w="128" w:type="dxa"/>
              <w:left w:w="43" w:type="dxa"/>
              <w:bottom w:w="43" w:type="dxa"/>
              <w:right w:w="43" w:type="dxa"/>
            </w:tcMar>
          </w:tcPr>
          <w:p w14:paraId="5595C345" w14:textId="77777777" w:rsidR="00D60186" w:rsidRPr="008D6210" w:rsidRDefault="00D60186" w:rsidP="00225D4D">
            <w:pPr>
              <w:rPr>
                <w:sz w:val="21"/>
                <w:szCs w:val="21"/>
              </w:rPr>
            </w:pPr>
            <w:r w:rsidRPr="008D6210">
              <w:rPr>
                <w:sz w:val="21"/>
                <w:szCs w:val="21"/>
              </w:rPr>
              <w:t>2019–2020</w:t>
            </w:r>
          </w:p>
        </w:tc>
        <w:tc>
          <w:tcPr>
            <w:tcW w:w="1120" w:type="dxa"/>
            <w:tcBorders>
              <w:top w:val="nil"/>
              <w:left w:val="nil"/>
              <w:bottom w:val="single" w:sz="4" w:space="0" w:color="000000"/>
              <w:right w:val="nil"/>
            </w:tcBorders>
            <w:tcMar>
              <w:top w:w="128" w:type="dxa"/>
              <w:left w:w="43" w:type="dxa"/>
              <w:bottom w:w="43" w:type="dxa"/>
              <w:right w:w="43" w:type="dxa"/>
            </w:tcMar>
          </w:tcPr>
          <w:p w14:paraId="6D7107C1" w14:textId="77777777" w:rsidR="00D60186" w:rsidRPr="008D6210" w:rsidRDefault="00D60186" w:rsidP="008D6210">
            <w:pPr>
              <w:ind w:right="113"/>
              <w:jc w:val="right"/>
              <w:rPr>
                <w:sz w:val="21"/>
                <w:szCs w:val="21"/>
              </w:rPr>
            </w:pPr>
            <w:r w:rsidRPr="008D6210">
              <w:rPr>
                <w:sz w:val="21"/>
                <w:szCs w:val="21"/>
              </w:rPr>
              <w:t>553</w:t>
            </w:r>
          </w:p>
        </w:tc>
        <w:tc>
          <w:tcPr>
            <w:tcW w:w="5600" w:type="dxa"/>
            <w:tcBorders>
              <w:top w:val="nil"/>
              <w:left w:val="nil"/>
              <w:bottom w:val="single" w:sz="4" w:space="0" w:color="000000"/>
              <w:right w:val="nil"/>
            </w:tcBorders>
            <w:tcMar>
              <w:top w:w="128" w:type="dxa"/>
              <w:left w:w="43" w:type="dxa"/>
              <w:bottom w:w="43" w:type="dxa"/>
              <w:right w:w="43" w:type="dxa"/>
            </w:tcMar>
          </w:tcPr>
          <w:p w14:paraId="24436137" w14:textId="77777777" w:rsidR="00D60186" w:rsidRPr="008D6210" w:rsidRDefault="00D60186" w:rsidP="00225D4D">
            <w:pPr>
              <w:rPr>
                <w:sz w:val="21"/>
                <w:szCs w:val="21"/>
              </w:rPr>
            </w:pPr>
            <w:r w:rsidRPr="008D6210">
              <w:rPr>
                <w:sz w:val="21"/>
                <w:szCs w:val="21"/>
              </w:rPr>
              <w:t>Kvotemeldingen – kvotefleksibilitet i fisket etter torsk, hyse og sei nord for 62° N</w:t>
            </w:r>
          </w:p>
        </w:tc>
        <w:tc>
          <w:tcPr>
            <w:tcW w:w="1400" w:type="dxa"/>
            <w:tcBorders>
              <w:top w:val="nil"/>
              <w:left w:val="nil"/>
              <w:bottom w:val="single" w:sz="4" w:space="0" w:color="000000"/>
              <w:right w:val="nil"/>
            </w:tcBorders>
            <w:tcMar>
              <w:top w:w="128" w:type="dxa"/>
              <w:left w:w="43" w:type="dxa"/>
              <w:bottom w:w="43" w:type="dxa"/>
              <w:right w:w="43" w:type="dxa"/>
            </w:tcMar>
          </w:tcPr>
          <w:p w14:paraId="47F53640" w14:textId="77777777" w:rsidR="00D60186" w:rsidRPr="008D6210" w:rsidRDefault="00D60186" w:rsidP="008D6210">
            <w:pPr>
              <w:jc w:val="right"/>
              <w:rPr>
                <w:sz w:val="21"/>
                <w:szCs w:val="21"/>
              </w:rPr>
            </w:pPr>
            <w:r w:rsidRPr="008D6210">
              <w:rPr>
                <w:sz w:val="21"/>
                <w:szCs w:val="21"/>
              </w:rPr>
              <w:t>Ja</w:t>
            </w:r>
          </w:p>
        </w:tc>
      </w:tr>
    </w:tbl>
    <w:p w14:paraId="67B220F9" w14:textId="77777777" w:rsidR="00D60186" w:rsidRPr="00225D4D" w:rsidRDefault="00D60186" w:rsidP="004003C1">
      <w:pPr>
        <w:pStyle w:val="Overskrift2"/>
        <w:numPr>
          <w:ilvl w:val="1"/>
          <w:numId w:val="40"/>
        </w:numPr>
      </w:pPr>
      <w:r w:rsidRPr="00225D4D">
        <w:t>Stortingssesjon 2024–2025</w:t>
      </w:r>
    </w:p>
    <w:p w14:paraId="37A7CD98" w14:textId="77777777" w:rsidR="00D60186" w:rsidRPr="00225D4D" w:rsidRDefault="00D60186" w:rsidP="00225D4D">
      <w:pPr>
        <w:pStyle w:val="Undertittel"/>
      </w:pPr>
      <w:r w:rsidRPr="00225D4D">
        <w:t>Anmodningsvedtak under fiskeri- og havministeren</w:t>
      </w:r>
    </w:p>
    <w:p w14:paraId="3B871197" w14:textId="77777777" w:rsidR="00D60186" w:rsidRPr="00225D4D" w:rsidRDefault="00D60186" w:rsidP="00225D4D">
      <w:pPr>
        <w:pStyle w:val="avsnitt-tittel"/>
      </w:pPr>
      <w:r w:rsidRPr="00225D4D">
        <w:t>Turistfiske – reduksjon i utførselskvoten</w:t>
      </w:r>
    </w:p>
    <w:p w14:paraId="47BAB1BC" w14:textId="77777777" w:rsidR="00D60186" w:rsidRPr="00225D4D" w:rsidRDefault="00D60186" w:rsidP="00225D4D">
      <w:pPr>
        <w:pStyle w:val="avsnitt-undertittel"/>
      </w:pPr>
      <w:r w:rsidRPr="00225D4D">
        <w:t>Vedtak nr. 99, 5. desember 2024</w:t>
      </w:r>
    </w:p>
    <w:p w14:paraId="60415801" w14:textId="77777777" w:rsidR="00D60186" w:rsidRPr="00225D4D" w:rsidRDefault="00D60186" w:rsidP="00225D4D">
      <w:pPr>
        <w:pStyle w:val="blokksit"/>
        <w:rPr>
          <w:rStyle w:val="kursiv"/>
        </w:rPr>
      </w:pPr>
      <w:r w:rsidRPr="00225D4D">
        <w:rPr>
          <w:rStyle w:val="kursiv"/>
        </w:rPr>
        <w:t>«Stortinget ber regjeringen sende på høring forslag om å redusere utførselskvoten til 10 kilo per person med sikte på ikrafttredelse fra 1. juli 2025.»</w:t>
      </w:r>
    </w:p>
    <w:p w14:paraId="45DA0EFB" w14:textId="77777777" w:rsidR="00D60186" w:rsidRPr="00225D4D" w:rsidRDefault="00D60186" w:rsidP="00225D4D">
      <w:r w:rsidRPr="00225D4D">
        <w:t xml:space="preserve">Vedtaket ble truffet under behandlingen av saken Statsbudsjettet 2025, jf. </w:t>
      </w:r>
      <w:proofErr w:type="spellStart"/>
      <w:r w:rsidRPr="00225D4D">
        <w:t>Prop</w:t>
      </w:r>
      <w:proofErr w:type="spellEnd"/>
      <w:r w:rsidRPr="00225D4D">
        <w:t xml:space="preserve">. 1 S (2024–2025), </w:t>
      </w:r>
      <w:proofErr w:type="spellStart"/>
      <w:r w:rsidRPr="00225D4D">
        <w:t>Innst</w:t>
      </w:r>
      <w:proofErr w:type="spellEnd"/>
      <w:r w:rsidRPr="00225D4D">
        <w:t>. 2 S (2024–2025).</w:t>
      </w:r>
    </w:p>
    <w:p w14:paraId="597D8D3F" w14:textId="77777777" w:rsidR="00D60186" w:rsidRPr="00225D4D" w:rsidRDefault="00D60186" w:rsidP="00225D4D">
      <w:r w:rsidRPr="00225D4D">
        <w:t>Fiskeridirektoratet har gjennomført en høring av forslag om reduksjon i utførselskvoten for fisk og fiskeprodukter til 10 kg per person to ganger per år. Departementet har på bakgrunn av høringen og direktoratets tilrådning besluttet å redusere utførselskvoten til 15 kg per person to ganger i året fra 1. januar 2026, og fra 1. januar 2027 reduseres utførselskvoten ytterligere til 10 kg per person to ganger i året.</w:t>
      </w:r>
    </w:p>
    <w:p w14:paraId="40A09077" w14:textId="77777777" w:rsidR="00D60186" w:rsidRPr="00225D4D" w:rsidRDefault="00D60186" w:rsidP="00225D4D">
      <w:r w:rsidRPr="00225D4D">
        <w:t>Vedtaket anses med dette som fulgt opp.</w:t>
      </w:r>
    </w:p>
    <w:p w14:paraId="6AD2F241" w14:textId="77777777" w:rsidR="00D60186" w:rsidRPr="00225D4D" w:rsidRDefault="00D60186" w:rsidP="00225D4D">
      <w:pPr>
        <w:pStyle w:val="avsnitt-tittel"/>
      </w:pPr>
      <w:r w:rsidRPr="00225D4D">
        <w:t>Oppdrett – utvidelse av forbud mot utslipp av behandlingsvann</w:t>
      </w:r>
    </w:p>
    <w:p w14:paraId="39A49D54" w14:textId="77777777" w:rsidR="00D60186" w:rsidRPr="00225D4D" w:rsidRDefault="00D60186" w:rsidP="00225D4D">
      <w:pPr>
        <w:pStyle w:val="avsnitt-undertittel"/>
      </w:pPr>
      <w:r w:rsidRPr="00225D4D">
        <w:t>Vedtak nr. 100, 5. desember 2024</w:t>
      </w:r>
    </w:p>
    <w:p w14:paraId="7B3460C6" w14:textId="77777777" w:rsidR="00D60186" w:rsidRPr="00225D4D" w:rsidRDefault="00D60186" w:rsidP="00225D4D">
      <w:pPr>
        <w:pStyle w:val="blokksit"/>
        <w:rPr>
          <w:rStyle w:val="kursiv"/>
        </w:rPr>
      </w:pPr>
      <w:r w:rsidRPr="00225D4D">
        <w:rPr>
          <w:rStyle w:val="kursiv"/>
        </w:rPr>
        <w:t>«Stortinget ber regjeringen sende på høring forslag om en utvidelse av dagens forbud mot utslipp av behandlingsvann til nye områder som er viktig for fiskeriaktivitet, ut over der det er et spesifikt forbud i dag, med sikte på utvidelse av forbudet i løpet av 2025.»</w:t>
      </w:r>
    </w:p>
    <w:p w14:paraId="23719427" w14:textId="77777777" w:rsidR="00D60186" w:rsidRPr="00225D4D" w:rsidRDefault="00D60186" w:rsidP="00225D4D">
      <w:r w:rsidRPr="00225D4D">
        <w:t xml:space="preserve">Vedtaket ble truffet under behandlingen av saken Statsbudsjettet 2025, jf. </w:t>
      </w:r>
      <w:proofErr w:type="spellStart"/>
      <w:r w:rsidRPr="00225D4D">
        <w:t>Prop</w:t>
      </w:r>
      <w:proofErr w:type="spellEnd"/>
      <w:r w:rsidRPr="00225D4D">
        <w:t xml:space="preserve">. 1 S (2024–2025), </w:t>
      </w:r>
      <w:proofErr w:type="spellStart"/>
      <w:r w:rsidRPr="00225D4D">
        <w:t>Innst</w:t>
      </w:r>
      <w:proofErr w:type="spellEnd"/>
      <w:r w:rsidRPr="00225D4D">
        <w:t>. 2 S (2024–2025).</w:t>
      </w:r>
    </w:p>
    <w:p w14:paraId="574D5856" w14:textId="77777777" w:rsidR="00D60186" w:rsidRPr="00225D4D" w:rsidRDefault="00D60186" w:rsidP="00225D4D">
      <w:r w:rsidRPr="00225D4D">
        <w:t>Nærings- og fiskeridepartementet arbeider med å utarbeide et forslag, med sikte på å sende dette på offentlig høring i løpet av 2025. Vedtaket anses med dette som fulgt opp.</w:t>
      </w:r>
    </w:p>
    <w:p w14:paraId="4D42AF9C" w14:textId="77777777" w:rsidR="00D60186" w:rsidRPr="00225D4D" w:rsidRDefault="00D60186" w:rsidP="00225D4D">
      <w:pPr>
        <w:pStyle w:val="avsnitt-tittel"/>
      </w:pPr>
      <w:r w:rsidRPr="00225D4D">
        <w:t>Ressurser i maritim sektor i krise og krig</w:t>
      </w:r>
    </w:p>
    <w:p w14:paraId="1257E1BF" w14:textId="77777777" w:rsidR="00D60186" w:rsidRPr="00225D4D" w:rsidRDefault="00D60186" w:rsidP="00225D4D">
      <w:pPr>
        <w:pStyle w:val="avsnitt-undertittel"/>
      </w:pPr>
      <w:r w:rsidRPr="00225D4D">
        <w:t>Vedtak nr. 642, 6. mai 2025</w:t>
      </w:r>
    </w:p>
    <w:p w14:paraId="507C0958" w14:textId="77777777" w:rsidR="00D60186" w:rsidRPr="00225D4D" w:rsidRDefault="00D60186" w:rsidP="00225D4D">
      <w:pPr>
        <w:pStyle w:val="blokksit"/>
        <w:rPr>
          <w:rStyle w:val="kursiv"/>
        </w:rPr>
      </w:pPr>
      <w:r w:rsidRPr="00225D4D">
        <w:rPr>
          <w:rStyle w:val="kursiv"/>
        </w:rPr>
        <w:t>«Stortinget ber regjeringen kartlegge de samlede ressursene innen maritim sektor som kan benyttes i krise og krig, i samråd med næringene, og komme tilbake til Stortinget på egnet måte.»</w:t>
      </w:r>
    </w:p>
    <w:p w14:paraId="417F4E35" w14:textId="77777777" w:rsidR="00D60186" w:rsidRPr="00225D4D" w:rsidRDefault="00D60186" w:rsidP="00225D4D">
      <w:r w:rsidRPr="00225D4D">
        <w:t xml:space="preserve">Vedtaket ble truffet under behandlingen av saken Totalberedskapsmeldingen – Forberedt på kriser og krig, jf. Meld. St. 9 (2024–2025), </w:t>
      </w:r>
      <w:proofErr w:type="spellStart"/>
      <w:r w:rsidRPr="00225D4D">
        <w:t>Innst</w:t>
      </w:r>
      <w:proofErr w:type="spellEnd"/>
      <w:r w:rsidRPr="00225D4D">
        <w:t>. 242 S (2024–2025).</w:t>
      </w:r>
    </w:p>
    <w:p w14:paraId="4BE82DE8" w14:textId="77777777" w:rsidR="00D60186" w:rsidRPr="00225D4D" w:rsidRDefault="00D60186" w:rsidP="00225D4D">
      <w:r w:rsidRPr="00225D4D">
        <w:t>Norsk skipsfartsberedskap har tradisjonelt vært knyttet til skip i utenriksfart. Dette skyldes hovedsakelig skipsfartens historiske bakgrunn, hvor norske myndigheter opprettet NORTRASHIP som et statsrederi for å kunne disponere den norske handelsflåten under 2. verdenskrig. Som ledd i en større omlegging av norsk skipsfartsberedskap i 2002, etablerte Nærings- og fiskeridepartementet et formelt offentlig-privat beredskapssamarbeid med rederinæringen gjennom næringsberedskapsrådet NORTRASHIP-ledelsen. Dette samarbeids- og beredskapsorganet har representanter fra rederinæringen. Organet er i normalsituasjonen vesentlig rådgivende, men skal ved alvorlig krise eller krig være en del av departementets kriseorganisasjon og ha operative funksjoner. Gjennom NORTRASHIP-ordningen har Norge betydelige skipsfartsressurser som ved behov kan stilles til rådighet for norske myndigheter og våre allierte i alvorlig krise og krig.</w:t>
      </w:r>
    </w:p>
    <w:p w14:paraId="2535F147" w14:textId="77777777" w:rsidR="00D60186" w:rsidRPr="00225D4D" w:rsidRDefault="00D60186" w:rsidP="00225D4D">
      <w:r w:rsidRPr="00225D4D">
        <w:t>Som følge av den alvorlige utviklingen i den sikkerhetspolitiske situasjonen de senere årene, har regjeringen vært opptatt av å videreutvikle skipsfartsberedskapen for å tilpasse den til et endret risikobilde. Nærings- og fiskeridepartementet besluttet i 2024 å inkludere Kystrederiene som permanent medlem i NORTRASHIP-ledelsen. Kystrederienes medlemmer opererer svært tett på norskekysten og utgjør en strategisk beredskapsressurs for Norge, og for et samlet Norden i NATO, hvor Norge har en viktig rolle som transittland ved mottak av allierte forsterkninger.</w:t>
      </w:r>
    </w:p>
    <w:p w14:paraId="2175FC06" w14:textId="77777777" w:rsidR="00D60186" w:rsidRPr="00225D4D" w:rsidRDefault="00D60186" w:rsidP="00225D4D">
      <w:r w:rsidRPr="00225D4D">
        <w:t>Vedtaket anses med dette som fulgt opp.</w:t>
      </w:r>
    </w:p>
    <w:p w14:paraId="465233BE" w14:textId="77777777" w:rsidR="00D60186" w:rsidRPr="00225D4D" w:rsidRDefault="00D60186" w:rsidP="00225D4D">
      <w:pPr>
        <w:pStyle w:val="avsnitt-tittel"/>
      </w:pPr>
      <w:r w:rsidRPr="00225D4D">
        <w:t>Modell for matsikkerhet som inkluderer sjømat, fiskeri og havbruk</w:t>
      </w:r>
    </w:p>
    <w:p w14:paraId="5A97D763" w14:textId="77777777" w:rsidR="00D60186" w:rsidRPr="00225D4D" w:rsidRDefault="00D60186" w:rsidP="00225D4D">
      <w:pPr>
        <w:pStyle w:val="avsnitt-undertittel"/>
      </w:pPr>
      <w:r w:rsidRPr="00225D4D">
        <w:t>Vedtak nr. 643, 6. mai 2025</w:t>
      </w:r>
    </w:p>
    <w:p w14:paraId="0E2EE93A" w14:textId="77777777" w:rsidR="00D60186" w:rsidRPr="00225D4D" w:rsidRDefault="00D60186" w:rsidP="00225D4D">
      <w:pPr>
        <w:pStyle w:val="blokksit"/>
        <w:rPr>
          <w:rStyle w:val="kursiv"/>
        </w:rPr>
      </w:pPr>
      <w:r w:rsidRPr="00225D4D">
        <w:rPr>
          <w:rStyle w:val="kursiv"/>
        </w:rPr>
        <w:t>«Stortinget ber regjeringen foreslå en modell for matsikkerhet der sjømat, fiskeri og havbruk er inkludert.»</w:t>
      </w:r>
    </w:p>
    <w:p w14:paraId="38B61E01" w14:textId="77777777" w:rsidR="00D60186" w:rsidRPr="00225D4D" w:rsidRDefault="00D60186" w:rsidP="00225D4D">
      <w:r w:rsidRPr="00225D4D">
        <w:t xml:space="preserve">Vedtaket ble truffet under behandlingen av saken Totalberedskapsmeldingen – Forberedt på kriser og krig, jf. Meld. St. 9 (2024–2025), </w:t>
      </w:r>
      <w:proofErr w:type="spellStart"/>
      <w:r w:rsidRPr="00225D4D">
        <w:t>Innst</w:t>
      </w:r>
      <w:proofErr w:type="spellEnd"/>
      <w:r w:rsidRPr="00225D4D">
        <w:t>. 242 S (2024–2025).</w:t>
      </w:r>
    </w:p>
    <w:p w14:paraId="3DA9CE3A" w14:textId="77777777" w:rsidR="00D60186" w:rsidRPr="00225D4D" w:rsidRDefault="00D60186" w:rsidP="00225D4D">
      <w:r w:rsidRPr="00225D4D">
        <w:t>Regjeringen vil komme tilbake til Stortinget på egnet måte.</w:t>
      </w:r>
    </w:p>
    <w:p w14:paraId="365953F3" w14:textId="77777777" w:rsidR="00D60186" w:rsidRPr="00225D4D" w:rsidRDefault="00D60186" w:rsidP="00225D4D">
      <w:pPr>
        <w:pStyle w:val="avsnitt-tittel"/>
      </w:pPr>
      <w:r w:rsidRPr="00225D4D">
        <w:t>Plan for bemanning av norske skip i krig</w:t>
      </w:r>
    </w:p>
    <w:p w14:paraId="1BF652B1" w14:textId="77777777" w:rsidR="00D60186" w:rsidRPr="00225D4D" w:rsidRDefault="00D60186" w:rsidP="00225D4D">
      <w:pPr>
        <w:pStyle w:val="avsnitt-undertittel"/>
      </w:pPr>
      <w:r w:rsidRPr="00225D4D">
        <w:t>Vedtak nr. 644, 6. mai 2025</w:t>
      </w:r>
    </w:p>
    <w:p w14:paraId="53CF19BB" w14:textId="77777777" w:rsidR="00D60186" w:rsidRPr="00225D4D" w:rsidRDefault="00D60186" w:rsidP="00225D4D">
      <w:pPr>
        <w:pStyle w:val="blokksit"/>
        <w:rPr>
          <w:rStyle w:val="kursiv"/>
        </w:rPr>
      </w:pPr>
      <w:r w:rsidRPr="00225D4D">
        <w:rPr>
          <w:rStyle w:val="kursiv"/>
        </w:rPr>
        <w:t>«Stortinget ber regjeringen skaffe oversikt over og lage en plan for bemanning av norske skip i krig, og involvere partene i arbeidslivet i arbeidet, og komme tilbake til Stortinget på egnet måte.»</w:t>
      </w:r>
    </w:p>
    <w:p w14:paraId="4B1AF512" w14:textId="77777777" w:rsidR="00D60186" w:rsidRPr="00225D4D" w:rsidRDefault="00D60186" w:rsidP="00225D4D">
      <w:r w:rsidRPr="00225D4D">
        <w:t xml:space="preserve">Vedtaket ble truffet under behandlingen av saken Totalberedskapsmeldingen – Forberedt på kriser og krig, jf. Meld. St. 9 (2024–2025), </w:t>
      </w:r>
      <w:proofErr w:type="spellStart"/>
      <w:r w:rsidRPr="00225D4D">
        <w:t>Innst</w:t>
      </w:r>
      <w:proofErr w:type="spellEnd"/>
      <w:r w:rsidRPr="00225D4D">
        <w:t>. 242 S (2024–2025).</w:t>
      </w:r>
    </w:p>
    <w:p w14:paraId="6438A115" w14:textId="77777777" w:rsidR="00D60186" w:rsidRPr="00225D4D" w:rsidRDefault="00D60186" w:rsidP="00225D4D">
      <w:r w:rsidRPr="00225D4D">
        <w:t>Nærings- og fiskeridepartementet er i gang med å følge opp vedtaket. Regjeringen vil komme tilbake til Stortinget på egnet måte.</w:t>
      </w:r>
    </w:p>
    <w:p w14:paraId="6B8891E5" w14:textId="77777777" w:rsidR="00D60186" w:rsidRPr="00225D4D" w:rsidRDefault="00D60186" w:rsidP="00225D4D">
      <w:pPr>
        <w:pStyle w:val="avsnitt-tittel"/>
      </w:pPr>
      <w:r w:rsidRPr="00225D4D">
        <w:t>Utredning av reguleringssystem for havbruksnæringen</w:t>
      </w:r>
    </w:p>
    <w:p w14:paraId="7151F447" w14:textId="77777777" w:rsidR="00D60186" w:rsidRPr="00225D4D" w:rsidRDefault="00D60186" w:rsidP="00225D4D">
      <w:pPr>
        <w:pStyle w:val="avsnitt-undertittel"/>
      </w:pPr>
      <w:r w:rsidRPr="00225D4D">
        <w:t>Vedtak nr. 1039, 12. juni 2025</w:t>
      </w:r>
    </w:p>
    <w:p w14:paraId="70152BD2" w14:textId="77777777" w:rsidR="00D60186" w:rsidRPr="00225D4D" w:rsidRDefault="00D60186" w:rsidP="00225D4D">
      <w:pPr>
        <w:pStyle w:val="blokksit"/>
        <w:rPr>
          <w:rStyle w:val="kursiv"/>
        </w:rPr>
      </w:pPr>
      <w:r w:rsidRPr="00225D4D">
        <w:rPr>
          <w:rStyle w:val="kursiv"/>
        </w:rPr>
        <w:t>«Stortinget ber regjeringen utrede ulike modeller for fremtidig regulering av havbruksnæringen basert på faktisk miljøpåvirkning og innrettet med individuelle insentiver, inkludert regjeringens foreslåtte modell, havbruksutvalgets forslag og dagens rammeverk. Utredningene skal sendes på offentlig høring, og valg av reguleringsmodell skal legges frem for Stortinget til endelig behandling.»</w:t>
      </w:r>
    </w:p>
    <w:p w14:paraId="773F0402"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 Vedtaket må sees i sammenheng med vedtak nr. 1047, 12. juni 2025. Anmodningsvedtak nr. 1039 dekker det samme som anmodningsvedtak nr. 1047.</w:t>
      </w:r>
    </w:p>
    <w:p w14:paraId="4789B025" w14:textId="77777777" w:rsidR="00D60186" w:rsidRPr="00225D4D" w:rsidRDefault="00D60186" w:rsidP="00225D4D">
      <w:r w:rsidRPr="00225D4D">
        <w:t>Regjeringen vil komme tilbake til Stortinget på egnet måte.</w:t>
      </w:r>
    </w:p>
    <w:p w14:paraId="0837592E" w14:textId="77777777" w:rsidR="00D60186" w:rsidRPr="00225D4D" w:rsidRDefault="00D60186" w:rsidP="00225D4D">
      <w:pPr>
        <w:pStyle w:val="avsnitt-tittel"/>
      </w:pPr>
      <w:r w:rsidRPr="00225D4D">
        <w:t>Styrking av datagrunnlag for miljøpåvirkning i havbruk</w:t>
      </w:r>
    </w:p>
    <w:p w14:paraId="4E64F61A" w14:textId="77777777" w:rsidR="00D60186" w:rsidRPr="00225D4D" w:rsidRDefault="00D60186" w:rsidP="00225D4D">
      <w:pPr>
        <w:pStyle w:val="avsnitt-undertittel"/>
      </w:pPr>
      <w:r w:rsidRPr="00225D4D">
        <w:t>Vedtak nr. 1040, 12. juni 2025</w:t>
      </w:r>
    </w:p>
    <w:p w14:paraId="12422CB9" w14:textId="77777777" w:rsidR="00D60186" w:rsidRPr="00225D4D" w:rsidRDefault="00D60186" w:rsidP="00225D4D">
      <w:pPr>
        <w:pStyle w:val="blokksit"/>
        <w:rPr>
          <w:rStyle w:val="kursiv"/>
        </w:rPr>
      </w:pPr>
      <w:r w:rsidRPr="00225D4D">
        <w:rPr>
          <w:rStyle w:val="kursiv"/>
        </w:rPr>
        <w:t>«Stortinget ber regjeringen styrke det tekniske og biologiske datagrunnlaget for vurdering av miljøpåvirkning, inkludert overvåkning av lakselus, villfisk og fiskevelferd, med bruk av ny teknologi og automatisert datainnsamling.»</w:t>
      </w:r>
    </w:p>
    <w:p w14:paraId="0FBA708E"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7E7CA5AA" w14:textId="77777777" w:rsidR="00D60186" w:rsidRPr="00225D4D" w:rsidRDefault="00D60186" w:rsidP="00225D4D">
      <w:r w:rsidRPr="00225D4D">
        <w:t>Regjeringen vil komme tilbake til Stortinget på egnet måte.</w:t>
      </w:r>
    </w:p>
    <w:p w14:paraId="0EEC5FCD" w14:textId="77777777" w:rsidR="00D60186" w:rsidRPr="00225D4D" w:rsidRDefault="00D60186" w:rsidP="00225D4D">
      <w:pPr>
        <w:pStyle w:val="avsnitt-tittel"/>
      </w:pPr>
      <w:r w:rsidRPr="00225D4D">
        <w:t>Helhetlig kunnskapsgrunnlag om havbrukets miljøpåvirkning</w:t>
      </w:r>
    </w:p>
    <w:p w14:paraId="1D23E476" w14:textId="77777777" w:rsidR="00D60186" w:rsidRPr="00225D4D" w:rsidRDefault="00D60186" w:rsidP="00225D4D">
      <w:pPr>
        <w:pStyle w:val="avsnitt-undertittel"/>
      </w:pPr>
      <w:r w:rsidRPr="00225D4D">
        <w:t>Vedtak nr. 1041, 12. juni 2025</w:t>
      </w:r>
    </w:p>
    <w:p w14:paraId="0500440F" w14:textId="77777777" w:rsidR="00D60186" w:rsidRPr="00225D4D" w:rsidRDefault="00D60186" w:rsidP="00225D4D">
      <w:pPr>
        <w:pStyle w:val="blokksit"/>
        <w:rPr>
          <w:rStyle w:val="kursiv"/>
        </w:rPr>
      </w:pPr>
      <w:r w:rsidRPr="00225D4D">
        <w:rPr>
          <w:rStyle w:val="kursiv"/>
        </w:rPr>
        <w:t>«Stortinget ber regjeringen sørge for at det utvikles et mer helhetlig og grundig kunnskapsgrunnlag for havbrukets miljøpåvirkning, herunder næringens faktiske og relative påvirkning på den norske villaksbestanden. I dette arbeidet skal det delta et bredt sammensett utvalg av forskere og fagfolk, og det skal fortsatt være åpenhet om metoder og modeller.»</w:t>
      </w:r>
    </w:p>
    <w:p w14:paraId="763FA7F9"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031BE1F7" w14:textId="77777777" w:rsidR="00D60186" w:rsidRPr="00225D4D" w:rsidRDefault="00D60186" w:rsidP="00225D4D">
      <w:r w:rsidRPr="00225D4D">
        <w:t>Regjeringen vil komme tilbake til Stortinget på egnet måte.</w:t>
      </w:r>
    </w:p>
    <w:p w14:paraId="5FB8606C" w14:textId="77777777" w:rsidR="00D60186" w:rsidRPr="00225D4D" w:rsidRDefault="00D60186" w:rsidP="00225D4D">
      <w:pPr>
        <w:pStyle w:val="avsnitt-tittel"/>
      </w:pPr>
      <w:r w:rsidRPr="00225D4D">
        <w:t>Bruk av trafikklysevaluering i videre havbruksregulering</w:t>
      </w:r>
    </w:p>
    <w:p w14:paraId="3F580912" w14:textId="77777777" w:rsidR="00D60186" w:rsidRPr="00225D4D" w:rsidRDefault="00D60186" w:rsidP="00225D4D">
      <w:pPr>
        <w:pStyle w:val="avsnitt-undertittel"/>
      </w:pPr>
      <w:r w:rsidRPr="00225D4D">
        <w:t>Vedtak nr. 1042, 12. juni 2025</w:t>
      </w:r>
    </w:p>
    <w:p w14:paraId="2F60CF5B" w14:textId="77777777" w:rsidR="00D60186" w:rsidRPr="00225D4D" w:rsidRDefault="00D60186" w:rsidP="00225D4D">
      <w:pPr>
        <w:pStyle w:val="blokksit"/>
        <w:rPr>
          <w:rStyle w:val="kursiv"/>
        </w:rPr>
      </w:pPr>
      <w:r w:rsidRPr="00225D4D">
        <w:rPr>
          <w:rStyle w:val="kursiv"/>
        </w:rPr>
        <w:t>«Stortinget ber regjeringen sørge for at erfaringene fra evalueringen av trafikklyssystemet skal brukes til å forbedre beslutningsgrunnlaget, og støtte utviklingen av en eventuell ny regulering. Dette gjelder blant annet at forskning og overvåkning knyttet til grenseverdier for villfiskdødelighet, effekter av lusepåslag på villaksbestander og bestandsvurderinger av gytebestandsmål mv. forsterkes.»</w:t>
      </w:r>
    </w:p>
    <w:p w14:paraId="2FFFAB67"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7E5F63FC" w14:textId="77777777" w:rsidR="00D60186" w:rsidRPr="00225D4D" w:rsidRDefault="00D60186" w:rsidP="00225D4D">
      <w:r w:rsidRPr="00225D4D">
        <w:t>Regjeringen vil komme tilbake til Stortinget på egnet måte.</w:t>
      </w:r>
    </w:p>
    <w:p w14:paraId="2C8BA506" w14:textId="77777777" w:rsidR="00D60186" w:rsidRPr="00225D4D" w:rsidRDefault="00D60186" w:rsidP="00225D4D">
      <w:pPr>
        <w:pStyle w:val="avsnitt-tittel"/>
      </w:pPr>
      <w:r w:rsidRPr="00225D4D">
        <w:t>Vurdere utvalg for dialog og samspill mellom aktørene innen havbruket</w:t>
      </w:r>
    </w:p>
    <w:p w14:paraId="04468F01" w14:textId="77777777" w:rsidR="00D60186" w:rsidRPr="00225D4D" w:rsidRDefault="00D60186" w:rsidP="00225D4D">
      <w:pPr>
        <w:pStyle w:val="avsnitt-undertittel"/>
      </w:pPr>
      <w:r w:rsidRPr="00225D4D">
        <w:t>Vedtak nr. 1043, 12. juni 2025</w:t>
      </w:r>
    </w:p>
    <w:p w14:paraId="21E8D934" w14:textId="77777777" w:rsidR="00D60186" w:rsidRPr="00225D4D" w:rsidRDefault="00D60186" w:rsidP="00225D4D">
      <w:pPr>
        <w:pStyle w:val="blokksit"/>
        <w:rPr>
          <w:rStyle w:val="kursiv"/>
        </w:rPr>
      </w:pPr>
      <w:r w:rsidRPr="00225D4D">
        <w:rPr>
          <w:rStyle w:val="kursiv"/>
        </w:rPr>
        <w:t>«Stortinget ber regjeringen vurdere å etablere et utvalg av relevante aktører som kan bidra til bedre dialog og samspill mellom de ulike aktørene knyttet til norsk havbruk.»</w:t>
      </w:r>
    </w:p>
    <w:p w14:paraId="7CE1706F"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6FA35CA4" w14:textId="77777777" w:rsidR="00D60186" w:rsidRPr="00225D4D" w:rsidRDefault="00D60186" w:rsidP="00225D4D">
      <w:r w:rsidRPr="00225D4D">
        <w:t>Regjeringen vil komme tilbake til Stortinget på egnet måte.</w:t>
      </w:r>
    </w:p>
    <w:p w14:paraId="6925E567" w14:textId="77777777" w:rsidR="00D60186" w:rsidRPr="00225D4D" w:rsidRDefault="00D60186" w:rsidP="00225D4D">
      <w:pPr>
        <w:pStyle w:val="avsnitt-tittel"/>
      </w:pPr>
      <w:r w:rsidRPr="00225D4D">
        <w:t>Raskere behandling av lokalitetssøknader i havbruk</w:t>
      </w:r>
    </w:p>
    <w:p w14:paraId="6DDE9AEC" w14:textId="77777777" w:rsidR="00D60186" w:rsidRPr="00225D4D" w:rsidRDefault="00D60186" w:rsidP="00225D4D">
      <w:pPr>
        <w:pStyle w:val="avsnitt-undertittel"/>
      </w:pPr>
      <w:r w:rsidRPr="00225D4D">
        <w:t>Vedtak nr. 1044, 12. juni 2025</w:t>
      </w:r>
    </w:p>
    <w:p w14:paraId="0FEA4F44" w14:textId="77777777" w:rsidR="00D60186" w:rsidRPr="00225D4D" w:rsidRDefault="00D60186" w:rsidP="00225D4D">
      <w:pPr>
        <w:pStyle w:val="blokksit"/>
        <w:rPr>
          <w:rStyle w:val="kursiv"/>
        </w:rPr>
      </w:pPr>
      <w:r w:rsidRPr="00225D4D">
        <w:rPr>
          <w:rStyle w:val="kursiv"/>
        </w:rPr>
        <w:t>«Stortinget ber regjeringen gjennomføre tiltak som sikrer raskere og mer samordnet behandling av lokalitetssøknader, blant annet gjennom statlige planretningslinjer og tydeligere myndighetsansvar.»</w:t>
      </w:r>
    </w:p>
    <w:p w14:paraId="2AEF9D2D"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456D8709" w14:textId="77777777" w:rsidR="00D60186" w:rsidRPr="00225D4D" w:rsidRDefault="00D60186" w:rsidP="00225D4D">
      <w:r w:rsidRPr="00225D4D">
        <w:t>Regjeringen vil komme tilbake til Stortinget på egnet måte.</w:t>
      </w:r>
    </w:p>
    <w:p w14:paraId="15E24D3F" w14:textId="77777777" w:rsidR="00D60186" w:rsidRPr="00225D4D" w:rsidRDefault="00D60186" w:rsidP="00225D4D">
      <w:pPr>
        <w:pStyle w:val="avsnitt-tittel"/>
      </w:pPr>
      <w:r w:rsidRPr="00225D4D">
        <w:t>Vurdering av et fiskeri- og havbruksdirektorat</w:t>
      </w:r>
    </w:p>
    <w:p w14:paraId="25BA2FB9" w14:textId="77777777" w:rsidR="00D60186" w:rsidRPr="00225D4D" w:rsidRDefault="00D60186" w:rsidP="00225D4D">
      <w:pPr>
        <w:pStyle w:val="avsnitt-undertittel"/>
      </w:pPr>
      <w:r w:rsidRPr="00225D4D">
        <w:t>Vedtak nr. 1045, 12. juni 2025</w:t>
      </w:r>
    </w:p>
    <w:p w14:paraId="72C58AC5" w14:textId="77777777" w:rsidR="00D60186" w:rsidRPr="00225D4D" w:rsidRDefault="00D60186" w:rsidP="00225D4D">
      <w:pPr>
        <w:pStyle w:val="blokksit"/>
        <w:rPr>
          <w:rStyle w:val="kursiv"/>
        </w:rPr>
      </w:pPr>
      <w:r w:rsidRPr="00225D4D">
        <w:rPr>
          <w:rStyle w:val="kursiv"/>
        </w:rPr>
        <w:t>«Stortinget ber regjeringen vurdere å samle det overordnede ansvaret for koordinering av havbruksforvaltningen i et Fiskeri- og havbruksdirektorat, med myndighet til lokalitetsavklaringer og -tildelinger. Direktoratet skal også ha ansvar for oppfølgingen av kommunene i deres arealplanlegging i kystnære sjøområder.»</w:t>
      </w:r>
    </w:p>
    <w:p w14:paraId="1F699B1C"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3170383F" w14:textId="77777777" w:rsidR="00D60186" w:rsidRPr="00225D4D" w:rsidRDefault="00D60186" w:rsidP="00225D4D">
      <w:r w:rsidRPr="00225D4D">
        <w:t>Regjeringen vil komme tilbake til Stortinget på egnet måte.</w:t>
      </w:r>
    </w:p>
    <w:p w14:paraId="392A8FC5" w14:textId="77777777" w:rsidR="00D60186" w:rsidRPr="00225D4D" w:rsidRDefault="00D60186" w:rsidP="00225D4D">
      <w:pPr>
        <w:pStyle w:val="avsnitt-tittel"/>
      </w:pPr>
      <w:r w:rsidRPr="00225D4D">
        <w:t>Videreutvikling av havbruksfondet</w:t>
      </w:r>
    </w:p>
    <w:p w14:paraId="30DA4BF6" w14:textId="77777777" w:rsidR="00D60186" w:rsidRPr="00225D4D" w:rsidRDefault="00D60186" w:rsidP="00225D4D">
      <w:pPr>
        <w:pStyle w:val="avsnitt-undertittel"/>
      </w:pPr>
      <w:r w:rsidRPr="00225D4D">
        <w:t>Vedtak nr. 1046, 12. juni 2025</w:t>
      </w:r>
    </w:p>
    <w:p w14:paraId="41A0FC93" w14:textId="77777777" w:rsidR="00D60186" w:rsidRPr="00225D4D" w:rsidRDefault="00D60186" w:rsidP="00225D4D">
      <w:pPr>
        <w:pStyle w:val="blokksit"/>
        <w:rPr>
          <w:rStyle w:val="kursiv"/>
        </w:rPr>
      </w:pPr>
      <w:r w:rsidRPr="00225D4D">
        <w:rPr>
          <w:rStyle w:val="kursiv"/>
        </w:rPr>
        <w:t>«Stortinget ber regjeringen videreutvikle havbruksfondet for å sikre og opprettholde stabile og forutsigbare inntekter til vertskommuner, vertsfylker og lokalsamfunn.»</w:t>
      </w:r>
    </w:p>
    <w:p w14:paraId="580675EF"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0AE72632" w14:textId="77777777" w:rsidR="00D60186" w:rsidRPr="00225D4D" w:rsidRDefault="00D60186" w:rsidP="00225D4D">
      <w:r w:rsidRPr="00225D4D">
        <w:t>Regjeringen vil komme tilbake til Stortinget på egnet måte.</w:t>
      </w:r>
    </w:p>
    <w:p w14:paraId="60B113DE" w14:textId="77777777" w:rsidR="00D60186" w:rsidRPr="00225D4D" w:rsidRDefault="00D60186" w:rsidP="00225D4D">
      <w:pPr>
        <w:pStyle w:val="avsnitt-tittel"/>
      </w:pPr>
      <w:r w:rsidRPr="00225D4D">
        <w:t>Fordelingsnøkkel for lusekvoter basert på tillatt biomasse per selskap</w:t>
      </w:r>
    </w:p>
    <w:p w14:paraId="04542556" w14:textId="77777777" w:rsidR="00D60186" w:rsidRPr="00225D4D" w:rsidRDefault="00D60186" w:rsidP="00225D4D">
      <w:pPr>
        <w:pStyle w:val="avsnitt-undertittel"/>
      </w:pPr>
      <w:r w:rsidRPr="00225D4D">
        <w:t>Vedtak nr. 1047, 12. juni 2025</w:t>
      </w:r>
    </w:p>
    <w:p w14:paraId="2B29071F" w14:textId="77777777" w:rsidR="00D60186" w:rsidRPr="00225D4D" w:rsidRDefault="00D60186" w:rsidP="00225D4D">
      <w:pPr>
        <w:pStyle w:val="blokksit"/>
        <w:rPr>
          <w:rStyle w:val="kursiv"/>
        </w:rPr>
      </w:pPr>
      <w:r w:rsidRPr="00225D4D">
        <w:rPr>
          <w:rStyle w:val="kursiv"/>
        </w:rPr>
        <w:t>«Stortinget ber regjeringen utrede en fordelingsnøkkel for eventuell tildeling av lusekvoter basert på selskaps-MTB (maksimalt tillatt biomasse), og vurdere konsekvensene av eventuell oppheving av MTB, herunder selskapsverdier og eierskap.»</w:t>
      </w:r>
    </w:p>
    <w:p w14:paraId="6002F08C"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 Innholdet i vedtaket inngår i den helhetlige utredningen av reguleringssystemet for havbruksnæringen under vedtak nr. 1039 av 12. juni 2025, jf. omtale ovenfor.</w:t>
      </w:r>
    </w:p>
    <w:p w14:paraId="6BD32537" w14:textId="77777777" w:rsidR="00D60186" w:rsidRPr="00225D4D" w:rsidRDefault="00D60186" w:rsidP="00225D4D">
      <w:r w:rsidRPr="00225D4D">
        <w:t>Vedtaket anses med dette som fulgt opp.</w:t>
      </w:r>
    </w:p>
    <w:p w14:paraId="1E47A093" w14:textId="77777777" w:rsidR="00D60186" w:rsidRPr="00225D4D" w:rsidRDefault="00D60186" w:rsidP="00225D4D">
      <w:pPr>
        <w:pStyle w:val="avsnitt-tittel"/>
      </w:pPr>
      <w:r w:rsidRPr="00225D4D">
        <w:t>Rammevilkår for akvakulturnæringen</w:t>
      </w:r>
    </w:p>
    <w:p w14:paraId="3CE7E8F7" w14:textId="77777777" w:rsidR="00D60186" w:rsidRPr="00225D4D" w:rsidRDefault="00D60186" w:rsidP="00225D4D">
      <w:pPr>
        <w:pStyle w:val="avsnitt-undertittel"/>
      </w:pPr>
      <w:r w:rsidRPr="00225D4D">
        <w:t>Vedtak nr. 1048, 12. juni 2025</w:t>
      </w:r>
    </w:p>
    <w:p w14:paraId="27E12319" w14:textId="77777777" w:rsidR="00D60186" w:rsidRPr="00225D4D" w:rsidRDefault="00D60186" w:rsidP="00225D4D">
      <w:pPr>
        <w:pStyle w:val="blokksit"/>
        <w:rPr>
          <w:rStyle w:val="kursiv"/>
        </w:rPr>
      </w:pPr>
      <w:r w:rsidRPr="00225D4D">
        <w:rPr>
          <w:rStyle w:val="kursiv"/>
        </w:rPr>
        <w:t>«Stortinget ber regjeringen sikre at et nytt reguleringssystem for akvakulturnæringen legger til rette for rammevilkår som også ivaretar små og mellomstore aktører, og at det er strukturnøytralt.»</w:t>
      </w:r>
    </w:p>
    <w:p w14:paraId="030C47FC"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0932301E" w14:textId="77777777" w:rsidR="00D60186" w:rsidRPr="00225D4D" w:rsidRDefault="00D60186" w:rsidP="00225D4D">
      <w:r w:rsidRPr="00225D4D">
        <w:t>Regjeringen vil komme tilbake til Stortinget på egnet måte.</w:t>
      </w:r>
    </w:p>
    <w:p w14:paraId="656CB0C3" w14:textId="77777777" w:rsidR="00D60186" w:rsidRPr="00225D4D" w:rsidRDefault="00D60186" w:rsidP="00225D4D">
      <w:pPr>
        <w:pStyle w:val="avsnitt-tittel"/>
      </w:pPr>
      <w:r w:rsidRPr="00225D4D">
        <w:t xml:space="preserve">Opprettholdelse av </w:t>
      </w:r>
      <w:proofErr w:type="spellStart"/>
      <w:r w:rsidRPr="00225D4D">
        <w:t>artsbegrensning</w:t>
      </w:r>
      <w:proofErr w:type="spellEnd"/>
      <w:r w:rsidRPr="00225D4D">
        <w:t xml:space="preserve"> i akvakulturtillatelser</w:t>
      </w:r>
    </w:p>
    <w:p w14:paraId="15C60CB6" w14:textId="77777777" w:rsidR="00D60186" w:rsidRPr="00225D4D" w:rsidRDefault="00D60186" w:rsidP="00225D4D">
      <w:pPr>
        <w:pStyle w:val="avsnitt-undertittel"/>
      </w:pPr>
      <w:r w:rsidRPr="00225D4D">
        <w:t>Vedtak nr. 1049, 12. juni 2025</w:t>
      </w:r>
    </w:p>
    <w:p w14:paraId="69E2718A" w14:textId="77777777" w:rsidR="00D60186" w:rsidRPr="00225D4D" w:rsidRDefault="00D60186" w:rsidP="00225D4D">
      <w:pPr>
        <w:pStyle w:val="blokksit"/>
        <w:rPr>
          <w:rStyle w:val="kursiv"/>
        </w:rPr>
      </w:pPr>
      <w:r w:rsidRPr="00225D4D">
        <w:rPr>
          <w:rStyle w:val="kursiv"/>
        </w:rPr>
        <w:t>«Stortinget ber regjeringen om ikke å oppheve artsbegrensing i akvakulturtillatelser.»</w:t>
      </w:r>
    </w:p>
    <w:p w14:paraId="2F2AA9A7"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12BB4270" w14:textId="77777777" w:rsidR="00D60186" w:rsidRPr="00225D4D" w:rsidRDefault="00D60186" w:rsidP="00225D4D">
      <w:r w:rsidRPr="00225D4D">
        <w:t>Regjeringen vil komme tilbake til Stortinget på egnet måte.</w:t>
      </w:r>
    </w:p>
    <w:p w14:paraId="34F08334" w14:textId="77777777" w:rsidR="00D60186" w:rsidRPr="00225D4D" w:rsidRDefault="00D60186" w:rsidP="00225D4D">
      <w:pPr>
        <w:pStyle w:val="avsnitt-tittel"/>
      </w:pPr>
      <w:r w:rsidRPr="00225D4D">
        <w:t>Lokal foredling av oppdrettsfisk</w:t>
      </w:r>
    </w:p>
    <w:p w14:paraId="09E6246E" w14:textId="77777777" w:rsidR="00D60186" w:rsidRPr="00225D4D" w:rsidRDefault="00D60186" w:rsidP="00225D4D">
      <w:pPr>
        <w:pStyle w:val="avsnitt-undertittel"/>
      </w:pPr>
      <w:r w:rsidRPr="00225D4D">
        <w:t>Vedtak nr. 1050, 12. juni 2025</w:t>
      </w:r>
    </w:p>
    <w:p w14:paraId="5D104ED3" w14:textId="77777777" w:rsidR="00D60186" w:rsidRPr="00225D4D" w:rsidRDefault="00D60186" w:rsidP="00225D4D">
      <w:pPr>
        <w:pStyle w:val="blokksit"/>
        <w:rPr>
          <w:rStyle w:val="kursiv"/>
        </w:rPr>
      </w:pPr>
      <w:r w:rsidRPr="00225D4D">
        <w:rPr>
          <w:rStyle w:val="kursiv"/>
        </w:rPr>
        <w:t>«Stortinget ber regjeringen legge til rette for større andel lokal foredling av oppdrettsfisken.»</w:t>
      </w:r>
    </w:p>
    <w:p w14:paraId="55ACDDB3"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63C20F31" w14:textId="77777777" w:rsidR="00D60186" w:rsidRPr="00225D4D" w:rsidRDefault="00D60186" w:rsidP="00225D4D">
      <w:r w:rsidRPr="00225D4D">
        <w:t>Regjeringen vil komme tilbake til Stortinget på egnet måte.</w:t>
      </w:r>
    </w:p>
    <w:p w14:paraId="26CDAB9C" w14:textId="77777777" w:rsidR="00D60186" w:rsidRPr="00225D4D" w:rsidRDefault="00D60186" w:rsidP="00225D4D">
      <w:pPr>
        <w:pStyle w:val="avsnitt-tittel"/>
      </w:pPr>
      <w:r w:rsidRPr="00225D4D">
        <w:t>Sirkulærøkonomi i havbruket basert på slam og avfallsstrømmer</w:t>
      </w:r>
    </w:p>
    <w:p w14:paraId="3B3D4D39" w14:textId="77777777" w:rsidR="00D60186" w:rsidRPr="00225D4D" w:rsidRDefault="00D60186" w:rsidP="00225D4D">
      <w:pPr>
        <w:pStyle w:val="avsnitt-undertittel"/>
      </w:pPr>
      <w:r w:rsidRPr="00225D4D">
        <w:t>Vedtak nr. 1051, 12. juni 2025</w:t>
      </w:r>
    </w:p>
    <w:p w14:paraId="39C85D79" w14:textId="77777777" w:rsidR="00D60186" w:rsidRPr="00225D4D" w:rsidRDefault="00D60186" w:rsidP="00225D4D">
      <w:pPr>
        <w:pStyle w:val="blokksit"/>
        <w:rPr>
          <w:rStyle w:val="kursiv"/>
        </w:rPr>
      </w:pPr>
      <w:r w:rsidRPr="00225D4D">
        <w:rPr>
          <w:rStyle w:val="kursiv"/>
        </w:rPr>
        <w:t>«Stortinget ber regjeringen, i løpet av 2026, legge frem en vurdering av hvordan slam og andre avfallsstrømmer fra havbruk kan inngå i en mer sirkulær økonomi, inkludert muligheter for gjenvinning, bruk i jordbruk og energi, samt utvikling av en nasjonal strategi for sirkulærøkonomi i havbruket»</w:t>
      </w:r>
    </w:p>
    <w:p w14:paraId="56B6B5A9"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3A63F1E8" w14:textId="77777777" w:rsidR="00D60186" w:rsidRPr="00225D4D" w:rsidRDefault="00D60186" w:rsidP="00225D4D">
      <w:r w:rsidRPr="00225D4D">
        <w:t>Regjeringen vil komme tilbake til Stortinget på egnet måte.</w:t>
      </w:r>
    </w:p>
    <w:p w14:paraId="27441F22" w14:textId="77777777" w:rsidR="00D60186" w:rsidRPr="00225D4D" w:rsidRDefault="00D60186" w:rsidP="00225D4D">
      <w:pPr>
        <w:pStyle w:val="avsnitt-tittel"/>
      </w:pPr>
      <w:r w:rsidRPr="00225D4D">
        <w:t>Tiltak for dødelighet under 5 prosent i akvakultur</w:t>
      </w:r>
    </w:p>
    <w:p w14:paraId="7B6B2A9F" w14:textId="77777777" w:rsidR="00D60186" w:rsidRPr="00225D4D" w:rsidRDefault="00D60186" w:rsidP="00225D4D">
      <w:pPr>
        <w:pStyle w:val="avsnitt-undertittel"/>
      </w:pPr>
      <w:r w:rsidRPr="00225D4D">
        <w:t>Vedtak nr. 1052, 12. juni 2025</w:t>
      </w:r>
    </w:p>
    <w:p w14:paraId="594F1CB5" w14:textId="77777777" w:rsidR="00D60186" w:rsidRPr="00225D4D" w:rsidRDefault="00D60186" w:rsidP="00225D4D">
      <w:pPr>
        <w:pStyle w:val="blokksit"/>
        <w:rPr>
          <w:rStyle w:val="kursiv"/>
        </w:rPr>
      </w:pPr>
      <w:r w:rsidRPr="00225D4D">
        <w:rPr>
          <w:rStyle w:val="kursiv"/>
        </w:rPr>
        <w:t>«Stortinget ber regjeringen iverksette arbeid med tiltak for å nå målsettingen satt i dyrevelferdsmeldingen om en dødelighet for alle fiskearter i akvakultur ned mot 5 pst.»</w:t>
      </w:r>
    </w:p>
    <w:p w14:paraId="4B0D2AD6"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533140D6" w14:textId="77777777" w:rsidR="00D60186" w:rsidRPr="00225D4D" w:rsidRDefault="00D60186" w:rsidP="00225D4D">
      <w:r w:rsidRPr="00225D4D">
        <w:t>Regjeringen vil komme tilbake til Stortinget på egnet måte.</w:t>
      </w:r>
    </w:p>
    <w:p w14:paraId="23913D91" w14:textId="77777777" w:rsidR="00D60186" w:rsidRPr="00225D4D" w:rsidRDefault="00D60186" w:rsidP="00225D4D">
      <w:pPr>
        <w:pStyle w:val="avsnitt-tittel"/>
      </w:pPr>
      <w:r w:rsidRPr="00225D4D">
        <w:t>Teknologinøytral miljøteknologiordning for nullutslippsanlegg i røde områder</w:t>
      </w:r>
    </w:p>
    <w:p w14:paraId="15F3A5C4" w14:textId="77777777" w:rsidR="00D60186" w:rsidRPr="00225D4D" w:rsidRDefault="00D60186" w:rsidP="00225D4D">
      <w:pPr>
        <w:pStyle w:val="avsnitt-undertittel"/>
      </w:pPr>
      <w:r w:rsidRPr="00225D4D">
        <w:t>Vedtak nr. 1053, 12. juni 2025</w:t>
      </w:r>
    </w:p>
    <w:p w14:paraId="3F2B0B9F" w14:textId="77777777" w:rsidR="00D60186" w:rsidRPr="00225D4D" w:rsidRDefault="00D60186" w:rsidP="00225D4D">
      <w:pPr>
        <w:pStyle w:val="blokksit"/>
        <w:rPr>
          <w:rStyle w:val="kursiv"/>
        </w:rPr>
      </w:pPr>
      <w:r w:rsidRPr="00225D4D">
        <w:rPr>
          <w:rStyle w:val="kursiv"/>
        </w:rPr>
        <w:t xml:space="preserve">«Stortinget ber regjeringen innføre en teknologinøytral miljøteknologiordning i havbruksnæringen fra høsten 2025, der </w:t>
      </w:r>
      <w:proofErr w:type="gramStart"/>
      <w:r w:rsidRPr="00225D4D">
        <w:rPr>
          <w:rStyle w:val="kursiv"/>
        </w:rPr>
        <w:t>nedtrukket kapasitet</w:t>
      </w:r>
      <w:proofErr w:type="gramEnd"/>
      <w:r w:rsidRPr="00225D4D">
        <w:rPr>
          <w:rStyle w:val="kursiv"/>
        </w:rPr>
        <w:t xml:space="preserve"> i røde områder kan tas i bruk i anlegg med nullutslipp.»</w:t>
      </w:r>
    </w:p>
    <w:p w14:paraId="7169AE2C"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7E4BBEE6" w14:textId="77777777" w:rsidR="00D60186" w:rsidRPr="00225D4D" w:rsidRDefault="00D60186" w:rsidP="00225D4D">
      <w:r w:rsidRPr="00225D4D">
        <w:t xml:space="preserve">Nærings- og fiskeridepartementet sendte et forslag om bruk av nedjustert kapasitet på særskilte miljøvilkår på høring 20. desember 2024. Høringsfristen var 20. mars 2025. I høringen foreslår departementet at selskap som har fått nedtrukket kapasitet som følge uakseptabel miljøpåvirkning, likevel kan få tilbakeført kapasiteten mot at denne utnyttes i produksjonsanlegg uten utslipp av lus og med mulighet for oppsamling av slam og </w:t>
      </w:r>
      <w:proofErr w:type="spellStart"/>
      <w:r w:rsidRPr="00225D4D">
        <w:t>fôrrester</w:t>
      </w:r>
      <w:proofErr w:type="spellEnd"/>
      <w:r w:rsidRPr="00225D4D">
        <w:t>. Nærings- og fiskeridepartementet arbeider med å følge opp høringen.</w:t>
      </w:r>
    </w:p>
    <w:p w14:paraId="3AE77391" w14:textId="77777777" w:rsidR="00D60186" w:rsidRPr="00225D4D" w:rsidRDefault="00D60186" w:rsidP="00225D4D">
      <w:r w:rsidRPr="00225D4D">
        <w:t>Regjeringen vil komme tilbake til Stortinget på egnet måte.</w:t>
      </w:r>
    </w:p>
    <w:p w14:paraId="5C495ECF" w14:textId="77777777" w:rsidR="00D60186" w:rsidRPr="00225D4D" w:rsidRDefault="00D60186" w:rsidP="00225D4D">
      <w:pPr>
        <w:pStyle w:val="avsnitt-tittel"/>
      </w:pPr>
      <w:r w:rsidRPr="00225D4D">
        <w:t>Ny ordning for lavutslippsteknologi i trafikklyssystemet</w:t>
      </w:r>
    </w:p>
    <w:p w14:paraId="05C722F0" w14:textId="77777777" w:rsidR="00D60186" w:rsidRPr="00225D4D" w:rsidRDefault="00D60186" w:rsidP="00225D4D">
      <w:pPr>
        <w:pStyle w:val="avsnitt-undertittel"/>
      </w:pPr>
      <w:r w:rsidRPr="00225D4D">
        <w:t>Vedtak nr. 1054, 12. juni 2025</w:t>
      </w:r>
    </w:p>
    <w:p w14:paraId="43940EB4" w14:textId="77777777" w:rsidR="00D60186" w:rsidRPr="00225D4D" w:rsidRDefault="00D60186" w:rsidP="00225D4D">
      <w:pPr>
        <w:pStyle w:val="blokksit"/>
        <w:rPr>
          <w:rStyle w:val="kursiv"/>
        </w:rPr>
      </w:pPr>
      <w:r w:rsidRPr="00225D4D">
        <w:rPr>
          <w:rStyle w:val="kursiv"/>
        </w:rPr>
        <w:t>«Stortinget ber regjeringen fremme forslag om en ordning som også omfatter lavutslippsløsninger, når det foreligger tilstrekkelig datagrunnlag og teknologisk verifikasjon – herunder automatisert lusetelling. Dette forutsetter utredning og høring, og ny ordning skal senest tre i kraft i løpet av 2026. Ordningen skal erstatte dagens unntaksregel i trafikklyssystemet og innrettes slik at effekt på lusereduksjon og styrke på insentiv henger sammen.»</w:t>
      </w:r>
    </w:p>
    <w:p w14:paraId="2204EE1A"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322F25B3" w14:textId="77777777" w:rsidR="00D60186" w:rsidRPr="00225D4D" w:rsidRDefault="00D60186" w:rsidP="00225D4D">
      <w:r w:rsidRPr="00225D4D">
        <w:t>Regjeringen vil komme tilbake til Stortinget på egnet måte.</w:t>
      </w:r>
    </w:p>
    <w:p w14:paraId="55C61E17" w14:textId="77777777" w:rsidR="00D60186" w:rsidRPr="00225D4D" w:rsidRDefault="00D60186" w:rsidP="00225D4D">
      <w:pPr>
        <w:pStyle w:val="avsnitt-tittel"/>
      </w:pPr>
      <w:r w:rsidRPr="00225D4D">
        <w:t>Videreføring av hensyn bak særtillatelser i ny regulering</w:t>
      </w:r>
    </w:p>
    <w:p w14:paraId="2C7D3EEF" w14:textId="77777777" w:rsidR="00D60186" w:rsidRPr="00225D4D" w:rsidRDefault="00D60186" w:rsidP="00225D4D">
      <w:pPr>
        <w:pStyle w:val="avsnitt-undertittel"/>
      </w:pPr>
      <w:r w:rsidRPr="00225D4D">
        <w:t>Vedtak nr. 1055, 12. juni 2025</w:t>
      </w:r>
    </w:p>
    <w:p w14:paraId="5BE423D9" w14:textId="77777777" w:rsidR="00D60186" w:rsidRPr="00225D4D" w:rsidRDefault="00D60186" w:rsidP="00225D4D">
      <w:pPr>
        <w:pStyle w:val="blokksit"/>
        <w:rPr>
          <w:rStyle w:val="kursiv"/>
        </w:rPr>
      </w:pPr>
      <w:r w:rsidRPr="00225D4D">
        <w:rPr>
          <w:rStyle w:val="kursiv"/>
        </w:rPr>
        <w:t>«Stortinget ber regjeringen sørge for at hensynet bak særtillatelser videreføres i ny reguleringsstruktur, og det skal utredes hvordan hensynene kan inkluderes i ny innretning.»</w:t>
      </w:r>
    </w:p>
    <w:p w14:paraId="5A40318B"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6BB9890B" w14:textId="77777777" w:rsidR="00D60186" w:rsidRPr="00225D4D" w:rsidRDefault="00D60186" w:rsidP="00225D4D">
      <w:r w:rsidRPr="00225D4D">
        <w:t>Regjeringen vil komme tilbake til Stortinget på egnet måte.</w:t>
      </w:r>
    </w:p>
    <w:p w14:paraId="47CB6C3F" w14:textId="77777777" w:rsidR="00D60186" w:rsidRPr="00225D4D" w:rsidRDefault="00D60186" w:rsidP="00225D4D">
      <w:pPr>
        <w:pStyle w:val="avsnitt-tittel"/>
      </w:pPr>
      <w:r w:rsidRPr="00225D4D">
        <w:t>HMS i havbruk</w:t>
      </w:r>
    </w:p>
    <w:p w14:paraId="62049376" w14:textId="77777777" w:rsidR="00D60186" w:rsidRPr="00225D4D" w:rsidRDefault="00D60186" w:rsidP="00225D4D">
      <w:pPr>
        <w:pStyle w:val="avsnitt-undertittel"/>
      </w:pPr>
      <w:r w:rsidRPr="00225D4D">
        <w:t>Vedtak nr. 1056, 12. juni 2025</w:t>
      </w:r>
    </w:p>
    <w:p w14:paraId="649A0941" w14:textId="77777777" w:rsidR="00D60186" w:rsidRPr="00225D4D" w:rsidRDefault="00D60186" w:rsidP="00225D4D">
      <w:pPr>
        <w:pStyle w:val="blokksit"/>
        <w:rPr>
          <w:rStyle w:val="kursiv"/>
        </w:rPr>
      </w:pPr>
      <w:r w:rsidRPr="00225D4D">
        <w:rPr>
          <w:rStyle w:val="kursiv"/>
        </w:rPr>
        <w:t>«Stortinget ber regjeringen, i det videre arbeidet med havbruksmeldingen og de utredninger som skal gjøres, vurdere forholdet til den vedtatt nullvisjonen for hardt skadde og omkomne yrkesaktive på sjøen og HMS i havbruksnæringen.»</w:t>
      </w:r>
    </w:p>
    <w:p w14:paraId="0461F854"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3D806FB4" w14:textId="77777777" w:rsidR="00D60186" w:rsidRPr="00225D4D" w:rsidRDefault="00D60186" w:rsidP="00225D4D">
      <w:r w:rsidRPr="00225D4D">
        <w:t>Regjeringen vil komme tilbake til Stortinget på egnet måte.</w:t>
      </w:r>
    </w:p>
    <w:p w14:paraId="034A2748" w14:textId="77777777" w:rsidR="00D60186" w:rsidRPr="00225D4D" w:rsidRDefault="00D60186" w:rsidP="00225D4D">
      <w:pPr>
        <w:pStyle w:val="avsnitt-tittel"/>
      </w:pPr>
      <w:r w:rsidRPr="00225D4D">
        <w:t>Styrking av lavtrofisk akvakultur og makroalgedyrking</w:t>
      </w:r>
    </w:p>
    <w:p w14:paraId="4ED1B54B" w14:textId="77777777" w:rsidR="00D60186" w:rsidRPr="00225D4D" w:rsidRDefault="00D60186" w:rsidP="00225D4D">
      <w:pPr>
        <w:pStyle w:val="avsnitt-undertittel"/>
      </w:pPr>
      <w:r w:rsidRPr="00225D4D">
        <w:t>Vedtak nr. 1057, 12. juni 2025</w:t>
      </w:r>
    </w:p>
    <w:p w14:paraId="5E24EAAB" w14:textId="77777777" w:rsidR="00D60186" w:rsidRPr="00225D4D" w:rsidRDefault="00D60186" w:rsidP="00225D4D">
      <w:pPr>
        <w:pStyle w:val="blokksit"/>
        <w:rPr>
          <w:rStyle w:val="kursiv"/>
        </w:rPr>
      </w:pPr>
      <w:r w:rsidRPr="00225D4D">
        <w:rPr>
          <w:rStyle w:val="kursiv"/>
        </w:rPr>
        <w:t xml:space="preserve">«Stortinget ber regjeringen legge til rette for økt produksjon av lavtrofisk akvakultur, herunder makroalge-dyrking, med mål om å legge til rette for bærekraftig vekst og økt verdiskaping innen produksjon av </w:t>
      </w:r>
      <w:proofErr w:type="gramStart"/>
      <w:r w:rsidRPr="00225D4D">
        <w:rPr>
          <w:rStyle w:val="kursiv"/>
        </w:rPr>
        <w:t>lavtrofiske arter</w:t>
      </w:r>
      <w:proofErr w:type="gramEnd"/>
      <w:r w:rsidRPr="00225D4D">
        <w:rPr>
          <w:rStyle w:val="kursiv"/>
        </w:rPr>
        <w:t>, inkludert arealtilgang.»</w:t>
      </w:r>
    </w:p>
    <w:p w14:paraId="494B8C98" w14:textId="77777777" w:rsidR="00D60186" w:rsidRPr="00225D4D" w:rsidRDefault="00D60186" w:rsidP="00225D4D">
      <w:r w:rsidRPr="00225D4D">
        <w:t xml:space="preserve">Vedtaket ble truffet under behandlingen av Fremtidens havbruk – Bærekraftig vekst og mat til verden, jf. Meld. St. 24 (2024–2025), </w:t>
      </w:r>
      <w:proofErr w:type="spellStart"/>
      <w:r w:rsidRPr="00225D4D">
        <w:t>Innst</w:t>
      </w:r>
      <w:proofErr w:type="spellEnd"/>
      <w:r w:rsidRPr="00225D4D">
        <w:t>. 525 S (2024–2025).</w:t>
      </w:r>
    </w:p>
    <w:p w14:paraId="725D8153" w14:textId="77777777" w:rsidR="00D60186" w:rsidRPr="00225D4D" w:rsidRDefault="00D60186" w:rsidP="00225D4D">
      <w:r w:rsidRPr="00225D4D">
        <w:t>Regjeringen vil komme tilbake til Stortinget på egnet måte.</w:t>
      </w:r>
    </w:p>
    <w:p w14:paraId="083752C1" w14:textId="77777777" w:rsidR="00D60186" w:rsidRPr="00225D4D" w:rsidRDefault="00D60186" w:rsidP="00225D4D">
      <w:pPr>
        <w:pStyle w:val="avsnitt-tittel"/>
      </w:pPr>
      <w:r w:rsidRPr="00225D4D">
        <w:t>Ekstern kvalitetssikring (KS2) for Borg havn</w:t>
      </w:r>
    </w:p>
    <w:p w14:paraId="4D6E647E" w14:textId="77777777" w:rsidR="00D60186" w:rsidRPr="00225D4D" w:rsidRDefault="00D60186" w:rsidP="00225D4D">
      <w:pPr>
        <w:pStyle w:val="avsnitt-undertittel"/>
      </w:pPr>
      <w:r w:rsidRPr="00225D4D">
        <w:t>Vedtak nr. 1246, 20. juni 2025</w:t>
      </w:r>
    </w:p>
    <w:p w14:paraId="1F122053" w14:textId="77777777" w:rsidR="00D60186" w:rsidRPr="00225D4D" w:rsidRDefault="00D60186" w:rsidP="00225D4D">
      <w:pPr>
        <w:pStyle w:val="blokksit"/>
        <w:rPr>
          <w:rStyle w:val="kursiv"/>
        </w:rPr>
      </w:pPr>
      <w:r w:rsidRPr="00225D4D">
        <w:rPr>
          <w:rStyle w:val="kursiv"/>
        </w:rPr>
        <w:t>«Stortinget ber regjeringen gjennomføre KS2 for prosjektet Borg havn og komme tilbake til Stortinget senest i revidert nasjonalbudsjett for 2026.»</w:t>
      </w:r>
    </w:p>
    <w:p w14:paraId="156ECEDF" w14:textId="77777777" w:rsidR="00D60186" w:rsidRPr="00225D4D" w:rsidRDefault="00D60186" w:rsidP="00225D4D">
      <w:r w:rsidRPr="00225D4D">
        <w:t xml:space="preserve">Vedtaket ble truffet under behandlingen av Revidert nasjonalbudsjett 2025, jf. Meld. St. 2 (2024–2025), </w:t>
      </w:r>
      <w:proofErr w:type="spellStart"/>
      <w:r w:rsidRPr="00225D4D">
        <w:t>Innst</w:t>
      </w:r>
      <w:proofErr w:type="spellEnd"/>
      <w:r w:rsidRPr="00225D4D">
        <w:t>. 540 S (2024–2025).</w:t>
      </w:r>
    </w:p>
    <w:p w14:paraId="5702F5C3" w14:textId="77777777" w:rsidR="00D60186" w:rsidRPr="00225D4D" w:rsidRDefault="00D60186" w:rsidP="00225D4D">
      <w:r w:rsidRPr="00225D4D">
        <w:t>Nærings- og fiskeridepartementet er i gang med å følge opp vedtaket. Regjeringen vil komme tilbake til Stortinget på egnet måte.</w:t>
      </w:r>
    </w:p>
    <w:p w14:paraId="279B0EE3" w14:textId="77777777" w:rsidR="00D60186" w:rsidRPr="00225D4D" w:rsidRDefault="00D60186" w:rsidP="00225D4D">
      <w:pPr>
        <w:pStyle w:val="Undertittel"/>
      </w:pPr>
      <w:r w:rsidRPr="00225D4D">
        <w:t>Anmodningsvedtak under næringsministeren</w:t>
      </w:r>
    </w:p>
    <w:p w14:paraId="0296D42A" w14:textId="77777777" w:rsidR="00D60186" w:rsidRPr="00225D4D" w:rsidRDefault="00D60186" w:rsidP="00225D4D">
      <w:pPr>
        <w:pStyle w:val="avsnitt-tittel"/>
      </w:pPr>
      <w:r w:rsidRPr="00225D4D">
        <w:t>Regulatoriske sandkasser – testing av ny teknologi</w:t>
      </w:r>
    </w:p>
    <w:p w14:paraId="6F55FD7C" w14:textId="77777777" w:rsidR="00D60186" w:rsidRPr="00225D4D" w:rsidRDefault="00D60186" w:rsidP="00225D4D">
      <w:pPr>
        <w:pStyle w:val="avsnitt-undertittel"/>
      </w:pPr>
      <w:r w:rsidRPr="00225D4D">
        <w:t>Vedtak nr. 461, 13. februar 2025</w:t>
      </w:r>
    </w:p>
    <w:p w14:paraId="50EA8106" w14:textId="77777777" w:rsidR="00D60186" w:rsidRPr="00225D4D" w:rsidRDefault="00D60186" w:rsidP="00225D4D">
      <w:pPr>
        <w:pStyle w:val="blokksit"/>
        <w:rPr>
          <w:rStyle w:val="kursiv"/>
        </w:rPr>
      </w:pPr>
      <w:r w:rsidRPr="00225D4D">
        <w:rPr>
          <w:rStyle w:val="kursiv"/>
        </w:rPr>
        <w:t>«Stortinget ber regjeringen etablere regulatoriske sandkasser til testing av ny teknologi som utfordrer eksisterende regelverk, gjerne samlokalisert med næringshager, klynger eller katapulter.»</w:t>
      </w:r>
    </w:p>
    <w:p w14:paraId="4F64A137" w14:textId="77777777" w:rsidR="00D60186" w:rsidRPr="00225D4D" w:rsidRDefault="00D60186" w:rsidP="00225D4D">
      <w:r w:rsidRPr="00225D4D">
        <w:t xml:space="preserve">Vedtaket ble truffet under behandlingen av saken Gründere og oppstartsbedrifter, jf. Meld. St. 6 (2024–2025), </w:t>
      </w:r>
      <w:proofErr w:type="spellStart"/>
      <w:r w:rsidRPr="00225D4D">
        <w:t>Innst</w:t>
      </w:r>
      <w:proofErr w:type="spellEnd"/>
      <w:r w:rsidRPr="00225D4D">
        <w:t>. 128 S (2024–2025).</w:t>
      </w:r>
    </w:p>
    <w:p w14:paraId="6289933F" w14:textId="77777777" w:rsidR="00D60186" w:rsidRPr="00225D4D" w:rsidRDefault="00D60186" w:rsidP="00225D4D">
      <w:r w:rsidRPr="00225D4D">
        <w:t>I Norge har vi en regulatorisk sandkasse i Datatilsynet, samt at ny regulatorisk sandkasse på KI nå etableres i Digitaliseringsdirektoratet i forbindelse med innføringen av KI-forordningen i norsk rett. Den regulatoriske KI-sandkassen vil være et viktig innovasjonsverktøy, og skal fremme økt konkurranseevne og lette tilgangen til markedet for norske KI-systemer, særlig for små- og mellomstore bedrifter og oppstartsbedrifter. I sandkassen kan leverandører og tilbydere av innovative KI-systemer utvikle, trene, teste og kontrollere at produktet oppfyller kravene i KI-forordningen før det plasseres på markedet eller tas i bruk. Sandkassen skal være et formelt samarbeid mellom Nasjonal kommunikasjonsmyndighet, Digitaliseringsdirektoratet og Datatilsynet, og plasseres i KI Norge. I forbindelse med innlemmelse av EUs KI-forordning i norsk rett, vil det innføres ytterligere minst én regulatorisk sandkasse på nasjonalt nivå.</w:t>
      </w:r>
    </w:p>
    <w:p w14:paraId="52E2B0AD" w14:textId="77777777" w:rsidR="00D60186" w:rsidRPr="00225D4D" w:rsidRDefault="00D60186" w:rsidP="00225D4D">
      <w:r w:rsidRPr="00225D4D">
        <w:t>Regjeringen vil også løpende vurdere behovet for ytterligere regulatoriske sandkasser, hvor bedrifter kan komme med sine problemstillinger og få konkret hjelp til forslag til teknologier og tiltak som er tilpasset selskapets behov.</w:t>
      </w:r>
    </w:p>
    <w:p w14:paraId="5DA0C00D" w14:textId="77777777" w:rsidR="00D60186" w:rsidRPr="00225D4D" w:rsidRDefault="00D60186" w:rsidP="00225D4D">
      <w:r w:rsidRPr="00225D4D">
        <w:t>Vedtaket anses med dette som fulgt opp.</w:t>
      </w:r>
    </w:p>
    <w:p w14:paraId="7AF49F71" w14:textId="77777777" w:rsidR="00D60186" w:rsidRPr="00225D4D" w:rsidRDefault="00D60186" w:rsidP="00225D4D">
      <w:pPr>
        <w:pStyle w:val="avsnitt-tittel"/>
      </w:pPr>
      <w:r w:rsidRPr="00225D4D">
        <w:t>FoU i næringslivet – 2 pst. av BNP</w:t>
      </w:r>
    </w:p>
    <w:p w14:paraId="1595A166" w14:textId="77777777" w:rsidR="00D60186" w:rsidRPr="00225D4D" w:rsidRDefault="00D60186" w:rsidP="00225D4D">
      <w:pPr>
        <w:pStyle w:val="avsnitt-undertittel"/>
      </w:pPr>
      <w:r w:rsidRPr="00225D4D">
        <w:t>Vedtak nr. 462, 13. februar 2025</w:t>
      </w:r>
    </w:p>
    <w:p w14:paraId="285D7689" w14:textId="77777777" w:rsidR="00D60186" w:rsidRPr="00225D4D" w:rsidRDefault="00D60186" w:rsidP="00225D4D">
      <w:pPr>
        <w:pStyle w:val="blokksit"/>
        <w:rPr>
          <w:rStyle w:val="kursiv"/>
        </w:rPr>
      </w:pPr>
      <w:r w:rsidRPr="00225D4D">
        <w:rPr>
          <w:rStyle w:val="kursiv"/>
        </w:rPr>
        <w:t>«Stortinget ber regjeringen legge frem forslag som kan bidra til at næringslivet oppnår målet om at 2 pst. av BNP brukes på FoU.»</w:t>
      </w:r>
    </w:p>
    <w:p w14:paraId="24992D41" w14:textId="77777777" w:rsidR="00D60186" w:rsidRPr="00225D4D" w:rsidRDefault="00D60186" w:rsidP="00225D4D">
      <w:r w:rsidRPr="00225D4D">
        <w:t xml:space="preserve">Vedtaket ble truffet under behandlingen av saken Gründere og oppstartsbedrifter, jf. Meld. St. 6 (2024–2025), </w:t>
      </w:r>
      <w:proofErr w:type="spellStart"/>
      <w:r w:rsidRPr="00225D4D">
        <w:t>Innst</w:t>
      </w:r>
      <w:proofErr w:type="spellEnd"/>
      <w:r w:rsidRPr="00225D4D">
        <w:t>. 128 S (2024–2025).</w:t>
      </w:r>
    </w:p>
    <w:p w14:paraId="2369D508" w14:textId="77777777" w:rsidR="00D60186" w:rsidRPr="00225D4D" w:rsidRDefault="00D60186" w:rsidP="00225D4D">
      <w:r w:rsidRPr="00225D4D">
        <w:t xml:space="preserve">Regjeringen lanserte en strategi for å øke næringslivets investeringer i FoU i 2024. I strategien holder regjeringen fast på målet om at norske bedrifters FoU-investeringer skal utgjøre 2 pst. av BNP. I 2025 la regjeringen fram Meld. St. 14 (2024–2025) </w:t>
      </w:r>
      <w:r w:rsidRPr="00225D4D">
        <w:rPr>
          <w:rStyle w:val="kursiv"/>
        </w:rPr>
        <w:t>Sikker kunnskap i en usikker verden</w:t>
      </w:r>
      <w:r w:rsidRPr="00225D4D">
        <w:t>.</w:t>
      </w:r>
    </w:p>
    <w:p w14:paraId="2E1E5326" w14:textId="77777777" w:rsidR="00D60186" w:rsidRPr="00225D4D" w:rsidRDefault="00D60186" w:rsidP="00225D4D">
      <w:r w:rsidRPr="00225D4D">
        <w:t>Næringslivet er den største sektoren når det gjelder forskning og utvikling (FoU) i Norge. I både meldingen og strategien framheves et behov for at næringslivet skal investere mer i FoU. Det har vært vekst i næringslivets investeringer i forskning og utvikling over lengre tid, men vi er fortsatt langt fra målet.</w:t>
      </w:r>
    </w:p>
    <w:p w14:paraId="5C6897F8" w14:textId="77777777" w:rsidR="00D60186" w:rsidRPr="00225D4D" w:rsidRDefault="00D60186" w:rsidP="00225D4D">
      <w:r w:rsidRPr="00225D4D">
        <w:t>I den nylig framlagte stortingsmeldingen om forskningssystemet følger regjeringen opp vedtaket og går blant annet inn for å utrede nye tiltak for økt privat finansiering av forskning som styrker samarbeidet mellom akademia, næringsliv og offentlig sektor, og løfter næringslivets konkurranseevne.</w:t>
      </w:r>
    </w:p>
    <w:p w14:paraId="339AE3A8" w14:textId="77777777" w:rsidR="00D60186" w:rsidRPr="00225D4D" w:rsidRDefault="00D60186" w:rsidP="00225D4D">
      <w:r w:rsidRPr="00225D4D">
        <w:t>Vedtaket anses med dette som fulgt opp.</w:t>
      </w:r>
    </w:p>
    <w:p w14:paraId="581C6059" w14:textId="77777777" w:rsidR="00D60186" w:rsidRPr="00225D4D" w:rsidRDefault="00D60186" w:rsidP="00225D4D">
      <w:pPr>
        <w:pStyle w:val="avsnitt-tittel"/>
      </w:pPr>
      <w:r w:rsidRPr="00225D4D">
        <w:t>Kompetansehevingsprogrammer – offentlig sektor</w:t>
      </w:r>
    </w:p>
    <w:p w14:paraId="53A918A3" w14:textId="77777777" w:rsidR="00D60186" w:rsidRPr="00225D4D" w:rsidRDefault="00D60186" w:rsidP="00225D4D">
      <w:pPr>
        <w:pStyle w:val="avsnitt-undertittel"/>
      </w:pPr>
      <w:r w:rsidRPr="00225D4D">
        <w:t>Vedtak nr. 463, 13. februar 2025</w:t>
      </w:r>
    </w:p>
    <w:p w14:paraId="19230B0C" w14:textId="77777777" w:rsidR="00D60186" w:rsidRPr="00225D4D" w:rsidRDefault="00D60186" w:rsidP="00225D4D">
      <w:pPr>
        <w:pStyle w:val="blokksit"/>
        <w:rPr>
          <w:rStyle w:val="kursiv"/>
        </w:rPr>
      </w:pPr>
      <w:r w:rsidRPr="00225D4D">
        <w:rPr>
          <w:rStyle w:val="kursiv"/>
        </w:rPr>
        <w:t xml:space="preserve">«Stortinget ber regjeringen på egnet måte iverksette kompetansehevingsprogrammer for å styrke </w:t>
      </w:r>
      <w:proofErr w:type="spellStart"/>
      <w:r w:rsidRPr="00225D4D">
        <w:rPr>
          <w:rStyle w:val="kursiv"/>
        </w:rPr>
        <w:t>bestillerkompetansen</w:t>
      </w:r>
      <w:proofErr w:type="spellEnd"/>
      <w:r w:rsidRPr="00225D4D">
        <w:rPr>
          <w:rStyle w:val="kursiv"/>
        </w:rPr>
        <w:t xml:space="preserve"> i offentlig sektor når det gjelder anskaffelser knyttet til digitalisering og nye innovative løsninger.»</w:t>
      </w:r>
    </w:p>
    <w:p w14:paraId="706B7910" w14:textId="77777777" w:rsidR="00D60186" w:rsidRPr="00225D4D" w:rsidRDefault="00D60186" w:rsidP="00225D4D">
      <w:r w:rsidRPr="00225D4D">
        <w:t xml:space="preserve">Vedtaket ble truffet under behandlingen av saken Gründere og oppstartsbedrifter, jf. Meld. St. 6 (2024–2025), </w:t>
      </w:r>
      <w:proofErr w:type="spellStart"/>
      <w:r w:rsidRPr="00225D4D">
        <w:t>Innst</w:t>
      </w:r>
      <w:proofErr w:type="spellEnd"/>
      <w:r w:rsidRPr="00225D4D">
        <w:t>. 128 S (2024–2025).</w:t>
      </w:r>
    </w:p>
    <w:p w14:paraId="6610535F" w14:textId="77777777" w:rsidR="00D60186" w:rsidRPr="00225D4D" w:rsidRDefault="00D60186" w:rsidP="00225D4D">
      <w:r w:rsidRPr="00225D4D">
        <w:t>Direktoratet for forvaltning og økonomistyring (DFØ) er regjeringens fagorgan for anskaffelser i offentlig sektor. I tildelingsbrevet er DFØ gitt i oppdrag å videreutvikle veiledningstilbudet på anskaffelsesområdet, for å gi offentlige oppdragsgivere kompetanse i å styre, lede og organisere sin innkjøpsvirksomhet på en effektiv og profesjonell måte.</w:t>
      </w:r>
    </w:p>
    <w:p w14:paraId="1B5B4765" w14:textId="77777777" w:rsidR="00D60186" w:rsidRPr="00225D4D" w:rsidRDefault="00D60186" w:rsidP="00225D4D">
      <w:r w:rsidRPr="00225D4D">
        <w:t xml:space="preserve">For å styrke kompetansen på innovative anskaffelser hos offentlige oppdragsgivere har DFØ utviklet nye verktøy og tjenester, herunder kurstilbud. DFØ har videre publisert erfaringer fra gjennomførte innovative anskaffelser på en egen nettside. Disse er gjort tilgjengelig i </w:t>
      </w:r>
      <w:proofErr w:type="spellStart"/>
      <w:r w:rsidRPr="00225D4D">
        <w:t>DFØs</w:t>
      </w:r>
      <w:proofErr w:type="spellEnd"/>
      <w:r w:rsidRPr="00225D4D">
        <w:t xml:space="preserve"> «Eksempelbank for grønne og innovative anskaffelser».</w:t>
      </w:r>
    </w:p>
    <w:p w14:paraId="17CEA60A" w14:textId="77777777" w:rsidR="00D60186" w:rsidRPr="00225D4D" w:rsidRDefault="00D60186" w:rsidP="00225D4D">
      <w:r w:rsidRPr="00225D4D">
        <w:t>DFØ tilbyr veiledning på sine nettsider om anskaffelser knyttet til både digitalisering og innovasjon. På anskaffelser.no finnes informasjon om IT-anskaffelser, innovative anskaffelser, veiledning i gjennomføring og verktøy for evaluering av modenhet og standard kontraktsmaler.</w:t>
      </w:r>
    </w:p>
    <w:p w14:paraId="6DC497E2" w14:textId="77777777" w:rsidR="00D60186" w:rsidRPr="00225D4D" w:rsidRDefault="00D60186" w:rsidP="00225D4D">
      <w:r w:rsidRPr="00225D4D">
        <w:t xml:space="preserve">Innkjøpsledere er en sentral målgruppe for å styrke </w:t>
      </w:r>
      <w:proofErr w:type="spellStart"/>
      <w:r w:rsidRPr="00225D4D">
        <w:t>bestillerkompetansen</w:t>
      </w:r>
      <w:proofErr w:type="spellEnd"/>
      <w:r w:rsidRPr="00225D4D">
        <w:t xml:space="preserve">. I </w:t>
      </w:r>
      <w:proofErr w:type="spellStart"/>
      <w:r w:rsidRPr="00225D4D">
        <w:t>DFØs</w:t>
      </w:r>
      <w:proofErr w:type="spellEnd"/>
      <w:r w:rsidRPr="00225D4D">
        <w:t xml:space="preserve"> arbeid med strategiveiledning og nettverk for innkjøpsledere, prioriteres arbeid med hvordan ledere kan legge til rette for innovasjon. DFØ har etablert et nettverk for datadrevne anskaffelser og utvikler veiledning rettet mot bestillere for å styrke den digitale anskaffelsesprosessen.</w:t>
      </w:r>
    </w:p>
    <w:p w14:paraId="2A03B988" w14:textId="77777777" w:rsidR="00D60186" w:rsidRPr="00225D4D" w:rsidRDefault="00D60186" w:rsidP="00225D4D">
      <w:r w:rsidRPr="00225D4D">
        <w:t>DFØ har gjennom en programsatsing etablert Markedsplass for skytjenester (MPS), hvor det blant annet tilbys veiledning knyttet til sikkerhet og skyanskaffelser.</w:t>
      </w:r>
    </w:p>
    <w:p w14:paraId="6BF156C4" w14:textId="77777777" w:rsidR="00D60186" w:rsidRPr="00225D4D" w:rsidRDefault="00D60186" w:rsidP="00225D4D">
      <w:r w:rsidRPr="00225D4D">
        <w:t xml:space="preserve">I tillegg tilbyr </w:t>
      </w:r>
      <w:proofErr w:type="spellStart"/>
      <w:r w:rsidRPr="00225D4D">
        <w:t>DFØs</w:t>
      </w:r>
      <w:proofErr w:type="spellEnd"/>
      <w:r w:rsidRPr="00225D4D">
        <w:t xml:space="preserve"> anskaffelsesdivisjon data og statistikk til hele innkjøps-Norge.</w:t>
      </w:r>
    </w:p>
    <w:p w14:paraId="249A9E88" w14:textId="77777777" w:rsidR="00D60186" w:rsidRPr="00225D4D" w:rsidRDefault="00D60186" w:rsidP="00225D4D">
      <w:r w:rsidRPr="00225D4D">
        <w:t>Vedtaket anses med dette som fulgt opp.</w:t>
      </w:r>
    </w:p>
    <w:p w14:paraId="5AC08EA9" w14:textId="77777777" w:rsidR="00D60186" w:rsidRPr="00225D4D" w:rsidRDefault="00D60186" w:rsidP="00225D4D">
      <w:pPr>
        <w:pStyle w:val="avsnitt-tittel"/>
      </w:pPr>
      <w:r w:rsidRPr="00225D4D">
        <w:t>Immaterielle verdier – kreative næringer</w:t>
      </w:r>
    </w:p>
    <w:p w14:paraId="282DDFA2" w14:textId="77777777" w:rsidR="00D60186" w:rsidRPr="00225D4D" w:rsidRDefault="00D60186" w:rsidP="00225D4D">
      <w:pPr>
        <w:pStyle w:val="avsnitt-undertittel"/>
      </w:pPr>
      <w:r w:rsidRPr="00225D4D">
        <w:t>Vedtak nr. 465, 13. februar 2025</w:t>
      </w:r>
    </w:p>
    <w:p w14:paraId="02E91575" w14:textId="77777777" w:rsidR="00D60186" w:rsidRPr="00225D4D" w:rsidRDefault="00D60186" w:rsidP="00225D4D">
      <w:pPr>
        <w:pStyle w:val="blokksit"/>
        <w:rPr>
          <w:rStyle w:val="kursiv"/>
        </w:rPr>
      </w:pPr>
      <w:r w:rsidRPr="00225D4D">
        <w:rPr>
          <w:rStyle w:val="kursiv"/>
        </w:rPr>
        <w:t>«Stortinget ber regjeringen utarbeide en strategi for immaterielle verdier innenfor kreative næringer med mål om bedre sikring og utnytting av immaterielle verdier og rettigheter.»</w:t>
      </w:r>
    </w:p>
    <w:p w14:paraId="42E8E78B" w14:textId="77777777" w:rsidR="00D60186" w:rsidRPr="00225D4D" w:rsidRDefault="00D60186" w:rsidP="00225D4D">
      <w:r w:rsidRPr="00225D4D">
        <w:t xml:space="preserve">Vedtaket ble truffet under behandlingen av saken Representantforslag om en samlet og målrettet politikk for kreative næringer, jf. Dokument 8:20 S (2024–2025), </w:t>
      </w:r>
      <w:proofErr w:type="spellStart"/>
      <w:r w:rsidRPr="00225D4D">
        <w:t>Innst</w:t>
      </w:r>
      <w:proofErr w:type="spellEnd"/>
      <w:r w:rsidRPr="00225D4D">
        <w:t>. 121 S (2024–2025).</w:t>
      </w:r>
    </w:p>
    <w:p w14:paraId="7C07A89F" w14:textId="77777777" w:rsidR="00D60186" w:rsidRPr="00225D4D" w:rsidRDefault="00D60186" w:rsidP="00225D4D">
      <w:r w:rsidRPr="00225D4D">
        <w:t>Regjeringen la 22. november 2024 fram «Veikart for kreativ næring». Der har regjeringen beskrevet tilgjengelige virkemidler og rammevilkår for næringen. Målet med veikartet var å legge til rette for at kreativ næring kan lykkes i internasjonal konkurranse og øke sin eksport, øke sin lønnsomhet og bidra til nyskaping og innovative løsninger, bidra til et mangfold av opplevelser og kreative uttrykk og skape bærekraftige arbeidsplasser over hele landet.</w:t>
      </w:r>
    </w:p>
    <w:p w14:paraId="4CDCC689" w14:textId="77777777" w:rsidR="00D60186" w:rsidRPr="00225D4D" w:rsidRDefault="00D60186" w:rsidP="00225D4D">
      <w:r w:rsidRPr="00225D4D">
        <w:t>Regjeringen vil komme tilbake til Stortinget på egnet måte.</w:t>
      </w:r>
    </w:p>
    <w:p w14:paraId="4CB94977" w14:textId="77777777" w:rsidR="00D60186" w:rsidRPr="00225D4D" w:rsidRDefault="00D60186" w:rsidP="00225D4D">
      <w:pPr>
        <w:pStyle w:val="avsnitt-tittel"/>
      </w:pPr>
      <w:r w:rsidRPr="00225D4D">
        <w:t>Inntekter til kommunene fra mineraler</w:t>
      </w:r>
    </w:p>
    <w:p w14:paraId="7B442FF2" w14:textId="77777777" w:rsidR="00D60186" w:rsidRPr="00225D4D" w:rsidRDefault="00D60186" w:rsidP="00225D4D">
      <w:pPr>
        <w:pStyle w:val="avsnitt-undertittel"/>
      </w:pPr>
      <w:r w:rsidRPr="00225D4D">
        <w:t>Vedtak nr. 529, 25. mars 2025</w:t>
      </w:r>
    </w:p>
    <w:p w14:paraId="01F04F54" w14:textId="77777777" w:rsidR="00D60186" w:rsidRPr="00225D4D" w:rsidRDefault="00D60186" w:rsidP="00225D4D">
      <w:pPr>
        <w:pStyle w:val="blokksit"/>
        <w:rPr>
          <w:rStyle w:val="kursiv"/>
        </w:rPr>
      </w:pPr>
      <w:r w:rsidRPr="00225D4D">
        <w:rPr>
          <w:rStyle w:val="kursiv"/>
        </w:rPr>
        <w:t>«Stortinget ber regjeringen utrede hvordan kommunene kan sitte igjen med en større del av verdiskapingen knyttet til mineralvirksomhet.»</w:t>
      </w:r>
    </w:p>
    <w:p w14:paraId="7B1FF918" w14:textId="77777777" w:rsidR="00D60186" w:rsidRPr="00225D4D" w:rsidRDefault="00D60186" w:rsidP="00225D4D">
      <w:r w:rsidRPr="00225D4D">
        <w:t xml:space="preserve">Vedtaket ble truffet under behandlingen av saken Representantforslag om opprettelse av et statlig mineralselskap, jf. Dokument 8:50 S (2024–2025), </w:t>
      </w:r>
      <w:proofErr w:type="spellStart"/>
      <w:r w:rsidRPr="00225D4D">
        <w:t>Innst</w:t>
      </w:r>
      <w:proofErr w:type="spellEnd"/>
      <w:r w:rsidRPr="00225D4D">
        <w:t>. 171 S (2024–2025).</w:t>
      </w:r>
    </w:p>
    <w:p w14:paraId="14A3F4AD" w14:textId="77777777" w:rsidR="00D60186" w:rsidRPr="00225D4D" w:rsidRDefault="00D60186" w:rsidP="00225D4D">
      <w:r w:rsidRPr="00225D4D">
        <w:t>Regjeringen vil komme tilbake til Stortinget på egnet måte.</w:t>
      </w:r>
    </w:p>
    <w:p w14:paraId="70EE4B10" w14:textId="77777777" w:rsidR="00D60186" w:rsidRPr="00225D4D" w:rsidRDefault="00D60186" w:rsidP="00225D4D">
      <w:pPr>
        <w:pStyle w:val="avsnitt-tittel"/>
      </w:pPr>
      <w:r w:rsidRPr="00225D4D">
        <w:t>Nordisk samarbeid om mineraler</w:t>
      </w:r>
    </w:p>
    <w:p w14:paraId="00C2AA30" w14:textId="77777777" w:rsidR="00D60186" w:rsidRPr="00225D4D" w:rsidRDefault="00D60186" w:rsidP="00225D4D">
      <w:pPr>
        <w:pStyle w:val="avsnitt-undertittel"/>
      </w:pPr>
      <w:r w:rsidRPr="00225D4D">
        <w:t>Vedtak nr. 530, 25. mars 2025</w:t>
      </w:r>
    </w:p>
    <w:p w14:paraId="4707B334" w14:textId="77777777" w:rsidR="00D60186" w:rsidRPr="00225D4D" w:rsidRDefault="00D60186" w:rsidP="00225D4D">
      <w:pPr>
        <w:pStyle w:val="blokksit"/>
        <w:rPr>
          <w:rStyle w:val="kursiv"/>
        </w:rPr>
      </w:pPr>
      <w:r w:rsidRPr="00225D4D">
        <w:rPr>
          <w:rStyle w:val="kursiv"/>
        </w:rPr>
        <w:t>«Stortinget ber regjeringen se på muligheten for økt nordisk samarbeid om utvinning og foredling av mineraler og forskning og utvikling for å begrense miljøutfordringene.»</w:t>
      </w:r>
    </w:p>
    <w:p w14:paraId="0D729B7A" w14:textId="77777777" w:rsidR="00D60186" w:rsidRPr="00225D4D" w:rsidRDefault="00D60186" w:rsidP="00225D4D">
      <w:r w:rsidRPr="00225D4D">
        <w:t xml:space="preserve">Vedtaket ble truffet under behandlingen av saken Representantforslag om opprettelse av et statlig mineralselskap, jf. Dokument 8:50 S (2024–2025), </w:t>
      </w:r>
      <w:proofErr w:type="spellStart"/>
      <w:r w:rsidRPr="00225D4D">
        <w:t>Innst</w:t>
      </w:r>
      <w:proofErr w:type="spellEnd"/>
      <w:r w:rsidRPr="00225D4D">
        <w:t>. 171 S (2024–2025).</w:t>
      </w:r>
    </w:p>
    <w:p w14:paraId="00C33E23" w14:textId="77777777" w:rsidR="00D60186" w:rsidRPr="00225D4D" w:rsidRDefault="00D60186" w:rsidP="00225D4D">
      <w:r w:rsidRPr="00225D4D">
        <w:t>Regjeringen vil komme tilbake til Stortinget på egnet måte.</w:t>
      </w:r>
    </w:p>
    <w:p w14:paraId="5D337BA3" w14:textId="77777777" w:rsidR="00D60186" w:rsidRPr="00225D4D" w:rsidRDefault="00D60186" w:rsidP="00225D4D">
      <w:pPr>
        <w:pStyle w:val="avsnitt-tittel"/>
      </w:pPr>
      <w:r w:rsidRPr="00225D4D">
        <w:t>Beredskapsbutikker etter finsk modell i dagligvarehandelen</w:t>
      </w:r>
    </w:p>
    <w:p w14:paraId="1B1AFB87" w14:textId="77777777" w:rsidR="00D60186" w:rsidRPr="00225D4D" w:rsidRDefault="00D60186" w:rsidP="00225D4D">
      <w:pPr>
        <w:pStyle w:val="avsnitt-undertittel"/>
      </w:pPr>
      <w:r w:rsidRPr="00225D4D">
        <w:t>Vedtak nr. 646, 6. mai 2025</w:t>
      </w:r>
    </w:p>
    <w:p w14:paraId="75302AC7" w14:textId="77777777" w:rsidR="00D60186" w:rsidRPr="00225D4D" w:rsidRDefault="00D60186" w:rsidP="00225D4D">
      <w:pPr>
        <w:pStyle w:val="blokksit"/>
        <w:rPr>
          <w:rStyle w:val="kursiv"/>
        </w:rPr>
      </w:pPr>
      <w:r w:rsidRPr="00225D4D">
        <w:rPr>
          <w:rStyle w:val="kursiv"/>
        </w:rPr>
        <w:t>«Stortinget ber regjeringen utrede etablering av beredskapsbutikker tilsvarende ordningen i Finland og komme tilbake til Stortinget på egnet måte.»</w:t>
      </w:r>
    </w:p>
    <w:p w14:paraId="53E61219" w14:textId="77777777" w:rsidR="00D60186" w:rsidRPr="00225D4D" w:rsidRDefault="00D60186" w:rsidP="00225D4D">
      <w:r w:rsidRPr="00225D4D">
        <w:t xml:space="preserve">Vedtaket ble truffet under behandlingen av saken Totalberedskapsmeldingen – Forberedt på kriser og krig, jf. Meld. St. 9 (2024–2025), </w:t>
      </w:r>
      <w:proofErr w:type="spellStart"/>
      <w:r w:rsidRPr="00225D4D">
        <w:t>Innst</w:t>
      </w:r>
      <w:proofErr w:type="spellEnd"/>
      <w:r w:rsidRPr="00225D4D">
        <w:t>. 242 S (2024–2025).</w:t>
      </w:r>
    </w:p>
    <w:p w14:paraId="3C512206" w14:textId="77777777" w:rsidR="00D60186" w:rsidRPr="00225D4D" w:rsidRDefault="00D60186" w:rsidP="00225D4D">
      <w:r w:rsidRPr="00225D4D">
        <w:t>Nærings- og fiskeridepartementet vil følge opp vedtaket. Regjeringen vil komme tilbake til Stortinget på egnet måte.</w:t>
      </w:r>
    </w:p>
    <w:p w14:paraId="0F930AF6" w14:textId="77777777" w:rsidR="00D60186" w:rsidRPr="00225D4D" w:rsidRDefault="00D60186" w:rsidP="00225D4D">
      <w:pPr>
        <w:pStyle w:val="avsnitt-tittel"/>
      </w:pPr>
      <w:r w:rsidRPr="00225D4D">
        <w:t>Integrering av romsektoren i totalforsvaret</w:t>
      </w:r>
    </w:p>
    <w:p w14:paraId="17183D7C" w14:textId="77777777" w:rsidR="00D60186" w:rsidRPr="00225D4D" w:rsidRDefault="00D60186" w:rsidP="00225D4D">
      <w:pPr>
        <w:pStyle w:val="avsnitt-undertittel"/>
      </w:pPr>
      <w:r w:rsidRPr="00225D4D">
        <w:t>Vedtak nr. 649, 6. mai 2025</w:t>
      </w:r>
    </w:p>
    <w:p w14:paraId="17FB87C7" w14:textId="77777777" w:rsidR="00D60186" w:rsidRPr="00225D4D" w:rsidRDefault="00D60186" w:rsidP="00225D4D">
      <w:pPr>
        <w:pStyle w:val="blokksit"/>
        <w:rPr>
          <w:rStyle w:val="kursiv"/>
        </w:rPr>
      </w:pPr>
      <w:r w:rsidRPr="00225D4D">
        <w:rPr>
          <w:rStyle w:val="kursiv"/>
        </w:rPr>
        <w:t xml:space="preserve">«Stortinget ber regjeringen </w:t>
      </w:r>
      <w:proofErr w:type="gramStart"/>
      <w:r w:rsidRPr="00225D4D">
        <w:rPr>
          <w:rStyle w:val="kursiv"/>
        </w:rPr>
        <w:t>integrere</w:t>
      </w:r>
      <w:proofErr w:type="gramEnd"/>
      <w:r w:rsidRPr="00225D4D">
        <w:rPr>
          <w:rStyle w:val="kursiv"/>
        </w:rPr>
        <w:t xml:space="preserve"> romsektoren bedre i totalforsvaret, med vekt på samarbeid mellom sivile og militære aktører, for å sikre operative evner under kriser og i væpnede konflikter.»</w:t>
      </w:r>
    </w:p>
    <w:p w14:paraId="2794ACF2" w14:textId="77777777" w:rsidR="00D60186" w:rsidRPr="00225D4D" w:rsidRDefault="00D60186" w:rsidP="00225D4D">
      <w:r w:rsidRPr="00225D4D">
        <w:t xml:space="preserve">Vedtaket ble truffet under behandlingen av saken Totalberedskapsmeldingen – Forberedt på kriser og krig, jf. Meld. St. 9 (2024–2025), </w:t>
      </w:r>
      <w:proofErr w:type="spellStart"/>
      <w:r w:rsidRPr="00225D4D">
        <w:t>Innst</w:t>
      </w:r>
      <w:proofErr w:type="spellEnd"/>
      <w:r w:rsidRPr="00225D4D">
        <w:t>. 242 S (2024–2025).</w:t>
      </w:r>
    </w:p>
    <w:p w14:paraId="0DBB769D" w14:textId="77777777" w:rsidR="00D60186" w:rsidRPr="00225D4D" w:rsidRDefault="00D60186" w:rsidP="00225D4D">
      <w:r w:rsidRPr="00225D4D">
        <w:t>Nærings- og fiskeridepartementet er i gang med å følge opp vedtaket. Regjeringen vil komme tilbake til Stortinget på egnet måte.</w:t>
      </w:r>
    </w:p>
    <w:p w14:paraId="6BC22F70" w14:textId="77777777" w:rsidR="00D60186" w:rsidRPr="00225D4D" w:rsidRDefault="00D60186" w:rsidP="00225D4D">
      <w:pPr>
        <w:pStyle w:val="avsnitt-tittel"/>
      </w:pPr>
      <w:r w:rsidRPr="00225D4D">
        <w:t>Satellittløsninger for kommunikasjon og overvåking</w:t>
      </w:r>
    </w:p>
    <w:p w14:paraId="13A2C3B1" w14:textId="77777777" w:rsidR="00D60186" w:rsidRPr="00225D4D" w:rsidRDefault="00D60186" w:rsidP="00225D4D">
      <w:pPr>
        <w:pStyle w:val="avsnitt-undertittel"/>
      </w:pPr>
      <w:r w:rsidRPr="00225D4D">
        <w:t>Vedtak nr. 650, 6. mai 2025</w:t>
      </w:r>
    </w:p>
    <w:p w14:paraId="663A1545" w14:textId="77777777" w:rsidR="00D60186" w:rsidRPr="00225D4D" w:rsidRDefault="00D60186" w:rsidP="00225D4D">
      <w:pPr>
        <w:pStyle w:val="blokksit"/>
        <w:rPr>
          <w:rStyle w:val="kursiv"/>
        </w:rPr>
      </w:pPr>
      <w:r w:rsidRPr="00225D4D">
        <w:rPr>
          <w:rStyle w:val="kursiv"/>
        </w:rPr>
        <w:t xml:space="preserve">«Stortinget ber regjeringen på egnet måte se på hvordan totalberedskapen kan styrkes ved å sikre </w:t>
      </w:r>
      <w:proofErr w:type="gramStart"/>
      <w:r w:rsidRPr="00225D4D">
        <w:rPr>
          <w:rStyle w:val="kursiv"/>
        </w:rPr>
        <w:t>robuste</w:t>
      </w:r>
      <w:proofErr w:type="gramEnd"/>
      <w:r w:rsidRPr="00225D4D">
        <w:rPr>
          <w:rStyle w:val="kursiv"/>
        </w:rPr>
        <w:t xml:space="preserve"> satellittløsninger for kommunikasjon og overvåking, særlig knyttet til forsvar, samfunnssikkerhet og nordområdene.»</w:t>
      </w:r>
    </w:p>
    <w:p w14:paraId="5D4EEC34" w14:textId="77777777" w:rsidR="00D60186" w:rsidRPr="00225D4D" w:rsidRDefault="00D60186" w:rsidP="00225D4D">
      <w:r w:rsidRPr="00225D4D">
        <w:t xml:space="preserve">Vedtaket ble truffet under behandlingen av saken Totalberedskapsmeldingen – Forberedt på kriser og krig, jf. Meld. St. 9 (2024–2025), </w:t>
      </w:r>
      <w:proofErr w:type="spellStart"/>
      <w:r w:rsidRPr="00225D4D">
        <w:t>Innst</w:t>
      </w:r>
      <w:proofErr w:type="spellEnd"/>
      <w:r w:rsidRPr="00225D4D">
        <w:t>. 242 S (2024–2025).</w:t>
      </w:r>
    </w:p>
    <w:p w14:paraId="37C8758F" w14:textId="77777777" w:rsidR="00D60186" w:rsidRPr="00225D4D" w:rsidRDefault="00D60186" w:rsidP="00225D4D">
      <w:r w:rsidRPr="00225D4D">
        <w:t>Nærings- og fiskeridepartementet er i gang med å følge opp vedtaket. Regjeringen vil komme tilbake til Stortinget på egnet måte.</w:t>
      </w:r>
    </w:p>
    <w:p w14:paraId="2052D3A8" w14:textId="77777777" w:rsidR="00D60186" w:rsidRPr="00225D4D" w:rsidRDefault="00D60186" w:rsidP="00225D4D">
      <w:pPr>
        <w:pStyle w:val="avsnitt-tittel"/>
      </w:pPr>
      <w:r w:rsidRPr="00225D4D">
        <w:t>Styrking av kontrollen av verdikjeder i romsektoren</w:t>
      </w:r>
    </w:p>
    <w:p w14:paraId="248E8C4E" w14:textId="77777777" w:rsidR="00D60186" w:rsidRPr="00225D4D" w:rsidRDefault="00D60186" w:rsidP="00225D4D">
      <w:pPr>
        <w:pStyle w:val="avsnitt-undertittel"/>
      </w:pPr>
      <w:r w:rsidRPr="00225D4D">
        <w:t>Vedtak nr. 651, 6. mai 2025</w:t>
      </w:r>
    </w:p>
    <w:p w14:paraId="0BA94FA0" w14:textId="77777777" w:rsidR="00D60186" w:rsidRPr="00225D4D" w:rsidRDefault="00D60186" w:rsidP="00225D4D">
      <w:pPr>
        <w:pStyle w:val="blokksit"/>
        <w:rPr>
          <w:rStyle w:val="kursiv"/>
        </w:rPr>
      </w:pPr>
      <w:r w:rsidRPr="00225D4D">
        <w:rPr>
          <w:rStyle w:val="kursiv"/>
        </w:rPr>
        <w:t>«Stortinget ber regjeringen forsterke kontrollen over verdikjeder innen romsektoren og legge frem en plan for å redusere sårbarhet.»</w:t>
      </w:r>
    </w:p>
    <w:p w14:paraId="796064F2" w14:textId="77777777" w:rsidR="00D60186" w:rsidRPr="00225D4D" w:rsidRDefault="00D60186" w:rsidP="00225D4D">
      <w:r w:rsidRPr="00225D4D">
        <w:t xml:space="preserve">Vedtaket ble truffet under behandlingen av saken Totalberedskapsmeldingen – Forberedt på kriser og krig, jf. Meld. St. 9 (2024–2025), </w:t>
      </w:r>
      <w:proofErr w:type="spellStart"/>
      <w:r w:rsidRPr="00225D4D">
        <w:t>Innst</w:t>
      </w:r>
      <w:proofErr w:type="spellEnd"/>
      <w:r w:rsidRPr="00225D4D">
        <w:t>. 242 S (2024–2025).</w:t>
      </w:r>
    </w:p>
    <w:p w14:paraId="020D7E1F" w14:textId="77777777" w:rsidR="00D60186" w:rsidRPr="00225D4D" w:rsidRDefault="00D60186" w:rsidP="00225D4D">
      <w:r w:rsidRPr="00225D4D">
        <w:t>Nærings- og fiskeridepartementet er i gang med å følge opp vedtaket. Regjeringen vil komme tilbake til Stortinget på egnet måte.</w:t>
      </w:r>
    </w:p>
    <w:p w14:paraId="5AAC1572" w14:textId="77777777" w:rsidR="00D60186" w:rsidRPr="00225D4D" w:rsidRDefault="00D60186" w:rsidP="00225D4D">
      <w:pPr>
        <w:pStyle w:val="avsnitt-tittel"/>
      </w:pPr>
      <w:r w:rsidRPr="00225D4D">
        <w:t>Samordning for forskning, utvikling og innovasjon (FOU) i norske virksomheter</w:t>
      </w:r>
    </w:p>
    <w:p w14:paraId="16BF9A60" w14:textId="77777777" w:rsidR="00D60186" w:rsidRPr="00225D4D" w:rsidRDefault="00D60186" w:rsidP="00225D4D">
      <w:pPr>
        <w:pStyle w:val="avsnitt-undertittel"/>
      </w:pPr>
      <w:r w:rsidRPr="00225D4D">
        <w:t>Vedtak nr. 735, 26. mai 2025</w:t>
      </w:r>
    </w:p>
    <w:p w14:paraId="4F9204D4" w14:textId="77777777" w:rsidR="00D60186" w:rsidRPr="00225D4D" w:rsidRDefault="00D60186" w:rsidP="00225D4D">
      <w:pPr>
        <w:pStyle w:val="blokksit"/>
        <w:rPr>
          <w:rStyle w:val="kursiv"/>
        </w:rPr>
      </w:pPr>
      <w:r w:rsidRPr="00225D4D">
        <w:rPr>
          <w:rStyle w:val="kursiv"/>
        </w:rPr>
        <w:t>«Stortinget ber regjeringen legge frem en konkret plan for Stortinget våren 2026 med forslag til hvordan man kan sikre bedre samordning for å styrke norske virksomheter innen forskning, utvikling og innovasjon (</w:t>
      </w:r>
      <w:proofErr w:type="spellStart"/>
      <w:r w:rsidRPr="00225D4D">
        <w:rPr>
          <w:rStyle w:val="kursiv"/>
        </w:rPr>
        <w:t>FOUi</w:t>
      </w:r>
      <w:proofErr w:type="spellEnd"/>
      <w:r w:rsidRPr="00225D4D">
        <w:rPr>
          <w:rStyle w:val="kursiv"/>
        </w:rPr>
        <w:t>).»</w:t>
      </w:r>
    </w:p>
    <w:p w14:paraId="2FD01C72" w14:textId="77777777" w:rsidR="00D60186" w:rsidRPr="00225D4D" w:rsidRDefault="00D60186" w:rsidP="00225D4D">
      <w:r w:rsidRPr="00225D4D">
        <w:t xml:space="preserve">Vedtaket ble truffet under behandlingen av Meld. St. 14 (2024–2025) </w:t>
      </w:r>
      <w:r w:rsidRPr="00225D4D">
        <w:rPr>
          <w:rStyle w:val="kursiv"/>
        </w:rPr>
        <w:t>Sikker kunnskap i en usikker verden</w:t>
      </w:r>
      <w:r w:rsidRPr="00225D4D">
        <w:t xml:space="preserve">, jf. </w:t>
      </w:r>
      <w:proofErr w:type="spellStart"/>
      <w:r w:rsidRPr="00225D4D">
        <w:t>Innst</w:t>
      </w:r>
      <w:proofErr w:type="spellEnd"/>
      <w:r w:rsidRPr="00225D4D">
        <w:t>. 290 S (2024–2025).</w:t>
      </w:r>
    </w:p>
    <w:p w14:paraId="5DE01CAD" w14:textId="77777777" w:rsidR="00D60186" w:rsidRPr="00225D4D" w:rsidRDefault="00D60186" w:rsidP="00225D4D">
      <w:r w:rsidRPr="00225D4D">
        <w:t>Nærings- og fiskeridepartementet vil følge opp vedtaket. Regjeringen vil komme tilbake til Stortinget på egnet måte.</w:t>
      </w:r>
    </w:p>
    <w:p w14:paraId="79B8FBD3" w14:textId="77777777" w:rsidR="00D60186" w:rsidRPr="00225D4D" w:rsidRDefault="00D60186" w:rsidP="00225D4D">
      <w:pPr>
        <w:pStyle w:val="avsnitt-tittel"/>
      </w:pPr>
      <w:r w:rsidRPr="00225D4D">
        <w:t>Statlig eierskap og statlige investeringsfond for økt FoU-intensitet i næringslivet</w:t>
      </w:r>
    </w:p>
    <w:p w14:paraId="48A1CBD5" w14:textId="77777777" w:rsidR="00D60186" w:rsidRPr="00225D4D" w:rsidRDefault="00D60186" w:rsidP="00225D4D">
      <w:pPr>
        <w:pStyle w:val="avsnitt-undertittel"/>
      </w:pPr>
      <w:r w:rsidRPr="00225D4D">
        <w:t>Vedtak nr. 736, 26. mai 2025</w:t>
      </w:r>
    </w:p>
    <w:p w14:paraId="02157FBA" w14:textId="77777777" w:rsidR="00D60186" w:rsidRPr="00225D4D" w:rsidRDefault="00D60186" w:rsidP="00225D4D">
      <w:pPr>
        <w:pStyle w:val="blokksit"/>
        <w:rPr>
          <w:rStyle w:val="kursiv"/>
        </w:rPr>
      </w:pPr>
      <w:r w:rsidRPr="00225D4D">
        <w:rPr>
          <w:rStyle w:val="kursiv"/>
        </w:rPr>
        <w:t xml:space="preserve">«Stortinget ber regjeringa </w:t>
      </w:r>
      <w:proofErr w:type="spellStart"/>
      <w:r w:rsidRPr="00225D4D">
        <w:rPr>
          <w:rStyle w:val="kursiv"/>
        </w:rPr>
        <w:t>vurdera</w:t>
      </w:r>
      <w:proofErr w:type="spellEnd"/>
      <w:r w:rsidRPr="00225D4D">
        <w:rPr>
          <w:rStyle w:val="kursiv"/>
        </w:rPr>
        <w:t xml:space="preserve"> korleis </w:t>
      </w:r>
      <w:proofErr w:type="spellStart"/>
      <w:r w:rsidRPr="00225D4D">
        <w:rPr>
          <w:rStyle w:val="kursiv"/>
        </w:rPr>
        <w:t>statleg</w:t>
      </w:r>
      <w:proofErr w:type="spellEnd"/>
      <w:r w:rsidRPr="00225D4D">
        <w:rPr>
          <w:rStyle w:val="kursiv"/>
        </w:rPr>
        <w:t xml:space="preserve"> </w:t>
      </w:r>
      <w:proofErr w:type="spellStart"/>
      <w:r w:rsidRPr="00225D4D">
        <w:rPr>
          <w:rStyle w:val="kursiv"/>
        </w:rPr>
        <w:t>eigarskap</w:t>
      </w:r>
      <w:proofErr w:type="spellEnd"/>
      <w:r w:rsidRPr="00225D4D">
        <w:rPr>
          <w:rStyle w:val="kursiv"/>
        </w:rPr>
        <w:t xml:space="preserve"> i </w:t>
      </w:r>
      <w:proofErr w:type="spellStart"/>
      <w:r w:rsidRPr="00225D4D">
        <w:rPr>
          <w:rStyle w:val="kursiv"/>
        </w:rPr>
        <w:t>verksemder</w:t>
      </w:r>
      <w:proofErr w:type="spellEnd"/>
      <w:r w:rsidRPr="00225D4D">
        <w:rPr>
          <w:rStyle w:val="kursiv"/>
        </w:rPr>
        <w:t xml:space="preserve"> og </w:t>
      </w:r>
      <w:proofErr w:type="spellStart"/>
      <w:r w:rsidRPr="00225D4D">
        <w:rPr>
          <w:rStyle w:val="kursiv"/>
        </w:rPr>
        <w:t>investeringar</w:t>
      </w:r>
      <w:proofErr w:type="spellEnd"/>
      <w:r w:rsidRPr="00225D4D">
        <w:rPr>
          <w:rStyle w:val="kursiv"/>
        </w:rPr>
        <w:t xml:space="preserve"> gjennom </w:t>
      </w:r>
      <w:proofErr w:type="spellStart"/>
      <w:r w:rsidRPr="00225D4D">
        <w:rPr>
          <w:rStyle w:val="kursiv"/>
        </w:rPr>
        <w:t>statlege</w:t>
      </w:r>
      <w:proofErr w:type="spellEnd"/>
      <w:r w:rsidRPr="00225D4D">
        <w:rPr>
          <w:rStyle w:val="kursiv"/>
        </w:rPr>
        <w:t xml:space="preserve"> investeringsfond kan </w:t>
      </w:r>
      <w:proofErr w:type="spellStart"/>
      <w:r w:rsidRPr="00225D4D">
        <w:rPr>
          <w:rStyle w:val="kursiv"/>
        </w:rPr>
        <w:t>fremja</w:t>
      </w:r>
      <w:proofErr w:type="spellEnd"/>
      <w:r w:rsidRPr="00225D4D">
        <w:rPr>
          <w:rStyle w:val="kursiv"/>
        </w:rPr>
        <w:t xml:space="preserve"> FoU-intensitet i norsk næringsliv, og koma tilbake til Stortinget med forslag til korleis dette kan </w:t>
      </w:r>
      <w:proofErr w:type="spellStart"/>
      <w:r w:rsidRPr="00225D4D">
        <w:rPr>
          <w:rStyle w:val="kursiv"/>
        </w:rPr>
        <w:t>gjerast</w:t>
      </w:r>
      <w:proofErr w:type="spellEnd"/>
      <w:r w:rsidRPr="00225D4D">
        <w:rPr>
          <w:rStyle w:val="kursiv"/>
        </w:rPr>
        <w:t>.»</w:t>
      </w:r>
    </w:p>
    <w:p w14:paraId="0DD1B1C7" w14:textId="77777777" w:rsidR="00D60186" w:rsidRPr="00225D4D" w:rsidRDefault="00D60186" w:rsidP="00225D4D">
      <w:r w:rsidRPr="00225D4D">
        <w:t xml:space="preserve">Vedtaket ble truffet under behandlingen av Meld. St. 14 (2024–2025) </w:t>
      </w:r>
      <w:r w:rsidRPr="00225D4D">
        <w:rPr>
          <w:rStyle w:val="kursiv"/>
        </w:rPr>
        <w:t>Sikker kunnskap i en usikker verden</w:t>
      </w:r>
      <w:r w:rsidRPr="00225D4D">
        <w:t xml:space="preserve">, jf. </w:t>
      </w:r>
      <w:proofErr w:type="spellStart"/>
      <w:r w:rsidRPr="00225D4D">
        <w:t>Innst</w:t>
      </w:r>
      <w:proofErr w:type="spellEnd"/>
      <w:r w:rsidRPr="00225D4D">
        <w:t>. 290 S (2024–2025).</w:t>
      </w:r>
    </w:p>
    <w:p w14:paraId="409DE368" w14:textId="77777777" w:rsidR="00D60186" w:rsidRPr="00225D4D" w:rsidRDefault="00D60186" w:rsidP="00225D4D">
      <w:r w:rsidRPr="00225D4D">
        <w:t>Nærings- og fiskeridepartementet vil følge opp vedtaket. Regjeringen vil komme tilbake til Stortinget på egnet måte.</w:t>
      </w:r>
    </w:p>
    <w:p w14:paraId="0429DB89" w14:textId="77777777" w:rsidR="00D60186" w:rsidRPr="00225D4D" w:rsidRDefault="00D60186" w:rsidP="00225D4D">
      <w:pPr>
        <w:pStyle w:val="avsnitt-tittel"/>
      </w:pPr>
      <w:r w:rsidRPr="00225D4D">
        <w:t>Norsk næringsliv og ESAs programmer</w:t>
      </w:r>
    </w:p>
    <w:p w14:paraId="54D7C693" w14:textId="77777777" w:rsidR="00D60186" w:rsidRPr="00225D4D" w:rsidRDefault="00D60186" w:rsidP="00225D4D">
      <w:pPr>
        <w:pStyle w:val="avsnitt-undertittel"/>
      </w:pPr>
      <w:r w:rsidRPr="00225D4D">
        <w:t>Vedtak nr. 761, 27. mai 2025</w:t>
      </w:r>
    </w:p>
    <w:p w14:paraId="74E9CAE5" w14:textId="77777777" w:rsidR="00D60186" w:rsidRPr="00225D4D" w:rsidRDefault="00D60186" w:rsidP="00225D4D">
      <w:pPr>
        <w:pStyle w:val="blokksit"/>
        <w:rPr>
          <w:rStyle w:val="kursiv"/>
        </w:rPr>
      </w:pPr>
      <w:r w:rsidRPr="00225D4D">
        <w:rPr>
          <w:rStyle w:val="kursiv"/>
        </w:rPr>
        <w:t>«Stortinget ber regjeringen utrede hvordan norsk næringsliv i større grad kan nyttiggjøre seg programmene til ESA.»</w:t>
      </w:r>
    </w:p>
    <w:p w14:paraId="481996B2" w14:textId="77777777" w:rsidR="00D60186" w:rsidRPr="00225D4D" w:rsidRDefault="00D60186" w:rsidP="00225D4D">
      <w:r w:rsidRPr="00225D4D">
        <w:t xml:space="preserve">Vedtaket ble truffet under behandlingen av saken Representantforslag om virkemidler for økt verdiskaping i norsk romindustri, jf. Dokument 8:256 S (2024–2025), </w:t>
      </w:r>
      <w:proofErr w:type="spellStart"/>
      <w:r w:rsidRPr="00225D4D">
        <w:t>Innst</w:t>
      </w:r>
      <w:proofErr w:type="spellEnd"/>
      <w:r w:rsidRPr="00225D4D">
        <w:t>. 342 S (2024–2025).</w:t>
      </w:r>
    </w:p>
    <w:p w14:paraId="18B70CE6" w14:textId="77777777" w:rsidR="00D60186" w:rsidRPr="00225D4D" w:rsidRDefault="00D60186" w:rsidP="00225D4D">
      <w:r w:rsidRPr="00225D4D">
        <w:t>Nærings- og fiskeridepartementet er i gang med å følge opp vedtaket. Regjeringen vil komme tilbake til Stortinget på egnet måte.</w:t>
      </w:r>
    </w:p>
    <w:p w14:paraId="41768C0D" w14:textId="77777777" w:rsidR="00D60186" w:rsidRPr="00225D4D" w:rsidRDefault="00D60186" w:rsidP="00225D4D">
      <w:pPr>
        <w:pStyle w:val="avsnitt-tittel"/>
      </w:pPr>
      <w:r w:rsidRPr="00225D4D">
        <w:t>Samarbeid mellom forskningsinstitutter og romindustrien</w:t>
      </w:r>
    </w:p>
    <w:p w14:paraId="7BE7A6E9" w14:textId="77777777" w:rsidR="00D60186" w:rsidRPr="00225D4D" w:rsidRDefault="00D60186" w:rsidP="00225D4D">
      <w:pPr>
        <w:pStyle w:val="avsnitt-undertittel"/>
      </w:pPr>
      <w:r w:rsidRPr="00225D4D">
        <w:t>Vedtak nr. 762, 27. mai 2025</w:t>
      </w:r>
    </w:p>
    <w:p w14:paraId="00FB30D5" w14:textId="77777777" w:rsidR="00D60186" w:rsidRPr="00225D4D" w:rsidRDefault="00D60186" w:rsidP="00225D4D">
      <w:pPr>
        <w:pStyle w:val="blokksit"/>
        <w:rPr>
          <w:rStyle w:val="kursiv"/>
        </w:rPr>
      </w:pPr>
      <w:r w:rsidRPr="00225D4D">
        <w:rPr>
          <w:rStyle w:val="kursiv"/>
        </w:rPr>
        <w:t>«Stortinget ber regjeringen vurdere incentivene for samarbeid mellom forskningsinstitutter og romindustrien og identifisere hindringer for samarbeid og kunnskapsutveksling.»</w:t>
      </w:r>
    </w:p>
    <w:p w14:paraId="3F8D1C58" w14:textId="77777777" w:rsidR="00D60186" w:rsidRPr="00225D4D" w:rsidRDefault="00D60186" w:rsidP="00225D4D">
      <w:r w:rsidRPr="00225D4D">
        <w:t xml:space="preserve">Vedtaket ble truffet under behandlingen av saken Representantforslag om virkemidler for økt verdiskaping i norsk romindustri, jf. Dokument 8:256 S (2024–2025), </w:t>
      </w:r>
      <w:proofErr w:type="spellStart"/>
      <w:r w:rsidRPr="00225D4D">
        <w:t>Innst</w:t>
      </w:r>
      <w:proofErr w:type="spellEnd"/>
      <w:r w:rsidRPr="00225D4D">
        <w:t>. 342 S (2024–2025).</w:t>
      </w:r>
    </w:p>
    <w:p w14:paraId="238521F4" w14:textId="77777777" w:rsidR="00D60186" w:rsidRPr="00225D4D" w:rsidRDefault="00D60186" w:rsidP="00225D4D">
      <w:r w:rsidRPr="00225D4D">
        <w:t>Nærings- og fiskeridepartementet er i gang med å følge opp vedtaket. Regjeringen vil komme tilbake til Stortinget på egnet måte.</w:t>
      </w:r>
    </w:p>
    <w:p w14:paraId="4574659B" w14:textId="77777777" w:rsidR="00D60186" w:rsidRPr="00225D4D" w:rsidRDefault="00D60186" w:rsidP="00225D4D">
      <w:pPr>
        <w:pStyle w:val="avsnitt-tittel"/>
      </w:pPr>
      <w:r w:rsidRPr="00225D4D">
        <w:t>Arbeids- og ansvarsavklaring mellom romvirksomhetene i Norge</w:t>
      </w:r>
    </w:p>
    <w:p w14:paraId="1D6ACE97" w14:textId="77777777" w:rsidR="00D60186" w:rsidRPr="00225D4D" w:rsidRDefault="00D60186" w:rsidP="00225D4D">
      <w:pPr>
        <w:pStyle w:val="avsnitt-undertittel"/>
      </w:pPr>
      <w:r w:rsidRPr="00225D4D">
        <w:t>Vedtak nr. 763, 27. mai 2025</w:t>
      </w:r>
    </w:p>
    <w:p w14:paraId="2584442F" w14:textId="77777777" w:rsidR="00D60186" w:rsidRPr="00225D4D" w:rsidRDefault="00D60186" w:rsidP="00225D4D">
      <w:pPr>
        <w:pStyle w:val="blokksit"/>
        <w:rPr>
          <w:rStyle w:val="kursiv"/>
        </w:rPr>
      </w:pPr>
      <w:r w:rsidRPr="00225D4D">
        <w:rPr>
          <w:rStyle w:val="kursiv"/>
        </w:rPr>
        <w:t>«Stortinget ber regjeringen på egnet måte vurdere hvordan det kan legges bedre til rette for arbeids- og ansvarsavklaring mellom romvirksomhetene i Norge.»</w:t>
      </w:r>
    </w:p>
    <w:p w14:paraId="5E3883EF" w14:textId="77777777" w:rsidR="00D60186" w:rsidRPr="00225D4D" w:rsidRDefault="00D60186" w:rsidP="00225D4D">
      <w:r w:rsidRPr="00225D4D">
        <w:t xml:space="preserve">Vedtaket ble truffet under behandlingen av saken Representantforslag om virkemidler for økt verdiskaping i norsk romindustri, jf. Dokument 8:256 S (2024–2025), </w:t>
      </w:r>
      <w:proofErr w:type="spellStart"/>
      <w:r w:rsidRPr="00225D4D">
        <w:t>Innst</w:t>
      </w:r>
      <w:proofErr w:type="spellEnd"/>
      <w:r w:rsidRPr="00225D4D">
        <w:t>. 342 S (2024–2025).</w:t>
      </w:r>
    </w:p>
    <w:p w14:paraId="392A3EE4" w14:textId="77777777" w:rsidR="00D60186" w:rsidRPr="00225D4D" w:rsidRDefault="00D60186" w:rsidP="00225D4D">
      <w:r w:rsidRPr="00225D4D">
        <w:t>Nærings- og fiskeridepartementet er i gang med å følge opp vedtaket. Regjeringen vil komme tilbake til Stortinget på egnet måte.</w:t>
      </w:r>
    </w:p>
    <w:p w14:paraId="24BB8D37" w14:textId="77777777" w:rsidR="00D60186" w:rsidRPr="00225D4D" w:rsidRDefault="00D60186" w:rsidP="00225D4D">
      <w:pPr>
        <w:pStyle w:val="avsnitt-tittel"/>
      </w:pPr>
      <w:r w:rsidRPr="00225D4D">
        <w:t>Virkemidler for små og mellomstore selskaper i romsektoren</w:t>
      </w:r>
    </w:p>
    <w:p w14:paraId="4A254F65" w14:textId="77777777" w:rsidR="00D60186" w:rsidRPr="00225D4D" w:rsidRDefault="00D60186" w:rsidP="00225D4D">
      <w:pPr>
        <w:pStyle w:val="avsnitt-undertittel"/>
      </w:pPr>
      <w:r w:rsidRPr="00225D4D">
        <w:t>Vedtak nr. 764, 27. mai 2025</w:t>
      </w:r>
    </w:p>
    <w:p w14:paraId="1463BC6C" w14:textId="77777777" w:rsidR="00D60186" w:rsidRPr="00225D4D" w:rsidRDefault="00D60186" w:rsidP="00225D4D">
      <w:pPr>
        <w:pStyle w:val="blokksit"/>
        <w:rPr>
          <w:rStyle w:val="kursiv"/>
        </w:rPr>
      </w:pPr>
      <w:r w:rsidRPr="00225D4D">
        <w:rPr>
          <w:rStyle w:val="kursiv"/>
        </w:rPr>
        <w:t>«Stortinget ber regjeringen på egnet måte se på hvordan virkemiddelapparatet bør tilpasses for å gi de mindre selskapene flere muligheter som underleverandører.»</w:t>
      </w:r>
    </w:p>
    <w:p w14:paraId="51402FD5" w14:textId="77777777" w:rsidR="00D60186" w:rsidRPr="00225D4D" w:rsidRDefault="00D60186" w:rsidP="00225D4D">
      <w:r w:rsidRPr="00225D4D">
        <w:t xml:space="preserve">Vedtaket ble truffet under behandlingen av saken Representantforslag om virkemidler for økt verdiskaping i norsk romindustri, jf. Dokument 8:256 S (2024–2025), </w:t>
      </w:r>
      <w:proofErr w:type="spellStart"/>
      <w:r w:rsidRPr="00225D4D">
        <w:t>Innst</w:t>
      </w:r>
      <w:proofErr w:type="spellEnd"/>
      <w:r w:rsidRPr="00225D4D">
        <w:t>. 342 S (2024–2025).</w:t>
      </w:r>
    </w:p>
    <w:p w14:paraId="2677EBDA" w14:textId="77777777" w:rsidR="00D60186" w:rsidRPr="00225D4D" w:rsidRDefault="00D60186" w:rsidP="00225D4D">
      <w:r w:rsidRPr="00225D4D">
        <w:t>Nærings- og fiskeridepartementet er i gang med å følge opp vedtaket. Regjeringen vil komme tilbake til Stortinget på egnet måte.</w:t>
      </w:r>
    </w:p>
    <w:p w14:paraId="619FCC21" w14:textId="77777777" w:rsidR="00D60186" w:rsidRPr="00225D4D" w:rsidRDefault="00D60186" w:rsidP="00225D4D">
      <w:pPr>
        <w:pStyle w:val="avsnitt-tittel"/>
      </w:pPr>
      <w:r w:rsidRPr="00225D4D">
        <w:t>Langsiktig strategi for norsk romsektor</w:t>
      </w:r>
    </w:p>
    <w:p w14:paraId="4A670832" w14:textId="77777777" w:rsidR="00D60186" w:rsidRPr="00225D4D" w:rsidRDefault="00D60186" w:rsidP="00225D4D">
      <w:pPr>
        <w:pStyle w:val="avsnitt-undertittel"/>
      </w:pPr>
      <w:r w:rsidRPr="00225D4D">
        <w:t>Vedtak nr. 765, 27. mai 2025</w:t>
      </w:r>
    </w:p>
    <w:p w14:paraId="6DB249D1" w14:textId="77777777" w:rsidR="00D60186" w:rsidRPr="00225D4D" w:rsidRDefault="00D60186" w:rsidP="00225D4D">
      <w:pPr>
        <w:pStyle w:val="blokksit"/>
        <w:rPr>
          <w:rStyle w:val="kursiv"/>
        </w:rPr>
      </w:pPr>
      <w:r w:rsidRPr="00225D4D">
        <w:rPr>
          <w:rStyle w:val="kursiv"/>
        </w:rPr>
        <w:t>«Stortinget ber regjeringen igangsette et arbeid med å utarbeide en ny langsiktig nasjonal romstrategi som skal legge føringer for hva Norge har som mål å utvikle og anskaffe innen romkapasiteter.»</w:t>
      </w:r>
    </w:p>
    <w:p w14:paraId="6BC6C717" w14:textId="77777777" w:rsidR="00D60186" w:rsidRPr="00225D4D" w:rsidRDefault="00D60186" w:rsidP="00225D4D">
      <w:r w:rsidRPr="00225D4D">
        <w:t xml:space="preserve">Vedtaket ble truffet under behandlingen av saken Representantforslag om virkemidler for økt verdiskaping i norsk romindustri, jf. Dokument 8:256 S (2024–2025), </w:t>
      </w:r>
      <w:proofErr w:type="spellStart"/>
      <w:r w:rsidRPr="00225D4D">
        <w:t>Innst</w:t>
      </w:r>
      <w:proofErr w:type="spellEnd"/>
      <w:r w:rsidRPr="00225D4D">
        <w:t>. 342 S (2024–2025).</w:t>
      </w:r>
    </w:p>
    <w:p w14:paraId="43D0BA69" w14:textId="77777777" w:rsidR="00D60186" w:rsidRPr="00225D4D" w:rsidRDefault="00D60186" w:rsidP="00225D4D">
      <w:r w:rsidRPr="00225D4D">
        <w:t>Nærings- og fiskeridepartementet er i gang med å følge opp vedtaket. Regjeringen vil komme tilbake til Stortinget på egnet måte.</w:t>
      </w:r>
    </w:p>
    <w:p w14:paraId="398C2E21" w14:textId="77777777" w:rsidR="00D60186" w:rsidRPr="00225D4D" w:rsidRDefault="00D60186" w:rsidP="00225D4D">
      <w:pPr>
        <w:pStyle w:val="avsnitt-tittel"/>
      </w:pPr>
      <w:r w:rsidRPr="00225D4D">
        <w:t>Norges innbetalinger til ESAs frivillige programmer</w:t>
      </w:r>
    </w:p>
    <w:p w14:paraId="51D2759D" w14:textId="77777777" w:rsidR="00D60186" w:rsidRPr="00225D4D" w:rsidRDefault="00D60186" w:rsidP="00225D4D">
      <w:pPr>
        <w:pStyle w:val="avsnitt-undertittel"/>
      </w:pPr>
      <w:r w:rsidRPr="00225D4D">
        <w:t>Vedtak nr. 766, 27. mai 2025</w:t>
      </w:r>
    </w:p>
    <w:p w14:paraId="11F6E8C5" w14:textId="77777777" w:rsidR="00D60186" w:rsidRPr="00225D4D" w:rsidRDefault="00D60186" w:rsidP="00225D4D">
      <w:pPr>
        <w:pStyle w:val="blokksit"/>
        <w:rPr>
          <w:rStyle w:val="kursiv"/>
        </w:rPr>
      </w:pPr>
      <w:r w:rsidRPr="00225D4D">
        <w:rPr>
          <w:rStyle w:val="kursiv"/>
        </w:rPr>
        <w:t>«Stortinget ber regjeringen på ESAs ministerrådsmøte senhøstes 2025 varsle at Norge vil opprettholde innbetalingene til ESAs frivillige programmer på dagens nivå.»</w:t>
      </w:r>
    </w:p>
    <w:p w14:paraId="484C9426" w14:textId="77777777" w:rsidR="00D60186" w:rsidRPr="00225D4D" w:rsidRDefault="00D60186" w:rsidP="00225D4D">
      <w:r w:rsidRPr="00225D4D">
        <w:t xml:space="preserve">Vedtaket ble truffet under behandlingen av saken Representantforslag om virkemidler for økt verdiskaping i norsk romindustri, jf. Dokument 8:256 S (2024–2025), </w:t>
      </w:r>
      <w:proofErr w:type="spellStart"/>
      <w:r w:rsidRPr="00225D4D">
        <w:t>Innst</w:t>
      </w:r>
      <w:proofErr w:type="spellEnd"/>
      <w:r w:rsidRPr="00225D4D">
        <w:t>. 342 S (2024–2025).</w:t>
      </w:r>
    </w:p>
    <w:p w14:paraId="3CDC53B1" w14:textId="77777777" w:rsidR="00D60186" w:rsidRPr="00225D4D" w:rsidRDefault="00D60186" w:rsidP="00225D4D">
      <w:r w:rsidRPr="00225D4D">
        <w:t>For å følge opp vedtaket foreslår regjeringen en videreføring av deltakelsen i ESAs industrirettede program på samme nivå som i dag. Den foreslåtte bevilgningen skal dekke de økonomiske konsekvensene av at Norge under ministerrådsmøtet i 2025 inngår nye, flerårige forpliktelser til ESAs industrirettede programmer for inntil 161 mill. euro. Forpliktelsen vil bli nedbetalt gjennom årlige bidrag ut programperioden 2026–2033. Forpliktelsene på ministerrådsmøtet vil bli inngått med forbehold om Stortingets samtykke.</w:t>
      </w:r>
    </w:p>
    <w:p w14:paraId="6B8377A1" w14:textId="77777777" w:rsidR="00D60186" w:rsidRPr="00225D4D" w:rsidRDefault="00D60186" w:rsidP="00225D4D">
      <w:r w:rsidRPr="00225D4D">
        <w:t>Vedtaket anses med dette som fulgt opp.</w:t>
      </w:r>
    </w:p>
    <w:p w14:paraId="2D913C86" w14:textId="77777777" w:rsidR="00D60186" w:rsidRPr="00225D4D" w:rsidRDefault="00D60186" w:rsidP="00225D4D">
      <w:pPr>
        <w:pStyle w:val="avsnitt-tittel"/>
      </w:pPr>
      <w:r w:rsidRPr="00225D4D">
        <w:t>Langsiktig plan for Direktoratet for romvirksomhet og nasjonale følgemidler</w:t>
      </w:r>
    </w:p>
    <w:p w14:paraId="37CB9CD9" w14:textId="77777777" w:rsidR="00D60186" w:rsidRPr="00225D4D" w:rsidRDefault="00D60186" w:rsidP="00225D4D">
      <w:pPr>
        <w:pStyle w:val="avsnitt-undertittel"/>
      </w:pPr>
      <w:r w:rsidRPr="00225D4D">
        <w:t>Vedtak nr. 767, 27. mai 2025</w:t>
      </w:r>
    </w:p>
    <w:p w14:paraId="194D0534" w14:textId="77777777" w:rsidR="00D60186" w:rsidRPr="00225D4D" w:rsidRDefault="00D60186" w:rsidP="00225D4D">
      <w:pPr>
        <w:pStyle w:val="blokksit"/>
        <w:rPr>
          <w:rStyle w:val="kursiv"/>
        </w:rPr>
      </w:pPr>
      <w:r w:rsidRPr="00225D4D">
        <w:rPr>
          <w:rStyle w:val="kursiv"/>
        </w:rPr>
        <w:t>«Stortinget ber regjeringen legge en langsiktig plan for styrking av Norsk romsenter og nasjonale følgemidler med mål om økt gevinstrealisering og verdiskaping i næringen.»</w:t>
      </w:r>
    </w:p>
    <w:p w14:paraId="3ACD6399" w14:textId="77777777" w:rsidR="00D60186" w:rsidRPr="00225D4D" w:rsidRDefault="00D60186" w:rsidP="00225D4D">
      <w:r w:rsidRPr="00225D4D">
        <w:t xml:space="preserve">Vedtaket ble truffet under behandlingen av saken Representantforslag om virkemidler for økt verdiskaping i norsk romindustri, jf. Dokument 8:256 S (2024–2025), </w:t>
      </w:r>
      <w:proofErr w:type="spellStart"/>
      <w:r w:rsidRPr="00225D4D">
        <w:t>Innst</w:t>
      </w:r>
      <w:proofErr w:type="spellEnd"/>
      <w:r w:rsidRPr="00225D4D">
        <w:t>. 342 S (2024–2025).</w:t>
      </w:r>
    </w:p>
    <w:p w14:paraId="7472B7E6" w14:textId="77777777" w:rsidR="00D60186" w:rsidRPr="00225D4D" w:rsidRDefault="00D60186" w:rsidP="00225D4D">
      <w:r w:rsidRPr="00225D4D">
        <w:t>Nærings- og fiskeridepartementet er i gang med å følge opp vedtaket. Regjeringen vil komme tilbake til Stortinget på egnet måte.</w:t>
      </w:r>
    </w:p>
    <w:p w14:paraId="7005F228" w14:textId="77777777" w:rsidR="00D60186" w:rsidRPr="00225D4D" w:rsidRDefault="00D60186" w:rsidP="00225D4D">
      <w:pPr>
        <w:pStyle w:val="avsnitt-tittel"/>
      </w:pPr>
      <w:r w:rsidRPr="00225D4D">
        <w:t>Industrivekstavtaler om kraftprosjekter</w:t>
      </w:r>
    </w:p>
    <w:p w14:paraId="2F27CF42" w14:textId="77777777" w:rsidR="00D60186" w:rsidRPr="00225D4D" w:rsidRDefault="00D60186" w:rsidP="00225D4D">
      <w:pPr>
        <w:pStyle w:val="avsnitt-undertittel"/>
      </w:pPr>
      <w:r w:rsidRPr="00225D4D">
        <w:t>Vedtak nr. 988, 11. juni 2025</w:t>
      </w:r>
    </w:p>
    <w:p w14:paraId="2546F204" w14:textId="77777777" w:rsidR="00D60186" w:rsidRPr="00225D4D" w:rsidRDefault="00D60186" w:rsidP="00225D4D">
      <w:pPr>
        <w:pStyle w:val="blokksit"/>
        <w:rPr>
          <w:rStyle w:val="kursiv"/>
        </w:rPr>
      </w:pPr>
      <w:r w:rsidRPr="00225D4D">
        <w:rPr>
          <w:rStyle w:val="kursiv"/>
        </w:rPr>
        <w:t>«Stortinget ber regjeringen vurdere modeller for «industrivekstavtaler» der industri, kraftprodusenter, kommune, fylkeskommunen og stat går sammen om å legge til rette for videre industriutvikling i kommuner som bidrar til å utvikle nye kraftprosjekter i årene som kommer.»</w:t>
      </w:r>
    </w:p>
    <w:p w14:paraId="2DBF5188" w14:textId="77777777" w:rsidR="00D60186" w:rsidRPr="00225D4D" w:rsidRDefault="00D60186" w:rsidP="00225D4D">
      <w:r w:rsidRPr="00225D4D">
        <w:t xml:space="preserve">Vedtaket ble truffet under behandlingen av Klimamelding 2035 – på vei mot lavutslippssamfunnet, jf. Meld. St. 25 (2024–2025), </w:t>
      </w:r>
      <w:proofErr w:type="spellStart"/>
      <w:r w:rsidRPr="00225D4D">
        <w:t>Innst</w:t>
      </w:r>
      <w:proofErr w:type="spellEnd"/>
      <w:r w:rsidRPr="00225D4D">
        <w:t>. 520 S (2024–2025).</w:t>
      </w:r>
    </w:p>
    <w:p w14:paraId="1FA78C39" w14:textId="77777777" w:rsidR="00D60186" w:rsidRPr="00225D4D" w:rsidRDefault="00D60186" w:rsidP="00225D4D">
      <w:r w:rsidRPr="00225D4D">
        <w:t>Regjeringen vil komme tilbake til Stortinget på egnet måte.</w:t>
      </w:r>
    </w:p>
    <w:p w14:paraId="79BB3AEC" w14:textId="77777777" w:rsidR="00D60186" w:rsidRPr="00225D4D" w:rsidRDefault="00D60186" w:rsidP="00225D4D">
      <w:pPr>
        <w:pStyle w:val="avsnitt-tittel"/>
      </w:pPr>
      <w:r w:rsidRPr="00225D4D">
        <w:t>Modell for fordeling av urfolksvederlag</w:t>
      </w:r>
    </w:p>
    <w:p w14:paraId="1ED0763C" w14:textId="77777777" w:rsidR="00D60186" w:rsidRPr="00225D4D" w:rsidRDefault="00D60186" w:rsidP="00225D4D">
      <w:pPr>
        <w:pStyle w:val="avsnitt-undertittel"/>
      </w:pPr>
      <w:r w:rsidRPr="00225D4D">
        <w:t>Vedtak nr. 1060, 12. juni 2025</w:t>
      </w:r>
    </w:p>
    <w:p w14:paraId="3E549112" w14:textId="77777777" w:rsidR="00D60186" w:rsidRPr="00225D4D" w:rsidRDefault="00D60186" w:rsidP="00225D4D">
      <w:pPr>
        <w:pStyle w:val="blokksit"/>
        <w:rPr>
          <w:rStyle w:val="kursiv"/>
        </w:rPr>
      </w:pPr>
      <w:r w:rsidRPr="00225D4D">
        <w:rPr>
          <w:rStyle w:val="kursiv"/>
        </w:rPr>
        <w:t>«Stortinget ber regjeringen komme tilbake til Stortinget med forslag til en modell om fordeling av urfolksvederlaget. Blant modellene som skal utredes, er en modell som sikrer at urfolksvederlaget forvaltes lokalt til fordel for samisk kultur-, nærings- og samfunnsliv og gjennom en organisering der representanter for ulike samiske interesser i området er representert.»</w:t>
      </w:r>
    </w:p>
    <w:p w14:paraId="4D4E3EFF" w14:textId="77777777" w:rsidR="00D60186" w:rsidRPr="00225D4D" w:rsidRDefault="00D60186" w:rsidP="00225D4D">
      <w:r w:rsidRPr="00225D4D">
        <w:t xml:space="preserve">Vedtaket ble truffet under behandlingen av Lov om mineralvirksomhet og forvaltning av mineralressurser (mineralloven), jf. </w:t>
      </w:r>
      <w:proofErr w:type="spellStart"/>
      <w:r w:rsidRPr="00225D4D">
        <w:t>Prop</w:t>
      </w:r>
      <w:proofErr w:type="spellEnd"/>
      <w:r w:rsidRPr="00225D4D">
        <w:t xml:space="preserve">. 71 L (2024–2025), </w:t>
      </w:r>
      <w:proofErr w:type="spellStart"/>
      <w:r w:rsidRPr="00225D4D">
        <w:t>Innst</w:t>
      </w:r>
      <w:proofErr w:type="spellEnd"/>
      <w:r w:rsidRPr="00225D4D">
        <w:t xml:space="preserve">. 521 L (2024–2025), Lovvedtak 130 (2024–2025), </w:t>
      </w:r>
      <w:proofErr w:type="spellStart"/>
      <w:r w:rsidRPr="00225D4D">
        <w:t>Lovanmerkning</w:t>
      </w:r>
      <w:proofErr w:type="spellEnd"/>
      <w:r w:rsidRPr="00225D4D">
        <w:t xml:space="preserve"> 3 (2024–2025).</w:t>
      </w:r>
    </w:p>
    <w:p w14:paraId="4DD3A636" w14:textId="77777777" w:rsidR="00D60186" w:rsidRPr="00225D4D" w:rsidRDefault="00D60186" w:rsidP="00225D4D">
      <w:r w:rsidRPr="00225D4D">
        <w:t>Regjeringen vil komme tilbake til Stortinget på egnet måte.</w:t>
      </w:r>
    </w:p>
    <w:p w14:paraId="4B9C3CD5" w14:textId="77777777" w:rsidR="00D60186" w:rsidRPr="00225D4D" w:rsidRDefault="00D60186" w:rsidP="00225D4D">
      <w:pPr>
        <w:pStyle w:val="avsnitt-tittel"/>
      </w:pPr>
      <w:r w:rsidRPr="00225D4D">
        <w:t>Norgespris for bedrifter og frivillighet</w:t>
      </w:r>
    </w:p>
    <w:p w14:paraId="43D6A1B4" w14:textId="77777777" w:rsidR="00D60186" w:rsidRPr="00225D4D" w:rsidRDefault="00D60186" w:rsidP="00225D4D">
      <w:pPr>
        <w:pStyle w:val="avsnitt-undertittel"/>
      </w:pPr>
      <w:r w:rsidRPr="00225D4D">
        <w:t>Vedtak nr. 1092, 16. juni 2025</w:t>
      </w:r>
    </w:p>
    <w:p w14:paraId="1C064691" w14:textId="77777777" w:rsidR="00D60186" w:rsidRPr="00225D4D" w:rsidRDefault="00D60186" w:rsidP="00225D4D">
      <w:pPr>
        <w:pStyle w:val="blokksit"/>
        <w:rPr>
          <w:rStyle w:val="kursiv"/>
        </w:rPr>
      </w:pPr>
      <w:r w:rsidRPr="00225D4D">
        <w:rPr>
          <w:rStyle w:val="kursiv"/>
        </w:rPr>
        <w:t>«Stortinget ber regjeringen utrede en «Norgespris for bedrifter og frivilligheten» og komme tilbake til Stortinget om dette så snart som mulig.»</w:t>
      </w:r>
    </w:p>
    <w:p w14:paraId="37CDE9CA" w14:textId="77777777" w:rsidR="00D60186" w:rsidRPr="00225D4D" w:rsidRDefault="00D60186" w:rsidP="00225D4D">
      <w:r w:rsidRPr="00225D4D">
        <w:t xml:space="preserve">Vedtaket ble truffet under behandlingen av Lov om Norgespris og strømstønad til husholdninger, jf. </w:t>
      </w:r>
      <w:proofErr w:type="spellStart"/>
      <w:r w:rsidRPr="00225D4D">
        <w:t>Prop</w:t>
      </w:r>
      <w:proofErr w:type="spellEnd"/>
      <w:r w:rsidRPr="00225D4D">
        <w:t xml:space="preserve">. 148 L (2024–2025), </w:t>
      </w:r>
      <w:proofErr w:type="spellStart"/>
      <w:r w:rsidRPr="00225D4D">
        <w:t>Innst</w:t>
      </w:r>
      <w:proofErr w:type="spellEnd"/>
      <w:r w:rsidRPr="00225D4D">
        <w:t>. 535 L (2024–2025), Lovvedtak 135 (2024–2025).</w:t>
      </w:r>
    </w:p>
    <w:p w14:paraId="718EBE4D" w14:textId="77777777" w:rsidR="00D60186" w:rsidRPr="00225D4D" w:rsidRDefault="00D60186" w:rsidP="00225D4D">
      <w:r w:rsidRPr="00225D4D">
        <w:t>Regjeringen vil komme tilbake til Stortinget på egnet måte.</w:t>
      </w:r>
    </w:p>
    <w:p w14:paraId="0C277A99" w14:textId="77777777" w:rsidR="00D60186" w:rsidRPr="00225D4D" w:rsidRDefault="00D60186" w:rsidP="00225D4D">
      <w:pPr>
        <w:pStyle w:val="avsnitt-tittel"/>
      </w:pPr>
      <w:r w:rsidRPr="00225D4D">
        <w:t>Felles nordisk matberedskapsplan</w:t>
      </w:r>
    </w:p>
    <w:p w14:paraId="61970557" w14:textId="77777777" w:rsidR="00D60186" w:rsidRPr="00225D4D" w:rsidRDefault="00D60186" w:rsidP="00225D4D">
      <w:pPr>
        <w:pStyle w:val="avsnitt-undertittel"/>
      </w:pPr>
      <w:r w:rsidRPr="00225D4D">
        <w:t>Vedtak nr. 1119, 18. juni 2025</w:t>
      </w:r>
    </w:p>
    <w:p w14:paraId="79B4B890" w14:textId="77777777" w:rsidR="00D60186" w:rsidRPr="00225D4D" w:rsidRDefault="00D60186" w:rsidP="00225D4D">
      <w:pPr>
        <w:pStyle w:val="blokksit"/>
        <w:rPr>
          <w:rStyle w:val="kursiv"/>
        </w:rPr>
      </w:pPr>
      <w:r w:rsidRPr="00225D4D">
        <w:rPr>
          <w:rStyle w:val="kursiv"/>
        </w:rPr>
        <w:t>«Stortinget ber regjeringen etablere en felles nordisk matberedskapsplan som inkluderer strategisk samarbeid om lagring og tilgang på viktige innsatsfaktorer.»</w:t>
      </w:r>
    </w:p>
    <w:p w14:paraId="251963FA" w14:textId="77777777" w:rsidR="00D60186" w:rsidRPr="00225D4D" w:rsidRDefault="00D60186" w:rsidP="00225D4D">
      <w:r w:rsidRPr="00225D4D">
        <w:t xml:space="preserve">Vedtaket ble truffet under behandlingen av Endringer i statsbudsjettet 2025 under Landbruks- og matdepartementet (Jordbruksoppgjøret 2025), jf. </w:t>
      </w:r>
      <w:proofErr w:type="spellStart"/>
      <w:r w:rsidRPr="00225D4D">
        <w:t>Prop</w:t>
      </w:r>
      <w:proofErr w:type="spellEnd"/>
      <w:r w:rsidRPr="00225D4D">
        <w:t xml:space="preserve">. 149 S (2024–2025), </w:t>
      </w:r>
      <w:proofErr w:type="spellStart"/>
      <w:r w:rsidRPr="00225D4D">
        <w:t>Innst</w:t>
      </w:r>
      <w:proofErr w:type="spellEnd"/>
      <w:r w:rsidRPr="00225D4D">
        <w:t>. 534 S (2024–2025).</w:t>
      </w:r>
    </w:p>
    <w:p w14:paraId="5A1D2471" w14:textId="77777777" w:rsidR="00D60186" w:rsidRPr="00225D4D" w:rsidRDefault="00D60186" w:rsidP="00225D4D">
      <w:r w:rsidRPr="00225D4D">
        <w:t>Regjeringen vil komme tilbake til Stortinget på egnet måte.</w:t>
      </w:r>
    </w:p>
    <w:p w14:paraId="2B0BECDA" w14:textId="77777777" w:rsidR="00D60186" w:rsidRPr="00225D4D" w:rsidRDefault="00D60186" w:rsidP="00225D4D">
      <w:pPr>
        <w:pStyle w:val="Overskrift2"/>
      </w:pPr>
      <w:r w:rsidRPr="00225D4D">
        <w:t>Stortingssesjon 2023–2024</w:t>
      </w:r>
    </w:p>
    <w:p w14:paraId="038A2CF5" w14:textId="77777777" w:rsidR="00D60186" w:rsidRPr="00225D4D" w:rsidRDefault="00D60186" w:rsidP="00225D4D">
      <w:pPr>
        <w:pStyle w:val="Undertittel"/>
      </w:pPr>
      <w:r w:rsidRPr="00225D4D">
        <w:t>Anmodningsvedtak under fiskeri- og havministeren</w:t>
      </w:r>
    </w:p>
    <w:p w14:paraId="66EB6A99" w14:textId="77777777" w:rsidR="00D60186" w:rsidRPr="00225D4D" w:rsidRDefault="00D60186" w:rsidP="00225D4D">
      <w:pPr>
        <w:pStyle w:val="avsnitt-tittel"/>
      </w:pPr>
      <w:r w:rsidRPr="00225D4D">
        <w:t>Eierskapsbegrensninger i kystfisket etter torsk, hyse og sei nord for 62 grader</w:t>
      </w:r>
    </w:p>
    <w:p w14:paraId="7065673D" w14:textId="77777777" w:rsidR="00D60186" w:rsidRPr="00225D4D" w:rsidRDefault="00D60186" w:rsidP="00225D4D">
      <w:pPr>
        <w:pStyle w:val="avsnitt-undertittel"/>
      </w:pPr>
      <w:r w:rsidRPr="00225D4D">
        <w:t>Vedtak nr. 586, 30. april 2024</w:t>
      </w:r>
    </w:p>
    <w:p w14:paraId="7D36926E" w14:textId="77777777" w:rsidR="00D60186" w:rsidRPr="00225D4D" w:rsidRDefault="00D60186" w:rsidP="00225D4D">
      <w:pPr>
        <w:pStyle w:val="blokksit"/>
        <w:rPr>
          <w:rStyle w:val="kursiv"/>
        </w:rPr>
      </w:pPr>
      <w:r w:rsidRPr="00225D4D">
        <w:rPr>
          <w:rStyle w:val="kursiv"/>
        </w:rPr>
        <w:t>«Stortinget ber regjeringen innføre eierskapsbegrensninger i kystfisket etter torsk, hyse og sei nord for 62 grader nord slik at eier og minoritetseier gjennom person, selskap eller sammenslutning maksimalt kan eie 1,5 pst. av den relevante gruppekvoten.»</w:t>
      </w:r>
    </w:p>
    <w:p w14:paraId="319C8F28"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5E2CBB7C" w14:textId="77777777" w:rsidR="00D60186" w:rsidRPr="00225D4D" w:rsidRDefault="00D60186" w:rsidP="00225D4D">
      <w:r w:rsidRPr="00225D4D">
        <w:t>Fiskeridirektoratet gjennomførte høsten 2024 på bestilling fra Nærings- og fiskeridepartementet en høring av forskriftsbestemmelser om relevante eierskapsbegrensninger. På bakgrunn av høringsinnspillene har departementet besluttet at det skal foretas en ny vurdering av hvordan følge opp vedtaket.</w:t>
      </w:r>
    </w:p>
    <w:p w14:paraId="75216899" w14:textId="77777777" w:rsidR="00D60186" w:rsidRPr="00225D4D" w:rsidRDefault="00D60186" w:rsidP="00225D4D">
      <w:r w:rsidRPr="00225D4D">
        <w:t>Regjeringen vil komme tilbake til Stortinget på egnet måte.</w:t>
      </w:r>
    </w:p>
    <w:p w14:paraId="1DB6ACA5" w14:textId="77777777" w:rsidR="00D60186" w:rsidRPr="00225D4D" w:rsidRDefault="00D60186" w:rsidP="00225D4D">
      <w:pPr>
        <w:pStyle w:val="avsnitt-tittel"/>
      </w:pPr>
      <w:r w:rsidRPr="00225D4D">
        <w:t>Eierskapsbegrensninger i kystfisket etter andre arter enn torsk, hyse og sei nord for 62 grader</w:t>
      </w:r>
    </w:p>
    <w:p w14:paraId="040A018C" w14:textId="77777777" w:rsidR="00D60186" w:rsidRPr="00225D4D" w:rsidRDefault="00D60186" w:rsidP="00225D4D">
      <w:pPr>
        <w:pStyle w:val="avsnitt-undertittel"/>
      </w:pPr>
      <w:r w:rsidRPr="00225D4D">
        <w:t>Vedtak nr. 587, 30. april 2024</w:t>
      </w:r>
    </w:p>
    <w:p w14:paraId="0EEA15E7" w14:textId="77777777" w:rsidR="00D60186" w:rsidRPr="00225D4D" w:rsidRDefault="00D60186" w:rsidP="00225D4D">
      <w:pPr>
        <w:pStyle w:val="blokksit"/>
        <w:rPr>
          <w:rStyle w:val="kursiv"/>
        </w:rPr>
      </w:pPr>
      <w:r w:rsidRPr="00225D4D">
        <w:rPr>
          <w:rStyle w:val="kursiv"/>
        </w:rPr>
        <w:t>«Stortinget ber regjeringen innføre eierskapsbegrensninger i kystfisket etter andre arter enn torsk, hyse og sei nord for 62 grader nord i tråd med Meld. St. 7 (2023–2024).»</w:t>
      </w:r>
    </w:p>
    <w:p w14:paraId="455701AE"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35E843FB" w14:textId="77777777" w:rsidR="00D60186" w:rsidRPr="00225D4D" w:rsidRDefault="00D60186" w:rsidP="00225D4D">
      <w:r w:rsidRPr="00225D4D">
        <w:t>Fiskeridirektoratet gjennomførte høsten 2024 på bestilling fra Nærings- og fiskeridepartementet en høring av forskriftsbestemmelser om relevante eierskapsbegrensninger. På bakgrunn av høringsinnspillene har departementet besluttet at det skal foretas en ny vurdering av hvordan følge opp vedtaket.</w:t>
      </w:r>
    </w:p>
    <w:p w14:paraId="2A84D0DF" w14:textId="77777777" w:rsidR="00D60186" w:rsidRPr="00225D4D" w:rsidRDefault="00D60186" w:rsidP="00225D4D">
      <w:r w:rsidRPr="00225D4D">
        <w:t>Regjeringen vil komme tilbake til Stortinget på egnet måte.</w:t>
      </w:r>
    </w:p>
    <w:p w14:paraId="444DC8F0" w14:textId="77777777" w:rsidR="00D60186" w:rsidRPr="00225D4D" w:rsidRDefault="00D60186" w:rsidP="00225D4D">
      <w:pPr>
        <w:pStyle w:val="avsnitt-tittel"/>
      </w:pPr>
      <w:r w:rsidRPr="00225D4D">
        <w:t>Særskilte regler om eierskapsbegrensninger for kystgruppen</w:t>
      </w:r>
    </w:p>
    <w:p w14:paraId="7722756D" w14:textId="77777777" w:rsidR="00D60186" w:rsidRPr="00225D4D" w:rsidRDefault="00D60186" w:rsidP="00225D4D">
      <w:pPr>
        <w:pStyle w:val="avsnitt-undertittel"/>
      </w:pPr>
      <w:r w:rsidRPr="00225D4D">
        <w:t>Vedtak nr. 588, 30. april 2024</w:t>
      </w:r>
    </w:p>
    <w:p w14:paraId="7FFFD96B" w14:textId="77777777" w:rsidR="00D60186" w:rsidRPr="00225D4D" w:rsidRDefault="00D60186" w:rsidP="00225D4D">
      <w:pPr>
        <w:pStyle w:val="blokksit"/>
        <w:rPr>
          <w:rStyle w:val="kursiv"/>
        </w:rPr>
      </w:pPr>
      <w:r w:rsidRPr="00225D4D">
        <w:rPr>
          <w:rStyle w:val="kursiv"/>
        </w:rPr>
        <w:t>«Stortinget ber regjeringen utarbeide særskilte regler i forbindelse med innføring av eierskapsbegrensninger for kystgruppen som blant annet sikrer at de som lå over på dato for fremleggelse av Meld. St. 7 (2023–2024), kan beholde eierandel med nødvendig fleksibilitet. Reglene skal også inneholde tidsbegrensninger for hvor lenge man kan ha redusert andel før denne gjøres gjeldende som ny maksimalgrense.»</w:t>
      </w:r>
    </w:p>
    <w:p w14:paraId="1544E3C5"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0EE2C6D3" w14:textId="77777777" w:rsidR="00D60186" w:rsidRPr="00225D4D" w:rsidRDefault="00D60186" w:rsidP="00225D4D">
      <w:r w:rsidRPr="00225D4D">
        <w:t>Fiskeridirektoratet gjennomførte høsten 2024 på bestilling fra Nærings- og fiskeridepartementet en høring av forskriftsbestemmelser om relevante eierskapsbegrensninger. På bakgrunn av høringsinnspillene har departementet besluttet at det skal foretas en ny vurdering av hvordan følge opp vedtaket.</w:t>
      </w:r>
    </w:p>
    <w:p w14:paraId="2CF2405B" w14:textId="77777777" w:rsidR="00D60186" w:rsidRPr="00225D4D" w:rsidRDefault="00D60186" w:rsidP="00225D4D">
      <w:r w:rsidRPr="00225D4D">
        <w:t>Regjeringen vil komme tilbake til Stortinget på egnet måte.</w:t>
      </w:r>
    </w:p>
    <w:p w14:paraId="649BA345" w14:textId="77777777" w:rsidR="00D60186" w:rsidRPr="00225D4D" w:rsidRDefault="00D60186" w:rsidP="00225D4D">
      <w:pPr>
        <w:pStyle w:val="avsnitt-tittel"/>
      </w:pPr>
      <w:r w:rsidRPr="00225D4D">
        <w:t>Ny vurdering av leiefartøyordningen</w:t>
      </w:r>
    </w:p>
    <w:p w14:paraId="41D38175" w14:textId="77777777" w:rsidR="00D60186" w:rsidRPr="00225D4D" w:rsidRDefault="00D60186" w:rsidP="00225D4D">
      <w:pPr>
        <w:pStyle w:val="avsnitt-undertittel"/>
      </w:pPr>
      <w:r w:rsidRPr="00225D4D">
        <w:t>Vedtak nr. 589, 30. april 2024</w:t>
      </w:r>
    </w:p>
    <w:p w14:paraId="6A1A34DA" w14:textId="77777777" w:rsidR="00D60186" w:rsidRPr="00225D4D" w:rsidRDefault="00D60186" w:rsidP="00225D4D">
      <w:pPr>
        <w:pStyle w:val="blokksit"/>
        <w:rPr>
          <w:rStyle w:val="kursiv"/>
        </w:rPr>
      </w:pPr>
      <w:r w:rsidRPr="00225D4D">
        <w:rPr>
          <w:rStyle w:val="kursiv"/>
        </w:rPr>
        <w:t>«Stortinget ber regjeringen gjennomføre en ny vurdering av leiefartøyordningen med sikte på å gjøre den bedre og enklere av hensyn til utvikling og bygging av nye og mer miljøvennlige fartøy, herunder ta hensyn til ulike fartøyklasser.»</w:t>
      </w:r>
    </w:p>
    <w:p w14:paraId="0A6A76C0"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315A5847" w14:textId="77777777" w:rsidR="00D60186" w:rsidRPr="00225D4D" w:rsidRDefault="00D60186" w:rsidP="00225D4D">
      <w:r w:rsidRPr="00225D4D">
        <w:t>Nærings- og fiskeridepartementet er i gang med å følge opp vedtaket. Regjeringen vil komme tilbake til Stortinget på egnet måte.</w:t>
      </w:r>
    </w:p>
    <w:p w14:paraId="71F95BEE" w14:textId="77777777" w:rsidR="00D60186" w:rsidRPr="00225D4D" w:rsidRDefault="00D60186" w:rsidP="00225D4D">
      <w:pPr>
        <w:pStyle w:val="avsnitt-tittel"/>
      </w:pPr>
      <w:r w:rsidRPr="00225D4D">
        <w:t>Vurdering av strukturkvoteordningen</w:t>
      </w:r>
    </w:p>
    <w:p w14:paraId="0648A5E3" w14:textId="77777777" w:rsidR="00D60186" w:rsidRPr="00225D4D" w:rsidRDefault="00D60186" w:rsidP="00225D4D">
      <w:pPr>
        <w:pStyle w:val="avsnitt-undertittel"/>
      </w:pPr>
      <w:r w:rsidRPr="00225D4D">
        <w:t>Vedtak nr. 591, 30. april 2024</w:t>
      </w:r>
    </w:p>
    <w:p w14:paraId="2C10A2A6" w14:textId="77777777" w:rsidR="00D60186" w:rsidRPr="00225D4D" w:rsidRDefault="00D60186" w:rsidP="00225D4D">
      <w:pPr>
        <w:pStyle w:val="blokksit"/>
        <w:rPr>
          <w:rStyle w:val="kursiv"/>
        </w:rPr>
      </w:pPr>
      <w:r w:rsidRPr="00225D4D">
        <w:rPr>
          <w:rStyle w:val="kursiv"/>
        </w:rPr>
        <w:t>«Stortinget ber regjeringen vurdere om innretningen av dagens strukturkvoteordning bør endres eller tilpasses for å legge til rette for verdiskaping og grønn omstilling, og for å sikre at den ivaretar hensynet til fiskeflåtens betydning for sysselsetting og bosetning i kystkommunene.»</w:t>
      </w:r>
    </w:p>
    <w:p w14:paraId="153C8217"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4D576048" w14:textId="77777777" w:rsidR="00D60186" w:rsidRPr="00225D4D" w:rsidRDefault="00D60186" w:rsidP="00225D4D">
      <w:r w:rsidRPr="00225D4D">
        <w:t>Nærings- og fiskeridepartementet har ikke startet arbeidet med å følge opp vedtaket. Regjeringen vil komme tilbake til Stortinget på egnet måte.</w:t>
      </w:r>
    </w:p>
    <w:p w14:paraId="2C157F47" w14:textId="77777777" w:rsidR="00D60186" w:rsidRPr="00225D4D" w:rsidRDefault="00D60186" w:rsidP="00225D4D">
      <w:pPr>
        <w:pStyle w:val="avsnitt-tittel"/>
      </w:pPr>
      <w:r w:rsidRPr="00225D4D">
        <w:t>Fordeling av strukturgevinst når strukturkvoter utløper</w:t>
      </w:r>
    </w:p>
    <w:p w14:paraId="4FC08775" w14:textId="77777777" w:rsidR="00D60186" w:rsidRPr="00225D4D" w:rsidRDefault="00D60186" w:rsidP="00225D4D">
      <w:pPr>
        <w:pStyle w:val="avsnitt-undertittel"/>
      </w:pPr>
      <w:r w:rsidRPr="00225D4D">
        <w:t>Vedtak nr. 592, 30. april 2024</w:t>
      </w:r>
    </w:p>
    <w:p w14:paraId="281963FB" w14:textId="77777777" w:rsidR="00D60186" w:rsidRPr="00225D4D" w:rsidRDefault="00D60186" w:rsidP="00225D4D">
      <w:pPr>
        <w:pStyle w:val="blokksit"/>
        <w:rPr>
          <w:rStyle w:val="kursiv"/>
        </w:rPr>
      </w:pPr>
      <w:r w:rsidRPr="00225D4D">
        <w:rPr>
          <w:rStyle w:val="kursiv"/>
        </w:rPr>
        <w:t xml:space="preserve">«Stortinget ber regjeringen fordele strukturgevinsten som oppstår når tidsbegrensede strukturkvoter utløper med full effekt på grunnkvoter og halv effekt til gjenværende strukturkvoter (modell </w:t>
      </w:r>
      <w:proofErr w:type="spellStart"/>
      <w:r w:rsidRPr="00225D4D">
        <w:rPr>
          <w:rStyle w:val="kursiv"/>
        </w:rPr>
        <w:t>X</w:t>
      </w:r>
      <w:proofErr w:type="spellEnd"/>
      <w:r w:rsidRPr="00225D4D">
        <w:rPr>
          <w:rStyle w:val="kursiv"/>
        </w:rPr>
        <w:t>), etter opprinnelig hjemmelslengde.»</w:t>
      </w:r>
    </w:p>
    <w:p w14:paraId="711D4ACE"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0BCBAAA3" w14:textId="77777777" w:rsidR="00D60186" w:rsidRPr="00225D4D" w:rsidRDefault="00D60186" w:rsidP="00225D4D">
      <w:r w:rsidRPr="00225D4D">
        <w:t>Nærings- og fiskeridepartementet er i gang med å følge opp vedtaket. Det vil bli gjennomført høring av relevant regelverk. Regjeringen vil komme tilbake til Stortinget på egnet måte.</w:t>
      </w:r>
    </w:p>
    <w:p w14:paraId="1F5DF4FA" w14:textId="77777777" w:rsidR="00D60186" w:rsidRPr="00225D4D" w:rsidRDefault="00D60186" w:rsidP="00225D4D">
      <w:pPr>
        <w:pStyle w:val="avsnitt-tittel"/>
      </w:pPr>
      <w:r w:rsidRPr="00225D4D">
        <w:t>Sammenslåingsordning for fartøy under 11 meter</w:t>
      </w:r>
    </w:p>
    <w:p w14:paraId="728BD26A" w14:textId="77777777" w:rsidR="00D60186" w:rsidRPr="00225D4D" w:rsidRDefault="00D60186" w:rsidP="00225D4D">
      <w:pPr>
        <w:pStyle w:val="avsnitt-undertittel"/>
      </w:pPr>
      <w:r w:rsidRPr="00225D4D">
        <w:t>Vedtak nr. 593, 30. april 2024</w:t>
      </w:r>
    </w:p>
    <w:p w14:paraId="7914242A" w14:textId="77777777" w:rsidR="00D60186" w:rsidRPr="00225D4D" w:rsidRDefault="00D60186" w:rsidP="00225D4D">
      <w:pPr>
        <w:pStyle w:val="blokksit"/>
        <w:rPr>
          <w:rStyle w:val="kursiv"/>
        </w:rPr>
      </w:pPr>
      <w:r w:rsidRPr="00225D4D">
        <w:rPr>
          <w:rStyle w:val="kursiv"/>
        </w:rPr>
        <w:t>«Stortinget ber regjeringen etablere en sammenslåingsordning for fartøy under 11 meters hjemmelslengde, der eier av to fartøy som fisker torsk, hyse og sei nord for 62 grader nord, får tillatelse til å slå sammen kvotegrunnlaget for to fartøy og fiske den samlede kvoten på ett fartøy, og utarbeide nærmere bestemmelser for bruken av ordningen, herunder aktivitetskrav.»</w:t>
      </w:r>
    </w:p>
    <w:p w14:paraId="14BC629C"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1A1FBE2F" w14:textId="77777777" w:rsidR="00D60186" w:rsidRPr="00225D4D" w:rsidRDefault="00D60186" w:rsidP="00225D4D">
      <w:r w:rsidRPr="00225D4D">
        <w:t>Nærings- og fiskeridepartementet vedtok 20. desember 2024 relevante forskriftsbestemmelser etter gjennomført høring.</w:t>
      </w:r>
    </w:p>
    <w:p w14:paraId="4ECFDDCD" w14:textId="77777777" w:rsidR="00D60186" w:rsidRPr="00225D4D" w:rsidRDefault="00D60186" w:rsidP="00225D4D">
      <w:r w:rsidRPr="00225D4D">
        <w:t>Vedtaket anses med dette som fulgt opp.</w:t>
      </w:r>
    </w:p>
    <w:p w14:paraId="177CDB51" w14:textId="77777777" w:rsidR="00D60186" w:rsidRPr="00225D4D" w:rsidRDefault="00D60186" w:rsidP="00225D4D">
      <w:pPr>
        <w:pStyle w:val="avsnitt-tittel"/>
      </w:pPr>
      <w:r w:rsidRPr="00225D4D">
        <w:t>Sammenslåingsordning for pelagiske fartøy under 11 meter</w:t>
      </w:r>
    </w:p>
    <w:p w14:paraId="2BF65DBC" w14:textId="77777777" w:rsidR="00D60186" w:rsidRPr="00225D4D" w:rsidRDefault="00D60186" w:rsidP="00225D4D">
      <w:pPr>
        <w:pStyle w:val="avsnitt-undertittel"/>
      </w:pPr>
      <w:r w:rsidRPr="00225D4D">
        <w:t>Vedtak nr. 594, 30. april 2024</w:t>
      </w:r>
    </w:p>
    <w:p w14:paraId="2576CEB0" w14:textId="77777777" w:rsidR="00D60186" w:rsidRPr="00225D4D" w:rsidRDefault="00D60186" w:rsidP="00225D4D">
      <w:pPr>
        <w:pStyle w:val="blokksit"/>
        <w:rPr>
          <w:rStyle w:val="kursiv"/>
        </w:rPr>
      </w:pPr>
      <w:r w:rsidRPr="00225D4D">
        <w:rPr>
          <w:rStyle w:val="kursiv"/>
        </w:rPr>
        <w:t xml:space="preserve">«Stortinget ber regjeringen utrede og vurdere innføring av sammenslåingsordning som også omfatter fartøy som fisker i pelagiske fiskerier under 11 meters hjemmelslengde (13 meter for fiske etter makrell med </w:t>
      </w:r>
      <w:proofErr w:type="spellStart"/>
      <w:r w:rsidRPr="00225D4D">
        <w:rPr>
          <w:rStyle w:val="kursiv"/>
        </w:rPr>
        <w:t>kystnot</w:t>
      </w:r>
      <w:proofErr w:type="spellEnd"/>
      <w:r w:rsidRPr="00225D4D">
        <w:rPr>
          <w:rStyle w:val="kursiv"/>
        </w:rPr>
        <w:t>).»</w:t>
      </w:r>
    </w:p>
    <w:p w14:paraId="59E40429"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1B808B03" w14:textId="77777777" w:rsidR="00D60186" w:rsidRPr="00225D4D" w:rsidRDefault="00D60186" w:rsidP="00225D4D">
      <w:r w:rsidRPr="00225D4D">
        <w:t>Nærings- og fiskeridepartementet er i gang med å følge opp vedtaket.</w:t>
      </w:r>
    </w:p>
    <w:p w14:paraId="2D61BE12" w14:textId="77777777" w:rsidR="00D60186" w:rsidRPr="00225D4D" w:rsidRDefault="00D60186" w:rsidP="00225D4D">
      <w:r w:rsidRPr="00225D4D">
        <w:t>Regjeringen vil komme tilbake til Stortinget på egnet måte.</w:t>
      </w:r>
    </w:p>
    <w:p w14:paraId="19C57310" w14:textId="77777777" w:rsidR="00D60186" w:rsidRPr="00225D4D" w:rsidRDefault="00D60186" w:rsidP="00225D4D">
      <w:pPr>
        <w:pStyle w:val="avsnitt-tittel"/>
      </w:pPr>
      <w:r w:rsidRPr="00225D4D">
        <w:t>Gjeninnføring av dynamisk trålstige for torsk</w:t>
      </w:r>
    </w:p>
    <w:p w14:paraId="46DBDAF8" w14:textId="77777777" w:rsidR="00D60186" w:rsidRPr="00225D4D" w:rsidRDefault="00D60186" w:rsidP="00225D4D">
      <w:pPr>
        <w:pStyle w:val="avsnitt-undertittel"/>
      </w:pPr>
      <w:r w:rsidRPr="00225D4D">
        <w:t>Vedtak nr. 595, 30. april 2024</w:t>
      </w:r>
    </w:p>
    <w:p w14:paraId="7B6C31BC" w14:textId="77777777" w:rsidR="00D60186" w:rsidRPr="00225D4D" w:rsidRDefault="00D60186" w:rsidP="00225D4D">
      <w:pPr>
        <w:pStyle w:val="blokksit"/>
        <w:rPr>
          <w:rStyle w:val="kursiv"/>
        </w:rPr>
      </w:pPr>
      <w:r w:rsidRPr="00225D4D">
        <w:rPr>
          <w:rStyle w:val="kursiv"/>
        </w:rPr>
        <w:t xml:space="preserve">«Stortinget ber regjeringen gjeninnføre den dynamiske </w:t>
      </w:r>
      <w:proofErr w:type="spellStart"/>
      <w:r w:rsidRPr="00225D4D">
        <w:rPr>
          <w:rStyle w:val="kursiv"/>
        </w:rPr>
        <w:t>trålstigen</w:t>
      </w:r>
      <w:proofErr w:type="spellEnd"/>
      <w:r w:rsidRPr="00225D4D">
        <w:rPr>
          <w:rStyle w:val="kursiv"/>
        </w:rPr>
        <w:t xml:space="preserve"> i fordelingen av kvoten for torsk nord for 62 grader nord.»</w:t>
      </w:r>
    </w:p>
    <w:p w14:paraId="00BCEABE"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6A862ECC" w14:textId="77777777" w:rsidR="00D60186" w:rsidRPr="00225D4D" w:rsidRDefault="00D60186" w:rsidP="00225D4D">
      <w:r w:rsidRPr="00225D4D">
        <w:t>Nærings- og fiskeridepartementet gjennomførte tiltaket i forskrift om regulering av fisket etter torsk, hyse og sei nord for 62° N i 2025.</w:t>
      </w:r>
    </w:p>
    <w:p w14:paraId="38BE35A8" w14:textId="77777777" w:rsidR="00D60186" w:rsidRPr="00225D4D" w:rsidRDefault="00D60186" w:rsidP="00225D4D">
      <w:r w:rsidRPr="00225D4D">
        <w:t>Vedtaket anses med dette som fulgt opp.</w:t>
      </w:r>
    </w:p>
    <w:p w14:paraId="741D4266" w14:textId="77777777" w:rsidR="00D60186" w:rsidRPr="00225D4D" w:rsidRDefault="00D60186" w:rsidP="00225D4D">
      <w:pPr>
        <w:pStyle w:val="avsnitt-tittel"/>
      </w:pPr>
      <w:r w:rsidRPr="00225D4D">
        <w:t>Åpen gruppes andel av totalkvoten for norsk torsk</w:t>
      </w:r>
    </w:p>
    <w:p w14:paraId="21893120" w14:textId="77777777" w:rsidR="00D60186" w:rsidRPr="00225D4D" w:rsidRDefault="00D60186" w:rsidP="00225D4D">
      <w:pPr>
        <w:pStyle w:val="avsnitt-undertittel"/>
      </w:pPr>
      <w:r w:rsidRPr="00225D4D">
        <w:t>Vedtak nr. 597, 30. april 2024</w:t>
      </w:r>
    </w:p>
    <w:p w14:paraId="272E6C06" w14:textId="77777777" w:rsidR="00D60186" w:rsidRPr="00225D4D" w:rsidRDefault="00D60186" w:rsidP="00225D4D">
      <w:pPr>
        <w:pStyle w:val="blokksit"/>
        <w:rPr>
          <w:rStyle w:val="kursiv"/>
        </w:rPr>
      </w:pPr>
      <w:r w:rsidRPr="00225D4D">
        <w:rPr>
          <w:rStyle w:val="kursiv"/>
        </w:rPr>
        <w:t>«Stortinget ber regjeringen sørge for at åpen gruppes andel av torsk tas fra toppen som avsetning av norsk totalkvote, og at andelen fastsettes til 6,62 pst.»</w:t>
      </w:r>
    </w:p>
    <w:p w14:paraId="3AF2DC06"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11EFB4B7" w14:textId="77777777" w:rsidR="00D60186" w:rsidRPr="00225D4D" w:rsidRDefault="00D60186" w:rsidP="00225D4D">
      <w:r w:rsidRPr="00225D4D">
        <w:t>Nærings- og fiskeridepartementet gjennomførte tiltaket i forskrift om regulering av fisket etter torsk, hyse og sei nord for 62° N i 2025.</w:t>
      </w:r>
    </w:p>
    <w:p w14:paraId="33F47E7D" w14:textId="77777777" w:rsidR="00D60186" w:rsidRPr="00225D4D" w:rsidRDefault="00D60186" w:rsidP="00225D4D">
      <w:r w:rsidRPr="00225D4D">
        <w:t>Vedtaket anses med dette som fulgt opp.</w:t>
      </w:r>
    </w:p>
    <w:p w14:paraId="45A5491E" w14:textId="77777777" w:rsidR="00D60186" w:rsidRPr="00225D4D" w:rsidRDefault="00D60186" w:rsidP="00225D4D">
      <w:pPr>
        <w:pStyle w:val="avsnitt-tittel"/>
      </w:pPr>
      <w:r w:rsidRPr="00225D4D">
        <w:t>Omfordeling til lukket gruppe under 11 meter</w:t>
      </w:r>
    </w:p>
    <w:p w14:paraId="70F2D737" w14:textId="77777777" w:rsidR="00D60186" w:rsidRPr="00225D4D" w:rsidRDefault="00D60186" w:rsidP="00225D4D">
      <w:pPr>
        <w:pStyle w:val="avsnitt-undertittel"/>
      </w:pPr>
      <w:r w:rsidRPr="00225D4D">
        <w:t>Vedtak nr. 598, 30. april 2024</w:t>
      </w:r>
    </w:p>
    <w:p w14:paraId="2F375896" w14:textId="77777777" w:rsidR="00D60186" w:rsidRPr="00225D4D" w:rsidRDefault="00D60186" w:rsidP="00225D4D">
      <w:pPr>
        <w:pStyle w:val="blokksit"/>
        <w:rPr>
          <w:rStyle w:val="kursiv"/>
        </w:rPr>
      </w:pPr>
      <w:r w:rsidRPr="00225D4D">
        <w:rPr>
          <w:rStyle w:val="kursiv"/>
        </w:rPr>
        <w:t xml:space="preserve">«Stortinget ber regjeringen omfordele 2 pst. av </w:t>
      </w:r>
      <w:proofErr w:type="spellStart"/>
      <w:r w:rsidRPr="00225D4D">
        <w:rPr>
          <w:rStyle w:val="kursiv"/>
        </w:rPr>
        <w:t>kvoteandelen</w:t>
      </w:r>
      <w:proofErr w:type="spellEnd"/>
      <w:r w:rsidRPr="00225D4D">
        <w:rPr>
          <w:rStyle w:val="kursiv"/>
        </w:rPr>
        <w:t xml:space="preserve"> fra den konvensjonelle kystflåten, lukket gruppe over 11 meter, til lukket gruppe under 11 meter.»</w:t>
      </w:r>
    </w:p>
    <w:p w14:paraId="794E32DA"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4801D685" w14:textId="77777777" w:rsidR="00D60186" w:rsidRPr="00225D4D" w:rsidRDefault="00D60186" w:rsidP="00225D4D">
      <w:r w:rsidRPr="00225D4D">
        <w:t>Nærings- og fiskeridepartementet gjennomførte tiltaket i forskrift om regulering av fisket etter torsk, hyse og sei nord for 62° N i 2025.</w:t>
      </w:r>
    </w:p>
    <w:p w14:paraId="098F99F1" w14:textId="77777777" w:rsidR="00D60186" w:rsidRPr="00225D4D" w:rsidRDefault="00D60186" w:rsidP="00225D4D">
      <w:r w:rsidRPr="00225D4D">
        <w:t>Vedtaket anses med dette som fulgt opp.</w:t>
      </w:r>
    </w:p>
    <w:p w14:paraId="65115C0F" w14:textId="77777777" w:rsidR="00D60186" w:rsidRPr="00225D4D" w:rsidRDefault="00D60186" w:rsidP="00225D4D">
      <w:pPr>
        <w:pStyle w:val="avsnitt-tittel"/>
      </w:pPr>
      <w:r w:rsidRPr="00225D4D">
        <w:t>Gjennomgang av åpen gruppe</w:t>
      </w:r>
    </w:p>
    <w:p w14:paraId="66059D6A" w14:textId="77777777" w:rsidR="00D60186" w:rsidRPr="00225D4D" w:rsidRDefault="00D60186" w:rsidP="00225D4D">
      <w:pPr>
        <w:pStyle w:val="avsnitt-undertittel"/>
      </w:pPr>
      <w:r w:rsidRPr="00225D4D">
        <w:t>Vedtak nr. 599, 30. april 2024</w:t>
      </w:r>
    </w:p>
    <w:p w14:paraId="0074CFEA" w14:textId="77777777" w:rsidR="00D60186" w:rsidRPr="00225D4D" w:rsidRDefault="00D60186" w:rsidP="00225D4D">
      <w:pPr>
        <w:pStyle w:val="blokksit"/>
        <w:rPr>
          <w:rStyle w:val="kursiv"/>
        </w:rPr>
      </w:pPr>
      <w:r w:rsidRPr="00225D4D">
        <w:rPr>
          <w:rStyle w:val="kursiv"/>
        </w:rPr>
        <w:t>«Stortinget ber regjeringen foreta en gjennomgang av formålet med åpen gruppe i fiskeriene, og vurdere innretningen og tiltak som i større grad bidrar til at åpen gruppe fungerer etter intensjonen, og komme tilbake til Stortinget på egnet måte.»</w:t>
      </w:r>
    </w:p>
    <w:p w14:paraId="1C5906C5"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1E658757" w14:textId="77777777" w:rsidR="00D60186" w:rsidRPr="00225D4D" w:rsidRDefault="00D60186" w:rsidP="00225D4D">
      <w:r w:rsidRPr="00225D4D">
        <w:t>Nærings- og fiskeridepartementet er i gang med å følge opp vedtaket. Det er blitt satt ned en arbeidsgruppe som foretar en gjennomgang av åpen gruppe og vurderer innretning og tiltak. Arbeidsgruppen vil levere sin rapport høsten 2025. Regjeringen vil komme tilbake til Stortinget på egnet måte.</w:t>
      </w:r>
    </w:p>
    <w:p w14:paraId="3805D66E" w14:textId="77777777" w:rsidR="00D60186" w:rsidRPr="00225D4D" w:rsidRDefault="00D60186" w:rsidP="00225D4D">
      <w:pPr>
        <w:pStyle w:val="avsnitt-tittel"/>
      </w:pPr>
      <w:r w:rsidRPr="00225D4D">
        <w:t xml:space="preserve">Gjeninnføring av </w:t>
      </w:r>
      <w:proofErr w:type="spellStart"/>
      <w:r w:rsidRPr="00225D4D">
        <w:t>sildestigen</w:t>
      </w:r>
      <w:proofErr w:type="spellEnd"/>
    </w:p>
    <w:p w14:paraId="53001689" w14:textId="77777777" w:rsidR="00D60186" w:rsidRPr="00225D4D" w:rsidRDefault="00D60186" w:rsidP="00225D4D">
      <w:pPr>
        <w:pStyle w:val="avsnitt-undertittel"/>
      </w:pPr>
      <w:r w:rsidRPr="00225D4D">
        <w:t>Vedtak nr. 600, 30. april 2024</w:t>
      </w:r>
    </w:p>
    <w:p w14:paraId="456D5C63" w14:textId="77777777" w:rsidR="00D60186" w:rsidRPr="00225D4D" w:rsidRDefault="00D60186" w:rsidP="00225D4D">
      <w:pPr>
        <w:pStyle w:val="blokksit"/>
        <w:rPr>
          <w:rStyle w:val="kursiv"/>
        </w:rPr>
      </w:pPr>
      <w:r w:rsidRPr="00225D4D">
        <w:rPr>
          <w:rStyle w:val="kursiv"/>
        </w:rPr>
        <w:t>«Stortinget ber regjeringen gjeninnføre den dynamiske kvotefordelingsmekanismen (</w:t>
      </w:r>
      <w:proofErr w:type="spellStart"/>
      <w:r w:rsidRPr="00225D4D">
        <w:rPr>
          <w:rStyle w:val="kursiv"/>
        </w:rPr>
        <w:t>sildestigen</w:t>
      </w:r>
      <w:proofErr w:type="spellEnd"/>
      <w:r w:rsidRPr="00225D4D">
        <w:rPr>
          <w:rStyle w:val="kursiv"/>
        </w:rPr>
        <w:t>) for norsk vårgytende sild.»</w:t>
      </w:r>
    </w:p>
    <w:p w14:paraId="0F7E1AE8"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73DB010F" w14:textId="77777777" w:rsidR="00D60186" w:rsidRPr="00225D4D" w:rsidRDefault="00D60186" w:rsidP="00225D4D">
      <w:r w:rsidRPr="00225D4D">
        <w:t>Nærings- og fiskeridepartementet gjennomførte tiltaket i Forskrift om regulering av fisket etter norsk vårgytende sild (</w:t>
      </w:r>
      <w:proofErr w:type="spellStart"/>
      <w:r w:rsidRPr="00225D4D">
        <w:t>nvg</w:t>
      </w:r>
      <w:proofErr w:type="spellEnd"/>
      <w:r w:rsidRPr="00225D4D">
        <w:t>) i 2025.</w:t>
      </w:r>
    </w:p>
    <w:p w14:paraId="33C480EE" w14:textId="77777777" w:rsidR="00D60186" w:rsidRPr="00225D4D" w:rsidRDefault="00D60186" w:rsidP="00225D4D">
      <w:r w:rsidRPr="00225D4D">
        <w:t>Vedtaket anses med dette som fulgt opp.</w:t>
      </w:r>
    </w:p>
    <w:p w14:paraId="1492F445" w14:textId="77777777" w:rsidR="00D60186" w:rsidRPr="00225D4D" w:rsidRDefault="00D60186" w:rsidP="00225D4D">
      <w:pPr>
        <w:pStyle w:val="avsnitt-tittel"/>
      </w:pPr>
      <w:r w:rsidRPr="00225D4D">
        <w:t>Etterkontroll av fiskesalslagslova</w:t>
      </w:r>
    </w:p>
    <w:p w14:paraId="64B1AB51" w14:textId="77777777" w:rsidR="00D60186" w:rsidRPr="00225D4D" w:rsidRDefault="00D60186" w:rsidP="00225D4D">
      <w:pPr>
        <w:pStyle w:val="avsnitt-undertittel"/>
      </w:pPr>
      <w:r w:rsidRPr="00225D4D">
        <w:t>Vedtak nr. 602, 30. april 2024</w:t>
      </w:r>
    </w:p>
    <w:p w14:paraId="0F0641BB" w14:textId="77777777" w:rsidR="00D60186" w:rsidRPr="00225D4D" w:rsidRDefault="00D60186" w:rsidP="00225D4D">
      <w:pPr>
        <w:pStyle w:val="blokksit"/>
        <w:rPr>
          <w:rStyle w:val="kursiv"/>
        </w:rPr>
      </w:pPr>
      <w:r w:rsidRPr="00225D4D">
        <w:rPr>
          <w:rStyle w:val="kursiv"/>
        </w:rPr>
        <w:t>«Stortinget ber regjeringen i en etterkontroll av fiskesalslagslovas bestemmelser også kontrollere om samfunnet har tilstrekkelig innsyn i og kontroll med fiskesalgslagenes utøvelse av sin myndighet.»</w:t>
      </w:r>
    </w:p>
    <w:p w14:paraId="7E146DB5" w14:textId="77777777" w:rsidR="00D60186" w:rsidRPr="00225D4D" w:rsidRDefault="00D60186" w:rsidP="00225D4D">
      <w:r w:rsidRPr="00225D4D">
        <w:t xml:space="preserve">Vedtaket ble truffet under behandlingen av Meld. St. 7 (2023–2024) </w:t>
      </w:r>
      <w:r w:rsidRPr="00225D4D">
        <w:rPr>
          <w:rStyle w:val="kursiv"/>
        </w:rPr>
        <w:t>Folk, fisk og fellesskap – en kvotemelding for forutsigbarhet og rettferdig fordeling</w:t>
      </w:r>
      <w:r w:rsidRPr="00225D4D">
        <w:t xml:space="preserve">, jf. </w:t>
      </w:r>
      <w:proofErr w:type="spellStart"/>
      <w:r w:rsidRPr="00225D4D">
        <w:t>Innst</w:t>
      </w:r>
      <w:proofErr w:type="spellEnd"/>
      <w:r w:rsidRPr="00225D4D">
        <w:t>. 264 S (2023–2024).</w:t>
      </w:r>
    </w:p>
    <w:p w14:paraId="70C1C398" w14:textId="77777777" w:rsidR="00D60186" w:rsidRPr="00225D4D" w:rsidRDefault="00D60186" w:rsidP="00225D4D">
      <w:r w:rsidRPr="00225D4D">
        <w:t>Regjeringen følger opp vedtaket.</w:t>
      </w:r>
    </w:p>
    <w:p w14:paraId="54798E63" w14:textId="77777777" w:rsidR="00D60186" w:rsidRPr="00225D4D" w:rsidRDefault="00D60186" w:rsidP="00225D4D">
      <w:r w:rsidRPr="00225D4D">
        <w:t>Nærings- og fiskeridepartementet gjennomfører etterkontrollen. Det skal foretas en juridisk gjennomgang og vurdere fiskesalslagslovens bestemmelser for å se på hvorvidt praktiseringen av disse svarer til lovens formål. Stortingets anmodning om å vurdere hvorvidt samfunnet har tilstrekkelig innsyn i og kontroll med fiskesalgslagenes utøvelse av myndighet er tatt inn som en del av mandatet for arbeidet.</w:t>
      </w:r>
    </w:p>
    <w:p w14:paraId="565842A8" w14:textId="77777777" w:rsidR="00D60186" w:rsidRPr="00225D4D" w:rsidRDefault="00D60186" w:rsidP="00225D4D">
      <w:r w:rsidRPr="00225D4D">
        <w:t>Departementet har sendt ut informasjon om etterkontrollen til interesse- og medlemsorganisasjonene på selger- og kjøpersiden i fiskerisektoren og fiskesalgslagene, og har anmodet om at de sender inn informasjon og merknader til hvordan de opplever dagens praktisering av fiskesalslagslova.</w:t>
      </w:r>
    </w:p>
    <w:p w14:paraId="130206F1" w14:textId="77777777" w:rsidR="00D60186" w:rsidRPr="00225D4D" w:rsidRDefault="00D60186" w:rsidP="00225D4D">
      <w:r w:rsidRPr="00225D4D">
        <w:t>Det er gjennomført møter med fiskesalgslagene, relevante medlems- og interesseorganisasjoner og eventuelle andre aktører og miljøer (akademia, enkeltselskap mv.) som det bør innhentes innspill til etterkontrollen fra.</w:t>
      </w:r>
    </w:p>
    <w:p w14:paraId="4FD11235" w14:textId="77777777" w:rsidR="00D60186" w:rsidRPr="00225D4D" w:rsidRDefault="00D60186" w:rsidP="00225D4D">
      <w:r w:rsidRPr="00225D4D">
        <w:t>Regjeringen vil komme tilbake til Stortinget på egnet måte når etterkontrollen er gjennomført.</w:t>
      </w:r>
    </w:p>
    <w:p w14:paraId="22B4601C" w14:textId="77777777" w:rsidR="00D60186" w:rsidRPr="00225D4D" w:rsidRDefault="00D60186" w:rsidP="00225D4D">
      <w:pPr>
        <w:pStyle w:val="avsnitt-tittel"/>
      </w:pPr>
      <w:r w:rsidRPr="00225D4D">
        <w:t>Teknologinøytral miljøfleksibilitetsordning for havbruk</w:t>
      </w:r>
    </w:p>
    <w:p w14:paraId="7CD7D860" w14:textId="77777777" w:rsidR="00D60186" w:rsidRPr="00225D4D" w:rsidRDefault="00D60186" w:rsidP="00225D4D">
      <w:pPr>
        <w:pStyle w:val="avsnitt-undertittel"/>
      </w:pPr>
      <w:r w:rsidRPr="00225D4D">
        <w:t>Vedtak nr. 606, 30. april 2024</w:t>
      </w:r>
    </w:p>
    <w:p w14:paraId="7F94E2A4" w14:textId="77777777" w:rsidR="00D60186" w:rsidRPr="00225D4D" w:rsidRDefault="00D60186" w:rsidP="00225D4D">
      <w:pPr>
        <w:pStyle w:val="blokksit"/>
        <w:rPr>
          <w:rStyle w:val="kursiv"/>
        </w:rPr>
      </w:pPr>
      <w:r w:rsidRPr="00225D4D">
        <w:rPr>
          <w:rStyle w:val="kursiv"/>
        </w:rPr>
        <w:t>«Stortinget ber regjeringen i løpet av 2024 fremme forslag om en teknologinøytral miljøfleksibilitetsordning som ivaretar anbefalingene fra Havbruksutvalget (NOU 2023: 23).</w:t>
      </w:r>
    </w:p>
    <w:p w14:paraId="0DC7B2E1" w14:textId="77777777" w:rsidR="00D60186" w:rsidRPr="00225D4D" w:rsidRDefault="00D60186" w:rsidP="00225D4D">
      <w:pPr>
        <w:pStyle w:val="blokksit"/>
        <w:rPr>
          <w:rStyle w:val="kursiv"/>
        </w:rPr>
      </w:pPr>
      <w:r w:rsidRPr="00225D4D">
        <w:rPr>
          <w:rStyle w:val="kursiv"/>
        </w:rPr>
        <w:t>Stortinget ber regjeringen legge følgende prinsipper til grunn for arbeidet med en teknologinøytral miljøfleksibilitetsordning for havbruk:</w:t>
      </w:r>
    </w:p>
    <w:p w14:paraId="41261A9C" w14:textId="77777777" w:rsidR="00D60186" w:rsidRPr="00225D4D" w:rsidRDefault="00D60186" w:rsidP="00225D4D">
      <w:pPr>
        <w:pStyle w:val="Liste2"/>
        <w:rPr>
          <w:rStyle w:val="kursiv"/>
        </w:rPr>
      </w:pPr>
      <w:r w:rsidRPr="00225D4D">
        <w:rPr>
          <w:rStyle w:val="kursiv"/>
        </w:rPr>
        <w:t>Ordningen må være teknologinøytral for å sikre utvikling og innovasjon</w:t>
      </w:r>
    </w:p>
    <w:p w14:paraId="6DD7A757" w14:textId="77777777" w:rsidR="00D60186" w:rsidRPr="00225D4D" w:rsidRDefault="00D60186" w:rsidP="00225D4D">
      <w:pPr>
        <w:pStyle w:val="Liste2"/>
        <w:rPr>
          <w:rStyle w:val="kursiv"/>
        </w:rPr>
      </w:pPr>
      <w:r w:rsidRPr="00225D4D">
        <w:rPr>
          <w:rStyle w:val="kursiv"/>
        </w:rPr>
        <w:t>Ordningen må bidra til å redusere næringens miljøavtrykk</w:t>
      </w:r>
    </w:p>
    <w:p w14:paraId="053B9830" w14:textId="77777777" w:rsidR="00D60186" w:rsidRPr="00225D4D" w:rsidRDefault="00D60186" w:rsidP="00225D4D">
      <w:pPr>
        <w:pStyle w:val="Liste2"/>
        <w:rPr>
          <w:rStyle w:val="kursiv"/>
        </w:rPr>
      </w:pPr>
      <w:r w:rsidRPr="00225D4D">
        <w:rPr>
          <w:rStyle w:val="kursiv"/>
        </w:rPr>
        <w:t>Ordningen må bidra til å redusere lusepresset på både oppdretts- og villfisk</w:t>
      </w:r>
    </w:p>
    <w:p w14:paraId="5A4A2C59" w14:textId="77777777" w:rsidR="00D60186" w:rsidRPr="00225D4D" w:rsidRDefault="00D60186" w:rsidP="00225D4D">
      <w:pPr>
        <w:pStyle w:val="Liste2"/>
        <w:rPr>
          <w:rStyle w:val="kursiv"/>
        </w:rPr>
      </w:pPr>
      <w:r w:rsidRPr="00225D4D">
        <w:rPr>
          <w:rStyle w:val="kursiv"/>
        </w:rPr>
        <w:t>Ordningen bør gjennom insentiver sikre at det tas i bruk lav- og nullutslippsteknologi i områder hvor det er nødvendig å redusere utslippene</w:t>
      </w:r>
    </w:p>
    <w:p w14:paraId="6A943409" w14:textId="77777777" w:rsidR="00D60186" w:rsidRPr="00225D4D" w:rsidRDefault="00D60186" w:rsidP="00225D4D">
      <w:pPr>
        <w:pStyle w:val="Liste2"/>
        <w:rPr>
          <w:rStyle w:val="kursiv"/>
        </w:rPr>
      </w:pPr>
      <w:r w:rsidRPr="00225D4D">
        <w:rPr>
          <w:rStyle w:val="kursiv"/>
        </w:rPr>
        <w:t>Ordningen bør omfatte alle eksisterende og framtidige tillatelser</w:t>
      </w:r>
    </w:p>
    <w:p w14:paraId="529D3814" w14:textId="77777777" w:rsidR="00D60186" w:rsidRPr="00225D4D" w:rsidRDefault="00D60186" w:rsidP="00225D4D">
      <w:pPr>
        <w:pStyle w:val="Liste2"/>
        <w:rPr>
          <w:rStyle w:val="kursiv"/>
        </w:rPr>
      </w:pPr>
      <w:r w:rsidRPr="00225D4D">
        <w:rPr>
          <w:rStyle w:val="kursiv"/>
        </w:rPr>
        <w:t>Ordningen bør kunne benyttes på det produksjonsvolum som er trukket inn som følge av rødt trafikklys i et produksjonsområde. Det vil i de tilfellene ikke være mulig å eventuelt konvertere tilbake til tradisjonell teknologi før dette volumet er retildelt som følge av grønt trafikklys. Dette må gjøres i tråd med intensjonen bak trafikklyssystemet.»</w:t>
      </w:r>
    </w:p>
    <w:p w14:paraId="747D25F0" w14:textId="77777777" w:rsidR="00D60186" w:rsidRPr="00225D4D" w:rsidRDefault="00D60186" w:rsidP="00225D4D">
      <w:r w:rsidRPr="00225D4D">
        <w:t xml:space="preserve">Vedtaket ble truffet under behandlingen av Dokument 8:85 S (2023–2024) </w:t>
      </w:r>
      <w:r w:rsidRPr="00225D4D">
        <w:rPr>
          <w:rStyle w:val="kursiv"/>
        </w:rPr>
        <w:t>Representantforslag om en rask omstilling av en oppdrettsnæring i krise</w:t>
      </w:r>
      <w:r w:rsidRPr="00225D4D">
        <w:t xml:space="preserve">, jf. </w:t>
      </w:r>
      <w:proofErr w:type="spellStart"/>
      <w:r w:rsidRPr="00225D4D">
        <w:t>Innst</w:t>
      </w:r>
      <w:proofErr w:type="spellEnd"/>
      <w:r w:rsidRPr="00225D4D">
        <w:t>. 261 S (2023–2024).</w:t>
      </w:r>
    </w:p>
    <w:p w14:paraId="00255DC1" w14:textId="77777777" w:rsidR="00D60186" w:rsidRPr="00225D4D" w:rsidRDefault="00D60186" w:rsidP="00225D4D">
      <w:r w:rsidRPr="00225D4D">
        <w:t>Nærings- og fiskeridepartementet har hatt på høring et forslag om bruk av nedjustert kapasitet på særskilte miljøvilkår. Forslaget innebærer at selskap som har fått nedjustert tillatelseskapasitet som følge av uakseptabel miljøpåvirkning etter trafikklyssystemet likevel skal få bruke denne kapasiteten i et anlegg med null utslipp av lakselus. For å sikre at forslaget ikke innebærer økt miljøbelastning ble det også foreslått krav knyttet til oppsamling av slam samt dobbel sikring mot rømming.</w:t>
      </w:r>
    </w:p>
    <w:p w14:paraId="348A6871" w14:textId="77777777" w:rsidR="00D60186" w:rsidRPr="00225D4D" w:rsidRDefault="00D60186" w:rsidP="00225D4D">
      <w:r w:rsidRPr="00225D4D">
        <w:t xml:space="preserve">Forslaget ivaretar ikke alle prinsippene Stortinget skisserer, men må ses i sammenheng med Meld. St. 24 (2024–2025). Regjeringen har ikke foreslått en miljøfleksibilitetsordning slik den Stortinget foreslår. Regjeringen mener likevel den foreslåtte ordningen, i sammenheng med prinsippene som foreslås i stortingsmeldingen, svarer ut hensynene bak anmodningsvedtaket. Det vises videre til vedtak nr. 1053, av 12. juni 2025, som lyder «Stortinget ber regjeringen innføre en teknologinøytral miljøteknologiordning i havbruksnæringen fra høsten 2025, der </w:t>
      </w:r>
      <w:proofErr w:type="gramStart"/>
      <w:r w:rsidRPr="00225D4D">
        <w:t>nedtrukket kapasitet</w:t>
      </w:r>
      <w:proofErr w:type="gramEnd"/>
      <w:r w:rsidRPr="00225D4D">
        <w:t xml:space="preserve"> i røde områder kan tas i bruk i anlegg med nullutslipp».</w:t>
      </w:r>
    </w:p>
    <w:p w14:paraId="3CD57ACA" w14:textId="77777777" w:rsidR="00D60186" w:rsidRPr="00225D4D" w:rsidRDefault="00D60186" w:rsidP="00225D4D">
      <w:r w:rsidRPr="00225D4D">
        <w:t>Vedtaket anses med dette som fulgt opp.</w:t>
      </w:r>
    </w:p>
    <w:p w14:paraId="64D46109" w14:textId="77777777" w:rsidR="00D60186" w:rsidRPr="00225D4D" w:rsidRDefault="00D60186" w:rsidP="00225D4D">
      <w:pPr>
        <w:pStyle w:val="avsnitt-tittel"/>
      </w:pPr>
      <w:r w:rsidRPr="00225D4D">
        <w:t>Restaurering av norsk tareskog</w:t>
      </w:r>
    </w:p>
    <w:p w14:paraId="429B8550" w14:textId="77777777" w:rsidR="00D60186" w:rsidRPr="00225D4D" w:rsidRDefault="00D60186" w:rsidP="00225D4D">
      <w:pPr>
        <w:pStyle w:val="avsnitt-undertittel"/>
      </w:pPr>
      <w:r w:rsidRPr="00225D4D">
        <w:t>Vedtak nr. 789, 14. juni 2024</w:t>
      </w:r>
    </w:p>
    <w:p w14:paraId="63562F3E" w14:textId="77777777" w:rsidR="00D60186" w:rsidRPr="00225D4D" w:rsidRDefault="00D60186" w:rsidP="00225D4D">
      <w:pPr>
        <w:pStyle w:val="blokksit"/>
        <w:rPr>
          <w:rStyle w:val="kursiv"/>
        </w:rPr>
      </w:pPr>
      <w:r w:rsidRPr="00225D4D">
        <w:rPr>
          <w:rStyle w:val="kursiv"/>
        </w:rPr>
        <w:t>«Stortinget ber regjeringen legge frem en plan og foreslå tiltak for å systematisk restaurere norsk tareskog langs kysten for å bedre det marine miljø.»</w:t>
      </w:r>
    </w:p>
    <w:p w14:paraId="7C5F4DEA" w14:textId="77777777" w:rsidR="00D60186" w:rsidRPr="00225D4D" w:rsidRDefault="00D60186" w:rsidP="00225D4D">
      <w:r w:rsidRPr="00225D4D">
        <w:t xml:space="preserve">Vedtaket ble truffet under behandlingen av Meld. St. 21 (2023–2024) </w:t>
      </w:r>
      <w:r w:rsidRPr="00225D4D">
        <w:rPr>
          <w:rStyle w:val="kursiv"/>
        </w:rPr>
        <w:t>Helhetlige forvaltningsplaner for de norske havområdene – Barentshavet og havområdene utenfor Lofoten, Norskehavet, og Nordsjøen og Skagerrak</w:t>
      </w:r>
      <w:r w:rsidRPr="00225D4D">
        <w:t xml:space="preserve">, jf. </w:t>
      </w:r>
      <w:proofErr w:type="spellStart"/>
      <w:r w:rsidRPr="00225D4D">
        <w:t>Innst</w:t>
      </w:r>
      <w:proofErr w:type="spellEnd"/>
      <w:r w:rsidRPr="00225D4D">
        <w:t>. 375 S (2023–2024).</w:t>
      </w:r>
    </w:p>
    <w:p w14:paraId="6F3CF587" w14:textId="77777777" w:rsidR="00D60186" w:rsidRPr="00225D4D" w:rsidRDefault="00D60186" w:rsidP="00225D4D">
      <w:r w:rsidRPr="00225D4D">
        <w:t>Nærings- og fiskeridepartementet følger opp vedtaket i samarbeid med klima- og miljødepartementet. Det er gitt et oppdrag til Havforskningsinstituttet i tildelingsbrevet for 2025, som skal løses i samarbeid med Fiskeridirektoratet. Havforskningsinstituttet har nedsatt en arbeidsgruppe som har levert en statusrapport om tareskog, restaurering og forvaltning i Norge. Den skal danne grunnlag for en egen rapport 2 som vil inneholde forslag til plan for restaurering som grunnlag for tilrådning. En egen utvidet ekspertgruppe nedsettes senere for dette arbeidet. Regjeringen vil komme tilbake til Stortinget på egnet måte.</w:t>
      </w:r>
    </w:p>
    <w:p w14:paraId="10A42F10" w14:textId="77777777" w:rsidR="00D60186" w:rsidRPr="00225D4D" w:rsidRDefault="00D60186" w:rsidP="00225D4D">
      <w:pPr>
        <w:pStyle w:val="avsnitt-tittel"/>
      </w:pPr>
      <w:r w:rsidRPr="00225D4D">
        <w:t>Sertifikater for utenlandske sjøfolk</w:t>
      </w:r>
    </w:p>
    <w:p w14:paraId="05AE2566" w14:textId="77777777" w:rsidR="00D60186" w:rsidRPr="00225D4D" w:rsidRDefault="00D60186" w:rsidP="00225D4D">
      <w:pPr>
        <w:pStyle w:val="avsnitt-undertittel"/>
      </w:pPr>
      <w:r w:rsidRPr="00225D4D">
        <w:t>Vedtak nr. 844, 20. juni 2024</w:t>
      </w:r>
    </w:p>
    <w:p w14:paraId="04DD7075" w14:textId="77777777" w:rsidR="00D60186" w:rsidRPr="00225D4D" w:rsidRDefault="00D60186" w:rsidP="00225D4D">
      <w:pPr>
        <w:pStyle w:val="blokksit"/>
        <w:rPr>
          <w:rStyle w:val="kursiv"/>
        </w:rPr>
      </w:pPr>
      <w:r w:rsidRPr="00225D4D">
        <w:rPr>
          <w:rStyle w:val="kursiv"/>
        </w:rPr>
        <w:t>«Stortinget ber regjeringen snarlig komme tilbake til Stortinget på egnet måte med en vurdering av gjeldende ordning for utstedelse av sertifikater for utenlandske sjøfolk. Vurderingen bør blant annet inneholde en gjennomgang av risikobildet, dispensasjonspraksisen og konsekvenser ved eventuelle endringer.»</w:t>
      </w:r>
    </w:p>
    <w:p w14:paraId="3E2FE709" w14:textId="77777777" w:rsidR="00D60186" w:rsidRPr="00225D4D" w:rsidRDefault="00D60186" w:rsidP="00225D4D">
      <w:r w:rsidRPr="00225D4D">
        <w:t xml:space="preserve">Vedtaket ble truffet under behandlingen av Dokument 8:164 S (2023–2024) </w:t>
      </w:r>
      <w:r w:rsidRPr="00225D4D">
        <w:rPr>
          <w:rStyle w:val="kursiv"/>
        </w:rPr>
        <w:t>Representantforslag om å ivareta nasjonal sikkerhet på den norske handelsflåten</w:t>
      </w:r>
      <w:r w:rsidRPr="00225D4D">
        <w:t xml:space="preserve">, jf. </w:t>
      </w:r>
      <w:proofErr w:type="spellStart"/>
      <w:r w:rsidRPr="00225D4D">
        <w:t>Innst</w:t>
      </w:r>
      <w:proofErr w:type="spellEnd"/>
      <w:r w:rsidRPr="00225D4D">
        <w:t>. 446 S (2023–2024).</w:t>
      </w:r>
    </w:p>
    <w:p w14:paraId="4EBF1664" w14:textId="77777777" w:rsidR="00D60186" w:rsidRPr="00225D4D" w:rsidRDefault="00D60186" w:rsidP="00225D4D">
      <w:r w:rsidRPr="00225D4D">
        <w:t>Nærings- og fiskeridepartementet strammet 18. november 2024 inn praksis for dispensasjoner til skipsførere med russisk nasjonalitet. Fiskeri- og havministeren redegjorde for saken i Stortinget 27. mai 2025.</w:t>
      </w:r>
    </w:p>
    <w:p w14:paraId="13CAD72B" w14:textId="77777777" w:rsidR="00D60186" w:rsidRPr="00225D4D" w:rsidRDefault="00D60186" w:rsidP="00225D4D">
      <w:r w:rsidRPr="00225D4D">
        <w:t>Vedtaket anses med dette som fulgt opp.</w:t>
      </w:r>
    </w:p>
    <w:p w14:paraId="67AD421E" w14:textId="77777777" w:rsidR="00D60186" w:rsidRPr="00225D4D" w:rsidRDefault="00D60186" w:rsidP="00225D4D">
      <w:pPr>
        <w:pStyle w:val="avsnitt-tittel"/>
      </w:pPr>
      <w:r w:rsidRPr="00225D4D">
        <w:t>Restriksjoner på bunntrål og snurrevad i det kystnære fisket</w:t>
      </w:r>
    </w:p>
    <w:p w14:paraId="7CCE6D42" w14:textId="77777777" w:rsidR="00D60186" w:rsidRPr="00225D4D" w:rsidRDefault="00D60186" w:rsidP="00225D4D">
      <w:pPr>
        <w:pStyle w:val="avsnitt-undertittel"/>
      </w:pPr>
      <w:r w:rsidRPr="00225D4D">
        <w:t>Vedtak nr. 912, 21. juni 2024</w:t>
      </w:r>
    </w:p>
    <w:p w14:paraId="1642808E" w14:textId="77777777" w:rsidR="00D60186" w:rsidRPr="00225D4D" w:rsidRDefault="00D60186" w:rsidP="00225D4D">
      <w:pPr>
        <w:pStyle w:val="blokksit"/>
        <w:rPr>
          <w:rStyle w:val="kursiv"/>
        </w:rPr>
      </w:pPr>
      <w:r w:rsidRPr="00225D4D">
        <w:rPr>
          <w:rStyle w:val="kursiv"/>
        </w:rPr>
        <w:t>«Stortinget ber regjeringen i løpet av våren 2025 utrede å innføre nye restriksjoner på bunntrål og snurrevad for å sikre kystflåten økt forrang i det kystnære fisket, særlig i områder med stor naturverdi.»</w:t>
      </w:r>
    </w:p>
    <w:p w14:paraId="104A7991" w14:textId="77777777" w:rsidR="00D60186" w:rsidRPr="00225D4D" w:rsidRDefault="00D60186" w:rsidP="00225D4D">
      <w:r w:rsidRPr="00225D4D">
        <w:t xml:space="preserve">Vedtaket ble truffet under behandlingen av </w:t>
      </w:r>
      <w:proofErr w:type="spellStart"/>
      <w:r w:rsidRPr="00225D4D">
        <w:t>Prop</w:t>
      </w:r>
      <w:proofErr w:type="spellEnd"/>
      <w:r w:rsidRPr="00225D4D">
        <w:t xml:space="preserve">. 104 S (2023–2024) </w:t>
      </w:r>
      <w:r w:rsidRPr="00225D4D">
        <w:rPr>
          <w:rStyle w:val="kursiv"/>
        </w:rPr>
        <w:t>Tilleggsbevilgninger og omprioriteringer i statsbudsjettet 2024</w:t>
      </w:r>
      <w:r w:rsidRPr="00225D4D">
        <w:t xml:space="preserve">, jf. </w:t>
      </w:r>
      <w:proofErr w:type="spellStart"/>
      <w:r w:rsidRPr="00225D4D">
        <w:t>Innst</w:t>
      </w:r>
      <w:proofErr w:type="spellEnd"/>
      <w:r w:rsidRPr="00225D4D">
        <w:t>. 447 S (2023–2024).</w:t>
      </w:r>
    </w:p>
    <w:p w14:paraId="14266913" w14:textId="77777777" w:rsidR="00D60186" w:rsidRPr="00225D4D" w:rsidRDefault="00D60186" w:rsidP="00225D4D">
      <w:r w:rsidRPr="00225D4D">
        <w:t>Fiskeridirektoratet har analysert overlapp mellom fiskeriaktivitet og kystområder med stor naturverdi. Analysen viser at det er lite overlapp for fiske med større fartøy som bruker snurrevad, og disse områdene. Trålfisket etter torsk og hyse foregår utenfor 12 nautiske mil og her er det derfor ikke en konflikt opp mot kystflåten. Fiskeridirektoratet har vurdert behovet for nye tiltak i fiskerier der det benyttes snurrevad. Direktoratet viser til det de siste par årene har blitt innført flere havdelingstiltak der den minste flåten prioriteres i kystnære områder, og at det er behov for å høste erfaringer fra disse reguleringene før det eventuelt vurderes å innføre ytterligere havdelingstiltak. Nærings- og fiskeridepartementet har derfor vurdert at det foreløpig ikke er behov for å innføre nye restriksjoner på bunntrål og snurrevad for å sikre kystflåten økt forrang i det kystnære fisket.</w:t>
      </w:r>
    </w:p>
    <w:p w14:paraId="2099B6A0" w14:textId="77777777" w:rsidR="00D60186" w:rsidRPr="00225D4D" w:rsidRDefault="00D60186" w:rsidP="00225D4D">
      <w:r w:rsidRPr="00225D4D">
        <w:t>Vedtaket anses med dette som fulgt opp.</w:t>
      </w:r>
    </w:p>
    <w:p w14:paraId="43FFDEDB" w14:textId="77777777" w:rsidR="00D60186" w:rsidRPr="00225D4D" w:rsidRDefault="00D60186" w:rsidP="00225D4D">
      <w:pPr>
        <w:pStyle w:val="Undertittel"/>
      </w:pPr>
      <w:r w:rsidRPr="00225D4D">
        <w:t>Anmodningsvedtak under næringsministeren</w:t>
      </w:r>
    </w:p>
    <w:p w14:paraId="4A156361" w14:textId="77777777" w:rsidR="00D60186" w:rsidRPr="00225D4D" w:rsidRDefault="00D60186" w:rsidP="00225D4D">
      <w:pPr>
        <w:pStyle w:val="avsnitt-tittel"/>
      </w:pPr>
      <w:r w:rsidRPr="00225D4D">
        <w:t>Midlertidige maksimalpriser for løyvepliktig drosjetransport med motorvogn</w:t>
      </w:r>
    </w:p>
    <w:p w14:paraId="319268B1" w14:textId="77777777" w:rsidR="00D60186" w:rsidRPr="00225D4D" w:rsidRDefault="00D60186" w:rsidP="00225D4D">
      <w:pPr>
        <w:pStyle w:val="avsnitt-undertittel"/>
      </w:pPr>
      <w:r w:rsidRPr="00225D4D">
        <w:t>Vedtak nr. 68, 4. desember 2023</w:t>
      </w:r>
    </w:p>
    <w:p w14:paraId="58C709B8" w14:textId="77777777" w:rsidR="00D60186" w:rsidRPr="00225D4D" w:rsidRDefault="00D60186" w:rsidP="00225D4D">
      <w:pPr>
        <w:pStyle w:val="blokksit"/>
        <w:rPr>
          <w:rStyle w:val="kursiv"/>
        </w:rPr>
      </w:pPr>
      <w:r w:rsidRPr="00225D4D">
        <w:rPr>
          <w:rStyle w:val="kursiv"/>
        </w:rPr>
        <w:t xml:space="preserve">«Stortinget ber regjeringen i løpet 2024 om å innføre midlertidige maksimalpriser for løyvepliktig drosjetransport med motorvogn i områder også uten eneretter for å gjenopprette tilliten til drosjeprisene, </w:t>
      </w:r>
      <w:proofErr w:type="gramStart"/>
      <w:r w:rsidRPr="00225D4D">
        <w:rPr>
          <w:rStyle w:val="kursiv"/>
        </w:rPr>
        <w:t>så fremt</w:t>
      </w:r>
      <w:proofErr w:type="gramEnd"/>
      <w:r w:rsidRPr="00225D4D">
        <w:rPr>
          <w:rStyle w:val="kursiv"/>
        </w:rPr>
        <w:t xml:space="preserve"> dette er mulig.»</w:t>
      </w:r>
    </w:p>
    <w:p w14:paraId="66CCB341" w14:textId="77777777" w:rsidR="00D60186" w:rsidRPr="00225D4D" w:rsidRDefault="00D60186" w:rsidP="00225D4D">
      <w:r w:rsidRPr="00225D4D">
        <w:t xml:space="preserve">Vedtaket ble truffet under behandlingen av Meld. St. 1 (2023–2024) </w:t>
      </w:r>
      <w:r w:rsidRPr="00225D4D">
        <w:rPr>
          <w:rStyle w:val="kursiv"/>
        </w:rPr>
        <w:t>Nasjonalbudsjettet 2024</w:t>
      </w:r>
      <w:r w:rsidRPr="00225D4D">
        <w:t xml:space="preserve">, jf. </w:t>
      </w:r>
      <w:proofErr w:type="spellStart"/>
      <w:r w:rsidRPr="00225D4D">
        <w:t>Innst</w:t>
      </w:r>
      <w:proofErr w:type="spellEnd"/>
      <w:r w:rsidRPr="00225D4D">
        <w:t>. 2 S (2023–2024).</w:t>
      </w:r>
    </w:p>
    <w:p w14:paraId="5605B587" w14:textId="77777777" w:rsidR="00D60186" w:rsidRPr="00225D4D" w:rsidRDefault="00D60186" w:rsidP="00225D4D">
      <w:r w:rsidRPr="00225D4D">
        <w:t>Regjeringen innførte midlertidige maksimalpriser for praiing av drosje fra 15. januar 2025, ved forskrift om midlertidige maksimalpriser for løyvepliktig drosjetransport med motorvogn som ikke er forhåndsbestilt. Forskriften innebærer innføring av midlertidige maksimalpriser ved praiing av enkeltturer med løyvepliktig drosjetransport. Forskriften gjelder ikke der reisen bestilles på forhånd, for eksempel via telefon eller applikasjon. Forskriften gjelder heller ikke for områder med maksimalprisregulering etter maksimalprisforskriften (forskrift om takstberegning og maksimalpriser for løyvepliktig drosjetransport med motorvogn), eller for områder hvor det er tildelt enerett. Forskriften gjelder for ett år, med mulighet for forlengelse. Regjeringen har nylig sendt på høring spørsmålet om mulig forlengelse av forskriften til 31. desember 2026.</w:t>
      </w:r>
    </w:p>
    <w:p w14:paraId="3411F1FB" w14:textId="77777777" w:rsidR="00D60186" w:rsidRPr="00225D4D" w:rsidRDefault="00D60186" w:rsidP="00225D4D">
      <w:r w:rsidRPr="00225D4D">
        <w:t>Vedtaket anses med dette som fulgt opp.</w:t>
      </w:r>
    </w:p>
    <w:p w14:paraId="2F7D0047" w14:textId="77777777" w:rsidR="00D60186" w:rsidRPr="00225D4D" w:rsidRDefault="00D60186" w:rsidP="00225D4D">
      <w:pPr>
        <w:pStyle w:val="avsnitt-tittel"/>
      </w:pPr>
      <w:r w:rsidRPr="00225D4D">
        <w:t>Innretning av det næringsrettede virkemiddelapparatet i samsvar med Parisavtalen</w:t>
      </w:r>
    </w:p>
    <w:p w14:paraId="69807251" w14:textId="77777777" w:rsidR="00D60186" w:rsidRPr="00225D4D" w:rsidRDefault="00D60186" w:rsidP="00225D4D">
      <w:pPr>
        <w:pStyle w:val="avsnitt-undertittel"/>
      </w:pPr>
      <w:r w:rsidRPr="00225D4D">
        <w:t>Vedtak nr. 78, 4. desember 2023</w:t>
      </w:r>
    </w:p>
    <w:p w14:paraId="7FAE750C" w14:textId="77777777" w:rsidR="00D60186" w:rsidRPr="00225D4D" w:rsidRDefault="00D60186" w:rsidP="00225D4D">
      <w:pPr>
        <w:pStyle w:val="blokksit"/>
        <w:rPr>
          <w:rStyle w:val="kursiv"/>
        </w:rPr>
      </w:pPr>
      <w:r w:rsidRPr="00225D4D">
        <w:rPr>
          <w:rStyle w:val="kursiv"/>
        </w:rPr>
        <w:t>«Stortinget ber regjeringen innrette det næringsrettede virkemiddelapparatet slik at prosjekter som får støtte skal være i tråd med Parisavtalen.»</w:t>
      </w:r>
    </w:p>
    <w:p w14:paraId="62CD5594" w14:textId="77777777" w:rsidR="00D60186" w:rsidRPr="00225D4D" w:rsidRDefault="00D60186" w:rsidP="00225D4D">
      <w:r w:rsidRPr="00225D4D">
        <w:t xml:space="preserve">Vedtaket ble truffet under behandlingen av Meld. St. 1 (2023–2024) </w:t>
      </w:r>
      <w:r w:rsidRPr="00225D4D">
        <w:rPr>
          <w:rStyle w:val="kursiv"/>
        </w:rPr>
        <w:t>Nasjonalbudsjettet 2024</w:t>
      </w:r>
      <w:r w:rsidRPr="00225D4D">
        <w:t xml:space="preserve">, jf. </w:t>
      </w:r>
      <w:proofErr w:type="spellStart"/>
      <w:r w:rsidRPr="00225D4D">
        <w:t>Innst</w:t>
      </w:r>
      <w:proofErr w:type="spellEnd"/>
      <w:r w:rsidRPr="00225D4D">
        <w:t>. 2 S (2023–2024).</w:t>
      </w:r>
    </w:p>
    <w:p w14:paraId="7A58F14B" w14:textId="77777777" w:rsidR="00D60186" w:rsidRPr="00225D4D" w:rsidRDefault="00D60186" w:rsidP="00225D4D">
      <w:r w:rsidRPr="00225D4D">
        <w:t>«Komiteens flertall, medlemmene fra Arbeiderpartiet, Senterpartiet, Fremskrittspartiet, Sosialistisk Venstreparti og Rødt, viser til uttalelsen fra næringskomiteens flertall, medlemmene fra Arbeiderpartiet, Senterpartiet, Sosialistisk Venstreparti og Miljøpartiet De Grønne, i næringskomiteens brev av 28. januar 2025, der de mener at det er viktig å dokumentere at det næringsrettede virkemiddelapparatet bidrar til grønn omstilling, og at prosjekter som får støtte fra virkemiddelapparatet, skal være i tråd med hovedprinsippene i Parisavtalen. Dette flertallet i næringskomiteen ber derfor regjeringen rapportere på dette når tallene for 2024 er klare.»</w:t>
      </w:r>
    </w:p>
    <w:p w14:paraId="412DC4FB" w14:textId="77777777" w:rsidR="00D60186" w:rsidRPr="00225D4D" w:rsidRDefault="00D60186" w:rsidP="00225D4D">
      <w:r w:rsidRPr="00225D4D">
        <w:t xml:space="preserve">Regjeringen har innført et hovedprinsipp om at prosjekter som mottar støtte gjennom det næringsrettede virkemiddelapparatet, skal ha en plass på veien mot Norges forpliktelser under Parisavtalen og lavutslippssamfunnet i 2050. Prinsippet favner både prosjekter med nøytral effekt og prosjekter med positiv effekt på grønn omstilling og er for eksempel ikke til hinder for å støtte gode prosjekter i petroleumsnæringen. Hovedprinsippet gjelder i utgangspunktet for hele det næringsrettede virkemiddelapparatet. Med dette menes alle vesentlige næringsrettede bevilgninger til Innovasjon Norge, Norges forskningsråd, Siva, Design og arkitektur Norge, Eksportfinansiering Norge, </w:t>
      </w:r>
      <w:proofErr w:type="spellStart"/>
      <w:r w:rsidRPr="00225D4D">
        <w:t>Enova</w:t>
      </w:r>
      <w:proofErr w:type="spellEnd"/>
      <w:r w:rsidRPr="00225D4D">
        <w:t xml:space="preserve">, Gassnova og Bionova. Hovedprinsippet gjelder også for </w:t>
      </w:r>
      <w:proofErr w:type="spellStart"/>
      <w:r w:rsidRPr="00225D4D">
        <w:t>Investinor</w:t>
      </w:r>
      <w:proofErr w:type="spellEnd"/>
      <w:r w:rsidRPr="00225D4D">
        <w:t xml:space="preserve"> og Nysnø, og anses for disse aktørene å være ivaretatt i forventningene som er lagt i eierskapspolitikken. Virkemiddelapparatet skal utløse gode prosjekter som bidrar til omstilling og verdiskaping i næringslivet.</w:t>
      </w:r>
    </w:p>
    <w:p w14:paraId="13EA990B" w14:textId="77777777" w:rsidR="00D60186" w:rsidRPr="00225D4D" w:rsidRDefault="00D60186" w:rsidP="00225D4D">
      <w:r w:rsidRPr="00225D4D">
        <w:t xml:space="preserve">For å dokumentere og følge opp den grønne dreiningen av virkemiddelapparatet, ble virkemiddelaktørene i 2022 bedt om å etablere sammenlignbar rapportering om støtte til prosjekter med klima- og miljøinnhold. Virkemiddelaktørene har fra 1. januar 2024 </w:t>
      </w:r>
      <w:proofErr w:type="gramStart"/>
      <w:r w:rsidRPr="00225D4D">
        <w:t>implementert</w:t>
      </w:r>
      <w:proofErr w:type="gramEnd"/>
      <w:r w:rsidRPr="00225D4D">
        <w:t xml:space="preserve"> klassifisering av prosjekter med potensiell positiv effekt på klima og miljø, og leverte i mai 2024 et forslag til løsning for rapportering på «do </w:t>
      </w:r>
      <w:proofErr w:type="spellStart"/>
      <w:r w:rsidRPr="00225D4D">
        <w:t>no</w:t>
      </w:r>
      <w:proofErr w:type="spellEnd"/>
      <w:r w:rsidRPr="00225D4D">
        <w:t xml:space="preserve"> </w:t>
      </w:r>
      <w:proofErr w:type="spellStart"/>
      <w:r w:rsidRPr="00225D4D">
        <w:t>significant</w:t>
      </w:r>
      <w:proofErr w:type="spellEnd"/>
      <w:r w:rsidRPr="00225D4D">
        <w:t xml:space="preserve"> harm-prinsippet». Fra og med 1. januar 2025 har alle virkemiddelaktørene </w:t>
      </w:r>
      <w:proofErr w:type="gramStart"/>
      <w:r w:rsidRPr="00225D4D">
        <w:t>implementert</w:t>
      </w:r>
      <w:proofErr w:type="gramEnd"/>
      <w:r w:rsidRPr="00225D4D">
        <w:t xml:space="preserve"> klassifisering av prosjekter med potensial for positiv effekt på klima og miljø og prosjekter med potensial for å gjøre vesentlig skade. Rapporteringssystemet er innført som en pilot.</w:t>
      </w:r>
    </w:p>
    <w:p w14:paraId="29FDF5E4" w14:textId="77777777" w:rsidR="00D60186" w:rsidRPr="00225D4D" w:rsidRDefault="00D60186" w:rsidP="00225D4D">
      <w:r w:rsidRPr="00225D4D">
        <w:t>Det legges opp til en dynamisk utvikling av rapporteringssystemet og det kan oppstå behov for justeringer, for eksempel basert på erfaringer med bruk av systemet eller utvikling på området. Første komplette rapportering på piloten for grønn prosjektklassifisering og rapportering, inkludert nøytrale prosjekter og prosjekter som kan gjøre vesentlig skade, skal etter planen være klar i 2026. Siden dette er et system under utvikling, er det uklart om datakvaliteten på dette tidspunktet vil være god nok til bruk i ekstern kommunikasjon.</w:t>
      </w:r>
    </w:p>
    <w:p w14:paraId="0ECEFCD4" w14:textId="77777777" w:rsidR="00D60186" w:rsidRPr="00225D4D" w:rsidRDefault="00D60186" w:rsidP="00225D4D">
      <w:r w:rsidRPr="00225D4D">
        <w:t xml:space="preserve">For å sikre at den grønne prosjektklassifiseringen og rapporteringen gir best mulig balanse mellom datakvalitet og administrasjonsbyrde (herunder </w:t>
      </w:r>
      <w:proofErr w:type="spellStart"/>
      <w:r w:rsidRPr="00225D4D">
        <w:t>rapporteringsbyrde</w:t>
      </w:r>
      <w:proofErr w:type="spellEnd"/>
      <w:r w:rsidRPr="00225D4D">
        <w:t xml:space="preserve">) for virkemiddelaktørene og næringslivet, vil det høsten 2025 igangsettes en ekstern følgeevaluering av implementeringen av piloten for grønn prosjektklassifisering og rapportering. </w:t>
      </w:r>
      <w:proofErr w:type="spellStart"/>
      <w:r w:rsidRPr="00225D4D">
        <w:t>Evaluator</w:t>
      </w:r>
      <w:proofErr w:type="spellEnd"/>
      <w:r w:rsidRPr="00225D4D">
        <w:t xml:space="preserve"> skal følge virkemiddelaktørenes implementering av piloten og gi løpende råd til videreutviklingen av rapporteringssystemet. Prosjektet skal resultere i en endelig sluttrapport fra den aktuelle </w:t>
      </w:r>
      <w:proofErr w:type="spellStart"/>
      <w:r w:rsidRPr="00225D4D">
        <w:t>evaluatoren</w:t>
      </w:r>
      <w:proofErr w:type="spellEnd"/>
      <w:r w:rsidRPr="00225D4D">
        <w:t>.</w:t>
      </w:r>
    </w:p>
    <w:p w14:paraId="35C6120E" w14:textId="77777777" w:rsidR="00D60186" w:rsidRPr="00225D4D" w:rsidRDefault="00D60186" w:rsidP="00225D4D">
      <w:r w:rsidRPr="00225D4D">
        <w:t>Regjeringen vil komme tilbake til Stortinget med rapportering så snart datakvaliteten på den grønne prosjektklassifiseringen og rapporteringen er vurdert som god nok til bruk i ekstern kommunikasjon.</w:t>
      </w:r>
    </w:p>
    <w:p w14:paraId="0AAF700A" w14:textId="77777777" w:rsidR="00D60186" w:rsidRPr="00225D4D" w:rsidRDefault="00D60186" w:rsidP="00225D4D">
      <w:r w:rsidRPr="00225D4D">
        <w:t>Se også omtale under programkategori 17.20.</w:t>
      </w:r>
    </w:p>
    <w:p w14:paraId="0769F804" w14:textId="77777777" w:rsidR="00D60186" w:rsidRPr="00225D4D" w:rsidRDefault="00D60186" w:rsidP="00225D4D">
      <w:r w:rsidRPr="00225D4D">
        <w:t>Vedtaket anses med dette som fulgt opp.</w:t>
      </w:r>
    </w:p>
    <w:p w14:paraId="075C76C4" w14:textId="77777777" w:rsidR="00D60186" w:rsidRPr="00225D4D" w:rsidRDefault="00D60186" w:rsidP="00225D4D">
      <w:pPr>
        <w:pStyle w:val="avsnitt-tittel"/>
      </w:pPr>
      <w:r w:rsidRPr="00225D4D">
        <w:t>Forskrift om innsyn i aksjeeierboken og regler om rapportering av eierskapsendringer i aksjeselskaper</w:t>
      </w:r>
    </w:p>
    <w:p w14:paraId="0144F15B" w14:textId="77777777" w:rsidR="00D60186" w:rsidRPr="00225D4D" w:rsidRDefault="00D60186" w:rsidP="00225D4D">
      <w:pPr>
        <w:pStyle w:val="avsnitt-undertittel"/>
      </w:pPr>
      <w:r w:rsidRPr="00225D4D">
        <w:t>Vedtak nr. 85, 4. desember 2023</w:t>
      </w:r>
    </w:p>
    <w:p w14:paraId="4CEBF3B8" w14:textId="77777777" w:rsidR="00D60186" w:rsidRPr="00225D4D" w:rsidRDefault="00D60186" w:rsidP="00225D4D">
      <w:pPr>
        <w:pStyle w:val="blokksit"/>
        <w:rPr>
          <w:rStyle w:val="kursiv"/>
        </w:rPr>
      </w:pPr>
      <w:r w:rsidRPr="00225D4D">
        <w:rPr>
          <w:rStyle w:val="kursiv"/>
        </w:rPr>
        <w:t xml:space="preserve">«Stortinget ber regjeringen innen revidert budsjett for 2024 gjøre endringer i forskrifter for å bedre innsyn i eierskap til norske aksjeselskaper og </w:t>
      </w:r>
      <w:proofErr w:type="spellStart"/>
      <w:r w:rsidRPr="00225D4D">
        <w:rPr>
          <w:rStyle w:val="kursiv"/>
        </w:rPr>
        <w:t>allmennaksjeselskaper</w:t>
      </w:r>
      <w:proofErr w:type="spellEnd"/>
      <w:r w:rsidRPr="00225D4D">
        <w:rPr>
          <w:rStyle w:val="kursiv"/>
        </w:rPr>
        <w:t xml:space="preserve"> og å innen revidert budsjett 2025 komme tilbake til Stortinget med forslag til regelendringer som innebærer at norske aksjeselskaper skal rapportere endringer i eierskap til aksjer på en måte som kan gjøre dem tilgjengelig for allmennheten.»</w:t>
      </w:r>
    </w:p>
    <w:p w14:paraId="12F1B483" w14:textId="77777777" w:rsidR="00D60186" w:rsidRPr="00225D4D" w:rsidRDefault="00D60186" w:rsidP="00225D4D">
      <w:r w:rsidRPr="00225D4D">
        <w:t xml:space="preserve">Vedtaket ble truffet under behandlingen av Meld. St. 1 (2023–2024) </w:t>
      </w:r>
      <w:r w:rsidRPr="00225D4D">
        <w:rPr>
          <w:rStyle w:val="kursiv"/>
        </w:rPr>
        <w:t>Nasjonalbudsjettet 2024</w:t>
      </w:r>
      <w:r w:rsidRPr="00225D4D">
        <w:t xml:space="preserve">, jf. </w:t>
      </w:r>
      <w:proofErr w:type="spellStart"/>
      <w:r w:rsidRPr="00225D4D">
        <w:t>Innst</w:t>
      </w:r>
      <w:proofErr w:type="spellEnd"/>
      <w:r w:rsidRPr="00225D4D">
        <w:t>. 2 S (2023–2024). Vedtaket må ses i sammenheng med vedtak nr. 521 av 14. mars 2024. Andre del av anmodningsvedtak nr. 85 dekker det samme som anmodningsvedtak nr. 521.</w:t>
      </w:r>
    </w:p>
    <w:p w14:paraId="5DA6BC49" w14:textId="77777777" w:rsidR="00D60186" w:rsidRPr="00225D4D" w:rsidRDefault="00D60186" w:rsidP="00225D4D">
      <w:r w:rsidRPr="00225D4D">
        <w:t xml:space="preserve">Et flertall i kontroll- og konstitusjonskomiteen hadde ved behandlingen av Meld. St. 4 (2024–2025) følgende merknader til omtalen av vedtak nr. 85 (2023–2024), jf. </w:t>
      </w:r>
      <w:proofErr w:type="spellStart"/>
      <w:r w:rsidRPr="00225D4D">
        <w:t>Innst</w:t>
      </w:r>
      <w:proofErr w:type="spellEnd"/>
      <w:r w:rsidRPr="00225D4D">
        <w:t>. 216 S (2024–2025) side 8 til 9:</w:t>
      </w:r>
    </w:p>
    <w:p w14:paraId="60922D49" w14:textId="77777777" w:rsidR="00D60186" w:rsidRPr="00225D4D" w:rsidRDefault="00D60186" w:rsidP="00225D4D">
      <w:pPr>
        <w:pStyle w:val="blokksit"/>
      </w:pPr>
      <w:r w:rsidRPr="00225D4D">
        <w:t xml:space="preserve">«Komiteens flertall, medlemmene fra Arbeiderpartiet, Senterpartiet, Fremskrittspartiet, Sosialistisk Venstreparti og Rødt, viser til tidligere vedtak om et offentlig oppdatert aksjeeierregister i sanntid (vedtak 496 (2013–2014) og 521 (2023–2024)) og vil påpeke at dette arbeidet har tatt lang tid. </w:t>
      </w:r>
      <w:r w:rsidRPr="00225D4D">
        <w:rPr>
          <w:rStyle w:val="sperret0"/>
        </w:rPr>
        <w:t>Flertallet</w:t>
      </w:r>
      <w:r w:rsidRPr="00225D4D">
        <w:t xml:space="preserve"> ber regjeringen få et offentlig og løpende oppdatert aksjeeierregister på plass innen utgangen av stortingsperioden.</w:t>
      </w:r>
    </w:p>
    <w:p w14:paraId="62E03185" w14:textId="77777777" w:rsidR="00D60186" w:rsidRPr="00225D4D" w:rsidRDefault="00D60186" w:rsidP="00225D4D">
      <w:pPr>
        <w:pStyle w:val="blokksit"/>
      </w:pPr>
      <w:r w:rsidRPr="00225D4D">
        <w:rPr>
          <w:rStyle w:val="sperret0"/>
        </w:rPr>
        <w:t>Flertallet</w:t>
      </w:r>
      <w:r w:rsidRPr="00225D4D">
        <w:t xml:space="preserve"> ber derfor regjeringen i løpet av denne stortingsperioden gjennomføre nødvendige avklaringer og etablere et slikt åpent tilgjengelig aksjeeierregister. Disse avklaringene bør bygge på rapporten fra arbeidsgruppen nedsatt av Nærings- og fiskeridepartementet våren 2024: «Større åpenhet om aksjeeierskap». </w:t>
      </w:r>
      <w:r w:rsidRPr="00225D4D">
        <w:rPr>
          <w:rStyle w:val="sperret0"/>
        </w:rPr>
        <w:t>Flertallet</w:t>
      </w:r>
      <w:r w:rsidRPr="00225D4D">
        <w:t xml:space="preserve"> ber regjeringen utvikle en teknisk løsning for dette, som kan være på plass og tilgjengelig innen utløpet av denne stortingsperioden.»</w:t>
      </w:r>
    </w:p>
    <w:p w14:paraId="4DD899A7" w14:textId="77777777" w:rsidR="00D60186" w:rsidRPr="00225D4D" w:rsidRDefault="00D60186" w:rsidP="00225D4D">
      <w:r w:rsidRPr="00225D4D">
        <w:t>Forskrift 17. november 2024 nr. 2804 om innsyn i aksjeeierboken, aksjeeierregisteret og forvalterregistrerte aksjer trådte i kraft 1. februar 2025. Forskriften innebærer at Stortingets vedtak om at det skal gis innsyn i eierskap gjennom forvalterregistrerte aksjer er fulgt opp.</w:t>
      </w:r>
    </w:p>
    <w:p w14:paraId="098B6972" w14:textId="77777777" w:rsidR="00D60186" w:rsidRPr="00225D4D" w:rsidRDefault="00D60186" w:rsidP="00225D4D">
      <w:r w:rsidRPr="00225D4D">
        <w:t xml:space="preserve">Forskriften betyr at aksjeselskaper skal utlevere informasjon om hvem som eier aksjene i selskapet til den som ber om innsyn innen tre dager. Det kan ikke kreves betaling for å gi ut informasjon. Tilsvarende skal verdipapirregister gi ut informasjonen på vegne av </w:t>
      </w:r>
      <w:proofErr w:type="spellStart"/>
      <w:r w:rsidRPr="00225D4D">
        <w:t>allmennaksjeselskaper</w:t>
      </w:r>
      <w:proofErr w:type="spellEnd"/>
      <w:r w:rsidRPr="00225D4D">
        <w:t xml:space="preserve"> de er registerfører for. Gjennom forskriften gis dermed allmennheten rett til kostnadsfritt, digitalt innsyn i aksjeeierboken og aksjeeierregisteret. Forskriften åpner samtidig for at det kan kreves innsyn i hvem som eier forvalterregistrerte aksjer.</w:t>
      </w:r>
    </w:p>
    <w:p w14:paraId="445902B8" w14:textId="77777777" w:rsidR="00D60186" w:rsidRPr="00225D4D" w:rsidRDefault="00D60186" w:rsidP="00225D4D">
      <w:r w:rsidRPr="00225D4D">
        <w:t>Allmennhetens tilgang til aksjeeierinformasjon fra myndighetene gjennom året avhenger av at myndighetene har oppdaterte opplysninger. Det er ikke situasjonen i dag. I desember 2024 leverte Skatteetaten og Brønnøysundregistrene en konseptvalgutredning med ulike forslag til ulike alternativer for å sammenstille aksjeeierinformasjon. Sammenstillingen er ment å erstatte innrapporteringssystemet som Skatteetaten har i dag, og skal også danne grunnlag for andre myndigheters behov for sammenstilte opplysninger om aksjeeierskap. Rapporten ble sendt på høring med høringsfrist 20. mars 2025 og har etter det vært til ekstern kvalitetssikring (KS1).</w:t>
      </w:r>
    </w:p>
    <w:p w14:paraId="25CA318D" w14:textId="77777777" w:rsidR="00D60186" w:rsidRPr="00225D4D" w:rsidRDefault="00D60186" w:rsidP="00225D4D">
      <w:r w:rsidRPr="00225D4D">
        <w:t>Denne løsningen skal åpne for at andre enn myndighetene skal kunne få innsyn. Regjeringens intensjon er å åpne for at allmennheten får innsyn så snart slik informasjon er tilgjengelig.</w:t>
      </w:r>
    </w:p>
    <w:p w14:paraId="58DBA67E" w14:textId="77777777" w:rsidR="00D60186" w:rsidRPr="00225D4D" w:rsidRDefault="00D60186" w:rsidP="00225D4D">
      <w:r w:rsidRPr="00225D4D">
        <w:t>Nærings- og fiskeridepartementet arbeider derfor parallelt med et høringsnotat om mulige løsninger for å oppnå større åpenhet om aksjeeiere. Næringsministeren mottok også i juni 2024 en rapport fra en arbeidsgruppe nedsatt av departementet som har gitt anbefalinger knyttet til en mulig løsning, og departementet arbeider videre med sikte på å gi Stortinget en anbefaling om endringer i dagens struktur.</w:t>
      </w:r>
    </w:p>
    <w:p w14:paraId="7D8F196B" w14:textId="77777777" w:rsidR="00D60186" w:rsidRPr="00225D4D" w:rsidRDefault="00D60186" w:rsidP="00225D4D">
      <w:r w:rsidRPr="00225D4D">
        <w:t>Rapportering kan avsluttes for første del av anmodningsvedtaket. Rapportering avsluttes ikke for andre del av vedtaket knyttet til rapportering av eierskapsendringer.</w:t>
      </w:r>
    </w:p>
    <w:p w14:paraId="75CF226B" w14:textId="77777777" w:rsidR="00D60186" w:rsidRPr="00225D4D" w:rsidRDefault="00D60186" w:rsidP="00225D4D">
      <w:pPr>
        <w:pStyle w:val="avsnitt-tittel"/>
      </w:pPr>
      <w:r w:rsidRPr="00225D4D">
        <w:t xml:space="preserve">Fensfeltet og Mineral Security </w:t>
      </w:r>
      <w:proofErr w:type="spellStart"/>
      <w:r w:rsidRPr="00225D4D">
        <w:t>Partnership</w:t>
      </w:r>
      <w:proofErr w:type="spellEnd"/>
    </w:p>
    <w:p w14:paraId="26684926" w14:textId="77777777" w:rsidR="00D60186" w:rsidRPr="00225D4D" w:rsidRDefault="00D60186" w:rsidP="00225D4D">
      <w:pPr>
        <w:pStyle w:val="avsnitt-undertittel"/>
      </w:pPr>
      <w:r w:rsidRPr="00225D4D">
        <w:t>Vedtak nr. 697, 5. juni 2024</w:t>
      </w:r>
    </w:p>
    <w:p w14:paraId="09CB0E66" w14:textId="77777777" w:rsidR="00D60186" w:rsidRPr="00225D4D" w:rsidRDefault="00D60186" w:rsidP="00225D4D">
      <w:pPr>
        <w:pStyle w:val="blokksit"/>
        <w:rPr>
          <w:rStyle w:val="kursiv"/>
        </w:rPr>
      </w:pPr>
      <w:r w:rsidRPr="00225D4D">
        <w:rPr>
          <w:rStyle w:val="kursiv"/>
        </w:rPr>
        <w:t xml:space="preserve">«Stortinget ber regjeringen fremme Fensfeltet som prioritert prosjekt innenfor rammen av det amerikansk-ledede Mineral Security </w:t>
      </w:r>
      <w:proofErr w:type="spellStart"/>
      <w:r w:rsidRPr="00225D4D">
        <w:rPr>
          <w:rStyle w:val="kursiv"/>
        </w:rPr>
        <w:t>Partnership</w:t>
      </w:r>
      <w:proofErr w:type="spellEnd"/>
      <w:r w:rsidRPr="00225D4D">
        <w:rPr>
          <w:rStyle w:val="kursiv"/>
        </w:rPr>
        <w:t xml:space="preserve"> hvor Norge deltar.»</w:t>
      </w:r>
    </w:p>
    <w:p w14:paraId="4DF41F7E" w14:textId="77777777" w:rsidR="00D60186" w:rsidRPr="00225D4D" w:rsidRDefault="00D60186" w:rsidP="00225D4D">
      <w:r w:rsidRPr="00225D4D">
        <w:t xml:space="preserve">Vedtaket ble truffet under behandlingen av Dokument 8:125 S (2023–2024) </w:t>
      </w:r>
      <w:r w:rsidRPr="00225D4D">
        <w:rPr>
          <w:rStyle w:val="kursiv"/>
        </w:rPr>
        <w:t>Representantforslag om mer landbasert mineralutvinning og sirkulærøkonomi</w:t>
      </w:r>
      <w:r w:rsidRPr="00225D4D">
        <w:t xml:space="preserve">, jf. </w:t>
      </w:r>
      <w:proofErr w:type="spellStart"/>
      <w:r w:rsidRPr="00225D4D">
        <w:t>Innst</w:t>
      </w:r>
      <w:proofErr w:type="spellEnd"/>
      <w:r w:rsidRPr="00225D4D">
        <w:t>. 388 S (2023–2024).</w:t>
      </w:r>
    </w:p>
    <w:p w14:paraId="296906B5" w14:textId="77777777" w:rsidR="00D60186" w:rsidRPr="00225D4D" w:rsidRDefault="00D60186" w:rsidP="00225D4D">
      <w:r w:rsidRPr="00225D4D">
        <w:t xml:space="preserve">Regjeringen fremmet i januar 2025 Rare Earth </w:t>
      </w:r>
      <w:proofErr w:type="spellStart"/>
      <w:r w:rsidRPr="00225D4D">
        <w:t>Norways</w:t>
      </w:r>
      <w:proofErr w:type="spellEnd"/>
      <w:r w:rsidRPr="00225D4D">
        <w:t xml:space="preserve"> prosjekt for utvinning av sjeldne jordarter i Fensfeltet som prosjekt i Mineral Security </w:t>
      </w:r>
      <w:proofErr w:type="spellStart"/>
      <w:r w:rsidRPr="00225D4D">
        <w:t>Partnership</w:t>
      </w:r>
      <w:proofErr w:type="spellEnd"/>
      <w:r w:rsidRPr="00225D4D">
        <w:t xml:space="preserve"> (MSP).</w:t>
      </w:r>
    </w:p>
    <w:p w14:paraId="3D3310BE" w14:textId="77777777" w:rsidR="00D60186" w:rsidRPr="00225D4D" w:rsidRDefault="00D60186" w:rsidP="00225D4D">
      <w:r w:rsidRPr="00225D4D">
        <w:t>Vedtaket anses med dette som fulgt opp.</w:t>
      </w:r>
    </w:p>
    <w:p w14:paraId="6B160B55" w14:textId="77777777" w:rsidR="00D60186" w:rsidRPr="00225D4D" w:rsidRDefault="00D60186" w:rsidP="00225D4D">
      <w:pPr>
        <w:pStyle w:val="avsnitt-tittel"/>
      </w:pPr>
      <w:r w:rsidRPr="00225D4D">
        <w:t>Samarbeidsavtale med USA om mineraler</w:t>
      </w:r>
    </w:p>
    <w:p w14:paraId="47BDB291" w14:textId="77777777" w:rsidR="00D60186" w:rsidRPr="00225D4D" w:rsidRDefault="00D60186" w:rsidP="00225D4D">
      <w:pPr>
        <w:pStyle w:val="avsnitt-undertittel"/>
      </w:pPr>
      <w:r w:rsidRPr="00225D4D">
        <w:t>Vedtak nr. 698, 5. juni 2024</w:t>
      </w:r>
    </w:p>
    <w:p w14:paraId="537833B9" w14:textId="77777777" w:rsidR="00D60186" w:rsidRPr="00225D4D" w:rsidRDefault="00D60186" w:rsidP="00225D4D">
      <w:pPr>
        <w:pStyle w:val="blokksit"/>
        <w:rPr>
          <w:rStyle w:val="kursiv"/>
        </w:rPr>
      </w:pPr>
      <w:r w:rsidRPr="00225D4D">
        <w:rPr>
          <w:rStyle w:val="kursiv"/>
        </w:rPr>
        <w:t xml:space="preserve">«Stortinget ber regjeringen jobbe for en bred samarbeidsavtale med USA om verdikjeder for mineraler hvor det inngår et unntak fra </w:t>
      </w:r>
      <w:proofErr w:type="spellStart"/>
      <w:r w:rsidRPr="00225D4D">
        <w:rPr>
          <w:rStyle w:val="kursiv"/>
        </w:rPr>
        <w:t>Inflation</w:t>
      </w:r>
      <w:proofErr w:type="spellEnd"/>
      <w:r w:rsidRPr="00225D4D">
        <w:rPr>
          <w:rStyle w:val="kursiv"/>
        </w:rPr>
        <w:t xml:space="preserve"> </w:t>
      </w:r>
      <w:proofErr w:type="spellStart"/>
      <w:r w:rsidRPr="00225D4D">
        <w:rPr>
          <w:rStyle w:val="kursiv"/>
        </w:rPr>
        <w:t>Reduction</w:t>
      </w:r>
      <w:proofErr w:type="spellEnd"/>
      <w:r w:rsidRPr="00225D4D">
        <w:rPr>
          <w:rStyle w:val="kursiv"/>
        </w:rPr>
        <w:t xml:space="preserve"> </w:t>
      </w:r>
      <w:proofErr w:type="spellStart"/>
      <w:r w:rsidRPr="00225D4D">
        <w:rPr>
          <w:rStyle w:val="kursiv"/>
        </w:rPr>
        <w:t>Act</w:t>
      </w:r>
      <w:proofErr w:type="spellEnd"/>
      <w:r w:rsidRPr="00225D4D">
        <w:rPr>
          <w:rStyle w:val="kursiv"/>
        </w:rPr>
        <w:t xml:space="preserve"> (IRA) for mineraler fra Norge til batteriproduksjon.»</w:t>
      </w:r>
    </w:p>
    <w:p w14:paraId="4565323F" w14:textId="77777777" w:rsidR="00D60186" w:rsidRPr="00225D4D" w:rsidRDefault="00D60186" w:rsidP="00225D4D">
      <w:r w:rsidRPr="00225D4D">
        <w:t xml:space="preserve">Vedtaket ble truffet under behandlingen av Dokument 8:125 S (2023–2024) </w:t>
      </w:r>
      <w:r w:rsidRPr="00225D4D">
        <w:rPr>
          <w:rStyle w:val="kursiv"/>
        </w:rPr>
        <w:t>Representantforslag om mer landbasert mineralutvinning og sirkulærøkonomi</w:t>
      </w:r>
      <w:r w:rsidRPr="00225D4D">
        <w:t xml:space="preserve">, jf. </w:t>
      </w:r>
      <w:proofErr w:type="spellStart"/>
      <w:r w:rsidRPr="00225D4D">
        <w:t>Innst</w:t>
      </w:r>
      <w:proofErr w:type="spellEnd"/>
      <w:r w:rsidRPr="00225D4D">
        <w:t>. 388 S (2023–2024).</w:t>
      </w:r>
    </w:p>
    <w:p w14:paraId="56458642" w14:textId="77777777" w:rsidR="00D60186" w:rsidRPr="00225D4D" w:rsidRDefault="00D60186" w:rsidP="00225D4D">
      <w:r w:rsidRPr="00225D4D">
        <w:t xml:space="preserve">Støtteordning for elbiler for privat eie under </w:t>
      </w:r>
      <w:proofErr w:type="spellStart"/>
      <w:r w:rsidRPr="00225D4D">
        <w:t>Inflation</w:t>
      </w:r>
      <w:proofErr w:type="spellEnd"/>
      <w:r w:rsidRPr="00225D4D">
        <w:t xml:space="preserve"> </w:t>
      </w:r>
      <w:proofErr w:type="spellStart"/>
      <w:r w:rsidRPr="00225D4D">
        <w:t>Reduction</w:t>
      </w:r>
      <w:proofErr w:type="spellEnd"/>
      <w:r w:rsidRPr="00225D4D">
        <w:t xml:space="preserve"> </w:t>
      </w:r>
      <w:proofErr w:type="spellStart"/>
      <w:r w:rsidRPr="00225D4D">
        <w:t>Act</w:t>
      </w:r>
      <w:proofErr w:type="spellEnd"/>
      <w:r w:rsidRPr="00225D4D">
        <w:t xml:space="preserve"> (IRA) er til vurdering i den amerikanske Kongressen som en del av et større budsjettforslag. Å inngå en mineralavtale som medfører unntak fra enkelte IRA-krav om lokalt innhold synes ikke å være aktuell amerikansk politikk på nåværende tidspunkt. Regjeringen vil komme tilbake til Stortinget på egnet måte.</w:t>
      </w:r>
    </w:p>
    <w:p w14:paraId="443C76FB" w14:textId="77777777" w:rsidR="00D60186" w:rsidRPr="00225D4D" w:rsidRDefault="00D60186" w:rsidP="00225D4D">
      <w:pPr>
        <w:pStyle w:val="avsnitt-tittel"/>
      </w:pPr>
      <w:r w:rsidRPr="00225D4D">
        <w:t>Offentlig-privat samhandling om overskuddsmasser</w:t>
      </w:r>
    </w:p>
    <w:p w14:paraId="5EAD4F54" w14:textId="77777777" w:rsidR="00D60186" w:rsidRPr="00225D4D" w:rsidRDefault="00D60186" w:rsidP="00225D4D">
      <w:pPr>
        <w:pStyle w:val="avsnitt-undertittel"/>
      </w:pPr>
      <w:r w:rsidRPr="00225D4D">
        <w:t>Vedtak nr. 699, 5. juni 2024</w:t>
      </w:r>
    </w:p>
    <w:p w14:paraId="39C922AE" w14:textId="77777777" w:rsidR="00D60186" w:rsidRPr="00225D4D" w:rsidRDefault="00D60186" w:rsidP="00225D4D">
      <w:pPr>
        <w:pStyle w:val="blokksit"/>
        <w:rPr>
          <w:rStyle w:val="kursiv"/>
        </w:rPr>
      </w:pPr>
      <w:r w:rsidRPr="00225D4D">
        <w:rPr>
          <w:rStyle w:val="kursiv"/>
        </w:rPr>
        <w:t xml:space="preserve">«Stortinget ber regjeringen legge bedre til rette for samhandling mellom private og offentlige aktører for å utnytte overskuddsmasser og redusere deponibehov. Dette kan for eksempel gjelde ved bruk av </w:t>
      </w:r>
      <w:proofErr w:type="spellStart"/>
      <w:r w:rsidRPr="00225D4D">
        <w:rPr>
          <w:rStyle w:val="kursiv"/>
        </w:rPr>
        <w:t>byggavfall</w:t>
      </w:r>
      <w:proofErr w:type="spellEnd"/>
      <w:r w:rsidRPr="00225D4D">
        <w:rPr>
          <w:rStyle w:val="kursiv"/>
        </w:rPr>
        <w:t xml:space="preserve"> som fyllmasse i byggeprosjekter, og kan blant annet gjennomføres ved å stille krav til ombruk av avgangsmasser i offentlige anbud.»</w:t>
      </w:r>
    </w:p>
    <w:p w14:paraId="74444CE4" w14:textId="77777777" w:rsidR="00D60186" w:rsidRPr="00225D4D" w:rsidRDefault="00D60186" w:rsidP="00225D4D">
      <w:r w:rsidRPr="00225D4D">
        <w:t xml:space="preserve">Vedtaket ble truffet under behandlingen av Dokument 8:125 S (2023–2024) </w:t>
      </w:r>
      <w:r w:rsidRPr="00225D4D">
        <w:rPr>
          <w:rStyle w:val="kursiv"/>
        </w:rPr>
        <w:t>Representantforslag om mer landbasert mineralutvinning og sirkulærøkonomi</w:t>
      </w:r>
      <w:r w:rsidRPr="00225D4D">
        <w:t xml:space="preserve">, jf. </w:t>
      </w:r>
      <w:proofErr w:type="spellStart"/>
      <w:r w:rsidRPr="00225D4D">
        <w:t>Innst</w:t>
      </w:r>
      <w:proofErr w:type="spellEnd"/>
      <w:r w:rsidRPr="00225D4D">
        <w:t>. 388 S (2023–2024).</w:t>
      </w:r>
    </w:p>
    <w:p w14:paraId="7B46C54E" w14:textId="77777777" w:rsidR="00D60186" w:rsidRPr="00225D4D" w:rsidRDefault="00D60186" w:rsidP="00225D4D">
      <w:r w:rsidRPr="00225D4D">
        <w:t xml:space="preserve">Kommunal- og moderniseringsdepartementet koordinerer departementenes oppfølging av rapporten Tverrsektorielt prosjekt om disponering av ikke forurensede jord- og steinmasse. Rapporten foreslår en rekke tiltak innenfor ulike sektorer som skal bidra til en mer bærekraftig masseforvaltning. En veileder om regelverket for håndtering av rene overskuddsmasser forventes publisert i løpet av høsten, jf. omtale av anmodningsvedtak nr. 454 av 12. januar 2023 i </w:t>
      </w:r>
      <w:proofErr w:type="spellStart"/>
      <w:r w:rsidRPr="00225D4D">
        <w:t>Prop</w:t>
      </w:r>
      <w:proofErr w:type="spellEnd"/>
      <w:r w:rsidRPr="00225D4D">
        <w:t xml:space="preserve">. 1 S (2024–2025) for Kommunal- og </w:t>
      </w:r>
      <w:proofErr w:type="spellStart"/>
      <w:r w:rsidRPr="00225D4D">
        <w:t>distriktsdepartementet</w:t>
      </w:r>
      <w:proofErr w:type="spellEnd"/>
      <w:r w:rsidRPr="00225D4D">
        <w:t xml:space="preserve"> (KDD). Veilederen vil omtale hvordan kommunene gjennom god planlegging kan legge grunnlag for gjenbruk av overskuddsmasser og redusere behovet for arealer til varig deponering av slike masser. Forslaget om å etablere en digital markedsplass for kjøp og salg av overskuddsmasser er utredet i en rapport fra </w:t>
      </w:r>
      <w:proofErr w:type="spellStart"/>
      <w:r w:rsidRPr="00225D4D">
        <w:t>Asplan</w:t>
      </w:r>
      <w:proofErr w:type="spellEnd"/>
      <w:r w:rsidRPr="00225D4D">
        <w:t xml:space="preserve"> </w:t>
      </w:r>
      <w:proofErr w:type="spellStart"/>
      <w:r w:rsidRPr="00225D4D">
        <w:t>Viak</w:t>
      </w:r>
      <w:proofErr w:type="spellEnd"/>
      <w:r w:rsidRPr="00225D4D">
        <w:t xml:space="preserve"> og planlegges i første omgang fulgt opp gjennom etablering av et nasjonalt samarbeidsforum for håndtering av overskuddsmasser, jf. omtale av anmodningsvedtak nr. 455 av 12. januar 2023 i </w:t>
      </w:r>
      <w:proofErr w:type="spellStart"/>
      <w:r w:rsidRPr="00225D4D">
        <w:t>Prop</w:t>
      </w:r>
      <w:proofErr w:type="spellEnd"/>
      <w:r w:rsidRPr="00225D4D">
        <w:t>. 1 S (2024–2025) for KDD. Samarbeidsforumet skal mellom annet bidra til erfaringsutveksling mellom regionene om bærekraftig massehåndtering og utbredelse av digitale markedsplasser.</w:t>
      </w:r>
    </w:p>
    <w:p w14:paraId="650C328D" w14:textId="77777777" w:rsidR="00D60186" w:rsidRPr="00225D4D" w:rsidRDefault="00D60186" w:rsidP="00225D4D">
      <w:r w:rsidRPr="00225D4D">
        <w:t>Stortinget vedtok 20. juni 2025 ny minerallov der det er tatt inn et nytt krav om rapportering ved større uttak av steinmasser også der formålet ikke er mineralvirksomhet som ellers reguleres av mineralloven. Rapporteringsplikten vil gi bedre oversikt over, og kunnskap om overskuddsmassene, som igjen er en forutsetning for å utrede videre tiltak og virkemidler for å håndtere slike masser på en ressurseffektiv og samfunnsøkonomisk lønnsom måte. Utformingen av rapporteringskravet skal vurderes nærmere i arbeidet med utarbeidelse av en forskrift for mineralloven.</w:t>
      </w:r>
    </w:p>
    <w:p w14:paraId="1FFC36BF" w14:textId="77777777" w:rsidR="00D60186" w:rsidRPr="00225D4D" w:rsidRDefault="00D60186" w:rsidP="00225D4D">
      <w:r w:rsidRPr="00225D4D">
        <w:t>Regjeringen vedtok endringer i anskaffelsesregelverket fra 1. januar 2024 som innebærer at klima og miljø som hovedregel skal vektes med minimum 30 pst. i offentlige anskaffelser. Offentlige oppdragsgivere kan i dag stille krav om utnytting av overskuddsmasser eller krav for å redusere deponibehov i offentlige anskaffelser.</w:t>
      </w:r>
    </w:p>
    <w:p w14:paraId="29CD09F7" w14:textId="77777777" w:rsidR="00D60186" w:rsidRPr="00225D4D" w:rsidRDefault="00D60186" w:rsidP="00225D4D">
      <w:r w:rsidRPr="00225D4D">
        <w:t>Det er ikke vurdert å innføre nye krav i regelverket for offentlige anskaffelser eller i plan- og bygningsloven med formål om å øke bruk av ikke forurensede overskuddsmasser i bygge- og anleggsprosjekter.</w:t>
      </w:r>
    </w:p>
    <w:p w14:paraId="3A0414A2" w14:textId="77777777" w:rsidR="00D60186" w:rsidRPr="00225D4D" w:rsidRDefault="00D60186" w:rsidP="00225D4D">
      <w:r w:rsidRPr="00225D4D">
        <w:t>Regjeringen vil komme tilbake til Stortinget på egnet måte.</w:t>
      </w:r>
    </w:p>
    <w:p w14:paraId="499864C4" w14:textId="77777777" w:rsidR="00D60186" w:rsidRPr="00225D4D" w:rsidRDefault="00D60186" w:rsidP="00225D4D">
      <w:pPr>
        <w:pStyle w:val="avsnitt-tittel"/>
      </w:pPr>
      <w:r w:rsidRPr="00225D4D">
        <w:t>Prosjektgruppe for overskuddsmasser fra gruver</w:t>
      </w:r>
    </w:p>
    <w:p w14:paraId="765E8BD7" w14:textId="77777777" w:rsidR="00D60186" w:rsidRPr="00225D4D" w:rsidRDefault="00D60186" w:rsidP="00225D4D">
      <w:pPr>
        <w:pStyle w:val="avsnitt-undertittel"/>
      </w:pPr>
      <w:r w:rsidRPr="00225D4D">
        <w:t>Vedtak nr. 700, 5. juni 2024</w:t>
      </w:r>
    </w:p>
    <w:p w14:paraId="2427B2BD" w14:textId="77777777" w:rsidR="00D60186" w:rsidRPr="00225D4D" w:rsidRDefault="00D60186" w:rsidP="00225D4D">
      <w:pPr>
        <w:pStyle w:val="blokksit"/>
        <w:rPr>
          <w:rStyle w:val="kursiv"/>
        </w:rPr>
      </w:pPr>
      <w:r w:rsidRPr="00225D4D">
        <w:rPr>
          <w:rStyle w:val="kursiv"/>
        </w:rPr>
        <w:t>«Stortinget ber regjeringen sammen med mineralnæringen etablere en prosjektgruppe som skal finne nye måter å benytte overskuddsmasser fra gruver inn i andre verdikjeder på.»</w:t>
      </w:r>
    </w:p>
    <w:p w14:paraId="2200CB69" w14:textId="77777777" w:rsidR="00D60186" w:rsidRPr="00225D4D" w:rsidRDefault="00D60186" w:rsidP="00225D4D">
      <w:r w:rsidRPr="00225D4D">
        <w:t xml:space="preserve">Vedtaket ble truffet under behandlingen av Dokument 8:125 S (2023–2024) </w:t>
      </w:r>
      <w:r w:rsidRPr="00225D4D">
        <w:rPr>
          <w:rStyle w:val="kursiv"/>
        </w:rPr>
        <w:t>Representantforslag om mer landbasert mineralutvinning og sirkulærøkonomi</w:t>
      </w:r>
      <w:r w:rsidRPr="00225D4D">
        <w:t xml:space="preserve">, jf. </w:t>
      </w:r>
      <w:proofErr w:type="spellStart"/>
      <w:r w:rsidRPr="00225D4D">
        <w:t>Innst</w:t>
      </w:r>
      <w:proofErr w:type="spellEnd"/>
      <w:r w:rsidRPr="00225D4D">
        <w:t>. 388 S (2023–2024).</w:t>
      </w:r>
    </w:p>
    <w:p w14:paraId="13885151" w14:textId="77777777" w:rsidR="00D60186" w:rsidRPr="00225D4D" w:rsidRDefault="00D60186" w:rsidP="00225D4D">
      <w:r w:rsidRPr="00225D4D">
        <w:t>Ett av tiltakene i regjeringens mineralstrategi er at det skal oppnevnes en ekspertgruppe for å vurdere håndtering av overskuddsmasser og muligheter for alternativ bruk, regelverksendringer mv. Nærings- og fiskeridepartementet har arbeidet med forberedelse av en ekspertgruppe og dette arbeidet pågår. Regjeringen vil komme tilbake til Stortinget på en egnet måte.</w:t>
      </w:r>
    </w:p>
    <w:p w14:paraId="6FA43F8E" w14:textId="77777777" w:rsidR="00D60186" w:rsidRPr="00225D4D" w:rsidRDefault="00D60186" w:rsidP="00225D4D">
      <w:pPr>
        <w:pStyle w:val="Overskrift2"/>
      </w:pPr>
      <w:r w:rsidRPr="00225D4D">
        <w:t>Stortingssesjon 2022–2023</w:t>
      </w:r>
    </w:p>
    <w:p w14:paraId="0B270E18" w14:textId="77777777" w:rsidR="00D60186" w:rsidRPr="00225D4D" w:rsidRDefault="00D60186" w:rsidP="00225D4D">
      <w:pPr>
        <w:pStyle w:val="Undertittel"/>
      </w:pPr>
      <w:r w:rsidRPr="00225D4D">
        <w:t>Anmodningsvedtak under fiskeri- og havministeren</w:t>
      </w:r>
    </w:p>
    <w:p w14:paraId="74546A95" w14:textId="77777777" w:rsidR="00D60186" w:rsidRPr="00225D4D" w:rsidRDefault="00D60186" w:rsidP="00225D4D">
      <w:pPr>
        <w:pStyle w:val="avsnitt-tittel"/>
      </w:pPr>
      <w:r w:rsidRPr="00225D4D">
        <w:t>Miljøindikatorer</w:t>
      </w:r>
    </w:p>
    <w:p w14:paraId="6589DB59" w14:textId="77777777" w:rsidR="00D60186" w:rsidRPr="00225D4D" w:rsidRDefault="00D60186" w:rsidP="00225D4D">
      <w:pPr>
        <w:pStyle w:val="avsnitt-undertittel"/>
      </w:pPr>
      <w:r w:rsidRPr="00225D4D">
        <w:t>Vedtak nr. 716-1, 31. mai 2023</w:t>
      </w:r>
    </w:p>
    <w:p w14:paraId="74B0E408" w14:textId="77777777" w:rsidR="00D60186" w:rsidRPr="00225D4D" w:rsidRDefault="00D60186" w:rsidP="00225D4D">
      <w:pPr>
        <w:pStyle w:val="blokksit"/>
        <w:rPr>
          <w:rStyle w:val="kursiv"/>
        </w:rPr>
      </w:pPr>
      <w:r w:rsidRPr="00225D4D">
        <w:rPr>
          <w:rStyle w:val="kursiv"/>
        </w:rPr>
        <w:t>«Stortinget ber regjeringen sørge for at miljøindikatorer for trafikklyssystemet er på plass fra auksjonsrunden i 2024. Det skal utredes og vurderes indikatorer, som blant annet påvirkning på sjøørret, utslipp og dødelighet.»</w:t>
      </w:r>
    </w:p>
    <w:p w14:paraId="41290D07" w14:textId="77777777" w:rsidR="00D60186" w:rsidRPr="00225D4D" w:rsidRDefault="00D60186" w:rsidP="00225D4D">
      <w:r w:rsidRPr="00225D4D">
        <w:t xml:space="preserve">Vedtaket ble truffet under behandlingen av </w:t>
      </w:r>
      <w:proofErr w:type="spellStart"/>
      <w:r w:rsidRPr="00225D4D">
        <w:t>Prop</w:t>
      </w:r>
      <w:proofErr w:type="spellEnd"/>
      <w:r w:rsidRPr="00225D4D">
        <w:t xml:space="preserve">. 78 LS (2022–2023) </w:t>
      </w:r>
      <w:r w:rsidRPr="00225D4D">
        <w:rPr>
          <w:rStyle w:val="kursiv"/>
        </w:rPr>
        <w:t>Grunnrenteskatt på havbruk</w:t>
      </w:r>
      <w:r w:rsidRPr="00225D4D">
        <w:t xml:space="preserve">, jf. </w:t>
      </w:r>
      <w:proofErr w:type="spellStart"/>
      <w:r w:rsidRPr="00225D4D">
        <w:t>Innst</w:t>
      </w:r>
      <w:proofErr w:type="spellEnd"/>
      <w:r w:rsidRPr="00225D4D">
        <w:t>. 372 L (2022–2023).</w:t>
      </w:r>
    </w:p>
    <w:p w14:paraId="5EE5A4C6" w14:textId="77777777" w:rsidR="00D60186" w:rsidRPr="00225D4D" w:rsidRDefault="00D60186" w:rsidP="00225D4D">
      <w:r w:rsidRPr="00225D4D">
        <w:t>Regjeringen viser til vedtak 1039 ifb. behandling av Meld. St. 24 (2024–2025), som lyder: «Stortinget ber regjeringen utrede ulike modeller for fremtidig regulering av havbruksnæringen basert på faktisk miljøpåvirkning og innrettet med individuelle insentiver, inkludert regjeringens foreslåtte modell, havbruksutvalgets forslag og dagens rammeverk. Utredningene skal sendes på offentlig høring, og valg av reguleringsmodell skal legges frem for Stortinget til endelig behandling.» Det er naturlig å vurdere eventuelle nye miljøindikatorer i forbindelse med utredning av ulike modeller for fremtidig regulering av havbruksnæringen, og hensynet bak vedtak nr. 716-1 av 31. mai 2023 bør derfor følges opp i den sammenheng.</w:t>
      </w:r>
    </w:p>
    <w:p w14:paraId="2AEF3AF7" w14:textId="77777777" w:rsidR="00D60186" w:rsidRPr="00225D4D" w:rsidRDefault="00D60186" w:rsidP="00225D4D">
      <w:r w:rsidRPr="00225D4D">
        <w:t>Vedtaket anses med dette som fulgt opp.</w:t>
      </w:r>
    </w:p>
    <w:p w14:paraId="36B5D2F3" w14:textId="77777777" w:rsidR="00D60186" w:rsidRPr="00225D4D" w:rsidRDefault="00D60186" w:rsidP="00225D4D">
      <w:pPr>
        <w:pStyle w:val="avsnitt-tittel"/>
      </w:pPr>
      <w:r w:rsidRPr="00225D4D">
        <w:t>Nedtrukken produksjon</w:t>
      </w:r>
    </w:p>
    <w:p w14:paraId="786A771C" w14:textId="77777777" w:rsidR="00D60186" w:rsidRPr="00225D4D" w:rsidRDefault="00D60186" w:rsidP="00225D4D">
      <w:pPr>
        <w:pStyle w:val="avsnitt-undertittel"/>
      </w:pPr>
      <w:r w:rsidRPr="00225D4D">
        <w:t>Vedtak nr. 716-3, 31. mai 2023</w:t>
      </w:r>
    </w:p>
    <w:p w14:paraId="27686E46" w14:textId="77777777" w:rsidR="00D60186" w:rsidRPr="00225D4D" w:rsidRDefault="00D60186" w:rsidP="00225D4D">
      <w:pPr>
        <w:pStyle w:val="blokksit"/>
        <w:rPr>
          <w:rStyle w:val="kursiv"/>
        </w:rPr>
      </w:pPr>
      <w:r w:rsidRPr="00225D4D">
        <w:rPr>
          <w:rStyle w:val="kursiv"/>
        </w:rPr>
        <w:t xml:space="preserve">«Stortinget ber regjeringen innføre en ordning som gjør at </w:t>
      </w:r>
      <w:proofErr w:type="gramStart"/>
      <w:r w:rsidRPr="00225D4D">
        <w:rPr>
          <w:rStyle w:val="kursiv"/>
        </w:rPr>
        <w:t>nedtrukket produksjon</w:t>
      </w:r>
      <w:proofErr w:type="gramEnd"/>
      <w:r w:rsidRPr="00225D4D">
        <w:rPr>
          <w:rStyle w:val="kursiv"/>
        </w:rPr>
        <w:t xml:space="preserve"> som følge av trafikklyssystemet kan produseres i lukket teknologi.»</w:t>
      </w:r>
    </w:p>
    <w:p w14:paraId="6C5B4C11" w14:textId="77777777" w:rsidR="00D60186" w:rsidRPr="00225D4D" w:rsidRDefault="00D60186" w:rsidP="00225D4D">
      <w:r w:rsidRPr="00225D4D">
        <w:t xml:space="preserve">Vedtaket ble truffet under behandlingen av </w:t>
      </w:r>
      <w:proofErr w:type="spellStart"/>
      <w:r w:rsidRPr="00225D4D">
        <w:t>Prop</w:t>
      </w:r>
      <w:proofErr w:type="spellEnd"/>
      <w:r w:rsidRPr="00225D4D">
        <w:t xml:space="preserve">. 78 LS (2022–2023) </w:t>
      </w:r>
      <w:r w:rsidRPr="00225D4D">
        <w:rPr>
          <w:rStyle w:val="kursiv"/>
        </w:rPr>
        <w:t>Grunnrenteskatt på havbruk</w:t>
      </w:r>
      <w:r w:rsidRPr="00225D4D">
        <w:t xml:space="preserve">, jf. </w:t>
      </w:r>
      <w:proofErr w:type="spellStart"/>
      <w:r w:rsidRPr="00225D4D">
        <w:t>Innst</w:t>
      </w:r>
      <w:proofErr w:type="spellEnd"/>
      <w:r w:rsidRPr="00225D4D">
        <w:t>. 372 L (2022–2023).</w:t>
      </w:r>
    </w:p>
    <w:p w14:paraId="058223D0" w14:textId="77777777" w:rsidR="00D60186" w:rsidRPr="00225D4D" w:rsidRDefault="00D60186" w:rsidP="00225D4D">
      <w:r w:rsidRPr="00225D4D">
        <w:t>Regjeringen har hatt på høring et forslag til ordning som ivaretar prinsippene i dette anmodningsvedtaket. Den videre oppfølgingen av vedtaket ses i sammenheng med anmodningsvedtak nr. 1053, som ble truffet under behandling av Meld. St. 24 (2024–2025).</w:t>
      </w:r>
    </w:p>
    <w:p w14:paraId="6CA48AF2" w14:textId="77777777" w:rsidR="00D60186" w:rsidRPr="00225D4D" w:rsidRDefault="00D60186" w:rsidP="00225D4D">
      <w:r w:rsidRPr="00225D4D">
        <w:t>Vedtaket anses med dette som fulgt opp.</w:t>
      </w:r>
    </w:p>
    <w:p w14:paraId="7F736271" w14:textId="77777777" w:rsidR="00D60186" w:rsidRPr="00225D4D" w:rsidRDefault="00D60186" w:rsidP="00225D4D">
      <w:pPr>
        <w:pStyle w:val="avsnitt-tittel"/>
      </w:pPr>
      <w:r w:rsidRPr="00225D4D">
        <w:t>Bedre organisering av samarbeidet mellom myndighetene og oppdrettsnæringen</w:t>
      </w:r>
    </w:p>
    <w:p w14:paraId="08948510" w14:textId="77777777" w:rsidR="00D60186" w:rsidRPr="00225D4D" w:rsidRDefault="00D60186" w:rsidP="00225D4D">
      <w:pPr>
        <w:pStyle w:val="avsnitt-undertittel"/>
      </w:pPr>
      <w:r w:rsidRPr="00225D4D">
        <w:t>Vedtak nr. 716-5, 31. mai 2023</w:t>
      </w:r>
    </w:p>
    <w:p w14:paraId="44C15B9A" w14:textId="77777777" w:rsidR="00D60186" w:rsidRPr="00225D4D" w:rsidRDefault="00D60186" w:rsidP="00225D4D">
      <w:pPr>
        <w:pStyle w:val="blokksit"/>
        <w:rPr>
          <w:rStyle w:val="kursiv"/>
        </w:rPr>
      </w:pPr>
      <w:r w:rsidRPr="00225D4D">
        <w:rPr>
          <w:rStyle w:val="kursiv"/>
        </w:rPr>
        <w:t>«Stortinget ber regjeringen i løpet av våren 2024 legge frem en sak om bedre organisering av samarbeidet mellom myndigheter og oppdrettsnæringen for å sikre en mer helhetlig forvaltning, bedre bærekraft og bedre fiskevelferd.»</w:t>
      </w:r>
    </w:p>
    <w:p w14:paraId="48E403E7" w14:textId="77777777" w:rsidR="00D60186" w:rsidRPr="00225D4D" w:rsidRDefault="00D60186" w:rsidP="00225D4D">
      <w:r w:rsidRPr="00225D4D">
        <w:t xml:space="preserve">Vedtaket ble truffet under behandlingen av </w:t>
      </w:r>
      <w:proofErr w:type="spellStart"/>
      <w:r w:rsidRPr="00225D4D">
        <w:t>Prop</w:t>
      </w:r>
      <w:proofErr w:type="spellEnd"/>
      <w:r w:rsidRPr="00225D4D">
        <w:t xml:space="preserve">. 78 LS (2022–2023) </w:t>
      </w:r>
      <w:r w:rsidRPr="00225D4D">
        <w:rPr>
          <w:rStyle w:val="kursiv"/>
        </w:rPr>
        <w:t>Grunnrenteskatt på havbruk</w:t>
      </w:r>
      <w:r w:rsidRPr="00225D4D">
        <w:t xml:space="preserve">, jf. </w:t>
      </w:r>
      <w:proofErr w:type="spellStart"/>
      <w:r w:rsidRPr="00225D4D">
        <w:t>Innst</w:t>
      </w:r>
      <w:proofErr w:type="spellEnd"/>
      <w:r w:rsidRPr="00225D4D">
        <w:t>. 372 L (2022–2023).</w:t>
      </w:r>
    </w:p>
    <w:p w14:paraId="6E769067" w14:textId="77777777" w:rsidR="00D60186" w:rsidRPr="00225D4D" w:rsidRDefault="00D60186" w:rsidP="00225D4D">
      <w:r w:rsidRPr="00225D4D">
        <w:t xml:space="preserve">Regjeringen viser til behandling av Meld. St. 24 (2024–2025) </w:t>
      </w:r>
      <w:r w:rsidRPr="00225D4D">
        <w:rPr>
          <w:rStyle w:val="kursiv"/>
        </w:rPr>
        <w:t>Fremtidens havbruk – Bærekraftig vekst og mat til verden</w:t>
      </w:r>
      <w:r w:rsidRPr="00225D4D">
        <w:t>, hvor følgende vedtak nr. 1043 ble truffet:</w:t>
      </w:r>
    </w:p>
    <w:p w14:paraId="558EB74D" w14:textId="77777777" w:rsidR="00D60186" w:rsidRPr="00225D4D" w:rsidRDefault="00D60186" w:rsidP="00225D4D">
      <w:pPr>
        <w:pStyle w:val="blokksit"/>
      </w:pPr>
      <w:r w:rsidRPr="00225D4D">
        <w:rPr>
          <w:rStyle w:val="kursiv"/>
        </w:rPr>
        <w:t>«Stortinget ber regjeringen vurdere å etablere et utvalg av relevante aktører som kan bidra til bedre dialog og samspill mellom de ulike aktørene knyttet til norsk havbruk.»</w:t>
      </w:r>
    </w:p>
    <w:p w14:paraId="5F1AF6CA" w14:textId="77777777" w:rsidR="00D60186" w:rsidRPr="00225D4D" w:rsidRDefault="00D60186" w:rsidP="00225D4D">
      <w:r w:rsidRPr="00225D4D">
        <w:t>Hensynet bak vedtak nr. 716-5, 2023 følges best opp gjennom oppfølgingen nytt vedtak nr. 1043 av 12. juni 2025.</w:t>
      </w:r>
    </w:p>
    <w:p w14:paraId="287A79DA" w14:textId="77777777" w:rsidR="00D60186" w:rsidRPr="00225D4D" w:rsidRDefault="00D60186" w:rsidP="00225D4D">
      <w:r w:rsidRPr="00225D4D">
        <w:t>Vedtaket anses med dette som fulgt opp.</w:t>
      </w:r>
    </w:p>
    <w:p w14:paraId="7DA16B32" w14:textId="77777777" w:rsidR="00D60186" w:rsidRPr="00225D4D" w:rsidRDefault="00D60186" w:rsidP="00225D4D">
      <w:pPr>
        <w:pStyle w:val="avsnitt-tittel"/>
      </w:pPr>
      <w:r w:rsidRPr="00225D4D">
        <w:t>Krav om nullutslipp for alle nye servicefartøy i havbruksnæringen fra 1. juli 2024</w:t>
      </w:r>
    </w:p>
    <w:p w14:paraId="349A568D" w14:textId="77777777" w:rsidR="00D60186" w:rsidRPr="00225D4D" w:rsidRDefault="00D60186" w:rsidP="00225D4D">
      <w:pPr>
        <w:pStyle w:val="avsnitt-undertittel"/>
      </w:pPr>
      <w:r w:rsidRPr="00225D4D">
        <w:t>Vedtak nr. 933, 16. juni 2023</w:t>
      </w:r>
    </w:p>
    <w:p w14:paraId="1FF71C97" w14:textId="77777777" w:rsidR="00D60186" w:rsidRPr="00225D4D" w:rsidRDefault="00D60186" w:rsidP="00225D4D">
      <w:pPr>
        <w:pStyle w:val="blokksit"/>
        <w:rPr>
          <w:rStyle w:val="kursiv"/>
        </w:rPr>
      </w:pPr>
      <w:r w:rsidRPr="00225D4D">
        <w:rPr>
          <w:rStyle w:val="kursiv"/>
        </w:rPr>
        <w:t>«Stortinget ber regjeringen fremme forslag om krav om nullutslipp for alle nye servicefartøy i havbruksnæringen fra 1. juli 2024. Det må tas hensyn til at lokale forhold knyttet til energiforsyning kan vanskeliggjøre nullutslipp.»</w:t>
      </w:r>
    </w:p>
    <w:p w14:paraId="66109DA0" w14:textId="77777777" w:rsidR="00D60186" w:rsidRPr="00225D4D" w:rsidRDefault="00D60186" w:rsidP="00225D4D">
      <w:r w:rsidRPr="00225D4D">
        <w:t xml:space="preserve">Vedtaket ble truffet under behandlingen av Meld. St. 2 (2022–2023) </w:t>
      </w:r>
      <w:r w:rsidRPr="00225D4D">
        <w:rPr>
          <w:rStyle w:val="kursiv"/>
        </w:rPr>
        <w:t>Revidert nasjonalbudsjett 2023</w:t>
      </w:r>
      <w:r w:rsidRPr="00225D4D">
        <w:t xml:space="preserve">, jf. </w:t>
      </w:r>
      <w:proofErr w:type="spellStart"/>
      <w:r w:rsidRPr="00225D4D">
        <w:t>Innst</w:t>
      </w:r>
      <w:proofErr w:type="spellEnd"/>
      <w:r w:rsidRPr="00225D4D">
        <w:t>. 490 S (2022–2023).</w:t>
      </w:r>
    </w:p>
    <w:p w14:paraId="267BFBFC" w14:textId="77777777" w:rsidR="00D60186" w:rsidRPr="00225D4D" w:rsidRDefault="00D60186" w:rsidP="00225D4D">
      <w:r w:rsidRPr="00225D4D">
        <w:t>Klima- og miljødepartementet mottok i april i år en utredning fra DNV som kartlegger muligheten for elektrifisering av fartøy i havbruk. Denne samt tidligere underlagsrapport fra Sjøfartsdirektoratet om lav- og nullutslippskrav for servicefartøy i havbruksnæringen legges til grunn for den videre prosessen med å stille krav til servicefartøy i havbruksnæringen.</w:t>
      </w:r>
    </w:p>
    <w:p w14:paraId="7D7ECBDC" w14:textId="77777777" w:rsidR="00D60186" w:rsidRPr="00225D4D" w:rsidRDefault="00D60186" w:rsidP="00225D4D">
      <w:r w:rsidRPr="00225D4D">
        <w:t xml:space="preserve">På bakgrunn de gjennomførte utredningene har Klima- og miljødepartementet, i samråd med Nærings- og fiskeridepartementet, bedt Sjøfartsdirektoratet utarbeide et forslag til hvordan klimakrav til servicefartøy i havbruksnæringen kan gjennomføres og innrettes. Klima- og miljødepartementet arbeider med å sende et forslag på offentlig høring i løpet av høsten 2025, Det er imidlertid ikke mulig å sikre at endringene trer i kraft fra 1. januar 2026 i tråd med </w:t>
      </w:r>
      <w:proofErr w:type="spellStart"/>
      <w:r w:rsidRPr="00225D4D">
        <w:t>Innst</w:t>
      </w:r>
      <w:proofErr w:type="spellEnd"/>
      <w:r w:rsidRPr="00225D4D">
        <w:t>. 216 S (2024–2025). Det legges opp til at endringene fases inn gradvis, og først får full effekt fra 2028. Dette gjøres blant annet for å gi næringsaktørene tilstrekkelig tid til å tilpasse seg endringene.</w:t>
      </w:r>
    </w:p>
    <w:p w14:paraId="045FA48C" w14:textId="77777777" w:rsidR="00D60186" w:rsidRPr="00225D4D" w:rsidRDefault="00D60186" w:rsidP="00225D4D">
      <w:r w:rsidRPr="00225D4D">
        <w:t>Vedtaket anses med dette som fulgt opp.</w:t>
      </w:r>
    </w:p>
    <w:p w14:paraId="64383871" w14:textId="77777777" w:rsidR="00D60186" w:rsidRPr="00225D4D" w:rsidRDefault="00D60186" w:rsidP="00225D4D">
      <w:pPr>
        <w:pStyle w:val="Undertittel"/>
      </w:pPr>
      <w:r w:rsidRPr="00225D4D">
        <w:t>Anmodningsvedtak under næringsministeren</w:t>
      </w:r>
    </w:p>
    <w:p w14:paraId="5BDA3FFC" w14:textId="77777777" w:rsidR="00D60186" w:rsidRPr="00225D4D" w:rsidRDefault="00D60186" w:rsidP="00225D4D">
      <w:pPr>
        <w:pStyle w:val="avsnitt-tittel"/>
      </w:pPr>
      <w:r w:rsidRPr="00225D4D">
        <w:t>Strategi for vekst i kreativ industri</w:t>
      </w:r>
    </w:p>
    <w:p w14:paraId="5ED586D4" w14:textId="77777777" w:rsidR="00D60186" w:rsidRPr="00225D4D" w:rsidRDefault="00D60186" w:rsidP="00225D4D">
      <w:pPr>
        <w:pStyle w:val="avsnitt-undertittel"/>
      </w:pPr>
      <w:r w:rsidRPr="00225D4D">
        <w:t>Vedtak nr. 55, 24. november 2022</w:t>
      </w:r>
    </w:p>
    <w:p w14:paraId="40A25C84" w14:textId="77777777" w:rsidR="00D60186" w:rsidRPr="00225D4D" w:rsidRDefault="00D60186" w:rsidP="00225D4D">
      <w:pPr>
        <w:pStyle w:val="blokksit"/>
        <w:rPr>
          <w:rStyle w:val="kursiv"/>
        </w:rPr>
      </w:pPr>
      <w:r w:rsidRPr="00225D4D">
        <w:rPr>
          <w:rStyle w:val="kursiv"/>
        </w:rPr>
        <w:t>«Stortinget ber regjeringen utarbeide og fremme forslag om en strategi for vekst innenfor kreativ industri. Strategien skal ha som mål å øke verdiskapingen og bidra til vekst i antall bedrifter, bærekraftige arbeidsplasser og eksport.»</w:t>
      </w:r>
    </w:p>
    <w:p w14:paraId="2FC40434" w14:textId="77777777" w:rsidR="00D60186" w:rsidRPr="00225D4D" w:rsidRDefault="00D60186" w:rsidP="00225D4D">
      <w:r w:rsidRPr="00225D4D">
        <w:t xml:space="preserve">Vedtaket ble truffet under behandlingen av Dokument 8:244 S (2021–2022) </w:t>
      </w:r>
      <w:r w:rsidRPr="00225D4D">
        <w:rPr>
          <w:rStyle w:val="kursiv"/>
        </w:rPr>
        <w:t>Representantforslag om et nasjonalt løft for kreative næringer</w:t>
      </w:r>
      <w:r w:rsidRPr="00225D4D">
        <w:t xml:space="preserve">, jf. </w:t>
      </w:r>
      <w:proofErr w:type="spellStart"/>
      <w:r w:rsidRPr="00225D4D">
        <w:t>Innst</w:t>
      </w:r>
      <w:proofErr w:type="spellEnd"/>
      <w:r w:rsidRPr="00225D4D">
        <w:t>. 58 S (2022–2023).</w:t>
      </w:r>
    </w:p>
    <w:p w14:paraId="0DE206FA" w14:textId="77777777" w:rsidR="00D60186" w:rsidRPr="00225D4D" w:rsidRDefault="00D60186" w:rsidP="00225D4D">
      <w:r w:rsidRPr="00225D4D">
        <w:t>Regjeringen la fram et veikart for kreativ næring 22. november 2024. Veikartet viser hvordan regjeringen legger til rette for å øke den samlede verdiskapingen i kreativ næring, og bidra til bærekraftige arbeidsplasser, økt lønnsomhet og eksport.</w:t>
      </w:r>
    </w:p>
    <w:p w14:paraId="33324E42" w14:textId="77777777" w:rsidR="00D60186" w:rsidRPr="00225D4D" w:rsidRDefault="00D60186" w:rsidP="00225D4D">
      <w:r w:rsidRPr="00225D4D">
        <w:t>Vedtaket anses med dette som fulgt opp.</w:t>
      </w:r>
    </w:p>
    <w:p w14:paraId="2BF0FE9D" w14:textId="77777777" w:rsidR="00D60186" w:rsidRPr="00225D4D" w:rsidRDefault="00D60186" w:rsidP="00225D4D">
      <w:pPr>
        <w:pStyle w:val="avsnitt-tittel"/>
      </w:pPr>
      <w:r w:rsidRPr="00225D4D">
        <w:t>Gjennomgang av virkemiddelapparatet for kulturnæringer</w:t>
      </w:r>
    </w:p>
    <w:p w14:paraId="57648F32" w14:textId="77777777" w:rsidR="00D60186" w:rsidRPr="00225D4D" w:rsidRDefault="00D60186" w:rsidP="00225D4D">
      <w:pPr>
        <w:pStyle w:val="avsnitt-undertittel"/>
      </w:pPr>
      <w:r w:rsidRPr="00225D4D">
        <w:t>Vedtak nr. 56, 24. november 2022</w:t>
      </w:r>
    </w:p>
    <w:p w14:paraId="47D659EA" w14:textId="77777777" w:rsidR="00D60186" w:rsidRPr="00225D4D" w:rsidRDefault="00D60186" w:rsidP="00225D4D">
      <w:pPr>
        <w:pStyle w:val="blokksit"/>
        <w:rPr>
          <w:rStyle w:val="kursiv"/>
        </w:rPr>
      </w:pPr>
      <w:r w:rsidRPr="00225D4D">
        <w:rPr>
          <w:rStyle w:val="kursiv"/>
        </w:rPr>
        <w:t>«Stortinget ber regjeringen gjennomgå hele virkemiddelapparatet for kulturelle næringer og vurdere hvordan man kan sikre bedre koordinering, herunder om det kan være hensiktsmessig å samle flere virkemidler for kulturnæringer i Innovasjon Norge, samt sørge for at Innovasjon Norges kulturnæringskompetanse styrkes.»</w:t>
      </w:r>
    </w:p>
    <w:p w14:paraId="05443D4E" w14:textId="77777777" w:rsidR="00D60186" w:rsidRPr="00225D4D" w:rsidRDefault="00D60186" w:rsidP="00225D4D">
      <w:r w:rsidRPr="00225D4D">
        <w:t xml:space="preserve">Vedtaket ble truffet under behandlingen av Dokument 8:244 S (2021–2022) </w:t>
      </w:r>
      <w:r w:rsidRPr="00225D4D">
        <w:rPr>
          <w:rStyle w:val="kursiv"/>
        </w:rPr>
        <w:t>Representantforslag om et nasjonalt løft for kreative næringer</w:t>
      </w:r>
      <w:r w:rsidRPr="00225D4D">
        <w:t xml:space="preserve">, jf. </w:t>
      </w:r>
      <w:proofErr w:type="spellStart"/>
      <w:r w:rsidRPr="00225D4D">
        <w:t>Innst</w:t>
      </w:r>
      <w:proofErr w:type="spellEnd"/>
      <w:r w:rsidRPr="00225D4D">
        <w:t>. 58 S (2022–2023).</w:t>
      </w:r>
    </w:p>
    <w:p w14:paraId="25F07DE7" w14:textId="77777777" w:rsidR="00D60186" w:rsidRPr="00225D4D" w:rsidRDefault="00D60186" w:rsidP="00225D4D">
      <w:r w:rsidRPr="00225D4D">
        <w:t>Regjeringen la i 2024 fram et veikart for kreativ næring. Veikartet gir en oversikt over relevante næringsrettede virkemidler for den kreative næringen, og viser hvordan næringen bruker virkemiddelapparatet. Videre viser veikartet til en følgeevaluering av innretningen på og effekten av tiltakene i regjeringens tidligere satsing på kulturell og kreativ næring. Evalueringen ble gjennomført på oppdrag fra Kultur- og likestillingsdepartementet i perioden 2018–2024. Evalueringen viste at satsingen har bidratt til økt kunnskap om kultur som næring og at virkemiddelapparatet har blitt bedre koordinert. Videre ble det i evalueringen anbefalt at behovene til kreativ næring framover bør ses innenfor rammen for et næringsnøytralt system for tilskudd til næringsaktører. Regjeringen vil bygge videre på resultatene fra satsingen, og legge til rette for at flere bedrifter kan kvalifisere seg i konkurransen om de generelle ordningene i Innovasjon Norge. For å oppnå dette er det viktig at Innovasjon Norge fortsatt har god kunnskap om næringen.</w:t>
      </w:r>
    </w:p>
    <w:p w14:paraId="161AD2F9" w14:textId="77777777" w:rsidR="00D60186" w:rsidRPr="00225D4D" w:rsidRDefault="00D60186" w:rsidP="00225D4D">
      <w:r w:rsidRPr="00225D4D">
        <w:t>Vedtaket anses med dette som fulgt opp.</w:t>
      </w:r>
    </w:p>
    <w:p w14:paraId="1E1C5BF2" w14:textId="77777777" w:rsidR="00D60186" w:rsidRPr="00225D4D" w:rsidRDefault="00D60186" w:rsidP="00225D4D">
      <w:pPr>
        <w:pStyle w:val="avsnitt-tittel"/>
      </w:pPr>
      <w:r w:rsidRPr="00225D4D">
        <w:t>Opphevelse av boligstiftelser opprettet av kommune og boligbyggelag</w:t>
      </w:r>
    </w:p>
    <w:p w14:paraId="41002350" w14:textId="77777777" w:rsidR="00D60186" w:rsidRPr="00225D4D" w:rsidRDefault="00D60186" w:rsidP="00225D4D">
      <w:pPr>
        <w:pStyle w:val="avsnitt-undertittel"/>
      </w:pPr>
      <w:r w:rsidRPr="00225D4D">
        <w:t>Vedtak nr. 68, 29. november 2022</w:t>
      </w:r>
    </w:p>
    <w:p w14:paraId="3D578A15" w14:textId="77777777" w:rsidR="00D60186" w:rsidRPr="00225D4D" w:rsidRDefault="00D60186" w:rsidP="00225D4D">
      <w:pPr>
        <w:pStyle w:val="blokksit"/>
        <w:rPr>
          <w:rStyle w:val="kursiv"/>
        </w:rPr>
      </w:pPr>
      <w:r w:rsidRPr="00225D4D">
        <w:rPr>
          <w:rStyle w:val="kursiv"/>
        </w:rPr>
        <w:t>«Stortinget ber regjeringen komme tilbake til Stortinget med en sak om hvordan hjemmel for oppløsning av stiftelser som er etablert av kommune eller fylkeskommune sammen med boligbyggelag, kan utformes.»</w:t>
      </w:r>
    </w:p>
    <w:p w14:paraId="62590F2F" w14:textId="77777777" w:rsidR="00D60186" w:rsidRPr="00225D4D" w:rsidRDefault="00D60186" w:rsidP="00225D4D">
      <w:r w:rsidRPr="00225D4D">
        <w:t xml:space="preserve">Vedtaket ble truffet under behandlingen av </w:t>
      </w:r>
      <w:proofErr w:type="spellStart"/>
      <w:r w:rsidRPr="00225D4D">
        <w:t>Prop</w:t>
      </w:r>
      <w:proofErr w:type="spellEnd"/>
      <w:r w:rsidRPr="00225D4D">
        <w:t xml:space="preserve">. 135 L (2021–2022) </w:t>
      </w:r>
      <w:r w:rsidRPr="00225D4D">
        <w:rPr>
          <w:rStyle w:val="kursiv"/>
        </w:rPr>
        <w:t>Endringer i stiftelsesloven (opphevelse av boligstiftelser opprettet av kommuner)</w:t>
      </w:r>
      <w:r w:rsidRPr="00225D4D">
        <w:t xml:space="preserve">, jf. </w:t>
      </w:r>
      <w:proofErr w:type="spellStart"/>
      <w:r w:rsidRPr="00225D4D">
        <w:t>Innst</w:t>
      </w:r>
      <w:proofErr w:type="spellEnd"/>
      <w:r w:rsidRPr="00225D4D">
        <w:t>. 73 L (2022–2023).</w:t>
      </w:r>
    </w:p>
    <w:p w14:paraId="0DA869D3" w14:textId="77777777" w:rsidR="00D60186" w:rsidRPr="00225D4D" w:rsidRDefault="00D60186" w:rsidP="00225D4D">
      <w:r w:rsidRPr="00225D4D">
        <w:t>Regjeringen vil utrede hvordan regler om opphevelse av boligstiftelser hvor et privat rettssubjekt er blant oppretterne kan utformes i samsvar med norsk rett. Det er gjennomført en kartlegging av hvor mange stiftelser en eventuell lovhjemmel vil gjelde for og hvilken rolle boligbyggelagene hadde ved opprettelsen. Det er også innhentet en juridisk utredning om hvordan en hjemmel om opphevelse kan utformes, og av forholdet til Grunnloven og den europeiske menneskerettighetskonvensjon. Den juridiske utredningen ble publisert på regjeringen.no den 7. desember 2023.</w:t>
      </w:r>
    </w:p>
    <w:p w14:paraId="10F07EC6" w14:textId="77777777" w:rsidR="00D60186" w:rsidRPr="00225D4D" w:rsidRDefault="00D60186" w:rsidP="00225D4D">
      <w:r w:rsidRPr="00225D4D">
        <w:t>Regjeringen vil følge opp vedtaket og komme tilbake til Stortinget på egnet måte.</w:t>
      </w:r>
    </w:p>
    <w:p w14:paraId="753C3177" w14:textId="77777777" w:rsidR="00D60186" w:rsidRPr="00225D4D" w:rsidRDefault="00D60186" w:rsidP="00225D4D">
      <w:pPr>
        <w:pStyle w:val="avsnitt-tittel"/>
      </w:pPr>
      <w:r w:rsidRPr="00225D4D">
        <w:t xml:space="preserve">Krav om </w:t>
      </w:r>
      <w:proofErr w:type="spellStart"/>
      <w:r w:rsidRPr="00225D4D">
        <w:t>tilbakefylling</w:t>
      </w:r>
      <w:proofErr w:type="spellEnd"/>
      <w:r w:rsidRPr="00225D4D">
        <w:t xml:space="preserve"> og ressursutnyttelse for gruvedrift i Norge</w:t>
      </w:r>
    </w:p>
    <w:p w14:paraId="2142A3A2" w14:textId="77777777" w:rsidR="00D60186" w:rsidRPr="00225D4D" w:rsidRDefault="00D60186" w:rsidP="00225D4D">
      <w:pPr>
        <w:pStyle w:val="avsnitt-undertittel"/>
      </w:pPr>
      <w:r w:rsidRPr="00225D4D">
        <w:t>Vedtak nr. 99, 1. desember 2022</w:t>
      </w:r>
    </w:p>
    <w:p w14:paraId="148C4C01" w14:textId="77777777" w:rsidR="00D60186" w:rsidRPr="00225D4D" w:rsidRDefault="00D60186" w:rsidP="00225D4D">
      <w:pPr>
        <w:pStyle w:val="blokksit"/>
        <w:rPr>
          <w:rStyle w:val="kursiv"/>
        </w:rPr>
      </w:pPr>
      <w:r w:rsidRPr="00225D4D">
        <w:rPr>
          <w:rStyle w:val="kursiv"/>
        </w:rPr>
        <w:t xml:space="preserve">«Stortinget ber regjeringen i løpet av 2023 stille strengere krav til gruvevirksomhet om </w:t>
      </w:r>
      <w:proofErr w:type="spellStart"/>
      <w:r w:rsidRPr="00225D4D">
        <w:rPr>
          <w:rStyle w:val="kursiv"/>
        </w:rPr>
        <w:t>tilbakefylling</w:t>
      </w:r>
      <w:proofErr w:type="spellEnd"/>
      <w:r w:rsidRPr="00225D4D">
        <w:rPr>
          <w:rStyle w:val="kursiv"/>
        </w:rPr>
        <w:t xml:space="preserve"> og økt ressursutnyttelse.»</w:t>
      </w:r>
    </w:p>
    <w:p w14:paraId="654C8725" w14:textId="77777777" w:rsidR="00D60186" w:rsidRPr="00225D4D" w:rsidRDefault="00D60186" w:rsidP="00225D4D">
      <w:r w:rsidRPr="00225D4D">
        <w:t xml:space="preserve">Vedtaket ble truffet under behandlingen av Meld. St. 1 (2022–2023) </w:t>
      </w:r>
      <w:r w:rsidRPr="00225D4D">
        <w:rPr>
          <w:rStyle w:val="kursiv"/>
        </w:rPr>
        <w:t>Nasjonalbudsjettet 2023</w:t>
      </w:r>
      <w:r w:rsidRPr="00225D4D">
        <w:t xml:space="preserve">, jf. </w:t>
      </w:r>
      <w:proofErr w:type="spellStart"/>
      <w:r w:rsidRPr="00225D4D">
        <w:t>Innst</w:t>
      </w:r>
      <w:proofErr w:type="spellEnd"/>
      <w:r w:rsidRPr="00225D4D">
        <w:t>. 2 S (2022–2023).</w:t>
      </w:r>
    </w:p>
    <w:p w14:paraId="43E98CE7" w14:textId="77777777" w:rsidR="00D60186" w:rsidRPr="00225D4D" w:rsidRDefault="00D60186" w:rsidP="00225D4D">
      <w:r w:rsidRPr="00225D4D">
        <w:t xml:space="preserve">Regjeringens mineralstrategi ble lagt fram den 21. juni 2023. Regjeringens ambisjon er at Norge skal utvikle verdens mest bærekraftige mineralnæring. Langsiktig og bærekraftig forvaltning av ressurser er et grunnprinsipp i regjeringens politikk. Økt </w:t>
      </w:r>
      <w:proofErr w:type="spellStart"/>
      <w:r w:rsidRPr="00225D4D">
        <w:t>sirkularitet</w:t>
      </w:r>
      <w:proofErr w:type="spellEnd"/>
      <w:r w:rsidRPr="00225D4D">
        <w:t xml:space="preserve"> og mer gjenvinning er viktig for å sikre en bærekraftig ressursbruk.</w:t>
      </w:r>
    </w:p>
    <w:p w14:paraId="71CF5A6C" w14:textId="77777777" w:rsidR="00D60186" w:rsidRPr="00225D4D" w:rsidRDefault="00D60186" w:rsidP="00225D4D">
      <w:r w:rsidRPr="00225D4D">
        <w:t>I regjeringens mineralstrategi framkommer det blant annet at regjeringen vil:</w:t>
      </w:r>
    </w:p>
    <w:p w14:paraId="3ACCDFA4" w14:textId="77777777" w:rsidR="00D60186" w:rsidRPr="00225D4D" w:rsidRDefault="00D60186" w:rsidP="00225D4D">
      <w:pPr>
        <w:pStyle w:val="Liste"/>
      </w:pPr>
      <w:r w:rsidRPr="00225D4D">
        <w:t>Stille krav om at andelen overskuddsmasser minimeres i alle prosesser der det er gjennomførbart, basert på beste teknologi og beste tilgjengelige forretningsmodeller og drifts- og deponeringsmetoder.</w:t>
      </w:r>
    </w:p>
    <w:p w14:paraId="60AC5A89" w14:textId="77777777" w:rsidR="00D60186" w:rsidRPr="00225D4D" w:rsidRDefault="00D60186" w:rsidP="00225D4D">
      <w:pPr>
        <w:pStyle w:val="Liste"/>
      </w:pPr>
      <w:r w:rsidRPr="00225D4D">
        <w:t>Stille krav om at nye mineralprosjekter skal legge fram en sirkulær forretningsplan, slik at man på den måten reduserer omfanget av deponerte masser og bidrar til bedre ressursutnyttelse og mindre naturbelastning.</w:t>
      </w:r>
    </w:p>
    <w:p w14:paraId="4F1A304E" w14:textId="77777777" w:rsidR="00D60186" w:rsidRPr="00225D4D" w:rsidRDefault="00D60186" w:rsidP="00225D4D">
      <w:pPr>
        <w:pStyle w:val="Liste"/>
      </w:pPr>
      <w:r w:rsidRPr="00225D4D">
        <w:t>Stille krav om at tiltakshaver skal utarbeide planer for årlig reduksjon av overskuddsmasser, kjemikaliebruk og annen miljøpåvirkning.</w:t>
      </w:r>
    </w:p>
    <w:p w14:paraId="3ABC07D0" w14:textId="77777777" w:rsidR="00D60186" w:rsidRPr="00225D4D" w:rsidRDefault="00D60186" w:rsidP="00225D4D">
      <w:pPr>
        <w:pStyle w:val="Liste"/>
      </w:pPr>
      <w:r w:rsidRPr="00225D4D">
        <w:t>At før nye prosjekter godkjennes, skal tiltakshaver dokumentere behovet for å ta ut jomfruelige ressurser framfor gjenbruk av tidligere uttatte ressurser og hvordan ressurser som tas ut, vil kunne inngå i sirkulære verdikjeder og forretningsmodeller.</w:t>
      </w:r>
    </w:p>
    <w:p w14:paraId="5A848A7B" w14:textId="77777777" w:rsidR="00D60186" w:rsidRPr="00225D4D" w:rsidRDefault="00D60186" w:rsidP="00225D4D">
      <w:pPr>
        <w:pStyle w:val="Liste"/>
      </w:pPr>
      <w:r w:rsidRPr="00225D4D">
        <w:t xml:space="preserve">Styrke ressursperspektivet i mineralloven for å sikre at mineralressurser utnyttes </w:t>
      </w:r>
      <w:proofErr w:type="gramStart"/>
      <w:r w:rsidRPr="00225D4D">
        <w:t>optimalt</w:t>
      </w:r>
      <w:proofErr w:type="gramEnd"/>
      <w:r w:rsidRPr="00225D4D">
        <w:t>, og at det foretas gode vurderinger av bruk for alle masser som tas ut ved utvinning.</w:t>
      </w:r>
    </w:p>
    <w:p w14:paraId="29C17B4F" w14:textId="77777777" w:rsidR="00D60186" w:rsidRPr="00225D4D" w:rsidRDefault="00D60186" w:rsidP="00225D4D">
      <w:r w:rsidRPr="00225D4D">
        <w:t>Anmodningsvedtaket vil følges opp gjennom implementering av tiltakene i regjeringens mineralstrategi. Det må vurderes nærmere hvilke tiltak som krever endringer i lov og forskrift.</w:t>
      </w:r>
    </w:p>
    <w:p w14:paraId="7EA44B61" w14:textId="6E7D348E" w:rsidR="00D60186" w:rsidRPr="00225D4D" w:rsidRDefault="00D60186" w:rsidP="00225D4D">
      <w:r w:rsidRPr="00225D4D">
        <w:t xml:space="preserve">Ny minerallov ble vedtatt av Stortinget 20. juni 2025. I loven er det innført krav om at alle søknader om driftskonsesjon skal inneholde en driftsplan som skal baseres på bruk av de beste tilgjengelige driftsmetodene og teknologiene. Dette innebærer at driften skal gjennomføres i samsvar med tilfredsstillende faglige prinsipper slik at ressursene utnyttes best mulig innenfor et godt tilpasset opplegg. Dersom flere alternative tilgjengelige metoder </w:t>
      </w:r>
      <w:proofErr w:type="gramStart"/>
      <w:r w:rsidRPr="00225D4D">
        <w:t>for øvrig</w:t>
      </w:r>
      <w:proofErr w:type="gramEnd"/>
      <w:r w:rsidRPr="00225D4D">
        <w:t xml:space="preserve"> gir det samme resultatet, og kostnadene ikke er vesentlig forskjellige, skal den metoden som gir best ressursutnyttelse og minst overskuddsmasser tas i bruk, jf. </w:t>
      </w:r>
      <w:proofErr w:type="spellStart"/>
      <w:r w:rsidRPr="00225D4D">
        <w:t>Prop</w:t>
      </w:r>
      <w:proofErr w:type="spellEnd"/>
      <w:r w:rsidRPr="00225D4D">
        <w:t>. 71 L (2024–2025) merknad til § 6</w:t>
      </w:r>
      <w:r w:rsidR="00225D4D">
        <w:t>-</w:t>
      </w:r>
      <w:r w:rsidRPr="00225D4D">
        <w:t>3. Det er også et krav etter ny minerallov at mineralvirksomheten må oppfylle krav til forsvarlig mineralvirksomhet for at driftskonsesjon skal kunne gis. I dette ligger det også et krav om forsvarlig ressursforvaltning.</w:t>
      </w:r>
    </w:p>
    <w:p w14:paraId="7FECC597" w14:textId="77777777" w:rsidR="00D60186" w:rsidRPr="00225D4D" w:rsidRDefault="00D60186" w:rsidP="00225D4D">
      <w:r w:rsidRPr="00225D4D">
        <w:t xml:space="preserve">Disse kravene vil supplere eksisterende krav om avfallshåndteringsplan i avfallsforskriften kap. 17, som gjennomfører mineralavfallsdirektivet. Formålet med planen er å hindre eller redusere avfallsproduksjonen og de negative miljøkonsekvensene av den, å fremme </w:t>
      </w:r>
      <w:proofErr w:type="spellStart"/>
      <w:r w:rsidRPr="00225D4D">
        <w:t>nyttiggjøring</w:t>
      </w:r>
      <w:proofErr w:type="spellEnd"/>
      <w:r w:rsidRPr="00225D4D">
        <w:t xml:space="preserve"> av mineralavfall dersom dette er miljømessig fornuftig og å sikre sikker disponering av mineralavfall på kort og lang sikt. Forurensningsmyndigheten kan også med hjemmel i forurensningsloven § 11 blant annet sette krav i tillatelsen om at virksomhetene skal arbeide med å redusere mengden avgangsmasser som må deponeres.</w:t>
      </w:r>
    </w:p>
    <w:p w14:paraId="39652DB6" w14:textId="77777777" w:rsidR="00D60186" w:rsidRPr="00225D4D" w:rsidRDefault="00D60186" w:rsidP="00225D4D">
      <w:r w:rsidRPr="00225D4D">
        <w:t>Det er videre nytt i mineralloven at det stilles krav til rapportering om uttak av mineraler som hovedsakelig skjer som ledd i tilrettelegging for annen bruk av grunnområdet der massene tas ut. Et viktig formål med denne rapporteringsplikten er å gi grunnlag for bedre statistikk over overskuddsmassene, som igjen er en forutsetning for å utrede videre tiltak og virkemidler for å håndtere slike masser på en ressurseffektiv og samfunnsøkonomisk lønnsom måte.</w:t>
      </w:r>
    </w:p>
    <w:p w14:paraId="799782B2" w14:textId="77777777" w:rsidR="00D60186" w:rsidRPr="00225D4D" w:rsidRDefault="00D60186" w:rsidP="00225D4D">
      <w:r w:rsidRPr="00225D4D">
        <w:t>Med henvisninger til regjeringens mineralstrategi har Nærings- og fiskeridepartementet i oppdragsbrevet til Direktoratet for mineralforvaltning med Bergmesteren for Svalbard (DMF) påpekt at DMF skal vurdere minimering av overskuddsmasser i driftskonsesjonsbehandlingen og at DMF skal stille krav til at driftsplanen viser en forsvarlig håndtering av overskuddsmasser i driftskonsesjonsbehandlingen.</w:t>
      </w:r>
    </w:p>
    <w:p w14:paraId="447DCFDD" w14:textId="77777777" w:rsidR="00D60186" w:rsidRPr="00225D4D" w:rsidRDefault="00D60186" w:rsidP="00225D4D">
      <w:r w:rsidRPr="00225D4D">
        <w:t>Vedtaket anses med dette som fulgt opp.</w:t>
      </w:r>
    </w:p>
    <w:p w14:paraId="299C2C06" w14:textId="77777777" w:rsidR="00D60186" w:rsidRPr="00225D4D" w:rsidRDefault="00D60186" w:rsidP="00225D4D">
      <w:pPr>
        <w:pStyle w:val="Overskrift2"/>
      </w:pPr>
      <w:r w:rsidRPr="00225D4D">
        <w:t>Stortingssesjon 2021–2022</w:t>
      </w:r>
    </w:p>
    <w:p w14:paraId="6751BABE" w14:textId="77777777" w:rsidR="00D60186" w:rsidRPr="00225D4D" w:rsidRDefault="00D60186" w:rsidP="00225D4D">
      <w:pPr>
        <w:pStyle w:val="Undertittel"/>
      </w:pPr>
      <w:r w:rsidRPr="00225D4D">
        <w:t>Anmodningsvedtak under næringsministeren</w:t>
      </w:r>
    </w:p>
    <w:p w14:paraId="4575FFB0" w14:textId="77777777" w:rsidR="00D60186" w:rsidRPr="00225D4D" w:rsidRDefault="00D60186" w:rsidP="00225D4D">
      <w:pPr>
        <w:pStyle w:val="avsnitt-tittel"/>
      </w:pPr>
      <w:r w:rsidRPr="00225D4D">
        <w:t>Dagligvare – felles merkeordning for kjedenes egne merkevarer (EMV)</w:t>
      </w:r>
    </w:p>
    <w:p w14:paraId="5ADED5A8" w14:textId="77777777" w:rsidR="00D60186" w:rsidRPr="00225D4D" w:rsidRDefault="00D60186" w:rsidP="00225D4D">
      <w:pPr>
        <w:pStyle w:val="avsnitt-undertittel"/>
      </w:pPr>
      <w:r w:rsidRPr="00225D4D">
        <w:t>Vedtak nr. 606, 31. mai 2022</w:t>
      </w:r>
    </w:p>
    <w:p w14:paraId="31B77C41" w14:textId="77777777" w:rsidR="00D60186" w:rsidRPr="00225D4D" w:rsidRDefault="00D60186" w:rsidP="00225D4D">
      <w:pPr>
        <w:pStyle w:val="blokksit"/>
        <w:rPr>
          <w:rStyle w:val="kursiv"/>
        </w:rPr>
      </w:pPr>
      <w:r w:rsidRPr="00225D4D">
        <w:rPr>
          <w:rStyle w:val="kursiv"/>
        </w:rPr>
        <w:t>«Stortinget ber regjeringen utarbeide et regelverk som pålegger kjedene en felles merkeordning for EMV, med kjedenavn, produsent og produktets opprinnelsesland, slik at forbrukerne kan gjøre opplyste valg.»</w:t>
      </w:r>
    </w:p>
    <w:p w14:paraId="67268481" w14:textId="77777777" w:rsidR="00D60186" w:rsidRPr="00225D4D" w:rsidRDefault="00D60186" w:rsidP="00225D4D">
      <w:r w:rsidRPr="00225D4D">
        <w:t xml:space="preserve">Vedtaket ble truffet under behandlingen av Dokument 8:161 S (2021–2022) </w:t>
      </w:r>
      <w:r w:rsidRPr="00225D4D">
        <w:rPr>
          <w:rStyle w:val="kursiv"/>
        </w:rPr>
        <w:t>Representantforslag om å sikre like konkurransevilkår mellom uavhengige merkevarer og kjedenes egne merkevarer (EMV) i dagligvaremarkedet</w:t>
      </w:r>
      <w:r w:rsidRPr="00225D4D">
        <w:t xml:space="preserve">, Dokument 8:170 S (2021–2022) </w:t>
      </w:r>
      <w:r w:rsidRPr="00225D4D">
        <w:rPr>
          <w:rStyle w:val="kursiv"/>
        </w:rPr>
        <w:t xml:space="preserve">Representantforslag om rettferdige konkurransevilkår i norsk dagligvarehandel </w:t>
      </w:r>
      <w:r w:rsidRPr="00225D4D">
        <w:t>og Dokument 8:191 S (2021–2022)</w:t>
      </w:r>
      <w:r w:rsidRPr="00225D4D">
        <w:rPr>
          <w:rStyle w:val="kursiv"/>
        </w:rPr>
        <w:t xml:space="preserve"> Representantforslag om å begrense maktkonsentrasjon i norsk dagligvare</w:t>
      </w:r>
      <w:r w:rsidRPr="00225D4D">
        <w:t xml:space="preserve">, jf. </w:t>
      </w:r>
      <w:proofErr w:type="spellStart"/>
      <w:r w:rsidRPr="00225D4D">
        <w:t>Innst</w:t>
      </w:r>
      <w:proofErr w:type="spellEnd"/>
      <w:r w:rsidRPr="00225D4D">
        <w:t>. 322 S (2021–2022).</w:t>
      </w:r>
    </w:p>
    <w:p w14:paraId="4BB64039" w14:textId="77777777" w:rsidR="00D60186" w:rsidRPr="00225D4D" w:rsidRDefault="00D60186" w:rsidP="00225D4D">
      <w:r w:rsidRPr="00225D4D">
        <w:t xml:space="preserve">Det ble gitt en foreløpig rapportering om oppfølging av anmodningsvedtaket i </w:t>
      </w:r>
      <w:proofErr w:type="spellStart"/>
      <w:r w:rsidRPr="00225D4D">
        <w:t>Prop</w:t>
      </w:r>
      <w:proofErr w:type="spellEnd"/>
      <w:r w:rsidRPr="00225D4D">
        <w:t>. 1 S (2024–2025). Det framgikk at de tre største dagligvarekjedene har opplyst til Nærings- og fiskeridepartementet om at de i all hovedsak merker EMV med kjedenavn, produsent og produktets opprinnelsesland slik anmodnings-vedtaket ber om. Det er noen få unntak, blant annet av hensyn til kostnader og miljøet, for å unngå hyppige emballasjeendringer og at emballasje må kasseres. Videre ble det gitt en foreløpig vurdering av hvilke muligheter regelverket for næringsmidler gir for merking av egne merkevarer, og vist til at Nærings- og fiskeridepartementet og Helse- og omsorgsdepartementet ville avklare saken videre, og komme tilbake til Stortinget på egnet måte.</w:t>
      </w:r>
    </w:p>
    <w:p w14:paraId="29CAB21C" w14:textId="77777777" w:rsidR="00D60186" w:rsidRPr="00225D4D" w:rsidRDefault="00D60186" w:rsidP="00225D4D">
      <w:r w:rsidRPr="00225D4D">
        <w:t xml:space="preserve">Nærings- og fiskeridepartementet og Helse- og omsorgsdepartementet har utredet saken nærmere. Helse- og omsorgsdepartementet er ansvarlig for matinformasjonsregelverket. Det rettslige grunnlaget for problemstillingen om det kan innføres en nasjonal obligatorisk merkeordning er forskrift om </w:t>
      </w:r>
      <w:proofErr w:type="spellStart"/>
      <w:r w:rsidRPr="00225D4D">
        <w:t>matinformasjon</w:t>
      </w:r>
      <w:proofErr w:type="spellEnd"/>
      <w:r w:rsidRPr="00225D4D">
        <w:t xml:space="preserve"> til forbrukerne (matinformasjonsforskriften), som i § 1 gjennomfører forordning (EU) nr. 1169/2011 (matinformasjonsforordningen). Matinformasjonsforordningen inneholder harmoniserte og detaljerte bestemmelser om </w:t>
      </w:r>
      <w:proofErr w:type="spellStart"/>
      <w:r w:rsidRPr="00225D4D">
        <w:t>matinformasjon</w:t>
      </w:r>
      <w:proofErr w:type="spellEnd"/>
      <w:r w:rsidRPr="00225D4D">
        <w:t xml:space="preserve"> til forbrukere og omfatter næringsmidler som er beregnet på sluttforbruker.</w:t>
      </w:r>
    </w:p>
    <w:p w14:paraId="601FA91F" w14:textId="77777777" w:rsidR="00D60186" w:rsidRPr="00225D4D" w:rsidRDefault="00D60186" w:rsidP="00225D4D">
      <w:r w:rsidRPr="00225D4D">
        <w:t>Det er ikke obligatorisk å merke med kjedenavn og produsent på næringsmidler etter regelverket. Men det er obligatorisk å merke med opprinnelsesstat eller opphavssted dersom utelatelse av slike opplysninger vil kunne villede forbrukeren med hensyn til matvarens egentlige opprinnelsesstat eller opphavssted. Det er også obligatorisk å merke med opprinnelsesstat eller opphavssted for visse typer næringsmidler. Ettersom EMV-produkter allerede, ifølge informasjon fra de tre største dagligvarekjedene til Nærings- og fiskeridepartementet, i all hovedsak merkes av dagligvarekjedene slik det etterspørres i anmodningsvedtaket med kjedenavn, produsent og med opprinnelse, og forbrukerne får disse opplysningene i dag, taler det for at det kan bli vanskelig å begrunne et nasjonalt regelverk i behovet for å verne forbrukerne.</w:t>
      </w:r>
    </w:p>
    <w:p w14:paraId="39A7F902" w14:textId="77777777" w:rsidR="00D60186" w:rsidRPr="00225D4D" w:rsidRDefault="00D60186" w:rsidP="00225D4D">
      <w:r w:rsidRPr="00225D4D">
        <w:t>Utredningen viser at det ikke vil være i tråd med det EØS-baserte regelverket å innføre en egen obligatorisk merkeordning med merking av produsent, kjedenavn og opprinnelsesmerking (utover de kravene til merking som allerede kreves etter regelverket i dag). Departementene er heller ikke kjent med at andre land har innført eller forsøkt å innføre en tilsvarende merkeordning. En ev. merkeordning med krav om merking med produsent, kjedenavn og opprinnelse knyttet til EMV-produkter vil være krav rettet mot en gruppe produkter som ellers er i samsvar med forordningen, og vil ikke gjelde for andre produkter som ikke er EMV-produkter. Dette vil kunne utfordres i praksis ut fra betraktninger knyttet til forskjellsbehandling og ev. opp mot EØS-avtalens forbud mot forskjellsbehandling.</w:t>
      </w:r>
    </w:p>
    <w:p w14:paraId="7C088708" w14:textId="77777777" w:rsidR="00D60186" w:rsidRPr="00225D4D" w:rsidRDefault="00D60186" w:rsidP="00225D4D">
      <w:r w:rsidRPr="00225D4D">
        <w:t xml:space="preserve">Det har vært varslet ytterligere krav til opprinnelsesmerking fra EU-Kommisjonen som en del av EUs </w:t>
      </w:r>
      <w:r w:rsidRPr="00225D4D">
        <w:rPr>
          <w:rStyle w:val="kursiv"/>
        </w:rPr>
        <w:t>Farm to Fork</w:t>
      </w:r>
      <w:r w:rsidRPr="00225D4D">
        <w:t>-strategi, med sikte på obligatorisk opprinnelsesmerking av visse matvarer. Dersom det gis slike regler vil det gi flere krav til merking av opprinnelse for de matvarene det vil innføres for, uavhengig av om det gjelder EMV-produkter eller andre produkter. Det er uklart hvordan EU nå vil jobbe videre med dette, men Norge har mulighet til å påvirke utviklingen av reglene dersom dette jobbes videre med.</w:t>
      </w:r>
    </w:p>
    <w:p w14:paraId="6E313EC8" w14:textId="77777777" w:rsidR="00D60186" w:rsidRPr="00225D4D" w:rsidRDefault="00D60186" w:rsidP="00225D4D">
      <w:r w:rsidRPr="00225D4D">
        <w:t>Informasjon fra dagligvarekjedene om deres merking av EMV-produkter tilsier at forbrukerne allerede får opplysningene som er etterspurt i anmodningsvedtaket, og at et pålegg om en felles merkeordning derfor vil ha begrenset nytte. Som følge av at utredningen viser at det ikke vil være i tråd med det EØS-baserte regelverket å innføre en egen obligatorisk merkeordning slik det bes om i anmodningsvedtaket for EMV-produkter, har ikke regjeringen anledning til å utarbeide et regelverk i tråd med anmodningsvedtaket. Siden kjedene i all hovedsak merker EMV-produkter med det som etterspørres i anmodningsvedtaket, vurderer regjeringen likevel at denne merkingen oppfyller intensjonen i anmodningsvedtaket, og at rapporteringen kan avsluttes. Anmodningsvedtaket foreslås derfor opphevet, jf. forslag til vedtak XXIX.</w:t>
      </w:r>
    </w:p>
    <w:p w14:paraId="724268AD" w14:textId="77777777" w:rsidR="00D60186" w:rsidRPr="00225D4D" w:rsidRDefault="00D60186" w:rsidP="00225D4D">
      <w:r w:rsidRPr="00225D4D">
        <w:t>Vedtaket anses med dette som fulgt opp.</w:t>
      </w:r>
    </w:p>
    <w:p w14:paraId="78B6B5F2" w14:textId="77777777" w:rsidR="00D60186" w:rsidRPr="00225D4D" w:rsidRDefault="00D60186" w:rsidP="00225D4D">
      <w:pPr>
        <w:pStyle w:val="avsnitt-tittel"/>
      </w:pPr>
      <w:r w:rsidRPr="00225D4D">
        <w:t>Dagligvare – konkurranse og mer åpenhet innenfor grossist- og distribusjonsleddet</w:t>
      </w:r>
    </w:p>
    <w:p w14:paraId="146F03EC" w14:textId="77777777" w:rsidR="00D60186" w:rsidRPr="00225D4D" w:rsidRDefault="00D60186" w:rsidP="00225D4D">
      <w:pPr>
        <w:pStyle w:val="avsnitt-undertittel"/>
      </w:pPr>
      <w:r w:rsidRPr="00225D4D">
        <w:t>Vedtak nr. 610, 31. mai 2022</w:t>
      </w:r>
    </w:p>
    <w:p w14:paraId="01F623B8" w14:textId="77777777" w:rsidR="00D60186" w:rsidRPr="00225D4D" w:rsidRDefault="00D60186" w:rsidP="00225D4D">
      <w:pPr>
        <w:pStyle w:val="blokksit"/>
        <w:rPr>
          <w:rStyle w:val="kursiv"/>
        </w:rPr>
      </w:pPr>
      <w:r w:rsidRPr="00225D4D">
        <w:rPr>
          <w:rStyle w:val="kursiv"/>
        </w:rPr>
        <w:t>«Stortinget ber regjeringen utrede tiltak for å sikre konkurranse og mer åpenhet innenfor grossist- og distributørleddet i dagligvarehandelen, herunder tilsyn med priskalkylene for distribusjonstjenester.»</w:t>
      </w:r>
    </w:p>
    <w:p w14:paraId="5AC4F90C" w14:textId="77777777" w:rsidR="00D60186" w:rsidRPr="00225D4D" w:rsidRDefault="00D60186" w:rsidP="00225D4D">
      <w:r w:rsidRPr="00225D4D">
        <w:t xml:space="preserve">Vedtaket ble truffet under behandlingen av Dokument 8:161 S (2021–2022), Dokument 8:170 S (2021–2022) og Dokument 8:191 S (2021–2022), jf. </w:t>
      </w:r>
      <w:proofErr w:type="spellStart"/>
      <w:r w:rsidRPr="00225D4D">
        <w:t>Innst</w:t>
      </w:r>
      <w:proofErr w:type="spellEnd"/>
      <w:r w:rsidRPr="00225D4D">
        <w:t>. 322 S (2021–2022).</w:t>
      </w:r>
    </w:p>
    <w:p w14:paraId="51932BD6" w14:textId="77777777" w:rsidR="00D60186" w:rsidRPr="00225D4D" w:rsidRDefault="00D60186" w:rsidP="00225D4D">
      <w:r w:rsidRPr="00225D4D">
        <w:t>Foreløpige vurderinger av oppfølgingen av vedtaket er omtalt i Nærings- og fiskeridepartementets tidligere budsjettproposisjoner. Regjeringen har iverksatt flere tiltak som har betydning for oppfølgingen av tiltaket. På oppdrag fra Nærings- og fiskeridepartementet har Konkurransetilsynet undersøkt lønnsomhet og marginer for aktører i ulike ledd av verdikjeden for mat og dagligvarer. Tilsynet har også undersøkt hvilke virkninger ordningen med to faste tidspunkt for leverandørenes prisjusteringer har for prisdannelsen og konkurransen i dagligvarebransjen. Undersøkelsene bidrar til økt kunnskap og åpenhet i verdikjeden for mat og dagligvarer.</w:t>
      </w:r>
    </w:p>
    <w:p w14:paraId="16057F7F" w14:textId="77777777" w:rsidR="00D60186" w:rsidRPr="00225D4D" w:rsidRDefault="00D60186" w:rsidP="00225D4D">
      <w:r w:rsidRPr="00225D4D">
        <w:t xml:space="preserve">På oppdrag fra Nærings- og fiskeridepartementet har Menon </w:t>
      </w:r>
      <w:proofErr w:type="spellStart"/>
      <w:r w:rsidRPr="00225D4D">
        <w:t>Economics</w:t>
      </w:r>
      <w:proofErr w:type="spellEnd"/>
      <w:r w:rsidRPr="00225D4D">
        <w:t xml:space="preserve"> AS gjennomført en kartlegging av tilgang til grossisttjenester. Kartleggingen viste at verken detaljister eller leverandører har blitt nektet tilgang til slike tjenester. Samtidig var det funn som kan tyde på at små detaljister og leverandører har utfordringer med å få konkurransedyktig tilgang.</w:t>
      </w:r>
    </w:p>
    <w:p w14:paraId="6BF8DAF0" w14:textId="77777777" w:rsidR="00D60186" w:rsidRPr="00225D4D" w:rsidRDefault="00D60186" w:rsidP="00225D4D">
      <w:r w:rsidRPr="00225D4D">
        <w:t>Det eksisterer allerede reguleringer som skal sikre åpenhet mellom kontraktsparter, og overfor tilsynsmyndigheter, i verdikjeden for mat og dagligvarer. Lov om god handelsskikk pålegger kontraktsparter å legge fram opplysninger som de kjenner til, og som de har grunn til å tro at har betydning for den annen part, både i forbindelse med forhandlinger om, og gjennomføring av, en kontrakt. Lov om god handelsskikk og konkurranseloven gir henholdsvis Dagligvaretilsynet og Konkurransetilsynet bred tilgang til å innhente den informasjonen de mener er nødvendig for å utføre de oppgavene de er satt til å gjøre. Departementet har hatt på høring forslag til endringer i lov om god handelsskikk. I høringen ba departementet om innspill til om loven bør regulere tilgang til grossist- og distribusjonstjenester. Se rapportering av anmodningsvedtak 574 av 4. februar 2021 for en nærmere omtale av departementets arbeid med å vurdere eventuelle endringer i lov om god handelsskikk.</w:t>
      </w:r>
    </w:p>
    <w:p w14:paraId="44F4250B" w14:textId="77777777" w:rsidR="00D60186" w:rsidRPr="00225D4D" w:rsidRDefault="00D60186" w:rsidP="00225D4D">
      <w:r w:rsidRPr="00225D4D">
        <w:t>Regjeringen foreslår å legge ned Dagligvaretilsynet, og flytte håndhevingen av loven til Konkurransetilsynet. Det vises til nærmere omtale under kap. 911 og kap. 913.</w:t>
      </w:r>
    </w:p>
    <w:p w14:paraId="653DFA93" w14:textId="77777777" w:rsidR="00D60186" w:rsidRPr="00225D4D" w:rsidRDefault="00D60186" w:rsidP="00225D4D">
      <w:r w:rsidRPr="00225D4D">
        <w:t>Markedsetterforskning, som trådte i kraft 1. juli 2025, innebærer at Konkurransetilsynet gjennom målrettede tiltak kan gripe inn mot alvorlige konkurranseproblemer.</w:t>
      </w:r>
    </w:p>
    <w:p w14:paraId="15C2C29B" w14:textId="77777777" w:rsidR="00D60186" w:rsidRPr="00225D4D" w:rsidRDefault="00D60186" w:rsidP="00225D4D">
      <w:r w:rsidRPr="00225D4D">
        <w:t xml:space="preserve">Det er igangsatt en utredning som skal undersøke om krav til regnskaps- og </w:t>
      </w:r>
      <w:proofErr w:type="spellStart"/>
      <w:r w:rsidRPr="00225D4D">
        <w:t>funksjonsmessig</w:t>
      </w:r>
      <w:proofErr w:type="spellEnd"/>
      <w:r w:rsidRPr="00225D4D">
        <w:t xml:space="preserve"> skille mellom leddene i dagligvarebransjen kan gi mer åpenhet og mer effektivt tilsyn.</w:t>
      </w:r>
    </w:p>
    <w:p w14:paraId="6BB068AE" w14:textId="77777777" w:rsidR="00D60186" w:rsidRPr="00225D4D" w:rsidRDefault="00D60186" w:rsidP="00225D4D">
      <w:r w:rsidRPr="00225D4D">
        <w:t xml:space="preserve">Regjeringen vil følge opp vedtaket og komme tilbake til Stortinget på egnet måte når utredning av endringer i lov om god handelsskikk og undersøkelsen av krav til regnskaps- og </w:t>
      </w:r>
      <w:proofErr w:type="spellStart"/>
      <w:r w:rsidRPr="00225D4D">
        <w:t>funksjonsmessig</w:t>
      </w:r>
      <w:proofErr w:type="spellEnd"/>
      <w:r w:rsidRPr="00225D4D">
        <w:t xml:space="preserve"> skille er gjennomført. Se også omtale under programkategori 17.10.</w:t>
      </w:r>
    </w:p>
    <w:p w14:paraId="69ACDA23" w14:textId="77777777" w:rsidR="00D60186" w:rsidRPr="00225D4D" w:rsidRDefault="00D60186" w:rsidP="00225D4D">
      <w:pPr>
        <w:pStyle w:val="Overskrift2"/>
      </w:pPr>
      <w:r w:rsidRPr="00225D4D">
        <w:t>Stortingssesjon 2020–2021</w:t>
      </w:r>
    </w:p>
    <w:p w14:paraId="27396588" w14:textId="77777777" w:rsidR="00D60186" w:rsidRPr="00225D4D" w:rsidRDefault="00D60186" w:rsidP="00225D4D">
      <w:pPr>
        <w:pStyle w:val="Undertittel"/>
      </w:pPr>
      <w:r w:rsidRPr="00225D4D">
        <w:t>Anmodningsvedtak under fiskeri- og havministeren</w:t>
      </w:r>
    </w:p>
    <w:p w14:paraId="5FF8CCB3" w14:textId="77777777" w:rsidR="00D60186" w:rsidRPr="00225D4D" w:rsidRDefault="00D60186" w:rsidP="00225D4D">
      <w:pPr>
        <w:pStyle w:val="avsnitt-tittel"/>
      </w:pPr>
      <w:r w:rsidRPr="00225D4D">
        <w:t>Sikre egenproduksjon – ordning med utleie av akvakulturtillatelser</w:t>
      </w:r>
    </w:p>
    <w:p w14:paraId="66D1D501" w14:textId="77777777" w:rsidR="00D60186" w:rsidRPr="00225D4D" w:rsidRDefault="00D60186" w:rsidP="00225D4D">
      <w:pPr>
        <w:pStyle w:val="avsnitt-undertittel"/>
      </w:pPr>
      <w:r w:rsidRPr="00225D4D">
        <w:t>Vedtak nr. 71, 12. november 2020</w:t>
      </w:r>
    </w:p>
    <w:p w14:paraId="1AE5695F" w14:textId="77777777" w:rsidR="00D60186" w:rsidRPr="00225D4D" w:rsidRDefault="00D60186" w:rsidP="00225D4D">
      <w:pPr>
        <w:pStyle w:val="blokksit"/>
        <w:rPr>
          <w:rStyle w:val="kursiv"/>
        </w:rPr>
      </w:pPr>
      <w:r w:rsidRPr="00225D4D">
        <w:rPr>
          <w:rStyle w:val="kursiv"/>
        </w:rPr>
        <w:t>«Stortinget ber regjeringen om å utrede en ordning med utleie av tidsbegrensede akvakulturtillatelser for å sikre egenproduksjon i fiskeindustrien.»</w:t>
      </w:r>
    </w:p>
    <w:p w14:paraId="6E082B77" w14:textId="77777777" w:rsidR="00D60186" w:rsidRPr="00225D4D" w:rsidRDefault="00D60186" w:rsidP="00225D4D">
      <w:r w:rsidRPr="00225D4D">
        <w:t xml:space="preserve">Vedtaket ble truffet under behandlingen av Dokument 8:122 S (2019–2020) </w:t>
      </w:r>
      <w:r w:rsidRPr="00225D4D">
        <w:rPr>
          <w:rStyle w:val="kursiv"/>
        </w:rPr>
        <w:t>Representantforslag om utleie av oppdrettstillatelser til egenproduksjon i fiskeindustrien</w:t>
      </w:r>
      <w:r w:rsidRPr="00225D4D">
        <w:t xml:space="preserve">, jf. </w:t>
      </w:r>
      <w:proofErr w:type="spellStart"/>
      <w:r w:rsidRPr="00225D4D">
        <w:t>Innst</w:t>
      </w:r>
      <w:proofErr w:type="spellEnd"/>
      <w:r w:rsidRPr="00225D4D">
        <w:t>. 65 S (2020–2021).</w:t>
      </w:r>
    </w:p>
    <w:p w14:paraId="4A7858C9" w14:textId="77777777" w:rsidR="00D60186" w:rsidRPr="00225D4D" w:rsidRDefault="00D60186" w:rsidP="00225D4D">
      <w:r w:rsidRPr="00225D4D">
        <w:t>I forbindelse med behandling av Meld. St. 24 (2024–2025) er det fattet vedtak om å utrede nytt system for regulering av akvakultur. Innretning på et eventuelt nytt system vil være avgjørende for hvorvidt en ordning med utleie av tidsbegrensede akvakulturtillatelser er hensiktsmessig. Det er mest naturlig å følge opp og vurdere hensynene som ligger til grunn for vedtaket i forbindelse med utredning av nytt system.</w:t>
      </w:r>
    </w:p>
    <w:p w14:paraId="05F2E7DF" w14:textId="77777777" w:rsidR="00D60186" w:rsidRPr="00225D4D" w:rsidRDefault="00D60186" w:rsidP="00225D4D">
      <w:r w:rsidRPr="00225D4D">
        <w:t>Vedtaket anses med dette som fulgt opp.</w:t>
      </w:r>
    </w:p>
    <w:p w14:paraId="52B6091D" w14:textId="77777777" w:rsidR="00D60186" w:rsidRPr="00225D4D" w:rsidRDefault="00D60186" w:rsidP="00225D4D">
      <w:pPr>
        <w:pStyle w:val="avsnitt-tittel"/>
      </w:pPr>
      <w:r w:rsidRPr="00225D4D">
        <w:t>Styrke og lovfeste tilskuddsordningen for sysselsetting av sjøfolk</w:t>
      </w:r>
    </w:p>
    <w:p w14:paraId="2C8872BB" w14:textId="77777777" w:rsidR="00D60186" w:rsidRPr="00225D4D" w:rsidRDefault="00D60186" w:rsidP="00225D4D">
      <w:pPr>
        <w:pStyle w:val="avsnitt-undertittel"/>
      </w:pPr>
      <w:r w:rsidRPr="00225D4D">
        <w:t>Vedtak nr. 839, 22. april 2021</w:t>
      </w:r>
    </w:p>
    <w:p w14:paraId="09A63792" w14:textId="77777777" w:rsidR="00D60186" w:rsidRPr="00225D4D" w:rsidRDefault="00D60186" w:rsidP="00225D4D">
      <w:pPr>
        <w:pStyle w:val="blokksit"/>
        <w:rPr>
          <w:rStyle w:val="kursiv"/>
        </w:rPr>
      </w:pPr>
      <w:r w:rsidRPr="00225D4D">
        <w:rPr>
          <w:rStyle w:val="kursiv"/>
        </w:rPr>
        <w:t>«Stortinget ber regjeringen fremme forslag som bidrar til at tilskuddsordningen for norske sjøfolk styrkes og blir mer forutsigbar gjennom lovfesting.»</w:t>
      </w:r>
    </w:p>
    <w:p w14:paraId="48AE8207" w14:textId="77777777" w:rsidR="00D60186" w:rsidRPr="00225D4D" w:rsidRDefault="00D60186" w:rsidP="00225D4D">
      <w:r w:rsidRPr="00225D4D">
        <w:t xml:space="preserve">Vedtaket ble truffet under behandlingen av Meld. St. 10 (2020–2021) </w:t>
      </w:r>
      <w:r w:rsidRPr="00225D4D">
        <w:rPr>
          <w:rStyle w:val="kursiv"/>
        </w:rPr>
        <w:t>Grønnere og smartere – morgendagens maritime næring</w:t>
      </w:r>
      <w:r w:rsidRPr="00225D4D">
        <w:t xml:space="preserve">, jf. </w:t>
      </w:r>
      <w:proofErr w:type="spellStart"/>
      <w:r w:rsidRPr="00225D4D">
        <w:t>Innst</w:t>
      </w:r>
      <w:proofErr w:type="spellEnd"/>
      <w:r w:rsidRPr="00225D4D">
        <w:t>. 338 S (2020–2021).</w:t>
      </w:r>
    </w:p>
    <w:p w14:paraId="69BF23E7" w14:textId="77777777" w:rsidR="00D60186" w:rsidRPr="00225D4D" w:rsidRDefault="00D60186" w:rsidP="00225D4D">
      <w:r w:rsidRPr="00225D4D">
        <w:t>Tilskuddsordningen for sysselsetting av sjøfolk ble lovfestet i 2017. Den nærmere innretning av ordningen er fastsatt i forskrift.</w:t>
      </w:r>
    </w:p>
    <w:p w14:paraId="64D13B31" w14:textId="77777777" w:rsidR="00D60186" w:rsidRPr="00225D4D" w:rsidRDefault="00D60186" w:rsidP="00225D4D">
      <w:r w:rsidRPr="00225D4D">
        <w:t>Tilskuddsordningens støttenivå følger av Stortinget årlige budsjettvedtak. Eventuelle endringer i ordningens støttenivå vil være gjenstand for behandling i budsjettprosessene.</w:t>
      </w:r>
    </w:p>
    <w:p w14:paraId="49D8C4AE" w14:textId="77777777" w:rsidR="00D60186" w:rsidRPr="00225D4D" w:rsidRDefault="00D60186" w:rsidP="00225D4D">
      <w:r w:rsidRPr="00225D4D">
        <w:t>Regjeringen vil komme tilbake til Stortinget på egnet måte.</w:t>
      </w:r>
    </w:p>
    <w:p w14:paraId="1BFE270C" w14:textId="77777777" w:rsidR="00D60186" w:rsidRPr="00225D4D" w:rsidRDefault="00D60186" w:rsidP="00225D4D">
      <w:pPr>
        <w:pStyle w:val="Undertittel"/>
      </w:pPr>
      <w:r w:rsidRPr="00225D4D">
        <w:t>Anmodningsvedtak under næringsministeren</w:t>
      </w:r>
    </w:p>
    <w:p w14:paraId="002CB70D" w14:textId="77777777" w:rsidR="00D60186" w:rsidRPr="00225D4D" w:rsidRDefault="00D60186" w:rsidP="00225D4D">
      <w:pPr>
        <w:pStyle w:val="avsnitt-tittel"/>
      </w:pPr>
      <w:r w:rsidRPr="00225D4D">
        <w:t>Mineralloven – forbedringer og forenklinger</w:t>
      </w:r>
    </w:p>
    <w:p w14:paraId="4E773055" w14:textId="77777777" w:rsidR="00D60186" w:rsidRPr="00225D4D" w:rsidRDefault="00D60186" w:rsidP="00225D4D">
      <w:pPr>
        <w:pStyle w:val="avsnitt-undertittel"/>
      </w:pPr>
      <w:r w:rsidRPr="00225D4D">
        <w:t>Vedtak nr. 172, 3. desember 2020</w:t>
      </w:r>
    </w:p>
    <w:p w14:paraId="4D861914" w14:textId="77777777" w:rsidR="00D60186" w:rsidRPr="00225D4D" w:rsidRDefault="00D60186" w:rsidP="00225D4D">
      <w:pPr>
        <w:pStyle w:val="blokksit"/>
        <w:rPr>
          <w:rStyle w:val="kursiv"/>
        </w:rPr>
      </w:pPr>
      <w:r w:rsidRPr="00225D4D">
        <w:rPr>
          <w:rStyle w:val="kursiv"/>
        </w:rPr>
        <w:t>«Stortinget ber regjeringen følge opp minerallovutvalget gjennom å foreslå forbedringer og forenklinger i mineralloven, herunder i avgrensningene mot annet regelverk, blant annet for å sikre at koordineringen er god og tidsbruken så lav som mulig. Regjeringen bes komme tilbake til Stortinget på egnet måte.»</w:t>
      </w:r>
    </w:p>
    <w:p w14:paraId="2C7CE138" w14:textId="77777777" w:rsidR="00D60186" w:rsidRPr="00225D4D" w:rsidRDefault="00D60186" w:rsidP="00225D4D">
      <w:r w:rsidRPr="00225D4D">
        <w:t xml:space="preserve">Vedtaket ble truffet under behandlingen av Meld. St. 1 (2020–2021) </w:t>
      </w:r>
      <w:r w:rsidRPr="00225D4D">
        <w:rPr>
          <w:rStyle w:val="kursiv"/>
        </w:rPr>
        <w:t xml:space="preserve">Nasjonalbudsjettet 2021 </w:t>
      </w:r>
      <w:r w:rsidRPr="00225D4D">
        <w:t xml:space="preserve">og </w:t>
      </w:r>
      <w:proofErr w:type="spellStart"/>
      <w:r w:rsidRPr="00225D4D">
        <w:t>Prop</w:t>
      </w:r>
      <w:proofErr w:type="spellEnd"/>
      <w:r w:rsidRPr="00225D4D">
        <w:t xml:space="preserve">. 1 S (2020–2021) </w:t>
      </w:r>
      <w:r w:rsidRPr="00225D4D">
        <w:rPr>
          <w:rStyle w:val="kursiv"/>
        </w:rPr>
        <w:t>Statsbudsjettet 2021</w:t>
      </w:r>
      <w:r w:rsidRPr="00225D4D">
        <w:t xml:space="preserve">, jf. </w:t>
      </w:r>
      <w:proofErr w:type="spellStart"/>
      <w:r w:rsidRPr="00225D4D">
        <w:t>Innst</w:t>
      </w:r>
      <w:proofErr w:type="spellEnd"/>
      <w:r w:rsidRPr="00225D4D">
        <w:t>. 2 S (2020–2021).</w:t>
      </w:r>
    </w:p>
    <w:p w14:paraId="4DD8E9B9" w14:textId="77777777" w:rsidR="00D60186" w:rsidRPr="00225D4D" w:rsidRDefault="00D60186" w:rsidP="00225D4D">
      <w:r w:rsidRPr="00225D4D">
        <w:t>Mineralloven ble evaluert i 2018 av et utvalg som anbefalte at det ble vurdert endringer i loven på flere områder. Oppfølgingen av evalueringen har vært todelt.</w:t>
      </w:r>
    </w:p>
    <w:p w14:paraId="158B49E2" w14:textId="77777777" w:rsidR="00D60186" w:rsidRPr="00225D4D" w:rsidRDefault="00D60186" w:rsidP="00225D4D">
      <w:proofErr w:type="spellStart"/>
      <w:r w:rsidRPr="00225D4D">
        <w:t>Prop</w:t>
      </w:r>
      <w:proofErr w:type="spellEnd"/>
      <w:r w:rsidRPr="00225D4D">
        <w:t xml:space="preserve">. L 124 (2020–2021) </w:t>
      </w:r>
      <w:r w:rsidRPr="00225D4D">
        <w:rPr>
          <w:rStyle w:val="kursiv"/>
        </w:rPr>
        <w:t>Endringer i mineralloven (kvalifikasjonskrav, rekkefølgekrav, overdragelse av driftskonsesjon m.m.)</w:t>
      </w:r>
      <w:r w:rsidRPr="00225D4D">
        <w:t xml:space="preserve"> ble behandlet i Stortinget 4. juni 2021 (og andre gang 7. juni), og forslagene ble vedtatt med unntak av forslag om rekkefølgekrav som ble oversendt minerallovutvalget for vurdering, jf. vedtak 1136 av 7. juni 2021.</w:t>
      </w:r>
    </w:p>
    <w:p w14:paraId="1B9E1741" w14:textId="77777777" w:rsidR="00D60186" w:rsidRPr="00225D4D" w:rsidRDefault="00D60186" w:rsidP="00225D4D">
      <w:r w:rsidRPr="00225D4D">
        <w:t>Regjeringen oppnevnte 23. juni 2020 et offentlig utvalg (minerallovutvalget) som fikk et bredt mandat til å foreslå endringer i mineralloven. Utvalget leverte sin innstilling 1. juli 2022, og utvalgets rapport ble sendt på høring med frist 30. november 2022.</w:t>
      </w:r>
    </w:p>
    <w:p w14:paraId="1AEEDC47" w14:textId="77777777" w:rsidR="00D60186" w:rsidRPr="00225D4D" w:rsidRDefault="00D60186" w:rsidP="00225D4D">
      <w:r w:rsidRPr="00225D4D">
        <w:t xml:space="preserve">Nærings- og fiskeridepartementet har fulgt opp utvalgets anbefalinger. Våren 2025 la regjeringen fram </w:t>
      </w:r>
      <w:proofErr w:type="spellStart"/>
      <w:r w:rsidRPr="00225D4D">
        <w:t>Prop</w:t>
      </w:r>
      <w:proofErr w:type="spellEnd"/>
      <w:r w:rsidRPr="00225D4D">
        <w:t>. 71 L (2024–2025) med forslag til ny minerallov.</w:t>
      </w:r>
    </w:p>
    <w:p w14:paraId="58854417" w14:textId="77777777" w:rsidR="00D60186" w:rsidRPr="00225D4D" w:rsidRDefault="00D60186" w:rsidP="00225D4D">
      <w:r w:rsidRPr="00225D4D">
        <w:t>Vedtaket anses med dette som fulgt opp.</w:t>
      </w:r>
    </w:p>
    <w:p w14:paraId="0B921E52" w14:textId="77777777" w:rsidR="00D60186" w:rsidRPr="00225D4D" w:rsidRDefault="00D60186" w:rsidP="00225D4D">
      <w:pPr>
        <w:pStyle w:val="avsnitt-tittel"/>
      </w:pPr>
      <w:r w:rsidRPr="00225D4D">
        <w:t xml:space="preserve">Dagligvaremarkedet – regnskaps- og </w:t>
      </w:r>
      <w:proofErr w:type="spellStart"/>
      <w:r w:rsidRPr="00225D4D">
        <w:t>funksjonsmessig</w:t>
      </w:r>
      <w:proofErr w:type="spellEnd"/>
      <w:r w:rsidRPr="00225D4D">
        <w:t xml:space="preserve"> skille mellom leddene</w:t>
      </w:r>
    </w:p>
    <w:p w14:paraId="7FA1DBD8" w14:textId="77777777" w:rsidR="00D60186" w:rsidRPr="00225D4D" w:rsidRDefault="00D60186" w:rsidP="00225D4D">
      <w:pPr>
        <w:pStyle w:val="avsnitt-undertittel"/>
      </w:pPr>
      <w:r w:rsidRPr="00225D4D">
        <w:t>Vedtak nr. 573, 4. februar 2021</w:t>
      </w:r>
    </w:p>
    <w:p w14:paraId="7F7BE62D" w14:textId="77777777" w:rsidR="00D60186" w:rsidRPr="00225D4D" w:rsidRDefault="00D60186" w:rsidP="00225D4D">
      <w:pPr>
        <w:pStyle w:val="blokksit"/>
        <w:rPr>
          <w:rStyle w:val="kursiv"/>
        </w:rPr>
      </w:pPr>
      <w:r w:rsidRPr="00225D4D">
        <w:rPr>
          <w:rStyle w:val="kursiv"/>
        </w:rPr>
        <w:t xml:space="preserve">«Stortinget ber regjeringen stille krav om regnskapsmessig og </w:t>
      </w:r>
      <w:proofErr w:type="spellStart"/>
      <w:r w:rsidRPr="00225D4D">
        <w:rPr>
          <w:rStyle w:val="kursiv"/>
        </w:rPr>
        <w:t>funksjonsmessig</w:t>
      </w:r>
      <w:proofErr w:type="spellEnd"/>
      <w:r w:rsidRPr="00225D4D">
        <w:rPr>
          <w:rStyle w:val="kursiv"/>
        </w:rPr>
        <w:t xml:space="preserve"> skille mellom leddene i verdikjeden i dagligvarebransjen.»</w:t>
      </w:r>
    </w:p>
    <w:p w14:paraId="4F3A3E2A" w14:textId="77777777" w:rsidR="00D60186" w:rsidRPr="00225D4D" w:rsidRDefault="00D60186" w:rsidP="00225D4D">
      <w:r w:rsidRPr="00225D4D">
        <w:t xml:space="preserve">Vedtaket ble truffet under behandlingen av Meld. St. 27 (2019–2020) </w:t>
      </w:r>
      <w:proofErr w:type="spellStart"/>
      <w:r w:rsidRPr="00225D4D">
        <w:rPr>
          <w:rStyle w:val="kursiv"/>
        </w:rPr>
        <w:t>Daglegvare</w:t>
      </w:r>
      <w:proofErr w:type="spellEnd"/>
      <w:r w:rsidRPr="00225D4D">
        <w:rPr>
          <w:rStyle w:val="kursiv"/>
        </w:rPr>
        <w:t xml:space="preserve"> og konkurranse – kampen om </w:t>
      </w:r>
      <w:proofErr w:type="spellStart"/>
      <w:r w:rsidRPr="00225D4D">
        <w:rPr>
          <w:rStyle w:val="kursiv"/>
        </w:rPr>
        <w:t>kundane</w:t>
      </w:r>
      <w:proofErr w:type="spellEnd"/>
      <w:r w:rsidRPr="00225D4D">
        <w:t xml:space="preserve">, jf. </w:t>
      </w:r>
      <w:proofErr w:type="spellStart"/>
      <w:r w:rsidRPr="00225D4D">
        <w:t>Innst</w:t>
      </w:r>
      <w:proofErr w:type="spellEnd"/>
      <w:r w:rsidRPr="00225D4D">
        <w:t>. 185 S (2020–2021).</w:t>
      </w:r>
    </w:p>
    <w:p w14:paraId="086FA7CE" w14:textId="77777777" w:rsidR="00D60186" w:rsidRPr="00225D4D" w:rsidRDefault="00D60186" w:rsidP="00225D4D">
      <w:r w:rsidRPr="00225D4D">
        <w:t>Bakgrunnen for vedtaket var at et flertall i Stortingets næringskomité mente at det var behov for mer åpenhet rundt prisdannelsen i verdikjeden for mat og dagligvarer for å sikre bedre konkurranse. Foreløpige vurderinger av oppfølgingen av vedtaket er omtalt i Nærings- og fiskeridepartementets tidligere budsjettproposisjoner.</w:t>
      </w:r>
    </w:p>
    <w:p w14:paraId="3E853572" w14:textId="77777777" w:rsidR="00D60186" w:rsidRPr="00225D4D" w:rsidRDefault="00D60186" w:rsidP="00225D4D">
      <w:r w:rsidRPr="00225D4D">
        <w:t xml:space="preserve">Regjeringen har igangsatt en utredning av krav om regnskapsmessig og </w:t>
      </w:r>
      <w:proofErr w:type="spellStart"/>
      <w:r w:rsidRPr="00225D4D">
        <w:t>funksjonsmessig</w:t>
      </w:r>
      <w:proofErr w:type="spellEnd"/>
      <w:r w:rsidRPr="00225D4D">
        <w:t xml:space="preserve"> skille. Oppdraget er tildelt Menon </w:t>
      </w:r>
      <w:proofErr w:type="spellStart"/>
      <w:r w:rsidRPr="00225D4D">
        <w:t>Economics</w:t>
      </w:r>
      <w:proofErr w:type="spellEnd"/>
      <w:r w:rsidRPr="00225D4D">
        <w:t xml:space="preserve"> AS. Utreder skal vurdere om, og eventuelt hvordan, regnskapsmessige og </w:t>
      </w:r>
      <w:proofErr w:type="spellStart"/>
      <w:r w:rsidRPr="00225D4D">
        <w:t>funksjonsmessige</w:t>
      </w:r>
      <w:proofErr w:type="spellEnd"/>
      <w:r w:rsidRPr="00225D4D">
        <w:t xml:space="preserve"> skiller kan gi mer åpenhet og mer effektivt tilsyn i dagligvarebransjen. Oppdraget innebærer en beskrivelse av </w:t>
      </w:r>
      <w:proofErr w:type="spellStart"/>
      <w:r w:rsidRPr="00225D4D">
        <w:t>funksjonsmessige</w:t>
      </w:r>
      <w:proofErr w:type="spellEnd"/>
      <w:r w:rsidRPr="00225D4D">
        <w:t xml:space="preserve"> og regnskapsmessige skiller i verdikjeden for mat og dagligvarer, en vurdering av det juridiske handlingsrommet for å stille krav om slike skiller, samt vurdering av virkninger for konkurransen i dagligvarebransjen, og andre virkninger. Utreder skal blant annet vurdere effekter av eventuelle krav til slike skiller mellom virksomhet for EMV og andre deler av et dagligvarekonsern (for eksempel grossist- og distribusjonsledd), herunder </w:t>
      </w:r>
      <w:proofErr w:type="spellStart"/>
      <w:r w:rsidRPr="00225D4D">
        <w:t>informasjonsskiller</w:t>
      </w:r>
      <w:proofErr w:type="spellEnd"/>
      <w:r w:rsidRPr="00225D4D">
        <w:t xml:space="preserve"> mellom innkjøpsfunksjoner og virksomhet for EMV. Sluttrapporten skal foreligge innen 15. januar 2026.</w:t>
      </w:r>
    </w:p>
    <w:p w14:paraId="17602551" w14:textId="77777777" w:rsidR="00D60186" w:rsidRPr="00225D4D" w:rsidRDefault="00D60186" w:rsidP="00225D4D">
      <w:r w:rsidRPr="00225D4D">
        <w:t>Videre har Konkurransetilsynet undersøkt lønnsomhet og marginer for aktører i ulike ledd av verdikjeden for mat og dagligvarer, og har fått i oppdrag å gjennomføre nye undersøkelser. Tilsynet har også undersøkt hvilke virkninger ordningen med to faste tidspunkt for leverandørenes prisjusteringer har for prisdannelsen og konkurransen i dagligvarebransjen. Undersøkelsene bidrar til økt kunnskap og åpenhet i verdikjeden for mat og dagligvarer.</w:t>
      </w:r>
    </w:p>
    <w:p w14:paraId="5E84522A" w14:textId="77777777" w:rsidR="00D60186" w:rsidRPr="00225D4D" w:rsidRDefault="00D60186" w:rsidP="00225D4D">
      <w:r w:rsidRPr="00225D4D">
        <w:t>Konkurransetilsynet skal gjennomføre årlige kartlegginger av utviklingen i EMV og andre merkevarekategorier, selskapsstrukturer og markedsandeler i dagligvarebransjen. Kartleggingen vil gi mer informasjon om utviklingen i vertikal integrasjon og EMV og et bedre kunnskaps- og beslutningsgrunnlag for eventuelle tiltak.</w:t>
      </w:r>
    </w:p>
    <w:p w14:paraId="155108E0" w14:textId="77777777" w:rsidR="00D60186" w:rsidRPr="00225D4D" w:rsidRDefault="00D60186" w:rsidP="00225D4D">
      <w:r w:rsidRPr="00225D4D">
        <w:t>Lov om god handelsskikk og konkurranseloven gir henholdsvis Dagligvaretilsynet og Konkurransetilsynet bred tilgang til å innhente den informasjonen de mener er nødvendig for å utføre de oppgavene de er satt til å gjøre. Departementet utreder behov for eventuelle endringer i lov om god handelsskikk. Videre foreslår regjeringen å legge ned Dagligvaretilsynet, og flytte håndhevingen av loven til Konkurransetilsynet. Det vises til nærmere omtale under kap. 911 og kap. 913.</w:t>
      </w:r>
    </w:p>
    <w:p w14:paraId="60CE3744" w14:textId="77777777" w:rsidR="00D60186" w:rsidRPr="00225D4D" w:rsidRDefault="00D60186" w:rsidP="00225D4D">
      <w:r w:rsidRPr="00225D4D">
        <w:t>Innføringen av markedsetterforskning gir Konkurransetilsynet mulighet til å treffe vedtak som pålegger aktørene bindende strukturelle og adferdsmessige tiltak.</w:t>
      </w:r>
    </w:p>
    <w:p w14:paraId="622B06E4" w14:textId="77777777" w:rsidR="00D60186" w:rsidRPr="00225D4D" w:rsidRDefault="00D60186" w:rsidP="00225D4D">
      <w:r w:rsidRPr="00225D4D">
        <w:t>Den videre oppfølgingen av anmodningsvedtak 573 vil vurderes i lys av de pågående prosessene knyttet til konkurranseforholdene i dagligvarebransjen.</w:t>
      </w:r>
    </w:p>
    <w:p w14:paraId="27B434D8" w14:textId="77777777" w:rsidR="00D60186" w:rsidRPr="00225D4D" w:rsidRDefault="00D60186" w:rsidP="00225D4D">
      <w:r w:rsidRPr="00225D4D">
        <w:t>Regjeringen vil på egnet måte komme tilbake til hvordan Stortingets vedtak følges opp.</w:t>
      </w:r>
    </w:p>
    <w:p w14:paraId="475BF80B" w14:textId="77777777" w:rsidR="00D60186" w:rsidRPr="00225D4D" w:rsidRDefault="00D60186" w:rsidP="00225D4D">
      <w:pPr>
        <w:pStyle w:val="avsnitt-tittel"/>
      </w:pPr>
      <w:r w:rsidRPr="00225D4D">
        <w:t>Dagligvare – rabatter skal i større grad følge varen</w:t>
      </w:r>
    </w:p>
    <w:p w14:paraId="2E4792F7" w14:textId="77777777" w:rsidR="00D60186" w:rsidRPr="00225D4D" w:rsidRDefault="00D60186" w:rsidP="00225D4D">
      <w:pPr>
        <w:pStyle w:val="avsnitt-undertittel"/>
      </w:pPr>
      <w:r w:rsidRPr="00225D4D">
        <w:t>Vedtak nr. 574, 4. februar 2021</w:t>
      </w:r>
    </w:p>
    <w:p w14:paraId="0ADDE6D3" w14:textId="77777777" w:rsidR="00D60186" w:rsidRPr="00225D4D" w:rsidRDefault="00D60186" w:rsidP="00225D4D">
      <w:pPr>
        <w:pStyle w:val="blokksit"/>
        <w:rPr>
          <w:rStyle w:val="kursiv"/>
        </w:rPr>
      </w:pPr>
      <w:r w:rsidRPr="00225D4D">
        <w:rPr>
          <w:rStyle w:val="kursiv"/>
        </w:rPr>
        <w:t>«Stortinget ber regjeringen komme tilbake til Stortinget med egen sak med forslag om hvordan man i dagligvarebransjen kan tilrettelegge for at rabatter som oppnås i forhandlingene mellom leverandører og kjeder, i større grad følger varen.»</w:t>
      </w:r>
    </w:p>
    <w:p w14:paraId="7DECDF00" w14:textId="77777777" w:rsidR="00D60186" w:rsidRPr="00225D4D" w:rsidRDefault="00D60186" w:rsidP="00225D4D">
      <w:r w:rsidRPr="00225D4D">
        <w:t xml:space="preserve">Vedtaket ble truffet under behandlingen av Meld. St. 27 (2019–2020) </w:t>
      </w:r>
      <w:proofErr w:type="spellStart"/>
      <w:r w:rsidRPr="00225D4D">
        <w:rPr>
          <w:rStyle w:val="kursiv"/>
        </w:rPr>
        <w:t>Daglegvare</w:t>
      </w:r>
      <w:proofErr w:type="spellEnd"/>
      <w:r w:rsidRPr="00225D4D">
        <w:rPr>
          <w:rStyle w:val="kursiv"/>
        </w:rPr>
        <w:t xml:space="preserve"> og konkurranse – kampen om </w:t>
      </w:r>
      <w:proofErr w:type="spellStart"/>
      <w:r w:rsidRPr="00225D4D">
        <w:rPr>
          <w:rStyle w:val="kursiv"/>
        </w:rPr>
        <w:t>kundane</w:t>
      </w:r>
      <w:proofErr w:type="spellEnd"/>
      <w:r w:rsidRPr="00225D4D">
        <w:t xml:space="preserve">, jf. </w:t>
      </w:r>
      <w:proofErr w:type="spellStart"/>
      <w:r w:rsidRPr="00225D4D">
        <w:t>Innst</w:t>
      </w:r>
      <w:proofErr w:type="spellEnd"/>
      <w:r w:rsidRPr="00225D4D">
        <w:t>. 185 S (2020–2021). Foreløpige vurderinger av oppfølgingen av vedtaket er omtalt i Nærings- og fiskeridepartementets tidligere budsjettproposisjoner.</w:t>
      </w:r>
    </w:p>
    <w:p w14:paraId="0334059B" w14:textId="77777777" w:rsidR="00D60186" w:rsidRPr="00225D4D" w:rsidRDefault="00D60186" w:rsidP="00225D4D">
      <w:r w:rsidRPr="00225D4D">
        <w:t>Nærings- og fiskeridepartementet sendte 22. mai 2025 et forslag om endringer i lov om god handelsskikk på høring. Flere av forslagene i høringen kan ha betydning for dagligvarekjedenes bruk av rabatter. Blant annet foreslås det krav om et rimelig forhold mellom betalinger for tjenester og kostnadene ved å levere tjenesten. Dette kan begrense størrelsen på betalinger for tjenester fra leverandørene til kjedene, som er en type rabatter som ikke følger varen. Grunnen er at det vil settes et øvre tak på hvor store slike rabatter kan være. Taket vil settes ut ifra hva det koster å levere tjenestene. Det kan gi større insentiver til å bruke rabatter som følger varen. Det foreslås også strengere krav til skriftlige avtaler, også for avtaler som gjelder faste betalinger, noe som også kan gi flere insentiver til bruk av rabatter som i større grad følger varen.</w:t>
      </w:r>
    </w:p>
    <w:p w14:paraId="7DC7AF7F" w14:textId="77777777" w:rsidR="00D60186" w:rsidRPr="00225D4D" w:rsidRDefault="00D60186" w:rsidP="00225D4D">
      <w:r w:rsidRPr="00225D4D">
        <w:t>Regjeringen vil vurdere høringssvarene til forslagene til endringer i lov om god handelsskikk grundig. Eventuelle forslag til lovendringer vil oversendes Stortinget for behandling på vanlig måte.</w:t>
      </w:r>
    </w:p>
    <w:p w14:paraId="70A49113" w14:textId="77777777" w:rsidR="00D60186" w:rsidRPr="00225D4D" w:rsidRDefault="00D60186" w:rsidP="00225D4D">
      <w:r w:rsidRPr="00225D4D">
        <w:t>En viktig måte å bidra til at rabatter kommer forbrukere til gode, er å legge til rette for effektiv konkurranse. I velfungerende markeder vil detaljistkjeder som ikke viderefører rabattene til forbrukere, stå i fare for å tape kundenes gunst. Mangel på konkurranse kan på sin side medføre at bedriftene blir mindre effektive og innovative, og at forbrukerne opplever høyere priser og dårligere utvalg. I tillegg til arbeidet med mulige endringer i lov om god handelsskikk vil derfor flere av de andre tiltakene som regjeringen har iverksatt også bidra til å oppnå formålet med dette anmodningsvedtaket, for eksempel forbud mot negative servitutter, innføring av markedsetterforskning, og at aktørene ikke lenger varsler kommende prisøkninger i media.</w:t>
      </w:r>
    </w:p>
    <w:p w14:paraId="745E7312" w14:textId="77777777" w:rsidR="00D60186" w:rsidRPr="00225D4D" w:rsidRDefault="00D60186" w:rsidP="00225D4D">
      <w:r w:rsidRPr="00225D4D">
        <w:t xml:space="preserve">I mai og juni lanserte regjeringen nye tiltak for bedre konkurranse i dagligvarebransjen. Et av disse var de omtalte forslagene til endringer i lov om god handelsskikk. De andre tiltakene er at regjeringen vil prioritere tilsyn med dagligvarekjedenes fordelsprogrammer og utrede hvordan de påvirker forbrukernes mulighet til å orientere seg i dagligvaremarkedet, vurdere tiltak mot konkurransevridende bruk av eksklusive leieavtaler og undersøke om krav til regnskapsmessig og </w:t>
      </w:r>
      <w:proofErr w:type="spellStart"/>
      <w:r w:rsidRPr="00225D4D">
        <w:t>funksjonsmessig</w:t>
      </w:r>
      <w:proofErr w:type="spellEnd"/>
      <w:r w:rsidRPr="00225D4D">
        <w:t xml:space="preserve"> skille mellom leddene i dagligvarebransjen kan gi mer åpenhet og mer effektivt tilsyn. Videre skal regjeringen undersøke hva som skal til for at små aktører i større grad utfordrer de store aktørene i dagligvarebransjen, og vurdere tiltak for å legge til rette for at slike aktører har vilkår som gjør dem bedre i stand til å konkurrere med de store etablerte aktørene. I tillegg har Konkurransetilsynet fått i oppdrag å gjennomføre nye undersøkelser av lønnsomhet og marginer i verdikjeden for mat og dagligvarer.</w:t>
      </w:r>
    </w:p>
    <w:p w14:paraId="66716C67" w14:textId="77777777" w:rsidR="00D60186" w:rsidRPr="00225D4D" w:rsidRDefault="00D60186" w:rsidP="00225D4D">
      <w:r w:rsidRPr="00225D4D">
        <w:t>Regjeringen følger opp anmodningsvedtaket og vil komme tilbake til Stortinget på egnet måte når utredningen av lov om god handelsskikk i dagligvarekjeden er ferdig. Se også omtale under programkategori 17.10.</w:t>
      </w:r>
    </w:p>
    <w:p w14:paraId="285896CB" w14:textId="77777777" w:rsidR="00D60186" w:rsidRPr="00225D4D" w:rsidRDefault="00D60186" w:rsidP="00225D4D">
      <w:pPr>
        <w:pStyle w:val="Overskrift2"/>
      </w:pPr>
      <w:r w:rsidRPr="00225D4D">
        <w:t>Stortingssesjon 2019–2020</w:t>
      </w:r>
    </w:p>
    <w:p w14:paraId="699DA862" w14:textId="77777777" w:rsidR="00D60186" w:rsidRPr="00225D4D" w:rsidRDefault="00D60186" w:rsidP="00225D4D">
      <w:pPr>
        <w:pStyle w:val="Undertittel"/>
      </w:pPr>
      <w:r w:rsidRPr="00225D4D">
        <w:t>Anmodningsvedtak under fiskeri- og havministeren</w:t>
      </w:r>
    </w:p>
    <w:p w14:paraId="6051B21C" w14:textId="77777777" w:rsidR="00D60186" w:rsidRPr="00225D4D" w:rsidRDefault="00D60186" w:rsidP="00225D4D">
      <w:pPr>
        <w:pStyle w:val="avsnitt-tittel"/>
      </w:pPr>
      <w:r w:rsidRPr="00225D4D">
        <w:t>Kvotemeldingen – kvotefleksibilitet i fisket etter torsk, hyse og sei nord for 62° N</w:t>
      </w:r>
    </w:p>
    <w:p w14:paraId="392AB556" w14:textId="77777777" w:rsidR="00D60186" w:rsidRPr="00225D4D" w:rsidRDefault="00D60186" w:rsidP="00225D4D">
      <w:pPr>
        <w:pStyle w:val="avsnitt-undertittel"/>
      </w:pPr>
      <w:r w:rsidRPr="00225D4D">
        <w:t>Vedtak nr. 553, 7. mai 2020</w:t>
      </w:r>
    </w:p>
    <w:p w14:paraId="367B83ED" w14:textId="77777777" w:rsidR="00D60186" w:rsidRPr="00225D4D" w:rsidRDefault="00D60186" w:rsidP="00225D4D">
      <w:pPr>
        <w:pStyle w:val="blokksit"/>
        <w:rPr>
          <w:rStyle w:val="kursiv"/>
        </w:rPr>
      </w:pPr>
      <w:r w:rsidRPr="00225D4D">
        <w:rPr>
          <w:rStyle w:val="kursiv"/>
        </w:rPr>
        <w:t xml:space="preserve">«Stortinget ber regjeringen legge til rette for at det i fisket etter torsk, hyse og sei nord for 62° N etableres kvotefleksibilitet over årsskiftet på fartøynivå, slik at et fartøy kan utnytte sitt kvotegrunnlag best mulig innenfor et </w:t>
      </w:r>
      <w:proofErr w:type="spellStart"/>
      <w:r w:rsidRPr="00225D4D">
        <w:rPr>
          <w:rStyle w:val="kursiv"/>
        </w:rPr>
        <w:t>kvoteår</w:t>
      </w:r>
      <w:proofErr w:type="spellEnd"/>
      <w:r w:rsidRPr="00225D4D">
        <w:rPr>
          <w:rStyle w:val="kursiv"/>
        </w:rPr>
        <w:t>, på samme måte som i pelagiske fiskerier.»</w:t>
      </w:r>
    </w:p>
    <w:p w14:paraId="3B80F337" w14:textId="77777777" w:rsidR="00D60186" w:rsidRPr="00225D4D" w:rsidRDefault="00D60186" w:rsidP="00225D4D">
      <w:r w:rsidRPr="00225D4D">
        <w:t xml:space="preserve">Vedtaket ble truffet under behandlingen av Meld. St. 32 (2018–2019) </w:t>
      </w:r>
      <w:r w:rsidRPr="00225D4D">
        <w:rPr>
          <w:rStyle w:val="kursiv"/>
        </w:rPr>
        <w:t>Et kvotesystem for økt verdiskaping – En fremtidsrettet fiskerinæring</w:t>
      </w:r>
      <w:r w:rsidRPr="00225D4D">
        <w:t xml:space="preserve">, jf. </w:t>
      </w:r>
      <w:proofErr w:type="spellStart"/>
      <w:r w:rsidRPr="00225D4D">
        <w:t>Innst</w:t>
      </w:r>
      <w:proofErr w:type="spellEnd"/>
      <w:r w:rsidRPr="00225D4D">
        <w:t>. 243 S (2019–2020).</w:t>
      </w:r>
    </w:p>
    <w:p w14:paraId="5CFF4FD5" w14:textId="77777777" w:rsidR="00D60186" w:rsidRPr="00225D4D" w:rsidRDefault="00D60186" w:rsidP="00225D4D">
      <w:r w:rsidRPr="00225D4D">
        <w:t>Nærings- og fiskeridepartementet ga i 2020 adgang til kvotefleksibilitet på fartøynivå i fisket etter torsk nord for 62° nord, fra 2020 til 2021. Ordningen er videreført fram til 2025, og det legges opp til å videreføre ordningen framover. Forvaltningen arbeider med å få på plass kvotefleksibilitet for sei og hyse, men dette avhenger blant annet av overreguleringsgrad for å kunne bli innført for alle fartøy.</w:t>
      </w:r>
    </w:p>
    <w:p w14:paraId="49A689D3" w14:textId="77777777" w:rsidR="00D60186" w:rsidRPr="00225D4D" w:rsidRDefault="00D60186" w:rsidP="00225D4D">
      <w:r w:rsidRPr="00225D4D">
        <w:t>Vedtaket anses med dette som fulgt opp.</w:t>
      </w:r>
    </w:p>
    <w:p w14:paraId="14B57D27" w14:textId="77777777" w:rsidR="00D60186" w:rsidRPr="00225D4D" w:rsidRDefault="00D60186" w:rsidP="00225D4D">
      <w:pPr>
        <w:pStyle w:val="Overskrift1"/>
      </w:pPr>
      <w:r w:rsidRPr="00225D4D">
        <w:t>Samferdselsdepartementet</w:t>
      </w:r>
    </w:p>
    <w:p w14:paraId="118EF459" w14:textId="77777777" w:rsidR="00D60186" w:rsidRPr="00225D4D" w:rsidRDefault="00D60186" w:rsidP="00225D4D">
      <w:pPr>
        <w:pStyle w:val="Overskrift2"/>
      </w:pPr>
      <w:r w:rsidRPr="00225D4D">
        <w:t>Oppfølging av oppmodingsvedtak</w:t>
      </w:r>
    </w:p>
    <w:p w14:paraId="3440B022" w14:textId="77777777" w:rsidR="00D60186" w:rsidRPr="00225D4D" w:rsidRDefault="00D60186" w:rsidP="00225D4D">
      <w:r w:rsidRPr="00225D4D">
        <w:t xml:space="preserve">Tabell 16.1 gir </w:t>
      </w:r>
      <w:proofErr w:type="spellStart"/>
      <w:r w:rsidRPr="00225D4D">
        <w:t>ein</w:t>
      </w:r>
      <w:proofErr w:type="spellEnd"/>
      <w:r w:rsidRPr="00225D4D">
        <w:t xml:space="preserve"> oversikt over oppfølginga av oppmodingsvedtak under Samferdselsdepartementet. Oversikten </w:t>
      </w:r>
      <w:proofErr w:type="spellStart"/>
      <w:r w:rsidRPr="00225D4D">
        <w:t>omfattar</w:t>
      </w:r>
      <w:proofErr w:type="spellEnd"/>
      <w:r w:rsidRPr="00225D4D">
        <w:t xml:space="preserve"> alle vedtaka </w:t>
      </w:r>
      <w:proofErr w:type="spellStart"/>
      <w:r w:rsidRPr="00225D4D">
        <w:t>frå</w:t>
      </w:r>
      <w:proofErr w:type="spellEnd"/>
      <w:r w:rsidRPr="00225D4D">
        <w:t xml:space="preserve"> stortingssesjonen 2024–2025 og </w:t>
      </w:r>
      <w:proofErr w:type="spellStart"/>
      <w:r w:rsidRPr="00225D4D">
        <w:t>dei</w:t>
      </w:r>
      <w:proofErr w:type="spellEnd"/>
      <w:r w:rsidRPr="00225D4D">
        <w:t xml:space="preserve"> vedtaka </w:t>
      </w:r>
      <w:proofErr w:type="spellStart"/>
      <w:r w:rsidRPr="00225D4D">
        <w:t>frå</w:t>
      </w:r>
      <w:proofErr w:type="spellEnd"/>
      <w:r w:rsidRPr="00225D4D">
        <w:t xml:space="preserve"> </w:t>
      </w:r>
      <w:proofErr w:type="spellStart"/>
      <w:r w:rsidRPr="00225D4D">
        <w:t>tidlegare</w:t>
      </w:r>
      <w:proofErr w:type="spellEnd"/>
      <w:r w:rsidRPr="00225D4D">
        <w:t xml:space="preserve"> </w:t>
      </w:r>
      <w:proofErr w:type="spellStart"/>
      <w:r w:rsidRPr="00225D4D">
        <w:t>stortingssesjonar</w:t>
      </w:r>
      <w:proofErr w:type="spellEnd"/>
      <w:r w:rsidRPr="00225D4D">
        <w:t xml:space="preserve"> som kontroll- og konstitusjonskomiteen i </w:t>
      </w:r>
      <w:proofErr w:type="spellStart"/>
      <w:r w:rsidRPr="00225D4D">
        <w:t>Innst</w:t>
      </w:r>
      <w:proofErr w:type="spellEnd"/>
      <w:r w:rsidRPr="00225D4D">
        <w:t xml:space="preserve">. 216 S (2024–2025) meinte </w:t>
      </w:r>
      <w:proofErr w:type="spellStart"/>
      <w:r w:rsidRPr="00225D4D">
        <w:t>ikkje</w:t>
      </w:r>
      <w:proofErr w:type="spellEnd"/>
      <w:r w:rsidRPr="00225D4D">
        <w:t xml:space="preserve"> var kvitterte ut. I tabellen går det fram om Samferdselsdepartementet </w:t>
      </w:r>
      <w:proofErr w:type="spellStart"/>
      <w:r w:rsidRPr="00225D4D">
        <w:t>no</w:t>
      </w:r>
      <w:proofErr w:type="spellEnd"/>
      <w:r w:rsidRPr="00225D4D">
        <w:t xml:space="preserve"> </w:t>
      </w:r>
      <w:proofErr w:type="spellStart"/>
      <w:r w:rsidRPr="00225D4D">
        <w:t>legg</w:t>
      </w:r>
      <w:proofErr w:type="spellEnd"/>
      <w:r w:rsidRPr="00225D4D">
        <w:t xml:space="preserve"> opp til å avslutte rapporteringa av oppmodingsvedtaket eller om det òg vil rapportere på vedtaket i budsjettproposisjonen for 2027.</w:t>
      </w:r>
    </w:p>
    <w:p w14:paraId="25808C46" w14:textId="4F9220B0" w:rsidR="002D4C2A" w:rsidRPr="00225D4D" w:rsidRDefault="002D4C2A" w:rsidP="00225D4D">
      <w:pPr>
        <w:pStyle w:val="tabell-tittel"/>
      </w:pPr>
      <w:r w:rsidRPr="00225D4D">
        <w:t>Oversikt over oppmodingsvedtak etter sesjon og nummer</w:t>
      </w:r>
    </w:p>
    <w:p w14:paraId="30B1CBDD" w14:textId="77777777" w:rsidR="00D60186" w:rsidRPr="00225D4D" w:rsidRDefault="00D60186" w:rsidP="00225D4D">
      <w:pPr>
        <w:pStyle w:val="Tabellnavn"/>
      </w:pPr>
      <w:r w:rsidRPr="00225D4D">
        <w:t>05J1xt2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1120"/>
        <w:gridCol w:w="840"/>
        <w:gridCol w:w="4860"/>
        <w:gridCol w:w="1300"/>
      </w:tblGrid>
      <w:tr w:rsidR="00E76DC8" w:rsidRPr="00225D4D" w14:paraId="5AABBD5B" w14:textId="77777777">
        <w:trPr>
          <w:trHeight w:val="86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EA9222" w14:textId="77777777" w:rsidR="00D60186" w:rsidRPr="004003C1" w:rsidRDefault="00D60186" w:rsidP="00225D4D">
            <w:pPr>
              <w:rPr>
                <w:sz w:val="21"/>
                <w:szCs w:val="21"/>
              </w:rPr>
            </w:pPr>
            <w:r w:rsidRPr="004003C1">
              <w:rPr>
                <w:sz w:val="21"/>
                <w:szCs w:val="21"/>
              </w:rPr>
              <w:t>Sesjon</w:t>
            </w:r>
          </w:p>
        </w:tc>
        <w:tc>
          <w:tcPr>
            <w:tcW w:w="11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F4FBBE" w14:textId="77777777" w:rsidR="00D60186" w:rsidRPr="004003C1" w:rsidRDefault="00D60186" w:rsidP="004003C1">
            <w:pPr>
              <w:ind w:right="113"/>
              <w:jc w:val="right"/>
              <w:rPr>
                <w:sz w:val="21"/>
                <w:szCs w:val="21"/>
              </w:rPr>
            </w:pPr>
            <w:r w:rsidRPr="004003C1">
              <w:rPr>
                <w:sz w:val="21"/>
                <w:szCs w:val="21"/>
              </w:rPr>
              <w:t>Vedtak nr.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6A763F" w14:textId="77777777" w:rsidR="00D60186" w:rsidRPr="004003C1" w:rsidRDefault="00D60186" w:rsidP="004003C1">
            <w:pPr>
              <w:ind w:right="113"/>
              <w:jc w:val="right"/>
              <w:rPr>
                <w:sz w:val="21"/>
                <w:szCs w:val="21"/>
              </w:rPr>
            </w:pPr>
            <w:r w:rsidRPr="004003C1">
              <w:rPr>
                <w:sz w:val="21"/>
                <w:szCs w:val="21"/>
              </w:rPr>
              <w:t>Punkt</w:t>
            </w:r>
          </w:p>
        </w:tc>
        <w:tc>
          <w:tcPr>
            <w:tcW w:w="4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474101" w14:textId="77777777" w:rsidR="00D60186" w:rsidRPr="004003C1" w:rsidRDefault="00D60186" w:rsidP="00225D4D">
            <w:pPr>
              <w:rPr>
                <w:sz w:val="21"/>
                <w:szCs w:val="21"/>
              </w:rPr>
            </w:pPr>
            <w:r w:rsidRPr="004003C1">
              <w:rPr>
                <w:sz w:val="21"/>
                <w:szCs w:val="21"/>
              </w:rPr>
              <w:t>Stikkord</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E958F6A" w14:textId="77777777" w:rsidR="00D60186" w:rsidRPr="004003C1" w:rsidRDefault="00D60186" w:rsidP="004003C1">
            <w:pPr>
              <w:jc w:val="right"/>
              <w:rPr>
                <w:sz w:val="21"/>
                <w:szCs w:val="21"/>
              </w:rPr>
            </w:pPr>
            <w:r w:rsidRPr="004003C1">
              <w:rPr>
                <w:sz w:val="21"/>
                <w:szCs w:val="21"/>
              </w:rPr>
              <w:t xml:space="preserve">Rapportering blir avslutta </w:t>
            </w:r>
            <w:r w:rsidRPr="004003C1">
              <w:rPr>
                <w:sz w:val="21"/>
                <w:szCs w:val="21"/>
              </w:rPr>
              <w:br/>
              <w:t>(ja/nei)</w:t>
            </w:r>
          </w:p>
        </w:tc>
      </w:tr>
      <w:tr w:rsidR="00E76DC8" w:rsidRPr="00225D4D" w14:paraId="7274D4D2" w14:textId="77777777" w:rsidTr="004003C1">
        <w:trPr>
          <w:trHeight w:val="20"/>
        </w:trPr>
        <w:tc>
          <w:tcPr>
            <w:tcW w:w="1400" w:type="dxa"/>
            <w:tcBorders>
              <w:top w:val="single" w:sz="4" w:space="0" w:color="000000"/>
              <w:left w:val="nil"/>
              <w:bottom w:val="nil"/>
              <w:right w:val="nil"/>
            </w:tcBorders>
            <w:tcMar>
              <w:top w:w="128" w:type="dxa"/>
              <w:left w:w="43" w:type="dxa"/>
              <w:bottom w:w="43" w:type="dxa"/>
              <w:right w:w="43" w:type="dxa"/>
            </w:tcMar>
          </w:tcPr>
          <w:p w14:paraId="098C42D3" w14:textId="77777777" w:rsidR="00D60186" w:rsidRPr="004003C1" w:rsidRDefault="00D60186" w:rsidP="00225D4D">
            <w:pPr>
              <w:rPr>
                <w:sz w:val="21"/>
                <w:szCs w:val="21"/>
              </w:rPr>
            </w:pPr>
            <w:r w:rsidRPr="004003C1">
              <w:rPr>
                <w:sz w:val="21"/>
                <w:szCs w:val="21"/>
              </w:rPr>
              <w:t>2024–2025</w:t>
            </w:r>
          </w:p>
        </w:tc>
        <w:tc>
          <w:tcPr>
            <w:tcW w:w="1120" w:type="dxa"/>
            <w:tcBorders>
              <w:top w:val="single" w:sz="4" w:space="0" w:color="000000"/>
              <w:left w:val="nil"/>
              <w:bottom w:val="nil"/>
              <w:right w:val="nil"/>
            </w:tcBorders>
            <w:tcMar>
              <w:top w:w="128" w:type="dxa"/>
              <w:left w:w="43" w:type="dxa"/>
              <w:bottom w:w="43" w:type="dxa"/>
              <w:right w:w="43" w:type="dxa"/>
            </w:tcMar>
          </w:tcPr>
          <w:p w14:paraId="64EC484E" w14:textId="77777777" w:rsidR="00D60186" w:rsidRPr="004003C1" w:rsidRDefault="00D60186" w:rsidP="004003C1">
            <w:pPr>
              <w:ind w:right="113"/>
              <w:jc w:val="right"/>
              <w:rPr>
                <w:sz w:val="21"/>
                <w:szCs w:val="21"/>
              </w:rPr>
            </w:pPr>
            <w:r w:rsidRPr="004003C1">
              <w:rPr>
                <w:sz w:val="21"/>
                <w:szCs w:val="21"/>
              </w:rPr>
              <w:t>38</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579EC641" w14:textId="77777777" w:rsidR="00D60186" w:rsidRPr="004003C1" w:rsidRDefault="00D60186" w:rsidP="004003C1">
            <w:pPr>
              <w:ind w:right="113"/>
              <w:jc w:val="right"/>
              <w:rPr>
                <w:sz w:val="21"/>
                <w:szCs w:val="21"/>
              </w:rPr>
            </w:pPr>
          </w:p>
        </w:tc>
        <w:tc>
          <w:tcPr>
            <w:tcW w:w="4860" w:type="dxa"/>
            <w:tcBorders>
              <w:top w:val="single" w:sz="4" w:space="0" w:color="000000"/>
              <w:left w:val="nil"/>
              <w:bottom w:val="nil"/>
              <w:right w:val="nil"/>
            </w:tcBorders>
            <w:tcMar>
              <w:top w:w="128" w:type="dxa"/>
              <w:left w:w="43" w:type="dxa"/>
              <w:bottom w:w="43" w:type="dxa"/>
              <w:right w:w="43" w:type="dxa"/>
            </w:tcMar>
          </w:tcPr>
          <w:p w14:paraId="0128975D" w14:textId="77777777" w:rsidR="00D60186" w:rsidRPr="004003C1" w:rsidRDefault="00D60186" w:rsidP="00225D4D">
            <w:pPr>
              <w:rPr>
                <w:sz w:val="21"/>
                <w:szCs w:val="21"/>
              </w:rPr>
            </w:pPr>
            <w:proofErr w:type="spellStart"/>
            <w:r w:rsidRPr="004003C1">
              <w:rPr>
                <w:sz w:val="21"/>
                <w:szCs w:val="21"/>
              </w:rPr>
              <w:t>Auka</w:t>
            </w:r>
            <w:proofErr w:type="spellEnd"/>
            <w:r w:rsidRPr="004003C1">
              <w:rPr>
                <w:sz w:val="21"/>
                <w:szCs w:val="21"/>
              </w:rPr>
              <w:t xml:space="preserve"> </w:t>
            </w:r>
            <w:proofErr w:type="spellStart"/>
            <w:r w:rsidRPr="004003C1">
              <w:rPr>
                <w:sz w:val="21"/>
                <w:szCs w:val="21"/>
              </w:rPr>
              <w:t>togkapasitet</w:t>
            </w:r>
            <w:proofErr w:type="spellEnd"/>
            <w:r w:rsidRPr="004003C1">
              <w:rPr>
                <w:sz w:val="21"/>
                <w:szCs w:val="21"/>
              </w:rPr>
              <w:t xml:space="preserve"> i rushtid</w:t>
            </w:r>
          </w:p>
        </w:tc>
        <w:tc>
          <w:tcPr>
            <w:tcW w:w="1300" w:type="dxa"/>
            <w:tcBorders>
              <w:top w:val="single" w:sz="4" w:space="0" w:color="000000"/>
              <w:left w:val="nil"/>
              <w:bottom w:val="nil"/>
              <w:right w:val="nil"/>
            </w:tcBorders>
            <w:tcMar>
              <w:top w:w="128" w:type="dxa"/>
              <w:left w:w="43" w:type="dxa"/>
              <w:bottom w:w="43" w:type="dxa"/>
              <w:right w:w="43" w:type="dxa"/>
            </w:tcMar>
          </w:tcPr>
          <w:p w14:paraId="0D4385E8" w14:textId="77777777" w:rsidR="00D60186" w:rsidRPr="004003C1" w:rsidRDefault="00D60186" w:rsidP="004003C1">
            <w:pPr>
              <w:jc w:val="right"/>
              <w:rPr>
                <w:sz w:val="21"/>
                <w:szCs w:val="21"/>
              </w:rPr>
            </w:pPr>
            <w:r w:rsidRPr="004003C1">
              <w:rPr>
                <w:sz w:val="21"/>
                <w:szCs w:val="21"/>
              </w:rPr>
              <w:t>Ja</w:t>
            </w:r>
          </w:p>
        </w:tc>
      </w:tr>
      <w:tr w:rsidR="00E76DC8" w:rsidRPr="00225D4D" w14:paraId="7C717D3F"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71562D5"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A7D3BDA" w14:textId="77777777" w:rsidR="00D60186" w:rsidRPr="004003C1" w:rsidRDefault="00D60186" w:rsidP="004003C1">
            <w:pPr>
              <w:ind w:right="113"/>
              <w:jc w:val="right"/>
              <w:rPr>
                <w:sz w:val="21"/>
                <w:szCs w:val="21"/>
              </w:rPr>
            </w:pPr>
            <w:r w:rsidRPr="004003C1">
              <w:rPr>
                <w:sz w:val="21"/>
                <w:szCs w:val="21"/>
              </w:rPr>
              <w:t>39</w:t>
            </w:r>
          </w:p>
        </w:tc>
        <w:tc>
          <w:tcPr>
            <w:tcW w:w="840" w:type="dxa"/>
            <w:tcBorders>
              <w:top w:val="nil"/>
              <w:left w:val="nil"/>
              <w:bottom w:val="nil"/>
              <w:right w:val="nil"/>
            </w:tcBorders>
            <w:tcMar>
              <w:top w:w="128" w:type="dxa"/>
              <w:left w:w="43" w:type="dxa"/>
              <w:bottom w:w="43" w:type="dxa"/>
              <w:right w:w="43" w:type="dxa"/>
            </w:tcMar>
            <w:vAlign w:val="bottom"/>
          </w:tcPr>
          <w:p w14:paraId="116DF610"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42856B73" w14:textId="77777777" w:rsidR="00D60186" w:rsidRPr="004003C1" w:rsidRDefault="00D60186" w:rsidP="00225D4D">
            <w:pPr>
              <w:rPr>
                <w:sz w:val="21"/>
                <w:szCs w:val="21"/>
              </w:rPr>
            </w:pPr>
            <w:r w:rsidRPr="004003C1">
              <w:rPr>
                <w:sz w:val="21"/>
                <w:szCs w:val="21"/>
              </w:rPr>
              <w:t>Styrke kollektivkapasiteten/</w:t>
            </w:r>
            <w:proofErr w:type="spellStart"/>
            <w:r w:rsidRPr="004003C1">
              <w:rPr>
                <w:sz w:val="21"/>
                <w:szCs w:val="21"/>
              </w:rPr>
              <w:t>ekspresstilbodet</w:t>
            </w:r>
            <w:proofErr w:type="spellEnd"/>
            <w:r w:rsidRPr="004003C1">
              <w:rPr>
                <w:sz w:val="21"/>
                <w:szCs w:val="21"/>
              </w:rPr>
              <w:t xml:space="preserve"> </w:t>
            </w:r>
            <w:r w:rsidRPr="004003C1">
              <w:rPr>
                <w:sz w:val="21"/>
                <w:szCs w:val="21"/>
              </w:rPr>
              <w:br/>
              <w:t>i Vestkorridoren og Akershus</w:t>
            </w:r>
          </w:p>
        </w:tc>
        <w:tc>
          <w:tcPr>
            <w:tcW w:w="1300" w:type="dxa"/>
            <w:tcBorders>
              <w:top w:val="nil"/>
              <w:left w:val="nil"/>
              <w:bottom w:val="nil"/>
              <w:right w:val="nil"/>
            </w:tcBorders>
            <w:tcMar>
              <w:top w:w="128" w:type="dxa"/>
              <w:left w:w="43" w:type="dxa"/>
              <w:bottom w:w="43" w:type="dxa"/>
              <w:right w:w="43" w:type="dxa"/>
            </w:tcMar>
          </w:tcPr>
          <w:p w14:paraId="1377F7FE" w14:textId="77777777" w:rsidR="00D60186" w:rsidRPr="004003C1" w:rsidRDefault="00D60186" w:rsidP="004003C1">
            <w:pPr>
              <w:jc w:val="right"/>
              <w:rPr>
                <w:sz w:val="21"/>
                <w:szCs w:val="21"/>
              </w:rPr>
            </w:pPr>
            <w:r w:rsidRPr="004003C1">
              <w:rPr>
                <w:sz w:val="21"/>
                <w:szCs w:val="21"/>
              </w:rPr>
              <w:t>Ja</w:t>
            </w:r>
          </w:p>
        </w:tc>
      </w:tr>
      <w:tr w:rsidR="00E76DC8" w:rsidRPr="00225D4D" w14:paraId="534714A5"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8DEE003"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09448BF7" w14:textId="77777777" w:rsidR="00D60186" w:rsidRPr="004003C1" w:rsidRDefault="00D60186" w:rsidP="004003C1">
            <w:pPr>
              <w:ind w:right="113"/>
              <w:jc w:val="right"/>
              <w:rPr>
                <w:sz w:val="21"/>
                <w:szCs w:val="21"/>
              </w:rPr>
            </w:pPr>
            <w:r w:rsidRPr="004003C1">
              <w:rPr>
                <w:sz w:val="21"/>
                <w:szCs w:val="21"/>
              </w:rPr>
              <w:t>95</w:t>
            </w:r>
          </w:p>
        </w:tc>
        <w:tc>
          <w:tcPr>
            <w:tcW w:w="840" w:type="dxa"/>
            <w:tcBorders>
              <w:top w:val="nil"/>
              <w:left w:val="nil"/>
              <w:bottom w:val="nil"/>
              <w:right w:val="nil"/>
            </w:tcBorders>
            <w:tcMar>
              <w:top w:w="128" w:type="dxa"/>
              <w:left w:w="43" w:type="dxa"/>
              <w:bottom w:w="43" w:type="dxa"/>
              <w:right w:w="43" w:type="dxa"/>
            </w:tcMar>
            <w:vAlign w:val="bottom"/>
          </w:tcPr>
          <w:p w14:paraId="25BA310A"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72F809D9" w14:textId="77777777" w:rsidR="00D60186" w:rsidRPr="004003C1" w:rsidRDefault="00D60186" w:rsidP="00225D4D">
            <w:pPr>
              <w:rPr>
                <w:sz w:val="21"/>
                <w:szCs w:val="21"/>
              </w:rPr>
            </w:pPr>
            <w:r w:rsidRPr="004003C1">
              <w:rPr>
                <w:sz w:val="21"/>
                <w:szCs w:val="21"/>
              </w:rPr>
              <w:t xml:space="preserve">Direkte dagtog </w:t>
            </w:r>
            <w:proofErr w:type="spellStart"/>
            <w:r w:rsidRPr="004003C1">
              <w:rPr>
                <w:sz w:val="21"/>
                <w:szCs w:val="21"/>
              </w:rPr>
              <w:t>frå</w:t>
            </w:r>
            <w:proofErr w:type="spellEnd"/>
            <w:r w:rsidRPr="004003C1">
              <w:rPr>
                <w:sz w:val="21"/>
                <w:szCs w:val="21"/>
              </w:rPr>
              <w:t xml:space="preserve"> Oslo til København og/eller Hamburg</w:t>
            </w:r>
          </w:p>
        </w:tc>
        <w:tc>
          <w:tcPr>
            <w:tcW w:w="1300" w:type="dxa"/>
            <w:tcBorders>
              <w:top w:val="nil"/>
              <w:left w:val="nil"/>
              <w:bottom w:val="nil"/>
              <w:right w:val="nil"/>
            </w:tcBorders>
            <w:tcMar>
              <w:top w:w="128" w:type="dxa"/>
              <w:left w:w="43" w:type="dxa"/>
              <w:bottom w:w="43" w:type="dxa"/>
              <w:right w:w="43" w:type="dxa"/>
            </w:tcMar>
          </w:tcPr>
          <w:p w14:paraId="309EB308" w14:textId="77777777" w:rsidR="00D60186" w:rsidRPr="004003C1" w:rsidRDefault="00D60186" w:rsidP="004003C1">
            <w:pPr>
              <w:jc w:val="right"/>
              <w:rPr>
                <w:sz w:val="21"/>
                <w:szCs w:val="21"/>
              </w:rPr>
            </w:pPr>
            <w:r w:rsidRPr="004003C1">
              <w:rPr>
                <w:sz w:val="21"/>
                <w:szCs w:val="21"/>
              </w:rPr>
              <w:t>Ja</w:t>
            </w:r>
          </w:p>
        </w:tc>
      </w:tr>
      <w:tr w:rsidR="00E76DC8" w:rsidRPr="00225D4D" w14:paraId="490327C0"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8EFD681"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4050787" w14:textId="77777777" w:rsidR="00D60186" w:rsidRPr="004003C1" w:rsidRDefault="00D60186" w:rsidP="004003C1">
            <w:pPr>
              <w:ind w:right="113"/>
              <w:jc w:val="right"/>
              <w:rPr>
                <w:sz w:val="21"/>
                <w:szCs w:val="21"/>
              </w:rPr>
            </w:pPr>
            <w:r w:rsidRPr="004003C1">
              <w:rPr>
                <w:sz w:val="21"/>
                <w:szCs w:val="21"/>
              </w:rPr>
              <w:t>97</w:t>
            </w:r>
          </w:p>
        </w:tc>
        <w:tc>
          <w:tcPr>
            <w:tcW w:w="840" w:type="dxa"/>
            <w:tcBorders>
              <w:top w:val="nil"/>
              <w:left w:val="nil"/>
              <w:bottom w:val="nil"/>
              <w:right w:val="nil"/>
            </w:tcBorders>
            <w:tcMar>
              <w:top w:w="128" w:type="dxa"/>
              <w:left w:w="43" w:type="dxa"/>
              <w:bottom w:w="43" w:type="dxa"/>
              <w:right w:w="43" w:type="dxa"/>
            </w:tcMar>
            <w:vAlign w:val="bottom"/>
          </w:tcPr>
          <w:p w14:paraId="5FFE98C3"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45375F0F" w14:textId="77777777" w:rsidR="00D60186" w:rsidRPr="004003C1" w:rsidRDefault="00D60186" w:rsidP="00225D4D">
            <w:pPr>
              <w:rPr>
                <w:sz w:val="21"/>
                <w:szCs w:val="21"/>
              </w:rPr>
            </w:pPr>
            <w:proofErr w:type="spellStart"/>
            <w:r w:rsidRPr="004003C1">
              <w:rPr>
                <w:sz w:val="21"/>
                <w:szCs w:val="21"/>
              </w:rPr>
              <w:t>Tilgjenge</w:t>
            </w:r>
            <w:proofErr w:type="spellEnd"/>
            <w:r w:rsidRPr="004003C1">
              <w:rPr>
                <w:sz w:val="21"/>
                <w:szCs w:val="21"/>
              </w:rPr>
              <w:t xml:space="preserve"> for </w:t>
            </w:r>
            <w:proofErr w:type="spellStart"/>
            <w:r w:rsidRPr="004003C1">
              <w:rPr>
                <w:sz w:val="21"/>
                <w:szCs w:val="21"/>
              </w:rPr>
              <w:t>elvarebilar</w:t>
            </w:r>
            <w:proofErr w:type="spellEnd"/>
            <w:r w:rsidRPr="004003C1">
              <w:rPr>
                <w:sz w:val="21"/>
                <w:szCs w:val="21"/>
              </w:rPr>
              <w:t xml:space="preserve"> til kollektivfeltet </w:t>
            </w:r>
          </w:p>
        </w:tc>
        <w:tc>
          <w:tcPr>
            <w:tcW w:w="1300" w:type="dxa"/>
            <w:tcBorders>
              <w:top w:val="nil"/>
              <w:left w:val="nil"/>
              <w:bottom w:val="nil"/>
              <w:right w:val="nil"/>
            </w:tcBorders>
            <w:tcMar>
              <w:top w:w="128" w:type="dxa"/>
              <w:left w:w="43" w:type="dxa"/>
              <w:bottom w:w="43" w:type="dxa"/>
              <w:right w:w="43" w:type="dxa"/>
            </w:tcMar>
          </w:tcPr>
          <w:p w14:paraId="7846A3B4" w14:textId="77777777" w:rsidR="00D60186" w:rsidRPr="004003C1" w:rsidRDefault="00D60186" w:rsidP="004003C1">
            <w:pPr>
              <w:jc w:val="right"/>
              <w:rPr>
                <w:sz w:val="21"/>
                <w:szCs w:val="21"/>
              </w:rPr>
            </w:pPr>
            <w:r w:rsidRPr="004003C1">
              <w:rPr>
                <w:sz w:val="21"/>
                <w:szCs w:val="21"/>
              </w:rPr>
              <w:t>Ja</w:t>
            </w:r>
          </w:p>
        </w:tc>
      </w:tr>
      <w:tr w:rsidR="00E76DC8" w:rsidRPr="00225D4D" w14:paraId="506BF7C5"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918D83B"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92BFCFD" w14:textId="77777777" w:rsidR="00D60186" w:rsidRPr="004003C1" w:rsidRDefault="00D60186" w:rsidP="004003C1">
            <w:pPr>
              <w:ind w:right="113"/>
              <w:jc w:val="right"/>
              <w:rPr>
                <w:sz w:val="21"/>
                <w:szCs w:val="21"/>
              </w:rPr>
            </w:pPr>
            <w:r w:rsidRPr="004003C1">
              <w:rPr>
                <w:sz w:val="21"/>
                <w:szCs w:val="21"/>
              </w:rPr>
              <w:t>593</w:t>
            </w:r>
          </w:p>
        </w:tc>
        <w:tc>
          <w:tcPr>
            <w:tcW w:w="840" w:type="dxa"/>
            <w:tcBorders>
              <w:top w:val="nil"/>
              <w:left w:val="nil"/>
              <w:bottom w:val="nil"/>
              <w:right w:val="nil"/>
            </w:tcBorders>
            <w:tcMar>
              <w:top w:w="128" w:type="dxa"/>
              <w:left w:w="43" w:type="dxa"/>
              <w:bottom w:w="43" w:type="dxa"/>
              <w:right w:w="43" w:type="dxa"/>
            </w:tcMar>
            <w:vAlign w:val="bottom"/>
          </w:tcPr>
          <w:p w14:paraId="57956088"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8A52D75" w14:textId="77777777" w:rsidR="00D60186" w:rsidRPr="004003C1" w:rsidRDefault="00D60186" w:rsidP="00225D4D">
            <w:pPr>
              <w:rPr>
                <w:sz w:val="21"/>
                <w:szCs w:val="21"/>
              </w:rPr>
            </w:pPr>
            <w:r w:rsidRPr="004003C1">
              <w:rPr>
                <w:sz w:val="21"/>
                <w:szCs w:val="21"/>
              </w:rPr>
              <w:t xml:space="preserve">Redusere bompengebelastinga i </w:t>
            </w:r>
            <w:proofErr w:type="spellStart"/>
            <w:r w:rsidRPr="004003C1">
              <w:rPr>
                <w:sz w:val="21"/>
                <w:szCs w:val="21"/>
              </w:rPr>
              <w:t>Ryfast</w:t>
            </w:r>
            <w:proofErr w:type="spellEnd"/>
            <w:r w:rsidRPr="004003C1">
              <w:rPr>
                <w:sz w:val="21"/>
                <w:szCs w:val="21"/>
              </w:rPr>
              <w:t>-prosjektet</w:t>
            </w:r>
          </w:p>
        </w:tc>
        <w:tc>
          <w:tcPr>
            <w:tcW w:w="1300" w:type="dxa"/>
            <w:tcBorders>
              <w:top w:val="nil"/>
              <w:left w:val="nil"/>
              <w:bottom w:val="nil"/>
              <w:right w:val="nil"/>
            </w:tcBorders>
            <w:tcMar>
              <w:top w:w="128" w:type="dxa"/>
              <w:left w:w="43" w:type="dxa"/>
              <w:bottom w:w="43" w:type="dxa"/>
              <w:right w:w="43" w:type="dxa"/>
            </w:tcMar>
          </w:tcPr>
          <w:p w14:paraId="13CD9223" w14:textId="77777777" w:rsidR="00D60186" w:rsidRPr="004003C1" w:rsidRDefault="00D60186" w:rsidP="004003C1">
            <w:pPr>
              <w:jc w:val="right"/>
              <w:rPr>
                <w:sz w:val="21"/>
                <w:szCs w:val="21"/>
              </w:rPr>
            </w:pPr>
            <w:r w:rsidRPr="004003C1">
              <w:rPr>
                <w:sz w:val="21"/>
                <w:szCs w:val="21"/>
              </w:rPr>
              <w:t xml:space="preserve">Ja </w:t>
            </w:r>
          </w:p>
        </w:tc>
      </w:tr>
      <w:tr w:rsidR="00E76DC8" w:rsidRPr="00225D4D" w14:paraId="76F32FEA"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90D1D1A"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72254CC" w14:textId="77777777" w:rsidR="00D60186" w:rsidRPr="004003C1" w:rsidRDefault="00D60186" w:rsidP="004003C1">
            <w:pPr>
              <w:ind w:right="113"/>
              <w:jc w:val="right"/>
              <w:rPr>
                <w:sz w:val="21"/>
                <w:szCs w:val="21"/>
              </w:rPr>
            </w:pPr>
            <w:r w:rsidRPr="004003C1">
              <w:rPr>
                <w:sz w:val="21"/>
                <w:szCs w:val="21"/>
              </w:rPr>
              <w:t>635</w:t>
            </w:r>
          </w:p>
        </w:tc>
        <w:tc>
          <w:tcPr>
            <w:tcW w:w="840" w:type="dxa"/>
            <w:tcBorders>
              <w:top w:val="nil"/>
              <w:left w:val="nil"/>
              <w:bottom w:val="nil"/>
              <w:right w:val="nil"/>
            </w:tcBorders>
            <w:tcMar>
              <w:top w:w="128" w:type="dxa"/>
              <w:left w:w="43" w:type="dxa"/>
              <w:bottom w:w="43" w:type="dxa"/>
              <w:right w:w="43" w:type="dxa"/>
            </w:tcMar>
            <w:vAlign w:val="bottom"/>
          </w:tcPr>
          <w:p w14:paraId="2B1BF498"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6A8346EE" w14:textId="77777777" w:rsidR="00D60186" w:rsidRPr="004003C1" w:rsidRDefault="00D60186" w:rsidP="00225D4D">
            <w:pPr>
              <w:rPr>
                <w:sz w:val="21"/>
                <w:szCs w:val="21"/>
              </w:rPr>
            </w:pPr>
            <w:r w:rsidRPr="004003C1">
              <w:rPr>
                <w:sz w:val="21"/>
                <w:szCs w:val="21"/>
              </w:rPr>
              <w:t xml:space="preserve">Risiko-, </w:t>
            </w:r>
            <w:proofErr w:type="spellStart"/>
            <w:r w:rsidRPr="004003C1">
              <w:rPr>
                <w:sz w:val="21"/>
                <w:szCs w:val="21"/>
              </w:rPr>
              <w:t>sårbarheits</w:t>
            </w:r>
            <w:proofErr w:type="spellEnd"/>
            <w:r w:rsidRPr="004003C1">
              <w:rPr>
                <w:sz w:val="21"/>
                <w:szCs w:val="21"/>
              </w:rPr>
              <w:t xml:space="preserve">- og beredskapsanalyse på </w:t>
            </w:r>
            <w:r w:rsidRPr="004003C1">
              <w:rPr>
                <w:sz w:val="21"/>
                <w:szCs w:val="21"/>
              </w:rPr>
              <w:br/>
              <w:t>transportområdet</w:t>
            </w:r>
          </w:p>
        </w:tc>
        <w:tc>
          <w:tcPr>
            <w:tcW w:w="1300" w:type="dxa"/>
            <w:tcBorders>
              <w:top w:val="nil"/>
              <w:left w:val="nil"/>
              <w:bottom w:val="nil"/>
              <w:right w:val="nil"/>
            </w:tcBorders>
            <w:tcMar>
              <w:top w:w="128" w:type="dxa"/>
              <w:left w:w="43" w:type="dxa"/>
              <w:bottom w:w="43" w:type="dxa"/>
              <w:right w:w="43" w:type="dxa"/>
            </w:tcMar>
          </w:tcPr>
          <w:p w14:paraId="4944FEE3" w14:textId="77777777" w:rsidR="00D60186" w:rsidRPr="004003C1" w:rsidRDefault="00D60186" w:rsidP="004003C1">
            <w:pPr>
              <w:jc w:val="right"/>
              <w:rPr>
                <w:sz w:val="21"/>
                <w:szCs w:val="21"/>
              </w:rPr>
            </w:pPr>
            <w:r w:rsidRPr="004003C1">
              <w:rPr>
                <w:sz w:val="21"/>
                <w:szCs w:val="21"/>
              </w:rPr>
              <w:t>Nei</w:t>
            </w:r>
          </w:p>
        </w:tc>
      </w:tr>
      <w:tr w:rsidR="00E76DC8" w:rsidRPr="00225D4D" w14:paraId="67C8232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A8221F6"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D5DC13F" w14:textId="77777777" w:rsidR="00D60186" w:rsidRPr="004003C1" w:rsidRDefault="00D60186" w:rsidP="004003C1">
            <w:pPr>
              <w:ind w:right="113"/>
              <w:jc w:val="right"/>
              <w:rPr>
                <w:sz w:val="21"/>
                <w:szCs w:val="21"/>
              </w:rPr>
            </w:pPr>
            <w:r w:rsidRPr="004003C1">
              <w:rPr>
                <w:sz w:val="21"/>
                <w:szCs w:val="21"/>
              </w:rPr>
              <w:t>636</w:t>
            </w:r>
          </w:p>
        </w:tc>
        <w:tc>
          <w:tcPr>
            <w:tcW w:w="840" w:type="dxa"/>
            <w:tcBorders>
              <w:top w:val="nil"/>
              <w:left w:val="nil"/>
              <w:bottom w:val="nil"/>
              <w:right w:val="nil"/>
            </w:tcBorders>
            <w:tcMar>
              <w:top w:w="128" w:type="dxa"/>
              <w:left w:w="43" w:type="dxa"/>
              <w:bottom w:w="43" w:type="dxa"/>
              <w:right w:w="43" w:type="dxa"/>
            </w:tcMar>
            <w:vAlign w:val="bottom"/>
          </w:tcPr>
          <w:p w14:paraId="30CB506D"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02D92477" w14:textId="77777777" w:rsidR="00D60186" w:rsidRPr="004003C1" w:rsidRDefault="00D60186" w:rsidP="00225D4D">
            <w:pPr>
              <w:rPr>
                <w:sz w:val="21"/>
                <w:szCs w:val="21"/>
              </w:rPr>
            </w:pPr>
            <w:proofErr w:type="spellStart"/>
            <w:r w:rsidRPr="004003C1">
              <w:rPr>
                <w:sz w:val="21"/>
                <w:szCs w:val="21"/>
              </w:rPr>
              <w:t>Gjere</w:t>
            </w:r>
            <w:proofErr w:type="spellEnd"/>
            <w:r w:rsidRPr="004003C1">
              <w:rPr>
                <w:sz w:val="21"/>
                <w:szCs w:val="21"/>
              </w:rPr>
              <w:t xml:space="preserve"> </w:t>
            </w:r>
            <w:proofErr w:type="spellStart"/>
            <w:r w:rsidRPr="004003C1">
              <w:rPr>
                <w:sz w:val="21"/>
                <w:szCs w:val="21"/>
              </w:rPr>
              <w:t>transportressursar</w:t>
            </w:r>
            <w:proofErr w:type="spellEnd"/>
            <w:r w:rsidRPr="004003C1">
              <w:rPr>
                <w:sz w:val="21"/>
                <w:szCs w:val="21"/>
              </w:rPr>
              <w:t xml:space="preserve"> </w:t>
            </w:r>
            <w:proofErr w:type="spellStart"/>
            <w:r w:rsidRPr="004003C1">
              <w:rPr>
                <w:sz w:val="21"/>
                <w:szCs w:val="21"/>
              </w:rPr>
              <w:t>tilgjengelege</w:t>
            </w:r>
            <w:proofErr w:type="spellEnd"/>
            <w:r w:rsidRPr="004003C1">
              <w:rPr>
                <w:sz w:val="21"/>
                <w:szCs w:val="21"/>
              </w:rPr>
              <w:t xml:space="preserve"> i krise </w:t>
            </w:r>
          </w:p>
        </w:tc>
        <w:tc>
          <w:tcPr>
            <w:tcW w:w="1300" w:type="dxa"/>
            <w:tcBorders>
              <w:top w:val="nil"/>
              <w:left w:val="nil"/>
              <w:bottom w:val="nil"/>
              <w:right w:val="nil"/>
            </w:tcBorders>
            <w:tcMar>
              <w:top w:w="128" w:type="dxa"/>
              <w:left w:w="43" w:type="dxa"/>
              <w:bottom w:w="43" w:type="dxa"/>
              <w:right w:w="43" w:type="dxa"/>
            </w:tcMar>
          </w:tcPr>
          <w:p w14:paraId="5F58ABEA" w14:textId="77777777" w:rsidR="00D60186" w:rsidRPr="004003C1" w:rsidRDefault="00D60186" w:rsidP="004003C1">
            <w:pPr>
              <w:jc w:val="right"/>
              <w:rPr>
                <w:sz w:val="21"/>
                <w:szCs w:val="21"/>
              </w:rPr>
            </w:pPr>
            <w:r w:rsidRPr="004003C1">
              <w:rPr>
                <w:sz w:val="21"/>
                <w:szCs w:val="21"/>
              </w:rPr>
              <w:t>Nei</w:t>
            </w:r>
          </w:p>
        </w:tc>
      </w:tr>
      <w:tr w:rsidR="00E76DC8" w:rsidRPr="00225D4D" w14:paraId="34213EE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3FA46CC"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337AC498" w14:textId="77777777" w:rsidR="00D60186" w:rsidRPr="004003C1" w:rsidRDefault="00D60186" w:rsidP="004003C1">
            <w:pPr>
              <w:ind w:right="113"/>
              <w:jc w:val="right"/>
              <w:rPr>
                <w:sz w:val="21"/>
                <w:szCs w:val="21"/>
              </w:rPr>
            </w:pPr>
            <w:r w:rsidRPr="004003C1">
              <w:rPr>
                <w:sz w:val="21"/>
                <w:szCs w:val="21"/>
              </w:rPr>
              <w:t>692</w:t>
            </w:r>
          </w:p>
        </w:tc>
        <w:tc>
          <w:tcPr>
            <w:tcW w:w="840" w:type="dxa"/>
            <w:tcBorders>
              <w:top w:val="nil"/>
              <w:left w:val="nil"/>
              <w:bottom w:val="nil"/>
              <w:right w:val="nil"/>
            </w:tcBorders>
            <w:tcMar>
              <w:top w:w="128" w:type="dxa"/>
              <w:left w:w="43" w:type="dxa"/>
              <w:bottom w:w="43" w:type="dxa"/>
              <w:right w:w="43" w:type="dxa"/>
            </w:tcMar>
            <w:vAlign w:val="bottom"/>
          </w:tcPr>
          <w:p w14:paraId="07D4D5D0"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0B1B30D5" w14:textId="77777777" w:rsidR="00D60186" w:rsidRPr="004003C1" w:rsidRDefault="00D60186" w:rsidP="00225D4D">
            <w:pPr>
              <w:rPr>
                <w:sz w:val="21"/>
                <w:szCs w:val="21"/>
              </w:rPr>
            </w:pPr>
            <w:r w:rsidRPr="004003C1">
              <w:rPr>
                <w:sz w:val="21"/>
                <w:szCs w:val="21"/>
              </w:rPr>
              <w:t xml:space="preserve">Kolonnekøyring for tunge </w:t>
            </w:r>
            <w:proofErr w:type="spellStart"/>
            <w:r w:rsidRPr="004003C1">
              <w:rPr>
                <w:sz w:val="21"/>
                <w:szCs w:val="21"/>
              </w:rPr>
              <w:t>køyretøy</w:t>
            </w:r>
            <w:proofErr w:type="spellEnd"/>
            <w:r w:rsidRPr="004003C1">
              <w:rPr>
                <w:sz w:val="21"/>
                <w:szCs w:val="21"/>
              </w:rPr>
              <w:t xml:space="preserve"> på E134 over Haukelifjell</w:t>
            </w:r>
          </w:p>
        </w:tc>
        <w:tc>
          <w:tcPr>
            <w:tcW w:w="1300" w:type="dxa"/>
            <w:tcBorders>
              <w:top w:val="nil"/>
              <w:left w:val="nil"/>
              <w:bottom w:val="nil"/>
              <w:right w:val="nil"/>
            </w:tcBorders>
            <w:tcMar>
              <w:top w:w="128" w:type="dxa"/>
              <w:left w:w="43" w:type="dxa"/>
              <w:bottom w:w="43" w:type="dxa"/>
              <w:right w:w="43" w:type="dxa"/>
            </w:tcMar>
          </w:tcPr>
          <w:p w14:paraId="2D2D0B8F" w14:textId="77777777" w:rsidR="00D60186" w:rsidRPr="004003C1" w:rsidRDefault="00D60186" w:rsidP="004003C1">
            <w:pPr>
              <w:jc w:val="right"/>
              <w:rPr>
                <w:sz w:val="21"/>
                <w:szCs w:val="21"/>
              </w:rPr>
            </w:pPr>
            <w:r w:rsidRPr="004003C1">
              <w:rPr>
                <w:sz w:val="21"/>
                <w:szCs w:val="21"/>
              </w:rPr>
              <w:t>Nei</w:t>
            </w:r>
          </w:p>
        </w:tc>
      </w:tr>
      <w:tr w:rsidR="00E76DC8" w:rsidRPr="00225D4D" w14:paraId="100641C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A77B2A1"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D0CD4F4" w14:textId="77777777" w:rsidR="00D60186" w:rsidRPr="004003C1" w:rsidRDefault="00D60186" w:rsidP="004003C1">
            <w:pPr>
              <w:ind w:right="113"/>
              <w:jc w:val="right"/>
              <w:rPr>
                <w:sz w:val="21"/>
                <w:szCs w:val="21"/>
              </w:rPr>
            </w:pPr>
            <w:r w:rsidRPr="004003C1">
              <w:rPr>
                <w:sz w:val="21"/>
                <w:szCs w:val="21"/>
              </w:rPr>
              <w:t>693</w:t>
            </w:r>
          </w:p>
        </w:tc>
        <w:tc>
          <w:tcPr>
            <w:tcW w:w="840" w:type="dxa"/>
            <w:tcBorders>
              <w:top w:val="nil"/>
              <w:left w:val="nil"/>
              <w:bottom w:val="nil"/>
              <w:right w:val="nil"/>
            </w:tcBorders>
            <w:tcMar>
              <w:top w:w="128" w:type="dxa"/>
              <w:left w:w="43" w:type="dxa"/>
              <w:bottom w:w="43" w:type="dxa"/>
              <w:right w:w="43" w:type="dxa"/>
            </w:tcMar>
            <w:vAlign w:val="bottom"/>
          </w:tcPr>
          <w:p w14:paraId="50528841"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094209DF" w14:textId="77777777" w:rsidR="00D60186" w:rsidRPr="004003C1" w:rsidRDefault="00D60186" w:rsidP="00225D4D">
            <w:pPr>
              <w:rPr>
                <w:sz w:val="21"/>
                <w:szCs w:val="21"/>
              </w:rPr>
            </w:pPr>
            <w:proofErr w:type="spellStart"/>
            <w:r w:rsidRPr="004003C1">
              <w:rPr>
                <w:sz w:val="21"/>
                <w:szCs w:val="21"/>
              </w:rPr>
              <w:t>Kartleggje</w:t>
            </w:r>
            <w:proofErr w:type="spellEnd"/>
            <w:r w:rsidRPr="004003C1">
              <w:rPr>
                <w:sz w:val="21"/>
                <w:szCs w:val="21"/>
              </w:rPr>
              <w:t xml:space="preserve"> det </w:t>
            </w:r>
            <w:proofErr w:type="spellStart"/>
            <w:r w:rsidRPr="004003C1">
              <w:rPr>
                <w:sz w:val="21"/>
                <w:szCs w:val="21"/>
              </w:rPr>
              <w:t>dårlegaste</w:t>
            </w:r>
            <w:proofErr w:type="spellEnd"/>
            <w:r w:rsidRPr="004003C1">
              <w:rPr>
                <w:sz w:val="21"/>
                <w:szCs w:val="21"/>
              </w:rPr>
              <w:t xml:space="preserve"> </w:t>
            </w:r>
            <w:proofErr w:type="spellStart"/>
            <w:r w:rsidRPr="004003C1">
              <w:rPr>
                <w:sz w:val="21"/>
                <w:szCs w:val="21"/>
              </w:rPr>
              <w:t>offentlege</w:t>
            </w:r>
            <w:proofErr w:type="spellEnd"/>
            <w:r w:rsidRPr="004003C1">
              <w:rPr>
                <w:sz w:val="21"/>
                <w:szCs w:val="21"/>
              </w:rPr>
              <w:t xml:space="preserve"> vegnettet og foreslå tiltak</w:t>
            </w:r>
          </w:p>
        </w:tc>
        <w:tc>
          <w:tcPr>
            <w:tcW w:w="1300" w:type="dxa"/>
            <w:tcBorders>
              <w:top w:val="nil"/>
              <w:left w:val="nil"/>
              <w:bottom w:val="nil"/>
              <w:right w:val="nil"/>
            </w:tcBorders>
            <w:tcMar>
              <w:top w:w="128" w:type="dxa"/>
              <w:left w:w="43" w:type="dxa"/>
              <w:bottom w:w="43" w:type="dxa"/>
              <w:right w:w="43" w:type="dxa"/>
            </w:tcMar>
          </w:tcPr>
          <w:p w14:paraId="458164D6" w14:textId="77777777" w:rsidR="00D60186" w:rsidRPr="004003C1" w:rsidRDefault="00D60186" w:rsidP="004003C1">
            <w:pPr>
              <w:jc w:val="right"/>
              <w:rPr>
                <w:sz w:val="21"/>
                <w:szCs w:val="21"/>
              </w:rPr>
            </w:pPr>
            <w:r w:rsidRPr="004003C1">
              <w:rPr>
                <w:sz w:val="21"/>
                <w:szCs w:val="21"/>
              </w:rPr>
              <w:t>Nei</w:t>
            </w:r>
          </w:p>
        </w:tc>
      </w:tr>
      <w:tr w:rsidR="00E76DC8" w:rsidRPr="00225D4D" w14:paraId="05DB1248"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B15650D"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ED278B1" w14:textId="77777777" w:rsidR="00D60186" w:rsidRPr="004003C1" w:rsidRDefault="00D60186" w:rsidP="004003C1">
            <w:pPr>
              <w:ind w:right="113"/>
              <w:jc w:val="right"/>
              <w:rPr>
                <w:sz w:val="21"/>
                <w:szCs w:val="21"/>
              </w:rPr>
            </w:pPr>
            <w:r w:rsidRPr="004003C1">
              <w:rPr>
                <w:sz w:val="21"/>
                <w:szCs w:val="21"/>
              </w:rPr>
              <w:t>694</w:t>
            </w:r>
          </w:p>
        </w:tc>
        <w:tc>
          <w:tcPr>
            <w:tcW w:w="840" w:type="dxa"/>
            <w:tcBorders>
              <w:top w:val="nil"/>
              <w:left w:val="nil"/>
              <w:bottom w:val="nil"/>
              <w:right w:val="nil"/>
            </w:tcBorders>
            <w:tcMar>
              <w:top w:w="128" w:type="dxa"/>
              <w:left w:w="43" w:type="dxa"/>
              <w:bottom w:w="43" w:type="dxa"/>
              <w:right w:w="43" w:type="dxa"/>
            </w:tcMar>
            <w:vAlign w:val="bottom"/>
          </w:tcPr>
          <w:p w14:paraId="4B6CF764"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2E5B900B" w14:textId="77777777" w:rsidR="00D60186" w:rsidRPr="004003C1" w:rsidRDefault="00D60186" w:rsidP="00225D4D">
            <w:pPr>
              <w:rPr>
                <w:sz w:val="21"/>
                <w:szCs w:val="21"/>
              </w:rPr>
            </w:pPr>
            <w:r w:rsidRPr="004003C1">
              <w:rPr>
                <w:sz w:val="21"/>
                <w:szCs w:val="21"/>
              </w:rPr>
              <w:t xml:space="preserve">Redusere </w:t>
            </w:r>
            <w:proofErr w:type="spellStart"/>
            <w:r w:rsidRPr="004003C1">
              <w:rPr>
                <w:sz w:val="21"/>
                <w:szCs w:val="21"/>
              </w:rPr>
              <w:t>vedlikehaldsetterslepet</w:t>
            </w:r>
            <w:proofErr w:type="spellEnd"/>
            <w:r w:rsidRPr="004003C1">
              <w:rPr>
                <w:sz w:val="21"/>
                <w:szCs w:val="21"/>
              </w:rPr>
              <w:t xml:space="preserve"> på </w:t>
            </w:r>
            <w:proofErr w:type="spellStart"/>
            <w:r w:rsidRPr="004003C1">
              <w:rPr>
                <w:sz w:val="21"/>
                <w:szCs w:val="21"/>
              </w:rPr>
              <w:t>fylkesvegane</w:t>
            </w:r>
            <w:proofErr w:type="spellEnd"/>
          </w:p>
        </w:tc>
        <w:tc>
          <w:tcPr>
            <w:tcW w:w="1300" w:type="dxa"/>
            <w:tcBorders>
              <w:top w:val="nil"/>
              <w:left w:val="nil"/>
              <w:bottom w:val="nil"/>
              <w:right w:val="nil"/>
            </w:tcBorders>
            <w:tcMar>
              <w:top w:w="128" w:type="dxa"/>
              <w:left w:w="43" w:type="dxa"/>
              <w:bottom w:w="43" w:type="dxa"/>
              <w:right w:w="43" w:type="dxa"/>
            </w:tcMar>
          </w:tcPr>
          <w:p w14:paraId="09B1D23D" w14:textId="77777777" w:rsidR="00D60186" w:rsidRPr="004003C1" w:rsidRDefault="00D60186" w:rsidP="004003C1">
            <w:pPr>
              <w:jc w:val="right"/>
              <w:rPr>
                <w:sz w:val="21"/>
                <w:szCs w:val="21"/>
              </w:rPr>
            </w:pPr>
            <w:r w:rsidRPr="004003C1">
              <w:rPr>
                <w:sz w:val="21"/>
                <w:szCs w:val="21"/>
              </w:rPr>
              <w:t>Ja</w:t>
            </w:r>
          </w:p>
        </w:tc>
      </w:tr>
      <w:tr w:rsidR="00E76DC8" w:rsidRPr="00225D4D" w14:paraId="179EE181"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058F666"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FF18145" w14:textId="77777777" w:rsidR="00D60186" w:rsidRPr="004003C1" w:rsidRDefault="00D60186" w:rsidP="004003C1">
            <w:pPr>
              <w:ind w:right="113"/>
              <w:jc w:val="right"/>
              <w:rPr>
                <w:sz w:val="21"/>
                <w:szCs w:val="21"/>
              </w:rPr>
            </w:pPr>
            <w:r w:rsidRPr="004003C1">
              <w:rPr>
                <w:sz w:val="21"/>
                <w:szCs w:val="21"/>
              </w:rPr>
              <w:t>707</w:t>
            </w:r>
          </w:p>
        </w:tc>
        <w:tc>
          <w:tcPr>
            <w:tcW w:w="840" w:type="dxa"/>
            <w:tcBorders>
              <w:top w:val="nil"/>
              <w:left w:val="nil"/>
              <w:bottom w:val="nil"/>
              <w:right w:val="nil"/>
            </w:tcBorders>
            <w:tcMar>
              <w:top w:w="128" w:type="dxa"/>
              <w:left w:w="43" w:type="dxa"/>
              <w:bottom w:w="43" w:type="dxa"/>
              <w:right w:w="43" w:type="dxa"/>
            </w:tcMar>
            <w:vAlign w:val="bottom"/>
          </w:tcPr>
          <w:p w14:paraId="5EF90237"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1D6E322" w14:textId="77777777" w:rsidR="00D60186" w:rsidRPr="004003C1" w:rsidRDefault="00D60186" w:rsidP="00225D4D">
            <w:pPr>
              <w:rPr>
                <w:sz w:val="21"/>
                <w:szCs w:val="21"/>
              </w:rPr>
            </w:pPr>
            <w:r w:rsidRPr="004003C1">
              <w:rPr>
                <w:sz w:val="21"/>
                <w:szCs w:val="21"/>
              </w:rPr>
              <w:t xml:space="preserve">Automatisere refusjon for periode- og enkeltbillett på jernbanen </w:t>
            </w:r>
          </w:p>
        </w:tc>
        <w:tc>
          <w:tcPr>
            <w:tcW w:w="1300" w:type="dxa"/>
            <w:tcBorders>
              <w:top w:val="nil"/>
              <w:left w:val="nil"/>
              <w:bottom w:val="nil"/>
              <w:right w:val="nil"/>
            </w:tcBorders>
            <w:tcMar>
              <w:top w:w="128" w:type="dxa"/>
              <w:left w:w="43" w:type="dxa"/>
              <w:bottom w:w="43" w:type="dxa"/>
              <w:right w:w="43" w:type="dxa"/>
            </w:tcMar>
          </w:tcPr>
          <w:p w14:paraId="7BD43915" w14:textId="77777777" w:rsidR="00D60186" w:rsidRPr="004003C1" w:rsidRDefault="00D60186" w:rsidP="004003C1">
            <w:pPr>
              <w:jc w:val="right"/>
              <w:rPr>
                <w:sz w:val="21"/>
                <w:szCs w:val="21"/>
              </w:rPr>
            </w:pPr>
            <w:r w:rsidRPr="004003C1">
              <w:rPr>
                <w:sz w:val="21"/>
                <w:szCs w:val="21"/>
              </w:rPr>
              <w:t>Nei</w:t>
            </w:r>
          </w:p>
        </w:tc>
      </w:tr>
      <w:tr w:rsidR="00E76DC8" w:rsidRPr="00225D4D" w14:paraId="3149AEAF"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53DC38A"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D836F61" w14:textId="77777777" w:rsidR="00D60186" w:rsidRPr="004003C1" w:rsidRDefault="00D60186" w:rsidP="004003C1">
            <w:pPr>
              <w:ind w:right="113"/>
              <w:jc w:val="right"/>
              <w:rPr>
                <w:sz w:val="21"/>
                <w:szCs w:val="21"/>
              </w:rPr>
            </w:pPr>
            <w:r w:rsidRPr="004003C1">
              <w:rPr>
                <w:sz w:val="21"/>
                <w:szCs w:val="21"/>
              </w:rPr>
              <w:t>708</w:t>
            </w:r>
          </w:p>
        </w:tc>
        <w:tc>
          <w:tcPr>
            <w:tcW w:w="840" w:type="dxa"/>
            <w:tcBorders>
              <w:top w:val="nil"/>
              <w:left w:val="nil"/>
              <w:bottom w:val="nil"/>
              <w:right w:val="nil"/>
            </w:tcBorders>
            <w:tcMar>
              <w:top w:w="128" w:type="dxa"/>
              <w:left w:w="43" w:type="dxa"/>
              <w:bottom w:w="43" w:type="dxa"/>
              <w:right w:w="43" w:type="dxa"/>
            </w:tcMar>
            <w:vAlign w:val="bottom"/>
          </w:tcPr>
          <w:p w14:paraId="6654CBCE"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5E1B8982" w14:textId="77777777" w:rsidR="00D60186" w:rsidRPr="004003C1" w:rsidRDefault="00D60186" w:rsidP="00225D4D">
            <w:pPr>
              <w:rPr>
                <w:sz w:val="21"/>
                <w:szCs w:val="21"/>
              </w:rPr>
            </w:pPr>
            <w:r w:rsidRPr="004003C1">
              <w:rPr>
                <w:sz w:val="21"/>
                <w:szCs w:val="21"/>
              </w:rPr>
              <w:t xml:space="preserve">Gå gjennom Bane NORs </w:t>
            </w:r>
            <w:proofErr w:type="spellStart"/>
            <w:r w:rsidRPr="004003C1">
              <w:rPr>
                <w:sz w:val="21"/>
                <w:szCs w:val="21"/>
              </w:rPr>
              <w:t>oppgåver</w:t>
            </w:r>
            <w:proofErr w:type="spellEnd"/>
          </w:p>
        </w:tc>
        <w:tc>
          <w:tcPr>
            <w:tcW w:w="1300" w:type="dxa"/>
            <w:tcBorders>
              <w:top w:val="nil"/>
              <w:left w:val="nil"/>
              <w:bottom w:val="nil"/>
              <w:right w:val="nil"/>
            </w:tcBorders>
            <w:tcMar>
              <w:top w:w="128" w:type="dxa"/>
              <w:left w:w="43" w:type="dxa"/>
              <w:bottom w:w="43" w:type="dxa"/>
              <w:right w:w="43" w:type="dxa"/>
            </w:tcMar>
          </w:tcPr>
          <w:p w14:paraId="61771ABD" w14:textId="77777777" w:rsidR="00D60186" w:rsidRPr="004003C1" w:rsidRDefault="00D60186" w:rsidP="004003C1">
            <w:pPr>
              <w:jc w:val="right"/>
              <w:rPr>
                <w:sz w:val="21"/>
                <w:szCs w:val="21"/>
              </w:rPr>
            </w:pPr>
            <w:r w:rsidRPr="004003C1">
              <w:rPr>
                <w:sz w:val="21"/>
                <w:szCs w:val="21"/>
              </w:rPr>
              <w:t>Nei</w:t>
            </w:r>
          </w:p>
        </w:tc>
      </w:tr>
      <w:tr w:rsidR="00E76DC8" w:rsidRPr="00225D4D" w14:paraId="0219F451"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2BF4A3C"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F8FD7C2" w14:textId="77777777" w:rsidR="00D60186" w:rsidRPr="004003C1" w:rsidRDefault="00D60186" w:rsidP="004003C1">
            <w:pPr>
              <w:ind w:right="113"/>
              <w:jc w:val="right"/>
              <w:rPr>
                <w:sz w:val="21"/>
                <w:szCs w:val="21"/>
              </w:rPr>
            </w:pPr>
            <w:r w:rsidRPr="004003C1">
              <w:rPr>
                <w:sz w:val="21"/>
                <w:szCs w:val="21"/>
              </w:rPr>
              <w:t>709</w:t>
            </w:r>
          </w:p>
        </w:tc>
        <w:tc>
          <w:tcPr>
            <w:tcW w:w="840" w:type="dxa"/>
            <w:tcBorders>
              <w:top w:val="nil"/>
              <w:left w:val="nil"/>
              <w:bottom w:val="nil"/>
              <w:right w:val="nil"/>
            </w:tcBorders>
            <w:tcMar>
              <w:top w:w="128" w:type="dxa"/>
              <w:left w:w="43" w:type="dxa"/>
              <w:bottom w:w="43" w:type="dxa"/>
              <w:right w:w="43" w:type="dxa"/>
            </w:tcMar>
            <w:vAlign w:val="bottom"/>
          </w:tcPr>
          <w:p w14:paraId="3C54FFF9"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23ECCCC6" w14:textId="77777777" w:rsidR="00D60186" w:rsidRPr="004003C1" w:rsidRDefault="00D60186" w:rsidP="00225D4D">
            <w:pPr>
              <w:rPr>
                <w:sz w:val="21"/>
                <w:szCs w:val="21"/>
              </w:rPr>
            </w:pPr>
            <w:r w:rsidRPr="004003C1">
              <w:rPr>
                <w:sz w:val="21"/>
                <w:szCs w:val="21"/>
              </w:rPr>
              <w:t xml:space="preserve">Beredskapsanalyse av jernbanesektoren </w:t>
            </w:r>
          </w:p>
        </w:tc>
        <w:tc>
          <w:tcPr>
            <w:tcW w:w="1300" w:type="dxa"/>
            <w:tcBorders>
              <w:top w:val="nil"/>
              <w:left w:val="nil"/>
              <w:bottom w:val="nil"/>
              <w:right w:val="nil"/>
            </w:tcBorders>
            <w:tcMar>
              <w:top w:w="128" w:type="dxa"/>
              <w:left w:w="43" w:type="dxa"/>
              <w:bottom w:w="43" w:type="dxa"/>
              <w:right w:w="43" w:type="dxa"/>
            </w:tcMar>
          </w:tcPr>
          <w:p w14:paraId="4E788F30" w14:textId="77777777" w:rsidR="00D60186" w:rsidRPr="004003C1" w:rsidRDefault="00D60186" w:rsidP="004003C1">
            <w:pPr>
              <w:jc w:val="right"/>
              <w:rPr>
                <w:sz w:val="21"/>
                <w:szCs w:val="21"/>
              </w:rPr>
            </w:pPr>
            <w:r w:rsidRPr="004003C1">
              <w:rPr>
                <w:sz w:val="21"/>
                <w:szCs w:val="21"/>
              </w:rPr>
              <w:t>Nei</w:t>
            </w:r>
          </w:p>
        </w:tc>
      </w:tr>
      <w:tr w:rsidR="00E76DC8" w:rsidRPr="00225D4D" w14:paraId="0D22BAD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8BE6CAA"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C5B9A29" w14:textId="77777777" w:rsidR="00D60186" w:rsidRPr="004003C1" w:rsidRDefault="00D60186" w:rsidP="004003C1">
            <w:pPr>
              <w:ind w:right="113"/>
              <w:jc w:val="right"/>
              <w:rPr>
                <w:sz w:val="21"/>
                <w:szCs w:val="21"/>
              </w:rPr>
            </w:pPr>
            <w:r w:rsidRPr="004003C1">
              <w:rPr>
                <w:sz w:val="21"/>
                <w:szCs w:val="21"/>
              </w:rPr>
              <w:t>710</w:t>
            </w:r>
          </w:p>
        </w:tc>
        <w:tc>
          <w:tcPr>
            <w:tcW w:w="840" w:type="dxa"/>
            <w:tcBorders>
              <w:top w:val="nil"/>
              <w:left w:val="nil"/>
              <w:bottom w:val="nil"/>
              <w:right w:val="nil"/>
            </w:tcBorders>
            <w:tcMar>
              <w:top w:w="128" w:type="dxa"/>
              <w:left w:w="43" w:type="dxa"/>
              <w:bottom w:w="43" w:type="dxa"/>
              <w:right w:w="43" w:type="dxa"/>
            </w:tcMar>
            <w:vAlign w:val="bottom"/>
          </w:tcPr>
          <w:p w14:paraId="61361705"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731E0C08" w14:textId="77777777" w:rsidR="00D60186" w:rsidRPr="004003C1" w:rsidRDefault="00D60186" w:rsidP="00225D4D">
            <w:pPr>
              <w:rPr>
                <w:sz w:val="21"/>
                <w:szCs w:val="21"/>
              </w:rPr>
            </w:pPr>
            <w:r w:rsidRPr="004003C1">
              <w:rPr>
                <w:sz w:val="21"/>
                <w:szCs w:val="21"/>
              </w:rPr>
              <w:t>Plan for togmateriellberedskap</w:t>
            </w:r>
          </w:p>
        </w:tc>
        <w:tc>
          <w:tcPr>
            <w:tcW w:w="1300" w:type="dxa"/>
            <w:tcBorders>
              <w:top w:val="nil"/>
              <w:left w:val="nil"/>
              <w:bottom w:val="nil"/>
              <w:right w:val="nil"/>
            </w:tcBorders>
            <w:tcMar>
              <w:top w:w="128" w:type="dxa"/>
              <w:left w:w="43" w:type="dxa"/>
              <w:bottom w:w="43" w:type="dxa"/>
              <w:right w:w="43" w:type="dxa"/>
            </w:tcMar>
          </w:tcPr>
          <w:p w14:paraId="62C07A5A" w14:textId="77777777" w:rsidR="00D60186" w:rsidRPr="004003C1" w:rsidRDefault="00D60186" w:rsidP="004003C1">
            <w:pPr>
              <w:jc w:val="right"/>
              <w:rPr>
                <w:sz w:val="21"/>
                <w:szCs w:val="21"/>
              </w:rPr>
            </w:pPr>
            <w:r w:rsidRPr="004003C1">
              <w:rPr>
                <w:sz w:val="21"/>
                <w:szCs w:val="21"/>
              </w:rPr>
              <w:t>Ja</w:t>
            </w:r>
          </w:p>
        </w:tc>
      </w:tr>
      <w:tr w:rsidR="00E76DC8" w:rsidRPr="00225D4D" w14:paraId="2818F350" w14:textId="77777777" w:rsidTr="004003C1">
        <w:trPr>
          <w:trHeight w:val="20"/>
        </w:trPr>
        <w:tc>
          <w:tcPr>
            <w:tcW w:w="1400" w:type="dxa"/>
            <w:tcBorders>
              <w:top w:val="nil"/>
              <w:left w:val="nil"/>
              <w:right w:val="nil"/>
            </w:tcBorders>
            <w:tcMar>
              <w:top w:w="128" w:type="dxa"/>
              <w:left w:w="43" w:type="dxa"/>
              <w:bottom w:w="43" w:type="dxa"/>
              <w:right w:w="43" w:type="dxa"/>
            </w:tcMar>
          </w:tcPr>
          <w:p w14:paraId="0865C1E4" w14:textId="77777777" w:rsidR="00D60186" w:rsidRPr="004003C1" w:rsidRDefault="00D60186" w:rsidP="00225D4D">
            <w:pPr>
              <w:rPr>
                <w:sz w:val="21"/>
                <w:szCs w:val="21"/>
              </w:rPr>
            </w:pPr>
            <w:r w:rsidRPr="004003C1">
              <w:rPr>
                <w:sz w:val="21"/>
                <w:szCs w:val="21"/>
              </w:rPr>
              <w:t>2024–2025</w:t>
            </w:r>
          </w:p>
        </w:tc>
        <w:tc>
          <w:tcPr>
            <w:tcW w:w="1120" w:type="dxa"/>
            <w:tcBorders>
              <w:top w:val="nil"/>
              <w:left w:val="nil"/>
              <w:right w:val="nil"/>
            </w:tcBorders>
            <w:tcMar>
              <w:top w:w="128" w:type="dxa"/>
              <w:left w:w="43" w:type="dxa"/>
              <w:bottom w:w="43" w:type="dxa"/>
              <w:right w:w="43" w:type="dxa"/>
            </w:tcMar>
          </w:tcPr>
          <w:p w14:paraId="42CBF2C3" w14:textId="77777777" w:rsidR="00D60186" w:rsidRPr="004003C1" w:rsidRDefault="00D60186" w:rsidP="004003C1">
            <w:pPr>
              <w:ind w:right="113"/>
              <w:jc w:val="right"/>
              <w:rPr>
                <w:sz w:val="21"/>
                <w:szCs w:val="21"/>
              </w:rPr>
            </w:pPr>
            <w:r w:rsidRPr="004003C1">
              <w:rPr>
                <w:sz w:val="21"/>
                <w:szCs w:val="21"/>
              </w:rPr>
              <w:t>841</w:t>
            </w:r>
          </w:p>
        </w:tc>
        <w:tc>
          <w:tcPr>
            <w:tcW w:w="840" w:type="dxa"/>
            <w:tcBorders>
              <w:top w:val="nil"/>
              <w:left w:val="nil"/>
              <w:right w:val="nil"/>
            </w:tcBorders>
            <w:tcMar>
              <w:top w:w="128" w:type="dxa"/>
              <w:left w:w="43" w:type="dxa"/>
              <w:bottom w:w="43" w:type="dxa"/>
              <w:right w:w="43" w:type="dxa"/>
            </w:tcMar>
            <w:vAlign w:val="bottom"/>
          </w:tcPr>
          <w:p w14:paraId="252CFFC1" w14:textId="77777777" w:rsidR="00D60186" w:rsidRPr="004003C1" w:rsidRDefault="00D60186" w:rsidP="004003C1">
            <w:pPr>
              <w:ind w:right="113"/>
              <w:jc w:val="right"/>
              <w:rPr>
                <w:sz w:val="21"/>
                <w:szCs w:val="21"/>
              </w:rPr>
            </w:pPr>
          </w:p>
        </w:tc>
        <w:tc>
          <w:tcPr>
            <w:tcW w:w="4860" w:type="dxa"/>
            <w:tcBorders>
              <w:top w:val="nil"/>
              <w:left w:val="nil"/>
              <w:right w:val="nil"/>
            </w:tcBorders>
            <w:tcMar>
              <w:top w:w="128" w:type="dxa"/>
              <w:left w:w="43" w:type="dxa"/>
              <w:bottom w:w="43" w:type="dxa"/>
              <w:right w:w="43" w:type="dxa"/>
            </w:tcMar>
          </w:tcPr>
          <w:p w14:paraId="4A5C4B95" w14:textId="77777777" w:rsidR="00D60186" w:rsidRPr="004003C1" w:rsidRDefault="00D60186" w:rsidP="00225D4D">
            <w:pPr>
              <w:rPr>
                <w:sz w:val="21"/>
                <w:szCs w:val="21"/>
              </w:rPr>
            </w:pPr>
            <w:r w:rsidRPr="004003C1">
              <w:rPr>
                <w:sz w:val="21"/>
                <w:szCs w:val="21"/>
              </w:rPr>
              <w:t xml:space="preserve">Testarenaer og luftrom til å teste ubemanna luftfart </w:t>
            </w:r>
            <w:proofErr w:type="spellStart"/>
            <w:r w:rsidRPr="004003C1">
              <w:rPr>
                <w:sz w:val="21"/>
                <w:szCs w:val="21"/>
              </w:rPr>
              <w:t>utanfor</w:t>
            </w:r>
            <w:proofErr w:type="spellEnd"/>
            <w:r w:rsidRPr="004003C1">
              <w:rPr>
                <w:sz w:val="21"/>
                <w:szCs w:val="21"/>
              </w:rPr>
              <w:t xml:space="preserve"> synsrekkevidde</w:t>
            </w:r>
          </w:p>
        </w:tc>
        <w:tc>
          <w:tcPr>
            <w:tcW w:w="1300" w:type="dxa"/>
            <w:tcBorders>
              <w:top w:val="nil"/>
              <w:left w:val="nil"/>
              <w:right w:val="nil"/>
            </w:tcBorders>
            <w:tcMar>
              <w:top w:w="128" w:type="dxa"/>
              <w:left w:w="43" w:type="dxa"/>
              <w:bottom w:w="43" w:type="dxa"/>
              <w:right w:w="43" w:type="dxa"/>
            </w:tcMar>
          </w:tcPr>
          <w:p w14:paraId="51CC5D02" w14:textId="77777777" w:rsidR="00D60186" w:rsidRPr="004003C1" w:rsidRDefault="00D60186" w:rsidP="004003C1">
            <w:pPr>
              <w:jc w:val="right"/>
              <w:rPr>
                <w:sz w:val="21"/>
                <w:szCs w:val="21"/>
              </w:rPr>
            </w:pPr>
            <w:r w:rsidRPr="004003C1">
              <w:rPr>
                <w:sz w:val="21"/>
                <w:szCs w:val="21"/>
              </w:rPr>
              <w:t>Nei</w:t>
            </w:r>
          </w:p>
        </w:tc>
      </w:tr>
      <w:tr w:rsidR="00E76DC8" w:rsidRPr="00225D4D" w14:paraId="654DA500"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03B18E1"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56366141" w14:textId="77777777" w:rsidR="00D60186" w:rsidRPr="004003C1" w:rsidRDefault="00D60186" w:rsidP="004003C1">
            <w:pPr>
              <w:ind w:right="113"/>
              <w:jc w:val="right"/>
              <w:rPr>
                <w:sz w:val="21"/>
                <w:szCs w:val="21"/>
              </w:rPr>
            </w:pPr>
            <w:r w:rsidRPr="004003C1">
              <w:rPr>
                <w:sz w:val="21"/>
                <w:szCs w:val="21"/>
              </w:rPr>
              <w:t>887</w:t>
            </w:r>
          </w:p>
        </w:tc>
        <w:tc>
          <w:tcPr>
            <w:tcW w:w="840" w:type="dxa"/>
            <w:tcBorders>
              <w:top w:val="nil"/>
              <w:left w:val="nil"/>
              <w:bottom w:val="nil"/>
              <w:right w:val="nil"/>
            </w:tcBorders>
            <w:tcMar>
              <w:top w:w="128" w:type="dxa"/>
              <w:left w:w="43" w:type="dxa"/>
              <w:bottom w:w="43" w:type="dxa"/>
              <w:right w:w="43" w:type="dxa"/>
            </w:tcMar>
            <w:vAlign w:val="bottom"/>
          </w:tcPr>
          <w:p w14:paraId="7F3DDB91"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031D4B88" w14:textId="77777777" w:rsidR="00D60186" w:rsidRPr="004003C1" w:rsidRDefault="00D60186" w:rsidP="00225D4D">
            <w:pPr>
              <w:rPr>
                <w:sz w:val="21"/>
                <w:szCs w:val="21"/>
              </w:rPr>
            </w:pPr>
            <w:r w:rsidRPr="004003C1">
              <w:rPr>
                <w:sz w:val="21"/>
                <w:szCs w:val="21"/>
              </w:rPr>
              <w:t xml:space="preserve">Godkjenne ekstra </w:t>
            </w:r>
            <w:proofErr w:type="spellStart"/>
            <w:r w:rsidRPr="004003C1">
              <w:rPr>
                <w:sz w:val="21"/>
                <w:szCs w:val="21"/>
              </w:rPr>
              <w:t>lengd</w:t>
            </w:r>
            <w:proofErr w:type="spellEnd"/>
            <w:r w:rsidRPr="004003C1">
              <w:rPr>
                <w:sz w:val="21"/>
                <w:szCs w:val="21"/>
              </w:rPr>
              <w:t xml:space="preserve"> på vogntog òg for </w:t>
            </w:r>
            <w:r w:rsidRPr="004003C1">
              <w:rPr>
                <w:sz w:val="21"/>
                <w:szCs w:val="21"/>
              </w:rPr>
              <w:br/>
              <w:t>modul- og tømmervogntog</w:t>
            </w:r>
          </w:p>
        </w:tc>
        <w:tc>
          <w:tcPr>
            <w:tcW w:w="1300" w:type="dxa"/>
            <w:tcBorders>
              <w:top w:val="nil"/>
              <w:left w:val="nil"/>
              <w:bottom w:val="nil"/>
              <w:right w:val="nil"/>
            </w:tcBorders>
            <w:tcMar>
              <w:top w:w="128" w:type="dxa"/>
              <w:left w:w="43" w:type="dxa"/>
              <w:bottom w:w="43" w:type="dxa"/>
              <w:right w:w="43" w:type="dxa"/>
            </w:tcMar>
          </w:tcPr>
          <w:p w14:paraId="15E74BA5" w14:textId="77777777" w:rsidR="00D60186" w:rsidRPr="004003C1" w:rsidRDefault="00D60186" w:rsidP="004003C1">
            <w:pPr>
              <w:jc w:val="right"/>
              <w:rPr>
                <w:sz w:val="21"/>
                <w:szCs w:val="21"/>
              </w:rPr>
            </w:pPr>
            <w:r w:rsidRPr="004003C1">
              <w:rPr>
                <w:sz w:val="21"/>
                <w:szCs w:val="21"/>
              </w:rPr>
              <w:t>Ja</w:t>
            </w:r>
          </w:p>
        </w:tc>
      </w:tr>
      <w:tr w:rsidR="00E76DC8" w:rsidRPr="00225D4D" w14:paraId="40FF0BE2" w14:textId="77777777" w:rsidTr="004003C1">
        <w:trPr>
          <w:trHeight w:val="20"/>
        </w:trPr>
        <w:tc>
          <w:tcPr>
            <w:tcW w:w="1400" w:type="dxa"/>
            <w:tcBorders>
              <w:left w:val="nil"/>
              <w:bottom w:val="nil"/>
              <w:right w:val="nil"/>
            </w:tcBorders>
            <w:tcMar>
              <w:top w:w="128" w:type="dxa"/>
              <w:left w:w="43" w:type="dxa"/>
              <w:bottom w:w="43" w:type="dxa"/>
              <w:right w:w="43" w:type="dxa"/>
            </w:tcMar>
          </w:tcPr>
          <w:p w14:paraId="6EBFDA59" w14:textId="77777777" w:rsidR="00D60186" w:rsidRPr="004003C1" w:rsidRDefault="00D60186" w:rsidP="00225D4D">
            <w:pPr>
              <w:rPr>
                <w:sz w:val="21"/>
                <w:szCs w:val="21"/>
              </w:rPr>
            </w:pPr>
            <w:r w:rsidRPr="004003C1">
              <w:rPr>
                <w:sz w:val="21"/>
                <w:szCs w:val="21"/>
              </w:rPr>
              <w:t>2024–2025</w:t>
            </w:r>
          </w:p>
        </w:tc>
        <w:tc>
          <w:tcPr>
            <w:tcW w:w="1120" w:type="dxa"/>
            <w:tcBorders>
              <w:left w:val="nil"/>
              <w:bottom w:val="nil"/>
              <w:right w:val="nil"/>
            </w:tcBorders>
            <w:tcMar>
              <w:top w:w="128" w:type="dxa"/>
              <w:left w:w="43" w:type="dxa"/>
              <w:bottom w:w="43" w:type="dxa"/>
              <w:right w:w="43" w:type="dxa"/>
            </w:tcMar>
          </w:tcPr>
          <w:p w14:paraId="51287102" w14:textId="77777777" w:rsidR="00D60186" w:rsidRPr="004003C1" w:rsidRDefault="00D60186" w:rsidP="004003C1">
            <w:pPr>
              <w:ind w:right="113"/>
              <w:jc w:val="right"/>
              <w:rPr>
                <w:sz w:val="21"/>
                <w:szCs w:val="21"/>
              </w:rPr>
            </w:pPr>
            <w:r w:rsidRPr="004003C1">
              <w:rPr>
                <w:sz w:val="21"/>
                <w:szCs w:val="21"/>
              </w:rPr>
              <w:t>888</w:t>
            </w:r>
          </w:p>
        </w:tc>
        <w:tc>
          <w:tcPr>
            <w:tcW w:w="840" w:type="dxa"/>
            <w:tcBorders>
              <w:left w:val="nil"/>
              <w:bottom w:val="nil"/>
              <w:right w:val="nil"/>
            </w:tcBorders>
            <w:tcMar>
              <w:top w:w="128" w:type="dxa"/>
              <w:left w:w="43" w:type="dxa"/>
              <w:bottom w:w="43" w:type="dxa"/>
              <w:right w:w="43" w:type="dxa"/>
            </w:tcMar>
            <w:vAlign w:val="bottom"/>
          </w:tcPr>
          <w:p w14:paraId="17842A21" w14:textId="77777777" w:rsidR="00D60186" w:rsidRPr="004003C1" w:rsidRDefault="00D60186" w:rsidP="004003C1">
            <w:pPr>
              <w:ind w:right="113"/>
              <w:jc w:val="right"/>
              <w:rPr>
                <w:sz w:val="21"/>
                <w:szCs w:val="21"/>
              </w:rPr>
            </w:pPr>
          </w:p>
        </w:tc>
        <w:tc>
          <w:tcPr>
            <w:tcW w:w="4860" w:type="dxa"/>
            <w:tcBorders>
              <w:left w:val="nil"/>
              <w:bottom w:val="nil"/>
              <w:right w:val="nil"/>
            </w:tcBorders>
            <w:tcMar>
              <w:top w:w="128" w:type="dxa"/>
              <w:left w:w="43" w:type="dxa"/>
              <w:bottom w:w="43" w:type="dxa"/>
              <w:right w:w="43" w:type="dxa"/>
            </w:tcMar>
          </w:tcPr>
          <w:p w14:paraId="4450E3A5" w14:textId="77777777" w:rsidR="00D60186" w:rsidRPr="004003C1" w:rsidRDefault="00D60186" w:rsidP="00225D4D">
            <w:pPr>
              <w:rPr>
                <w:sz w:val="21"/>
                <w:szCs w:val="21"/>
              </w:rPr>
            </w:pPr>
            <w:r w:rsidRPr="004003C1">
              <w:rPr>
                <w:sz w:val="21"/>
                <w:szCs w:val="21"/>
              </w:rPr>
              <w:t xml:space="preserve">Tilpasse </w:t>
            </w:r>
            <w:proofErr w:type="spellStart"/>
            <w:r w:rsidRPr="004003C1">
              <w:rPr>
                <w:sz w:val="21"/>
                <w:szCs w:val="21"/>
              </w:rPr>
              <w:t>førarkortregelverket</w:t>
            </w:r>
            <w:proofErr w:type="spellEnd"/>
            <w:r w:rsidRPr="004003C1">
              <w:rPr>
                <w:sz w:val="21"/>
                <w:szCs w:val="21"/>
              </w:rPr>
              <w:t xml:space="preserve"> for å kunne </w:t>
            </w:r>
            <w:proofErr w:type="spellStart"/>
            <w:r w:rsidRPr="004003C1">
              <w:rPr>
                <w:sz w:val="21"/>
                <w:szCs w:val="21"/>
              </w:rPr>
              <w:t>køyre</w:t>
            </w:r>
            <w:proofErr w:type="spellEnd"/>
            <w:r w:rsidRPr="004003C1">
              <w:rPr>
                <w:sz w:val="21"/>
                <w:szCs w:val="21"/>
              </w:rPr>
              <w:t xml:space="preserve"> </w:t>
            </w:r>
            <w:proofErr w:type="spellStart"/>
            <w:r w:rsidRPr="004003C1">
              <w:rPr>
                <w:sz w:val="21"/>
                <w:szCs w:val="21"/>
              </w:rPr>
              <w:t>bubil</w:t>
            </w:r>
            <w:proofErr w:type="spellEnd"/>
            <w:r w:rsidRPr="004003C1">
              <w:rPr>
                <w:sz w:val="21"/>
                <w:szCs w:val="21"/>
              </w:rPr>
              <w:t xml:space="preserve"> med inntil 4 250 kg totalvekt</w:t>
            </w:r>
          </w:p>
        </w:tc>
        <w:tc>
          <w:tcPr>
            <w:tcW w:w="1300" w:type="dxa"/>
            <w:tcBorders>
              <w:left w:val="nil"/>
              <w:bottom w:val="nil"/>
              <w:right w:val="nil"/>
            </w:tcBorders>
            <w:tcMar>
              <w:top w:w="128" w:type="dxa"/>
              <w:left w:w="43" w:type="dxa"/>
              <w:bottom w:w="43" w:type="dxa"/>
              <w:right w:w="43" w:type="dxa"/>
            </w:tcMar>
          </w:tcPr>
          <w:p w14:paraId="6E39F87F" w14:textId="77777777" w:rsidR="00D60186" w:rsidRPr="004003C1" w:rsidRDefault="00D60186" w:rsidP="004003C1">
            <w:pPr>
              <w:jc w:val="right"/>
              <w:rPr>
                <w:sz w:val="21"/>
                <w:szCs w:val="21"/>
              </w:rPr>
            </w:pPr>
            <w:r w:rsidRPr="004003C1">
              <w:rPr>
                <w:sz w:val="21"/>
                <w:szCs w:val="21"/>
              </w:rPr>
              <w:t>Nei</w:t>
            </w:r>
          </w:p>
        </w:tc>
      </w:tr>
      <w:tr w:rsidR="00E76DC8" w:rsidRPr="00225D4D" w14:paraId="2E28F4AB"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377BEBC"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3DCFFC5" w14:textId="77777777" w:rsidR="00D60186" w:rsidRPr="004003C1" w:rsidRDefault="00D60186" w:rsidP="004003C1">
            <w:pPr>
              <w:ind w:right="113"/>
              <w:jc w:val="right"/>
              <w:rPr>
                <w:sz w:val="21"/>
                <w:szCs w:val="21"/>
              </w:rPr>
            </w:pPr>
            <w:r w:rsidRPr="004003C1">
              <w:rPr>
                <w:sz w:val="21"/>
                <w:szCs w:val="21"/>
              </w:rPr>
              <w:t>916</w:t>
            </w:r>
          </w:p>
        </w:tc>
        <w:tc>
          <w:tcPr>
            <w:tcW w:w="840" w:type="dxa"/>
            <w:tcBorders>
              <w:top w:val="nil"/>
              <w:left w:val="nil"/>
              <w:bottom w:val="nil"/>
              <w:right w:val="nil"/>
            </w:tcBorders>
            <w:tcMar>
              <w:top w:w="128" w:type="dxa"/>
              <w:left w:w="43" w:type="dxa"/>
              <w:bottom w:w="43" w:type="dxa"/>
              <w:right w:w="43" w:type="dxa"/>
            </w:tcMar>
            <w:vAlign w:val="bottom"/>
          </w:tcPr>
          <w:p w14:paraId="004D21BB"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2A13AB79" w14:textId="77777777" w:rsidR="00D60186" w:rsidRPr="004003C1" w:rsidRDefault="00D60186" w:rsidP="00225D4D">
            <w:pPr>
              <w:rPr>
                <w:sz w:val="21"/>
                <w:szCs w:val="21"/>
              </w:rPr>
            </w:pPr>
            <w:r w:rsidRPr="004003C1">
              <w:rPr>
                <w:sz w:val="21"/>
                <w:szCs w:val="21"/>
              </w:rPr>
              <w:t xml:space="preserve">Vurdere om parkeringsregelverket kan </w:t>
            </w:r>
            <w:proofErr w:type="spellStart"/>
            <w:r w:rsidRPr="004003C1">
              <w:rPr>
                <w:sz w:val="21"/>
                <w:szCs w:val="21"/>
              </w:rPr>
              <w:t>justerast</w:t>
            </w:r>
            <w:proofErr w:type="spellEnd"/>
            <w:r w:rsidRPr="004003C1">
              <w:rPr>
                <w:sz w:val="21"/>
                <w:szCs w:val="21"/>
              </w:rPr>
              <w:t xml:space="preserve"> </w:t>
            </w:r>
            <w:r w:rsidRPr="004003C1">
              <w:rPr>
                <w:sz w:val="21"/>
                <w:szCs w:val="21"/>
              </w:rPr>
              <w:br/>
              <w:t xml:space="preserve">for betre å møte stor pågang av </w:t>
            </w:r>
            <w:proofErr w:type="spellStart"/>
            <w:r w:rsidRPr="004003C1">
              <w:rPr>
                <w:sz w:val="21"/>
                <w:szCs w:val="21"/>
              </w:rPr>
              <w:t>turistar</w:t>
            </w:r>
            <w:proofErr w:type="spellEnd"/>
            <w:r w:rsidRPr="004003C1">
              <w:rPr>
                <w:sz w:val="21"/>
                <w:szCs w:val="21"/>
              </w:rPr>
              <w:t xml:space="preserve"> </w:t>
            </w:r>
          </w:p>
        </w:tc>
        <w:tc>
          <w:tcPr>
            <w:tcW w:w="1300" w:type="dxa"/>
            <w:tcBorders>
              <w:top w:val="nil"/>
              <w:left w:val="nil"/>
              <w:bottom w:val="nil"/>
              <w:right w:val="nil"/>
            </w:tcBorders>
            <w:tcMar>
              <w:top w:w="128" w:type="dxa"/>
              <w:left w:w="43" w:type="dxa"/>
              <w:bottom w:w="43" w:type="dxa"/>
              <w:right w:w="43" w:type="dxa"/>
            </w:tcMar>
          </w:tcPr>
          <w:p w14:paraId="4FA5FEB3" w14:textId="77777777" w:rsidR="00D60186" w:rsidRPr="004003C1" w:rsidRDefault="00D60186" w:rsidP="004003C1">
            <w:pPr>
              <w:jc w:val="right"/>
              <w:rPr>
                <w:sz w:val="21"/>
                <w:szCs w:val="21"/>
              </w:rPr>
            </w:pPr>
            <w:r w:rsidRPr="004003C1">
              <w:rPr>
                <w:sz w:val="21"/>
                <w:szCs w:val="21"/>
              </w:rPr>
              <w:t>Nei</w:t>
            </w:r>
          </w:p>
        </w:tc>
      </w:tr>
      <w:tr w:rsidR="00E76DC8" w:rsidRPr="00225D4D" w14:paraId="15BB73D7"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43EFD37"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2F85108E" w14:textId="77777777" w:rsidR="00D60186" w:rsidRPr="004003C1" w:rsidRDefault="00D60186" w:rsidP="004003C1">
            <w:pPr>
              <w:ind w:right="113"/>
              <w:jc w:val="right"/>
              <w:rPr>
                <w:sz w:val="21"/>
                <w:szCs w:val="21"/>
              </w:rPr>
            </w:pPr>
            <w:r w:rsidRPr="004003C1">
              <w:rPr>
                <w:sz w:val="21"/>
                <w:szCs w:val="21"/>
              </w:rPr>
              <w:t>1211</w:t>
            </w:r>
          </w:p>
        </w:tc>
        <w:tc>
          <w:tcPr>
            <w:tcW w:w="840" w:type="dxa"/>
            <w:tcBorders>
              <w:top w:val="nil"/>
              <w:left w:val="nil"/>
              <w:bottom w:val="nil"/>
              <w:right w:val="nil"/>
            </w:tcBorders>
            <w:tcMar>
              <w:top w:w="128" w:type="dxa"/>
              <w:left w:w="43" w:type="dxa"/>
              <w:bottom w:w="43" w:type="dxa"/>
              <w:right w:w="43" w:type="dxa"/>
            </w:tcMar>
            <w:vAlign w:val="bottom"/>
          </w:tcPr>
          <w:p w14:paraId="1ED8EEE1"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0350F8AC" w14:textId="77777777" w:rsidR="00D60186" w:rsidRPr="004003C1" w:rsidRDefault="00D60186" w:rsidP="00225D4D">
            <w:pPr>
              <w:rPr>
                <w:sz w:val="21"/>
                <w:szCs w:val="21"/>
              </w:rPr>
            </w:pPr>
            <w:proofErr w:type="spellStart"/>
            <w:r w:rsidRPr="004003C1">
              <w:rPr>
                <w:sz w:val="21"/>
                <w:szCs w:val="21"/>
              </w:rPr>
              <w:t>Bebuarbevis</w:t>
            </w:r>
            <w:proofErr w:type="spellEnd"/>
            <w:r w:rsidRPr="004003C1">
              <w:rPr>
                <w:sz w:val="21"/>
                <w:szCs w:val="21"/>
              </w:rPr>
              <w:t xml:space="preserve"> for å sikre lokalbefolkninga tilgang til ferjer og FOT-ruter </w:t>
            </w:r>
          </w:p>
        </w:tc>
        <w:tc>
          <w:tcPr>
            <w:tcW w:w="1300" w:type="dxa"/>
            <w:tcBorders>
              <w:top w:val="nil"/>
              <w:left w:val="nil"/>
              <w:bottom w:val="nil"/>
              <w:right w:val="nil"/>
            </w:tcBorders>
            <w:tcMar>
              <w:top w:w="128" w:type="dxa"/>
              <w:left w:w="43" w:type="dxa"/>
              <w:bottom w:w="43" w:type="dxa"/>
              <w:right w:w="43" w:type="dxa"/>
            </w:tcMar>
          </w:tcPr>
          <w:p w14:paraId="5460842C" w14:textId="77777777" w:rsidR="00D60186" w:rsidRPr="004003C1" w:rsidRDefault="00D60186" w:rsidP="004003C1">
            <w:pPr>
              <w:jc w:val="right"/>
              <w:rPr>
                <w:sz w:val="21"/>
                <w:szCs w:val="21"/>
              </w:rPr>
            </w:pPr>
            <w:r w:rsidRPr="004003C1">
              <w:rPr>
                <w:sz w:val="21"/>
                <w:szCs w:val="21"/>
              </w:rPr>
              <w:t>Nei</w:t>
            </w:r>
          </w:p>
        </w:tc>
      </w:tr>
      <w:tr w:rsidR="00E76DC8" w:rsidRPr="00225D4D" w14:paraId="5345030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357C024"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8731864" w14:textId="77777777" w:rsidR="00D60186" w:rsidRPr="004003C1" w:rsidRDefault="00D60186" w:rsidP="004003C1">
            <w:pPr>
              <w:ind w:right="113"/>
              <w:jc w:val="right"/>
              <w:rPr>
                <w:sz w:val="21"/>
                <w:szCs w:val="21"/>
              </w:rPr>
            </w:pPr>
            <w:r w:rsidRPr="004003C1">
              <w:rPr>
                <w:sz w:val="21"/>
                <w:szCs w:val="21"/>
              </w:rPr>
              <w:t>1223</w:t>
            </w:r>
          </w:p>
        </w:tc>
        <w:tc>
          <w:tcPr>
            <w:tcW w:w="840" w:type="dxa"/>
            <w:tcBorders>
              <w:top w:val="nil"/>
              <w:left w:val="nil"/>
              <w:bottom w:val="nil"/>
              <w:right w:val="nil"/>
            </w:tcBorders>
            <w:tcMar>
              <w:top w:w="128" w:type="dxa"/>
              <w:left w:w="43" w:type="dxa"/>
              <w:bottom w:w="43" w:type="dxa"/>
              <w:right w:w="43" w:type="dxa"/>
            </w:tcMar>
            <w:vAlign w:val="bottom"/>
          </w:tcPr>
          <w:p w14:paraId="227BA313"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7C2BD535" w14:textId="77777777" w:rsidR="00D60186" w:rsidRPr="004003C1" w:rsidRDefault="00D60186" w:rsidP="00225D4D">
            <w:pPr>
              <w:rPr>
                <w:sz w:val="21"/>
                <w:szCs w:val="21"/>
              </w:rPr>
            </w:pPr>
            <w:r w:rsidRPr="004003C1">
              <w:rPr>
                <w:sz w:val="21"/>
                <w:szCs w:val="21"/>
              </w:rPr>
              <w:t>Lokomotiv på Nordlandsbanen</w:t>
            </w:r>
          </w:p>
        </w:tc>
        <w:tc>
          <w:tcPr>
            <w:tcW w:w="1300" w:type="dxa"/>
            <w:tcBorders>
              <w:top w:val="nil"/>
              <w:left w:val="nil"/>
              <w:bottom w:val="nil"/>
              <w:right w:val="nil"/>
            </w:tcBorders>
            <w:tcMar>
              <w:top w:w="128" w:type="dxa"/>
              <w:left w:w="43" w:type="dxa"/>
              <w:bottom w:w="43" w:type="dxa"/>
              <w:right w:w="43" w:type="dxa"/>
            </w:tcMar>
          </w:tcPr>
          <w:p w14:paraId="389F5322" w14:textId="77777777" w:rsidR="00D60186" w:rsidRPr="004003C1" w:rsidRDefault="00D60186" w:rsidP="004003C1">
            <w:pPr>
              <w:jc w:val="right"/>
              <w:rPr>
                <w:sz w:val="21"/>
                <w:szCs w:val="21"/>
              </w:rPr>
            </w:pPr>
            <w:r w:rsidRPr="004003C1">
              <w:rPr>
                <w:sz w:val="21"/>
                <w:szCs w:val="21"/>
              </w:rPr>
              <w:t>Nei</w:t>
            </w:r>
          </w:p>
        </w:tc>
      </w:tr>
      <w:tr w:rsidR="00E76DC8" w:rsidRPr="00225D4D" w14:paraId="44812050"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99164C1"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79D311B5" w14:textId="77777777" w:rsidR="00D60186" w:rsidRPr="004003C1" w:rsidRDefault="00D60186" w:rsidP="004003C1">
            <w:pPr>
              <w:ind w:right="113"/>
              <w:jc w:val="right"/>
              <w:rPr>
                <w:sz w:val="21"/>
                <w:szCs w:val="21"/>
              </w:rPr>
            </w:pPr>
            <w:r w:rsidRPr="004003C1">
              <w:rPr>
                <w:sz w:val="21"/>
                <w:szCs w:val="21"/>
              </w:rPr>
              <w:t>1229</w:t>
            </w:r>
          </w:p>
        </w:tc>
        <w:tc>
          <w:tcPr>
            <w:tcW w:w="840" w:type="dxa"/>
            <w:tcBorders>
              <w:top w:val="nil"/>
              <w:left w:val="nil"/>
              <w:bottom w:val="nil"/>
              <w:right w:val="nil"/>
            </w:tcBorders>
            <w:tcMar>
              <w:top w:w="128" w:type="dxa"/>
              <w:left w:w="43" w:type="dxa"/>
              <w:bottom w:w="43" w:type="dxa"/>
              <w:right w:w="43" w:type="dxa"/>
            </w:tcMar>
            <w:vAlign w:val="bottom"/>
          </w:tcPr>
          <w:p w14:paraId="315B458A"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587917B" w14:textId="77777777" w:rsidR="00D60186" w:rsidRPr="004003C1" w:rsidRDefault="00D60186" w:rsidP="00225D4D">
            <w:pPr>
              <w:rPr>
                <w:sz w:val="21"/>
                <w:szCs w:val="21"/>
              </w:rPr>
            </w:pPr>
            <w:proofErr w:type="spellStart"/>
            <w:r w:rsidRPr="004003C1">
              <w:rPr>
                <w:sz w:val="21"/>
                <w:szCs w:val="21"/>
              </w:rPr>
              <w:t>Gjere</w:t>
            </w:r>
            <w:proofErr w:type="spellEnd"/>
            <w:r w:rsidRPr="004003C1">
              <w:rPr>
                <w:sz w:val="21"/>
                <w:szCs w:val="21"/>
              </w:rPr>
              <w:t xml:space="preserve"> rv. 9 i Setesdal til nasjonal turistveg</w:t>
            </w:r>
          </w:p>
        </w:tc>
        <w:tc>
          <w:tcPr>
            <w:tcW w:w="1300" w:type="dxa"/>
            <w:tcBorders>
              <w:top w:val="nil"/>
              <w:left w:val="nil"/>
              <w:bottom w:val="nil"/>
              <w:right w:val="nil"/>
            </w:tcBorders>
            <w:tcMar>
              <w:top w:w="128" w:type="dxa"/>
              <w:left w:w="43" w:type="dxa"/>
              <w:bottom w:w="43" w:type="dxa"/>
              <w:right w:w="43" w:type="dxa"/>
            </w:tcMar>
          </w:tcPr>
          <w:p w14:paraId="0CE4E711" w14:textId="77777777" w:rsidR="00D60186" w:rsidRPr="004003C1" w:rsidRDefault="00D60186" w:rsidP="004003C1">
            <w:pPr>
              <w:jc w:val="right"/>
              <w:rPr>
                <w:sz w:val="21"/>
                <w:szCs w:val="21"/>
              </w:rPr>
            </w:pPr>
            <w:r w:rsidRPr="004003C1">
              <w:rPr>
                <w:sz w:val="21"/>
                <w:szCs w:val="21"/>
              </w:rPr>
              <w:t>Nei</w:t>
            </w:r>
          </w:p>
        </w:tc>
      </w:tr>
      <w:tr w:rsidR="00E76DC8" w:rsidRPr="00225D4D" w14:paraId="32AB4D3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8C16C30"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1F604016" w14:textId="77777777" w:rsidR="00D60186" w:rsidRPr="004003C1" w:rsidRDefault="00D60186" w:rsidP="004003C1">
            <w:pPr>
              <w:ind w:right="113"/>
              <w:jc w:val="right"/>
              <w:rPr>
                <w:sz w:val="21"/>
                <w:szCs w:val="21"/>
              </w:rPr>
            </w:pPr>
            <w:r w:rsidRPr="004003C1">
              <w:rPr>
                <w:sz w:val="21"/>
                <w:szCs w:val="21"/>
              </w:rPr>
              <w:t>1230</w:t>
            </w:r>
          </w:p>
        </w:tc>
        <w:tc>
          <w:tcPr>
            <w:tcW w:w="840" w:type="dxa"/>
            <w:tcBorders>
              <w:top w:val="nil"/>
              <w:left w:val="nil"/>
              <w:bottom w:val="nil"/>
              <w:right w:val="nil"/>
            </w:tcBorders>
            <w:tcMar>
              <w:top w:w="128" w:type="dxa"/>
              <w:left w:w="43" w:type="dxa"/>
              <w:bottom w:w="43" w:type="dxa"/>
              <w:right w:w="43" w:type="dxa"/>
            </w:tcMar>
            <w:vAlign w:val="bottom"/>
          </w:tcPr>
          <w:p w14:paraId="4A874CE1"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439D391E" w14:textId="77777777" w:rsidR="00D60186" w:rsidRPr="004003C1" w:rsidRDefault="00D60186" w:rsidP="00225D4D">
            <w:pPr>
              <w:rPr>
                <w:sz w:val="21"/>
                <w:szCs w:val="21"/>
              </w:rPr>
            </w:pPr>
            <w:r w:rsidRPr="004003C1">
              <w:rPr>
                <w:sz w:val="21"/>
                <w:szCs w:val="21"/>
              </w:rPr>
              <w:t xml:space="preserve">Vurdere passeringstak for bom på E6 Hofstad </w:t>
            </w:r>
            <w:r w:rsidRPr="004003C1">
              <w:rPr>
                <w:sz w:val="21"/>
                <w:szCs w:val="21"/>
              </w:rPr>
              <w:br/>
              <w:t>i Melhus</w:t>
            </w:r>
          </w:p>
        </w:tc>
        <w:tc>
          <w:tcPr>
            <w:tcW w:w="1300" w:type="dxa"/>
            <w:tcBorders>
              <w:top w:val="nil"/>
              <w:left w:val="nil"/>
              <w:bottom w:val="nil"/>
              <w:right w:val="nil"/>
            </w:tcBorders>
            <w:tcMar>
              <w:top w:w="128" w:type="dxa"/>
              <w:left w:w="43" w:type="dxa"/>
              <w:bottom w:w="43" w:type="dxa"/>
              <w:right w:w="43" w:type="dxa"/>
            </w:tcMar>
          </w:tcPr>
          <w:p w14:paraId="01A50487" w14:textId="77777777" w:rsidR="00D60186" w:rsidRPr="004003C1" w:rsidRDefault="00D60186" w:rsidP="004003C1">
            <w:pPr>
              <w:jc w:val="right"/>
              <w:rPr>
                <w:sz w:val="21"/>
                <w:szCs w:val="21"/>
              </w:rPr>
            </w:pPr>
            <w:r w:rsidRPr="004003C1">
              <w:rPr>
                <w:sz w:val="21"/>
                <w:szCs w:val="21"/>
              </w:rPr>
              <w:t>Ja</w:t>
            </w:r>
          </w:p>
        </w:tc>
      </w:tr>
      <w:tr w:rsidR="00E76DC8" w:rsidRPr="00225D4D" w14:paraId="3D133247"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0BEFEB7" w14:textId="77777777" w:rsidR="00D60186" w:rsidRPr="004003C1" w:rsidRDefault="00D60186" w:rsidP="00225D4D">
            <w:pPr>
              <w:rPr>
                <w:sz w:val="21"/>
                <w:szCs w:val="21"/>
              </w:rPr>
            </w:pPr>
            <w:r w:rsidRPr="004003C1">
              <w:rPr>
                <w:sz w:val="21"/>
                <w:szCs w:val="21"/>
              </w:rPr>
              <w:t>2024–2025</w:t>
            </w:r>
          </w:p>
        </w:tc>
        <w:tc>
          <w:tcPr>
            <w:tcW w:w="1120" w:type="dxa"/>
            <w:tcBorders>
              <w:top w:val="nil"/>
              <w:left w:val="nil"/>
              <w:bottom w:val="nil"/>
              <w:right w:val="nil"/>
            </w:tcBorders>
            <w:tcMar>
              <w:top w:w="128" w:type="dxa"/>
              <w:left w:w="43" w:type="dxa"/>
              <w:bottom w:w="43" w:type="dxa"/>
              <w:right w:w="43" w:type="dxa"/>
            </w:tcMar>
          </w:tcPr>
          <w:p w14:paraId="6A3EAADA" w14:textId="77777777" w:rsidR="00D60186" w:rsidRPr="004003C1" w:rsidRDefault="00D60186" w:rsidP="004003C1">
            <w:pPr>
              <w:ind w:right="113"/>
              <w:jc w:val="right"/>
              <w:rPr>
                <w:sz w:val="21"/>
                <w:szCs w:val="21"/>
              </w:rPr>
            </w:pPr>
            <w:r w:rsidRPr="004003C1">
              <w:rPr>
                <w:sz w:val="21"/>
                <w:szCs w:val="21"/>
              </w:rPr>
              <w:t>1247</w:t>
            </w:r>
          </w:p>
        </w:tc>
        <w:tc>
          <w:tcPr>
            <w:tcW w:w="840" w:type="dxa"/>
            <w:tcBorders>
              <w:top w:val="nil"/>
              <w:left w:val="nil"/>
              <w:bottom w:val="nil"/>
              <w:right w:val="nil"/>
            </w:tcBorders>
            <w:tcMar>
              <w:top w:w="128" w:type="dxa"/>
              <w:left w:w="43" w:type="dxa"/>
              <w:bottom w:w="43" w:type="dxa"/>
              <w:right w:w="43" w:type="dxa"/>
            </w:tcMar>
            <w:vAlign w:val="bottom"/>
          </w:tcPr>
          <w:p w14:paraId="012D52E1"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42D12182" w14:textId="77777777" w:rsidR="00D60186" w:rsidRPr="004003C1" w:rsidRDefault="00D60186" w:rsidP="00225D4D">
            <w:pPr>
              <w:rPr>
                <w:sz w:val="21"/>
                <w:szCs w:val="21"/>
              </w:rPr>
            </w:pPr>
            <w:r w:rsidRPr="004003C1">
              <w:rPr>
                <w:sz w:val="21"/>
                <w:szCs w:val="21"/>
              </w:rPr>
              <w:t xml:space="preserve">Redusere </w:t>
            </w:r>
            <w:proofErr w:type="spellStart"/>
            <w:r w:rsidRPr="004003C1">
              <w:rPr>
                <w:sz w:val="21"/>
                <w:szCs w:val="21"/>
              </w:rPr>
              <w:t>takstane</w:t>
            </w:r>
            <w:proofErr w:type="spellEnd"/>
            <w:r w:rsidRPr="004003C1">
              <w:rPr>
                <w:sz w:val="21"/>
                <w:szCs w:val="21"/>
              </w:rPr>
              <w:t xml:space="preserve"> i </w:t>
            </w:r>
            <w:proofErr w:type="spellStart"/>
            <w:r w:rsidRPr="004003C1">
              <w:rPr>
                <w:sz w:val="21"/>
                <w:szCs w:val="21"/>
              </w:rPr>
              <w:t>Ryfast</w:t>
            </w:r>
            <w:proofErr w:type="spellEnd"/>
            <w:r w:rsidRPr="004003C1">
              <w:rPr>
                <w:sz w:val="21"/>
                <w:szCs w:val="21"/>
              </w:rPr>
              <w:t>-prosjektet</w:t>
            </w:r>
          </w:p>
        </w:tc>
        <w:tc>
          <w:tcPr>
            <w:tcW w:w="1300" w:type="dxa"/>
            <w:tcBorders>
              <w:top w:val="nil"/>
              <w:left w:val="nil"/>
              <w:bottom w:val="nil"/>
              <w:right w:val="nil"/>
            </w:tcBorders>
            <w:tcMar>
              <w:top w:w="128" w:type="dxa"/>
              <w:left w:w="43" w:type="dxa"/>
              <w:bottom w:w="43" w:type="dxa"/>
              <w:right w:w="43" w:type="dxa"/>
            </w:tcMar>
          </w:tcPr>
          <w:p w14:paraId="6BFF52AA" w14:textId="77777777" w:rsidR="00D60186" w:rsidRPr="004003C1" w:rsidRDefault="00D60186" w:rsidP="004003C1">
            <w:pPr>
              <w:jc w:val="right"/>
              <w:rPr>
                <w:sz w:val="21"/>
                <w:szCs w:val="21"/>
              </w:rPr>
            </w:pPr>
            <w:r w:rsidRPr="004003C1">
              <w:rPr>
                <w:sz w:val="21"/>
                <w:szCs w:val="21"/>
              </w:rPr>
              <w:t>Nei</w:t>
            </w:r>
          </w:p>
        </w:tc>
      </w:tr>
      <w:tr w:rsidR="00E76DC8" w:rsidRPr="00225D4D" w14:paraId="71FFA9B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47CA4A3"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CC4C8B2" w14:textId="77777777" w:rsidR="00D60186" w:rsidRPr="004003C1" w:rsidRDefault="00D60186" w:rsidP="004003C1">
            <w:pPr>
              <w:ind w:right="113"/>
              <w:jc w:val="right"/>
              <w:rPr>
                <w:sz w:val="21"/>
                <w:szCs w:val="21"/>
              </w:rPr>
            </w:pPr>
            <w:r w:rsidRPr="004003C1">
              <w:rPr>
                <w:sz w:val="21"/>
                <w:szCs w:val="21"/>
              </w:rPr>
              <w:t>35</w:t>
            </w:r>
          </w:p>
        </w:tc>
        <w:tc>
          <w:tcPr>
            <w:tcW w:w="840" w:type="dxa"/>
            <w:tcBorders>
              <w:top w:val="nil"/>
              <w:left w:val="nil"/>
              <w:bottom w:val="nil"/>
              <w:right w:val="nil"/>
            </w:tcBorders>
            <w:tcMar>
              <w:top w:w="128" w:type="dxa"/>
              <w:left w:w="43" w:type="dxa"/>
              <w:bottom w:w="43" w:type="dxa"/>
              <w:right w:w="43" w:type="dxa"/>
            </w:tcMar>
            <w:vAlign w:val="bottom"/>
          </w:tcPr>
          <w:p w14:paraId="04543972"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2E2C89A8" w14:textId="77777777" w:rsidR="00D60186" w:rsidRPr="004003C1" w:rsidRDefault="00D60186" w:rsidP="00225D4D">
            <w:pPr>
              <w:rPr>
                <w:sz w:val="21"/>
                <w:szCs w:val="21"/>
              </w:rPr>
            </w:pPr>
            <w:proofErr w:type="spellStart"/>
            <w:r w:rsidRPr="004003C1">
              <w:rPr>
                <w:sz w:val="21"/>
                <w:szCs w:val="21"/>
              </w:rPr>
              <w:t>Gjere</w:t>
            </w:r>
            <w:proofErr w:type="spellEnd"/>
            <w:r w:rsidRPr="004003C1">
              <w:rPr>
                <w:sz w:val="21"/>
                <w:szCs w:val="21"/>
              </w:rPr>
              <w:t xml:space="preserve"> infrastruktur på land for etablerte elektriske ferjer eller andre maritime fartøy </w:t>
            </w:r>
            <w:proofErr w:type="spellStart"/>
            <w:r w:rsidRPr="004003C1">
              <w:rPr>
                <w:sz w:val="21"/>
                <w:szCs w:val="21"/>
              </w:rPr>
              <w:t>tilgjengeleg</w:t>
            </w:r>
            <w:proofErr w:type="spellEnd"/>
            <w:r w:rsidRPr="004003C1">
              <w:rPr>
                <w:sz w:val="21"/>
                <w:szCs w:val="21"/>
              </w:rPr>
              <w:t xml:space="preserve"> for </w:t>
            </w:r>
            <w:proofErr w:type="spellStart"/>
            <w:r w:rsidRPr="004003C1">
              <w:rPr>
                <w:sz w:val="21"/>
                <w:szCs w:val="21"/>
              </w:rPr>
              <w:t>annan</w:t>
            </w:r>
            <w:proofErr w:type="spellEnd"/>
            <w:r w:rsidRPr="004003C1">
              <w:rPr>
                <w:sz w:val="21"/>
                <w:szCs w:val="21"/>
              </w:rPr>
              <w:t xml:space="preserve"> sjø- og landtransport</w:t>
            </w:r>
          </w:p>
        </w:tc>
        <w:tc>
          <w:tcPr>
            <w:tcW w:w="1300" w:type="dxa"/>
            <w:tcBorders>
              <w:top w:val="nil"/>
              <w:left w:val="nil"/>
              <w:bottom w:val="nil"/>
              <w:right w:val="nil"/>
            </w:tcBorders>
            <w:tcMar>
              <w:top w:w="128" w:type="dxa"/>
              <w:left w:w="43" w:type="dxa"/>
              <w:bottom w:w="43" w:type="dxa"/>
              <w:right w:w="43" w:type="dxa"/>
            </w:tcMar>
          </w:tcPr>
          <w:p w14:paraId="7DA9B131" w14:textId="77777777" w:rsidR="00D60186" w:rsidRPr="004003C1" w:rsidRDefault="00D60186" w:rsidP="004003C1">
            <w:pPr>
              <w:jc w:val="right"/>
              <w:rPr>
                <w:sz w:val="21"/>
                <w:szCs w:val="21"/>
              </w:rPr>
            </w:pPr>
            <w:r w:rsidRPr="004003C1">
              <w:rPr>
                <w:sz w:val="21"/>
                <w:szCs w:val="21"/>
              </w:rPr>
              <w:t>Ja</w:t>
            </w:r>
          </w:p>
        </w:tc>
      </w:tr>
      <w:tr w:rsidR="00E76DC8" w:rsidRPr="00225D4D" w14:paraId="6E34F7E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81F0109"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877A696" w14:textId="77777777" w:rsidR="00D60186" w:rsidRPr="004003C1" w:rsidRDefault="00D60186" w:rsidP="004003C1">
            <w:pPr>
              <w:ind w:right="113"/>
              <w:jc w:val="right"/>
              <w:rPr>
                <w:sz w:val="21"/>
                <w:szCs w:val="21"/>
              </w:rPr>
            </w:pPr>
            <w:r w:rsidRPr="004003C1">
              <w:rPr>
                <w:sz w:val="21"/>
                <w:szCs w:val="21"/>
              </w:rPr>
              <w:t>36</w:t>
            </w:r>
          </w:p>
        </w:tc>
        <w:tc>
          <w:tcPr>
            <w:tcW w:w="840" w:type="dxa"/>
            <w:tcBorders>
              <w:top w:val="nil"/>
              <w:left w:val="nil"/>
              <w:bottom w:val="nil"/>
              <w:right w:val="nil"/>
            </w:tcBorders>
            <w:tcMar>
              <w:top w:w="128" w:type="dxa"/>
              <w:left w:w="43" w:type="dxa"/>
              <w:bottom w:w="43" w:type="dxa"/>
              <w:right w:w="43" w:type="dxa"/>
            </w:tcMar>
            <w:vAlign w:val="bottom"/>
          </w:tcPr>
          <w:p w14:paraId="013EAD20"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5C8455ED" w14:textId="77777777" w:rsidR="00D60186" w:rsidRPr="004003C1" w:rsidRDefault="00D60186" w:rsidP="00225D4D">
            <w:pPr>
              <w:rPr>
                <w:sz w:val="21"/>
                <w:szCs w:val="21"/>
              </w:rPr>
            </w:pPr>
            <w:r w:rsidRPr="004003C1">
              <w:rPr>
                <w:sz w:val="21"/>
                <w:szCs w:val="21"/>
              </w:rPr>
              <w:t xml:space="preserve">Korleis el-infrastrukturen for kommersielle ferjer </w:t>
            </w:r>
            <w:r w:rsidRPr="004003C1">
              <w:rPr>
                <w:sz w:val="21"/>
                <w:szCs w:val="21"/>
              </w:rPr>
              <w:br/>
              <w:t xml:space="preserve">og </w:t>
            </w:r>
            <w:proofErr w:type="spellStart"/>
            <w:r w:rsidRPr="004003C1">
              <w:rPr>
                <w:sz w:val="21"/>
                <w:szCs w:val="21"/>
              </w:rPr>
              <w:t>hurtigbåtar</w:t>
            </w:r>
            <w:proofErr w:type="spellEnd"/>
            <w:r w:rsidRPr="004003C1">
              <w:rPr>
                <w:sz w:val="21"/>
                <w:szCs w:val="21"/>
              </w:rPr>
              <w:t xml:space="preserve"> kan </w:t>
            </w:r>
            <w:proofErr w:type="spellStart"/>
            <w:r w:rsidRPr="004003C1">
              <w:rPr>
                <w:sz w:val="21"/>
                <w:szCs w:val="21"/>
              </w:rPr>
              <w:t>gjerast</w:t>
            </w:r>
            <w:proofErr w:type="spellEnd"/>
            <w:r w:rsidRPr="004003C1">
              <w:rPr>
                <w:sz w:val="21"/>
                <w:szCs w:val="21"/>
              </w:rPr>
              <w:t xml:space="preserve"> </w:t>
            </w:r>
            <w:proofErr w:type="spellStart"/>
            <w:r w:rsidRPr="004003C1">
              <w:rPr>
                <w:sz w:val="21"/>
                <w:szCs w:val="21"/>
              </w:rPr>
              <w:t>tilgjengeleg</w:t>
            </w:r>
            <w:proofErr w:type="spellEnd"/>
            <w:r w:rsidRPr="004003C1">
              <w:rPr>
                <w:sz w:val="21"/>
                <w:szCs w:val="21"/>
              </w:rPr>
              <w:t xml:space="preserve"> for andre </w:t>
            </w:r>
            <w:proofErr w:type="spellStart"/>
            <w:r w:rsidRPr="004003C1">
              <w:rPr>
                <w:sz w:val="21"/>
                <w:szCs w:val="21"/>
              </w:rPr>
              <w:t>brukarar</w:t>
            </w:r>
            <w:proofErr w:type="spellEnd"/>
            <w:r w:rsidRPr="004003C1">
              <w:rPr>
                <w:sz w:val="21"/>
                <w:szCs w:val="21"/>
              </w:rPr>
              <w:t xml:space="preserve"> og krav i </w:t>
            </w:r>
            <w:proofErr w:type="spellStart"/>
            <w:r w:rsidRPr="004003C1">
              <w:rPr>
                <w:sz w:val="21"/>
                <w:szCs w:val="21"/>
              </w:rPr>
              <w:t>kommande</w:t>
            </w:r>
            <w:proofErr w:type="spellEnd"/>
            <w:r w:rsidRPr="004003C1">
              <w:rPr>
                <w:sz w:val="21"/>
                <w:szCs w:val="21"/>
              </w:rPr>
              <w:t xml:space="preserve"> </w:t>
            </w:r>
            <w:proofErr w:type="spellStart"/>
            <w:r w:rsidRPr="004003C1">
              <w:rPr>
                <w:sz w:val="21"/>
                <w:szCs w:val="21"/>
              </w:rPr>
              <w:t>anbod</w:t>
            </w:r>
            <w:proofErr w:type="spellEnd"/>
            <w:r w:rsidRPr="004003C1">
              <w:rPr>
                <w:sz w:val="21"/>
                <w:szCs w:val="21"/>
              </w:rPr>
              <w:t xml:space="preserve"> </w:t>
            </w:r>
          </w:p>
        </w:tc>
        <w:tc>
          <w:tcPr>
            <w:tcW w:w="1300" w:type="dxa"/>
            <w:tcBorders>
              <w:top w:val="nil"/>
              <w:left w:val="nil"/>
              <w:bottom w:val="nil"/>
              <w:right w:val="nil"/>
            </w:tcBorders>
            <w:tcMar>
              <w:top w:w="128" w:type="dxa"/>
              <w:left w:w="43" w:type="dxa"/>
              <w:bottom w:w="43" w:type="dxa"/>
              <w:right w:w="43" w:type="dxa"/>
            </w:tcMar>
          </w:tcPr>
          <w:p w14:paraId="5BE152DE" w14:textId="77777777" w:rsidR="00D60186" w:rsidRPr="004003C1" w:rsidRDefault="00D60186" w:rsidP="004003C1">
            <w:pPr>
              <w:jc w:val="right"/>
              <w:rPr>
                <w:sz w:val="21"/>
                <w:szCs w:val="21"/>
              </w:rPr>
            </w:pPr>
            <w:r w:rsidRPr="004003C1">
              <w:rPr>
                <w:sz w:val="21"/>
                <w:szCs w:val="21"/>
              </w:rPr>
              <w:t>Ja</w:t>
            </w:r>
          </w:p>
        </w:tc>
      </w:tr>
      <w:tr w:rsidR="00E76DC8" w:rsidRPr="00225D4D" w14:paraId="7AC3BA4A"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117FA72"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FEF9580" w14:textId="77777777" w:rsidR="00D60186" w:rsidRPr="004003C1" w:rsidRDefault="00D60186" w:rsidP="004003C1">
            <w:pPr>
              <w:ind w:right="113"/>
              <w:jc w:val="right"/>
              <w:rPr>
                <w:sz w:val="21"/>
                <w:szCs w:val="21"/>
              </w:rPr>
            </w:pPr>
            <w:r w:rsidRPr="004003C1">
              <w:rPr>
                <w:sz w:val="21"/>
                <w:szCs w:val="21"/>
              </w:rPr>
              <w:t>37</w:t>
            </w:r>
          </w:p>
        </w:tc>
        <w:tc>
          <w:tcPr>
            <w:tcW w:w="840" w:type="dxa"/>
            <w:tcBorders>
              <w:top w:val="nil"/>
              <w:left w:val="nil"/>
              <w:bottom w:val="nil"/>
              <w:right w:val="nil"/>
            </w:tcBorders>
            <w:tcMar>
              <w:top w:w="128" w:type="dxa"/>
              <w:left w:w="43" w:type="dxa"/>
              <w:bottom w:w="43" w:type="dxa"/>
              <w:right w:w="43" w:type="dxa"/>
            </w:tcMar>
            <w:vAlign w:val="bottom"/>
          </w:tcPr>
          <w:p w14:paraId="7546F7CF"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3E9DC143" w14:textId="77777777" w:rsidR="00D60186" w:rsidRPr="004003C1" w:rsidRDefault="00D60186" w:rsidP="00225D4D">
            <w:pPr>
              <w:rPr>
                <w:sz w:val="21"/>
                <w:szCs w:val="21"/>
              </w:rPr>
            </w:pPr>
            <w:r w:rsidRPr="004003C1">
              <w:rPr>
                <w:sz w:val="21"/>
                <w:szCs w:val="21"/>
              </w:rPr>
              <w:t>Bestille fjerntog til Rørosbanen og sikre universell utforming av toga som blir bestilt</w:t>
            </w:r>
          </w:p>
        </w:tc>
        <w:tc>
          <w:tcPr>
            <w:tcW w:w="1300" w:type="dxa"/>
            <w:tcBorders>
              <w:top w:val="nil"/>
              <w:left w:val="nil"/>
              <w:bottom w:val="nil"/>
              <w:right w:val="nil"/>
            </w:tcBorders>
            <w:tcMar>
              <w:top w:w="128" w:type="dxa"/>
              <w:left w:w="43" w:type="dxa"/>
              <w:bottom w:w="43" w:type="dxa"/>
              <w:right w:w="43" w:type="dxa"/>
            </w:tcMar>
          </w:tcPr>
          <w:p w14:paraId="450C0FB7" w14:textId="77777777" w:rsidR="00D60186" w:rsidRPr="004003C1" w:rsidRDefault="00D60186" w:rsidP="004003C1">
            <w:pPr>
              <w:jc w:val="right"/>
              <w:rPr>
                <w:sz w:val="21"/>
                <w:szCs w:val="21"/>
              </w:rPr>
            </w:pPr>
            <w:r w:rsidRPr="004003C1">
              <w:rPr>
                <w:sz w:val="21"/>
                <w:szCs w:val="21"/>
              </w:rPr>
              <w:t>Nei</w:t>
            </w:r>
          </w:p>
        </w:tc>
      </w:tr>
      <w:tr w:rsidR="00E76DC8" w:rsidRPr="00225D4D" w14:paraId="15CB5AA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1CEAEC8"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113F8E9" w14:textId="77777777" w:rsidR="00D60186" w:rsidRPr="004003C1" w:rsidRDefault="00D60186" w:rsidP="004003C1">
            <w:pPr>
              <w:ind w:right="113"/>
              <w:jc w:val="right"/>
              <w:rPr>
                <w:sz w:val="21"/>
                <w:szCs w:val="21"/>
              </w:rPr>
            </w:pPr>
            <w:r w:rsidRPr="004003C1">
              <w:rPr>
                <w:sz w:val="21"/>
                <w:szCs w:val="21"/>
              </w:rPr>
              <w:t>448</w:t>
            </w:r>
          </w:p>
        </w:tc>
        <w:tc>
          <w:tcPr>
            <w:tcW w:w="840" w:type="dxa"/>
            <w:tcBorders>
              <w:top w:val="nil"/>
              <w:left w:val="nil"/>
              <w:bottom w:val="nil"/>
              <w:right w:val="nil"/>
            </w:tcBorders>
            <w:tcMar>
              <w:top w:w="128" w:type="dxa"/>
              <w:left w:w="43" w:type="dxa"/>
              <w:bottom w:w="43" w:type="dxa"/>
              <w:right w:w="43" w:type="dxa"/>
            </w:tcMar>
            <w:vAlign w:val="bottom"/>
          </w:tcPr>
          <w:p w14:paraId="6640DCB5"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615FF254" w14:textId="77777777" w:rsidR="00D60186" w:rsidRPr="004003C1" w:rsidRDefault="00D60186" w:rsidP="00225D4D">
            <w:pPr>
              <w:rPr>
                <w:sz w:val="21"/>
                <w:szCs w:val="21"/>
              </w:rPr>
            </w:pPr>
            <w:proofErr w:type="spellStart"/>
            <w:r w:rsidRPr="004003C1">
              <w:rPr>
                <w:sz w:val="21"/>
                <w:szCs w:val="21"/>
              </w:rPr>
              <w:t>Konsekvensar</w:t>
            </w:r>
            <w:proofErr w:type="spellEnd"/>
            <w:r w:rsidRPr="004003C1">
              <w:rPr>
                <w:sz w:val="21"/>
                <w:szCs w:val="21"/>
              </w:rPr>
              <w:t xml:space="preserve"> for driftsstabilitet og beredskap </w:t>
            </w:r>
            <w:r w:rsidRPr="004003C1">
              <w:rPr>
                <w:sz w:val="21"/>
                <w:szCs w:val="21"/>
              </w:rPr>
              <w:br/>
              <w:t xml:space="preserve">viss tungt </w:t>
            </w:r>
            <w:proofErr w:type="spellStart"/>
            <w:r w:rsidRPr="004003C1">
              <w:rPr>
                <w:sz w:val="21"/>
                <w:szCs w:val="21"/>
              </w:rPr>
              <w:t>vedlikehald</w:t>
            </w:r>
            <w:proofErr w:type="spellEnd"/>
            <w:r w:rsidRPr="004003C1">
              <w:rPr>
                <w:sz w:val="21"/>
                <w:szCs w:val="21"/>
              </w:rPr>
              <w:t xml:space="preserve"> av togmateriell </w:t>
            </w:r>
            <w:proofErr w:type="spellStart"/>
            <w:r w:rsidRPr="004003C1">
              <w:rPr>
                <w:sz w:val="21"/>
                <w:szCs w:val="21"/>
              </w:rPr>
              <w:t>ikkje</w:t>
            </w:r>
            <w:proofErr w:type="spellEnd"/>
            <w:r w:rsidRPr="004003C1">
              <w:rPr>
                <w:sz w:val="21"/>
                <w:szCs w:val="21"/>
              </w:rPr>
              <w:t xml:space="preserve"> skal </w:t>
            </w:r>
            <w:r w:rsidRPr="004003C1">
              <w:rPr>
                <w:sz w:val="21"/>
                <w:szCs w:val="21"/>
              </w:rPr>
              <w:br/>
            </w:r>
            <w:proofErr w:type="spellStart"/>
            <w:r w:rsidRPr="004003C1">
              <w:rPr>
                <w:sz w:val="21"/>
                <w:szCs w:val="21"/>
              </w:rPr>
              <w:t>lokaliserast</w:t>
            </w:r>
            <w:proofErr w:type="spellEnd"/>
            <w:r w:rsidRPr="004003C1">
              <w:rPr>
                <w:sz w:val="21"/>
                <w:szCs w:val="21"/>
              </w:rPr>
              <w:t xml:space="preserve"> i </w:t>
            </w:r>
            <w:proofErr w:type="spellStart"/>
            <w:r w:rsidRPr="004003C1">
              <w:rPr>
                <w:sz w:val="21"/>
                <w:szCs w:val="21"/>
              </w:rPr>
              <w:t>Noreg</w:t>
            </w:r>
            <w:proofErr w:type="spellEnd"/>
          </w:p>
        </w:tc>
        <w:tc>
          <w:tcPr>
            <w:tcW w:w="1300" w:type="dxa"/>
            <w:tcBorders>
              <w:top w:val="nil"/>
              <w:left w:val="nil"/>
              <w:bottom w:val="nil"/>
              <w:right w:val="nil"/>
            </w:tcBorders>
            <w:tcMar>
              <w:top w:w="128" w:type="dxa"/>
              <w:left w:w="43" w:type="dxa"/>
              <w:bottom w:w="43" w:type="dxa"/>
              <w:right w:w="43" w:type="dxa"/>
            </w:tcMar>
          </w:tcPr>
          <w:p w14:paraId="38E073E8" w14:textId="77777777" w:rsidR="00D60186" w:rsidRPr="004003C1" w:rsidRDefault="00D60186" w:rsidP="004003C1">
            <w:pPr>
              <w:jc w:val="right"/>
              <w:rPr>
                <w:sz w:val="21"/>
                <w:szCs w:val="21"/>
              </w:rPr>
            </w:pPr>
            <w:r w:rsidRPr="004003C1">
              <w:rPr>
                <w:sz w:val="21"/>
                <w:szCs w:val="21"/>
              </w:rPr>
              <w:t>Ja</w:t>
            </w:r>
          </w:p>
        </w:tc>
      </w:tr>
      <w:tr w:rsidR="00E76DC8" w:rsidRPr="00225D4D" w14:paraId="7C9B02A5"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560BA0A"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ACDEC85" w14:textId="77777777" w:rsidR="00D60186" w:rsidRPr="004003C1" w:rsidRDefault="00D60186" w:rsidP="004003C1">
            <w:pPr>
              <w:ind w:right="113"/>
              <w:jc w:val="right"/>
              <w:rPr>
                <w:sz w:val="21"/>
                <w:szCs w:val="21"/>
              </w:rPr>
            </w:pPr>
            <w:r w:rsidRPr="004003C1">
              <w:rPr>
                <w:sz w:val="21"/>
                <w:szCs w:val="21"/>
              </w:rPr>
              <w:t>581</w:t>
            </w:r>
          </w:p>
        </w:tc>
        <w:tc>
          <w:tcPr>
            <w:tcW w:w="840" w:type="dxa"/>
            <w:tcBorders>
              <w:top w:val="nil"/>
              <w:left w:val="nil"/>
              <w:bottom w:val="nil"/>
              <w:right w:val="nil"/>
            </w:tcBorders>
            <w:tcMar>
              <w:top w:w="128" w:type="dxa"/>
              <w:left w:w="43" w:type="dxa"/>
              <w:bottom w:w="43" w:type="dxa"/>
              <w:right w:w="43" w:type="dxa"/>
            </w:tcMar>
            <w:vAlign w:val="bottom"/>
          </w:tcPr>
          <w:p w14:paraId="28F790D2"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3C7B8E59" w14:textId="77777777" w:rsidR="00D60186" w:rsidRPr="004003C1" w:rsidRDefault="00D60186" w:rsidP="00225D4D">
            <w:pPr>
              <w:rPr>
                <w:sz w:val="21"/>
                <w:szCs w:val="21"/>
              </w:rPr>
            </w:pPr>
            <w:r w:rsidRPr="004003C1">
              <w:rPr>
                <w:sz w:val="21"/>
                <w:szCs w:val="21"/>
              </w:rPr>
              <w:t xml:space="preserve">Tverrdepartemental og tverrsektoriell stortingsmelding om </w:t>
            </w:r>
            <w:proofErr w:type="spellStart"/>
            <w:r w:rsidRPr="004003C1">
              <w:rPr>
                <w:sz w:val="21"/>
                <w:szCs w:val="21"/>
              </w:rPr>
              <w:t>dronar</w:t>
            </w:r>
            <w:proofErr w:type="spellEnd"/>
          </w:p>
        </w:tc>
        <w:tc>
          <w:tcPr>
            <w:tcW w:w="1300" w:type="dxa"/>
            <w:tcBorders>
              <w:top w:val="nil"/>
              <w:left w:val="nil"/>
              <w:bottom w:val="nil"/>
              <w:right w:val="nil"/>
            </w:tcBorders>
            <w:tcMar>
              <w:top w:w="128" w:type="dxa"/>
              <w:left w:w="43" w:type="dxa"/>
              <w:bottom w:w="43" w:type="dxa"/>
              <w:right w:w="43" w:type="dxa"/>
            </w:tcMar>
          </w:tcPr>
          <w:p w14:paraId="6B10BFCD" w14:textId="77777777" w:rsidR="00D60186" w:rsidRPr="004003C1" w:rsidRDefault="00D60186" w:rsidP="004003C1">
            <w:pPr>
              <w:jc w:val="right"/>
              <w:rPr>
                <w:sz w:val="21"/>
                <w:szCs w:val="21"/>
              </w:rPr>
            </w:pPr>
            <w:r w:rsidRPr="004003C1">
              <w:rPr>
                <w:sz w:val="21"/>
                <w:szCs w:val="21"/>
              </w:rPr>
              <w:t>Ja</w:t>
            </w:r>
          </w:p>
        </w:tc>
      </w:tr>
      <w:tr w:rsidR="00E76DC8" w:rsidRPr="00225D4D" w14:paraId="544D92B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1C178CA"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5643B92B" w14:textId="77777777" w:rsidR="00D60186" w:rsidRPr="004003C1" w:rsidRDefault="00D60186" w:rsidP="004003C1">
            <w:pPr>
              <w:ind w:right="113"/>
              <w:jc w:val="right"/>
              <w:rPr>
                <w:sz w:val="21"/>
                <w:szCs w:val="21"/>
              </w:rPr>
            </w:pPr>
            <w:r w:rsidRPr="004003C1">
              <w:rPr>
                <w:sz w:val="21"/>
                <w:szCs w:val="21"/>
              </w:rPr>
              <w:t>725</w:t>
            </w:r>
          </w:p>
        </w:tc>
        <w:tc>
          <w:tcPr>
            <w:tcW w:w="840" w:type="dxa"/>
            <w:tcBorders>
              <w:top w:val="nil"/>
              <w:left w:val="nil"/>
              <w:bottom w:val="nil"/>
              <w:right w:val="nil"/>
            </w:tcBorders>
            <w:tcMar>
              <w:top w:w="128" w:type="dxa"/>
              <w:left w:w="43" w:type="dxa"/>
              <w:bottom w:w="43" w:type="dxa"/>
              <w:right w:w="43" w:type="dxa"/>
            </w:tcMar>
            <w:vAlign w:val="bottom"/>
          </w:tcPr>
          <w:p w14:paraId="7F239403"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2F23ECA" w14:textId="77777777" w:rsidR="00D60186" w:rsidRPr="004003C1" w:rsidRDefault="00D60186" w:rsidP="00225D4D">
            <w:pPr>
              <w:rPr>
                <w:sz w:val="21"/>
                <w:szCs w:val="21"/>
              </w:rPr>
            </w:pPr>
            <w:r w:rsidRPr="004003C1">
              <w:rPr>
                <w:sz w:val="21"/>
                <w:szCs w:val="21"/>
              </w:rPr>
              <w:t xml:space="preserve">Gjennomgang av bompengeprosjektet </w:t>
            </w:r>
            <w:proofErr w:type="spellStart"/>
            <w:r w:rsidRPr="004003C1">
              <w:rPr>
                <w:sz w:val="21"/>
                <w:szCs w:val="21"/>
              </w:rPr>
              <w:t>Ryfast</w:t>
            </w:r>
            <w:proofErr w:type="spellEnd"/>
          </w:p>
        </w:tc>
        <w:tc>
          <w:tcPr>
            <w:tcW w:w="1300" w:type="dxa"/>
            <w:tcBorders>
              <w:top w:val="nil"/>
              <w:left w:val="nil"/>
              <w:bottom w:val="nil"/>
              <w:right w:val="nil"/>
            </w:tcBorders>
            <w:tcMar>
              <w:top w:w="128" w:type="dxa"/>
              <w:left w:w="43" w:type="dxa"/>
              <w:bottom w:w="43" w:type="dxa"/>
              <w:right w:w="43" w:type="dxa"/>
            </w:tcMar>
          </w:tcPr>
          <w:p w14:paraId="725F7D0F" w14:textId="77777777" w:rsidR="00D60186" w:rsidRPr="004003C1" w:rsidRDefault="00D60186" w:rsidP="004003C1">
            <w:pPr>
              <w:jc w:val="right"/>
              <w:rPr>
                <w:sz w:val="21"/>
                <w:szCs w:val="21"/>
              </w:rPr>
            </w:pPr>
            <w:r w:rsidRPr="004003C1">
              <w:rPr>
                <w:sz w:val="21"/>
                <w:szCs w:val="21"/>
              </w:rPr>
              <w:t xml:space="preserve">Ja </w:t>
            </w:r>
          </w:p>
        </w:tc>
      </w:tr>
      <w:tr w:rsidR="00E76DC8" w:rsidRPr="00225D4D" w14:paraId="653FC91C"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3F01A662"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3D58D0C6" w14:textId="77777777" w:rsidR="00D60186" w:rsidRPr="004003C1" w:rsidRDefault="00D60186" w:rsidP="004003C1">
            <w:pPr>
              <w:ind w:right="113"/>
              <w:jc w:val="right"/>
              <w:rPr>
                <w:sz w:val="21"/>
                <w:szCs w:val="21"/>
              </w:rPr>
            </w:pPr>
            <w:r w:rsidRPr="004003C1">
              <w:rPr>
                <w:sz w:val="21"/>
                <w:szCs w:val="21"/>
              </w:rPr>
              <w:t>825</w:t>
            </w:r>
          </w:p>
        </w:tc>
        <w:tc>
          <w:tcPr>
            <w:tcW w:w="840" w:type="dxa"/>
            <w:tcBorders>
              <w:top w:val="nil"/>
              <w:left w:val="nil"/>
              <w:bottom w:val="nil"/>
              <w:right w:val="nil"/>
            </w:tcBorders>
            <w:tcMar>
              <w:top w:w="128" w:type="dxa"/>
              <w:left w:w="43" w:type="dxa"/>
              <w:bottom w:w="43" w:type="dxa"/>
              <w:right w:w="43" w:type="dxa"/>
            </w:tcMar>
            <w:vAlign w:val="bottom"/>
          </w:tcPr>
          <w:p w14:paraId="134E073C"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33785154" w14:textId="77777777" w:rsidR="00D60186" w:rsidRPr="004003C1" w:rsidRDefault="00D60186" w:rsidP="00225D4D">
            <w:pPr>
              <w:rPr>
                <w:sz w:val="21"/>
                <w:szCs w:val="21"/>
              </w:rPr>
            </w:pPr>
            <w:r w:rsidRPr="004003C1">
              <w:rPr>
                <w:sz w:val="21"/>
                <w:szCs w:val="21"/>
              </w:rPr>
              <w:t xml:space="preserve">Ladeinfrastruktur på større ladeanlegg langs </w:t>
            </w:r>
            <w:r w:rsidRPr="004003C1">
              <w:rPr>
                <w:sz w:val="21"/>
                <w:szCs w:val="21"/>
              </w:rPr>
              <w:br/>
            </w:r>
            <w:proofErr w:type="spellStart"/>
            <w:r w:rsidRPr="004003C1">
              <w:rPr>
                <w:sz w:val="21"/>
                <w:szCs w:val="21"/>
              </w:rPr>
              <w:t>riksvegane</w:t>
            </w:r>
            <w:proofErr w:type="spellEnd"/>
          </w:p>
        </w:tc>
        <w:tc>
          <w:tcPr>
            <w:tcW w:w="1300" w:type="dxa"/>
            <w:tcBorders>
              <w:top w:val="nil"/>
              <w:left w:val="nil"/>
              <w:bottom w:val="nil"/>
              <w:right w:val="nil"/>
            </w:tcBorders>
            <w:tcMar>
              <w:top w:w="128" w:type="dxa"/>
              <w:left w:w="43" w:type="dxa"/>
              <w:bottom w:w="43" w:type="dxa"/>
              <w:right w:w="43" w:type="dxa"/>
            </w:tcMar>
          </w:tcPr>
          <w:p w14:paraId="29D4D6C3" w14:textId="77777777" w:rsidR="00D60186" w:rsidRPr="004003C1" w:rsidRDefault="00D60186" w:rsidP="004003C1">
            <w:pPr>
              <w:jc w:val="right"/>
              <w:rPr>
                <w:sz w:val="21"/>
                <w:szCs w:val="21"/>
              </w:rPr>
            </w:pPr>
            <w:r w:rsidRPr="004003C1">
              <w:rPr>
                <w:sz w:val="21"/>
                <w:szCs w:val="21"/>
              </w:rPr>
              <w:t>Ja</w:t>
            </w:r>
          </w:p>
        </w:tc>
      </w:tr>
      <w:tr w:rsidR="00E76DC8" w:rsidRPr="00225D4D" w14:paraId="6BD1F9A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B1321F2"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80A148A" w14:textId="77777777" w:rsidR="00D60186" w:rsidRPr="004003C1" w:rsidRDefault="00D60186" w:rsidP="004003C1">
            <w:pPr>
              <w:ind w:right="113"/>
              <w:jc w:val="right"/>
              <w:rPr>
                <w:sz w:val="21"/>
                <w:szCs w:val="21"/>
              </w:rPr>
            </w:pPr>
            <w:r w:rsidRPr="004003C1">
              <w:rPr>
                <w:sz w:val="21"/>
                <w:szCs w:val="21"/>
              </w:rPr>
              <w:t>826</w:t>
            </w:r>
          </w:p>
        </w:tc>
        <w:tc>
          <w:tcPr>
            <w:tcW w:w="840" w:type="dxa"/>
            <w:tcBorders>
              <w:top w:val="nil"/>
              <w:left w:val="nil"/>
              <w:bottom w:val="nil"/>
              <w:right w:val="nil"/>
            </w:tcBorders>
            <w:tcMar>
              <w:top w:w="128" w:type="dxa"/>
              <w:left w:w="43" w:type="dxa"/>
              <w:bottom w:w="43" w:type="dxa"/>
              <w:right w:w="43" w:type="dxa"/>
            </w:tcMar>
            <w:vAlign w:val="bottom"/>
          </w:tcPr>
          <w:p w14:paraId="05C29A86"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5AEB67D" w14:textId="77777777" w:rsidR="00D60186" w:rsidRPr="004003C1" w:rsidRDefault="00D60186" w:rsidP="00225D4D">
            <w:pPr>
              <w:rPr>
                <w:sz w:val="21"/>
                <w:szCs w:val="21"/>
              </w:rPr>
            </w:pPr>
            <w:r w:rsidRPr="004003C1">
              <w:rPr>
                <w:sz w:val="21"/>
                <w:szCs w:val="21"/>
              </w:rPr>
              <w:t xml:space="preserve">Korleis ny teknologi kan </w:t>
            </w:r>
            <w:proofErr w:type="spellStart"/>
            <w:r w:rsidRPr="004003C1">
              <w:rPr>
                <w:sz w:val="21"/>
                <w:szCs w:val="21"/>
              </w:rPr>
              <w:t>takast</w:t>
            </w:r>
            <w:proofErr w:type="spellEnd"/>
            <w:r w:rsidRPr="004003C1">
              <w:rPr>
                <w:sz w:val="21"/>
                <w:szCs w:val="21"/>
              </w:rPr>
              <w:t xml:space="preserve"> i bruk for m.a. </w:t>
            </w:r>
            <w:r w:rsidRPr="004003C1">
              <w:rPr>
                <w:sz w:val="21"/>
                <w:szCs w:val="21"/>
              </w:rPr>
              <w:br/>
              <w:t xml:space="preserve">å oppdage om </w:t>
            </w:r>
            <w:proofErr w:type="spellStart"/>
            <w:r w:rsidRPr="004003C1">
              <w:rPr>
                <w:sz w:val="21"/>
                <w:szCs w:val="21"/>
              </w:rPr>
              <w:t>eit</w:t>
            </w:r>
            <w:proofErr w:type="spellEnd"/>
            <w:r w:rsidRPr="004003C1">
              <w:rPr>
                <w:sz w:val="21"/>
                <w:szCs w:val="21"/>
              </w:rPr>
              <w:t xml:space="preserve"> skred når vegen</w:t>
            </w:r>
          </w:p>
        </w:tc>
        <w:tc>
          <w:tcPr>
            <w:tcW w:w="1300" w:type="dxa"/>
            <w:tcBorders>
              <w:top w:val="nil"/>
              <w:left w:val="nil"/>
              <w:bottom w:val="nil"/>
              <w:right w:val="nil"/>
            </w:tcBorders>
            <w:tcMar>
              <w:top w:w="128" w:type="dxa"/>
              <w:left w:w="43" w:type="dxa"/>
              <w:bottom w:w="43" w:type="dxa"/>
              <w:right w:w="43" w:type="dxa"/>
            </w:tcMar>
          </w:tcPr>
          <w:p w14:paraId="6A9B888A" w14:textId="77777777" w:rsidR="00D60186" w:rsidRPr="004003C1" w:rsidRDefault="00D60186" w:rsidP="004003C1">
            <w:pPr>
              <w:jc w:val="right"/>
              <w:rPr>
                <w:sz w:val="21"/>
                <w:szCs w:val="21"/>
              </w:rPr>
            </w:pPr>
            <w:r w:rsidRPr="004003C1">
              <w:rPr>
                <w:sz w:val="21"/>
                <w:szCs w:val="21"/>
              </w:rPr>
              <w:t>Ja</w:t>
            </w:r>
          </w:p>
        </w:tc>
      </w:tr>
      <w:tr w:rsidR="00E76DC8" w:rsidRPr="00225D4D" w14:paraId="5C532CF3"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162C471"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75172858" w14:textId="77777777" w:rsidR="00D60186" w:rsidRPr="004003C1" w:rsidRDefault="00D60186" w:rsidP="004003C1">
            <w:pPr>
              <w:ind w:right="113"/>
              <w:jc w:val="right"/>
              <w:rPr>
                <w:sz w:val="21"/>
                <w:szCs w:val="21"/>
              </w:rPr>
            </w:pPr>
            <w:r w:rsidRPr="004003C1">
              <w:rPr>
                <w:sz w:val="21"/>
                <w:szCs w:val="21"/>
              </w:rPr>
              <w:t>830</w:t>
            </w:r>
          </w:p>
        </w:tc>
        <w:tc>
          <w:tcPr>
            <w:tcW w:w="840" w:type="dxa"/>
            <w:tcBorders>
              <w:top w:val="nil"/>
              <w:left w:val="nil"/>
              <w:bottom w:val="nil"/>
              <w:right w:val="nil"/>
            </w:tcBorders>
            <w:tcMar>
              <w:top w:w="128" w:type="dxa"/>
              <w:left w:w="43" w:type="dxa"/>
              <w:bottom w:w="43" w:type="dxa"/>
              <w:right w:w="43" w:type="dxa"/>
            </w:tcMar>
            <w:vAlign w:val="bottom"/>
          </w:tcPr>
          <w:p w14:paraId="1473BD92"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373C386C" w14:textId="77777777" w:rsidR="00D60186" w:rsidRPr="004003C1" w:rsidRDefault="00D60186" w:rsidP="00225D4D">
            <w:pPr>
              <w:rPr>
                <w:sz w:val="21"/>
                <w:szCs w:val="21"/>
              </w:rPr>
            </w:pPr>
            <w:r w:rsidRPr="004003C1">
              <w:rPr>
                <w:sz w:val="21"/>
                <w:szCs w:val="21"/>
              </w:rPr>
              <w:t xml:space="preserve">Finansieringa til fylkesveg og </w:t>
            </w:r>
            <w:proofErr w:type="spellStart"/>
            <w:r w:rsidRPr="004003C1">
              <w:rPr>
                <w:sz w:val="21"/>
                <w:szCs w:val="21"/>
              </w:rPr>
              <w:t>øyremerkt</w:t>
            </w:r>
            <w:proofErr w:type="spellEnd"/>
            <w:r w:rsidRPr="004003C1">
              <w:rPr>
                <w:sz w:val="21"/>
                <w:szCs w:val="21"/>
              </w:rPr>
              <w:t xml:space="preserve"> </w:t>
            </w:r>
            <w:proofErr w:type="spellStart"/>
            <w:r w:rsidRPr="004003C1">
              <w:rPr>
                <w:sz w:val="21"/>
                <w:szCs w:val="21"/>
              </w:rPr>
              <w:t>tilskotsordning</w:t>
            </w:r>
            <w:proofErr w:type="spellEnd"/>
            <w:r w:rsidRPr="004003C1">
              <w:rPr>
                <w:sz w:val="21"/>
                <w:szCs w:val="21"/>
              </w:rPr>
              <w:t xml:space="preserve"> for </w:t>
            </w:r>
            <w:proofErr w:type="spellStart"/>
            <w:r w:rsidRPr="004003C1">
              <w:rPr>
                <w:sz w:val="21"/>
                <w:szCs w:val="21"/>
              </w:rPr>
              <w:t>vedlikehald</w:t>
            </w:r>
            <w:proofErr w:type="spellEnd"/>
            <w:r w:rsidRPr="004003C1">
              <w:rPr>
                <w:sz w:val="21"/>
                <w:szCs w:val="21"/>
              </w:rPr>
              <w:t xml:space="preserve"> av fylkesveg</w:t>
            </w:r>
          </w:p>
        </w:tc>
        <w:tc>
          <w:tcPr>
            <w:tcW w:w="1300" w:type="dxa"/>
            <w:tcBorders>
              <w:top w:val="nil"/>
              <w:left w:val="nil"/>
              <w:bottom w:val="nil"/>
              <w:right w:val="nil"/>
            </w:tcBorders>
            <w:tcMar>
              <w:top w:w="128" w:type="dxa"/>
              <w:left w:w="43" w:type="dxa"/>
              <w:bottom w:w="43" w:type="dxa"/>
              <w:right w:w="43" w:type="dxa"/>
            </w:tcMar>
          </w:tcPr>
          <w:p w14:paraId="1C4D4B6C" w14:textId="77777777" w:rsidR="00D60186" w:rsidRPr="004003C1" w:rsidRDefault="00D60186" w:rsidP="004003C1">
            <w:pPr>
              <w:jc w:val="right"/>
              <w:rPr>
                <w:sz w:val="21"/>
                <w:szCs w:val="21"/>
              </w:rPr>
            </w:pPr>
            <w:r w:rsidRPr="004003C1">
              <w:rPr>
                <w:sz w:val="21"/>
                <w:szCs w:val="21"/>
              </w:rPr>
              <w:t>Ja</w:t>
            </w:r>
          </w:p>
        </w:tc>
      </w:tr>
      <w:tr w:rsidR="00E76DC8" w:rsidRPr="00225D4D" w14:paraId="68581A77"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DF04163"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5096E60" w14:textId="77777777" w:rsidR="00D60186" w:rsidRPr="004003C1" w:rsidRDefault="00D60186" w:rsidP="004003C1">
            <w:pPr>
              <w:ind w:right="113"/>
              <w:jc w:val="right"/>
              <w:rPr>
                <w:sz w:val="21"/>
                <w:szCs w:val="21"/>
              </w:rPr>
            </w:pPr>
            <w:r w:rsidRPr="004003C1">
              <w:rPr>
                <w:sz w:val="21"/>
                <w:szCs w:val="21"/>
              </w:rPr>
              <w:t>834</w:t>
            </w:r>
          </w:p>
        </w:tc>
        <w:tc>
          <w:tcPr>
            <w:tcW w:w="840" w:type="dxa"/>
            <w:tcBorders>
              <w:top w:val="nil"/>
              <w:left w:val="nil"/>
              <w:bottom w:val="nil"/>
              <w:right w:val="nil"/>
            </w:tcBorders>
            <w:tcMar>
              <w:top w:w="128" w:type="dxa"/>
              <w:left w:w="43" w:type="dxa"/>
              <w:bottom w:w="43" w:type="dxa"/>
              <w:right w:w="43" w:type="dxa"/>
            </w:tcMar>
            <w:vAlign w:val="bottom"/>
          </w:tcPr>
          <w:p w14:paraId="55DC12A5"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76C41F80" w14:textId="77777777" w:rsidR="00D60186" w:rsidRPr="004003C1" w:rsidRDefault="00D60186" w:rsidP="00225D4D">
            <w:pPr>
              <w:rPr>
                <w:sz w:val="21"/>
                <w:szCs w:val="21"/>
              </w:rPr>
            </w:pPr>
            <w:r w:rsidRPr="004003C1">
              <w:rPr>
                <w:sz w:val="21"/>
                <w:szCs w:val="21"/>
              </w:rPr>
              <w:t xml:space="preserve">Evaluere </w:t>
            </w:r>
            <w:proofErr w:type="spellStart"/>
            <w:r w:rsidRPr="004003C1">
              <w:rPr>
                <w:sz w:val="21"/>
                <w:szCs w:val="21"/>
              </w:rPr>
              <w:t>dei</w:t>
            </w:r>
            <w:proofErr w:type="spellEnd"/>
            <w:r w:rsidRPr="004003C1">
              <w:rPr>
                <w:sz w:val="21"/>
                <w:szCs w:val="21"/>
              </w:rPr>
              <w:t xml:space="preserve"> nye rutetidene på FOT-rutene og </w:t>
            </w:r>
            <w:r w:rsidRPr="004003C1">
              <w:rPr>
                <w:sz w:val="21"/>
                <w:szCs w:val="21"/>
              </w:rPr>
              <w:br/>
            </w:r>
            <w:proofErr w:type="spellStart"/>
            <w:r w:rsidRPr="004003C1">
              <w:rPr>
                <w:sz w:val="21"/>
                <w:szCs w:val="21"/>
              </w:rPr>
              <w:t>konsekvensane</w:t>
            </w:r>
            <w:proofErr w:type="spellEnd"/>
            <w:r w:rsidRPr="004003C1">
              <w:rPr>
                <w:sz w:val="21"/>
                <w:szCs w:val="21"/>
              </w:rPr>
              <w:t xml:space="preserve"> av halv pris på </w:t>
            </w:r>
            <w:proofErr w:type="spellStart"/>
            <w:r w:rsidRPr="004003C1">
              <w:rPr>
                <w:sz w:val="21"/>
                <w:szCs w:val="21"/>
              </w:rPr>
              <w:t>fullprisbillettane</w:t>
            </w:r>
            <w:proofErr w:type="spellEnd"/>
          </w:p>
        </w:tc>
        <w:tc>
          <w:tcPr>
            <w:tcW w:w="1300" w:type="dxa"/>
            <w:tcBorders>
              <w:top w:val="nil"/>
              <w:left w:val="nil"/>
              <w:bottom w:val="nil"/>
              <w:right w:val="nil"/>
            </w:tcBorders>
            <w:tcMar>
              <w:top w:w="128" w:type="dxa"/>
              <w:left w:w="43" w:type="dxa"/>
              <w:bottom w:w="43" w:type="dxa"/>
              <w:right w:w="43" w:type="dxa"/>
            </w:tcMar>
          </w:tcPr>
          <w:p w14:paraId="5CF9705A" w14:textId="77777777" w:rsidR="00D60186" w:rsidRPr="004003C1" w:rsidRDefault="00D60186" w:rsidP="004003C1">
            <w:pPr>
              <w:jc w:val="right"/>
              <w:rPr>
                <w:sz w:val="21"/>
                <w:szCs w:val="21"/>
              </w:rPr>
            </w:pPr>
            <w:r w:rsidRPr="004003C1">
              <w:rPr>
                <w:sz w:val="21"/>
                <w:szCs w:val="21"/>
              </w:rPr>
              <w:t>Ja</w:t>
            </w:r>
          </w:p>
        </w:tc>
      </w:tr>
      <w:tr w:rsidR="00E76DC8" w:rsidRPr="00225D4D" w14:paraId="5677A4B6"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6FC250B"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6225DA5B" w14:textId="77777777" w:rsidR="00D60186" w:rsidRPr="004003C1" w:rsidRDefault="00D60186" w:rsidP="004003C1">
            <w:pPr>
              <w:ind w:right="113"/>
              <w:jc w:val="right"/>
              <w:rPr>
                <w:sz w:val="21"/>
                <w:szCs w:val="21"/>
              </w:rPr>
            </w:pPr>
            <w:r w:rsidRPr="004003C1">
              <w:rPr>
                <w:sz w:val="21"/>
                <w:szCs w:val="21"/>
              </w:rPr>
              <w:t>836</w:t>
            </w:r>
          </w:p>
        </w:tc>
        <w:tc>
          <w:tcPr>
            <w:tcW w:w="840" w:type="dxa"/>
            <w:tcBorders>
              <w:top w:val="nil"/>
              <w:left w:val="nil"/>
              <w:bottom w:val="nil"/>
              <w:right w:val="nil"/>
            </w:tcBorders>
            <w:tcMar>
              <w:top w:w="128" w:type="dxa"/>
              <w:left w:w="43" w:type="dxa"/>
              <w:bottom w:w="43" w:type="dxa"/>
              <w:right w:w="43" w:type="dxa"/>
            </w:tcMar>
            <w:vAlign w:val="bottom"/>
          </w:tcPr>
          <w:p w14:paraId="6136BA36"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0B928BB4" w14:textId="77777777" w:rsidR="00D60186" w:rsidRPr="004003C1" w:rsidRDefault="00D60186" w:rsidP="00225D4D">
            <w:pPr>
              <w:rPr>
                <w:sz w:val="21"/>
                <w:szCs w:val="21"/>
              </w:rPr>
            </w:pPr>
            <w:r w:rsidRPr="004003C1">
              <w:rPr>
                <w:sz w:val="21"/>
                <w:szCs w:val="21"/>
              </w:rPr>
              <w:t xml:space="preserve">Innpasse prosjekt som det er </w:t>
            </w:r>
            <w:proofErr w:type="spellStart"/>
            <w:r w:rsidRPr="004003C1">
              <w:rPr>
                <w:sz w:val="21"/>
                <w:szCs w:val="21"/>
              </w:rPr>
              <w:t>fleirtalsvedtak</w:t>
            </w:r>
            <w:proofErr w:type="spellEnd"/>
            <w:r w:rsidRPr="004003C1">
              <w:rPr>
                <w:sz w:val="21"/>
                <w:szCs w:val="21"/>
              </w:rPr>
              <w:t xml:space="preserve"> på, </w:t>
            </w:r>
            <w:r w:rsidRPr="004003C1">
              <w:rPr>
                <w:sz w:val="21"/>
                <w:szCs w:val="21"/>
              </w:rPr>
              <w:br/>
              <w:t xml:space="preserve">i NTP-porteføljen </w:t>
            </w:r>
          </w:p>
        </w:tc>
        <w:tc>
          <w:tcPr>
            <w:tcW w:w="1300" w:type="dxa"/>
            <w:tcBorders>
              <w:top w:val="nil"/>
              <w:left w:val="nil"/>
              <w:bottom w:val="nil"/>
              <w:right w:val="nil"/>
            </w:tcBorders>
            <w:tcMar>
              <w:top w:w="128" w:type="dxa"/>
              <w:left w:w="43" w:type="dxa"/>
              <w:bottom w:w="43" w:type="dxa"/>
              <w:right w:w="43" w:type="dxa"/>
            </w:tcMar>
          </w:tcPr>
          <w:p w14:paraId="100622F4" w14:textId="77777777" w:rsidR="00D60186" w:rsidRPr="004003C1" w:rsidRDefault="00D60186" w:rsidP="004003C1">
            <w:pPr>
              <w:jc w:val="right"/>
              <w:rPr>
                <w:sz w:val="21"/>
                <w:szCs w:val="21"/>
              </w:rPr>
            </w:pPr>
            <w:r w:rsidRPr="004003C1">
              <w:rPr>
                <w:sz w:val="21"/>
                <w:szCs w:val="21"/>
              </w:rPr>
              <w:t>Ja</w:t>
            </w:r>
          </w:p>
        </w:tc>
      </w:tr>
      <w:tr w:rsidR="00E76DC8" w:rsidRPr="00225D4D" w14:paraId="2CBD0F3B"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46F6AB31"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0123ED0" w14:textId="77777777" w:rsidR="00D60186" w:rsidRPr="004003C1" w:rsidRDefault="00D60186" w:rsidP="004003C1">
            <w:pPr>
              <w:ind w:right="113"/>
              <w:jc w:val="right"/>
              <w:rPr>
                <w:sz w:val="21"/>
                <w:szCs w:val="21"/>
              </w:rPr>
            </w:pPr>
            <w:r w:rsidRPr="004003C1">
              <w:rPr>
                <w:sz w:val="21"/>
                <w:szCs w:val="21"/>
              </w:rPr>
              <w:t>917</w:t>
            </w:r>
          </w:p>
        </w:tc>
        <w:tc>
          <w:tcPr>
            <w:tcW w:w="840" w:type="dxa"/>
            <w:tcBorders>
              <w:top w:val="nil"/>
              <w:left w:val="nil"/>
              <w:bottom w:val="nil"/>
              <w:right w:val="nil"/>
            </w:tcBorders>
            <w:tcMar>
              <w:top w:w="128" w:type="dxa"/>
              <w:left w:w="43" w:type="dxa"/>
              <w:bottom w:w="43" w:type="dxa"/>
              <w:right w:w="43" w:type="dxa"/>
            </w:tcMar>
            <w:vAlign w:val="bottom"/>
          </w:tcPr>
          <w:p w14:paraId="57005407"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42A47FAA" w14:textId="77777777" w:rsidR="00D60186" w:rsidRPr="004003C1" w:rsidRDefault="00D60186" w:rsidP="00225D4D">
            <w:pPr>
              <w:rPr>
                <w:sz w:val="21"/>
                <w:szCs w:val="21"/>
              </w:rPr>
            </w:pPr>
            <w:r w:rsidRPr="004003C1">
              <w:rPr>
                <w:sz w:val="21"/>
                <w:szCs w:val="21"/>
              </w:rPr>
              <w:t xml:space="preserve">Direkte nattog </w:t>
            </w:r>
            <w:proofErr w:type="spellStart"/>
            <w:r w:rsidRPr="004003C1">
              <w:rPr>
                <w:sz w:val="21"/>
                <w:szCs w:val="21"/>
              </w:rPr>
              <w:t>frå</w:t>
            </w:r>
            <w:proofErr w:type="spellEnd"/>
            <w:r w:rsidRPr="004003C1">
              <w:rPr>
                <w:sz w:val="21"/>
                <w:szCs w:val="21"/>
              </w:rPr>
              <w:t xml:space="preserve"> Oslo til København og/eller </w:t>
            </w:r>
            <w:r w:rsidRPr="004003C1">
              <w:rPr>
                <w:sz w:val="21"/>
                <w:szCs w:val="21"/>
              </w:rPr>
              <w:br/>
              <w:t>Hamburg</w:t>
            </w:r>
          </w:p>
        </w:tc>
        <w:tc>
          <w:tcPr>
            <w:tcW w:w="1300" w:type="dxa"/>
            <w:tcBorders>
              <w:top w:val="nil"/>
              <w:left w:val="nil"/>
              <w:bottom w:val="nil"/>
              <w:right w:val="nil"/>
            </w:tcBorders>
            <w:tcMar>
              <w:top w:w="128" w:type="dxa"/>
              <w:left w:w="43" w:type="dxa"/>
              <w:bottom w:w="43" w:type="dxa"/>
              <w:right w:w="43" w:type="dxa"/>
            </w:tcMar>
          </w:tcPr>
          <w:p w14:paraId="3BC26C2F" w14:textId="77777777" w:rsidR="00D60186" w:rsidRPr="004003C1" w:rsidRDefault="00D60186" w:rsidP="004003C1">
            <w:pPr>
              <w:jc w:val="right"/>
              <w:rPr>
                <w:sz w:val="21"/>
                <w:szCs w:val="21"/>
              </w:rPr>
            </w:pPr>
            <w:r w:rsidRPr="004003C1">
              <w:rPr>
                <w:sz w:val="21"/>
                <w:szCs w:val="21"/>
              </w:rPr>
              <w:t>Ja</w:t>
            </w:r>
          </w:p>
        </w:tc>
      </w:tr>
      <w:tr w:rsidR="00E76DC8" w:rsidRPr="00225D4D" w14:paraId="52C68AD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BFE2133" w14:textId="77777777" w:rsidR="00D60186" w:rsidRPr="004003C1" w:rsidRDefault="00D60186" w:rsidP="00225D4D">
            <w:pPr>
              <w:rPr>
                <w:sz w:val="21"/>
                <w:szCs w:val="21"/>
              </w:rPr>
            </w:pPr>
            <w:r w:rsidRPr="004003C1">
              <w:rPr>
                <w:sz w:val="21"/>
                <w:szCs w:val="21"/>
              </w:rPr>
              <w:t>2023–2024</w:t>
            </w:r>
          </w:p>
        </w:tc>
        <w:tc>
          <w:tcPr>
            <w:tcW w:w="1120" w:type="dxa"/>
            <w:tcBorders>
              <w:top w:val="nil"/>
              <w:left w:val="nil"/>
              <w:bottom w:val="nil"/>
              <w:right w:val="nil"/>
            </w:tcBorders>
            <w:tcMar>
              <w:top w:w="128" w:type="dxa"/>
              <w:left w:w="43" w:type="dxa"/>
              <w:bottom w:w="43" w:type="dxa"/>
              <w:right w:w="43" w:type="dxa"/>
            </w:tcMar>
          </w:tcPr>
          <w:p w14:paraId="0F4C8868" w14:textId="77777777" w:rsidR="00D60186" w:rsidRPr="004003C1" w:rsidRDefault="00D60186" w:rsidP="004003C1">
            <w:pPr>
              <w:ind w:right="113"/>
              <w:jc w:val="right"/>
              <w:rPr>
                <w:sz w:val="21"/>
                <w:szCs w:val="21"/>
              </w:rPr>
            </w:pPr>
            <w:r w:rsidRPr="004003C1">
              <w:rPr>
                <w:sz w:val="21"/>
                <w:szCs w:val="21"/>
              </w:rPr>
              <w:t>918</w:t>
            </w:r>
          </w:p>
        </w:tc>
        <w:tc>
          <w:tcPr>
            <w:tcW w:w="840" w:type="dxa"/>
            <w:tcBorders>
              <w:top w:val="nil"/>
              <w:left w:val="nil"/>
              <w:bottom w:val="nil"/>
              <w:right w:val="nil"/>
            </w:tcBorders>
            <w:tcMar>
              <w:top w:w="128" w:type="dxa"/>
              <w:left w:w="43" w:type="dxa"/>
              <w:bottom w:w="43" w:type="dxa"/>
              <w:right w:w="43" w:type="dxa"/>
            </w:tcMar>
            <w:vAlign w:val="bottom"/>
          </w:tcPr>
          <w:p w14:paraId="0619C065"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24F6A887" w14:textId="77777777" w:rsidR="00D60186" w:rsidRPr="004003C1" w:rsidRDefault="00D60186" w:rsidP="00225D4D">
            <w:pPr>
              <w:rPr>
                <w:sz w:val="21"/>
                <w:szCs w:val="21"/>
              </w:rPr>
            </w:pPr>
            <w:r w:rsidRPr="004003C1">
              <w:rPr>
                <w:sz w:val="21"/>
                <w:szCs w:val="21"/>
              </w:rPr>
              <w:t xml:space="preserve">Ev. </w:t>
            </w:r>
            <w:proofErr w:type="spellStart"/>
            <w:r w:rsidRPr="004003C1">
              <w:rPr>
                <w:sz w:val="21"/>
                <w:szCs w:val="21"/>
              </w:rPr>
              <w:t>tilskotsordning</w:t>
            </w:r>
            <w:proofErr w:type="spellEnd"/>
            <w:r w:rsidRPr="004003C1">
              <w:rPr>
                <w:sz w:val="21"/>
                <w:szCs w:val="21"/>
              </w:rPr>
              <w:t xml:space="preserve"> til </w:t>
            </w:r>
            <w:proofErr w:type="spellStart"/>
            <w:r w:rsidRPr="004003C1">
              <w:rPr>
                <w:sz w:val="21"/>
                <w:szCs w:val="21"/>
              </w:rPr>
              <w:t>langdistansebussar</w:t>
            </w:r>
            <w:proofErr w:type="spellEnd"/>
            <w:r w:rsidRPr="004003C1">
              <w:rPr>
                <w:sz w:val="21"/>
                <w:szCs w:val="21"/>
              </w:rPr>
              <w:t xml:space="preserve"> på </w:t>
            </w:r>
            <w:proofErr w:type="spellStart"/>
            <w:r w:rsidRPr="004003C1">
              <w:rPr>
                <w:sz w:val="21"/>
                <w:szCs w:val="21"/>
              </w:rPr>
              <w:t>strekningar</w:t>
            </w:r>
            <w:proofErr w:type="spellEnd"/>
            <w:r w:rsidRPr="004003C1">
              <w:rPr>
                <w:sz w:val="21"/>
                <w:szCs w:val="21"/>
              </w:rPr>
              <w:t xml:space="preserve"> </w:t>
            </w:r>
            <w:proofErr w:type="spellStart"/>
            <w:r w:rsidRPr="004003C1">
              <w:rPr>
                <w:sz w:val="21"/>
                <w:szCs w:val="21"/>
              </w:rPr>
              <w:t>utan</w:t>
            </w:r>
            <w:proofErr w:type="spellEnd"/>
            <w:r w:rsidRPr="004003C1">
              <w:rPr>
                <w:sz w:val="21"/>
                <w:szCs w:val="21"/>
              </w:rPr>
              <w:t xml:space="preserve"> tog og </w:t>
            </w:r>
            <w:proofErr w:type="spellStart"/>
            <w:r w:rsidRPr="004003C1">
              <w:rPr>
                <w:sz w:val="21"/>
                <w:szCs w:val="21"/>
              </w:rPr>
              <w:t>tilsvarande</w:t>
            </w:r>
            <w:proofErr w:type="spellEnd"/>
            <w:r w:rsidRPr="004003C1">
              <w:rPr>
                <w:sz w:val="21"/>
                <w:szCs w:val="21"/>
              </w:rPr>
              <w:t xml:space="preserve"> kommersielle </w:t>
            </w:r>
            <w:proofErr w:type="spellStart"/>
            <w:r w:rsidRPr="004003C1">
              <w:rPr>
                <w:sz w:val="21"/>
                <w:szCs w:val="21"/>
              </w:rPr>
              <w:t>tilbod</w:t>
            </w:r>
            <w:proofErr w:type="spellEnd"/>
          </w:p>
        </w:tc>
        <w:tc>
          <w:tcPr>
            <w:tcW w:w="1300" w:type="dxa"/>
            <w:tcBorders>
              <w:top w:val="nil"/>
              <w:left w:val="nil"/>
              <w:bottom w:val="nil"/>
              <w:right w:val="nil"/>
            </w:tcBorders>
            <w:tcMar>
              <w:top w:w="128" w:type="dxa"/>
              <w:left w:w="43" w:type="dxa"/>
              <w:bottom w:w="43" w:type="dxa"/>
              <w:right w:w="43" w:type="dxa"/>
            </w:tcMar>
          </w:tcPr>
          <w:p w14:paraId="25AC019C" w14:textId="77777777" w:rsidR="00D60186" w:rsidRPr="004003C1" w:rsidRDefault="00D60186" w:rsidP="004003C1">
            <w:pPr>
              <w:jc w:val="right"/>
              <w:rPr>
                <w:sz w:val="21"/>
                <w:szCs w:val="21"/>
              </w:rPr>
            </w:pPr>
            <w:r w:rsidRPr="004003C1">
              <w:rPr>
                <w:sz w:val="21"/>
                <w:szCs w:val="21"/>
              </w:rPr>
              <w:t>Nei</w:t>
            </w:r>
          </w:p>
        </w:tc>
      </w:tr>
      <w:tr w:rsidR="00E76DC8" w:rsidRPr="00225D4D" w14:paraId="76B429AC" w14:textId="77777777" w:rsidTr="004003C1">
        <w:trPr>
          <w:trHeight w:val="20"/>
        </w:trPr>
        <w:tc>
          <w:tcPr>
            <w:tcW w:w="1400" w:type="dxa"/>
            <w:tcBorders>
              <w:left w:val="nil"/>
              <w:bottom w:val="nil"/>
              <w:right w:val="nil"/>
            </w:tcBorders>
            <w:tcMar>
              <w:top w:w="128" w:type="dxa"/>
              <w:left w:w="43" w:type="dxa"/>
              <w:bottom w:w="43" w:type="dxa"/>
              <w:right w:w="43" w:type="dxa"/>
            </w:tcMar>
          </w:tcPr>
          <w:p w14:paraId="25C9841F" w14:textId="77777777" w:rsidR="00D60186" w:rsidRPr="004003C1" w:rsidRDefault="00D60186" w:rsidP="00225D4D">
            <w:pPr>
              <w:rPr>
                <w:sz w:val="21"/>
                <w:szCs w:val="21"/>
              </w:rPr>
            </w:pPr>
            <w:r w:rsidRPr="004003C1">
              <w:rPr>
                <w:sz w:val="21"/>
                <w:szCs w:val="21"/>
              </w:rPr>
              <w:t>2023–2024</w:t>
            </w:r>
          </w:p>
        </w:tc>
        <w:tc>
          <w:tcPr>
            <w:tcW w:w="1120" w:type="dxa"/>
            <w:tcBorders>
              <w:left w:val="nil"/>
              <w:bottom w:val="nil"/>
              <w:right w:val="nil"/>
            </w:tcBorders>
            <w:tcMar>
              <w:top w:w="128" w:type="dxa"/>
              <w:left w:w="43" w:type="dxa"/>
              <w:bottom w:w="43" w:type="dxa"/>
              <w:right w:w="43" w:type="dxa"/>
            </w:tcMar>
          </w:tcPr>
          <w:p w14:paraId="3EDE5235" w14:textId="77777777" w:rsidR="00D60186" w:rsidRPr="004003C1" w:rsidRDefault="00D60186" w:rsidP="004003C1">
            <w:pPr>
              <w:ind w:right="113"/>
              <w:jc w:val="right"/>
              <w:rPr>
                <w:sz w:val="21"/>
                <w:szCs w:val="21"/>
              </w:rPr>
            </w:pPr>
            <w:r w:rsidRPr="004003C1">
              <w:rPr>
                <w:sz w:val="21"/>
                <w:szCs w:val="21"/>
              </w:rPr>
              <w:t>919</w:t>
            </w:r>
          </w:p>
        </w:tc>
        <w:tc>
          <w:tcPr>
            <w:tcW w:w="840" w:type="dxa"/>
            <w:tcBorders>
              <w:left w:val="nil"/>
              <w:bottom w:val="nil"/>
              <w:right w:val="nil"/>
            </w:tcBorders>
            <w:tcMar>
              <w:top w:w="128" w:type="dxa"/>
              <w:left w:w="43" w:type="dxa"/>
              <w:bottom w:w="43" w:type="dxa"/>
              <w:right w:w="43" w:type="dxa"/>
            </w:tcMar>
            <w:vAlign w:val="bottom"/>
          </w:tcPr>
          <w:p w14:paraId="720496E3" w14:textId="77777777" w:rsidR="00D60186" w:rsidRPr="004003C1" w:rsidRDefault="00D60186" w:rsidP="004003C1">
            <w:pPr>
              <w:ind w:right="113"/>
              <w:jc w:val="right"/>
              <w:rPr>
                <w:sz w:val="21"/>
                <w:szCs w:val="21"/>
              </w:rPr>
            </w:pPr>
          </w:p>
        </w:tc>
        <w:tc>
          <w:tcPr>
            <w:tcW w:w="4860" w:type="dxa"/>
            <w:tcBorders>
              <w:left w:val="nil"/>
              <w:bottom w:val="nil"/>
              <w:right w:val="nil"/>
            </w:tcBorders>
            <w:tcMar>
              <w:top w:w="128" w:type="dxa"/>
              <w:left w:w="43" w:type="dxa"/>
              <w:bottom w:w="43" w:type="dxa"/>
              <w:right w:w="43" w:type="dxa"/>
            </w:tcMar>
          </w:tcPr>
          <w:p w14:paraId="351D884A" w14:textId="77777777" w:rsidR="00D60186" w:rsidRPr="004003C1" w:rsidRDefault="00D60186" w:rsidP="00225D4D">
            <w:pPr>
              <w:rPr>
                <w:sz w:val="21"/>
                <w:szCs w:val="21"/>
              </w:rPr>
            </w:pPr>
            <w:r w:rsidRPr="004003C1">
              <w:rPr>
                <w:sz w:val="21"/>
                <w:szCs w:val="21"/>
              </w:rPr>
              <w:t xml:space="preserve">Arbeidet med trikk til Bjerke/Tonsenhagen </w:t>
            </w:r>
          </w:p>
        </w:tc>
        <w:tc>
          <w:tcPr>
            <w:tcW w:w="1300" w:type="dxa"/>
            <w:tcBorders>
              <w:left w:val="nil"/>
              <w:bottom w:val="nil"/>
              <w:right w:val="nil"/>
            </w:tcBorders>
            <w:tcMar>
              <w:top w:w="128" w:type="dxa"/>
              <w:left w:w="43" w:type="dxa"/>
              <w:bottom w:w="43" w:type="dxa"/>
              <w:right w:w="43" w:type="dxa"/>
            </w:tcMar>
          </w:tcPr>
          <w:p w14:paraId="4902423E" w14:textId="77777777" w:rsidR="00D60186" w:rsidRPr="004003C1" w:rsidRDefault="00D60186" w:rsidP="004003C1">
            <w:pPr>
              <w:jc w:val="right"/>
              <w:rPr>
                <w:sz w:val="21"/>
                <w:szCs w:val="21"/>
              </w:rPr>
            </w:pPr>
            <w:r w:rsidRPr="004003C1">
              <w:rPr>
                <w:sz w:val="21"/>
                <w:szCs w:val="21"/>
              </w:rPr>
              <w:t>Nei</w:t>
            </w:r>
          </w:p>
        </w:tc>
      </w:tr>
      <w:tr w:rsidR="00E76DC8" w:rsidRPr="00225D4D" w14:paraId="21910E3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8AFB3ED"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07968276" w14:textId="77777777" w:rsidR="00D60186" w:rsidRPr="004003C1" w:rsidRDefault="00D60186" w:rsidP="004003C1">
            <w:pPr>
              <w:ind w:right="113"/>
              <w:jc w:val="right"/>
              <w:rPr>
                <w:sz w:val="21"/>
                <w:szCs w:val="21"/>
              </w:rPr>
            </w:pPr>
            <w:r w:rsidRPr="004003C1">
              <w:rPr>
                <w:sz w:val="21"/>
                <w:szCs w:val="21"/>
              </w:rPr>
              <w:t>71</w:t>
            </w:r>
          </w:p>
        </w:tc>
        <w:tc>
          <w:tcPr>
            <w:tcW w:w="840" w:type="dxa"/>
            <w:tcBorders>
              <w:top w:val="nil"/>
              <w:left w:val="nil"/>
              <w:bottom w:val="nil"/>
              <w:right w:val="nil"/>
            </w:tcBorders>
            <w:tcMar>
              <w:top w:w="128" w:type="dxa"/>
              <w:left w:w="43" w:type="dxa"/>
              <w:bottom w:w="43" w:type="dxa"/>
              <w:right w:w="43" w:type="dxa"/>
            </w:tcMar>
            <w:vAlign w:val="bottom"/>
          </w:tcPr>
          <w:p w14:paraId="3417A9FB"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0AE0D61B" w14:textId="77777777" w:rsidR="00D60186" w:rsidRPr="004003C1" w:rsidRDefault="00D60186" w:rsidP="00225D4D">
            <w:pPr>
              <w:rPr>
                <w:sz w:val="21"/>
                <w:szCs w:val="21"/>
              </w:rPr>
            </w:pPr>
            <w:r w:rsidRPr="004003C1">
              <w:rPr>
                <w:sz w:val="21"/>
                <w:szCs w:val="21"/>
              </w:rPr>
              <w:t xml:space="preserve">Vurdere korleis regelverket for autonome </w:t>
            </w:r>
            <w:proofErr w:type="spellStart"/>
            <w:r w:rsidRPr="004003C1">
              <w:rPr>
                <w:sz w:val="21"/>
                <w:szCs w:val="21"/>
              </w:rPr>
              <w:t>køyretøy</w:t>
            </w:r>
            <w:proofErr w:type="spellEnd"/>
            <w:r w:rsidRPr="004003C1">
              <w:rPr>
                <w:sz w:val="21"/>
                <w:szCs w:val="21"/>
              </w:rPr>
              <w:t xml:space="preserve"> kan </w:t>
            </w:r>
            <w:proofErr w:type="spellStart"/>
            <w:r w:rsidRPr="004003C1">
              <w:rPr>
                <w:sz w:val="21"/>
                <w:szCs w:val="21"/>
              </w:rPr>
              <w:t>medverke</w:t>
            </w:r>
            <w:proofErr w:type="spellEnd"/>
            <w:r w:rsidRPr="004003C1">
              <w:rPr>
                <w:sz w:val="21"/>
                <w:szCs w:val="21"/>
              </w:rPr>
              <w:t xml:space="preserve"> til teknologi- og industriutvikling</w:t>
            </w:r>
          </w:p>
        </w:tc>
        <w:tc>
          <w:tcPr>
            <w:tcW w:w="1300" w:type="dxa"/>
            <w:tcBorders>
              <w:top w:val="nil"/>
              <w:left w:val="nil"/>
              <w:bottom w:val="nil"/>
              <w:right w:val="nil"/>
            </w:tcBorders>
            <w:tcMar>
              <w:top w:w="128" w:type="dxa"/>
              <w:left w:w="43" w:type="dxa"/>
              <w:bottom w:w="43" w:type="dxa"/>
              <w:right w:w="43" w:type="dxa"/>
            </w:tcMar>
          </w:tcPr>
          <w:p w14:paraId="6E828E11" w14:textId="77777777" w:rsidR="00D60186" w:rsidRPr="004003C1" w:rsidRDefault="00D60186" w:rsidP="004003C1">
            <w:pPr>
              <w:jc w:val="right"/>
              <w:rPr>
                <w:sz w:val="21"/>
                <w:szCs w:val="21"/>
              </w:rPr>
            </w:pPr>
            <w:r w:rsidRPr="004003C1">
              <w:rPr>
                <w:sz w:val="21"/>
                <w:szCs w:val="21"/>
              </w:rPr>
              <w:t>Ja</w:t>
            </w:r>
          </w:p>
        </w:tc>
      </w:tr>
      <w:tr w:rsidR="00E76DC8" w:rsidRPr="00225D4D" w14:paraId="46C44847"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54DB77D9"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0291A331" w14:textId="77777777" w:rsidR="00D60186" w:rsidRPr="004003C1" w:rsidRDefault="00D60186" w:rsidP="004003C1">
            <w:pPr>
              <w:ind w:right="113"/>
              <w:jc w:val="right"/>
              <w:rPr>
                <w:sz w:val="21"/>
                <w:szCs w:val="21"/>
              </w:rPr>
            </w:pPr>
            <w:r w:rsidRPr="004003C1">
              <w:rPr>
                <w:sz w:val="21"/>
                <w:szCs w:val="21"/>
              </w:rPr>
              <w:t>72</w:t>
            </w:r>
          </w:p>
        </w:tc>
        <w:tc>
          <w:tcPr>
            <w:tcW w:w="840" w:type="dxa"/>
            <w:tcBorders>
              <w:top w:val="nil"/>
              <w:left w:val="nil"/>
              <w:bottom w:val="nil"/>
              <w:right w:val="nil"/>
            </w:tcBorders>
            <w:tcMar>
              <w:top w:w="128" w:type="dxa"/>
              <w:left w:w="43" w:type="dxa"/>
              <w:bottom w:w="43" w:type="dxa"/>
              <w:right w:w="43" w:type="dxa"/>
            </w:tcMar>
            <w:vAlign w:val="bottom"/>
          </w:tcPr>
          <w:p w14:paraId="282E3CBC"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0DCB90A" w14:textId="77777777" w:rsidR="00D60186" w:rsidRPr="004003C1" w:rsidRDefault="00D60186" w:rsidP="00225D4D">
            <w:pPr>
              <w:rPr>
                <w:sz w:val="21"/>
                <w:szCs w:val="21"/>
              </w:rPr>
            </w:pPr>
            <w:r w:rsidRPr="004003C1">
              <w:rPr>
                <w:sz w:val="21"/>
                <w:szCs w:val="21"/>
              </w:rPr>
              <w:t xml:space="preserve">Foreslå varierte </w:t>
            </w:r>
            <w:proofErr w:type="spellStart"/>
            <w:r w:rsidRPr="004003C1">
              <w:rPr>
                <w:sz w:val="21"/>
                <w:szCs w:val="21"/>
              </w:rPr>
              <w:t>strekningar</w:t>
            </w:r>
            <w:proofErr w:type="spellEnd"/>
            <w:r w:rsidRPr="004003C1">
              <w:rPr>
                <w:sz w:val="21"/>
                <w:szCs w:val="21"/>
              </w:rPr>
              <w:t xml:space="preserve"> som kan </w:t>
            </w:r>
            <w:proofErr w:type="spellStart"/>
            <w:r w:rsidRPr="004003C1">
              <w:rPr>
                <w:sz w:val="21"/>
                <w:szCs w:val="21"/>
              </w:rPr>
              <w:t>førehandsgodkjennast</w:t>
            </w:r>
            <w:proofErr w:type="spellEnd"/>
            <w:r w:rsidRPr="004003C1">
              <w:rPr>
                <w:sz w:val="21"/>
                <w:szCs w:val="21"/>
              </w:rPr>
              <w:t xml:space="preserve"> for autonom køyring</w:t>
            </w:r>
          </w:p>
        </w:tc>
        <w:tc>
          <w:tcPr>
            <w:tcW w:w="1300" w:type="dxa"/>
            <w:tcBorders>
              <w:top w:val="nil"/>
              <w:left w:val="nil"/>
              <w:bottom w:val="nil"/>
              <w:right w:val="nil"/>
            </w:tcBorders>
            <w:tcMar>
              <w:top w:w="128" w:type="dxa"/>
              <w:left w:w="43" w:type="dxa"/>
              <w:bottom w:w="43" w:type="dxa"/>
              <w:right w:w="43" w:type="dxa"/>
            </w:tcMar>
          </w:tcPr>
          <w:p w14:paraId="7EB37CB6" w14:textId="77777777" w:rsidR="00D60186" w:rsidRPr="004003C1" w:rsidRDefault="00D60186" w:rsidP="004003C1">
            <w:pPr>
              <w:jc w:val="right"/>
              <w:rPr>
                <w:sz w:val="21"/>
                <w:szCs w:val="21"/>
              </w:rPr>
            </w:pPr>
            <w:r w:rsidRPr="004003C1">
              <w:rPr>
                <w:sz w:val="21"/>
                <w:szCs w:val="21"/>
              </w:rPr>
              <w:t>Ja</w:t>
            </w:r>
          </w:p>
        </w:tc>
      </w:tr>
      <w:tr w:rsidR="00E76DC8" w:rsidRPr="00225D4D" w14:paraId="100B2035"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315B6DD"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23152BC8" w14:textId="77777777" w:rsidR="00D60186" w:rsidRPr="004003C1" w:rsidRDefault="00D60186" w:rsidP="004003C1">
            <w:pPr>
              <w:ind w:right="113"/>
              <w:jc w:val="right"/>
              <w:rPr>
                <w:sz w:val="21"/>
                <w:szCs w:val="21"/>
              </w:rPr>
            </w:pPr>
            <w:r w:rsidRPr="004003C1">
              <w:rPr>
                <w:sz w:val="21"/>
                <w:szCs w:val="21"/>
              </w:rPr>
              <w:t>73</w:t>
            </w:r>
          </w:p>
        </w:tc>
        <w:tc>
          <w:tcPr>
            <w:tcW w:w="840" w:type="dxa"/>
            <w:tcBorders>
              <w:top w:val="nil"/>
              <w:left w:val="nil"/>
              <w:bottom w:val="nil"/>
              <w:right w:val="nil"/>
            </w:tcBorders>
            <w:tcMar>
              <w:top w:w="128" w:type="dxa"/>
              <w:left w:w="43" w:type="dxa"/>
              <w:bottom w:w="43" w:type="dxa"/>
              <w:right w:w="43" w:type="dxa"/>
            </w:tcMar>
            <w:vAlign w:val="bottom"/>
          </w:tcPr>
          <w:p w14:paraId="7E3D55EB"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2161667" w14:textId="77777777" w:rsidR="00D60186" w:rsidRPr="004003C1" w:rsidRDefault="00D60186" w:rsidP="00225D4D">
            <w:pPr>
              <w:rPr>
                <w:sz w:val="21"/>
                <w:szCs w:val="21"/>
              </w:rPr>
            </w:pPr>
            <w:r w:rsidRPr="004003C1">
              <w:rPr>
                <w:sz w:val="21"/>
                <w:szCs w:val="21"/>
              </w:rPr>
              <w:t xml:space="preserve">Vurdere korleis kompleksiteten i testinga av autonome </w:t>
            </w:r>
            <w:proofErr w:type="spellStart"/>
            <w:r w:rsidRPr="004003C1">
              <w:rPr>
                <w:sz w:val="21"/>
                <w:szCs w:val="21"/>
              </w:rPr>
              <w:t>køyretøy</w:t>
            </w:r>
            <w:proofErr w:type="spellEnd"/>
            <w:r w:rsidRPr="004003C1">
              <w:rPr>
                <w:sz w:val="21"/>
                <w:szCs w:val="21"/>
              </w:rPr>
              <w:t xml:space="preserve"> kan </w:t>
            </w:r>
            <w:proofErr w:type="spellStart"/>
            <w:r w:rsidRPr="004003C1">
              <w:rPr>
                <w:sz w:val="21"/>
                <w:szCs w:val="21"/>
              </w:rPr>
              <w:t>aukast</w:t>
            </w:r>
            <w:proofErr w:type="spellEnd"/>
            <w:r w:rsidRPr="004003C1">
              <w:rPr>
                <w:sz w:val="21"/>
                <w:szCs w:val="21"/>
              </w:rPr>
              <w:t xml:space="preserve"> og </w:t>
            </w:r>
            <w:proofErr w:type="spellStart"/>
            <w:r w:rsidRPr="004003C1">
              <w:rPr>
                <w:sz w:val="21"/>
                <w:szCs w:val="21"/>
              </w:rPr>
              <w:t>tilpassast</w:t>
            </w:r>
            <w:proofErr w:type="spellEnd"/>
            <w:r w:rsidRPr="004003C1">
              <w:rPr>
                <w:sz w:val="21"/>
                <w:szCs w:val="21"/>
              </w:rPr>
              <w:t xml:space="preserve"> godkjenningsprosedyren for </w:t>
            </w:r>
            <w:proofErr w:type="spellStart"/>
            <w:r w:rsidRPr="004003C1">
              <w:rPr>
                <w:sz w:val="21"/>
                <w:szCs w:val="21"/>
              </w:rPr>
              <w:t>testane</w:t>
            </w:r>
            <w:proofErr w:type="spellEnd"/>
            <w:r w:rsidRPr="004003C1">
              <w:rPr>
                <w:sz w:val="21"/>
                <w:szCs w:val="21"/>
              </w:rPr>
              <w:t xml:space="preserve"> </w:t>
            </w:r>
          </w:p>
        </w:tc>
        <w:tc>
          <w:tcPr>
            <w:tcW w:w="1300" w:type="dxa"/>
            <w:tcBorders>
              <w:top w:val="nil"/>
              <w:left w:val="nil"/>
              <w:bottom w:val="nil"/>
              <w:right w:val="nil"/>
            </w:tcBorders>
            <w:tcMar>
              <w:top w:w="128" w:type="dxa"/>
              <w:left w:w="43" w:type="dxa"/>
              <w:bottom w:w="43" w:type="dxa"/>
              <w:right w:w="43" w:type="dxa"/>
            </w:tcMar>
          </w:tcPr>
          <w:p w14:paraId="746634F9" w14:textId="77777777" w:rsidR="00D60186" w:rsidRPr="004003C1" w:rsidRDefault="00D60186" w:rsidP="004003C1">
            <w:pPr>
              <w:jc w:val="right"/>
              <w:rPr>
                <w:sz w:val="21"/>
                <w:szCs w:val="21"/>
              </w:rPr>
            </w:pPr>
            <w:r w:rsidRPr="004003C1">
              <w:rPr>
                <w:sz w:val="21"/>
                <w:szCs w:val="21"/>
              </w:rPr>
              <w:t>Ja</w:t>
            </w:r>
          </w:p>
        </w:tc>
      </w:tr>
      <w:tr w:rsidR="00E76DC8" w:rsidRPr="00225D4D" w14:paraId="2F2D1879"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15DF4C86"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32877E28" w14:textId="77777777" w:rsidR="00D60186" w:rsidRPr="004003C1" w:rsidRDefault="00D60186" w:rsidP="004003C1">
            <w:pPr>
              <w:ind w:right="113"/>
              <w:jc w:val="right"/>
              <w:rPr>
                <w:sz w:val="21"/>
                <w:szCs w:val="21"/>
              </w:rPr>
            </w:pPr>
            <w:r w:rsidRPr="004003C1">
              <w:rPr>
                <w:sz w:val="21"/>
                <w:szCs w:val="21"/>
              </w:rPr>
              <w:t>74</w:t>
            </w:r>
          </w:p>
        </w:tc>
        <w:tc>
          <w:tcPr>
            <w:tcW w:w="840" w:type="dxa"/>
            <w:tcBorders>
              <w:top w:val="nil"/>
              <w:left w:val="nil"/>
              <w:bottom w:val="nil"/>
              <w:right w:val="nil"/>
            </w:tcBorders>
            <w:tcMar>
              <w:top w:w="128" w:type="dxa"/>
              <w:left w:w="43" w:type="dxa"/>
              <w:bottom w:w="43" w:type="dxa"/>
              <w:right w:w="43" w:type="dxa"/>
            </w:tcMar>
            <w:vAlign w:val="bottom"/>
          </w:tcPr>
          <w:p w14:paraId="12FF9755"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725D4056" w14:textId="77777777" w:rsidR="00D60186" w:rsidRPr="004003C1" w:rsidRDefault="00D60186" w:rsidP="00225D4D">
            <w:pPr>
              <w:rPr>
                <w:sz w:val="21"/>
                <w:szCs w:val="21"/>
              </w:rPr>
            </w:pPr>
            <w:r w:rsidRPr="004003C1">
              <w:rPr>
                <w:sz w:val="21"/>
                <w:szCs w:val="21"/>
              </w:rPr>
              <w:t xml:space="preserve">Endre regelverket slik at autonome </w:t>
            </w:r>
            <w:proofErr w:type="spellStart"/>
            <w:r w:rsidRPr="004003C1">
              <w:rPr>
                <w:sz w:val="21"/>
                <w:szCs w:val="21"/>
              </w:rPr>
              <w:t>køyretøy</w:t>
            </w:r>
            <w:proofErr w:type="spellEnd"/>
            <w:r w:rsidRPr="004003C1">
              <w:rPr>
                <w:sz w:val="21"/>
                <w:szCs w:val="21"/>
              </w:rPr>
              <w:t xml:space="preserve"> kan </w:t>
            </w:r>
            <w:proofErr w:type="spellStart"/>
            <w:r w:rsidRPr="004003C1">
              <w:rPr>
                <w:sz w:val="21"/>
                <w:szCs w:val="21"/>
              </w:rPr>
              <w:t>køyre</w:t>
            </w:r>
            <w:proofErr w:type="spellEnd"/>
            <w:r w:rsidRPr="004003C1">
              <w:rPr>
                <w:sz w:val="21"/>
                <w:szCs w:val="21"/>
              </w:rPr>
              <w:t xml:space="preserve"> i normal trafikk og i normal </w:t>
            </w:r>
            <w:proofErr w:type="spellStart"/>
            <w:r w:rsidRPr="004003C1">
              <w:rPr>
                <w:sz w:val="21"/>
                <w:szCs w:val="21"/>
              </w:rPr>
              <w:t>hastigheit</w:t>
            </w:r>
            <w:proofErr w:type="spellEnd"/>
            <w:r w:rsidRPr="004003C1">
              <w:rPr>
                <w:sz w:val="21"/>
                <w:szCs w:val="21"/>
              </w:rPr>
              <w:t xml:space="preserve"> på </w:t>
            </w:r>
            <w:proofErr w:type="spellStart"/>
            <w:r w:rsidRPr="004003C1">
              <w:rPr>
                <w:sz w:val="21"/>
                <w:szCs w:val="21"/>
              </w:rPr>
              <w:t>delar</w:t>
            </w:r>
            <w:proofErr w:type="spellEnd"/>
            <w:r w:rsidRPr="004003C1">
              <w:rPr>
                <w:sz w:val="21"/>
                <w:szCs w:val="21"/>
              </w:rPr>
              <w:t xml:space="preserve"> av vegnettet</w:t>
            </w:r>
          </w:p>
        </w:tc>
        <w:tc>
          <w:tcPr>
            <w:tcW w:w="1300" w:type="dxa"/>
            <w:tcBorders>
              <w:top w:val="nil"/>
              <w:left w:val="nil"/>
              <w:bottom w:val="nil"/>
              <w:right w:val="nil"/>
            </w:tcBorders>
            <w:tcMar>
              <w:top w:w="128" w:type="dxa"/>
              <w:left w:w="43" w:type="dxa"/>
              <w:bottom w:w="43" w:type="dxa"/>
              <w:right w:w="43" w:type="dxa"/>
            </w:tcMar>
          </w:tcPr>
          <w:p w14:paraId="7E7A26BD" w14:textId="77777777" w:rsidR="00D60186" w:rsidRPr="004003C1" w:rsidRDefault="00D60186" w:rsidP="004003C1">
            <w:pPr>
              <w:jc w:val="right"/>
              <w:rPr>
                <w:sz w:val="21"/>
                <w:szCs w:val="21"/>
              </w:rPr>
            </w:pPr>
            <w:r w:rsidRPr="004003C1">
              <w:rPr>
                <w:sz w:val="21"/>
                <w:szCs w:val="21"/>
              </w:rPr>
              <w:t>Ja</w:t>
            </w:r>
          </w:p>
        </w:tc>
      </w:tr>
      <w:tr w:rsidR="00E76DC8" w:rsidRPr="00225D4D" w14:paraId="16B05F96"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0109E84"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489E0F82" w14:textId="77777777" w:rsidR="00D60186" w:rsidRPr="004003C1" w:rsidRDefault="00D60186" w:rsidP="004003C1">
            <w:pPr>
              <w:ind w:right="113"/>
              <w:jc w:val="right"/>
              <w:rPr>
                <w:sz w:val="21"/>
                <w:szCs w:val="21"/>
              </w:rPr>
            </w:pPr>
            <w:r w:rsidRPr="004003C1">
              <w:rPr>
                <w:sz w:val="21"/>
                <w:szCs w:val="21"/>
              </w:rPr>
              <w:t>84</w:t>
            </w:r>
          </w:p>
        </w:tc>
        <w:tc>
          <w:tcPr>
            <w:tcW w:w="840" w:type="dxa"/>
            <w:tcBorders>
              <w:top w:val="nil"/>
              <w:left w:val="nil"/>
              <w:bottom w:val="nil"/>
              <w:right w:val="nil"/>
            </w:tcBorders>
            <w:tcMar>
              <w:top w:w="128" w:type="dxa"/>
              <w:left w:w="43" w:type="dxa"/>
              <w:bottom w:w="43" w:type="dxa"/>
              <w:right w:w="43" w:type="dxa"/>
            </w:tcMar>
            <w:vAlign w:val="bottom"/>
          </w:tcPr>
          <w:p w14:paraId="72C5DB3F"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2B78E4BE" w14:textId="77777777" w:rsidR="00D60186" w:rsidRPr="004003C1" w:rsidRDefault="00D60186" w:rsidP="00225D4D">
            <w:pPr>
              <w:rPr>
                <w:sz w:val="21"/>
                <w:szCs w:val="21"/>
              </w:rPr>
            </w:pPr>
            <w:r w:rsidRPr="004003C1">
              <w:rPr>
                <w:sz w:val="21"/>
                <w:szCs w:val="21"/>
              </w:rPr>
              <w:t xml:space="preserve">Gjeninnføre plikta til å </w:t>
            </w:r>
            <w:proofErr w:type="spellStart"/>
            <w:r w:rsidRPr="004003C1">
              <w:rPr>
                <w:sz w:val="21"/>
                <w:szCs w:val="21"/>
              </w:rPr>
              <w:t>vere</w:t>
            </w:r>
            <w:proofErr w:type="spellEnd"/>
            <w:r w:rsidRPr="004003C1">
              <w:rPr>
                <w:sz w:val="21"/>
                <w:szCs w:val="21"/>
              </w:rPr>
              <w:t xml:space="preserve"> tilknytt </w:t>
            </w:r>
            <w:proofErr w:type="spellStart"/>
            <w:r w:rsidRPr="004003C1">
              <w:rPr>
                <w:sz w:val="21"/>
                <w:szCs w:val="21"/>
              </w:rPr>
              <w:t>ein</w:t>
            </w:r>
            <w:proofErr w:type="spellEnd"/>
            <w:r w:rsidRPr="004003C1">
              <w:rPr>
                <w:sz w:val="21"/>
                <w:szCs w:val="21"/>
              </w:rPr>
              <w:t xml:space="preserve"> drosjesentral og driveplikt og </w:t>
            </w:r>
            <w:proofErr w:type="spellStart"/>
            <w:r w:rsidRPr="004003C1">
              <w:rPr>
                <w:sz w:val="21"/>
                <w:szCs w:val="21"/>
              </w:rPr>
              <w:t>talavgrensing</w:t>
            </w:r>
            <w:proofErr w:type="spellEnd"/>
            <w:r w:rsidRPr="004003C1">
              <w:rPr>
                <w:sz w:val="21"/>
                <w:szCs w:val="21"/>
              </w:rPr>
              <w:t xml:space="preserve"> i drosjenæringa</w:t>
            </w:r>
          </w:p>
        </w:tc>
        <w:tc>
          <w:tcPr>
            <w:tcW w:w="1300" w:type="dxa"/>
            <w:tcBorders>
              <w:top w:val="nil"/>
              <w:left w:val="nil"/>
              <w:bottom w:val="nil"/>
              <w:right w:val="nil"/>
            </w:tcBorders>
            <w:tcMar>
              <w:top w:w="128" w:type="dxa"/>
              <w:left w:w="43" w:type="dxa"/>
              <w:bottom w:w="43" w:type="dxa"/>
              <w:right w:w="43" w:type="dxa"/>
            </w:tcMar>
          </w:tcPr>
          <w:p w14:paraId="57EC1361" w14:textId="77777777" w:rsidR="00D60186" w:rsidRPr="004003C1" w:rsidRDefault="00D60186" w:rsidP="004003C1">
            <w:pPr>
              <w:jc w:val="right"/>
              <w:rPr>
                <w:sz w:val="21"/>
                <w:szCs w:val="21"/>
              </w:rPr>
            </w:pPr>
            <w:r w:rsidRPr="004003C1">
              <w:rPr>
                <w:sz w:val="21"/>
                <w:szCs w:val="21"/>
              </w:rPr>
              <w:t>Ja</w:t>
            </w:r>
          </w:p>
        </w:tc>
      </w:tr>
      <w:tr w:rsidR="00E76DC8" w:rsidRPr="00225D4D" w14:paraId="07E1F088"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74FADD3"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16CC3133" w14:textId="77777777" w:rsidR="00D60186" w:rsidRPr="004003C1" w:rsidRDefault="00D60186" w:rsidP="004003C1">
            <w:pPr>
              <w:ind w:right="113"/>
              <w:jc w:val="right"/>
              <w:rPr>
                <w:sz w:val="21"/>
                <w:szCs w:val="21"/>
              </w:rPr>
            </w:pPr>
            <w:r w:rsidRPr="004003C1">
              <w:rPr>
                <w:sz w:val="21"/>
                <w:szCs w:val="21"/>
              </w:rPr>
              <w:t>94</w:t>
            </w:r>
          </w:p>
        </w:tc>
        <w:tc>
          <w:tcPr>
            <w:tcW w:w="840" w:type="dxa"/>
            <w:tcBorders>
              <w:top w:val="nil"/>
              <w:left w:val="nil"/>
              <w:bottom w:val="nil"/>
              <w:right w:val="nil"/>
            </w:tcBorders>
            <w:tcMar>
              <w:top w:w="128" w:type="dxa"/>
              <w:left w:w="43" w:type="dxa"/>
              <w:bottom w:w="43" w:type="dxa"/>
              <w:right w:w="43" w:type="dxa"/>
            </w:tcMar>
            <w:vAlign w:val="bottom"/>
          </w:tcPr>
          <w:p w14:paraId="32883830"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2EE047EE" w14:textId="77777777" w:rsidR="00D60186" w:rsidRPr="004003C1" w:rsidRDefault="00D60186" w:rsidP="00225D4D">
            <w:pPr>
              <w:rPr>
                <w:sz w:val="21"/>
                <w:szCs w:val="21"/>
              </w:rPr>
            </w:pPr>
            <w:r w:rsidRPr="004003C1">
              <w:rPr>
                <w:sz w:val="21"/>
                <w:szCs w:val="21"/>
              </w:rPr>
              <w:t xml:space="preserve">Nullutsleppskrav til all løyvebasert </w:t>
            </w:r>
            <w:proofErr w:type="spellStart"/>
            <w:r w:rsidRPr="004003C1">
              <w:rPr>
                <w:sz w:val="21"/>
                <w:szCs w:val="21"/>
              </w:rPr>
              <w:t>verksemd</w:t>
            </w:r>
            <w:proofErr w:type="spellEnd"/>
          </w:p>
        </w:tc>
        <w:tc>
          <w:tcPr>
            <w:tcW w:w="1300" w:type="dxa"/>
            <w:tcBorders>
              <w:top w:val="nil"/>
              <w:left w:val="nil"/>
              <w:bottom w:val="nil"/>
              <w:right w:val="nil"/>
            </w:tcBorders>
            <w:tcMar>
              <w:top w:w="128" w:type="dxa"/>
              <w:left w:w="43" w:type="dxa"/>
              <w:bottom w:w="43" w:type="dxa"/>
              <w:right w:w="43" w:type="dxa"/>
            </w:tcMar>
          </w:tcPr>
          <w:p w14:paraId="6D343BAB" w14:textId="77777777" w:rsidR="00D60186" w:rsidRPr="004003C1" w:rsidRDefault="00D60186" w:rsidP="004003C1">
            <w:pPr>
              <w:jc w:val="right"/>
              <w:rPr>
                <w:sz w:val="21"/>
                <w:szCs w:val="21"/>
              </w:rPr>
            </w:pPr>
            <w:r w:rsidRPr="004003C1">
              <w:rPr>
                <w:sz w:val="21"/>
                <w:szCs w:val="21"/>
              </w:rPr>
              <w:t>Nei</w:t>
            </w:r>
          </w:p>
        </w:tc>
      </w:tr>
      <w:tr w:rsidR="00E76DC8" w:rsidRPr="00225D4D" w14:paraId="5B99744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01D549FB"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6E83DAFA" w14:textId="77777777" w:rsidR="00D60186" w:rsidRPr="004003C1" w:rsidRDefault="00D60186" w:rsidP="004003C1">
            <w:pPr>
              <w:ind w:right="113"/>
              <w:jc w:val="right"/>
              <w:rPr>
                <w:sz w:val="21"/>
                <w:szCs w:val="21"/>
              </w:rPr>
            </w:pPr>
            <w:r w:rsidRPr="004003C1">
              <w:rPr>
                <w:sz w:val="21"/>
                <w:szCs w:val="21"/>
              </w:rPr>
              <w:t>117</w:t>
            </w:r>
          </w:p>
        </w:tc>
        <w:tc>
          <w:tcPr>
            <w:tcW w:w="840" w:type="dxa"/>
            <w:tcBorders>
              <w:top w:val="nil"/>
              <w:left w:val="nil"/>
              <w:bottom w:val="nil"/>
              <w:right w:val="nil"/>
            </w:tcBorders>
            <w:tcMar>
              <w:top w:w="128" w:type="dxa"/>
              <w:left w:w="43" w:type="dxa"/>
              <w:bottom w:w="43" w:type="dxa"/>
              <w:right w:w="43" w:type="dxa"/>
            </w:tcMar>
            <w:vAlign w:val="bottom"/>
          </w:tcPr>
          <w:p w14:paraId="53749CE3"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3BB388CE" w14:textId="77777777" w:rsidR="00D60186" w:rsidRPr="004003C1" w:rsidRDefault="00D60186" w:rsidP="00225D4D">
            <w:pPr>
              <w:rPr>
                <w:sz w:val="21"/>
                <w:szCs w:val="21"/>
              </w:rPr>
            </w:pPr>
            <w:r w:rsidRPr="004003C1">
              <w:rPr>
                <w:sz w:val="21"/>
                <w:szCs w:val="21"/>
              </w:rPr>
              <w:t xml:space="preserve">Pilot/utviklingskontrakt for å innfase null- og </w:t>
            </w:r>
            <w:r w:rsidRPr="004003C1">
              <w:rPr>
                <w:sz w:val="21"/>
                <w:szCs w:val="21"/>
              </w:rPr>
              <w:br/>
            </w:r>
            <w:proofErr w:type="spellStart"/>
            <w:r w:rsidRPr="004003C1">
              <w:rPr>
                <w:sz w:val="21"/>
                <w:szCs w:val="21"/>
              </w:rPr>
              <w:t>lågutsleppsfly</w:t>
            </w:r>
            <w:proofErr w:type="spellEnd"/>
            <w:r w:rsidRPr="004003C1">
              <w:rPr>
                <w:sz w:val="21"/>
                <w:szCs w:val="21"/>
              </w:rPr>
              <w:t xml:space="preserve"> for </w:t>
            </w:r>
            <w:proofErr w:type="gramStart"/>
            <w:r w:rsidRPr="004003C1">
              <w:rPr>
                <w:sz w:val="21"/>
                <w:szCs w:val="21"/>
              </w:rPr>
              <w:t>ei eigna</w:t>
            </w:r>
            <w:proofErr w:type="gramEnd"/>
            <w:r w:rsidRPr="004003C1">
              <w:rPr>
                <w:sz w:val="21"/>
                <w:szCs w:val="21"/>
              </w:rPr>
              <w:t xml:space="preserve"> rute</w:t>
            </w:r>
          </w:p>
        </w:tc>
        <w:tc>
          <w:tcPr>
            <w:tcW w:w="1300" w:type="dxa"/>
            <w:tcBorders>
              <w:top w:val="nil"/>
              <w:left w:val="nil"/>
              <w:bottom w:val="nil"/>
              <w:right w:val="nil"/>
            </w:tcBorders>
            <w:tcMar>
              <w:top w:w="128" w:type="dxa"/>
              <w:left w:w="43" w:type="dxa"/>
              <w:bottom w:w="43" w:type="dxa"/>
              <w:right w:w="43" w:type="dxa"/>
            </w:tcMar>
          </w:tcPr>
          <w:p w14:paraId="71942697" w14:textId="77777777" w:rsidR="00D60186" w:rsidRPr="004003C1" w:rsidRDefault="00D60186" w:rsidP="004003C1">
            <w:pPr>
              <w:jc w:val="right"/>
              <w:rPr>
                <w:sz w:val="21"/>
                <w:szCs w:val="21"/>
              </w:rPr>
            </w:pPr>
            <w:r w:rsidRPr="004003C1">
              <w:rPr>
                <w:sz w:val="21"/>
                <w:szCs w:val="21"/>
              </w:rPr>
              <w:t>Ja</w:t>
            </w:r>
          </w:p>
        </w:tc>
      </w:tr>
      <w:tr w:rsidR="00E76DC8" w:rsidRPr="00225D4D" w14:paraId="5EE8DE6D"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90F9B25"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56BFA6DE" w14:textId="77777777" w:rsidR="00D60186" w:rsidRPr="004003C1" w:rsidRDefault="00D60186" w:rsidP="004003C1">
            <w:pPr>
              <w:ind w:right="113"/>
              <w:jc w:val="right"/>
              <w:rPr>
                <w:sz w:val="21"/>
                <w:szCs w:val="21"/>
              </w:rPr>
            </w:pPr>
            <w:r w:rsidRPr="004003C1">
              <w:rPr>
                <w:sz w:val="21"/>
                <w:szCs w:val="21"/>
              </w:rPr>
              <w:t>464</w:t>
            </w:r>
          </w:p>
        </w:tc>
        <w:tc>
          <w:tcPr>
            <w:tcW w:w="840" w:type="dxa"/>
            <w:tcBorders>
              <w:top w:val="nil"/>
              <w:left w:val="nil"/>
              <w:bottom w:val="nil"/>
              <w:right w:val="nil"/>
            </w:tcBorders>
            <w:tcMar>
              <w:top w:w="128" w:type="dxa"/>
              <w:left w:w="43" w:type="dxa"/>
              <w:bottom w:w="43" w:type="dxa"/>
              <w:right w:w="43" w:type="dxa"/>
            </w:tcMar>
            <w:vAlign w:val="bottom"/>
          </w:tcPr>
          <w:p w14:paraId="117176FB"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48EE36FA" w14:textId="77777777" w:rsidR="00D60186" w:rsidRPr="004003C1" w:rsidRDefault="00D60186" w:rsidP="00225D4D">
            <w:pPr>
              <w:rPr>
                <w:sz w:val="21"/>
                <w:szCs w:val="21"/>
              </w:rPr>
            </w:pPr>
            <w:r w:rsidRPr="004003C1">
              <w:rPr>
                <w:sz w:val="21"/>
                <w:szCs w:val="21"/>
              </w:rPr>
              <w:t xml:space="preserve">Ettermontering av kontaktlaus kortbetaling på </w:t>
            </w:r>
            <w:r w:rsidRPr="004003C1">
              <w:rPr>
                <w:sz w:val="21"/>
                <w:szCs w:val="21"/>
              </w:rPr>
              <w:br/>
              <w:t>ladeinfrastruktur</w:t>
            </w:r>
          </w:p>
        </w:tc>
        <w:tc>
          <w:tcPr>
            <w:tcW w:w="1300" w:type="dxa"/>
            <w:tcBorders>
              <w:top w:val="nil"/>
              <w:left w:val="nil"/>
              <w:bottom w:val="nil"/>
              <w:right w:val="nil"/>
            </w:tcBorders>
            <w:tcMar>
              <w:top w:w="128" w:type="dxa"/>
              <w:left w:w="43" w:type="dxa"/>
              <w:bottom w:w="43" w:type="dxa"/>
              <w:right w:w="43" w:type="dxa"/>
            </w:tcMar>
          </w:tcPr>
          <w:p w14:paraId="75BFECB5" w14:textId="77777777" w:rsidR="00D60186" w:rsidRPr="004003C1" w:rsidRDefault="00D60186" w:rsidP="004003C1">
            <w:pPr>
              <w:jc w:val="right"/>
              <w:rPr>
                <w:sz w:val="21"/>
                <w:szCs w:val="21"/>
              </w:rPr>
            </w:pPr>
            <w:r w:rsidRPr="004003C1">
              <w:rPr>
                <w:sz w:val="21"/>
                <w:szCs w:val="21"/>
              </w:rPr>
              <w:t>Nei</w:t>
            </w:r>
          </w:p>
        </w:tc>
      </w:tr>
      <w:tr w:rsidR="00E76DC8" w:rsidRPr="00225D4D" w14:paraId="033D5846"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6A9F369" w14:textId="77777777" w:rsidR="00D60186" w:rsidRPr="004003C1" w:rsidRDefault="00D60186" w:rsidP="00225D4D">
            <w:pPr>
              <w:rPr>
                <w:sz w:val="21"/>
                <w:szCs w:val="21"/>
              </w:rPr>
            </w:pPr>
            <w:r w:rsidRPr="004003C1">
              <w:rPr>
                <w:sz w:val="21"/>
                <w:szCs w:val="21"/>
              </w:rPr>
              <w:t>2022–2023</w:t>
            </w:r>
          </w:p>
        </w:tc>
        <w:tc>
          <w:tcPr>
            <w:tcW w:w="1120" w:type="dxa"/>
            <w:tcBorders>
              <w:top w:val="nil"/>
              <w:left w:val="nil"/>
              <w:bottom w:val="nil"/>
              <w:right w:val="nil"/>
            </w:tcBorders>
            <w:tcMar>
              <w:top w:w="128" w:type="dxa"/>
              <w:left w:w="43" w:type="dxa"/>
              <w:bottom w:w="43" w:type="dxa"/>
              <w:right w:w="43" w:type="dxa"/>
            </w:tcMar>
          </w:tcPr>
          <w:p w14:paraId="60EBC7A1" w14:textId="77777777" w:rsidR="00D60186" w:rsidRPr="004003C1" w:rsidRDefault="00D60186" w:rsidP="004003C1">
            <w:pPr>
              <w:ind w:right="113"/>
              <w:jc w:val="right"/>
              <w:rPr>
                <w:sz w:val="21"/>
                <w:szCs w:val="21"/>
              </w:rPr>
            </w:pPr>
            <w:r w:rsidRPr="004003C1">
              <w:rPr>
                <w:sz w:val="21"/>
                <w:szCs w:val="21"/>
              </w:rPr>
              <w:t>634</w:t>
            </w:r>
          </w:p>
        </w:tc>
        <w:tc>
          <w:tcPr>
            <w:tcW w:w="840" w:type="dxa"/>
            <w:tcBorders>
              <w:top w:val="nil"/>
              <w:left w:val="nil"/>
              <w:bottom w:val="nil"/>
              <w:right w:val="nil"/>
            </w:tcBorders>
            <w:tcMar>
              <w:top w:w="128" w:type="dxa"/>
              <w:left w:w="43" w:type="dxa"/>
              <w:bottom w:w="43" w:type="dxa"/>
              <w:right w:w="43" w:type="dxa"/>
            </w:tcMar>
            <w:vAlign w:val="bottom"/>
          </w:tcPr>
          <w:p w14:paraId="50564613"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8CB37E6" w14:textId="77777777" w:rsidR="00D60186" w:rsidRPr="004003C1" w:rsidRDefault="00D60186" w:rsidP="00225D4D">
            <w:pPr>
              <w:rPr>
                <w:sz w:val="21"/>
                <w:szCs w:val="21"/>
              </w:rPr>
            </w:pPr>
            <w:r w:rsidRPr="004003C1">
              <w:rPr>
                <w:sz w:val="21"/>
                <w:szCs w:val="21"/>
              </w:rPr>
              <w:t xml:space="preserve">Plan for å handtere FOT-rutene viss det </w:t>
            </w:r>
            <w:proofErr w:type="spellStart"/>
            <w:r w:rsidRPr="004003C1">
              <w:rPr>
                <w:sz w:val="21"/>
                <w:szCs w:val="21"/>
              </w:rPr>
              <w:t>ikkje</w:t>
            </w:r>
            <w:proofErr w:type="spellEnd"/>
            <w:r w:rsidRPr="004003C1">
              <w:rPr>
                <w:sz w:val="21"/>
                <w:szCs w:val="21"/>
              </w:rPr>
              <w:t xml:space="preserve"> blir </w:t>
            </w:r>
            <w:proofErr w:type="spellStart"/>
            <w:r w:rsidRPr="004003C1">
              <w:rPr>
                <w:sz w:val="21"/>
                <w:szCs w:val="21"/>
              </w:rPr>
              <w:t>mogleg</w:t>
            </w:r>
            <w:proofErr w:type="spellEnd"/>
            <w:r w:rsidRPr="004003C1">
              <w:rPr>
                <w:sz w:val="21"/>
                <w:szCs w:val="21"/>
              </w:rPr>
              <w:t xml:space="preserve"> å erstatte dagens rutefly</w:t>
            </w:r>
          </w:p>
        </w:tc>
        <w:tc>
          <w:tcPr>
            <w:tcW w:w="1300" w:type="dxa"/>
            <w:tcBorders>
              <w:top w:val="nil"/>
              <w:left w:val="nil"/>
              <w:bottom w:val="nil"/>
              <w:right w:val="nil"/>
            </w:tcBorders>
            <w:tcMar>
              <w:top w:w="128" w:type="dxa"/>
              <w:left w:w="43" w:type="dxa"/>
              <w:bottom w:w="43" w:type="dxa"/>
              <w:right w:w="43" w:type="dxa"/>
            </w:tcMar>
          </w:tcPr>
          <w:p w14:paraId="472C22BC" w14:textId="77777777" w:rsidR="00D60186" w:rsidRPr="004003C1" w:rsidRDefault="00D60186" w:rsidP="004003C1">
            <w:pPr>
              <w:jc w:val="right"/>
              <w:rPr>
                <w:sz w:val="21"/>
                <w:szCs w:val="21"/>
              </w:rPr>
            </w:pPr>
            <w:r w:rsidRPr="004003C1">
              <w:rPr>
                <w:sz w:val="21"/>
                <w:szCs w:val="21"/>
              </w:rPr>
              <w:t>Ja</w:t>
            </w:r>
          </w:p>
        </w:tc>
      </w:tr>
      <w:tr w:rsidR="00E76DC8" w:rsidRPr="00225D4D" w14:paraId="2A1E39B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3701DF7" w14:textId="77777777" w:rsidR="00D60186" w:rsidRPr="004003C1" w:rsidRDefault="00D60186" w:rsidP="00225D4D">
            <w:pPr>
              <w:rPr>
                <w:sz w:val="21"/>
                <w:szCs w:val="21"/>
              </w:rPr>
            </w:pPr>
            <w:r w:rsidRPr="004003C1">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5F3A70D6" w14:textId="77777777" w:rsidR="00D60186" w:rsidRPr="004003C1" w:rsidRDefault="00D60186" w:rsidP="004003C1">
            <w:pPr>
              <w:ind w:right="113"/>
              <w:jc w:val="right"/>
              <w:rPr>
                <w:sz w:val="21"/>
                <w:szCs w:val="21"/>
              </w:rPr>
            </w:pPr>
            <w:r w:rsidRPr="004003C1">
              <w:rPr>
                <w:sz w:val="21"/>
                <w:szCs w:val="21"/>
              </w:rPr>
              <w:t>35</w:t>
            </w:r>
          </w:p>
        </w:tc>
        <w:tc>
          <w:tcPr>
            <w:tcW w:w="840" w:type="dxa"/>
            <w:tcBorders>
              <w:top w:val="nil"/>
              <w:left w:val="nil"/>
              <w:bottom w:val="nil"/>
              <w:right w:val="nil"/>
            </w:tcBorders>
            <w:tcMar>
              <w:top w:w="128" w:type="dxa"/>
              <w:left w:w="43" w:type="dxa"/>
              <w:bottom w:w="43" w:type="dxa"/>
              <w:right w:w="43" w:type="dxa"/>
            </w:tcMar>
          </w:tcPr>
          <w:p w14:paraId="6007A5FF" w14:textId="77777777" w:rsidR="00D60186" w:rsidRPr="004003C1" w:rsidRDefault="00D60186" w:rsidP="004003C1">
            <w:pPr>
              <w:ind w:right="113"/>
              <w:jc w:val="right"/>
              <w:rPr>
                <w:sz w:val="21"/>
                <w:szCs w:val="21"/>
              </w:rPr>
            </w:pPr>
            <w:r w:rsidRPr="004003C1">
              <w:rPr>
                <w:sz w:val="21"/>
                <w:szCs w:val="21"/>
              </w:rPr>
              <w:t>1</w:t>
            </w:r>
          </w:p>
        </w:tc>
        <w:tc>
          <w:tcPr>
            <w:tcW w:w="4860" w:type="dxa"/>
            <w:tcBorders>
              <w:top w:val="nil"/>
              <w:left w:val="nil"/>
              <w:bottom w:val="nil"/>
              <w:right w:val="nil"/>
            </w:tcBorders>
            <w:tcMar>
              <w:top w:w="128" w:type="dxa"/>
              <w:left w:w="43" w:type="dxa"/>
              <w:bottom w:w="43" w:type="dxa"/>
              <w:right w:w="43" w:type="dxa"/>
            </w:tcMar>
          </w:tcPr>
          <w:p w14:paraId="207802D4" w14:textId="77777777" w:rsidR="00D60186" w:rsidRPr="004003C1" w:rsidRDefault="00D60186" w:rsidP="00225D4D">
            <w:pPr>
              <w:rPr>
                <w:sz w:val="21"/>
                <w:szCs w:val="21"/>
              </w:rPr>
            </w:pPr>
            <w:r w:rsidRPr="004003C1">
              <w:rPr>
                <w:sz w:val="21"/>
                <w:szCs w:val="21"/>
              </w:rPr>
              <w:t xml:space="preserve">Basere </w:t>
            </w:r>
            <w:proofErr w:type="spellStart"/>
            <w:r w:rsidRPr="004003C1">
              <w:rPr>
                <w:sz w:val="21"/>
                <w:szCs w:val="21"/>
              </w:rPr>
              <w:t>anbod</w:t>
            </w:r>
            <w:proofErr w:type="spellEnd"/>
            <w:r w:rsidRPr="004003C1">
              <w:rPr>
                <w:sz w:val="21"/>
                <w:szCs w:val="21"/>
              </w:rPr>
              <w:t xml:space="preserve"> i fylkeskommunal ferje- og båttrafikk på nullutsleppsteknologi</w:t>
            </w:r>
          </w:p>
        </w:tc>
        <w:tc>
          <w:tcPr>
            <w:tcW w:w="1300" w:type="dxa"/>
            <w:tcBorders>
              <w:top w:val="nil"/>
              <w:left w:val="nil"/>
              <w:bottom w:val="nil"/>
              <w:right w:val="nil"/>
            </w:tcBorders>
            <w:tcMar>
              <w:top w:w="128" w:type="dxa"/>
              <w:left w:w="43" w:type="dxa"/>
              <w:bottom w:w="43" w:type="dxa"/>
              <w:right w:w="43" w:type="dxa"/>
            </w:tcMar>
          </w:tcPr>
          <w:p w14:paraId="371134AA" w14:textId="77777777" w:rsidR="00D60186" w:rsidRPr="004003C1" w:rsidRDefault="00D60186" w:rsidP="004003C1">
            <w:pPr>
              <w:jc w:val="right"/>
              <w:rPr>
                <w:sz w:val="21"/>
                <w:szCs w:val="21"/>
              </w:rPr>
            </w:pPr>
            <w:r w:rsidRPr="004003C1">
              <w:rPr>
                <w:sz w:val="21"/>
                <w:szCs w:val="21"/>
              </w:rPr>
              <w:t>Ja</w:t>
            </w:r>
          </w:p>
        </w:tc>
      </w:tr>
      <w:tr w:rsidR="00E76DC8" w:rsidRPr="00225D4D" w14:paraId="1AB4CAAA"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649836A1" w14:textId="77777777" w:rsidR="00D60186" w:rsidRPr="004003C1" w:rsidRDefault="00D60186" w:rsidP="00225D4D">
            <w:pPr>
              <w:rPr>
                <w:sz w:val="21"/>
                <w:szCs w:val="21"/>
              </w:rPr>
            </w:pPr>
            <w:r w:rsidRPr="004003C1">
              <w:rPr>
                <w:sz w:val="21"/>
                <w:szCs w:val="21"/>
              </w:rPr>
              <w:t>2021–2022</w:t>
            </w:r>
          </w:p>
        </w:tc>
        <w:tc>
          <w:tcPr>
            <w:tcW w:w="1120" w:type="dxa"/>
            <w:tcBorders>
              <w:top w:val="nil"/>
              <w:left w:val="nil"/>
              <w:bottom w:val="nil"/>
              <w:right w:val="nil"/>
            </w:tcBorders>
            <w:tcMar>
              <w:top w:w="128" w:type="dxa"/>
              <w:left w:w="43" w:type="dxa"/>
              <w:bottom w:w="43" w:type="dxa"/>
              <w:right w:w="43" w:type="dxa"/>
            </w:tcMar>
          </w:tcPr>
          <w:p w14:paraId="3E74BDF1" w14:textId="77777777" w:rsidR="00D60186" w:rsidRPr="004003C1" w:rsidRDefault="00D60186" w:rsidP="004003C1">
            <w:pPr>
              <w:ind w:right="113"/>
              <w:jc w:val="right"/>
              <w:rPr>
                <w:sz w:val="21"/>
                <w:szCs w:val="21"/>
              </w:rPr>
            </w:pPr>
            <w:r w:rsidRPr="004003C1">
              <w:rPr>
                <w:sz w:val="21"/>
                <w:szCs w:val="21"/>
              </w:rPr>
              <w:t>553</w:t>
            </w:r>
          </w:p>
        </w:tc>
        <w:tc>
          <w:tcPr>
            <w:tcW w:w="840" w:type="dxa"/>
            <w:tcBorders>
              <w:top w:val="nil"/>
              <w:left w:val="nil"/>
              <w:bottom w:val="nil"/>
              <w:right w:val="nil"/>
            </w:tcBorders>
            <w:tcMar>
              <w:top w:w="128" w:type="dxa"/>
              <w:left w:w="43" w:type="dxa"/>
              <w:bottom w:w="43" w:type="dxa"/>
              <w:right w:w="43" w:type="dxa"/>
            </w:tcMar>
            <w:vAlign w:val="bottom"/>
          </w:tcPr>
          <w:p w14:paraId="1FA79F45"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7C95CFF0" w14:textId="77777777" w:rsidR="00D60186" w:rsidRPr="004003C1" w:rsidRDefault="00D60186" w:rsidP="00225D4D">
            <w:pPr>
              <w:rPr>
                <w:sz w:val="21"/>
                <w:szCs w:val="21"/>
              </w:rPr>
            </w:pPr>
            <w:r w:rsidRPr="004003C1">
              <w:rPr>
                <w:sz w:val="21"/>
                <w:szCs w:val="21"/>
              </w:rPr>
              <w:t xml:space="preserve">Framdriftsplan for å få </w:t>
            </w:r>
            <w:proofErr w:type="spellStart"/>
            <w:r w:rsidRPr="004003C1">
              <w:rPr>
                <w:sz w:val="21"/>
                <w:szCs w:val="21"/>
              </w:rPr>
              <w:t>dieseldrivne</w:t>
            </w:r>
            <w:proofErr w:type="spellEnd"/>
            <w:r w:rsidRPr="004003C1">
              <w:rPr>
                <w:sz w:val="21"/>
                <w:szCs w:val="21"/>
              </w:rPr>
              <w:t xml:space="preserve"> </w:t>
            </w:r>
            <w:proofErr w:type="spellStart"/>
            <w:r w:rsidRPr="004003C1">
              <w:rPr>
                <w:sz w:val="21"/>
                <w:szCs w:val="21"/>
              </w:rPr>
              <w:t>jernbanestrekningar</w:t>
            </w:r>
            <w:proofErr w:type="spellEnd"/>
            <w:r w:rsidRPr="004003C1">
              <w:rPr>
                <w:sz w:val="21"/>
                <w:szCs w:val="21"/>
              </w:rPr>
              <w:t xml:space="preserve"> over på nullutsleppsteknologi</w:t>
            </w:r>
          </w:p>
        </w:tc>
        <w:tc>
          <w:tcPr>
            <w:tcW w:w="1300" w:type="dxa"/>
            <w:tcBorders>
              <w:top w:val="nil"/>
              <w:left w:val="nil"/>
              <w:bottom w:val="nil"/>
              <w:right w:val="nil"/>
            </w:tcBorders>
            <w:tcMar>
              <w:top w:w="128" w:type="dxa"/>
              <w:left w:w="43" w:type="dxa"/>
              <w:bottom w:w="43" w:type="dxa"/>
              <w:right w:w="43" w:type="dxa"/>
            </w:tcMar>
          </w:tcPr>
          <w:p w14:paraId="1A571B08" w14:textId="77777777" w:rsidR="00D60186" w:rsidRPr="004003C1" w:rsidRDefault="00D60186" w:rsidP="004003C1">
            <w:pPr>
              <w:jc w:val="right"/>
              <w:rPr>
                <w:sz w:val="21"/>
                <w:szCs w:val="21"/>
              </w:rPr>
            </w:pPr>
            <w:r w:rsidRPr="004003C1">
              <w:rPr>
                <w:sz w:val="21"/>
                <w:szCs w:val="21"/>
              </w:rPr>
              <w:t>Nei</w:t>
            </w:r>
          </w:p>
        </w:tc>
      </w:tr>
      <w:tr w:rsidR="00E76DC8" w:rsidRPr="00225D4D" w14:paraId="79C78AAE"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24CF9D8C" w14:textId="77777777" w:rsidR="00D60186" w:rsidRPr="004003C1" w:rsidRDefault="00D60186" w:rsidP="00225D4D">
            <w:pPr>
              <w:rPr>
                <w:sz w:val="21"/>
                <w:szCs w:val="21"/>
              </w:rPr>
            </w:pPr>
            <w:r w:rsidRPr="004003C1">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4BDBC9C4" w14:textId="77777777" w:rsidR="00D60186" w:rsidRPr="004003C1" w:rsidRDefault="00D60186" w:rsidP="004003C1">
            <w:pPr>
              <w:ind w:right="113"/>
              <w:jc w:val="right"/>
              <w:rPr>
                <w:sz w:val="21"/>
                <w:szCs w:val="21"/>
              </w:rPr>
            </w:pPr>
            <w:r w:rsidRPr="004003C1">
              <w:rPr>
                <w:sz w:val="21"/>
                <w:szCs w:val="21"/>
              </w:rPr>
              <w:t>800</w:t>
            </w:r>
          </w:p>
        </w:tc>
        <w:tc>
          <w:tcPr>
            <w:tcW w:w="840" w:type="dxa"/>
            <w:tcBorders>
              <w:top w:val="nil"/>
              <w:left w:val="nil"/>
              <w:bottom w:val="nil"/>
              <w:right w:val="nil"/>
            </w:tcBorders>
            <w:tcMar>
              <w:top w:w="128" w:type="dxa"/>
              <w:left w:w="43" w:type="dxa"/>
              <w:bottom w:w="43" w:type="dxa"/>
              <w:right w:w="43" w:type="dxa"/>
            </w:tcMar>
            <w:vAlign w:val="bottom"/>
          </w:tcPr>
          <w:p w14:paraId="49D85019"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0A85BE81" w14:textId="77777777" w:rsidR="00D60186" w:rsidRPr="004003C1" w:rsidRDefault="00D60186" w:rsidP="00225D4D">
            <w:pPr>
              <w:rPr>
                <w:sz w:val="21"/>
                <w:szCs w:val="21"/>
              </w:rPr>
            </w:pPr>
            <w:r w:rsidRPr="004003C1">
              <w:rPr>
                <w:sz w:val="21"/>
                <w:szCs w:val="21"/>
              </w:rPr>
              <w:t xml:space="preserve">Forskriftsendring knytt til endring av </w:t>
            </w:r>
            <w:proofErr w:type="gramStart"/>
            <w:r w:rsidRPr="004003C1">
              <w:rPr>
                <w:sz w:val="21"/>
                <w:szCs w:val="21"/>
              </w:rPr>
              <w:t>tillate</w:t>
            </w:r>
            <w:proofErr w:type="gramEnd"/>
            <w:r w:rsidRPr="004003C1">
              <w:rPr>
                <w:sz w:val="21"/>
                <w:szCs w:val="21"/>
              </w:rPr>
              <w:t xml:space="preserve"> </w:t>
            </w:r>
            <w:r w:rsidRPr="004003C1">
              <w:rPr>
                <w:sz w:val="21"/>
                <w:szCs w:val="21"/>
              </w:rPr>
              <w:br/>
              <w:t xml:space="preserve">totalvekt på 7 500 kg eller </w:t>
            </w:r>
            <w:proofErr w:type="spellStart"/>
            <w:r w:rsidRPr="004003C1">
              <w:rPr>
                <w:sz w:val="21"/>
                <w:szCs w:val="21"/>
              </w:rPr>
              <w:t>meir</w:t>
            </w:r>
            <w:proofErr w:type="spellEnd"/>
          </w:p>
        </w:tc>
        <w:tc>
          <w:tcPr>
            <w:tcW w:w="1300" w:type="dxa"/>
            <w:tcBorders>
              <w:top w:val="nil"/>
              <w:left w:val="nil"/>
              <w:bottom w:val="nil"/>
              <w:right w:val="nil"/>
            </w:tcBorders>
            <w:tcMar>
              <w:top w:w="128" w:type="dxa"/>
              <w:left w:w="43" w:type="dxa"/>
              <w:bottom w:w="43" w:type="dxa"/>
              <w:right w:w="43" w:type="dxa"/>
            </w:tcMar>
          </w:tcPr>
          <w:p w14:paraId="47EA1229" w14:textId="77777777" w:rsidR="00D60186" w:rsidRPr="004003C1" w:rsidRDefault="00D60186" w:rsidP="004003C1">
            <w:pPr>
              <w:jc w:val="right"/>
              <w:rPr>
                <w:sz w:val="21"/>
                <w:szCs w:val="21"/>
              </w:rPr>
            </w:pPr>
            <w:r w:rsidRPr="004003C1">
              <w:rPr>
                <w:sz w:val="21"/>
                <w:szCs w:val="21"/>
              </w:rPr>
              <w:t>Nei</w:t>
            </w:r>
          </w:p>
        </w:tc>
      </w:tr>
      <w:tr w:rsidR="00E76DC8" w:rsidRPr="00225D4D" w14:paraId="0C81B692" w14:textId="77777777" w:rsidTr="004003C1">
        <w:trPr>
          <w:trHeight w:val="20"/>
        </w:trPr>
        <w:tc>
          <w:tcPr>
            <w:tcW w:w="1400" w:type="dxa"/>
            <w:tcBorders>
              <w:top w:val="nil"/>
              <w:left w:val="nil"/>
              <w:bottom w:val="nil"/>
              <w:right w:val="nil"/>
            </w:tcBorders>
            <w:tcMar>
              <w:top w:w="128" w:type="dxa"/>
              <w:left w:w="43" w:type="dxa"/>
              <w:bottom w:w="43" w:type="dxa"/>
              <w:right w:w="43" w:type="dxa"/>
            </w:tcMar>
          </w:tcPr>
          <w:p w14:paraId="7720229A" w14:textId="77777777" w:rsidR="00D60186" w:rsidRPr="004003C1" w:rsidRDefault="00D60186" w:rsidP="00225D4D">
            <w:pPr>
              <w:rPr>
                <w:sz w:val="21"/>
                <w:szCs w:val="21"/>
              </w:rPr>
            </w:pPr>
            <w:r w:rsidRPr="004003C1">
              <w:rPr>
                <w:sz w:val="21"/>
                <w:szCs w:val="21"/>
              </w:rPr>
              <w:t>2020–2021</w:t>
            </w:r>
          </w:p>
        </w:tc>
        <w:tc>
          <w:tcPr>
            <w:tcW w:w="1120" w:type="dxa"/>
            <w:tcBorders>
              <w:top w:val="nil"/>
              <w:left w:val="nil"/>
              <w:bottom w:val="nil"/>
              <w:right w:val="nil"/>
            </w:tcBorders>
            <w:tcMar>
              <w:top w:w="128" w:type="dxa"/>
              <w:left w:w="43" w:type="dxa"/>
              <w:bottom w:w="43" w:type="dxa"/>
              <w:right w:w="43" w:type="dxa"/>
            </w:tcMar>
          </w:tcPr>
          <w:p w14:paraId="26DC75A4" w14:textId="77777777" w:rsidR="00D60186" w:rsidRPr="004003C1" w:rsidRDefault="00D60186" w:rsidP="004003C1">
            <w:pPr>
              <w:ind w:right="113"/>
              <w:jc w:val="right"/>
              <w:rPr>
                <w:sz w:val="21"/>
                <w:szCs w:val="21"/>
              </w:rPr>
            </w:pPr>
            <w:r w:rsidRPr="004003C1">
              <w:rPr>
                <w:sz w:val="21"/>
                <w:szCs w:val="21"/>
              </w:rPr>
              <w:t>960</w:t>
            </w:r>
          </w:p>
        </w:tc>
        <w:tc>
          <w:tcPr>
            <w:tcW w:w="840" w:type="dxa"/>
            <w:tcBorders>
              <w:top w:val="nil"/>
              <w:left w:val="nil"/>
              <w:bottom w:val="nil"/>
              <w:right w:val="nil"/>
            </w:tcBorders>
            <w:tcMar>
              <w:top w:w="128" w:type="dxa"/>
              <w:left w:w="43" w:type="dxa"/>
              <w:bottom w:w="43" w:type="dxa"/>
              <w:right w:w="43" w:type="dxa"/>
            </w:tcMar>
            <w:vAlign w:val="bottom"/>
          </w:tcPr>
          <w:p w14:paraId="7299EC9E" w14:textId="77777777" w:rsidR="00D60186" w:rsidRPr="004003C1" w:rsidRDefault="00D60186" w:rsidP="004003C1">
            <w:pPr>
              <w:ind w:right="113"/>
              <w:jc w:val="right"/>
              <w:rPr>
                <w:sz w:val="21"/>
                <w:szCs w:val="21"/>
              </w:rPr>
            </w:pPr>
          </w:p>
        </w:tc>
        <w:tc>
          <w:tcPr>
            <w:tcW w:w="4860" w:type="dxa"/>
            <w:tcBorders>
              <w:top w:val="nil"/>
              <w:left w:val="nil"/>
              <w:bottom w:val="nil"/>
              <w:right w:val="nil"/>
            </w:tcBorders>
            <w:tcMar>
              <w:top w:w="128" w:type="dxa"/>
              <w:left w:w="43" w:type="dxa"/>
              <w:bottom w:w="43" w:type="dxa"/>
              <w:right w:w="43" w:type="dxa"/>
            </w:tcMar>
          </w:tcPr>
          <w:p w14:paraId="161753A6" w14:textId="77777777" w:rsidR="00D60186" w:rsidRPr="004003C1" w:rsidRDefault="00D60186" w:rsidP="00225D4D">
            <w:pPr>
              <w:rPr>
                <w:sz w:val="21"/>
                <w:szCs w:val="21"/>
              </w:rPr>
            </w:pPr>
            <w:r w:rsidRPr="004003C1">
              <w:rPr>
                <w:sz w:val="21"/>
                <w:szCs w:val="21"/>
              </w:rPr>
              <w:t xml:space="preserve">Medisinsk grunna dispensasjon for svaksynte etter </w:t>
            </w:r>
            <w:proofErr w:type="spellStart"/>
            <w:r w:rsidRPr="004003C1">
              <w:rPr>
                <w:sz w:val="21"/>
                <w:szCs w:val="21"/>
              </w:rPr>
              <w:t>førarkortregelverket</w:t>
            </w:r>
            <w:proofErr w:type="spellEnd"/>
            <w:r w:rsidRPr="004003C1">
              <w:rPr>
                <w:sz w:val="21"/>
                <w:szCs w:val="21"/>
              </w:rPr>
              <w:t xml:space="preserve"> </w:t>
            </w:r>
          </w:p>
        </w:tc>
        <w:tc>
          <w:tcPr>
            <w:tcW w:w="1300" w:type="dxa"/>
            <w:tcBorders>
              <w:top w:val="nil"/>
              <w:left w:val="nil"/>
              <w:bottom w:val="nil"/>
              <w:right w:val="nil"/>
            </w:tcBorders>
            <w:tcMar>
              <w:top w:w="128" w:type="dxa"/>
              <w:left w:w="43" w:type="dxa"/>
              <w:bottom w:w="43" w:type="dxa"/>
              <w:right w:w="43" w:type="dxa"/>
            </w:tcMar>
          </w:tcPr>
          <w:p w14:paraId="17F0D0AA" w14:textId="77777777" w:rsidR="00D60186" w:rsidRPr="004003C1" w:rsidRDefault="00D60186" w:rsidP="004003C1">
            <w:pPr>
              <w:jc w:val="right"/>
              <w:rPr>
                <w:sz w:val="21"/>
                <w:szCs w:val="21"/>
              </w:rPr>
            </w:pPr>
            <w:r w:rsidRPr="004003C1">
              <w:rPr>
                <w:sz w:val="21"/>
                <w:szCs w:val="21"/>
              </w:rPr>
              <w:t>Ja</w:t>
            </w:r>
          </w:p>
        </w:tc>
      </w:tr>
      <w:tr w:rsidR="00E76DC8" w:rsidRPr="00225D4D" w14:paraId="127ADF41" w14:textId="77777777" w:rsidTr="004003C1">
        <w:trPr>
          <w:trHeight w:val="20"/>
        </w:trPr>
        <w:tc>
          <w:tcPr>
            <w:tcW w:w="1400" w:type="dxa"/>
            <w:tcBorders>
              <w:top w:val="nil"/>
              <w:left w:val="nil"/>
              <w:bottom w:val="single" w:sz="4" w:space="0" w:color="000000"/>
              <w:right w:val="nil"/>
            </w:tcBorders>
            <w:tcMar>
              <w:top w:w="128" w:type="dxa"/>
              <w:left w:w="43" w:type="dxa"/>
              <w:bottom w:w="43" w:type="dxa"/>
              <w:right w:w="43" w:type="dxa"/>
            </w:tcMar>
          </w:tcPr>
          <w:p w14:paraId="6745A3FA" w14:textId="77777777" w:rsidR="00D60186" w:rsidRPr="004003C1" w:rsidRDefault="00D60186" w:rsidP="00225D4D">
            <w:pPr>
              <w:rPr>
                <w:sz w:val="21"/>
                <w:szCs w:val="21"/>
              </w:rPr>
            </w:pPr>
            <w:r w:rsidRPr="004003C1">
              <w:rPr>
                <w:sz w:val="21"/>
                <w:szCs w:val="21"/>
              </w:rPr>
              <w:t>2020–2021</w:t>
            </w:r>
          </w:p>
        </w:tc>
        <w:tc>
          <w:tcPr>
            <w:tcW w:w="1120" w:type="dxa"/>
            <w:tcBorders>
              <w:top w:val="nil"/>
              <w:left w:val="nil"/>
              <w:bottom w:val="single" w:sz="4" w:space="0" w:color="000000"/>
              <w:right w:val="nil"/>
            </w:tcBorders>
            <w:tcMar>
              <w:top w:w="128" w:type="dxa"/>
              <w:left w:w="43" w:type="dxa"/>
              <w:bottom w:w="43" w:type="dxa"/>
              <w:right w:w="43" w:type="dxa"/>
            </w:tcMar>
          </w:tcPr>
          <w:p w14:paraId="75B09CB6" w14:textId="77777777" w:rsidR="00D60186" w:rsidRPr="004003C1" w:rsidRDefault="00D60186" w:rsidP="004003C1">
            <w:pPr>
              <w:ind w:right="113"/>
              <w:jc w:val="right"/>
              <w:rPr>
                <w:sz w:val="21"/>
                <w:szCs w:val="21"/>
              </w:rPr>
            </w:pPr>
            <w:r w:rsidRPr="004003C1">
              <w:rPr>
                <w:sz w:val="21"/>
                <w:szCs w:val="21"/>
              </w:rPr>
              <w:t>1098</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1378EBBB" w14:textId="77777777" w:rsidR="00D60186" w:rsidRPr="004003C1" w:rsidRDefault="00D60186" w:rsidP="004003C1">
            <w:pPr>
              <w:ind w:right="113"/>
              <w:jc w:val="right"/>
              <w:rPr>
                <w:sz w:val="21"/>
                <w:szCs w:val="21"/>
              </w:rPr>
            </w:pPr>
          </w:p>
        </w:tc>
        <w:tc>
          <w:tcPr>
            <w:tcW w:w="4860" w:type="dxa"/>
            <w:tcBorders>
              <w:top w:val="nil"/>
              <w:left w:val="nil"/>
              <w:bottom w:val="single" w:sz="4" w:space="0" w:color="000000"/>
              <w:right w:val="nil"/>
            </w:tcBorders>
            <w:tcMar>
              <w:top w:w="128" w:type="dxa"/>
              <w:left w:w="43" w:type="dxa"/>
              <w:bottom w:w="43" w:type="dxa"/>
              <w:right w:w="43" w:type="dxa"/>
            </w:tcMar>
          </w:tcPr>
          <w:p w14:paraId="20F810EB" w14:textId="77777777" w:rsidR="00D60186" w:rsidRPr="004003C1" w:rsidRDefault="00D60186" w:rsidP="00225D4D">
            <w:pPr>
              <w:rPr>
                <w:sz w:val="21"/>
                <w:szCs w:val="21"/>
              </w:rPr>
            </w:pPr>
            <w:r w:rsidRPr="004003C1">
              <w:rPr>
                <w:sz w:val="21"/>
                <w:szCs w:val="21"/>
              </w:rPr>
              <w:t>Permanent løysing for småflyaktiviteten i Oslo-området</w:t>
            </w:r>
          </w:p>
        </w:tc>
        <w:tc>
          <w:tcPr>
            <w:tcW w:w="1300" w:type="dxa"/>
            <w:tcBorders>
              <w:top w:val="nil"/>
              <w:left w:val="nil"/>
              <w:bottom w:val="single" w:sz="4" w:space="0" w:color="000000"/>
              <w:right w:val="nil"/>
            </w:tcBorders>
            <w:tcMar>
              <w:top w:w="128" w:type="dxa"/>
              <w:left w:w="43" w:type="dxa"/>
              <w:bottom w:w="43" w:type="dxa"/>
              <w:right w:w="43" w:type="dxa"/>
            </w:tcMar>
          </w:tcPr>
          <w:p w14:paraId="67ADD2BF" w14:textId="77777777" w:rsidR="00D60186" w:rsidRPr="004003C1" w:rsidRDefault="00D60186" w:rsidP="004003C1">
            <w:pPr>
              <w:jc w:val="right"/>
              <w:rPr>
                <w:sz w:val="21"/>
                <w:szCs w:val="21"/>
              </w:rPr>
            </w:pPr>
            <w:r w:rsidRPr="004003C1">
              <w:rPr>
                <w:sz w:val="21"/>
                <w:szCs w:val="21"/>
              </w:rPr>
              <w:t>Nei</w:t>
            </w:r>
          </w:p>
        </w:tc>
      </w:tr>
    </w:tbl>
    <w:p w14:paraId="5F7E5A85" w14:textId="77777777" w:rsidR="00D60186" w:rsidRPr="00225D4D" w:rsidRDefault="00D60186" w:rsidP="00225D4D">
      <w:pPr>
        <w:pStyle w:val="Overskrift2"/>
      </w:pPr>
      <w:r w:rsidRPr="00225D4D">
        <w:t>Stortingssesjonen 2024–2025</w:t>
      </w:r>
    </w:p>
    <w:p w14:paraId="0D638792" w14:textId="77777777" w:rsidR="00D60186" w:rsidRPr="00225D4D" w:rsidRDefault="00D60186" w:rsidP="00225D4D">
      <w:pPr>
        <w:pStyle w:val="avsnitt-tittel"/>
      </w:pPr>
      <w:proofErr w:type="spellStart"/>
      <w:r w:rsidRPr="00225D4D">
        <w:t>Auka</w:t>
      </w:r>
      <w:proofErr w:type="spellEnd"/>
      <w:r w:rsidRPr="00225D4D">
        <w:t xml:space="preserve"> </w:t>
      </w:r>
      <w:proofErr w:type="spellStart"/>
      <w:r w:rsidRPr="00225D4D">
        <w:t>togkapasitet</w:t>
      </w:r>
      <w:proofErr w:type="spellEnd"/>
      <w:r w:rsidRPr="00225D4D">
        <w:t xml:space="preserve"> i rushtid</w:t>
      </w:r>
    </w:p>
    <w:p w14:paraId="3E54AB0E" w14:textId="77777777" w:rsidR="00D60186" w:rsidRPr="00225D4D" w:rsidRDefault="00D60186" w:rsidP="00225D4D">
      <w:pPr>
        <w:pStyle w:val="avsnitt-undertittel"/>
      </w:pPr>
      <w:r w:rsidRPr="00225D4D">
        <w:t>Vedtak nr. 38, 19. november 2024</w:t>
      </w:r>
    </w:p>
    <w:p w14:paraId="513308B5" w14:textId="77777777" w:rsidR="00D60186" w:rsidRPr="00225D4D" w:rsidRDefault="00D60186" w:rsidP="00225D4D">
      <w:pPr>
        <w:pStyle w:val="blokksit"/>
        <w:rPr>
          <w:rStyle w:val="kursiv"/>
        </w:rPr>
      </w:pPr>
      <w:r w:rsidRPr="00225D4D">
        <w:rPr>
          <w:rStyle w:val="kursiv"/>
        </w:rPr>
        <w:t xml:space="preserve">«Stortinget ber regjeringen så snart som mulig iverksette tiltak som kan gi økt </w:t>
      </w:r>
      <w:proofErr w:type="spellStart"/>
      <w:r w:rsidRPr="00225D4D">
        <w:rPr>
          <w:rStyle w:val="kursiv"/>
        </w:rPr>
        <w:t>togkapasitet</w:t>
      </w:r>
      <w:proofErr w:type="spellEnd"/>
      <w:r w:rsidRPr="00225D4D">
        <w:rPr>
          <w:rStyle w:val="kursiv"/>
        </w:rPr>
        <w:t xml:space="preserve"> i rush, herunder å åpne Flytoget for pendlere og/eller erstatte enkelte Flytog-avganger med forlengelse av eksisterende Vy-avganger.»</w:t>
      </w:r>
    </w:p>
    <w:p w14:paraId="2DE1F2AE" w14:textId="77777777" w:rsidR="00D60186" w:rsidRPr="00225D4D" w:rsidRDefault="00D60186" w:rsidP="00225D4D">
      <w:r w:rsidRPr="00225D4D">
        <w:t xml:space="preserve">Dokumentene som ligger til grunn for vedtaket, er representantforslag fra stortingsrepresentantene Sylvi Listhaug, Hans Andreas </w:t>
      </w:r>
      <w:proofErr w:type="spellStart"/>
      <w:r w:rsidRPr="00225D4D">
        <w:t>Limi</w:t>
      </w:r>
      <w:proofErr w:type="spellEnd"/>
      <w:r w:rsidRPr="00225D4D">
        <w:t xml:space="preserve">, Frank Edvard Sve, Morten Stordalen, Bård </w:t>
      </w:r>
      <w:proofErr w:type="spellStart"/>
      <w:r w:rsidRPr="00225D4D">
        <w:t>Hoksrud</w:t>
      </w:r>
      <w:proofErr w:type="spellEnd"/>
      <w:r w:rsidRPr="00225D4D">
        <w:t xml:space="preserve">, Christian Tybring-Gjedde, </w:t>
      </w:r>
      <w:proofErr w:type="spellStart"/>
      <w:r w:rsidRPr="00225D4D">
        <w:t>Himanshu</w:t>
      </w:r>
      <w:proofErr w:type="spellEnd"/>
      <w:r w:rsidRPr="00225D4D">
        <w:t xml:space="preserve"> </w:t>
      </w:r>
      <w:proofErr w:type="spellStart"/>
      <w:r w:rsidRPr="00225D4D">
        <w:t>Gulati</w:t>
      </w:r>
      <w:proofErr w:type="spellEnd"/>
      <w:r w:rsidRPr="00225D4D">
        <w:t xml:space="preserve">, Morten Wold, Erlend Wiborg og Tor André Johnsen om å gjenåpne veisystemet i og rundt Oslo, jf. Dokument 8:160 S (2023–2024) og </w:t>
      </w:r>
      <w:proofErr w:type="spellStart"/>
      <w:r w:rsidRPr="00225D4D">
        <w:t>Innst</w:t>
      </w:r>
      <w:proofErr w:type="spellEnd"/>
      <w:r w:rsidRPr="00225D4D">
        <w:t>. 34 S (2024–2025).</w:t>
      </w:r>
    </w:p>
    <w:p w14:paraId="5027B867" w14:textId="77777777" w:rsidR="00D60186" w:rsidRPr="00225D4D" w:rsidRDefault="00D60186" w:rsidP="00225D4D">
      <w:r w:rsidRPr="00225D4D">
        <w:t xml:space="preserve">Etter den midlertidige stengingen av Ring 1 i Oslo sentrum og forbudet mot elbiler i kollektivfeltene viser automatiske tellinger en økning i antall reisende med tog på om lag 3 pst. i Oslokorridoren Drammen–Lillestrøm. Jernbanedirektoratets vurdering er at kapasiteten som er kjøpt fra </w:t>
      </w:r>
      <w:proofErr w:type="spellStart"/>
      <w:r w:rsidRPr="00225D4D">
        <w:t>Vygruppen</w:t>
      </w:r>
      <w:proofErr w:type="spellEnd"/>
      <w:r w:rsidRPr="00225D4D">
        <w:t xml:space="preserve"> AS, er tilstrekkelig til å dekke denne økningen.</w:t>
      </w:r>
    </w:p>
    <w:p w14:paraId="1EDA344B" w14:textId="77777777" w:rsidR="00D60186" w:rsidRPr="00225D4D" w:rsidRDefault="00D60186" w:rsidP="00225D4D">
      <w:r w:rsidRPr="00225D4D">
        <w:t xml:space="preserve">Hovedproblemet med </w:t>
      </w:r>
      <w:proofErr w:type="spellStart"/>
      <w:r w:rsidRPr="00225D4D">
        <w:t>togkapasiteten</w:t>
      </w:r>
      <w:proofErr w:type="spellEnd"/>
      <w:r w:rsidRPr="00225D4D">
        <w:t xml:space="preserve"> på Østlandet er at den avtalte kapasiteten ikke har vært levert på grunn av mangel på togsett som fungerer. Mye feil på togsettene har ført til innstillinger, og at </w:t>
      </w:r>
      <w:proofErr w:type="spellStart"/>
      <w:r w:rsidRPr="00225D4D">
        <w:t>Vygruppen</w:t>
      </w:r>
      <w:proofErr w:type="spellEnd"/>
      <w:r w:rsidRPr="00225D4D">
        <w:t xml:space="preserve"> har kjørt mange avganger i rushtid med enkle togsett i stedet for doble. Dette har ført til trengsel om bord i togene og problemer med punktligheten. Det er kjøpt nye lokal- og regiontog som vil bidra til et mer punktlig og komfortabelt togtilbud, og med vesentlig høyere transportkapasitet. Leveringen av disse er imidlertid forsinket. De eldste togene med flest stoppende feil må brukes i enda ett år. I mellomtiden er det gjennomført flere tiltak for å bedre situasjonen:</w:t>
      </w:r>
    </w:p>
    <w:p w14:paraId="3414D1CD" w14:textId="77777777" w:rsidR="00D60186" w:rsidRPr="00225D4D" w:rsidRDefault="00D60186" w:rsidP="00225D4D">
      <w:pPr>
        <w:pStyle w:val="Liste"/>
      </w:pPr>
      <w:proofErr w:type="spellStart"/>
      <w:r w:rsidRPr="00225D4D">
        <w:t>Vygruppen</w:t>
      </w:r>
      <w:proofErr w:type="spellEnd"/>
      <w:r w:rsidRPr="00225D4D">
        <w:t xml:space="preserve"> har omdisponert to tog fra </w:t>
      </w:r>
      <w:proofErr w:type="spellStart"/>
      <w:r w:rsidRPr="00225D4D">
        <w:t>Bratsbergbanen</w:t>
      </w:r>
      <w:proofErr w:type="spellEnd"/>
      <w:r w:rsidRPr="00225D4D">
        <w:t xml:space="preserve"> som vil bidra til at flere avganger går som avtalt på Østlandet</w:t>
      </w:r>
    </w:p>
    <w:p w14:paraId="1DC173ED" w14:textId="77777777" w:rsidR="00D60186" w:rsidRPr="00225D4D" w:rsidRDefault="00D60186" w:rsidP="00225D4D">
      <w:pPr>
        <w:pStyle w:val="Liste"/>
      </w:pPr>
      <w:r w:rsidRPr="00225D4D">
        <w:t>Det er satt i gang forsterket vedlikehold av togene med ekstra skift på verkstedene</w:t>
      </w:r>
    </w:p>
    <w:p w14:paraId="21890565" w14:textId="77777777" w:rsidR="00D60186" w:rsidRPr="00225D4D" w:rsidRDefault="00D60186" w:rsidP="00225D4D">
      <w:pPr>
        <w:pStyle w:val="Liste"/>
      </w:pPr>
      <w:r w:rsidRPr="00225D4D">
        <w:t>I dialog med togselskapene arbeider Bane NOR SF med å forbedre logistikk og kapasitet på verkstedene og parkeringsområdene for togsett, bl.a. ble det før sommeren åpnet et ekstra verkstedspor i Lodalen</w:t>
      </w:r>
    </w:p>
    <w:p w14:paraId="20A0B34F" w14:textId="77777777" w:rsidR="00D60186" w:rsidRPr="00225D4D" w:rsidRDefault="00D60186" w:rsidP="00225D4D">
      <w:pPr>
        <w:pStyle w:val="Liste"/>
      </w:pPr>
      <w:r w:rsidRPr="00225D4D">
        <w:t>Bane NOR arbeider med forbedringer i infrastrukturen, bl.a. vil ferdigstillingen av foretakets byggearbeider i Drammens-området bidra positivt ved at logistikken for togene forbedres, noe som sparer inn tid og bidrar til bedre punktlighet</w:t>
      </w:r>
    </w:p>
    <w:p w14:paraId="500B9957" w14:textId="77777777" w:rsidR="00D60186" w:rsidRPr="00225D4D" w:rsidRDefault="00D60186" w:rsidP="00225D4D">
      <w:pPr>
        <w:pStyle w:val="Liste"/>
      </w:pPr>
      <w:r w:rsidRPr="00225D4D">
        <w:t xml:space="preserve">Norske tog AS har satt i gang ekstra utskiftinger av komponenter som har ført til mange feil på togene, f.eks. bytte luftslanger i dørene, oppgradere </w:t>
      </w:r>
      <w:proofErr w:type="spellStart"/>
      <w:r w:rsidRPr="00225D4D">
        <w:t>hovedkompressor</w:t>
      </w:r>
      <w:proofErr w:type="spellEnd"/>
      <w:r w:rsidRPr="00225D4D">
        <w:t>, reparere kretskort, oppgradere hjelpestrømretter mv.</w:t>
      </w:r>
    </w:p>
    <w:p w14:paraId="68068EEC" w14:textId="77777777" w:rsidR="00D60186" w:rsidRPr="00225D4D" w:rsidRDefault="00D60186" w:rsidP="00225D4D">
      <w:pPr>
        <w:pStyle w:val="Liste"/>
      </w:pPr>
      <w:r w:rsidRPr="00225D4D">
        <w:t>Bane NOR foretar ekstra vedlikeholdsarbeid som vil bedre driftsstabiliteten, bl.a. arbeider foretaket med en ekstra tiltakspakke for økt vedlikehold av infrastrukturen i Østlandsområdet. Det arbeides med fysiske tiltak for å redusere antall signalfeil og raskere gjenopprette trafikken ved slike feil. Foretaket arbeider også med å gjøre selve vedlikeholdsoppdragene for infrastrukturen mer effektive.</w:t>
      </w:r>
    </w:p>
    <w:p w14:paraId="5EA5D849" w14:textId="77777777" w:rsidR="00D60186" w:rsidRPr="00225D4D" w:rsidRDefault="00D60186" w:rsidP="00225D4D">
      <w:pPr>
        <w:pStyle w:val="Liste"/>
      </w:pPr>
      <w:r w:rsidRPr="00225D4D">
        <w:t>Det pågår også mange tiltak for å bedre situasjonen for de reisende dersom toget først er forsinket eller innstilt, f.eks. å bedre avvikshåndteringen. Samferdselsdepartementet har gitt Jernbanedirektoratet et oppdrag i supplerende tildelingsbrev nr. 4 for 2025 om å se på muligheten for å automatisere utbetaling av refusjon til reisende på jernbanen.</w:t>
      </w:r>
    </w:p>
    <w:p w14:paraId="1B675F95" w14:textId="77777777" w:rsidR="00D60186" w:rsidRPr="00225D4D" w:rsidRDefault="00D60186" w:rsidP="00225D4D">
      <w:pPr>
        <w:pStyle w:val="Liste"/>
      </w:pPr>
      <w:r w:rsidRPr="00225D4D">
        <w:t xml:space="preserve">Som følge av at åpningen av Drammen stasjon ble utsatt til 31. august, satte </w:t>
      </w:r>
      <w:proofErr w:type="spellStart"/>
      <w:r w:rsidRPr="00225D4D">
        <w:t>Vygruppen</w:t>
      </w:r>
      <w:proofErr w:type="spellEnd"/>
      <w:r w:rsidRPr="00225D4D">
        <w:t xml:space="preserve"> fra midten av august inn enda flere ekstra bussavganger mellom Drammen og Oslo S.</w:t>
      </w:r>
    </w:p>
    <w:p w14:paraId="67CAA2A8" w14:textId="77777777" w:rsidR="00D60186" w:rsidRPr="00225D4D" w:rsidRDefault="00D60186" w:rsidP="00225D4D">
      <w:r w:rsidRPr="00225D4D">
        <w:t xml:space="preserve">For å øke togtilbudet har det vært vurdert å justere ruteplanen ved å legge til en ekstra togavgang med </w:t>
      </w:r>
      <w:proofErr w:type="spellStart"/>
      <w:r w:rsidRPr="00225D4D">
        <w:t>Vygruppen</w:t>
      </w:r>
      <w:proofErr w:type="spellEnd"/>
      <w:r w:rsidRPr="00225D4D">
        <w:t xml:space="preserve"> i Oslokorridoren (Drammen–Oslo S–Eidsvoll), noe som kan medføre at Flytogets kommersielle avganger mellom Stabekk og Oslo S må sløyfes på grunn av kapasitetsmangel i Oslotunnelen. Dette vil likevel øke belastningen på kapasiteten vest for Lysaker og mellom Oslo S og Oslo lufthavn, Gardermoen. Med dagens </w:t>
      </w:r>
      <w:proofErr w:type="spellStart"/>
      <w:r w:rsidRPr="00225D4D">
        <w:t>togpark</w:t>
      </w:r>
      <w:proofErr w:type="spellEnd"/>
      <w:r w:rsidRPr="00225D4D">
        <w:t xml:space="preserve"> har Jernbanedirektoratet vurdert at økt togtrafikk og høyere utnyttelse av infrastrukturen kan gi et dårligere togtilbud, ikke et bedre. Bane NOR fant heller ikke plass til avgangen i ruteplanen for 2025. Av hensyn til driftsstabiliteten anbefaler derfor ikke Jernbanedirektoratet dette. Videre vurderes det at å åpne Flytoget for pendlere enten kan føre til flere forsinkelser fordi togsettene ikke er egnet for samtidig av-/påstigning av større passasjermengder, eller at hver avgang tar lengre tid, noe som betyr at det må kjøres færre avganger for å holde ruteplanene.</w:t>
      </w:r>
    </w:p>
    <w:p w14:paraId="63CEE477" w14:textId="77777777" w:rsidR="00D60186" w:rsidRPr="00225D4D" w:rsidRDefault="00D60186" w:rsidP="00225D4D">
      <w:r w:rsidRPr="00225D4D">
        <w:t xml:space="preserve">Det viktigste grepet for å sikre et godt togtilbud til de reisende på Østlandet i tråd med etterspørselen, er å sørge for at det avtalte togtilbudet leveres. Jernbanedirektoratet følger tett opp tiltakene nevnt over, slik at stabiliteten og kapasiteten i </w:t>
      </w:r>
      <w:proofErr w:type="spellStart"/>
      <w:r w:rsidRPr="00225D4D">
        <w:t>togparken</w:t>
      </w:r>
      <w:proofErr w:type="spellEnd"/>
      <w:r w:rsidRPr="00225D4D">
        <w:t xml:space="preserve"> bedres.</w:t>
      </w:r>
    </w:p>
    <w:p w14:paraId="131F967B" w14:textId="77777777" w:rsidR="00D60186" w:rsidRPr="00225D4D" w:rsidRDefault="00D60186" w:rsidP="00225D4D">
      <w:r w:rsidRPr="00225D4D">
        <w:t>Samferdselsdepartementet anser med dette at anmodningsvedtaket er fulgt opp.</w:t>
      </w:r>
    </w:p>
    <w:p w14:paraId="3DDC99B7" w14:textId="77777777" w:rsidR="00D60186" w:rsidRPr="00225D4D" w:rsidRDefault="00D60186" w:rsidP="00225D4D">
      <w:pPr>
        <w:pStyle w:val="avsnitt-tittel"/>
      </w:pPr>
      <w:r w:rsidRPr="00225D4D">
        <w:t>Styrke kollektivkapasiteten/</w:t>
      </w:r>
      <w:proofErr w:type="spellStart"/>
      <w:r w:rsidRPr="00225D4D">
        <w:t>ekspresstilbodet</w:t>
      </w:r>
      <w:proofErr w:type="spellEnd"/>
      <w:r w:rsidRPr="00225D4D">
        <w:t xml:space="preserve"> i Vestkorridoren og Akershus</w:t>
      </w:r>
    </w:p>
    <w:p w14:paraId="5301E1B0" w14:textId="77777777" w:rsidR="00D60186" w:rsidRPr="00225D4D" w:rsidRDefault="00D60186" w:rsidP="00225D4D">
      <w:pPr>
        <w:pStyle w:val="avsnitt-undertittel"/>
      </w:pPr>
      <w:r w:rsidRPr="00225D4D">
        <w:t>Vedtak nr. 39, 19. november 2024</w:t>
      </w:r>
    </w:p>
    <w:p w14:paraId="0A3BFF79" w14:textId="77777777" w:rsidR="00D60186" w:rsidRPr="00225D4D" w:rsidRDefault="00D60186" w:rsidP="00225D4D">
      <w:pPr>
        <w:pStyle w:val="blokksit"/>
        <w:rPr>
          <w:rStyle w:val="kursiv"/>
        </w:rPr>
      </w:pPr>
      <w:r w:rsidRPr="00225D4D">
        <w:rPr>
          <w:rStyle w:val="kursiv"/>
        </w:rPr>
        <w:t xml:space="preserve">«Stortinget ber regjeringen snarest komme tilbake med forslag om å øke bevilgningen til Akershus fylkeskommune. Den økte bevilgningen skal gå til å styrke kollektivkapasiteten/ekspressbusstilbudet i Vestkorridoren og i Akershus </w:t>
      </w:r>
      <w:proofErr w:type="gramStart"/>
      <w:r w:rsidRPr="00225D4D">
        <w:rPr>
          <w:rStyle w:val="kursiv"/>
        </w:rPr>
        <w:t>for øvrig</w:t>
      </w:r>
      <w:proofErr w:type="gramEnd"/>
      <w:r w:rsidRPr="00225D4D">
        <w:rPr>
          <w:rStyle w:val="kursiv"/>
        </w:rPr>
        <w:t xml:space="preserve"> som følge av midlertidig stengt Ring 1. Bevilgningen forutsetter at Akershus fylkeskommune selv bidrar med minst 50 pst. av bevilgningsøkningen som staten bidrar med.»</w:t>
      </w:r>
    </w:p>
    <w:p w14:paraId="3AC472F7" w14:textId="77777777" w:rsidR="00D60186" w:rsidRPr="00225D4D" w:rsidRDefault="00D60186" w:rsidP="00225D4D">
      <w:r w:rsidRPr="00225D4D">
        <w:t xml:space="preserve">Dokumentene som ligger til grunn for vedtaket, er representantforslag fra stortingsrepresentantene Sylvi Listhaug, Hans Andreas </w:t>
      </w:r>
      <w:proofErr w:type="spellStart"/>
      <w:r w:rsidRPr="00225D4D">
        <w:t>Limi</w:t>
      </w:r>
      <w:proofErr w:type="spellEnd"/>
      <w:r w:rsidRPr="00225D4D">
        <w:t xml:space="preserve">, Frank Edvard Sve, Morten Stordalen, Bård </w:t>
      </w:r>
      <w:proofErr w:type="spellStart"/>
      <w:r w:rsidRPr="00225D4D">
        <w:t>Hoksrud</w:t>
      </w:r>
      <w:proofErr w:type="spellEnd"/>
      <w:r w:rsidRPr="00225D4D">
        <w:t xml:space="preserve">, Christian Tybring-Gjedde, </w:t>
      </w:r>
      <w:proofErr w:type="spellStart"/>
      <w:r w:rsidRPr="00225D4D">
        <w:t>Himanshu</w:t>
      </w:r>
      <w:proofErr w:type="spellEnd"/>
      <w:r w:rsidRPr="00225D4D">
        <w:t xml:space="preserve"> </w:t>
      </w:r>
      <w:proofErr w:type="spellStart"/>
      <w:r w:rsidRPr="00225D4D">
        <w:t>Gulati</w:t>
      </w:r>
      <w:proofErr w:type="spellEnd"/>
      <w:r w:rsidRPr="00225D4D">
        <w:t xml:space="preserve">, Morten Wold, Erlend Wiborg og Tor André Johnsen om å gjenåpne veisystemet i og rundt Oslo, jf. Dokument 8:160 S (2023–2024) og </w:t>
      </w:r>
      <w:proofErr w:type="spellStart"/>
      <w:r w:rsidRPr="00225D4D">
        <w:t>Innst</w:t>
      </w:r>
      <w:proofErr w:type="spellEnd"/>
      <w:r w:rsidRPr="00225D4D">
        <w:t>. 34 S (2024–2025).</w:t>
      </w:r>
    </w:p>
    <w:p w14:paraId="1D7B3570" w14:textId="77777777" w:rsidR="00D60186" w:rsidRPr="00225D4D" w:rsidRDefault="00D60186" w:rsidP="00225D4D">
      <w:r w:rsidRPr="00225D4D">
        <w:t xml:space="preserve">Ved Stortingets behandling av </w:t>
      </w:r>
      <w:proofErr w:type="spellStart"/>
      <w:r w:rsidRPr="00225D4D">
        <w:t>Prop</w:t>
      </w:r>
      <w:proofErr w:type="spellEnd"/>
      <w:r w:rsidRPr="00225D4D">
        <w:t xml:space="preserve">. 20 S (2024–2025) </w:t>
      </w:r>
      <w:proofErr w:type="spellStart"/>
      <w:r w:rsidRPr="00225D4D">
        <w:rPr>
          <w:rStyle w:val="kursiv"/>
        </w:rPr>
        <w:t>Endringar</w:t>
      </w:r>
      <w:proofErr w:type="spellEnd"/>
      <w:r w:rsidRPr="00225D4D">
        <w:rPr>
          <w:rStyle w:val="kursiv"/>
        </w:rPr>
        <w:t xml:space="preserve"> i statsbudsjettet 2024 under Samferdselsdepartementet,</w:t>
      </w:r>
      <w:r w:rsidRPr="00225D4D">
        <w:t xml:space="preserve"> jf. </w:t>
      </w:r>
      <w:proofErr w:type="spellStart"/>
      <w:r w:rsidRPr="00225D4D">
        <w:t>Innst</w:t>
      </w:r>
      <w:proofErr w:type="spellEnd"/>
      <w:r w:rsidRPr="00225D4D">
        <w:t>. 88 S (2024–2025), ble det lagt til grunn å bruke 30 mill. kr av bevilgningen på kap. 1332 Transport i byområder mv., post 66 Tilskudd til byområder, til et særskilt tilskudd til Akershus fylkeskommune for å styrke kollektivtilbudet som følge av den midlertidige stengingen av Ring 1 i Oslo sentrum. Det ble satt som vilkår for tilskuddet at fylkeskommunen selv bidrar med minst 50 pst. av beløpet som staten gir i tilskudd, og at det går til det samme formålet.</w:t>
      </w:r>
    </w:p>
    <w:p w14:paraId="1ABDDD03" w14:textId="77777777" w:rsidR="00D60186" w:rsidRPr="00225D4D" w:rsidRDefault="00D60186" w:rsidP="00225D4D">
      <w:r w:rsidRPr="00225D4D">
        <w:t xml:space="preserve">Tilskuddet går til å styrke kollektivkapasiteten/ekspressbusstilbudet i Vestkorridoren og i Akershus </w:t>
      </w:r>
      <w:proofErr w:type="gramStart"/>
      <w:r w:rsidRPr="00225D4D">
        <w:t>for øvrig</w:t>
      </w:r>
      <w:proofErr w:type="gramEnd"/>
      <w:r w:rsidRPr="00225D4D">
        <w:t xml:space="preserve"> og er utbetalt til Akershus fylkeskommune. Ifølge prognoser per 30. april 2025 vil ikke hele beløpet bli brukt i 2025. Så langt har tilskuddet gått til økt frekvens i rushtid på flere linjer mellom Oslo–Asker/Bærum, utvidet tilbud utenom rushtid og i helg på flere linjer og forbedret tverrgående forbindelser i Bærum, spesielt til/fra Fornebu. Videre er kapasiteten mellom Oslo og Lørenskog/Skedsmokorset styrket, og frekvensen på sentrale linjer er økt.</w:t>
      </w:r>
    </w:p>
    <w:p w14:paraId="00D46EF8" w14:textId="77777777" w:rsidR="00D60186" w:rsidRPr="00225D4D" w:rsidRDefault="00D60186" w:rsidP="00225D4D">
      <w:r w:rsidRPr="00225D4D">
        <w:t>Samferdselsdepartementet anser med dette anmodningsvedtaket som fulgt opp.</w:t>
      </w:r>
    </w:p>
    <w:p w14:paraId="70B1E061" w14:textId="77777777" w:rsidR="00D60186" w:rsidRPr="00225D4D" w:rsidRDefault="00D60186" w:rsidP="00225D4D">
      <w:pPr>
        <w:pStyle w:val="avsnitt-tittel"/>
      </w:pPr>
      <w:r w:rsidRPr="00225D4D">
        <w:t xml:space="preserve">Direkte dagtog </w:t>
      </w:r>
      <w:proofErr w:type="spellStart"/>
      <w:r w:rsidRPr="00225D4D">
        <w:t>frå</w:t>
      </w:r>
      <w:proofErr w:type="spellEnd"/>
      <w:r w:rsidRPr="00225D4D">
        <w:t xml:space="preserve"> Oslo til København og/eller Hamburg</w:t>
      </w:r>
    </w:p>
    <w:p w14:paraId="72F9E398" w14:textId="77777777" w:rsidR="00D60186" w:rsidRPr="00225D4D" w:rsidRDefault="00D60186" w:rsidP="00225D4D">
      <w:pPr>
        <w:pStyle w:val="avsnitt-undertittel"/>
      </w:pPr>
      <w:r w:rsidRPr="00225D4D">
        <w:t>Vedtak nr. 95, 5. desember 2024</w:t>
      </w:r>
    </w:p>
    <w:p w14:paraId="779D3B6C" w14:textId="77777777" w:rsidR="00D60186" w:rsidRPr="00225D4D" w:rsidRDefault="00D60186" w:rsidP="00225D4D">
      <w:pPr>
        <w:pStyle w:val="blokksit"/>
        <w:rPr>
          <w:rStyle w:val="kursiv"/>
        </w:rPr>
      </w:pPr>
      <w:r w:rsidRPr="00225D4D">
        <w:rPr>
          <w:rStyle w:val="kursiv"/>
        </w:rPr>
        <w:t>«Stortinget ber regjeringen legge til grunn trafikkstart senest innen 2026 for direkte dagtog fra Oslo til København og/eller Hamburg, herunder å gå i dialog med nødvendige myndigheter og operatører for å utforske markedsgrunnlaget og eventuelle praktiske forhold som er nødvendig for å få på plass et slikt togtilbud. Regjeringen bes komme tilbake til Stortinget med en statusoppdatering innen statsbudsjettet for 2026.»</w:t>
      </w:r>
    </w:p>
    <w:p w14:paraId="65FD8C27" w14:textId="77777777" w:rsidR="00D60186" w:rsidRPr="00225D4D" w:rsidRDefault="00D60186" w:rsidP="00225D4D">
      <w:r w:rsidRPr="00225D4D">
        <w:t xml:space="preserve">Vedtaket ble truffet ved behandlingen av Meld. St. 1 (2024–2025) </w:t>
      </w:r>
      <w:r w:rsidRPr="00225D4D">
        <w:rPr>
          <w:rStyle w:val="kursiv"/>
        </w:rPr>
        <w:t>Nasjonalbudsjettet 2025</w:t>
      </w:r>
      <w:r w:rsidRPr="00225D4D">
        <w:t xml:space="preserve"> og statsbudsjettet for 2025, jf. </w:t>
      </w:r>
      <w:proofErr w:type="spellStart"/>
      <w:r w:rsidRPr="00225D4D">
        <w:t>Innst</w:t>
      </w:r>
      <w:proofErr w:type="spellEnd"/>
      <w:r w:rsidRPr="00225D4D">
        <w:t>. 2 S (2024–2025).</w:t>
      </w:r>
    </w:p>
    <w:p w14:paraId="4AF69FFD" w14:textId="77777777" w:rsidR="00D60186" w:rsidRPr="00225D4D" w:rsidRDefault="00D60186" w:rsidP="00225D4D">
      <w:r w:rsidRPr="00225D4D">
        <w:t>Jernbanedirektoratet har gjennomført dialogmøter med kjøpsmyndigheter i Sverige og Danmark for å avklare henholdsvis behov for samordning av togtilbud mellom de skandinaviske hovedstedene og Hamburg samt nasjonale krav som kan være til hinder for å etablere togtjenester. I tillegg har Jernbanedirektoratet gjennomført dialogmøter med markedsaktører.</w:t>
      </w:r>
    </w:p>
    <w:p w14:paraId="7264955C" w14:textId="77777777" w:rsidR="00D60186" w:rsidRPr="00225D4D" w:rsidRDefault="00D60186" w:rsidP="00225D4D">
      <w:r w:rsidRPr="00225D4D">
        <w:t xml:space="preserve">Per juli 2025 var det tre aktører som planlegger å starte togtilbud som vil dekke hele eller deler av dagtogmarkedet på strekningen Oslo–København/Hamburg de neste årene. Det er </w:t>
      </w:r>
      <w:proofErr w:type="spellStart"/>
      <w:r w:rsidRPr="00225D4D">
        <w:t>Vygruppen</w:t>
      </w:r>
      <w:proofErr w:type="spellEnd"/>
      <w:r w:rsidRPr="00225D4D">
        <w:t xml:space="preserve">, SJ AB og </w:t>
      </w:r>
      <w:proofErr w:type="spellStart"/>
      <w:r w:rsidRPr="00225D4D">
        <w:t>Snälltåget</w:t>
      </w:r>
      <w:proofErr w:type="spellEnd"/>
      <w:r w:rsidRPr="00225D4D">
        <w:t>. Jernbanedirektoratet vil følge opp dialogen med aktuelle togoperatører i forbindelse med søknader om infrastrukturkapasitet fra desember 2026.</w:t>
      </w:r>
    </w:p>
    <w:p w14:paraId="17C2CC35" w14:textId="77777777" w:rsidR="00D60186" w:rsidRPr="00225D4D" w:rsidRDefault="00D60186" w:rsidP="00225D4D">
      <w:r w:rsidRPr="00225D4D">
        <w:t>Tildeling av infrastrukturkapasitet på norsk strekning baseres på kriterier og administrative rutiner i henhold til jernbaneforskriften. Bane NORs tildeling av kapasitet vil være avgjørende for mulighetene til å få på plass et dagtogtilbud Oslo–København i løpet av 2026.</w:t>
      </w:r>
    </w:p>
    <w:p w14:paraId="2720C261" w14:textId="77777777" w:rsidR="00D60186" w:rsidRPr="00225D4D" w:rsidRDefault="00D60186" w:rsidP="00225D4D">
      <w:r w:rsidRPr="00225D4D">
        <w:t>Behovet for økonomisk støtte fra staten ved etablering av nytt togtilbud vil blir vurdert i den videre prosessen. Dersom en aktør starter et kommersielt togtilbud, er det ikke anledning til å gi offentlig etableringsstøtte. Frem til ruteplanen fra desember 2026 er fastsatt, vil Jernbanedirektoratet også videreføre dialogen med kjøpsmyndigheter i Sverige og Danmark.</w:t>
      </w:r>
    </w:p>
    <w:p w14:paraId="2ECDD4C3" w14:textId="77777777" w:rsidR="00D60186" w:rsidRPr="00225D4D" w:rsidRDefault="00D60186" w:rsidP="00225D4D">
      <w:r w:rsidRPr="00225D4D">
        <w:t>Allerede fra desember 2025 er det flere togoperatører som har søkt om kapasitet for kjøring av persontog mellom Oslo S og Malmø for overgang til nattog videre til Hamburg og Berlin. Fra Malmø er det dessuten svært gode togforbindelser over Øresund til København. Dette vil gi et vesentlig bedre tilbud mellom Oslo og København/Hamburg/Berlin.</w:t>
      </w:r>
    </w:p>
    <w:p w14:paraId="2968084B" w14:textId="77777777" w:rsidR="00D60186" w:rsidRPr="00225D4D" w:rsidRDefault="00D60186" w:rsidP="00225D4D">
      <w:r w:rsidRPr="00225D4D">
        <w:t>Samferdselsdepartementet anser med dette vedtaket som fulgt opp.</w:t>
      </w:r>
    </w:p>
    <w:p w14:paraId="1712FBB7" w14:textId="77777777" w:rsidR="00D60186" w:rsidRPr="00225D4D" w:rsidRDefault="00D60186" w:rsidP="00225D4D">
      <w:pPr>
        <w:pStyle w:val="avsnitt-tittel"/>
      </w:pPr>
      <w:proofErr w:type="spellStart"/>
      <w:r w:rsidRPr="00225D4D">
        <w:t>Tilgjenge</w:t>
      </w:r>
      <w:proofErr w:type="spellEnd"/>
      <w:r w:rsidRPr="00225D4D">
        <w:t xml:space="preserve"> for </w:t>
      </w:r>
      <w:proofErr w:type="spellStart"/>
      <w:r w:rsidRPr="00225D4D">
        <w:t>elvarebilar</w:t>
      </w:r>
      <w:proofErr w:type="spellEnd"/>
      <w:r w:rsidRPr="00225D4D">
        <w:t xml:space="preserve"> til kollektivfeltet</w:t>
      </w:r>
    </w:p>
    <w:p w14:paraId="4E4F667C" w14:textId="77777777" w:rsidR="00D60186" w:rsidRPr="00225D4D" w:rsidRDefault="00D60186" w:rsidP="00225D4D">
      <w:pPr>
        <w:pStyle w:val="avsnitt-undertittel"/>
      </w:pPr>
      <w:r w:rsidRPr="00225D4D">
        <w:t>Vedtak nr. 97, 5. desember 2024</w:t>
      </w:r>
    </w:p>
    <w:p w14:paraId="571B7611" w14:textId="77777777" w:rsidR="00D60186" w:rsidRPr="00225D4D" w:rsidRDefault="00D60186" w:rsidP="00225D4D">
      <w:pPr>
        <w:pStyle w:val="blokksit"/>
        <w:rPr>
          <w:rStyle w:val="kursiv"/>
        </w:rPr>
      </w:pPr>
      <w:r w:rsidRPr="00225D4D">
        <w:rPr>
          <w:rStyle w:val="kursiv"/>
        </w:rPr>
        <w:t xml:space="preserve">«Stortinget ber regjeringen innen 1. februar 2025 sende på høring forslag om å gi </w:t>
      </w:r>
      <w:proofErr w:type="spellStart"/>
      <w:r w:rsidRPr="00225D4D">
        <w:rPr>
          <w:rStyle w:val="kursiv"/>
        </w:rPr>
        <w:t>elvarebiler</w:t>
      </w:r>
      <w:proofErr w:type="spellEnd"/>
      <w:r w:rsidRPr="00225D4D">
        <w:rPr>
          <w:rStyle w:val="kursiv"/>
        </w:rPr>
        <w:t xml:space="preserve"> generell adgang til kollektivfeltet med sikte på innføring fra august 2025, der de ikke har det i dag, med mindre lokale behov tilsier begrensinger. Høringen skal omfatte at </w:t>
      </w:r>
      <w:proofErr w:type="spellStart"/>
      <w:r w:rsidRPr="00225D4D">
        <w:rPr>
          <w:rStyle w:val="kursiv"/>
        </w:rPr>
        <w:t>elvarebiler</w:t>
      </w:r>
      <w:proofErr w:type="spellEnd"/>
      <w:r w:rsidRPr="00225D4D">
        <w:rPr>
          <w:rStyle w:val="kursiv"/>
        </w:rPr>
        <w:t xml:space="preserve"> skal unntas for eventuelle samkjøringskrav.»</w:t>
      </w:r>
    </w:p>
    <w:p w14:paraId="538D4DE8" w14:textId="77777777" w:rsidR="00D60186" w:rsidRPr="00225D4D" w:rsidRDefault="00D60186" w:rsidP="00225D4D">
      <w:r w:rsidRPr="00225D4D">
        <w:t xml:space="preserve">Vedtaket ble truffet ved behandlingen av Meld. St. 1 (2024–2025) </w:t>
      </w:r>
      <w:r w:rsidRPr="00225D4D">
        <w:rPr>
          <w:rStyle w:val="kursiv"/>
        </w:rPr>
        <w:t>Nasjonalbudsjettet 2025</w:t>
      </w:r>
      <w:r w:rsidRPr="00225D4D">
        <w:t xml:space="preserve"> og statsbudsjettet for 2025, jf. </w:t>
      </w:r>
      <w:proofErr w:type="spellStart"/>
      <w:r w:rsidRPr="00225D4D">
        <w:t>Innst</w:t>
      </w:r>
      <w:proofErr w:type="spellEnd"/>
      <w:r w:rsidRPr="00225D4D">
        <w:t>. 2 S (2024–2025).</w:t>
      </w:r>
    </w:p>
    <w:p w14:paraId="6EF28E0D" w14:textId="77777777" w:rsidR="00D60186" w:rsidRPr="00225D4D" w:rsidRDefault="00D60186" w:rsidP="00225D4D">
      <w:r w:rsidRPr="00225D4D">
        <w:t xml:space="preserve">Statens vegvesen sendte 30. januar 2025 på høring forslag om bl.a. å gi </w:t>
      </w:r>
      <w:proofErr w:type="spellStart"/>
      <w:r w:rsidRPr="00225D4D">
        <w:t>elvarebiler</w:t>
      </w:r>
      <w:proofErr w:type="spellEnd"/>
      <w:r w:rsidRPr="00225D4D">
        <w:t xml:space="preserve"> fortsatt tilgang til kollektivfelt. Samferdselsdepartementet fikk ved brev av 4. juli 2025 oversendt Statens vegvesens oppsummering av høringen og tilråding. Departementet tar sikte på en snarlig avklaring og fastsettelse av endringer, men legger til grunn at det er behov for en overgangstid før endringer kan tre i kraft.</w:t>
      </w:r>
    </w:p>
    <w:p w14:paraId="6A408194" w14:textId="77777777" w:rsidR="00D60186" w:rsidRPr="00225D4D" w:rsidRDefault="00D60186" w:rsidP="00225D4D">
      <w:r w:rsidRPr="00225D4D">
        <w:t>Samferdselsdepartementet anser med dette vedtaket som fulgt opp.</w:t>
      </w:r>
    </w:p>
    <w:p w14:paraId="47B80A85" w14:textId="77777777" w:rsidR="00D60186" w:rsidRPr="00225D4D" w:rsidRDefault="00D60186" w:rsidP="00225D4D">
      <w:pPr>
        <w:pStyle w:val="avsnitt-tittel"/>
      </w:pPr>
      <w:r w:rsidRPr="00225D4D">
        <w:t xml:space="preserve">Redusere bompengebelastinga i </w:t>
      </w:r>
      <w:proofErr w:type="spellStart"/>
      <w:r w:rsidRPr="00225D4D">
        <w:t>Ryfast</w:t>
      </w:r>
      <w:proofErr w:type="spellEnd"/>
      <w:r w:rsidRPr="00225D4D">
        <w:t>-prosjektet</w:t>
      </w:r>
    </w:p>
    <w:p w14:paraId="7A785E8A" w14:textId="77777777" w:rsidR="00D60186" w:rsidRPr="00225D4D" w:rsidRDefault="00D60186" w:rsidP="00225D4D">
      <w:pPr>
        <w:pStyle w:val="avsnitt-undertittel"/>
      </w:pPr>
      <w:r w:rsidRPr="00225D4D">
        <w:t>Vedtak nr. 593, 29. april 2025</w:t>
      </w:r>
    </w:p>
    <w:p w14:paraId="76CFC63F" w14:textId="77777777" w:rsidR="00D60186" w:rsidRPr="00225D4D" w:rsidRDefault="00D60186" w:rsidP="00225D4D">
      <w:pPr>
        <w:pStyle w:val="blokksit"/>
        <w:rPr>
          <w:rStyle w:val="kursiv"/>
        </w:rPr>
      </w:pPr>
      <w:r w:rsidRPr="00225D4D">
        <w:rPr>
          <w:rStyle w:val="kursiv"/>
        </w:rPr>
        <w:t xml:space="preserve">«Stortinget ber regjeringen gjenoppta dialogen med garantistene for </w:t>
      </w:r>
      <w:proofErr w:type="spellStart"/>
      <w:r w:rsidRPr="00225D4D">
        <w:rPr>
          <w:rStyle w:val="kursiv"/>
        </w:rPr>
        <w:t>Ryfast</w:t>
      </w:r>
      <w:proofErr w:type="spellEnd"/>
      <w:r w:rsidRPr="00225D4D">
        <w:rPr>
          <w:rStyle w:val="kursiv"/>
        </w:rPr>
        <w:t xml:space="preserve"> og snarest komme tilbake til Stortinget med tiltak som vil redusere bompengebelastningen i prosjektet.»</w:t>
      </w:r>
    </w:p>
    <w:p w14:paraId="1BF5514E" w14:textId="77777777" w:rsidR="00D60186" w:rsidRPr="00225D4D" w:rsidRDefault="00D60186" w:rsidP="00225D4D">
      <w:r w:rsidRPr="00225D4D">
        <w:t xml:space="preserve">Dokumentene som ligger til grunn for vedtaket, er representantforslag fra stortingsrepresentantene </w:t>
      </w:r>
      <w:proofErr w:type="spellStart"/>
      <w:r w:rsidRPr="00225D4D">
        <w:t>Mimir</w:t>
      </w:r>
      <w:proofErr w:type="spellEnd"/>
      <w:r w:rsidRPr="00225D4D">
        <w:t xml:space="preserve"> </w:t>
      </w:r>
      <w:proofErr w:type="spellStart"/>
      <w:r w:rsidRPr="00225D4D">
        <w:t>Kristjánsson</w:t>
      </w:r>
      <w:proofErr w:type="spellEnd"/>
      <w:r w:rsidRPr="00225D4D">
        <w:t xml:space="preserve"> og Sofie </w:t>
      </w:r>
      <w:proofErr w:type="spellStart"/>
      <w:r w:rsidRPr="00225D4D">
        <w:t>Marhaug</w:t>
      </w:r>
      <w:proofErr w:type="spellEnd"/>
      <w:r w:rsidRPr="00225D4D">
        <w:t xml:space="preserve"> om en statlig redningspakke for </w:t>
      </w:r>
      <w:proofErr w:type="spellStart"/>
      <w:r w:rsidRPr="00225D4D">
        <w:t>Ryfast</w:t>
      </w:r>
      <w:proofErr w:type="spellEnd"/>
      <w:r w:rsidRPr="00225D4D">
        <w:t xml:space="preserve">, jf. Dokument 8:68 S (2024–2025) og </w:t>
      </w:r>
      <w:proofErr w:type="spellStart"/>
      <w:r w:rsidRPr="00225D4D">
        <w:t>Innst</w:t>
      </w:r>
      <w:proofErr w:type="spellEnd"/>
      <w:r w:rsidRPr="00225D4D">
        <w:t>. 201 S (2024–2025).</w:t>
      </w:r>
    </w:p>
    <w:p w14:paraId="2D3CDEE6" w14:textId="77777777" w:rsidR="00D60186" w:rsidRPr="00225D4D" w:rsidRDefault="00D60186" w:rsidP="00225D4D">
      <w:r w:rsidRPr="00225D4D">
        <w:t>Dialogen med garantistene ble gjenopptatt etter Stortingets anmodningsvedtak nr. 1247 av 20. juni 2025, jf. omtalen i dette anmodningsvedtaket.</w:t>
      </w:r>
    </w:p>
    <w:p w14:paraId="133FF4ED" w14:textId="77777777" w:rsidR="00D60186" w:rsidRPr="00225D4D" w:rsidRDefault="00D60186" w:rsidP="00225D4D">
      <w:r w:rsidRPr="00225D4D">
        <w:t>Samferdselsdepartementet anser med dette vedtaket som fulgt opp.</w:t>
      </w:r>
    </w:p>
    <w:p w14:paraId="17A3D3A2" w14:textId="77777777" w:rsidR="00D60186" w:rsidRPr="00225D4D" w:rsidRDefault="00D60186" w:rsidP="00225D4D">
      <w:pPr>
        <w:pStyle w:val="avsnitt-tittel"/>
      </w:pPr>
      <w:r w:rsidRPr="00225D4D">
        <w:t xml:space="preserve">Risiko-, </w:t>
      </w:r>
      <w:proofErr w:type="spellStart"/>
      <w:r w:rsidRPr="00225D4D">
        <w:t>sårbarheits</w:t>
      </w:r>
      <w:proofErr w:type="spellEnd"/>
      <w:r w:rsidRPr="00225D4D">
        <w:t>- og beredskapsanalyse på transportområdet</w:t>
      </w:r>
    </w:p>
    <w:p w14:paraId="02FAB5C9" w14:textId="77777777" w:rsidR="00D60186" w:rsidRPr="00225D4D" w:rsidRDefault="00D60186" w:rsidP="00225D4D">
      <w:pPr>
        <w:pStyle w:val="avsnitt-undertittel"/>
      </w:pPr>
      <w:r w:rsidRPr="00225D4D">
        <w:t>Vedtak nr. 635, 6. mai 2025</w:t>
      </w:r>
    </w:p>
    <w:p w14:paraId="671CA1E1" w14:textId="77777777" w:rsidR="00D60186" w:rsidRPr="00225D4D" w:rsidRDefault="00D60186" w:rsidP="00225D4D">
      <w:pPr>
        <w:pStyle w:val="blokksit"/>
        <w:rPr>
          <w:rStyle w:val="kursiv"/>
        </w:rPr>
      </w:pPr>
      <w:r w:rsidRPr="00225D4D">
        <w:rPr>
          <w:rStyle w:val="kursiv"/>
        </w:rPr>
        <w:t>«Stortinget ber regjeringen gjennomføre en overordnet risiko-, sårbarhets- og beredskapsanalyse på transportområdet.»</w:t>
      </w:r>
    </w:p>
    <w:p w14:paraId="507B27FB" w14:textId="77777777" w:rsidR="00D60186" w:rsidRPr="00225D4D" w:rsidRDefault="00D60186" w:rsidP="00225D4D">
      <w:r w:rsidRPr="00225D4D">
        <w:t xml:space="preserve">Vedtaket ble truffet ved behandlingen av Meld. St. 9 (2024–2025) </w:t>
      </w:r>
      <w:r w:rsidRPr="00225D4D">
        <w:rPr>
          <w:rStyle w:val="kursiv"/>
        </w:rPr>
        <w:t>Totalberedskapsmeldingen – Forberedt på kriser og krig</w:t>
      </w:r>
      <w:r w:rsidRPr="00225D4D">
        <w:t xml:space="preserve">, jf. </w:t>
      </w:r>
      <w:proofErr w:type="spellStart"/>
      <w:r w:rsidRPr="00225D4D">
        <w:t>Innst</w:t>
      </w:r>
      <w:proofErr w:type="spellEnd"/>
      <w:r w:rsidRPr="00225D4D">
        <w:t>. 242 S (2024–2025).</w:t>
      </w:r>
    </w:p>
    <w:p w14:paraId="1FB9A09A" w14:textId="77777777" w:rsidR="00D60186" w:rsidRPr="00225D4D" w:rsidRDefault="00D60186" w:rsidP="00225D4D">
      <w:r w:rsidRPr="00225D4D">
        <w:t>Samferdselsdepartementet vil i samarbeid med Nærings- og fiskeridepartementet vurdere innretningen på en overordnet risiko-, sårbarhets- og beredskapsanalyse på transportområdet. Det vises også til omtale av anmodningsvedtak nr. 709 av 20. mai 2025.</w:t>
      </w:r>
    </w:p>
    <w:p w14:paraId="2F52F44F" w14:textId="77777777" w:rsidR="00D60186" w:rsidRPr="00225D4D" w:rsidRDefault="00D60186" w:rsidP="00225D4D">
      <w:r w:rsidRPr="00225D4D">
        <w:t>Departementet vil komme tilbake til saken på egnet måte.</w:t>
      </w:r>
    </w:p>
    <w:p w14:paraId="1C7355AA" w14:textId="77777777" w:rsidR="00D60186" w:rsidRPr="00225D4D" w:rsidRDefault="00D60186" w:rsidP="00225D4D">
      <w:pPr>
        <w:pStyle w:val="avsnitt-tittel"/>
      </w:pPr>
      <w:proofErr w:type="spellStart"/>
      <w:r w:rsidRPr="00225D4D">
        <w:t>Gjere</w:t>
      </w:r>
      <w:proofErr w:type="spellEnd"/>
      <w:r w:rsidRPr="00225D4D">
        <w:t xml:space="preserve"> </w:t>
      </w:r>
      <w:proofErr w:type="spellStart"/>
      <w:r w:rsidRPr="00225D4D">
        <w:t>transportressursar</w:t>
      </w:r>
      <w:proofErr w:type="spellEnd"/>
      <w:r w:rsidRPr="00225D4D">
        <w:t xml:space="preserve"> </w:t>
      </w:r>
      <w:proofErr w:type="spellStart"/>
      <w:r w:rsidRPr="00225D4D">
        <w:t>tilgjengelege</w:t>
      </w:r>
      <w:proofErr w:type="spellEnd"/>
      <w:r w:rsidRPr="00225D4D">
        <w:t xml:space="preserve"> i krise</w:t>
      </w:r>
    </w:p>
    <w:p w14:paraId="0FAA21DE" w14:textId="77777777" w:rsidR="00D60186" w:rsidRPr="00225D4D" w:rsidRDefault="00D60186" w:rsidP="00225D4D">
      <w:pPr>
        <w:pStyle w:val="avsnitt-undertittel"/>
      </w:pPr>
      <w:r w:rsidRPr="00225D4D">
        <w:t>Vedtak nr. 636, 6. mai 2025</w:t>
      </w:r>
    </w:p>
    <w:p w14:paraId="0CE20397" w14:textId="77777777" w:rsidR="00D60186" w:rsidRPr="00225D4D" w:rsidRDefault="00D60186" w:rsidP="00225D4D">
      <w:pPr>
        <w:pStyle w:val="blokksit"/>
        <w:rPr>
          <w:rStyle w:val="kursiv"/>
        </w:rPr>
      </w:pPr>
      <w:r w:rsidRPr="00225D4D">
        <w:rPr>
          <w:rStyle w:val="kursiv"/>
        </w:rPr>
        <w:t>«Stortinget ber regjeringen utrede forutsetninger for å tilgjengeliggjøre transportressurser i krise, blant annet i lys av utviklingen med eierskap på tvers av landegrenser.»</w:t>
      </w:r>
    </w:p>
    <w:p w14:paraId="55B06556" w14:textId="77777777" w:rsidR="00D60186" w:rsidRPr="00225D4D" w:rsidRDefault="00D60186" w:rsidP="00225D4D">
      <w:r w:rsidRPr="00225D4D">
        <w:t xml:space="preserve">Vedtaket ble truffet ved behandlingen av Meld. St. 9 (2024–2025) </w:t>
      </w:r>
      <w:r w:rsidRPr="00225D4D">
        <w:rPr>
          <w:rStyle w:val="kursiv"/>
        </w:rPr>
        <w:t>Totalberedskapsmeldingen – Forberedt på kriser og krig</w:t>
      </w:r>
      <w:r w:rsidRPr="00225D4D">
        <w:t xml:space="preserve">, jf. </w:t>
      </w:r>
      <w:proofErr w:type="spellStart"/>
      <w:r w:rsidRPr="00225D4D">
        <w:t>Innst</w:t>
      </w:r>
      <w:proofErr w:type="spellEnd"/>
      <w:r w:rsidRPr="00225D4D">
        <w:t>. 242 S (2024–2025).</w:t>
      </w:r>
    </w:p>
    <w:p w14:paraId="6B2C77E5" w14:textId="77777777" w:rsidR="00D60186" w:rsidRPr="00225D4D" w:rsidRDefault="00D60186" w:rsidP="00225D4D">
      <w:r w:rsidRPr="00225D4D">
        <w:t>Både Nærings- og fiskeridepartementet og Samferdselsdepartementet har ordninger for å gjøre transportressurser tilgjengelig i krise og krig. Samferdselsdepartementet har et rådgivende forum for sivil transportberedskap som bl.a. har som formål å bidra til å identifisere og gjøre tilgjengelig relevante transportressurser. Nærings- og fiskeridepartementet har et formelt beredskapssamarbeid med rederinæringen gjennom næringsberedskapsrådet NORTRASHIP-ledelsen og kan gjennom denne ordningen stille til rådighet betydelige skipsfartsressurser for å støtte norske myndigheter og våre allierte. Det vises også til anmodningsvedtak nr. 642 av 6. mai 2025, som anses fulgt opp ved at Nærings- og fiskeridepartementet har besluttet å inkludere Kystrederiene som permanent medlem i NORTRASHIP-ledelsen. Dermed er nå også rederier som opererer svært tett på norskekysten, en del av de samlede transportressursene som kan brukes i krise og krig.</w:t>
      </w:r>
    </w:p>
    <w:p w14:paraId="24007C5C" w14:textId="77777777" w:rsidR="00D60186" w:rsidRPr="00225D4D" w:rsidRDefault="00D60186" w:rsidP="00225D4D">
      <w:r w:rsidRPr="00225D4D">
        <w:t>De to departementene vil sammen vurdere hvordan anmodningsvedtaket videre bør følges opp, og Samferdselsdepartementet vil komme tilbake til saken på egnet måte.</w:t>
      </w:r>
    </w:p>
    <w:p w14:paraId="41AFAC1D" w14:textId="77777777" w:rsidR="00D60186" w:rsidRPr="00225D4D" w:rsidRDefault="00D60186" w:rsidP="00225D4D">
      <w:pPr>
        <w:pStyle w:val="avsnitt-tittel"/>
      </w:pPr>
      <w:r w:rsidRPr="00225D4D">
        <w:t xml:space="preserve">Kolonnekøyring for tunge </w:t>
      </w:r>
      <w:proofErr w:type="spellStart"/>
      <w:r w:rsidRPr="00225D4D">
        <w:t>køyretøy</w:t>
      </w:r>
      <w:proofErr w:type="spellEnd"/>
      <w:r w:rsidRPr="00225D4D">
        <w:t xml:space="preserve"> på E134 over Haukelifjell</w:t>
      </w:r>
    </w:p>
    <w:p w14:paraId="0B6AB472" w14:textId="77777777" w:rsidR="00D60186" w:rsidRPr="00225D4D" w:rsidRDefault="00D60186" w:rsidP="00225D4D">
      <w:pPr>
        <w:pStyle w:val="avsnitt-undertittel"/>
      </w:pPr>
      <w:r w:rsidRPr="00225D4D">
        <w:t>Vedtak nr. 692, 15. mai 2025</w:t>
      </w:r>
    </w:p>
    <w:p w14:paraId="17994013" w14:textId="77777777" w:rsidR="00D60186" w:rsidRPr="00225D4D" w:rsidRDefault="00D60186" w:rsidP="00225D4D">
      <w:pPr>
        <w:pStyle w:val="blokksit"/>
        <w:rPr>
          <w:rStyle w:val="kursiv"/>
        </w:rPr>
      </w:pPr>
      <w:r w:rsidRPr="00225D4D">
        <w:rPr>
          <w:rStyle w:val="kursiv"/>
        </w:rPr>
        <w:t xml:space="preserve">«Stortinget ber regjeringen gjennomføre ei prøveordning med kolonnekøyring for tunge </w:t>
      </w:r>
      <w:proofErr w:type="spellStart"/>
      <w:r w:rsidRPr="00225D4D">
        <w:rPr>
          <w:rStyle w:val="kursiv"/>
        </w:rPr>
        <w:t>køyretøy</w:t>
      </w:r>
      <w:proofErr w:type="spellEnd"/>
      <w:r w:rsidRPr="00225D4D">
        <w:rPr>
          <w:rStyle w:val="kursiv"/>
        </w:rPr>
        <w:t xml:space="preserve"> på E134 over Haukelifjell.»</w:t>
      </w:r>
    </w:p>
    <w:p w14:paraId="6D3BD764"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Terje Halleland, Frank Edvard Sve, Morten Stordalen, Bård </w:t>
      </w:r>
      <w:proofErr w:type="spellStart"/>
      <w:r w:rsidRPr="00225D4D">
        <w:t>Hoksrud</w:t>
      </w:r>
      <w:proofErr w:type="spellEnd"/>
      <w:r w:rsidRPr="00225D4D">
        <w:t xml:space="preserve">, Roy Steffensen og Morten Wold om prøveordning for kolonnekjøring for tunge kjøretøy på E134 over Haukelifjell, jf. Dokument 8:100 S (2024–2025) og </w:t>
      </w:r>
      <w:proofErr w:type="spellStart"/>
      <w:r w:rsidRPr="00225D4D">
        <w:t>Innst</w:t>
      </w:r>
      <w:proofErr w:type="spellEnd"/>
      <w:r w:rsidRPr="00225D4D">
        <w:t>. 271 S (2024–2025).</w:t>
      </w:r>
    </w:p>
    <w:p w14:paraId="2BC303E7" w14:textId="77777777" w:rsidR="00D60186" w:rsidRPr="00225D4D" w:rsidRDefault="00D60186" w:rsidP="00225D4D">
      <w:r w:rsidRPr="00225D4D">
        <w:t xml:space="preserve">Samferdselsdepartementet gav i </w:t>
      </w:r>
      <w:proofErr w:type="spellStart"/>
      <w:r w:rsidRPr="00225D4D">
        <w:t>supplerande</w:t>
      </w:r>
      <w:proofErr w:type="spellEnd"/>
      <w:r w:rsidRPr="00225D4D">
        <w:t xml:space="preserve"> tildelingsbrev nr. 14 for 2025 Statens vegvesen i oppdrag å </w:t>
      </w:r>
      <w:proofErr w:type="spellStart"/>
      <w:r w:rsidRPr="00225D4D">
        <w:t>setje</w:t>
      </w:r>
      <w:proofErr w:type="spellEnd"/>
      <w:r w:rsidRPr="00225D4D">
        <w:t xml:space="preserve"> i verk nødvendige tiltak som vil bidra til å starte </w:t>
      </w:r>
      <w:proofErr w:type="spellStart"/>
      <w:r w:rsidRPr="00225D4D">
        <w:t>eit</w:t>
      </w:r>
      <w:proofErr w:type="spellEnd"/>
      <w:r w:rsidRPr="00225D4D">
        <w:t xml:space="preserve"> prøveprosjekt for tungbilkolonne over Haukelifjell </w:t>
      </w:r>
      <w:proofErr w:type="spellStart"/>
      <w:r w:rsidRPr="00225D4D">
        <w:t>allereie</w:t>
      </w:r>
      <w:proofErr w:type="spellEnd"/>
      <w:r w:rsidRPr="00225D4D">
        <w:t xml:space="preserve"> vinteren 2025/2026. Prøveordninga skal deretter </w:t>
      </w:r>
      <w:proofErr w:type="spellStart"/>
      <w:r w:rsidRPr="00225D4D">
        <w:t>evaluerast</w:t>
      </w:r>
      <w:proofErr w:type="spellEnd"/>
      <w:r w:rsidRPr="00225D4D">
        <w:t>.</w:t>
      </w:r>
    </w:p>
    <w:p w14:paraId="73797009" w14:textId="77777777" w:rsidR="00D60186" w:rsidRPr="00225D4D" w:rsidRDefault="00D60186" w:rsidP="00225D4D">
      <w:r w:rsidRPr="00225D4D">
        <w:t>Departementet vil komme tilbake til saka på eigna måte.</w:t>
      </w:r>
    </w:p>
    <w:p w14:paraId="14CBEF2D" w14:textId="77777777" w:rsidR="00D60186" w:rsidRPr="00225D4D" w:rsidRDefault="00D60186" w:rsidP="00225D4D">
      <w:pPr>
        <w:pStyle w:val="avsnitt-tittel"/>
      </w:pPr>
      <w:proofErr w:type="spellStart"/>
      <w:r w:rsidRPr="00225D4D">
        <w:t>Kartleggje</w:t>
      </w:r>
      <w:proofErr w:type="spellEnd"/>
      <w:r w:rsidRPr="00225D4D">
        <w:t xml:space="preserve"> det </w:t>
      </w:r>
      <w:proofErr w:type="spellStart"/>
      <w:r w:rsidRPr="00225D4D">
        <w:t>dårlegaste</w:t>
      </w:r>
      <w:proofErr w:type="spellEnd"/>
      <w:r w:rsidRPr="00225D4D">
        <w:t xml:space="preserve"> </w:t>
      </w:r>
      <w:proofErr w:type="spellStart"/>
      <w:r w:rsidRPr="00225D4D">
        <w:t>offentlege</w:t>
      </w:r>
      <w:proofErr w:type="spellEnd"/>
      <w:r w:rsidRPr="00225D4D">
        <w:t xml:space="preserve"> vegnettet og foreslå tiltak</w:t>
      </w:r>
    </w:p>
    <w:p w14:paraId="6EA34605" w14:textId="77777777" w:rsidR="00D60186" w:rsidRPr="00225D4D" w:rsidRDefault="00D60186" w:rsidP="00225D4D">
      <w:pPr>
        <w:pStyle w:val="avsnitt-undertittel"/>
      </w:pPr>
      <w:r w:rsidRPr="00225D4D">
        <w:t>Vedtak nr. 693, 15. mai 2025</w:t>
      </w:r>
    </w:p>
    <w:p w14:paraId="08C22242" w14:textId="77777777" w:rsidR="00D60186" w:rsidRPr="00225D4D" w:rsidRDefault="00D60186" w:rsidP="00225D4D">
      <w:pPr>
        <w:pStyle w:val="blokksit"/>
        <w:rPr>
          <w:rStyle w:val="kursiv"/>
        </w:rPr>
      </w:pPr>
      <w:r w:rsidRPr="00225D4D">
        <w:rPr>
          <w:rStyle w:val="kursiv"/>
        </w:rPr>
        <w:t>«Stortinget ber regjeringen gjennomføre en kartlegging av det aller dårligste offentlige veinettet og komme tilbake til Stortinget med forslag til hvordan man kan bidra til standardhevinger på disse veiene.»</w:t>
      </w:r>
    </w:p>
    <w:p w14:paraId="1AA8FBF2" w14:textId="77777777" w:rsidR="00D60186" w:rsidRPr="00225D4D" w:rsidRDefault="00D60186" w:rsidP="00225D4D">
      <w:r w:rsidRPr="00225D4D">
        <w:t xml:space="preserve">Dokumentene som ligger til grunn for vedtaket, er representantforslag fra stortingsrepresentantene Frank Edvard Sve, Morten Stordalen, Silje Hjemdal, Helge André Njåstad og Dagfinn Henrik Olsen om et program for vedlikehold og utbedringer av fylkesveier, jf. Dokument 8:98 S (2024–2025) og </w:t>
      </w:r>
      <w:proofErr w:type="spellStart"/>
      <w:r w:rsidRPr="00225D4D">
        <w:t>Innst</w:t>
      </w:r>
      <w:proofErr w:type="spellEnd"/>
      <w:r w:rsidRPr="00225D4D">
        <w:t>. 270 S (2024–2025).</w:t>
      </w:r>
    </w:p>
    <w:p w14:paraId="5FD62EB5" w14:textId="77777777" w:rsidR="00D60186" w:rsidRPr="00225D4D" w:rsidRDefault="00D60186" w:rsidP="00225D4D">
      <w:r w:rsidRPr="00225D4D">
        <w:t>Samferdselsdepartementet er opptatt av å innhente kunnskap om konsekvensene for samfunnet av den standarden veiene har. Departementet ga derfor i supplerende tildelingsbrev nr. 9 for 2025 Statens vegvesen i oppdrag å kartlegge veinettets tilstand sammen med fylkeskommunene og Nye Veier AS. Formålet med oppdraget er å gi Samferdselsdepartementet tilstrekkelig oversikt over tilstanden på veinettet og hvordan endringer i denne påvirker måloppnåelsen i sektoren samt et godt beslutningsgrunnlag for å foreta prioriteringer i budsjettprosesser og langtidsplanlegging. Frist for oppdraget er 1. desember 2025.</w:t>
      </w:r>
    </w:p>
    <w:p w14:paraId="36CAADA5" w14:textId="77777777" w:rsidR="00D60186" w:rsidRPr="00225D4D" w:rsidRDefault="00D60186" w:rsidP="00225D4D">
      <w:r w:rsidRPr="00225D4D">
        <w:t>I oppdraget har departementet bedt om at følgende svares ut</w:t>
      </w:r>
    </w:p>
    <w:p w14:paraId="18746F41" w14:textId="77777777" w:rsidR="00D60186" w:rsidRPr="00225D4D" w:rsidRDefault="00D60186" w:rsidP="00225D4D">
      <w:pPr>
        <w:pStyle w:val="Liste"/>
      </w:pPr>
      <w:r w:rsidRPr="00225D4D">
        <w:t>informasjon om tilstanden på veinettet for utvalgte nøkkelindikatorer</w:t>
      </w:r>
    </w:p>
    <w:p w14:paraId="45DCE20F" w14:textId="77777777" w:rsidR="00D60186" w:rsidRPr="00225D4D" w:rsidRDefault="00D60186" w:rsidP="00225D4D">
      <w:pPr>
        <w:pStyle w:val="Liste"/>
      </w:pPr>
      <w:r w:rsidRPr="00225D4D">
        <w:t xml:space="preserve">informasjon om skred og </w:t>
      </w:r>
      <w:proofErr w:type="spellStart"/>
      <w:r w:rsidRPr="00225D4D">
        <w:t>naturfare</w:t>
      </w:r>
      <w:proofErr w:type="spellEnd"/>
    </w:p>
    <w:p w14:paraId="45D9444C" w14:textId="77777777" w:rsidR="00D60186" w:rsidRPr="00225D4D" w:rsidRDefault="00D60186" w:rsidP="00225D4D">
      <w:pPr>
        <w:pStyle w:val="Liste"/>
      </w:pPr>
      <w:r w:rsidRPr="00225D4D">
        <w:t>konsekvenser av manglende prioriteringer av drift, vedlikehold og fornying for trafikksikkerhet, samfunnssikkerhet og beredskap og fremkommelighet for person- og næringstransport</w:t>
      </w:r>
    </w:p>
    <w:p w14:paraId="3B1DF233" w14:textId="77777777" w:rsidR="00D60186" w:rsidRPr="00225D4D" w:rsidRDefault="00D60186" w:rsidP="00225D4D">
      <w:pPr>
        <w:pStyle w:val="Liste"/>
      </w:pPr>
      <w:r w:rsidRPr="00225D4D">
        <w:t>anbefaling for å kunne håndtere kartlagte konsekvenser og hvis mulig hvilke tiltak som har høyest prioritet samt grove beregninger av kostnader.</w:t>
      </w:r>
    </w:p>
    <w:p w14:paraId="06E15929" w14:textId="77777777" w:rsidR="00D60186" w:rsidRPr="00225D4D" w:rsidRDefault="00D60186" w:rsidP="00225D4D">
      <w:r w:rsidRPr="00225D4D">
        <w:t xml:space="preserve">Samferdselsdepartementet har videre satt i gang et arbeid med å få fastsatt indikatorer som skal trekke sektoren og aktørene i ønsket retning og bidra til å oppnå målene i Nasjonal transportplan. Nye Veier, Statens vegvesen og fylkeskommune leverte i mai 2025 rapporten </w:t>
      </w:r>
      <w:r w:rsidRPr="00225D4D">
        <w:rPr>
          <w:rStyle w:val="kursiv"/>
        </w:rPr>
        <w:t>Bruk av målestokkonkurranse innen drift og vedlikehold</w:t>
      </w:r>
      <w:r w:rsidRPr="00225D4D">
        <w:t>. Aktørene har etter det fått utvidet sitt mandat til å følge opp rapportens anbefalinger. De har bl.a. fått frist ut 2025 for å definere og etablere operative indikatorer som skal brukes til rapportering fra 2026.</w:t>
      </w:r>
    </w:p>
    <w:p w14:paraId="0E262A14" w14:textId="77777777" w:rsidR="00D60186" w:rsidRPr="00225D4D" w:rsidRDefault="00D60186" w:rsidP="00225D4D">
      <w:r w:rsidRPr="00225D4D">
        <w:t>Samferdselsdepartementet vil komme tilbake til saken på egnet måte.</w:t>
      </w:r>
    </w:p>
    <w:p w14:paraId="6928ECDF" w14:textId="77777777" w:rsidR="00D60186" w:rsidRPr="00225D4D" w:rsidRDefault="00D60186" w:rsidP="00225D4D">
      <w:pPr>
        <w:pStyle w:val="avsnitt-tittel"/>
      </w:pPr>
      <w:r w:rsidRPr="00225D4D">
        <w:t xml:space="preserve">Redusere </w:t>
      </w:r>
      <w:proofErr w:type="spellStart"/>
      <w:r w:rsidRPr="00225D4D">
        <w:t>vedlikehaldsetterslepet</w:t>
      </w:r>
      <w:proofErr w:type="spellEnd"/>
      <w:r w:rsidRPr="00225D4D">
        <w:t xml:space="preserve"> på </w:t>
      </w:r>
      <w:proofErr w:type="spellStart"/>
      <w:r w:rsidRPr="00225D4D">
        <w:t>fylkesvegane</w:t>
      </w:r>
      <w:proofErr w:type="spellEnd"/>
    </w:p>
    <w:p w14:paraId="62141C46" w14:textId="77777777" w:rsidR="00D60186" w:rsidRPr="00225D4D" w:rsidRDefault="00D60186" w:rsidP="00225D4D">
      <w:pPr>
        <w:pStyle w:val="avsnitt-undertittel"/>
      </w:pPr>
      <w:r w:rsidRPr="00225D4D">
        <w:t>Vedtak nr. 694, 15. mai 2025</w:t>
      </w:r>
    </w:p>
    <w:p w14:paraId="388D8D89" w14:textId="77777777" w:rsidR="00D60186" w:rsidRPr="00225D4D" w:rsidRDefault="00D60186" w:rsidP="00225D4D">
      <w:pPr>
        <w:pStyle w:val="blokksit"/>
        <w:rPr>
          <w:rStyle w:val="kursiv"/>
        </w:rPr>
      </w:pPr>
      <w:r w:rsidRPr="00225D4D">
        <w:rPr>
          <w:rStyle w:val="kursiv"/>
        </w:rPr>
        <w:t>«Stortinget ber regjeringen bidra til å redusere vedlikeholdsetterslepet på fylkesveiene.»</w:t>
      </w:r>
    </w:p>
    <w:p w14:paraId="297B8E06" w14:textId="77777777" w:rsidR="00D60186" w:rsidRPr="00225D4D" w:rsidRDefault="00D60186" w:rsidP="00225D4D">
      <w:r w:rsidRPr="00225D4D">
        <w:t xml:space="preserve">Dokumentene som ligger til grunn for vedtaket, er representantforslag fra stortingsrepresentantene Frank Edvard Sve, Morten Stordalen, Silje Hjemdal, Helge André Njåstad og Dagfinn Henrik Olsen om et program for vedlikehold og utbedringer av fylkesveier, jf. Dokument 8:98 S (2024–2025) og </w:t>
      </w:r>
      <w:proofErr w:type="spellStart"/>
      <w:r w:rsidRPr="00225D4D">
        <w:t>Innst</w:t>
      </w:r>
      <w:proofErr w:type="spellEnd"/>
      <w:r w:rsidRPr="00225D4D">
        <w:t>. 270 S (2024–2025).</w:t>
      </w:r>
    </w:p>
    <w:p w14:paraId="04043A13" w14:textId="77777777" w:rsidR="00D60186" w:rsidRPr="00225D4D" w:rsidRDefault="00D60186" w:rsidP="00225D4D">
      <w:r w:rsidRPr="00225D4D">
        <w:t xml:space="preserve">Vedlikeholdsetterslepet på fylkesveiene har økt over tid, og det er et betydelige behov for å tette dette gapet. I forbindelse med Nasjonal transportplan 2025–2036 la regjeringen frem en helhetlig og forpliktende plan for å redusere vedlikeholdsetterslepet på riks- og fylkesvei. For fylkesvei legger regjeringen opp til å prioritere 30,6 mrd. kr i første seksårsperiode og 34,4 mrd. kr i andre seksårsperiode. Dette innebærer en økning på 1 mrd. kr i årlig gjennomsnitt i første seksårsperiode sammenliknet med saldert budsjett for 2024. Dette er fulgt opp i </w:t>
      </w:r>
      <w:proofErr w:type="spellStart"/>
      <w:r w:rsidRPr="00225D4D">
        <w:t>Prop</w:t>
      </w:r>
      <w:proofErr w:type="spellEnd"/>
      <w:r w:rsidRPr="00225D4D">
        <w:t>. 1 S (2024–2025) med om lag 480,5 mill. kr mer til fylkesvei i 2025 som er en økning på 11,4 pst. fra saldert budsjett 2024. Den største delen av økningen gikk til opprustning og fornying av fylkesveinettet over rammetilskuddet til fylkeskommuner.</w:t>
      </w:r>
    </w:p>
    <w:p w14:paraId="31349FBA" w14:textId="77777777" w:rsidR="00D60186" w:rsidRPr="00225D4D" w:rsidRDefault="00D60186" w:rsidP="00225D4D">
      <w:r w:rsidRPr="00225D4D">
        <w:t>Fylkeskommunene og fylkesveiene finansieres i hovedsak gjennom de frie inntektene. I forbindelse med revidert nasjonalbudsjett ble de frie inntektene økt med 500 mill. kr begrunnet med økt satsing på samferdsel. Denne satsingen videreføres og inngår i rammetilskuddet til fylkeskommunene fra 2026. Dette vil sette fylkeskommunene bedre i stand til å ta vare på fylkesveinettet.</w:t>
      </w:r>
    </w:p>
    <w:p w14:paraId="4AE07E95" w14:textId="77777777" w:rsidR="00D60186" w:rsidRPr="00225D4D" w:rsidRDefault="00D60186" w:rsidP="00225D4D">
      <w:r w:rsidRPr="00225D4D">
        <w:t>Samferdselsdepartementet anser med dette vedtaket som fulgt opp.</w:t>
      </w:r>
    </w:p>
    <w:p w14:paraId="2164F611" w14:textId="77777777" w:rsidR="00D60186" w:rsidRPr="00225D4D" w:rsidRDefault="00D60186" w:rsidP="00225D4D">
      <w:pPr>
        <w:pStyle w:val="avsnitt-tittel"/>
      </w:pPr>
      <w:r w:rsidRPr="00225D4D">
        <w:t>Automatisere refusjon for periode- og enkeltbillett på jernbanen</w:t>
      </w:r>
    </w:p>
    <w:p w14:paraId="3940BF25" w14:textId="77777777" w:rsidR="00D60186" w:rsidRPr="00225D4D" w:rsidRDefault="00D60186" w:rsidP="00225D4D">
      <w:pPr>
        <w:pStyle w:val="avsnitt-undertittel"/>
      </w:pPr>
      <w:r w:rsidRPr="00225D4D">
        <w:t>Vedtak nr. 707, 20. mai 2025</w:t>
      </w:r>
    </w:p>
    <w:p w14:paraId="03F1C789" w14:textId="77777777" w:rsidR="00D60186" w:rsidRPr="00225D4D" w:rsidRDefault="00D60186" w:rsidP="00225D4D">
      <w:pPr>
        <w:pStyle w:val="blokksit"/>
        <w:rPr>
          <w:rStyle w:val="kursiv"/>
        </w:rPr>
      </w:pPr>
      <w:r w:rsidRPr="00225D4D">
        <w:rPr>
          <w:rStyle w:val="kursiv"/>
        </w:rPr>
        <w:t>«Stortinget ber regjeringen sikre at utbetaling av refusjon til reisende på jernbanen kan automatiseres for både periodebillett og enkeltbilletter, slik at de reisende får utbetalt det de har krav på, raskt og enkelt ved forsinkelser og innstillinger.»</w:t>
      </w:r>
    </w:p>
    <w:p w14:paraId="6D80851E" w14:textId="77777777" w:rsidR="00D60186" w:rsidRPr="00225D4D" w:rsidRDefault="00D60186" w:rsidP="00225D4D">
      <w:r w:rsidRPr="00225D4D">
        <w:t xml:space="preserve">Dokumentene som ligger til grunn for vedtaket, er representantforslag fra stortingsrepresentantene Erna Solberg, Erlend Larsen, Liv Kari Eskeland, Ingjerd Schie Schou, Anne Kristine Linnestad, Mahmoud </w:t>
      </w:r>
      <w:proofErr w:type="spellStart"/>
      <w:r w:rsidRPr="00225D4D">
        <w:t>Farahmand</w:t>
      </w:r>
      <w:proofErr w:type="spellEnd"/>
      <w:r w:rsidRPr="00225D4D">
        <w:t xml:space="preserve"> og Trond Helleland om å gjenreise tilliten til jernbanen, jf. Dokument 8:111 S (2024–2025) og </w:t>
      </w:r>
      <w:proofErr w:type="spellStart"/>
      <w:r w:rsidRPr="00225D4D">
        <w:t>Innst</w:t>
      </w:r>
      <w:proofErr w:type="spellEnd"/>
      <w:r w:rsidRPr="00225D4D">
        <w:t>. 306 S (2024–2025).</w:t>
      </w:r>
    </w:p>
    <w:p w14:paraId="767FD27F" w14:textId="77777777" w:rsidR="00D60186" w:rsidRPr="00225D4D" w:rsidRDefault="00D60186" w:rsidP="00225D4D">
      <w:r w:rsidRPr="00225D4D">
        <w:t xml:space="preserve">I supplerende tildelingsbrev nr. 4 for 2025 ga Samferdselsdepartementet Jernbanedirektoratet, i samarbeid med </w:t>
      </w:r>
      <w:proofErr w:type="spellStart"/>
      <w:r w:rsidRPr="00225D4D">
        <w:t>Entur</w:t>
      </w:r>
      <w:proofErr w:type="spellEnd"/>
      <w:r w:rsidRPr="00225D4D">
        <w:t>, i oppdrag å se på muligheten for å automatisere utbetaling av refusjon til reisende på jernbanen, inkludert ulike løsningsalternativ. Jernbanedirektoratets vurdering skal leveres innen 2. mars 2026.</w:t>
      </w:r>
    </w:p>
    <w:p w14:paraId="20BB430E" w14:textId="77777777" w:rsidR="00D60186" w:rsidRPr="00225D4D" w:rsidRDefault="00D60186" w:rsidP="00225D4D">
      <w:r w:rsidRPr="00225D4D">
        <w:t>Departementet vil komme tilbake til saken på egnet måte.</w:t>
      </w:r>
    </w:p>
    <w:p w14:paraId="4B083FBC" w14:textId="77777777" w:rsidR="00D60186" w:rsidRPr="00225D4D" w:rsidRDefault="00D60186" w:rsidP="00225D4D">
      <w:pPr>
        <w:pStyle w:val="avsnitt-tittel"/>
      </w:pPr>
      <w:r w:rsidRPr="00225D4D">
        <w:t xml:space="preserve">Gå gjennom Bane NORs </w:t>
      </w:r>
      <w:proofErr w:type="spellStart"/>
      <w:r w:rsidRPr="00225D4D">
        <w:t>oppgåver</w:t>
      </w:r>
      <w:proofErr w:type="spellEnd"/>
    </w:p>
    <w:p w14:paraId="1681EC5C" w14:textId="77777777" w:rsidR="00D60186" w:rsidRPr="00225D4D" w:rsidRDefault="00D60186" w:rsidP="00225D4D">
      <w:pPr>
        <w:pStyle w:val="avsnitt-undertittel"/>
      </w:pPr>
      <w:r w:rsidRPr="00225D4D">
        <w:t>Vedtak nr. 708, 20. mai 2025</w:t>
      </w:r>
    </w:p>
    <w:p w14:paraId="11554FD4" w14:textId="77777777" w:rsidR="00D60186" w:rsidRPr="00225D4D" w:rsidRDefault="00D60186" w:rsidP="00225D4D">
      <w:pPr>
        <w:pStyle w:val="blokksit"/>
        <w:rPr>
          <w:rStyle w:val="kursiv"/>
        </w:rPr>
      </w:pPr>
      <w:r w:rsidRPr="00225D4D">
        <w:rPr>
          <w:rStyle w:val="kursiv"/>
        </w:rPr>
        <w:t xml:space="preserve">«Stortinget ber regjeringen gjennomgå Bane NORs oppgaver med mål om at selskapet skal </w:t>
      </w:r>
      <w:proofErr w:type="gramStart"/>
      <w:r w:rsidRPr="00225D4D">
        <w:rPr>
          <w:rStyle w:val="kursiv"/>
        </w:rPr>
        <w:t>fokusere</w:t>
      </w:r>
      <w:proofErr w:type="gramEnd"/>
      <w:r w:rsidRPr="00225D4D">
        <w:rPr>
          <w:rStyle w:val="kursiv"/>
        </w:rPr>
        <w:t xml:space="preserve"> på sin kjernevirksomhet og forbedre leveransen av infrastruktur til sine kunder.»</w:t>
      </w:r>
    </w:p>
    <w:p w14:paraId="10E439A8" w14:textId="77777777" w:rsidR="00D60186" w:rsidRPr="00225D4D" w:rsidRDefault="00D60186" w:rsidP="00225D4D">
      <w:r w:rsidRPr="00225D4D">
        <w:t xml:space="preserve">Dokumentene som ligger til grunn for vedtaket, er representantforslag fra stortingsrepresentantene Erna Solberg, Erlend Larsen, Liv Kari Eskeland, Ingjerd Schie Schou, Anne Kristine Linnestad, Mahmoud </w:t>
      </w:r>
      <w:proofErr w:type="spellStart"/>
      <w:r w:rsidRPr="00225D4D">
        <w:t>Farahmand</w:t>
      </w:r>
      <w:proofErr w:type="spellEnd"/>
      <w:r w:rsidRPr="00225D4D">
        <w:t xml:space="preserve"> og Trond Helleland om å gjenreise tilliten til jernbanen, jf. Dokument 8:111 S (2024–2025) og </w:t>
      </w:r>
      <w:proofErr w:type="spellStart"/>
      <w:r w:rsidRPr="00225D4D">
        <w:t>Innst</w:t>
      </w:r>
      <w:proofErr w:type="spellEnd"/>
      <w:r w:rsidRPr="00225D4D">
        <w:t>. 306 S (2024–2025).</w:t>
      </w:r>
    </w:p>
    <w:p w14:paraId="1E849A01" w14:textId="77777777" w:rsidR="00D60186" w:rsidRPr="00225D4D" w:rsidRDefault="00D60186" w:rsidP="00225D4D">
      <w:r w:rsidRPr="00225D4D">
        <w:t>Regjeringen har i stortingsperioden 2021–2025 foretatt en gjennomgang av jernbanesektoren og tatt en rekke grep for å sikre en bedre styrt og organisert jernbanesektor. Noen av tiltakene rettet mot Bane NORs ansvarsområder og oppgaver er bl.a. innføring av oppdragsbrev til Bane NOR, helhetlig risikostyringssystem, nytt plansystem, revidert jernbaneforskrift og et tydeligere styringsrammeverk for å utvikle og gjennomføre tilbudsforbedringer. I tillegg har Bane NOR nylig gjennomført en større intern omorganisering, og foretaket arbeider med å videreutvikle sitt system for virksomhetsstyring. Det er viktig at de igangsatte tiltakene blir gjennomført og gis tid til å virke for å gi ønsket effekt. Departementet vil evaluere effekten av tiltakene og vurdere hensiktsmessig innretning av en gjennomgang i samråd med Bane NOR.</w:t>
      </w:r>
    </w:p>
    <w:p w14:paraId="6014E623" w14:textId="77777777" w:rsidR="00D60186" w:rsidRPr="00225D4D" w:rsidRDefault="00D60186" w:rsidP="00225D4D">
      <w:r w:rsidRPr="00225D4D">
        <w:t>Samferdselsdepartementet vil komme tilbake til saken på egnet måte.</w:t>
      </w:r>
    </w:p>
    <w:p w14:paraId="1CCDBB63" w14:textId="77777777" w:rsidR="00D60186" w:rsidRPr="00225D4D" w:rsidRDefault="00D60186" w:rsidP="00225D4D">
      <w:pPr>
        <w:pStyle w:val="avsnitt-tittel"/>
      </w:pPr>
      <w:r w:rsidRPr="00225D4D">
        <w:t>Beredskapsanalyse av jernbanesektoren</w:t>
      </w:r>
    </w:p>
    <w:p w14:paraId="1B9A834F" w14:textId="77777777" w:rsidR="00D60186" w:rsidRPr="00225D4D" w:rsidRDefault="00D60186" w:rsidP="00225D4D">
      <w:pPr>
        <w:pStyle w:val="avsnitt-undertittel"/>
      </w:pPr>
      <w:r w:rsidRPr="00225D4D">
        <w:t>Vedtak nr. 709, 20. mai 2025</w:t>
      </w:r>
    </w:p>
    <w:p w14:paraId="11AC25F9" w14:textId="77777777" w:rsidR="00D60186" w:rsidRPr="00225D4D" w:rsidRDefault="00D60186" w:rsidP="00225D4D">
      <w:pPr>
        <w:pStyle w:val="blokksit"/>
        <w:rPr>
          <w:rStyle w:val="kursiv"/>
        </w:rPr>
      </w:pPr>
      <w:r w:rsidRPr="00225D4D">
        <w:rPr>
          <w:rStyle w:val="kursiv"/>
        </w:rPr>
        <w:t>«Stortinget ber regjeringen gjøre en beredskapsanalyse av jernbanesektoren og sørge for bedre samarbeid og samhandling mellom aktørene i sektoren.»</w:t>
      </w:r>
    </w:p>
    <w:p w14:paraId="143984BF" w14:textId="77777777" w:rsidR="00D60186" w:rsidRPr="00225D4D" w:rsidRDefault="00D60186" w:rsidP="00225D4D">
      <w:r w:rsidRPr="00225D4D">
        <w:t xml:space="preserve">Dokumentene som ligger til grunn for vedtaket, er representantforslag fra stortingsrepresentantene Erna Solberg, Erlend Larsen, Liv Kari Eskeland, Ingjerd Schie Schou, Anne Kristine Linnestad, Mahmoud </w:t>
      </w:r>
      <w:proofErr w:type="spellStart"/>
      <w:r w:rsidRPr="00225D4D">
        <w:t>Farahmand</w:t>
      </w:r>
      <w:proofErr w:type="spellEnd"/>
      <w:r w:rsidRPr="00225D4D">
        <w:t xml:space="preserve"> og Trond Helleland om å gjenreise tilliten til jernbanen, jf. Dokument 8:111 S (2024–2025) og </w:t>
      </w:r>
      <w:proofErr w:type="spellStart"/>
      <w:r w:rsidRPr="00225D4D">
        <w:t>Innst</w:t>
      </w:r>
      <w:proofErr w:type="spellEnd"/>
      <w:r w:rsidRPr="00225D4D">
        <w:t>. 306 S (2024–2025).</w:t>
      </w:r>
    </w:p>
    <w:p w14:paraId="7DA64B34" w14:textId="77777777" w:rsidR="00D60186" w:rsidRPr="00225D4D" w:rsidRDefault="00D60186" w:rsidP="00225D4D">
      <w:r w:rsidRPr="00225D4D">
        <w:t xml:space="preserve">I supplerende tildelingsbrev nr. 7 for 2025 ga Samferdselsdepartementet Jernbanedirektoratet og Bane NOR i fellesskap i oppdrag å utarbeide en beredskapsanalyse av jernbanesektoren. Togoperatører, Statens jernbanetilsyn, Norske tog, </w:t>
      </w:r>
      <w:proofErr w:type="spellStart"/>
      <w:r w:rsidRPr="00225D4D">
        <w:t>Entur</w:t>
      </w:r>
      <w:proofErr w:type="spellEnd"/>
      <w:r w:rsidRPr="00225D4D">
        <w:t xml:space="preserve"> og ev. andre relevante aktører i sektoren skal også involveres. Arbeidet skal bl.a. omfatte beredskapsøvelser, som vil gi viktig innsikt om behov for ytterligere tiltak. Frist for å levere på oppdraget er 1. juni 2026.</w:t>
      </w:r>
    </w:p>
    <w:p w14:paraId="6FA01674" w14:textId="77777777" w:rsidR="00D60186" w:rsidRPr="00225D4D" w:rsidRDefault="00D60186" w:rsidP="00225D4D">
      <w:r w:rsidRPr="00225D4D">
        <w:t>Samferdselsdepartementet vil komme tilbake til saken på egnet måte.</w:t>
      </w:r>
    </w:p>
    <w:p w14:paraId="6B8A570D" w14:textId="77777777" w:rsidR="00D60186" w:rsidRPr="00225D4D" w:rsidRDefault="00D60186" w:rsidP="00225D4D">
      <w:pPr>
        <w:pStyle w:val="avsnitt-tittel"/>
      </w:pPr>
      <w:r w:rsidRPr="00225D4D">
        <w:t>Plan for togmateriellberedskap</w:t>
      </w:r>
    </w:p>
    <w:p w14:paraId="353A71C1" w14:textId="77777777" w:rsidR="00D60186" w:rsidRPr="00225D4D" w:rsidRDefault="00D60186" w:rsidP="00225D4D">
      <w:pPr>
        <w:pStyle w:val="avsnitt-undertittel"/>
      </w:pPr>
      <w:r w:rsidRPr="00225D4D">
        <w:t>Vedtak nr. 710, 20. mai 2025</w:t>
      </w:r>
    </w:p>
    <w:p w14:paraId="1E2ABF79" w14:textId="77777777" w:rsidR="00D60186" w:rsidRPr="00225D4D" w:rsidRDefault="00D60186" w:rsidP="00225D4D">
      <w:pPr>
        <w:pStyle w:val="blokksit"/>
        <w:rPr>
          <w:rStyle w:val="kursiv"/>
        </w:rPr>
      </w:pPr>
      <w:r w:rsidRPr="00225D4D">
        <w:rPr>
          <w:rStyle w:val="kursiv"/>
        </w:rPr>
        <w:t xml:space="preserve">«Stortinget ber regjeringen legge frem en plan for togmateriellberedskap, senest i statsbudsjettet for 2026, som inkluderer bruk av opsjon for kjøp av ytterligere materiell under eksisterende avtaler, samt plan for </w:t>
      </w:r>
      <w:proofErr w:type="gramStart"/>
      <w:r w:rsidRPr="00225D4D">
        <w:rPr>
          <w:rStyle w:val="kursiv"/>
        </w:rPr>
        <w:t>innleie</w:t>
      </w:r>
      <w:proofErr w:type="gramEnd"/>
      <w:r w:rsidRPr="00225D4D">
        <w:rPr>
          <w:rStyle w:val="kursiv"/>
        </w:rPr>
        <w:t xml:space="preserve"> og reserveløsninger som kan styrke beredskapen i påvente av nytt materiell og ved ytterligere forsinkelser av det nye materiellet. Planen må også ta høyde for Forsvarets behov for materiell.»</w:t>
      </w:r>
    </w:p>
    <w:p w14:paraId="69004DEF" w14:textId="77777777" w:rsidR="00D60186" w:rsidRPr="00225D4D" w:rsidRDefault="00D60186" w:rsidP="00225D4D">
      <w:r w:rsidRPr="00225D4D">
        <w:t xml:space="preserve">Dokumentene som ligger til grunn for vedtaket, er representantforslag fra stortingsrepresentantene Mona Fagerås og Lars Haltbrekken om å styrke </w:t>
      </w:r>
      <w:proofErr w:type="spellStart"/>
      <w:r w:rsidRPr="00225D4D">
        <w:t>togberedskapen</w:t>
      </w:r>
      <w:proofErr w:type="spellEnd"/>
      <w:r w:rsidRPr="00225D4D">
        <w:t xml:space="preserve"> i Norge, jf. Dokument 8:123 S (2024–2025) og </w:t>
      </w:r>
      <w:proofErr w:type="spellStart"/>
      <w:r w:rsidRPr="00225D4D">
        <w:t>Innst</w:t>
      </w:r>
      <w:proofErr w:type="spellEnd"/>
      <w:r w:rsidRPr="00225D4D">
        <w:t>. 306 S (2024–2025).</w:t>
      </w:r>
    </w:p>
    <w:p w14:paraId="4BBAC6E1" w14:textId="77777777" w:rsidR="00D60186" w:rsidRPr="00225D4D" w:rsidRDefault="00D60186" w:rsidP="00225D4D">
      <w:r w:rsidRPr="00225D4D">
        <w:t>Regjeringens materiellplan er omtalt under Programkategori 21.50 Jernbaneformål, Andre saker.</w:t>
      </w:r>
    </w:p>
    <w:p w14:paraId="576C85A5" w14:textId="77777777" w:rsidR="00D60186" w:rsidRPr="00225D4D" w:rsidRDefault="00D60186" w:rsidP="00225D4D">
      <w:r w:rsidRPr="00225D4D">
        <w:t>Samferdselsdepartementet anser med dette at anmodningsvedtaket er fulgt opp.</w:t>
      </w:r>
    </w:p>
    <w:p w14:paraId="794FF7F5" w14:textId="77777777" w:rsidR="00D60186" w:rsidRPr="00225D4D" w:rsidRDefault="00D60186" w:rsidP="00225D4D">
      <w:pPr>
        <w:pStyle w:val="avsnitt-tittel"/>
      </w:pPr>
      <w:r w:rsidRPr="00225D4D">
        <w:t xml:space="preserve">Testarenaer og luftrom til å teste ubemanna luftfart </w:t>
      </w:r>
      <w:proofErr w:type="spellStart"/>
      <w:r w:rsidRPr="00225D4D">
        <w:t>utanfor</w:t>
      </w:r>
      <w:proofErr w:type="spellEnd"/>
      <w:r w:rsidRPr="00225D4D">
        <w:t xml:space="preserve"> synsrekkevidde</w:t>
      </w:r>
    </w:p>
    <w:p w14:paraId="0BE87D39" w14:textId="77777777" w:rsidR="00D60186" w:rsidRPr="00225D4D" w:rsidRDefault="00D60186" w:rsidP="00225D4D">
      <w:pPr>
        <w:pStyle w:val="avsnitt-undertittel"/>
      </w:pPr>
      <w:r w:rsidRPr="00225D4D">
        <w:t>Vedtak nr. 841, 3. juni 2025</w:t>
      </w:r>
    </w:p>
    <w:p w14:paraId="7118BA10" w14:textId="77777777" w:rsidR="00D60186" w:rsidRPr="00225D4D" w:rsidRDefault="00D60186" w:rsidP="00225D4D">
      <w:pPr>
        <w:pStyle w:val="blokksit"/>
        <w:rPr>
          <w:rStyle w:val="kursiv"/>
        </w:rPr>
      </w:pPr>
      <w:r w:rsidRPr="00225D4D">
        <w:rPr>
          <w:rStyle w:val="kursiv"/>
        </w:rPr>
        <w:t>«Stortinget ber regjeringen snarlig sikre testarenaer og etablere luftrom avsatt til testing av ubemannet luftfart utenfor synsrekkevidde (BVLOS).»</w:t>
      </w:r>
    </w:p>
    <w:p w14:paraId="5CA6E728" w14:textId="77777777" w:rsidR="00D60186" w:rsidRPr="00225D4D" w:rsidRDefault="00D60186" w:rsidP="00225D4D">
      <w:r w:rsidRPr="00225D4D">
        <w:t xml:space="preserve">Vedtaket ble truffet ved behandlingen av Meld. St. 15 (2024–2025) </w:t>
      </w:r>
      <w:r w:rsidRPr="00225D4D">
        <w:rPr>
          <w:rStyle w:val="kursiv"/>
        </w:rPr>
        <w:t>Droner og ny luftmobilitet</w:t>
      </w:r>
      <w:r w:rsidRPr="00225D4D">
        <w:t xml:space="preserve">, jf. </w:t>
      </w:r>
      <w:proofErr w:type="spellStart"/>
      <w:r w:rsidRPr="00225D4D">
        <w:t>Innst</w:t>
      </w:r>
      <w:proofErr w:type="spellEnd"/>
      <w:r w:rsidRPr="00225D4D">
        <w:t>. 386 S (2024–2025).</w:t>
      </w:r>
    </w:p>
    <w:p w14:paraId="09FEC060" w14:textId="77777777" w:rsidR="00D60186" w:rsidRPr="00225D4D" w:rsidRDefault="00D60186" w:rsidP="00225D4D">
      <w:r w:rsidRPr="00225D4D">
        <w:t>Regjeringen har nedsatt en tverrdepartemental arbeidsgruppe for droner og ny luftmobilitet som har fått ansvar for å koordinere oppfølgingen av stortingsmeldingen, inkludert dette anmodningsvedtaket.</w:t>
      </w:r>
    </w:p>
    <w:p w14:paraId="0D26EA5C" w14:textId="77777777" w:rsidR="00D60186" w:rsidRPr="00225D4D" w:rsidRDefault="00D60186" w:rsidP="00225D4D">
      <w:r w:rsidRPr="00225D4D">
        <w:t>Samferdselsdepartementet vil komme tilbake til saken på egnet måte.</w:t>
      </w:r>
    </w:p>
    <w:p w14:paraId="28F989D7" w14:textId="77777777" w:rsidR="00D60186" w:rsidRPr="00225D4D" w:rsidRDefault="00D60186" w:rsidP="00225D4D">
      <w:pPr>
        <w:pStyle w:val="avsnitt-tittel"/>
      </w:pPr>
      <w:r w:rsidRPr="00225D4D">
        <w:t xml:space="preserve">Godkjenne ekstra </w:t>
      </w:r>
      <w:proofErr w:type="spellStart"/>
      <w:r w:rsidRPr="00225D4D">
        <w:t>lengd</w:t>
      </w:r>
      <w:proofErr w:type="spellEnd"/>
      <w:r w:rsidRPr="00225D4D">
        <w:t xml:space="preserve"> på vogntog òg for modul- og tømmervogntog</w:t>
      </w:r>
    </w:p>
    <w:p w14:paraId="0829BC59" w14:textId="77777777" w:rsidR="00D60186" w:rsidRPr="00225D4D" w:rsidRDefault="00D60186" w:rsidP="00225D4D">
      <w:pPr>
        <w:pStyle w:val="avsnitt-undertittel"/>
      </w:pPr>
      <w:r w:rsidRPr="00225D4D">
        <w:t>Vedtak nr. 887, 4. juni 2025</w:t>
      </w:r>
    </w:p>
    <w:p w14:paraId="442B617F" w14:textId="77777777" w:rsidR="00D60186" w:rsidRPr="00225D4D" w:rsidRDefault="00D60186" w:rsidP="00225D4D">
      <w:pPr>
        <w:pStyle w:val="blokksit"/>
        <w:rPr>
          <w:rStyle w:val="kursiv"/>
        </w:rPr>
      </w:pPr>
      <w:r w:rsidRPr="00225D4D">
        <w:rPr>
          <w:rStyle w:val="kursiv"/>
        </w:rPr>
        <w:t>«Stortinget ber regjeringen sørge for at ekstra lengde på vogntog som følge av aerodynamisk førerhus godkjennes også for modul- og tømmervogntog.»</w:t>
      </w:r>
    </w:p>
    <w:p w14:paraId="4F4823B2" w14:textId="77777777" w:rsidR="00D60186" w:rsidRPr="00225D4D" w:rsidRDefault="00D60186" w:rsidP="00225D4D">
      <w:r w:rsidRPr="00225D4D">
        <w:t xml:space="preserve">Dokumentet som ligger til grunn for vedtaket, er representantforslag fra stortingsrepresentantene Frank Edvard Sve og Morten Stordalen om kjøretøytekniske forenklinger for tungbiler, jf. Dokument 8:190 S (2024–2025), og </w:t>
      </w:r>
      <w:proofErr w:type="spellStart"/>
      <w:r w:rsidRPr="00225D4D">
        <w:t>Innst</w:t>
      </w:r>
      <w:proofErr w:type="spellEnd"/>
      <w:r w:rsidRPr="00225D4D">
        <w:t>. 438 S (2024–2025).</w:t>
      </w:r>
    </w:p>
    <w:p w14:paraId="1D8E4659" w14:textId="77777777" w:rsidR="00D60186" w:rsidRPr="00225D4D" w:rsidRDefault="00D60186" w:rsidP="00225D4D">
      <w:r w:rsidRPr="00225D4D">
        <w:t>Statens vegvesen har hatt forslag om endringer i forskriften om bruk av kjøretøy § 5-5 på høring med frist 1. juli 2025. I forslaget foreslås det å tillate økt vogntoglengde ved bruk av godkjent forlenget førerhus i nærmere bestemte vogntogtyper. Det tas sikte på at forskriftsendringer kan vedtas innen utgangen av 2025.</w:t>
      </w:r>
    </w:p>
    <w:p w14:paraId="762D8046" w14:textId="77777777" w:rsidR="00D60186" w:rsidRPr="00225D4D" w:rsidRDefault="00D60186" w:rsidP="00225D4D">
      <w:r w:rsidRPr="00225D4D">
        <w:t>Samferdselsdepartementet anser med dette vedtaket som fulgt opp.</w:t>
      </w:r>
    </w:p>
    <w:p w14:paraId="4A9EE342" w14:textId="77777777" w:rsidR="00D60186" w:rsidRPr="00225D4D" w:rsidRDefault="00D60186" w:rsidP="00225D4D">
      <w:pPr>
        <w:pStyle w:val="avsnitt-tittel"/>
      </w:pPr>
      <w:r w:rsidRPr="00225D4D">
        <w:t xml:space="preserve">Tilpasse </w:t>
      </w:r>
      <w:proofErr w:type="spellStart"/>
      <w:r w:rsidRPr="00225D4D">
        <w:t>førarkortregelverket</w:t>
      </w:r>
      <w:proofErr w:type="spellEnd"/>
      <w:r w:rsidRPr="00225D4D">
        <w:t xml:space="preserve"> for å kunne </w:t>
      </w:r>
      <w:proofErr w:type="spellStart"/>
      <w:r w:rsidRPr="00225D4D">
        <w:t>køyre</w:t>
      </w:r>
      <w:proofErr w:type="spellEnd"/>
      <w:r w:rsidRPr="00225D4D">
        <w:t xml:space="preserve"> </w:t>
      </w:r>
      <w:proofErr w:type="spellStart"/>
      <w:r w:rsidRPr="00225D4D">
        <w:t>bubil</w:t>
      </w:r>
      <w:proofErr w:type="spellEnd"/>
      <w:r w:rsidRPr="00225D4D">
        <w:t xml:space="preserve"> med inntil 4 250 kg totalvekt</w:t>
      </w:r>
    </w:p>
    <w:p w14:paraId="4C812F1F" w14:textId="77777777" w:rsidR="00D60186" w:rsidRPr="00225D4D" w:rsidRDefault="00D60186" w:rsidP="00225D4D">
      <w:pPr>
        <w:pStyle w:val="avsnitt-undertittel"/>
      </w:pPr>
      <w:r w:rsidRPr="00225D4D">
        <w:t>Vedtak nr. 888, 4. juni 2025</w:t>
      </w:r>
    </w:p>
    <w:p w14:paraId="12F9916E" w14:textId="77777777" w:rsidR="00D60186" w:rsidRPr="00225D4D" w:rsidRDefault="00D60186" w:rsidP="00225D4D">
      <w:pPr>
        <w:pStyle w:val="blokksit"/>
        <w:rPr>
          <w:rStyle w:val="kursiv"/>
        </w:rPr>
      </w:pPr>
      <w:r w:rsidRPr="00225D4D">
        <w:rPr>
          <w:rStyle w:val="kursiv"/>
        </w:rPr>
        <w:t>«Stortinget ber regjeringen så raskt som mulig legge frem forslag om en nasjonal tilpasning av førerkortregelverket slik at man med førerkort klasse B kan kjøre bobiler med inntil 4 250 kg totalvekt samtidig som tillatt totalvekt for bil og tilhenger fortsatt skal være 4 250 kg.»</w:t>
      </w:r>
    </w:p>
    <w:p w14:paraId="0B4CE249" w14:textId="77777777" w:rsidR="00D60186" w:rsidRPr="00225D4D" w:rsidRDefault="00D60186" w:rsidP="00225D4D">
      <w:r w:rsidRPr="00225D4D">
        <w:t xml:space="preserve">Dokumentene som ligger til grunn for vedtaket, er representantforslag fra stortingsrepresentantene Frank Edvard Sve og Morten Stordalen og representantforslag fra stortingsrepresentantene Sigbjørn Gjelsvik, Trygve Slagsvold </w:t>
      </w:r>
      <w:proofErr w:type="spellStart"/>
      <w:r w:rsidRPr="00225D4D">
        <w:t>Vedum</w:t>
      </w:r>
      <w:proofErr w:type="spellEnd"/>
      <w:r w:rsidRPr="00225D4D">
        <w:t xml:space="preserve"> og Trine Fagervik om å endre vektgrense for bobiler i førerkortregelverket, jf. Dokument 8:187 S (2024–2025), Dokument 8:220 S (2024–2025) og </w:t>
      </w:r>
      <w:proofErr w:type="spellStart"/>
      <w:r w:rsidRPr="00225D4D">
        <w:t>Innst</w:t>
      </w:r>
      <w:proofErr w:type="spellEnd"/>
      <w:r w:rsidRPr="00225D4D">
        <w:t>. 438 S (2024–2025).</w:t>
      </w:r>
    </w:p>
    <w:p w14:paraId="1F91BC46" w14:textId="77777777" w:rsidR="00D60186" w:rsidRPr="00225D4D" w:rsidRDefault="00D60186" w:rsidP="00225D4D">
      <w:r w:rsidRPr="00225D4D">
        <w:t>Det er ventet at nytt førerkortdirektiv vil bli formelt vedtatt i EU høsten 2025. Departementet følger prosessen med det nye førerkortdirektivet. Etter det nye direktivet vil det bli tillatt å kjøre bobiler opp til 4 250 kg med førerkortklasse B etter opplæring eller prøve. Departementet vil følge opp anmodningsvedtaket så raskt som mulig innenfor de alminnelige prosedyrene for å gjennomføre nytt EØS-regelverk.</w:t>
      </w:r>
    </w:p>
    <w:p w14:paraId="34F09449" w14:textId="77777777" w:rsidR="00D60186" w:rsidRPr="00225D4D" w:rsidRDefault="00D60186" w:rsidP="00225D4D">
      <w:r w:rsidRPr="00225D4D">
        <w:t>Samferdselsdepartementet vil komme tilbake til saken på egnet måte.</w:t>
      </w:r>
    </w:p>
    <w:p w14:paraId="0C75799B" w14:textId="77777777" w:rsidR="00D60186" w:rsidRPr="00225D4D" w:rsidRDefault="00D60186" w:rsidP="00225D4D">
      <w:pPr>
        <w:pStyle w:val="avsnitt-tittel"/>
      </w:pPr>
      <w:r w:rsidRPr="00225D4D">
        <w:t xml:space="preserve">Vurdere om parkeringsregelverket kan </w:t>
      </w:r>
      <w:proofErr w:type="spellStart"/>
      <w:r w:rsidRPr="00225D4D">
        <w:t>justerast</w:t>
      </w:r>
      <w:proofErr w:type="spellEnd"/>
      <w:r w:rsidRPr="00225D4D">
        <w:t xml:space="preserve"> for betre å møte stor pågang av </w:t>
      </w:r>
      <w:proofErr w:type="spellStart"/>
      <w:r w:rsidRPr="00225D4D">
        <w:t>turistar</w:t>
      </w:r>
      <w:proofErr w:type="spellEnd"/>
    </w:p>
    <w:p w14:paraId="11C6F4EC" w14:textId="77777777" w:rsidR="00D60186" w:rsidRPr="00225D4D" w:rsidRDefault="00D60186" w:rsidP="00225D4D">
      <w:pPr>
        <w:pStyle w:val="avsnitt-undertittel"/>
      </w:pPr>
      <w:r w:rsidRPr="00225D4D">
        <w:t>Vedtak nr. 916, 5. juni 2025</w:t>
      </w:r>
    </w:p>
    <w:p w14:paraId="18AEAB66" w14:textId="77777777" w:rsidR="00D60186" w:rsidRPr="00225D4D" w:rsidRDefault="00D60186" w:rsidP="00225D4D">
      <w:pPr>
        <w:pStyle w:val="blokksit"/>
        <w:rPr>
          <w:rStyle w:val="kursiv"/>
        </w:rPr>
      </w:pPr>
      <w:r w:rsidRPr="00225D4D">
        <w:rPr>
          <w:rStyle w:val="kursiv"/>
        </w:rPr>
        <w:t>«Stortinget ber regjeringen vurdere om parkeringsregelverket bør justeres for i større grad å imøtekomme utfordringen med stor pågang av turister til enkelte områder og mulighet for å sikre inntekter til fellesgoder.»</w:t>
      </w:r>
    </w:p>
    <w:p w14:paraId="7FF21B3A" w14:textId="77777777" w:rsidR="00D60186" w:rsidRPr="00225D4D" w:rsidRDefault="00D60186" w:rsidP="00225D4D">
      <w:r w:rsidRPr="00225D4D">
        <w:t xml:space="preserve">Vedtaket ble truffet ved behandlingen av </w:t>
      </w:r>
      <w:proofErr w:type="spellStart"/>
      <w:r w:rsidRPr="00225D4D">
        <w:t>Prop</w:t>
      </w:r>
      <w:proofErr w:type="spellEnd"/>
      <w:r w:rsidRPr="00225D4D">
        <w:t xml:space="preserve">. 96 L (2024–2025) </w:t>
      </w:r>
      <w:r w:rsidRPr="00225D4D">
        <w:rPr>
          <w:rStyle w:val="kursiv"/>
        </w:rPr>
        <w:t>Lov om besøksbidrag</w:t>
      </w:r>
      <w:r w:rsidRPr="00225D4D">
        <w:t xml:space="preserve">, jf. </w:t>
      </w:r>
      <w:proofErr w:type="spellStart"/>
      <w:r w:rsidRPr="00225D4D">
        <w:t>Innst</w:t>
      </w:r>
      <w:proofErr w:type="spellEnd"/>
      <w:r w:rsidRPr="00225D4D">
        <w:t>. 452 L (2024–2025).</w:t>
      </w:r>
    </w:p>
    <w:p w14:paraId="060B8299" w14:textId="77777777" w:rsidR="00D60186" w:rsidRPr="00225D4D" w:rsidRDefault="00D60186" w:rsidP="00225D4D">
      <w:r w:rsidRPr="00225D4D">
        <w:t>Samferdselsdepartementet har i supplerende tildelingsbrev nr. 22 for 2025 bedt Statens vegvesen om innspill til om, og ev. hvordan, parkeringsregelverket kan justeres for i større grad imøtekomme utfordringen med stor pågang av turister i enkelte områder. Statens vegvesen er bedt om å legge en bred tilnærming til grunn for sin vurdering, inkludert vurdere alternative ikke-regulatoriske innspill for å redusere utfordringen. Frist for innspill er satt til 1. mars 2026.</w:t>
      </w:r>
    </w:p>
    <w:p w14:paraId="029DEB3F" w14:textId="77777777" w:rsidR="00D60186" w:rsidRPr="00225D4D" w:rsidRDefault="00D60186" w:rsidP="00225D4D">
      <w:r w:rsidRPr="00225D4D">
        <w:t>Samferdselsdepartementet vil komme tilbake til saken på egnet måte.</w:t>
      </w:r>
    </w:p>
    <w:p w14:paraId="7F56842F" w14:textId="77777777" w:rsidR="00D60186" w:rsidRPr="00225D4D" w:rsidRDefault="00D60186" w:rsidP="00225D4D">
      <w:pPr>
        <w:pStyle w:val="avsnitt-tittel"/>
      </w:pPr>
      <w:proofErr w:type="spellStart"/>
      <w:r w:rsidRPr="00225D4D">
        <w:t>Bebuarbevis</w:t>
      </w:r>
      <w:proofErr w:type="spellEnd"/>
      <w:r w:rsidRPr="00225D4D">
        <w:t xml:space="preserve"> for å sikre lokalbefolkninga tilgang til ferjer og FOT-ruter</w:t>
      </w:r>
    </w:p>
    <w:p w14:paraId="3519F70A" w14:textId="77777777" w:rsidR="00D60186" w:rsidRPr="00225D4D" w:rsidRDefault="00D60186" w:rsidP="00225D4D">
      <w:pPr>
        <w:pStyle w:val="avsnitt-undertittel"/>
      </w:pPr>
      <w:r w:rsidRPr="00225D4D">
        <w:t>Vedtak nr. 1211, 20. juni 2025</w:t>
      </w:r>
    </w:p>
    <w:p w14:paraId="4026FDB2" w14:textId="77777777" w:rsidR="00D60186" w:rsidRPr="00225D4D" w:rsidRDefault="00D60186" w:rsidP="00225D4D">
      <w:pPr>
        <w:pStyle w:val="blokksit"/>
        <w:rPr>
          <w:rStyle w:val="kursiv"/>
        </w:rPr>
      </w:pPr>
      <w:r w:rsidRPr="00225D4D">
        <w:rPr>
          <w:rStyle w:val="kursiv"/>
        </w:rPr>
        <w:t>«Stortinget ber regjeringen utrede og sende på høring en ordning med beboerbevis for å sikre lokalbefolkningen bedre tilgang til ferger og FOT-ruter. Utredningen skal foreligge innen utlysningen av neste konkurranse om FOT-ruter i Sør-Norge våren 2026.»</w:t>
      </w:r>
    </w:p>
    <w:p w14:paraId="32DF5EF2" w14:textId="77777777" w:rsidR="00D60186" w:rsidRPr="00225D4D" w:rsidRDefault="00D60186" w:rsidP="00225D4D">
      <w:r w:rsidRPr="00225D4D">
        <w:t xml:space="preserve">Vedtaket ble truffet ved behandlingen av Meld. St. 2 (2024–2025) </w:t>
      </w:r>
      <w:r w:rsidRPr="00225D4D">
        <w:rPr>
          <w:rStyle w:val="kursiv"/>
        </w:rPr>
        <w:t>Revidert nasjonalbudsjett 2025</w:t>
      </w:r>
      <w:r w:rsidRPr="00225D4D">
        <w:t xml:space="preserve">, jf. </w:t>
      </w:r>
      <w:proofErr w:type="spellStart"/>
      <w:r w:rsidRPr="00225D4D">
        <w:t>Innst</w:t>
      </w:r>
      <w:proofErr w:type="spellEnd"/>
      <w:r w:rsidRPr="00225D4D">
        <w:t>. 540 S (2024–2025).</w:t>
      </w:r>
    </w:p>
    <w:p w14:paraId="3E4A361E" w14:textId="77777777" w:rsidR="00D60186" w:rsidRPr="00225D4D" w:rsidRDefault="00D60186" w:rsidP="00225D4D">
      <w:r w:rsidRPr="00225D4D">
        <w:t xml:space="preserve">Samferdselsdepartementet mottok i september 2025 en ekstern utredning fra Oslo </w:t>
      </w:r>
      <w:proofErr w:type="spellStart"/>
      <w:r w:rsidRPr="00225D4D">
        <w:t>Economics</w:t>
      </w:r>
      <w:proofErr w:type="spellEnd"/>
      <w:r w:rsidRPr="00225D4D">
        <w:t xml:space="preserve"> om hvordan flyrutetilbudet kan innrettes best mulig innenfor gjeldende budsjettramme, jf. også omtale under anmodningsvedtak nr. 834 for sesjonen 2023–2024. Oslo </w:t>
      </w:r>
      <w:proofErr w:type="spellStart"/>
      <w:r w:rsidRPr="00225D4D">
        <w:t>Economics</w:t>
      </w:r>
      <w:proofErr w:type="spellEnd"/>
      <w:r w:rsidRPr="00225D4D">
        <w:t xml:space="preserve"> har i utredningen bl.a. vurdert om beboerrabatt/beboerbevis kan være et egnet tiltak på FOT-rutene. Utredningen er sendt på høring med flere spørsmål til høringsinstansene knyttet til det ev. behovet for og innretningen av ordning med beboerrabatt/beboerbevis på FOT-rutene. Utredningen og høringsinnspillene vil inngå som en del av grunnlaget for å vurdere om tiltaket er egnet som et krav i fremtidige konkurranseutlysinger av FOT-ruter.</w:t>
      </w:r>
    </w:p>
    <w:p w14:paraId="400AEC53" w14:textId="77777777" w:rsidR="00D60186" w:rsidRPr="00225D4D" w:rsidRDefault="00D60186" w:rsidP="00225D4D">
      <w:r w:rsidRPr="00225D4D">
        <w:t>Samferdselsdepartementet er kjent med at flere fylkeskommuner, som er takstmyndighet for fylkesveiferjer, har innført ordninger som sikrer lokalbefolkningen plass på ferjene. Departementet vil gjennomføre en utredning for å kartlegge hvilke løsninger som fins i dag for å sikre lokalbefolkningen tilgang på plass på ferjene. Utredningen og kommende høringsinnspill vil inngå i departementets vurdering av beboerbevis. Departementet viser også til at ordningen for gratis ferje foreslås avviklet, jf. omtale under Programkategori 21.30 Veiformål.</w:t>
      </w:r>
    </w:p>
    <w:p w14:paraId="7E18F44E" w14:textId="77777777" w:rsidR="00D60186" w:rsidRPr="00225D4D" w:rsidRDefault="00D60186" w:rsidP="00225D4D">
      <w:r w:rsidRPr="00225D4D">
        <w:t>Samferdselsdepartementet vil komme tilbake saken på egnet måte.</w:t>
      </w:r>
    </w:p>
    <w:p w14:paraId="1E615178" w14:textId="77777777" w:rsidR="00D60186" w:rsidRPr="00225D4D" w:rsidRDefault="00D60186" w:rsidP="00225D4D">
      <w:pPr>
        <w:pStyle w:val="avsnitt-tittel"/>
      </w:pPr>
      <w:r w:rsidRPr="00225D4D">
        <w:t>Lokomotiv på Nordlandsbanen</w:t>
      </w:r>
    </w:p>
    <w:p w14:paraId="167F2942" w14:textId="77777777" w:rsidR="00D60186" w:rsidRPr="00225D4D" w:rsidRDefault="00D60186" w:rsidP="00225D4D">
      <w:pPr>
        <w:pStyle w:val="avsnitt-undertittel"/>
      </w:pPr>
      <w:r w:rsidRPr="00225D4D">
        <w:t>Vedtak nr. 1223, 20. juni 2025</w:t>
      </w:r>
    </w:p>
    <w:p w14:paraId="275E9974" w14:textId="77777777" w:rsidR="00D60186" w:rsidRPr="00225D4D" w:rsidRDefault="00D60186" w:rsidP="00225D4D">
      <w:pPr>
        <w:pStyle w:val="blokksit"/>
        <w:rPr>
          <w:rStyle w:val="kursiv"/>
        </w:rPr>
      </w:pPr>
      <w:r w:rsidRPr="00225D4D">
        <w:rPr>
          <w:rStyle w:val="kursiv"/>
        </w:rPr>
        <w:t>«Stortinget ber regjeringen sikre fremdrift i å skaffe til veie et nytt lokomotiv til Nordlandsbanen, med sikte på at det skal komme i drift så raskt som overhodet mulig.»</w:t>
      </w:r>
    </w:p>
    <w:p w14:paraId="7331ADC3" w14:textId="77777777" w:rsidR="00D60186" w:rsidRPr="00225D4D" w:rsidRDefault="00D60186" w:rsidP="00225D4D">
      <w:r w:rsidRPr="00225D4D">
        <w:t xml:space="preserve">Vedtaket ble truffet ved behandlingen av Meld. St. 2 (2024–2025) </w:t>
      </w:r>
      <w:r w:rsidRPr="00225D4D">
        <w:rPr>
          <w:rStyle w:val="kursiv"/>
        </w:rPr>
        <w:t>Revidert nasjonalbudsjett 2025</w:t>
      </w:r>
      <w:r w:rsidRPr="00225D4D">
        <w:t xml:space="preserve">, jf. </w:t>
      </w:r>
      <w:proofErr w:type="spellStart"/>
      <w:r w:rsidRPr="00225D4D">
        <w:t>Innst</w:t>
      </w:r>
      <w:proofErr w:type="spellEnd"/>
      <w:r w:rsidRPr="00225D4D">
        <w:t>. 540 S (2024–2025).</w:t>
      </w:r>
    </w:p>
    <w:p w14:paraId="53E3FBA3" w14:textId="77777777" w:rsidR="00D60186" w:rsidRPr="00225D4D" w:rsidRDefault="00D60186" w:rsidP="00225D4D">
      <w:r w:rsidRPr="00225D4D">
        <w:t xml:space="preserve">Norske tog AS har vært i kontakt med et stort antall aktører fra inn- og utland for å sikre nok lokomotiver på Nordlandsbanen frem til nye fjerntog settes i drift i 2029/2030. Selskapet jobber nå med en konkret løsning. Jernbanedirektoratet og Norske tog har fått mandat til å gjennomføre forhandlinger med mål om å inngå en forpliktende avtale om </w:t>
      </w:r>
      <w:proofErr w:type="gramStart"/>
      <w:r w:rsidRPr="00225D4D">
        <w:t>innleie</w:t>
      </w:r>
      <w:proofErr w:type="gramEnd"/>
      <w:r w:rsidRPr="00225D4D">
        <w:t xml:space="preserve"> av lokomotiv. Det må </w:t>
      </w:r>
      <w:proofErr w:type="gramStart"/>
      <w:r w:rsidRPr="00225D4D">
        <w:t>påregnes</w:t>
      </w:r>
      <w:proofErr w:type="gramEnd"/>
      <w:r w:rsidRPr="00225D4D">
        <w:t xml:space="preserve"> noe tid før ombygging og sikkerhetsgodkjenning er gjennomført og lokomotiv kan settes i trafikk.</w:t>
      </w:r>
    </w:p>
    <w:p w14:paraId="6C398856" w14:textId="77777777" w:rsidR="00D60186" w:rsidRPr="00225D4D" w:rsidRDefault="00D60186" w:rsidP="00225D4D">
      <w:r w:rsidRPr="00225D4D">
        <w:t>Samferdselsdepartementet vil komme tilbake til saken på egnet måte.</w:t>
      </w:r>
    </w:p>
    <w:p w14:paraId="76302933" w14:textId="77777777" w:rsidR="00D60186" w:rsidRPr="00225D4D" w:rsidRDefault="00D60186" w:rsidP="00225D4D">
      <w:pPr>
        <w:pStyle w:val="avsnitt-tittel"/>
      </w:pPr>
      <w:proofErr w:type="spellStart"/>
      <w:r w:rsidRPr="00225D4D">
        <w:t>Gjere</w:t>
      </w:r>
      <w:proofErr w:type="spellEnd"/>
      <w:r w:rsidRPr="00225D4D">
        <w:t xml:space="preserve"> rv. 9 i Setesdal til nasjonal turistveg</w:t>
      </w:r>
    </w:p>
    <w:p w14:paraId="30A98157" w14:textId="77777777" w:rsidR="00D60186" w:rsidRPr="00225D4D" w:rsidRDefault="00D60186" w:rsidP="00225D4D">
      <w:pPr>
        <w:pStyle w:val="avsnitt-undertittel"/>
      </w:pPr>
      <w:r w:rsidRPr="00225D4D">
        <w:t>Vedtak nr. 1229, 20. juni 2025</w:t>
      </w:r>
    </w:p>
    <w:p w14:paraId="71D3AB2A" w14:textId="77777777" w:rsidR="00D60186" w:rsidRPr="00225D4D" w:rsidRDefault="00D60186" w:rsidP="00225D4D">
      <w:pPr>
        <w:pStyle w:val="blokksit"/>
        <w:rPr>
          <w:rStyle w:val="kursiv"/>
        </w:rPr>
      </w:pPr>
      <w:r w:rsidRPr="00225D4D">
        <w:rPr>
          <w:rStyle w:val="kursiv"/>
        </w:rPr>
        <w:t>«Stortinget ber regjeringen være positiv til at rv. 9 i Setesdal kan gjøres til nasjonal turistvei, forutsatt at dette hovedsakelig er finansiert med lokal finansiering.»</w:t>
      </w:r>
    </w:p>
    <w:p w14:paraId="605A4BD0" w14:textId="77777777" w:rsidR="00D60186" w:rsidRPr="00225D4D" w:rsidRDefault="00D60186" w:rsidP="00225D4D">
      <w:r w:rsidRPr="00225D4D">
        <w:t xml:space="preserve">Vedtaket ble truffet ved behandlingen av Meld. St. 2 (2024–2025) </w:t>
      </w:r>
      <w:r w:rsidRPr="00225D4D">
        <w:rPr>
          <w:rStyle w:val="kursiv"/>
        </w:rPr>
        <w:t>Revidert nasjonalbudsjett 2025</w:t>
      </w:r>
      <w:r w:rsidRPr="00225D4D">
        <w:t xml:space="preserve">, jf. </w:t>
      </w:r>
      <w:proofErr w:type="spellStart"/>
      <w:r w:rsidRPr="00225D4D">
        <w:t>Innst</w:t>
      </w:r>
      <w:proofErr w:type="spellEnd"/>
      <w:r w:rsidRPr="00225D4D">
        <w:t>. 540 S (2024–2025).</w:t>
      </w:r>
    </w:p>
    <w:p w14:paraId="031B5796" w14:textId="77777777" w:rsidR="00D60186" w:rsidRPr="00225D4D" w:rsidRDefault="00D60186" w:rsidP="00225D4D">
      <w:r w:rsidRPr="00225D4D">
        <w:t>Samferdselsdepartementet ga i supplerende tildelingsbrev nr. 15 for 2025 Statens vegvesen i oppdrag å gå i dialog med lokale myndigheter for å få klarlagt om det er grunnlag for lokal finansiering, og hvordan en ser for seg at strekningen kan passe inn i prosjektet om Nasjonale turistveier. Statens vegvesen har vært i dialog med lokale myndigheter og opplyser at disse har signalisert at de kan være interessert i å få til et spleiselag uten at dette er konkretisert nærmere. Samferdselsdepartementet vurderer at det må arbeides videre med å utforme ev. tiltak som kan inngå i en turistveistrekning, og at lokale myndigheter må avklare nærmere hvordan den lokale finansieringen skal løses. Departementet har bedt Statens vegvesen ha videre dialog med lokale myndigheter og gi faglige vurderinger om kravene til strekninger som inngår i Nasjonale turistveger, slik at lokale myndigheter har best mulig grunnlag for å vurdere kostnadene.</w:t>
      </w:r>
    </w:p>
    <w:p w14:paraId="4AFBD3FB" w14:textId="77777777" w:rsidR="00D60186" w:rsidRPr="00225D4D" w:rsidRDefault="00D60186" w:rsidP="00225D4D">
      <w:r w:rsidRPr="00225D4D">
        <w:t>Samferdselsdepartementet vil komme tilbake til saken på egnet måte.</w:t>
      </w:r>
    </w:p>
    <w:p w14:paraId="3A0030C2" w14:textId="77777777" w:rsidR="00D60186" w:rsidRPr="00225D4D" w:rsidRDefault="00D60186" w:rsidP="00225D4D">
      <w:pPr>
        <w:pStyle w:val="avsnitt-tittel"/>
      </w:pPr>
      <w:r w:rsidRPr="00225D4D">
        <w:t>Vurdere passeringstak for bom på E6 Hofstad i Melhus</w:t>
      </w:r>
    </w:p>
    <w:p w14:paraId="345B5486" w14:textId="77777777" w:rsidR="00D60186" w:rsidRPr="00225D4D" w:rsidRDefault="00D60186" w:rsidP="00225D4D">
      <w:pPr>
        <w:pStyle w:val="avsnitt-undertittel"/>
      </w:pPr>
      <w:r w:rsidRPr="00225D4D">
        <w:t>Vedtak nr. 1230, 20. juni 2025</w:t>
      </w:r>
    </w:p>
    <w:p w14:paraId="2EC66E8D" w14:textId="77777777" w:rsidR="00D60186" w:rsidRPr="00225D4D" w:rsidRDefault="00D60186" w:rsidP="00225D4D">
      <w:pPr>
        <w:pStyle w:val="blokksit"/>
        <w:rPr>
          <w:rStyle w:val="kursiv"/>
        </w:rPr>
      </w:pPr>
      <w:r w:rsidRPr="00225D4D">
        <w:rPr>
          <w:rStyle w:val="kursiv"/>
        </w:rPr>
        <w:t>«Stortinget ber regjeringen vurdere et passeringstak for bom på E6 Hofstad i Melhus dersom det kommer et initiativ om dette fra lokale myndigheter.»</w:t>
      </w:r>
    </w:p>
    <w:p w14:paraId="0D8BD0D9" w14:textId="77777777" w:rsidR="00D60186" w:rsidRPr="00225D4D" w:rsidRDefault="00D60186" w:rsidP="00225D4D">
      <w:r w:rsidRPr="00225D4D">
        <w:t xml:space="preserve">Vedtaket ble truffet ved behandlingen av Meld. St. 2 (2024–2025) </w:t>
      </w:r>
      <w:r w:rsidRPr="00225D4D">
        <w:rPr>
          <w:rStyle w:val="kursiv"/>
        </w:rPr>
        <w:t>Revidert nasjonalbudsjett 2025</w:t>
      </w:r>
      <w:r w:rsidRPr="00225D4D">
        <w:t xml:space="preserve">, jf. </w:t>
      </w:r>
      <w:proofErr w:type="spellStart"/>
      <w:r w:rsidRPr="00225D4D">
        <w:t>Innst</w:t>
      </w:r>
      <w:proofErr w:type="spellEnd"/>
      <w:r w:rsidRPr="00225D4D">
        <w:t>. 540 S (2024–2025).</w:t>
      </w:r>
    </w:p>
    <w:p w14:paraId="47D7BC18" w14:textId="77777777" w:rsidR="00D60186" w:rsidRPr="00225D4D" w:rsidRDefault="00D60186" w:rsidP="00225D4D">
      <w:r w:rsidRPr="00225D4D">
        <w:t>Samferdselsdepartementet ba i supplerende tildelingsbrev nr. 15 for 2025 Statens vegvesen følge opp dersom det kommer initiativ fra lokale myndigheter om passeringstak for bom på E6 Hofstad i Melhus, og informere departementet dersom det kommer et slikt initiativ.</w:t>
      </w:r>
    </w:p>
    <w:p w14:paraId="3A57C574" w14:textId="77777777" w:rsidR="00D60186" w:rsidRPr="00225D4D" w:rsidRDefault="00D60186" w:rsidP="00225D4D">
      <w:r w:rsidRPr="00225D4D">
        <w:t>Samferdselsdepartementet anser med dette vedtaket som fulgt opp.</w:t>
      </w:r>
    </w:p>
    <w:p w14:paraId="543EB9B9" w14:textId="77777777" w:rsidR="00D60186" w:rsidRPr="00225D4D" w:rsidRDefault="00D60186" w:rsidP="00225D4D">
      <w:pPr>
        <w:pStyle w:val="avsnitt-tittel"/>
      </w:pPr>
      <w:r w:rsidRPr="00225D4D">
        <w:t xml:space="preserve">Redusere </w:t>
      </w:r>
      <w:proofErr w:type="spellStart"/>
      <w:r w:rsidRPr="00225D4D">
        <w:t>takstane</w:t>
      </w:r>
      <w:proofErr w:type="spellEnd"/>
      <w:r w:rsidRPr="00225D4D">
        <w:t xml:space="preserve"> i </w:t>
      </w:r>
      <w:proofErr w:type="spellStart"/>
      <w:r w:rsidRPr="00225D4D">
        <w:t>Ryfast</w:t>
      </w:r>
      <w:proofErr w:type="spellEnd"/>
      <w:r w:rsidRPr="00225D4D">
        <w:t>-prosjektet</w:t>
      </w:r>
    </w:p>
    <w:p w14:paraId="0567CC19" w14:textId="77777777" w:rsidR="00D60186" w:rsidRPr="00225D4D" w:rsidRDefault="00D60186" w:rsidP="00225D4D">
      <w:pPr>
        <w:pStyle w:val="avsnitt-undertittel"/>
      </w:pPr>
      <w:r w:rsidRPr="00225D4D">
        <w:t>Vedtak nr. 1247, 20. juni 2025</w:t>
      </w:r>
    </w:p>
    <w:p w14:paraId="7A0D7F0B" w14:textId="77777777" w:rsidR="00D60186" w:rsidRPr="00225D4D" w:rsidRDefault="00D60186" w:rsidP="00225D4D">
      <w:pPr>
        <w:pStyle w:val="blokksit"/>
        <w:rPr>
          <w:rStyle w:val="kursiv"/>
        </w:rPr>
      </w:pPr>
      <w:r w:rsidRPr="00225D4D">
        <w:rPr>
          <w:rStyle w:val="kursiv"/>
        </w:rPr>
        <w:t xml:space="preserve">«Stortinget ber regjeringen tilføre </w:t>
      </w:r>
      <w:proofErr w:type="spellStart"/>
      <w:r w:rsidRPr="00225D4D">
        <w:rPr>
          <w:rStyle w:val="kursiv"/>
        </w:rPr>
        <w:t>Ryfast</w:t>
      </w:r>
      <w:proofErr w:type="spellEnd"/>
      <w:r w:rsidRPr="00225D4D">
        <w:rPr>
          <w:rStyle w:val="kursiv"/>
        </w:rPr>
        <w:t>-prosjektet midler som sikrer en reduksjon i takstene på 33 pst. fra 1. juli 2025 til 31. desember 2026, og i statsbudsjettet for 2027 komme med en vurdering av effekten på trafikken og inntjeningen og om takstreduksjonen bør videreføres.»</w:t>
      </w:r>
    </w:p>
    <w:p w14:paraId="72CFD064" w14:textId="77777777" w:rsidR="00D60186" w:rsidRPr="00225D4D" w:rsidRDefault="00D60186" w:rsidP="00225D4D">
      <w:r w:rsidRPr="00225D4D">
        <w:t xml:space="preserve">Vedtaket ble truffet ved behandlingen av Meld. St. 2 (2024–2025) </w:t>
      </w:r>
      <w:r w:rsidRPr="00225D4D">
        <w:rPr>
          <w:rStyle w:val="kursiv"/>
        </w:rPr>
        <w:t>Revidert nasjonalbudsjett 2025</w:t>
      </w:r>
      <w:r w:rsidRPr="00225D4D">
        <w:t xml:space="preserve">, jf. </w:t>
      </w:r>
      <w:proofErr w:type="spellStart"/>
      <w:r w:rsidRPr="00225D4D">
        <w:t>Innst</w:t>
      </w:r>
      <w:proofErr w:type="spellEnd"/>
      <w:r w:rsidRPr="00225D4D">
        <w:t>. 540 S (2024–2025).</w:t>
      </w:r>
    </w:p>
    <w:p w14:paraId="297A6EDC" w14:textId="77777777" w:rsidR="00D60186" w:rsidRPr="00225D4D" w:rsidRDefault="00D60186" w:rsidP="00225D4D">
      <w:r w:rsidRPr="00225D4D">
        <w:t>Samferdselsdepartementet ba Statens vegvesen i supplerende tildelingsbrev nr. 15 for 2025 å gå i dialog med bompengeselskapet for å legge til rette for at prosessene med takstreduksjonen kunne settes i verk så raskt som mulig. Det ble også presisert at en forutsetning for at takstreduksjonen kunne innføres var at garantistene for bompengelånet, Rogaland fylkeskommune og Stavanger kommune, aksepterte tilbud om tilskudd for dette, og at det ble fattet nødvendige takstvedtak. Alle nødvendige prosesser for takstreduksjon ble gjennomført, og reduserte bompengetakster ble satt i verk fra 2. juli 2025. Med budsjettforslaget legges det opp til å videreføre reduserte takster i 2026, jf. kap. 1320 Statens vegvesen, post 73 Tilskudd for reduserte bompengesatser utenfor byområdene.</w:t>
      </w:r>
    </w:p>
    <w:p w14:paraId="58FBC25D" w14:textId="77777777" w:rsidR="00D60186" w:rsidRPr="00225D4D" w:rsidRDefault="00D60186" w:rsidP="00225D4D">
      <w:r w:rsidRPr="00225D4D">
        <w:t>Samferdselsdepartementet vil komme tilbake til saken i statsbudsjettet for 2027.</w:t>
      </w:r>
    </w:p>
    <w:p w14:paraId="4D5C5ED3" w14:textId="77777777" w:rsidR="00D60186" w:rsidRPr="00225D4D" w:rsidRDefault="00D60186" w:rsidP="00225D4D">
      <w:pPr>
        <w:pStyle w:val="Overskrift2"/>
      </w:pPr>
      <w:r w:rsidRPr="00225D4D">
        <w:t>Stortingssesjonen 2023–2024</w:t>
      </w:r>
    </w:p>
    <w:p w14:paraId="6BAE93D9" w14:textId="77777777" w:rsidR="00D60186" w:rsidRPr="00225D4D" w:rsidRDefault="00D60186" w:rsidP="00225D4D">
      <w:pPr>
        <w:pStyle w:val="avsnitt-tittel"/>
      </w:pPr>
      <w:proofErr w:type="spellStart"/>
      <w:r w:rsidRPr="00225D4D">
        <w:t>Gjere</w:t>
      </w:r>
      <w:proofErr w:type="spellEnd"/>
      <w:r w:rsidRPr="00225D4D">
        <w:t xml:space="preserve"> infrastruktur på land for etablerte elektriske ferjer eller andre maritime fartøy </w:t>
      </w:r>
      <w:proofErr w:type="spellStart"/>
      <w:r w:rsidRPr="00225D4D">
        <w:t>tilgjengeleg</w:t>
      </w:r>
      <w:proofErr w:type="spellEnd"/>
      <w:r w:rsidRPr="00225D4D">
        <w:t xml:space="preserve"> for </w:t>
      </w:r>
      <w:proofErr w:type="spellStart"/>
      <w:r w:rsidRPr="00225D4D">
        <w:t>annan</w:t>
      </w:r>
      <w:proofErr w:type="spellEnd"/>
      <w:r w:rsidRPr="00225D4D">
        <w:t xml:space="preserve"> sjø- og landtransport</w:t>
      </w:r>
    </w:p>
    <w:p w14:paraId="236AEBD0" w14:textId="77777777" w:rsidR="00D60186" w:rsidRPr="00225D4D" w:rsidRDefault="00D60186" w:rsidP="00225D4D">
      <w:pPr>
        <w:pStyle w:val="avsnitt-undertittel"/>
      </w:pPr>
      <w:r w:rsidRPr="00225D4D">
        <w:t>Vedtak nr. 35, 21. november 2023</w:t>
      </w:r>
    </w:p>
    <w:p w14:paraId="57E54754" w14:textId="77777777" w:rsidR="00D60186" w:rsidRPr="00225D4D" w:rsidRDefault="00D60186" w:rsidP="00225D4D">
      <w:pPr>
        <w:pStyle w:val="blokksit"/>
        <w:rPr>
          <w:rStyle w:val="kursiv"/>
        </w:rPr>
      </w:pPr>
      <w:r w:rsidRPr="00225D4D">
        <w:rPr>
          <w:rStyle w:val="kursiv"/>
        </w:rPr>
        <w:t xml:space="preserve">«Stortinget ber regjeringa sette i gang </w:t>
      </w:r>
      <w:proofErr w:type="spellStart"/>
      <w:r w:rsidRPr="00225D4D">
        <w:rPr>
          <w:rStyle w:val="kursiv"/>
        </w:rPr>
        <w:t>eit</w:t>
      </w:r>
      <w:proofErr w:type="spellEnd"/>
      <w:r w:rsidRPr="00225D4D">
        <w:rPr>
          <w:rStyle w:val="kursiv"/>
        </w:rPr>
        <w:t xml:space="preserve"> arbeid der </w:t>
      </w:r>
      <w:proofErr w:type="spellStart"/>
      <w:r w:rsidRPr="00225D4D">
        <w:rPr>
          <w:rStyle w:val="kursiv"/>
        </w:rPr>
        <w:t>ein</w:t>
      </w:r>
      <w:proofErr w:type="spellEnd"/>
      <w:r w:rsidRPr="00225D4D">
        <w:rPr>
          <w:rStyle w:val="kursiv"/>
        </w:rPr>
        <w:t xml:space="preserve"> vurderer korleis og på kva måte infrastruktur på land for etablerte elektriske ferjer eller andre maritime fartøy kan </w:t>
      </w:r>
      <w:proofErr w:type="spellStart"/>
      <w:r w:rsidRPr="00225D4D">
        <w:rPr>
          <w:rStyle w:val="kursiv"/>
        </w:rPr>
        <w:t>gjerast</w:t>
      </w:r>
      <w:proofErr w:type="spellEnd"/>
      <w:r w:rsidRPr="00225D4D">
        <w:rPr>
          <w:rStyle w:val="kursiv"/>
        </w:rPr>
        <w:t xml:space="preserve"> </w:t>
      </w:r>
      <w:proofErr w:type="spellStart"/>
      <w:r w:rsidRPr="00225D4D">
        <w:rPr>
          <w:rStyle w:val="kursiv"/>
        </w:rPr>
        <w:t>tilgjengeleg</w:t>
      </w:r>
      <w:proofErr w:type="spellEnd"/>
      <w:r w:rsidRPr="00225D4D">
        <w:rPr>
          <w:rStyle w:val="kursiv"/>
        </w:rPr>
        <w:t xml:space="preserve"> for </w:t>
      </w:r>
      <w:proofErr w:type="spellStart"/>
      <w:r w:rsidRPr="00225D4D">
        <w:rPr>
          <w:rStyle w:val="kursiv"/>
        </w:rPr>
        <w:t>annan</w:t>
      </w:r>
      <w:proofErr w:type="spellEnd"/>
      <w:r w:rsidRPr="00225D4D">
        <w:rPr>
          <w:rStyle w:val="kursiv"/>
        </w:rPr>
        <w:t xml:space="preserve"> sjø- og landtransport, gjerne kommersielle lade- og </w:t>
      </w:r>
      <w:proofErr w:type="spellStart"/>
      <w:r w:rsidRPr="00225D4D">
        <w:rPr>
          <w:rStyle w:val="kursiv"/>
        </w:rPr>
        <w:t>landstraumaktørar</w:t>
      </w:r>
      <w:proofErr w:type="spellEnd"/>
      <w:r w:rsidRPr="00225D4D">
        <w:rPr>
          <w:rStyle w:val="kursiv"/>
        </w:rPr>
        <w:t>.»</w:t>
      </w:r>
    </w:p>
    <w:p w14:paraId="11EE4745"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Liv Kari Eskeland, Ove Trellevik, Olve Grotle, Alfred Jens Bjørlo, Mathilde Tybring-Gjedde, Svein </w:t>
      </w:r>
      <w:proofErr w:type="spellStart"/>
      <w:r w:rsidRPr="00225D4D">
        <w:t>Harberg</w:t>
      </w:r>
      <w:proofErr w:type="spellEnd"/>
      <w:r w:rsidRPr="00225D4D">
        <w:t xml:space="preserve"> og Kjell Ingolf Ropstad om utvida bruk av maritim ladeinfrastruktur, jf. Dokument 8:229 S (2022–2023) og </w:t>
      </w:r>
      <w:proofErr w:type="spellStart"/>
      <w:r w:rsidRPr="00225D4D">
        <w:t>Innst</w:t>
      </w:r>
      <w:proofErr w:type="spellEnd"/>
      <w:r w:rsidRPr="00225D4D">
        <w:t>. 42 S (2023–2024).</w:t>
      </w:r>
    </w:p>
    <w:p w14:paraId="7D30EF2A" w14:textId="77777777" w:rsidR="00D60186" w:rsidRPr="00225D4D" w:rsidRDefault="00D60186" w:rsidP="00225D4D">
      <w:r w:rsidRPr="00225D4D">
        <w:t>Sjå omtale av oppmodingsvedtak 36 av 21. november 2023.</w:t>
      </w:r>
    </w:p>
    <w:p w14:paraId="59541AF0" w14:textId="77777777" w:rsidR="00D60186" w:rsidRPr="00225D4D" w:rsidRDefault="00D60186" w:rsidP="00225D4D">
      <w:pPr>
        <w:pStyle w:val="avsnitt-tittel"/>
      </w:pPr>
      <w:r w:rsidRPr="00225D4D">
        <w:t xml:space="preserve">Korleis el-infrastrukturen for kommersielle ferjer og </w:t>
      </w:r>
      <w:proofErr w:type="spellStart"/>
      <w:r w:rsidRPr="00225D4D">
        <w:t>hurtigbåtar</w:t>
      </w:r>
      <w:proofErr w:type="spellEnd"/>
      <w:r w:rsidRPr="00225D4D">
        <w:t xml:space="preserve"> kan </w:t>
      </w:r>
      <w:proofErr w:type="spellStart"/>
      <w:r w:rsidRPr="00225D4D">
        <w:t>gjerast</w:t>
      </w:r>
      <w:proofErr w:type="spellEnd"/>
      <w:r w:rsidRPr="00225D4D">
        <w:t xml:space="preserve"> </w:t>
      </w:r>
      <w:proofErr w:type="spellStart"/>
      <w:r w:rsidRPr="00225D4D">
        <w:t>tilgjengeleg</w:t>
      </w:r>
      <w:proofErr w:type="spellEnd"/>
      <w:r w:rsidRPr="00225D4D">
        <w:t xml:space="preserve"> for andre </w:t>
      </w:r>
      <w:proofErr w:type="spellStart"/>
      <w:r w:rsidRPr="00225D4D">
        <w:t>brukarar</w:t>
      </w:r>
      <w:proofErr w:type="spellEnd"/>
      <w:r w:rsidRPr="00225D4D">
        <w:t xml:space="preserve"> og krav i </w:t>
      </w:r>
      <w:proofErr w:type="spellStart"/>
      <w:r w:rsidRPr="00225D4D">
        <w:t>kommande</w:t>
      </w:r>
      <w:proofErr w:type="spellEnd"/>
      <w:r w:rsidRPr="00225D4D">
        <w:t xml:space="preserve"> </w:t>
      </w:r>
      <w:proofErr w:type="spellStart"/>
      <w:r w:rsidRPr="00225D4D">
        <w:t>anbod</w:t>
      </w:r>
      <w:proofErr w:type="spellEnd"/>
    </w:p>
    <w:p w14:paraId="0A9A4C9F" w14:textId="77777777" w:rsidR="00D60186" w:rsidRPr="00225D4D" w:rsidRDefault="00D60186" w:rsidP="00225D4D">
      <w:pPr>
        <w:pStyle w:val="avsnitt-undertittel"/>
      </w:pPr>
      <w:r w:rsidRPr="00225D4D">
        <w:t>Vedtak nr. 36, 21. november 2023</w:t>
      </w:r>
    </w:p>
    <w:p w14:paraId="5C7A24A9" w14:textId="77777777" w:rsidR="00D60186" w:rsidRPr="00225D4D" w:rsidRDefault="00D60186" w:rsidP="00225D4D">
      <w:pPr>
        <w:pStyle w:val="blokksit"/>
        <w:rPr>
          <w:rStyle w:val="kursiv"/>
        </w:rPr>
      </w:pPr>
      <w:r w:rsidRPr="00225D4D">
        <w:rPr>
          <w:rStyle w:val="kursiv"/>
        </w:rPr>
        <w:t xml:space="preserve">«Stortinget ber regjeringa sikre at det for </w:t>
      </w:r>
      <w:proofErr w:type="spellStart"/>
      <w:r w:rsidRPr="00225D4D">
        <w:rPr>
          <w:rStyle w:val="kursiv"/>
        </w:rPr>
        <w:t>komande</w:t>
      </w:r>
      <w:proofErr w:type="spellEnd"/>
      <w:r w:rsidRPr="00225D4D">
        <w:rPr>
          <w:rStyle w:val="kursiv"/>
        </w:rPr>
        <w:t xml:space="preserve"> </w:t>
      </w:r>
      <w:proofErr w:type="spellStart"/>
      <w:r w:rsidRPr="00225D4D">
        <w:rPr>
          <w:rStyle w:val="kursiv"/>
        </w:rPr>
        <w:t>offentlege</w:t>
      </w:r>
      <w:proofErr w:type="spellEnd"/>
      <w:r w:rsidRPr="00225D4D">
        <w:rPr>
          <w:rStyle w:val="kursiv"/>
        </w:rPr>
        <w:t xml:space="preserve"> </w:t>
      </w:r>
      <w:proofErr w:type="spellStart"/>
      <w:r w:rsidRPr="00225D4D">
        <w:rPr>
          <w:rStyle w:val="kursiv"/>
        </w:rPr>
        <w:t>anbod</w:t>
      </w:r>
      <w:proofErr w:type="spellEnd"/>
      <w:r w:rsidRPr="00225D4D">
        <w:rPr>
          <w:rStyle w:val="kursiv"/>
        </w:rPr>
        <w:t xml:space="preserve"> for kommersielle ferjer og </w:t>
      </w:r>
      <w:proofErr w:type="spellStart"/>
      <w:r w:rsidRPr="00225D4D">
        <w:rPr>
          <w:rStyle w:val="kursiv"/>
        </w:rPr>
        <w:t>hurtigbåtar</w:t>
      </w:r>
      <w:proofErr w:type="spellEnd"/>
      <w:r w:rsidRPr="00225D4D">
        <w:rPr>
          <w:rStyle w:val="kursiv"/>
        </w:rPr>
        <w:t xml:space="preserve"> blir vurdert korleis el-infrastrukturen kan </w:t>
      </w:r>
      <w:proofErr w:type="spellStart"/>
      <w:r w:rsidRPr="00225D4D">
        <w:rPr>
          <w:rStyle w:val="kursiv"/>
        </w:rPr>
        <w:t>tilgjengeleggjerast</w:t>
      </w:r>
      <w:proofErr w:type="spellEnd"/>
      <w:r w:rsidRPr="00225D4D">
        <w:rPr>
          <w:rStyle w:val="kursiv"/>
        </w:rPr>
        <w:t xml:space="preserve"> for andre </w:t>
      </w:r>
      <w:proofErr w:type="spellStart"/>
      <w:r w:rsidRPr="00225D4D">
        <w:rPr>
          <w:rStyle w:val="kursiv"/>
        </w:rPr>
        <w:t>brukarar</w:t>
      </w:r>
      <w:proofErr w:type="spellEnd"/>
      <w:r w:rsidRPr="00225D4D">
        <w:rPr>
          <w:rStyle w:val="kursiv"/>
        </w:rPr>
        <w:t xml:space="preserve">, og stiller krav om dette i </w:t>
      </w:r>
      <w:proofErr w:type="spellStart"/>
      <w:r w:rsidRPr="00225D4D">
        <w:rPr>
          <w:rStyle w:val="kursiv"/>
        </w:rPr>
        <w:t>dei</w:t>
      </w:r>
      <w:proofErr w:type="spellEnd"/>
      <w:r w:rsidRPr="00225D4D">
        <w:rPr>
          <w:rStyle w:val="kursiv"/>
        </w:rPr>
        <w:t xml:space="preserve"> </w:t>
      </w:r>
      <w:proofErr w:type="spellStart"/>
      <w:r w:rsidRPr="00225D4D">
        <w:rPr>
          <w:rStyle w:val="kursiv"/>
        </w:rPr>
        <w:t>komande</w:t>
      </w:r>
      <w:proofErr w:type="spellEnd"/>
      <w:r w:rsidRPr="00225D4D">
        <w:rPr>
          <w:rStyle w:val="kursiv"/>
        </w:rPr>
        <w:t xml:space="preserve"> </w:t>
      </w:r>
      <w:proofErr w:type="spellStart"/>
      <w:r w:rsidRPr="00225D4D">
        <w:rPr>
          <w:rStyle w:val="kursiv"/>
        </w:rPr>
        <w:t>anboda</w:t>
      </w:r>
      <w:proofErr w:type="spellEnd"/>
      <w:r w:rsidRPr="00225D4D">
        <w:rPr>
          <w:rStyle w:val="kursiv"/>
        </w:rPr>
        <w:t>.»</w:t>
      </w:r>
    </w:p>
    <w:p w14:paraId="54DD4A60" w14:textId="77777777" w:rsidR="00D60186" w:rsidRPr="00225D4D" w:rsidRDefault="00D60186" w:rsidP="00225D4D">
      <w:r w:rsidRPr="00225D4D">
        <w:t xml:space="preserve">Dokumenta som ligg til grunn for vedtaket, er representantforslag </w:t>
      </w:r>
      <w:proofErr w:type="spellStart"/>
      <w:r w:rsidRPr="00225D4D">
        <w:t>frå</w:t>
      </w:r>
      <w:proofErr w:type="spellEnd"/>
      <w:r w:rsidRPr="00225D4D">
        <w:t xml:space="preserve"> </w:t>
      </w:r>
      <w:proofErr w:type="spellStart"/>
      <w:r w:rsidRPr="00225D4D">
        <w:t>stortingsrepresentantane</w:t>
      </w:r>
      <w:proofErr w:type="spellEnd"/>
      <w:r w:rsidRPr="00225D4D">
        <w:t xml:space="preserve"> Liv Kari Eskeland, Ove Trellevik, Olve Grotle, Alfred Jens Bjørlo, Mathilde Tybring-Gjedde, Svein </w:t>
      </w:r>
      <w:proofErr w:type="spellStart"/>
      <w:r w:rsidRPr="00225D4D">
        <w:t>Harberg</w:t>
      </w:r>
      <w:proofErr w:type="spellEnd"/>
      <w:r w:rsidRPr="00225D4D">
        <w:t xml:space="preserve"> og Kjell Ingolf Ropstad om utvida bruk av maritim ladeinfrastruktur, jf. Dokument 8:229 S (2022–2023) og </w:t>
      </w:r>
      <w:proofErr w:type="spellStart"/>
      <w:r w:rsidRPr="00225D4D">
        <w:t>Innst</w:t>
      </w:r>
      <w:proofErr w:type="spellEnd"/>
      <w:r w:rsidRPr="00225D4D">
        <w:t>. 42 S (2023–2024).</w:t>
      </w:r>
    </w:p>
    <w:p w14:paraId="487B1CB1" w14:textId="77777777" w:rsidR="00D60186" w:rsidRPr="00225D4D" w:rsidRDefault="00D60186" w:rsidP="00225D4D">
      <w:r w:rsidRPr="00225D4D">
        <w:t xml:space="preserve">Samferdselsdepartementet opplyste i </w:t>
      </w:r>
      <w:proofErr w:type="spellStart"/>
      <w:r w:rsidRPr="00225D4D">
        <w:t>Prop</w:t>
      </w:r>
      <w:proofErr w:type="spellEnd"/>
      <w:r w:rsidRPr="00225D4D">
        <w:t xml:space="preserve">. 1 S (2024–2025) at </w:t>
      </w:r>
      <w:proofErr w:type="spellStart"/>
      <w:r w:rsidRPr="00225D4D">
        <w:t>moglegheiter</w:t>
      </w:r>
      <w:proofErr w:type="spellEnd"/>
      <w:r w:rsidRPr="00225D4D">
        <w:t xml:space="preserve"> og </w:t>
      </w:r>
      <w:proofErr w:type="spellStart"/>
      <w:r w:rsidRPr="00225D4D">
        <w:t>effektar</w:t>
      </w:r>
      <w:proofErr w:type="spellEnd"/>
      <w:r w:rsidRPr="00225D4D">
        <w:t xml:space="preserve"> av å tilpasse og </w:t>
      </w:r>
      <w:proofErr w:type="spellStart"/>
      <w:r w:rsidRPr="00225D4D">
        <w:t>opne</w:t>
      </w:r>
      <w:proofErr w:type="spellEnd"/>
      <w:r w:rsidRPr="00225D4D">
        <w:t xml:space="preserve"> ladeinfrastruktur for </w:t>
      </w:r>
      <w:proofErr w:type="spellStart"/>
      <w:r w:rsidRPr="00225D4D">
        <w:t>annan</w:t>
      </w:r>
      <w:proofErr w:type="spellEnd"/>
      <w:r w:rsidRPr="00225D4D">
        <w:t xml:space="preserve"> sjøtransport og tyngre </w:t>
      </w:r>
      <w:proofErr w:type="spellStart"/>
      <w:r w:rsidRPr="00225D4D">
        <w:t>køyretøy</w:t>
      </w:r>
      <w:proofErr w:type="spellEnd"/>
      <w:r w:rsidRPr="00225D4D">
        <w:t xml:space="preserve"> blei vurdert i samband med arbeidet med Nasjonal transportplan 2025–2036. Statens vegvesen </w:t>
      </w:r>
      <w:proofErr w:type="spellStart"/>
      <w:r w:rsidRPr="00225D4D">
        <w:t>peika</w:t>
      </w:r>
      <w:proofErr w:type="spellEnd"/>
      <w:r w:rsidRPr="00225D4D">
        <w:t xml:space="preserve"> da på ei rekke </w:t>
      </w:r>
      <w:proofErr w:type="spellStart"/>
      <w:r w:rsidRPr="00225D4D">
        <w:t>utfordringar</w:t>
      </w:r>
      <w:proofErr w:type="spellEnd"/>
      <w:r w:rsidRPr="00225D4D">
        <w:t xml:space="preserve"> ved </w:t>
      </w:r>
      <w:proofErr w:type="spellStart"/>
      <w:r w:rsidRPr="00225D4D">
        <w:t>eit</w:t>
      </w:r>
      <w:proofErr w:type="spellEnd"/>
      <w:r w:rsidRPr="00225D4D">
        <w:t xml:space="preserve"> slikt tiltak. Samferdselsdepartementet bad likevel Statens vegvesen sjå </w:t>
      </w:r>
      <w:proofErr w:type="spellStart"/>
      <w:r w:rsidRPr="00225D4D">
        <w:t>nærmare</w:t>
      </w:r>
      <w:proofErr w:type="spellEnd"/>
      <w:r w:rsidRPr="00225D4D">
        <w:t xml:space="preserve"> på saka.</w:t>
      </w:r>
    </w:p>
    <w:p w14:paraId="360887A5" w14:textId="77777777" w:rsidR="00D60186" w:rsidRPr="00225D4D" w:rsidRDefault="00D60186" w:rsidP="00225D4D">
      <w:r w:rsidRPr="00225D4D">
        <w:t xml:space="preserve">I </w:t>
      </w:r>
      <w:proofErr w:type="spellStart"/>
      <w:r w:rsidRPr="00225D4D">
        <w:t>Prop</w:t>
      </w:r>
      <w:proofErr w:type="spellEnd"/>
      <w:r w:rsidRPr="00225D4D">
        <w:t xml:space="preserve">. 146 S (2024–2025) </w:t>
      </w:r>
      <w:r w:rsidRPr="00225D4D">
        <w:rPr>
          <w:rStyle w:val="kursiv"/>
        </w:rPr>
        <w:t>Tilleggsbevilgninger og omprioriteringer i statsbudsjettet 2025</w:t>
      </w:r>
      <w:r w:rsidRPr="00225D4D">
        <w:t xml:space="preserve"> er det gjort greie for oppfølginga av oppmodingsvedtak nr. 35 og 36. Samferdselsdepartementet vurderte at det med </w:t>
      </w:r>
      <w:proofErr w:type="spellStart"/>
      <w:r w:rsidRPr="00225D4D">
        <w:t>dei</w:t>
      </w:r>
      <w:proofErr w:type="spellEnd"/>
      <w:r w:rsidRPr="00225D4D">
        <w:t xml:space="preserve"> tiltaka som det blei gjort greie for i proposisjonen, var intensjonen i </w:t>
      </w:r>
      <w:proofErr w:type="spellStart"/>
      <w:r w:rsidRPr="00225D4D">
        <w:t>dei</w:t>
      </w:r>
      <w:proofErr w:type="spellEnd"/>
      <w:r w:rsidRPr="00225D4D">
        <w:t xml:space="preserve"> to oppmodingsvedtaka oppfylt. I </w:t>
      </w:r>
      <w:proofErr w:type="spellStart"/>
      <w:r w:rsidRPr="00225D4D">
        <w:t>Innst</w:t>
      </w:r>
      <w:proofErr w:type="spellEnd"/>
      <w:r w:rsidRPr="00225D4D">
        <w:t xml:space="preserve">. 540 S (2024–2025) går det fram at finanskomiteen tok </w:t>
      </w:r>
      <w:proofErr w:type="spellStart"/>
      <w:r w:rsidRPr="00225D4D">
        <w:t>dei</w:t>
      </w:r>
      <w:proofErr w:type="spellEnd"/>
      <w:r w:rsidRPr="00225D4D">
        <w:t xml:space="preserve"> respektive oppmodingsvedtaka til orientering.</w:t>
      </w:r>
    </w:p>
    <w:p w14:paraId="00489A84" w14:textId="77777777" w:rsidR="00D60186" w:rsidRPr="00225D4D" w:rsidRDefault="00D60186" w:rsidP="00225D4D">
      <w:pPr>
        <w:pStyle w:val="avsnitt-tittel"/>
      </w:pPr>
      <w:r w:rsidRPr="00225D4D">
        <w:t>Bestille fjerntog til Rørosbanen og sikre universell utforming av toga som blir bestilt</w:t>
      </w:r>
    </w:p>
    <w:p w14:paraId="7C5C57B2" w14:textId="77777777" w:rsidR="00D60186" w:rsidRPr="00225D4D" w:rsidRDefault="00D60186" w:rsidP="00225D4D">
      <w:pPr>
        <w:pStyle w:val="avsnitt-undertittel"/>
      </w:pPr>
      <w:r w:rsidRPr="00225D4D">
        <w:t>Vedtak nr. 37, 21. november 2023</w:t>
      </w:r>
    </w:p>
    <w:p w14:paraId="7D9D4C23" w14:textId="77777777" w:rsidR="00D60186" w:rsidRPr="00225D4D" w:rsidRDefault="00D60186" w:rsidP="00225D4D">
      <w:pPr>
        <w:pStyle w:val="blokksit"/>
        <w:rPr>
          <w:rStyle w:val="kursiv"/>
        </w:rPr>
      </w:pPr>
      <w:r w:rsidRPr="00225D4D">
        <w:rPr>
          <w:rStyle w:val="kursiv"/>
        </w:rPr>
        <w:t>«Stortinget ber regjeringen så raskt som mulig fremme forslag om å gi Norske tog handlingsrom til å kunne bestille nye fjerntog til Rørosbanen. Bestillingen knyttes til anskaffelsen Norske tog gjennomfører for flere av de andre fjerntogstrekningene. Videre bes regjeringen sikre universell utforming av alle tog som bestilles til norske jernbanestrekninger.»</w:t>
      </w:r>
    </w:p>
    <w:p w14:paraId="167EC856" w14:textId="77777777" w:rsidR="00D60186" w:rsidRPr="00225D4D" w:rsidRDefault="00D60186" w:rsidP="00225D4D">
      <w:r w:rsidRPr="00225D4D">
        <w:t xml:space="preserve">Dokumentene som ligger til grunn for vedtaket, er representantforslag fra stortingsrepresentantene Tor André Johnsen, Frank Edvard Sve, Morten Stordalen og Hans Andreas </w:t>
      </w:r>
      <w:proofErr w:type="spellStart"/>
      <w:r w:rsidRPr="00225D4D">
        <w:t>Limi</w:t>
      </w:r>
      <w:proofErr w:type="spellEnd"/>
      <w:r w:rsidRPr="00225D4D">
        <w:t xml:space="preserve"> om å anskaffe nye togsett til Rørosbanen, jf. Dokument 8:242 S (2022–2023) og </w:t>
      </w:r>
      <w:proofErr w:type="spellStart"/>
      <w:r w:rsidRPr="00225D4D">
        <w:t>Innst</w:t>
      </w:r>
      <w:proofErr w:type="spellEnd"/>
      <w:r w:rsidRPr="00225D4D">
        <w:t>. 52 S (2023–2024).</w:t>
      </w:r>
    </w:p>
    <w:p w14:paraId="18D85B32" w14:textId="77777777" w:rsidR="00D60186" w:rsidRPr="00225D4D" w:rsidRDefault="00D60186" w:rsidP="00225D4D">
      <w:r w:rsidRPr="00225D4D">
        <w:t xml:space="preserve">I </w:t>
      </w:r>
      <w:proofErr w:type="spellStart"/>
      <w:r w:rsidRPr="00225D4D">
        <w:t>Prop</w:t>
      </w:r>
      <w:proofErr w:type="spellEnd"/>
      <w:r w:rsidRPr="00225D4D">
        <w:t xml:space="preserve">. 1 S (2024–2025) for Samferdselsdepartementet opplyste departementet at vedtaket ble vurdert i sammenheng med utløsning av opsjonene i kontraktene med Alstom og </w:t>
      </w:r>
      <w:proofErr w:type="spellStart"/>
      <w:r w:rsidRPr="00225D4D">
        <w:t>Stadler</w:t>
      </w:r>
      <w:proofErr w:type="spellEnd"/>
      <w:r w:rsidRPr="00225D4D">
        <w:t xml:space="preserve"> og behov for å gjennomføre tiltak på Røros- og Trønderbanen. Når Trønderbanen mellom Stjørdal og Steinkjer er elektrifisert, åpner det for at Rørosbanen kan få nye tog ved å omdisponere tog av type 76. Videre opplyste departementet at det var gjennomført tilpasninger i nytt fjerntogmateriell som bedre ivaretar hensynet til universell utforming, men at det skulle utredes ytterligere tiltak inn mot en ev. utløsing av opsjoner i fjerntoganskaffelsen.</w:t>
      </w:r>
    </w:p>
    <w:p w14:paraId="3F2F395F" w14:textId="77777777" w:rsidR="00D60186" w:rsidRPr="00225D4D" w:rsidRDefault="00D60186" w:rsidP="00225D4D">
      <w:r w:rsidRPr="00225D4D">
        <w:t xml:space="preserve">Samferdselsdepartementets vurdering har vært at overføring av bimodale tog fra Trønderbanen er den beste løsningen for togtilbudet i Midt-Norge. Løsningen ville sikre Rørosbanen moderne togsett som er velegnet for infrastrukturen og togtilbudet på Rørosbanen. Type 76 er moderne tog fra 2022, som vil gi et betydelig bedre togtilbud for passasjerene på Rørosbanen, sammenliknet med dagens materiell. Denne løsningen sikrer også samfunnet størst nytte av investeringen i Type 76-togene, også etter at behovet for togene på Trønderbanen utgår som følge av overgang til elektrisk drift. Det er risiko for at elektrifiseringen av Trønderbanen mellom Stjørdal og Steinkjer ikke kan ferdigstilles i henhold til tidsplanen som lå til grunn da det ble satt av midler for å planlegge denne elektrifiseringen i </w:t>
      </w:r>
      <w:proofErr w:type="spellStart"/>
      <w:r w:rsidRPr="00225D4D">
        <w:t>Prop</w:t>
      </w:r>
      <w:proofErr w:type="spellEnd"/>
      <w:r w:rsidRPr="00225D4D">
        <w:t>. 1 S (2024–2025) for Samferdselsdepartementet. Samferdselsdepartementet vil i lys av ny informasjon kartlegge konsekvensene av andre handlingsalternativer, herunder anskaffelse av nye fjerntog.</w:t>
      </w:r>
    </w:p>
    <w:p w14:paraId="11B8D1CC" w14:textId="77777777" w:rsidR="00D60186" w:rsidRPr="00225D4D" w:rsidRDefault="00D60186" w:rsidP="00225D4D">
      <w:r w:rsidRPr="00225D4D">
        <w:t>Det er gjennomført en rekke tilpasninger i nytt fjerntogmateriell for å ta hensyn til universell utforming. Bl.a. vil større områder i togene være tilgjengelige for dem med redusert bevegelsesevne, med bedre tilgang til bistrovogn og familieavdeling. Videre får togene ett ekstra toalett tilpasset reisende med særskilte behov. Det er utredet om det i en ev. fremtidig opsjon på kjøp av flere fjerntog skal gjøres flere tiltak for å øke tilgjengeligheten i og til togene. Departementet legger etter en helhetsvurdering til grunn at designet fra grunnanskaffelsen videreføres i en ev. opsjon</w:t>
      </w:r>
    </w:p>
    <w:p w14:paraId="7A55423E" w14:textId="77777777" w:rsidR="00D60186" w:rsidRPr="00225D4D" w:rsidRDefault="00D60186" w:rsidP="00225D4D">
      <w:r w:rsidRPr="00225D4D">
        <w:t>Samferdselsdepartementet vil komme tilbake saken på egnet måte.</w:t>
      </w:r>
    </w:p>
    <w:p w14:paraId="33DB3B23" w14:textId="77777777" w:rsidR="00D60186" w:rsidRPr="00225D4D" w:rsidRDefault="00D60186" w:rsidP="00225D4D">
      <w:pPr>
        <w:pStyle w:val="avsnitt-tittel"/>
      </w:pPr>
      <w:proofErr w:type="spellStart"/>
      <w:r w:rsidRPr="00225D4D">
        <w:t>Konsekvensar</w:t>
      </w:r>
      <w:proofErr w:type="spellEnd"/>
      <w:r w:rsidRPr="00225D4D">
        <w:t xml:space="preserve"> for driftsstabilitet og beredskap viss tungt </w:t>
      </w:r>
      <w:proofErr w:type="spellStart"/>
      <w:r w:rsidRPr="00225D4D">
        <w:t>vedlikehald</w:t>
      </w:r>
      <w:proofErr w:type="spellEnd"/>
      <w:r w:rsidRPr="00225D4D">
        <w:t xml:space="preserve"> av togmateriell </w:t>
      </w:r>
      <w:proofErr w:type="spellStart"/>
      <w:r w:rsidRPr="00225D4D">
        <w:t>ikkje</w:t>
      </w:r>
      <w:proofErr w:type="spellEnd"/>
      <w:r w:rsidRPr="00225D4D">
        <w:t xml:space="preserve"> skal </w:t>
      </w:r>
      <w:proofErr w:type="spellStart"/>
      <w:r w:rsidRPr="00225D4D">
        <w:t>lokaliserast</w:t>
      </w:r>
      <w:proofErr w:type="spellEnd"/>
      <w:r w:rsidRPr="00225D4D">
        <w:t xml:space="preserve"> i </w:t>
      </w:r>
      <w:proofErr w:type="spellStart"/>
      <w:r w:rsidRPr="00225D4D">
        <w:t>Noreg</w:t>
      </w:r>
      <w:proofErr w:type="spellEnd"/>
    </w:p>
    <w:p w14:paraId="7C7875DE" w14:textId="77777777" w:rsidR="00D60186" w:rsidRPr="00225D4D" w:rsidRDefault="00D60186" w:rsidP="00225D4D">
      <w:pPr>
        <w:pStyle w:val="avsnitt-undertittel"/>
      </w:pPr>
      <w:r w:rsidRPr="00225D4D">
        <w:t>Vedtak nr. 448, 9. januar 2024</w:t>
      </w:r>
    </w:p>
    <w:p w14:paraId="344EC2C8" w14:textId="77777777" w:rsidR="00D60186" w:rsidRPr="00225D4D" w:rsidRDefault="00D60186" w:rsidP="00225D4D">
      <w:pPr>
        <w:pStyle w:val="blokksit"/>
        <w:rPr>
          <w:rStyle w:val="kursiv"/>
        </w:rPr>
      </w:pPr>
      <w:r w:rsidRPr="00225D4D">
        <w:rPr>
          <w:rStyle w:val="kursiv"/>
        </w:rPr>
        <w:t>«Stortinget ber regjeringen sørge for at Jernbanedirektoratet umiddelbart setter i gang en utredning av konsekvensene det vil ha for driftsstabilitet og beredskap dersom tungt vedlikehold av togmateriell ikke lenger vil være lokalisert i Norge. Utredningen må skje i samarbeid med relevante aktører.»</w:t>
      </w:r>
    </w:p>
    <w:p w14:paraId="4C933352" w14:textId="77777777" w:rsidR="00D60186" w:rsidRPr="00225D4D" w:rsidRDefault="00D60186" w:rsidP="00225D4D">
      <w:r w:rsidRPr="00225D4D">
        <w:t xml:space="preserve">Dokumentene som ligger til grunn for vedtaket, er representantforslag fra stortingsrepresentantene Freddy André </w:t>
      </w:r>
      <w:proofErr w:type="spellStart"/>
      <w:r w:rsidRPr="00225D4D">
        <w:t>Øvstegård</w:t>
      </w:r>
      <w:proofErr w:type="spellEnd"/>
      <w:r w:rsidRPr="00225D4D">
        <w:t xml:space="preserve">, Andreas </w:t>
      </w:r>
      <w:proofErr w:type="spellStart"/>
      <w:r w:rsidRPr="00225D4D">
        <w:t>Sjalg</w:t>
      </w:r>
      <w:proofErr w:type="spellEnd"/>
      <w:r w:rsidRPr="00225D4D">
        <w:t xml:space="preserve"> Unneland og Mona Fagerås om å sikre beredskap og driftsstabilitet på norsk jernbane, jf. Dokument 8:28 S (2023–2024) og </w:t>
      </w:r>
      <w:proofErr w:type="spellStart"/>
      <w:r w:rsidRPr="00225D4D">
        <w:t>Innst</w:t>
      </w:r>
      <w:proofErr w:type="spellEnd"/>
      <w:r w:rsidRPr="00225D4D">
        <w:t>. 166 S (2023–2024).</w:t>
      </w:r>
    </w:p>
    <w:p w14:paraId="4624A143" w14:textId="77777777" w:rsidR="00D60186" w:rsidRPr="00225D4D" w:rsidRDefault="00D60186" w:rsidP="00225D4D">
      <w:r w:rsidRPr="00225D4D">
        <w:t xml:space="preserve">Samferdselsdepartementet opplyste i </w:t>
      </w:r>
      <w:proofErr w:type="spellStart"/>
      <w:r w:rsidRPr="00225D4D">
        <w:t>Prop</w:t>
      </w:r>
      <w:proofErr w:type="spellEnd"/>
      <w:r w:rsidRPr="00225D4D">
        <w:t xml:space="preserve">. 1 S (2024–2025) at Jernbanedirektoratet hadde fått i oppdrag å vurdere beredskapshensyn knyttet til vedlikehold av tyngre materiell og å foreta en helhetlig vurdering av nødvendig beredskap for å sikre jernbanens </w:t>
      </w:r>
      <w:proofErr w:type="spellStart"/>
      <w:r w:rsidRPr="00225D4D">
        <w:t>transportevne</w:t>
      </w:r>
      <w:proofErr w:type="spellEnd"/>
      <w:r w:rsidRPr="00225D4D">
        <w:t>. Videre opplyste departementet at fase 1 av utredningen var levert, og at fase 2 skulle leveres i november 2024.</w:t>
      </w:r>
    </w:p>
    <w:p w14:paraId="064B6454" w14:textId="77777777" w:rsidR="00D60186" w:rsidRPr="00225D4D" w:rsidRDefault="00D60186" w:rsidP="00225D4D">
      <w:r w:rsidRPr="00225D4D">
        <w:t>Det går frem av utredningen at tyngre vedlikehold av togmateriell i all hovedsak gjennomføres med planlagte intervaller på egnede verksteder, og at dette ikke har vesentlige konsekvenser for akutt beredskap. Videre går det frem at driftsstabiliteten er lite sårbar om komponentvedlikeholdet skjer i utlandet. Tilgang til kritiske komponenter kan sikres ved å legge opp til større delelager enn det «just in time-prinsippet» legger opp til. Det vurderes imidlertid å være viktig for beredskapen at Norge også i fremtiden har verksteder med kompetanse både på hjulvedlikehold og ut/inn-montering av vedlikeholdte komponenter.</w:t>
      </w:r>
    </w:p>
    <w:p w14:paraId="1554ADF4" w14:textId="77777777" w:rsidR="00D60186" w:rsidRPr="00225D4D" w:rsidRDefault="00D60186" w:rsidP="00225D4D">
      <w:r w:rsidRPr="00225D4D">
        <w:t>Både før og etter at anmodningsvedtaket ble fattet har Samferdselsdepartementet satt i gang en rekke utredninger, initiativ og tiltak for å styrke beredskapsevnen i norsk jernbanesektor. Utredningene skal bidra til bedre oversikt, sammenheng og informasjonstilgang som vil styrke togmateriellets driftsstabilitet og bidra til beredskapsevnen. Jernbanedirektoratet har f.eks. fått disse oppdragene</w:t>
      </w:r>
    </w:p>
    <w:p w14:paraId="6CA22F65" w14:textId="77777777" w:rsidR="00D60186" w:rsidRPr="00225D4D" w:rsidRDefault="00D60186" w:rsidP="00225D4D">
      <w:pPr>
        <w:pStyle w:val="Liste"/>
      </w:pPr>
      <w:r w:rsidRPr="00225D4D">
        <w:t>utarbeide og holde løpende oppdatert en nasjonal verkstedplan som skal sikre fullstendig oversikt over behovene for verksteder som oppstår som følge av gjennomføringen av Nasjonal transportplan 2025–2036, gitt i supplerende tildelingsbrev nr. 14 for 2024</w:t>
      </w:r>
    </w:p>
    <w:p w14:paraId="25013A04" w14:textId="77777777" w:rsidR="00D60186" w:rsidRPr="00225D4D" w:rsidRDefault="00D60186" w:rsidP="00225D4D">
      <w:pPr>
        <w:pStyle w:val="Liste"/>
      </w:pPr>
      <w:r w:rsidRPr="00225D4D">
        <w:t>gi innspill til tydeligere å få frem Jernbanedirektoratets rolle i krisehåndtering og beredskap, gitt i tildelingsbrevet for 2024</w:t>
      </w:r>
    </w:p>
    <w:p w14:paraId="3B1B7CE7" w14:textId="77777777" w:rsidR="00D60186" w:rsidRPr="00225D4D" w:rsidRDefault="00D60186" w:rsidP="00225D4D">
      <w:pPr>
        <w:pStyle w:val="Liste"/>
      </w:pPr>
      <w:r w:rsidRPr="00225D4D">
        <w:t>utrede mandat for nytt samarbeidsråd for togmateriell, gitt i supplerende tildelingsbrev nr. 14 for 2024</w:t>
      </w:r>
    </w:p>
    <w:p w14:paraId="28936E67" w14:textId="77777777" w:rsidR="00D60186" w:rsidRPr="00225D4D" w:rsidRDefault="00D60186" w:rsidP="00225D4D">
      <w:r w:rsidRPr="00225D4D">
        <w:t xml:space="preserve">Videre har Jernbanedirektoratet utarbeidet et </w:t>
      </w:r>
      <w:r w:rsidRPr="00225D4D">
        <w:rPr>
          <w:rStyle w:val="kursiv"/>
        </w:rPr>
        <w:t>Styringsrammeverk for nye tilbudsforbedringer</w:t>
      </w:r>
      <w:r w:rsidRPr="00225D4D">
        <w:t xml:space="preserve"> på jernbane som bl.a. regulerer koordinering og samarbeid i grenseflatene mellom hver enkelt aktørs oppdrag. Prosessen med konseptvalgutredninger skal i større grad ta høyde for alle innsatsfaktorer ved anskaffelse av togmateriell som er nødvendig for å få mest mulig ut av togkjøpet, bl.a. verksteder. Jernbanedirektoratet har videre utarbeidet et kunnskapsgrunnlag for jernbanens rolle i nasjonal beredskap som ble publisert i desember 2024.</w:t>
      </w:r>
    </w:p>
    <w:p w14:paraId="3AFF4002" w14:textId="77777777" w:rsidR="00D60186" w:rsidRPr="00225D4D" w:rsidRDefault="00D60186" w:rsidP="00225D4D">
      <w:r w:rsidRPr="00225D4D">
        <w:t>Samfunnssikkerhet og beredskap er et viktig område i stadig utvikling som Samferdselsdepartementet fortsatt vil ha høy oppmerksomhet på. I lys av den geopolitiske situasjonen og regjeringens vektlegging av motstandskraft og totalberedskapsevne skal det tas mer hensyn til beredskap i samfunnet som helhet. De tiltakene som er omtalt over, vil bidra til å styrke beredskapsevnen i norsk jernbane. Det er også gitt oppdrag til Jernbanedirektoratet og Bane NOR om å utarbeide en beredskapsanalyse av jernbanesektoren, jf. omtale av anmodningsvedtak nr. 709 av 20. mai 2025.</w:t>
      </w:r>
    </w:p>
    <w:p w14:paraId="6D47575A" w14:textId="77777777" w:rsidR="00D60186" w:rsidRPr="00225D4D" w:rsidRDefault="00D60186" w:rsidP="00225D4D">
      <w:r w:rsidRPr="00225D4D">
        <w:t>Samferdselsdepartementet anser med dette at anmodningsvedtaket er fulgt opp.</w:t>
      </w:r>
    </w:p>
    <w:p w14:paraId="64EF1499" w14:textId="77777777" w:rsidR="00D60186" w:rsidRPr="00225D4D" w:rsidRDefault="00D60186" w:rsidP="00225D4D">
      <w:pPr>
        <w:pStyle w:val="avsnitt-tittel"/>
      </w:pPr>
      <w:r w:rsidRPr="00225D4D">
        <w:t xml:space="preserve">Tverrdepartemental og tverrsektoriell stortingsmelding om </w:t>
      </w:r>
      <w:proofErr w:type="spellStart"/>
      <w:r w:rsidRPr="00225D4D">
        <w:t>dronar</w:t>
      </w:r>
      <w:proofErr w:type="spellEnd"/>
    </w:p>
    <w:p w14:paraId="42F629FE" w14:textId="77777777" w:rsidR="00D60186" w:rsidRPr="00225D4D" w:rsidRDefault="00D60186" w:rsidP="00225D4D">
      <w:pPr>
        <w:pStyle w:val="avsnitt-undertittel"/>
      </w:pPr>
      <w:r w:rsidRPr="00225D4D">
        <w:t>Vedtak nr. 581, 25. april 2024</w:t>
      </w:r>
    </w:p>
    <w:p w14:paraId="78B5CB23" w14:textId="77777777" w:rsidR="00D60186" w:rsidRPr="00225D4D" w:rsidRDefault="00D60186" w:rsidP="00225D4D">
      <w:pPr>
        <w:pStyle w:val="blokksit"/>
        <w:rPr>
          <w:rStyle w:val="kursiv"/>
        </w:rPr>
      </w:pPr>
      <w:r w:rsidRPr="00225D4D">
        <w:rPr>
          <w:rStyle w:val="kursiv"/>
        </w:rPr>
        <w:t>«Stortinget ber regjeringen om at varslet stortingsmelding om droner er tverrdepartemental og tverrsektoriell, slik at oppdatert strategi omhandler hvordan droner utfordrer flysikkerheten og samfunnssikkerheten samtidig som den legger til rette for utvikling av ubemannet luftfart i Norge. En slik utvikling av ubemannet luftfart bør inkludere hele næringskjeden fra forskning og produksjon av droner, hensiktsmessig regelverksutvikling og en sikker luftfart på tvers av militær og sivil sektor.»</w:t>
      </w:r>
    </w:p>
    <w:p w14:paraId="713F040F" w14:textId="77777777" w:rsidR="00D60186" w:rsidRPr="00225D4D" w:rsidRDefault="00D60186" w:rsidP="00225D4D">
      <w:r w:rsidRPr="00225D4D">
        <w:t xml:space="preserve">Dokumentene som ligger til grunn for vedtaket, er representantforslag fra stortingsrepresentantene Trond Helleland, Liv Kari Eskeland og Erlend Larsen om revisjon av Norges dronestrategi, jf. Dokument 8:88 S (2023–2024) og </w:t>
      </w:r>
      <w:proofErr w:type="spellStart"/>
      <w:r w:rsidRPr="00225D4D">
        <w:t>Innst</w:t>
      </w:r>
      <w:proofErr w:type="spellEnd"/>
      <w:r w:rsidRPr="00225D4D">
        <w:t>. 256 S (2023–2024).</w:t>
      </w:r>
    </w:p>
    <w:p w14:paraId="198BA784" w14:textId="77777777" w:rsidR="00D60186" w:rsidRPr="00225D4D" w:rsidRDefault="00D60186" w:rsidP="00225D4D">
      <w:r w:rsidRPr="00225D4D">
        <w:t xml:space="preserve">I </w:t>
      </w:r>
      <w:proofErr w:type="spellStart"/>
      <w:r w:rsidRPr="00225D4D">
        <w:t>Prop</w:t>
      </w:r>
      <w:proofErr w:type="spellEnd"/>
      <w:r w:rsidRPr="00225D4D">
        <w:t>. 1 S (2024–2025) opplyste Samferdselsdepartementet at regjeringen tok sikte på å legge frem en stortingsmelding om droner og ny luftmobilitet i 2025.</w:t>
      </w:r>
    </w:p>
    <w:p w14:paraId="1DA6345E" w14:textId="77777777" w:rsidR="00D60186" w:rsidRPr="00225D4D" w:rsidRDefault="00D60186" w:rsidP="00225D4D">
      <w:r w:rsidRPr="00225D4D">
        <w:t xml:space="preserve">En slik melding ble lagt frem 28. mars 2025, jf. Meld. St. 15 (2024–2025) </w:t>
      </w:r>
      <w:r w:rsidRPr="00225D4D">
        <w:rPr>
          <w:rStyle w:val="kursiv"/>
        </w:rPr>
        <w:t>Droner og ny luftmobilitet</w:t>
      </w:r>
      <w:r w:rsidRPr="00225D4D">
        <w:t>.</w:t>
      </w:r>
    </w:p>
    <w:p w14:paraId="0C33C395" w14:textId="77777777" w:rsidR="00D60186" w:rsidRPr="00225D4D" w:rsidRDefault="00D60186" w:rsidP="00225D4D">
      <w:r w:rsidRPr="00225D4D">
        <w:t>Samferdselsdepartementet anser med dette vedtaket som fulgt opp.</w:t>
      </w:r>
    </w:p>
    <w:p w14:paraId="38E2DEE8" w14:textId="77777777" w:rsidR="00D60186" w:rsidRPr="00225D4D" w:rsidRDefault="00D60186" w:rsidP="00225D4D">
      <w:pPr>
        <w:pStyle w:val="avsnitt-tittel"/>
      </w:pPr>
      <w:r w:rsidRPr="00225D4D">
        <w:t xml:space="preserve">Gjennomgang av bompengeprosjektet </w:t>
      </w:r>
      <w:proofErr w:type="spellStart"/>
      <w:r w:rsidRPr="00225D4D">
        <w:t>Ryfast</w:t>
      </w:r>
      <w:proofErr w:type="spellEnd"/>
    </w:p>
    <w:p w14:paraId="728E3176" w14:textId="77777777" w:rsidR="00D60186" w:rsidRPr="00225D4D" w:rsidRDefault="00D60186" w:rsidP="00225D4D">
      <w:pPr>
        <w:pStyle w:val="avsnitt-undertittel"/>
      </w:pPr>
      <w:r w:rsidRPr="00225D4D">
        <w:t>Vedtak nr. 725, 6. juni 2024</w:t>
      </w:r>
    </w:p>
    <w:p w14:paraId="540C6B23" w14:textId="77777777" w:rsidR="00D60186" w:rsidRPr="00225D4D" w:rsidRDefault="00D60186" w:rsidP="00225D4D">
      <w:pPr>
        <w:pStyle w:val="blokksit"/>
        <w:rPr>
          <w:rStyle w:val="kursiv"/>
        </w:rPr>
      </w:pPr>
      <w:r w:rsidRPr="00225D4D">
        <w:rPr>
          <w:rStyle w:val="kursiv"/>
        </w:rPr>
        <w:t xml:space="preserve">«Stortinget ber regjeringen foreta en gjennomgang av bompengeprosjektet </w:t>
      </w:r>
      <w:proofErr w:type="spellStart"/>
      <w:r w:rsidRPr="00225D4D">
        <w:rPr>
          <w:rStyle w:val="kursiv"/>
        </w:rPr>
        <w:t>Ryfast</w:t>
      </w:r>
      <w:proofErr w:type="spellEnd"/>
      <w:r w:rsidRPr="00225D4D">
        <w:rPr>
          <w:rStyle w:val="kursiv"/>
        </w:rPr>
        <w:t>, og snarest komme tilbake til Stortinget med tiltak som vil redusere bompengebelastningen for pendlere.»</w:t>
      </w:r>
    </w:p>
    <w:p w14:paraId="7B76ED83" w14:textId="77777777" w:rsidR="00D60186" w:rsidRPr="00225D4D" w:rsidRDefault="00D60186" w:rsidP="00225D4D">
      <w:r w:rsidRPr="00225D4D">
        <w:t xml:space="preserve">Dokumentene som ligger til grunn for vedtaket, er representantforslag fra stortingsrepresentantene Roy Steffensen, Terje Halleland, Frank Edvard Sve og Morten Stordalen om å redusere bompengebelastningen i </w:t>
      </w:r>
      <w:proofErr w:type="spellStart"/>
      <w:r w:rsidRPr="00225D4D">
        <w:t>Ryfast</w:t>
      </w:r>
      <w:proofErr w:type="spellEnd"/>
      <w:r w:rsidRPr="00225D4D">
        <w:t xml:space="preserve">, jf. Dokument 8:117 S (2023–2024) og </w:t>
      </w:r>
      <w:proofErr w:type="spellStart"/>
      <w:r w:rsidRPr="00225D4D">
        <w:t>Innst</w:t>
      </w:r>
      <w:proofErr w:type="spellEnd"/>
      <w:r w:rsidRPr="00225D4D">
        <w:t>. 386 S (2023–2024).</w:t>
      </w:r>
    </w:p>
    <w:p w14:paraId="1C82A597" w14:textId="77777777" w:rsidR="00D60186" w:rsidRPr="00225D4D" w:rsidRDefault="00D60186" w:rsidP="00225D4D">
      <w:r w:rsidRPr="00225D4D">
        <w:t xml:space="preserve">Samferdselsdepartementet opplyste i </w:t>
      </w:r>
      <w:proofErr w:type="spellStart"/>
      <w:r w:rsidRPr="00225D4D">
        <w:t>Prop</w:t>
      </w:r>
      <w:proofErr w:type="spellEnd"/>
      <w:r w:rsidRPr="00225D4D">
        <w:t>. 1 S (2024–2025) at vedtaket følges opp i dialog med garantistene Rogaland fylkeskommune og Stavanger kommune.</w:t>
      </w:r>
    </w:p>
    <w:p w14:paraId="5B175404" w14:textId="77777777" w:rsidR="00D60186" w:rsidRPr="00225D4D" w:rsidRDefault="00D60186" w:rsidP="00225D4D">
      <w:r w:rsidRPr="00225D4D">
        <w:t>Dialogen med garantistene ble gjenopptatt etter Stortingets vedtak nr. 1247 av 20. juni 2025, jf. omtalen i dette anmodningsvedtaket.</w:t>
      </w:r>
    </w:p>
    <w:p w14:paraId="28FF0634" w14:textId="77777777" w:rsidR="00D60186" w:rsidRPr="00225D4D" w:rsidRDefault="00D60186" w:rsidP="00225D4D">
      <w:r w:rsidRPr="00225D4D">
        <w:t>Samferdselsdepartementet anser med dette vedtaket som fulgt opp.</w:t>
      </w:r>
    </w:p>
    <w:p w14:paraId="5A9DD02E" w14:textId="77777777" w:rsidR="00D60186" w:rsidRPr="00225D4D" w:rsidRDefault="00D60186" w:rsidP="00225D4D">
      <w:pPr>
        <w:pStyle w:val="avsnitt-tittel"/>
      </w:pPr>
      <w:r w:rsidRPr="00225D4D">
        <w:t xml:space="preserve">Ladeinfrastrukturen på større ladeanlegg langs </w:t>
      </w:r>
      <w:proofErr w:type="spellStart"/>
      <w:r w:rsidRPr="00225D4D">
        <w:t>riksvegane</w:t>
      </w:r>
      <w:proofErr w:type="spellEnd"/>
    </w:p>
    <w:p w14:paraId="73486600" w14:textId="77777777" w:rsidR="00D60186" w:rsidRPr="00225D4D" w:rsidRDefault="00D60186" w:rsidP="00225D4D">
      <w:pPr>
        <w:pStyle w:val="avsnitt-undertittel"/>
      </w:pPr>
      <w:r w:rsidRPr="00225D4D">
        <w:t>Vedtak nr. 825, 20. juni 2024</w:t>
      </w:r>
    </w:p>
    <w:p w14:paraId="3B7E006B" w14:textId="77777777" w:rsidR="00D60186" w:rsidRPr="00225D4D" w:rsidRDefault="00D60186" w:rsidP="00225D4D">
      <w:pPr>
        <w:pStyle w:val="blokksit"/>
        <w:rPr>
          <w:rStyle w:val="kursiv"/>
        </w:rPr>
      </w:pPr>
      <w:r w:rsidRPr="00225D4D">
        <w:rPr>
          <w:rStyle w:val="kursiv"/>
        </w:rPr>
        <w:t>«Stortinget ber regjeringen sørge for at ladeinfrastrukturen på større ladeanlegg langs riksveiene tilrettelegger for at det er mulig å ivareta døgn- og hviletider uten å måtte bryte disse for å flytte bilen etter endt lading.»</w:t>
      </w:r>
    </w:p>
    <w:p w14:paraId="6BE2CA6E" w14:textId="77777777" w:rsidR="00D60186" w:rsidRPr="00225D4D" w:rsidRDefault="00D60186" w:rsidP="00225D4D">
      <w:r w:rsidRPr="00225D4D">
        <w:t xml:space="preserve">Vedtaket ble truffet ved behandlingen av Meld. St. 14 (2023–2024) </w:t>
      </w:r>
      <w:r w:rsidRPr="00225D4D">
        <w:rPr>
          <w:rStyle w:val="kursiv"/>
        </w:rPr>
        <w:t>Nasjonal transportplan 2025–2036</w:t>
      </w:r>
      <w:r w:rsidRPr="00225D4D">
        <w:t xml:space="preserve">, jf. </w:t>
      </w:r>
      <w:proofErr w:type="spellStart"/>
      <w:r w:rsidRPr="00225D4D">
        <w:t>Innst</w:t>
      </w:r>
      <w:proofErr w:type="spellEnd"/>
      <w:r w:rsidRPr="00225D4D">
        <w:t>. 439 S (2023–2024).</w:t>
      </w:r>
    </w:p>
    <w:p w14:paraId="767CDBB0" w14:textId="77777777" w:rsidR="00D60186" w:rsidRPr="00225D4D" w:rsidRDefault="00D60186" w:rsidP="00225D4D">
      <w:r w:rsidRPr="00225D4D">
        <w:t xml:space="preserve">I </w:t>
      </w:r>
      <w:proofErr w:type="spellStart"/>
      <w:r w:rsidRPr="00225D4D">
        <w:t>Prop</w:t>
      </w:r>
      <w:proofErr w:type="spellEnd"/>
      <w:r w:rsidRPr="00225D4D">
        <w:t>. 1 S (2024–2025) opplyste Samferdselsdepartementet at det ville jobbe for å finne en fleksibel løsning der det vil være mulig å oppfylle kjøre- og hviletidsbestemmelser samtidig som kommersielle ladeoperatører kan drive lønnsomt.</w:t>
      </w:r>
    </w:p>
    <w:p w14:paraId="2F04E759" w14:textId="77777777" w:rsidR="00D60186" w:rsidRPr="00225D4D" w:rsidRDefault="00D60186" w:rsidP="00225D4D">
      <w:r w:rsidRPr="00225D4D">
        <w:t>På døgnhvileplasser som Statens vegvesen har ansvaret for, vil det være ladeinfrastruktur som sikrer at kjøretøy kan lade over natten, samtidig som døgn- og hviletidsbestemmelser overholdes. For nye døgnhvileplasser i regi av Statens vegvesen legges det inn krav om saktelading. I tillegg vil Statens vegvesen åpne for hurtiglading på døgnhvileplassene. Saktelading har en effekt som er tilpasset tiden kjøretøyet står stille under døgnhvile, mens hurtiglading i dag er tilpasset hviletid på 45 minutter. Begge ladetypene gjør at det ikke er nødvendig å bryte kjøre- og hviletider for å flytte kjøretøyet etter endt lading.</w:t>
      </w:r>
    </w:p>
    <w:p w14:paraId="6A2C1746" w14:textId="77777777" w:rsidR="00D60186" w:rsidRPr="00225D4D" w:rsidRDefault="00D60186" w:rsidP="00225D4D">
      <w:r w:rsidRPr="00225D4D">
        <w:t>Samferdselsdepartementet er opptatt av at kommersielle ladeoperatører som tilbyr lading på døgnhvileplassene, har mulighet til å drive lønnsomt. Departementet legger til grunn at kommersielle aktører kan velge samme løsning som Statens vegvesen, og at det vil kunne være lønnsomt dersom det er et markedsgrunnlag.</w:t>
      </w:r>
    </w:p>
    <w:p w14:paraId="3885BF62" w14:textId="77777777" w:rsidR="00D60186" w:rsidRPr="00225D4D" w:rsidRDefault="00D60186" w:rsidP="00225D4D">
      <w:r w:rsidRPr="00225D4D">
        <w:t>Samferdselsdepartementet anser med dette vedtaket som fulgt opp.</w:t>
      </w:r>
    </w:p>
    <w:p w14:paraId="7E0BDC1A" w14:textId="77777777" w:rsidR="00D60186" w:rsidRPr="00225D4D" w:rsidRDefault="00D60186" w:rsidP="00225D4D">
      <w:pPr>
        <w:pStyle w:val="avsnitt-tittel"/>
      </w:pPr>
      <w:r w:rsidRPr="00225D4D">
        <w:t xml:space="preserve">Korleis ny teknologi kan </w:t>
      </w:r>
      <w:proofErr w:type="spellStart"/>
      <w:r w:rsidRPr="00225D4D">
        <w:t>takast</w:t>
      </w:r>
      <w:proofErr w:type="spellEnd"/>
      <w:r w:rsidRPr="00225D4D">
        <w:t xml:space="preserve"> i bruk for m.a. å oppdage om </w:t>
      </w:r>
      <w:proofErr w:type="spellStart"/>
      <w:r w:rsidRPr="00225D4D">
        <w:t>eit</w:t>
      </w:r>
      <w:proofErr w:type="spellEnd"/>
      <w:r w:rsidRPr="00225D4D">
        <w:t xml:space="preserve"> skred når vegen</w:t>
      </w:r>
    </w:p>
    <w:p w14:paraId="2807D8EB" w14:textId="77777777" w:rsidR="00D60186" w:rsidRPr="00225D4D" w:rsidRDefault="00D60186" w:rsidP="00225D4D">
      <w:pPr>
        <w:pStyle w:val="avsnitt-undertittel"/>
      </w:pPr>
      <w:r w:rsidRPr="00225D4D">
        <w:t>Vedtak nr. 826, 20. juni 2024</w:t>
      </w:r>
    </w:p>
    <w:p w14:paraId="5019726E" w14:textId="77777777" w:rsidR="00D60186" w:rsidRPr="00225D4D" w:rsidRDefault="00D60186" w:rsidP="00225D4D">
      <w:pPr>
        <w:pStyle w:val="blokksit"/>
        <w:rPr>
          <w:rStyle w:val="kursiv"/>
        </w:rPr>
      </w:pPr>
      <w:r w:rsidRPr="00225D4D">
        <w:rPr>
          <w:rStyle w:val="kursiv"/>
        </w:rPr>
        <w:t>«Stortinget ber regjeringen utrede hvordan ny teknologi kan tas i bruk for å oppdage om et skred når veien, hindre at biler kjører inn i skredområdet og å detektere om det er biler eller mennesker inne i området, og komme tilbake til Stortinget på egnet måte senest våren 2025.»</w:t>
      </w:r>
    </w:p>
    <w:p w14:paraId="7B47D59A" w14:textId="77777777" w:rsidR="00D60186" w:rsidRPr="00225D4D" w:rsidRDefault="00D60186" w:rsidP="00225D4D">
      <w:r w:rsidRPr="00225D4D">
        <w:t xml:space="preserve">Vedtaket ble truffet ved behandlingen av Meld. St. 14 (2023–2024) </w:t>
      </w:r>
      <w:r w:rsidRPr="00225D4D">
        <w:rPr>
          <w:rStyle w:val="kursiv"/>
        </w:rPr>
        <w:t>Nasjonal transportplan 2025–2036</w:t>
      </w:r>
      <w:r w:rsidRPr="00225D4D">
        <w:t xml:space="preserve">, jf. </w:t>
      </w:r>
      <w:proofErr w:type="spellStart"/>
      <w:r w:rsidRPr="00225D4D">
        <w:t>Innst</w:t>
      </w:r>
      <w:proofErr w:type="spellEnd"/>
      <w:r w:rsidRPr="00225D4D">
        <w:t>. 439 S (2023–2024).</w:t>
      </w:r>
    </w:p>
    <w:p w14:paraId="0DDA6784" w14:textId="77777777" w:rsidR="00D60186" w:rsidRPr="00225D4D" w:rsidRDefault="00D60186" w:rsidP="00225D4D">
      <w:r w:rsidRPr="00225D4D">
        <w:t xml:space="preserve">I </w:t>
      </w:r>
      <w:proofErr w:type="spellStart"/>
      <w:r w:rsidRPr="00225D4D">
        <w:t>Prop</w:t>
      </w:r>
      <w:proofErr w:type="spellEnd"/>
      <w:r w:rsidRPr="00225D4D">
        <w:t>. 1 S (2024–2025) redegjorde Samferdselsdepartementet for Statens vegvesens arbeid med å ta i bruk og utvikle ny teknologi rundt skredvarslingsanlegg og anlegg for nedsprenging av snøskred bl.a. ved å undersøke muligheter for å videreutvikle skredvarslingsanlegg gjennom bruk av fiberteknologi for å undersøke om det er mennesker eller biler i et område. Departementet vurderte derfor at intensjonen i anmodningsvedtaket var oppfylt.</w:t>
      </w:r>
    </w:p>
    <w:p w14:paraId="0EC1DC18" w14:textId="77777777" w:rsidR="00D60186" w:rsidRPr="00225D4D" w:rsidRDefault="00D60186" w:rsidP="00225D4D">
      <w:r w:rsidRPr="00225D4D">
        <w:t xml:space="preserve">Ved behandlingen av Meld. St. 4 (2024–2025) </w:t>
      </w:r>
      <w:r w:rsidRPr="00225D4D">
        <w:rPr>
          <w:rStyle w:val="kursiv"/>
        </w:rPr>
        <w:t>Anmodnings- og utredningsvedtak i stortingssesjonen 2023–2024</w:t>
      </w:r>
      <w:r w:rsidRPr="00225D4D">
        <w:t xml:space="preserve">, jf. </w:t>
      </w:r>
      <w:proofErr w:type="spellStart"/>
      <w:r w:rsidRPr="00225D4D">
        <w:t>Innst</w:t>
      </w:r>
      <w:proofErr w:type="spellEnd"/>
      <w:r w:rsidRPr="00225D4D">
        <w:t>. 216 S (2024–2025), uttalte et flertall i kontroll- og konstitusjonskomiteen:</w:t>
      </w:r>
    </w:p>
    <w:p w14:paraId="3E252D7B" w14:textId="77777777" w:rsidR="00D60186" w:rsidRPr="00225D4D" w:rsidRDefault="00D60186" w:rsidP="00225D4D">
      <w:pPr>
        <w:pStyle w:val="blokksit"/>
      </w:pPr>
      <w:r w:rsidRPr="00225D4D">
        <w:t>«</w:t>
      </w:r>
      <w:r w:rsidRPr="00225D4D">
        <w:rPr>
          <w:rStyle w:val="sperret0"/>
        </w:rPr>
        <w:t>Komiteens flertall, medlemmene fra Høyre, Fremskrittspartiet, Sosialistisk Venstreparti, Rødt og Venstre</w:t>
      </w:r>
      <w:r w:rsidRPr="00225D4D">
        <w:t xml:space="preserve">, merker seg arbeidet som pågår, men mener intensjonen ikke er ivaretatt gjennom dette arbeidet. </w:t>
      </w:r>
      <w:r w:rsidRPr="00225D4D">
        <w:rPr>
          <w:rStyle w:val="sperret0"/>
        </w:rPr>
        <w:t>Flertallet</w:t>
      </w:r>
      <w:r w:rsidRPr="00225D4D">
        <w:t xml:space="preserve"> mener rapporteringen derfor ikke kan avsluttes.»</w:t>
      </w:r>
    </w:p>
    <w:p w14:paraId="334E9A55" w14:textId="77777777" w:rsidR="00D60186" w:rsidRPr="00225D4D" w:rsidRDefault="00D60186" w:rsidP="00225D4D">
      <w:r w:rsidRPr="00225D4D">
        <w:t xml:space="preserve">I kapittel 15.6.1 i </w:t>
      </w:r>
      <w:proofErr w:type="spellStart"/>
      <w:r w:rsidRPr="00225D4D">
        <w:t>Innst</w:t>
      </w:r>
      <w:proofErr w:type="spellEnd"/>
      <w:r w:rsidRPr="00225D4D">
        <w:t xml:space="preserve">. 439 S (2023–2024) viser transportkomiteen til at det er gjennomført prøveprosjekt med teknologi som kan oppdage om et skred når veien, hindre at biler kjører inn i skredområdet og detektere om det er biler eller mennesker inne i området, og uttaler: «Komiteen mener slik teknologi bør vurderes for bruk i flere skredutsatte områder». En slik vurdering og påfølgende implementering har funnet sted gjennom at Statens vegvesen kontinuerlig jobber med å utvikle og </w:t>
      </w:r>
      <w:proofErr w:type="gramStart"/>
      <w:r w:rsidRPr="00225D4D">
        <w:t>implementere</w:t>
      </w:r>
      <w:proofErr w:type="gramEnd"/>
      <w:r w:rsidRPr="00225D4D">
        <w:t xml:space="preserve"> nye metoder og teknologier i sitt arbeid med skredsikring. Etaten deler metoder for aktiv skredsikring inn i skredovervåkning og skredutløsning. Skredovervåkning innebærer å detektere skred og automatisk stenge og gjenåpne veier. Skredutløsningstiltak kontrollerer skred ved å sprenge dem mens veien er stengt. Disse metodene er kostnadseffektive alternativer og supplement til fysiske sikringskonstruksjoner.</w:t>
      </w:r>
    </w:p>
    <w:p w14:paraId="69836FC4" w14:textId="77777777" w:rsidR="00D60186" w:rsidRPr="00225D4D" w:rsidRDefault="00D60186" w:rsidP="00225D4D">
      <w:r w:rsidRPr="00225D4D">
        <w:t xml:space="preserve">Fra 2014 til 2024 har antallet anlegg for aktiv skredsikring økt fra ti til 28. Statens vegvesen startet prosjektet </w:t>
      </w:r>
      <w:r w:rsidRPr="00225D4D">
        <w:rPr>
          <w:rStyle w:val="kursiv"/>
        </w:rPr>
        <w:t xml:space="preserve">Teknologi for håndtering av </w:t>
      </w:r>
      <w:proofErr w:type="spellStart"/>
      <w:r w:rsidRPr="00225D4D">
        <w:rPr>
          <w:rStyle w:val="kursiv"/>
        </w:rPr>
        <w:t>naturfare</w:t>
      </w:r>
      <w:proofErr w:type="spellEnd"/>
      <w:r w:rsidRPr="00225D4D">
        <w:t xml:space="preserve"> i 2024. Prosjektet avsluttes i 2030. Gjennom prosjektet vil antallet anlegg trolig øke til 35 i 2025 og 55 i 2030.</w:t>
      </w:r>
    </w:p>
    <w:p w14:paraId="72639794" w14:textId="77777777" w:rsidR="00D60186" w:rsidRPr="00225D4D" w:rsidRDefault="00D60186" w:rsidP="00225D4D">
      <w:r w:rsidRPr="00225D4D">
        <w:t>Pågående innovasjon inkluderer bruk av dopplerradar, fiberoptiske kabler og droner for skredovervåking. Droner kan også brukes til skredutløsning.</w:t>
      </w:r>
    </w:p>
    <w:p w14:paraId="71BAFFC0" w14:textId="77777777" w:rsidR="00D60186" w:rsidRPr="00225D4D" w:rsidRDefault="00D60186" w:rsidP="00225D4D">
      <w:r w:rsidRPr="00225D4D">
        <w:t xml:space="preserve">I samarbeid med andre veieiere og leverandørbransjen fortsetter Statens vegvesen å utvikle ny teknologi, sikringskonsept, driftsopplegg og kontraktsformer gjennom prosjektet </w:t>
      </w:r>
      <w:r w:rsidRPr="00225D4D">
        <w:rPr>
          <w:rStyle w:val="kursiv"/>
        </w:rPr>
        <w:t xml:space="preserve">Teknologi for håndtering av </w:t>
      </w:r>
      <w:proofErr w:type="spellStart"/>
      <w:r w:rsidRPr="00225D4D">
        <w:rPr>
          <w:rStyle w:val="kursiv"/>
        </w:rPr>
        <w:t>naturfare</w:t>
      </w:r>
      <w:proofErr w:type="spellEnd"/>
      <w:r w:rsidRPr="00225D4D">
        <w:t xml:space="preserve">. Gjennom prosjektet skal teknologi utvikles i samarbeid andre, og </w:t>
      </w:r>
      <w:proofErr w:type="gramStart"/>
      <w:r w:rsidRPr="00225D4D">
        <w:t>implementeres</w:t>
      </w:r>
      <w:proofErr w:type="gramEnd"/>
      <w:r w:rsidRPr="00225D4D">
        <w:t xml:space="preserve"> i arbeidet med nye skredtiltak.</w:t>
      </w:r>
    </w:p>
    <w:p w14:paraId="2DF253AD" w14:textId="77777777" w:rsidR="00D60186" w:rsidRPr="00225D4D" w:rsidRDefault="00D60186" w:rsidP="00225D4D">
      <w:r w:rsidRPr="00225D4D">
        <w:t>Samferdselsdepartementet viser til at det med dette er rapportert nærmere i tråd med uttalelsen fra flertallet i Kontroll- og konstitusjonskomiteen. Departementet anser med dette anmodningsvedtaket som fulgt opp.</w:t>
      </w:r>
    </w:p>
    <w:p w14:paraId="4480CF1E" w14:textId="77777777" w:rsidR="00D60186" w:rsidRPr="00225D4D" w:rsidRDefault="00D60186" w:rsidP="00225D4D">
      <w:pPr>
        <w:pStyle w:val="avsnitt-tittel"/>
      </w:pPr>
      <w:r w:rsidRPr="00225D4D">
        <w:t xml:space="preserve">Finansieringa til fylkesveg og </w:t>
      </w:r>
      <w:proofErr w:type="spellStart"/>
      <w:r w:rsidRPr="00225D4D">
        <w:t>øyremerkt</w:t>
      </w:r>
      <w:proofErr w:type="spellEnd"/>
      <w:r w:rsidRPr="00225D4D">
        <w:t xml:space="preserve"> </w:t>
      </w:r>
      <w:proofErr w:type="spellStart"/>
      <w:r w:rsidRPr="00225D4D">
        <w:t>tilskotsordning</w:t>
      </w:r>
      <w:proofErr w:type="spellEnd"/>
      <w:r w:rsidRPr="00225D4D">
        <w:t xml:space="preserve"> for </w:t>
      </w:r>
      <w:proofErr w:type="spellStart"/>
      <w:r w:rsidRPr="00225D4D">
        <w:t>vedlikehald</w:t>
      </w:r>
      <w:proofErr w:type="spellEnd"/>
      <w:r w:rsidRPr="00225D4D">
        <w:t xml:space="preserve"> av fylkesveg</w:t>
      </w:r>
    </w:p>
    <w:p w14:paraId="1C967F60" w14:textId="77777777" w:rsidR="00D60186" w:rsidRPr="00225D4D" w:rsidRDefault="00D60186" w:rsidP="00225D4D">
      <w:pPr>
        <w:pStyle w:val="avsnitt-undertittel"/>
      </w:pPr>
      <w:r w:rsidRPr="00225D4D">
        <w:t>Vedtak nr. 830, 20. juni 2024</w:t>
      </w:r>
    </w:p>
    <w:p w14:paraId="54A158AB" w14:textId="77777777" w:rsidR="00D60186" w:rsidRPr="00225D4D" w:rsidRDefault="00D60186" w:rsidP="00225D4D">
      <w:pPr>
        <w:pStyle w:val="blokksit"/>
        <w:rPr>
          <w:rStyle w:val="kursiv"/>
        </w:rPr>
      </w:pPr>
      <w:r w:rsidRPr="00225D4D">
        <w:rPr>
          <w:rStyle w:val="kursiv"/>
        </w:rPr>
        <w:t xml:space="preserve">«Stortinget ber regjeringen styrke finansiering til fylkesvei med </w:t>
      </w:r>
      <w:proofErr w:type="gramStart"/>
      <w:r w:rsidRPr="00225D4D">
        <w:rPr>
          <w:rStyle w:val="kursiv"/>
        </w:rPr>
        <w:t>fokus</w:t>
      </w:r>
      <w:proofErr w:type="gramEnd"/>
      <w:r w:rsidRPr="00225D4D">
        <w:rPr>
          <w:rStyle w:val="kursiv"/>
        </w:rPr>
        <w:t xml:space="preserve"> på trafikksikkerhet, nærings- og beredskapsveier, og videreføre den øremerkede tilskuddsordningen for vedlikehold av fylkesvei.»</w:t>
      </w:r>
    </w:p>
    <w:p w14:paraId="4CD38D4F" w14:textId="77777777" w:rsidR="00D60186" w:rsidRPr="00225D4D" w:rsidRDefault="00D60186" w:rsidP="00225D4D">
      <w:r w:rsidRPr="00225D4D">
        <w:t xml:space="preserve">Vedtaket ble truffet ved behandlingen av Meld. St. 14 (2023–2024) </w:t>
      </w:r>
      <w:r w:rsidRPr="00225D4D">
        <w:rPr>
          <w:rStyle w:val="kursiv"/>
        </w:rPr>
        <w:t>Nasjonal transportplan 2025–2036</w:t>
      </w:r>
      <w:r w:rsidRPr="00225D4D">
        <w:t xml:space="preserve">, jf. </w:t>
      </w:r>
      <w:proofErr w:type="spellStart"/>
      <w:r w:rsidRPr="00225D4D">
        <w:t>Innst</w:t>
      </w:r>
      <w:proofErr w:type="spellEnd"/>
      <w:r w:rsidRPr="00225D4D">
        <w:t>. 439 S (2023–2024).</w:t>
      </w:r>
    </w:p>
    <w:p w14:paraId="6AE0ECD5" w14:textId="77777777" w:rsidR="00D60186" w:rsidRPr="00225D4D" w:rsidRDefault="00D60186" w:rsidP="00225D4D">
      <w:r w:rsidRPr="00225D4D">
        <w:t xml:space="preserve">I </w:t>
      </w:r>
      <w:proofErr w:type="spellStart"/>
      <w:r w:rsidRPr="00225D4D">
        <w:t>Prop</w:t>
      </w:r>
      <w:proofErr w:type="spellEnd"/>
      <w:r w:rsidRPr="00225D4D">
        <w:t xml:space="preserve">. 1 S (2024–2025) opplyste Samferdselsdepartementet at det i Meld. St. 14 (2023–2024) </w:t>
      </w:r>
      <w:r w:rsidRPr="00225D4D">
        <w:rPr>
          <w:rStyle w:val="kursiv"/>
        </w:rPr>
        <w:t>Nasjonal transportplan 2025–2036</w:t>
      </w:r>
      <w:r w:rsidRPr="00225D4D">
        <w:t xml:space="preserve"> er lagt opp til en økt satsing på fylkesvei, og at det over tabell C på Kommunal- og </w:t>
      </w:r>
      <w:proofErr w:type="spellStart"/>
      <w:r w:rsidRPr="00225D4D">
        <w:t>distriktsdepartementets</w:t>
      </w:r>
      <w:proofErr w:type="spellEnd"/>
      <w:r w:rsidRPr="00225D4D">
        <w:t xml:space="preserve"> budsjett ble foreslått å styrke finansieringen til opprusting og fornying av fylkesvegnettet med reelt 300 mill. kr i 2025. Departementet anså at denne delen av anmodningsvedtaket var fulgt opp.</w:t>
      </w:r>
    </w:p>
    <w:p w14:paraId="51EA9F1D" w14:textId="77777777" w:rsidR="00D60186" w:rsidRPr="00225D4D" w:rsidRDefault="00D60186" w:rsidP="00225D4D">
      <w:r w:rsidRPr="00225D4D">
        <w:t xml:space="preserve">Videre opplyste Samferdselsdepartementet at det vurderte at det ikke er hensiktsmessig å øremerke midler til det som er å regne som en ordinær driftsoppgave for fylkeskommunene, og la opp til å avvikle det øremerkede tilskuddet på kap. 1320 Statens vegvesen, post 65 Tilskudd til fylkesveier, og å overføre midlene til rammetilskuddet med særskilt fordeling til </w:t>
      </w:r>
      <w:r w:rsidRPr="00225D4D">
        <w:rPr>
          <w:rStyle w:val="kursiv"/>
        </w:rPr>
        <w:t>Opprusting og fornying av fylkesvegnettet</w:t>
      </w:r>
      <w:r w:rsidRPr="00225D4D">
        <w:t xml:space="preserve"> over tabell C på Kommunal- og </w:t>
      </w:r>
      <w:proofErr w:type="spellStart"/>
      <w:r w:rsidRPr="00225D4D">
        <w:t>distriktsdepartementets</w:t>
      </w:r>
      <w:proofErr w:type="spellEnd"/>
      <w:r w:rsidRPr="00225D4D">
        <w:t xml:space="preserve"> budsjett. Departementet foreslo derfor å oppheve anmodningsvedtaket. Ved behandlingen av statsbudsjettet for 2025 opphevet Stortinget vedtaket, jf. </w:t>
      </w:r>
      <w:proofErr w:type="spellStart"/>
      <w:r w:rsidRPr="00225D4D">
        <w:t>Innst</w:t>
      </w:r>
      <w:proofErr w:type="spellEnd"/>
      <w:r w:rsidRPr="00225D4D">
        <w:t>. 13 S (2024–2025). I saldert budsjett for 2025 er kap. 1320, post 65, innlemmet i rammetilskuddet til fylkeskommuner.</w:t>
      </w:r>
    </w:p>
    <w:p w14:paraId="30E6FF91" w14:textId="77777777" w:rsidR="00D60186" w:rsidRPr="00225D4D" w:rsidRDefault="00D60186" w:rsidP="00225D4D">
      <w:r w:rsidRPr="00225D4D">
        <w:t>Rapportering på vedtaket blir som følge av Stortingets oppheving av anmodningsvedtaket avsluttet.</w:t>
      </w:r>
    </w:p>
    <w:p w14:paraId="28E723F6" w14:textId="77777777" w:rsidR="00D60186" w:rsidRPr="00225D4D" w:rsidRDefault="00D60186" w:rsidP="00225D4D">
      <w:pPr>
        <w:pStyle w:val="avsnitt-tittel"/>
      </w:pPr>
      <w:r w:rsidRPr="00225D4D">
        <w:t xml:space="preserve">Evaluere </w:t>
      </w:r>
      <w:proofErr w:type="spellStart"/>
      <w:r w:rsidRPr="00225D4D">
        <w:t>dei</w:t>
      </w:r>
      <w:proofErr w:type="spellEnd"/>
      <w:r w:rsidRPr="00225D4D">
        <w:t xml:space="preserve"> nye rutetidene på FOT-rutene og </w:t>
      </w:r>
      <w:proofErr w:type="spellStart"/>
      <w:r w:rsidRPr="00225D4D">
        <w:t>konsekvensane</w:t>
      </w:r>
      <w:proofErr w:type="spellEnd"/>
      <w:r w:rsidRPr="00225D4D">
        <w:t xml:space="preserve"> av halv pris på </w:t>
      </w:r>
      <w:proofErr w:type="spellStart"/>
      <w:r w:rsidRPr="00225D4D">
        <w:t>fullprisbillettane</w:t>
      </w:r>
      <w:proofErr w:type="spellEnd"/>
    </w:p>
    <w:p w14:paraId="465B5661" w14:textId="77777777" w:rsidR="00D60186" w:rsidRPr="00225D4D" w:rsidRDefault="00D60186" w:rsidP="00225D4D">
      <w:pPr>
        <w:pStyle w:val="avsnitt-undertittel"/>
      </w:pPr>
      <w:r w:rsidRPr="00225D4D">
        <w:t>Vedtak nr. 834, 20. juni 2024</w:t>
      </w:r>
    </w:p>
    <w:p w14:paraId="390DA20D" w14:textId="77777777" w:rsidR="00D60186" w:rsidRPr="00225D4D" w:rsidRDefault="00D60186" w:rsidP="00225D4D">
      <w:pPr>
        <w:pStyle w:val="blokksit"/>
        <w:rPr>
          <w:rStyle w:val="kursiv"/>
        </w:rPr>
      </w:pPr>
      <w:r w:rsidRPr="00225D4D">
        <w:rPr>
          <w:rStyle w:val="kursiv"/>
        </w:rPr>
        <w:t>«Stortinget ber regjeringen evaluere de nye rutetidene på FOT-rutene og konsekvensene av halv pris på fullprisbillettene, og finne forbedrede løsninger innenfor anbudsperioden.»</w:t>
      </w:r>
    </w:p>
    <w:p w14:paraId="5B0EAC41" w14:textId="77777777" w:rsidR="00D60186" w:rsidRPr="00225D4D" w:rsidRDefault="00D60186" w:rsidP="00225D4D">
      <w:r w:rsidRPr="00225D4D">
        <w:t xml:space="preserve">Vedtaket ble truffet ved behandlingen av Meld. St. 14 (2023–2024) </w:t>
      </w:r>
      <w:r w:rsidRPr="00225D4D">
        <w:rPr>
          <w:rStyle w:val="kursiv"/>
        </w:rPr>
        <w:t>Nasjonal transportplan 2025–2036</w:t>
      </w:r>
      <w:r w:rsidRPr="00225D4D">
        <w:t xml:space="preserve">, jf. </w:t>
      </w:r>
      <w:proofErr w:type="spellStart"/>
      <w:r w:rsidRPr="00225D4D">
        <w:t>Innst</w:t>
      </w:r>
      <w:proofErr w:type="spellEnd"/>
      <w:r w:rsidRPr="00225D4D">
        <w:t>. 439 S (2023–2024).</w:t>
      </w:r>
    </w:p>
    <w:p w14:paraId="5CF32A27" w14:textId="77777777" w:rsidR="00D60186" w:rsidRPr="00225D4D" w:rsidRDefault="00D60186" w:rsidP="00225D4D">
      <w:r w:rsidRPr="00225D4D">
        <w:t xml:space="preserve">Samferdselsdepartementet opplyste i </w:t>
      </w:r>
      <w:proofErr w:type="spellStart"/>
      <w:r w:rsidRPr="00225D4D">
        <w:t>Prop</w:t>
      </w:r>
      <w:proofErr w:type="spellEnd"/>
      <w:r w:rsidRPr="00225D4D">
        <w:t>. 1 S (2024–2025) at Widerøe, som drifter det store flertallet av FOT-rutene, hadde utarbeidet et forslag til styrket tilbud på enkelte FOT-ruter i Finnmark, Lofoten, Vesterålen, Helgeland og Namdalen som kunne tre kraft fra og med 31. mars 2025. Videre opplyste departementet at det hadde satt i gang et arbeid for å utrede hvordan det regionale flyrutetilbudet kan videreutvikles og optimaliseres på lengre sikt.</w:t>
      </w:r>
    </w:p>
    <w:p w14:paraId="77A513A0" w14:textId="77777777" w:rsidR="00D60186" w:rsidRPr="00225D4D" w:rsidRDefault="00D60186" w:rsidP="00225D4D">
      <w:r w:rsidRPr="00225D4D">
        <w:t>Samferdselsdepartementet mottok i september 2025 både en utredning av hvordan flyrutetilbudet kan innrettes best mulig innenfor gjeldende budsjettramme og en transportfaglig utredning til forberedelsene av en konkurranse om flyruter i Sør-Norge med kontraktsoppstart 1. november 2027. Begge utredningene er sendt på høring. Utredningene og høringsinnspillene vil utgjøre et faglig grunnlag for å evaluere krav til operatørene, bl.a. krav til tid og maksimalpriser, og vurdere ev. endringer i kommende konkurranseutlysinger.</w:t>
      </w:r>
    </w:p>
    <w:p w14:paraId="12EECBD3" w14:textId="77777777" w:rsidR="00D60186" w:rsidRPr="00225D4D" w:rsidRDefault="00D60186" w:rsidP="00225D4D">
      <w:r w:rsidRPr="00225D4D">
        <w:t>Innenfor rammen av gjeldende kontrakt med departementet har Widerøe fra 1. april 2025 forbedret tilbudet på flere ruter med erfarte kapasitetsutfordringer.</w:t>
      </w:r>
    </w:p>
    <w:p w14:paraId="6E0E2A4D" w14:textId="77777777" w:rsidR="00D60186" w:rsidRPr="00225D4D" w:rsidRDefault="00D60186" w:rsidP="00225D4D">
      <w:r w:rsidRPr="00225D4D">
        <w:t>Samferdselsdepartementet anser med dette anmodningsvedtaket som fulgt opp.</w:t>
      </w:r>
    </w:p>
    <w:p w14:paraId="3079C535" w14:textId="77777777" w:rsidR="00D60186" w:rsidRPr="00225D4D" w:rsidRDefault="00D60186" w:rsidP="00225D4D">
      <w:pPr>
        <w:pStyle w:val="avsnitt-tittel"/>
      </w:pPr>
      <w:r w:rsidRPr="00225D4D">
        <w:t xml:space="preserve">Innpasse prosjekt som det er </w:t>
      </w:r>
      <w:proofErr w:type="spellStart"/>
      <w:r w:rsidRPr="00225D4D">
        <w:t>fleirtalsvedtak</w:t>
      </w:r>
      <w:proofErr w:type="spellEnd"/>
      <w:r w:rsidRPr="00225D4D">
        <w:t xml:space="preserve"> på, i NTP-porteføljen</w:t>
      </w:r>
    </w:p>
    <w:p w14:paraId="4A8F5832" w14:textId="77777777" w:rsidR="00D60186" w:rsidRPr="00225D4D" w:rsidRDefault="00D60186" w:rsidP="00225D4D">
      <w:pPr>
        <w:pStyle w:val="avsnitt-undertittel"/>
      </w:pPr>
      <w:r w:rsidRPr="00225D4D">
        <w:t>Vedtak nr. 836, 20. juni 2024</w:t>
      </w:r>
    </w:p>
    <w:p w14:paraId="78375D1D" w14:textId="77777777" w:rsidR="00D60186" w:rsidRPr="00225D4D" w:rsidRDefault="00D60186" w:rsidP="00225D4D">
      <w:pPr>
        <w:pStyle w:val="blokksit"/>
        <w:rPr>
          <w:rStyle w:val="kursiv"/>
        </w:rPr>
      </w:pPr>
      <w:r w:rsidRPr="00225D4D">
        <w:rPr>
          <w:rStyle w:val="kursiv"/>
        </w:rPr>
        <w:t>«Stortinget ber regjeringen legge fram en sak som innpasser de prosjekter det nå er flertallsvedtak for i Stortinget i NTP-porteføljen, senest i forbindelse med RNB 2025.»</w:t>
      </w:r>
    </w:p>
    <w:p w14:paraId="7EFC1166" w14:textId="77777777" w:rsidR="00D60186" w:rsidRPr="00225D4D" w:rsidRDefault="00D60186" w:rsidP="00225D4D">
      <w:r w:rsidRPr="00225D4D">
        <w:t xml:space="preserve">Vedtaket ble truffet ved behandlingen av Meld. St. 14 (2023–2024) </w:t>
      </w:r>
      <w:r w:rsidRPr="00225D4D">
        <w:rPr>
          <w:rStyle w:val="kursiv"/>
        </w:rPr>
        <w:t>Nasjonal transportplan 2025–2036</w:t>
      </w:r>
      <w:r w:rsidRPr="00225D4D">
        <w:t xml:space="preserve">, jf. </w:t>
      </w:r>
      <w:proofErr w:type="spellStart"/>
      <w:r w:rsidRPr="00225D4D">
        <w:t>Innst</w:t>
      </w:r>
      <w:proofErr w:type="spellEnd"/>
      <w:r w:rsidRPr="00225D4D">
        <w:t>. 439 S (2023–2024).</w:t>
      </w:r>
    </w:p>
    <w:p w14:paraId="27347D9A" w14:textId="77777777" w:rsidR="00D60186" w:rsidRPr="00225D4D" w:rsidRDefault="00D60186" w:rsidP="00225D4D">
      <w:r w:rsidRPr="00225D4D">
        <w:t xml:space="preserve">I </w:t>
      </w:r>
      <w:proofErr w:type="spellStart"/>
      <w:r w:rsidRPr="00225D4D">
        <w:t>Prop</w:t>
      </w:r>
      <w:proofErr w:type="spellEnd"/>
      <w:r w:rsidRPr="00225D4D">
        <w:t xml:space="preserve">. 1 S (2024–2025) opplyste Samferdselsdepartementet at det la opp til å innpasse prosjektene som Stortinget har fattet vedtak om, innenfor en uendret økonomisk planramme for Meld. St. 14 (2023–2024) </w:t>
      </w:r>
      <w:r w:rsidRPr="00225D4D">
        <w:rPr>
          <w:rStyle w:val="kursiv"/>
        </w:rPr>
        <w:t>Nasjonal transportplan 2025–2036</w:t>
      </w:r>
      <w:r w:rsidRPr="00225D4D">
        <w:t>. Departementet anså anmodningsvedtakene 824, 827, 828, 829, 831, 832, 833, 835 og 836 som fulgt opp.</w:t>
      </w:r>
    </w:p>
    <w:p w14:paraId="23C3470D" w14:textId="77777777" w:rsidR="00D60186" w:rsidRPr="00225D4D" w:rsidRDefault="00D60186" w:rsidP="00225D4D">
      <w:r w:rsidRPr="00225D4D">
        <w:t xml:space="preserve">Ved behandlingen av Meld. St. 4 (2024–2025) </w:t>
      </w:r>
      <w:r w:rsidRPr="00225D4D">
        <w:rPr>
          <w:rStyle w:val="kursiv"/>
        </w:rPr>
        <w:t>Anmodnings- og utredningsvedtak i stortingssesjonen 2023–2024</w:t>
      </w:r>
      <w:r w:rsidRPr="00225D4D">
        <w:t xml:space="preserve">, jf. </w:t>
      </w:r>
      <w:proofErr w:type="spellStart"/>
      <w:r w:rsidRPr="00225D4D">
        <w:t>Innst</w:t>
      </w:r>
      <w:proofErr w:type="spellEnd"/>
      <w:r w:rsidRPr="00225D4D">
        <w:t>. 216 S (2024–2025), uttalte et flertall i kontroll- og konstitusjonskomiteen:</w:t>
      </w:r>
    </w:p>
    <w:p w14:paraId="158989DA" w14:textId="77777777" w:rsidR="00D60186" w:rsidRPr="00225D4D" w:rsidRDefault="00D60186" w:rsidP="00225D4D">
      <w:pPr>
        <w:pStyle w:val="blokksit"/>
      </w:pPr>
      <w:r w:rsidRPr="00225D4D">
        <w:t>«</w:t>
      </w:r>
      <w:r w:rsidRPr="00225D4D">
        <w:rPr>
          <w:rStyle w:val="sperret0"/>
        </w:rPr>
        <w:t>Komiteens flertall, medlemmene fra Høyre, Fremskrittspartiet, Sosialistisk Venstreparti, Venstre og Rødt</w:t>
      </w:r>
      <w:r w:rsidRPr="00225D4D">
        <w:t xml:space="preserve">, viser til at Samferdselsdepartementet i </w:t>
      </w:r>
      <w:proofErr w:type="spellStart"/>
      <w:r w:rsidRPr="00225D4D">
        <w:t>Prop</w:t>
      </w:r>
      <w:proofErr w:type="spellEnd"/>
      <w:r w:rsidRPr="00225D4D">
        <w:t>. 1 S (2024–2025) skriver at de «legger opp til å innpasse prosjektene som Stortinget har fattet vedtak om, innenfor en uendret økonomisk planramme for Meld. St. 14 (2023–2024) Nasjonal transportplan 2025–2026». Det går ikke frem hvordan dette konkret skal gjøres.</w:t>
      </w:r>
    </w:p>
    <w:p w14:paraId="587A38A6" w14:textId="77777777" w:rsidR="00D60186" w:rsidRPr="00225D4D" w:rsidRDefault="00D60186" w:rsidP="00225D4D">
      <w:pPr>
        <w:pStyle w:val="blokksit"/>
      </w:pPr>
      <w:r w:rsidRPr="00225D4D">
        <w:rPr>
          <w:rStyle w:val="sperret0"/>
        </w:rPr>
        <w:t>Flertallet</w:t>
      </w:r>
      <w:r w:rsidRPr="00225D4D">
        <w:t xml:space="preserve"> vil vise til at vedtak 836 spesifiserer at regjeringen skal legge frem en sak for Stortinget som viser hvordan prosjektene innpasses, og mener rapporteringen i </w:t>
      </w:r>
      <w:proofErr w:type="spellStart"/>
      <w:r w:rsidRPr="00225D4D">
        <w:t>Prop</w:t>
      </w:r>
      <w:proofErr w:type="spellEnd"/>
      <w:r w:rsidRPr="00225D4D">
        <w:t xml:space="preserve">. 1 S (2024–2025) ikke er tilstrekkelig. </w:t>
      </w:r>
      <w:r w:rsidRPr="00225D4D">
        <w:rPr>
          <w:rStyle w:val="sperret0"/>
        </w:rPr>
        <w:t>Flertallet</w:t>
      </w:r>
      <w:r w:rsidRPr="00225D4D">
        <w:t xml:space="preserve"> er derfor uenige i at anmodningsvedtaket skal oppheves.»</w:t>
      </w:r>
    </w:p>
    <w:p w14:paraId="63DC2AF1" w14:textId="77777777" w:rsidR="00D60186" w:rsidRPr="00225D4D" w:rsidRDefault="00D60186" w:rsidP="00225D4D">
      <w:r w:rsidRPr="00225D4D">
        <w:t>Samferdselsdepartementet presiserer at det ikke foreslo å oppheve anmodningsvedtak nr. 836.</w:t>
      </w:r>
    </w:p>
    <w:p w14:paraId="10685C4F" w14:textId="77777777" w:rsidR="00D60186" w:rsidRPr="00225D4D" w:rsidRDefault="00D60186" w:rsidP="00225D4D">
      <w:r w:rsidRPr="00225D4D">
        <w:t xml:space="preserve">Transportpolitikken som regjeringen la frem i Meld. St. 14 (2023–2024) </w:t>
      </w:r>
      <w:r w:rsidRPr="00225D4D">
        <w:rPr>
          <w:rStyle w:val="kursiv"/>
        </w:rPr>
        <w:t>Nasjonal transportplan 2025–2036</w:t>
      </w:r>
      <w:r w:rsidRPr="00225D4D">
        <w:t xml:space="preserve"> er utformet innenfor rammen av nasjonale klima- og miljømål, en endret sikkerhetspolitisk situasjon og et forventet redusert økonomisk handlingsrom i årene fremover.</w:t>
      </w:r>
    </w:p>
    <w:p w14:paraId="0EAA06BD" w14:textId="77777777" w:rsidR="00D60186" w:rsidRPr="00225D4D" w:rsidRDefault="00D60186" w:rsidP="00225D4D">
      <w:r w:rsidRPr="00225D4D">
        <w:t xml:space="preserve">Hovedstrategien i meldingen om å ta vare på det vi har, utbedre der vi kan og bygge nytt der vi må fikk bred støtte under stortingsbehandlingen, jf. </w:t>
      </w:r>
      <w:proofErr w:type="spellStart"/>
      <w:r w:rsidRPr="00225D4D">
        <w:t>Innst</w:t>
      </w:r>
      <w:proofErr w:type="spellEnd"/>
      <w:r w:rsidRPr="00225D4D">
        <w:t>. 439 S (2023–2024). I statsbudsjettet for 2025 prioriterte regjeringen en tydelig satsing på vedlikehold og fornying i tråd med strategien for transportplanen. I budsjettforslaget for 2026 prioriteres også drift og vedlikehold.</w:t>
      </w:r>
    </w:p>
    <w:p w14:paraId="2BD13171" w14:textId="77777777" w:rsidR="00D60186" w:rsidRPr="00225D4D" w:rsidRDefault="00D60186" w:rsidP="00225D4D">
      <w:r w:rsidRPr="00225D4D">
        <w:t xml:space="preserve">Samferdselsdepartementet har lagt til grunn at innpassingen av prosjektene i porteføljene til Statens vegvesen og Jernbanedirektoratet skal skje innenfor en uendret økonomisk planramme for Nasjonal transportplan 2025–2036. Det er mulig å gjennomføre prosjektene som stortingsflertallet ba om, dersom Stortinget i de årlige budsjettene bevilger midler til en </w:t>
      </w:r>
      <w:proofErr w:type="spellStart"/>
      <w:r w:rsidRPr="00225D4D">
        <w:t>overoppfylling</w:t>
      </w:r>
      <w:proofErr w:type="spellEnd"/>
      <w:r w:rsidRPr="00225D4D">
        <w:t xml:space="preserve"> av transportplanens økonomiske rammer. Alternativt må tidshorisonten for å fullføre virksomhetenes porteføljer utvides.</w:t>
      </w:r>
    </w:p>
    <w:p w14:paraId="1362790C" w14:textId="77777777" w:rsidR="00D60186" w:rsidRPr="00225D4D" w:rsidRDefault="00D60186" w:rsidP="00225D4D">
      <w:r w:rsidRPr="00225D4D">
        <w:t xml:space="preserve">Innpassingen av prosjekter i porteføljene er nærmere omtalt i </w:t>
      </w:r>
      <w:proofErr w:type="spellStart"/>
      <w:r w:rsidRPr="00225D4D">
        <w:t>Prop</w:t>
      </w:r>
      <w:proofErr w:type="spellEnd"/>
      <w:r w:rsidRPr="00225D4D">
        <w:t>. 1 S (2024–2025) for Samferdselsdepartementet. Under følger en oppdatert omtale av prosjektene, jf. anmodningsvedtakene 824, 827, 828, 829, 831, 832, 833 og 835.</w:t>
      </w:r>
    </w:p>
    <w:p w14:paraId="43CA6F4A" w14:textId="77777777" w:rsidR="00D60186" w:rsidRPr="00225D4D" w:rsidRDefault="00D60186" w:rsidP="00225D4D">
      <w:pPr>
        <w:pStyle w:val="Liste"/>
        <w:rPr>
          <w:rStyle w:val="kursiv"/>
        </w:rPr>
      </w:pPr>
      <w:r w:rsidRPr="00225D4D">
        <w:rPr>
          <w:rStyle w:val="kursiv"/>
        </w:rPr>
        <w:t xml:space="preserve">Utbygging av E10 </w:t>
      </w:r>
      <w:proofErr w:type="spellStart"/>
      <w:r w:rsidRPr="00225D4D">
        <w:rPr>
          <w:rStyle w:val="kursiv"/>
        </w:rPr>
        <w:t>Nappstraumen</w:t>
      </w:r>
      <w:proofErr w:type="spellEnd"/>
      <w:r w:rsidRPr="00225D4D">
        <w:rPr>
          <w:rStyle w:val="kursiv"/>
        </w:rPr>
        <w:t>–Å</w:t>
      </w:r>
    </w:p>
    <w:p w14:paraId="481C50FC" w14:textId="77777777" w:rsidR="00D60186" w:rsidRPr="00225D4D" w:rsidRDefault="00D60186" w:rsidP="00225D4D">
      <w:pPr>
        <w:pStyle w:val="Listeavsnitt"/>
      </w:pPr>
      <w:r w:rsidRPr="00225D4D">
        <w:t>Det pågår arbeid med reguleringsplan på strekningen. I Statens vegvesens planportefølje fra mai 2025 er prosjektet prioritert som nummer 8.</w:t>
      </w:r>
    </w:p>
    <w:p w14:paraId="015BAAFE" w14:textId="77777777" w:rsidR="00D60186" w:rsidRPr="00225D4D" w:rsidRDefault="00D60186" w:rsidP="00225D4D">
      <w:pPr>
        <w:pStyle w:val="Liste"/>
        <w:rPr>
          <w:rStyle w:val="kursiv"/>
        </w:rPr>
      </w:pPr>
      <w:r w:rsidRPr="00225D4D">
        <w:rPr>
          <w:rStyle w:val="kursiv"/>
        </w:rPr>
        <w:t>Rv. 15 Strynefjellet, inkl. arm til Geiranger</w:t>
      </w:r>
    </w:p>
    <w:p w14:paraId="34BB84C7" w14:textId="77777777" w:rsidR="00D60186" w:rsidRPr="00225D4D" w:rsidRDefault="00D60186" w:rsidP="00225D4D">
      <w:pPr>
        <w:pStyle w:val="Listeavsnitt"/>
      </w:pPr>
      <w:r w:rsidRPr="00225D4D">
        <w:t>Statens vegvesen forbereder for oppstart av arbeidet med kommunedelplan for massedeponi og reguleringsplan for prosjektet i 2025. Prosjektet er prioritert som nummer 11 i Statens vegvesens planportefølje.</w:t>
      </w:r>
    </w:p>
    <w:p w14:paraId="18E18A1B" w14:textId="77777777" w:rsidR="00D60186" w:rsidRPr="00225D4D" w:rsidRDefault="00D60186" w:rsidP="00225D4D">
      <w:pPr>
        <w:pStyle w:val="Liste"/>
        <w:rPr>
          <w:rStyle w:val="kursiv"/>
        </w:rPr>
      </w:pPr>
      <w:r w:rsidRPr="00225D4D">
        <w:rPr>
          <w:rStyle w:val="kursiv"/>
        </w:rPr>
        <w:t>Oppstart av rv. 19 Moss i planperioden</w:t>
      </w:r>
    </w:p>
    <w:p w14:paraId="1F7BFB8D" w14:textId="77777777" w:rsidR="00D60186" w:rsidRPr="00225D4D" w:rsidRDefault="00D60186" w:rsidP="00225D4D">
      <w:pPr>
        <w:pStyle w:val="Listeavsnitt"/>
      </w:pPr>
      <w:r w:rsidRPr="00225D4D">
        <w:t>Det pågår arbeid med kommunedelplan. Prosjektet er prioritert som nummer 29 i Statens vegvesens planportefølje.</w:t>
      </w:r>
    </w:p>
    <w:p w14:paraId="726E01DC" w14:textId="77777777" w:rsidR="00D60186" w:rsidRPr="00225D4D" w:rsidRDefault="00D60186" w:rsidP="00225D4D">
      <w:pPr>
        <w:pStyle w:val="Liste"/>
        <w:rPr>
          <w:rStyle w:val="kursiv"/>
        </w:rPr>
      </w:pPr>
      <w:r w:rsidRPr="00225D4D">
        <w:rPr>
          <w:rStyle w:val="kursiv"/>
        </w:rPr>
        <w:t>Videreføre Ringeriksbanen og ny E16 Skaret–Hønefoss (FRE16) som et fellesprosjekt</w:t>
      </w:r>
    </w:p>
    <w:p w14:paraId="014A4EDF" w14:textId="77777777" w:rsidR="00D60186" w:rsidRPr="00225D4D" w:rsidRDefault="00D60186" w:rsidP="00225D4D">
      <w:pPr>
        <w:pStyle w:val="Listeavsnitt"/>
      </w:pPr>
      <w:r w:rsidRPr="00225D4D">
        <w:t>Fellesprosjektet Ringeriksbanen og ny E16 er en del av porteføljen i Nasjonal transportplan. En ev. oppstart av prosjektet avhenger av bevilgninger i de årlige statsbudsjettene. I påvente av oppstartbevilgning ivaretar Nye Veier statens forpliktelser som følger av vedtatt reguleringsplan.</w:t>
      </w:r>
    </w:p>
    <w:p w14:paraId="1AC07923" w14:textId="77777777" w:rsidR="00D60186" w:rsidRPr="00225D4D" w:rsidRDefault="00D60186" w:rsidP="00225D4D">
      <w:pPr>
        <w:pStyle w:val="Liste"/>
        <w:rPr>
          <w:rStyle w:val="kursiv"/>
        </w:rPr>
      </w:pPr>
      <w:r w:rsidRPr="00225D4D">
        <w:rPr>
          <w:rStyle w:val="kursiv"/>
        </w:rPr>
        <w:t>Øke kapasiteten på Trønderbanen</w:t>
      </w:r>
    </w:p>
    <w:p w14:paraId="64F3E910" w14:textId="77777777" w:rsidR="00D60186" w:rsidRPr="00225D4D" w:rsidRDefault="00D60186" w:rsidP="00225D4D">
      <w:pPr>
        <w:pStyle w:val="Listeavsnitt"/>
      </w:pPr>
      <w:r w:rsidRPr="00225D4D">
        <w:t>Det anslås å bruke om lag 770 mill. kr i 2026 til å bygge ut infrastrukturen på Trønderbanen, mellom Støren på Dovrebanen og Steinkjer på Nordlandsbanen. I videre planlegging skal Bane NOR sørge for at en ytterligere tilbudsforbedring med to tog i timen til Steinkjer i grunnrute kan komme raskest mulig på plass.</w:t>
      </w:r>
    </w:p>
    <w:p w14:paraId="7C40FCBD" w14:textId="77777777" w:rsidR="00D60186" w:rsidRPr="00225D4D" w:rsidRDefault="00D60186" w:rsidP="00225D4D">
      <w:pPr>
        <w:pStyle w:val="Liste"/>
        <w:rPr>
          <w:rStyle w:val="kursiv"/>
        </w:rPr>
      </w:pPr>
      <w:r w:rsidRPr="00225D4D">
        <w:rPr>
          <w:rStyle w:val="kursiv"/>
        </w:rPr>
        <w:t>Dobbeltspor Stokke–Torp–Sandefjord på Vestfoldbanen</w:t>
      </w:r>
    </w:p>
    <w:p w14:paraId="642CD2CC" w14:textId="77777777" w:rsidR="00D60186" w:rsidRPr="00225D4D" w:rsidRDefault="00D60186" w:rsidP="00225D4D">
      <w:pPr>
        <w:pStyle w:val="Listeavsnitt"/>
      </w:pPr>
      <w:r w:rsidRPr="00225D4D">
        <w:t>I statsbudsjettet for 2025 er det satt av 30 mill. kr til videre planlegging, inkludert dobbeltsporparsellen mellom Stokke og Sandefjord.</w:t>
      </w:r>
    </w:p>
    <w:p w14:paraId="269FCAEE" w14:textId="77777777" w:rsidR="00D60186" w:rsidRPr="00225D4D" w:rsidRDefault="00D60186" w:rsidP="00225D4D">
      <w:pPr>
        <w:pStyle w:val="Liste"/>
        <w:rPr>
          <w:rStyle w:val="kursiv"/>
        </w:rPr>
      </w:pPr>
      <w:r w:rsidRPr="00225D4D">
        <w:rPr>
          <w:rStyle w:val="kursiv"/>
        </w:rPr>
        <w:t>Øke kapasiteten på Ofotbanen</w:t>
      </w:r>
    </w:p>
    <w:p w14:paraId="5B38D8BD" w14:textId="77777777" w:rsidR="00D60186" w:rsidRPr="00225D4D" w:rsidRDefault="00D60186" w:rsidP="00225D4D">
      <w:pPr>
        <w:pStyle w:val="Listeavsnitt"/>
      </w:pPr>
      <w:r w:rsidRPr="00225D4D">
        <w:t xml:space="preserve">Viktige tiltak for å øke transportkapasiteten på Ofotbanen er å bygge nye kryssingsspor som Søsterbekk, </w:t>
      </w:r>
      <w:proofErr w:type="spellStart"/>
      <w:r w:rsidRPr="00225D4D">
        <w:t>Horisontalen</w:t>
      </w:r>
      <w:proofErr w:type="spellEnd"/>
      <w:r w:rsidRPr="00225D4D">
        <w:t xml:space="preserve"> og Katterat, og tiltak for å øke aksellasten fra 31 til 32,5 tonn. Planlegging av tiltakene pågår. Pågående arbeid på Narvik stasjon planlegges å være ferdig i 2026. Med dette vil alle eksisterende kryssingsspor på Ofotbanen være lange nok til 750 meter lange malmtog og godstog på inntil 740 meter.</w:t>
      </w:r>
    </w:p>
    <w:p w14:paraId="2EDFA10E" w14:textId="77777777" w:rsidR="00D60186" w:rsidRPr="00225D4D" w:rsidRDefault="00D60186" w:rsidP="00225D4D">
      <w:pPr>
        <w:pStyle w:val="Liste"/>
        <w:rPr>
          <w:rStyle w:val="kursiv"/>
        </w:rPr>
      </w:pPr>
      <w:r w:rsidRPr="00225D4D">
        <w:rPr>
          <w:rStyle w:val="kursiv"/>
        </w:rPr>
        <w:t>Det statlige bidraget til Majorstuen stasjon</w:t>
      </w:r>
    </w:p>
    <w:p w14:paraId="54325A1F" w14:textId="77777777" w:rsidR="00D60186" w:rsidRPr="00225D4D" w:rsidRDefault="00D60186" w:rsidP="00225D4D">
      <w:pPr>
        <w:pStyle w:val="Listeavsnitt"/>
      </w:pPr>
      <w:r w:rsidRPr="00225D4D">
        <w:t>Innenfor en uendret økonomisk planramme er det omprioritert 500 mill. kr til tilskudd til Majorstuen stasjon i første seksårsperiode av Nasjonal transportplan.</w:t>
      </w:r>
    </w:p>
    <w:p w14:paraId="2AB82E68" w14:textId="77777777" w:rsidR="00D60186" w:rsidRPr="00225D4D" w:rsidRDefault="00D60186" w:rsidP="00225D4D">
      <w:r w:rsidRPr="00225D4D">
        <w:t>Samferdselsdepartementet anser med dette anmodningsvedtaket samt anmodningsvedtakene 824, 827, 828, 829, 831, 832, 833 og 835 som fulgt opp.</w:t>
      </w:r>
    </w:p>
    <w:p w14:paraId="76D908C5" w14:textId="77777777" w:rsidR="00D60186" w:rsidRPr="00225D4D" w:rsidRDefault="00D60186" w:rsidP="00225D4D">
      <w:pPr>
        <w:pStyle w:val="avsnitt-tittel"/>
      </w:pPr>
      <w:r w:rsidRPr="00225D4D">
        <w:t xml:space="preserve">Direkte nattog </w:t>
      </w:r>
      <w:proofErr w:type="spellStart"/>
      <w:r w:rsidRPr="00225D4D">
        <w:t>frå</w:t>
      </w:r>
      <w:proofErr w:type="spellEnd"/>
      <w:r w:rsidRPr="00225D4D">
        <w:t xml:space="preserve"> Oslo til København og/eller Hamburg</w:t>
      </w:r>
    </w:p>
    <w:p w14:paraId="7F326838" w14:textId="77777777" w:rsidR="00D60186" w:rsidRPr="00225D4D" w:rsidRDefault="00D60186" w:rsidP="00225D4D">
      <w:pPr>
        <w:pStyle w:val="avsnitt-undertittel"/>
      </w:pPr>
      <w:r w:rsidRPr="00225D4D">
        <w:t>Vedtak nr. 917, 21. juni 2024</w:t>
      </w:r>
    </w:p>
    <w:p w14:paraId="4BD539E2" w14:textId="77777777" w:rsidR="00D60186" w:rsidRPr="00225D4D" w:rsidRDefault="00D60186" w:rsidP="00225D4D">
      <w:pPr>
        <w:pStyle w:val="blokksit"/>
        <w:rPr>
          <w:rStyle w:val="kursiv"/>
        </w:rPr>
      </w:pPr>
      <w:r w:rsidRPr="00225D4D">
        <w:rPr>
          <w:rStyle w:val="kursiv"/>
        </w:rPr>
        <w:t>«Stortinget ber regjeringen legge til grunn trafikkstart senest innen 2030 for direkte nattog fra Oslo til København og/eller Hamburg, og gå i dialog med nødvendige myndigheter og operatører i løpet av 2024.»</w:t>
      </w:r>
    </w:p>
    <w:p w14:paraId="4E1A7196" w14:textId="77777777" w:rsidR="00D60186" w:rsidRPr="00225D4D" w:rsidRDefault="00D60186" w:rsidP="00225D4D">
      <w:r w:rsidRPr="00225D4D">
        <w:t xml:space="preserve">Vedtaket ble truffet ved behandlingen av Meld. St. 2 (2023–2024) </w:t>
      </w:r>
      <w:r w:rsidRPr="00225D4D">
        <w:rPr>
          <w:rStyle w:val="kursiv"/>
        </w:rPr>
        <w:t>Revidert nasjonalbudsjett 2024</w:t>
      </w:r>
      <w:r w:rsidRPr="00225D4D">
        <w:t xml:space="preserve">, jf. </w:t>
      </w:r>
      <w:proofErr w:type="spellStart"/>
      <w:r w:rsidRPr="00225D4D">
        <w:t>Innst</w:t>
      </w:r>
      <w:proofErr w:type="spellEnd"/>
      <w:r w:rsidRPr="00225D4D">
        <w:t>. 447 S (2023–2024).</w:t>
      </w:r>
    </w:p>
    <w:p w14:paraId="67846334" w14:textId="77777777" w:rsidR="00D60186" w:rsidRPr="00225D4D" w:rsidRDefault="00D60186" w:rsidP="00225D4D">
      <w:r w:rsidRPr="00225D4D">
        <w:t xml:space="preserve">I </w:t>
      </w:r>
      <w:proofErr w:type="spellStart"/>
      <w:r w:rsidRPr="00225D4D">
        <w:t>Prop</w:t>
      </w:r>
      <w:proofErr w:type="spellEnd"/>
      <w:r w:rsidRPr="00225D4D">
        <w:t>. 1 S (2024–2025) opplyste Samferdselsdepartementet at Jernbanedirektoratet hadde fått i oppdrag å se på muligheten for å starte opp direkte nattog fra Oslo til København og/eller Hamburg med trafikkstart senest i 2030 og oppdatere anslag for tilskuddsbehovet.</w:t>
      </w:r>
    </w:p>
    <w:p w14:paraId="5CDEA851" w14:textId="77777777" w:rsidR="00D60186" w:rsidRPr="00225D4D" w:rsidRDefault="00D60186" w:rsidP="00225D4D">
      <w:r w:rsidRPr="00225D4D">
        <w:t>Jernbanedirektoratet gjennomførte en markedsundersøkelse (</w:t>
      </w:r>
      <w:proofErr w:type="spellStart"/>
      <w:r w:rsidRPr="00225D4D">
        <w:rPr>
          <w:rStyle w:val="kursiv"/>
        </w:rPr>
        <w:t>Request</w:t>
      </w:r>
      <w:proofErr w:type="spellEnd"/>
      <w:r w:rsidRPr="00225D4D">
        <w:rPr>
          <w:rStyle w:val="kursiv"/>
        </w:rPr>
        <w:t xml:space="preserve"> for Information</w:t>
      </w:r>
      <w:r w:rsidRPr="00225D4D">
        <w:t xml:space="preserve">, RFI) i desember 2024 og hadde oppfølgingsmøter med de togoperatørene som svarte. Tilbakemeldingene fra disse var at tjenesten ikke kan drives på kommersiell basis, og at det er nødvendig med et offentlig kjøp for å sikre finansiering og tilgang til infrastrukturkapasitet på norsk strekning. I sluttfasen av dialogen med togoperatørene meldte det svenske togselskapet </w:t>
      </w:r>
      <w:proofErr w:type="spellStart"/>
      <w:r w:rsidRPr="00225D4D">
        <w:t>Snälltåget</w:t>
      </w:r>
      <w:proofErr w:type="spellEnd"/>
      <w:r w:rsidRPr="00225D4D">
        <w:t xml:space="preserve"> til Statens jernbanetilsyn at selskapet ser på å etablere et kommersielt nattogtilbud Oslo–København. I tillegg meldte SJ AB i juni 2025 inn en tjeneste til Statens jernbanetilsyn om å kjøre kommersielt nattog Oslo–København med oppstart i desember 2026 (R27). Innmeldte tjenester tilsier at det fins interesse for å kjøre kommersielle nattog Oslo–København/Hamburg som kan komme tidligere på plass enn innen 2030. Jernbanedirektoratet vil gå i dialog med begge aktører, og bl.a. vurdere om tjenestene dekker statens forventninger til f.eks. rutetider, servicetilbud og kontinuitet i togtilbudet.</w:t>
      </w:r>
    </w:p>
    <w:p w14:paraId="64EC10E0" w14:textId="77777777" w:rsidR="00D60186" w:rsidRPr="00225D4D" w:rsidRDefault="00D60186" w:rsidP="00225D4D">
      <w:r w:rsidRPr="00225D4D">
        <w:t>Samferdselsdepartementet anser med dette anmodningsvedtaket som fulgt opp.</w:t>
      </w:r>
    </w:p>
    <w:p w14:paraId="4F505F54" w14:textId="77777777" w:rsidR="00D60186" w:rsidRPr="00225D4D" w:rsidRDefault="00D60186" w:rsidP="00225D4D">
      <w:pPr>
        <w:pStyle w:val="avsnitt-tittel"/>
      </w:pPr>
      <w:r w:rsidRPr="00225D4D">
        <w:t xml:space="preserve">Ev. </w:t>
      </w:r>
      <w:proofErr w:type="spellStart"/>
      <w:r w:rsidRPr="00225D4D">
        <w:t>tilskotsordning</w:t>
      </w:r>
      <w:proofErr w:type="spellEnd"/>
      <w:r w:rsidRPr="00225D4D">
        <w:t xml:space="preserve"> til </w:t>
      </w:r>
      <w:proofErr w:type="spellStart"/>
      <w:r w:rsidRPr="00225D4D">
        <w:t>langdistansebussar</w:t>
      </w:r>
      <w:proofErr w:type="spellEnd"/>
      <w:r w:rsidRPr="00225D4D">
        <w:t xml:space="preserve"> på </w:t>
      </w:r>
      <w:proofErr w:type="spellStart"/>
      <w:r w:rsidRPr="00225D4D">
        <w:t>strekningar</w:t>
      </w:r>
      <w:proofErr w:type="spellEnd"/>
      <w:r w:rsidRPr="00225D4D">
        <w:t xml:space="preserve"> </w:t>
      </w:r>
      <w:proofErr w:type="spellStart"/>
      <w:r w:rsidRPr="00225D4D">
        <w:t>utan</w:t>
      </w:r>
      <w:proofErr w:type="spellEnd"/>
      <w:r w:rsidRPr="00225D4D">
        <w:t xml:space="preserve"> tog og </w:t>
      </w:r>
      <w:proofErr w:type="spellStart"/>
      <w:r w:rsidRPr="00225D4D">
        <w:t>tilsvarande</w:t>
      </w:r>
      <w:proofErr w:type="spellEnd"/>
      <w:r w:rsidRPr="00225D4D">
        <w:t xml:space="preserve"> kommersielle </w:t>
      </w:r>
      <w:proofErr w:type="spellStart"/>
      <w:r w:rsidRPr="00225D4D">
        <w:t>tilbod</w:t>
      </w:r>
      <w:proofErr w:type="spellEnd"/>
    </w:p>
    <w:p w14:paraId="59660051" w14:textId="77777777" w:rsidR="00D60186" w:rsidRPr="00225D4D" w:rsidRDefault="00D60186" w:rsidP="00225D4D">
      <w:pPr>
        <w:pStyle w:val="avsnitt-undertittel"/>
      </w:pPr>
      <w:r w:rsidRPr="00225D4D">
        <w:t>Vedtak nr. 918, 21. juni 2024</w:t>
      </w:r>
    </w:p>
    <w:p w14:paraId="3927055C" w14:textId="77777777" w:rsidR="00D60186" w:rsidRPr="00225D4D" w:rsidRDefault="00D60186" w:rsidP="00225D4D">
      <w:pPr>
        <w:pStyle w:val="blokksit"/>
        <w:rPr>
          <w:rStyle w:val="kursiv"/>
        </w:rPr>
      </w:pPr>
      <w:r w:rsidRPr="00225D4D">
        <w:rPr>
          <w:rStyle w:val="kursiv"/>
        </w:rPr>
        <w:t>«Stortinget ber regjeringen i forbindelse med statsbudsjettet for 2025 gi en vurdering av en eventuell tilskuddsordning til langdistansebusser på strekninger uten tog og tilsvarende kommersielle tilbud.»</w:t>
      </w:r>
    </w:p>
    <w:p w14:paraId="29055D69" w14:textId="77777777" w:rsidR="00D60186" w:rsidRPr="00225D4D" w:rsidRDefault="00D60186" w:rsidP="00225D4D">
      <w:r w:rsidRPr="00225D4D">
        <w:t xml:space="preserve">Vedtaket ble truffet ved behandlingen av Meld. St. 2 (2023–2024) </w:t>
      </w:r>
      <w:r w:rsidRPr="00225D4D">
        <w:rPr>
          <w:rStyle w:val="kursiv"/>
        </w:rPr>
        <w:t>Revidert nasjonalbudsjett 2024</w:t>
      </w:r>
      <w:r w:rsidRPr="00225D4D">
        <w:t xml:space="preserve">, jf. </w:t>
      </w:r>
      <w:proofErr w:type="spellStart"/>
      <w:r w:rsidRPr="00225D4D">
        <w:t>Innst</w:t>
      </w:r>
      <w:proofErr w:type="spellEnd"/>
      <w:r w:rsidRPr="00225D4D">
        <w:t>. 447 S (2023–2024).</w:t>
      </w:r>
    </w:p>
    <w:p w14:paraId="4DDD4775" w14:textId="77777777" w:rsidR="00D60186" w:rsidRPr="00225D4D" w:rsidRDefault="00D60186" w:rsidP="00225D4D">
      <w:r w:rsidRPr="00225D4D">
        <w:t xml:space="preserve">I </w:t>
      </w:r>
      <w:proofErr w:type="spellStart"/>
      <w:r w:rsidRPr="00225D4D">
        <w:t>Prop</w:t>
      </w:r>
      <w:proofErr w:type="spellEnd"/>
      <w:r w:rsidRPr="00225D4D">
        <w:t>. 1 S (2024–2025) opplyste Samferdselsdepartementet at kollektivtransporten som hovedregel finansieres gjennom rammetilskuddet til fylkeskommunene, men at departementet ville foreta en nærmere vurdering av å innføre en ev. tilskuddsordning.</w:t>
      </w:r>
    </w:p>
    <w:p w14:paraId="3D0B23D4" w14:textId="77777777" w:rsidR="00D60186" w:rsidRPr="00225D4D" w:rsidRDefault="00D60186" w:rsidP="00225D4D">
      <w:r w:rsidRPr="00225D4D">
        <w:t xml:space="preserve">Ved behandlingen av Meld. St. 4 (2024–2025) </w:t>
      </w:r>
      <w:r w:rsidRPr="00225D4D">
        <w:rPr>
          <w:rStyle w:val="kursiv"/>
        </w:rPr>
        <w:t>Anmodnings- og utredningsvedtak i stortingssesjonen 2023–2024</w:t>
      </w:r>
      <w:r w:rsidRPr="00225D4D">
        <w:t xml:space="preserve">, jf. </w:t>
      </w:r>
      <w:proofErr w:type="spellStart"/>
      <w:r w:rsidRPr="00225D4D">
        <w:t>Innst</w:t>
      </w:r>
      <w:proofErr w:type="spellEnd"/>
      <w:r w:rsidRPr="00225D4D">
        <w:t>. 216 S (2024–2025), uttalte et flertall i kontroll- og konstitusjonskomiteen:</w:t>
      </w:r>
    </w:p>
    <w:p w14:paraId="6F6A4B10" w14:textId="77777777" w:rsidR="00D60186" w:rsidRPr="00225D4D" w:rsidRDefault="00D60186" w:rsidP="00225D4D">
      <w:pPr>
        <w:pStyle w:val="blokksit"/>
      </w:pPr>
      <w:r w:rsidRPr="00225D4D">
        <w:t>«</w:t>
      </w:r>
      <w:r w:rsidRPr="00225D4D">
        <w:rPr>
          <w:rStyle w:val="sperret0"/>
        </w:rPr>
        <w:t>Komiteens flertall, medlemmene fra Arbeiderpartiet, Senterpartiet, Fremskrittspartiet, Sosialistisk Venstreparti, Rødt og Venstre</w:t>
      </w:r>
      <w:r w:rsidRPr="00225D4D">
        <w:t xml:space="preserve">, viser til omtalen av vedtaket i Meld. St. 4 (2024–2025) og til at regjeringen ikke har gitt en fullstendig vurdering av en eventuell tilskuddsordning for langdistansebusser på strekninger uten tog og tilsvarende kommersielle tilbud i statsbudsjettet, slik anmodningsvedtaket forutsatte. </w:t>
      </w:r>
      <w:r w:rsidRPr="00225D4D">
        <w:rPr>
          <w:rStyle w:val="sperret0"/>
        </w:rPr>
        <w:t>Flertallet</w:t>
      </w:r>
      <w:r w:rsidRPr="00225D4D">
        <w:t xml:space="preserve"> vil derfor ikke avslutte rapporteringen og ber om at regjeringen ferdigstiller sin vurdering innen revidert nasjonalbudsjett 2025.»</w:t>
      </w:r>
    </w:p>
    <w:p w14:paraId="5BCE96DA" w14:textId="77777777" w:rsidR="00D60186" w:rsidRPr="00225D4D" w:rsidRDefault="00D60186" w:rsidP="00225D4D">
      <w:r w:rsidRPr="00225D4D">
        <w:t xml:space="preserve">I </w:t>
      </w:r>
      <w:proofErr w:type="spellStart"/>
      <w:r w:rsidRPr="00225D4D">
        <w:t>Prop</w:t>
      </w:r>
      <w:proofErr w:type="spellEnd"/>
      <w:r w:rsidRPr="00225D4D">
        <w:t xml:space="preserve">. 146 S (2024–2025) </w:t>
      </w:r>
      <w:r w:rsidRPr="00225D4D">
        <w:rPr>
          <w:rStyle w:val="kursiv"/>
        </w:rPr>
        <w:t>Tilleggsbevilgninger og omprioriteringer i statsbudsjettet 2025</w:t>
      </w:r>
      <w:r w:rsidRPr="00225D4D">
        <w:t xml:space="preserve"> ble det opplyst at Jernbanedirektoratet, i samråd med Statens vegvesen, hadde fått i oppdrag å utrede en mulig tilskuddsordning for langdistansebusser uten togtilbud eller tilsvarende kommersielle alternativ, og at rapporten skal leveres i oktober 2025. I </w:t>
      </w:r>
      <w:proofErr w:type="spellStart"/>
      <w:r w:rsidRPr="00225D4D">
        <w:t>Innst</w:t>
      </w:r>
      <w:proofErr w:type="spellEnd"/>
      <w:r w:rsidRPr="00225D4D">
        <w:t>. 540 S (2024–2025) går det fram at finanskomiteen tok de respektive anmodningsvedtakene til orientering.</w:t>
      </w:r>
    </w:p>
    <w:p w14:paraId="1F7E14B8" w14:textId="77777777" w:rsidR="00D60186" w:rsidRPr="00225D4D" w:rsidRDefault="00D60186" w:rsidP="00225D4D">
      <w:r w:rsidRPr="00225D4D">
        <w:t>Når rapporten foreligger, vil Samferdselsdepartementet vurdere videre oppfølging og komme tilbake til saken på egnet måte.</w:t>
      </w:r>
    </w:p>
    <w:p w14:paraId="42EDA36C" w14:textId="77777777" w:rsidR="00D60186" w:rsidRPr="00225D4D" w:rsidRDefault="00D60186" w:rsidP="00225D4D">
      <w:pPr>
        <w:pStyle w:val="avsnitt-tittel"/>
      </w:pPr>
      <w:r w:rsidRPr="00225D4D">
        <w:t>Arbeidet med trikk til Bjerke/Tonsenhagen</w:t>
      </w:r>
    </w:p>
    <w:p w14:paraId="31A33223" w14:textId="77777777" w:rsidR="00D60186" w:rsidRPr="00225D4D" w:rsidRDefault="00D60186" w:rsidP="00225D4D">
      <w:pPr>
        <w:pStyle w:val="avsnitt-undertittel"/>
      </w:pPr>
      <w:r w:rsidRPr="00225D4D">
        <w:t>Vedtak nr. 919, 21. juni 2024</w:t>
      </w:r>
    </w:p>
    <w:p w14:paraId="5CC742A1" w14:textId="77777777" w:rsidR="00D60186" w:rsidRPr="00225D4D" w:rsidRDefault="00D60186" w:rsidP="00225D4D">
      <w:pPr>
        <w:pStyle w:val="blokksit"/>
        <w:rPr>
          <w:rStyle w:val="kursiv"/>
        </w:rPr>
      </w:pPr>
      <w:r w:rsidRPr="00225D4D">
        <w:rPr>
          <w:rStyle w:val="kursiv"/>
        </w:rPr>
        <w:t>«Stortinget ber regjeringen sikre at Statens vegvesen deltar i det pågående arbeidet med trikk til Bjerke/Tonsenhagen, i dialog med Ruter, innenfor rammene av den lokalt reviderte avtalen om Oslopakke 3, og ha framdrift i oppfølgingen av anbefalingene fra samarbeidsprosjektet mellom Oslo kommune og Statens vegvesen om rv. 4. Det tas forbehold om tilslutning gjennom lokalpolitisk behandling og vedtak om Oslopakke 3 i Oslo kommune og Akershus fylkeskommune.»</w:t>
      </w:r>
    </w:p>
    <w:p w14:paraId="6353F320" w14:textId="77777777" w:rsidR="00D60186" w:rsidRPr="00225D4D" w:rsidRDefault="00D60186" w:rsidP="00225D4D">
      <w:r w:rsidRPr="00225D4D">
        <w:t xml:space="preserve">Vedtaket ble truffet ved behandlingen av Meld. St. 2 (2023–2024) </w:t>
      </w:r>
      <w:r w:rsidRPr="00225D4D">
        <w:rPr>
          <w:rStyle w:val="kursiv"/>
        </w:rPr>
        <w:t>Revidert nasjonalbudsjett 2024</w:t>
      </w:r>
      <w:r w:rsidRPr="00225D4D">
        <w:t xml:space="preserve">, jf. </w:t>
      </w:r>
      <w:proofErr w:type="spellStart"/>
      <w:r w:rsidRPr="00225D4D">
        <w:t>Innst</w:t>
      </w:r>
      <w:proofErr w:type="spellEnd"/>
      <w:r w:rsidRPr="00225D4D">
        <w:t>. 447 S (2023–2024).</w:t>
      </w:r>
    </w:p>
    <w:p w14:paraId="26A30E42" w14:textId="77777777" w:rsidR="00D60186" w:rsidRPr="00225D4D" w:rsidRDefault="00D60186" w:rsidP="00225D4D">
      <w:r w:rsidRPr="00225D4D">
        <w:t xml:space="preserve">I </w:t>
      </w:r>
      <w:proofErr w:type="spellStart"/>
      <w:r w:rsidRPr="00225D4D">
        <w:t>Prop</w:t>
      </w:r>
      <w:proofErr w:type="spellEnd"/>
      <w:r w:rsidRPr="00225D4D">
        <w:t>. 1 S (2024–2025) opplyste Samferdselsdepartementet at det hadde bedt Statens vegvesen delta i det pågående arbeidet med trikk til Bjerke/Tonsenhagen i dialog med Ruter og rapportere på status for dette arbeidet i årsrapporten for 2024. Departementet anså derfor anmodningsvedtaket som fulgt opp.</w:t>
      </w:r>
    </w:p>
    <w:p w14:paraId="5866C893" w14:textId="77777777" w:rsidR="00D60186" w:rsidRPr="00225D4D" w:rsidRDefault="00D60186" w:rsidP="00225D4D">
      <w:r w:rsidRPr="00225D4D">
        <w:t xml:space="preserve">Ved behandlingen av Meld. St. 4 (2024–2025) </w:t>
      </w:r>
      <w:r w:rsidRPr="00225D4D">
        <w:rPr>
          <w:rStyle w:val="kursiv"/>
        </w:rPr>
        <w:t>Anmodnings- og utredningsvedtak i stortingssesjonen 2023–2024</w:t>
      </w:r>
      <w:r w:rsidRPr="00225D4D">
        <w:t xml:space="preserve">, jf. </w:t>
      </w:r>
      <w:proofErr w:type="spellStart"/>
      <w:r w:rsidRPr="00225D4D">
        <w:t>Innst</w:t>
      </w:r>
      <w:proofErr w:type="spellEnd"/>
      <w:r w:rsidRPr="00225D4D">
        <w:t>. 216 S (2024–2025), uttalte et flertall i kontroll- og konstitusjonskomiteen:</w:t>
      </w:r>
    </w:p>
    <w:p w14:paraId="7A299DFE" w14:textId="77777777" w:rsidR="00D60186" w:rsidRPr="00225D4D" w:rsidRDefault="00D60186" w:rsidP="00225D4D">
      <w:pPr>
        <w:pStyle w:val="blokksit"/>
      </w:pPr>
      <w:r w:rsidRPr="00225D4D">
        <w:t>«</w:t>
      </w:r>
      <w:r w:rsidRPr="00225D4D">
        <w:rPr>
          <w:rStyle w:val="sperret0"/>
        </w:rPr>
        <w:t>Komiteens flertall, medlemmene fra Arbeiderpartiet, Senterpartiet, Fremskrittspartiet, Sosialistisk Venstreparti, Rødt og Venstre</w:t>
      </w:r>
      <w:r w:rsidRPr="00225D4D">
        <w:t xml:space="preserve">, viser til omtalen av vedtaket i Meld. St. 4 (2024–2025). </w:t>
      </w:r>
      <w:r w:rsidRPr="00225D4D">
        <w:rPr>
          <w:rStyle w:val="sperret0"/>
        </w:rPr>
        <w:t>Flertallet</w:t>
      </w:r>
      <w:r w:rsidRPr="00225D4D">
        <w:t xml:space="preserve"> vil ikke at rapporteringen på vedtaket avsluttes.»</w:t>
      </w:r>
    </w:p>
    <w:p w14:paraId="299F1D60" w14:textId="77777777" w:rsidR="00D60186" w:rsidRPr="00225D4D" w:rsidRDefault="00D60186" w:rsidP="00225D4D">
      <w:r w:rsidRPr="00225D4D">
        <w:t>Statens vegvesen følger opp anmodningsvedtak om trikk til Bjerke/Tonsenhagen som en del av arbeidet med prinsippavklaring for rv. 4. I samarbeid med Oslo kommune, Akershus fylkeskommune og Ruter ser vegvesenet nå på ulike alternativer for å vurdere løsning opp mot trafikkmengde og trafikksikkerhet på rv. 4. Hvilken løsning for trikk som ev. kan anbefales, henger sammen med hvor mye trafikken på rv. 4 mellom Gjelleråsen og Sinsen kan reduseres. Utredningen er i startfasen og skal etter planen være ferdig juni 2026.</w:t>
      </w:r>
    </w:p>
    <w:p w14:paraId="5836A857" w14:textId="77777777" w:rsidR="00D60186" w:rsidRPr="00225D4D" w:rsidRDefault="00D60186" w:rsidP="00225D4D">
      <w:r w:rsidRPr="00225D4D">
        <w:t>Samferdselsdepartementet vil komme tilbake til saken på egnet måte.</w:t>
      </w:r>
    </w:p>
    <w:p w14:paraId="43E501D9" w14:textId="77777777" w:rsidR="00D60186" w:rsidRPr="00225D4D" w:rsidRDefault="00D60186" w:rsidP="00225D4D">
      <w:pPr>
        <w:pStyle w:val="Overskrift2"/>
      </w:pPr>
      <w:r w:rsidRPr="00225D4D">
        <w:t>Stortingssesjonen 2022–2023</w:t>
      </w:r>
    </w:p>
    <w:p w14:paraId="4384BF6B" w14:textId="77777777" w:rsidR="00D60186" w:rsidRPr="00225D4D" w:rsidRDefault="00D60186" w:rsidP="00225D4D">
      <w:pPr>
        <w:pStyle w:val="avsnitt-tittel"/>
      </w:pPr>
      <w:r w:rsidRPr="00225D4D">
        <w:t xml:space="preserve">Vurdere korleis regelverket for autonome </w:t>
      </w:r>
      <w:proofErr w:type="spellStart"/>
      <w:r w:rsidRPr="00225D4D">
        <w:t>køyretøy</w:t>
      </w:r>
      <w:proofErr w:type="spellEnd"/>
      <w:r w:rsidRPr="00225D4D">
        <w:t xml:space="preserve"> kan </w:t>
      </w:r>
      <w:proofErr w:type="spellStart"/>
      <w:r w:rsidRPr="00225D4D">
        <w:t>medverke</w:t>
      </w:r>
      <w:proofErr w:type="spellEnd"/>
      <w:r w:rsidRPr="00225D4D">
        <w:t xml:space="preserve"> til teknologi- og industriutvikling</w:t>
      </w:r>
    </w:p>
    <w:p w14:paraId="56B040B0" w14:textId="77777777" w:rsidR="00D60186" w:rsidRPr="00225D4D" w:rsidRDefault="00D60186" w:rsidP="00225D4D">
      <w:pPr>
        <w:pStyle w:val="avsnitt-undertittel"/>
      </w:pPr>
      <w:r w:rsidRPr="00225D4D">
        <w:t>Vedtak nr. 71, 29. november 2022</w:t>
      </w:r>
    </w:p>
    <w:p w14:paraId="42AE9174" w14:textId="77777777" w:rsidR="00D60186" w:rsidRPr="00225D4D" w:rsidRDefault="00D60186" w:rsidP="00225D4D">
      <w:pPr>
        <w:pStyle w:val="blokksit"/>
        <w:rPr>
          <w:rStyle w:val="kursiv"/>
        </w:rPr>
      </w:pPr>
      <w:r w:rsidRPr="00225D4D">
        <w:rPr>
          <w:rStyle w:val="kursiv"/>
        </w:rPr>
        <w:t>«Stortinget ber regjeringen vurdere hvordan regelverket for testing av autonome kjøretøy bedre kan bidra til teknologi- og industriutvikling i Norge.»</w:t>
      </w:r>
    </w:p>
    <w:p w14:paraId="3E0EF019" w14:textId="77777777" w:rsidR="00D60186" w:rsidRPr="00225D4D" w:rsidRDefault="00D60186" w:rsidP="00225D4D">
      <w:r w:rsidRPr="00225D4D">
        <w:t xml:space="preserve">Dokumentene som ligger til grunn for vedtaket, er representantforslag fra stortingsrepresentantene Trond Helleland, Liv Kari Eskeland, Erlend Larsen, Helge Orten, Svein </w:t>
      </w:r>
      <w:proofErr w:type="spellStart"/>
      <w:r w:rsidRPr="00225D4D">
        <w:t>Harberg</w:t>
      </w:r>
      <w:proofErr w:type="spellEnd"/>
      <w:r w:rsidRPr="00225D4D">
        <w:t xml:space="preserve">, Aleksander </w:t>
      </w:r>
      <w:proofErr w:type="spellStart"/>
      <w:r w:rsidRPr="00225D4D">
        <w:t>Stokkebø</w:t>
      </w:r>
      <w:proofErr w:type="spellEnd"/>
      <w:r w:rsidRPr="00225D4D">
        <w:t xml:space="preserve"> og Sandra </w:t>
      </w:r>
      <w:proofErr w:type="spellStart"/>
      <w:r w:rsidRPr="00225D4D">
        <w:t>Bruflot</w:t>
      </w:r>
      <w:proofErr w:type="spellEnd"/>
      <w:r w:rsidRPr="00225D4D">
        <w:t xml:space="preserve"> om økt kompleksitet i testingen av autonome kjøretøy, jf. Dokument 8:273 (2021–2022) og </w:t>
      </w:r>
      <w:proofErr w:type="spellStart"/>
      <w:r w:rsidRPr="00225D4D">
        <w:t>Innst</w:t>
      </w:r>
      <w:proofErr w:type="spellEnd"/>
      <w:r w:rsidRPr="00225D4D">
        <w:t>. 55 S (2022–2023).</w:t>
      </w:r>
    </w:p>
    <w:p w14:paraId="5E1DCA91" w14:textId="77777777" w:rsidR="00D60186" w:rsidRPr="00225D4D" w:rsidRDefault="00D60186" w:rsidP="00225D4D">
      <w:r w:rsidRPr="00225D4D">
        <w:t xml:space="preserve">Samferdselsdepartementet opplyste i </w:t>
      </w:r>
      <w:proofErr w:type="spellStart"/>
      <w:r w:rsidRPr="00225D4D">
        <w:t>Prop</w:t>
      </w:r>
      <w:proofErr w:type="spellEnd"/>
      <w:r w:rsidRPr="00225D4D">
        <w:t>. 1 S (2024–2025) at Statens vegvesen hadde utarbeidet forslag til nasjonal strategi for automatisert veitransport, og at departementet sammen med Statens vegvesen vurderte behovet for videre arbeid og ytterligere oppfølging.</w:t>
      </w:r>
    </w:p>
    <w:p w14:paraId="37F11490" w14:textId="77777777" w:rsidR="00D60186" w:rsidRPr="00225D4D" w:rsidRDefault="00D60186" w:rsidP="00225D4D">
      <w:r w:rsidRPr="00225D4D">
        <w:t>Departementet har gått gjennom forslaget til nasjonal strategi for automatisert transport og gitt Statens vegvesen i oppdrag å følge opp forslaget, og særlig vurdere sektorovergripende samarbeid. Arbeidet skal bl.a. innrettes slik at innføringen av automatisert transport vurderes som et virkemiddel for å nå de overordnede transportpolitiske målene.</w:t>
      </w:r>
    </w:p>
    <w:p w14:paraId="36AEA3C4" w14:textId="77777777" w:rsidR="00D60186" w:rsidRPr="00225D4D" w:rsidRDefault="00D60186" w:rsidP="00225D4D">
      <w:r w:rsidRPr="00225D4D">
        <w:t>Statens vegvesen støtter og deltar også videre i etablerte nettverk med bred deltakelse fra berørte aktører og har hovedansvaret for et eget forum for automatisert transport i samarbeid med bl.a. ITS Norge.</w:t>
      </w:r>
    </w:p>
    <w:p w14:paraId="64CD6CAB" w14:textId="77777777" w:rsidR="00D60186" w:rsidRPr="00225D4D" w:rsidRDefault="00D60186" w:rsidP="00225D4D">
      <w:r w:rsidRPr="00225D4D">
        <w:t>Det er ikke identifisert behov for endringer på kort sikt av det eksisterende regelverket om utprøving av selvkjørende motorvogn. Det pågår testing av selvkjørende kjøretøy i ulike prosjekter rundt om i landet, og det planlegges testing også i samarbeid med andre land. Utviklingen på området skjer i stor grad hos bilprodusentene, og regelverket utvikles på internasjonalt nivå. Norge bidrar i den internasjonale regelverksutviklingen for typegodkjenning av avanserte førerstøttesystemer og systemer for automatisert kjøring, bl.a. for å ivareta hensynet til trafikksikkerheten. Det vil løpende bli vurdert om det er behov for endringer i den nasjonale lovgivningen.</w:t>
      </w:r>
    </w:p>
    <w:p w14:paraId="37CECD7D" w14:textId="77777777" w:rsidR="00D60186" w:rsidRPr="00225D4D" w:rsidRDefault="00D60186" w:rsidP="00225D4D">
      <w:r w:rsidRPr="00225D4D">
        <w:t>Intelligente transportsystemer (ITS) og tilhørende regelverk er også viktig for selvkjørende kjøretøy og avanserte førerstøttesystemer, bl.a. for å sikre oppdaterte og kvalitetssikrede data om veiene og trafikken. Som oppfølging av endringer i EUs rammedirektiv for ITS tar Samferdselsdepartementet sikte på å legge frem et lovforslag om endringer i ITS-loven i 2026.</w:t>
      </w:r>
    </w:p>
    <w:p w14:paraId="13AE076F" w14:textId="77777777" w:rsidR="00D60186" w:rsidRPr="00225D4D" w:rsidRDefault="00D60186" w:rsidP="00225D4D">
      <w:r w:rsidRPr="00225D4D">
        <w:t xml:space="preserve">Samferdselsdepartementet har i 2025 vedtatt ny forskrift om </w:t>
      </w:r>
      <w:proofErr w:type="spellStart"/>
      <w:r w:rsidRPr="00225D4D">
        <w:t>vegdata</w:t>
      </w:r>
      <w:proofErr w:type="spellEnd"/>
      <w:r w:rsidRPr="00225D4D">
        <w:t xml:space="preserve"> og trafikkinformasjon. Den skal sikre at det til Statens vegvesens nasjonale systemer leveres inn data om vei og trafikk fra hele det offentlige veinettet. Dette gir et viktig datagrunnlag for bl.a. videre digitalisering, avansert førerstøtte og økende grad av automatisert transport. Statens vegvesen arbeider også med å utvikle og forbedre sine tjenester ved bruk av data bl.a. for å legge til rette for automatisert transport.</w:t>
      </w:r>
    </w:p>
    <w:p w14:paraId="165FEAB2" w14:textId="77777777" w:rsidR="00D60186" w:rsidRPr="00225D4D" w:rsidRDefault="00D60186" w:rsidP="00225D4D">
      <w:r w:rsidRPr="00225D4D">
        <w:t>Samferdselsdepartementet anser med dette anmodningsvedtaket og vedtak nr. 71, 72, 73 og 74 av 29. november 2022 som fulgt opp.</w:t>
      </w:r>
    </w:p>
    <w:p w14:paraId="78BB5912" w14:textId="77777777" w:rsidR="00D60186" w:rsidRPr="00225D4D" w:rsidRDefault="00D60186" w:rsidP="00225D4D">
      <w:pPr>
        <w:pStyle w:val="avsnitt-tittel"/>
      </w:pPr>
      <w:r w:rsidRPr="00225D4D">
        <w:t xml:space="preserve">Foreslå varierte </w:t>
      </w:r>
      <w:proofErr w:type="spellStart"/>
      <w:r w:rsidRPr="00225D4D">
        <w:t>strekningar</w:t>
      </w:r>
      <w:proofErr w:type="spellEnd"/>
      <w:r w:rsidRPr="00225D4D">
        <w:t xml:space="preserve"> som kan </w:t>
      </w:r>
      <w:proofErr w:type="spellStart"/>
      <w:r w:rsidRPr="00225D4D">
        <w:t>førehandsgodkjennast</w:t>
      </w:r>
      <w:proofErr w:type="spellEnd"/>
      <w:r w:rsidRPr="00225D4D">
        <w:t xml:space="preserve"> for autonom køyring</w:t>
      </w:r>
    </w:p>
    <w:p w14:paraId="46550066" w14:textId="77777777" w:rsidR="00D60186" w:rsidRPr="00225D4D" w:rsidRDefault="00D60186" w:rsidP="00225D4D">
      <w:pPr>
        <w:pStyle w:val="avsnitt-undertittel"/>
      </w:pPr>
      <w:r w:rsidRPr="00225D4D">
        <w:t>Vedtak nr. 72, 29. november 2022</w:t>
      </w:r>
    </w:p>
    <w:p w14:paraId="45FD2272" w14:textId="77777777" w:rsidR="00D60186" w:rsidRPr="00225D4D" w:rsidRDefault="00D60186" w:rsidP="00225D4D">
      <w:pPr>
        <w:pStyle w:val="blokksit"/>
        <w:rPr>
          <w:rStyle w:val="kursiv"/>
        </w:rPr>
      </w:pPr>
      <w:r w:rsidRPr="00225D4D">
        <w:rPr>
          <w:rStyle w:val="kursiv"/>
        </w:rPr>
        <w:t xml:space="preserve">«Stortinget ber regjeringen sikre at det i samarbeid med industrien foreslås varierte strekninger som kan </w:t>
      </w:r>
      <w:proofErr w:type="spellStart"/>
      <w:r w:rsidRPr="00225D4D">
        <w:rPr>
          <w:rStyle w:val="kursiv"/>
        </w:rPr>
        <w:t>forhåndsgodkjennes</w:t>
      </w:r>
      <w:proofErr w:type="spellEnd"/>
      <w:r w:rsidRPr="00225D4D">
        <w:rPr>
          <w:rStyle w:val="kursiv"/>
        </w:rPr>
        <w:t xml:space="preserve"> for autonom kjøring.»</w:t>
      </w:r>
    </w:p>
    <w:p w14:paraId="1B1F3DA4" w14:textId="77777777" w:rsidR="00D60186" w:rsidRPr="00225D4D" w:rsidRDefault="00D60186" w:rsidP="00225D4D">
      <w:r w:rsidRPr="00225D4D">
        <w:t xml:space="preserve">Dokumentene som ligger til grunn for vedtaket, er representantforslag fra stortingsrepresentantene Trond Helleland, Liv Kari Eskeland, Erlend Larsen, Helge Orten, Svein </w:t>
      </w:r>
      <w:proofErr w:type="spellStart"/>
      <w:r w:rsidRPr="00225D4D">
        <w:t>Harberg</w:t>
      </w:r>
      <w:proofErr w:type="spellEnd"/>
      <w:r w:rsidRPr="00225D4D">
        <w:t xml:space="preserve">, Aleksander </w:t>
      </w:r>
      <w:proofErr w:type="spellStart"/>
      <w:r w:rsidRPr="00225D4D">
        <w:t>Stokkebø</w:t>
      </w:r>
      <w:proofErr w:type="spellEnd"/>
      <w:r w:rsidRPr="00225D4D">
        <w:t xml:space="preserve"> og Sandra </w:t>
      </w:r>
      <w:proofErr w:type="spellStart"/>
      <w:r w:rsidRPr="00225D4D">
        <w:t>Bruflot</w:t>
      </w:r>
      <w:proofErr w:type="spellEnd"/>
      <w:r w:rsidRPr="00225D4D">
        <w:t xml:space="preserve"> om økt kompleksitet i testingen av autonome kjøretøy, jf. Dokument 8:273 (2021–2022) og </w:t>
      </w:r>
      <w:proofErr w:type="spellStart"/>
      <w:r w:rsidRPr="00225D4D">
        <w:t>Innst</w:t>
      </w:r>
      <w:proofErr w:type="spellEnd"/>
      <w:r w:rsidRPr="00225D4D">
        <w:t>. 55 S (2022–2023).</w:t>
      </w:r>
    </w:p>
    <w:p w14:paraId="188C8855" w14:textId="77777777" w:rsidR="00D60186" w:rsidRPr="00225D4D" w:rsidRDefault="00D60186" w:rsidP="00225D4D">
      <w:r w:rsidRPr="00225D4D">
        <w:t>Det vises til omtale av anmodningsvedtak nr. 71 av 29. november 2022.</w:t>
      </w:r>
    </w:p>
    <w:p w14:paraId="6256F0DB" w14:textId="77777777" w:rsidR="00D60186" w:rsidRPr="00225D4D" w:rsidRDefault="00D60186" w:rsidP="00225D4D">
      <w:pPr>
        <w:pStyle w:val="avsnitt-tittel"/>
      </w:pPr>
      <w:r w:rsidRPr="00225D4D">
        <w:t xml:space="preserve">Vurdere korleis kompleksiteten i testinga av autonome </w:t>
      </w:r>
      <w:proofErr w:type="spellStart"/>
      <w:r w:rsidRPr="00225D4D">
        <w:t>køyretøy</w:t>
      </w:r>
      <w:proofErr w:type="spellEnd"/>
      <w:r w:rsidRPr="00225D4D">
        <w:t xml:space="preserve"> kan </w:t>
      </w:r>
      <w:proofErr w:type="spellStart"/>
      <w:r w:rsidRPr="00225D4D">
        <w:t>aukast</w:t>
      </w:r>
      <w:proofErr w:type="spellEnd"/>
      <w:r w:rsidRPr="00225D4D">
        <w:t xml:space="preserve"> og </w:t>
      </w:r>
      <w:proofErr w:type="spellStart"/>
      <w:r w:rsidRPr="00225D4D">
        <w:t>tilpassast</w:t>
      </w:r>
      <w:proofErr w:type="spellEnd"/>
      <w:r w:rsidRPr="00225D4D">
        <w:t xml:space="preserve"> godkjenningsprosedyren for </w:t>
      </w:r>
      <w:proofErr w:type="spellStart"/>
      <w:r w:rsidRPr="00225D4D">
        <w:t>testane</w:t>
      </w:r>
      <w:proofErr w:type="spellEnd"/>
    </w:p>
    <w:p w14:paraId="3C62E271" w14:textId="77777777" w:rsidR="00D60186" w:rsidRPr="00225D4D" w:rsidRDefault="00D60186" w:rsidP="00225D4D">
      <w:pPr>
        <w:pStyle w:val="avsnitt-undertittel"/>
      </w:pPr>
      <w:r w:rsidRPr="00225D4D">
        <w:t>Vedtak nr. 73, 29. november 2022</w:t>
      </w:r>
    </w:p>
    <w:p w14:paraId="3895DD92" w14:textId="77777777" w:rsidR="00D60186" w:rsidRPr="00225D4D" w:rsidRDefault="00D60186" w:rsidP="00225D4D">
      <w:pPr>
        <w:pStyle w:val="blokksit"/>
        <w:rPr>
          <w:rStyle w:val="kursiv"/>
        </w:rPr>
      </w:pPr>
      <w:r w:rsidRPr="00225D4D">
        <w:rPr>
          <w:rStyle w:val="kursiv"/>
        </w:rPr>
        <w:t>«Stortinget ber regjeringen vurdere hvordan kompleksiteten i testingen av autonome kjøretøy kan økes, og tilpasses godkjenningsprosedyren for testene.»</w:t>
      </w:r>
    </w:p>
    <w:p w14:paraId="6861FFAE" w14:textId="77777777" w:rsidR="00D60186" w:rsidRPr="00225D4D" w:rsidRDefault="00D60186" w:rsidP="00225D4D">
      <w:r w:rsidRPr="00225D4D">
        <w:t xml:space="preserve">Dokumentene som ligger til grunn for vedtaket, er representantforslag fra stortingsrepresentantene Trond Helleland, Liv Kari Eskeland, Erlend Larsen, Helge Orten, Svein </w:t>
      </w:r>
      <w:proofErr w:type="spellStart"/>
      <w:r w:rsidRPr="00225D4D">
        <w:t>Harberg</w:t>
      </w:r>
      <w:proofErr w:type="spellEnd"/>
      <w:r w:rsidRPr="00225D4D">
        <w:t xml:space="preserve">, Aleksander </w:t>
      </w:r>
      <w:proofErr w:type="spellStart"/>
      <w:r w:rsidRPr="00225D4D">
        <w:t>Stokkebø</w:t>
      </w:r>
      <w:proofErr w:type="spellEnd"/>
      <w:r w:rsidRPr="00225D4D">
        <w:t xml:space="preserve"> og Sandra </w:t>
      </w:r>
      <w:proofErr w:type="spellStart"/>
      <w:r w:rsidRPr="00225D4D">
        <w:t>Bruflot</w:t>
      </w:r>
      <w:proofErr w:type="spellEnd"/>
      <w:r w:rsidRPr="00225D4D">
        <w:t xml:space="preserve"> om økt kompleksitet i testingen av autonome kjøretøy, jf. Dokument 8:273 (2021–2022) og </w:t>
      </w:r>
      <w:proofErr w:type="spellStart"/>
      <w:r w:rsidRPr="00225D4D">
        <w:t>Innst</w:t>
      </w:r>
      <w:proofErr w:type="spellEnd"/>
      <w:r w:rsidRPr="00225D4D">
        <w:t>. 55 S (2022–2023).</w:t>
      </w:r>
    </w:p>
    <w:p w14:paraId="129AA7A8" w14:textId="77777777" w:rsidR="00D60186" w:rsidRPr="00225D4D" w:rsidRDefault="00D60186" w:rsidP="00225D4D">
      <w:r w:rsidRPr="00225D4D">
        <w:t>Det vises til omtale av anmodningsvedtak nr. 71 av 29. november 2022.</w:t>
      </w:r>
    </w:p>
    <w:p w14:paraId="521E8BA8" w14:textId="77777777" w:rsidR="00D60186" w:rsidRPr="00225D4D" w:rsidRDefault="00D60186" w:rsidP="00225D4D">
      <w:pPr>
        <w:pStyle w:val="avsnitt-tittel"/>
      </w:pPr>
      <w:r w:rsidRPr="00225D4D">
        <w:t xml:space="preserve">Endre regelverket slik at autonome </w:t>
      </w:r>
      <w:proofErr w:type="spellStart"/>
      <w:r w:rsidRPr="00225D4D">
        <w:t>køyretøy</w:t>
      </w:r>
      <w:proofErr w:type="spellEnd"/>
      <w:r w:rsidRPr="00225D4D">
        <w:t xml:space="preserve"> kan </w:t>
      </w:r>
      <w:proofErr w:type="spellStart"/>
      <w:r w:rsidRPr="00225D4D">
        <w:t>køyre</w:t>
      </w:r>
      <w:proofErr w:type="spellEnd"/>
      <w:r w:rsidRPr="00225D4D">
        <w:t xml:space="preserve"> i normal trafikk og i normal </w:t>
      </w:r>
      <w:proofErr w:type="spellStart"/>
      <w:r w:rsidRPr="00225D4D">
        <w:t>hastigheit</w:t>
      </w:r>
      <w:proofErr w:type="spellEnd"/>
      <w:r w:rsidRPr="00225D4D">
        <w:t xml:space="preserve"> på </w:t>
      </w:r>
      <w:proofErr w:type="spellStart"/>
      <w:r w:rsidRPr="00225D4D">
        <w:t>delar</w:t>
      </w:r>
      <w:proofErr w:type="spellEnd"/>
      <w:r w:rsidRPr="00225D4D">
        <w:t xml:space="preserve"> av vegnettet</w:t>
      </w:r>
    </w:p>
    <w:p w14:paraId="78E08BA3" w14:textId="77777777" w:rsidR="00D60186" w:rsidRPr="00225D4D" w:rsidRDefault="00D60186" w:rsidP="00225D4D">
      <w:pPr>
        <w:pStyle w:val="avsnitt-undertittel"/>
      </w:pPr>
      <w:r w:rsidRPr="00225D4D">
        <w:t>Vedtak nr. 74, 29. november 2022</w:t>
      </w:r>
    </w:p>
    <w:p w14:paraId="5959E3B9" w14:textId="77777777" w:rsidR="00D60186" w:rsidRPr="00225D4D" w:rsidRDefault="00D60186" w:rsidP="00225D4D">
      <w:pPr>
        <w:pStyle w:val="blokksit"/>
        <w:rPr>
          <w:rStyle w:val="kursiv"/>
        </w:rPr>
      </w:pPr>
      <w:r w:rsidRPr="00225D4D">
        <w:rPr>
          <w:rStyle w:val="kursiv"/>
        </w:rPr>
        <w:t>«Stortinget ber regjeringen vurdere hvilke regelverksendringer som må til for å åpne for muligheten til å kjøre autonome kjøretøy i normal trafikk og i normal hastighet, på utvalgte deler av det ordinære vegnettet.»</w:t>
      </w:r>
    </w:p>
    <w:p w14:paraId="6882259E" w14:textId="77777777" w:rsidR="00D60186" w:rsidRPr="00225D4D" w:rsidRDefault="00D60186" w:rsidP="00225D4D">
      <w:r w:rsidRPr="00225D4D">
        <w:t xml:space="preserve">Dokumentene som ligger til grunn for vedtaket, er representantforslag fra stortingsrepresentantene Trond Helleland, Liv Kari Eskeland, Erlend Larsen, Helge Orten, Svein </w:t>
      </w:r>
      <w:proofErr w:type="spellStart"/>
      <w:r w:rsidRPr="00225D4D">
        <w:t>Harberg</w:t>
      </w:r>
      <w:proofErr w:type="spellEnd"/>
      <w:r w:rsidRPr="00225D4D">
        <w:t xml:space="preserve">, Aleksander </w:t>
      </w:r>
      <w:proofErr w:type="spellStart"/>
      <w:r w:rsidRPr="00225D4D">
        <w:t>Stokkebø</w:t>
      </w:r>
      <w:proofErr w:type="spellEnd"/>
      <w:r w:rsidRPr="00225D4D">
        <w:t xml:space="preserve"> og Sandra </w:t>
      </w:r>
      <w:proofErr w:type="spellStart"/>
      <w:r w:rsidRPr="00225D4D">
        <w:t>Bruflot</w:t>
      </w:r>
      <w:proofErr w:type="spellEnd"/>
      <w:r w:rsidRPr="00225D4D">
        <w:t xml:space="preserve"> om økt kompleksitet i testingen av autonome kjøretøy, jf. Dokument 8:273 (2021–2022) og </w:t>
      </w:r>
      <w:proofErr w:type="spellStart"/>
      <w:r w:rsidRPr="00225D4D">
        <w:t>Innst</w:t>
      </w:r>
      <w:proofErr w:type="spellEnd"/>
      <w:r w:rsidRPr="00225D4D">
        <w:t>. 55 S (2022–2023).</w:t>
      </w:r>
    </w:p>
    <w:p w14:paraId="63EA1070" w14:textId="77777777" w:rsidR="00D60186" w:rsidRPr="00225D4D" w:rsidRDefault="00D60186" w:rsidP="00225D4D">
      <w:r w:rsidRPr="00225D4D">
        <w:t>Det vises til omtale av anmodningsvedtak nr. 71 av 29. november 2022.</w:t>
      </w:r>
    </w:p>
    <w:p w14:paraId="25858410" w14:textId="77777777" w:rsidR="00D60186" w:rsidRPr="00225D4D" w:rsidRDefault="00D60186" w:rsidP="00225D4D">
      <w:pPr>
        <w:pStyle w:val="avsnitt-tittel"/>
      </w:pPr>
      <w:r w:rsidRPr="00225D4D">
        <w:t xml:space="preserve">Gjeninnføre plikta til å </w:t>
      </w:r>
      <w:proofErr w:type="spellStart"/>
      <w:r w:rsidRPr="00225D4D">
        <w:t>vere</w:t>
      </w:r>
      <w:proofErr w:type="spellEnd"/>
      <w:r w:rsidRPr="00225D4D">
        <w:t xml:space="preserve"> tilknytt </w:t>
      </w:r>
      <w:proofErr w:type="spellStart"/>
      <w:r w:rsidRPr="00225D4D">
        <w:t>ein</w:t>
      </w:r>
      <w:proofErr w:type="spellEnd"/>
      <w:r w:rsidRPr="00225D4D">
        <w:t xml:space="preserve"> drosjesentral og driveplikt og </w:t>
      </w:r>
      <w:proofErr w:type="spellStart"/>
      <w:r w:rsidRPr="00225D4D">
        <w:t>talavgrensing</w:t>
      </w:r>
      <w:proofErr w:type="spellEnd"/>
      <w:r w:rsidRPr="00225D4D">
        <w:t xml:space="preserve"> i drosjenæringa</w:t>
      </w:r>
    </w:p>
    <w:p w14:paraId="0E281875" w14:textId="77777777" w:rsidR="00D60186" w:rsidRPr="00225D4D" w:rsidRDefault="00D60186" w:rsidP="00225D4D">
      <w:pPr>
        <w:pStyle w:val="avsnitt-undertittel"/>
      </w:pPr>
      <w:r w:rsidRPr="00225D4D">
        <w:t>Vedtak nr. 84, 1. desember 2022</w:t>
      </w:r>
    </w:p>
    <w:p w14:paraId="333EEE49" w14:textId="77777777" w:rsidR="00D60186" w:rsidRPr="00225D4D" w:rsidRDefault="00D60186" w:rsidP="00225D4D">
      <w:pPr>
        <w:pStyle w:val="blokksit"/>
        <w:rPr>
          <w:rStyle w:val="kursiv"/>
        </w:rPr>
      </w:pPr>
      <w:r w:rsidRPr="00225D4D">
        <w:rPr>
          <w:rStyle w:val="kursiv"/>
        </w:rPr>
        <w:t>«Stortinget ber regjeringen komme med nødvendige lov- og forskriftsendringer for å gjeninnføre plikten til å være tilknyttet en drosjesentral og driveplikt og antallsbegrensning i drosjenæringen i løpet av 2023.»</w:t>
      </w:r>
    </w:p>
    <w:p w14:paraId="10483FB0" w14:textId="77777777" w:rsidR="00D60186" w:rsidRPr="00225D4D" w:rsidRDefault="00D60186" w:rsidP="00225D4D">
      <w:r w:rsidRPr="00225D4D">
        <w:t xml:space="preserve">Vedtaket ble truffet ved behandlingen av Meld. St. 1 (2022–2023) </w:t>
      </w:r>
      <w:r w:rsidRPr="00225D4D">
        <w:rPr>
          <w:rStyle w:val="kursiv"/>
        </w:rPr>
        <w:t>Nasjonalbudsjettet 2023</w:t>
      </w:r>
      <w:r w:rsidRPr="00225D4D">
        <w:t xml:space="preserve">, jf. </w:t>
      </w:r>
      <w:proofErr w:type="spellStart"/>
      <w:r w:rsidRPr="00225D4D">
        <w:t>Innst</w:t>
      </w:r>
      <w:proofErr w:type="spellEnd"/>
      <w:r w:rsidRPr="00225D4D">
        <w:t>. 2 S (2022–2023).</w:t>
      </w:r>
    </w:p>
    <w:p w14:paraId="3EBFFC42" w14:textId="77777777" w:rsidR="00D60186" w:rsidRPr="00225D4D" w:rsidRDefault="00D60186" w:rsidP="00225D4D">
      <w:r w:rsidRPr="00225D4D">
        <w:t xml:space="preserve">I </w:t>
      </w:r>
      <w:proofErr w:type="spellStart"/>
      <w:r w:rsidRPr="00225D4D">
        <w:t>Prop</w:t>
      </w:r>
      <w:proofErr w:type="spellEnd"/>
      <w:r w:rsidRPr="00225D4D">
        <w:t xml:space="preserve">. 1 S (2024–2025) opplyste Samferdselsdepartementet at Drosjeutvalgets delutredning II, NOU 2024: 15 </w:t>
      </w:r>
      <w:r w:rsidRPr="00225D4D">
        <w:rPr>
          <w:rStyle w:val="kursiv"/>
        </w:rPr>
        <w:t>En bedre regulert drosjenæring</w:t>
      </w:r>
      <w:r w:rsidRPr="00225D4D">
        <w:t>, som bl.a. vurderer driveplikt og antallsbegrensning, var sendt på høring.</w:t>
      </w:r>
    </w:p>
    <w:p w14:paraId="663D4817" w14:textId="77777777" w:rsidR="00D60186" w:rsidRPr="00225D4D" w:rsidRDefault="00D60186" w:rsidP="00225D4D">
      <w:r w:rsidRPr="00225D4D">
        <w:t xml:space="preserve">Sentraltilknytningsplikt ble innført med virkning fra 1. september 2024 og med en overgangsperiode frem til 1. april 2025, jf. </w:t>
      </w:r>
      <w:proofErr w:type="spellStart"/>
      <w:r w:rsidRPr="00225D4D">
        <w:t>Prop</w:t>
      </w:r>
      <w:proofErr w:type="spellEnd"/>
      <w:r w:rsidRPr="00225D4D">
        <w:t xml:space="preserve">. 39 L (2023–2024) </w:t>
      </w:r>
      <w:r w:rsidRPr="00225D4D">
        <w:rPr>
          <w:rStyle w:val="kursiv"/>
        </w:rPr>
        <w:t>Endringer i yrkestransportloven (sentraltilknytningsplikt og justering av løyveplikten for drosje)</w:t>
      </w:r>
      <w:r w:rsidRPr="00225D4D">
        <w:t xml:space="preserve"> og lovvedtak 46 (2023–2024). Stortinget har også vedtatt regjeringens forslag som legger til rette for større fleksibilitet for fylkeskommunene innenfor ordningen med tildeling av eneretter, jf. </w:t>
      </w:r>
      <w:proofErr w:type="spellStart"/>
      <w:r w:rsidRPr="00225D4D">
        <w:t>Prop</w:t>
      </w:r>
      <w:proofErr w:type="spellEnd"/>
      <w:r w:rsidRPr="00225D4D">
        <w:t xml:space="preserve">. 139 L (2024–2025) </w:t>
      </w:r>
      <w:r w:rsidRPr="00225D4D">
        <w:rPr>
          <w:rStyle w:val="kursiv"/>
        </w:rPr>
        <w:t>Endringer i yrkestransportloven mv. (drosjetilbud, internkontroll, kontrollutrustning og tilknytning til sentral)</w:t>
      </w:r>
      <w:r w:rsidRPr="00225D4D">
        <w:t xml:space="preserve"> og lovvedtak 133 (2024–2025). Enerettsystemet gir fylkeskommunen anledning til å pålegge driveplikt og begrense antall løyver, dersom det er nødvendig for å sikre et tilfredsstillende drosjetilbud.</w:t>
      </w:r>
    </w:p>
    <w:p w14:paraId="58038B92" w14:textId="77777777" w:rsidR="00D60186" w:rsidRPr="00225D4D" w:rsidRDefault="00D60186" w:rsidP="00225D4D">
      <w:r w:rsidRPr="00225D4D">
        <w:t>Samferdselsdepartementet anser anmodningsvedtaket som fulgt opp.</w:t>
      </w:r>
    </w:p>
    <w:p w14:paraId="1B0E4B7D" w14:textId="77777777" w:rsidR="00D60186" w:rsidRPr="00225D4D" w:rsidRDefault="00D60186" w:rsidP="00225D4D">
      <w:pPr>
        <w:pStyle w:val="avsnitt-tittel"/>
      </w:pPr>
      <w:r w:rsidRPr="00225D4D">
        <w:t xml:space="preserve">Nullutsleppskrav til all løyvebasert </w:t>
      </w:r>
      <w:proofErr w:type="spellStart"/>
      <w:r w:rsidRPr="00225D4D">
        <w:t>verksemd</w:t>
      </w:r>
      <w:proofErr w:type="spellEnd"/>
    </w:p>
    <w:p w14:paraId="0E72C006" w14:textId="77777777" w:rsidR="00D60186" w:rsidRPr="00225D4D" w:rsidRDefault="00D60186" w:rsidP="00225D4D">
      <w:pPr>
        <w:pStyle w:val="avsnitt-undertittel"/>
      </w:pPr>
      <w:r w:rsidRPr="00225D4D">
        <w:t>Vedtak nr. 94, 1. desember 2022</w:t>
      </w:r>
    </w:p>
    <w:p w14:paraId="633D4FD7" w14:textId="77777777" w:rsidR="00D60186" w:rsidRPr="00225D4D" w:rsidRDefault="00D60186" w:rsidP="00225D4D">
      <w:pPr>
        <w:pStyle w:val="blokksit"/>
        <w:rPr>
          <w:rStyle w:val="kursiv"/>
        </w:rPr>
      </w:pPr>
      <w:r w:rsidRPr="00225D4D">
        <w:rPr>
          <w:rStyle w:val="kursiv"/>
        </w:rPr>
        <w:t>«Stortinget ber regjeringen utrede og fremme forslag om endring av yrkestransportloven slik at det stilles nullutslippskrav til all løyvebasert virksomhet der det er mulig i løpet av 2023.»</w:t>
      </w:r>
    </w:p>
    <w:p w14:paraId="422CC4A5" w14:textId="77777777" w:rsidR="00D60186" w:rsidRPr="00225D4D" w:rsidRDefault="00D60186" w:rsidP="00225D4D">
      <w:r w:rsidRPr="00225D4D">
        <w:t xml:space="preserve">Vedtaket ble truffet ved behandlingen av Meld. St. 1 (2022–2023) </w:t>
      </w:r>
      <w:r w:rsidRPr="00225D4D">
        <w:rPr>
          <w:rStyle w:val="kursiv"/>
        </w:rPr>
        <w:t>Nasjonalbudsjettet 2023</w:t>
      </w:r>
      <w:r w:rsidRPr="00225D4D">
        <w:t xml:space="preserve">, jf. </w:t>
      </w:r>
      <w:proofErr w:type="spellStart"/>
      <w:r w:rsidRPr="00225D4D">
        <w:t>Innst</w:t>
      </w:r>
      <w:proofErr w:type="spellEnd"/>
      <w:r w:rsidRPr="00225D4D">
        <w:t>. 2 S (2022–2023).</w:t>
      </w:r>
    </w:p>
    <w:p w14:paraId="4A80CA1A" w14:textId="77777777" w:rsidR="00D60186" w:rsidRPr="00225D4D" w:rsidRDefault="00D60186" w:rsidP="00225D4D">
      <w:r w:rsidRPr="00225D4D">
        <w:t xml:space="preserve">Samferdselsdepartement opplyste i </w:t>
      </w:r>
      <w:proofErr w:type="spellStart"/>
      <w:r w:rsidRPr="00225D4D">
        <w:t>Prop</w:t>
      </w:r>
      <w:proofErr w:type="spellEnd"/>
      <w:r w:rsidRPr="00225D4D">
        <w:t>. 1 S (2024–2025) at det vurderte et forslag fra Statens vegvesen om å stille krav om nullutslipp i løyvepliktig persontransport med motorvogn.</w:t>
      </w:r>
    </w:p>
    <w:p w14:paraId="49D63152" w14:textId="77777777" w:rsidR="00D60186" w:rsidRPr="00225D4D" w:rsidRDefault="00D60186" w:rsidP="00225D4D">
      <w:r w:rsidRPr="00225D4D">
        <w:t xml:space="preserve">Ved behandlingen av Meld. St. 4 (2024–2025) </w:t>
      </w:r>
      <w:r w:rsidRPr="00225D4D">
        <w:rPr>
          <w:rStyle w:val="kursiv"/>
        </w:rPr>
        <w:t>Anmodnings- og utredningsvedtak i stortingssesjonen 2023–2024</w:t>
      </w:r>
      <w:r w:rsidRPr="00225D4D">
        <w:t xml:space="preserve">, jf. </w:t>
      </w:r>
      <w:proofErr w:type="spellStart"/>
      <w:r w:rsidRPr="00225D4D">
        <w:t>Innst</w:t>
      </w:r>
      <w:proofErr w:type="spellEnd"/>
      <w:r w:rsidRPr="00225D4D">
        <w:t>. 216 S (2024–2025) uttalte et flertall i kontroll- og konstitusjonskomiteen:</w:t>
      </w:r>
    </w:p>
    <w:p w14:paraId="392EE384" w14:textId="77777777" w:rsidR="00D60186" w:rsidRPr="00225D4D" w:rsidRDefault="00D60186" w:rsidP="00225D4D">
      <w:pPr>
        <w:pStyle w:val="blokksit"/>
      </w:pPr>
      <w:r w:rsidRPr="00225D4D">
        <w:t>«</w:t>
      </w:r>
      <w:r w:rsidRPr="00225D4D">
        <w:rPr>
          <w:rStyle w:val="sperret0"/>
        </w:rPr>
        <w:t>Komiteens flertall, medlemmene fra Arbeiderpartiet, Senterpartiet, Sosialistisk Venstreparti og Rødt</w:t>
      </w:r>
      <w:r w:rsidRPr="00225D4D">
        <w:t xml:space="preserve"> viser til omtalen av vedtaket i Meld. St. 4 (2024–2025). </w:t>
      </w:r>
      <w:r w:rsidRPr="00225D4D">
        <w:rPr>
          <w:rStyle w:val="sperret0"/>
        </w:rPr>
        <w:t>Flertallet</w:t>
      </w:r>
      <w:r w:rsidRPr="00225D4D">
        <w:t xml:space="preserve"> er enige om at regjeringen skal komme tilbake til Stortinget med forslag i tråd med vedtaket innen statsbudsjettet for 2026».</w:t>
      </w:r>
    </w:p>
    <w:p w14:paraId="56DB18CB" w14:textId="77777777" w:rsidR="00D60186" w:rsidRPr="00225D4D" w:rsidRDefault="00D60186" w:rsidP="00225D4D">
      <w:r w:rsidRPr="00225D4D">
        <w:t>Statens vegvesen har på oppdrag fra Samferdselsdepartementet utarbeidet et forslag til en ny hjemmel i yrkestransportloven for å kunne innføre miljøkrav i forskrift, og forslag til ny forskrift med nullutslippskrav for drosjenæringen. Før forslaget sendes på høring, må behovet for unntak for å ivareta andre tungtveiende hensyn, som beredskap og å sikre et forsvarlig drosjetilbud i hele landet, vurderes nærmere.</w:t>
      </w:r>
    </w:p>
    <w:p w14:paraId="2E52F56B" w14:textId="77777777" w:rsidR="00D60186" w:rsidRPr="00225D4D" w:rsidRDefault="00D60186" w:rsidP="00225D4D">
      <w:r w:rsidRPr="00225D4D">
        <w:t>Samferdselsdepartementet vil komme tilbake til saken på egnet måte.</w:t>
      </w:r>
    </w:p>
    <w:p w14:paraId="3F9DE343" w14:textId="77777777" w:rsidR="00D60186" w:rsidRPr="00225D4D" w:rsidRDefault="00D60186" w:rsidP="00225D4D">
      <w:pPr>
        <w:pStyle w:val="avsnitt-tittel"/>
      </w:pPr>
      <w:r w:rsidRPr="00225D4D">
        <w:t xml:space="preserve">Pilot/utviklingskontrakt for å innfase null- og </w:t>
      </w:r>
      <w:proofErr w:type="spellStart"/>
      <w:r w:rsidRPr="00225D4D">
        <w:t>lågutsleppsfly</w:t>
      </w:r>
      <w:proofErr w:type="spellEnd"/>
      <w:r w:rsidRPr="00225D4D">
        <w:t xml:space="preserve"> for </w:t>
      </w:r>
      <w:proofErr w:type="gramStart"/>
      <w:r w:rsidRPr="00225D4D">
        <w:t>ei eigna</w:t>
      </w:r>
      <w:proofErr w:type="gramEnd"/>
      <w:r w:rsidRPr="00225D4D">
        <w:t xml:space="preserve"> rute</w:t>
      </w:r>
    </w:p>
    <w:p w14:paraId="27244F91" w14:textId="77777777" w:rsidR="00D60186" w:rsidRPr="00225D4D" w:rsidRDefault="00D60186" w:rsidP="00225D4D">
      <w:pPr>
        <w:pStyle w:val="avsnitt-undertittel"/>
      </w:pPr>
      <w:r w:rsidRPr="00225D4D">
        <w:t>Vedtak nr. 117, 1. desember 2022</w:t>
      </w:r>
    </w:p>
    <w:p w14:paraId="370D396E" w14:textId="77777777" w:rsidR="00D60186" w:rsidRPr="00225D4D" w:rsidRDefault="00D60186" w:rsidP="00225D4D">
      <w:pPr>
        <w:pStyle w:val="blokksit"/>
        <w:rPr>
          <w:rStyle w:val="kursiv"/>
        </w:rPr>
      </w:pPr>
      <w:r w:rsidRPr="00225D4D">
        <w:rPr>
          <w:rStyle w:val="kursiv"/>
        </w:rPr>
        <w:t xml:space="preserve">«Stortinget ber regjeringen vurdere en mulig pilot/utviklingskontrakt for innfasing av null- og </w:t>
      </w:r>
      <w:proofErr w:type="spellStart"/>
      <w:r w:rsidRPr="00225D4D">
        <w:rPr>
          <w:rStyle w:val="kursiv"/>
        </w:rPr>
        <w:t>lavutslippsfly</w:t>
      </w:r>
      <w:proofErr w:type="spellEnd"/>
      <w:r w:rsidRPr="00225D4D">
        <w:rPr>
          <w:rStyle w:val="kursiv"/>
        </w:rPr>
        <w:t xml:space="preserve"> for en egnet rute.»</w:t>
      </w:r>
    </w:p>
    <w:p w14:paraId="1160FCF1" w14:textId="77777777" w:rsidR="00D60186" w:rsidRPr="00225D4D" w:rsidRDefault="00D60186" w:rsidP="00225D4D">
      <w:r w:rsidRPr="00225D4D">
        <w:t xml:space="preserve">Vedtaket ble truffet ved behandlingen av Meld. St. 1 (2022–2023) </w:t>
      </w:r>
      <w:r w:rsidRPr="00225D4D">
        <w:rPr>
          <w:rStyle w:val="kursiv"/>
        </w:rPr>
        <w:t>Nasjonalbudsjettet 2023</w:t>
      </w:r>
      <w:r w:rsidRPr="00225D4D">
        <w:t xml:space="preserve">, jf. </w:t>
      </w:r>
      <w:proofErr w:type="spellStart"/>
      <w:r w:rsidRPr="00225D4D">
        <w:t>Innst</w:t>
      </w:r>
      <w:proofErr w:type="spellEnd"/>
      <w:r w:rsidRPr="00225D4D">
        <w:t>. 2 S (2022–2023).</w:t>
      </w:r>
    </w:p>
    <w:p w14:paraId="50D46412" w14:textId="77777777" w:rsidR="00D60186" w:rsidRPr="00225D4D" w:rsidRDefault="00D60186" w:rsidP="00225D4D">
      <w:r w:rsidRPr="00225D4D">
        <w:t xml:space="preserve">I </w:t>
      </w:r>
      <w:proofErr w:type="spellStart"/>
      <w:r w:rsidRPr="00225D4D">
        <w:t>Prop</w:t>
      </w:r>
      <w:proofErr w:type="spellEnd"/>
      <w:r w:rsidRPr="00225D4D">
        <w:t xml:space="preserve">. 1 S (2024–2025) viste Samferdselsdepartementet til Meld. St. 14 (2023–2024) </w:t>
      </w:r>
      <w:r w:rsidRPr="00225D4D">
        <w:rPr>
          <w:rStyle w:val="kursiv"/>
        </w:rPr>
        <w:t>Nasjonal transportplan 2025–2036</w:t>
      </w:r>
      <w:r w:rsidRPr="00225D4D">
        <w:t xml:space="preserve"> der regjeringen prioriterte 1 mrd. kr til en fremskyndet omstilling til null- og lavutslippsluftfart, og at en pilot/utviklingskontrakt kunne være et aktuelt tiltak i oppfølgingen av meldingen. Videre ble det i </w:t>
      </w:r>
      <w:proofErr w:type="spellStart"/>
      <w:r w:rsidRPr="00225D4D">
        <w:t>Prop</w:t>
      </w:r>
      <w:proofErr w:type="spellEnd"/>
      <w:r w:rsidRPr="00225D4D">
        <w:t xml:space="preserve">. 1 S (2024–2025) foreslått å bevilge til sammen 50 mill. kr til Luftfartstilsynet og Avinor til å etablere Norge som en testarena for null- og lavutslippsluftfart. Stortinget sluttet seg til dette i budsjettbehandlingen, jf. </w:t>
      </w:r>
      <w:proofErr w:type="spellStart"/>
      <w:r w:rsidRPr="00225D4D">
        <w:t>Innst</w:t>
      </w:r>
      <w:proofErr w:type="spellEnd"/>
      <w:r w:rsidRPr="00225D4D">
        <w:t>. 13 S (2024–2025).</w:t>
      </w:r>
    </w:p>
    <w:p w14:paraId="7F0FDB0E" w14:textId="77777777" w:rsidR="00D60186" w:rsidRPr="00225D4D" w:rsidRDefault="00D60186" w:rsidP="00225D4D">
      <w:r w:rsidRPr="00225D4D">
        <w:t>I 2026 foreslås det å videreføre den samlede bevilgningen til dette, jf. omtale under Programkategori 21.20 Luftfartsformål. Det første testprogrammet for flyginger mellom Stavanger og Bergen med et batterielektrisk luftfartøy er nå igangsatt gjennom testarena.</w:t>
      </w:r>
    </w:p>
    <w:p w14:paraId="1E53A418" w14:textId="77777777" w:rsidR="00D60186" w:rsidRPr="00225D4D" w:rsidRDefault="00D60186" w:rsidP="00225D4D">
      <w:r w:rsidRPr="00225D4D">
        <w:t>Samferdselsdepartementet anser med dette anmodningsvedtaket som fulgt opp.</w:t>
      </w:r>
    </w:p>
    <w:p w14:paraId="09CAF7E0" w14:textId="77777777" w:rsidR="00D60186" w:rsidRPr="00225D4D" w:rsidRDefault="00D60186" w:rsidP="00225D4D">
      <w:pPr>
        <w:pStyle w:val="avsnitt-tittel"/>
      </w:pPr>
      <w:r w:rsidRPr="00225D4D">
        <w:t>Ettermontering av kontaktlaus kortbetaling på ladeinfrastruktur</w:t>
      </w:r>
    </w:p>
    <w:p w14:paraId="4A9406F8" w14:textId="77777777" w:rsidR="00D60186" w:rsidRPr="00225D4D" w:rsidRDefault="00D60186" w:rsidP="00225D4D">
      <w:pPr>
        <w:pStyle w:val="avsnitt-undertittel"/>
      </w:pPr>
      <w:r w:rsidRPr="00225D4D">
        <w:t>Vedtak nr. 464, 19. januar 2023</w:t>
      </w:r>
    </w:p>
    <w:p w14:paraId="2BDC3395" w14:textId="77777777" w:rsidR="00D60186" w:rsidRPr="00225D4D" w:rsidRDefault="00D60186" w:rsidP="00225D4D">
      <w:pPr>
        <w:pStyle w:val="blokksit"/>
        <w:rPr>
          <w:rStyle w:val="kursiv"/>
        </w:rPr>
      </w:pPr>
      <w:r w:rsidRPr="00225D4D">
        <w:rPr>
          <w:rStyle w:val="kursiv"/>
        </w:rPr>
        <w:t>«Stortinget ber regjeringen stille krav om ettermontering av kontaktløs kortbetaling på eksisterende ladeinfrastruktur innen utgangen av 2025.»</w:t>
      </w:r>
    </w:p>
    <w:p w14:paraId="39B3ACA7" w14:textId="77777777" w:rsidR="00D60186" w:rsidRPr="00225D4D" w:rsidRDefault="00D60186" w:rsidP="00225D4D">
      <w:r w:rsidRPr="00225D4D">
        <w:t>Dokumentene som ligger til grunn for vedtaket, er representantforslag fra stortingsrepresentantene Mona Fagerås og Kathy Lie om å sikre forbrukervennlig lading via kontaktløs kortbetaling («</w:t>
      </w:r>
      <w:proofErr w:type="spellStart"/>
      <w:r w:rsidRPr="00225D4D">
        <w:t>tæpping</w:t>
      </w:r>
      <w:proofErr w:type="spellEnd"/>
      <w:r w:rsidRPr="00225D4D">
        <w:t xml:space="preserve">») direkte på alle offentlig tilgjengelige hurtig- og </w:t>
      </w:r>
      <w:proofErr w:type="spellStart"/>
      <w:r w:rsidRPr="00225D4D">
        <w:t>lynladere</w:t>
      </w:r>
      <w:proofErr w:type="spellEnd"/>
      <w:r w:rsidRPr="00225D4D">
        <w:t xml:space="preserve">, jf. Dokument 8:19 (2022–2023) og </w:t>
      </w:r>
      <w:proofErr w:type="spellStart"/>
      <w:r w:rsidRPr="00225D4D">
        <w:t>Innst</w:t>
      </w:r>
      <w:proofErr w:type="spellEnd"/>
      <w:r w:rsidRPr="00225D4D">
        <w:t>. 151 S (2022–2023).</w:t>
      </w:r>
    </w:p>
    <w:p w14:paraId="3CF34E1F" w14:textId="77777777" w:rsidR="00D60186" w:rsidRPr="00225D4D" w:rsidRDefault="00D60186" w:rsidP="00225D4D">
      <w:r w:rsidRPr="00225D4D">
        <w:t xml:space="preserve">Samferdselsdepartementet opplyste i </w:t>
      </w:r>
      <w:proofErr w:type="spellStart"/>
      <w:r w:rsidRPr="00225D4D">
        <w:t>Prop</w:t>
      </w:r>
      <w:proofErr w:type="spellEnd"/>
      <w:r w:rsidRPr="00225D4D">
        <w:t>. 1 S (2024–2025) at krav om ettermontering av kontaktløs kortbetaling på eksisterende hurtigladeinfrastruktur ville bli gjennomført i forbindelse med gjennomføringen av forordningen om utbygging av infrastruktur for alternativt drivstoff ((EU) 2023/1804) AFIR. Det var ventet at dette ville skje i løpet av 2025.</w:t>
      </w:r>
    </w:p>
    <w:p w14:paraId="5D08D1BA" w14:textId="77777777" w:rsidR="00D60186" w:rsidRPr="00225D4D" w:rsidRDefault="00D60186" w:rsidP="00225D4D">
      <w:r w:rsidRPr="00225D4D">
        <w:t>Forordningen vil trolig bli innlemmet i EØS-avtalen høsten 2025. Samferdselsdepartementet vil sende et forslag til nasjonal gjennomføring av forordningen og krav om ettermontering på alminnelig høring. En lov- og samtykkeproposisjon planlegges lagt frem for Stortinget våren 2026.</w:t>
      </w:r>
    </w:p>
    <w:p w14:paraId="3662BDF0" w14:textId="77777777" w:rsidR="00D60186" w:rsidRPr="00225D4D" w:rsidRDefault="00D60186" w:rsidP="00225D4D">
      <w:r w:rsidRPr="00225D4D">
        <w:t>Samferdselsdepartementet vil komme tilbake til saken på egnet måte.</w:t>
      </w:r>
    </w:p>
    <w:p w14:paraId="051D7336" w14:textId="77777777" w:rsidR="00D60186" w:rsidRPr="00225D4D" w:rsidRDefault="00D60186" w:rsidP="00225D4D">
      <w:pPr>
        <w:pStyle w:val="avsnitt-tittel"/>
      </w:pPr>
      <w:r w:rsidRPr="00225D4D">
        <w:t xml:space="preserve">Plan for å handtere FOT-rutene viss det </w:t>
      </w:r>
      <w:proofErr w:type="spellStart"/>
      <w:r w:rsidRPr="00225D4D">
        <w:t>ikkje</w:t>
      </w:r>
      <w:proofErr w:type="spellEnd"/>
      <w:r w:rsidRPr="00225D4D">
        <w:t xml:space="preserve"> blir </w:t>
      </w:r>
      <w:proofErr w:type="spellStart"/>
      <w:r w:rsidRPr="00225D4D">
        <w:t>mogleg</w:t>
      </w:r>
      <w:proofErr w:type="spellEnd"/>
      <w:r w:rsidRPr="00225D4D">
        <w:t xml:space="preserve"> å erstatte dagens rutefly</w:t>
      </w:r>
    </w:p>
    <w:p w14:paraId="55D99BFC" w14:textId="77777777" w:rsidR="00D60186" w:rsidRPr="00225D4D" w:rsidRDefault="00D60186" w:rsidP="00225D4D">
      <w:pPr>
        <w:pStyle w:val="avsnitt-undertittel"/>
      </w:pPr>
      <w:r w:rsidRPr="00225D4D">
        <w:t>Vedtak nr. 634, 2. mai 2023</w:t>
      </w:r>
    </w:p>
    <w:p w14:paraId="1841E353" w14:textId="77777777" w:rsidR="00D60186" w:rsidRPr="00225D4D" w:rsidRDefault="00D60186" w:rsidP="00225D4D">
      <w:pPr>
        <w:pStyle w:val="blokksit"/>
        <w:rPr>
          <w:rStyle w:val="kursiv"/>
        </w:rPr>
      </w:pPr>
      <w:r w:rsidRPr="00225D4D">
        <w:rPr>
          <w:rStyle w:val="kursiv"/>
        </w:rPr>
        <w:t>«Stortinget ber regjeringen lage en plan for hvordan FOT-rutene skal håndteres dersom det ikke blir mulig å erstatte dagens rutefly.»</w:t>
      </w:r>
    </w:p>
    <w:p w14:paraId="32BA9349" w14:textId="77777777" w:rsidR="00D60186" w:rsidRPr="00225D4D" w:rsidRDefault="00D60186" w:rsidP="00225D4D">
      <w:r w:rsidRPr="00225D4D">
        <w:t xml:space="preserve">Vedtaket ble truffet ved behandlingen av Meld. St. 10 (2022–2023) </w:t>
      </w:r>
      <w:r w:rsidRPr="00225D4D">
        <w:rPr>
          <w:rStyle w:val="kursiv"/>
        </w:rPr>
        <w:t>Bærekraftig og sikker luftfart – Nasjonal luftfartsstrategi</w:t>
      </w:r>
      <w:r w:rsidRPr="00225D4D">
        <w:t xml:space="preserve">, jf. </w:t>
      </w:r>
      <w:proofErr w:type="spellStart"/>
      <w:r w:rsidRPr="00225D4D">
        <w:t>Innst</w:t>
      </w:r>
      <w:proofErr w:type="spellEnd"/>
      <w:r w:rsidRPr="00225D4D">
        <w:t>. 301 S (2022–2023).</w:t>
      </w:r>
    </w:p>
    <w:p w14:paraId="3AB130D6" w14:textId="77777777" w:rsidR="00D60186" w:rsidRPr="00225D4D" w:rsidRDefault="00D60186" w:rsidP="00225D4D">
      <w:r w:rsidRPr="00225D4D">
        <w:t xml:space="preserve">I </w:t>
      </w:r>
      <w:proofErr w:type="spellStart"/>
      <w:r w:rsidRPr="00225D4D">
        <w:t>Prop</w:t>
      </w:r>
      <w:proofErr w:type="spellEnd"/>
      <w:r w:rsidRPr="00225D4D">
        <w:t>. 1 S (2024–2025) opplyste Samferdselsdepartementet at det hadde satt ut et utredningsoppdrag for å få vurdert hvordan myndighetene best mulig kan legge til rette for et godt flyrutetilbud i hele landet til en overkommelig pris, både for de reisende, men også for staten som kjøper, og at utredningen skulle være ferdig våren 2025.</w:t>
      </w:r>
    </w:p>
    <w:p w14:paraId="3AAB4900" w14:textId="77777777" w:rsidR="00D60186" w:rsidRPr="00225D4D" w:rsidRDefault="00D60186" w:rsidP="00225D4D">
      <w:r w:rsidRPr="00225D4D">
        <w:t>Departementet mottok utredningen i september 2025, og den er nå sendt på høring sammen med en transportfaglig utredning til forberedelsene av en konkurranse om flyruter i Sør-Norge med kontraktsoppstart 1. november 2027. Førstnevnte utredning ser også på mulighetene for å endre organiseringen av kjøpet av flyrutetjenester i tilknytning til fornying av flåten, inkludert eierskap av flyene og drift av rutene.</w:t>
      </w:r>
    </w:p>
    <w:p w14:paraId="581C54DF" w14:textId="77777777" w:rsidR="00D60186" w:rsidRPr="00225D4D" w:rsidRDefault="00D60186" w:rsidP="00225D4D">
      <w:r w:rsidRPr="00225D4D">
        <w:t>På grunn av et omfattende vedlikeholdsprogram anslås det at flytypene som opererer på de 21 kortbanelufthavnene innenfor FOT-rutenettverket, vil ha en levetid frem til rundt 2040. Det er derfor overveiende sannsynlig at det vil eksistere flytyper egnet for FOT-rutene en god stund fremover.</w:t>
      </w:r>
    </w:p>
    <w:p w14:paraId="51F0E0FA" w14:textId="77777777" w:rsidR="00D60186" w:rsidRPr="00225D4D" w:rsidRDefault="00D60186" w:rsidP="00225D4D">
      <w:r w:rsidRPr="00225D4D">
        <w:t>Samferdselsdepartementet følger imidlertid utviklingen i markedet tett og er dialog med operatørene på FOT-rutene, både når det gjelder anskaffelse og produksjon av egnede flytyper med mer konvensjonell teknologi og helt nye typer luftfartøy. Regjeringen arbeider med å legge til rette for sistnevnte ved å etablere Norge som internasjonal testarena for null- og lavutslippsluftfart gjennom samarbeidet mellom Luftfartstilsynet og Avinor.</w:t>
      </w:r>
    </w:p>
    <w:p w14:paraId="20F3BB3A" w14:textId="77777777" w:rsidR="00D60186" w:rsidRPr="00225D4D" w:rsidRDefault="00D60186" w:rsidP="00225D4D">
      <w:r w:rsidRPr="00225D4D">
        <w:t>Tilgjengeligheten til egnet flymateriell og egenskaper ved lufthavnstrukturen vil også følges opp i den videre langtidsplanleggingen av transportsektoren. Den gjenværende levetiden til dagens kortbaneflåte, tidslinjen for forventet innfasing av fly med null- og lavutslippsteknologi, egenskapene til lufthavnene og operatørenes egne planer for kjøp av nye fly vil inngå i disse vurderingene.</w:t>
      </w:r>
    </w:p>
    <w:p w14:paraId="416262D5" w14:textId="77777777" w:rsidR="00D60186" w:rsidRPr="00225D4D" w:rsidRDefault="00D60186" w:rsidP="00225D4D">
      <w:r w:rsidRPr="00225D4D">
        <w:t>Samferdselsdepartementet anser med dette anmodningsvedtaket som fulgt opp.</w:t>
      </w:r>
    </w:p>
    <w:p w14:paraId="76765925" w14:textId="77777777" w:rsidR="00D60186" w:rsidRPr="00225D4D" w:rsidRDefault="00D60186" w:rsidP="00225D4D">
      <w:pPr>
        <w:pStyle w:val="Overskrift2"/>
      </w:pPr>
      <w:r w:rsidRPr="00225D4D">
        <w:t>Stortingssesjonen 2021–2022</w:t>
      </w:r>
    </w:p>
    <w:p w14:paraId="3546E37E" w14:textId="77777777" w:rsidR="00D60186" w:rsidRPr="00225D4D" w:rsidRDefault="00D60186" w:rsidP="00225D4D">
      <w:pPr>
        <w:pStyle w:val="avsnitt-tittel"/>
      </w:pPr>
      <w:r w:rsidRPr="00225D4D">
        <w:t xml:space="preserve">Basere </w:t>
      </w:r>
      <w:proofErr w:type="spellStart"/>
      <w:r w:rsidRPr="00225D4D">
        <w:t>anbod</w:t>
      </w:r>
      <w:proofErr w:type="spellEnd"/>
      <w:r w:rsidRPr="00225D4D">
        <w:t xml:space="preserve"> i fylkeskommunal ferje- og båttrafikk på nullutsleppsteknologi</w:t>
      </w:r>
    </w:p>
    <w:p w14:paraId="7B9226C5" w14:textId="77777777" w:rsidR="00D60186" w:rsidRPr="00225D4D" w:rsidRDefault="00D60186" w:rsidP="00225D4D">
      <w:pPr>
        <w:pStyle w:val="avsnitt-undertittel"/>
      </w:pPr>
      <w:r w:rsidRPr="00225D4D">
        <w:t>Vedtak nr. 35, punkt 1, 2. desember 2021</w:t>
      </w:r>
    </w:p>
    <w:p w14:paraId="30E65724" w14:textId="77777777" w:rsidR="00D60186" w:rsidRPr="00225D4D" w:rsidRDefault="00D60186" w:rsidP="00225D4D">
      <w:pPr>
        <w:pStyle w:val="blokksit"/>
        <w:rPr>
          <w:rStyle w:val="kursiv"/>
        </w:rPr>
      </w:pPr>
      <w:r w:rsidRPr="00225D4D">
        <w:rPr>
          <w:rStyle w:val="kursiv"/>
        </w:rPr>
        <w:t>«Stortinget ber regjeringen legge til grunn at anbud i fylkeskommunal ferje- og båttrafikk så langt det lar seg gjøre skal baseres på nullutslippsteknologi, og kompensere fylkeskommuner for merkostnader knyttet til dette.»</w:t>
      </w:r>
    </w:p>
    <w:p w14:paraId="0FA9D86C" w14:textId="77777777" w:rsidR="00D60186" w:rsidRPr="00225D4D" w:rsidRDefault="00D60186" w:rsidP="00225D4D">
      <w:r w:rsidRPr="00225D4D">
        <w:t xml:space="preserve">Vedtaket ble truffet ved behandlingen av Meld. St. 1 (2021–2022) </w:t>
      </w:r>
      <w:r w:rsidRPr="00225D4D">
        <w:rPr>
          <w:rStyle w:val="kursiv"/>
        </w:rPr>
        <w:t>Nasjonalbudsjettet 2022</w:t>
      </w:r>
      <w:r w:rsidRPr="00225D4D">
        <w:t xml:space="preserve">, jf. </w:t>
      </w:r>
      <w:proofErr w:type="spellStart"/>
      <w:r w:rsidRPr="00225D4D">
        <w:t>Innst</w:t>
      </w:r>
      <w:proofErr w:type="spellEnd"/>
      <w:r w:rsidRPr="00225D4D">
        <w:t>. 2 S (2021–2022).</w:t>
      </w:r>
    </w:p>
    <w:p w14:paraId="01E060A2" w14:textId="77777777" w:rsidR="00D60186" w:rsidRPr="00225D4D" w:rsidRDefault="00D60186" w:rsidP="00225D4D">
      <w:r w:rsidRPr="00225D4D">
        <w:t xml:space="preserve">Samferdselsdepartementet opplyste i </w:t>
      </w:r>
      <w:proofErr w:type="spellStart"/>
      <w:r w:rsidRPr="00225D4D">
        <w:t>Prop</w:t>
      </w:r>
      <w:proofErr w:type="spellEnd"/>
      <w:r w:rsidRPr="00225D4D">
        <w:t xml:space="preserve">. 1 S (2024–2025) at det hadde vurdert høringsinnspillene til forslaget til en forskrift om nullutslippskrav for ferjer og hurtigbåter, og at regjeringen ville innføre nullutslippskrav til offentlige anbud av ferjer og </w:t>
      </w:r>
      <w:proofErr w:type="spellStart"/>
      <w:r w:rsidRPr="00225D4D">
        <w:t>ferjetjenester</w:t>
      </w:r>
      <w:proofErr w:type="spellEnd"/>
      <w:r w:rsidRPr="00225D4D">
        <w:t xml:space="preserve"> fra 1. januar 2025. Det ble foreslått å bevilge 50 mill. kr for 2025 i økonomisk kompensasjon for kravet over fylkeskommunenes rammetilskudd, tabell C, på Kommunal- og </w:t>
      </w:r>
      <w:proofErr w:type="spellStart"/>
      <w:r w:rsidRPr="00225D4D">
        <w:t>distriktsdepartementets</w:t>
      </w:r>
      <w:proofErr w:type="spellEnd"/>
      <w:r w:rsidRPr="00225D4D">
        <w:t xml:space="preserve"> budsjett. Videre opplyste departementet at regjeringen ikke ville innføre et krav til hurtigbåter nå fordi det er stor usikkerhet omkring kostnadene, og at forholdene foreløpig ikke ligger til rette for et generelt nullutslippskrav. Hurtigbåtprogrammet i Miljødirektoratet ble foreslått styrket med 200 mill. kr i form av økt tilsagnsfullmakt i 2025 for å finansiere pilotstrekninger etter søknad og konkurranse. Departementet opplyste at regjeringen tar sikte på å innføre krav til hurtigbåter på et senere tidspunkt. Anmodningsvedtaket ble derfor ansett som </w:t>
      </w:r>
      <w:proofErr w:type="spellStart"/>
      <w:r w:rsidRPr="00225D4D">
        <w:t>utkvittert</w:t>
      </w:r>
      <w:proofErr w:type="spellEnd"/>
      <w:r w:rsidRPr="00225D4D">
        <w:t>.</w:t>
      </w:r>
    </w:p>
    <w:p w14:paraId="17E7DF93" w14:textId="77777777" w:rsidR="00D60186" w:rsidRPr="00225D4D" w:rsidRDefault="00D60186" w:rsidP="00225D4D">
      <w:r w:rsidRPr="00225D4D">
        <w:t xml:space="preserve">Ved behandlingen av Meld. St. 4 (2024–2025) </w:t>
      </w:r>
      <w:r w:rsidRPr="00225D4D">
        <w:rPr>
          <w:rStyle w:val="kursiv"/>
        </w:rPr>
        <w:t>Anmodnings- og utredningsvedtak i stortingssesjonen 2023–2024</w:t>
      </w:r>
      <w:r w:rsidRPr="00225D4D">
        <w:t xml:space="preserve">, jf. </w:t>
      </w:r>
      <w:proofErr w:type="spellStart"/>
      <w:r w:rsidRPr="00225D4D">
        <w:t>Innst</w:t>
      </w:r>
      <w:proofErr w:type="spellEnd"/>
      <w:r w:rsidRPr="00225D4D">
        <w:t>. 216 S (2024–2025), uttalte et flertall i kontroll- og konstitusjonskomiteen:</w:t>
      </w:r>
    </w:p>
    <w:p w14:paraId="3578D123" w14:textId="77777777" w:rsidR="00D60186" w:rsidRPr="00225D4D" w:rsidRDefault="00D60186" w:rsidP="00225D4D">
      <w:pPr>
        <w:pStyle w:val="blokksit"/>
      </w:pPr>
      <w:r w:rsidRPr="00225D4D">
        <w:t>«</w:t>
      </w:r>
      <w:r w:rsidRPr="00225D4D">
        <w:rPr>
          <w:rStyle w:val="sperret0"/>
        </w:rPr>
        <w:t>Komiteens flertall, medlemmene fra Arbeiderpartiet, Senterpartiet, Sosialistisk Venstreparti, Rødt og Venstre</w:t>
      </w:r>
      <w:r w:rsidRPr="00225D4D">
        <w:t xml:space="preserve">, viser til omtalen av vedtaket i Meld. St. 4 (2024–2025) og til at regjeringen vil innføre nullutslippskrav for fylkeskommunale anbud på ferger og fergetjenester fra 1. januar 2025, og at den vil bevilge midler til økonomisk kompensasjon for fylkeskommunene. </w:t>
      </w:r>
      <w:r w:rsidRPr="00225D4D">
        <w:rPr>
          <w:rStyle w:val="sperret0"/>
        </w:rPr>
        <w:t>Flertallet</w:t>
      </w:r>
      <w:r w:rsidRPr="00225D4D">
        <w:t xml:space="preserve"> registrerer også at regjeringen vil bevilge 200 mill. kr til å finansiere pilotstrekninger for hurtigbåter, hvor teknologien ikke er moden for å innføre et nullutslippskrav på nåværende tidspunkt. </w:t>
      </w:r>
      <w:r w:rsidRPr="00225D4D">
        <w:rPr>
          <w:rStyle w:val="sperret0"/>
        </w:rPr>
        <w:t>Flertallet</w:t>
      </w:r>
      <w:r w:rsidRPr="00225D4D">
        <w:t xml:space="preserve"> anerkjenner at regjeringen arbeider videre med oppfølgingen av vedtaket, og ønsker derfor ikke å </w:t>
      </w:r>
      <w:proofErr w:type="spellStart"/>
      <w:r w:rsidRPr="00225D4D">
        <w:t>utkvittere</w:t>
      </w:r>
      <w:proofErr w:type="spellEnd"/>
      <w:r w:rsidRPr="00225D4D">
        <w:t xml:space="preserve"> vedtaket i år.»</w:t>
      </w:r>
    </w:p>
    <w:p w14:paraId="76FC082C" w14:textId="77777777" w:rsidR="00D60186" w:rsidRPr="00225D4D" w:rsidRDefault="00D60186" w:rsidP="00225D4D">
      <w:r w:rsidRPr="00225D4D">
        <w:t xml:space="preserve">I statsbudsjettet for 2026 foreslås det å øke den økonomiske kompensasjonen til fylkeskommunene som følge av nullutslippskravet til ferjer og </w:t>
      </w:r>
      <w:proofErr w:type="spellStart"/>
      <w:r w:rsidRPr="00225D4D">
        <w:t>ferjetjenester</w:t>
      </w:r>
      <w:proofErr w:type="spellEnd"/>
      <w:r w:rsidRPr="00225D4D">
        <w:t xml:space="preserve"> til 132,5 mill. kr.</w:t>
      </w:r>
    </w:p>
    <w:p w14:paraId="3DD285BB" w14:textId="77777777" w:rsidR="00D60186" w:rsidRPr="00225D4D" w:rsidRDefault="00D60186" w:rsidP="00225D4D">
      <w:r w:rsidRPr="00225D4D">
        <w:t>Samferdselsdepartementet anser med dette anmodningsvedtaket som fulgt opp.</w:t>
      </w:r>
    </w:p>
    <w:p w14:paraId="5061399D" w14:textId="77777777" w:rsidR="00D60186" w:rsidRPr="00225D4D" w:rsidRDefault="00D60186" w:rsidP="00225D4D">
      <w:pPr>
        <w:pStyle w:val="avsnitt-tittel"/>
      </w:pPr>
      <w:r w:rsidRPr="00225D4D">
        <w:t xml:space="preserve">Framdriftsplan for å få </w:t>
      </w:r>
      <w:proofErr w:type="spellStart"/>
      <w:r w:rsidRPr="00225D4D">
        <w:t>dieseldrivne</w:t>
      </w:r>
      <w:proofErr w:type="spellEnd"/>
      <w:r w:rsidRPr="00225D4D">
        <w:t xml:space="preserve"> </w:t>
      </w:r>
      <w:proofErr w:type="spellStart"/>
      <w:r w:rsidRPr="00225D4D">
        <w:t>jernbanestrekningar</w:t>
      </w:r>
      <w:proofErr w:type="spellEnd"/>
      <w:r w:rsidRPr="00225D4D">
        <w:t xml:space="preserve"> over på nullutsleppsteknologi</w:t>
      </w:r>
    </w:p>
    <w:p w14:paraId="3CEC1E57" w14:textId="77777777" w:rsidR="00D60186" w:rsidRPr="00225D4D" w:rsidRDefault="00D60186" w:rsidP="00225D4D">
      <w:pPr>
        <w:pStyle w:val="avsnitt-undertittel"/>
      </w:pPr>
      <w:r w:rsidRPr="00225D4D">
        <w:t>Vedtak nr. 553, 10. mai 2022</w:t>
      </w:r>
    </w:p>
    <w:p w14:paraId="4954D56F" w14:textId="77777777" w:rsidR="00D60186" w:rsidRPr="00225D4D" w:rsidRDefault="00D60186" w:rsidP="00225D4D">
      <w:pPr>
        <w:pStyle w:val="blokksit"/>
        <w:rPr>
          <w:rStyle w:val="kursiv"/>
        </w:rPr>
      </w:pPr>
      <w:r w:rsidRPr="00225D4D">
        <w:rPr>
          <w:rStyle w:val="kursiv"/>
        </w:rPr>
        <w:t>«Stortinget ber regjeringen legge frem en tidfestet fremdriftsplan for å få de gjenværende dieseldrevne jernbanestrekninger over på nullutslippsteknologi.»</w:t>
      </w:r>
    </w:p>
    <w:p w14:paraId="568CD765" w14:textId="77777777" w:rsidR="00D60186" w:rsidRPr="00225D4D" w:rsidRDefault="00D60186" w:rsidP="00225D4D">
      <w:r w:rsidRPr="00225D4D">
        <w:t xml:space="preserve">Dokumentene som ligger til grunn for vedtaket, er representantforslag fra stortingsrepresentantene Liv Kari Eskeland, Trond Helleland, Nikolai Astrup, Helge Orten og Svein </w:t>
      </w:r>
      <w:proofErr w:type="spellStart"/>
      <w:r w:rsidRPr="00225D4D">
        <w:t>Harberg</w:t>
      </w:r>
      <w:proofErr w:type="spellEnd"/>
      <w:r w:rsidRPr="00225D4D">
        <w:t xml:space="preserve"> om satsing på hydrogen som energibærer for tog, jf. Dokument 8:129 S (2021–2022) og </w:t>
      </w:r>
      <w:proofErr w:type="spellStart"/>
      <w:r w:rsidRPr="00225D4D">
        <w:t>Innst</w:t>
      </w:r>
      <w:proofErr w:type="spellEnd"/>
      <w:r w:rsidRPr="00225D4D">
        <w:t>. 280 S (2021–2022).</w:t>
      </w:r>
    </w:p>
    <w:p w14:paraId="74300FE3" w14:textId="77777777" w:rsidR="00D60186" w:rsidRPr="00225D4D" w:rsidRDefault="00D60186" w:rsidP="00225D4D">
      <w:r w:rsidRPr="00225D4D">
        <w:t xml:space="preserve">Samferdselsdepartementet opplyste i </w:t>
      </w:r>
      <w:proofErr w:type="spellStart"/>
      <w:r w:rsidRPr="00225D4D">
        <w:t>Prop</w:t>
      </w:r>
      <w:proofErr w:type="spellEnd"/>
      <w:r w:rsidRPr="00225D4D">
        <w:t>. 1 S (2024–2025) at det ble arbeidet med å følge opp sluttrapportene fra kvalitetssikringen av konseptvalget (KS1) for reduserte utslipp av klimagasser fra jernbanen (KVU GREEN).</w:t>
      </w:r>
    </w:p>
    <w:p w14:paraId="72DE5B44" w14:textId="77777777" w:rsidR="00D60186" w:rsidRPr="00225D4D" w:rsidRDefault="00D60186" w:rsidP="00225D4D">
      <w:r w:rsidRPr="00225D4D">
        <w:t>Basert på anbefalingene i KVU GREEN og KS1 har Samferdselsdepartementet besluttet teknologivalget elektrifisering for Røros- og Solørbanen, og batteri med delelektrifisering for Nordlandsbanen. Innføringen av nullutslippsløsninger for tog på de gjenværende dieselstrekningene har mange grenseflater mot øvrig utvikling av infrastruktur og togtilbud. Departementet arbeider med å avklare de viktigste avhengighetene, bl.a. opp mot kjøp av nye fjerntog og regiontog. Bane NOR startet i 2025 å oppdatere planene for å elektrifisere strekningen Stjørdal–Steinkjer på Nordlandsbanen. Det vil i tillegg arbeides med å vurdere om det er mindre tiltak som vil kunne gi relativt større klimaeffekt på kort og mellomlang sikt.</w:t>
      </w:r>
    </w:p>
    <w:p w14:paraId="57603DCE" w14:textId="77777777" w:rsidR="00D60186" w:rsidRPr="00225D4D" w:rsidRDefault="00D60186" w:rsidP="00225D4D">
      <w:r w:rsidRPr="00225D4D">
        <w:t>Samferdselsdepartementet vil komme tilbake til saken på egnet måte.</w:t>
      </w:r>
    </w:p>
    <w:p w14:paraId="222FFCA7" w14:textId="77777777" w:rsidR="00D60186" w:rsidRPr="00225D4D" w:rsidRDefault="00D60186" w:rsidP="00225D4D">
      <w:pPr>
        <w:pStyle w:val="Overskrift2"/>
      </w:pPr>
      <w:r w:rsidRPr="00225D4D">
        <w:t>Stortingssesjonen 2020–2021</w:t>
      </w:r>
    </w:p>
    <w:p w14:paraId="25FC4CF7" w14:textId="77777777" w:rsidR="00D60186" w:rsidRPr="00225D4D" w:rsidRDefault="00D60186" w:rsidP="00225D4D">
      <w:pPr>
        <w:pStyle w:val="avsnitt-tittel"/>
      </w:pPr>
      <w:r w:rsidRPr="00225D4D">
        <w:t xml:space="preserve">Forskriftsendring knytt til endring av </w:t>
      </w:r>
      <w:proofErr w:type="gramStart"/>
      <w:r w:rsidRPr="00225D4D">
        <w:t>tillate</w:t>
      </w:r>
      <w:proofErr w:type="gramEnd"/>
      <w:r w:rsidRPr="00225D4D">
        <w:t xml:space="preserve"> totalvekt på 7 500 kg eller </w:t>
      </w:r>
      <w:proofErr w:type="spellStart"/>
      <w:r w:rsidRPr="00225D4D">
        <w:t>meir</w:t>
      </w:r>
      <w:proofErr w:type="spellEnd"/>
    </w:p>
    <w:p w14:paraId="5B215F58" w14:textId="77777777" w:rsidR="00D60186" w:rsidRPr="00225D4D" w:rsidRDefault="00D60186" w:rsidP="00225D4D">
      <w:pPr>
        <w:pStyle w:val="avsnitt-undertittel"/>
      </w:pPr>
      <w:r w:rsidRPr="00225D4D">
        <w:t>Vedtak nr. 800, 13. april 2021</w:t>
      </w:r>
    </w:p>
    <w:p w14:paraId="2A5394FA" w14:textId="77777777" w:rsidR="00D60186" w:rsidRPr="00225D4D" w:rsidRDefault="00D60186" w:rsidP="00225D4D">
      <w:pPr>
        <w:pStyle w:val="blokksit"/>
        <w:rPr>
          <w:rStyle w:val="kursiv"/>
        </w:rPr>
      </w:pPr>
      <w:r w:rsidRPr="00225D4D">
        <w:rPr>
          <w:rStyle w:val="kursiv"/>
        </w:rPr>
        <w:t>«Stortinget ber regjeringen utrede muligheten for en forskriftsendring knyttet til endring av tillatt totalvekt for kjøretøy på 7 500 kg eller mer.»</w:t>
      </w:r>
    </w:p>
    <w:p w14:paraId="638704C6" w14:textId="77777777" w:rsidR="00D60186" w:rsidRPr="00225D4D" w:rsidRDefault="00D60186" w:rsidP="00225D4D">
      <w:r w:rsidRPr="00225D4D">
        <w:t xml:space="preserve">Dokumentene som ligger til grunn for vedtaket, er representantforslag fra stortingsrepresentantene Bård </w:t>
      </w:r>
      <w:proofErr w:type="spellStart"/>
      <w:r w:rsidRPr="00225D4D">
        <w:t>Hoksrud</w:t>
      </w:r>
      <w:proofErr w:type="spellEnd"/>
      <w:r w:rsidRPr="00225D4D">
        <w:t xml:space="preserve">, Morten Stordalen, Tor André Johnsen, Hans Andreas </w:t>
      </w:r>
      <w:proofErr w:type="spellStart"/>
      <w:r w:rsidRPr="00225D4D">
        <w:t>Limi</w:t>
      </w:r>
      <w:proofErr w:type="spellEnd"/>
      <w:r w:rsidRPr="00225D4D">
        <w:t xml:space="preserve">, Terje Halleland og Gisle Meininger </w:t>
      </w:r>
      <w:proofErr w:type="spellStart"/>
      <w:r w:rsidRPr="00225D4D">
        <w:t>Saudland</w:t>
      </w:r>
      <w:proofErr w:type="spellEnd"/>
      <w:r w:rsidRPr="00225D4D">
        <w:t xml:space="preserve"> om noen kjøretøytekniske forenklinger, jf. Dokument 8:106 S (2020–2021) og </w:t>
      </w:r>
      <w:proofErr w:type="spellStart"/>
      <w:r w:rsidRPr="00225D4D">
        <w:t>Innst</w:t>
      </w:r>
      <w:proofErr w:type="spellEnd"/>
      <w:r w:rsidRPr="00225D4D">
        <w:t>. 311 S (2020–2021).</w:t>
      </w:r>
    </w:p>
    <w:p w14:paraId="4DCF047C" w14:textId="77777777" w:rsidR="00D60186" w:rsidRPr="00225D4D" w:rsidRDefault="00D60186" w:rsidP="00225D4D">
      <w:r w:rsidRPr="00225D4D">
        <w:t xml:space="preserve">Samferdselsdepartementet opplyste i </w:t>
      </w:r>
      <w:proofErr w:type="spellStart"/>
      <w:r w:rsidRPr="00225D4D">
        <w:t>Prop</w:t>
      </w:r>
      <w:proofErr w:type="spellEnd"/>
      <w:r w:rsidRPr="00225D4D">
        <w:t>. 1 S (2024–2025) at det tok sikte å sende et forskriftsforslag på høring i løpet av 2024.</w:t>
      </w:r>
    </w:p>
    <w:p w14:paraId="19EBD9BF" w14:textId="77777777" w:rsidR="00D60186" w:rsidRPr="00225D4D" w:rsidRDefault="00D60186" w:rsidP="00225D4D">
      <w:r w:rsidRPr="00225D4D">
        <w:t>Oppfølgingen har tatt mer tid enn ventet. Samferdselsdepartementet tar sikte på at et forskriftsforslag kan sendes på høring i løpet av 2025 og vil komme tilbake til saken på egnet måte.</w:t>
      </w:r>
    </w:p>
    <w:p w14:paraId="080D3FEB" w14:textId="77777777" w:rsidR="00D60186" w:rsidRPr="00225D4D" w:rsidRDefault="00D60186" w:rsidP="00225D4D">
      <w:pPr>
        <w:pStyle w:val="avsnitt-tittel"/>
      </w:pPr>
      <w:r w:rsidRPr="00225D4D">
        <w:t xml:space="preserve">Medisinsk grunna dispensasjon for svaksynte etter </w:t>
      </w:r>
      <w:proofErr w:type="spellStart"/>
      <w:r w:rsidRPr="00225D4D">
        <w:t>førarkortregelverket</w:t>
      </w:r>
      <w:proofErr w:type="spellEnd"/>
    </w:p>
    <w:p w14:paraId="7F59D171" w14:textId="77777777" w:rsidR="00D60186" w:rsidRPr="00225D4D" w:rsidRDefault="00D60186" w:rsidP="00225D4D">
      <w:pPr>
        <w:pStyle w:val="avsnitt-undertittel"/>
      </w:pPr>
      <w:r w:rsidRPr="00225D4D">
        <w:t>Vedtak nr. 960, 20. mai 2021</w:t>
      </w:r>
    </w:p>
    <w:p w14:paraId="33C4C94C" w14:textId="77777777" w:rsidR="00D60186" w:rsidRPr="00225D4D" w:rsidRDefault="00D60186" w:rsidP="00225D4D">
      <w:pPr>
        <w:pStyle w:val="blokksit"/>
        <w:rPr>
          <w:rStyle w:val="kursiv"/>
        </w:rPr>
      </w:pPr>
      <w:r w:rsidRPr="00225D4D">
        <w:rPr>
          <w:rStyle w:val="kursiv"/>
        </w:rPr>
        <w:t>«Stortinget ber regjeringen fremme sak om å myke opp adgangen til medisinsk begrunnet dispensasjon etter førerkortregelverket, slik at personer med nedsatt syn kan få førerrett i tråd med praksis som gjaldt frem til 2019.»</w:t>
      </w:r>
    </w:p>
    <w:p w14:paraId="1F6B3C28" w14:textId="77777777" w:rsidR="00D60186" w:rsidRPr="00225D4D" w:rsidRDefault="00D60186" w:rsidP="00225D4D">
      <w:r w:rsidRPr="00225D4D">
        <w:t xml:space="preserve">Dokumentene som ligger til grunn for vedtaket, er representantforslag fra stortingsrepresentantene Bård </w:t>
      </w:r>
      <w:proofErr w:type="spellStart"/>
      <w:r w:rsidRPr="00225D4D">
        <w:t>Hoksrud</w:t>
      </w:r>
      <w:proofErr w:type="spellEnd"/>
      <w:r w:rsidRPr="00225D4D">
        <w:t xml:space="preserve"> og Tor André Johnsen om medisinsk begrunnet dispensasjon for svaksynte, jf. Dokument 8:179 (2020–2021) og </w:t>
      </w:r>
      <w:proofErr w:type="spellStart"/>
      <w:r w:rsidRPr="00225D4D">
        <w:t>Innst</w:t>
      </w:r>
      <w:proofErr w:type="spellEnd"/>
      <w:r w:rsidRPr="00225D4D">
        <w:t>. 432 S (2020–2021).</w:t>
      </w:r>
    </w:p>
    <w:p w14:paraId="6FEF924F" w14:textId="77777777" w:rsidR="00D60186" w:rsidRPr="00225D4D" w:rsidRDefault="00D60186" w:rsidP="00225D4D">
      <w:r w:rsidRPr="00225D4D">
        <w:t xml:space="preserve">I </w:t>
      </w:r>
      <w:proofErr w:type="spellStart"/>
      <w:r w:rsidRPr="00225D4D">
        <w:t>Prop</w:t>
      </w:r>
      <w:proofErr w:type="spellEnd"/>
      <w:r w:rsidRPr="00225D4D">
        <w:t>. 1 S (2024–2025) opplyste Samferdselsdepartementet at Statens vegvesen i tildelingsbrevet for 2024 fikk, i samråd med Helsedirektoratet, i oppdrag innen 31. desember 2024 vurdere nærmere mulighetene for å innføre en smal, men reell sikkerhetsventil med høy terskel som kan gi grunnlag for i særegne tilfelle å gi unntak fra helsekravene for kjøreseddel etter en individuell medisinskfaglig vurdering og ev. en kjørevurdering.</w:t>
      </w:r>
    </w:p>
    <w:p w14:paraId="54CCE15A" w14:textId="77777777" w:rsidR="00D60186" w:rsidRPr="00225D4D" w:rsidRDefault="00D60186" w:rsidP="00225D4D">
      <w:r w:rsidRPr="00225D4D">
        <w:t>I utredningen som ble levert i desember 2024, vises det særlig til ny forskning som har avdekt svakheter i dagens undersøkelsesmetoder for synsfeltsvekkelser. Dette har medført at det pågår arbeid med å vurdere endringer i synsfeltkravene og undersøkelsesmetodene. Endringer vil kunne bidra til at vurderingen av om kravene i dagens regelverk er oppfylt, blir mer korrekt, og vil kunne innebære at personer som etter gjeldende regler ikke ville oppfylt helsekravene til kjøreseddel, likevel får kjøreseddel. Statens vegvesen og Helsedirektoratet tilrår i lys av dette at videre arbeid med en mulig dispensasjonshjemmel sees i sammenheng med dette arbeidet.</w:t>
      </w:r>
    </w:p>
    <w:p w14:paraId="52EE0EE3" w14:textId="77777777" w:rsidR="00D60186" w:rsidRPr="00225D4D" w:rsidRDefault="00D60186" w:rsidP="00225D4D">
      <w:r w:rsidRPr="00225D4D">
        <w:t xml:space="preserve">Samferdselsdepartementet er enig i dette. Det vil derfor nå ikke arbeides videre med en dispensasjonshjemmel, men behovet for en slik regel vil ses i sammenheng med det pågående arbeidet med reglene for synsfeltsvekkelser. Samferdselsdepartementet viser også til at det i </w:t>
      </w:r>
      <w:proofErr w:type="spellStart"/>
      <w:r w:rsidRPr="00225D4D">
        <w:t>Prop</w:t>
      </w:r>
      <w:proofErr w:type="spellEnd"/>
      <w:r w:rsidRPr="00225D4D">
        <w:t>. 1 S (2022–2023) uttalte: «Samferdselsdepartementet deler etatenes vurderinger om at det ikke er rettslig handlingsrom etter EØS-avtalen til å gjeninnføre en dispensasjonsadgang for helsekravene til førerkort».</w:t>
      </w:r>
    </w:p>
    <w:p w14:paraId="11BE0876" w14:textId="77777777" w:rsidR="00D60186" w:rsidRPr="00225D4D" w:rsidRDefault="00D60186" w:rsidP="00225D4D">
      <w:r w:rsidRPr="00225D4D">
        <w:t>Samferdselsdepartementet anser med dette vedtaket som fulgt opp.</w:t>
      </w:r>
    </w:p>
    <w:p w14:paraId="42576338" w14:textId="77777777" w:rsidR="00D60186" w:rsidRPr="00225D4D" w:rsidRDefault="00D60186" w:rsidP="00225D4D">
      <w:pPr>
        <w:pStyle w:val="avsnitt-tittel"/>
      </w:pPr>
      <w:r w:rsidRPr="00225D4D">
        <w:t>Permanent løysing for småflyaktiviteten i Oslo-området</w:t>
      </w:r>
    </w:p>
    <w:p w14:paraId="2D8638B5" w14:textId="77777777" w:rsidR="00D60186" w:rsidRPr="00225D4D" w:rsidRDefault="00D60186" w:rsidP="00225D4D">
      <w:pPr>
        <w:pStyle w:val="avsnitt-undertittel"/>
      </w:pPr>
      <w:r w:rsidRPr="00225D4D">
        <w:t>Vedtak nr. 1098, 2. juni 2021</w:t>
      </w:r>
    </w:p>
    <w:p w14:paraId="113A37AC" w14:textId="77777777" w:rsidR="00D60186" w:rsidRPr="00225D4D" w:rsidRDefault="00D60186" w:rsidP="00225D4D">
      <w:pPr>
        <w:pStyle w:val="blokksit"/>
        <w:rPr>
          <w:rStyle w:val="kursiv"/>
        </w:rPr>
      </w:pPr>
      <w:r w:rsidRPr="00225D4D">
        <w:rPr>
          <w:rStyle w:val="kursiv"/>
        </w:rPr>
        <w:t>«Stortinget ber regjeringen legge frem en sak for Stortinget med en plan for en permanent løsning for småflyaktiviteten i Oslo-området. Inntil en slik plan foreligger og er realisert, må regjeringen medvirke til at dagens småflyaktivitet kan fortsette ved Kjeller flyplass.»</w:t>
      </w:r>
    </w:p>
    <w:p w14:paraId="017672A4" w14:textId="77777777" w:rsidR="00D60186" w:rsidRPr="00225D4D" w:rsidRDefault="00D60186" w:rsidP="00225D4D">
      <w:r w:rsidRPr="00225D4D">
        <w:t xml:space="preserve">Dokumentene som ligger til grunn for vedtaket, er representantforslag fra stortingsrepresentantene Sigbjørn Gjelsvik, Bengt Fasteraune og Ole André Myhrvold om en permanent løsning for småflyaktiviteten i Oslo-området og luftfartøyvernsenter på Kjeller, jf. Dokument 8:241 S (2020–2021) og </w:t>
      </w:r>
      <w:proofErr w:type="spellStart"/>
      <w:r w:rsidRPr="00225D4D">
        <w:t>Innst</w:t>
      </w:r>
      <w:proofErr w:type="spellEnd"/>
      <w:r w:rsidRPr="00225D4D">
        <w:t>. 543 S (2020–2021).</w:t>
      </w:r>
    </w:p>
    <w:p w14:paraId="3818B70D" w14:textId="77777777" w:rsidR="00D60186" w:rsidRPr="00225D4D" w:rsidRDefault="00D60186" w:rsidP="00225D4D">
      <w:r w:rsidRPr="00225D4D">
        <w:t xml:space="preserve">I </w:t>
      </w:r>
      <w:proofErr w:type="spellStart"/>
      <w:r w:rsidRPr="00225D4D">
        <w:t>Prop</w:t>
      </w:r>
      <w:proofErr w:type="spellEnd"/>
      <w:r w:rsidRPr="00225D4D">
        <w:t>. 1 S (2024–2025) opplyste Samferdselsdepartementet at Lillestrøm kommune hadde informert om at saken om fremtidig utvikling av Kjeller flyplass etter planen skulle behandles i kommunestyret i løpet av høsten 2024.</w:t>
      </w:r>
    </w:p>
    <w:p w14:paraId="27332D6A" w14:textId="77777777" w:rsidR="00D60186" w:rsidRPr="00225D4D" w:rsidRDefault="00D60186" w:rsidP="00225D4D">
      <w:r w:rsidRPr="00225D4D">
        <w:t>Lillestrøm kommune besluttet høsten 2024 å gå videre med alternativet byutvikling uten funksjonell flystripe. Det innebærer at småflyvirksomheten som i dag er på Kjeller flyplass, må flytte når flystripen stenges. Tidspunktene for Forsvarets avhending av Kjeller leir og stenging av flystripen er ikke endelig fastsatt, da dette er avhengig av kommunens planprosess for området. Sannsynligvis kan aktiviteten pågå frem mot 2030, så lenge dagens sivile brukere selv ønsker å leie og drifte flystripen etter at Forsvarets behov for denne opphører i 2026.</w:t>
      </w:r>
    </w:p>
    <w:p w14:paraId="71620995" w14:textId="77777777" w:rsidR="00D60186" w:rsidRPr="00225D4D" w:rsidRDefault="00D60186" w:rsidP="00225D4D">
      <w:r w:rsidRPr="00225D4D">
        <w:t>Sammen med Forsvarsdepartementet har Samferdselsdepartementet vurdert muligheten for økt småflyaktivitet på de statlige flyplassene på Gardermoen og Rygge. Vurderingen er at det ikke er tilgjengelig kapasitet på disse, utover det som tilbys småflymiljøet i dag. Løsningen for småflyaktiviteten i Oslo-området må dermed innebære bruk av private eller kommunale flyplasser i regionen. Aktuelle alternativer kan være flyplassene på Eggemoen i Ringerike kommune, Jarlsberg i Tønsberg kommune og Rakkestad i Rakkestad kommune.</w:t>
      </w:r>
    </w:p>
    <w:p w14:paraId="59167D4F" w14:textId="77777777" w:rsidR="00D60186" w:rsidRPr="00225D4D" w:rsidRDefault="00D60186" w:rsidP="00225D4D">
      <w:r w:rsidRPr="00225D4D">
        <w:t>Departementet er opptatt av at småflymiljøet selv bør ha en aktiv rolle i den videre vurderingen av de aktuelle alternativene, og at dette bør skje i tett dialog med konsesjonshaverne av de aktuelle lufthavnene for å utforske hvordan ulike initiativer kan bidra til å skape gjensidige fordeler. For luftsport i regi av flyklubber under Norges Luftsportforbund, kan ordningen med spillemidler til idrettsanlegg være en mulighet til å få tilskudd til bl.a. start-/landingsstriper og hangarer. Tilskudd fra spillemidlene vil imidlertid utgjøre en mindre andel av totalutgiftene ved slike investeringer.</w:t>
      </w:r>
    </w:p>
    <w:p w14:paraId="4ED213FE" w14:textId="77777777" w:rsidR="00D60186" w:rsidRPr="00225D4D" w:rsidRDefault="00D60186" w:rsidP="00225D4D">
      <w:r w:rsidRPr="00225D4D">
        <w:t>I tillegg vil departementet løpende vurdere om bruk av konsesjonsvilkår for aktuelle flyplasser kan være et supplerende virkemiddel for å skape tilstrekkelig ny kapasitet for de som mister tilbudet på Kjeller.</w:t>
      </w:r>
    </w:p>
    <w:p w14:paraId="6C55DE5F" w14:textId="77777777" w:rsidR="00D60186" w:rsidRPr="00225D4D" w:rsidRDefault="00D60186" w:rsidP="00225D4D">
      <w:r w:rsidRPr="00225D4D">
        <w:t>Samferdselsdepartementet vil komme tilbake til saken på egnet måte.</w:t>
      </w:r>
    </w:p>
    <w:p w14:paraId="3540E051" w14:textId="77777777" w:rsidR="00D60186" w:rsidRPr="00225D4D" w:rsidRDefault="00D60186" w:rsidP="00225D4D">
      <w:pPr>
        <w:pStyle w:val="Overskrift1"/>
      </w:pPr>
      <w:r w:rsidRPr="00225D4D">
        <w:t>Utenriksdepartementet</w:t>
      </w:r>
    </w:p>
    <w:p w14:paraId="14EA5C5E" w14:textId="77777777" w:rsidR="00D60186" w:rsidRPr="00225D4D" w:rsidRDefault="00D60186" w:rsidP="00225D4D">
      <w:r w:rsidRPr="00225D4D">
        <w:t xml:space="preserve">Nedenfor gis en oversikt over oppfølging av anmodnings- og utredningsvedtak under Utenriksdepartementet. Oversikten inkluderer alle vedtak fra stortingssesjonen 2024–2025, samt de vedtakene fra tidligere stortingssesjoner som kontroll- og konstitusjonskomiteen i </w:t>
      </w:r>
      <w:proofErr w:type="spellStart"/>
      <w:r w:rsidRPr="00225D4D">
        <w:t>Innst</w:t>
      </w:r>
      <w:proofErr w:type="spellEnd"/>
      <w:r w:rsidRPr="00225D4D">
        <w:t>. 216 S (2024–2025) mente ikke var kvittert ut. I tabellen nedenfor angis det også hvorvidt departementet planlegger at rapporteringen knyttet til anmodningsvedtaket nå avsluttes eller om departementet vil rapportere konkret på vedtaket også i neste års budsjettproposisjon.</w:t>
      </w:r>
    </w:p>
    <w:p w14:paraId="20314717" w14:textId="1D80F3AF" w:rsidR="002D4C2A" w:rsidRPr="00225D4D" w:rsidRDefault="002D4C2A" w:rsidP="00225D4D">
      <w:pPr>
        <w:pStyle w:val="tabell-tittel"/>
      </w:pPr>
      <w:r w:rsidRPr="00225D4D">
        <w:t>Oversikt over anmodnings- og utredningsvedtak, ordnet etter sesjon og nummer</w:t>
      </w:r>
    </w:p>
    <w:p w14:paraId="7DE64CEC" w14:textId="77777777" w:rsidR="00D60186" w:rsidRPr="00225D4D" w:rsidRDefault="00D60186" w:rsidP="00225D4D">
      <w:pPr>
        <w:pStyle w:val="Tabellnavn"/>
      </w:pPr>
      <w:r w:rsidRPr="00225D4D">
        <w:t>04J1xt2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320"/>
        <w:gridCol w:w="1180"/>
        <w:gridCol w:w="5420"/>
        <w:gridCol w:w="1620"/>
      </w:tblGrid>
      <w:tr w:rsidR="00E76DC8" w:rsidRPr="00225D4D" w14:paraId="20D04986" w14:textId="77777777">
        <w:trPr>
          <w:trHeight w:val="860"/>
        </w:trPr>
        <w:tc>
          <w:tcPr>
            <w:tcW w:w="1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2996A8" w14:textId="77777777" w:rsidR="00D60186" w:rsidRPr="004003C1" w:rsidRDefault="00D60186" w:rsidP="00225D4D">
            <w:pPr>
              <w:rPr>
                <w:sz w:val="21"/>
                <w:szCs w:val="21"/>
              </w:rPr>
            </w:pPr>
            <w:r w:rsidRPr="004003C1">
              <w:rPr>
                <w:sz w:val="21"/>
                <w:szCs w:val="21"/>
              </w:rPr>
              <w:t>Sesjon</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8583FA" w14:textId="77777777" w:rsidR="00D60186" w:rsidRPr="004003C1" w:rsidRDefault="00D60186" w:rsidP="004003C1">
            <w:pPr>
              <w:ind w:right="113"/>
              <w:jc w:val="right"/>
              <w:rPr>
                <w:sz w:val="21"/>
                <w:szCs w:val="21"/>
              </w:rPr>
            </w:pPr>
            <w:r w:rsidRPr="004003C1">
              <w:rPr>
                <w:sz w:val="21"/>
                <w:szCs w:val="21"/>
              </w:rPr>
              <w:t>Vedtak nr.</w:t>
            </w:r>
          </w:p>
        </w:tc>
        <w:tc>
          <w:tcPr>
            <w:tcW w:w="54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24B23D" w14:textId="77777777" w:rsidR="00D60186" w:rsidRPr="004003C1" w:rsidRDefault="00D60186" w:rsidP="00225D4D">
            <w:pPr>
              <w:rPr>
                <w:sz w:val="21"/>
                <w:szCs w:val="21"/>
              </w:rPr>
            </w:pPr>
            <w:r w:rsidRPr="004003C1">
              <w:rPr>
                <w:sz w:val="21"/>
                <w:szCs w:val="21"/>
              </w:rPr>
              <w:t>Stikkord</w:t>
            </w:r>
          </w:p>
        </w:tc>
        <w:tc>
          <w:tcPr>
            <w:tcW w:w="1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D68C46" w14:textId="77777777" w:rsidR="00D60186" w:rsidRPr="004003C1" w:rsidRDefault="00D60186" w:rsidP="004003C1">
            <w:pPr>
              <w:jc w:val="right"/>
              <w:rPr>
                <w:sz w:val="21"/>
                <w:szCs w:val="21"/>
              </w:rPr>
            </w:pPr>
            <w:r w:rsidRPr="004003C1">
              <w:rPr>
                <w:sz w:val="21"/>
                <w:szCs w:val="21"/>
              </w:rPr>
              <w:t xml:space="preserve">Rapportering </w:t>
            </w:r>
            <w:r w:rsidRPr="004003C1">
              <w:rPr>
                <w:sz w:val="21"/>
                <w:szCs w:val="21"/>
              </w:rPr>
              <w:br/>
              <w:t xml:space="preserve">avsluttes </w:t>
            </w:r>
            <w:r w:rsidRPr="004003C1">
              <w:rPr>
                <w:sz w:val="21"/>
                <w:szCs w:val="21"/>
              </w:rPr>
              <w:br/>
              <w:t>(Ja/Nei)</w:t>
            </w:r>
          </w:p>
        </w:tc>
      </w:tr>
      <w:tr w:rsidR="00E76DC8" w:rsidRPr="00225D4D" w14:paraId="5CD88B07" w14:textId="77777777" w:rsidTr="009D31E8">
        <w:trPr>
          <w:trHeight w:val="20"/>
        </w:trPr>
        <w:tc>
          <w:tcPr>
            <w:tcW w:w="1320" w:type="dxa"/>
            <w:tcBorders>
              <w:top w:val="single" w:sz="4" w:space="0" w:color="000000"/>
              <w:left w:val="nil"/>
              <w:bottom w:val="nil"/>
              <w:right w:val="nil"/>
            </w:tcBorders>
            <w:tcMar>
              <w:top w:w="128" w:type="dxa"/>
              <w:left w:w="43" w:type="dxa"/>
              <w:bottom w:w="43" w:type="dxa"/>
              <w:right w:w="43" w:type="dxa"/>
            </w:tcMar>
          </w:tcPr>
          <w:p w14:paraId="71A16953" w14:textId="77777777" w:rsidR="00D60186" w:rsidRPr="004003C1" w:rsidRDefault="00D60186" w:rsidP="00225D4D">
            <w:pPr>
              <w:rPr>
                <w:sz w:val="21"/>
                <w:szCs w:val="21"/>
              </w:rPr>
            </w:pPr>
            <w:r w:rsidRPr="004003C1">
              <w:rPr>
                <w:sz w:val="21"/>
                <w:szCs w:val="21"/>
              </w:rPr>
              <w:t>2024–2025</w:t>
            </w:r>
          </w:p>
        </w:tc>
        <w:tc>
          <w:tcPr>
            <w:tcW w:w="1180" w:type="dxa"/>
            <w:tcBorders>
              <w:top w:val="single" w:sz="4" w:space="0" w:color="000000"/>
              <w:left w:val="nil"/>
              <w:bottom w:val="nil"/>
              <w:right w:val="nil"/>
            </w:tcBorders>
            <w:tcMar>
              <w:top w:w="128" w:type="dxa"/>
              <w:left w:w="43" w:type="dxa"/>
              <w:bottom w:w="43" w:type="dxa"/>
              <w:right w:w="43" w:type="dxa"/>
            </w:tcMar>
          </w:tcPr>
          <w:p w14:paraId="58529893" w14:textId="77777777" w:rsidR="00D60186" w:rsidRPr="004003C1" w:rsidRDefault="00D60186" w:rsidP="004003C1">
            <w:pPr>
              <w:ind w:right="113"/>
              <w:jc w:val="right"/>
              <w:rPr>
                <w:sz w:val="21"/>
                <w:szCs w:val="21"/>
              </w:rPr>
            </w:pPr>
            <w:r w:rsidRPr="004003C1">
              <w:rPr>
                <w:sz w:val="21"/>
                <w:szCs w:val="21"/>
              </w:rPr>
              <w:t>101</w:t>
            </w:r>
          </w:p>
        </w:tc>
        <w:tc>
          <w:tcPr>
            <w:tcW w:w="5420" w:type="dxa"/>
            <w:tcBorders>
              <w:top w:val="single" w:sz="4" w:space="0" w:color="000000"/>
              <w:left w:val="nil"/>
              <w:bottom w:val="nil"/>
              <w:right w:val="nil"/>
            </w:tcBorders>
            <w:tcMar>
              <w:top w:w="128" w:type="dxa"/>
              <w:left w:w="43" w:type="dxa"/>
              <w:bottom w:w="43" w:type="dxa"/>
              <w:right w:w="43" w:type="dxa"/>
            </w:tcMar>
          </w:tcPr>
          <w:p w14:paraId="73B43051" w14:textId="77777777" w:rsidR="00D60186" w:rsidRPr="004003C1" w:rsidRDefault="00D60186" w:rsidP="00225D4D">
            <w:pPr>
              <w:rPr>
                <w:sz w:val="21"/>
                <w:szCs w:val="21"/>
              </w:rPr>
            </w:pPr>
            <w:r w:rsidRPr="004003C1">
              <w:rPr>
                <w:sz w:val="21"/>
                <w:szCs w:val="21"/>
              </w:rPr>
              <w:t>Stortingsmelding om Norges langsiktige internasjonale innsats for fred og forsoning.</w:t>
            </w:r>
          </w:p>
        </w:tc>
        <w:tc>
          <w:tcPr>
            <w:tcW w:w="1620" w:type="dxa"/>
            <w:tcBorders>
              <w:top w:val="single" w:sz="4" w:space="0" w:color="000000"/>
              <w:left w:val="nil"/>
              <w:bottom w:val="nil"/>
              <w:right w:val="nil"/>
            </w:tcBorders>
            <w:tcMar>
              <w:top w:w="128" w:type="dxa"/>
              <w:left w:w="43" w:type="dxa"/>
              <w:bottom w:w="43" w:type="dxa"/>
              <w:right w:w="43" w:type="dxa"/>
            </w:tcMar>
          </w:tcPr>
          <w:p w14:paraId="62AE895C" w14:textId="77777777" w:rsidR="00D60186" w:rsidRPr="004003C1" w:rsidRDefault="00D60186" w:rsidP="004003C1">
            <w:pPr>
              <w:jc w:val="right"/>
              <w:rPr>
                <w:sz w:val="21"/>
                <w:szCs w:val="21"/>
              </w:rPr>
            </w:pPr>
            <w:r w:rsidRPr="004003C1">
              <w:rPr>
                <w:sz w:val="21"/>
                <w:szCs w:val="21"/>
              </w:rPr>
              <w:t>Ja</w:t>
            </w:r>
          </w:p>
        </w:tc>
      </w:tr>
      <w:tr w:rsidR="00E76DC8" w:rsidRPr="00225D4D" w14:paraId="46723D62" w14:textId="77777777" w:rsidTr="009D31E8">
        <w:trPr>
          <w:trHeight w:val="20"/>
        </w:trPr>
        <w:tc>
          <w:tcPr>
            <w:tcW w:w="1320" w:type="dxa"/>
            <w:tcBorders>
              <w:top w:val="nil"/>
              <w:left w:val="nil"/>
              <w:bottom w:val="nil"/>
              <w:right w:val="nil"/>
            </w:tcBorders>
            <w:tcMar>
              <w:top w:w="128" w:type="dxa"/>
              <w:left w:w="43" w:type="dxa"/>
              <w:bottom w:w="43" w:type="dxa"/>
              <w:right w:w="43" w:type="dxa"/>
            </w:tcMar>
          </w:tcPr>
          <w:p w14:paraId="7A5A6800" w14:textId="77777777" w:rsidR="00D60186" w:rsidRPr="004003C1" w:rsidRDefault="00D60186" w:rsidP="00225D4D">
            <w:pPr>
              <w:rPr>
                <w:sz w:val="21"/>
                <w:szCs w:val="21"/>
              </w:rPr>
            </w:pPr>
            <w:r w:rsidRPr="004003C1">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7954CDBE" w14:textId="77777777" w:rsidR="00D60186" w:rsidRPr="004003C1" w:rsidRDefault="00D60186" w:rsidP="004003C1">
            <w:pPr>
              <w:ind w:right="113"/>
              <w:jc w:val="right"/>
              <w:rPr>
                <w:sz w:val="21"/>
                <w:szCs w:val="21"/>
              </w:rPr>
            </w:pPr>
            <w:r w:rsidRPr="004003C1">
              <w:rPr>
                <w:sz w:val="21"/>
                <w:szCs w:val="21"/>
              </w:rPr>
              <w:t>981</w:t>
            </w:r>
          </w:p>
        </w:tc>
        <w:tc>
          <w:tcPr>
            <w:tcW w:w="5420" w:type="dxa"/>
            <w:tcBorders>
              <w:top w:val="nil"/>
              <w:left w:val="nil"/>
              <w:bottom w:val="nil"/>
              <w:right w:val="nil"/>
            </w:tcBorders>
            <w:tcMar>
              <w:top w:w="128" w:type="dxa"/>
              <w:left w:w="43" w:type="dxa"/>
              <w:bottom w:w="43" w:type="dxa"/>
              <w:right w:w="43" w:type="dxa"/>
            </w:tcMar>
          </w:tcPr>
          <w:p w14:paraId="4565FB11" w14:textId="77777777" w:rsidR="00D60186" w:rsidRPr="004003C1" w:rsidRDefault="00D60186" w:rsidP="00225D4D">
            <w:pPr>
              <w:rPr>
                <w:sz w:val="21"/>
                <w:szCs w:val="21"/>
              </w:rPr>
            </w:pPr>
            <w:r w:rsidRPr="004003C1">
              <w:rPr>
                <w:sz w:val="21"/>
                <w:szCs w:val="21"/>
              </w:rPr>
              <w:t>Nytt mål om klimafinansiering</w:t>
            </w:r>
          </w:p>
        </w:tc>
        <w:tc>
          <w:tcPr>
            <w:tcW w:w="1620" w:type="dxa"/>
            <w:tcBorders>
              <w:top w:val="nil"/>
              <w:left w:val="nil"/>
              <w:bottom w:val="nil"/>
              <w:right w:val="nil"/>
            </w:tcBorders>
            <w:tcMar>
              <w:top w:w="128" w:type="dxa"/>
              <w:left w:w="43" w:type="dxa"/>
              <w:bottom w:w="43" w:type="dxa"/>
              <w:right w:w="43" w:type="dxa"/>
            </w:tcMar>
          </w:tcPr>
          <w:p w14:paraId="745D9D8E" w14:textId="77777777" w:rsidR="00D60186" w:rsidRPr="004003C1" w:rsidRDefault="00D60186" w:rsidP="004003C1">
            <w:pPr>
              <w:jc w:val="right"/>
              <w:rPr>
                <w:sz w:val="21"/>
                <w:szCs w:val="21"/>
              </w:rPr>
            </w:pPr>
            <w:r w:rsidRPr="004003C1">
              <w:rPr>
                <w:sz w:val="21"/>
                <w:szCs w:val="21"/>
              </w:rPr>
              <w:t>Nei</w:t>
            </w:r>
          </w:p>
        </w:tc>
      </w:tr>
      <w:tr w:rsidR="00E76DC8" w:rsidRPr="00225D4D" w14:paraId="7C5B673E" w14:textId="77777777" w:rsidTr="009D31E8">
        <w:trPr>
          <w:trHeight w:val="20"/>
        </w:trPr>
        <w:tc>
          <w:tcPr>
            <w:tcW w:w="1320" w:type="dxa"/>
            <w:tcBorders>
              <w:top w:val="nil"/>
              <w:left w:val="nil"/>
              <w:bottom w:val="nil"/>
              <w:right w:val="nil"/>
            </w:tcBorders>
            <w:tcMar>
              <w:top w:w="128" w:type="dxa"/>
              <w:left w:w="43" w:type="dxa"/>
              <w:bottom w:w="43" w:type="dxa"/>
              <w:right w:w="43" w:type="dxa"/>
            </w:tcMar>
          </w:tcPr>
          <w:p w14:paraId="27A9A88D" w14:textId="77777777" w:rsidR="00D60186" w:rsidRPr="004003C1" w:rsidRDefault="00D60186" w:rsidP="00225D4D">
            <w:pPr>
              <w:rPr>
                <w:sz w:val="21"/>
                <w:szCs w:val="21"/>
              </w:rPr>
            </w:pPr>
            <w:r w:rsidRPr="004003C1">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32B3FBCB" w14:textId="77777777" w:rsidR="00D60186" w:rsidRPr="004003C1" w:rsidRDefault="00D60186" w:rsidP="004003C1">
            <w:pPr>
              <w:ind w:right="113"/>
              <w:jc w:val="right"/>
              <w:rPr>
                <w:sz w:val="21"/>
                <w:szCs w:val="21"/>
              </w:rPr>
            </w:pPr>
            <w:r w:rsidRPr="004003C1">
              <w:rPr>
                <w:sz w:val="21"/>
                <w:szCs w:val="21"/>
              </w:rPr>
              <w:t>984</w:t>
            </w:r>
          </w:p>
        </w:tc>
        <w:tc>
          <w:tcPr>
            <w:tcW w:w="5420" w:type="dxa"/>
            <w:tcBorders>
              <w:top w:val="nil"/>
              <w:left w:val="nil"/>
              <w:bottom w:val="nil"/>
              <w:right w:val="nil"/>
            </w:tcBorders>
            <w:tcMar>
              <w:top w:w="128" w:type="dxa"/>
              <w:left w:w="43" w:type="dxa"/>
              <w:bottom w:w="43" w:type="dxa"/>
              <w:right w:w="43" w:type="dxa"/>
            </w:tcMar>
          </w:tcPr>
          <w:p w14:paraId="3DCF7B08" w14:textId="77777777" w:rsidR="00D60186" w:rsidRPr="004003C1" w:rsidRDefault="00D60186" w:rsidP="00225D4D">
            <w:pPr>
              <w:rPr>
                <w:sz w:val="21"/>
                <w:szCs w:val="21"/>
              </w:rPr>
            </w:pPr>
            <w:r w:rsidRPr="004003C1">
              <w:rPr>
                <w:sz w:val="21"/>
                <w:szCs w:val="21"/>
              </w:rPr>
              <w:t>Klimainvesteringsfondet</w:t>
            </w:r>
          </w:p>
        </w:tc>
        <w:tc>
          <w:tcPr>
            <w:tcW w:w="1620" w:type="dxa"/>
            <w:tcBorders>
              <w:top w:val="nil"/>
              <w:left w:val="nil"/>
              <w:bottom w:val="nil"/>
              <w:right w:val="nil"/>
            </w:tcBorders>
            <w:tcMar>
              <w:top w:w="128" w:type="dxa"/>
              <w:left w:w="43" w:type="dxa"/>
              <w:bottom w:w="43" w:type="dxa"/>
              <w:right w:w="43" w:type="dxa"/>
            </w:tcMar>
          </w:tcPr>
          <w:p w14:paraId="5BAFA50A" w14:textId="77777777" w:rsidR="00D60186" w:rsidRPr="004003C1" w:rsidRDefault="00D60186" w:rsidP="004003C1">
            <w:pPr>
              <w:jc w:val="right"/>
              <w:rPr>
                <w:sz w:val="21"/>
                <w:szCs w:val="21"/>
              </w:rPr>
            </w:pPr>
            <w:r w:rsidRPr="004003C1">
              <w:rPr>
                <w:sz w:val="21"/>
                <w:szCs w:val="21"/>
              </w:rPr>
              <w:t>Nei</w:t>
            </w:r>
          </w:p>
        </w:tc>
      </w:tr>
      <w:tr w:rsidR="00E76DC8" w:rsidRPr="00225D4D" w14:paraId="7FCBBF80" w14:textId="77777777" w:rsidTr="009D31E8">
        <w:trPr>
          <w:trHeight w:val="20"/>
        </w:trPr>
        <w:tc>
          <w:tcPr>
            <w:tcW w:w="1320" w:type="dxa"/>
            <w:tcBorders>
              <w:top w:val="nil"/>
              <w:left w:val="nil"/>
              <w:bottom w:val="nil"/>
              <w:right w:val="nil"/>
            </w:tcBorders>
            <w:tcMar>
              <w:top w:w="128" w:type="dxa"/>
              <w:left w:w="43" w:type="dxa"/>
              <w:bottom w:w="43" w:type="dxa"/>
              <w:right w:w="43" w:type="dxa"/>
            </w:tcMar>
          </w:tcPr>
          <w:p w14:paraId="5994A3F7" w14:textId="77777777" w:rsidR="00D60186" w:rsidRPr="004003C1" w:rsidRDefault="00D60186" w:rsidP="00225D4D">
            <w:pPr>
              <w:rPr>
                <w:sz w:val="21"/>
                <w:szCs w:val="21"/>
              </w:rPr>
            </w:pPr>
            <w:r w:rsidRPr="004003C1">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3663310B" w14:textId="77777777" w:rsidR="00D60186" w:rsidRPr="004003C1" w:rsidRDefault="00D60186" w:rsidP="004003C1">
            <w:pPr>
              <w:ind w:right="113"/>
              <w:jc w:val="right"/>
              <w:rPr>
                <w:sz w:val="21"/>
                <w:szCs w:val="21"/>
              </w:rPr>
            </w:pPr>
            <w:r w:rsidRPr="004003C1">
              <w:rPr>
                <w:sz w:val="21"/>
                <w:szCs w:val="21"/>
              </w:rPr>
              <w:t>1250</w:t>
            </w:r>
          </w:p>
        </w:tc>
        <w:tc>
          <w:tcPr>
            <w:tcW w:w="5420" w:type="dxa"/>
            <w:tcBorders>
              <w:top w:val="nil"/>
              <w:left w:val="nil"/>
              <w:bottom w:val="nil"/>
              <w:right w:val="nil"/>
            </w:tcBorders>
            <w:tcMar>
              <w:top w:w="128" w:type="dxa"/>
              <w:left w:w="43" w:type="dxa"/>
              <w:bottom w:w="43" w:type="dxa"/>
              <w:right w:w="43" w:type="dxa"/>
            </w:tcMar>
          </w:tcPr>
          <w:p w14:paraId="165D4592" w14:textId="77777777" w:rsidR="00D60186" w:rsidRPr="004003C1" w:rsidRDefault="00D60186" w:rsidP="00225D4D">
            <w:pPr>
              <w:rPr>
                <w:sz w:val="21"/>
                <w:szCs w:val="21"/>
              </w:rPr>
            </w:pPr>
            <w:r w:rsidRPr="004003C1">
              <w:rPr>
                <w:sz w:val="21"/>
                <w:szCs w:val="21"/>
              </w:rPr>
              <w:t>Forbud mot handel og annen næringsvirksomhet med selskaper som bidrar til å opprettholde Israels ulovlige okkupasjon av palestinske områder</w:t>
            </w:r>
          </w:p>
        </w:tc>
        <w:tc>
          <w:tcPr>
            <w:tcW w:w="1620" w:type="dxa"/>
            <w:tcBorders>
              <w:top w:val="nil"/>
              <w:left w:val="nil"/>
              <w:bottom w:val="nil"/>
              <w:right w:val="nil"/>
            </w:tcBorders>
            <w:tcMar>
              <w:top w:w="128" w:type="dxa"/>
              <w:left w:w="43" w:type="dxa"/>
              <w:bottom w:w="43" w:type="dxa"/>
              <w:right w:w="43" w:type="dxa"/>
            </w:tcMar>
          </w:tcPr>
          <w:p w14:paraId="1342ABF6" w14:textId="77777777" w:rsidR="00D60186" w:rsidRPr="004003C1" w:rsidRDefault="00D60186" w:rsidP="004003C1">
            <w:pPr>
              <w:jc w:val="right"/>
              <w:rPr>
                <w:sz w:val="21"/>
                <w:szCs w:val="21"/>
              </w:rPr>
            </w:pPr>
            <w:r w:rsidRPr="004003C1">
              <w:rPr>
                <w:sz w:val="21"/>
                <w:szCs w:val="21"/>
              </w:rPr>
              <w:t>Nei</w:t>
            </w:r>
          </w:p>
        </w:tc>
      </w:tr>
      <w:tr w:rsidR="00E76DC8" w:rsidRPr="00225D4D" w14:paraId="3DAF0F5D" w14:textId="77777777" w:rsidTr="009D31E8">
        <w:trPr>
          <w:trHeight w:val="20"/>
        </w:trPr>
        <w:tc>
          <w:tcPr>
            <w:tcW w:w="1320" w:type="dxa"/>
            <w:tcBorders>
              <w:top w:val="nil"/>
              <w:left w:val="nil"/>
              <w:bottom w:val="nil"/>
              <w:right w:val="nil"/>
            </w:tcBorders>
            <w:tcMar>
              <w:top w:w="128" w:type="dxa"/>
              <w:left w:w="43" w:type="dxa"/>
              <w:bottom w:w="43" w:type="dxa"/>
              <w:right w:w="43" w:type="dxa"/>
            </w:tcMar>
          </w:tcPr>
          <w:p w14:paraId="467E881D" w14:textId="77777777" w:rsidR="00D60186" w:rsidRPr="004003C1" w:rsidRDefault="00D60186" w:rsidP="00225D4D">
            <w:pPr>
              <w:rPr>
                <w:sz w:val="21"/>
                <w:szCs w:val="21"/>
              </w:rPr>
            </w:pPr>
            <w:r w:rsidRPr="004003C1">
              <w:rPr>
                <w:sz w:val="21"/>
                <w:szCs w:val="21"/>
              </w:rPr>
              <w:t>2024–2025</w:t>
            </w:r>
          </w:p>
        </w:tc>
        <w:tc>
          <w:tcPr>
            <w:tcW w:w="1180" w:type="dxa"/>
            <w:tcBorders>
              <w:top w:val="nil"/>
              <w:left w:val="nil"/>
              <w:bottom w:val="nil"/>
              <w:right w:val="nil"/>
            </w:tcBorders>
            <w:tcMar>
              <w:top w:w="128" w:type="dxa"/>
              <w:left w:w="43" w:type="dxa"/>
              <w:bottom w:w="43" w:type="dxa"/>
              <w:right w:w="43" w:type="dxa"/>
            </w:tcMar>
          </w:tcPr>
          <w:p w14:paraId="7F3888B0" w14:textId="77777777" w:rsidR="00D60186" w:rsidRPr="004003C1" w:rsidRDefault="00D60186" w:rsidP="004003C1">
            <w:pPr>
              <w:ind w:right="113"/>
              <w:jc w:val="right"/>
              <w:rPr>
                <w:sz w:val="21"/>
                <w:szCs w:val="21"/>
              </w:rPr>
            </w:pPr>
            <w:r w:rsidRPr="004003C1">
              <w:rPr>
                <w:sz w:val="21"/>
                <w:szCs w:val="21"/>
              </w:rPr>
              <w:t>1252</w:t>
            </w:r>
          </w:p>
        </w:tc>
        <w:tc>
          <w:tcPr>
            <w:tcW w:w="5420" w:type="dxa"/>
            <w:tcBorders>
              <w:top w:val="nil"/>
              <w:left w:val="nil"/>
              <w:bottom w:val="nil"/>
              <w:right w:val="nil"/>
            </w:tcBorders>
            <w:tcMar>
              <w:top w:w="128" w:type="dxa"/>
              <w:left w:w="43" w:type="dxa"/>
              <w:bottom w:w="43" w:type="dxa"/>
              <w:right w:w="43" w:type="dxa"/>
            </w:tcMar>
          </w:tcPr>
          <w:p w14:paraId="36E0C512" w14:textId="77777777" w:rsidR="00D60186" w:rsidRPr="004003C1" w:rsidRDefault="00D60186" w:rsidP="00225D4D">
            <w:pPr>
              <w:rPr>
                <w:sz w:val="21"/>
                <w:szCs w:val="21"/>
              </w:rPr>
            </w:pPr>
            <w:r w:rsidRPr="004003C1">
              <w:rPr>
                <w:sz w:val="21"/>
                <w:szCs w:val="21"/>
              </w:rPr>
              <w:t>Norske organisasjoner som arbeider med kjernefysisk nedrustning</w:t>
            </w:r>
          </w:p>
        </w:tc>
        <w:tc>
          <w:tcPr>
            <w:tcW w:w="1620" w:type="dxa"/>
            <w:tcBorders>
              <w:top w:val="nil"/>
              <w:left w:val="nil"/>
              <w:bottom w:val="nil"/>
              <w:right w:val="nil"/>
            </w:tcBorders>
            <w:tcMar>
              <w:top w:w="128" w:type="dxa"/>
              <w:left w:w="43" w:type="dxa"/>
              <w:bottom w:w="43" w:type="dxa"/>
              <w:right w:w="43" w:type="dxa"/>
            </w:tcMar>
          </w:tcPr>
          <w:p w14:paraId="67F50433" w14:textId="77777777" w:rsidR="00D60186" w:rsidRPr="004003C1" w:rsidRDefault="00D60186" w:rsidP="004003C1">
            <w:pPr>
              <w:jc w:val="right"/>
              <w:rPr>
                <w:sz w:val="21"/>
                <w:szCs w:val="21"/>
              </w:rPr>
            </w:pPr>
            <w:r w:rsidRPr="004003C1">
              <w:rPr>
                <w:sz w:val="21"/>
                <w:szCs w:val="21"/>
              </w:rPr>
              <w:t>Ja</w:t>
            </w:r>
          </w:p>
        </w:tc>
      </w:tr>
      <w:tr w:rsidR="00E76DC8" w:rsidRPr="00225D4D" w14:paraId="7ECA82D1" w14:textId="77777777" w:rsidTr="009D31E8">
        <w:trPr>
          <w:trHeight w:val="20"/>
        </w:trPr>
        <w:tc>
          <w:tcPr>
            <w:tcW w:w="1320" w:type="dxa"/>
            <w:tcBorders>
              <w:top w:val="nil"/>
              <w:left w:val="nil"/>
              <w:bottom w:val="single" w:sz="4" w:space="0" w:color="000000"/>
              <w:right w:val="nil"/>
            </w:tcBorders>
            <w:tcMar>
              <w:top w:w="128" w:type="dxa"/>
              <w:left w:w="43" w:type="dxa"/>
              <w:bottom w:w="43" w:type="dxa"/>
              <w:right w:w="43" w:type="dxa"/>
            </w:tcMar>
          </w:tcPr>
          <w:p w14:paraId="7FED3FC5" w14:textId="77777777" w:rsidR="00D60186" w:rsidRPr="004003C1" w:rsidRDefault="00D60186" w:rsidP="00225D4D">
            <w:pPr>
              <w:rPr>
                <w:sz w:val="21"/>
                <w:szCs w:val="21"/>
              </w:rPr>
            </w:pPr>
            <w:r w:rsidRPr="004003C1">
              <w:rPr>
                <w:sz w:val="21"/>
                <w:szCs w:val="21"/>
              </w:rPr>
              <w:t>2022–2023</w:t>
            </w:r>
          </w:p>
        </w:tc>
        <w:tc>
          <w:tcPr>
            <w:tcW w:w="1180" w:type="dxa"/>
            <w:tcBorders>
              <w:top w:val="nil"/>
              <w:left w:val="nil"/>
              <w:bottom w:val="single" w:sz="4" w:space="0" w:color="000000"/>
              <w:right w:val="nil"/>
            </w:tcBorders>
            <w:tcMar>
              <w:top w:w="128" w:type="dxa"/>
              <w:left w:w="43" w:type="dxa"/>
              <w:bottom w:w="43" w:type="dxa"/>
              <w:right w:w="43" w:type="dxa"/>
            </w:tcMar>
          </w:tcPr>
          <w:p w14:paraId="4BB4525D" w14:textId="77777777" w:rsidR="00D60186" w:rsidRPr="004003C1" w:rsidRDefault="00D60186" w:rsidP="004003C1">
            <w:pPr>
              <w:ind w:right="113"/>
              <w:jc w:val="right"/>
              <w:rPr>
                <w:sz w:val="21"/>
                <w:szCs w:val="21"/>
              </w:rPr>
            </w:pPr>
            <w:r w:rsidRPr="004003C1">
              <w:rPr>
                <w:sz w:val="21"/>
                <w:szCs w:val="21"/>
              </w:rPr>
              <w:t>539</w:t>
            </w:r>
          </w:p>
        </w:tc>
        <w:tc>
          <w:tcPr>
            <w:tcW w:w="5420" w:type="dxa"/>
            <w:tcBorders>
              <w:top w:val="nil"/>
              <w:left w:val="nil"/>
              <w:bottom w:val="single" w:sz="4" w:space="0" w:color="000000"/>
              <w:right w:val="nil"/>
            </w:tcBorders>
            <w:tcMar>
              <w:top w:w="128" w:type="dxa"/>
              <w:left w:w="43" w:type="dxa"/>
              <w:bottom w:w="43" w:type="dxa"/>
              <w:right w:w="43" w:type="dxa"/>
            </w:tcMar>
          </w:tcPr>
          <w:p w14:paraId="5FC8A5E8" w14:textId="77777777" w:rsidR="00D60186" w:rsidRPr="004003C1" w:rsidRDefault="00D60186" w:rsidP="00225D4D">
            <w:pPr>
              <w:rPr>
                <w:sz w:val="21"/>
                <w:szCs w:val="21"/>
              </w:rPr>
            </w:pPr>
            <w:r w:rsidRPr="004003C1">
              <w:rPr>
                <w:sz w:val="21"/>
                <w:szCs w:val="21"/>
              </w:rPr>
              <w:t>Eksportkontroll og kunnskapsoverføring</w:t>
            </w:r>
          </w:p>
        </w:tc>
        <w:tc>
          <w:tcPr>
            <w:tcW w:w="1620" w:type="dxa"/>
            <w:tcBorders>
              <w:top w:val="nil"/>
              <w:left w:val="nil"/>
              <w:bottom w:val="single" w:sz="4" w:space="0" w:color="000000"/>
              <w:right w:val="nil"/>
            </w:tcBorders>
            <w:tcMar>
              <w:top w:w="128" w:type="dxa"/>
              <w:left w:w="43" w:type="dxa"/>
              <w:bottom w:w="43" w:type="dxa"/>
              <w:right w:w="43" w:type="dxa"/>
            </w:tcMar>
          </w:tcPr>
          <w:p w14:paraId="2F91933E" w14:textId="77777777" w:rsidR="00D60186" w:rsidRPr="004003C1" w:rsidRDefault="00D60186" w:rsidP="004003C1">
            <w:pPr>
              <w:jc w:val="right"/>
              <w:rPr>
                <w:sz w:val="21"/>
                <w:szCs w:val="21"/>
              </w:rPr>
            </w:pPr>
            <w:r w:rsidRPr="004003C1">
              <w:rPr>
                <w:sz w:val="21"/>
                <w:szCs w:val="21"/>
              </w:rPr>
              <w:t>Ja</w:t>
            </w:r>
          </w:p>
        </w:tc>
      </w:tr>
    </w:tbl>
    <w:p w14:paraId="1BC77A5C" w14:textId="77777777" w:rsidR="00D60186" w:rsidRPr="00225D4D" w:rsidRDefault="00D60186" w:rsidP="009D31E8">
      <w:pPr>
        <w:pStyle w:val="Overskrift2"/>
        <w:numPr>
          <w:ilvl w:val="1"/>
          <w:numId w:val="41"/>
        </w:numPr>
      </w:pPr>
      <w:r w:rsidRPr="00225D4D">
        <w:t>Stortingssesjonen 2024–2025</w:t>
      </w:r>
    </w:p>
    <w:p w14:paraId="4EADE54D" w14:textId="77777777" w:rsidR="00D60186" w:rsidRPr="00225D4D" w:rsidRDefault="00D60186" w:rsidP="00225D4D">
      <w:pPr>
        <w:pStyle w:val="Undertittel"/>
      </w:pPr>
      <w:r w:rsidRPr="00225D4D">
        <w:t>Anmodningsvedtak under utenriksministeren</w:t>
      </w:r>
    </w:p>
    <w:p w14:paraId="00429890" w14:textId="77777777" w:rsidR="00D60186" w:rsidRPr="00225D4D" w:rsidRDefault="00D60186" w:rsidP="00225D4D">
      <w:pPr>
        <w:pStyle w:val="avsnitt-tittel"/>
      </w:pPr>
      <w:r w:rsidRPr="00225D4D">
        <w:t>Stortingsmelding om Norges langsiktige internasjonale innsats for fred og forsoning</w:t>
      </w:r>
    </w:p>
    <w:p w14:paraId="15E37AC5" w14:textId="77777777" w:rsidR="00D60186" w:rsidRPr="00225D4D" w:rsidRDefault="00D60186" w:rsidP="00225D4D">
      <w:pPr>
        <w:pStyle w:val="avsnitt-undertittel"/>
      </w:pPr>
      <w:r w:rsidRPr="00225D4D">
        <w:t>Vedtak nr. 101, 19. desember 2024</w:t>
      </w:r>
    </w:p>
    <w:p w14:paraId="52E9A2B8" w14:textId="77777777" w:rsidR="00D60186" w:rsidRPr="00225D4D" w:rsidRDefault="00D60186" w:rsidP="00225D4D">
      <w:pPr>
        <w:pStyle w:val="blokksit"/>
        <w:rPr>
          <w:rStyle w:val="kursiv"/>
        </w:rPr>
      </w:pPr>
      <w:r w:rsidRPr="00225D4D">
        <w:rPr>
          <w:rStyle w:val="kursiv"/>
        </w:rPr>
        <w:t>Stortinget ber regjeringen innen juni 2026 legge fram en stortingsmelding om Norges langsiktige internasjonale innsats for fred og forsoning.</w:t>
      </w:r>
    </w:p>
    <w:p w14:paraId="68145C2B" w14:textId="77777777" w:rsidR="00D60186" w:rsidRPr="00225D4D" w:rsidRDefault="00D60186" w:rsidP="00225D4D">
      <w:r w:rsidRPr="00225D4D">
        <w:t xml:space="preserve">Vedtaket ble fattet i forbindelse med Stortingets behandling av statsbudsjettet for 2025 i </w:t>
      </w:r>
      <w:proofErr w:type="spellStart"/>
      <w:r w:rsidRPr="00225D4D">
        <w:t>Innst</w:t>
      </w:r>
      <w:proofErr w:type="spellEnd"/>
      <w:r w:rsidRPr="00225D4D">
        <w:t xml:space="preserve">. 2 S (2024–2025), jf. </w:t>
      </w:r>
      <w:proofErr w:type="spellStart"/>
      <w:r w:rsidRPr="00225D4D">
        <w:t>Prop</w:t>
      </w:r>
      <w:proofErr w:type="spellEnd"/>
      <w:r w:rsidRPr="00225D4D">
        <w:t>. 1 S (2024–2025).</w:t>
      </w:r>
    </w:p>
    <w:p w14:paraId="7020BC2E" w14:textId="77777777" w:rsidR="00D60186" w:rsidRPr="00225D4D" w:rsidRDefault="00D60186" w:rsidP="00225D4D">
      <w:r w:rsidRPr="00225D4D">
        <w:t>Regjeringen la fram stortingsmeldingen 10. juni 2025. Stortingsmeldingen omhandler norsk diplomatisk innsats for å dempe eller løse konflikter og gir et overblikk over hvordan regjeringen jobber, med hvilke virkemidler og partnere, samt omtale av dilemmaer og resultater. Meldingen bidrar til en strategisk tilnærming til videre norsk innsats i en verden som endres i hurtig tempo og redegjør for hvordan det internasjonale arbeidet for fred og konfliktløsning fremmer nasjonale kjerneinteresser. Tidsmessig avgrenser meldingen seg til perioden fra tidlig 1990-tall og fram til i dag, samtidig som den peker ut en vei framover.</w:t>
      </w:r>
    </w:p>
    <w:p w14:paraId="32E01365" w14:textId="77777777" w:rsidR="00D60186" w:rsidRPr="00225D4D" w:rsidRDefault="00D60186" w:rsidP="00225D4D">
      <w:r w:rsidRPr="00225D4D">
        <w:t>Regjeringen anser at Stortingets vedtak er oppfylt.</w:t>
      </w:r>
    </w:p>
    <w:p w14:paraId="5954C5B5" w14:textId="77777777" w:rsidR="00D60186" w:rsidRPr="00225D4D" w:rsidRDefault="00D60186" w:rsidP="00225D4D">
      <w:pPr>
        <w:pStyle w:val="avsnitt-tittel"/>
      </w:pPr>
      <w:r w:rsidRPr="00225D4D">
        <w:t>Forbud mot handel og annen næringsvirksomhet med selskaper som bidrar til å opprettholde Israels ulovlige okkupasjon av palestinske områder</w:t>
      </w:r>
    </w:p>
    <w:p w14:paraId="24319D8D" w14:textId="77777777" w:rsidR="00D60186" w:rsidRPr="00225D4D" w:rsidRDefault="00D60186" w:rsidP="00225D4D">
      <w:pPr>
        <w:pStyle w:val="avsnitt-undertittel"/>
      </w:pPr>
      <w:r w:rsidRPr="00225D4D">
        <w:t>Vedtak nr. 1250, 20. juni 2025</w:t>
      </w:r>
    </w:p>
    <w:p w14:paraId="1E75FA2C" w14:textId="77777777" w:rsidR="00D60186" w:rsidRPr="00225D4D" w:rsidRDefault="00D60186" w:rsidP="00225D4D">
      <w:pPr>
        <w:pStyle w:val="blokksit"/>
        <w:rPr>
          <w:rStyle w:val="kursiv"/>
        </w:rPr>
      </w:pPr>
      <w:r w:rsidRPr="00225D4D">
        <w:rPr>
          <w:rStyle w:val="kursiv"/>
        </w:rPr>
        <w:t>Stortinget ber regjeringa utrede og innføre forbud mot handel og annen næringsvirksomhet med selskaper som bidrar til å opprettholde Israels ulovlige okkupasjon av palestinske områder.</w:t>
      </w:r>
    </w:p>
    <w:p w14:paraId="2F0B3C8F" w14:textId="77777777" w:rsidR="00D60186" w:rsidRPr="00225D4D" w:rsidRDefault="00D60186" w:rsidP="00225D4D">
      <w:r w:rsidRPr="00225D4D">
        <w:t xml:space="preserve">Vedtaket ble fattet i forbindelse med Stortingets behandling av revidert nasjonalbudsjett for 2025 i </w:t>
      </w:r>
      <w:proofErr w:type="spellStart"/>
      <w:r w:rsidRPr="00225D4D">
        <w:t>Innst</w:t>
      </w:r>
      <w:proofErr w:type="spellEnd"/>
      <w:r w:rsidRPr="00225D4D">
        <w:t xml:space="preserve">. 540 S (2024–2025), jf. </w:t>
      </w:r>
      <w:proofErr w:type="spellStart"/>
      <w:r w:rsidRPr="00225D4D">
        <w:t>Prop</w:t>
      </w:r>
      <w:proofErr w:type="spellEnd"/>
      <w:r w:rsidRPr="00225D4D">
        <w:t>. 146 S (2024–2025).</w:t>
      </w:r>
    </w:p>
    <w:p w14:paraId="5D1EF3DE" w14:textId="77777777" w:rsidR="00D60186" w:rsidRPr="00225D4D" w:rsidRDefault="00D60186" w:rsidP="00225D4D">
      <w:r w:rsidRPr="00225D4D">
        <w:t>Regjeringen er i gang med dette utredningsarbeidet. Avgrensning, innretning og praktiske konsekvenser er blant spørsmålene som vil bli avklart i det videre arbeidet.</w:t>
      </w:r>
    </w:p>
    <w:p w14:paraId="077E7527" w14:textId="77777777" w:rsidR="00D60186" w:rsidRPr="00225D4D" w:rsidRDefault="00D60186" w:rsidP="00225D4D">
      <w:pPr>
        <w:pStyle w:val="avsnitt-tittel"/>
      </w:pPr>
      <w:r w:rsidRPr="00225D4D">
        <w:t>Norske organisasjoner som arbeider med kjernefysisk nedrustning</w:t>
      </w:r>
    </w:p>
    <w:p w14:paraId="1961030E" w14:textId="77777777" w:rsidR="00D60186" w:rsidRPr="00225D4D" w:rsidRDefault="00D60186" w:rsidP="00225D4D">
      <w:pPr>
        <w:pStyle w:val="avsnitt-undertittel"/>
      </w:pPr>
      <w:r w:rsidRPr="00225D4D">
        <w:t>Vedtak nr. 1252, 20. juni 2025</w:t>
      </w:r>
    </w:p>
    <w:p w14:paraId="39BEF82B" w14:textId="77777777" w:rsidR="00D60186" w:rsidRPr="00225D4D" w:rsidRDefault="00D60186" w:rsidP="00225D4D">
      <w:pPr>
        <w:pStyle w:val="blokksit"/>
        <w:rPr>
          <w:rStyle w:val="kursiv"/>
        </w:rPr>
      </w:pPr>
      <w:r w:rsidRPr="00225D4D">
        <w:rPr>
          <w:rStyle w:val="kursiv"/>
        </w:rPr>
        <w:t>Stortinget ber regjeringen om å sikre at reduksjonen på kap. 118, post 72 på 11 mill. kroner ikke vil ramme støtten til norske organisasjoner som arbeider med kjernefysisk nedrustning.</w:t>
      </w:r>
    </w:p>
    <w:p w14:paraId="6E43596B" w14:textId="77777777" w:rsidR="00D60186" w:rsidRPr="00225D4D" w:rsidRDefault="00D60186" w:rsidP="00225D4D">
      <w:r w:rsidRPr="00225D4D">
        <w:t xml:space="preserve">Vedtaket ble fattet i forbindelse med Stortingets behandling av revidert nasjonalbudsjett for 2025 i </w:t>
      </w:r>
      <w:proofErr w:type="spellStart"/>
      <w:r w:rsidRPr="00225D4D">
        <w:t>Innst</w:t>
      </w:r>
      <w:proofErr w:type="spellEnd"/>
      <w:r w:rsidRPr="00225D4D">
        <w:t xml:space="preserve">. 540 S (2024–2025), jf. </w:t>
      </w:r>
      <w:proofErr w:type="spellStart"/>
      <w:r w:rsidRPr="00225D4D">
        <w:t>Prop</w:t>
      </w:r>
      <w:proofErr w:type="spellEnd"/>
      <w:r w:rsidRPr="00225D4D">
        <w:t>. 146 S (2024–2025).</w:t>
      </w:r>
    </w:p>
    <w:p w14:paraId="28CA48DF" w14:textId="77777777" w:rsidR="00D60186" w:rsidRPr="00225D4D" w:rsidRDefault="00D60186" w:rsidP="00225D4D">
      <w:r w:rsidRPr="00225D4D">
        <w:t xml:space="preserve">Flyttingen av midler fra kap. 118 </w:t>
      </w:r>
      <w:r w:rsidRPr="00225D4D">
        <w:rPr>
          <w:rStyle w:val="kursiv"/>
        </w:rPr>
        <w:t>Utenrikspolitiske satsinger</w:t>
      </w:r>
      <w:r w:rsidRPr="00225D4D">
        <w:t xml:space="preserve">, post 72 </w:t>
      </w:r>
      <w:r w:rsidRPr="00225D4D">
        <w:rPr>
          <w:rStyle w:val="kursiv"/>
        </w:rPr>
        <w:t>Nedrustning, ikke-spredning og kjernefysisk sikkerhet mv.</w:t>
      </w:r>
      <w:r w:rsidRPr="00225D4D">
        <w:t xml:space="preserve"> til andre poster under kapittelet i revidert nasjonalbudsjett for 2025 påvirker ikke støtten til norske organisasjoner. Det er utlyst 10 mill. kroner til norske aktører i 2025.</w:t>
      </w:r>
    </w:p>
    <w:p w14:paraId="735A552C" w14:textId="77777777" w:rsidR="00D60186" w:rsidRPr="00225D4D" w:rsidRDefault="00D60186" w:rsidP="00225D4D">
      <w:r w:rsidRPr="00225D4D">
        <w:t>Regjeringen anser at Stortingets vedtak er oppfylt.</w:t>
      </w:r>
    </w:p>
    <w:p w14:paraId="6B8261BB" w14:textId="77777777" w:rsidR="00D60186" w:rsidRPr="00225D4D" w:rsidRDefault="00D60186" w:rsidP="00225D4D">
      <w:pPr>
        <w:pStyle w:val="Undertittel"/>
      </w:pPr>
      <w:r w:rsidRPr="00225D4D">
        <w:t>Anmodningsvedtak under utviklingsministeren</w:t>
      </w:r>
    </w:p>
    <w:p w14:paraId="03EC40BE" w14:textId="77777777" w:rsidR="00D60186" w:rsidRPr="00225D4D" w:rsidRDefault="00D60186" w:rsidP="00225D4D">
      <w:pPr>
        <w:pStyle w:val="avsnitt-tittel"/>
      </w:pPr>
      <w:r w:rsidRPr="00225D4D">
        <w:t>Nytt mål om klimafinansiering</w:t>
      </w:r>
    </w:p>
    <w:p w14:paraId="197C6B9A" w14:textId="77777777" w:rsidR="00D60186" w:rsidRPr="00225D4D" w:rsidRDefault="00D60186" w:rsidP="00225D4D">
      <w:pPr>
        <w:pStyle w:val="avsnitt-undertittel"/>
      </w:pPr>
      <w:r w:rsidRPr="00225D4D">
        <w:t>Vedtak nr. 981, 11. juni 2025</w:t>
      </w:r>
    </w:p>
    <w:p w14:paraId="5538BDB9" w14:textId="77777777" w:rsidR="00D60186" w:rsidRPr="00225D4D" w:rsidRDefault="00D60186" w:rsidP="00225D4D">
      <w:pPr>
        <w:pStyle w:val="blokksit"/>
        <w:rPr>
          <w:rStyle w:val="kursiv"/>
        </w:rPr>
      </w:pPr>
      <w:r w:rsidRPr="00225D4D">
        <w:rPr>
          <w:rStyle w:val="kursiv"/>
        </w:rPr>
        <w:t xml:space="preserve">Stortinget ber regjeringen sette et nytt mål om klimafinansiering og følge det opp gjennom blant annet </w:t>
      </w:r>
      <w:proofErr w:type="spellStart"/>
      <w:r w:rsidRPr="00225D4D">
        <w:rPr>
          <w:rStyle w:val="kursiv"/>
        </w:rPr>
        <w:t>Norfund</w:t>
      </w:r>
      <w:proofErr w:type="spellEnd"/>
      <w:r w:rsidRPr="00225D4D">
        <w:rPr>
          <w:rStyle w:val="kursiv"/>
        </w:rPr>
        <w:t xml:space="preserve"> og klimainvesteringsfondet.</w:t>
      </w:r>
    </w:p>
    <w:p w14:paraId="7CD346AF" w14:textId="77777777" w:rsidR="00D60186" w:rsidRPr="00225D4D" w:rsidRDefault="00D60186" w:rsidP="00225D4D">
      <w:r w:rsidRPr="00225D4D">
        <w:t xml:space="preserve">Vedtaket ble fattet i forbindelse med Stortingets behandling av stortingsmeldingen </w:t>
      </w:r>
      <w:r w:rsidRPr="00225D4D">
        <w:rPr>
          <w:rStyle w:val="kursiv"/>
        </w:rPr>
        <w:t>Klimamelding 2035 – på vei mot lavutslippssamfunnet</w:t>
      </w:r>
      <w:r w:rsidRPr="00225D4D">
        <w:t xml:space="preserve"> i </w:t>
      </w:r>
      <w:proofErr w:type="spellStart"/>
      <w:r w:rsidRPr="00225D4D">
        <w:t>Innst</w:t>
      </w:r>
      <w:proofErr w:type="spellEnd"/>
      <w:r w:rsidRPr="00225D4D">
        <w:t>. 520 S (2024–2025), jf. Meld. St. 25 (2024–2025).</w:t>
      </w:r>
    </w:p>
    <w:p w14:paraId="504B97AB" w14:textId="77777777" w:rsidR="00D60186" w:rsidRPr="00225D4D" w:rsidRDefault="00D60186" w:rsidP="00225D4D">
      <w:r w:rsidRPr="00225D4D">
        <w:t xml:space="preserve">Det norske klimafinansieringsmålet fra klimatoppmøtet i Glasgow i 2021 går ut i 2026. Regjeringen vil fastsette nytt mål og vurdere hvordan blant annet </w:t>
      </w:r>
      <w:proofErr w:type="spellStart"/>
      <w:r w:rsidRPr="00225D4D">
        <w:t>Norfund</w:t>
      </w:r>
      <w:proofErr w:type="spellEnd"/>
      <w:r w:rsidRPr="00225D4D">
        <w:t xml:space="preserve"> kan bidra til å realisere dette.</w:t>
      </w:r>
    </w:p>
    <w:p w14:paraId="7F064AC4" w14:textId="77777777" w:rsidR="00D60186" w:rsidRPr="00225D4D" w:rsidRDefault="00D60186" w:rsidP="00225D4D">
      <w:pPr>
        <w:pStyle w:val="avsnitt-tittel"/>
      </w:pPr>
      <w:r w:rsidRPr="00225D4D">
        <w:t>Klimainvesteringsfondet</w:t>
      </w:r>
    </w:p>
    <w:p w14:paraId="2F6F44A1" w14:textId="77777777" w:rsidR="00D60186" w:rsidRPr="00225D4D" w:rsidRDefault="00D60186" w:rsidP="00225D4D">
      <w:pPr>
        <w:pStyle w:val="avsnitt-undertittel"/>
      </w:pPr>
      <w:r w:rsidRPr="00225D4D">
        <w:t>Vedtak nr. 984, 11. juni 2025</w:t>
      </w:r>
    </w:p>
    <w:p w14:paraId="5AA89F0A" w14:textId="77777777" w:rsidR="00D60186" w:rsidRPr="00225D4D" w:rsidRDefault="00D60186" w:rsidP="00225D4D">
      <w:pPr>
        <w:pStyle w:val="blokksit"/>
        <w:rPr>
          <w:rStyle w:val="kursiv"/>
        </w:rPr>
      </w:pPr>
      <w:r w:rsidRPr="00225D4D">
        <w:rPr>
          <w:rStyle w:val="kursiv"/>
        </w:rPr>
        <w:t>Stortinget ber regjeringen komme tilbake til Stortinget med en plan for opptrapping av Klimainvesteringsfondet fra 2026 til 2030 med sikte på en gradvis oppskalering av overføringene til fondet, som en del av Norges bidrag til oppnåelse av målet fra klimatoppmøtet i Baku om tredobling av internasjonal klimafinansiering.</w:t>
      </w:r>
    </w:p>
    <w:p w14:paraId="11EA3893" w14:textId="77777777" w:rsidR="00D60186" w:rsidRPr="00225D4D" w:rsidRDefault="00D60186" w:rsidP="00225D4D">
      <w:r w:rsidRPr="00225D4D">
        <w:t xml:space="preserve">Vedtaket ble fattet i forbindelse med Stortingets behandling av stortingsmeldingen </w:t>
      </w:r>
      <w:r w:rsidRPr="00225D4D">
        <w:rPr>
          <w:rStyle w:val="kursiv"/>
        </w:rPr>
        <w:t>Klimamelding 2035 – på vei mot lavutslippssamfunnet</w:t>
      </w:r>
      <w:r w:rsidRPr="00225D4D">
        <w:t xml:space="preserve"> i </w:t>
      </w:r>
      <w:proofErr w:type="spellStart"/>
      <w:r w:rsidRPr="00225D4D">
        <w:t>Innst</w:t>
      </w:r>
      <w:proofErr w:type="spellEnd"/>
      <w:r w:rsidRPr="00225D4D">
        <w:t>. 520 S (2024–2025), jf. Meld. St. 25 (2024–2025).</w:t>
      </w:r>
    </w:p>
    <w:p w14:paraId="61890F21" w14:textId="77777777" w:rsidR="00D60186" w:rsidRPr="00225D4D" w:rsidRDefault="00D60186" w:rsidP="00225D4D">
      <w:r w:rsidRPr="00225D4D">
        <w:t xml:space="preserve">Regjeringen vil komme tilbake til Stortinget på egnet måte </w:t>
      </w:r>
      <w:proofErr w:type="gramStart"/>
      <w:r w:rsidRPr="00225D4D">
        <w:t>vedrørende</w:t>
      </w:r>
      <w:proofErr w:type="gramEnd"/>
      <w:r w:rsidRPr="00225D4D">
        <w:t xml:space="preserve"> Klimainvesteringsfondet.</w:t>
      </w:r>
    </w:p>
    <w:p w14:paraId="621659E0" w14:textId="77777777" w:rsidR="00D60186" w:rsidRPr="00225D4D" w:rsidRDefault="00D60186" w:rsidP="00225D4D">
      <w:pPr>
        <w:pStyle w:val="Overskrift2"/>
      </w:pPr>
      <w:r w:rsidRPr="00225D4D">
        <w:t>Stortingssesjonen 2022–2023</w:t>
      </w:r>
    </w:p>
    <w:p w14:paraId="0E82CE01" w14:textId="77777777" w:rsidR="00D60186" w:rsidRPr="00225D4D" w:rsidRDefault="00D60186" w:rsidP="00225D4D">
      <w:pPr>
        <w:pStyle w:val="Undertittel"/>
      </w:pPr>
      <w:r w:rsidRPr="00225D4D">
        <w:t>Anmodningsvedtak under utenriksministeren</w:t>
      </w:r>
    </w:p>
    <w:p w14:paraId="4B25B7DB" w14:textId="77777777" w:rsidR="00D60186" w:rsidRPr="00225D4D" w:rsidRDefault="00D60186" w:rsidP="00225D4D">
      <w:pPr>
        <w:pStyle w:val="avsnitt-tittel"/>
      </w:pPr>
      <w:r w:rsidRPr="00225D4D">
        <w:t>Eksportkontroll og teknologioverføring</w:t>
      </w:r>
    </w:p>
    <w:p w14:paraId="010B2EF2" w14:textId="77777777" w:rsidR="00D60186" w:rsidRPr="00225D4D" w:rsidRDefault="00D60186" w:rsidP="00225D4D">
      <w:pPr>
        <w:pStyle w:val="avsnitt-undertittel"/>
      </w:pPr>
      <w:r w:rsidRPr="00225D4D">
        <w:t>Vedtak nr. 539, 23. mars 2023</w:t>
      </w:r>
    </w:p>
    <w:p w14:paraId="251499FC" w14:textId="77777777" w:rsidR="00D60186" w:rsidRPr="00225D4D" w:rsidRDefault="00D60186" w:rsidP="00225D4D">
      <w:pPr>
        <w:pStyle w:val="blokksit"/>
        <w:rPr>
          <w:rStyle w:val="kursiv"/>
        </w:rPr>
      </w:pPr>
      <w:r w:rsidRPr="00225D4D">
        <w:rPr>
          <w:rStyle w:val="kursiv"/>
        </w:rPr>
        <w:t>Stortinget ber regjeringen snarest gjennomføre nødvendige endringer i eksportkontrollforskriften, slik at man får mer målrettet kontroll av kunnskap med militære anvendelser som overføres til utenlandske borgere og virksomheter.</w:t>
      </w:r>
    </w:p>
    <w:p w14:paraId="22642880" w14:textId="77777777" w:rsidR="00D60186" w:rsidRPr="00225D4D" w:rsidRDefault="00D60186" w:rsidP="00225D4D">
      <w:r w:rsidRPr="00225D4D">
        <w:t xml:space="preserve">Vedtaket ble fattet i forbindelse med Stortingets behandling av et representantforslag om styrking av rikets sikkerhet og kontraetterretning, jf. Dokument 8:51 S (2022–2023) og </w:t>
      </w:r>
      <w:proofErr w:type="spellStart"/>
      <w:r w:rsidRPr="00225D4D">
        <w:t>Innst</w:t>
      </w:r>
      <w:proofErr w:type="spellEnd"/>
      <w:r w:rsidRPr="00225D4D">
        <w:t>. 231 S (2022–2023).</w:t>
      </w:r>
    </w:p>
    <w:p w14:paraId="77726E35" w14:textId="77777777" w:rsidR="00D60186" w:rsidRPr="00225D4D" w:rsidRDefault="00D60186" w:rsidP="00225D4D">
      <w:r w:rsidRPr="00225D4D">
        <w:t>Utenriksdepartementet fastsatte 13. og 29. august 2025 endringer i forskrift 19. juni 2013 nr. 718 om eksport av forsvarsmateriell, flerbruksvarer, teknologi og tjenester. Etter innspill fra høringsrunden valgte Utenriksdepartementet å heller gå videre med begrepet teknologioverføring fremfor kunnskapsoverføring. Teknologi er nå definert i forskriften. Samtidig ga Utenriksdepartementet ut en omfattende veileder for eksport av teknologi.</w:t>
      </w:r>
    </w:p>
    <w:p w14:paraId="7BFAD62F" w14:textId="77777777" w:rsidR="00D60186" w:rsidRPr="00225D4D" w:rsidRDefault="00D60186" w:rsidP="00225D4D">
      <w:r w:rsidRPr="00225D4D">
        <w:t xml:space="preserve">Det vises videre til omtalen av vedtaket i Utenriksdepartementets </w:t>
      </w:r>
      <w:proofErr w:type="spellStart"/>
      <w:r w:rsidRPr="00225D4D">
        <w:t>Prop</w:t>
      </w:r>
      <w:proofErr w:type="spellEnd"/>
      <w:r w:rsidRPr="00225D4D">
        <w:t>. 1 S (2024–2025), som bl.a. redegjør for opprettelsen av Direktoratet for eksportkontroll og sanksjoner (DEKSA).</w:t>
      </w:r>
    </w:p>
    <w:p w14:paraId="60F7B319" w14:textId="77777777" w:rsidR="00D60186" w:rsidRPr="00225D4D" w:rsidRDefault="00D60186" w:rsidP="00225D4D">
      <w:r w:rsidRPr="00225D4D">
        <w:t>Endringene i eksportkontrollforskriften og veilederen for eksport av teknologi, samt etableringen av DEKSA, bidrar til å styrke kontrollen med eksport av sensitiv norsk teknologi.</w:t>
      </w:r>
    </w:p>
    <w:p w14:paraId="199EA0D3" w14:textId="77777777" w:rsidR="00D60186" w:rsidRPr="00225D4D" w:rsidRDefault="00D60186" w:rsidP="00225D4D">
      <w:r w:rsidRPr="00225D4D">
        <w:t>Regjeringen anser at Stortingets vedtak er oppfylt.</w:t>
      </w:r>
    </w:p>
    <w:p w14:paraId="758C70DA" w14:textId="77777777" w:rsidR="00D60186" w:rsidRPr="00225D4D" w:rsidRDefault="00D60186" w:rsidP="00225D4D">
      <w:pPr>
        <w:pStyle w:val="a-tilraar-dep"/>
      </w:pPr>
      <w:r w:rsidRPr="00225D4D">
        <w:t>Statsministerens kontor</w:t>
      </w:r>
    </w:p>
    <w:p w14:paraId="27D24FDC" w14:textId="77777777" w:rsidR="00D60186" w:rsidRPr="00225D4D" w:rsidRDefault="00D60186" w:rsidP="00225D4D">
      <w:pPr>
        <w:pStyle w:val="a-tilraar-tit"/>
      </w:pPr>
      <w:r w:rsidRPr="00225D4D">
        <w:t>tilrår:</w:t>
      </w:r>
    </w:p>
    <w:p w14:paraId="4039CAAB" w14:textId="31E53E95" w:rsidR="00D60186" w:rsidRPr="00225D4D" w:rsidRDefault="00D60186" w:rsidP="00225D4D">
      <w:r w:rsidRPr="00225D4D">
        <w:t>Tilråding fra Statsministerens kontor 7. oktober 2025 om anmodnings- og utredningsvedtak i stortingssesjonen 2024–2025 blir sendt Stortinget.</w:t>
      </w:r>
    </w:p>
    <w:sectPr w:rsidR="00D60186" w:rsidRPr="00225D4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6C25" w14:textId="77777777" w:rsidR="00D60186" w:rsidRDefault="00D60186">
      <w:pPr>
        <w:spacing w:after="0" w:line="240" w:lineRule="auto"/>
      </w:pPr>
      <w:r>
        <w:separator/>
      </w:r>
    </w:p>
  </w:endnote>
  <w:endnote w:type="continuationSeparator" w:id="0">
    <w:p w14:paraId="3ADAFE01" w14:textId="77777777" w:rsidR="00D60186" w:rsidRDefault="00D6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C0A3" w14:textId="77777777" w:rsidR="00D60186" w:rsidRDefault="00D60186">
      <w:pPr>
        <w:spacing w:after="0" w:line="240" w:lineRule="auto"/>
      </w:pPr>
      <w:r>
        <w:separator/>
      </w:r>
    </w:p>
  </w:footnote>
  <w:footnote w:type="continuationSeparator" w:id="0">
    <w:p w14:paraId="3F6BBA45" w14:textId="77777777" w:rsidR="00D60186" w:rsidRDefault="00D60186">
      <w:pPr>
        <w:spacing w:after="0" w:line="240" w:lineRule="auto"/>
      </w:pPr>
      <w:r>
        <w:continuationSeparator/>
      </w:r>
    </w:p>
  </w:footnote>
  <w:footnote w:id="1">
    <w:p w14:paraId="0ABDC54C" w14:textId="506AB447" w:rsidR="00D60186" w:rsidRDefault="00D60186">
      <w:pPr>
        <w:pStyle w:val="Fotnotetekst"/>
      </w:pPr>
      <w:r>
        <w:rPr>
          <w:vertAlign w:val="superscript"/>
        </w:rPr>
        <w:footnoteRef/>
      </w:r>
      <w:r w:rsidRPr="00225D4D">
        <w:t>Kilovolt – måleenhet for elektrisk spenning</w:t>
      </w:r>
    </w:p>
  </w:footnote>
  <w:footnote w:id="2">
    <w:p w14:paraId="0A6BE883" w14:textId="2892DD4A" w:rsidR="00D60186" w:rsidRDefault="00D60186">
      <w:pPr>
        <w:pStyle w:val="Fotnotetekst"/>
      </w:pPr>
      <w:r>
        <w:rPr>
          <w:vertAlign w:val="superscript"/>
        </w:rPr>
        <w:footnoteRef/>
      </w:r>
      <w:r w:rsidRPr="00225D4D">
        <w:t>Megawatt, ei måleeining for effektuttak.</w:t>
      </w:r>
    </w:p>
  </w:footnote>
  <w:footnote w:id="3">
    <w:p w14:paraId="3572CF92" w14:textId="25401D07" w:rsidR="00D60186" w:rsidRDefault="00D60186">
      <w:pPr>
        <w:pStyle w:val="Fotnotetekst"/>
      </w:pPr>
      <w:r>
        <w:rPr>
          <w:vertAlign w:val="superscript"/>
        </w:rPr>
        <w:footnoteRef/>
      </w:r>
      <w:r w:rsidRPr="00225D4D">
        <w:t>Gigawatttime, ei måleeining for energiforbruk.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26"/>
  </w:num>
  <w:num w:numId="2" w16cid:durableId="748235608">
    <w:abstractNumId w:val="21"/>
  </w:num>
  <w:num w:numId="3" w16cid:durableId="1676225685">
    <w:abstractNumId w:val="25"/>
  </w:num>
  <w:num w:numId="4" w16cid:durableId="1881018441">
    <w:abstractNumId w:val="5"/>
  </w:num>
  <w:num w:numId="5" w16cid:durableId="613639073">
    <w:abstractNumId w:val="9"/>
  </w:num>
  <w:num w:numId="6" w16cid:durableId="432212529">
    <w:abstractNumId w:val="2"/>
  </w:num>
  <w:num w:numId="7" w16cid:durableId="520045770">
    <w:abstractNumId w:val="0"/>
  </w:num>
  <w:num w:numId="8" w16cid:durableId="2067533317">
    <w:abstractNumId w:val="13"/>
  </w:num>
  <w:num w:numId="9" w16cid:durableId="635139387">
    <w:abstractNumId w:val="16"/>
  </w:num>
  <w:num w:numId="10" w16cid:durableId="1942487936">
    <w:abstractNumId w:val="15"/>
  </w:num>
  <w:num w:numId="11" w16cid:durableId="1641031354">
    <w:abstractNumId w:val="1"/>
  </w:num>
  <w:num w:numId="12" w16cid:durableId="1087767411">
    <w:abstractNumId w:val="10"/>
  </w:num>
  <w:num w:numId="13" w16cid:durableId="478303448">
    <w:abstractNumId w:val="3"/>
  </w:num>
  <w:num w:numId="14" w16cid:durableId="789402582">
    <w:abstractNumId w:val="4"/>
  </w:num>
  <w:num w:numId="15" w16cid:durableId="2044134361">
    <w:abstractNumId w:val="14"/>
  </w:num>
  <w:num w:numId="16" w16cid:durableId="768349539">
    <w:abstractNumId w:val="19"/>
  </w:num>
  <w:num w:numId="17" w16cid:durableId="1432048139">
    <w:abstractNumId w:val="23"/>
  </w:num>
  <w:num w:numId="18" w16cid:durableId="962077625">
    <w:abstractNumId w:val="7"/>
  </w:num>
  <w:num w:numId="19" w16cid:durableId="897521485">
    <w:abstractNumId w:val="17"/>
  </w:num>
  <w:num w:numId="20" w16cid:durableId="1329599301">
    <w:abstractNumId w:val="24"/>
  </w:num>
  <w:num w:numId="21" w16cid:durableId="700519637">
    <w:abstractNumId w:val="11"/>
  </w:num>
  <w:num w:numId="22" w16cid:durableId="806432322">
    <w:abstractNumId w:val="12"/>
  </w:num>
  <w:num w:numId="23" w16cid:durableId="2135247523">
    <w:abstractNumId w:val="22"/>
  </w:num>
  <w:num w:numId="24" w16cid:durableId="1539128705">
    <w:abstractNumId w:val="8"/>
  </w:num>
  <w:num w:numId="25" w16cid:durableId="1372222008">
    <w:abstractNumId w:val="18"/>
  </w:num>
  <w:num w:numId="26" w16cid:durableId="581992417">
    <w:abstractNumId w:val="6"/>
  </w:num>
  <w:num w:numId="27" w16cid:durableId="2136217215">
    <w:abstractNumId w:val="20"/>
  </w:num>
  <w:num w:numId="28" w16cid:durableId="15679513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67211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76426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7404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56930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552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52336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056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6920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7585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43259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30847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723905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367108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96DBD"/>
    <w:rsid w:val="00225D4D"/>
    <w:rsid w:val="0027199C"/>
    <w:rsid w:val="00274E77"/>
    <w:rsid w:val="002C641A"/>
    <w:rsid w:val="002D4C2A"/>
    <w:rsid w:val="002E583B"/>
    <w:rsid w:val="00330F87"/>
    <w:rsid w:val="003F277F"/>
    <w:rsid w:val="004003C1"/>
    <w:rsid w:val="0052516A"/>
    <w:rsid w:val="005B69AF"/>
    <w:rsid w:val="00616920"/>
    <w:rsid w:val="00814879"/>
    <w:rsid w:val="00815696"/>
    <w:rsid w:val="00860A09"/>
    <w:rsid w:val="008D6210"/>
    <w:rsid w:val="009D31E8"/>
    <w:rsid w:val="00B96DBD"/>
    <w:rsid w:val="00D31743"/>
    <w:rsid w:val="00D4182A"/>
    <w:rsid w:val="00D4351A"/>
    <w:rsid w:val="00D60186"/>
    <w:rsid w:val="00D77759"/>
    <w:rsid w:val="00E76DC8"/>
    <w:rsid w:val="00F85F1B"/>
    <w:rsid w:val="00FD49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1E4E6"/>
  <w14:defaultImageDpi w14:val="0"/>
  <w15:docId w15:val="{E8333329-8CB0-4743-A0FC-A968EEB7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920"/>
    <w:pPr>
      <w:spacing w:after="120" w:line="276" w:lineRule="auto"/>
    </w:pPr>
    <w:rPr>
      <w:rFonts w:ascii="Times New Roman" w:eastAsia="Times New Roman" w:hAnsi="Times New Roman"/>
      <w:kern w:val="0"/>
      <w:szCs w:val="22"/>
      <w14:ligatures w14:val="none"/>
    </w:rPr>
  </w:style>
  <w:style w:type="paragraph" w:styleId="Overskrift1">
    <w:name w:val="heading 1"/>
    <w:basedOn w:val="Normal"/>
    <w:next w:val="Normal"/>
    <w:link w:val="Overskrift1Tegn"/>
    <w:qFormat/>
    <w:rsid w:val="00616920"/>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616920"/>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616920"/>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616920"/>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616920"/>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61692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1692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1692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16920"/>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61692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1692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616920"/>
    <w:pPr>
      <w:keepNext/>
      <w:spacing w:before="240" w:after="240"/>
    </w:pPr>
    <w:rPr>
      <w:spacing w:val="4"/>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16920"/>
    <w:pPr>
      <w:spacing w:after="0"/>
    </w:pPr>
    <w:rPr>
      <w:rFont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616920"/>
    <w:pPr>
      <w:keepNext/>
      <w:keepLines/>
      <w:spacing w:before="240"/>
      <w:jc w:val="center"/>
    </w:pPr>
    <w:rPr>
      <w:spacing w:val="3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rPr>
  </w:style>
  <w:style w:type="paragraph" w:customStyle="1" w:styleId="alfaliste">
    <w:name w:val="alfaliste"/>
    <w:basedOn w:val="Normal"/>
    <w:rsid w:val="00616920"/>
    <w:pPr>
      <w:numPr>
        <w:numId w:val="9"/>
      </w:numPr>
      <w:spacing w:after="0"/>
    </w:pPr>
    <w:rPr>
      <w:spacing w:val="4"/>
    </w:rPr>
  </w:style>
  <w:style w:type="paragraph" w:customStyle="1" w:styleId="alfaliste2">
    <w:name w:val="alfaliste 2"/>
    <w:basedOn w:val="Normal"/>
    <w:rsid w:val="00616920"/>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16920"/>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16920"/>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16920"/>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16920"/>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16920"/>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16920"/>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16920"/>
    <w:rPr>
      <w:rFonts w:ascii="Arial" w:eastAsia="Times New Roman" w:hAnsi="Arial"/>
      <w:b/>
      <w:spacing w:val="4"/>
      <w:kern w:val="0"/>
      <w:sz w:val="28"/>
      <w:szCs w:val="22"/>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616920"/>
    <w:pPr>
      <w:spacing w:before="60" w:after="0"/>
      <w:ind w:left="397"/>
    </w:p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16920"/>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61692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616920"/>
  </w:style>
  <w:style w:type="paragraph" w:customStyle="1" w:styleId="del-nr">
    <w:name w:val="del-nr"/>
    <w:basedOn w:val="Normal"/>
    <w:qFormat/>
    <w:rsid w:val="00616920"/>
    <w:pPr>
      <w:keepNext/>
      <w:keepLines/>
      <w:spacing w:before="360" w:after="0" w:line="240" w:lineRule="auto"/>
      <w:jc w:val="center"/>
    </w:pPr>
    <w:rPr>
      <w:rFonts w:eastAsia="Batang"/>
      <w:i/>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61692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616920"/>
    <w:rPr>
      <w:spacing w:val="4"/>
    </w:rPr>
  </w:style>
  <w:style w:type="paragraph" w:customStyle="1" w:styleId="figur-noter">
    <w:name w:val="figur-noter"/>
    <w:basedOn w:val="Normal"/>
    <w:next w:val="Normal"/>
    <w:rsid w:val="00616920"/>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616920"/>
    <w:pPr>
      <w:spacing w:before="60" w:after="0"/>
      <w:ind w:left="794"/>
    </w:p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16920"/>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616920"/>
    <w:rPr>
      <w:spacing w:val="4"/>
      <w:sz w:val="20"/>
    </w:rPr>
  </w:style>
  <w:style w:type="character" w:customStyle="1" w:styleId="FotnotetekstTegn">
    <w:name w:val="Fotnotetekst Tegn"/>
    <w:basedOn w:val="Standardskriftforavsnitt"/>
    <w:link w:val="Fotnotetekst"/>
    <w:rsid w:val="00616920"/>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616920"/>
    <w:pPr>
      <w:tabs>
        <w:tab w:val="left" w:pos="397"/>
      </w:tabs>
      <w:spacing w:after="0"/>
      <w:ind w:left="397" w:hanging="397"/>
    </w:pPr>
  </w:style>
  <w:style w:type="paragraph" w:customStyle="1" w:styleId="friliste2">
    <w:name w:val="friliste 2"/>
    <w:basedOn w:val="Normal"/>
    <w:qFormat/>
    <w:rsid w:val="00616920"/>
    <w:pPr>
      <w:tabs>
        <w:tab w:val="left" w:pos="794"/>
      </w:tabs>
      <w:spacing w:after="0"/>
      <w:ind w:left="794" w:hanging="397"/>
    </w:pPr>
  </w:style>
  <w:style w:type="paragraph" w:customStyle="1" w:styleId="friliste3">
    <w:name w:val="friliste 3"/>
    <w:basedOn w:val="Normal"/>
    <w:qFormat/>
    <w:rsid w:val="00616920"/>
    <w:pPr>
      <w:tabs>
        <w:tab w:val="left" w:pos="1191"/>
      </w:tabs>
      <w:spacing w:after="0"/>
      <w:ind w:left="1191" w:hanging="397"/>
    </w:pPr>
  </w:style>
  <w:style w:type="paragraph" w:customStyle="1" w:styleId="friliste4">
    <w:name w:val="friliste 4"/>
    <w:basedOn w:val="Normal"/>
    <w:qFormat/>
    <w:rsid w:val="00616920"/>
    <w:pPr>
      <w:tabs>
        <w:tab w:val="left" w:pos="1588"/>
      </w:tabs>
      <w:spacing w:after="0"/>
      <w:ind w:left="1588" w:hanging="397"/>
    </w:pPr>
  </w:style>
  <w:style w:type="paragraph" w:customStyle="1" w:styleId="friliste5">
    <w:name w:val="friliste 5"/>
    <w:basedOn w:val="Normal"/>
    <w:qFormat/>
    <w:rsid w:val="00616920"/>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16920"/>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616920"/>
    <w:pPr>
      <w:jc w:val="right"/>
    </w:pPr>
    <w:rPr>
      <w:b/>
      <w:noProof/>
      <w:spacing w:val="4"/>
      <w:u w:val="single"/>
    </w:rPr>
  </w:style>
  <w:style w:type="paragraph" w:customStyle="1" w:styleId="i-hode">
    <w:name w:val="i-hode"/>
    <w:basedOn w:val="Normal"/>
    <w:next w:val="Normal"/>
    <w:rsid w:val="00616920"/>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16920"/>
    <w:pPr>
      <w:keepNext/>
      <w:keepLines/>
      <w:jc w:val="center"/>
    </w:pPr>
    <w:rPr>
      <w:rFonts w:eastAsia="Batang"/>
      <w:b/>
      <w:spacing w:val="4"/>
      <w:sz w:val="28"/>
    </w:rPr>
  </w:style>
  <w:style w:type="paragraph" w:customStyle="1" w:styleId="i-mtit">
    <w:name w:val="i-mtit"/>
    <w:basedOn w:val="Normal"/>
    <w:next w:val="Normal"/>
    <w:rsid w:val="00616920"/>
    <w:pPr>
      <w:keepNext/>
      <w:keepLines/>
      <w:spacing w:before="360"/>
      <w:jc w:val="center"/>
    </w:pPr>
    <w:rPr>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616920"/>
    <w:pPr>
      <w:jc w:val="center"/>
    </w:pPr>
    <w:rPr>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16920"/>
    <w:pPr>
      <w:jc w:val="center"/>
    </w:pPr>
    <w:rPr>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rPr>
  </w:style>
  <w:style w:type="paragraph" w:customStyle="1" w:styleId="i-tit">
    <w:name w:val="i-tit"/>
    <w:basedOn w:val="Normal"/>
    <w:next w:val="i-statsrdato"/>
    <w:rsid w:val="00616920"/>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16920"/>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16920"/>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616920"/>
    <w:pPr>
      <w:spacing w:before="60" w:after="0"/>
      <w:ind w:left="1191"/>
    </w:p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616920"/>
    <w:pPr>
      <w:numPr>
        <w:numId w:val="10"/>
      </w:numPr>
    </w:pPr>
    <w:rPr>
      <w:rFonts w:eastAsiaTheme="minorEastAsia"/>
    </w:rPr>
  </w:style>
  <w:style w:type="paragraph" w:customStyle="1" w:styleId="l-alfaliste2">
    <w:name w:val="l-alfaliste 2"/>
    <w:basedOn w:val="alfaliste2"/>
    <w:qFormat/>
    <w:rsid w:val="00616920"/>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16920"/>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16920"/>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16920"/>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16920"/>
    <w:rPr>
      <w:lang w:val="nn-NO"/>
    </w:rPr>
  </w:style>
  <w:style w:type="paragraph" w:customStyle="1" w:styleId="l-ledd">
    <w:name w:val="l-ledd"/>
    <w:basedOn w:val="Normal"/>
    <w:qFormat/>
    <w:rsid w:val="00616920"/>
    <w:pPr>
      <w:spacing w:after="0"/>
      <w:ind w:firstLine="397"/>
    </w:pPr>
    <w:rPr>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16920"/>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616920"/>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16920"/>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616920"/>
    <w:pPr>
      <w:spacing w:before="180" w:after="0"/>
    </w:pPr>
    <w:rPr>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616920"/>
    <w:pPr>
      <w:tabs>
        <w:tab w:val="left" w:pos="284"/>
      </w:tabs>
      <w:spacing w:before="120" w:line="240" w:lineRule="auto"/>
      <w:contextualSpacing/>
    </w:pPr>
    <w:rPr>
      <w:rFonts w:eastAsia="Batang"/>
      <w:sz w:val="20"/>
      <w:szCs w:val="20"/>
    </w:rPr>
  </w:style>
  <w:style w:type="paragraph" w:customStyle="1" w:styleId="l-tit-endr-avsnitt">
    <w:name w:val="l-tit-endr-avsnitt"/>
    <w:basedOn w:val="l-tit-endr-lovkap"/>
    <w:qFormat/>
    <w:rsid w:val="00616920"/>
  </w:style>
  <w:style w:type="paragraph" w:customStyle="1" w:styleId="l-tit-endr-ledd">
    <w:name w:val="l-tit-endr-ledd"/>
    <w:basedOn w:val="Normal"/>
    <w:qFormat/>
    <w:rsid w:val="00616920"/>
    <w:pPr>
      <w:keepNext/>
      <w:spacing w:before="240" w:after="0" w:line="240" w:lineRule="auto"/>
    </w:pPr>
    <w:rPr>
      <w:noProof/>
      <w:spacing w:val="4"/>
      <w:lang w:val="nn-NO"/>
    </w:rPr>
  </w:style>
  <w:style w:type="paragraph" w:customStyle="1" w:styleId="l-tit-endr-lov">
    <w:name w:val="l-tit-endr-lov"/>
    <w:basedOn w:val="Normal"/>
    <w:qFormat/>
    <w:rsid w:val="00616920"/>
    <w:pPr>
      <w:keepNext/>
      <w:spacing w:before="240" w:after="0" w:line="240" w:lineRule="auto"/>
    </w:pPr>
    <w:rPr>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16920"/>
    <w:pPr>
      <w:keepNext/>
      <w:spacing w:before="240" w:after="0" w:line="240" w:lineRule="auto"/>
    </w:pPr>
    <w:rPr>
      <w:noProof/>
      <w:spacing w:val="4"/>
      <w:lang w:val="nn-NO"/>
    </w:rPr>
  </w:style>
  <w:style w:type="paragraph" w:customStyle="1" w:styleId="l-tit-endr-lovkap">
    <w:name w:val="l-tit-endr-lovkap"/>
    <w:basedOn w:val="Normal"/>
    <w:qFormat/>
    <w:rsid w:val="00616920"/>
    <w:pPr>
      <w:keepNext/>
      <w:spacing w:before="240" w:after="0" w:line="240" w:lineRule="auto"/>
    </w:pPr>
    <w:rPr>
      <w:noProof/>
      <w:spacing w:val="4"/>
      <w:lang w:val="nn-NO"/>
    </w:rPr>
  </w:style>
  <w:style w:type="paragraph" w:customStyle="1" w:styleId="l-tit-endr-paragraf">
    <w:name w:val="l-tit-endr-paragraf"/>
    <w:basedOn w:val="Normal"/>
    <w:qFormat/>
    <w:rsid w:val="00616920"/>
    <w:pPr>
      <w:keepNext/>
      <w:spacing w:before="240" w:after="0" w:line="240" w:lineRule="auto"/>
    </w:pPr>
    <w:rPr>
      <w:noProof/>
      <w:spacing w:val="4"/>
      <w:lang w:val="nn-NO"/>
    </w:rPr>
  </w:style>
  <w:style w:type="paragraph" w:customStyle="1" w:styleId="l-tit-endr-punktum">
    <w:name w:val="l-tit-endr-punktum"/>
    <w:basedOn w:val="l-tit-endr-ledd"/>
    <w:qFormat/>
    <w:rsid w:val="0061692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616920"/>
    <w:pPr>
      <w:numPr>
        <w:numId w:val="16"/>
      </w:numPr>
      <w:spacing w:line="240" w:lineRule="auto"/>
      <w:contextualSpacing/>
    </w:pPr>
    <w:rPr>
      <w:spacing w:val="4"/>
    </w:rPr>
  </w:style>
  <w:style w:type="paragraph" w:styleId="Liste2">
    <w:name w:val="List 2"/>
    <w:basedOn w:val="Normal"/>
    <w:rsid w:val="00616920"/>
    <w:pPr>
      <w:numPr>
        <w:ilvl w:val="1"/>
        <w:numId w:val="16"/>
      </w:numPr>
      <w:spacing w:after="0"/>
    </w:pPr>
    <w:rPr>
      <w:spacing w:val="4"/>
    </w:rPr>
  </w:style>
  <w:style w:type="paragraph" w:styleId="Liste3">
    <w:name w:val="List 3"/>
    <w:basedOn w:val="Normal"/>
    <w:rsid w:val="00616920"/>
    <w:pPr>
      <w:numPr>
        <w:ilvl w:val="2"/>
        <w:numId w:val="16"/>
      </w:numPr>
      <w:spacing w:after="0"/>
    </w:pPr>
  </w:style>
  <w:style w:type="paragraph" w:styleId="Liste4">
    <w:name w:val="List 4"/>
    <w:basedOn w:val="Normal"/>
    <w:rsid w:val="00616920"/>
    <w:pPr>
      <w:numPr>
        <w:ilvl w:val="3"/>
        <w:numId w:val="16"/>
      </w:numPr>
      <w:spacing w:after="0"/>
    </w:pPr>
  </w:style>
  <w:style w:type="paragraph" w:styleId="Liste5">
    <w:name w:val="List 5"/>
    <w:basedOn w:val="Normal"/>
    <w:rsid w:val="00616920"/>
    <w:pPr>
      <w:numPr>
        <w:ilvl w:val="4"/>
        <w:numId w:val="16"/>
      </w:numPr>
      <w:spacing w:after="0"/>
    </w:pPr>
  </w:style>
  <w:style w:type="paragraph" w:customStyle="1" w:styleId="Listebombe">
    <w:name w:val="Liste bombe"/>
    <w:basedOn w:val="Liste"/>
    <w:qFormat/>
    <w:rsid w:val="00616920"/>
    <w:pPr>
      <w:numPr>
        <w:numId w:val="18"/>
      </w:numPr>
    </w:pPr>
  </w:style>
  <w:style w:type="paragraph" w:customStyle="1" w:styleId="Listebombe2">
    <w:name w:val="Liste bombe 2"/>
    <w:basedOn w:val="Liste2"/>
    <w:qFormat/>
    <w:rsid w:val="00616920"/>
    <w:pPr>
      <w:numPr>
        <w:ilvl w:val="0"/>
        <w:numId w:val="19"/>
      </w:numPr>
    </w:pPr>
  </w:style>
  <w:style w:type="paragraph" w:customStyle="1" w:styleId="Listebombe3">
    <w:name w:val="Liste bombe 3"/>
    <w:basedOn w:val="Liste3"/>
    <w:qFormat/>
    <w:rsid w:val="00616920"/>
    <w:pPr>
      <w:numPr>
        <w:ilvl w:val="0"/>
        <w:numId w:val="20"/>
      </w:numPr>
    </w:pPr>
  </w:style>
  <w:style w:type="paragraph" w:customStyle="1" w:styleId="Listebombe4">
    <w:name w:val="Liste bombe 4"/>
    <w:basedOn w:val="Liste4"/>
    <w:qFormat/>
    <w:rsid w:val="00616920"/>
    <w:pPr>
      <w:numPr>
        <w:ilvl w:val="0"/>
        <w:numId w:val="21"/>
      </w:numPr>
    </w:pPr>
  </w:style>
  <w:style w:type="paragraph" w:customStyle="1" w:styleId="Listebombe5">
    <w:name w:val="Liste bombe 5"/>
    <w:basedOn w:val="Liste5"/>
    <w:qFormat/>
    <w:rsid w:val="00616920"/>
    <w:pPr>
      <w:numPr>
        <w:ilvl w:val="0"/>
        <w:numId w:val="22"/>
      </w:numPr>
    </w:pPr>
  </w:style>
  <w:style w:type="paragraph" w:customStyle="1" w:styleId="tittel-ramme">
    <w:name w:val="tittel-ramme"/>
    <w:basedOn w:val="Normal"/>
    <w:next w:val="Normal"/>
    <w:rsid w:val="00616920"/>
    <w:pPr>
      <w:keepNext/>
      <w:keepLines/>
      <w:numPr>
        <w:ilvl w:val="7"/>
        <w:numId w:val="23"/>
      </w:numPr>
      <w:spacing w:before="360" w:after="80"/>
      <w:jc w:val="center"/>
    </w:pPr>
    <w:rPr>
      <w:rFonts w:ascii="Arial" w:hAnsi="Arial"/>
      <w:b/>
      <w:spacing w:val="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16920"/>
    <w:pPr>
      <w:ind w:left="357" w:hanging="357"/>
    </w:p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16920"/>
    <w:pPr>
      <w:numPr>
        <w:numId w:val="12"/>
      </w:numPr>
      <w:spacing w:after="0"/>
    </w:pPr>
    <w:rPr>
      <w:rFonts w:eastAsia="Batang"/>
      <w:szCs w:val="20"/>
    </w:rPr>
  </w:style>
  <w:style w:type="paragraph" w:styleId="Nummerertliste2">
    <w:name w:val="List Number 2"/>
    <w:basedOn w:val="Normal"/>
    <w:rsid w:val="00616920"/>
    <w:pPr>
      <w:numPr>
        <w:ilvl w:val="1"/>
        <w:numId w:val="12"/>
      </w:numPr>
      <w:spacing w:after="0" w:line="240" w:lineRule="auto"/>
    </w:pPr>
    <w:rPr>
      <w:rFonts w:eastAsia="Batang"/>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16920"/>
    <w:pPr>
      <w:numPr>
        <w:ilvl w:val="2"/>
        <w:numId w:val="12"/>
      </w:numPr>
      <w:spacing w:after="0" w:line="240" w:lineRule="auto"/>
    </w:pPr>
    <w:rPr>
      <w:rFonts w:eastAsia="Batang"/>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16920"/>
    <w:pPr>
      <w:numPr>
        <w:ilvl w:val="3"/>
        <w:numId w:val="12"/>
      </w:numPr>
      <w:spacing w:after="0" w:line="240" w:lineRule="auto"/>
    </w:pPr>
    <w:rPr>
      <w:rFonts w:eastAsia="Batang"/>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16920"/>
    <w:pPr>
      <w:numPr>
        <w:ilvl w:val="4"/>
        <w:numId w:val="12"/>
      </w:numPr>
      <w:spacing w:after="0" w:line="240" w:lineRule="auto"/>
    </w:pPr>
    <w:rPr>
      <w:rFonts w:eastAsia="Batang"/>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16920"/>
    <w:pPr>
      <w:spacing w:after="0"/>
      <w:ind w:left="397"/>
    </w:pPr>
    <w:rPr>
      <w:lang w:val="en-US"/>
    </w:rPr>
  </w:style>
  <w:style w:type="paragraph" w:customStyle="1" w:styleId="opplisting3">
    <w:name w:val="opplisting 3"/>
    <w:basedOn w:val="Normal"/>
    <w:qFormat/>
    <w:rsid w:val="00616920"/>
    <w:pPr>
      <w:spacing w:after="0"/>
      <w:ind w:left="794"/>
    </w:pPr>
  </w:style>
  <w:style w:type="paragraph" w:customStyle="1" w:styleId="opplisting4">
    <w:name w:val="opplisting 4"/>
    <w:basedOn w:val="Normal"/>
    <w:qFormat/>
    <w:rsid w:val="00616920"/>
    <w:pPr>
      <w:spacing w:after="0"/>
      <w:ind w:left="1191"/>
    </w:pPr>
  </w:style>
  <w:style w:type="paragraph" w:customStyle="1" w:styleId="opplisting5">
    <w:name w:val="opplisting 5"/>
    <w:basedOn w:val="Normal"/>
    <w:qFormat/>
    <w:rsid w:val="00616920"/>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61692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616920"/>
    <w:pPr>
      <w:spacing w:before="60" w:after="0"/>
      <w:ind w:left="1588"/>
    </w:p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616920"/>
    <w:pPr>
      <w:spacing w:before="60" w:after="0"/>
      <w:ind w:left="1985"/>
    </w:p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61692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uiPriority w:val="99"/>
    <w:pPr>
      <w:keepNext/>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61692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61692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616920"/>
    <w:rPr>
      <w:spacing w:val="6"/>
      <w:sz w:val="19"/>
    </w:rPr>
  </w:style>
  <w:style w:type="paragraph" w:customStyle="1" w:styleId="ramme-noter">
    <w:name w:val="ramme-noter"/>
    <w:basedOn w:val="Normal"/>
    <w:next w:val="Normal"/>
    <w:rsid w:val="00616920"/>
    <w:pPr>
      <w:tabs>
        <w:tab w:val="left" w:pos="284"/>
      </w:tabs>
      <w:spacing w:before="120" w:line="240" w:lineRule="auto"/>
      <w:contextualSpacing/>
    </w:pPr>
    <w:rPr>
      <w:rFonts w:eastAsia="Batang"/>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616920"/>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16920"/>
    <w:pPr>
      <w:numPr>
        <w:numId w:val="17"/>
      </w:numPr>
      <w:spacing w:after="0" w:line="240" w:lineRule="auto"/>
    </w:pPr>
    <w:rPr>
      <w:rFonts w:eastAsia="Batang"/>
      <w:szCs w:val="20"/>
    </w:rPr>
  </w:style>
  <w:style w:type="paragraph" w:customStyle="1" w:styleId="romertallliste2">
    <w:name w:val="romertall liste 2"/>
    <w:basedOn w:val="Normal"/>
    <w:rsid w:val="00616920"/>
    <w:pPr>
      <w:numPr>
        <w:ilvl w:val="1"/>
        <w:numId w:val="17"/>
      </w:numPr>
      <w:spacing w:after="0" w:line="240" w:lineRule="auto"/>
    </w:pPr>
    <w:rPr>
      <w:rFonts w:eastAsia="Batang"/>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16920"/>
    <w:pPr>
      <w:numPr>
        <w:ilvl w:val="2"/>
        <w:numId w:val="17"/>
      </w:numPr>
      <w:spacing w:after="0" w:line="240" w:lineRule="auto"/>
    </w:pPr>
    <w:rPr>
      <w:rFonts w:eastAsia="Batang"/>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16920"/>
    <w:pPr>
      <w:numPr>
        <w:ilvl w:val="3"/>
        <w:numId w:val="17"/>
      </w:numPr>
      <w:spacing w:after="0" w:line="240" w:lineRule="auto"/>
    </w:pPr>
    <w:rPr>
      <w:rFonts w:eastAsia="Batang"/>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16920"/>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616920"/>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616920"/>
    <w:rPr>
      <w:vanish/>
      <w:color w:val="00B050"/>
    </w:rPr>
  </w:style>
  <w:style w:type="paragraph" w:customStyle="1" w:styleId="Tabellnavn-kode">
    <w:name w:val="Tabellnavn-kode"/>
    <w:basedOn w:val="Tabellnavn"/>
    <w:qFormat/>
    <w:rsid w:val="00616920"/>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Normal"/>
    <w:qFormat/>
    <w:rsid w:val="00616920"/>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16920"/>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16920"/>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616920"/>
    <w:pPr>
      <w:keepNext/>
      <w:keepLines/>
      <w:spacing w:before="360" w:after="240"/>
      <w:jc w:val="center"/>
    </w:pPr>
    <w:rPr>
      <w:rFonts w:ascii="Arial" w:hAnsi="Arial"/>
      <w:b/>
      <w:spacing w:val="4"/>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16920"/>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61692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16920"/>
    <w:pPr>
      <w:numPr>
        <w:numId w:val="0"/>
      </w:numPr>
    </w:pPr>
    <w:rPr>
      <w:b w:val="0"/>
      <w:i/>
    </w:rPr>
  </w:style>
  <w:style w:type="paragraph" w:customStyle="1" w:styleId="Undervedl-tittel">
    <w:name w:val="Undervedl-tittel"/>
    <w:basedOn w:val="Normal"/>
    <w:next w:val="Normal"/>
    <w:rsid w:val="00616920"/>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16920"/>
    <w:pPr>
      <w:numPr>
        <w:numId w:val="0"/>
      </w:numPr>
      <w:outlineLvl w:val="9"/>
    </w:pPr>
  </w:style>
  <w:style w:type="paragraph" w:customStyle="1" w:styleId="v-Overskrift2">
    <w:name w:val="v-Overskrift 2"/>
    <w:basedOn w:val="Overskrift2"/>
    <w:next w:val="Normal"/>
    <w:rsid w:val="0061692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61692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616920"/>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16920"/>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rPr>
  </w:style>
  <w:style w:type="paragraph" w:customStyle="1" w:styleId="figur-tittel">
    <w:name w:val="figur-tittel"/>
    <w:basedOn w:val="Normal"/>
    <w:next w:val="Normal"/>
    <w:rsid w:val="00616920"/>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16920"/>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616920"/>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616920"/>
    <w:rPr>
      <w:color w:val="467886" w:themeColor="hyperlink"/>
      <w:u w:val="single"/>
    </w:rPr>
  </w:style>
  <w:style w:type="character" w:customStyle="1" w:styleId="BunntekstTegn">
    <w:name w:val="Bunntekst Tegn"/>
    <w:basedOn w:val="Standardskriftforavsnitt"/>
    <w:link w:val="Bunntekst"/>
    <w:uiPriority w:val="99"/>
    <w:rsid w:val="00616920"/>
    <w:rPr>
      <w:rFonts w:ascii="Times New Roman" w:eastAsia="Times New Roman" w:hAnsi="Times New Roman"/>
      <w:spacing w:val="4"/>
      <w:kern w:val="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616920"/>
    <w:rPr>
      <w:rFonts w:ascii="Times New Roman" w:eastAsia="Times New Roman" w:hAnsi="Times New Roman"/>
      <w:kern w:val="0"/>
      <w:szCs w:val="22"/>
      <w14:ligatures w14:val="none"/>
    </w:rPr>
  </w:style>
  <w:style w:type="character" w:styleId="Fotnotereferanse">
    <w:name w:val="footnote reference"/>
    <w:basedOn w:val="Standardskriftforavsnitt"/>
    <w:rsid w:val="00616920"/>
    <w:rPr>
      <w:vertAlign w:val="superscript"/>
    </w:rPr>
  </w:style>
  <w:style w:type="character" w:customStyle="1" w:styleId="gjennomstreket">
    <w:name w:val="gjennomstreket"/>
    <w:uiPriority w:val="1"/>
    <w:rsid w:val="00616920"/>
    <w:rPr>
      <w:strike/>
      <w:dstrike w:val="0"/>
    </w:rPr>
  </w:style>
  <w:style w:type="character" w:customStyle="1" w:styleId="halvfet0">
    <w:name w:val="halvfet"/>
    <w:basedOn w:val="Standardskriftforavsnitt"/>
    <w:rsid w:val="00616920"/>
    <w:rPr>
      <w:b/>
    </w:rPr>
  </w:style>
  <w:style w:type="character" w:customStyle="1" w:styleId="kursiv">
    <w:name w:val="kursiv"/>
    <w:basedOn w:val="Standardskriftforavsnitt"/>
    <w:rsid w:val="00616920"/>
    <w:rPr>
      <w:i/>
    </w:rPr>
  </w:style>
  <w:style w:type="character" w:customStyle="1" w:styleId="l-endring">
    <w:name w:val="l-endring"/>
    <w:basedOn w:val="Standardskriftforavsnitt"/>
    <w:rsid w:val="0061692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16920"/>
  </w:style>
  <w:style w:type="character" w:styleId="Plassholdertekst">
    <w:name w:val="Placeholder Text"/>
    <w:basedOn w:val="Standardskriftforavsnitt"/>
    <w:uiPriority w:val="99"/>
    <w:rsid w:val="00616920"/>
    <w:rPr>
      <w:color w:val="808080"/>
    </w:rPr>
  </w:style>
  <w:style w:type="character" w:customStyle="1" w:styleId="regular">
    <w:name w:val="regular"/>
    <w:basedOn w:val="Standardskriftforavsnitt"/>
    <w:uiPriority w:val="1"/>
    <w:qFormat/>
    <w:rsid w:val="0061692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16920"/>
    <w:rPr>
      <w:sz w:val="20"/>
      <w:vertAlign w:val="superscript"/>
    </w:rPr>
  </w:style>
  <w:style w:type="character" w:customStyle="1" w:styleId="skrift-senket">
    <w:name w:val="skrift-senket"/>
    <w:basedOn w:val="Standardskriftforavsnitt"/>
    <w:rsid w:val="00616920"/>
    <w:rPr>
      <w:sz w:val="20"/>
      <w:vertAlign w:val="subscript"/>
    </w:rPr>
  </w:style>
  <w:style w:type="character" w:customStyle="1" w:styleId="SluttnotetekstTegn">
    <w:name w:val="Sluttnotetekst Tegn"/>
    <w:basedOn w:val="Standardskriftforavsnitt"/>
    <w:link w:val="Sluttnotetekst"/>
    <w:uiPriority w:val="99"/>
    <w:semiHidden/>
    <w:rsid w:val="00616920"/>
    <w:rPr>
      <w:rFonts w:ascii="Times New Roman" w:eastAsia="Times New Roman" w:hAnsi="Times New Roman"/>
      <w:kern w:val="0"/>
      <w:sz w:val="20"/>
      <w:szCs w:val="20"/>
      <w14:ligatures w14:val="none"/>
    </w:rPr>
  </w:style>
  <w:style w:type="character" w:customStyle="1" w:styleId="sperret0">
    <w:name w:val="sperret"/>
    <w:basedOn w:val="Standardskriftforavsnitt"/>
    <w:rsid w:val="00616920"/>
    <w:rPr>
      <w:spacing w:val="30"/>
    </w:rPr>
  </w:style>
  <w:style w:type="character" w:customStyle="1" w:styleId="SterktsitatTegn">
    <w:name w:val="Sterkt sitat Tegn"/>
    <w:basedOn w:val="Standardskriftforavsnitt"/>
    <w:link w:val="Sterktsitat"/>
    <w:uiPriority w:val="30"/>
    <w:rsid w:val="00616920"/>
    <w:rPr>
      <w:rFonts w:ascii="Times New Roman" w:eastAsia="Times New Roman" w:hAnsi="Times New Roman"/>
      <w:b/>
      <w:bCs/>
      <w:i/>
      <w:iCs/>
      <w:color w:val="156082" w:themeColor="accent1"/>
      <w:kern w:val="0"/>
      <w:szCs w:val="22"/>
      <w14:ligatures w14:val="none"/>
    </w:rPr>
  </w:style>
  <w:style w:type="character" w:customStyle="1" w:styleId="Stikkord">
    <w:name w:val="Stikkord"/>
    <w:basedOn w:val="Standardskriftforavsnitt"/>
    <w:rsid w:val="00616920"/>
  </w:style>
  <w:style w:type="character" w:customStyle="1" w:styleId="stikkord0">
    <w:name w:val="stikkord"/>
    <w:uiPriority w:val="99"/>
  </w:style>
  <w:style w:type="character" w:styleId="Sterk">
    <w:name w:val="Strong"/>
    <w:basedOn w:val="Standardskriftforavsnitt"/>
    <w:uiPriority w:val="22"/>
    <w:qFormat/>
    <w:rsid w:val="00616920"/>
    <w:rPr>
      <w:b/>
      <w:bCs/>
    </w:rPr>
  </w:style>
  <w:style w:type="character" w:customStyle="1" w:styleId="TopptekstTegn">
    <w:name w:val="Topptekst Tegn"/>
    <w:basedOn w:val="Standardskriftforavsnitt"/>
    <w:link w:val="Topptekst"/>
    <w:rsid w:val="00616920"/>
    <w:rPr>
      <w:rFonts w:ascii="Times New Roman" w:eastAsia="Times New Roman" w:hAnsi="Times New Roman"/>
      <w:kern w:val="0"/>
      <w:szCs w:val="22"/>
      <w14:ligatures w14:val="none"/>
    </w:rPr>
  </w:style>
  <w:style w:type="character" w:customStyle="1" w:styleId="UnderskriftTegn">
    <w:name w:val="Underskrift Tegn"/>
    <w:basedOn w:val="Standardskriftforavsnitt"/>
    <w:link w:val="Underskrift"/>
    <w:uiPriority w:val="99"/>
    <w:semiHidden/>
    <w:rsid w:val="00616920"/>
    <w:rPr>
      <w:rFonts w:ascii="Times New Roman" w:eastAsia="Times New Roman" w:hAnsi="Times New Roman"/>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616920"/>
    <w:rPr>
      <w:rFonts w:ascii="Arial" w:eastAsia="Times New Roman" w:hAnsi="Arial"/>
      <w:i/>
      <w:kern w:val="0"/>
      <w:sz w:val="22"/>
      <w:szCs w:val="22"/>
      <w14:ligatures w14:val="none"/>
    </w:rPr>
  </w:style>
  <w:style w:type="character" w:customStyle="1" w:styleId="Overskrift7Tegn">
    <w:name w:val="Overskrift 7 Tegn"/>
    <w:basedOn w:val="Standardskriftforavsnitt"/>
    <w:link w:val="Overskrift7"/>
    <w:rsid w:val="00616920"/>
    <w:rPr>
      <w:rFonts w:ascii="Arial" w:eastAsia="Times New Roman" w:hAnsi="Arial"/>
      <w:kern w:val="0"/>
      <w:szCs w:val="22"/>
      <w14:ligatures w14:val="none"/>
    </w:rPr>
  </w:style>
  <w:style w:type="character" w:customStyle="1" w:styleId="Overskrift8Tegn">
    <w:name w:val="Overskrift 8 Tegn"/>
    <w:basedOn w:val="Standardskriftforavsnitt"/>
    <w:link w:val="Overskrift8"/>
    <w:rsid w:val="00616920"/>
    <w:rPr>
      <w:rFonts w:ascii="Arial" w:eastAsia="Times New Roman" w:hAnsi="Arial"/>
      <w:i/>
      <w:kern w:val="0"/>
      <w:szCs w:val="22"/>
      <w14:ligatures w14:val="none"/>
    </w:rPr>
  </w:style>
  <w:style w:type="character" w:customStyle="1" w:styleId="Overskrift9Tegn">
    <w:name w:val="Overskrift 9 Tegn"/>
    <w:basedOn w:val="Standardskriftforavsnitt"/>
    <w:link w:val="Overskrift9"/>
    <w:rsid w:val="00616920"/>
    <w:rPr>
      <w:rFonts w:ascii="Arial" w:eastAsia="Times New Roman" w:hAnsi="Arial"/>
      <w:b/>
      <w:i/>
      <w:kern w:val="0"/>
      <w:sz w:val="18"/>
      <w:szCs w:val="22"/>
      <w14:ligatures w14:val="none"/>
    </w:rPr>
  </w:style>
  <w:style w:type="table" w:styleId="Tabelltemaer">
    <w:name w:val="Table Theme"/>
    <w:basedOn w:val="Vanligtabell"/>
    <w:uiPriority w:val="99"/>
    <w:semiHidden/>
    <w:unhideWhenUsed/>
    <w:rsid w:val="00616920"/>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616920"/>
    <w:pPr>
      <w:tabs>
        <w:tab w:val="center" w:pos="4153"/>
        <w:tab w:val="right" w:pos="8306"/>
      </w:tabs>
    </w:pPr>
    <w:rPr>
      <w:spacing w:val="4"/>
    </w:rPr>
  </w:style>
  <w:style w:type="character" w:customStyle="1" w:styleId="BunntekstTegn1">
    <w:name w:val="Bunntekst Tegn1"/>
    <w:basedOn w:val="Standardskriftforavsnitt"/>
    <w:uiPriority w:val="99"/>
    <w:semiHidden/>
    <w:rsid w:val="00330F87"/>
    <w:rPr>
      <w:rFonts w:ascii="Times New Roman" w:eastAsia="Times New Roman" w:hAnsi="Times New Roman"/>
      <w:kern w:val="0"/>
      <w:szCs w:val="22"/>
      <w14:ligatures w14:val="none"/>
    </w:rPr>
  </w:style>
  <w:style w:type="paragraph" w:styleId="NormalWeb">
    <w:name w:val="Normal (Web)"/>
    <w:basedOn w:val="Normal"/>
    <w:uiPriority w:val="99"/>
    <w:semiHidden/>
    <w:unhideWhenUsed/>
    <w:rsid w:val="00616920"/>
    <w:rPr>
      <w:szCs w:val="24"/>
    </w:rPr>
  </w:style>
  <w:style w:type="paragraph" w:styleId="INNH1">
    <w:name w:val="toc 1"/>
    <w:basedOn w:val="Normal"/>
    <w:next w:val="Normal"/>
    <w:uiPriority w:val="39"/>
    <w:rsid w:val="00616920"/>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616920"/>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616920"/>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616920"/>
    <w:pPr>
      <w:tabs>
        <w:tab w:val="right" w:leader="dot" w:pos="8306"/>
      </w:tabs>
      <w:ind w:left="600"/>
    </w:pPr>
  </w:style>
  <w:style w:type="paragraph" w:styleId="INNH5">
    <w:name w:val="toc 5"/>
    <w:basedOn w:val="Normal"/>
    <w:next w:val="Normal"/>
    <w:semiHidden/>
    <w:rsid w:val="00616920"/>
    <w:pPr>
      <w:tabs>
        <w:tab w:val="right" w:leader="dot" w:pos="8306"/>
      </w:tabs>
      <w:ind w:left="800"/>
    </w:pPr>
  </w:style>
  <w:style w:type="character" w:styleId="Merknadsreferanse">
    <w:name w:val="annotation reference"/>
    <w:basedOn w:val="Standardskriftforavsnitt"/>
    <w:semiHidden/>
    <w:rsid w:val="00616920"/>
    <w:rPr>
      <w:sz w:val="16"/>
    </w:rPr>
  </w:style>
  <w:style w:type="paragraph" w:styleId="Merknadstekst">
    <w:name w:val="annotation text"/>
    <w:basedOn w:val="Normal"/>
    <w:link w:val="MerknadstekstTegn"/>
    <w:semiHidden/>
    <w:rsid w:val="00616920"/>
  </w:style>
  <w:style w:type="character" w:customStyle="1" w:styleId="MerknadstekstTegn">
    <w:name w:val="Merknadstekst Tegn"/>
    <w:basedOn w:val="Standardskriftforavsnitt"/>
    <w:link w:val="Merknadstekst"/>
    <w:semiHidden/>
    <w:rsid w:val="00616920"/>
    <w:rPr>
      <w:rFonts w:ascii="Times New Roman" w:eastAsia="Times New Roman" w:hAnsi="Times New Roman"/>
      <w:kern w:val="0"/>
      <w:szCs w:val="22"/>
      <w14:ligatures w14:val="none"/>
    </w:rPr>
  </w:style>
  <w:style w:type="paragraph" w:styleId="Punktliste">
    <w:name w:val="List Bullet"/>
    <w:basedOn w:val="Normal"/>
    <w:rsid w:val="00616920"/>
    <w:pPr>
      <w:numPr>
        <w:numId w:val="2"/>
      </w:numPr>
      <w:spacing w:after="0"/>
    </w:pPr>
    <w:rPr>
      <w:spacing w:val="4"/>
    </w:rPr>
  </w:style>
  <w:style w:type="paragraph" w:styleId="Punktliste2">
    <w:name w:val="List Bullet 2"/>
    <w:basedOn w:val="Normal"/>
    <w:rsid w:val="00616920"/>
    <w:pPr>
      <w:numPr>
        <w:numId w:val="3"/>
      </w:numPr>
      <w:spacing w:after="0"/>
    </w:pPr>
    <w:rPr>
      <w:spacing w:val="4"/>
    </w:rPr>
  </w:style>
  <w:style w:type="paragraph" w:styleId="Punktliste3">
    <w:name w:val="List Bullet 3"/>
    <w:basedOn w:val="Normal"/>
    <w:rsid w:val="00616920"/>
    <w:pPr>
      <w:numPr>
        <w:numId w:val="4"/>
      </w:numPr>
      <w:spacing w:after="0"/>
    </w:pPr>
    <w:rPr>
      <w:spacing w:val="4"/>
    </w:rPr>
  </w:style>
  <w:style w:type="paragraph" w:styleId="Punktliste4">
    <w:name w:val="List Bullet 4"/>
    <w:basedOn w:val="Normal"/>
    <w:rsid w:val="00616920"/>
    <w:pPr>
      <w:numPr>
        <w:numId w:val="5"/>
      </w:numPr>
      <w:spacing w:after="0"/>
    </w:pPr>
  </w:style>
  <w:style w:type="paragraph" w:styleId="Punktliste5">
    <w:name w:val="List Bullet 5"/>
    <w:basedOn w:val="Normal"/>
    <w:rsid w:val="00616920"/>
    <w:pPr>
      <w:numPr>
        <w:numId w:val="6"/>
      </w:numPr>
      <w:spacing w:after="0"/>
    </w:pPr>
  </w:style>
  <w:style w:type="paragraph" w:styleId="Topptekst">
    <w:name w:val="header"/>
    <w:basedOn w:val="Normal"/>
    <w:link w:val="TopptekstTegn"/>
    <w:rsid w:val="00616920"/>
    <w:pPr>
      <w:tabs>
        <w:tab w:val="center" w:pos="4536"/>
        <w:tab w:val="right" w:pos="9072"/>
      </w:tabs>
    </w:pPr>
  </w:style>
  <w:style w:type="character" w:customStyle="1" w:styleId="TopptekstTegn1">
    <w:name w:val="Topptekst Tegn1"/>
    <w:basedOn w:val="Standardskriftforavsnitt"/>
    <w:uiPriority w:val="99"/>
    <w:semiHidden/>
    <w:rsid w:val="00330F87"/>
    <w:rPr>
      <w:rFonts w:ascii="Times New Roman" w:eastAsia="Times New Roman" w:hAnsi="Times New Roman"/>
      <w:kern w:val="0"/>
      <w:szCs w:val="22"/>
      <w14:ligatures w14:val="none"/>
    </w:rPr>
  </w:style>
  <w:style w:type="table" w:customStyle="1" w:styleId="Tabell-VM">
    <w:name w:val="Tabell-VM"/>
    <w:basedOn w:val="Tabelltemaer"/>
    <w:uiPriority w:val="99"/>
    <w:qFormat/>
    <w:rsid w:val="00616920"/>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616920"/>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61692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16920"/>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616920"/>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16920"/>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16920"/>
    <w:pPr>
      <w:spacing w:after="0" w:line="240" w:lineRule="auto"/>
      <w:ind w:left="240" w:hanging="240"/>
    </w:pPr>
  </w:style>
  <w:style w:type="paragraph" w:styleId="Indeks2">
    <w:name w:val="index 2"/>
    <w:basedOn w:val="Normal"/>
    <w:next w:val="Normal"/>
    <w:autoRedefine/>
    <w:uiPriority w:val="99"/>
    <w:semiHidden/>
    <w:unhideWhenUsed/>
    <w:rsid w:val="00616920"/>
    <w:pPr>
      <w:spacing w:after="0" w:line="240" w:lineRule="auto"/>
      <w:ind w:left="480" w:hanging="240"/>
    </w:pPr>
  </w:style>
  <w:style w:type="paragraph" w:styleId="Indeks3">
    <w:name w:val="index 3"/>
    <w:basedOn w:val="Normal"/>
    <w:next w:val="Normal"/>
    <w:autoRedefine/>
    <w:uiPriority w:val="99"/>
    <w:semiHidden/>
    <w:unhideWhenUsed/>
    <w:rsid w:val="00616920"/>
    <w:pPr>
      <w:spacing w:after="0" w:line="240" w:lineRule="auto"/>
      <w:ind w:left="720" w:hanging="240"/>
    </w:pPr>
  </w:style>
  <w:style w:type="paragraph" w:styleId="Indeks4">
    <w:name w:val="index 4"/>
    <w:basedOn w:val="Normal"/>
    <w:next w:val="Normal"/>
    <w:autoRedefine/>
    <w:uiPriority w:val="99"/>
    <w:semiHidden/>
    <w:unhideWhenUsed/>
    <w:rsid w:val="00616920"/>
    <w:pPr>
      <w:spacing w:after="0" w:line="240" w:lineRule="auto"/>
      <w:ind w:left="960" w:hanging="240"/>
    </w:pPr>
  </w:style>
  <w:style w:type="paragraph" w:styleId="Indeks5">
    <w:name w:val="index 5"/>
    <w:basedOn w:val="Normal"/>
    <w:next w:val="Normal"/>
    <w:autoRedefine/>
    <w:uiPriority w:val="99"/>
    <w:semiHidden/>
    <w:unhideWhenUsed/>
    <w:rsid w:val="00616920"/>
    <w:pPr>
      <w:spacing w:after="0" w:line="240" w:lineRule="auto"/>
      <w:ind w:left="1200" w:hanging="240"/>
    </w:pPr>
  </w:style>
  <w:style w:type="paragraph" w:styleId="Indeks6">
    <w:name w:val="index 6"/>
    <w:basedOn w:val="Normal"/>
    <w:next w:val="Normal"/>
    <w:autoRedefine/>
    <w:uiPriority w:val="99"/>
    <w:semiHidden/>
    <w:unhideWhenUsed/>
    <w:rsid w:val="00616920"/>
    <w:pPr>
      <w:spacing w:after="0" w:line="240" w:lineRule="auto"/>
      <w:ind w:left="1440" w:hanging="240"/>
    </w:pPr>
  </w:style>
  <w:style w:type="paragraph" w:styleId="Indeks7">
    <w:name w:val="index 7"/>
    <w:basedOn w:val="Normal"/>
    <w:next w:val="Normal"/>
    <w:autoRedefine/>
    <w:uiPriority w:val="99"/>
    <w:semiHidden/>
    <w:unhideWhenUsed/>
    <w:rsid w:val="00616920"/>
    <w:pPr>
      <w:spacing w:after="0" w:line="240" w:lineRule="auto"/>
      <w:ind w:left="1680" w:hanging="240"/>
    </w:pPr>
  </w:style>
  <w:style w:type="paragraph" w:styleId="Indeks8">
    <w:name w:val="index 8"/>
    <w:basedOn w:val="Normal"/>
    <w:next w:val="Normal"/>
    <w:autoRedefine/>
    <w:uiPriority w:val="99"/>
    <w:semiHidden/>
    <w:unhideWhenUsed/>
    <w:rsid w:val="00616920"/>
    <w:pPr>
      <w:spacing w:after="0" w:line="240" w:lineRule="auto"/>
      <w:ind w:left="1920" w:hanging="240"/>
    </w:pPr>
  </w:style>
  <w:style w:type="paragraph" w:styleId="Indeks9">
    <w:name w:val="index 9"/>
    <w:basedOn w:val="Normal"/>
    <w:next w:val="Normal"/>
    <w:autoRedefine/>
    <w:uiPriority w:val="99"/>
    <w:semiHidden/>
    <w:unhideWhenUsed/>
    <w:rsid w:val="00616920"/>
    <w:pPr>
      <w:spacing w:after="0" w:line="240" w:lineRule="auto"/>
      <w:ind w:left="2160" w:hanging="240"/>
    </w:pPr>
  </w:style>
  <w:style w:type="paragraph" w:styleId="INNH6">
    <w:name w:val="toc 6"/>
    <w:basedOn w:val="Normal"/>
    <w:next w:val="Normal"/>
    <w:autoRedefine/>
    <w:uiPriority w:val="39"/>
    <w:semiHidden/>
    <w:unhideWhenUsed/>
    <w:rsid w:val="00616920"/>
    <w:pPr>
      <w:spacing w:after="100"/>
      <w:ind w:left="1200"/>
    </w:pPr>
  </w:style>
  <w:style w:type="paragraph" w:styleId="INNH7">
    <w:name w:val="toc 7"/>
    <w:basedOn w:val="Normal"/>
    <w:next w:val="Normal"/>
    <w:autoRedefine/>
    <w:uiPriority w:val="39"/>
    <w:semiHidden/>
    <w:unhideWhenUsed/>
    <w:rsid w:val="00616920"/>
    <w:pPr>
      <w:spacing w:after="100"/>
      <w:ind w:left="1440"/>
    </w:pPr>
  </w:style>
  <w:style w:type="paragraph" w:styleId="INNH8">
    <w:name w:val="toc 8"/>
    <w:basedOn w:val="Normal"/>
    <w:next w:val="Normal"/>
    <w:autoRedefine/>
    <w:uiPriority w:val="39"/>
    <w:semiHidden/>
    <w:unhideWhenUsed/>
    <w:rsid w:val="00616920"/>
    <w:pPr>
      <w:spacing w:after="100"/>
      <w:ind w:left="1680"/>
    </w:pPr>
  </w:style>
  <w:style w:type="paragraph" w:styleId="INNH9">
    <w:name w:val="toc 9"/>
    <w:basedOn w:val="Normal"/>
    <w:next w:val="Normal"/>
    <w:autoRedefine/>
    <w:uiPriority w:val="39"/>
    <w:semiHidden/>
    <w:unhideWhenUsed/>
    <w:rsid w:val="00616920"/>
    <w:pPr>
      <w:spacing w:after="100"/>
      <w:ind w:left="1920"/>
    </w:pPr>
  </w:style>
  <w:style w:type="paragraph" w:styleId="Vanliginnrykk">
    <w:name w:val="Normal Indent"/>
    <w:basedOn w:val="Normal"/>
    <w:uiPriority w:val="99"/>
    <w:semiHidden/>
    <w:unhideWhenUsed/>
    <w:rsid w:val="00616920"/>
    <w:pPr>
      <w:ind w:left="708"/>
    </w:pPr>
  </w:style>
  <w:style w:type="paragraph" w:styleId="Stikkordregisteroverskrift">
    <w:name w:val="index heading"/>
    <w:basedOn w:val="Normal"/>
    <w:next w:val="Indeks1"/>
    <w:uiPriority w:val="99"/>
    <w:semiHidden/>
    <w:unhideWhenUsed/>
    <w:rsid w:val="0061692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1692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616920"/>
    <w:pPr>
      <w:spacing w:after="0"/>
    </w:pPr>
  </w:style>
  <w:style w:type="paragraph" w:styleId="Konvoluttadresse">
    <w:name w:val="envelope address"/>
    <w:basedOn w:val="Normal"/>
    <w:uiPriority w:val="99"/>
    <w:semiHidden/>
    <w:unhideWhenUsed/>
    <w:rsid w:val="0061692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16920"/>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616920"/>
  </w:style>
  <w:style w:type="character" w:styleId="Sluttnotereferanse">
    <w:name w:val="endnote reference"/>
    <w:basedOn w:val="Standardskriftforavsnitt"/>
    <w:uiPriority w:val="99"/>
    <w:semiHidden/>
    <w:unhideWhenUsed/>
    <w:rsid w:val="00616920"/>
    <w:rPr>
      <w:vertAlign w:val="superscript"/>
    </w:rPr>
  </w:style>
  <w:style w:type="paragraph" w:styleId="Sluttnotetekst">
    <w:name w:val="endnote text"/>
    <w:basedOn w:val="Normal"/>
    <w:link w:val="SluttnotetekstTegn"/>
    <w:uiPriority w:val="99"/>
    <w:semiHidden/>
    <w:unhideWhenUsed/>
    <w:rsid w:val="00616920"/>
    <w:pPr>
      <w:spacing w:after="0" w:line="240" w:lineRule="auto"/>
    </w:pPr>
    <w:rPr>
      <w:sz w:val="20"/>
      <w:szCs w:val="20"/>
    </w:rPr>
  </w:style>
  <w:style w:type="character" w:customStyle="1" w:styleId="SluttnotetekstTegn1">
    <w:name w:val="Sluttnotetekst Tegn1"/>
    <w:basedOn w:val="Standardskriftforavsnitt"/>
    <w:uiPriority w:val="99"/>
    <w:semiHidden/>
    <w:rsid w:val="00330F87"/>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616920"/>
    <w:pPr>
      <w:spacing w:after="0"/>
      <w:ind w:left="240" w:hanging="240"/>
    </w:pPr>
  </w:style>
  <w:style w:type="paragraph" w:styleId="Makrotekst">
    <w:name w:val="macro"/>
    <w:link w:val="MakrotekstTegn"/>
    <w:uiPriority w:val="99"/>
    <w:semiHidden/>
    <w:unhideWhenUsed/>
    <w:rsid w:val="0061692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616920"/>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61692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1692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61692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616920"/>
    <w:pPr>
      <w:spacing w:after="0" w:line="240" w:lineRule="auto"/>
      <w:ind w:left="4252"/>
    </w:pPr>
  </w:style>
  <w:style w:type="character" w:customStyle="1" w:styleId="HilsenTegn">
    <w:name w:val="Hilsen Tegn"/>
    <w:basedOn w:val="Standardskriftforavsnitt"/>
    <w:link w:val="Hilsen"/>
    <w:uiPriority w:val="99"/>
    <w:semiHidden/>
    <w:rsid w:val="00616920"/>
    <w:rPr>
      <w:rFonts w:ascii="Times New Roman" w:eastAsia="Times New Roman" w:hAnsi="Times New Roman"/>
      <w:kern w:val="0"/>
      <w:szCs w:val="22"/>
      <w14:ligatures w14:val="none"/>
    </w:rPr>
  </w:style>
  <w:style w:type="paragraph" w:styleId="Underskrift">
    <w:name w:val="Signature"/>
    <w:basedOn w:val="Normal"/>
    <w:link w:val="UnderskriftTegn"/>
    <w:uiPriority w:val="99"/>
    <w:semiHidden/>
    <w:unhideWhenUsed/>
    <w:rsid w:val="00616920"/>
    <w:pPr>
      <w:spacing w:after="0" w:line="240" w:lineRule="auto"/>
      <w:ind w:left="4252"/>
    </w:pPr>
  </w:style>
  <w:style w:type="character" w:customStyle="1" w:styleId="UnderskriftTegn1">
    <w:name w:val="Underskrift Tegn1"/>
    <w:basedOn w:val="Standardskriftforavsnitt"/>
    <w:uiPriority w:val="99"/>
    <w:semiHidden/>
    <w:rsid w:val="00330F87"/>
    <w:rPr>
      <w:rFonts w:ascii="Times New Roman" w:eastAsia="Times New Roman" w:hAnsi="Times New Roman"/>
      <w:kern w:val="0"/>
      <w:szCs w:val="22"/>
      <w14:ligatures w14:val="none"/>
    </w:rPr>
  </w:style>
  <w:style w:type="paragraph" w:styleId="Brdtekst">
    <w:name w:val="Body Text"/>
    <w:basedOn w:val="Normal"/>
    <w:link w:val="BrdtekstTegn"/>
    <w:uiPriority w:val="99"/>
    <w:semiHidden/>
    <w:unhideWhenUsed/>
    <w:rsid w:val="00616920"/>
  </w:style>
  <w:style w:type="character" w:customStyle="1" w:styleId="BrdtekstTegn">
    <w:name w:val="Brødtekst Tegn"/>
    <w:basedOn w:val="Standardskriftforavsnitt"/>
    <w:link w:val="Brdtekst"/>
    <w:uiPriority w:val="99"/>
    <w:semiHidden/>
    <w:rsid w:val="00616920"/>
    <w:rPr>
      <w:rFonts w:ascii="Times New Roman" w:eastAsia="Times New Roman" w:hAnsi="Times New Roman"/>
      <w:kern w:val="0"/>
      <w:szCs w:val="22"/>
      <w14:ligatures w14:val="none"/>
    </w:rPr>
  </w:style>
  <w:style w:type="paragraph" w:styleId="Brdtekstinnrykk">
    <w:name w:val="Body Text Indent"/>
    <w:basedOn w:val="Normal"/>
    <w:link w:val="BrdtekstinnrykkTegn"/>
    <w:uiPriority w:val="99"/>
    <w:semiHidden/>
    <w:unhideWhenUsed/>
    <w:rsid w:val="00616920"/>
    <w:pPr>
      <w:ind w:left="283"/>
    </w:pPr>
  </w:style>
  <w:style w:type="character" w:customStyle="1" w:styleId="BrdtekstinnrykkTegn">
    <w:name w:val="Brødtekstinnrykk Tegn"/>
    <w:basedOn w:val="Standardskriftforavsnitt"/>
    <w:link w:val="Brdtekstinnrykk"/>
    <w:uiPriority w:val="99"/>
    <w:semiHidden/>
    <w:rsid w:val="00616920"/>
    <w:rPr>
      <w:rFonts w:ascii="Times New Roman" w:eastAsia="Times New Roman" w:hAnsi="Times New Roman"/>
      <w:kern w:val="0"/>
      <w:szCs w:val="22"/>
      <w14:ligatures w14:val="none"/>
    </w:rPr>
  </w:style>
  <w:style w:type="numbering" w:customStyle="1" w:styleId="l-ListeStilMal">
    <w:name w:val="l-ListeStilMal"/>
    <w:uiPriority w:val="99"/>
    <w:rsid w:val="00616920"/>
    <w:pPr>
      <w:numPr>
        <w:numId w:val="8"/>
      </w:numPr>
    </w:pPr>
  </w:style>
  <w:style w:type="paragraph" w:styleId="Meldingshode">
    <w:name w:val="Message Header"/>
    <w:basedOn w:val="Normal"/>
    <w:link w:val="MeldingshodeTegn"/>
    <w:uiPriority w:val="99"/>
    <w:semiHidden/>
    <w:unhideWhenUsed/>
    <w:rsid w:val="0061692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16920"/>
    <w:rPr>
      <w:rFonts w:asciiTheme="majorHAnsi" w:eastAsiaTheme="majorEastAsia" w:hAnsiTheme="majorHAnsi" w:cstheme="majorBidi"/>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616920"/>
  </w:style>
  <w:style w:type="character" w:customStyle="1" w:styleId="InnledendehilsenTegn">
    <w:name w:val="Innledende hilsen Tegn"/>
    <w:basedOn w:val="Standardskriftforavsnitt"/>
    <w:link w:val="Innledendehilsen"/>
    <w:uiPriority w:val="99"/>
    <w:semiHidden/>
    <w:rsid w:val="00616920"/>
    <w:rPr>
      <w:rFonts w:ascii="Times New Roman" w:eastAsia="Times New Roman" w:hAnsi="Times New Roman"/>
      <w:kern w:val="0"/>
      <w:szCs w:val="22"/>
      <w14:ligatures w14:val="none"/>
    </w:rPr>
  </w:style>
  <w:style w:type="paragraph" w:styleId="Dato0">
    <w:name w:val="Date"/>
    <w:basedOn w:val="Normal"/>
    <w:next w:val="Normal"/>
    <w:link w:val="DatoTegn"/>
    <w:uiPriority w:val="99"/>
    <w:unhideWhenUsed/>
    <w:rsid w:val="00616920"/>
  </w:style>
  <w:style w:type="character" w:customStyle="1" w:styleId="DatoTegn1">
    <w:name w:val="Dato Tegn1"/>
    <w:basedOn w:val="Standardskriftforavsnitt"/>
    <w:uiPriority w:val="99"/>
    <w:semiHidden/>
    <w:rsid w:val="00330F87"/>
    <w:rPr>
      <w:rFonts w:ascii="Times New Roman" w:eastAsia="Times New Roman" w:hAnsi="Times New Roman"/>
      <w:kern w:val="0"/>
      <w:szCs w:val="22"/>
      <w14:ligatures w14:val="none"/>
    </w:rPr>
  </w:style>
  <w:style w:type="paragraph" w:styleId="Notatoverskrift">
    <w:name w:val="Note Heading"/>
    <w:basedOn w:val="Normal"/>
    <w:next w:val="Normal"/>
    <w:link w:val="NotatoverskriftTegn"/>
    <w:uiPriority w:val="99"/>
    <w:semiHidden/>
    <w:unhideWhenUsed/>
    <w:rsid w:val="00616920"/>
    <w:pPr>
      <w:spacing w:after="0" w:line="240" w:lineRule="auto"/>
    </w:pPr>
  </w:style>
  <w:style w:type="character" w:customStyle="1" w:styleId="NotatoverskriftTegn">
    <w:name w:val="Notatoverskrift Tegn"/>
    <w:basedOn w:val="Standardskriftforavsnitt"/>
    <w:link w:val="Notatoverskrift"/>
    <w:uiPriority w:val="99"/>
    <w:semiHidden/>
    <w:rsid w:val="00616920"/>
    <w:rPr>
      <w:rFonts w:ascii="Times New Roman" w:eastAsia="Times New Roman" w:hAnsi="Times New Roman"/>
      <w:kern w:val="0"/>
      <w:szCs w:val="22"/>
      <w14:ligatures w14:val="none"/>
    </w:rPr>
  </w:style>
  <w:style w:type="paragraph" w:styleId="Brdtekst2">
    <w:name w:val="Body Text 2"/>
    <w:basedOn w:val="Normal"/>
    <w:link w:val="Brdtekst2Tegn"/>
    <w:uiPriority w:val="99"/>
    <w:semiHidden/>
    <w:unhideWhenUsed/>
    <w:rsid w:val="00616920"/>
    <w:pPr>
      <w:spacing w:line="480" w:lineRule="auto"/>
    </w:pPr>
  </w:style>
  <w:style w:type="character" w:customStyle="1" w:styleId="Brdtekst2Tegn">
    <w:name w:val="Brødtekst 2 Tegn"/>
    <w:basedOn w:val="Standardskriftforavsnitt"/>
    <w:link w:val="Brdtekst2"/>
    <w:uiPriority w:val="99"/>
    <w:semiHidden/>
    <w:rsid w:val="00616920"/>
    <w:rPr>
      <w:rFonts w:ascii="Times New Roman" w:eastAsia="Times New Roman" w:hAnsi="Times New Roman"/>
      <w:kern w:val="0"/>
      <w:szCs w:val="22"/>
      <w14:ligatures w14:val="none"/>
    </w:rPr>
  </w:style>
  <w:style w:type="paragraph" w:styleId="Brdtekst3">
    <w:name w:val="Body Text 3"/>
    <w:basedOn w:val="Normal"/>
    <w:link w:val="Brdtekst3Tegn"/>
    <w:uiPriority w:val="99"/>
    <w:semiHidden/>
    <w:unhideWhenUsed/>
    <w:rsid w:val="00616920"/>
    <w:rPr>
      <w:sz w:val="16"/>
      <w:szCs w:val="16"/>
    </w:rPr>
  </w:style>
  <w:style w:type="character" w:customStyle="1" w:styleId="Brdtekst3Tegn">
    <w:name w:val="Brødtekst 3 Tegn"/>
    <w:basedOn w:val="Standardskriftforavsnitt"/>
    <w:link w:val="Brdtekst3"/>
    <w:uiPriority w:val="99"/>
    <w:semiHidden/>
    <w:rsid w:val="00616920"/>
    <w:rPr>
      <w:rFonts w:ascii="Times New Roman" w:eastAsia="Times New Roman"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616920"/>
    <w:pPr>
      <w:spacing w:line="480" w:lineRule="auto"/>
      <w:ind w:left="283"/>
    </w:pPr>
  </w:style>
  <w:style w:type="character" w:customStyle="1" w:styleId="Brdtekstinnrykk2Tegn">
    <w:name w:val="Brødtekstinnrykk 2 Tegn"/>
    <w:basedOn w:val="Standardskriftforavsnitt"/>
    <w:link w:val="Brdtekstinnrykk2"/>
    <w:uiPriority w:val="99"/>
    <w:semiHidden/>
    <w:rsid w:val="00616920"/>
    <w:rPr>
      <w:rFonts w:ascii="Times New Roman" w:eastAsia="Times New Roman" w:hAnsi="Times New Roman"/>
      <w:kern w:val="0"/>
      <w:szCs w:val="22"/>
      <w14:ligatures w14:val="none"/>
    </w:rPr>
  </w:style>
  <w:style w:type="paragraph" w:styleId="Brdtekstinnrykk3">
    <w:name w:val="Body Text Indent 3"/>
    <w:basedOn w:val="Normal"/>
    <w:link w:val="Brdtekstinnrykk3Tegn"/>
    <w:uiPriority w:val="99"/>
    <w:semiHidden/>
    <w:unhideWhenUsed/>
    <w:rsid w:val="00616920"/>
    <w:pPr>
      <w:ind w:left="283"/>
    </w:pPr>
    <w:rPr>
      <w:sz w:val="16"/>
      <w:szCs w:val="16"/>
    </w:rPr>
  </w:style>
  <w:style w:type="character" w:customStyle="1" w:styleId="Brdtekstinnrykk3Tegn">
    <w:name w:val="Brødtekstinnrykk 3 Tegn"/>
    <w:basedOn w:val="Standardskriftforavsnitt"/>
    <w:link w:val="Brdtekstinnrykk3"/>
    <w:uiPriority w:val="99"/>
    <w:semiHidden/>
    <w:rsid w:val="00616920"/>
    <w:rPr>
      <w:rFonts w:ascii="Times New Roman" w:eastAsia="Times New Roman" w:hAnsi="Times New Roman"/>
      <w:kern w:val="0"/>
      <w:sz w:val="16"/>
      <w:szCs w:val="16"/>
      <w14:ligatures w14:val="none"/>
    </w:rPr>
  </w:style>
  <w:style w:type="paragraph" w:styleId="Blokktekst">
    <w:name w:val="Block Text"/>
    <w:basedOn w:val="Normal"/>
    <w:uiPriority w:val="99"/>
    <w:semiHidden/>
    <w:unhideWhenUsed/>
    <w:rsid w:val="0061692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616920"/>
    <w:rPr>
      <w:color w:val="96607D" w:themeColor="followedHyperlink"/>
      <w:u w:val="single"/>
    </w:rPr>
  </w:style>
  <w:style w:type="character" w:styleId="Utheving">
    <w:name w:val="Emphasis"/>
    <w:basedOn w:val="Standardskriftforavsnitt"/>
    <w:uiPriority w:val="20"/>
    <w:qFormat/>
    <w:rsid w:val="00616920"/>
    <w:rPr>
      <w:i/>
      <w:iCs/>
    </w:rPr>
  </w:style>
  <w:style w:type="paragraph" w:styleId="Dokumentkart">
    <w:name w:val="Document Map"/>
    <w:basedOn w:val="Normal"/>
    <w:link w:val="DokumentkartTegn"/>
    <w:uiPriority w:val="99"/>
    <w:semiHidden/>
    <w:unhideWhenUsed/>
    <w:rsid w:val="0061692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16920"/>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61692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16920"/>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616920"/>
    <w:pPr>
      <w:spacing w:after="0" w:line="240" w:lineRule="auto"/>
    </w:pPr>
  </w:style>
  <w:style w:type="character" w:customStyle="1" w:styleId="E-postsignaturTegn">
    <w:name w:val="E-postsignatur Tegn"/>
    <w:basedOn w:val="Standardskriftforavsnitt"/>
    <w:link w:val="E-postsignatur"/>
    <w:uiPriority w:val="99"/>
    <w:semiHidden/>
    <w:rsid w:val="00616920"/>
    <w:rPr>
      <w:rFonts w:ascii="Times New Roman" w:eastAsia="Times New Roman" w:hAnsi="Times New Roman"/>
      <w:kern w:val="0"/>
      <w:szCs w:val="22"/>
      <w14:ligatures w14:val="none"/>
    </w:rPr>
  </w:style>
  <w:style w:type="character" w:styleId="HTML-akronym">
    <w:name w:val="HTML Acronym"/>
    <w:basedOn w:val="Standardskriftforavsnitt"/>
    <w:uiPriority w:val="99"/>
    <w:semiHidden/>
    <w:unhideWhenUsed/>
    <w:rsid w:val="00616920"/>
  </w:style>
  <w:style w:type="paragraph" w:styleId="HTML-adresse">
    <w:name w:val="HTML Address"/>
    <w:basedOn w:val="Normal"/>
    <w:link w:val="HTML-adresseTegn"/>
    <w:uiPriority w:val="99"/>
    <w:semiHidden/>
    <w:unhideWhenUsed/>
    <w:rsid w:val="00616920"/>
    <w:pPr>
      <w:spacing w:after="0" w:line="240" w:lineRule="auto"/>
    </w:pPr>
    <w:rPr>
      <w:i/>
      <w:iCs/>
    </w:rPr>
  </w:style>
  <w:style w:type="character" w:customStyle="1" w:styleId="HTML-adresseTegn">
    <w:name w:val="HTML-adresse Tegn"/>
    <w:basedOn w:val="Standardskriftforavsnitt"/>
    <w:link w:val="HTML-adresse"/>
    <w:uiPriority w:val="99"/>
    <w:semiHidden/>
    <w:rsid w:val="00616920"/>
    <w:rPr>
      <w:rFonts w:ascii="Times New Roman" w:eastAsia="Times New Roman" w:hAnsi="Times New Roman"/>
      <w:i/>
      <w:iCs/>
      <w:kern w:val="0"/>
      <w:szCs w:val="22"/>
      <w14:ligatures w14:val="none"/>
    </w:rPr>
  </w:style>
  <w:style w:type="character" w:styleId="HTML-sitat">
    <w:name w:val="HTML Cite"/>
    <w:basedOn w:val="Standardskriftforavsnitt"/>
    <w:uiPriority w:val="99"/>
    <w:semiHidden/>
    <w:unhideWhenUsed/>
    <w:rsid w:val="00616920"/>
    <w:rPr>
      <w:i/>
      <w:iCs/>
    </w:rPr>
  </w:style>
  <w:style w:type="character" w:styleId="HTML-kode">
    <w:name w:val="HTML Code"/>
    <w:basedOn w:val="Standardskriftforavsnitt"/>
    <w:uiPriority w:val="99"/>
    <w:semiHidden/>
    <w:unhideWhenUsed/>
    <w:rsid w:val="00616920"/>
    <w:rPr>
      <w:rFonts w:ascii="Consolas" w:hAnsi="Consolas"/>
      <w:sz w:val="20"/>
      <w:szCs w:val="20"/>
    </w:rPr>
  </w:style>
  <w:style w:type="character" w:styleId="HTML-definisjon">
    <w:name w:val="HTML Definition"/>
    <w:basedOn w:val="Standardskriftforavsnitt"/>
    <w:uiPriority w:val="99"/>
    <w:semiHidden/>
    <w:unhideWhenUsed/>
    <w:rsid w:val="00616920"/>
    <w:rPr>
      <w:i/>
      <w:iCs/>
    </w:rPr>
  </w:style>
  <w:style w:type="character" w:styleId="HTML-tastatur">
    <w:name w:val="HTML Keyboard"/>
    <w:basedOn w:val="Standardskriftforavsnitt"/>
    <w:uiPriority w:val="99"/>
    <w:semiHidden/>
    <w:unhideWhenUsed/>
    <w:rsid w:val="00616920"/>
    <w:rPr>
      <w:rFonts w:ascii="Consolas" w:hAnsi="Consolas"/>
      <w:sz w:val="20"/>
      <w:szCs w:val="20"/>
    </w:rPr>
  </w:style>
  <w:style w:type="paragraph" w:styleId="HTML-forhndsformatert">
    <w:name w:val="HTML Preformatted"/>
    <w:basedOn w:val="Normal"/>
    <w:link w:val="HTML-forhndsformatertTegn"/>
    <w:uiPriority w:val="99"/>
    <w:semiHidden/>
    <w:unhideWhenUsed/>
    <w:rsid w:val="0061692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16920"/>
    <w:rPr>
      <w:rFonts w:ascii="Consolas" w:eastAsia="Times New Roman" w:hAnsi="Consolas"/>
      <w:kern w:val="0"/>
      <w:sz w:val="20"/>
      <w:szCs w:val="20"/>
      <w14:ligatures w14:val="none"/>
    </w:rPr>
  </w:style>
  <w:style w:type="character" w:styleId="HTML-eksempel">
    <w:name w:val="HTML Sample"/>
    <w:basedOn w:val="Standardskriftforavsnitt"/>
    <w:uiPriority w:val="99"/>
    <w:semiHidden/>
    <w:unhideWhenUsed/>
    <w:rsid w:val="00616920"/>
    <w:rPr>
      <w:rFonts w:ascii="Consolas" w:hAnsi="Consolas"/>
      <w:sz w:val="24"/>
      <w:szCs w:val="24"/>
    </w:rPr>
  </w:style>
  <w:style w:type="character" w:styleId="HTML-skrivemaskin">
    <w:name w:val="HTML Typewriter"/>
    <w:basedOn w:val="Standardskriftforavsnitt"/>
    <w:uiPriority w:val="99"/>
    <w:semiHidden/>
    <w:unhideWhenUsed/>
    <w:rsid w:val="00616920"/>
    <w:rPr>
      <w:rFonts w:ascii="Consolas" w:hAnsi="Consolas"/>
      <w:sz w:val="20"/>
      <w:szCs w:val="20"/>
    </w:rPr>
  </w:style>
  <w:style w:type="character" w:styleId="HTML-variabel">
    <w:name w:val="HTML Variable"/>
    <w:basedOn w:val="Standardskriftforavsnitt"/>
    <w:uiPriority w:val="99"/>
    <w:semiHidden/>
    <w:unhideWhenUsed/>
    <w:rsid w:val="00616920"/>
    <w:rPr>
      <w:i/>
      <w:iCs/>
    </w:rPr>
  </w:style>
  <w:style w:type="paragraph" w:styleId="Kommentaremne">
    <w:name w:val="annotation subject"/>
    <w:basedOn w:val="Merknadstekst"/>
    <w:next w:val="Merknadstekst"/>
    <w:link w:val="KommentaremneTegn"/>
    <w:uiPriority w:val="99"/>
    <w:semiHidden/>
    <w:unhideWhenUsed/>
    <w:rsid w:val="00616920"/>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616920"/>
    <w:rPr>
      <w:rFonts w:ascii="Times New Roman" w:eastAsia="Times New Roman" w:hAnsi="Times New Roman"/>
      <w:b/>
      <w:bCs/>
      <w:kern w:val="0"/>
      <w:sz w:val="20"/>
      <w:szCs w:val="20"/>
      <w14:ligatures w14:val="none"/>
    </w:rPr>
  </w:style>
  <w:style w:type="paragraph" w:styleId="Bobletekst">
    <w:name w:val="Balloon Text"/>
    <w:basedOn w:val="Normal"/>
    <w:link w:val="BobletekstTegn"/>
    <w:uiPriority w:val="99"/>
    <w:semiHidden/>
    <w:unhideWhenUsed/>
    <w:rsid w:val="0061692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16920"/>
    <w:rPr>
      <w:rFonts w:ascii="Tahoma" w:eastAsia="Times New Roman" w:hAnsi="Tahoma" w:cs="Tahoma"/>
      <w:kern w:val="0"/>
      <w:sz w:val="16"/>
      <w:szCs w:val="16"/>
      <w14:ligatures w14:val="none"/>
    </w:rPr>
  </w:style>
  <w:style w:type="paragraph" w:styleId="Ingenmellomrom">
    <w:name w:val="No Spacing"/>
    <w:uiPriority w:val="1"/>
    <w:qFormat/>
    <w:rsid w:val="00616920"/>
    <w:pPr>
      <w:spacing w:after="0" w:line="240" w:lineRule="auto"/>
    </w:pPr>
    <w:rPr>
      <w:rFonts w:ascii="Calibri" w:eastAsia="Times New Roman" w:hAnsi="Calibri"/>
      <w:kern w:val="0"/>
      <w:szCs w:val="22"/>
      <w14:ligatures w14:val="none"/>
    </w:rPr>
  </w:style>
  <w:style w:type="paragraph" w:styleId="Sterktsitat">
    <w:name w:val="Intense Quote"/>
    <w:basedOn w:val="Normal"/>
    <w:next w:val="Normal"/>
    <w:link w:val="SterktsitatTegn"/>
    <w:uiPriority w:val="30"/>
    <w:qFormat/>
    <w:rsid w:val="0061692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330F87"/>
    <w:rPr>
      <w:rFonts w:ascii="Times New Roman" w:eastAsia="Times New Roman" w:hAnsi="Times New Roman"/>
      <w:i/>
      <w:iCs/>
      <w:color w:val="156082" w:themeColor="accent1"/>
      <w:kern w:val="0"/>
      <w:szCs w:val="22"/>
      <w14:ligatures w14:val="none"/>
    </w:rPr>
  </w:style>
  <w:style w:type="character" w:styleId="Svakutheving">
    <w:name w:val="Subtle Emphasis"/>
    <w:basedOn w:val="Standardskriftforavsnitt"/>
    <w:uiPriority w:val="19"/>
    <w:qFormat/>
    <w:rsid w:val="00616920"/>
    <w:rPr>
      <w:i/>
      <w:iCs/>
      <w:color w:val="808080" w:themeColor="text1" w:themeTint="7F"/>
    </w:rPr>
  </w:style>
  <w:style w:type="character" w:styleId="Sterkutheving">
    <w:name w:val="Intense Emphasis"/>
    <w:basedOn w:val="Standardskriftforavsnitt"/>
    <w:uiPriority w:val="21"/>
    <w:qFormat/>
    <w:rsid w:val="00616920"/>
    <w:rPr>
      <w:b/>
      <w:bCs/>
      <w:i/>
      <w:iCs/>
      <w:color w:val="156082" w:themeColor="accent1"/>
    </w:rPr>
  </w:style>
  <w:style w:type="character" w:styleId="Svakreferanse">
    <w:name w:val="Subtle Reference"/>
    <w:basedOn w:val="Standardskriftforavsnitt"/>
    <w:uiPriority w:val="31"/>
    <w:qFormat/>
    <w:rsid w:val="00616920"/>
    <w:rPr>
      <w:smallCaps/>
      <w:color w:val="E97132" w:themeColor="accent2"/>
      <w:u w:val="single"/>
    </w:rPr>
  </w:style>
  <w:style w:type="character" w:styleId="Sterkreferanse">
    <w:name w:val="Intense Reference"/>
    <w:basedOn w:val="Standardskriftforavsnitt"/>
    <w:uiPriority w:val="32"/>
    <w:qFormat/>
    <w:rsid w:val="00616920"/>
    <w:rPr>
      <w:b/>
      <w:bCs/>
      <w:smallCaps/>
      <w:color w:val="E97132" w:themeColor="accent2"/>
      <w:spacing w:val="5"/>
      <w:u w:val="single"/>
    </w:rPr>
  </w:style>
  <w:style w:type="character" w:styleId="Boktittel">
    <w:name w:val="Book Title"/>
    <w:basedOn w:val="Standardskriftforavsnitt"/>
    <w:uiPriority w:val="33"/>
    <w:qFormat/>
    <w:rsid w:val="00616920"/>
    <w:rPr>
      <w:b/>
      <w:bCs/>
      <w:smallCaps/>
      <w:spacing w:val="5"/>
    </w:rPr>
  </w:style>
  <w:style w:type="paragraph" w:styleId="Bibliografi">
    <w:name w:val="Bibliography"/>
    <w:basedOn w:val="Normal"/>
    <w:next w:val="Normal"/>
    <w:uiPriority w:val="37"/>
    <w:semiHidden/>
    <w:unhideWhenUsed/>
    <w:rsid w:val="00616920"/>
  </w:style>
  <w:style w:type="paragraph" w:styleId="Overskriftforinnholdsfortegnelse">
    <w:name w:val="TOC Heading"/>
    <w:basedOn w:val="Overskrift1"/>
    <w:next w:val="Normal"/>
    <w:uiPriority w:val="39"/>
    <w:unhideWhenUsed/>
    <w:qFormat/>
    <w:rsid w:val="00616920"/>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616920"/>
    <w:pPr>
      <w:suppressAutoHyphens/>
      <w:spacing w:before="400" w:after="200" w:line="240" w:lineRule="auto"/>
      <w:jc w:val="center"/>
    </w:pPr>
    <w:rPr>
      <w:b/>
      <w:color w:val="FF0000"/>
    </w:rPr>
  </w:style>
  <w:style w:type="numbering" w:customStyle="1" w:styleId="AlfaListeStil">
    <w:name w:val="AlfaListeStil"/>
    <w:uiPriority w:val="99"/>
    <w:rsid w:val="00616920"/>
    <w:pPr>
      <w:numPr>
        <w:numId w:val="9"/>
      </w:numPr>
    </w:pPr>
  </w:style>
  <w:style w:type="numbering" w:customStyle="1" w:styleId="l-AlfaListeStil">
    <w:name w:val="l-AlfaListeStil"/>
    <w:uiPriority w:val="99"/>
    <w:rsid w:val="00616920"/>
    <w:pPr>
      <w:numPr>
        <w:numId w:val="10"/>
      </w:numPr>
    </w:pPr>
  </w:style>
  <w:style w:type="numbering" w:customStyle="1" w:styleId="l-NummerertListeStil">
    <w:name w:val="l-NummerertListeStil"/>
    <w:uiPriority w:val="99"/>
    <w:rsid w:val="00616920"/>
    <w:pPr>
      <w:numPr>
        <w:numId w:val="11"/>
      </w:numPr>
    </w:pPr>
  </w:style>
  <w:style w:type="numbering" w:customStyle="1" w:styleId="NrListeStil">
    <w:name w:val="NrListeStil"/>
    <w:uiPriority w:val="99"/>
    <w:rsid w:val="00616920"/>
    <w:pPr>
      <w:numPr>
        <w:numId w:val="12"/>
      </w:numPr>
    </w:pPr>
  </w:style>
  <w:style w:type="numbering" w:customStyle="1" w:styleId="OpplistingListeStil">
    <w:name w:val="OpplistingListeStil"/>
    <w:uiPriority w:val="99"/>
    <w:rsid w:val="00616920"/>
    <w:pPr>
      <w:numPr>
        <w:numId w:val="13"/>
      </w:numPr>
    </w:pPr>
  </w:style>
  <w:style w:type="numbering" w:customStyle="1" w:styleId="OverskrifterListeStil">
    <w:name w:val="OverskrifterListeStil"/>
    <w:uiPriority w:val="99"/>
    <w:rsid w:val="00616920"/>
    <w:pPr>
      <w:numPr>
        <w:numId w:val="14"/>
      </w:numPr>
    </w:pPr>
  </w:style>
  <w:style w:type="numbering" w:customStyle="1" w:styleId="RomListeStil">
    <w:name w:val="RomListeStil"/>
    <w:uiPriority w:val="99"/>
    <w:rsid w:val="00616920"/>
    <w:pPr>
      <w:numPr>
        <w:numId w:val="15"/>
      </w:numPr>
    </w:pPr>
  </w:style>
  <w:style w:type="numbering" w:customStyle="1" w:styleId="StrekListeStil">
    <w:name w:val="StrekListeStil"/>
    <w:uiPriority w:val="99"/>
    <w:rsid w:val="00616920"/>
    <w:pPr>
      <w:numPr>
        <w:numId w:val="16"/>
      </w:numPr>
    </w:pPr>
  </w:style>
  <w:style w:type="paragraph" w:styleId="Brdtekst-frsteinnrykk">
    <w:name w:val="Body Text First Indent"/>
    <w:basedOn w:val="Brdtekst"/>
    <w:link w:val="Brdtekst-frsteinnrykkTegn"/>
    <w:uiPriority w:val="99"/>
    <w:semiHidden/>
    <w:unhideWhenUsed/>
    <w:rsid w:val="00616920"/>
    <w:pPr>
      <w:ind w:firstLine="360"/>
    </w:pPr>
  </w:style>
  <w:style w:type="character" w:customStyle="1" w:styleId="Brdtekst-frsteinnrykkTegn">
    <w:name w:val="Brødtekst - første innrykk Tegn"/>
    <w:basedOn w:val="BrdtekstTegn"/>
    <w:link w:val="Brdtekst-frsteinnrykk"/>
    <w:uiPriority w:val="99"/>
    <w:semiHidden/>
    <w:rsid w:val="00616920"/>
    <w:rPr>
      <w:rFonts w:ascii="Times New Roman" w:eastAsia="Times New Roman" w:hAnsi="Times New Roman"/>
      <w:kern w:val="0"/>
      <w:szCs w:val="22"/>
      <w14:ligatures w14:val="none"/>
    </w:rPr>
  </w:style>
  <w:style w:type="paragraph" w:styleId="Brdtekst-frsteinnrykk2">
    <w:name w:val="Body Text First Indent 2"/>
    <w:basedOn w:val="Brdtekstinnrykk"/>
    <w:link w:val="Brdtekst-frsteinnrykk2Tegn"/>
    <w:uiPriority w:val="99"/>
    <w:semiHidden/>
    <w:unhideWhenUsed/>
    <w:rsid w:val="00616920"/>
    <w:pPr>
      <w:ind w:left="360" w:firstLine="360"/>
    </w:pPr>
  </w:style>
  <w:style w:type="character" w:customStyle="1" w:styleId="Brdtekst-frsteinnrykk2Tegn">
    <w:name w:val="Brødtekst - første innrykk 2 Tegn"/>
    <w:basedOn w:val="BrdtekstinnrykkTegn"/>
    <w:link w:val="Brdtekst-frsteinnrykk2"/>
    <w:uiPriority w:val="99"/>
    <w:semiHidden/>
    <w:rsid w:val="00616920"/>
    <w:rPr>
      <w:rFonts w:ascii="Times New Roman" w:eastAsia="Times New Roman" w:hAnsi="Times New Roman"/>
      <w:kern w:val="0"/>
      <w:szCs w:val="22"/>
      <w14:ligatures w14:val="none"/>
    </w:rPr>
  </w:style>
  <w:style w:type="paragraph" w:styleId="Liste-forts">
    <w:name w:val="List Continue"/>
    <w:basedOn w:val="Normal"/>
    <w:uiPriority w:val="99"/>
    <w:semiHidden/>
    <w:unhideWhenUsed/>
    <w:rsid w:val="00616920"/>
    <w:pPr>
      <w:ind w:left="283"/>
      <w:contextualSpacing/>
    </w:pPr>
  </w:style>
  <w:style w:type="paragraph" w:styleId="Liste-forts2">
    <w:name w:val="List Continue 2"/>
    <w:basedOn w:val="Normal"/>
    <w:uiPriority w:val="99"/>
    <w:semiHidden/>
    <w:unhideWhenUsed/>
    <w:rsid w:val="00616920"/>
    <w:pPr>
      <w:ind w:left="566"/>
      <w:contextualSpacing/>
    </w:pPr>
  </w:style>
  <w:style w:type="paragraph" w:styleId="Liste-forts3">
    <w:name w:val="List Continue 3"/>
    <w:basedOn w:val="Normal"/>
    <w:uiPriority w:val="99"/>
    <w:semiHidden/>
    <w:unhideWhenUsed/>
    <w:rsid w:val="00616920"/>
    <w:pPr>
      <w:ind w:left="849"/>
      <w:contextualSpacing/>
    </w:pPr>
  </w:style>
  <w:style w:type="paragraph" w:styleId="Liste-forts4">
    <w:name w:val="List Continue 4"/>
    <w:basedOn w:val="Normal"/>
    <w:uiPriority w:val="99"/>
    <w:semiHidden/>
    <w:unhideWhenUsed/>
    <w:rsid w:val="00616920"/>
    <w:pPr>
      <w:ind w:left="1132"/>
      <w:contextualSpacing/>
    </w:pPr>
  </w:style>
  <w:style w:type="paragraph" w:styleId="Liste-forts5">
    <w:name w:val="List Continue 5"/>
    <w:basedOn w:val="Normal"/>
    <w:uiPriority w:val="99"/>
    <w:semiHidden/>
    <w:unhideWhenUsed/>
    <w:rsid w:val="00616920"/>
    <w:pPr>
      <w:ind w:left="1415"/>
      <w:contextualSpacing/>
    </w:pPr>
  </w:style>
  <w:style w:type="paragraph" w:customStyle="1" w:styleId="Sammendrag">
    <w:name w:val="Sammendrag"/>
    <w:basedOn w:val="Overskrift1"/>
    <w:qFormat/>
    <w:rsid w:val="00616920"/>
    <w:pPr>
      <w:numPr>
        <w:numId w:val="0"/>
      </w:numPr>
    </w:pPr>
  </w:style>
  <w:style w:type="paragraph" w:customStyle="1" w:styleId="TrykkeriMerknad">
    <w:name w:val="TrykkeriMerknad"/>
    <w:basedOn w:val="Normal"/>
    <w:qFormat/>
    <w:rsid w:val="00616920"/>
    <w:pPr>
      <w:spacing w:before="60"/>
    </w:pPr>
    <w:rPr>
      <w:rFonts w:ascii="Arial" w:hAnsi="Arial"/>
      <w:color w:val="BF4E14" w:themeColor="accent2" w:themeShade="BF"/>
      <w:spacing w:val="4"/>
      <w:sz w:val="26"/>
    </w:rPr>
  </w:style>
  <w:style w:type="table" w:styleId="Tabellrutenett">
    <w:name w:val="Table Grid"/>
    <w:basedOn w:val="Vanligtabell"/>
    <w:uiPriority w:val="59"/>
    <w:rsid w:val="00616920"/>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616920"/>
    <w:pPr>
      <w:spacing w:before="360" w:after="240"/>
      <w:jc w:val="center"/>
    </w:pPr>
    <w:rPr>
      <w:b/>
      <w:spacing w:val="4"/>
      <w:sz w:val="28"/>
    </w:rPr>
  </w:style>
  <w:style w:type="paragraph" w:customStyle="1" w:styleId="ForfatterMerknad">
    <w:name w:val="ForfatterMerknad"/>
    <w:basedOn w:val="TrykkeriMerknad"/>
    <w:qFormat/>
    <w:rsid w:val="00616920"/>
    <w:pPr>
      <w:shd w:val="clear" w:color="auto" w:fill="FFFF99"/>
      <w:spacing w:line="240" w:lineRule="auto"/>
    </w:pPr>
    <w:rPr>
      <w:color w:val="80340D" w:themeColor="accent2" w:themeShade="80"/>
    </w:rPr>
  </w:style>
  <w:style w:type="paragraph" w:customStyle="1" w:styleId="tblRad">
    <w:name w:val="tblRad"/>
    <w:rsid w:val="0061692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16920"/>
  </w:style>
  <w:style w:type="paragraph" w:customStyle="1" w:styleId="tbl2LinjeSumBold">
    <w:name w:val="tbl2LinjeSumBold"/>
    <w:basedOn w:val="tblRad"/>
    <w:rsid w:val="00616920"/>
    <w:rPr>
      <w:b/>
    </w:rPr>
  </w:style>
  <w:style w:type="paragraph" w:customStyle="1" w:styleId="tblDelsum1">
    <w:name w:val="tblDelsum1"/>
    <w:basedOn w:val="tblRad"/>
    <w:rsid w:val="00616920"/>
    <w:rPr>
      <w:i/>
    </w:rPr>
  </w:style>
  <w:style w:type="paragraph" w:customStyle="1" w:styleId="tblDelsum1-Kapittel">
    <w:name w:val="tblDelsum1 - Kapittel"/>
    <w:basedOn w:val="tblDelsum1"/>
    <w:rsid w:val="00616920"/>
    <w:pPr>
      <w:keepNext w:val="0"/>
    </w:pPr>
  </w:style>
  <w:style w:type="paragraph" w:customStyle="1" w:styleId="tblDelsum2">
    <w:name w:val="tblDelsum2"/>
    <w:basedOn w:val="tblRad"/>
    <w:rsid w:val="00616920"/>
    <w:rPr>
      <w:b/>
      <w:i/>
    </w:rPr>
  </w:style>
  <w:style w:type="paragraph" w:customStyle="1" w:styleId="tblDelsum2-Kapittel">
    <w:name w:val="tblDelsum2 - Kapittel"/>
    <w:basedOn w:val="tblDelsum2"/>
    <w:rsid w:val="00616920"/>
    <w:pPr>
      <w:keepNext w:val="0"/>
    </w:pPr>
  </w:style>
  <w:style w:type="paragraph" w:customStyle="1" w:styleId="tblTabelloverskrift">
    <w:name w:val="tblTabelloverskrift"/>
    <w:rsid w:val="0061692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16920"/>
    <w:pPr>
      <w:spacing w:after="0"/>
      <w:jc w:val="right"/>
    </w:pPr>
    <w:rPr>
      <w:b w:val="0"/>
      <w:caps w:val="0"/>
      <w:sz w:val="16"/>
    </w:rPr>
  </w:style>
  <w:style w:type="paragraph" w:customStyle="1" w:styleId="tblKategoriOverskrift">
    <w:name w:val="tblKategoriOverskrift"/>
    <w:basedOn w:val="tblRad"/>
    <w:rsid w:val="00616920"/>
    <w:pPr>
      <w:spacing w:before="120"/>
    </w:pPr>
    <w:rPr>
      <w:b/>
    </w:rPr>
  </w:style>
  <w:style w:type="paragraph" w:customStyle="1" w:styleId="tblKolonneoverskrift">
    <w:name w:val="tblKolonneoverskrift"/>
    <w:basedOn w:val="Normal"/>
    <w:rsid w:val="00616920"/>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616920"/>
    <w:pPr>
      <w:spacing w:after="360"/>
      <w:jc w:val="center"/>
    </w:pPr>
    <w:rPr>
      <w:b w:val="0"/>
      <w:caps w:val="0"/>
    </w:rPr>
  </w:style>
  <w:style w:type="paragraph" w:customStyle="1" w:styleId="tblKolonneoverskrift-Vedtak">
    <w:name w:val="tblKolonneoverskrift - Vedtak"/>
    <w:basedOn w:val="tblTabelloverskrift-Vedtak"/>
    <w:rsid w:val="00616920"/>
    <w:pPr>
      <w:spacing w:after="0"/>
    </w:pPr>
  </w:style>
  <w:style w:type="paragraph" w:customStyle="1" w:styleId="tblOverskrift-Vedtak">
    <w:name w:val="tblOverskrift - Vedtak"/>
    <w:basedOn w:val="tblRad"/>
    <w:rsid w:val="00616920"/>
    <w:pPr>
      <w:spacing w:before="360"/>
      <w:jc w:val="center"/>
    </w:pPr>
  </w:style>
  <w:style w:type="paragraph" w:customStyle="1" w:styleId="tblRadBold">
    <w:name w:val="tblRadBold"/>
    <w:basedOn w:val="tblRad"/>
    <w:rsid w:val="00616920"/>
    <w:rPr>
      <w:b/>
    </w:rPr>
  </w:style>
  <w:style w:type="paragraph" w:customStyle="1" w:styleId="tblRadItalic">
    <w:name w:val="tblRadItalic"/>
    <w:basedOn w:val="tblRad"/>
    <w:rsid w:val="00616920"/>
    <w:rPr>
      <w:i/>
    </w:rPr>
  </w:style>
  <w:style w:type="paragraph" w:customStyle="1" w:styleId="tblRadItalicSiste">
    <w:name w:val="tblRadItalicSiste"/>
    <w:basedOn w:val="tblRadItalic"/>
    <w:rsid w:val="00616920"/>
  </w:style>
  <w:style w:type="paragraph" w:customStyle="1" w:styleId="tblRadMedLuft">
    <w:name w:val="tblRadMedLuft"/>
    <w:basedOn w:val="tblRad"/>
    <w:rsid w:val="00616920"/>
    <w:pPr>
      <w:spacing w:before="120"/>
    </w:pPr>
  </w:style>
  <w:style w:type="paragraph" w:customStyle="1" w:styleId="tblRadMedLuftSiste">
    <w:name w:val="tblRadMedLuftSiste"/>
    <w:basedOn w:val="tblRadMedLuft"/>
    <w:rsid w:val="00616920"/>
    <w:pPr>
      <w:spacing w:after="120"/>
    </w:pPr>
  </w:style>
  <w:style w:type="paragraph" w:customStyle="1" w:styleId="tblRadMedLuftSiste-Vedtak">
    <w:name w:val="tblRadMedLuftSiste - Vedtak"/>
    <w:basedOn w:val="tblRadMedLuftSiste"/>
    <w:rsid w:val="00616920"/>
    <w:pPr>
      <w:keepNext w:val="0"/>
    </w:pPr>
  </w:style>
  <w:style w:type="paragraph" w:customStyle="1" w:styleId="tblRadSiste">
    <w:name w:val="tblRadSiste"/>
    <w:basedOn w:val="tblRad"/>
    <w:rsid w:val="00616920"/>
  </w:style>
  <w:style w:type="paragraph" w:customStyle="1" w:styleId="tblSluttsum">
    <w:name w:val="tblSluttsum"/>
    <w:basedOn w:val="tblRad"/>
    <w:rsid w:val="00616920"/>
    <w:pPr>
      <w:spacing w:before="120"/>
    </w:pPr>
    <w:rPr>
      <w:b/>
      <w:i/>
    </w:rPr>
  </w:style>
  <w:style w:type="character" w:styleId="Emneknagg">
    <w:name w:val="Hashtag"/>
    <w:basedOn w:val="Standardskriftforavsnitt"/>
    <w:uiPriority w:val="99"/>
    <w:semiHidden/>
    <w:unhideWhenUsed/>
    <w:rsid w:val="00616920"/>
    <w:rPr>
      <w:color w:val="2B579A"/>
      <w:shd w:val="clear" w:color="auto" w:fill="E1DFDD"/>
    </w:rPr>
  </w:style>
  <w:style w:type="character" w:styleId="Omtale">
    <w:name w:val="Mention"/>
    <w:basedOn w:val="Standardskriftforavsnitt"/>
    <w:uiPriority w:val="99"/>
    <w:semiHidden/>
    <w:unhideWhenUsed/>
    <w:rsid w:val="00616920"/>
    <w:rPr>
      <w:color w:val="2B579A"/>
      <w:shd w:val="clear" w:color="auto" w:fill="E1DFDD"/>
    </w:rPr>
  </w:style>
  <w:style w:type="paragraph" w:styleId="Sitat0">
    <w:name w:val="Quote"/>
    <w:basedOn w:val="Normal"/>
    <w:next w:val="Normal"/>
    <w:link w:val="SitatTegn1"/>
    <w:uiPriority w:val="29"/>
    <w:qFormat/>
    <w:rsid w:val="0061692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16920"/>
    <w:rPr>
      <w:rFonts w:ascii="Times New Roman" w:eastAsia="Times New Roman" w:hAnsi="Times New Roman"/>
      <w:i/>
      <w:iCs/>
      <w:color w:val="404040" w:themeColor="text1" w:themeTint="BF"/>
      <w:kern w:val="0"/>
      <w:szCs w:val="22"/>
      <w14:ligatures w14:val="none"/>
    </w:rPr>
  </w:style>
  <w:style w:type="character" w:styleId="Smarthyperkobling">
    <w:name w:val="Smart Hyperlink"/>
    <w:basedOn w:val="Standardskriftforavsnitt"/>
    <w:uiPriority w:val="99"/>
    <w:semiHidden/>
    <w:unhideWhenUsed/>
    <w:rsid w:val="00616920"/>
    <w:rPr>
      <w:u w:val="dotted"/>
    </w:rPr>
  </w:style>
  <w:style w:type="character" w:styleId="Smartkobling">
    <w:name w:val="Smart Link"/>
    <w:basedOn w:val="Standardskriftforavsnitt"/>
    <w:uiPriority w:val="99"/>
    <w:semiHidden/>
    <w:unhideWhenUsed/>
    <w:rsid w:val="00616920"/>
    <w:rPr>
      <w:color w:val="0000FF"/>
      <w:u w:val="single"/>
      <w:shd w:val="clear" w:color="auto" w:fill="F3F2F1"/>
    </w:rPr>
  </w:style>
  <w:style w:type="character" w:styleId="Ulstomtale">
    <w:name w:val="Unresolved Mention"/>
    <w:basedOn w:val="Standardskriftforavsnitt"/>
    <w:uiPriority w:val="99"/>
    <w:semiHidden/>
    <w:unhideWhenUsed/>
    <w:rsid w:val="00616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Meld-St-mal-V3.dotx</Template>
  <TotalTime>243</TotalTime>
  <Pages>464</Pages>
  <Words>168043</Words>
  <Characters>985508</Characters>
  <Application>Microsoft Office Word</Application>
  <DocSecurity>0</DocSecurity>
  <Lines>18594</Lines>
  <Paragraphs>11199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Susann Vatnedal</cp:lastModifiedBy>
  <cp:revision>5</cp:revision>
  <dcterms:created xsi:type="dcterms:W3CDTF">2025-10-09T07:36:00Z</dcterms:created>
  <dcterms:modified xsi:type="dcterms:W3CDTF">2025-10-10T08:29:00Z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2025-10-09T07:36:57Z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db828a6a-e8b4-45bf-9257-05db5b6b03b9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