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6D1FF" w14:textId="2BC95F3C" w:rsidR="00746A4D" w:rsidRDefault="00746A4D" w:rsidP="00746A4D">
      <w:pPr>
        <w:pStyle w:val="Overskrift1"/>
      </w:pPr>
      <w:r>
        <w:t>Om vedlegget</w:t>
      </w:r>
    </w:p>
    <w:p w14:paraId="67574CFF" w14:textId="28C47CB2" w:rsidR="00746A4D" w:rsidRPr="00746A4D" w:rsidRDefault="00746A4D" w:rsidP="00746A4D">
      <w:r>
        <w:t xml:space="preserve">Innholdet er </w:t>
      </w:r>
      <w:r w:rsidR="001600FB">
        <w:t>levert av Finans Norge. Kilde</w:t>
      </w:r>
      <w:bookmarkStart w:id="0" w:name="_GoBack"/>
      <w:bookmarkEnd w:id="0"/>
      <w:r w:rsidR="001600FB">
        <w:t xml:space="preserve"> til tallmaterialet er oppgitt i hvert avsnitt.</w:t>
      </w:r>
    </w:p>
    <w:p w14:paraId="73BF4DF0" w14:textId="531B8AC0" w:rsidR="001E7181" w:rsidRDefault="001E7181" w:rsidP="00746A4D">
      <w:pPr>
        <w:pStyle w:val="Overskrift1"/>
      </w:pPr>
      <w:r w:rsidRPr="004D5A81">
        <w:t>Pensjonsinnretning</w:t>
      </w:r>
      <w:r>
        <w:t>er</w:t>
      </w:r>
      <w:r w:rsidRPr="004D5A81">
        <w:t xml:space="preserve"> og ordninger </w:t>
      </w:r>
    </w:p>
    <w:p w14:paraId="0D1DDF9C" w14:textId="77777777" w:rsidR="001E7181" w:rsidRPr="004D5A81" w:rsidRDefault="001E7181" w:rsidP="001E7181">
      <w:pPr>
        <w:rPr>
          <w:rFonts w:cstheme="minorHAnsi"/>
        </w:rPr>
      </w:pPr>
      <w:r>
        <w:rPr>
          <w:rFonts w:cstheme="minorHAnsi"/>
        </w:rPr>
        <w:t xml:space="preserve">I det følgende </w:t>
      </w:r>
      <w:r w:rsidRPr="004D5A81">
        <w:rPr>
          <w:rFonts w:cstheme="minorHAnsi"/>
        </w:rPr>
        <w:t>beskrives markedet og bestanden innen tjenestepensjon.</w:t>
      </w:r>
      <w:r>
        <w:rPr>
          <w:rFonts w:cstheme="minorHAnsi"/>
        </w:rPr>
        <w:t xml:space="preserve"> Videre b</w:t>
      </w:r>
      <w:r w:rsidRPr="004D5A81">
        <w:rPr>
          <w:rFonts w:cstheme="minorHAnsi"/>
        </w:rPr>
        <w:t>eskrive</w:t>
      </w:r>
      <w:r>
        <w:rPr>
          <w:rFonts w:cstheme="minorHAnsi"/>
        </w:rPr>
        <w:t>s</w:t>
      </w:r>
      <w:r w:rsidRPr="004D5A81">
        <w:rPr>
          <w:rFonts w:cstheme="minorHAnsi"/>
        </w:rPr>
        <w:t xml:space="preserve"> begrepet pensjonsinnretning og de kollektive pensjonsproduktene som finnes innenfor privat sektor.</w:t>
      </w:r>
      <w:r>
        <w:rPr>
          <w:rFonts w:cstheme="minorHAnsi"/>
        </w:rPr>
        <w:t xml:space="preserve"> Pensjonsinnretningene innen offentlig tjenestepensjon er kort kommentert, selv om dette ligger utenfor utredningen. Det er nødvendig å gi et grovt bilde av hvordan tjenestepensjons</w:t>
      </w:r>
      <w:r>
        <w:rPr>
          <w:rFonts w:cstheme="minorHAnsi"/>
        </w:rPr>
        <w:softHyphen/>
        <w:t>området ser ut totalt sett, samt størrelsesorden på det offentlige markedet.</w:t>
      </w:r>
    </w:p>
    <w:p w14:paraId="4E181B0B" w14:textId="77777777" w:rsidR="001E7181" w:rsidRDefault="001E7181" w:rsidP="001600FB">
      <w:pPr>
        <w:pStyle w:val="Overskrift1"/>
      </w:pPr>
      <w:r w:rsidRPr="001600FB">
        <w:t>Pensjonsinnretning</w:t>
      </w:r>
    </w:p>
    <w:p w14:paraId="0DD257C1" w14:textId="77777777" w:rsidR="001E7181" w:rsidRDefault="001E7181" w:rsidP="001E7181">
      <w:pPr>
        <w:rPr>
          <w:rFonts w:cstheme="minorHAnsi"/>
          <w:i/>
          <w:u w:val="single"/>
        </w:rPr>
      </w:pPr>
      <w:r w:rsidRPr="004D5A81">
        <w:rPr>
          <w:rFonts w:cstheme="minorHAnsi"/>
        </w:rPr>
        <w:t>Begrepet pensjonsinnretning brukes i lover og forskrifter som en fellesbetegnelse på alle leverandører av kollektive og individuelle pensjonsprodukter, herunder livsforsikringsselskaper, pensjonskasser og innskuddspensjonsforetak. Begrepet "pensjonsinnretning" er knyttet til pensjonsprodukter og hvilken "pensjonsinnretning" det vises til ved bruk av begrepet i lover og forskrifter må forstås ut fra den kontekstuelle sammenhengen.</w:t>
      </w:r>
      <w:r w:rsidRPr="004D5A81">
        <w:rPr>
          <w:rFonts w:cstheme="minorHAnsi"/>
        </w:rPr>
        <w:br/>
      </w:r>
      <w:r w:rsidRPr="004D5A81">
        <w:rPr>
          <w:rFonts w:cstheme="minorHAnsi"/>
        </w:rPr>
        <w:br/>
        <w:t>Med pensjonsinnretninger forstås her, i tillegg til Statens Pensjonskasse, forsikringsforetak, pensjonsforetak</w:t>
      </w:r>
      <w:r>
        <w:rPr>
          <w:rFonts w:cstheme="minorHAnsi"/>
        </w:rPr>
        <w:t xml:space="preserve"> (herunder pensjonskasser)</w:t>
      </w:r>
      <w:r w:rsidRPr="004D5A81">
        <w:rPr>
          <w:rFonts w:cstheme="minorHAnsi"/>
        </w:rPr>
        <w:t>, innskuddspensjonsforetak, bank, forvaltningsselskap for verdipapirfond som overtar kollektiv pensjonsordning etter lov om foretakspensjon, lov om innskuddspensjon i arbeidsforhold, lov om tjenestepensjon, kommunale pensjonsordninger som nevnt i forsikringsvirksomhetsloven paragraf 4-1, samt kollektive livrenteforsikringer i arbeidsforhold.</w:t>
      </w:r>
    </w:p>
    <w:p w14:paraId="597D4A06" w14:textId="77777777" w:rsidR="001E7181" w:rsidRDefault="001E7181" w:rsidP="00746A4D">
      <w:pPr>
        <w:pStyle w:val="Overskrift3"/>
      </w:pPr>
      <w:r w:rsidRPr="00746A4D">
        <w:t>Pensjonsinnretninger</w:t>
      </w:r>
      <w:r w:rsidRPr="008F30D7">
        <w:t xml:space="preserve"> i privat sektor</w:t>
      </w:r>
    </w:p>
    <w:p w14:paraId="368DA9E3" w14:textId="77777777" w:rsidR="001E7181" w:rsidRDefault="001E7181" w:rsidP="001E7181">
      <w:pPr>
        <w:rPr>
          <w:rFonts w:cstheme="minorHAnsi"/>
        </w:rPr>
      </w:pPr>
      <w:r w:rsidRPr="004D5A81">
        <w:rPr>
          <w:rFonts w:cstheme="minorHAnsi"/>
        </w:rPr>
        <w:t>I privat sektor er det tre primære lovregulerte pensjonsprodukter</w:t>
      </w:r>
      <w:r>
        <w:rPr>
          <w:rFonts w:cstheme="minorHAnsi"/>
        </w:rPr>
        <w:t>:</w:t>
      </w:r>
    </w:p>
    <w:p w14:paraId="73BB3DE8" w14:textId="77777777" w:rsidR="001E7181" w:rsidRDefault="001E7181" w:rsidP="001E7181">
      <w:pPr>
        <w:pStyle w:val="Listeavsnitt"/>
        <w:numPr>
          <w:ilvl w:val="0"/>
          <w:numId w:val="4"/>
        </w:numPr>
        <w:rPr>
          <w:rFonts w:cstheme="minorHAnsi"/>
        </w:rPr>
      </w:pPr>
      <w:r w:rsidRPr="004D5A81">
        <w:rPr>
          <w:rFonts w:cstheme="minorHAnsi"/>
        </w:rPr>
        <w:t>Innskuddspensjon (ITP)</w:t>
      </w:r>
    </w:p>
    <w:p w14:paraId="7142E251" w14:textId="77777777" w:rsidR="001E7181" w:rsidRDefault="001E7181" w:rsidP="001E7181">
      <w:pPr>
        <w:pStyle w:val="Listeavsnitt"/>
        <w:numPr>
          <w:ilvl w:val="0"/>
          <w:numId w:val="4"/>
        </w:numPr>
        <w:rPr>
          <w:rFonts w:cstheme="minorHAnsi"/>
        </w:rPr>
      </w:pPr>
      <w:r w:rsidRPr="004D5A81">
        <w:rPr>
          <w:rFonts w:cstheme="minorHAnsi"/>
        </w:rPr>
        <w:t>Ytelsespensjon (YTP)</w:t>
      </w:r>
    </w:p>
    <w:p w14:paraId="2DF13324" w14:textId="77777777" w:rsidR="001E7181" w:rsidRDefault="001E7181" w:rsidP="001E7181">
      <w:pPr>
        <w:pStyle w:val="Listeavsnitt"/>
        <w:numPr>
          <w:ilvl w:val="0"/>
          <w:numId w:val="4"/>
        </w:numPr>
        <w:rPr>
          <w:rFonts w:cstheme="minorHAnsi"/>
        </w:rPr>
      </w:pPr>
      <w:r w:rsidRPr="004D5A81">
        <w:rPr>
          <w:rFonts w:cstheme="minorHAnsi"/>
        </w:rPr>
        <w:t xml:space="preserve">Hybridpensjon </w:t>
      </w:r>
    </w:p>
    <w:p w14:paraId="1943AD58" w14:textId="77777777" w:rsidR="001E7181" w:rsidRDefault="001E7181" w:rsidP="001E7181">
      <w:pPr>
        <w:rPr>
          <w:rFonts w:cstheme="minorHAnsi"/>
        </w:rPr>
      </w:pPr>
      <w:r w:rsidRPr="004D5A81">
        <w:rPr>
          <w:rFonts w:cstheme="minorHAnsi"/>
        </w:rPr>
        <w:t xml:space="preserve">ITP er ordningen flest benytter seg av i privat sektor. Arbeidsgiver sparer midler for den ansatte gjennom en kollektiv avtale i pensjonsinnretningene. </w:t>
      </w:r>
      <w:r>
        <w:rPr>
          <w:rFonts w:cstheme="minorHAnsi"/>
        </w:rPr>
        <w:t>Innskuddspensjon definerer et årlig sparebeløp i henhold til en valgt innskuddsplan.</w:t>
      </w:r>
      <w:r w:rsidRPr="004D5A81">
        <w:rPr>
          <w:rFonts w:cstheme="minorHAnsi"/>
        </w:rPr>
        <w:t xml:space="preserve"> Midlene forvaltes </w:t>
      </w:r>
      <w:r>
        <w:rPr>
          <w:rFonts w:cstheme="minorHAnsi"/>
        </w:rPr>
        <w:t xml:space="preserve">normalt sett </w:t>
      </w:r>
      <w:r w:rsidRPr="004D5A81">
        <w:rPr>
          <w:rFonts w:cstheme="minorHAnsi"/>
        </w:rPr>
        <w:t>gjennom fondsløsninger hos pensjonsinnretningene med ulike risikoprofiler. ITP er regulert gjennom Lov om innskuddspensjon i arbeidsforhold</w:t>
      </w:r>
      <w:r>
        <w:rPr>
          <w:rFonts w:cstheme="minorHAnsi"/>
        </w:rPr>
        <w:t>.</w:t>
      </w:r>
      <w:r w:rsidRPr="004D5A81">
        <w:rPr>
          <w:rFonts w:cstheme="minorHAnsi"/>
        </w:rPr>
        <w:br/>
      </w:r>
      <w:r w:rsidRPr="004D5A81">
        <w:rPr>
          <w:rFonts w:cstheme="minorHAnsi"/>
        </w:rPr>
        <w:br/>
        <w:t xml:space="preserve">YTP er det pensjonsproduktet som historisk har vært mest vanlig, men erstattes i større grad av ITP innenfor privat sektor. Innenfor offentlig sektor er det fortsatt et ytelsesbasert pensjonsprodukt som </w:t>
      </w:r>
      <w:r>
        <w:rPr>
          <w:rFonts w:cstheme="minorHAnsi"/>
        </w:rPr>
        <w:t>følger av lov og tariffavtaler. Fra 2020 innføres også en påslagsordning for Statens pensjonskasse og sektor KS</w:t>
      </w:r>
      <w:r w:rsidRPr="004D5A81">
        <w:rPr>
          <w:rFonts w:cstheme="minorHAnsi"/>
        </w:rPr>
        <w:t>.</w:t>
      </w:r>
    </w:p>
    <w:p w14:paraId="545DC476" w14:textId="77777777" w:rsidR="001E7181" w:rsidRDefault="001E7181" w:rsidP="001E7181">
      <w:pPr>
        <w:rPr>
          <w:rFonts w:cstheme="minorHAnsi"/>
        </w:rPr>
      </w:pPr>
      <w:r w:rsidRPr="004D5A81">
        <w:rPr>
          <w:rFonts w:cstheme="minorHAnsi"/>
        </w:rPr>
        <w:t>Ytelsespensjon definerer en ytelse i henhold til en valgt pensjonsplan. Foretaket betaler premie for ytelsen, og midlene forvaltes i henhold til den investeringsportefølje pensjonsinnretningen har definert. YTP er regulert gj</w:t>
      </w:r>
      <w:r>
        <w:rPr>
          <w:rFonts w:cstheme="minorHAnsi"/>
        </w:rPr>
        <w:t>ennom Lov om foretakspensjon.</w:t>
      </w:r>
    </w:p>
    <w:p w14:paraId="2C46C540" w14:textId="77777777" w:rsidR="001E7181" w:rsidRDefault="001E7181" w:rsidP="001E7181">
      <w:pPr>
        <w:rPr>
          <w:rFonts w:cstheme="minorHAnsi"/>
        </w:rPr>
      </w:pPr>
      <w:r w:rsidRPr="004D5A81">
        <w:rPr>
          <w:rFonts w:cstheme="minorHAnsi"/>
        </w:rPr>
        <w:t xml:space="preserve">Hybrid er et </w:t>
      </w:r>
      <w:r>
        <w:rPr>
          <w:rFonts w:cstheme="minorHAnsi"/>
        </w:rPr>
        <w:t xml:space="preserve">relativt </w:t>
      </w:r>
      <w:r w:rsidRPr="004D5A81">
        <w:rPr>
          <w:rFonts w:cstheme="minorHAnsi"/>
        </w:rPr>
        <w:t xml:space="preserve">nytt produkt med foreløpig få kunder. Arbeidsgiver sparer midler for den ansatte gjennom en kollektiv avtale i pensjonsinnretningene. Midlene forvaltes gjennom fondsløsninger hos pensjonsinnretningene med ulike risikoprofiler (investeringsvalg eller </w:t>
      </w:r>
      <w:r w:rsidRPr="004D5A81">
        <w:rPr>
          <w:rFonts w:cstheme="minorHAnsi"/>
        </w:rPr>
        <w:lastRenderedPageBreak/>
        <w:t>garantiløsning). Til forskjell fra ITP tilfaller pensjonsmidlene forsikringskollektivet ved medlemmets død. Hybrid er regulert gj</w:t>
      </w:r>
      <w:r>
        <w:rPr>
          <w:rFonts w:cstheme="minorHAnsi"/>
        </w:rPr>
        <w:t xml:space="preserve">ennom lov om tjenestepensjon. </w:t>
      </w:r>
    </w:p>
    <w:p w14:paraId="3209EEAF" w14:textId="77777777" w:rsidR="001E7181" w:rsidRDefault="001E7181" w:rsidP="00746A4D">
      <w:pPr>
        <w:pStyle w:val="Overskrift3"/>
      </w:pPr>
      <w:r w:rsidRPr="00746A4D">
        <w:t>Pensjonskasser</w:t>
      </w:r>
    </w:p>
    <w:p w14:paraId="42167F86" w14:textId="77777777" w:rsidR="001E7181" w:rsidRDefault="001E7181" w:rsidP="001E7181">
      <w:pPr>
        <w:rPr>
          <w:rFonts w:cstheme="minorHAnsi"/>
        </w:rPr>
      </w:pPr>
      <w:r w:rsidRPr="004D5A81">
        <w:rPr>
          <w:rFonts w:cstheme="minorHAnsi"/>
        </w:rPr>
        <w:t>I privat og offentlig sektor har arbeidsgivere anledning til å etablere kollektiv tjenestepensjonsordning gjennom egen pensjonskasse. En pensjonskasse stiftes og organiseres som en selveiende institusjon for å forvalte en eller flere kollektive pensjonsordninger som er etablert av foretak eller kommune som deltar i pensjonskassen. Pensjonskassen ledes av et eget styre og er juridisk og økonomisk adskilt fra foretak eller kommune som deltar i pensjonskassen. Pensjonskassen fremstår som en egen pensjonsinnretning</w:t>
      </w:r>
      <w:r>
        <w:rPr>
          <w:rFonts w:cstheme="minorHAnsi"/>
        </w:rPr>
        <w:t>, og kan levere alle relevante pensjonsprodukter.</w:t>
      </w:r>
    </w:p>
    <w:p w14:paraId="74270A3F" w14:textId="77777777" w:rsidR="001E7181" w:rsidRDefault="001E7181" w:rsidP="00746A4D">
      <w:pPr>
        <w:pStyle w:val="Overskrift3"/>
      </w:pPr>
      <w:r w:rsidRPr="008F30D7">
        <w:t xml:space="preserve">Kort om </w:t>
      </w:r>
      <w:r w:rsidRPr="00746A4D">
        <w:t>offentlige</w:t>
      </w:r>
      <w:r w:rsidRPr="008F30D7">
        <w:t xml:space="preserve"> tjenestepensjonsordninger</w:t>
      </w:r>
    </w:p>
    <w:p w14:paraId="18C11989" w14:textId="77777777" w:rsidR="001E7181" w:rsidRPr="008F30D7" w:rsidRDefault="001E7181" w:rsidP="001E7181">
      <w:pPr>
        <w:rPr>
          <w:rFonts w:cstheme="minorHAnsi"/>
        </w:rPr>
      </w:pPr>
      <w:r w:rsidRPr="004D5A81">
        <w:rPr>
          <w:rFonts w:cstheme="minorHAnsi"/>
        </w:rPr>
        <w:t xml:space="preserve">Offentlig tjenestepensjon er pensjonsordninger for ansatte i offentlig sektor og enkelte yrkesgrupper der det har vært behov for lovregulerte pensjonsordninger. </w:t>
      </w:r>
    </w:p>
    <w:p w14:paraId="42FD5FFB" w14:textId="77777777" w:rsidR="001E7181" w:rsidRPr="004D5A81" w:rsidRDefault="001E7181" w:rsidP="001E7181">
      <w:pPr>
        <w:rPr>
          <w:rFonts w:cstheme="minorHAnsi"/>
        </w:rPr>
      </w:pPr>
      <w:r w:rsidRPr="004D5A81">
        <w:rPr>
          <w:rFonts w:cstheme="minorHAnsi"/>
        </w:rPr>
        <w:t>Offentlig tjenestepensjon reguleres gjennom lover, forskrift og tariffavtaler.</w:t>
      </w:r>
    </w:p>
    <w:p w14:paraId="0D57F767" w14:textId="77777777" w:rsidR="001E7181" w:rsidRPr="004D5A81" w:rsidRDefault="001E7181" w:rsidP="001E7181">
      <w:r w:rsidRPr="004D5A81">
        <w:t xml:space="preserve">Statens Pensjonskasse (SPK) administrerer pensjonsordning for statsansatte, ansatte i skoleverket og andre virksomheter med statlig tilknytning. SPK er regulert av lov om Statens pensjonskasse. </w:t>
      </w:r>
    </w:p>
    <w:p w14:paraId="02BAEE62" w14:textId="77777777" w:rsidR="001E7181" w:rsidRPr="004D5A81" w:rsidRDefault="001E7181" w:rsidP="001E7181">
      <w:r w:rsidRPr="004D5A81">
        <w:t xml:space="preserve">Regelverk for de kommunale pensjonsordningene reguleres gjennom tariffavtaler i tillegg til at Lov om Statens Pensjonskasse setter noen ytre rammer. De kommunale pensjonsordningene og pensjonsordningene for statlige helseforetak mm. administreres av pensjonsinnretninger som henvist til forsikringsvirksomhetslovens § 4-1. I praksis betyr det: SPK, KLP, Oslo Pensjonsforsikring (OPF), selvstendige pensjonskasser med egen administrasjon som eks. Bærum </w:t>
      </w:r>
      <w:r>
        <w:t xml:space="preserve">kommunale </w:t>
      </w:r>
      <w:r w:rsidRPr="004D5A81">
        <w:t xml:space="preserve">pensjonskasse, eller pensjonskasser som administreres </w:t>
      </w:r>
      <w:r>
        <w:t xml:space="preserve">som nøkkelferdige </w:t>
      </w:r>
      <w:r w:rsidRPr="004D5A81">
        <w:t xml:space="preserve">av f.eks. </w:t>
      </w:r>
      <w:r>
        <w:t>Gabler, Storebrand</w:t>
      </w:r>
      <w:r w:rsidRPr="004D5A81">
        <w:t xml:space="preserve"> osv.</w:t>
      </w:r>
    </w:p>
    <w:p w14:paraId="5857CF69" w14:textId="77777777" w:rsidR="001E7181" w:rsidRPr="004D5A81" w:rsidRDefault="001E7181" w:rsidP="001E7181">
      <w:r w:rsidRPr="004D5A81">
        <w:t xml:space="preserve">Lovfestede ordninger: </w:t>
      </w:r>
    </w:p>
    <w:p w14:paraId="3BBCD6A0" w14:textId="77777777" w:rsidR="001E7181" w:rsidRPr="004D5A81" w:rsidRDefault="001E7181" w:rsidP="001E7181">
      <w:pPr>
        <w:pStyle w:val="Listeavsnitt"/>
        <w:numPr>
          <w:ilvl w:val="0"/>
          <w:numId w:val="1"/>
        </w:numPr>
      </w:pPr>
      <w:r w:rsidRPr="004D5A81">
        <w:t>Lov om statens pensjonskasse</w:t>
      </w:r>
    </w:p>
    <w:p w14:paraId="56827CAF" w14:textId="77777777" w:rsidR="001E7181" w:rsidRPr="004D5A81" w:rsidRDefault="001E7181" w:rsidP="001E7181">
      <w:pPr>
        <w:pStyle w:val="Listeavsnitt"/>
        <w:numPr>
          <w:ilvl w:val="0"/>
          <w:numId w:val="1"/>
        </w:numPr>
      </w:pPr>
      <w:r w:rsidRPr="004D5A81">
        <w:t xml:space="preserve">Lov om pensjonsordning for apotekvirksomhet mv.  </w:t>
      </w:r>
    </w:p>
    <w:p w14:paraId="66F62721" w14:textId="77777777" w:rsidR="001E7181" w:rsidRPr="004D5A81" w:rsidRDefault="001E7181" w:rsidP="001E7181">
      <w:pPr>
        <w:pStyle w:val="Listeavsnitt"/>
        <w:numPr>
          <w:ilvl w:val="0"/>
          <w:numId w:val="1"/>
        </w:numPr>
      </w:pPr>
      <w:r w:rsidRPr="004D5A81">
        <w:t xml:space="preserve">Lov om pensjonsordning for stortingsrepresentanter og regjeringsmedlemmer (stortings- og regjeringspensjonsloven) </w:t>
      </w:r>
    </w:p>
    <w:p w14:paraId="0C4809DD" w14:textId="77777777" w:rsidR="001E7181" w:rsidRPr="004D5A81" w:rsidRDefault="001E7181" w:rsidP="001E7181">
      <w:pPr>
        <w:pStyle w:val="Listeavsnitt"/>
        <w:numPr>
          <w:ilvl w:val="0"/>
          <w:numId w:val="1"/>
        </w:numPr>
      </w:pPr>
      <w:r w:rsidRPr="004D5A81">
        <w:t xml:space="preserve">Lov om pensjonstrygd for sjømenn </w:t>
      </w:r>
    </w:p>
    <w:p w14:paraId="42AF13D7" w14:textId="77777777" w:rsidR="001E7181" w:rsidRPr="004D5A81" w:rsidRDefault="001E7181" w:rsidP="001E7181">
      <w:pPr>
        <w:pStyle w:val="Listeavsnitt"/>
        <w:numPr>
          <w:ilvl w:val="0"/>
          <w:numId w:val="1"/>
        </w:numPr>
      </w:pPr>
      <w:r w:rsidRPr="004D5A81">
        <w:t>Lov om pensjonsordning for sykepleiere</w:t>
      </w:r>
    </w:p>
    <w:p w14:paraId="5198ED8E" w14:textId="77777777" w:rsidR="001E7181" w:rsidRPr="004D5A81" w:rsidRDefault="001E7181" w:rsidP="001E7181">
      <w:r w:rsidRPr="004D5A81">
        <w:t>Etter forskrift:</w:t>
      </w:r>
    </w:p>
    <w:p w14:paraId="72DE413E" w14:textId="77777777" w:rsidR="001E7181" w:rsidRPr="004D5A81" w:rsidRDefault="001E7181" w:rsidP="001E7181">
      <w:pPr>
        <w:pStyle w:val="Listeavsnitt"/>
        <w:numPr>
          <w:ilvl w:val="0"/>
          <w:numId w:val="2"/>
        </w:numPr>
      </w:pPr>
      <w:r w:rsidRPr="004D5A81">
        <w:t xml:space="preserve">Forskrift om pensjonsordning for sametingsrepresentanter </w:t>
      </w:r>
    </w:p>
    <w:p w14:paraId="5379CD80" w14:textId="77777777" w:rsidR="001E7181" w:rsidRPr="005F4A7D" w:rsidRDefault="001E7181" w:rsidP="001E7181">
      <w:pPr>
        <w:pStyle w:val="Listeavsnitt"/>
        <w:numPr>
          <w:ilvl w:val="0"/>
          <w:numId w:val="2"/>
        </w:numPr>
      </w:pPr>
      <w:r w:rsidRPr="004D5A81">
        <w:t xml:space="preserve">Forskrift om pensjonsordninger for folkevalgte i kommune eller fylkeskommune </w:t>
      </w:r>
    </w:p>
    <w:p w14:paraId="02CD8996" w14:textId="77777777" w:rsidR="001E7181" w:rsidRPr="004D5A81" w:rsidRDefault="001E7181" w:rsidP="001E7181">
      <w:r w:rsidRPr="004D5A81">
        <w:t>Tariffestede ordninger:</w:t>
      </w:r>
    </w:p>
    <w:p w14:paraId="2223EA0E" w14:textId="77777777" w:rsidR="001E7181" w:rsidRPr="004D5A81" w:rsidRDefault="001E7181" w:rsidP="001E7181">
      <w:pPr>
        <w:pStyle w:val="Listeavsnitt"/>
        <w:numPr>
          <w:ilvl w:val="0"/>
          <w:numId w:val="3"/>
        </w:numPr>
      </w:pPr>
      <w:r w:rsidRPr="004D5A81">
        <w:t>Fellesordning for kommuner og bedrifter</w:t>
      </w:r>
    </w:p>
    <w:p w14:paraId="56D6D528" w14:textId="77777777" w:rsidR="001E7181" w:rsidRPr="004D5A81" w:rsidRDefault="001E7181" w:rsidP="001E7181">
      <w:pPr>
        <w:pStyle w:val="Listeavsnitt"/>
        <w:numPr>
          <w:ilvl w:val="0"/>
          <w:numId w:val="3"/>
        </w:numPr>
      </w:pPr>
      <w:r w:rsidRPr="004D5A81">
        <w:t>Fellesordning for helseforetak</w:t>
      </w:r>
    </w:p>
    <w:p w14:paraId="0ABC479C" w14:textId="77777777" w:rsidR="001E7181" w:rsidRPr="004D5A81" w:rsidRDefault="001E7181" w:rsidP="001E7181">
      <w:pPr>
        <w:pStyle w:val="Listeavsnitt"/>
        <w:numPr>
          <w:ilvl w:val="0"/>
          <w:numId w:val="3"/>
        </w:numPr>
      </w:pPr>
      <w:r w:rsidRPr="004D5A81">
        <w:t>Pensjonsordning for sykehusleger</w:t>
      </w:r>
    </w:p>
    <w:p w14:paraId="7413EA9C" w14:textId="77777777" w:rsidR="001E7181" w:rsidRDefault="001E7181" w:rsidP="001E7181">
      <w:pPr>
        <w:rPr>
          <w:rFonts w:cstheme="minorHAnsi"/>
        </w:rPr>
      </w:pPr>
      <w:r w:rsidRPr="004D5A81">
        <w:rPr>
          <w:rFonts w:cstheme="minorHAnsi"/>
        </w:rPr>
        <w:t xml:space="preserve">De fleste pensjonsordningene innenfor offentlig sektor er inntil videre ytelsesbaserte. Nye regler for offentlig tjenestepensjon vil gjelde fra 2020. Alle som er født i 1963 og senere vil fra 2020 tjene opp pensjon etter de endrede reglene for offentlig tjenestepensjon og komme inn i </w:t>
      </w:r>
      <w:r w:rsidRPr="004D5A81">
        <w:rPr>
          <w:rFonts w:cstheme="minorHAnsi"/>
        </w:rPr>
        <w:lastRenderedPageBreak/>
        <w:t>ny AFP-ordning. Offentlig tjenestepensjon skal bli bedre tilpasset folketrygden og AFP i privat sektor.</w:t>
      </w:r>
    </w:p>
    <w:p w14:paraId="3B1C52B1" w14:textId="77777777" w:rsidR="001E7181" w:rsidRDefault="001E7181" w:rsidP="00746A4D">
      <w:pPr>
        <w:pStyle w:val="Overskrift2"/>
        <w:rPr>
          <w:rFonts w:cstheme="minorHAnsi"/>
          <w:u w:val="single"/>
        </w:rPr>
      </w:pPr>
      <w:bookmarkStart w:id="1" w:name="_Toc18922591"/>
      <w:bookmarkStart w:id="2" w:name="_Toc18928535"/>
      <w:bookmarkStart w:id="3" w:name="_Toc18932569"/>
      <w:bookmarkStart w:id="4" w:name="_Toc18933702"/>
      <w:bookmarkStart w:id="5" w:name="_Toc18937208"/>
      <w:bookmarkStart w:id="6" w:name="_Toc18959183"/>
      <w:bookmarkStart w:id="7" w:name="_Toc18960121"/>
      <w:bookmarkStart w:id="8" w:name="_Toc19103725"/>
      <w:bookmarkStart w:id="9" w:name="_Toc19104398"/>
      <w:bookmarkStart w:id="10" w:name="_Toc19108818"/>
      <w:bookmarkStart w:id="11" w:name="_Toc19171284"/>
      <w:bookmarkStart w:id="12" w:name="_Toc19181882"/>
      <w:bookmarkStart w:id="13" w:name="_Toc19184312"/>
      <w:bookmarkStart w:id="14" w:name="_Toc19191989"/>
      <w:bookmarkStart w:id="15" w:name="_Toc19192585"/>
      <w:bookmarkStart w:id="16" w:name="_Toc19192838"/>
      <w:bookmarkStart w:id="17" w:name="_Toc19193340"/>
      <w:bookmarkStart w:id="18" w:name="_Toc19255996"/>
      <w:bookmarkStart w:id="19" w:name="_Toc19258056"/>
      <w:bookmarkStart w:id="20" w:name="_Toc19258859"/>
      <w:bookmarkStart w:id="21" w:name="_Toc19260478"/>
      <w:bookmarkStart w:id="22" w:name="_Toc19260831"/>
      <w:bookmarkStart w:id="23" w:name="_Toc19261666"/>
      <w:bookmarkStart w:id="24" w:name="_Toc19262166"/>
      <w:bookmarkStart w:id="25" w:name="_Toc19262725"/>
      <w:bookmarkStart w:id="26" w:name="_Toc19263310"/>
      <w:bookmarkStart w:id="27" w:name="_Toc21959246"/>
      <w:bookmarkStart w:id="28" w:name="_Toc21959331"/>
      <w:bookmarkStart w:id="29" w:name="_Toc21964269"/>
      <w:bookmarkStart w:id="30" w:name="_Toc22042704"/>
      <w:bookmarkStart w:id="31" w:name="_Toc22045817"/>
      <w:bookmarkStart w:id="32" w:name="_Toc22046316"/>
      <w:bookmarkStart w:id="33" w:name="_Toc22132237"/>
      <w:bookmarkStart w:id="34" w:name="_Toc22132536"/>
      <w:bookmarkStart w:id="35" w:name="_Toc22140447"/>
      <w:bookmarkStart w:id="36" w:name="_Toc22141124"/>
      <w:bookmarkStart w:id="37" w:name="_Toc22148863"/>
      <w:bookmarkStart w:id="38" w:name="_Toc22199895"/>
      <w:bookmarkStart w:id="39" w:name="_Toc22207419"/>
      <w:bookmarkStart w:id="40" w:name="_Toc22215314"/>
      <w:bookmarkStart w:id="41" w:name="_Toc22215616"/>
      <w:bookmarkStart w:id="42" w:name="_Toc22218606"/>
      <w:bookmarkStart w:id="43" w:name="_Toc22219009"/>
      <w:bookmarkStart w:id="44" w:name="_Toc22219168"/>
      <w:bookmarkStart w:id="45" w:name="_Toc22230276"/>
      <w:bookmarkStart w:id="46" w:name="_Toc22293745"/>
      <w:bookmarkStart w:id="47" w:name="_Toc22303694"/>
      <w:r>
        <w:t>Bestand</w:t>
      </w:r>
      <w:bookmarkEnd w:id="1"/>
      <w:bookmarkEnd w:id="2"/>
      <w:bookmarkEnd w:id="3"/>
      <w:bookmarkEnd w:id="4"/>
      <w:bookmarkEnd w:id="5"/>
      <w:bookmarkEnd w:id="6"/>
      <w:bookmarkEnd w:id="7"/>
      <w:r>
        <w:t xml:space="preserve"> og volum av pensjonsordninger</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489D190E" w14:textId="77777777" w:rsidR="001E7181" w:rsidRPr="00874D86" w:rsidRDefault="001E7181" w:rsidP="00746A4D">
      <w:pPr>
        <w:pStyle w:val="Overskrift3"/>
      </w:pPr>
      <w:r w:rsidRPr="00874D86">
        <w:t xml:space="preserve">Privat </w:t>
      </w:r>
      <w:r w:rsidRPr="00746A4D">
        <w:t>tjenestepensjon</w:t>
      </w:r>
    </w:p>
    <w:p w14:paraId="4DD7163C" w14:textId="77777777" w:rsidR="001E7181" w:rsidRDefault="001E7181" w:rsidP="001E7181">
      <w:pPr>
        <w:rPr>
          <w:rFonts w:cstheme="minorHAnsi"/>
        </w:rPr>
      </w:pPr>
      <w:r w:rsidRPr="00874D86">
        <w:rPr>
          <w:rFonts w:cstheme="minorHAnsi"/>
          <w:i/>
        </w:rPr>
        <w:t>Alle tall er fra Finans Norge.</w:t>
      </w:r>
      <w:r w:rsidRPr="00874D86">
        <w:rPr>
          <w:rFonts w:cstheme="minorHAnsi"/>
          <w:i/>
        </w:rPr>
        <w:br/>
      </w:r>
      <w:r w:rsidRPr="00874D86">
        <w:rPr>
          <w:rFonts w:cstheme="minorHAnsi"/>
        </w:rPr>
        <w:br/>
      </w:r>
      <w:r w:rsidRPr="00874D86">
        <w:rPr>
          <w:rFonts w:cstheme="minorHAnsi"/>
          <w:b/>
          <w:iCs/>
        </w:rPr>
        <w:t>Antall</w:t>
      </w:r>
      <w:r w:rsidRPr="00874D86">
        <w:rPr>
          <w:rFonts w:cstheme="minorHAnsi"/>
          <w:b/>
        </w:rPr>
        <w:br/>
      </w:r>
      <w:r w:rsidRPr="00874D86">
        <w:rPr>
          <w:rFonts w:cstheme="minorHAnsi"/>
        </w:rPr>
        <w:t xml:space="preserve">Lov om Foretakspensjon (LOF): </w:t>
      </w:r>
      <w:r w:rsidRPr="00874D86">
        <w:rPr>
          <w:rFonts w:cstheme="minorHAnsi"/>
        </w:rPr>
        <w:br/>
        <w:t>Ved utgangen av 2018 var det registrert 5 013 foretakspensjonsordninger som omfattet 83 318 medlemmer. I LOF-ordningene var 29 955 av medlemmene tilknyttet uførepensjon etter tjenestepensjonsloven.</w:t>
      </w:r>
      <w:r w:rsidRPr="00874D86">
        <w:rPr>
          <w:rFonts w:cstheme="minorHAnsi"/>
        </w:rPr>
        <w:br/>
        <w:t xml:space="preserve"> </w:t>
      </w:r>
      <w:r w:rsidRPr="00874D86">
        <w:rPr>
          <w:rFonts w:cstheme="minorHAnsi"/>
        </w:rPr>
        <w:br/>
        <w:t xml:space="preserve">Lov om Innskuddspensjon (LOI): </w:t>
      </w:r>
      <w:r w:rsidRPr="00874D86">
        <w:rPr>
          <w:rFonts w:cstheme="minorHAnsi"/>
        </w:rPr>
        <w:br/>
        <w:t xml:space="preserve">Ved utgangen av 2018 var det registrert 113 343 innskuddspensjonsordninger som omfattet </w:t>
      </w:r>
      <w:r w:rsidRPr="00874D86">
        <w:rPr>
          <w:rFonts w:cstheme="minorHAnsi"/>
        </w:rPr>
        <w:br/>
        <w:t xml:space="preserve">1 400 823 medlemmer. I LOI-ordningene var 532 290 av medlemmene tilknyttet uførepensjon etter tjenestepensjonsloven. </w:t>
      </w:r>
      <w:r w:rsidRPr="00874D86">
        <w:rPr>
          <w:rFonts w:cstheme="minorHAnsi"/>
        </w:rPr>
        <w:br/>
      </w:r>
      <w:r w:rsidRPr="00874D86">
        <w:rPr>
          <w:rFonts w:cstheme="minorHAnsi"/>
        </w:rPr>
        <w:br/>
        <w:t>Hybridpensjon:</w:t>
      </w:r>
      <w:r w:rsidRPr="00874D86">
        <w:rPr>
          <w:rFonts w:cstheme="minorHAnsi"/>
        </w:rPr>
        <w:br/>
        <w:t xml:space="preserve">Ved utgangen av 2018 var det registrert 367 hybridpensjonsordninger med 14 712 medlemmer. </w:t>
      </w:r>
      <w:r w:rsidRPr="00874D86">
        <w:rPr>
          <w:rFonts w:cstheme="minorHAnsi"/>
        </w:rPr>
        <w:br/>
        <w:t xml:space="preserve">14 670 av medlemmene hadde tilknyttet uførepensjon </w:t>
      </w:r>
      <w:r>
        <w:rPr>
          <w:rFonts w:cstheme="minorHAnsi"/>
        </w:rPr>
        <w:t xml:space="preserve">etter tjenestepensjonsloven. </w:t>
      </w:r>
    </w:p>
    <w:tbl>
      <w:tblPr>
        <w:tblStyle w:val="Listetabell1lys-uthevingsfarge6"/>
        <w:tblW w:w="0" w:type="auto"/>
        <w:tblCellMar>
          <w:left w:w="0" w:type="dxa"/>
        </w:tblCellMar>
        <w:tblLook w:val="0420" w:firstRow="1" w:lastRow="0" w:firstColumn="0" w:lastColumn="0" w:noHBand="0" w:noVBand="1"/>
      </w:tblPr>
      <w:tblGrid>
        <w:gridCol w:w="5529"/>
        <w:gridCol w:w="1559"/>
      </w:tblGrid>
      <w:tr w:rsidR="001E7181" w14:paraId="73D861F4" w14:textId="77777777" w:rsidTr="00B37E54">
        <w:trPr>
          <w:cnfStyle w:val="100000000000" w:firstRow="1" w:lastRow="0" w:firstColumn="0" w:lastColumn="0" w:oddVBand="0" w:evenVBand="0" w:oddHBand="0" w:evenHBand="0" w:firstRowFirstColumn="0" w:firstRowLastColumn="0" w:lastRowFirstColumn="0" w:lastRowLastColumn="0"/>
        </w:trPr>
        <w:tc>
          <w:tcPr>
            <w:tcW w:w="5529" w:type="dxa"/>
          </w:tcPr>
          <w:p w14:paraId="4F7CE811" w14:textId="77777777" w:rsidR="001E7181" w:rsidRDefault="001E7181" w:rsidP="00B37E54">
            <w:pPr>
              <w:pStyle w:val="Ingenmellomrom"/>
            </w:pPr>
            <w:r>
              <w:t>Forvaltning</w:t>
            </w:r>
          </w:p>
        </w:tc>
        <w:tc>
          <w:tcPr>
            <w:tcW w:w="1559" w:type="dxa"/>
          </w:tcPr>
          <w:p w14:paraId="05DFC014" w14:textId="77777777" w:rsidR="001E7181" w:rsidRDefault="001E7181" w:rsidP="00B37E54">
            <w:pPr>
              <w:pStyle w:val="Ingenmellomrom"/>
            </w:pPr>
            <w:r>
              <w:t>Beløp</w:t>
            </w:r>
          </w:p>
        </w:tc>
      </w:tr>
      <w:tr w:rsidR="001E7181" w:rsidRPr="00FC1E85" w14:paraId="4AE57BA2" w14:textId="77777777" w:rsidTr="00B37E54">
        <w:trPr>
          <w:cnfStyle w:val="000000100000" w:firstRow="0" w:lastRow="0" w:firstColumn="0" w:lastColumn="0" w:oddVBand="0" w:evenVBand="0" w:oddHBand="1" w:evenHBand="0" w:firstRowFirstColumn="0" w:firstRowLastColumn="0" w:lastRowFirstColumn="0" w:lastRowLastColumn="0"/>
          <w:trHeight w:val="227"/>
        </w:trPr>
        <w:tc>
          <w:tcPr>
            <w:tcW w:w="5529" w:type="dxa"/>
          </w:tcPr>
          <w:p w14:paraId="4F32D1AA" w14:textId="77777777" w:rsidR="001E7181" w:rsidRPr="00FC1E85" w:rsidRDefault="001E7181" w:rsidP="00B37E54">
            <w:pPr>
              <w:pStyle w:val="Ingenmellomrom"/>
              <w:rPr>
                <w:sz w:val="20"/>
              </w:rPr>
            </w:pPr>
            <w:r w:rsidRPr="00FC1E85">
              <w:rPr>
                <w:sz w:val="20"/>
              </w:rPr>
              <w:t>Brutto forfalt premie for LOF</w:t>
            </w:r>
          </w:p>
        </w:tc>
        <w:tc>
          <w:tcPr>
            <w:tcW w:w="1559" w:type="dxa"/>
          </w:tcPr>
          <w:p w14:paraId="6BA242B1" w14:textId="77777777" w:rsidR="001E7181" w:rsidRPr="00FC1E85" w:rsidRDefault="001E7181" w:rsidP="00B37E54">
            <w:pPr>
              <w:pStyle w:val="Ingenmellomrom"/>
              <w:rPr>
                <w:sz w:val="20"/>
              </w:rPr>
            </w:pPr>
            <w:r w:rsidRPr="00FC1E85">
              <w:rPr>
                <w:sz w:val="20"/>
              </w:rPr>
              <w:t>6 919 263</w:t>
            </w:r>
          </w:p>
        </w:tc>
      </w:tr>
      <w:tr w:rsidR="001E7181" w:rsidRPr="00FC1E85" w14:paraId="158CFCB9" w14:textId="77777777" w:rsidTr="00B37E54">
        <w:trPr>
          <w:trHeight w:val="227"/>
        </w:trPr>
        <w:tc>
          <w:tcPr>
            <w:tcW w:w="5529" w:type="dxa"/>
          </w:tcPr>
          <w:p w14:paraId="60C4CF17" w14:textId="77777777" w:rsidR="001E7181" w:rsidRPr="00FC1E85" w:rsidRDefault="001E7181" w:rsidP="00B37E54">
            <w:pPr>
              <w:pStyle w:val="Ingenmellomrom"/>
              <w:rPr>
                <w:sz w:val="20"/>
              </w:rPr>
            </w:pPr>
            <w:r w:rsidRPr="00FC1E85">
              <w:rPr>
                <w:sz w:val="20"/>
              </w:rPr>
              <w:t>Brutto forfalt premie for LOI</w:t>
            </w:r>
          </w:p>
        </w:tc>
        <w:tc>
          <w:tcPr>
            <w:tcW w:w="1559" w:type="dxa"/>
          </w:tcPr>
          <w:p w14:paraId="79498C01" w14:textId="77777777" w:rsidR="001E7181" w:rsidRPr="00FC1E85" w:rsidRDefault="001E7181" w:rsidP="00B37E54">
            <w:pPr>
              <w:pStyle w:val="Ingenmellomrom"/>
              <w:rPr>
                <w:sz w:val="20"/>
              </w:rPr>
            </w:pPr>
            <w:r w:rsidRPr="00FC1E85">
              <w:rPr>
                <w:sz w:val="20"/>
              </w:rPr>
              <w:t>28 680 958</w:t>
            </w:r>
          </w:p>
        </w:tc>
      </w:tr>
      <w:tr w:rsidR="001E7181" w:rsidRPr="00FC1E85" w14:paraId="42788A82" w14:textId="77777777" w:rsidTr="00B37E54">
        <w:trPr>
          <w:cnfStyle w:val="000000100000" w:firstRow="0" w:lastRow="0" w:firstColumn="0" w:lastColumn="0" w:oddVBand="0" w:evenVBand="0" w:oddHBand="1" w:evenHBand="0" w:firstRowFirstColumn="0" w:firstRowLastColumn="0" w:lastRowFirstColumn="0" w:lastRowLastColumn="0"/>
          <w:trHeight w:val="227"/>
        </w:trPr>
        <w:tc>
          <w:tcPr>
            <w:tcW w:w="5529" w:type="dxa"/>
          </w:tcPr>
          <w:p w14:paraId="5CC81082" w14:textId="77777777" w:rsidR="001E7181" w:rsidRPr="00FC1E85" w:rsidRDefault="001E7181" w:rsidP="00B37E54">
            <w:pPr>
              <w:pStyle w:val="Ingenmellomrom"/>
              <w:rPr>
                <w:sz w:val="20"/>
              </w:rPr>
            </w:pPr>
            <w:r w:rsidRPr="00FC1E85">
              <w:rPr>
                <w:sz w:val="20"/>
              </w:rPr>
              <w:t>Brutto forfalt premie for hybridordninger</w:t>
            </w:r>
          </w:p>
        </w:tc>
        <w:tc>
          <w:tcPr>
            <w:tcW w:w="1559" w:type="dxa"/>
          </w:tcPr>
          <w:p w14:paraId="022E3A20" w14:textId="77777777" w:rsidR="001E7181" w:rsidRPr="00FC1E85" w:rsidRDefault="001E7181" w:rsidP="00B37E54">
            <w:pPr>
              <w:pStyle w:val="Ingenmellomrom"/>
              <w:rPr>
                <w:sz w:val="20"/>
              </w:rPr>
            </w:pPr>
            <w:r w:rsidRPr="00FC1E85">
              <w:rPr>
                <w:sz w:val="20"/>
              </w:rPr>
              <w:t>729 085</w:t>
            </w:r>
          </w:p>
        </w:tc>
      </w:tr>
      <w:tr w:rsidR="001E7181" w:rsidRPr="00FC1E85" w14:paraId="05894791" w14:textId="77777777" w:rsidTr="00B37E54">
        <w:trPr>
          <w:trHeight w:val="227"/>
        </w:trPr>
        <w:tc>
          <w:tcPr>
            <w:tcW w:w="5529" w:type="dxa"/>
          </w:tcPr>
          <w:p w14:paraId="25666F81" w14:textId="77777777" w:rsidR="001E7181" w:rsidRPr="00FC1E85" w:rsidRDefault="001E7181" w:rsidP="00B37E54">
            <w:pPr>
              <w:pStyle w:val="Ingenmellomrom"/>
              <w:rPr>
                <w:sz w:val="20"/>
              </w:rPr>
            </w:pPr>
          </w:p>
        </w:tc>
        <w:tc>
          <w:tcPr>
            <w:tcW w:w="1559" w:type="dxa"/>
          </w:tcPr>
          <w:p w14:paraId="65D05CE9" w14:textId="77777777" w:rsidR="001E7181" w:rsidRPr="00FC1E85" w:rsidRDefault="001E7181" w:rsidP="00B37E54">
            <w:pPr>
              <w:pStyle w:val="Ingenmellomrom"/>
              <w:rPr>
                <w:sz w:val="20"/>
              </w:rPr>
            </w:pPr>
          </w:p>
        </w:tc>
      </w:tr>
      <w:tr w:rsidR="001E7181" w:rsidRPr="00FC1E85" w14:paraId="5DC08C8C" w14:textId="77777777" w:rsidTr="00B37E54">
        <w:trPr>
          <w:cnfStyle w:val="000000100000" w:firstRow="0" w:lastRow="0" w:firstColumn="0" w:lastColumn="0" w:oddVBand="0" w:evenVBand="0" w:oddHBand="1" w:evenHBand="0" w:firstRowFirstColumn="0" w:firstRowLastColumn="0" w:lastRowFirstColumn="0" w:lastRowLastColumn="0"/>
          <w:trHeight w:val="227"/>
        </w:trPr>
        <w:tc>
          <w:tcPr>
            <w:tcW w:w="5529" w:type="dxa"/>
          </w:tcPr>
          <w:p w14:paraId="7E8B2EE2" w14:textId="77777777" w:rsidR="001E7181" w:rsidRPr="00FC1E85" w:rsidRDefault="001E7181" w:rsidP="00B37E54">
            <w:pPr>
              <w:pStyle w:val="Ingenmellomrom"/>
              <w:rPr>
                <w:sz w:val="20"/>
              </w:rPr>
            </w:pPr>
            <w:r w:rsidRPr="00FC1E85">
              <w:rPr>
                <w:sz w:val="20"/>
              </w:rPr>
              <w:t>Forsikringsforpliktelser for aktive LOF</w:t>
            </w:r>
          </w:p>
        </w:tc>
        <w:tc>
          <w:tcPr>
            <w:tcW w:w="1559" w:type="dxa"/>
          </w:tcPr>
          <w:p w14:paraId="3C92908F" w14:textId="77777777" w:rsidR="001E7181" w:rsidRPr="00FC1E85" w:rsidRDefault="001E7181" w:rsidP="00B37E54">
            <w:pPr>
              <w:pStyle w:val="Ingenmellomrom"/>
              <w:rPr>
                <w:sz w:val="20"/>
              </w:rPr>
            </w:pPr>
            <w:r w:rsidRPr="00FC1E85">
              <w:rPr>
                <w:sz w:val="20"/>
              </w:rPr>
              <w:t>61 269 369</w:t>
            </w:r>
          </w:p>
        </w:tc>
      </w:tr>
      <w:tr w:rsidR="001E7181" w:rsidRPr="00FC1E85" w14:paraId="464D0421" w14:textId="77777777" w:rsidTr="00B37E54">
        <w:trPr>
          <w:trHeight w:val="227"/>
        </w:trPr>
        <w:tc>
          <w:tcPr>
            <w:tcW w:w="5529" w:type="dxa"/>
          </w:tcPr>
          <w:p w14:paraId="3EDCC574" w14:textId="77777777" w:rsidR="001E7181" w:rsidRPr="00FC1E85" w:rsidRDefault="001E7181" w:rsidP="00B37E54">
            <w:pPr>
              <w:pStyle w:val="Ingenmellomrom"/>
              <w:rPr>
                <w:sz w:val="20"/>
              </w:rPr>
            </w:pPr>
            <w:r w:rsidRPr="00FC1E85">
              <w:rPr>
                <w:sz w:val="20"/>
              </w:rPr>
              <w:t>Forsikringsforpliktelser for aktive LOI</w:t>
            </w:r>
          </w:p>
        </w:tc>
        <w:tc>
          <w:tcPr>
            <w:tcW w:w="1559" w:type="dxa"/>
          </w:tcPr>
          <w:p w14:paraId="368FD0E0" w14:textId="77777777" w:rsidR="001E7181" w:rsidRPr="00FC1E85" w:rsidRDefault="001E7181" w:rsidP="00B37E54">
            <w:pPr>
              <w:pStyle w:val="Ingenmellomrom"/>
              <w:rPr>
                <w:sz w:val="20"/>
              </w:rPr>
            </w:pPr>
            <w:r w:rsidRPr="00FC1E85">
              <w:rPr>
                <w:sz w:val="20"/>
              </w:rPr>
              <w:t>150 873 949</w:t>
            </w:r>
          </w:p>
        </w:tc>
      </w:tr>
      <w:tr w:rsidR="001E7181" w:rsidRPr="00FC1E85" w14:paraId="04BF63CF" w14:textId="77777777" w:rsidTr="00B37E54">
        <w:trPr>
          <w:cnfStyle w:val="000000100000" w:firstRow="0" w:lastRow="0" w:firstColumn="0" w:lastColumn="0" w:oddVBand="0" w:evenVBand="0" w:oddHBand="1" w:evenHBand="0" w:firstRowFirstColumn="0" w:firstRowLastColumn="0" w:lastRowFirstColumn="0" w:lastRowLastColumn="0"/>
          <w:trHeight w:val="227"/>
        </w:trPr>
        <w:tc>
          <w:tcPr>
            <w:tcW w:w="5529" w:type="dxa"/>
          </w:tcPr>
          <w:p w14:paraId="13A44F44" w14:textId="77777777" w:rsidR="001E7181" w:rsidRPr="00FC1E85" w:rsidRDefault="001E7181" w:rsidP="00B37E54">
            <w:pPr>
              <w:pStyle w:val="Ingenmellomrom"/>
              <w:rPr>
                <w:sz w:val="20"/>
              </w:rPr>
            </w:pPr>
            <w:r w:rsidRPr="00FC1E85">
              <w:rPr>
                <w:sz w:val="20"/>
              </w:rPr>
              <w:t>Forsikringsforpliktelser for hybridpensjonsordninger</w:t>
            </w:r>
          </w:p>
        </w:tc>
        <w:tc>
          <w:tcPr>
            <w:tcW w:w="1559" w:type="dxa"/>
          </w:tcPr>
          <w:p w14:paraId="21819F0C" w14:textId="77777777" w:rsidR="001E7181" w:rsidRPr="00FC1E85" w:rsidRDefault="001E7181" w:rsidP="00B37E54">
            <w:pPr>
              <w:pStyle w:val="Ingenmellomrom"/>
              <w:rPr>
                <w:sz w:val="20"/>
              </w:rPr>
            </w:pPr>
            <w:r w:rsidRPr="00FC1E85">
              <w:rPr>
                <w:sz w:val="20"/>
              </w:rPr>
              <w:t>1 719 589</w:t>
            </w:r>
          </w:p>
        </w:tc>
      </w:tr>
    </w:tbl>
    <w:p w14:paraId="3D64A483" w14:textId="77777777" w:rsidR="001E7181" w:rsidRDefault="001E7181" w:rsidP="001E7181">
      <w:pPr>
        <w:pStyle w:val="Ingenmellomrom"/>
      </w:pPr>
    </w:p>
    <w:p w14:paraId="590804CA" w14:textId="77777777" w:rsidR="001E7181" w:rsidRPr="00357340" w:rsidRDefault="001E7181" w:rsidP="001E7181">
      <w:pPr>
        <w:rPr>
          <w:sz w:val="20"/>
        </w:rPr>
      </w:pPr>
      <w:r w:rsidRPr="00357340">
        <w:rPr>
          <w:sz w:val="20"/>
        </w:rPr>
        <w:t>Beløp oppgitt i 1000 kr</w:t>
      </w:r>
      <w:r>
        <w:rPr>
          <w:sz w:val="20"/>
        </w:rPr>
        <w:t>.</w:t>
      </w:r>
    </w:p>
    <w:p w14:paraId="23AC9300" w14:textId="77777777" w:rsidR="001E7181" w:rsidRPr="00874D86" w:rsidRDefault="001E7181" w:rsidP="00746A4D">
      <w:pPr>
        <w:pStyle w:val="Overskrift3"/>
      </w:pPr>
      <w:r w:rsidRPr="00746A4D">
        <w:t>Pensjonskasser</w:t>
      </w:r>
    </w:p>
    <w:p w14:paraId="2E9023C5" w14:textId="77777777" w:rsidR="001E7181" w:rsidRPr="00874D86" w:rsidRDefault="001E7181" w:rsidP="001E7181">
      <w:pPr>
        <w:rPr>
          <w:rFonts w:cstheme="minorHAnsi"/>
          <w:i/>
        </w:rPr>
      </w:pPr>
      <w:r w:rsidRPr="00874D86">
        <w:rPr>
          <w:rFonts w:cstheme="minorHAnsi"/>
          <w:i/>
        </w:rPr>
        <w:t>Tall er fra Pensjonskasseforeningen, inkluderer ikke OPF og apotekordningen.</w:t>
      </w:r>
    </w:p>
    <w:p w14:paraId="6AB8FBF4" w14:textId="77777777" w:rsidR="001E7181" w:rsidRDefault="001E7181" w:rsidP="001E7181">
      <w:pPr>
        <w:rPr>
          <w:rFonts w:cstheme="minorHAnsi"/>
          <w:b/>
          <w:iCs/>
        </w:rPr>
      </w:pPr>
      <w:r w:rsidRPr="00874D86">
        <w:rPr>
          <w:rFonts w:cstheme="minorHAnsi"/>
          <w:b/>
          <w:iCs/>
        </w:rPr>
        <w:t>Antall</w:t>
      </w:r>
      <w:r w:rsidRPr="00874D86">
        <w:rPr>
          <w:rFonts w:cstheme="minorHAnsi"/>
          <w:b/>
          <w:u w:val="single"/>
        </w:rPr>
        <w:br/>
      </w:r>
      <w:r w:rsidRPr="004D5A81">
        <w:rPr>
          <w:rFonts w:cstheme="minorHAnsi"/>
        </w:rPr>
        <w:t xml:space="preserve">Private pensjonskasser: Pr 2019 er det 50 private pensjonskasser med konsesjon. </w:t>
      </w:r>
      <w:r w:rsidRPr="004D5A81">
        <w:rPr>
          <w:rFonts w:cstheme="minorHAnsi"/>
        </w:rPr>
        <w:br/>
        <w:t xml:space="preserve">Offentlige pensjonskasser: Pr 2019 er det 37 offentlige </w:t>
      </w:r>
      <w:r>
        <w:rPr>
          <w:rFonts w:cstheme="minorHAnsi"/>
        </w:rPr>
        <w:t xml:space="preserve">pensjonskasser med konsesjon. </w:t>
      </w:r>
    </w:p>
    <w:tbl>
      <w:tblPr>
        <w:tblStyle w:val="Listetabell1lys-uthevingsfarge6"/>
        <w:tblW w:w="0" w:type="auto"/>
        <w:tblCellMar>
          <w:left w:w="0" w:type="dxa"/>
        </w:tblCellMar>
        <w:tblLook w:val="0420" w:firstRow="1" w:lastRow="0" w:firstColumn="0" w:lastColumn="0" w:noHBand="0" w:noVBand="1"/>
      </w:tblPr>
      <w:tblGrid>
        <w:gridCol w:w="4820"/>
        <w:gridCol w:w="4252"/>
      </w:tblGrid>
      <w:tr w:rsidR="001E7181" w14:paraId="50C9540E" w14:textId="77777777" w:rsidTr="00B37E54">
        <w:trPr>
          <w:cnfStyle w:val="100000000000" w:firstRow="1" w:lastRow="0" w:firstColumn="0" w:lastColumn="0" w:oddVBand="0" w:evenVBand="0" w:oddHBand="0" w:evenHBand="0" w:firstRowFirstColumn="0" w:firstRowLastColumn="0" w:lastRowFirstColumn="0" w:lastRowLastColumn="0"/>
        </w:trPr>
        <w:tc>
          <w:tcPr>
            <w:tcW w:w="4820" w:type="dxa"/>
          </w:tcPr>
          <w:p w14:paraId="55A6B31B" w14:textId="77777777" w:rsidR="001E7181" w:rsidRDefault="001E7181" w:rsidP="00B37E54">
            <w:pPr>
              <w:pStyle w:val="Ingenmellomrom"/>
            </w:pPr>
            <w:r>
              <w:t>Forvaltning</w:t>
            </w:r>
          </w:p>
        </w:tc>
        <w:tc>
          <w:tcPr>
            <w:tcW w:w="4252" w:type="dxa"/>
          </w:tcPr>
          <w:p w14:paraId="7731E91F" w14:textId="77777777" w:rsidR="001E7181" w:rsidRDefault="001E7181" w:rsidP="00B37E54">
            <w:pPr>
              <w:pStyle w:val="Ingenmellomrom"/>
            </w:pPr>
            <w:r>
              <w:t>Beløp</w:t>
            </w:r>
          </w:p>
        </w:tc>
      </w:tr>
      <w:tr w:rsidR="001E7181" w:rsidRPr="00FC1E85" w14:paraId="34CC2BC5" w14:textId="77777777" w:rsidTr="00B37E54">
        <w:trPr>
          <w:cnfStyle w:val="000000100000" w:firstRow="0" w:lastRow="0" w:firstColumn="0" w:lastColumn="0" w:oddVBand="0" w:evenVBand="0" w:oddHBand="1" w:evenHBand="0" w:firstRowFirstColumn="0" w:firstRowLastColumn="0" w:lastRowFirstColumn="0" w:lastRowLastColumn="0"/>
          <w:trHeight w:val="227"/>
        </w:trPr>
        <w:tc>
          <w:tcPr>
            <w:tcW w:w="4820" w:type="dxa"/>
          </w:tcPr>
          <w:p w14:paraId="56AA786C" w14:textId="77777777" w:rsidR="001E7181" w:rsidRPr="00FC1E85" w:rsidRDefault="001E7181" w:rsidP="00B37E54">
            <w:pPr>
              <w:pStyle w:val="Ingenmellomrom"/>
              <w:rPr>
                <w:sz w:val="20"/>
              </w:rPr>
            </w:pPr>
            <w:r w:rsidRPr="00FC1E85">
              <w:rPr>
                <w:rFonts w:cstheme="minorHAnsi"/>
                <w:sz w:val="20"/>
              </w:rPr>
              <w:t>Forvaltningskapital private pensjonskasser</w:t>
            </w:r>
          </w:p>
        </w:tc>
        <w:tc>
          <w:tcPr>
            <w:tcW w:w="4252" w:type="dxa"/>
          </w:tcPr>
          <w:p w14:paraId="64DAB12E" w14:textId="77777777" w:rsidR="001E7181" w:rsidRPr="00FC1E85" w:rsidRDefault="001E7181" w:rsidP="00B37E54">
            <w:pPr>
              <w:pStyle w:val="Ingenmellomrom"/>
              <w:rPr>
                <w:sz w:val="20"/>
              </w:rPr>
            </w:pPr>
            <w:r w:rsidRPr="00FC1E85">
              <w:rPr>
                <w:rFonts w:cstheme="minorHAnsi"/>
                <w:sz w:val="20"/>
              </w:rPr>
              <w:t>196 000 000, hvorav 62 000 000 er fripoliser</w:t>
            </w:r>
          </w:p>
        </w:tc>
      </w:tr>
      <w:tr w:rsidR="001E7181" w:rsidRPr="00FC1E85" w14:paraId="7295548A" w14:textId="77777777" w:rsidTr="00B37E54">
        <w:trPr>
          <w:trHeight w:val="227"/>
        </w:trPr>
        <w:tc>
          <w:tcPr>
            <w:tcW w:w="4820" w:type="dxa"/>
          </w:tcPr>
          <w:p w14:paraId="17B7FA4A" w14:textId="77777777" w:rsidR="001E7181" w:rsidRPr="00FC1E85" w:rsidRDefault="001E7181" w:rsidP="00B37E54">
            <w:pPr>
              <w:pStyle w:val="Ingenmellomrom"/>
              <w:rPr>
                <w:sz w:val="20"/>
              </w:rPr>
            </w:pPr>
            <w:r w:rsidRPr="00FC1E85">
              <w:rPr>
                <w:rFonts w:cstheme="minorHAnsi"/>
                <w:sz w:val="20"/>
              </w:rPr>
              <w:t>Forvaltningskapital offentlige pensjonskasser</w:t>
            </w:r>
          </w:p>
        </w:tc>
        <w:tc>
          <w:tcPr>
            <w:tcW w:w="4252" w:type="dxa"/>
          </w:tcPr>
          <w:p w14:paraId="08099492" w14:textId="77777777" w:rsidR="001E7181" w:rsidRPr="00FC1E85" w:rsidRDefault="001E7181" w:rsidP="00B37E54">
            <w:pPr>
              <w:pStyle w:val="Ingenmellomrom"/>
              <w:rPr>
                <w:sz w:val="20"/>
              </w:rPr>
            </w:pPr>
            <w:r w:rsidRPr="00FC1E85">
              <w:rPr>
                <w:rFonts w:cstheme="minorHAnsi"/>
                <w:sz w:val="20"/>
              </w:rPr>
              <w:t>151 000 000</w:t>
            </w:r>
          </w:p>
        </w:tc>
      </w:tr>
    </w:tbl>
    <w:p w14:paraId="65D9387A" w14:textId="77777777" w:rsidR="001E7181" w:rsidRDefault="001E7181" w:rsidP="001E7181">
      <w:pPr>
        <w:pStyle w:val="Ingenmellomrom"/>
      </w:pPr>
    </w:p>
    <w:p w14:paraId="59589462" w14:textId="77777777" w:rsidR="001E7181" w:rsidRPr="00357340" w:rsidRDefault="001E7181" w:rsidP="001E7181">
      <w:pPr>
        <w:rPr>
          <w:sz w:val="20"/>
        </w:rPr>
      </w:pPr>
      <w:r w:rsidRPr="00357340">
        <w:rPr>
          <w:sz w:val="20"/>
        </w:rPr>
        <w:t>Beløp oppgitt i 1000 kr, per utgang 2017</w:t>
      </w:r>
      <w:r>
        <w:rPr>
          <w:sz w:val="20"/>
        </w:rPr>
        <w:t>.</w:t>
      </w:r>
    </w:p>
    <w:p w14:paraId="36415B4E" w14:textId="77777777" w:rsidR="001E7181" w:rsidRPr="00874D86" w:rsidRDefault="001E7181" w:rsidP="00746A4D">
      <w:pPr>
        <w:pStyle w:val="Overskrift3"/>
      </w:pPr>
      <w:r w:rsidRPr="00874D86">
        <w:t xml:space="preserve">Kommunal </w:t>
      </w:r>
      <w:r w:rsidRPr="00746A4D">
        <w:t>kollektiv</w:t>
      </w:r>
      <w:r w:rsidRPr="00874D86">
        <w:t xml:space="preserve"> pensjon</w:t>
      </w:r>
    </w:p>
    <w:p w14:paraId="045881CD" w14:textId="77777777" w:rsidR="001E7181" w:rsidRPr="00874D86" w:rsidRDefault="001E7181" w:rsidP="001E7181">
      <w:pPr>
        <w:rPr>
          <w:rFonts w:cstheme="minorHAnsi"/>
          <w:i/>
        </w:rPr>
      </w:pPr>
      <w:r w:rsidRPr="00874D86">
        <w:rPr>
          <w:rFonts w:cstheme="minorHAnsi"/>
          <w:i/>
        </w:rPr>
        <w:t>Tall er fra Finans Norge. Inkluderer KLP, OPF og Storebrand, ikke pensjonskasser.</w:t>
      </w:r>
    </w:p>
    <w:p w14:paraId="52784D5E" w14:textId="77777777" w:rsidR="001E7181" w:rsidRDefault="001E7181" w:rsidP="001E7181">
      <w:pPr>
        <w:rPr>
          <w:rFonts w:cstheme="minorHAnsi"/>
        </w:rPr>
      </w:pPr>
      <w:r w:rsidRPr="00874D86">
        <w:rPr>
          <w:rFonts w:cstheme="minorHAnsi"/>
          <w:b/>
          <w:iCs/>
        </w:rPr>
        <w:t>Antall</w:t>
      </w:r>
      <w:r w:rsidRPr="004D5A81">
        <w:rPr>
          <w:rFonts w:cstheme="minorHAnsi"/>
          <w:u w:val="single"/>
        </w:rPr>
        <w:br/>
      </w:r>
      <w:r w:rsidRPr="004D5A81">
        <w:rPr>
          <w:rFonts w:cstheme="minorHAnsi"/>
        </w:rPr>
        <w:t>Ved utgangen av 2018 var det 2</w:t>
      </w:r>
      <w:r>
        <w:rPr>
          <w:rFonts w:cstheme="minorHAnsi"/>
        </w:rPr>
        <w:t xml:space="preserve"> </w:t>
      </w:r>
      <w:r w:rsidRPr="004D5A81">
        <w:rPr>
          <w:rFonts w:cstheme="minorHAnsi"/>
        </w:rPr>
        <w:t xml:space="preserve">578 kommunale kollektive ordninger. Ordningene omfatter 501 000 hovedforsikrede. Antallet med oppsatte rettigheter i en kommunal </w:t>
      </w:r>
      <w:r w:rsidRPr="004D5A81">
        <w:rPr>
          <w:rFonts w:cstheme="minorHAnsi"/>
        </w:rPr>
        <w:lastRenderedPageBreak/>
        <w:t>tjenestepensjonsordning er nå på ca. 278 000 personer. Ved utgangen av 2018 var det 335 000 pensjoner under utbetaling fra kommun</w:t>
      </w:r>
      <w:r>
        <w:rPr>
          <w:rFonts w:cstheme="minorHAnsi"/>
        </w:rPr>
        <w:t>ale tjenestepensjonsordninger.</w:t>
      </w:r>
    </w:p>
    <w:tbl>
      <w:tblPr>
        <w:tblStyle w:val="Listetabell1lys-uthevingsfarge6"/>
        <w:tblW w:w="0" w:type="auto"/>
        <w:tblCellMar>
          <w:left w:w="0" w:type="dxa"/>
        </w:tblCellMar>
        <w:tblLook w:val="0420" w:firstRow="1" w:lastRow="0" w:firstColumn="0" w:lastColumn="0" w:noHBand="0" w:noVBand="1"/>
      </w:tblPr>
      <w:tblGrid>
        <w:gridCol w:w="4820"/>
        <w:gridCol w:w="1559"/>
      </w:tblGrid>
      <w:tr w:rsidR="001E7181" w14:paraId="3263FC50" w14:textId="77777777" w:rsidTr="00B37E54">
        <w:trPr>
          <w:cnfStyle w:val="100000000000" w:firstRow="1" w:lastRow="0" w:firstColumn="0" w:lastColumn="0" w:oddVBand="0" w:evenVBand="0" w:oddHBand="0" w:evenHBand="0" w:firstRowFirstColumn="0" w:firstRowLastColumn="0" w:lastRowFirstColumn="0" w:lastRowLastColumn="0"/>
        </w:trPr>
        <w:tc>
          <w:tcPr>
            <w:tcW w:w="4820" w:type="dxa"/>
          </w:tcPr>
          <w:p w14:paraId="6C3CFC51" w14:textId="77777777" w:rsidR="001E7181" w:rsidRDefault="001E7181" w:rsidP="00B37E54">
            <w:pPr>
              <w:pStyle w:val="Ingenmellomrom"/>
            </w:pPr>
            <w:r>
              <w:t>Forvaltning</w:t>
            </w:r>
          </w:p>
        </w:tc>
        <w:tc>
          <w:tcPr>
            <w:tcW w:w="1559" w:type="dxa"/>
          </w:tcPr>
          <w:p w14:paraId="7AA8A236" w14:textId="77777777" w:rsidR="001E7181" w:rsidRDefault="001E7181" w:rsidP="00B37E54">
            <w:pPr>
              <w:pStyle w:val="Ingenmellomrom"/>
            </w:pPr>
            <w:r>
              <w:t>Beløp</w:t>
            </w:r>
          </w:p>
        </w:tc>
      </w:tr>
      <w:tr w:rsidR="001E7181" w:rsidRPr="000A6BC6" w14:paraId="4B254AFB" w14:textId="77777777" w:rsidTr="00B37E54">
        <w:trPr>
          <w:cnfStyle w:val="000000100000" w:firstRow="0" w:lastRow="0" w:firstColumn="0" w:lastColumn="0" w:oddVBand="0" w:evenVBand="0" w:oddHBand="1" w:evenHBand="0" w:firstRowFirstColumn="0" w:firstRowLastColumn="0" w:lastRowFirstColumn="0" w:lastRowLastColumn="0"/>
          <w:trHeight w:val="227"/>
        </w:trPr>
        <w:tc>
          <w:tcPr>
            <w:tcW w:w="4820" w:type="dxa"/>
          </w:tcPr>
          <w:p w14:paraId="40D344EE" w14:textId="77777777" w:rsidR="001E7181" w:rsidRPr="000A6BC6" w:rsidRDefault="001E7181" w:rsidP="00B37E54">
            <w:pPr>
              <w:pStyle w:val="Ingenmellomrom"/>
              <w:rPr>
                <w:sz w:val="20"/>
              </w:rPr>
            </w:pPr>
            <w:r w:rsidRPr="000A6BC6">
              <w:rPr>
                <w:sz w:val="20"/>
              </w:rPr>
              <w:t>Brutto premie</w:t>
            </w:r>
          </w:p>
        </w:tc>
        <w:tc>
          <w:tcPr>
            <w:tcW w:w="1559" w:type="dxa"/>
          </w:tcPr>
          <w:p w14:paraId="04083D53" w14:textId="77777777" w:rsidR="001E7181" w:rsidRPr="000A6BC6" w:rsidRDefault="001E7181" w:rsidP="00B37E54">
            <w:pPr>
              <w:pStyle w:val="Ingenmellomrom"/>
              <w:rPr>
                <w:sz w:val="20"/>
              </w:rPr>
            </w:pPr>
            <w:r w:rsidRPr="000A6BC6">
              <w:rPr>
                <w:sz w:val="20"/>
              </w:rPr>
              <w:t>44 000 000</w:t>
            </w:r>
          </w:p>
        </w:tc>
      </w:tr>
      <w:tr w:rsidR="001E7181" w:rsidRPr="000A6BC6" w14:paraId="5DE99E5B" w14:textId="77777777" w:rsidTr="00B37E54">
        <w:trPr>
          <w:trHeight w:val="227"/>
        </w:trPr>
        <w:tc>
          <w:tcPr>
            <w:tcW w:w="4820" w:type="dxa"/>
          </w:tcPr>
          <w:p w14:paraId="70BA5101" w14:textId="77777777" w:rsidR="001E7181" w:rsidRPr="000A6BC6" w:rsidRDefault="001E7181" w:rsidP="00B37E54">
            <w:pPr>
              <w:pStyle w:val="Ingenmellomrom"/>
              <w:rPr>
                <w:sz w:val="20"/>
              </w:rPr>
            </w:pPr>
            <w:r w:rsidRPr="000A6BC6">
              <w:rPr>
                <w:rFonts w:cstheme="minorHAnsi"/>
                <w:sz w:val="20"/>
              </w:rPr>
              <w:t>Forsikringsforpliktelser</w:t>
            </w:r>
          </w:p>
        </w:tc>
        <w:tc>
          <w:tcPr>
            <w:tcW w:w="1559" w:type="dxa"/>
          </w:tcPr>
          <w:p w14:paraId="36C27AB1" w14:textId="77777777" w:rsidR="001E7181" w:rsidRPr="000A6BC6" w:rsidRDefault="001E7181" w:rsidP="00B37E54">
            <w:pPr>
              <w:pStyle w:val="Ingenmellomrom"/>
              <w:rPr>
                <w:sz w:val="20"/>
              </w:rPr>
            </w:pPr>
            <w:r w:rsidRPr="000A6BC6">
              <w:rPr>
                <w:rFonts w:cstheme="minorHAnsi"/>
                <w:sz w:val="20"/>
              </w:rPr>
              <w:t>552 000 000</w:t>
            </w:r>
          </w:p>
        </w:tc>
      </w:tr>
      <w:tr w:rsidR="001E7181" w:rsidRPr="000A6BC6" w14:paraId="5BE320C6" w14:textId="77777777" w:rsidTr="00B37E54">
        <w:trPr>
          <w:cnfStyle w:val="000000100000" w:firstRow="0" w:lastRow="0" w:firstColumn="0" w:lastColumn="0" w:oddVBand="0" w:evenVBand="0" w:oddHBand="1" w:evenHBand="0" w:firstRowFirstColumn="0" w:firstRowLastColumn="0" w:lastRowFirstColumn="0" w:lastRowLastColumn="0"/>
          <w:trHeight w:val="227"/>
        </w:trPr>
        <w:tc>
          <w:tcPr>
            <w:tcW w:w="4820" w:type="dxa"/>
          </w:tcPr>
          <w:p w14:paraId="666D02E4" w14:textId="77777777" w:rsidR="001E7181" w:rsidRPr="000A6BC6" w:rsidRDefault="001E7181" w:rsidP="00B37E54">
            <w:pPr>
              <w:pStyle w:val="Ingenmellomrom"/>
              <w:rPr>
                <w:rFonts w:cstheme="minorHAnsi"/>
                <w:sz w:val="20"/>
              </w:rPr>
            </w:pPr>
            <w:r w:rsidRPr="000A6BC6">
              <w:rPr>
                <w:rFonts w:cstheme="minorHAnsi"/>
                <w:sz w:val="20"/>
              </w:rPr>
              <w:t>Pensjonsutbetalinger (Alder, AFP og etterlatte)</w:t>
            </w:r>
          </w:p>
        </w:tc>
        <w:tc>
          <w:tcPr>
            <w:tcW w:w="1559" w:type="dxa"/>
          </w:tcPr>
          <w:p w14:paraId="7F14CC00" w14:textId="77777777" w:rsidR="001E7181" w:rsidRPr="000A6BC6" w:rsidRDefault="001E7181" w:rsidP="00B37E54">
            <w:pPr>
              <w:pStyle w:val="Ingenmellomrom"/>
              <w:rPr>
                <w:rFonts w:cstheme="minorHAnsi"/>
                <w:sz w:val="20"/>
              </w:rPr>
            </w:pPr>
            <w:r w:rsidRPr="000A6BC6">
              <w:rPr>
                <w:rFonts w:cstheme="minorHAnsi"/>
                <w:sz w:val="20"/>
              </w:rPr>
              <w:t>16 203 000</w:t>
            </w:r>
          </w:p>
        </w:tc>
      </w:tr>
      <w:tr w:rsidR="001E7181" w:rsidRPr="000A6BC6" w14:paraId="07B084FD" w14:textId="77777777" w:rsidTr="00B37E54">
        <w:trPr>
          <w:trHeight w:val="227"/>
        </w:trPr>
        <w:tc>
          <w:tcPr>
            <w:tcW w:w="4820" w:type="dxa"/>
          </w:tcPr>
          <w:p w14:paraId="336D20AD" w14:textId="77777777" w:rsidR="001E7181" w:rsidRPr="000A6BC6" w:rsidRDefault="001E7181" w:rsidP="00B37E54">
            <w:pPr>
              <w:pStyle w:val="Ingenmellomrom"/>
              <w:rPr>
                <w:rFonts w:cstheme="minorHAnsi"/>
                <w:sz w:val="20"/>
              </w:rPr>
            </w:pPr>
            <w:r w:rsidRPr="000A6BC6">
              <w:rPr>
                <w:rFonts w:cstheme="minorHAnsi"/>
                <w:sz w:val="20"/>
              </w:rPr>
              <w:t>Pensjonsutbetalinger (Uførepensjon)</w:t>
            </w:r>
          </w:p>
        </w:tc>
        <w:tc>
          <w:tcPr>
            <w:tcW w:w="1559" w:type="dxa"/>
          </w:tcPr>
          <w:p w14:paraId="7C8B5107" w14:textId="77777777" w:rsidR="001E7181" w:rsidRPr="000A6BC6" w:rsidRDefault="001E7181" w:rsidP="00B37E54">
            <w:pPr>
              <w:pStyle w:val="Ingenmellomrom"/>
              <w:rPr>
                <w:rFonts w:cstheme="minorHAnsi"/>
                <w:sz w:val="20"/>
              </w:rPr>
            </w:pPr>
            <w:r w:rsidRPr="000A6BC6">
              <w:rPr>
                <w:rFonts w:cstheme="minorHAnsi"/>
                <w:sz w:val="20"/>
              </w:rPr>
              <w:t>4 840 000</w:t>
            </w:r>
          </w:p>
        </w:tc>
      </w:tr>
    </w:tbl>
    <w:p w14:paraId="19EA92BD" w14:textId="77777777" w:rsidR="001E7181" w:rsidRDefault="001E7181" w:rsidP="001E7181">
      <w:pPr>
        <w:pStyle w:val="Ingenmellomrom"/>
      </w:pPr>
    </w:p>
    <w:p w14:paraId="570C124F" w14:textId="77777777" w:rsidR="001E7181" w:rsidRPr="00357340" w:rsidRDefault="001E7181" w:rsidP="001E7181">
      <w:pPr>
        <w:rPr>
          <w:sz w:val="20"/>
        </w:rPr>
      </w:pPr>
      <w:r w:rsidRPr="00357340">
        <w:rPr>
          <w:sz w:val="20"/>
        </w:rPr>
        <w:t>Beløp oppgitt i 1000 kr, per utgang 2018.</w:t>
      </w:r>
    </w:p>
    <w:p w14:paraId="05273CA4" w14:textId="77777777" w:rsidR="001E7181" w:rsidRPr="008F30D7" w:rsidRDefault="001E7181" w:rsidP="004D177D">
      <w:pPr>
        <w:pStyle w:val="Overskrift1"/>
      </w:pPr>
      <w:r w:rsidRPr="008F30D7">
        <w:t xml:space="preserve">Statens </w:t>
      </w:r>
      <w:r w:rsidRPr="004D177D">
        <w:t>pensjonskasse</w:t>
      </w:r>
    </w:p>
    <w:p w14:paraId="4D4E0E2F" w14:textId="77777777" w:rsidR="001E7181" w:rsidRPr="008F30D7" w:rsidRDefault="001E7181" w:rsidP="001E7181">
      <w:pPr>
        <w:rPr>
          <w:i/>
        </w:rPr>
      </w:pPr>
      <w:r w:rsidRPr="008F30D7">
        <w:rPr>
          <w:i/>
        </w:rPr>
        <w:t>Tall er hentet fra SPKs årsrapport for 2018.</w:t>
      </w:r>
    </w:p>
    <w:p w14:paraId="4682FA2A" w14:textId="77777777" w:rsidR="001E7181" w:rsidRPr="008F30D7" w:rsidRDefault="001E7181" w:rsidP="001E7181">
      <w:pPr>
        <w:rPr>
          <w:rFonts w:cstheme="minorHAnsi"/>
          <w:b/>
          <w:iCs/>
        </w:rPr>
      </w:pPr>
      <w:r w:rsidRPr="008F30D7">
        <w:rPr>
          <w:rFonts w:cstheme="minorHAnsi"/>
          <w:b/>
          <w:iCs/>
        </w:rPr>
        <w:t>Antall</w:t>
      </w:r>
      <w:r w:rsidRPr="004D5A81">
        <w:rPr>
          <w:rFonts w:cstheme="minorHAnsi"/>
          <w:u w:val="single"/>
        </w:rPr>
        <w:br/>
      </w:r>
      <w:r w:rsidRPr="004D5A81">
        <w:rPr>
          <w:rFonts w:cstheme="minorHAnsi"/>
        </w:rPr>
        <w:t>Ved utgangen av 2018 var det 1</w:t>
      </w:r>
      <w:r>
        <w:rPr>
          <w:rFonts w:cstheme="minorHAnsi"/>
        </w:rPr>
        <w:t xml:space="preserve"> </w:t>
      </w:r>
      <w:r w:rsidRPr="004D5A81">
        <w:rPr>
          <w:rFonts w:cstheme="minorHAnsi"/>
        </w:rPr>
        <w:t>415 statlige virksomheter med pensjonsordning. Ordningene omfatter ca. 304</w:t>
      </w:r>
      <w:r>
        <w:rPr>
          <w:rFonts w:cstheme="minorHAnsi"/>
        </w:rPr>
        <w:t xml:space="preserve"> </w:t>
      </w:r>
      <w:r w:rsidRPr="004D5A81">
        <w:rPr>
          <w:rFonts w:cstheme="minorHAnsi"/>
        </w:rPr>
        <w:t>000 yrkesaktive medlemmer. Antallet med oppsatte rettigheter i er på ca. 479</w:t>
      </w:r>
      <w:r>
        <w:rPr>
          <w:rFonts w:cstheme="minorHAnsi"/>
        </w:rPr>
        <w:t xml:space="preserve"> </w:t>
      </w:r>
      <w:r w:rsidRPr="004D5A81">
        <w:rPr>
          <w:rFonts w:cstheme="minorHAnsi"/>
        </w:rPr>
        <w:t>000 personer. Ved utgangen av 2018 var det 305</w:t>
      </w:r>
      <w:r>
        <w:rPr>
          <w:rFonts w:cstheme="minorHAnsi"/>
        </w:rPr>
        <w:t xml:space="preserve"> </w:t>
      </w:r>
      <w:r w:rsidRPr="004D5A81">
        <w:rPr>
          <w:rFonts w:cstheme="minorHAnsi"/>
        </w:rPr>
        <w:t>700 pensjoner under utbetali</w:t>
      </w:r>
      <w:r>
        <w:rPr>
          <w:rFonts w:cstheme="minorHAnsi"/>
        </w:rPr>
        <w:t>ng (inneholder delvis aktive).</w:t>
      </w:r>
    </w:p>
    <w:tbl>
      <w:tblPr>
        <w:tblStyle w:val="Listetabell1lys-uthevingsfarge6"/>
        <w:tblW w:w="0" w:type="auto"/>
        <w:tblCellMar>
          <w:left w:w="0" w:type="dxa"/>
        </w:tblCellMar>
        <w:tblLook w:val="0420" w:firstRow="1" w:lastRow="0" w:firstColumn="0" w:lastColumn="0" w:noHBand="0" w:noVBand="1"/>
      </w:tblPr>
      <w:tblGrid>
        <w:gridCol w:w="4820"/>
        <w:gridCol w:w="1559"/>
      </w:tblGrid>
      <w:tr w:rsidR="001E7181" w14:paraId="30A5D025" w14:textId="77777777" w:rsidTr="00B37E54">
        <w:trPr>
          <w:cnfStyle w:val="100000000000" w:firstRow="1" w:lastRow="0" w:firstColumn="0" w:lastColumn="0" w:oddVBand="0" w:evenVBand="0" w:oddHBand="0" w:evenHBand="0" w:firstRowFirstColumn="0" w:firstRowLastColumn="0" w:lastRowFirstColumn="0" w:lastRowLastColumn="0"/>
        </w:trPr>
        <w:tc>
          <w:tcPr>
            <w:tcW w:w="4820" w:type="dxa"/>
          </w:tcPr>
          <w:p w14:paraId="29C3F5F9" w14:textId="77777777" w:rsidR="001E7181" w:rsidRDefault="001E7181" w:rsidP="00B37E54">
            <w:pPr>
              <w:pStyle w:val="Ingenmellomrom"/>
            </w:pPr>
            <w:r>
              <w:t>Forvaltning</w:t>
            </w:r>
          </w:p>
        </w:tc>
        <w:tc>
          <w:tcPr>
            <w:tcW w:w="1559" w:type="dxa"/>
          </w:tcPr>
          <w:p w14:paraId="5DC02DB1" w14:textId="77777777" w:rsidR="001E7181" w:rsidRDefault="001E7181" w:rsidP="00B37E54">
            <w:pPr>
              <w:pStyle w:val="Ingenmellomrom"/>
            </w:pPr>
            <w:r>
              <w:t>Beløp</w:t>
            </w:r>
          </w:p>
        </w:tc>
      </w:tr>
      <w:tr w:rsidR="001E7181" w:rsidRPr="000A6BC6" w14:paraId="7F3E278D" w14:textId="77777777" w:rsidTr="00B37E54">
        <w:trPr>
          <w:cnfStyle w:val="000000100000" w:firstRow="0" w:lastRow="0" w:firstColumn="0" w:lastColumn="0" w:oddVBand="0" w:evenVBand="0" w:oddHBand="1" w:evenHBand="0" w:firstRowFirstColumn="0" w:firstRowLastColumn="0" w:lastRowFirstColumn="0" w:lastRowLastColumn="0"/>
          <w:trHeight w:val="227"/>
        </w:trPr>
        <w:tc>
          <w:tcPr>
            <w:tcW w:w="4820" w:type="dxa"/>
          </w:tcPr>
          <w:p w14:paraId="642EE40C" w14:textId="77777777" w:rsidR="001E7181" w:rsidRPr="000A6BC6" w:rsidRDefault="001E7181" w:rsidP="00B37E54">
            <w:pPr>
              <w:pStyle w:val="Ingenmellomrom"/>
              <w:rPr>
                <w:sz w:val="20"/>
              </w:rPr>
            </w:pPr>
            <w:r w:rsidRPr="000A6BC6">
              <w:rPr>
                <w:rFonts w:cstheme="minorHAnsi"/>
                <w:sz w:val="20"/>
              </w:rPr>
              <w:t>Brutto premie</w:t>
            </w:r>
          </w:p>
        </w:tc>
        <w:tc>
          <w:tcPr>
            <w:tcW w:w="1559" w:type="dxa"/>
          </w:tcPr>
          <w:p w14:paraId="75EF7A92" w14:textId="77777777" w:rsidR="001E7181" w:rsidRPr="000A6BC6" w:rsidRDefault="001E7181" w:rsidP="00B37E54">
            <w:pPr>
              <w:pStyle w:val="Ingenmellomrom"/>
              <w:rPr>
                <w:sz w:val="20"/>
              </w:rPr>
            </w:pPr>
            <w:r w:rsidRPr="000A6BC6">
              <w:rPr>
                <w:rFonts w:cstheme="minorHAnsi"/>
                <w:sz w:val="20"/>
              </w:rPr>
              <w:t>23 300 000</w:t>
            </w:r>
          </w:p>
        </w:tc>
      </w:tr>
      <w:tr w:rsidR="001E7181" w:rsidRPr="000A6BC6" w14:paraId="7A4F15F0" w14:textId="77777777" w:rsidTr="00B37E54">
        <w:trPr>
          <w:trHeight w:val="227"/>
        </w:trPr>
        <w:tc>
          <w:tcPr>
            <w:tcW w:w="4820" w:type="dxa"/>
          </w:tcPr>
          <w:p w14:paraId="0E803773" w14:textId="77777777" w:rsidR="001E7181" w:rsidRPr="000A6BC6" w:rsidRDefault="001E7181" w:rsidP="00B37E54">
            <w:pPr>
              <w:pStyle w:val="Ingenmellomrom"/>
              <w:rPr>
                <w:sz w:val="20"/>
              </w:rPr>
            </w:pPr>
            <w:r w:rsidRPr="000A6BC6">
              <w:rPr>
                <w:rFonts w:cstheme="minorHAnsi"/>
                <w:sz w:val="20"/>
              </w:rPr>
              <w:t>Forsikringsforpliktelser</w:t>
            </w:r>
          </w:p>
        </w:tc>
        <w:tc>
          <w:tcPr>
            <w:tcW w:w="1559" w:type="dxa"/>
          </w:tcPr>
          <w:p w14:paraId="67DBE78E" w14:textId="77777777" w:rsidR="001E7181" w:rsidRPr="000A6BC6" w:rsidRDefault="001E7181" w:rsidP="00B37E54">
            <w:pPr>
              <w:pStyle w:val="Ingenmellomrom"/>
              <w:rPr>
                <w:sz w:val="20"/>
              </w:rPr>
            </w:pPr>
            <w:r w:rsidRPr="000A6BC6">
              <w:rPr>
                <w:rFonts w:cstheme="minorHAnsi"/>
                <w:sz w:val="20"/>
              </w:rPr>
              <w:t>551 000 000</w:t>
            </w:r>
          </w:p>
        </w:tc>
      </w:tr>
      <w:tr w:rsidR="001E7181" w:rsidRPr="000A6BC6" w14:paraId="78234B59" w14:textId="77777777" w:rsidTr="00B37E54">
        <w:trPr>
          <w:cnfStyle w:val="000000100000" w:firstRow="0" w:lastRow="0" w:firstColumn="0" w:lastColumn="0" w:oddVBand="0" w:evenVBand="0" w:oddHBand="1" w:evenHBand="0" w:firstRowFirstColumn="0" w:firstRowLastColumn="0" w:lastRowFirstColumn="0" w:lastRowLastColumn="0"/>
          <w:trHeight w:val="227"/>
        </w:trPr>
        <w:tc>
          <w:tcPr>
            <w:tcW w:w="4820" w:type="dxa"/>
          </w:tcPr>
          <w:p w14:paraId="470992D8" w14:textId="77777777" w:rsidR="001E7181" w:rsidRPr="000A6BC6" w:rsidRDefault="001E7181" w:rsidP="00B37E54">
            <w:pPr>
              <w:pStyle w:val="Ingenmellomrom"/>
              <w:rPr>
                <w:rFonts w:cstheme="minorHAnsi"/>
                <w:sz w:val="20"/>
              </w:rPr>
            </w:pPr>
            <w:r w:rsidRPr="000A6BC6">
              <w:rPr>
                <w:rFonts w:cstheme="minorHAnsi"/>
                <w:sz w:val="20"/>
              </w:rPr>
              <w:t>Pensjonsutbetalinger</w:t>
            </w:r>
          </w:p>
        </w:tc>
        <w:tc>
          <w:tcPr>
            <w:tcW w:w="1559" w:type="dxa"/>
          </w:tcPr>
          <w:p w14:paraId="55534FA5" w14:textId="77777777" w:rsidR="001E7181" w:rsidRPr="000A6BC6" w:rsidRDefault="001E7181" w:rsidP="00B37E54">
            <w:pPr>
              <w:pStyle w:val="Ingenmellomrom"/>
              <w:rPr>
                <w:rFonts w:cstheme="minorHAnsi"/>
                <w:sz w:val="20"/>
              </w:rPr>
            </w:pPr>
            <w:r w:rsidRPr="000A6BC6">
              <w:rPr>
                <w:rFonts w:cstheme="minorHAnsi"/>
                <w:sz w:val="20"/>
              </w:rPr>
              <w:t>27 900 000</w:t>
            </w:r>
          </w:p>
        </w:tc>
      </w:tr>
    </w:tbl>
    <w:p w14:paraId="7D0E9070" w14:textId="77777777" w:rsidR="001E7181" w:rsidRDefault="001E7181" w:rsidP="001E7181">
      <w:pPr>
        <w:pStyle w:val="Ingenmellomrom"/>
      </w:pPr>
    </w:p>
    <w:p w14:paraId="32C80350" w14:textId="77777777" w:rsidR="001E7181" w:rsidRPr="00357340" w:rsidRDefault="001E7181" w:rsidP="001E7181">
      <w:pPr>
        <w:rPr>
          <w:sz w:val="20"/>
        </w:rPr>
      </w:pPr>
      <w:r w:rsidRPr="00357340">
        <w:rPr>
          <w:sz w:val="20"/>
        </w:rPr>
        <w:t>Beløp oppgitt i 1000 kr, per utgang 2018.</w:t>
      </w:r>
    </w:p>
    <w:p w14:paraId="3E33D9D2" w14:textId="77777777" w:rsidR="00CE2845" w:rsidRDefault="00CE2845"/>
    <w:sectPr w:rsidR="00CE28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22001"/>
    <w:multiLevelType w:val="multilevel"/>
    <w:tmpl w:val="F97CC654"/>
    <w:lvl w:ilvl="0">
      <w:start w:val="1"/>
      <w:numFmt w:val="decimal"/>
      <w:pStyle w:val="Overskrift1"/>
      <w:lvlText w:val="%1"/>
      <w:lvlJc w:val="left"/>
      <w:pPr>
        <w:ind w:left="432" w:hanging="432"/>
      </w:pPr>
      <w:rPr>
        <w:b/>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 w15:restartNumberingAfterBreak="0">
    <w:nsid w:val="191E413F"/>
    <w:multiLevelType w:val="hybridMultilevel"/>
    <w:tmpl w:val="BE02FB60"/>
    <w:lvl w:ilvl="0" w:tplc="6B9A6A44">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4841856"/>
    <w:multiLevelType w:val="hybridMultilevel"/>
    <w:tmpl w:val="94308F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BD51FB3"/>
    <w:multiLevelType w:val="hybridMultilevel"/>
    <w:tmpl w:val="BC6888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5627BD2"/>
    <w:multiLevelType w:val="hybridMultilevel"/>
    <w:tmpl w:val="14D22F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87B3CA1"/>
    <w:multiLevelType w:val="hybridMultilevel"/>
    <w:tmpl w:val="7DB895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181"/>
    <w:rsid w:val="001600FB"/>
    <w:rsid w:val="001E7181"/>
    <w:rsid w:val="0043386D"/>
    <w:rsid w:val="004D177D"/>
    <w:rsid w:val="00533AE1"/>
    <w:rsid w:val="00746A4D"/>
    <w:rsid w:val="00CE2845"/>
    <w:rsid w:val="00ED075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53367"/>
  <w15:chartTrackingRefBased/>
  <w15:docId w15:val="{B8E78026-A1F4-41DF-8400-72A40E1F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81"/>
    <w:pPr>
      <w:spacing w:after="240" w:line="240" w:lineRule="auto"/>
    </w:pPr>
    <w:rPr>
      <w:rFonts w:ascii="Arial" w:eastAsia="Times New Roman" w:hAnsi="Arial" w:cs="Arial"/>
      <w:szCs w:val="20"/>
      <w:lang w:eastAsia="nb-NO"/>
    </w:rPr>
  </w:style>
  <w:style w:type="paragraph" w:styleId="Overskrift1">
    <w:name w:val="heading 1"/>
    <w:basedOn w:val="Normal"/>
    <w:next w:val="Normal"/>
    <w:link w:val="Overskrift1Tegn"/>
    <w:qFormat/>
    <w:rsid w:val="004D177D"/>
    <w:pPr>
      <w:keepNext/>
      <w:keepLines/>
      <w:spacing w:line="300" w:lineRule="atLeast"/>
      <w:outlineLvl w:val="0"/>
    </w:pPr>
    <w:rPr>
      <w:rFonts w:eastAsiaTheme="majorEastAsia" w:cstheme="majorBidi"/>
      <w:b/>
      <w:bCs/>
      <w:sz w:val="24"/>
      <w:szCs w:val="28"/>
    </w:rPr>
  </w:style>
  <w:style w:type="paragraph" w:styleId="Overskrift2">
    <w:name w:val="heading 2"/>
    <w:basedOn w:val="Normal"/>
    <w:next w:val="Normal"/>
    <w:link w:val="Overskrift2Tegn"/>
    <w:unhideWhenUsed/>
    <w:qFormat/>
    <w:rsid w:val="00ED0756"/>
    <w:pPr>
      <w:keepNext/>
      <w:keepLines/>
      <w:spacing w:before="240" w:after="60" w:line="300" w:lineRule="atLeast"/>
      <w:outlineLvl w:val="1"/>
    </w:pPr>
    <w:rPr>
      <w:rFonts w:eastAsiaTheme="majorEastAsia" w:cstheme="majorBidi"/>
      <w:b/>
      <w:bCs/>
      <w:szCs w:val="26"/>
    </w:rPr>
  </w:style>
  <w:style w:type="paragraph" w:styleId="Overskrift3">
    <w:name w:val="heading 3"/>
    <w:basedOn w:val="Normal"/>
    <w:next w:val="Normal"/>
    <w:link w:val="Overskrift3Tegn"/>
    <w:unhideWhenUsed/>
    <w:qFormat/>
    <w:rsid w:val="00ED0756"/>
    <w:pPr>
      <w:keepNext/>
      <w:keepLines/>
      <w:spacing w:before="240" w:after="60" w:line="300" w:lineRule="atLeast"/>
      <w:outlineLvl w:val="2"/>
    </w:pPr>
    <w:rPr>
      <w:rFonts w:eastAsiaTheme="majorEastAsia" w:cstheme="majorBidi"/>
      <w:bCs/>
      <w:i/>
    </w:rPr>
  </w:style>
  <w:style w:type="paragraph" w:styleId="Overskrift4">
    <w:name w:val="heading 4"/>
    <w:basedOn w:val="Overskrift3"/>
    <w:next w:val="Normal"/>
    <w:link w:val="Overskrift4Tegn"/>
    <w:qFormat/>
    <w:rsid w:val="001E7181"/>
    <w:pPr>
      <w:keepLines w:val="0"/>
      <w:tabs>
        <w:tab w:val="left" w:pos="1134"/>
        <w:tab w:val="left" w:pos="1418"/>
        <w:tab w:val="left" w:pos="1701"/>
      </w:tabs>
      <w:spacing w:before="120" w:after="120" w:line="240" w:lineRule="auto"/>
      <w:ind w:left="864" w:hanging="864"/>
      <w:outlineLvl w:val="3"/>
    </w:pPr>
    <w:rPr>
      <w:rFonts w:eastAsia="Times New Roman" w:cs="Arial"/>
      <w:b/>
      <w:bCs w:val="0"/>
      <w:i w:val="0"/>
      <w:iCs/>
      <w:kern w:val="32"/>
      <w:szCs w:val="28"/>
    </w:rPr>
  </w:style>
  <w:style w:type="paragraph" w:styleId="Overskrift5">
    <w:name w:val="heading 5"/>
    <w:basedOn w:val="Overskrift4"/>
    <w:next w:val="Normal"/>
    <w:link w:val="Overskrift5Tegn"/>
    <w:qFormat/>
    <w:rsid w:val="001E7181"/>
    <w:pPr>
      <w:tabs>
        <w:tab w:val="clear" w:pos="1134"/>
        <w:tab w:val="num" w:pos="567"/>
      </w:tabs>
      <w:ind w:left="1008" w:hanging="1008"/>
      <w:outlineLvl w:val="4"/>
    </w:pPr>
    <w:rPr>
      <w:bCs/>
      <w:iCs w:val="0"/>
      <w:szCs w:val="26"/>
    </w:rPr>
  </w:style>
  <w:style w:type="paragraph" w:styleId="Overskrift6">
    <w:name w:val="heading 6"/>
    <w:basedOn w:val="Overskrift5"/>
    <w:next w:val="Normal"/>
    <w:link w:val="Overskrift6Tegn"/>
    <w:qFormat/>
    <w:rsid w:val="001E7181"/>
    <w:pPr>
      <w:tabs>
        <w:tab w:val="clear" w:pos="567"/>
      </w:tabs>
      <w:ind w:left="1152" w:hanging="1152"/>
      <w:outlineLvl w:val="5"/>
    </w:pPr>
    <w:rPr>
      <w:bCs w:val="0"/>
      <w:szCs w:val="22"/>
    </w:rPr>
  </w:style>
  <w:style w:type="paragraph" w:styleId="Overskrift7">
    <w:name w:val="heading 7"/>
    <w:basedOn w:val="Overskrift6"/>
    <w:next w:val="Normal"/>
    <w:link w:val="Overskrift7Tegn"/>
    <w:qFormat/>
    <w:rsid w:val="001E7181"/>
    <w:pPr>
      <w:ind w:left="1296" w:hanging="1296"/>
      <w:outlineLvl w:val="6"/>
    </w:pPr>
    <w:rPr>
      <w:szCs w:val="24"/>
    </w:rPr>
  </w:style>
  <w:style w:type="paragraph" w:styleId="Overskrift8">
    <w:name w:val="heading 8"/>
    <w:basedOn w:val="Overskrift7"/>
    <w:next w:val="Normal"/>
    <w:link w:val="Overskrift8Tegn"/>
    <w:qFormat/>
    <w:rsid w:val="001E7181"/>
    <w:pPr>
      <w:tabs>
        <w:tab w:val="left" w:pos="851"/>
        <w:tab w:val="left" w:pos="1134"/>
        <w:tab w:val="left" w:pos="1985"/>
      </w:tabs>
      <w:ind w:left="1440" w:hanging="1440"/>
      <w:outlineLvl w:val="7"/>
    </w:pPr>
    <w:rPr>
      <w:iCs/>
    </w:rPr>
  </w:style>
  <w:style w:type="paragraph" w:styleId="Overskrift9">
    <w:name w:val="heading 9"/>
    <w:basedOn w:val="Normal"/>
    <w:next w:val="Normal"/>
    <w:link w:val="Overskrift9Tegn"/>
    <w:qFormat/>
    <w:rsid w:val="001E7181"/>
    <w:pPr>
      <w:tabs>
        <w:tab w:val="num" w:pos="567"/>
        <w:tab w:val="left" w:pos="851"/>
        <w:tab w:val="left" w:pos="1134"/>
        <w:tab w:val="left" w:pos="1418"/>
        <w:tab w:val="left" w:pos="1701"/>
        <w:tab w:val="left" w:pos="1985"/>
        <w:tab w:val="left" w:pos="2268"/>
        <w:tab w:val="left" w:pos="2552"/>
      </w:tabs>
      <w:spacing w:before="240"/>
      <w:ind w:left="1584" w:hanging="1584"/>
      <w:outlineLvl w:val="8"/>
    </w:pPr>
    <w:rPr>
      <w:b/>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ED0756"/>
    <w:rPr>
      <w:rFonts w:ascii="Arial" w:eastAsiaTheme="majorEastAsia" w:hAnsi="Arial" w:cstheme="majorBidi"/>
      <w:b/>
      <w:bCs/>
      <w:sz w:val="24"/>
      <w:szCs w:val="28"/>
      <w:lang w:eastAsia="nb-NO"/>
    </w:rPr>
  </w:style>
  <w:style w:type="character" w:customStyle="1" w:styleId="Overskrift2Tegn">
    <w:name w:val="Overskrift 2 Tegn"/>
    <w:basedOn w:val="Standardskriftforavsnitt"/>
    <w:link w:val="Overskrift2"/>
    <w:rsid w:val="00ED0756"/>
    <w:rPr>
      <w:rFonts w:ascii="Arial" w:eastAsiaTheme="majorEastAsia" w:hAnsi="Arial" w:cstheme="majorBidi"/>
      <w:b/>
      <w:bCs/>
      <w:sz w:val="20"/>
      <w:szCs w:val="26"/>
      <w:lang w:eastAsia="nb-NO"/>
    </w:rPr>
  </w:style>
  <w:style w:type="character" w:customStyle="1" w:styleId="Overskrift3Tegn">
    <w:name w:val="Overskrift 3 Tegn"/>
    <w:basedOn w:val="Standardskriftforavsnitt"/>
    <w:link w:val="Overskrift3"/>
    <w:rsid w:val="00ED0756"/>
    <w:rPr>
      <w:rFonts w:ascii="Arial" w:eastAsiaTheme="majorEastAsia" w:hAnsi="Arial" w:cstheme="majorBidi"/>
      <w:bCs/>
      <w:i/>
      <w:sz w:val="20"/>
      <w:szCs w:val="20"/>
      <w:lang w:eastAsia="nb-NO"/>
    </w:rPr>
  </w:style>
  <w:style w:type="character" w:customStyle="1" w:styleId="Overskrift4Tegn">
    <w:name w:val="Overskrift 4 Tegn"/>
    <w:basedOn w:val="Standardskriftforavsnitt"/>
    <w:link w:val="Overskrift4"/>
    <w:rsid w:val="001E7181"/>
    <w:rPr>
      <w:rFonts w:ascii="Arial" w:eastAsia="Times New Roman" w:hAnsi="Arial" w:cs="Arial"/>
      <w:b/>
      <w:iCs/>
      <w:kern w:val="32"/>
      <w:szCs w:val="28"/>
      <w:lang w:eastAsia="nb-NO"/>
    </w:rPr>
  </w:style>
  <w:style w:type="character" w:customStyle="1" w:styleId="Overskrift5Tegn">
    <w:name w:val="Overskrift 5 Tegn"/>
    <w:basedOn w:val="Standardskriftforavsnitt"/>
    <w:link w:val="Overskrift5"/>
    <w:rsid w:val="001E7181"/>
    <w:rPr>
      <w:rFonts w:ascii="Arial" w:eastAsia="Times New Roman" w:hAnsi="Arial" w:cs="Arial"/>
      <w:b/>
      <w:bCs/>
      <w:kern w:val="32"/>
      <w:szCs w:val="26"/>
      <w:lang w:eastAsia="nb-NO"/>
    </w:rPr>
  </w:style>
  <w:style w:type="character" w:customStyle="1" w:styleId="Overskrift6Tegn">
    <w:name w:val="Overskrift 6 Tegn"/>
    <w:basedOn w:val="Standardskriftforavsnitt"/>
    <w:link w:val="Overskrift6"/>
    <w:rsid w:val="001E7181"/>
    <w:rPr>
      <w:rFonts w:ascii="Arial" w:eastAsia="Times New Roman" w:hAnsi="Arial" w:cs="Arial"/>
      <w:b/>
      <w:kern w:val="32"/>
      <w:lang w:eastAsia="nb-NO"/>
    </w:rPr>
  </w:style>
  <w:style w:type="character" w:customStyle="1" w:styleId="Overskrift7Tegn">
    <w:name w:val="Overskrift 7 Tegn"/>
    <w:basedOn w:val="Standardskriftforavsnitt"/>
    <w:link w:val="Overskrift7"/>
    <w:rsid w:val="001E7181"/>
    <w:rPr>
      <w:rFonts w:ascii="Arial" w:eastAsia="Times New Roman" w:hAnsi="Arial" w:cs="Arial"/>
      <w:b/>
      <w:kern w:val="32"/>
      <w:szCs w:val="24"/>
      <w:lang w:eastAsia="nb-NO"/>
    </w:rPr>
  </w:style>
  <w:style w:type="character" w:customStyle="1" w:styleId="Overskrift8Tegn">
    <w:name w:val="Overskrift 8 Tegn"/>
    <w:basedOn w:val="Standardskriftforavsnitt"/>
    <w:link w:val="Overskrift8"/>
    <w:rsid w:val="001E7181"/>
    <w:rPr>
      <w:rFonts w:ascii="Arial" w:eastAsia="Times New Roman" w:hAnsi="Arial" w:cs="Arial"/>
      <w:b/>
      <w:iCs/>
      <w:kern w:val="32"/>
      <w:szCs w:val="24"/>
      <w:lang w:eastAsia="nb-NO"/>
    </w:rPr>
  </w:style>
  <w:style w:type="character" w:customStyle="1" w:styleId="Overskrift9Tegn">
    <w:name w:val="Overskrift 9 Tegn"/>
    <w:basedOn w:val="Standardskriftforavsnitt"/>
    <w:link w:val="Overskrift9"/>
    <w:rsid w:val="001E7181"/>
    <w:rPr>
      <w:rFonts w:ascii="Arial" w:eastAsia="Times New Roman" w:hAnsi="Arial" w:cs="Arial"/>
      <w:b/>
      <w:lang w:eastAsia="nb-NO"/>
    </w:rPr>
  </w:style>
  <w:style w:type="paragraph" w:styleId="Listeavsnitt">
    <w:name w:val="List Paragraph"/>
    <w:basedOn w:val="Normal"/>
    <w:link w:val="ListeavsnittTegn"/>
    <w:uiPriority w:val="34"/>
    <w:qFormat/>
    <w:rsid w:val="001E7181"/>
    <w:pPr>
      <w:ind w:left="720"/>
      <w:contextualSpacing/>
    </w:pPr>
  </w:style>
  <w:style w:type="paragraph" w:styleId="Ingenmellomrom">
    <w:name w:val="No Spacing"/>
    <w:uiPriority w:val="1"/>
    <w:qFormat/>
    <w:rsid w:val="001E7181"/>
    <w:pPr>
      <w:spacing w:after="0" w:line="240" w:lineRule="auto"/>
    </w:pPr>
    <w:rPr>
      <w:rFonts w:ascii="Arial" w:eastAsia="Times New Roman" w:hAnsi="Arial" w:cs="Arial"/>
      <w:szCs w:val="20"/>
      <w:lang w:eastAsia="nb-NO"/>
    </w:rPr>
  </w:style>
  <w:style w:type="table" w:styleId="Listetabell1lys-uthevingsfarge6">
    <w:name w:val="List Table 1 Light Accent 6"/>
    <w:basedOn w:val="Vanligtabell"/>
    <w:uiPriority w:val="46"/>
    <w:rsid w:val="001E7181"/>
    <w:pPr>
      <w:spacing w:after="0" w:line="240" w:lineRule="auto"/>
    </w:pPr>
    <w:tblPr>
      <w:tblStyleRowBandSize w:val="1"/>
      <w:tblStyleColBandSize w:val="1"/>
    </w:tblPr>
    <w:tblStylePr w:type="firstRow">
      <w:pPr>
        <w:jc w:val="left"/>
      </w:pPr>
      <w:rPr>
        <w:b/>
        <w:bCs/>
        <w:color w:val="auto"/>
      </w:rPr>
      <w:tblPr/>
      <w:tcPr>
        <w:tcBorders>
          <w:bottom w:val="single" w:sz="12" w:space="0" w:color="219598"/>
        </w:tcBorders>
        <w:vAlign w:val="bottom"/>
      </w:tcPr>
    </w:tblStylePr>
    <w:tblStylePr w:type="lastRow">
      <w:rPr>
        <w:b/>
        <w:bCs/>
      </w:rPr>
      <w:tblPr/>
      <w:tcPr>
        <w:tcBorders>
          <w:top w:val="single" w:sz="12" w:space="0" w:color="219598"/>
        </w:tcBorders>
      </w:tcPr>
    </w:tblStylePr>
    <w:tblStylePr w:type="firstCol">
      <w:rPr>
        <w:b/>
        <w:bCs/>
      </w:rPr>
    </w:tblStylePr>
    <w:tblStylePr w:type="lastCol">
      <w:rPr>
        <w:b/>
        <w:bCs/>
      </w:rPr>
    </w:tblStylePr>
    <w:tblStylePr w:type="band1Horz">
      <w:tblPr/>
      <w:tcPr>
        <w:shd w:val="clear" w:color="auto" w:fill="DFF5EA"/>
      </w:tcPr>
    </w:tblStylePr>
  </w:style>
  <w:style w:type="character" w:customStyle="1" w:styleId="ListeavsnittTegn">
    <w:name w:val="Listeavsnitt Tegn"/>
    <w:basedOn w:val="Standardskriftforavsnitt"/>
    <w:link w:val="Listeavsnitt"/>
    <w:uiPriority w:val="34"/>
    <w:rsid w:val="001E7181"/>
    <w:rPr>
      <w:rFonts w:ascii="Arial" w:eastAsia="Times New Roman" w:hAnsi="Arial" w:cs="Arial"/>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49B0441F6CC34EBE4F7E7B73658F2B" ma:contentTypeVersion="0" ma:contentTypeDescription="Opprett et nytt dokument." ma:contentTypeScope="" ma:versionID="2edd800b2a2d08a8e5447b49d0187380">
  <xsd:schema xmlns:xsd="http://www.w3.org/2001/XMLSchema" xmlns:xs="http://www.w3.org/2001/XMLSchema" xmlns:p="http://schemas.microsoft.com/office/2006/metadata/properties" targetNamespace="http://schemas.microsoft.com/office/2006/metadata/properties" ma:root="true" ma:fieldsID="3e2500873ed525c1cf306a41cba81e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BFD03D-6CA0-4419-A9C1-A34A461B3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F0D9E55-EB74-45AE-8E6C-D5CFFA04BA06}">
  <ds:schemaRefs>
    <ds:schemaRef ds:uri="http://schemas.microsoft.com/sharepoint/v3/contenttype/forms"/>
  </ds:schemaRefs>
</ds:datastoreItem>
</file>

<file path=customXml/itemProps3.xml><?xml version="1.0" encoding="utf-8"?>
<ds:datastoreItem xmlns:ds="http://schemas.openxmlformats.org/officeDocument/2006/customXml" ds:itemID="{13F221C2-7770-48D8-AF98-4F63397710DC}">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1342</Words>
  <Characters>7118</Characters>
  <Application>Microsoft Office Word</Application>
  <DocSecurity>0</DocSecurity>
  <Lines>59</Lines>
  <Paragraphs>16</Paragraphs>
  <ScaleCrop>false</ScaleCrop>
  <HeadingPairs>
    <vt:vector size="2" baseType="variant">
      <vt:variant>
        <vt:lpstr>Tittel</vt:lpstr>
      </vt:variant>
      <vt:variant>
        <vt:i4>1</vt:i4>
      </vt:variant>
    </vt:vector>
  </HeadingPairs>
  <TitlesOfParts>
    <vt:vector size="1" baseType="lpstr">
      <vt:lpstr/>
    </vt:vector>
  </TitlesOfParts>
  <Company>Skatteetaten</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Hauger, Sissel Helene</dc:creator>
  <cp:keywords/>
  <dc:description/>
  <cp:lastModifiedBy>Hauger, Sissel Helene</cp:lastModifiedBy>
  <cp:revision>4</cp:revision>
  <dcterms:created xsi:type="dcterms:W3CDTF">2019-10-23T13:15:00Z</dcterms:created>
  <dcterms:modified xsi:type="dcterms:W3CDTF">2019-10-23T13:30:00Z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0x0101004349B0441F6CC34EBE4F7E7B73658F2B</vt:lpwstr>
  </property>
</Properties>
</file>