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E3BBF" w14:textId="74FF338E" w:rsidR="00A47EC4" w:rsidRPr="00233E16" w:rsidRDefault="00AA50A3" w:rsidP="50C8EA7B">
      <w:pPr>
        <w:rPr>
          <w:i/>
          <w:iCs/>
          <w:sz w:val="24"/>
          <w:szCs w:val="24"/>
        </w:rPr>
      </w:pPr>
      <w:bookmarkStart w:id="0" w:name="_GoBack"/>
      <w:bookmarkEnd w:id="0"/>
      <w:r>
        <w:rPr>
          <w:b/>
          <w:bCs/>
          <w:i/>
          <w:iCs/>
          <w:sz w:val="32"/>
          <w:szCs w:val="32"/>
        </w:rPr>
        <w:t xml:space="preserve">Ajourhold pensjon a-melding </w:t>
      </w:r>
      <w:r w:rsidR="007D348E">
        <w:rPr>
          <w:b/>
          <w:bCs/>
          <w:i/>
          <w:iCs/>
          <w:sz w:val="32"/>
          <w:szCs w:val="32"/>
        </w:rPr>
        <w:t>–</w:t>
      </w:r>
      <w:r>
        <w:rPr>
          <w:b/>
          <w:bCs/>
          <w:i/>
          <w:iCs/>
          <w:sz w:val="32"/>
          <w:szCs w:val="32"/>
        </w:rPr>
        <w:t xml:space="preserve"> </w:t>
      </w:r>
      <w:r w:rsidR="00643751">
        <w:rPr>
          <w:b/>
          <w:bCs/>
          <w:i/>
          <w:iCs/>
          <w:sz w:val="32"/>
          <w:szCs w:val="32"/>
        </w:rPr>
        <w:t>R</w:t>
      </w:r>
      <w:r w:rsidR="50C8EA7B" w:rsidRPr="004B4989">
        <w:rPr>
          <w:b/>
          <w:bCs/>
          <w:i/>
          <w:iCs/>
          <w:sz w:val="32"/>
          <w:szCs w:val="32"/>
        </w:rPr>
        <w:t xml:space="preserve">apport </w:t>
      </w:r>
      <w:r>
        <w:rPr>
          <w:b/>
          <w:bCs/>
          <w:i/>
          <w:iCs/>
          <w:sz w:val="32"/>
          <w:szCs w:val="32"/>
        </w:rPr>
        <w:t>17.10.19</w:t>
      </w:r>
    </w:p>
    <w:p w14:paraId="59988956" w14:textId="32254E00" w:rsidR="00A47EC4" w:rsidRPr="00310CEA" w:rsidRDefault="00310CEA" w:rsidP="000401F8">
      <w:pPr>
        <w:rPr>
          <w:bCs/>
          <w:i/>
          <w:iCs/>
          <w:u w:val="single"/>
        </w:rPr>
      </w:pPr>
      <w:r>
        <w:rPr>
          <w:bCs/>
          <w:i/>
          <w:iCs/>
        </w:rPr>
        <w:br/>
      </w:r>
      <w:r w:rsidR="00A47EC4" w:rsidRPr="00310CEA">
        <w:rPr>
          <w:bCs/>
          <w:i/>
          <w:iCs/>
          <w:u w:val="single"/>
        </w:rPr>
        <w:t>Definisjoner:</w:t>
      </w:r>
    </w:p>
    <w:p w14:paraId="0D435E6C" w14:textId="37B9B6B7" w:rsidR="00A47EC4" w:rsidRPr="00310CEA" w:rsidRDefault="00A47EC4" w:rsidP="000401F8">
      <w:pPr>
        <w:rPr>
          <w:bCs/>
          <w:i/>
          <w:iCs/>
        </w:rPr>
      </w:pPr>
      <w:r w:rsidRPr="00310CEA">
        <w:rPr>
          <w:bCs/>
          <w:i/>
          <w:iCs/>
        </w:rPr>
        <w:t xml:space="preserve">Pensjonsinnretning: </w:t>
      </w:r>
      <w:r w:rsidR="001C4CB6">
        <w:rPr>
          <w:bCs/>
          <w:i/>
          <w:iCs/>
        </w:rPr>
        <w:tab/>
      </w:r>
      <w:r w:rsidRPr="00310CEA">
        <w:rPr>
          <w:bCs/>
          <w:i/>
          <w:iCs/>
        </w:rPr>
        <w:t>Pensjonsselskap eller pensjonskasse</w:t>
      </w:r>
    </w:p>
    <w:p w14:paraId="075C9032" w14:textId="172A4809" w:rsidR="00A47EC4" w:rsidRPr="00310CEA" w:rsidRDefault="00A47EC4" w:rsidP="001C4CB6">
      <w:pPr>
        <w:ind w:left="2120" w:hanging="2120"/>
        <w:rPr>
          <w:bCs/>
          <w:i/>
          <w:iCs/>
        </w:rPr>
      </w:pPr>
      <w:r w:rsidRPr="00310CEA">
        <w:rPr>
          <w:bCs/>
          <w:i/>
          <w:iCs/>
        </w:rPr>
        <w:t xml:space="preserve">Arbeidsgruppe: </w:t>
      </w:r>
      <w:r w:rsidR="001C4CB6">
        <w:rPr>
          <w:bCs/>
          <w:i/>
          <w:iCs/>
        </w:rPr>
        <w:tab/>
      </w:r>
      <w:r w:rsidR="001C4CB6">
        <w:rPr>
          <w:bCs/>
          <w:i/>
          <w:iCs/>
        </w:rPr>
        <w:tab/>
      </w:r>
      <w:r w:rsidRPr="00310CEA">
        <w:rPr>
          <w:bCs/>
          <w:i/>
          <w:iCs/>
        </w:rPr>
        <w:t xml:space="preserve">Arbeidsgruppe bestående av deltakere fra fem pensjonsselskaper (se nedenfor) og Pensjonskasseforeningen. Representanter fra Skatteetaten deltar til dels i gruppens møter. </w:t>
      </w:r>
    </w:p>
    <w:p w14:paraId="34328B93" w14:textId="4C1A4408" w:rsidR="00A47EC4" w:rsidRPr="00310CEA" w:rsidRDefault="50C8EA7B" w:rsidP="001C4CB6">
      <w:pPr>
        <w:ind w:left="2120" w:hanging="2120"/>
        <w:rPr>
          <w:i/>
          <w:iCs/>
        </w:rPr>
      </w:pPr>
      <w:r w:rsidRPr="50C8EA7B">
        <w:rPr>
          <w:i/>
          <w:iCs/>
        </w:rPr>
        <w:t xml:space="preserve">Segmentansvar: </w:t>
      </w:r>
      <w:r w:rsidR="001C4CB6">
        <w:rPr>
          <w:i/>
          <w:iCs/>
        </w:rPr>
        <w:tab/>
      </w:r>
      <w:r w:rsidRPr="50C8EA7B">
        <w:rPr>
          <w:i/>
          <w:iCs/>
        </w:rPr>
        <w:t>Koordineringsrolle for bransjen, eksempelvis tilsvarende som for Samtykkebasert Lånesøknad (SBL)</w:t>
      </w:r>
    </w:p>
    <w:p w14:paraId="2E664C2B" w14:textId="1E189D78" w:rsidR="50C8EA7B" w:rsidRDefault="50C8EA7B" w:rsidP="50C8EA7B">
      <w:pPr>
        <w:rPr>
          <w:i/>
          <w:iCs/>
        </w:rPr>
      </w:pPr>
    </w:p>
    <w:p w14:paraId="7BC5AB50" w14:textId="0781239F" w:rsidR="50C8EA7B" w:rsidRDefault="50C8EA7B" w:rsidP="50C8EA7B">
      <w:pPr>
        <w:spacing w:line="257" w:lineRule="auto"/>
      </w:pPr>
      <w:r w:rsidRPr="50C8EA7B">
        <w:rPr>
          <w:rFonts w:ascii="Calibri" w:eastAsia="Calibri" w:hAnsi="Calibri" w:cs="Calibri"/>
          <w:b/>
          <w:bCs/>
          <w:sz w:val="32"/>
          <w:szCs w:val="32"/>
        </w:rPr>
        <w:t>Sammendrag</w:t>
      </w:r>
    </w:p>
    <w:p w14:paraId="0ECBFF62" w14:textId="6AEF2BEB" w:rsidR="50C8EA7B" w:rsidRDefault="50C8EA7B" w:rsidP="50C8EA7B">
      <w:pPr>
        <w:spacing w:line="257" w:lineRule="auto"/>
      </w:pPr>
      <w:r w:rsidRPr="50C8EA7B">
        <w:rPr>
          <w:rFonts w:ascii="Calibri" w:eastAsia="Calibri" w:hAnsi="Calibri" w:cs="Calibri"/>
        </w:rPr>
        <w:t xml:space="preserve">Finansdepartementet </w:t>
      </w:r>
      <w:r w:rsidR="003E647E">
        <w:rPr>
          <w:rFonts w:ascii="Calibri" w:eastAsia="Calibri" w:hAnsi="Calibri" w:cs="Calibri"/>
        </w:rPr>
        <w:t>ber i sitt</w:t>
      </w:r>
      <w:r w:rsidRPr="50C8EA7B">
        <w:rPr>
          <w:rFonts w:ascii="Calibri" w:eastAsia="Calibri" w:hAnsi="Calibri" w:cs="Calibri"/>
        </w:rPr>
        <w:t xml:space="preserve"> oppdragsbrev til Skatteetaten at «Utredningen skal foreslå løsninger som kan realisere følgende resultatmål: </w:t>
      </w:r>
    </w:p>
    <w:p w14:paraId="3DB83037" w14:textId="282DF587" w:rsidR="50C8EA7B" w:rsidRDefault="50C8EA7B" w:rsidP="50C8EA7B">
      <w:pPr>
        <w:spacing w:line="257" w:lineRule="auto"/>
      </w:pPr>
      <w:r w:rsidRPr="50C8EA7B">
        <w:rPr>
          <w:rFonts w:ascii="Calibri" w:eastAsia="Calibri" w:hAnsi="Calibri" w:cs="Calibri"/>
        </w:rPr>
        <w:t>1.</w:t>
      </w:r>
      <w:r>
        <w:tab/>
      </w:r>
      <w:r w:rsidR="001D6246">
        <w:rPr>
          <w:rFonts w:ascii="Calibri" w:eastAsia="Calibri" w:hAnsi="Calibri" w:cs="Calibri"/>
        </w:rPr>
        <w:t>Ø</w:t>
      </w:r>
      <w:r w:rsidRPr="50C8EA7B">
        <w:rPr>
          <w:rFonts w:ascii="Calibri" w:eastAsia="Calibri" w:hAnsi="Calibri" w:cs="Calibri"/>
        </w:rPr>
        <w:t>ke antall arbeidsgivere som etterlever sine pensjonsforpliktelser</w:t>
      </w:r>
      <w:r>
        <w:br/>
      </w:r>
      <w:r w:rsidRPr="50C8EA7B">
        <w:rPr>
          <w:rFonts w:ascii="Calibri" w:eastAsia="Calibri" w:hAnsi="Calibri" w:cs="Calibri"/>
        </w:rPr>
        <w:t>2.</w:t>
      </w:r>
      <w:r>
        <w:tab/>
      </w:r>
      <w:r w:rsidR="001D6246">
        <w:rPr>
          <w:rFonts w:ascii="Calibri" w:eastAsia="Calibri" w:hAnsi="Calibri" w:cs="Calibri"/>
        </w:rPr>
        <w:t>R</w:t>
      </w:r>
      <w:r w:rsidRPr="50C8EA7B">
        <w:rPr>
          <w:rFonts w:ascii="Calibri" w:eastAsia="Calibri" w:hAnsi="Calibri" w:cs="Calibri"/>
        </w:rPr>
        <w:t>edusere næringslivets kostnader til rapportering av lønn og arbeidsforhold</w:t>
      </w:r>
      <w:r>
        <w:br/>
      </w:r>
      <w:r w:rsidRPr="50C8EA7B">
        <w:rPr>
          <w:rFonts w:ascii="Calibri" w:eastAsia="Calibri" w:hAnsi="Calibri" w:cs="Calibri"/>
        </w:rPr>
        <w:t>3.</w:t>
      </w:r>
      <w:r>
        <w:tab/>
      </w:r>
      <w:r w:rsidR="001D6246">
        <w:rPr>
          <w:rFonts w:ascii="Calibri" w:eastAsia="Calibri" w:hAnsi="Calibri" w:cs="Calibri"/>
        </w:rPr>
        <w:t>Ø</w:t>
      </w:r>
      <w:r w:rsidRPr="50C8EA7B">
        <w:rPr>
          <w:rFonts w:ascii="Calibri" w:eastAsia="Calibri" w:hAnsi="Calibri" w:cs="Calibri"/>
        </w:rPr>
        <w:t xml:space="preserve">ke kvaliteten på opplysninger </w:t>
      </w:r>
      <w:r w:rsidR="001D6246">
        <w:rPr>
          <w:rFonts w:ascii="Calibri" w:eastAsia="Calibri" w:hAnsi="Calibri" w:cs="Calibri"/>
        </w:rPr>
        <w:t>om arbeidsforhold i a-ordningen</w:t>
      </w:r>
      <w:r w:rsidR="00DC3C1B">
        <w:rPr>
          <w:rFonts w:ascii="Calibri" w:eastAsia="Calibri" w:hAnsi="Calibri" w:cs="Calibri"/>
        </w:rPr>
        <w:t>»</w:t>
      </w:r>
    </w:p>
    <w:p w14:paraId="603D8A95" w14:textId="21DBAFA7" w:rsidR="50C8EA7B" w:rsidRDefault="0021747C" w:rsidP="50C8EA7B">
      <w:pPr>
        <w:spacing w:line="257" w:lineRule="auto"/>
      </w:pPr>
      <w:r>
        <w:rPr>
          <w:rFonts w:ascii="Calibri" w:eastAsia="Calibri" w:hAnsi="Calibri" w:cs="Calibri"/>
        </w:rPr>
        <w:t>Rapporten</w:t>
      </w:r>
      <w:r w:rsidR="50C8EA7B" w:rsidRPr="50C8EA7B">
        <w:rPr>
          <w:rFonts w:ascii="Calibri" w:eastAsia="Calibri" w:hAnsi="Calibri" w:cs="Calibri"/>
        </w:rPr>
        <w:t xml:space="preserve"> beskrive</w:t>
      </w:r>
      <w:r>
        <w:rPr>
          <w:rFonts w:ascii="Calibri" w:eastAsia="Calibri" w:hAnsi="Calibri" w:cs="Calibri"/>
        </w:rPr>
        <w:t>r</w:t>
      </w:r>
      <w:r w:rsidR="50C8EA7B" w:rsidRPr="50C8EA7B">
        <w:rPr>
          <w:rFonts w:ascii="Calibri" w:eastAsia="Calibri" w:hAnsi="Calibri" w:cs="Calibri"/>
        </w:rPr>
        <w:t xml:space="preserve"> hvordan pensjonsbransjen kan bistå i å realisere disse målsettingene. Anslag over de forventede finansielle effektene er også gitt. </w:t>
      </w:r>
    </w:p>
    <w:p w14:paraId="3D7A7676" w14:textId="60F19524" w:rsidR="50C8EA7B" w:rsidRDefault="50C8EA7B" w:rsidP="50C8EA7B">
      <w:pPr>
        <w:spacing w:line="257" w:lineRule="auto"/>
      </w:pPr>
      <w:r w:rsidRPr="50C8EA7B">
        <w:rPr>
          <w:rFonts w:ascii="Calibri" w:eastAsia="Calibri" w:hAnsi="Calibri" w:cs="Calibri"/>
        </w:rPr>
        <w:t xml:space="preserve">Når det gjelder resultatmål 1 </w:t>
      </w:r>
      <w:r w:rsidR="00CE3047">
        <w:rPr>
          <w:rFonts w:ascii="Calibri" w:eastAsia="Calibri" w:hAnsi="Calibri" w:cs="Calibri"/>
        </w:rPr>
        <w:t>og</w:t>
      </w:r>
      <w:r w:rsidR="00CE3047" w:rsidRPr="50C8EA7B">
        <w:rPr>
          <w:rFonts w:ascii="Calibri" w:eastAsia="Calibri" w:hAnsi="Calibri" w:cs="Calibri"/>
        </w:rPr>
        <w:t xml:space="preserve"> </w:t>
      </w:r>
      <w:r w:rsidRPr="50C8EA7B">
        <w:rPr>
          <w:rFonts w:ascii="Calibri" w:eastAsia="Calibri" w:hAnsi="Calibri" w:cs="Calibri"/>
        </w:rPr>
        <w:t xml:space="preserve">økt etterlevelse, </w:t>
      </w:r>
      <w:r w:rsidR="00CE3047">
        <w:rPr>
          <w:rFonts w:ascii="Calibri" w:eastAsia="Calibri" w:hAnsi="Calibri" w:cs="Calibri"/>
        </w:rPr>
        <w:t xml:space="preserve">ser </w:t>
      </w:r>
      <w:r w:rsidR="005127D2">
        <w:rPr>
          <w:rFonts w:ascii="Calibri" w:eastAsia="Calibri" w:hAnsi="Calibri" w:cs="Calibri"/>
        </w:rPr>
        <w:t>Finans Norge</w:t>
      </w:r>
      <w:r w:rsidRPr="50C8EA7B">
        <w:rPr>
          <w:rFonts w:ascii="Calibri" w:eastAsia="Calibri" w:hAnsi="Calibri" w:cs="Calibri"/>
        </w:rPr>
        <w:t xml:space="preserve"> utfordringer med kvalitet og hyppighet på dagens rapportering av lønns- og arbeidsforhold for pensjonsajourhold</w:t>
      </w:r>
      <w:r w:rsidR="00CE3047">
        <w:rPr>
          <w:rFonts w:ascii="Calibri" w:eastAsia="Calibri" w:hAnsi="Calibri" w:cs="Calibri"/>
        </w:rPr>
        <w:t xml:space="preserve"> hos pensjonsleverandørene</w:t>
      </w:r>
      <w:r w:rsidRPr="50C8EA7B">
        <w:rPr>
          <w:rFonts w:ascii="Calibri" w:eastAsia="Calibri" w:hAnsi="Calibri" w:cs="Calibri"/>
        </w:rPr>
        <w:t>. Utfordringene henger dels sammen med etterlevelse og regelverksforståelse</w:t>
      </w:r>
      <w:r w:rsidR="00CE3047">
        <w:rPr>
          <w:rFonts w:ascii="Calibri" w:eastAsia="Calibri" w:hAnsi="Calibri" w:cs="Calibri"/>
        </w:rPr>
        <w:t xml:space="preserve"> og </w:t>
      </w:r>
      <w:r w:rsidRPr="50C8EA7B">
        <w:rPr>
          <w:rFonts w:ascii="Calibri" w:eastAsia="Calibri" w:hAnsi="Calibri" w:cs="Calibri"/>
        </w:rPr>
        <w:t xml:space="preserve">dels </w:t>
      </w:r>
      <w:r w:rsidR="00156DB8">
        <w:rPr>
          <w:rFonts w:ascii="Calibri" w:eastAsia="Calibri" w:hAnsi="Calibri" w:cs="Calibri"/>
        </w:rPr>
        <w:t>sammen med</w:t>
      </w:r>
      <w:r w:rsidR="00CE3047">
        <w:rPr>
          <w:rFonts w:ascii="Calibri" w:eastAsia="Calibri" w:hAnsi="Calibri" w:cs="Calibri"/>
        </w:rPr>
        <w:t xml:space="preserve"> </w:t>
      </w:r>
      <w:r w:rsidRPr="50C8EA7B">
        <w:rPr>
          <w:rFonts w:ascii="Calibri" w:eastAsia="Calibri" w:hAnsi="Calibri" w:cs="Calibri"/>
        </w:rPr>
        <w:t xml:space="preserve">datakvalitet. Med direkte rapportering </w:t>
      </w:r>
      <w:r w:rsidR="00CE3047">
        <w:rPr>
          <w:rFonts w:ascii="Calibri" w:eastAsia="Calibri" w:hAnsi="Calibri" w:cs="Calibri"/>
        </w:rPr>
        <w:t>kun et</w:t>
      </w:r>
      <w:r w:rsidR="00156DB8">
        <w:rPr>
          <w:rFonts w:ascii="Calibri" w:eastAsia="Calibri" w:hAnsi="Calibri" w:cs="Calibri"/>
        </w:rPr>
        <w:t>t</w:t>
      </w:r>
      <w:r w:rsidR="00CE3047">
        <w:rPr>
          <w:rFonts w:ascii="Calibri" w:eastAsia="Calibri" w:hAnsi="Calibri" w:cs="Calibri"/>
        </w:rPr>
        <w:t xml:space="preserve"> sted </w:t>
      </w:r>
      <w:r w:rsidRPr="50C8EA7B">
        <w:rPr>
          <w:rFonts w:ascii="Calibri" w:eastAsia="Calibri" w:hAnsi="Calibri" w:cs="Calibri"/>
        </w:rPr>
        <w:t xml:space="preserve">gjennom a-meldingen antas kvalitet og hyppighet å øke vesentlig, og det anslås en økt årlig sparing </w:t>
      </w:r>
      <w:r w:rsidR="00E87856">
        <w:rPr>
          <w:rFonts w:ascii="Calibri" w:eastAsia="Calibri" w:hAnsi="Calibri" w:cs="Calibri"/>
        </w:rPr>
        <w:t>for arbeidstakere (medlemmer) i</w:t>
      </w:r>
      <w:r w:rsidRPr="50C8EA7B">
        <w:rPr>
          <w:rFonts w:ascii="Calibri" w:eastAsia="Calibri" w:hAnsi="Calibri" w:cs="Calibri"/>
        </w:rPr>
        <w:t xml:space="preserve"> eksisterende pensjonsavtaler på </w:t>
      </w:r>
      <w:r w:rsidRPr="001D26C5">
        <w:rPr>
          <w:rFonts w:ascii="Calibri" w:eastAsia="Calibri" w:hAnsi="Calibri" w:cs="Calibri"/>
        </w:rPr>
        <w:t xml:space="preserve">NOK </w:t>
      </w:r>
      <w:r w:rsidR="00394CB3">
        <w:rPr>
          <w:rFonts w:ascii="Calibri" w:eastAsia="Calibri" w:hAnsi="Calibri" w:cs="Calibri"/>
        </w:rPr>
        <w:t>1 000 – 2 000</w:t>
      </w:r>
      <w:r w:rsidRPr="001D26C5">
        <w:rPr>
          <w:rFonts w:ascii="Calibri" w:eastAsia="Calibri" w:hAnsi="Calibri" w:cs="Calibri"/>
        </w:rPr>
        <w:t xml:space="preserve"> millioner</w:t>
      </w:r>
      <w:r w:rsidRPr="50C8EA7B">
        <w:rPr>
          <w:rFonts w:ascii="Calibri" w:eastAsia="Calibri" w:hAnsi="Calibri" w:cs="Calibri"/>
        </w:rPr>
        <w:t xml:space="preserve">. </w:t>
      </w:r>
      <w:r w:rsidR="0021747C">
        <w:rPr>
          <w:rFonts w:ascii="Calibri" w:eastAsia="Calibri" w:hAnsi="Calibri" w:cs="Calibri"/>
        </w:rPr>
        <w:t xml:space="preserve">Utfordringene antas primært å oppstå </w:t>
      </w:r>
      <w:r w:rsidR="00CE3047">
        <w:rPr>
          <w:rFonts w:ascii="Calibri" w:eastAsia="Calibri" w:hAnsi="Calibri" w:cs="Calibri"/>
        </w:rPr>
        <w:t xml:space="preserve">i forbindelse med dagens </w:t>
      </w:r>
      <w:r w:rsidR="0021747C">
        <w:rPr>
          <w:rFonts w:ascii="Calibri" w:eastAsia="Calibri" w:hAnsi="Calibri" w:cs="Calibri"/>
        </w:rPr>
        <w:t>manuel</w:t>
      </w:r>
      <w:r w:rsidR="00CE3047">
        <w:rPr>
          <w:rFonts w:ascii="Calibri" w:eastAsia="Calibri" w:hAnsi="Calibri" w:cs="Calibri"/>
        </w:rPr>
        <w:t xml:space="preserve">le </w:t>
      </w:r>
      <w:r w:rsidR="0021747C">
        <w:rPr>
          <w:rFonts w:ascii="Calibri" w:eastAsia="Calibri" w:hAnsi="Calibri" w:cs="Calibri"/>
        </w:rPr>
        <w:t>ajourhold</w:t>
      </w:r>
      <w:r w:rsidR="00CE3047">
        <w:rPr>
          <w:rFonts w:ascii="Calibri" w:eastAsia="Calibri" w:hAnsi="Calibri" w:cs="Calibri"/>
        </w:rPr>
        <w:t xml:space="preserve"> av opplysninger</w:t>
      </w:r>
      <w:r w:rsidR="0021747C">
        <w:rPr>
          <w:rFonts w:ascii="Calibri" w:eastAsia="Calibri" w:hAnsi="Calibri" w:cs="Calibri"/>
        </w:rPr>
        <w:t xml:space="preserve"> via portal</w:t>
      </w:r>
      <w:r w:rsidR="00CE3047">
        <w:rPr>
          <w:rFonts w:ascii="Calibri" w:eastAsia="Calibri" w:hAnsi="Calibri" w:cs="Calibri"/>
        </w:rPr>
        <w:t xml:space="preserve"> hos pensjonsleverandøren</w:t>
      </w:r>
      <w:r w:rsidR="0021747C">
        <w:rPr>
          <w:rFonts w:ascii="Calibri" w:eastAsia="Calibri" w:hAnsi="Calibri" w:cs="Calibri"/>
        </w:rPr>
        <w:t xml:space="preserve">. </w:t>
      </w:r>
      <w:r w:rsidR="005127D2">
        <w:rPr>
          <w:rFonts w:ascii="Calibri" w:eastAsia="Calibri" w:hAnsi="Calibri" w:cs="Calibri"/>
        </w:rPr>
        <w:t>Finans Norge</w:t>
      </w:r>
      <w:r w:rsidRPr="50C8EA7B">
        <w:rPr>
          <w:rFonts w:ascii="Calibri" w:eastAsia="Calibri" w:hAnsi="Calibri" w:cs="Calibri"/>
        </w:rPr>
        <w:t xml:space="preserve"> har ikke anslått mulig økt sparing </w:t>
      </w:r>
      <w:r w:rsidR="00CE3047">
        <w:rPr>
          <w:rFonts w:ascii="Calibri" w:eastAsia="Calibri" w:hAnsi="Calibri" w:cs="Calibri"/>
        </w:rPr>
        <w:t xml:space="preserve">for arbeidstakere </w:t>
      </w:r>
      <w:r w:rsidRPr="50C8EA7B">
        <w:rPr>
          <w:rFonts w:ascii="Calibri" w:eastAsia="Calibri" w:hAnsi="Calibri" w:cs="Calibri"/>
        </w:rPr>
        <w:t xml:space="preserve">som følge av </w:t>
      </w:r>
      <w:r w:rsidR="00CE3047">
        <w:rPr>
          <w:rFonts w:ascii="Calibri" w:eastAsia="Calibri" w:hAnsi="Calibri" w:cs="Calibri"/>
        </w:rPr>
        <w:t xml:space="preserve">at </w:t>
      </w:r>
      <w:r w:rsidRPr="50C8EA7B">
        <w:rPr>
          <w:rFonts w:ascii="Calibri" w:eastAsia="Calibri" w:hAnsi="Calibri" w:cs="Calibri"/>
        </w:rPr>
        <w:t xml:space="preserve">eventuelle arbeidsgivere ikke har inngått </w:t>
      </w:r>
      <w:r w:rsidR="00156DB8">
        <w:rPr>
          <w:rFonts w:ascii="Calibri" w:eastAsia="Calibri" w:hAnsi="Calibri" w:cs="Calibri"/>
        </w:rPr>
        <w:t xml:space="preserve">avtale om </w:t>
      </w:r>
      <w:r w:rsidR="00CE3047">
        <w:rPr>
          <w:rFonts w:ascii="Calibri" w:eastAsia="Calibri" w:hAnsi="Calibri" w:cs="Calibri"/>
        </w:rPr>
        <w:t>obligatorisk tjenestepensjon</w:t>
      </w:r>
      <w:r w:rsidRPr="50C8EA7B">
        <w:rPr>
          <w:rFonts w:ascii="Calibri" w:eastAsia="Calibri" w:hAnsi="Calibri" w:cs="Calibri"/>
        </w:rPr>
        <w:t>.</w:t>
      </w:r>
    </w:p>
    <w:p w14:paraId="11CEFD1F" w14:textId="4A5484CD" w:rsidR="50C8EA7B" w:rsidRDefault="50C8EA7B" w:rsidP="50C8EA7B">
      <w:pPr>
        <w:spacing w:line="257" w:lineRule="auto"/>
      </w:pPr>
      <w:r w:rsidRPr="50C8EA7B">
        <w:rPr>
          <w:rFonts w:ascii="Calibri" w:eastAsia="Calibri" w:hAnsi="Calibri" w:cs="Calibri"/>
        </w:rPr>
        <w:t xml:space="preserve">Forenklingsgevinsten knyttet til resultatmål 2 </w:t>
      </w:r>
      <w:r w:rsidR="00CE3047">
        <w:rPr>
          <w:rFonts w:ascii="Calibri" w:eastAsia="Calibri" w:hAnsi="Calibri" w:cs="Calibri"/>
        </w:rPr>
        <w:t xml:space="preserve">mener </w:t>
      </w:r>
      <w:r w:rsidR="005127D2">
        <w:rPr>
          <w:rFonts w:ascii="Calibri" w:eastAsia="Calibri" w:hAnsi="Calibri" w:cs="Calibri"/>
        </w:rPr>
        <w:t>Finans Norge</w:t>
      </w:r>
      <w:r w:rsidR="00CE3047">
        <w:rPr>
          <w:rFonts w:ascii="Calibri" w:eastAsia="Calibri" w:hAnsi="Calibri" w:cs="Calibri"/>
        </w:rPr>
        <w:t xml:space="preserve"> i hovedsak kan </w:t>
      </w:r>
      <w:r w:rsidR="00E33C79">
        <w:rPr>
          <w:rFonts w:ascii="Calibri" w:eastAsia="Calibri" w:hAnsi="Calibri" w:cs="Calibri"/>
        </w:rPr>
        <w:t>realiseres ved at</w:t>
      </w:r>
      <w:r w:rsidRPr="50C8EA7B">
        <w:rPr>
          <w:rFonts w:ascii="Calibri" w:eastAsia="Calibri" w:hAnsi="Calibri" w:cs="Calibri"/>
        </w:rPr>
        <w:t xml:space="preserve"> arbeidsgiverne ikke lenger må rapportere direkte til pensjonsinnretningene, i tillegg til den løpende a-meldingsrapporteringen. Det er videre betydelige forenklingsgevin</w:t>
      </w:r>
      <w:r w:rsidR="001D26C5">
        <w:rPr>
          <w:rFonts w:ascii="Calibri" w:eastAsia="Calibri" w:hAnsi="Calibri" w:cs="Calibri"/>
        </w:rPr>
        <w:t>ster i pensjonsinnretningene på grunn av</w:t>
      </w:r>
      <w:r w:rsidRPr="50C8EA7B">
        <w:rPr>
          <w:rFonts w:ascii="Calibri" w:eastAsia="Calibri" w:hAnsi="Calibri" w:cs="Calibri"/>
        </w:rPr>
        <w:t xml:space="preserve"> forenklede og mer automatiserte prosesser og høyere datakvalitet. Årlig gevinst er anslått til ca</w:t>
      </w:r>
      <w:r w:rsidR="001D26C5">
        <w:rPr>
          <w:rFonts w:ascii="Calibri" w:eastAsia="Calibri" w:hAnsi="Calibri" w:cs="Calibri"/>
        </w:rPr>
        <w:t>.</w:t>
      </w:r>
      <w:r w:rsidRPr="50C8EA7B">
        <w:rPr>
          <w:rFonts w:ascii="Calibri" w:eastAsia="Calibri" w:hAnsi="Calibri" w:cs="Calibri"/>
        </w:rPr>
        <w:t xml:space="preserve"> NOK 780 millioner for arbeidsgiverne og ca</w:t>
      </w:r>
      <w:r w:rsidR="001D26C5">
        <w:rPr>
          <w:rFonts w:ascii="Calibri" w:eastAsia="Calibri" w:hAnsi="Calibri" w:cs="Calibri"/>
        </w:rPr>
        <w:t>.</w:t>
      </w:r>
      <w:r w:rsidRPr="50C8EA7B">
        <w:rPr>
          <w:rFonts w:ascii="Calibri" w:eastAsia="Calibri" w:hAnsi="Calibri" w:cs="Calibri"/>
        </w:rPr>
        <w:t xml:space="preserve"> NOK 40 millioner for pensjonsinnretningene.</w:t>
      </w:r>
    </w:p>
    <w:p w14:paraId="093C721E" w14:textId="4234F853" w:rsidR="50C8EA7B" w:rsidRDefault="50C8EA7B" w:rsidP="50C8EA7B">
      <w:pPr>
        <w:spacing w:line="257" w:lineRule="auto"/>
        <w:rPr>
          <w:rFonts w:ascii="Calibri" w:eastAsia="Calibri" w:hAnsi="Calibri" w:cs="Calibri"/>
        </w:rPr>
      </w:pPr>
      <w:r w:rsidRPr="50C8EA7B">
        <w:rPr>
          <w:rFonts w:ascii="Calibri" w:eastAsia="Calibri" w:hAnsi="Calibri" w:cs="Calibri"/>
        </w:rPr>
        <w:t xml:space="preserve">Det er utenfor </w:t>
      </w:r>
      <w:r w:rsidR="005127D2">
        <w:rPr>
          <w:rFonts w:ascii="Calibri" w:eastAsia="Calibri" w:hAnsi="Calibri" w:cs="Calibri"/>
        </w:rPr>
        <w:t>Finans Norge</w:t>
      </w:r>
      <w:r w:rsidRPr="50C8EA7B">
        <w:rPr>
          <w:rFonts w:ascii="Calibri" w:eastAsia="Calibri" w:hAnsi="Calibri" w:cs="Calibri"/>
        </w:rPr>
        <w:t xml:space="preserve">s mandat å vurdere kvaliteten på opplysninger om arbeidsforhold i a-ordningen som beskrevet i resultatmål 3. </w:t>
      </w:r>
      <w:r w:rsidR="005127D2">
        <w:rPr>
          <w:rFonts w:ascii="Calibri" w:eastAsia="Calibri" w:hAnsi="Calibri" w:cs="Calibri"/>
        </w:rPr>
        <w:t>Finans Norge</w:t>
      </w:r>
      <w:r w:rsidRPr="50C8EA7B">
        <w:rPr>
          <w:rFonts w:ascii="Calibri" w:eastAsia="Calibri" w:hAnsi="Calibri" w:cs="Calibri"/>
        </w:rPr>
        <w:t xml:space="preserve"> antar generelt at en utvidet bruk av a-meldingsdataene til å omfatte også pensjonsajourhold, vil gi arbeidsgivere et ytterligere insentiv til korrekt rapportering til a-ordningen.</w:t>
      </w:r>
    </w:p>
    <w:p w14:paraId="3A9FA149" w14:textId="77777777" w:rsidR="00D3272F" w:rsidRDefault="00D3272F" w:rsidP="50C8EA7B">
      <w:pPr>
        <w:spacing w:line="257" w:lineRule="auto"/>
      </w:pPr>
    </w:p>
    <w:p w14:paraId="3A5B468B" w14:textId="0C463832" w:rsidR="50C8EA7B" w:rsidRDefault="50C8EA7B" w:rsidP="50C8EA7B">
      <w:pPr>
        <w:rPr>
          <w:b/>
          <w:bCs/>
          <w:sz w:val="32"/>
          <w:szCs w:val="32"/>
        </w:rPr>
      </w:pPr>
    </w:p>
    <w:p w14:paraId="276AD05C" w14:textId="750333C0" w:rsidR="000401F8" w:rsidRPr="00C75032" w:rsidRDefault="000401F8" w:rsidP="000401F8">
      <w:pPr>
        <w:rPr>
          <w:b/>
          <w:sz w:val="32"/>
          <w:szCs w:val="32"/>
        </w:rPr>
      </w:pPr>
      <w:r>
        <w:rPr>
          <w:b/>
          <w:sz w:val="32"/>
          <w:szCs w:val="32"/>
        </w:rPr>
        <w:lastRenderedPageBreak/>
        <w:t>1.</w:t>
      </w:r>
      <w:r w:rsidRPr="00C75032">
        <w:rPr>
          <w:b/>
          <w:sz w:val="32"/>
          <w:szCs w:val="32"/>
        </w:rPr>
        <w:t xml:space="preserve"> </w:t>
      </w:r>
      <w:r>
        <w:rPr>
          <w:b/>
          <w:sz w:val="32"/>
          <w:szCs w:val="32"/>
        </w:rPr>
        <w:t>Felles forvaltning</w:t>
      </w:r>
      <w:r w:rsidRPr="00C75032">
        <w:rPr>
          <w:b/>
          <w:sz w:val="32"/>
          <w:szCs w:val="32"/>
        </w:rPr>
        <w:t xml:space="preserve">sfunksjoner </w:t>
      </w:r>
      <w:r w:rsidR="00013F96">
        <w:rPr>
          <w:b/>
          <w:sz w:val="32"/>
          <w:szCs w:val="32"/>
        </w:rPr>
        <w:t>en segmentansvarlig skal ivareta</w:t>
      </w:r>
    </w:p>
    <w:p w14:paraId="47C82001" w14:textId="77777777" w:rsidR="00C17A04" w:rsidRDefault="000401F8" w:rsidP="000401F8">
      <w:pPr>
        <w:rPr>
          <w:b/>
        </w:rPr>
      </w:pPr>
      <w:r w:rsidRPr="00852A76">
        <w:rPr>
          <w:b/>
        </w:rPr>
        <w:t xml:space="preserve">1.1 </w:t>
      </w:r>
      <w:r>
        <w:rPr>
          <w:b/>
        </w:rPr>
        <w:t>Generelt</w:t>
      </w:r>
    </w:p>
    <w:p w14:paraId="254C2D56" w14:textId="526E6460" w:rsidR="00404448" w:rsidRDefault="005127D2">
      <w:r>
        <w:t>Finans Norge</w:t>
      </w:r>
      <w:r w:rsidR="00404448">
        <w:t xml:space="preserve"> foreslår at det etableres en </w:t>
      </w:r>
      <w:r w:rsidR="005253F4">
        <w:t xml:space="preserve">felles forvaltningsfunksjon med en </w:t>
      </w:r>
      <w:r w:rsidR="00404448">
        <w:t xml:space="preserve">ansvarlig </w:t>
      </w:r>
      <w:r w:rsidR="005253F4">
        <w:t xml:space="preserve">som har </w:t>
      </w:r>
      <w:r w:rsidR="00404448">
        <w:t xml:space="preserve">koordineringsansvar (segmentansvar) på </w:t>
      </w:r>
      <w:r w:rsidR="005253F4">
        <w:t xml:space="preserve">næringens </w:t>
      </w:r>
      <w:r w:rsidR="00404448">
        <w:t>vegne mot aktuell</w:t>
      </w:r>
      <w:r w:rsidR="005A1118">
        <w:t>(e)</w:t>
      </w:r>
      <w:r w:rsidR="00404448">
        <w:t xml:space="preserve"> etat</w:t>
      </w:r>
      <w:r w:rsidR="005A1118">
        <w:t>(er).</w:t>
      </w:r>
    </w:p>
    <w:p w14:paraId="2E2BFF9A" w14:textId="1DBF5CE2" w:rsidR="00173C10" w:rsidRPr="00310CEA" w:rsidRDefault="007523C4">
      <w:r>
        <w:t>Det</w:t>
      </w:r>
      <w:r w:rsidR="005A1118">
        <w:t xml:space="preserve"> </w:t>
      </w:r>
      <w:r w:rsidR="00404448">
        <w:t xml:space="preserve">bør etableres en </w:t>
      </w:r>
      <w:r w:rsidR="50C8EA7B">
        <w:t xml:space="preserve">segmentansvarlig </w:t>
      </w:r>
      <w:r w:rsidR="00404448">
        <w:t xml:space="preserve">som skal </w:t>
      </w:r>
      <w:r w:rsidR="50C8EA7B">
        <w:t xml:space="preserve">etablere og forvalte </w:t>
      </w:r>
      <w:r w:rsidR="005A1118">
        <w:t>løsningen</w:t>
      </w:r>
      <w:r w:rsidR="50C8EA7B">
        <w:t xml:space="preserve"> for å tilgjengeliggjøre a-meldingsdata for pensjonsinnretningene. Segmentansvaret </w:t>
      </w:r>
      <w:r w:rsidR="00404448">
        <w:t xml:space="preserve">kan </w:t>
      </w:r>
      <w:r w:rsidR="50C8EA7B">
        <w:t xml:space="preserve">ivareta en større gruppe pensjonsinnretninger med sammenfallende behov for tilgang til </w:t>
      </w:r>
      <w:r w:rsidR="00B81345">
        <w:t>informasjon fra a-ordningen</w:t>
      </w:r>
      <w:r w:rsidR="50C8EA7B">
        <w:t xml:space="preserve">, gjennom </w:t>
      </w:r>
      <w:r w:rsidR="00B81345">
        <w:t xml:space="preserve">ensartet grensesnitt, og med det </w:t>
      </w:r>
      <w:r w:rsidR="50C8EA7B">
        <w:t xml:space="preserve">samme behandlingsgrunnlaget. Segmentansvarlig </w:t>
      </w:r>
      <w:r w:rsidR="00404448">
        <w:t xml:space="preserve">bør </w:t>
      </w:r>
      <w:r w:rsidR="50C8EA7B">
        <w:t xml:space="preserve">ha fullmakt til å konkludere på vegne av sitt segment. </w:t>
      </w:r>
    </w:p>
    <w:p w14:paraId="57FFB1EB" w14:textId="19BEFED7" w:rsidR="00173C10" w:rsidRPr="00310CEA" w:rsidRDefault="50C8EA7B" w:rsidP="50C8EA7B">
      <w:r>
        <w:t xml:space="preserve">Segmentansvarlig vil </w:t>
      </w:r>
      <w:r w:rsidR="00404448">
        <w:t xml:space="preserve">kunne </w:t>
      </w:r>
      <w:r>
        <w:t xml:space="preserve">være segmentets hovedkontaktpunkt for </w:t>
      </w:r>
      <w:r w:rsidR="00B81345">
        <w:t xml:space="preserve">aktuell etat. </w:t>
      </w:r>
      <w:r>
        <w:t xml:space="preserve">Segmentansvarlig har ansvar for å tilpasse seg etatens kommunikasjonsgrensesnitt for melding av feil, faglige henvendelser og varslinger. </w:t>
      </w:r>
    </w:p>
    <w:p w14:paraId="0829C35F" w14:textId="2CB8D1AD" w:rsidR="00173C10" w:rsidRPr="00310CEA" w:rsidRDefault="50C8EA7B">
      <w:r>
        <w:t xml:space="preserve">Segmentansvaret </w:t>
      </w:r>
      <w:r w:rsidR="00404448">
        <w:t xml:space="preserve">vil </w:t>
      </w:r>
      <w:r>
        <w:t xml:space="preserve">innebære tett dialog med pensjonsinnretningene, spesielt i gjennomførings- og innføringsfasen, for å sikre koordinering, informasjon, opplæring og brukerstøtte. Segmentansvarlig vil også være ansvarlig for å koble </w:t>
      </w:r>
      <w:r w:rsidR="00404448">
        <w:t xml:space="preserve">på </w:t>
      </w:r>
      <w:r>
        <w:t xml:space="preserve">nye pensjonsinnretninger, endringer og generell brukerstøtte. </w:t>
      </w:r>
    </w:p>
    <w:p w14:paraId="54D4D94A" w14:textId="4950B6D5" w:rsidR="00173C10" w:rsidRPr="00310CEA" w:rsidRDefault="50C8EA7B">
      <w:pPr>
        <w:rPr>
          <w:highlight w:val="yellow"/>
        </w:rPr>
      </w:pPr>
      <w:r>
        <w:t xml:space="preserve">Segmentansvarlig må ha tilstrekkelig kapasitet, kompetanse og ressurser til å ivareta segmentet de representerer på en god måte. </w:t>
      </w:r>
    </w:p>
    <w:p w14:paraId="03397315" w14:textId="672DB14D" w:rsidR="00F23E1C" w:rsidRDefault="50C8EA7B" w:rsidP="50C8EA7B">
      <w:pPr>
        <w:rPr>
          <w:b/>
          <w:bCs/>
        </w:rPr>
      </w:pPr>
      <w:r>
        <w:t xml:space="preserve"> </w:t>
      </w:r>
      <w:r w:rsidR="000401F8">
        <w:br/>
      </w:r>
      <w:r w:rsidRPr="50C8EA7B">
        <w:rPr>
          <w:b/>
          <w:bCs/>
        </w:rPr>
        <w:t>1.2 Overordnet arkitekturdesign</w:t>
      </w:r>
    </w:p>
    <w:p w14:paraId="2EC72C0B" w14:textId="1D94999E" w:rsidR="001917C4" w:rsidRDefault="00EB443B" w:rsidP="000401F8">
      <w:pPr>
        <w:rPr>
          <w:bCs/>
        </w:rPr>
      </w:pPr>
      <w:r>
        <w:t>Forslag til o</w:t>
      </w:r>
      <w:r w:rsidR="50C8EA7B">
        <w:t xml:space="preserve">verordnet arkitekturdesign </w:t>
      </w:r>
      <w:r w:rsidR="0064090E">
        <w:t xml:space="preserve">for en </w:t>
      </w:r>
      <w:r>
        <w:t xml:space="preserve">felles </w:t>
      </w:r>
      <w:r w:rsidR="0064090E">
        <w:t>forvaltningsfunksjo</w:t>
      </w:r>
      <w:r w:rsidR="00013F96">
        <w:t>n</w:t>
      </w:r>
      <w:r w:rsidR="0064090E">
        <w:t xml:space="preserve"> </w:t>
      </w:r>
      <w:r w:rsidR="50C8EA7B">
        <w:t xml:space="preserve">er beskrevet i vedlegg. </w:t>
      </w:r>
      <w:r w:rsidR="0064090E">
        <w:t xml:space="preserve">I det videre </w:t>
      </w:r>
      <w:r w:rsidR="00013F96">
        <w:t xml:space="preserve">her </w:t>
      </w:r>
      <w:r w:rsidR="50C8EA7B">
        <w:t xml:space="preserve">kommenteres kort ulike alternativer for datatilgang, prinsipper for autentisering og tilgangskontroll, funksjonelle og ikke-funksjonelle krav, brukseksempler, transaksjonsflyt og aktuelle datafelter. </w:t>
      </w:r>
      <w:r w:rsidR="00171288">
        <w:br/>
      </w:r>
      <w:r w:rsidR="00171288">
        <w:br/>
      </w:r>
      <w:r w:rsidR="50C8EA7B" w:rsidRPr="50C8EA7B">
        <w:rPr>
          <w:b/>
          <w:bCs/>
        </w:rPr>
        <w:t>1.3 Juridisk rammeverk og avtaler</w:t>
      </w:r>
      <w:r w:rsidR="00171288">
        <w:br/>
      </w:r>
      <w:r w:rsidR="00171288">
        <w:br/>
      </w:r>
      <w:r w:rsidR="00404448">
        <w:t xml:space="preserve">Det juridiske rammeverket må settes opp og tilpasses. </w:t>
      </w:r>
      <w:r w:rsidR="50C8EA7B">
        <w:t>Dette innebærer at det må utarbeides likelydende avtaler mellom segmentansvarlige og pensjonsinnretningene som regulerer hvilket ansvar og forpliktelser segmentansvarlig påtar seg på deres vegne overfor etaten. Dette må samordnes med en avtale mellom segmentansvarlig og etaten som regulerer omfang og innhold av de plikter segmentansvarlig påtar seg overfor etaten og hvilke plikter etaten påtar seg overfor segmentansvarlig i løsningen.</w:t>
      </w:r>
    </w:p>
    <w:p w14:paraId="39D63168" w14:textId="73D61D94" w:rsidR="00426E7E" w:rsidRPr="00426E7E" w:rsidRDefault="000401F8" w:rsidP="50C8EA7B">
      <w:pPr>
        <w:rPr>
          <w:b/>
          <w:bCs/>
        </w:rPr>
      </w:pPr>
      <w:r>
        <w:br/>
      </w:r>
      <w:r w:rsidR="50C8EA7B" w:rsidRPr="50C8EA7B">
        <w:rPr>
          <w:b/>
          <w:bCs/>
        </w:rPr>
        <w:t xml:space="preserve">1.4 </w:t>
      </w:r>
      <w:r w:rsidR="00EB443B">
        <w:rPr>
          <w:b/>
          <w:bCs/>
        </w:rPr>
        <w:t>Forutsetninger for gjennomføring og igangsettelse av en felles</w:t>
      </w:r>
      <w:r w:rsidR="005A1118">
        <w:rPr>
          <w:b/>
          <w:bCs/>
        </w:rPr>
        <w:t xml:space="preserve"> </w:t>
      </w:r>
      <w:r w:rsidR="00EB443B">
        <w:rPr>
          <w:b/>
          <w:bCs/>
        </w:rPr>
        <w:t>forvaltningsfunksjon</w:t>
      </w:r>
    </w:p>
    <w:p w14:paraId="06F4558B" w14:textId="77777777" w:rsidR="00272C52" w:rsidRDefault="50C8EA7B" w:rsidP="50C8EA7B">
      <w:pPr>
        <w:rPr>
          <w:u w:val="single"/>
        </w:rPr>
      </w:pPr>
      <w:r w:rsidRPr="50C8EA7B">
        <w:rPr>
          <w:u w:val="single"/>
        </w:rPr>
        <w:t>1.4.1 Omfang</w:t>
      </w:r>
    </w:p>
    <w:p w14:paraId="2B9A635C" w14:textId="101B6278" w:rsidR="00B81345" w:rsidRDefault="50C8EA7B" w:rsidP="50C8EA7B">
      <w:r>
        <w:t>Gjennomføring</w:t>
      </w:r>
      <w:r w:rsidR="00EB443B">
        <w:t xml:space="preserve"> av e</w:t>
      </w:r>
      <w:r w:rsidR="00013F96">
        <w:t>t</w:t>
      </w:r>
      <w:r w:rsidR="00EB443B">
        <w:t xml:space="preserve"> </w:t>
      </w:r>
      <w:r w:rsidR="00013F96">
        <w:t>prosjekt</w:t>
      </w:r>
      <w:r w:rsidR="00EB443B">
        <w:t xml:space="preserve"> som skal sikre en felles forvaltningsfunksjon</w:t>
      </w:r>
      <w:r w:rsidR="00013F96">
        <w:t xml:space="preserve"> </w:t>
      </w:r>
      <w:r>
        <w:t xml:space="preserve">vil kunne omfatte bransjens og pensjonsinnretningenes planlegging, etablering og innføring av bruk av informasjon fra a-ordningen i forbindelse med obligatorisk tjenestepensjon. I tillegg til etablering av eventuelle tekniske løsninger og infrastruktur, prosesser, juridisk rammeverk og avtaler, må det også legges til rette for selve innføringen, gjennom kommunikasjon, opplæring og brukerstøtte. </w:t>
      </w:r>
      <w:r w:rsidR="005A1118">
        <w:br/>
      </w:r>
    </w:p>
    <w:p w14:paraId="3186A6B6" w14:textId="545A6FB5" w:rsidR="004704DE" w:rsidRDefault="50C8EA7B" w:rsidP="50C8EA7B">
      <w:pPr>
        <w:rPr>
          <w:u w:val="single"/>
        </w:rPr>
      </w:pPr>
      <w:r w:rsidRPr="50C8EA7B">
        <w:rPr>
          <w:u w:val="single"/>
        </w:rPr>
        <w:lastRenderedPageBreak/>
        <w:t xml:space="preserve">1.4.2 Aktiviteter </w:t>
      </w:r>
    </w:p>
    <w:p w14:paraId="7444B643" w14:textId="60D93077" w:rsidR="00EB443B" w:rsidRDefault="50C8EA7B" w:rsidP="009C377F">
      <w:r>
        <w:t xml:space="preserve">Kapittelet omfatter primært </w:t>
      </w:r>
      <w:r w:rsidR="00EB443B">
        <w:t xml:space="preserve">forslag til </w:t>
      </w:r>
      <w:r>
        <w:t xml:space="preserve">felles </w:t>
      </w:r>
      <w:r w:rsidR="00013F96">
        <w:t>bransje</w:t>
      </w:r>
      <w:r>
        <w:t xml:space="preserve">aktiviteter i </w:t>
      </w:r>
      <w:r w:rsidR="00EB443B">
        <w:t xml:space="preserve">en eventuell </w:t>
      </w:r>
      <w:r>
        <w:t xml:space="preserve">gjennomførings-/realiseringsfase, knyttet til </w:t>
      </w:r>
      <w:r w:rsidR="00EB443B">
        <w:t>en felles forvaltningsfunksjon (</w:t>
      </w:r>
      <w:r>
        <w:t>segmentansvar</w:t>
      </w:r>
      <w:r w:rsidR="00EB443B">
        <w:t>)</w:t>
      </w:r>
      <w:r>
        <w:t xml:space="preserve">, koordineringselskapene imellom, og grensesnittene til det offentlige. </w:t>
      </w:r>
    </w:p>
    <w:p w14:paraId="568BAD06" w14:textId="072535C7" w:rsidR="009C377F" w:rsidRPr="008F478A" w:rsidRDefault="50C8EA7B" w:rsidP="009C377F">
      <w:pPr>
        <w:rPr>
          <w:bCs/>
          <w:highlight w:val="yellow"/>
        </w:rPr>
      </w:pPr>
      <w:r>
        <w:t xml:space="preserve">Pensjonsinnretningenes </w:t>
      </w:r>
      <w:r w:rsidR="00EB443B">
        <w:t xml:space="preserve">interne </w:t>
      </w:r>
      <w:r>
        <w:t xml:space="preserve">aktiviteter er ikke beskrevet, da de vil variere fra virksomhet til virksomhet. </w:t>
      </w:r>
      <w:r w:rsidR="0010187B">
        <w:t xml:space="preserve">For en </w:t>
      </w:r>
      <w:r w:rsidR="0010187B" w:rsidRPr="00126CE5">
        <w:rPr>
          <w:rStyle w:val="xnormaltextrun1"/>
          <w:rFonts w:cstheme="minorHAnsi"/>
          <w:color w:val="201F1E"/>
          <w:bdr w:val="none" w:sz="0" w:space="0" w:color="auto" w:frame="1"/>
        </w:rPr>
        <w:t>overordnet</w:t>
      </w:r>
      <w:r w:rsidR="0010187B">
        <w:t xml:space="preserve"> beskrivelse av en mulig </w:t>
      </w:r>
      <w:r w:rsidR="0010187B" w:rsidRPr="00126CE5">
        <w:rPr>
          <w:rStyle w:val="xnormaltextrun1"/>
          <w:rFonts w:cstheme="minorHAnsi"/>
          <w:color w:val="201F1E"/>
          <w:bdr w:val="none" w:sz="0" w:space="0" w:color="auto" w:frame="1"/>
        </w:rPr>
        <w:t>plan for migrering av arbeidsgivere over til ny løsning</w:t>
      </w:r>
      <w:r w:rsidR="0010187B">
        <w:rPr>
          <w:rStyle w:val="xnormaltextrun1"/>
          <w:rFonts w:cstheme="minorHAnsi"/>
          <w:color w:val="201F1E"/>
          <w:bdr w:val="none" w:sz="0" w:space="0" w:color="auto" w:frame="1"/>
        </w:rPr>
        <w:t xml:space="preserve"> vises til kapittel 3.4 Migreringsplan overfor arbeidsgivere.</w:t>
      </w:r>
    </w:p>
    <w:p w14:paraId="6085BED7" w14:textId="1916ED1A" w:rsidR="00251FB8" w:rsidRPr="008F0F63" w:rsidRDefault="50C8EA7B" w:rsidP="00251FB8">
      <w:pPr>
        <w:rPr>
          <w:bCs/>
        </w:rPr>
      </w:pPr>
      <w:r w:rsidRPr="008F0F63">
        <w:t>Eksempler på segmentansvarligs aktiviteter i gjennomførings-/realiseringsfasen vil være:</w:t>
      </w:r>
    </w:p>
    <w:p w14:paraId="65C53EE1" w14:textId="26562E3B" w:rsidR="00251FB8" w:rsidRPr="008F0F63" w:rsidRDefault="50C8EA7B" w:rsidP="50C8EA7B">
      <w:pPr>
        <w:pStyle w:val="Listeavsnitt"/>
        <w:numPr>
          <w:ilvl w:val="0"/>
          <w:numId w:val="1"/>
        </w:numPr>
      </w:pPr>
      <w:r w:rsidRPr="008F0F63">
        <w:t>Prosjektledelse og gjennomføring</w:t>
      </w:r>
    </w:p>
    <w:p w14:paraId="5C198392" w14:textId="31D108CA" w:rsidR="00C14983" w:rsidRPr="008F0F63" w:rsidRDefault="50C8EA7B" w:rsidP="50C8EA7B">
      <w:pPr>
        <w:pStyle w:val="Listeavsnitt"/>
        <w:numPr>
          <w:ilvl w:val="0"/>
          <w:numId w:val="1"/>
        </w:numPr>
      </w:pPr>
      <w:r w:rsidRPr="008F0F63">
        <w:t>Avklaring og koordinering vedr detaljer i de funksjonelle behovene for å sikre en enhetlig løsning for hele bransjen</w:t>
      </w:r>
    </w:p>
    <w:p w14:paraId="2C744738" w14:textId="05DE14A5" w:rsidR="00C960AD" w:rsidRPr="008F0F63" w:rsidRDefault="50C8EA7B" w:rsidP="50C8EA7B">
      <w:pPr>
        <w:pStyle w:val="Listeavsnitt"/>
        <w:numPr>
          <w:ilvl w:val="0"/>
          <w:numId w:val="1"/>
        </w:numPr>
      </w:pPr>
      <w:r w:rsidRPr="008F0F63">
        <w:t>Etablere og klargjøre i detalj segmentansvarligs rolle i innførings- og driftsfasen</w:t>
      </w:r>
    </w:p>
    <w:p w14:paraId="6536656A" w14:textId="0B3AFF39" w:rsidR="00C14983" w:rsidRPr="008F0F63" w:rsidRDefault="50C8EA7B" w:rsidP="50C8EA7B">
      <w:pPr>
        <w:pStyle w:val="Listeavsnitt"/>
        <w:numPr>
          <w:ilvl w:val="0"/>
          <w:numId w:val="1"/>
        </w:numPr>
      </w:pPr>
      <w:r w:rsidRPr="008F0F63">
        <w:t>Utvikling og etablering av IT-infrastruktur for å hente ut a-meldingsinformasjon og tilgjengeliggjøre informasjonen til pensjonsselskapene iht de etablerte krav. God felles løsning som skalerer og kan videreutvikles over tid. Koordinering med delingsetaten(e).</w:t>
      </w:r>
    </w:p>
    <w:p w14:paraId="4FC09DBD" w14:textId="3CDED3DB" w:rsidR="00C960AD" w:rsidRPr="008F0F63" w:rsidRDefault="50C8EA7B" w:rsidP="50C8EA7B">
      <w:pPr>
        <w:pStyle w:val="Listeavsnitt"/>
        <w:numPr>
          <w:ilvl w:val="0"/>
          <w:numId w:val="1"/>
        </w:numPr>
      </w:pPr>
      <w:r w:rsidRPr="008F0F63">
        <w:t>Etablering av nødvendig juridisk plattform og avtaleverk inkl koordinering med Skatteetaten vedr nødvendige lovhjemler.</w:t>
      </w:r>
    </w:p>
    <w:p w14:paraId="6132E847" w14:textId="790704CC" w:rsidR="00B46B45" w:rsidRPr="008F0F63" w:rsidRDefault="50C8EA7B" w:rsidP="50C8EA7B">
      <w:pPr>
        <w:pStyle w:val="Listeavsnitt"/>
        <w:numPr>
          <w:ilvl w:val="0"/>
          <w:numId w:val="1"/>
        </w:numPr>
      </w:pPr>
      <w:r w:rsidRPr="008F0F63">
        <w:t>Faste felles statusmøter med pensjonsinnretningene.</w:t>
      </w:r>
    </w:p>
    <w:p w14:paraId="43E860E2" w14:textId="4B201E1B" w:rsidR="00251FB8" w:rsidRPr="008F0F63" w:rsidRDefault="50C8EA7B" w:rsidP="50C8EA7B">
      <w:pPr>
        <w:pStyle w:val="Listeavsnitt"/>
        <w:numPr>
          <w:ilvl w:val="0"/>
          <w:numId w:val="1"/>
        </w:numPr>
      </w:pPr>
      <w:r w:rsidRPr="008F0F63">
        <w:t>Eventuelle arbeidsmøter på tvers ved behov</w:t>
      </w:r>
    </w:p>
    <w:p w14:paraId="6C2E910E" w14:textId="67AF90E0" w:rsidR="00EE0B62" w:rsidRDefault="50C8EA7B" w:rsidP="00EE0B62">
      <w:r>
        <w:t xml:space="preserve">Parallelt vil det </w:t>
      </w:r>
      <w:r w:rsidR="00EB443B">
        <w:t xml:space="preserve">måtte </w:t>
      </w:r>
      <w:r>
        <w:t xml:space="preserve">bli utarbeidet rammeverk og prosesser for drift og forvaltning. </w:t>
      </w:r>
      <w:r w:rsidR="00EB443B">
        <w:t>Videre må i</w:t>
      </w:r>
      <w:r>
        <w:t>nnførings- og migreringsplan utarbeides, som beskriver eksempelvis piloter, testing og prinsipper for migrering. En nærmere beskrivelse av innførings- og driftsfasen er gitt i eget vedlegg.</w:t>
      </w:r>
    </w:p>
    <w:p w14:paraId="78D5687B" w14:textId="7D3A7FF9" w:rsidR="00EE0B62" w:rsidRDefault="002223D9" w:rsidP="50C8EA7B">
      <w:pPr>
        <w:rPr>
          <w:bCs/>
        </w:rPr>
      </w:pPr>
      <w:r>
        <w:br/>
      </w:r>
      <w:r w:rsidR="50C8EA7B" w:rsidRPr="50C8EA7B">
        <w:rPr>
          <w:u w:val="single"/>
        </w:rPr>
        <w:t>1.4.3 Ressurser</w:t>
      </w:r>
      <w:r>
        <w:br/>
      </w:r>
      <w:r>
        <w:br/>
      </w:r>
      <w:r w:rsidR="50C8EA7B">
        <w:t xml:space="preserve">For sitt interne arbeid i gjennomførings- og innføringsfasen legger vi til grunn at pensjonsinnretningene vil kunne ha behov for et lite, operativt team bestående av en til tre forretningsressurser inklusiv prosjektleder, og en til to tekniske ressurser, i tillegg til støtteressurser innen jus, marked/salg/kundeinnsikt og kommunikasjon. Ressursbehovet vil variere mellom pensjonsinnretningene. Det vil være ulikt kompetanse- og ressursbehov over tid i prosjektet. </w:t>
      </w:r>
    </w:p>
    <w:p w14:paraId="63D2E931" w14:textId="347B3C4C" w:rsidR="00FC034F" w:rsidRDefault="50C8EA7B" w:rsidP="50C8EA7B">
      <w:pPr>
        <w:rPr>
          <w:u w:val="single"/>
        </w:rPr>
      </w:pPr>
      <w:r>
        <w:t xml:space="preserve">Parallelt er det behov for at segmentansvarlig </w:t>
      </w:r>
      <w:r w:rsidR="00B81345">
        <w:t xml:space="preserve">i gjennomføringsperioden </w:t>
      </w:r>
      <w:r>
        <w:t>koordinerer et lite, operativt team som vil ivareta segmentansvaret. Dette vil omfatte ressurser fra segmentansvarlig og pensjonsinnretningene, og primært bestå av forretningsmessig, teknisk, juridisk, og driftsmessig kompetanse, samt prosjektledelse.</w:t>
      </w:r>
      <w:r w:rsidR="00EE0B62">
        <w:br/>
      </w:r>
      <w:r w:rsidR="00EE0B62">
        <w:br/>
      </w:r>
      <w:r w:rsidRPr="50C8EA7B">
        <w:rPr>
          <w:u w:val="single"/>
        </w:rPr>
        <w:t>1.4.4 Kostnadsanslag</w:t>
      </w:r>
    </w:p>
    <w:p w14:paraId="29C7A431" w14:textId="77777777" w:rsidR="00B220AD" w:rsidRDefault="50C8EA7B" w:rsidP="50C8EA7B">
      <w:r>
        <w:t xml:space="preserve">I kapittel 3 er </w:t>
      </w:r>
      <w:r w:rsidR="00EB443B">
        <w:t xml:space="preserve">anslag på </w:t>
      </w:r>
      <w:r w:rsidR="005A1118">
        <w:t xml:space="preserve">pensjonsinnretningenes </w:t>
      </w:r>
      <w:r>
        <w:t xml:space="preserve">totale kostnad ved </w:t>
      </w:r>
      <w:r w:rsidR="005A1118">
        <w:t xml:space="preserve">realiseringen av løsningen </w:t>
      </w:r>
      <w:r>
        <w:t>anslått til NOK 25 mill. Dette inkluderer ressurser som beskrevet over, og gjelder primært pensjonsinnretningenes interne implementerings</w:t>
      </w:r>
      <w:r w:rsidRPr="00233E16">
        <w:t>prosjekter.</w:t>
      </w:r>
      <w:r w:rsidR="003C7BA2" w:rsidRPr="00233E16">
        <w:t xml:space="preserve"> Enkelte </w:t>
      </w:r>
      <w:r w:rsidR="009676DE" w:rsidRPr="00233E16">
        <w:t xml:space="preserve">aktører </w:t>
      </w:r>
      <w:r w:rsidR="003C7BA2" w:rsidRPr="00233E16">
        <w:t xml:space="preserve">har påpekt at kostnadene ved </w:t>
      </w:r>
      <w:r w:rsidR="009676DE" w:rsidRPr="00233E16">
        <w:t xml:space="preserve">pensjonsinnretningenes </w:t>
      </w:r>
      <w:r w:rsidR="003C7BA2" w:rsidRPr="00233E16">
        <w:t>tilgang til a-meldingsdata må ivareta hensynet til effektiv konkurran</w:t>
      </w:r>
      <w:r w:rsidR="000E16EB" w:rsidRPr="00233E16">
        <w:t>s</w:t>
      </w:r>
      <w:r w:rsidR="003C7BA2" w:rsidRPr="00233E16">
        <w:t>e</w:t>
      </w:r>
      <w:r w:rsidR="00937743" w:rsidRPr="00233E16">
        <w:t xml:space="preserve"> innen bransjen.</w:t>
      </w:r>
    </w:p>
    <w:p w14:paraId="3641BD37" w14:textId="77777777" w:rsidR="00B220AD" w:rsidRDefault="00B220AD" w:rsidP="50C8EA7B"/>
    <w:p w14:paraId="5F6A7739" w14:textId="1304BAAE" w:rsidR="006A63DF" w:rsidRDefault="50C8EA7B" w:rsidP="50C8EA7B">
      <w:pPr>
        <w:rPr>
          <w:u w:val="single"/>
        </w:rPr>
      </w:pPr>
      <w:r w:rsidRPr="50C8EA7B">
        <w:rPr>
          <w:u w:val="single"/>
        </w:rPr>
        <w:lastRenderedPageBreak/>
        <w:t>1.4.5 Organisering</w:t>
      </w:r>
    </w:p>
    <w:p w14:paraId="21115C71" w14:textId="77777777" w:rsidR="00DB1289" w:rsidRDefault="50C8EA7B" w:rsidP="50C8EA7B">
      <w:r>
        <w:t xml:space="preserve">Bransjens gjennomføring foreslås organisert med en styringsgruppe bestående av representanter for oppdragsgiverne og de ulike interessentene. Det løpende arbeidet gjøres i prosjektgruppen, ledet av en prosjektleder som rapporterer til styringsgruppen. Prosjektgruppen vil bestå av representanter fra forretnings-/ produktsiden i pensjonsinnretningene og fra </w:t>
      </w:r>
      <w:r w:rsidR="00B81345">
        <w:t>etatene</w:t>
      </w:r>
      <w:r>
        <w:t>. Ved behov vil prosjektgruppen trekke på delprosjektgrupper innen eksempelvis juridisk, arkitektur og løsning, forvaltning og kommunikasjon.</w:t>
      </w:r>
    </w:p>
    <w:p w14:paraId="6C2EAFA8" w14:textId="71AEE909" w:rsidR="00272C52" w:rsidRDefault="00AD5D67" w:rsidP="50C8EA7B">
      <w:pPr>
        <w:rPr>
          <w:u w:val="single"/>
        </w:rPr>
      </w:pPr>
      <w:r>
        <w:br/>
      </w:r>
      <w:r w:rsidR="50C8EA7B" w:rsidRPr="50C8EA7B">
        <w:rPr>
          <w:u w:val="single"/>
        </w:rPr>
        <w:t>1.4.6 Tidsplan</w:t>
      </w:r>
    </w:p>
    <w:p w14:paraId="3257D07A" w14:textId="56556D0B" w:rsidR="00BA54B9" w:rsidRDefault="005127D2" w:rsidP="000401F8">
      <w:pPr>
        <w:rPr>
          <w:bCs/>
        </w:rPr>
      </w:pPr>
      <w:r>
        <w:t>Finans Norge</w:t>
      </w:r>
      <w:r w:rsidR="50C8EA7B">
        <w:t xml:space="preserve">s </w:t>
      </w:r>
      <w:r w:rsidR="00F65125">
        <w:t xml:space="preserve">foreløpige vurdering og </w:t>
      </w:r>
      <w:r w:rsidR="50C8EA7B">
        <w:t>forslag til tidsplan er skissert nedenfor</w:t>
      </w:r>
      <w:r w:rsidR="00F65125">
        <w:t xml:space="preserve"> med</w:t>
      </w:r>
      <w:r w:rsidR="50C8EA7B">
        <w:t xml:space="preserve"> produksjon i pilot fra januar 2021. Segmentansvarlig vil </w:t>
      </w:r>
      <w:r w:rsidR="00F65125">
        <w:t xml:space="preserve">måtte </w:t>
      </w:r>
      <w:r w:rsidR="50C8EA7B">
        <w:t>utarbeide egen plan tilpasset denne, koordinert med Skatteetaten og eventuelle andre tilgangsetater.</w:t>
      </w:r>
      <w:r w:rsidR="008F478A">
        <w:br/>
      </w:r>
      <w:r w:rsidR="008F478A">
        <w:br/>
      </w:r>
      <w:r w:rsidR="008F478A">
        <w:rPr>
          <w:noProof/>
          <w:lang w:eastAsia="nb-NO"/>
        </w:rPr>
        <w:drawing>
          <wp:inline distT="0" distB="0" distL="0" distR="0" wp14:anchorId="1CFD1AB5" wp14:editId="3F75DFAE">
            <wp:extent cx="3181350" cy="2385681"/>
            <wp:effectExtent l="0" t="0" r="0" b="0"/>
            <wp:docPr id="1136993051"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pic:nvPicPr>
                  <pic:blipFill>
                    <a:blip r:embed="rId11">
                      <a:extLst>
                        <a:ext uri="{28A0092B-C50C-407E-A947-70E740481C1C}">
                          <a14:useLocalDpi xmlns:a14="http://schemas.microsoft.com/office/drawing/2010/main" val="0"/>
                        </a:ext>
                      </a:extLst>
                    </a:blip>
                    <a:stretch>
                      <a:fillRect/>
                    </a:stretch>
                  </pic:blipFill>
                  <pic:spPr>
                    <a:xfrm>
                      <a:off x="0" y="0"/>
                      <a:ext cx="3181350" cy="2385681"/>
                    </a:xfrm>
                    <a:prstGeom prst="rect">
                      <a:avLst/>
                    </a:prstGeom>
                  </pic:spPr>
                </pic:pic>
              </a:graphicData>
            </a:graphic>
          </wp:inline>
        </w:drawing>
      </w:r>
    </w:p>
    <w:p w14:paraId="34CB58EF" w14:textId="46AAFAD3" w:rsidR="00C13062" w:rsidRDefault="005127D2" w:rsidP="50C8EA7B">
      <w:r>
        <w:t>Finans Norge</w:t>
      </w:r>
      <w:r w:rsidR="00F65125">
        <w:t xml:space="preserve">s forslag til </w:t>
      </w:r>
      <w:r w:rsidR="50C8EA7B">
        <w:t>tidsplan forutsetter prosjektoppstart 01.01.20, samt parallelle prosesser hos tilgangsetaten(e). Planen vil bli detaljert med øvrige områder som eksempelvis juridisk avtaleverk, planlegging av kundekommunikasjon, og innføring.</w:t>
      </w:r>
    </w:p>
    <w:p w14:paraId="3BF2E7A3" w14:textId="1A96FE66" w:rsidR="00B95C8A" w:rsidRPr="000C7275" w:rsidRDefault="00957980" w:rsidP="50C8EA7B">
      <w:pPr>
        <w:rPr>
          <w:color w:val="000000" w:themeColor="text1"/>
          <w:u w:val="single"/>
        </w:rPr>
      </w:pPr>
      <w:r>
        <w:br/>
      </w:r>
      <w:r w:rsidR="50C8EA7B" w:rsidRPr="50C8EA7B">
        <w:rPr>
          <w:color w:val="000000" w:themeColor="text1"/>
          <w:u w:val="single"/>
        </w:rPr>
        <w:t>1.4.</w:t>
      </w:r>
      <w:r w:rsidR="005E742C">
        <w:rPr>
          <w:color w:val="000000" w:themeColor="text1"/>
          <w:u w:val="single"/>
        </w:rPr>
        <w:t>7</w:t>
      </w:r>
      <w:r w:rsidR="50C8EA7B" w:rsidRPr="50C8EA7B">
        <w:rPr>
          <w:color w:val="000000" w:themeColor="text1"/>
          <w:u w:val="single"/>
        </w:rPr>
        <w:t xml:space="preserve"> Risiko</w:t>
      </w:r>
    </w:p>
    <w:p w14:paraId="0C2EB2D1" w14:textId="506EDAE0" w:rsidR="00B95C8A" w:rsidRDefault="005127D2" w:rsidP="00E33EA5">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Finans Norge</w:t>
      </w:r>
      <w:r w:rsidR="00B95C8A">
        <w:rPr>
          <w:rFonts w:asciiTheme="minorHAnsi" w:hAnsiTheme="minorHAnsi" w:cstheme="minorHAnsi"/>
          <w:color w:val="000000"/>
          <w:sz w:val="22"/>
          <w:szCs w:val="22"/>
        </w:rPr>
        <w:t xml:space="preserve"> vurderer at de mest kritiske risikofaktorene ved selve gjennomføringen av </w:t>
      </w:r>
      <w:r w:rsidR="00F65125">
        <w:rPr>
          <w:rFonts w:asciiTheme="minorHAnsi" w:hAnsiTheme="minorHAnsi" w:cstheme="minorHAnsi"/>
          <w:color w:val="000000"/>
          <w:sz w:val="22"/>
          <w:szCs w:val="22"/>
        </w:rPr>
        <w:t xml:space="preserve">et slikt </w:t>
      </w:r>
      <w:r w:rsidR="00B95C8A">
        <w:rPr>
          <w:rFonts w:asciiTheme="minorHAnsi" w:hAnsiTheme="minorHAnsi" w:cstheme="minorHAnsi"/>
          <w:color w:val="000000"/>
          <w:sz w:val="22"/>
          <w:szCs w:val="22"/>
        </w:rPr>
        <w:t xml:space="preserve">prosjekt er knyttet til nødvendige lovendringer for </w:t>
      </w:r>
      <w:r w:rsidR="008C0434">
        <w:rPr>
          <w:rFonts w:asciiTheme="minorHAnsi" w:hAnsiTheme="minorHAnsi" w:cstheme="minorHAnsi"/>
          <w:color w:val="000000"/>
          <w:sz w:val="22"/>
          <w:szCs w:val="22"/>
        </w:rPr>
        <w:t xml:space="preserve">å gi </w:t>
      </w:r>
      <w:r w:rsidR="00B95C8A">
        <w:rPr>
          <w:rFonts w:asciiTheme="minorHAnsi" w:hAnsiTheme="minorHAnsi" w:cstheme="minorHAnsi"/>
          <w:color w:val="000000"/>
          <w:sz w:val="22"/>
          <w:szCs w:val="22"/>
        </w:rPr>
        <w:t xml:space="preserve">hjemler til å motta a-meldingsinformasjon. </w:t>
      </w:r>
      <w:r w:rsidR="00D069BB">
        <w:rPr>
          <w:rFonts w:asciiTheme="minorHAnsi" w:hAnsiTheme="minorHAnsi" w:cstheme="minorHAnsi"/>
          <w:color w:val="000000"/>
          <w:sz w:val="22"/>
          <w:szCs w:val="22"/>
        </w:rPr>
        <w:br/>
      </w:r>
      <w:r w:rsidR="00D069BB">
        <w:rPr>
          <w:rFonts w:asciiTheme="minorHAnsi" w:hAnsiTheme="minorHAnsi" w:cstheme="minorHAnsi"/>
          <w:color w:val="000000"/>
          <w:sz w:val="22"/>
          <w:szCs w:val="22"/>
        </w:rPr>
        <w:br/>
        <w:t>Risikofaktorene er oppsummert i risikomatrise nedenfor basert på grad av sannsynlighet og konsekvens. Forslag til risikoreduserende tiltak er angitt for den enkelte risiko.</w:t>
      </w:r>
    </w:p>
    <w:p w14:paraId="5C6D02C2" w14:textId="16FFC363" w:rsidR="00B95C8A" w:rsidRDefault="00B95C8A" w:rsidP="00E33EA5">
      <w:pPr>
        <w:pStyle w:val="NormalWeb"/>
        <w:rPr>
          <w:rFonts w:asciiTheme="minorHAnsi" w:hAnsiTheme="minorHAnsi" w:cstheme="minorHAnsi"/>
          <w:color w:val="000000"/>
          <w:sz w:val="22"/>
          <w:szCs w:val="22"/>
        </w:rPr>
      </w:pPr>
      <w:r>
        <w:rPr>
          <w:noProof/>
        </w:rPr>
        <w:lastRenderedPageBreak/>
        <w:drawing>
          <wp:inline distT="0" distB="0" distL="0" distR="0" wp14:anchorId="6CF76190" wp14:editId="6D8DDB10">
            <wp:extent cx="5760720" cy="3594100"/>
            <wp:effectExtent l="0" t="0" r="0" b="6350"/>
            <wp:docPr id="73529003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2">
                      <a:extLst>
                        <a:ext uri="{28A0092B-C50C-407E-A947-70E740481C1C}">
                          <a14:useLocalDpi xmlns:a14="http://schemas.microsoft.com/office/drawing/2010/main" val="0"/>
                        </a:ext>
                      </a:extLst>
                    </a:blip>
                    <a:stretch>
                      <a:fillRect/>
                    </a:stretch>
                  </pic:blipFill>
                  <pic:spPr>
                    <a:xfrm>
                      <a:off x="0" y="0"/>
                      <a:ext cx="5760720" cy="3594100"/>
                    </a:xfrm>
                    <a:prstGeom prst="rect">
                      <a:avLst/>
                    </a:prstGeom>
                  </pic:spPr>
                </pic:pic>
              </a:graphicData>
            </a:graphic>
          </wp:inline>
        </w:drawing>
      </w:r>
    </w:p>
    <w:p w14:paraId="0EE73FBC" w14:textId="05AEF78C" w:rsidR="003D45BD" w:rsidRDefault="00D069BB" w:rsidP="50C8EA7B">
      <w:pPr>
        <w:pStyle w:val="NormalWeb"/>
        <w:rPr>
          <w:rFonts w:asciiTheme="minorHAnsi" w:hAnsiTheme="minorHAnsi" w:cstheme="minorBidi"/>
          <w:color w:val="000000" w:themeColor="text1"/>
          <w:sz w:val="22"/>
          <w:szCs w:val="22"/>
        </w:rPr>
      </w:pPr>
      <w:r>
        <w:br/>
      </w:r>
      <w:r w:rsidR="50C8EA7B" w:rsidRPr="50C8EA7B">
        <w:rPr>
          <w:rFonts w:asciiTheme="minorHAnsi" w:hAnsiTheme="minorHAnsi" w:cstheme="minorBidi"/>
          <w:color w:val="000000" w:themeColor="text1"/>
          <w:sz w:val="22"/>
          <w:szCs w:val="22"/>
        </w:rPr>
        <w:t xml:space="preserve">I tillegg til disse prosjektspesifikke risikofaktorene, kommer de generelle prosjektrisikofaktorene som gjelder de fleste større IT- og endringsprosjekter. </w:t>
      </w:r>
      <w:r w:rsidR="005127D2">
        <w:rPr>
          <w:rFonts w:asciiTheme="minorHAnsi" w:hAnsiTheme="minorHAnsi" w:cstheme="minorBidi"/>
          <w:color w:val="000000" w:themeColor="text1"/>
          <w:sz w:val="22"/>
          <w:szCs w:val="22"/>
        </w:rPr>
        <w:t>Finans Norge</w:t>
      </w:r>
      <w:r w:rsidR="00F65125">
        <w:rPr>
          <w:rFonts w:asciiTheme="minorHAnsi" w:hAnsiTheme="minorHAnsi" w:cstheme="minorBidi"/>
          <w:color w:val="000000" w:themeColor="text1"/>
          <w:sz w:val="22"/>
          <w:szCs w:val="22"/>
        </w:rPr>
        <w:t xml:space="preserve"> har ikke behandlet </w:t>
      </w:r>
      <w:r w:rsidR="50C8EA7B" w:rsidRPr="50C8EA7B">
        <w:rPr>
          <w:rFonts w:asciiTheme="minorHAnsi" w:hAnsiTheme="minorHAnsi" w:cstheme="minorBidi"/>
          <w:color w:val="000000" w:themeColor="text1"/>
          <w:sz w:val="22"/>
          <w:szCs w:val="22"/>
        </w:rPr>
        <w:t xml:space="preserve">disse spesielt </w:t>
      </w:r>
      <w:r w:rsidR="00F65125">
        <w:rPr>
          <w:rFonts w:asciiTheme="minorHAnsi" w:hAnsiTheme="minorHAnsi" w:cstheme="minorBidi"/>
          <w:color w:val="000000" w:themeColor="text1"/>
          <w:sz w:val="22"/>
          <w:szCs w:val="22"/>
        </w:rPr>
        <w:t>i herværende rapport</w:t>
      </w:r>
      <w:r w:rsidR="50C8EA7B" w:rsidRPr="50C8EA7B">
        <w:rPr>
          <w:rFonts w:asciiTheme="minorHAnsi" w:hAnsiTheme="minorHAnsi" w:cstheme="minorBidi"/>
          <w:color w:val="000000" w:themeColor="text1"/>
          <w:sz w:val="22"/>
          <w:szCs w:val="22"/>
        </w:rPr>
        <w:t>.</w:t>
      </w:r>
      <w:bookmarkStart w:id="1" w:name="_Toc515434635"/>
      <w:bookmarkStart w:id="2" w:name="_Toc503348454"/>
      <w:bookmarkEnd w:id="1"/>
      <w:bookmarkEnd w:id="2"/>
      <w:r w:rsidR="003D45BD">
        <w:rPr>
          <w:rFonts w:asciiTheme="minorHAnsi" w:hAnsiTheme="minorHAnsi" w:cstheme="minorBidi"/>
          <w:color w:val="000000" w:themeColor="text1"/>
          <w:sz w:val="22"/>
          <w:szCs w:val="22"/>
        </w:rPr>
        <w:t xml:space="preserve"> </w:t>
      </w:r>
    </w:p>
    <w:p w14:paraId="698FB087" w14:textId="263182B0" w:rsidR="50C8EA7B" w:rsidRDefault="50C8EA7B" w:rsidP="50C8EA7B">
      <w:pPr>
        <w:pStyle w:val="NormalWeb"/>
        <w:rPr>
          <w:rFonts w:asciiTheme="minorHAnsi" w:hAnsiTheme="minorHAnsi" w:cstheme="minorBidi"/>
          <w:color w:val="000000" w:themeColor="text1"/>
          <w:sz w:val="22"/>
          <w:szCs w:val="22"/>
        </w:rPr>
      </w:pPr>
      <w:r w:rsidRPr="50C8EA7B">
        <w:rPr>
          <w:rFonts w:asciiTheme="minorHAnsi" w:hAnsiTheme="minorHAnsi" w:cstheme="minorBidi"/>
          <w:color w:val="000000" w:themeColor="text1"/>
          <w:sz w:val="22"/>
          <w:szCs w:val="22"/>
        </w:rPr>
        <w:t xml:space="preserve">Øvrige risikofaktorer knyttet til mer kommersielle forhold er </w:t>
      </w:r>
      <w:r w:rsidR="00F65125">
        <w:rPr>
          <w:rFonts w:asciiTheme="minorHAnsi" w:hAnsiTheme="minorHAnsi" w:cstheme="minorBidi"/>
          <w:color w:val="000000" w:themeColor="text1"/>
          <w:sz w:val="22"/>
          <w:szCs w:val="22"/>
        </w:rPr>
        <w:t xml:space="preserve">heller </w:t>
      </w:r>
      <w:r w:rsidRPr="50C8EA7B">
        <w:rPr>
          <w:rFonts w:asciiTheme="minorHAnsi" w:hAnsiTheme="minorHAnsi" w:cstheme="minorBidi"/>
          <w:color w:val="000000" w:themeColor="text1"/>
          <w:sz w:val="22"/>
          <w:szCs w:val="22"/>
        </w:rPr>
        <w:t xml:space="preserve">ikke ytterligere </w:t>
      </w:r>
      <w:r w:rsidR="00F65125" w:rsidRPr="50C8EA7B">
        <w:rPr>
          <w:rFonts w:asciiTheme="minorHAnsi" w:hAnsiTheme="minorHAnsi" w:cstheme="minorBidi"/>
          <w:color w:val="000000" w:themeColor="text1"/>
          <w:sz w:val="22"/>
          <w:szCs w:val="22"/>
        </w:rPr>
        <w:t>berørt</w:t>
      </w:r>
      <w:r w:rsidRPr="50C8EA7B">
        <w:rPr>
          <w:rFonts w:asciiTheme="minorHAnsi" w:hAnsiTheme="minorHAnsi" w:cstheme="minorBidi"/>
          <w:color w:val="000000" w:themeColor="text1"/>
          <w:sz w:val="22"/>
          <w:szCs w:val="22"/>
        </w:rPr>
        <w:t xml:space="preserve">. </w:t>
      </w:r>
      <w:r w:rsidR="00F65125">
        <w:rPr>
          <w:rFonts w:asciiTheme="minorHAnsi" w:hAnsiTheme="minorHAnsi" w:cstheme="minorBidi"/>
          <w:color w:val="000000" w:themeColor="text1"/>
          <w:sz w:val="22"/>
          <w:szCs w:val="22"/>
        </w:rPr>
        <w:t>Øvrige risikofaktorer</w:t>
      </w:r>
      <w:r w:rsidR="00F65125" w:rsidRPr="50C8EA7B">
        <w:rPr>
          <w:rFonts w:asciiTheme="minorHAnsi" w:hAnsiTheme="minorHAnsi" w:cstheme="minorBidi"/>
          <w:color w:val="000000" w:themeColor="text1"/>
          <w:sz w:val="22"/>
          <w:szCs w:val="22"/>
        </w:rPr>
        <w:t xml:space="preserve"> </w:t>
      </w:r>
      <w:r w:rsidRPr="50C8EA7B">
        <w:rPr>
          <w:rFonts w:asciiTheme="minorHAnsi" w:hAnsiTheme="minorHAnsi" w:cstheme="minorBidi"/>
          <w:color w:val="000000" w:themeColor="text1"/>
          <w:sz w:val="22"/>
          <w:szCs w:val="22"/>
        </w:rPr>
        <w:t xml:space="preserve">kan eksempelvis </w:t>
      </w:r>
      <w:r w:rsidR="00F65125">
        <w:rPr>
          <w:rFonts w:asciiTheme="minorHAnsi" w:hAnsiTheme="minorHAnsi" w:cstheme="minorBidi"/>
          <w:color w:val="000000" w:themeColor="text1"/>
          <w:sz w:val="22"/>
          <w:szCs w:val="22"/>
        </w:rPr>
        <w:t xml:space="preserve">være </w:t>
      </w:r>
      <w:r w:rsidRPr="50C8EA7B">
        <w:rPr>
          <w:rFonts w:asciiTheme="minorHAnsi" w:hAnsiTheme="minorHAnsi" w:cstheme="minorBidi"/>
          <w:color w:val="000000" w:themeColor="text1"/>
          <w:sz w:val="22"/>
          <w:szCs w:val="22"/>
        </w:rPr>
        <w:t>innførings- og omdømmerisiko ved at ny og mer korrekt informasjon om arbeids- og inntektsforhold avdekker manglende pensjonssparing.</w:t>
      </w:r>
      <w:r>
        <w:br/>
      </w:r>
    </w:p>
    <w:p w14:paraId="6DF236A4" w14:textId="574E3049" w:rsidR="00426E7E" w:rsidRDefault="50C8EA7B" w:rsidP="50C8EA7B">
      <w:pPr>
        <w:rPr>
          <w:b/>
          <w:bCs/>
        </w:rPr>
      </w:pPr>
      <w:r w:rsidRPr="50C8EA7B">
        <w:rPr>
          <w:b/>
          <w:bCs/>
        </w:rPr>
        <w:t xml:space="preserve"> </w:t>
      </w:r>
      <w:r w:rsidR="00173C10" w:rsidRPr="50C8EA7B">
        <w:rPr>
          <w:b/>
          <w:bCs/>
        </w:rPr>
        <w:br w:type="page"/>
      </w:r>
    </w:p>
    <w:p w14:paraId="65D836B5" w14:textId="77777777" w:rsidR="000401F8" w:rsidRDefault="50C8EA7B" w:rsidP="000401F8">
      <w:pPr>
        <w:rPr>
          <w:b/>
          <w:sz w:val="32"/>
          <w:szCs w:val="32"/>
        </w:rPr>
      </w:pPr>
      <w:r w:rsidRPr="50C8EA7B">
        <w:rPr>
          <w:b/>
          <w:bCs/>
          <w:sz w:val="32"/>
          <w:szCs w:val="32"/>
        </w:rPr>
        <w:lastRenderedPageBreak/>
        <w:t>2. Forventede forenklingsgevinster for arbeidsgivere</w:t>
      </w:r>
    </w:p>
    <w:p w14:paraId="34FECB2C" w14:textId="08A9CCFA" w:rsidR="50C8EA7B" w:rsidRDefault="00F65125">
      <w:r>
        <w:t xml:space="preserve">Det er </w:t>
      </w:r>
      <w:r w:rsidR="005127D2">
        <w:t>Finans Norge</w:t>
      </w:r>
      <w:r>
        <w:t>s vurdering at m</w:t>
      </w:r>
      <w:r w:rsidR="14D4EF53">
        <w:t xml:space="preserve">ed innføring av a-melding som kilde for pensjonsajourhold vil det </w:t>
      </w:r>
      <w:r w:rsidR="00407686">
        <w:t>meste</w:t>
      </w:r>
      <w:r w:rsidR="14D4EF53">
        <w:t xml:space="preserve"> av arbeidsgivernes direkterapportering til pensjonsinnretningene bortfalle</w:t>
      </w:r>
      <w:r>
        <w:t xml:space="preserve">. </w:t>
      </w:r>
      <w:r w:rsidR="005127D2">
        <w:t>Finans Norge</w:t>
      </w:r>
      <w:r>
        <w:t xml:space="preserve"> anslår en </w:t>
      </w:r>
      <w:r w:rsidR="14D4EF53">
        <w:t xml:space="preserve">årlig forenklingsgevinst </w:t>
      </w:r>
      <w:r w:rsidR="00407686">
        <w:t xml:space="preserve">for arbeidsgiverne </w:t>
      </w:r>
      <w:r w:rsidR="14D4EF53">
        <w:t>til ca</w:t>
      </w:r>
      <w:r w:rsidR="001D26C5">
        <w:t>.</w:t>
      </w:r>
      <w:r w:rsidR="14D4EF53">
        <w:t xml:space="preserve"> NOK 780 millioner.</w:t>
      </w:r>
      <w:r w:rsidR="00BA78BE">
        <w:br/>
      </w:r>
    </w:p>
    <w:p w14:paraId="32B79CC4" w14:textId="1F0C2E0E" w:rsidR="00C17A04" w:rsidRPr="00937728" w:rsidRDefault="00C17A04" w:rsidP="00C17A04">
      <w:pPr>
        <w:rPr>
          <w:b/>
          <w:sz w:val="32"/>
          <w:szCs w:val="32"/>
        </w:rPr>
      </w:pPr>
      <w:r>
        <w:rPr>
          <w:b/>
          <w:bCs/>
        </w:rPr>
        <w:t>2.</w:t>
      </w:r>
      <w:r w:rsidRPr="001178AC">
        <w:rPr>
          <w:b/>
          <w:bCs/>
        </w:rPr>
        <w:t>1. Bakgrunn</w:t>
      </w:r>
      <w:r>
        <w:rPr>
          <w:b/>
          <w:bCs/>
        </w:rPr>
        <w:t xml:space="preserve"> – dagens prosesser </w:t>
      </w:r>
      <w:r w:rsidR="009B3789">
        <w:rPr>
          <w:b/>
          <w:bCs/>
        </w:rPr>
        <w:br/>
      </w:r>
      <w:r>
        <w:br/>
        <w:t>Dagens prosesser med omfattende rapportering av lønns- og pensjonsdata fra arbeidsgiverne til pensjonsinnretningene vil i det vesentlige bortfalle, idet de ivaretas av a-meldingen som arbeidsgiverne allerede rapporterer. Fortsatt må det antas at det vil være dialog med pensjons</w:t>
      </w:r>
      <w:r w:rsidR="00705F34">
        <w:t>innretningen</w:t>
      </w:r>
      <w:r>
        <w:t xml:space="preserve"> knyttet til det pensjonsfaglige, slik at det fortsatt vil være noe ressursbruk. Det vises til detaljert beskrivelse av prosessene </w:t>
      </w:r>
      <w:r w:rsidR="009F34AB">
        <w:t xml:space="preserve">i egen rapport datert 30.06.19. </w:t>
      </w:r>
      <w:r>
        <w:t xml:space="preserve"> </w:t>
      </w:r>
      <w:r>
        <w:br/>
      </w:r>
      <w:r>
        <w:br/>
      </w:r>
      <w:r w:rsidRPr="00563F53">
        <w:t xml:space="preserve">Arbeidsgivere utfører </w:t>
      </w:r>
      <w:r>
        <w:t xml:space="preserve">i dag </w:t>
      </w:r>
      <w:r w:rsidRPr="00563F53">
        <w:t xml:space="preserve">ajourhold </w:t>
      </w:r>
      <w:r>
        <w:t xml:space="preserve">og rapportering til pensjonsinnretningene </w:t>
      </w:r>
      <w:r w:rsidRPr="00563F53">
        <w:t>på primært to måter</w:t>
      </w:r>
      <w:r>
        <w:t xml:space="preserve">, enten ved ajourhold </w:t>
      </w:r>
      <w:r w:rsidRPr="00563F53">
        <w:t>av enkeltpersoner gjennom portal</w:t>
      </w:r>
      <w:r>
        <w:t xml:space="preserve">, eller via </w:t>
      </w:r>
      <w:r w:rsidRPr="00563F53">
        <w:t>lønnsfil generert gjennom lønnssystem</w:t>
      </w:r>
      <w:r>
        <w:t>.</w:t>
      </w:r>
    </w:p>
    <w:p w14:paraId="6CC7D26F" w14:textId="77777777" w:rsidR="00C13062" w:rsidRDefault="00C17A04" w:rsidP="00C17A04">
      <w:r>
        <w:t xml:space="preserve">Rapportering ved fil muliggjør enkle prosesser hos arbeidsgiverne, mens rapportering ved portal er svært ressurskrevende og gir større risiko for feil. Forenklingsgevinsten antas derfor i hovedsak å komme hos de </w:t>
      </w:r>
      <w:r w:rsidR="00705F34">
        <w:t>arbeidsgiverne</w:t>
      </w:r>
      <w:r>
        <w:t xml:space="preserve"> som bruker portal i dag. Statistikk fra pensjonsinnretningene viser at dette gjelder ca</w:t>
      </w:r>
      <w:r w:rsidR="001D26C5">
        <w:t>.</w:t>
      </w:r>
      <w:r>
        <w:t xml:space="preserve"> 93% av selskapene, primært mindre selskaper.  </w:t>
      </w:r>
    </w:p>
    <w:p w14:paraId="7E4855AB" w14:textId="48E0D48D" w:rsidR="00C17A04" w:rsidRPr="00A36427" w:rsidRDefault="009F34AB" w:rsidP="00C17A04">
      <w:pPr>
        <w:rPr>
          <w:rFonts w:cstheme="minorHAnsi"/>
          <w:b/>
          <w:bCs/>
        </w:rPr>
      </w:pPr>
      <w:r>
        <w:br/>
      </w:r>
      <w:r w:rsidR="00C17A04" w:rsidRPr="00C923AD">
        <w:rPr>
          <w:b/>
          <w:bCs/>
        </w:rPr>
        <w:t>2.2 Beregninger – forvente</w:t>
      </w:r>
      <w:r w:rsidR="00C17A04" w:rsidRPr="00A36427">
        <w:rPr>
          <w:rFonts w:cstheme="minorHAnsi"/>
          <w:b/>
          <w:bCs/>
        </w:rPr>
        <w:t>de forenklingsgevinster</w:t>
      </w:r>
    </w:p>
    <w:p w14:paraId="380B8F90" w14:textId="370E870C" w:rsidR="00C17A04" w:rsidRPr="00A36427" w:rsidRDefault="00C17A04" w:rsidP="00C17A04">
      <w:pPr>
        <w:rPr>
          <w:rFonts w:cstheme="minorHAnsi"/>
        </w:rPr>
      </w:pPr>
      <w:r w:rsidRPr="00A36427">
        <w:rPr>
          <w:rFonts w:cstheme="minorHAnsi"/>
        </w:rPr>
        <w:t>Det antas at arbeidsgiverne i gjennomsnitt får en effektivisering på 1 time per måned til en gjennomsnittlig timekostnad på NOK 590. Med ca</w:t>
      </w:r>
      <w:r w:rsidR="001D26C5">
        <w:rPr>
          <w:rFonts w:cstheme="minorHAnsi"/>
        </w:rPr>
        <w:t>.</w:t>
      </w:r>
      <w:r w:rsidRPr="00A36427">
        <w:rPr>
          <w:rFonts w:cstheme="minorHAnsi"/>
        </w:rPr>
        <w:t xml:space="preserve"> 110 000 pensjonsavtaler via portal anslås en årlig forenklingsgevinst på ca</w:t>
      </w:r>
      <w:r w:rsidR="001D26C5">
        <w:rPr>
          <w:rFonts w:cstheme="minorHAnsi"/>
        </w:rPr>
        <w:t>.</w:t>
      </w:r>
      <w:r w:rsidRPr="00A36427">
        <w:rPr>
          <w:rFonts w:cstheme="minorHAnsi"/>
        </w:rPr>
        <w:t xml:space="preserve"> NOK 780 millioner. Beregningene fremkommer slik:</w:t>
      </w:r>
      <w:r w:rsidR="00D539AD">
        <w:rPr>
          <w:rFonts w:cstheme="minorHAnsi"/>
        </w:rPr>
        <w:br/>
      </w:r>
    </w:p>
    <w:p w14:paraId="2E8F4654" w14:textId="77777777" w:rsidR="00C17A04" w:rsidRPr="00A36427" w:rsidRDefault="00C17A04" w:rsidP="00C17A04">
      <w:pPr>
        <w:rPr>
          <w:rFonts w:cstheme="minorHAnsi"/>
          <w:b/>
        </w:rPr>
      </w:pPr>
      <w:r w:rsidRPr="00A36427">
        <w:rPr>
          <w:rFonts w:cstheme="minorHAnsi"/>
          <w:noProof/>
          <w:lang w:eastAsia="nb-NO"/>
        </w:rPr>
        <w:drawing>
          <wp:inline distT="0" distB="0" distL="0" distR="0" wp14:anchorId="335EC89C" wp14:editId="5642CFC7">
            <wp:extent cx="4146550" cy="2768600"/>
            <wp:effectExtent l="0" t="0" r="635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6550" cy="2768600"/>
                    </a:xfrm>
                    <a:prstGeom prst="rect">
                      <a:avLst/>
                    </a:prstGeom>
                    <a:noFill/>
                    <a:ln>
                      <a:noFill/>
                    </a:ln>
                  </pic:spPr>
                </pic:pic>
              </a:graphicData>
            </a:graphic>
          </wp:inline>
        </w:drawing>
      </w:r>
    </w:p>
    <w:p w14:paraId="762FCB21" w14:textId="77777777" w:rsidR="00426E7E" w:rsidRDefault="00426E7E">
      <w:pPr>
        <w:rPr>
          <w:rFonts w:cstheme="minorHAnsi"/>
          <w:b/>
          <w:sz w:val="32"/>
          <w:szCs w:val="32"/>
        </w:rPr>
      </w:pPr>
      <w:r>
        <w:rPr>
          <w:rFonts w:cstheme="minorHAnsi"/>
          <w:b/>
          <w:sz w:val="32"/>
          <w:szCs w:val="32"/>
        </w:rPr>
        <w:br w:type="page"/>
      </w:r>
    </w:p>
    <w:p w14:paraId="747AEB60" w14:textId="77777777" w:rsidR="00CF1D49" w:rsidRPr="00A36427" w:rsidRDefault="50C8EA7B" w:rsidP="00CF1D49">
      <w:pPr>
        <w:rPr>
          <w:b/>
          <w:bCs/>
          <w:highlight w:val="yellow"/>
        </w:rPr>
      </w:pPr>
      <w:r w:rsidRPr="50C8EA7B">
        <w:rPr>
          <w:b/>
          <w:bCs/>
          <w:sz w:val="32"/>
          <w:szCs w:val="32"/>
        </w:rPr>
        <w:lastRenderedPageBreak/>
        <w:t>3. Forventede forenklingsgevinster for pensjonsinnretninger</w:t>
      </w:r>
    </w:p>
    <w:p w14:paraId="16F978FC" w14:textId="49A8F83B" w:rsidR="50C8EA7B" w:rsidRDefault="00F65125" w:rsidP="50C8EA7B">
      <w:pPr>
        <w:pStyle w:val="xmsonormal"/>
        <w:spacing w:before="0" w:beforeAutospacing="0" w:after="0"/>
        <w:rPr>
          <w:rFonts w:asciiTheme="minorHAnsi" w:hAnsiTheme="minorHAnsi" w:cstheme="minorBidi"/>
          <w:b/>
          <w:bCs/>
          <w:sz w:val="22"/>
          <w:szCs w:val="22"/>
        </w:rPr>
      </w:pPr>
      <w:r w:rsidRPr="00F65125">
        <w:rPr>
          <w:rFonts w:asciiTheme="minorHAnsi" w:hAnsiTheme="minorHAnsi" w:cstheme="minorBidi"/>
          <w:sz w:val="22"/>
          <w:szCs w:val="22"/>
        </w:rPr>
        <w:t xml:space="preserve">Det er </w:t>
      </w:r>
      <w:r w:rsidR="005127D2">
        <w:rPr>
          <w:rFonts w:asciiTheme="minorHAnsi" w:hAnsiTheme="minorHAnsi" w:cstheme="minorBidi"/>
          <w:sz w:val="22"/>
          <w:szCs w:val="22"/>
        </w:rPr>
        <w:t>Finans Norge</w:t>
      </w:r>
      <w:r w:rsidRPr="00F65125">
        <w:rPr>
          <w:rFonts w:asciiTheme="minorHAnsi" w:hAnsiTheme="minorHAnsi" w:cstheme="minorBidi"/>
          <w:sz w:val="22"/>
          <w:szCs w:val="22"/>
        </w:rPr>
        <w:t xml:space="preserve">s vurdering at </w:t>
      </w:r>
      <w:r>
        <w:rPr>
          <w:rFonts w:asciiTheme="minorHAnsi" w:hAnsiTheme="minorHAnsi" w:cstheme="minorBidi"/>
          <w:sz w:val="22"/>
          <w:szCs w:val="22"/>
        </w:rPr>
        <w:t xml:space="preserve">for </w:t>
      </w:r>
      <w:r w:rsidR="14D4EF53" w:rsidRPr="14D4EF53">
        <w:rPr>
          <w:rFonts w:asciiTheme="minorHAnsi" w:hAnsiTheme="minorHAnsi" w:cstheme="minorBidi"/>
          <w:sz w:val="22"/>
          <w:szCs w:val="22"/>
        </w:rPr>
        <w:t xml:space="preserve">pensjonsinnretningene anslås </w:t>
      </w:r>
      <w:r w:rsidR="00BA78BE">
        <w:rPr>
          <w:rFonts w:asciiTheme="minorHAnsi" w:hAnsiTheme="minorHAnsi" w:cstheme="minorBidi"/>
          <w:sz w:val="22"/>
          <w:szCs w:val="22"/>
        </w:rPr>
        <w:t xml:space="preserve">deres </w:t>
      </w:r>
      <w:r w:rsidR="14D4EF53" w:rsidRPr="14D4EF53">
        <w:rPr>
          <w:rFonts w:asciiTheme="minorHAnsi" w:hAnsiTheme="minorHAnsi" w:cstheme="minorBidi"/>
          <w:sz w:val="22"/>
          <w:szCs w:val="22"/>
        </w:rPr>
        <w:t>investeringe</w:t>
      </w:r>
      <w:r w:rsidR="00BA78BE">
        <w:rPr>
          <w:rFonts w:asciiTheme="minorHAnsi" w:hAnsiTheme="minorHAnsi" w:cstheme="minorBidi"/>
          <w:sz w:val="22"/>
          <w:szCs w:val="22"/>
        </w:rPr>
        <w:t xml:space="preserve">r </w:t>
      </w:r>
      <w:r w:rsidR="14D4EF53" w:rsidRPr="14D4EF53">
        <w:rPr>
          <w:rFonts w:asciiTheme="minorHAnsi" w:hAnsiTheme="minorHAnsi" w:cstheme="minorBidi"/>
          <w:sz w:val="22"/>
          <w:szCs w:val="22"/>
        </w:rPr>
        <w:t xml:space="preserve">å være inntjent i løpet av to til tre år, og total nettogevinst </w:t>
      </w:r>
      <w:r w:rsidR="0063609C">
        <w:rPr>
          <w:rFonts w:asciiTheme="minorHAnsi" w:hAnsiTheme="minorHAnsi" w:cstheme="minorBidi"/>
          <w:sz w:val="22"/>
          <w:szCs w:val="22"/>
        </w:rPr>
        <w:t xml:space="preserve">(egen besparelse) </w:t>
      </w:r>
      <w:r w:rsidR="14D4EF53" w:rsidRPr="14D4EF53">
        <w:rPr>
          <w:rFonts w:asciiTheme="minorHAnsi" w:hAnsiTheme="minorHAnsi" w:cstheme="minorBidi"/>
          <w:sz w:val="22"/>
          <w:szCs w:val="22"/>
        </w:rPr>
        <w:t>over 10 år er estimert til ca</w:t>
      </w:r>
      <w:r w:rsidR="001D26C5">
        <w:rPr>
          <w:rFonts w:asciiTheme="minorHAnsi" w:hAnsiTheme="minorHAnsi" w:cstheme="minorBidi"/>
          <w:sz w:val="22"/>
          <w:szCs w:val="22"/>
        </w:rPr>
        <w:t>.</w:t>
      </w:r>
      <w:r w:rsidR="14D4EF53" w:rsidRPr="14D4EF53">
        <w:rPr>
          <w:rFonts w:asciiTheme="minorHAnsi" w:hAnsiTheme="minorHAnsi" w:cstheme="minorBidi"/>
          <w:sz w:val="22"/>
          <w:szCs w:val="22"/>
        </w:rPr>
        <w:t xml:space="preserve"> NOK 320 millioner.</w:t>
      </w:r>
    </w:p>
    <w:p w14:paraId="3E742D1A" w14:textId="77777777" w:rsidR="003D45BD" w:rsidRDefault="50C8EA7B" w:rsidP="00CF1D49">
      <w:pPr>
        <w:pStyle w:val="xmsonormal"/>
        <w:spacing w:before="0" w:beforeAutospacing="0" w:after="0"/>
        <w:rPr>
          <w:rFonts w:asciiTheme="minorHAnsi" w:hAnsiTheme="minorHAnsi" w:cstheme="minorBidi"/>
          <w:b/>
          <w:bCs/>
          <w:sz w:val="22"/>
          <w:szCs w:val="22"/>
        </w:rPr>
      </w:pPr>
      <w:r w:rsidRPr="50C8EA7B">
        <w:rPr>
          <w:rFonts w:asciiTheme="minorHAnsi" w:hAnsiTheme="minorHAnsi" w:cstheme="minorBidi"/>
          <w:b/>
          <w:bCs/>
          <w:sz w:val="22"/>
          <w:szCs w:val="22"/>
        </w:rPr>
        <w:t xml:space="preserve">3.1 Bakgrunn – dagens prosesser </w:t>
      </w:r>
    </w:p>
    <w:p w14:paraId="0D600EE5" w14:textId="16791FB8" w:rsidR="00CF1D49" w:rsidRDefault="00CF1D49" w:rsidP="00CF1D49">
      <w:pPr>
        <w:pStyle w:val="xmsonormal"/>
        <w:spacing w:before="0" w:beforeAutospacing="0" w:after="0"/>
        <w:rPr>
          <w:rFonts w:asciiTheme="minorHAnsi" w:hAnsiTheme="minorHAnsi" w:cstheme="minorHAnsi"/>
          <w:color w:val="201F1E"/>
          <w:sz w:val="22"/>
          <w:szCs w:val="22"/>
        </w:rPr>
      </w:pPr>
      <w:r w:rsidRPr="007C1795">
        <w:rPr>
          <w:rFonts w:asciiTheme="minorHAnsi" w:hAnsiTheme="minorHAnsi" w:cstheme="minorHAnsi"/>
          <w:bCs/>
          <w:sz w:val="22"/>
          <w:szCs w:val="22"/>
        </w:rPr>
        <w:t>Dag</w:t>
      </w:r>
      <w:r w:rsidRPr="007C1795">
        <w:rPr>
          <w:rFonts w:asciiTheme="minorHAnsi" w:hAnsiTheme="minorHAnsi" w:cstheme="minorHAnsi"/>
          <w:bCs/>
          <w:color w:val="201F1E"/>
          <w:sz w:val="22"/>
          <w:szCs w:val="22"/>
        </w:rPr>
        <w:t>ens prosesser for innrapportering av lønns- og ansattdata fra arbeidsgivere krever stor grad av oppfølging</w:t>
      </w:r>
      <w:r w:rsidRPr="007C1795">
        <w:rPr>
          <w:rFonts w:asciiTheme="minorHAnsi" w:hAnsiTheme="minorHAnsi" w:cstheme="minorHAnsi"/>
          <w:color w:val="201F1E"/>
          <w:sz w:val="22"/>
          <w:szCs w:val="22"/>
        </w:rPr>
        <w:t xml:space="preserve"> og andre tilhørende aktiviteter fra pensjonsinnretningene. Aktivitetene retter seg mot både arbeidsgiver i forbindelse med kompetanseheving rundt innrapportering av lønnsdata og bruk av pensjonsinnretningenes løsninger for rapportering, men også mot ulike lønnssystemleverandører for å sikre riktig format og innhold i lønn</w:t>
      </w:r>
      <w:r w:rsidR="00FC6C90">
        <w:rPr>
          <w:rFonts w:asciiTheme="minorHAnsi" w:hAnsiTheme="minorHAnsi" w:cstheme="minorHAnsi"/>
          <w:color w:val="201F1E"/>
          <w:sz w:val="22"/>
          <w:szCs w:val="22"/>
        </w:rPr>
        <w:t>s</w:t>
      </w:r>
      <w:r w:rsidRPr="007C1795">
        <w:rPr>
          <w:rFonts w:asciiTheme="minorHAnsi" w:hAnsiTheme="minorHAnsi" w:cstheme="minorHAnsi"/>
          <w:color w:val="201F1E"/>
          <w:sz w:val="22"/>
          <w:szCs w:val="22"/>
        </w:rPr>
        <w:t xml:space="preserve">filene som sendes til pensjonsinnretningene. </w:t>
      </w:r>
    </w:p>
    <w:p w14:paraId="54D5A9CC" w14:textId="1BCE9F48" w:rsidR="00CF1D49" w:rsidRDefault="00CF1D49" w:rsidP="00CF1D49">
      <w:pPr>
        <w:pStyle w:val="xmsonormal"/>
        <w:spacing w:before="0" w:beforeAutospacing="0" w:after="0" w:afterAutospacing="0"/>
        <w:rPr>
          <w:rFonts w:asciiTheme="minorHAnsi" w:hAnsiTheme="minorHAnsi" w:cstheme="minorHAnsi"/>
          <w:color w:val="201F1E"/>
          <w:sz w:val="22"/>
          <w:szCs w:val="22"/>
        </w:rPr>
      </w:pPr>
      <w:r w:rsidRPr="007C1795">
        <w:rPr>
          <w:rFonts w:asciiTheme="minorHAnsi" w:hAnsiTheme="minorHAnsi" w:cstheme="minorHAnsi"/>
          <w:color w:val="201F1E"/>
          <w:sz w:val="22"/>
          <w:szCs w:val="22"/>
        </w:rPr>
        <w:t xml:space="preserve">De ulike pensjonsinnretningene har også ulike varianter av rapportering noe som krever at </w:t>
      </w:r>
      <w:r w:rsidR="00FC6C90">
        <w:rPr>
          <w:rFonts w:asciiTheme="minorHAnsi" w:hAnsiTheme="minorHAnsi" w:cstheme="minorHAnsi"/>
          <w:color w:val="201F1E"/>
          <w:sz w:val="22"/>
          <w:szCs w:val="22"/>
        </w:rPr>
        <w:t>det må lages</w:t>
      </w:r>
      <w:r w:rsidRPr="007C1795">
        <w:rPr>
          <w:rFonts w:asciiTheme="minorHAnsi" w:hAnsiTheme="minorHAnsi" w:cstheme="minorHAnsi"/>
          <w:color w:val="201F1E"/>
          <w:sz w:val="22"/>
          <w:szCs w:val="22"/>
        </w:rPr>
        <w:t xml:space="preserve"> ulik logikk for håndtering </w:t>
      </w:r>
      <w:r w:rsidR="00FC6C90">
        <w:rPr>
          <w:rFonts w:asciiTheme="minorHAnsi" w:hAnsiTheme="minorHAnsi" w:cstheme="minorHAnsi"/>
          <w:color w:val="201F1E"/>
          <w:sz w:val="22"/>
          <w:szCs w:val="22"/>
        </w:rPr>
        <w:t xml:space="preserve">av </w:t>
      </w:r>
      <w:r w:rsidRPr="007C1795">
        <w:rPr>
          <w:rFonts w:asciiTheme="minorHAnsi" w:hAnsiTheme="minorHAnsi" w:cstheme="minorHAnsi"/>
          <w:color w:val="201F1E"/>
          <w:sz w:val="22"/>
          <w:szCs w:val="22"/>
        </w:rPr>
        <w:t>disse variantene. Både kilde og innhold kan være ulik fra arbeidsgiver til arbeidsgiver</w:t>
      </w:r>
      <w:r>
        <w:rPr>
          <w:rFonts w:asciiTheme="minorHAnsi" w:hAnsiTheme="minorHAnsi" w:cstheme="minorHAnsi"/>
          <w:color w:val="201F1E"/>
          <w:sz w:val="22"/>
          <w:szCs w:val="22"/>
        </w:rPr>
        <w:t>, slik at e</w:t>
      </w:r>
      <w:r w:rsidRPr="007C1795">
        <w:rPr>
          <w:rFonts w:asciiTheme="minorHAnsi" w:hAnsiTheme="minorHAnsi" w:cstheme="minorHAnsi"/>
          <w:color w:val="201F1E"/>
          <w:sz w:val="22"/>
          <w:szCs w:val="22"/>
        </w:rPr>
        <w:t xml:space="preserve">n enhetlig kilde og </w:t>
      </w:r>
      <w:r>
        <w:rPr>
          <w:rFonts w:asciiTheme="minorHAnsi" w:hAnsiTheme="minorHAnsi" w:cstheme="minorHAnsi"/>
          <w:color w:val="201F1E"/>
          <w:sz w:val="22"/>
          <w:szCs w:val="22"/>
        </w:rPr>
        <w:t xml:space="preserve">et enhetlig </w:t>
      </w:r>
      <w:r w:rsidRPr="007C1795">
        <w:rPr>
          <w:rFonts w:asciiTheme="minorHAnsi" w:hAnsiTheme="minorHAnsi" w:cstheme="minorHAnsi"/>
          <w:color w:val="201F1E"/>
          <w:sz w:val="22"/>
          <w:szCs w:val="22"/>
        </w:rPr>
        <w:t xml:space="preserve">format for lønns- og ansattdata </w:t>
      </w:r>
      <w:r>
        <w:rPr>
          <w:rFonts w:asciiTheme="minorHAnsi" w:hAnsiTheme="minorHAnsi" w:cstheme="minorHAnsi"/>
          <w:color w:val="201F1E"/>
          <w:sz w:val="22"/>
          <w:szCs w:val="22"/>
        </w:rPr>
        <w:t>v</w:t>
      </w:r>
      <w:r w:rsidRPr="007C1795">
        <w:rPr>
          <w:rFonts w:asciiTheme="minorHAnsi" w:hAnsiTheme="minorHAnsi" w:cstheme="minorHAnsi"/>
          <w:color w:val="201F1E"/>
          <w:sz w:val="22"/>
          <w:szCs w:val="22"/>
        </w:rPr>
        <w:t xml:space="preserve">il </w:t>
      </w:r>
      <w:r>
        <w:rPr>
          <w:rFonts w:asciiTheme="minorHAnsi" w:hAnsiTheme="minorHAnsi" w:cstheme="minorHAnsi"/>
          <w:color w:val="201F1E"/>
          <w:sz w:val="22"/>
          <w:szCs w:val="22"/>
        </w:rPr>
        <w:t xml:space="preserve">bety vesentlig forenkling over tid. </w:t>
      </w:r>
      <w:r w:rsidRPr="007C1795">
        <w:rPr>
          <w:rFonts w:asciiTheme="minorHAnsi" w:hAnsiTheme="minorHAnsi" w:cstheme="minorHAnsi"/>
          <w:color w:val="201F1E"/>
          <w:sz w:val="22"/>
          <w:szCs w:val="22"/>
        </w:rPr>
        <w:t>Det vil</w:t>
      </w:r>
      <w:r>
        <w:rPr>
          <w:rFonts w:asciiTheme="minorHAnsi" w:hAnsiTheme="minorHAnsi" w:cstheme="minorHAnsi"/>
          <w:color w:val="201F1E"/>
          <w:sz w:val="22"/>
          <w:szCs w:val="22"/>
        </w:rPr>
        <w:t xml:space="preserve"> også </w:t>
      </w:r>
      <w:r w:rsidRPr="007C1795">
        <w:rPr>
          <w:rFonts w:asciiTheme="minorHAnsi" w:hAnsiTheme="minorHAnsi" w:cstheme="minorHAnsi"/>
          <w:color w:val="201F1E"/>
          <w:sz w:val="22"/>
          <w:szCs w:val="22"/>
        </w:rPr>
        <w:t>redusere risikoen for feil i data</w:t>
      </w:r>
      <w:r>
        <w:rPr>
          <w:rFonts w:asciiTheme="minorHAnsi" w:hAnsiTheme="minorHAnsi" w:cstheme="minorHAnsi"/>
          <w:color w:val="201F1E"/>
          <w:sz w:val="22"/>
          <w:szCs w:val="22"/>
        </w:rPr>
        <w:t>.</w:t>
      </w:r>
      <w:r w:rsidRPr="007C1795">
        <w:rPr>
          <w:rFonts w:asciiTheme="minorHAnsi" w:hAnsiTheme="minorHAnsi" w:cstheme="minorHAnsi"/>
          <w:color w:val="201F1E"/>
          <w:sz w:val="22"/>
          <w:szCs w:val="22"/>
        </w:rPr>
        <w:t xml:space="preserve"> Høyere </w:t>
      </w:r>
      <w:r>
        <w:rPr>
          <w:rFonts w:asciiTheme="minorHAnsi" w:hAnsiTheme="minorHAnsi" w:cstheme="minorHAnsi"/>
          <w:color w:val="201F1E"/>
          <w:sz w:val="22"/>
          <w:szCs w:val="22"/>
        </w:rPr>
        <w:t>data</w:t>
      </w:r>
      <w:r w:rsidRPr="007C1795">
        <w:rPr>
          <w:rFonts w:asciiTheme="minorHAnsi" w:hAnsiTheme="minorHAnsi" w:cstheme="minorHAnsi"/>
          <w:color w:val="201F1E"/>
          <w:sz w:val="22"/>
          <w:szCs w:val="22"/>
        </w:rPr>
        <w:t>kvalitet vil medføre at pensjonsinnretningene vil redusere sin tidsbruk på kvalitetssikring og retting av feilaktige data.</w:t>
      </w:r>
    </w:p>
    <w:p w14:paraId="23DFE029" w14:textId="77777777" w:rsidR="00CF1D49" w:rsidRPr="007C1795" w:rsidRDefault="00CF1D49" w:rsidP="00CF1D49">
      <w:pPr>
        <w:pStyle w:val="xmsonormal"/>
        <w:spacing w:before="0" w:beforeAutospacing="0" w:after="0" w:afterAutospacing="0"/>
        <w:rPr>
          <w:rFonts w:asciiTheme="minorHAnsi" w:hAnsiTheme="minorHAnsi" w:cstheme="minorHAnsi"/>
          <w:color w:val="201F1E"/>
          <w:sz w:val="22"/>
          <w:szCs w:val="22"/>
        </w:rPr>
      </w:pPr>
    </w:p>
    <w:p w14:paraId="5EA751B2" w14:textId="3DEB92F6" w:rsidR="00CF1D49" w:rsidRDefault="00CF1D49" w:rsidP="00CF1D49">
      <w:pPr>
        <w:pStyle w:val="xmsonormal"/>
        <w:spacing w:before="0" w:beforeAutospacing="0" w:after="0" w:afterAutospacing="0"/>
        <w:rPr>
          <w:rFonts w:asciiTheme="minorHAnsi" w:hAnsiTheme="minorHAnsi" w:cstheme="minorHAnsi"/>
          <w:color w:val="201F1E"/>
          <w:sz w:val="22"/>
          <w:szCs w:val="22"/>
        </w:rPr>
      </w:pPr>
      <w:r w:rsidRPr="0080778B">
        <w:rPr>
          <w:rFonts w:asciiTheme="minorHAnsi" w:hAnsiTheme="minorHAnsi" w:cstheme="minorHAnsi"/>
          <w:color w:val="201F1E"/>
          <w:sz w:val="22"/>
          <w:szCs w:val="22"/>
        </w:rPr>
        <w:t>Det vil kreve minimalt eller ingen oppfølging for å få arbeidsgivere til å være ajour med rapportering</w:t>
      </w:r>
      <w:r w:rsidR="00F71DB2" w:rsidRPr="0080778B">
        <w:rPr>
          <w:rFonts w:asciiTheme="minorHAnsi" w:hAnsiTheme="minorHAnsi" w:cstheme="minorHAnsi"/>
          <w:color w:val="201F1E"/>
          <w:sz w:val="22"/>
          <w:szCs w:val="22"/>
        </w:rPr>
        <w:t xml:space="preserve"> </w:t>
      </w:r>
      <w:r w:rsidR="00F71DB2" w:rsidRPr="0080778B">
        <w:rPr>
          <w:rFonts w:asciiTheme="minorHAnsi" w:hAnsiTheme="minorHAnsi" w:cstheme="minorHAnsi"/>
          <w:sz w:val="22"/>
          <w:szCs w:val="22"/>
        </w:rPr>
        <w:t>f</w:t>
      </w:r>
      <w:r w:rsidR="00F71DB2" w:rsidRPr="0080778B">
        <w:rPr>
          <w:rFonts w:asciiTheme="minorHAnsi" w:hAnsiTheme="minorHAnsi" w:cstheme="minorHAnsi"/>
          <w:sz w:val="22"/>
          <w:szCs w:val="22"/>
          <w:shd w:val="clear" w:color="auto" w:fill="FFFFFF"/>
        </w:rPr>
        <w:t xml:space="preserve">orutsatt at arbeidsgiver </w:t>
      </w:r>
      <w:r w:rsidR="00490D7C" w:rsidRPr="0080778B">
        <w:rPr>
          <w:rFonts w:asciiTheme="minorHAnsi" w:hAnsiTheme="minorHAnsi" w:cstheme="minorHAnsi"/>
          <w:sz w:val="22"/>
          <w:szCs w:val="22"/>
          <w:shd w:val="clear" w:color="auto" w:fill="FFFFFF"/>
        </w:rPr>
        <w:t xml:space="preserve">korrekt </w:t>
      </w:r>
      <w:r w:rsidR="00F71DB2" w:rsidRPr="0080778B">
        <w:rPr>
          <w:rFonts w:asciiTheme="minorHAnsi" w:hAnsiTheme="minorHAnsi" w:cstheme="minorHAnsi"/>
          <w:sz w:val="22"/>
          <w:szCs w:val="22"/>
          <w:shd w:val="clear" w:color="auto" w:fill="FFFFFF"/>
        </w:rPr>
        <w:t>har oppgitt hvem som er pensjonsleverandør</w:t>
      </w:r>
      <w:r w:rsidR="001A2226" w:rsidRPr="0080778B">
        <w:rPr>
          <w:rFonts w:asciiTheme="minorHAnsi" w:hAnsiTheme="minorHAnsi" w:cstheme="minorHAnsi"/>
          <w:sz w:val="22"/>
          <w:szCs w:val="22"/>
          <w:shd w:val="clear" w:color="auto" w:fill="FFFFFF"/>
        </w:rPr>
        <w:t>er</w:t>
      </w:r>
      <w:r w:rsidR="00F71DB2" w:rsidRPr="0080778B">
        <w:rPr>
          <w:rFonts w:asciiTheme="minorHAnsi" w:hAnsiTheme="minorHAnsi" w:cstheme="minorHAnsi"/>
          <w:sz w:val="22"/>
          <w:szCs w:val="22"/>
          <w:shd w:val="clear" w:color="auto" w:fill="FFFFFF"/>
        </w:rPr>
        <w:t xml:space="preserve"> (selvdeklarering via A-meldingen).</w:t>
      </w:r>
      <w:r w:rsidRPr="0080778B">
        <w:rPr>
          <w:rFonts w:asciiTheme="minorHAnsi" w:hAnsiTheme="minorHAnsi" w:cstheme="minorHAnsi"/>
          <w:sz w:val="22"/>
          <w:szCs w:val="22"/>
        </w:rPr>
        <w:t xml:space="preserve"> Det vil også </w:t>
      </w:r>
      <w:r w:rsidRPr="0080778B">
        <w:rPr>
          <w:rFonts w:asciiTheme="minorHAnsi" w:hAnsiTheme="minorHAnsi" w:cstheme="minorHAnsi"/>
          <w:color w:val="201F1E"/>
          <w:sz w:val="22"/>
          <w:szCs w:val="22"/>
        </w:rPr>
        <w:t>forenkle løsningene pensjonsinnretningene lager overfor arbeidsgivere for oppfølging av lønnrapportering da kravet til aktiv handling fra arbeidsgiver reduseres. Vi vil også se</w:t>
      </w:r>
      <w:r w:rsidRPr="007C1795">
        <w:rPr>
          <w:rFonts w:asciiTheme="minorHAnsi" w:hAnsiTheme="minorHAnsi" w:cstheme="minorHAnsi"/>
          <w:color w:val="201F1E"/>
          <w:sz w:val="22"/>
          <w:szCs w:val="22"/>
        </w:rPr>
        <w:t xml:space="preserve"> en vesentlig reduksjon i tiden pensjonsinnretningene bruker på å on</w:t>
      </w:r>
      <w:r w:rsidR="001D26C5">
        <w:rPr>
          <w:rFonts w:asciiTheme="minorHAnsi" w:hAnsiTheme="minorHAnsi" w:cstheme="minorHAnsi"/>
          <w:color w:val="201F1E"/>
          <w:sz w:val="22"/>
          <w:szCs w:val="22"/>
        </w:rPr>
        <w:t>-</w:t>
      </w:r>
      <w:r w:rsidRPr="007C1795">
        <w:rPr>
          <w:rFonts w:asciiTheme="minorHAnsi" w:hAnsiTheme="minorHAnsi" w:cstheme="minorHAnsi"/>
          <w:color w:val="201F1E"/>
          <w:sz w:val="22"/>
          <w:szCs w:val="22"/>
        </w:rPr>
        <w:t xml:space="preserve">boarde nye arbeidsgivere til løsningen for innrapportering. </w:t>
      </w:r>
    </w:p>
    <w:p w14:paraId="53F5FA78" w14:textId="77777777" w:rsidR="00CF1D49" w:rsidRPr="007C1795" w:rsidRDefault="00CF1D49" w:rsidP="00CF1D49">
      <w:pPr>
        <w:pStyle w:val="xmsonormal"/>
        <w:spacing w:before="0" w:beforeAutospacing="0" w:after="0" w:afterAutospacing="0"/>
        <w:rPr>
          <w:rFonts w:asciiTheme="minorHAnsi" w:hAnsiTheme="minorHAnsi" w:cstheme="minorHAnsi"/>
          <w:color w:val="201F1E"/>
          <w:sz w:val="22"/>
          <w:szCs w:val="22"/>
        </w:rPr>
      </w:pPr>
    </w:p>
    <w:p w14:paraId="1E96C183" w14:textId="77777777" w:rsidR="00CF1D49" w:rsidRDefault="00CF1D49" w:rsidP="00CF1D49">
      <w:pPr>
        <w:pStyle w:val="xmsonormal"/>
        <w:spacing w:before="0" w:beforeAutospacing="0" w:after="0" w:afterAutospacing="0"/>
        <w:rPr>
          <w:rFonts w:asciiTheme="minorHAnsi" w:hAnsiTheme="minorHAnsi" w:cstheme="minorHAnsi"/>
          <w:color w:val="201F1E"/>
          <w:sz w:val="22"/>
          <w:szCs w:val="22"/>
        </w:rPr>
      </w:pPr>
      <w:r w:rsidRPr="007C1795">
        <w:rPr>
          <w:rFonts w:asciiTheme="minorHAnsi" w:hAnsiTheme="minorHAnsi" w:cstheme="minorHAnsi"/>
          <w:color w:val="201F1E"/>
          <w:sz w:val="22"/>
          <w:szCs w:val="22"/>
        </w:rPr>
        <w:t xml:space="preserve">Automatikken i innhenting og bearbeiding av data fra A-ordningen som gjøres i regi av pensjonsinnretningene vil også redusere antall henvendelser fra arbeidsgiver rundt rapportering. </w:t>
      </w:r>
    </w:p>
    <w:p w14:paraId="188A71FE" w14:textId="77777777" w:rsidR="00CF1D49" w:rsidRPr="007C1795" w:rsidRDefault="00CF1D49" w:rsidP="00CF1D49">
      <w:pPr>
        <w:pStyle w:val="xmsonormal"/>
        <w:spacing w:before="0" w:beforeAutospacing="0" w:after="0" w:afterAutospacing="0"/>
        <w:rPr>
          <w:rFonts w:asciiTheme="minorHAnsi" w:hAnsiTheme="minorHAnsi" w:cstheme="minorHAnsi"/>
          <w:color w:val="201F1E"/>
          <w:sz w:val="22"/>
          <w:szCs w:val="22"/>
        </w:rPr>
      </w:pPr>
    </w:p>
    <w:p w14:paraId="616DDAF4" w14:textId="77777777" w:rsidR="00BA78BE" w:rsidRDefault="00CF1D49" w:rsidP="00BA78BE">
      <w:pPr>
        <w:pStyle w:val="xmsonormal"/>
        <w:spacing w:before="0" w:beforeAutospacing="0" w:after="0" w:afterAutospacing="0"/>
        <w:rPr>
          <w:rFonts w:asciiTheme="minorHAnsi" w:hAnsiTheme="minorHAnsi" w:cstheme="minorHAnsi"/>
          <w:color w:val="201F1E"/>
          <w:sz w:val="22"/>
          <w:szCs w:val="22"/>
        </w:rPr>
      </w:pPr>
      <w:r w:rsidRPr="007C1795">
        <w:rPr>
          <w:rFonts w:asciiTheme="minorHAnsi" w:hAnsiTheme="minorHAnsi" w:cstheme="minorHAnsi"/>
          <w:color w:val="201F1E"/>
          <w:sz w:val="22"/>
          <w:szCs w:val="22"/>
        </w:rPr>
        <w:t xml:space="preserve">I et lengre perspektiv vil økt kvalitet på data </w:t>
      </w:r>
      <w:r w:rsidR="00F65125">
        <w:rPr>
          <w:rFonts w:asciiTheme="minorHAnsi" w:hAnsiTheme="minorHAnsi" w:cstheme="minorHAnsi"/>
          <w:color w:val="201F1E"/>
          <w:sz w:val="22"/>
          <w:szCs w:val="22"/>
        </w:rPr>
        <w:t xml:space="preserve">kunne </w:t>
      </w:r>
      <w:r w:rsidRPr="007C1795">
        <w:rPr>
          <w:rFonts w:asciiTheme="minorHAnsi" w:hAnsiTheme="minorHAnsi" w:cstheme="minorHAnsi"/>
          <w:color w:val="201F1E"/>
          <w:sz w:val="22"/>
          <w:szCs w:val="22"/>
        </w:rPr>
        <w:t>muliggjøre høyere grad av automatisering. Det som kan automatiseres går da langt utover det som kun er relatert til innrapportering av lønnsdata, men også andre prosesser innenfor pensjonsområdet. Gevinst fra automatisering grunnet bedre datakvalitet er ikke tatt med i gevinstrealiseringen.</w:t>
      </w:r>
    </w:p>
    <w:p w14:paraId="4DCD96B9" w14:textId="49403A3C" w:rsidR="00F65125" w:rsidRPr="00BA78BE" w:rsidRDefault="00CF1D49" w:rsidP="00BA78BE">
      <w:pPr>
        <w:pStyle w:val="xmsonormal"/>
        <w:spacing w:before="0" w:beforeAutospacing="0" w:after="0" w:afterAutospacing="0"/>
        <w:rPr>
          <w:rFonts w:ascii="Calibri" w:eastAsia="Calibri" w:hAnsi="Calibri" w:cs="Calibri"/>
          <w:sz w:val="22"/>
          <w:szCs w:val="22"/>
        </w:rPr>
      </w:pPr>
      <w:r>
        <w:br/>
      </w:r>
      <w:r w:rsidR="50C8EA7B" w:rsidRPr="50C8EA7B">
        <w:rPr>
          <w:rFonts w:ascii="Calibri" w:eastAsia="Calibri" w:hAnsi="Calibri" w:cs="Calibri"/>
          <w:b/>
          <w:bCs/>
        </w:rPr>
        <w:t>3.2 Beregninger – forventede forenklingsgevinster</w:t>
      </w:r>
      <w:r>
        <w:br/>
      </w:r>
      <w:r w:rsidR="003D45BD">
        <w:rPr>
          <w:rFonts w:ascii="Calibri" w:eastAsia="Calibri" w:hAnsi="Calibri" w:cs="Calibri"/>
        </w:rPr>
        <w:br/>
      </w:r>
      <w:r w:rsidRPr="00BA78BE">
        <w:rPr>
          <w:rFonts w:ascii="Calibri" w:eastAsia="Calibri" w:hAnsi="Calibri" w:cs="Calibri"/>
          <w:sz w:val="22"/>
          <w:szCs w:val="22"/>
        </w:rPr>
        <w:t xml:space="preserve">For å beregne </w:t>
      </w:r>
      <w:r w:rsidR="00F65125" w:rsidRPr="00BA78BE">
        <w:rPr>
          <w:rFonts w:ascii="Calibri" w:eastAsia="Calibri" w:hAnsi="Calibri" w:cs="Calibri"/>
          <w:sz w:val="22"/>
          <w:szCs w:val="22"/>
        </w:rPr>
        <w:t xml:space="preserve">et anslag over </w:t>
      </w:r>
      <w:r w:rsidRPr="00BA78BE">
        <w:rPr>
          <w:rFonts w:ascii="Calibri" w:eastAsia="Calibri" w:hAnsi="Calibri" w:cs="Calibri"/>
          <w:sz w:val="22"/>
          <w:szCs w:val="22"/>
        </w:rPr>
        <w:t xml:space="preserve">forventede forenklingsgevinster for </w:t>
      </w:r>
      <w:r w:rsidR="00705F34" w:rsidRPr="00BA78BE">
        <w:rPr>
          <w:rFonts w:ascii="Calibri" w:eastAsia="Calibri" w:hAnsi="Calibri" w:cs="Calibri"/>
          <w:sz w:val="22"/>
          <w:szCs w:val="22"/>
        </w:rPr>
        <w:t xml:space="preserve">bransjen </w:t>
      </w:r>
      <w:r w:rsidRPr="00BA78BE">
        <w:rPr>
          <w:rFonts w:ascii="Calibri" w:eastAsia="Calibri" w:hAnsi="Calibri" w:cs="Calibri"/>
          <w:sz w:val="22"/>
          <w:szCs w:val="22"/>
        </w:rPr>
        <w:t xml:space="preserve">har </w:t>
      </w:r>
      <w:r w:rsidR="005127D2">
        <w:rPr>
          <w:rFonts w:ascii="Calibri" w:eastAsia="Calibri" w:hAnsi="Calibri" w:cs="Calibri"/>
          <w:sz w:val="22"/>
          <w:szCs w:val="22"/>
        </w:rPr>
        <w:t>Finans Norge</w:t>
      </w:r>
      <w:r w:rsidR="00F65125" w:rsidRPr="00BA78BE">
        <w:rPr>
          <w:rFonts w:ascii="Calibri" w:eastAsia="Calibri" w:hAnsi="Calibri" w:cs="Calibri"/>
          <w:sz w:val="22"/>
          <w:szCs w:val="22"/>
        </w:rPr>
        <w:t xml:space="preserve"> </w:t>
      </w:r>
      <w:r w:rsidRPr="00BA78BE">
        <w:rPr>
          <w:rFonts w:ascii="Calibri" w:eastAsia="Calibri" w:hAnsi="Calibri" w:cs="Calibri"/>
          <w:sz w:val="22"/>
          <w:szCs w:val="22"/>
        </w:rPr>
        <w:t xml:space="preserve">tatt utgangspunkt i </w:t>
      </w:r>
      <w:r w:rsidR="00705F34" w:rsidRPr="00BA78BE">
        <w:rPr>
          <w:rFonts w:ascii="Calibri" w:eastAsia="Calibri" w:hAnsi="Calibri" w:cs="Calibri"/>
          <w:sz w:val="22"/>
          <w:szCs w:val="22"/>
        </w:rPr>
        <w:t xml:space="preserve">samlet </w:t>
      </w:r>
      <w:r w:rsidRPr="00BA78BE">
        <w:rPr>
          <w:rFonts w:ascii="Calibri" w:eastAsia="Calibri" w:hAnsi="Calibri" w:cs="Calibri"/>
          <w:sz w:val="22"/>
          <w:szCs w:val="22"/>
        </w:rPr>
        <w:t>investeringskostnad ved implementering av ny løsning hos pensjonsinnretningene</w:t>
      </w:r>
      <w:r w:rsidR="00F26131">
        <w:rPr>
          <w:rFonts w:ascii="Calibri" w:eastAsia="Calibri" w:hAnsi="Calibri" w:cs="Calibri"/>
          <w:sz w:val="22"/>
          <w:szCs w:val="22"/>
        </w:rPr>
        <w:t>,</w:t>
      </w:r>
      <w:r w:rsidRPr="00BA78BE">
        <w:rPr>
          <w:rFonts w:ascii="Calibri" w:eastAsia="Calibri" w:hAnsi="Calibri" w:cs="Calibri"/>
          <w:sz w:val="22"/>
          <w:szCs w:val="22"/>
        </w:rPr>
        <w:t xml:space="preserve"> og gevinstene ved forenklinger grunnet ny løsning over en 10 års periode. </w:t>
      </w:r>
      <w:r w:rsidR="00BA78BE">
        <w:rPr>
          <w:rFonts w:ascii="Calibri" w:eastAsia="Calibri" w:hAnsi="Calibri" w:cs="Calibri"/>
          <w:sz w:val="22"/>
          <w:szCs w:val="22"/>
        </w:rPr>
        <w:br/>
      </w:r>
    </w:p>
    <w:p w14:paraId="28216DED" w14:textId="77777777" w:rsidR="00BA78BE" w:rsidRDefault="00CF1D49" w:rsidP="00CF1D49">
      <w:pPr>
        <w:spacing w:afterAutospacing="1"/>
        <w:rPr>
          <w:rFonts w:ascii="Calibri" w:eastAsia="Calibri" w:hAnsi="Calibri" w:cs="Calibri"/>
        </w:rPr>
      </w:pPr>
      <w:r w:rsidRPr="5F1ADBB3">
        <w:rPr>
          <w:rFonts w:ascii="Calibri" w:eastAsia="Calibri" w:hAnsi="Calibri" w:cs="Calibri"/>
        </w:rPr>
        <w:t xml:space="preserve">Ved beregning </w:t>
      </w:r>
      <w:r w:rsidR="00F65125">
        <w:rPr>
          <w:rFonts w:ascii="Calibri" w:eastAsia="Calibri" w:hAnsi="Calibri" w:cs="Calibri"/>
        </w:rPr>
        <w:t xml:space="preserve">av anslag </w:t>
      </w:r>
      <w:r w:rsidRPr="5F1ADBB3">
        <w:rPr>
          <w:rFonts w:ascii="Calibri" w:eastAsia="Calibri" w:hAnsi="Calibri" w:cs="Calibri"/>
        </w:rPr>
        <w:t xml:space="preserve">av kostnad og gevinst, har vi tatt utgangspunkt i de </w:t>
      </w:r>
      <w:r w:rsidR="00F65125">
        <w:rPr>
          <w:rFonts w:ascii="Calibri" w:eastAsia="Calibri" w:hAnsi="Calibri" w:cs="Calibri"/>
        </w:rPr>
        <w:t xml:space="preserve">fem </w:t>
      </w:r>
      <w:r w:rsidRPr="5F1ADBB3">
        <w:rPr>
          <w:rFonts w:ascii="Calibri" w:eastAsia="Calibri" w:hAnsi="Calibri" w:cs="Calibri"/>
        </w:rPr>
        <w:t>pensjons</w:t>
      </w:r>
      <w:r w:rsidR="00F65125">
        <w:rPr>
          <w:rFonts w:ascii="Calibri" w:eastAsia="Calibri" w:hAnsi="Calibri" w:cs="Calibri"/>
        </w:rPr>
        <w:t>forsikrings</w:t>
      </w:r>
      <w:r w:rsidRPr="5F1ADBB3">
        <w:rPr>
          <w:rFonts w:ascii="Calibri" w:eastAsia="Calibri" w:hAnsi="Calibri" w:cs="Calibri"/>
        </w:rPr>
        <w:t>selskapene som er involvert i prosjektet (Gjensidige, Storebrand, DNB Liv, Nordea Liv og KLP). De involverte pensjonsinnretningene har foretatt interne undersøkelser med si</w:t>
      </w:r>
      <w:r w:rsidR="00F65125">
        <w:rPr>
          <w:rFonts w:ascii="Calibri" w:eastAsia="Calibri" w:hAnsi="Calibri" w:cs="Calibri"/>
        </w:rPr>
        <w:t>tt</w:t>
      </w:r>
      <w:r w:rsidRPr="5F1ADBB3">
        <w:rPr>
          <w:rFonts w:ascii="Calibri" w:eastAsia="Calibri" w:hAnsi="Calibri" w:cs="Calibri"/>
        </w:rPr>
        <w:t xml:space="preserve"> kundeapparat og teknisk personell for å komme frem til et samlet estimat. </w:t>
      </w:r>
      <w:r w:rsidR="00BF4A57">
        <w:rPr>
          <w:rFonts w:ascii="Calibri" w:eastAsia="Calibri" w:hAnsi="Calibri" w:cs="Calibri"/>
        </w:rPr>
        <w:t xml:space="preserve">For å estimere total nettogevinst for bransjen har vi lagt til grunn tilsvarende forutsetninger for de </w:t>
      </w:r>
      <w:r w:rsidRPr="5F1ADBB3">
        <w:rPr>
          <w:rFonts w:ascii="Calibri" w:eastAsia="Calibri" w:hAnsi="Calibri" w:cs="Calibri"/>
        </w:rPr>
        <w:t>pensjonsinnretninger som ikke er involvert i prosjektgruppen</w:t>
      </w:r>
      <w:r w:rsidR="00BF4A57">
        <w:rPr>
          <w:rFonts w:ascii="Calibri" w:eastAsia="Calibri" w:hAnsi="Calibri" w:cs="Calibri"/>
        </w:rPr>
        <w:t xml:space="preserve">. </w:t>
      </w:r>
      <w:r w:rsidR="00BF4A57">
        <w:rPr>
          <w:rFonts w:ascii="Calibri" w:eastAsia="Calibri" w:hAnsi="Calibri" w:cs="Calibri"/>
        </w:rPr>
        <w:br/>
      </w:r>
    </w:p>
    <w:p w14:paraId="380BFD9A" w14:textId="77777777" w:rsidR="00BA78BE" w:rsidRDefault="00BA78BE" w:rsidP="00CF1D49">
      <w:pPr>
        <w:spacing w:afterAutospacing="1"/>
        <w:rPr>
          <w:rFonts w:ascii="Calibri" w:eastAsia="Calibri" w:hAnsi="Calibri" w:cs="Calibri"/>
          <w:u w:val="single"/>
        </w:rPr>
      </w:pPr>
    </w:p>
    <w:p w14:paraId="46B56DBB" w14:textId="2A9BDA21" w:rsidR="00CF1D49" w:rsidRDefault="00CF1D49" w:rsidP="00CF1D49">
      <w:pPr>
        <w:spacing w:afterAutospacing="1"/>
      </w:pPr>
      <w:r w:rsidRPr="7F318C33">
        <w:rPr>
          <w:rFonts w:ascii="Calibri" w:eastAsia="Calibri" w:hAnsi="Calibri" w:cs="Calibri"/>
          <w:u w:val="single"/>
        </w:rPr>
        <w:lastRenderedPageBreak/>
        <w:t xml:space="preserve">3.2.1 Grunnlag for beregning av </w:t>
      </w:r>
      <w:r w:rsidR="00F65125">
        <w:rPr>
          <w:rFonts w:ascii="Calibri" w:eastAsia="Calibri" w:hAnsi="Calibri" w:cs="Calibri"/>
          <w:u w:val="single"/>
        </w:rPr>
        <w:t xml:space="preserve">anslått </w:t>
      </w:r>
      <w:r w:rsidRPr="7F318C33">
        <w:rPr>
          <w:rFonts w:ascii="Calibri" w:eastAsia="Calibri" w:hAnsi="Calibri" w:cs="Calibri"/>
          <w:u w:val="single"/>
        </w:rPr>
        <w:t>kostnad</w:t>
      </w:r>
    </w:p>
    <w:p w14:paraId="4F9639BD" w14:textId="0BB19882" w:rsidR="003E1B4C" w:rsidRDefault="00CF1D49" w:rsidP="00CF1D49">
      <w:pPr>
        <w:rPr>
          <w:rFonts w:ascii="Calibri" w:eastAsia="Calibri" w:hAnsi="Calibri" w:cs="Calibri"/>
          <w:u w:val="single"/>
        </w:rPr>
      </w:pPr>
      <w:r w:rsidRPr="5F1ADBB3">
        <w:rPr>
          <w:rFonts w:ascii="Calibri" w:eastAsia="Calibri" w:hAnsi="Calibri" w:cs="Calibri"/>
        </w:rPr>
        <w:t xml:space="preserve">Investeringskostnadene for implementering av ny løsning for å hente ansatt- og lønnsdata </w:t>
      </w:r>
      <w:r w:rsidR="007666ED">
        <w:rPr>
          <w:rFonts w:ascii="Calibri" w:eastAsia="Calibri" w:hAnsi="Calibri" w:cs="Calibri"/>
        </w:rPr>
        <w:t>er forutsatt å komme</w:t>
      </w:r>
      <w:r w:rsidRPr="5F1ADBB3">
        <w:rPr>
          <w:rFonts w:ascii="Calibri" w:eastAsia="Calibri" w:hAnsi="Calibri" w:cs="Calibri"/>
        </w:rPr>
        <w:t xml:space="preserve"> i 2020. Antagelsen fra </w:t>
      </w:r>
      <w:r w:rsidR="005127D2">
        <w:rPr>
          <w:rFonts w:ascii="Calibri" w:eastAsia="Calibri" w:hAnsi="Calibri" w:cs="Calibri"/>
        </w:rPr>
        <w:t>Finans Norge</w:t>
      </w:r>
      <w:r w:rsidRPr="5F1ADBB3">
        <w:rPr>
          <w:rFonts w:ascii="Calibri" w:eastAsia="Calibri" w:hAnsi="Calibri" w:cs="Calibri"/>
        </w:rPr>
        <w:t xml:space="preserve"> er at det ikke vil kreve store investeringer for å implementere ny løsning for innhenting av data og at det blir minimale tekniske endringer på eksisterende løsninger hos pensjonsinnretningene. </w:t>
      </w:r>
      <w:r w:rsidR="005127D2">
        <w:rPr>
          <w:rFonts w:ascii="Calibri" w:eastAsia="Calibri" w:hAnsi="Calibri" w:cs="Calibri"/>
        </w:rPr>
        <w:t>Finans Norge</w:t>
      </w:r>
      <w:r w:rsidRPr="5F1ADBB3">
        <w:rPr>
          <w:rFonts w:ascii="Calibri" w:eastAsia="Calibri" w:hAnsi="Calibri" w:cs="Calibri"/>
        </w:rPr>
        <w:t xml:space="preserve"> estimerer at </w:t>
      </w:r>
      <w:r w:rsidR="00BF4A57">
        <w:rPr>
          <w:rFonts w:ascii="Calibri" w:eastAsia="Calibri" w:hAnsi="Calibri" w:cs="Calibri"/>
        </w:rPr>
        <w:t xml:space="preserve">bransjen </w:t>
      </w:r>
      <w:r w:rsidRPr="5F1ADBB3">
        <w:rPr>
          <w:rFonts w:ascii="Calibri" w:eastAsia="Calibri" w:hAnsi="Calibri" w:cs="Calibri"/>
        </w:rPr>
        <w:t xml:space="preserve">gjennom 2020 vil bruke </w:t>
      </w:r>
      <w:r w:rsidR="00BF4A57">
        <w:rPr>
          <w:rFonts w:ascii="Calibri" w:eastAsia="Calibri" w:hAnsi="Calibri" w:cs="Calibri"/>
        </w:rPr>
        <w:t>2</w:t>
      </w:r>
      <w:r w:rsidRPr="5F1ADBB3">
        <w:rPr>
          <w:rFonts w:ascii="Calibri" w:eastAsia="Calibri" w:hAnsi="Calibri" w:cs="Calibri"/>
        </w:rPr>
        <w:t xml:space="preserve">5 årsverk samlet sett på alle aktiviteter knyttet til implementering av ny løsning. Dette inkluderer </w:t>
      </w:r>
      <w:r w:rsidR="00BF4A57">
        <w:rPr>
          <w:rFonts w:ascii="Calibri" w:eastAsia="Calibri" w:hAnsi="Calibri" w:cs="Calibri"/>
        </w:rPr>
        <w:t xml:space="preserve">primært </w:t>
      </w:r>
      <w:r w:rsidRPr="5F1ADBB3">
        <w:rPr>
          <w:rFonts w:ascii="Calibri" w:eastAsia="Calibri" w:hAnsi="Calibri" w:cs="Calibri"/>
        </w:rPr>
        <w:t>fag</w:t>
      </w:r>
      <w:r w:rsidR="00BF4A57">
        <w:rPr>
          <w:rFonts w:ascii="Calibri" w:eastAsia="Calibri" w:hAnsi="Calibri" w:cs="Calibri"/>
        </w:rPr>
        <w:t>-</w:t>
      </w:r>
      <w:r w:rsidRPr="5F1ADBB3">
        <w:rPr>
          <w:rFonts w:ascii="Calibri" w:eastAsia="Calibri" w:hAnsi="Calibri" w:cs="Calibri"/>
        </w:rPr>
        <w:t xml:space="preserve"> og teknisk personell</w:t>
      </w:r>
      <w:r w:rsidR="00C5397E">
        <w:rPr>
          <w:rFonts w:ascii="Calibri" w:eastAsia="Calibri" w:hAnsi="Calibri" w:cs="Calibri"/>
        </w:rPr>
        <w:t xml:space="preserve">, i tillegg til økt ressursinnsats i forbindelse med endring av interne prosesser, og informasjon og opplæring av ansatte og arbeidsgivere. </w:t>
      </w:r>
      <w:r w:rsidRPr="5F1ADBB3">
        <w:rPr>
          <w:rFonts w:ascii="Calibri" w:eastAsia="Calibri" w:hAnsi="Calibri" w:cs="Calibri"/>
        </w:rPr>
        <w:t xml:space="preserve"> </w:t>
      </w:r>
      <w:bookmarkStart w:id="3" w:name="_Hlk19018100"/>
      <w:r w:rsidR="008217EC">
        <w:rPr>
          <w:rFonts w:ascii="Calibri" w:eastAsia="Calibri" w:hAnsi="Calibri" w:cs="Calibri"/>
        </w:rPr>
        <w:t>Det vil selvsagt være opp til den enkelte aktør å ta beslutninger vedr investeringer og annen ressursbruk</w:t>
      </w:r>
      <w:bookmarkEnd w:id="3"/>
      <w:r w:rsidR="008217EC">
        <w:rPr>
          <w:rFonts w:ascii="Calibri" w:eastAsia="Calibri" w:hAnsi="Calibri" w:cs="Calibri"/>
        </w:rPr>
        <w:t>.</w:t>
      </w:r>
    </w:p>
    <w:p w14:paraId="393F6E35" w14:textId="2DC09162" w:rsidR="00CF1D49" w:rsidRDefault="00CF1D49" w:rsidP="00CF1D49">
      <w:r w:rsidRPr="5F1ADBB3">
        <w:rPr>
          <w:rFonts w:ascii="Calibri" w:eastAsia="Calibri" w:hAnsi="Calibri" w:cs="Calibri"/>
          <w:u w:val="single"/>
        </w:rPr>
        <w:t>3.2.2 Grunnlag for beregning av besparelse</w:t>
      </w:r>
    </w:p>
    <w:p w14:paraId="5173C7D6" w14:textId="650644DB" w:rsidR="00CF1D49" w:rsidRDefault="00632A2B" w:rsidP="50C8EA7B">
      <w:pPr>
        <w:rPr>
          <w:rFonts w:ascii="Calibri" w:eastAsia="Calibri" w:hAnsi="Calibri" w:cs="Calibri"/>
        </w:rPr>
      </w:pPr>
      <w:r w:rsidRPr="50C8EA7B">
        <w:rPr>
          <w:rFonts w:ascii="Calibri" w:eastAsia="Calibri" w:hAnsi="Calibri" w:cs="Calibri"/>
        </w:rPr>
        <w:t xml:space="preserve">Pensjonsinnretningene opererer med antagelsen </w:t>
      </w:r>
      <w:r w:rsidR="00C5397E">
        <w:rPr>
          <w:rFonts w:ascii="Calibri" w:eastAsia="Calibri" w:hAnsi="Calibri" w:cs="Calibri"/>
        </w:rPr>
        <w:t xml:space="preserve">om </w:t>
      </w:r>
      <w:r w:rsidRPr="50C8EA7B">
        <w:rPr>
          <w:rFonts w:ascii="Calibri" w:eastAsia="Calibri" w:hAnsi="Calibri" w:cs="Calibri"/>
        </w:rPr>
        <w:t xml:space="preserve">at ny </w:t>
      </w:r>
      <w:r w:rsidR="00490D7C">
        <w:rPr>
          <w:rFonts w:ascii="Calibri" w:eastAsia="Calibri" w:hAnsi="Calibri" w:cs="Calibri"/>
        </w:rPr>
        <w:t>rapporterings</w:t>
      </w:r>
      <w:r w:rsidRPr="50C8EA7B">
        <w:rPr>
          <w:rFonts w:ascii="Calibri" w:eastAsia="Calibri" w:hAnsi="Calibri" w:cs="Calibri"/>
        </w:rPr>
        <w:t xml:space="preserve">løsning </w:t>
      </w:r>
      <w:r w:rsidR="00873BE4">
        <w:rPr>
          <w:rFonts w:ascii="Calibri" w:eastAsia="Calibri" w:hAnsi="Calibri" w:cs="Calibri"/>
        </w:rPr>
        <w:t xml:space="preserve">benyttes </w:t>
      </w:r>
      <w:r w:rsidR="00490D7C" w:rsidRPr="0080778B">
        <w:rPr>
          <w:rFonts w:ascii="Calibri" w:eastAsia="Calibri" w:hAnsi="Calibri" w:cs="Calibri"/>
        </w:rPr>
        <w:t>for</w:t>
      </w:r>
      <w:r w:rsidR="00873BE4" w:rsidRPr="0080778B">
        <w:rPr>
          <w:rFonts w:ascii="Calibri" w:eastAsia="Calibri" w:hAnsi="Calibri" w:cs="Calibri"/>
        </w:rPr>
        <w:t xml:space="preserve"> </w:t>
      </w:r>
      <w:r w:rsidRPr="0080778B">
        <w:rPr>
          <w:rFonts w:ascii="Calibri" w:eastAsia="Calibri" w:hAnsi="Calibri" w:cs="Calibri"/>
        </w:rPr>
        <w:t>alle arbeidsgivere</w:t>
      </w:r>
      <w:r w:rsidR="001831A5" w:rsidRPr="0080778B">
        <w:rPr>
          <w:rFonts w:ascii="Calibri" w:eastAsia="Calibri" w:hAnsi="Calibri" w:cs="Calibri"/>
        </w:rPr>
        <w:t xml:space="preserve">. </w:t>
      </w:r>
      <w:r w:rsidR="00C06EB4" w:rsidRPr="0080778B">
        <w:rPr>
          <w:rFonts w:ascii="Calibri" w:eastAsia="Calibri" w:hAnsi="Calibri" w:cs="Calibri"/>
        </w:rPr>
        <w:t xml:space="preserve">Ved </w:t>
      </w:r>
      <w:r w:rsidR="50C8EA7B" w:rsidRPr="0080778B">
        <w:rPr>
          <w:rFonts w:ascii="Calibri" w:eastAsia="Calibri" w:hAnsi="Calibri" w:cs="Calibri"/>
        </w:rPr>
        <w:t xml:space="preserve">beregning av besparelse har </w:t>
      </w:r>
      <w:r w:rsidR="005127D2">
        <w:rPr>
          <w:rFonts w:ascii="Calibri" w:eastAsia="Calibri" w:hAnsi="Calibri" w:cs="Calibri"/>
        </w:rPr>
        <w:t>Finans Norge</w:t>
      </w:r>
      <w:r w:rsidR="50C8EA7B" w:rsidRPr="0080778B">
        <w:rPr>
          <w:rFonts w:ascii="Calibri" w:eastAsia="Calibri" w:hAnsi="Calibri" w:cs="Calibri"/>
        </w:rPr>
        <w:t xml:space="preserve"> tatt utgangspunkt i at on</w:t>
      </w:r>
      <w:r w:rsidR="001D26C5" w:rsidRPr="0080778B">
        <w:rPr>
          <w:rFonts w:ascii="Calibri" w:eastAsia="Calibri" w:hAnsi="Calibri" w:cs="Calibri"/>
        </w:rPr>
        <w:t>-</w:t>
      </w:r>
      <w:r w:rsidR="50C8EA7B" w:rsidRPr="0080778B">
        <w:rPr>
          <w:rFonts w:ascii="Calibri" w:eastAsia="Calibri" w:hAnsi="Calibri" w:cs="Calibri"/>
        </w:rPr>
        <w:t>boarding</w:t>
      </w:r>
      <w:r w:rsidR="50C8EA7B" w:rsidRPr="50C8EA7B">
        <w:rPr>
          <w:rFonts w:ascii="Calibri" w:eastAsia="Calibri" w:hAnsi="Calibri" w:cs="Calibri"/>
        </w:rPr>
        <w:t xml:space="preserve"> av arbeidsgivere til ny løsning vil skje i sin helhet i løpet 2021. Ved full realisering av gevinst ved overgang til ny løsning ser </w:t>
      </w:r>
      <w:r w:rsidR="005127D2">
        <w:rPr>
          <w:rFonts w:ascii="Calibri" w:eastAsia="Calibri" w:hAnsi="Calibri" w:cs="Calibri"/>
        </w:rPr>
        <w:t>Finans Norge</w:t>
      </w:r>
      <w:r w:rsidR="50C8EA7B" w:rsidRPr="50C8EA7B">
        <w:rPr>
          <w:rFonts w:ascii="Calibri" w:eastAsia="Calibri" w:hAnsi="Calibri" w:cs="Calibri"/>
        </w:rPr>
        <w:t xml:space="preserve"> for seg at det samlet sett vil utgjøre en årlig besparelse på 40 årsverk. Grunnlaget for besparelsen ligger i reduksjon av aktiviteter som pensjonsinnretningene i dag utfører i forbindelse med håndtering av ajourhold fra arbeidsgivere. Det vil selvsagt være opp til den enkelte aktør å ta beslutninger vedr eventuell realisering av gevinster. </w:t>
      </w:r>
      <w:r>
        <w:rPr>
          <w:rFonts w:ascii="Calibri" w:eastAsia="Calibri" w:hAnsi="Calibri" w:cs="Calibri"/>
        </w:rPr>
        <w:br/>
      </w:r>
    </w:p>
    <w:tbl>
      <w:tblPr>
        <w:tblStyle w:val="Tabellrutenett"/>
        <w:tblW w:w="0" w:type="auto"/>
        <w:tblLayout w:type="fixed"/>
        <w:tblLook w:val="04A0" w:firstRow="1" w:lastRow="0" w:firstColumn="1" w:lastColumn="0" w:noHBand="0" w:noVBand="1"/>
      </w:tblPr>
      <w:tblGrid>
        <w:gridCol w:w="9072"/>
      </w:tblGrid>
      <w:tr w:rsidR="00CF1D49" w14:paraId="0CEF1AE1" w14:textId="77777777" w:rsidTr="001F412B">
        <w:tc>
          <w:tcPr>
            <w:tcW w:w="9072" w:type="dxa"/>
          </w:tcPr>
          <w:p w14:paraId="61C63BC0" w14:textId="77777777" w:rsidR="00CF1D49" w:rsidRDefault="00CF1D49" w:rsidP="001F412B">
            <w:pPr>
              <w:rPr>
                <w:rFonts w:ascii="Calibri" w:eastAsia="Calibri" w:hAnsi="Calibri" w:cs="Calibri"/>
                <w:b/>
                <w:bCs/>
              </w:rPr>
            </w:pPr>
            <w:r w:rsidRPr="7F318C33">
              <w:rPr>
                <w:rFonts w:ascii="Calibri" w:eastAsia="Calibri" w:hAnsi="Calibri" w:cs="Calibri"/>
                <w:b/>
                <w:bCs/>
              </w:rPr>
              <w:t>Aktiviteter forbundet med ajourhold</w:t>
            </w:r>
          </w:p>
        </w:tc>
      </w:tr>
      <w:tr w:rsidR="00CF1D49" w14:paraId="76115280" w14:textId="77777777" w:rsidTr="001F412B">
        <w:tc>
          <w:tcPr>
            <w:tcW w:w="9072" w:type="dxa"/>
          </w:tcPr>
          <w:p w14:paraId="4BE6F351" w14:textId="77777777" w:rsidR="00CF1D49" w:rsidRDefault="00CF1D49" w:rsidP="001F412B">
            <w:pPr>
              <w:rPr>
                <w:rFonts w:ascii="Calibri" w:eastAsia="Calibri" w:hAnsi="Calibri" w:cs="Calibri"/>
                <w:sz w:val="18"/>
                <w:szCs w:val="18"/>
              </w:rPr>
            </w:pPr>
            <w:r w:rsidRPr="7F318C33">
              <w:rPr>
                <w:rFonts w:ascii="Calibri" w:eastAsia="Calibri" w:hAnsi="Calibri" w:cs="Calibri"/>
                <w:sz w:val="18"/>
                <w:szCs w:val="18"/>
              </w:rPr>
              <w:t xml:space="preserve">Oppfølging av arbeidsgivere i forbindelse med ajourhold </w:t>
            </w:r>
          </w:p>
        </w:tc>
      </w:tr>
      <w:tr w:rsidR="00CF1D49" w14:paraId="63C7F17D" w14:textId="77777777" w:rsidTr="001F412B">
        <w:tc>
          <w:tcPr>
            <w:tcW w:w="9072" w:type="dxa"/>
          </w:tcPr>
          <w:p w14:paraId="1196DDCE" w14:textId="77777777" w:rsidR="00CF1D49" w:rsidRDefault="00CF1D49" w:rsidP="001F412B">
            <w:pPr>
              <w:rPr>
                <w:rFonts w:ascii="Calibri" w:eastAsia="Calibri" w:hAnsi="Calibri" w:cs="Calibri"/>
                <w:sz w:val="18"/>
                <w:szCs w:val="18"/>
              </w:rPr>
            </w:pPr>
            <w:r w:rsidRPr="7F318C33">
              <w:rPr>
                <w:rFonts w:ascii="Calibri" w:eastAsia="Calibri" w:hAnsi="Calibri" w:cs="Calibri"/>
                <w:sz w:val="18"/>
                <w:szCs w:val="18"/>
              </w:rPr>
              <w:t>Oppfølging av lønnssystemleverandører</w:t>
            </w:r>
          </w:p>
        </w:tc>
      </w:tr>
      <w:tr w:rsidR="00CF1D49" w14:paraId="6CC43E52" w14:textId="77777777" w:rsidTr="001F412B">
        <w:tc>
          <w:tcPr>
            <w:tcW w:w="9072" w:type="dxa"/>
          </w:tcPr>
          <w:p w14:paraId="08883775" w14:textId="77777777" w:rsidR="00CF1D49" w:rsidRDefault="00CF1D49" w:rsidP="001F412B">
            <w:pPr>
              <w:rPr>
                <w:rFonts w:ascii="Calibri" w:eastAsia="Calibri" w:hAnsi="Calibri" w:cs="Calibri"/>
                <w:sz w:val="18"/>
                <w:szCs w:val="18"/>
              </w:rPr>
            </w:pPr>
            <w:r w:rsidRPr="7F318C33">
              <w:rPr>
                <w:rFonts w:ascii="Calibri" w:eastAsia="Calibri" w:hAnsi="Calibri" w:cs="Calibri"/>
                <w:sz w:val="18"/>
                <w:szCs w:val="18"/>
              </w:rPr>
              <w:t>Manuell oppdatering/korrigering av lønnsdata</w:t>
            </w:r>
          </w:p>
        </w:tc>
      </w:tr>
      <w:tr w:rsidR="00CF1D49" w14:paraId="3BB4903C" w14:textId="77777777" w:rsidTr="001F412B">
        <w:tc>
          <w:tcPr>
            <w:tcW w:w="9072" w:type="dxa"/>
          </w:tcPr>
          <w:p w14:paraId="3F97C02F" w14:textId="77777777" w:rsidR="00CF1D49" w:rsidRDefault="00CF1D49" w:rsidP="001F412B">
            <w:pPr>
              <w:rPr>
                <w:rFonts w:ascii="Calibri" w:eastAsia="Calibri" w:hAnsi="Calibri" w:cs="Calibri"/>
                <w:sz w:val="18"/>
                <w:szCs w:val="18"/>
              </w:rPr>
            </w:pPr>
            <w:r w:rsidRPr="7F318C33">
              <w:rPr>
                <w:rFonts w:ascii="Calibri" w:eastAsia="Calibri" w:hAnsi="Calibri" w:cs="Calibri"/>
                <w:sz w:val="18"/>
                <w:szCs w:val="18"/>
              </w:rPr>
              <w:t>Besvare henvendelser om rapportering</w:t>
            </w:r>
          </w:p>
        </w:tc>
      </w:tr>
      <w:tr w:rsidR="00CF1D49" w14:paraId="4D16A0C7" w14:textId="77777777" w:rsidTr="001F412B">
        <w:tc>
          <w:tcPr>
            <w:tcW w:w="9072" w:type="dxa"/>
          </w:tcPr>
          <w:p w14:paraId="190E1A60" w14:textId="77777777" w:rsidR="00CF1D49" w:rsidRDefault="00CF1D49" w:rsidP="001F412B">
            <w:pPr>
              <w:rPr>
                <w:rFonts w:ascii="Calibri" w:eastAsia="Calibri" w:hAnsi="Calibri" w:cs="Calibri"/>
                <w:sz w:val="18"/>
                <w:szCs w:val="18"/>
              </w:rPr>
            </w:pPr>
            <w:r w:rsidRPr="7F318C33">
              <w:rPr>
                <w:rFonts w:ascii="Calibri" w:eastAsia="Calibri" w:hAnsi="Calibri" w:cs="Calibri"/>
                <w:sz w:val="18"/>
                <w:szCs w:val="18"/>
              </w:rPr>
              <w:t xml:space="preserve">Feilhåndtering </w:t>
            </w:r>
          </w:p>
        </w:tc>
      </w:tr>
      <w:tr w:rsidR="00CF1D49" w14:paraId="6A00E5E4" w14:textId="77777777" w:rsidTr="001F412B">
        <w:tc>
          <w:tcPr>
            <w:tcW w:w="9072" w:type="dxa"/>
          </w:tcPr>
          <w:p w14:paraId="7822CC34" w14:textId="77777777" w:rsidR="00CF1D49" w:rsidRDefault="00CF1D49" w:rsidP="001F412B">
            <w:pPr>
              <w:rPr>
                <w:rFonts w:ascii="Calibri" w:eastAsia="Calibri" w:hAnsi="Calibri" w:cs="Calibri"/>
                <w:sz w:val="18"/>
                <w:szCs w:val="18"/>
              </w:rPr>
            </w:pPr>
            <w:r w:rsidRPr="7F318C33">
              <w:rPr>
                <w:rFonts w:ascii="Calibri" w:eastAsia="Calibri" w:hAnsi="Calibri" w:cs="Calibri"/>
                <w:sz w:val="18"/>
                <w:szCs w:val="18"/>
              </w:rPr>
              <w:t>Onboarding av nye arbeidsgivere</w:t>
            </w:r>
          </w:p>
        </w:tc>
      </w:tr>
    </w:tbl>
    <w:p w14:paraId="3F805789" w14:textId="77777777" w:rsidR="00CF1D49" w:rsidRDefault="00CF1D49" w:rsidP="00CF1D49">
      <w:r w:rsidRPr="7F318C33">
        <w:rPr>
          <w:rFonts w:ascii="Calibri" w:eastAsia="Calibri" w:hAnsi="Calibri" w:cs="Calibri"/>
        </w:rPr>
        <w:t xml:space="preserve">   </w:t>
      </w:r>
    </w:p>
    <w:p w14:paraId="39AAF857" w14:textId="5CB43589" w:rsidR="00CF1D49" w:rsidRDefault="00CF1D49" w:rsidP="00CF1D49">
      <w:pPr>
        <w:spacing w:after="0"/>
      </w:pPr>
      <w:r w:rsidRPr="7F318C33">
        <w:rPr>
          <w:rFonts w:ascii="Calibri" w:eastAsia="Calibri" w:hAnsi="Calibri" w:cs="Calibri"/>
          <w:b/>
          <w:bCs/>
        </w:rPr>
        <w:t>3.3 Kvantifisering av gevinst</w:t>
      </w:r>
      <w:r w:rsidRPr="7F318C33">
        <w:rPr>
          <w:rFonts w:ascii="Calibri" w:eastAsia="Calibri" w:hAnsi="Calibri" w:cs="Calibri"/>
        </w:rPr>
        <w:t xml:space="preserve"> </w:t>
      </w:r>
      <w:r w:rsidR="00BF4A57">
        <w:rPr>
          <w:rFonts w:ascii="Calibri" w:eastAsia="Calibri" w:hAnsi="Calibri" w:cs="Calibri"/>
        </w:rPr>
        <w:br/>
      </w:r>
    </w:p>
    <w:p w14:paraId="54742F17" w14:textId="688DE021" w:rsidR="00CF1D49" w:rsidRDefault="00CF1D49" w:rsidP="00BF4A57">
      <w:pPr>
        <w:spacing w:after="0"/>
        <w:rPr>
          <w:rFonts w:ascii="Calibri" w:eastAsia="Calibri" w:hAnsi="Calibri" w:cs="Calibri"/>
        </w:rPr>
      </w:pPr>
      <w:r w:rsidRPr="68D265D1">
        <w:rPr>
          <w:rFonts w:ascii="Calibri" w:eastAsia="Calibri" w:hAnsi="Calibri" w:cs="Calibri"/>
        </w:rPr>
        <w:t>I beregning</w:t>
      </w:r>
      <w:r w:rsidR="005A0F03">
        <w:rPr>
          <w:rFonts w:ascii="Calibri" w:eastAsia="Calibri" w:hAnsi="Calibri" w:cs="Calibri"/>
        </w:rPr>
        <w:t xml:space="preserve">sanslagene </w:t>
      </w:r>
      <w:r w:rsidRPr="68D265D1">
        <w:rPr>
          <w:rFonts w:ascii="Calibri" w:eastAsia="Calibri" w:hAnsi="Calibri" w:cs="Calibri"/>
        </w:rPr>
        <w:t>benytter vi årsverk for kvantifisering av kostnad og besparelse, der 1 årsverk utgjør kr. 1.000.000</w:t>
      </w:r>
      <w:r w:rsidR="00BF4A57">
        <w:rPr>
          <w:rFonts w:ascii="Calibri" w:eastAsia="Calibri" w:hAnsi="Calibri" w:cs="Calibri"/>
        </w:rPr>
        <w:t>. Bransjen antas å</w:t>
      </w:r>
      <w:r w:rsidRPr="5F1ADBB3">
        <w:rPr>
          <w:rFonts w:ascii="Calibri" w:eastAsia="Calibri" w:hAnsi="Calibri" w:cs="Calibri"/>
        </w:rPr>
        <w:t xml:space="preserve"> bruke </w:t>
      </w:r>
      <w:r w:rsidR="00BF4A57">
        <w:rPr>
          <w:rFonts w:ascii="Calibri" w:eastAsia="Calibri" w:hAnsi="Calibri" w:cs="Calibri"/>
        </w:rPr>
        <w:t>25</w:t>
      </w:r>
      <w:r w:rsidRPr="5F1ADBB3">
        <w:rPr>
          <w:rFonts w:ascii="Calibri" w:eastAsia="Calibri" w:hAnsi="Calibri" w:cs="Calibri"/>
        </w:rPr>
        <w:t xml:space="preserve"> årsverk gjennom 2020 for å få implementert ny løsning</w:t>
      </w:r>
      <w:r w:rsidR="00BF4A57">
        <w:rPr>
          <w:rFonts w:ascii="Calibri" w:eastAsia="Calibri" w:hAnsi="Calibri" w:cs="Calibri"/>
        </w:rPr>
        <w:t>.</w:t>
      </w:r>
    </w:p>
    <w:p w14:paraId="75460391" w14:textId="77777777" w:rsidR="00BF4A57" w:rsidRDefault="00BF4A57" w:rsidP="00BF4A57">
      <w:pPr>
        <w:spacing w:after="0"/>
        <w:rPr>
          <w:rFonts w:ascii="Calibri" w:eastAsia="Calibri" w:hAnsi="Calibri" w:cs="Calibri"/>
        </w:rPr>
      </w:pPr>
    </w:p>
    <w:tbl>
      <w:tblPr>
        <w:tblStyle w:val="Tabellrutenett"/>
        <w:tblW w:w="9072" w:type="dxa"/>
        <w:tblLayout w:type="fixed"/>
        <w:tblLook w:val="04A0" w:firstRow="1" w:lastRow="0" w:firstColumn="1" w:lastColumn="0" w:noHBand="0" w:noVBand="1"/>
      </w:tblPr>
      <w:tblGrid>
        <w:gridCol w:w="6075"/>
        <w:gridCol w:w="2997"/>
      </w:tblGrid>
      <w:tr w:rsidR="00CF1D49" w14:paraId="2502AA4C" w14:textId="77777777" w:rsidTr="00BF4A57">
        <w:tc>
          <w:tcPr>
            <w:tcW w:w="6075" w:type="dxa"/>
          </w:tcPr>
          <w:p w14:paraId="7FD6529C" w14:textId="77777777" w:rsidR="00CF1D49" w:rsidRDefault="00CF1D49" w:rsidP="001F412B">
            <w:pPr>
              <w:rPr>
                <w:rFonts w:ascii="Calibri" w:eastAsia="Calibri" w:hAnsi="Calibri" w:cs="Calibri"/>
                <w:b/>
                <w:bCs/>
              </w:rPr>
            </w:pPr>
            <w:r w:rsidRPr="5F1ADBB3">
              <w:rPr>
                <w:rFonts w:ascii="Calibri" w:eastAsia="Calibri" w:hAnsi="Calibri" w:cs="Calibri"/>
                <w:b/>
                <w:bCs/>
              </w:rPr>
              <w:t>Sum investering bransje</w:t>
            </w:r>
          </w:p>
        </w:tc>
        <w:tc>
          <w:tcPr>
            <w:tcW w:w="2997" w:type="dxa"/>
          </w:tcPr>
          <w:p w14:paraId="5C2C27E0" w14:textId="77777777" w:rsidR="00CF1D49" w:rsidRDefault="00CF1D49" w:rsidP="001F412B">
            <w:pPr>
              <w:rPr>
                <w:rFonts w:ascii="Calibri" w:eastAsia="Calibri" w:hAnsi="Calibri" w:cs="Calibri"/>
                <w:b/>
                <w:bCs/>
              </w:rPr>
            </w:pPr>
            <w:r w:rsidRPr="5F1ADBB3">
              <w:rPr>
                <w:rFonts w:ascii="Calibri" w:eastAsia="Calibri" w:hAnsi="Calibri" w:cs="Calibri"/>
                <w:b/>
                <w:bCs/>
              </w:rPr>
              <w:t>25 000 000</w:t>
            </w:r>
          </w:p>
        </w:tc>
      </w:tr>
    </w:tbl>
    <w:p w14:paraId="724BEAFD" w14:textId="77777777" w:rsidR="00CF1D49" w:rsidRDefault="00CF1D49" w:rsidP="00CF1D49">
      <w:pPr>
        <w:rPr>
          <w:rFonts w:ascii="Calibri" w:eastAsia="Calibri" w:hAnsi="Calibri" w:cs="Calibri"/>
        </w:rPr>
      </w:pPr>
    </w:p>
    <w:p w14:paraId="6582F3C1" w14:textId="74FA46C3" w:rsidR="00CF1D49" w:rsidRDefault="50C8EA7B" w:rsidP="50C8EA7B">
      <w:pPr>
        <w:rPr>
          <w:rFonts w:ascii="Calibri" w:eastAsia="Calibri" w:hAnsi="Calibri" w:cs="Calibri"/>
        </w:rPr>
      </w:pPr>
      <w:r w:rsidRPr="50C8EA7B">
        <w:rPr>
          <w:rFonts w:ascii="Calibri" w:eastAsia="Calibri" w:hAnsi="Calibri" w:cs="Calibri"/>
        </w:rPr>
        <w:t xml:space="preserve">Besparelsen for pensjonsinnretningene vil realiseres over tid og avhenger av hvor fort pensjonsinnretningene klarer å omstille </w:t>
      </w:r>
      <w:r w:rsidR="00C47949">
        <w:rPr>
          <w:rFonts w:ascii="Calibri" w:eastAsia="Calibri" w:hAnsi="Calibri" w:cs="Calibri"/>
        </w:rPr>
        <w:t xml:space="preserve">prosessene </w:t>
      </w:r>
      <w:r w:rsidRPr="50C8EA7B">
        <w:rPr>
          <w:rFonts w:ascii="Calibri" w:eastAsia="Calibri" w:hAnsi="Calibri" w:cs="Calibri"/>
        </w:rPr>
        <w:t xml:space="preserve">ved overgang til ny løsning. Selv om alle arbeidsgivere vil bli onboardet til ny løsning i løpet av 2021, vil ikke pensjonsinnretningene få full effekt av ny løsning før i år 3 etter at ny løsning er satt ut i produksjon. </w:t>
      </w:r>
      <w:r w:rsidR="005127D2">
        <w:rPr>
          <w:rFonts w:ascii="Calibri" w:eastAsia="Calibri" w:hAnsi="Calibri" w:cs="Calibri"/>
        </w:rPr>
        <w:t>Finans Norge</w:t>
      </w:r>
      <w:r w:rsidR="005A0F03">
        <w:rPr>
          <w:rFonts w:ascii="Calibri" w:eastAsia="Calibri" w:hAnsi="Calibri" w:cs="Calibri"/>
        </w:rPr>
        <w:t xml:space="preserve"> </w:t>
      </w:r>
      <w:r w:rsidRPr="50C8EA7B">
        <w:rPr>
          <w:rFonts w:ascii="Calibri" w:eastAsia="Calibri" w:hAnsi="Calibri" w:cs="Calibri"/>
        </w:rPr>
        <w:t>antar at det vi</w:t>
      </w:r>
      <w:r w:rsidR="005A0F03">
        <w:rPr>
          <w:rFonts w:ascii="Calibri" w:eastAsia="Calibri" w:hAnsi="Calibri" w:cs="Calibri"/>
        </w:rPr>
        <w:t>l</w:t>
      </w:r>
      <w:r w:rsidRPr="50C8EA7B">
        <w:rPr>
          <w:rFonts w:ascii="Calibri" w:eastAsia="Calibri" w:hAnsi="Calibri" w:cs="Calibri"/>
        </w:rPr>
        <w:t xml:space="preserve"> ta opptil 3 år å </w:t>
      </w:r>
      <w:r w:rsidR="00C47949">
        <w:rPr>
          <w:rFonts w:ascii="Calibri" w:eastAsia="Calibri" w:hAnsi="Calibri" w:cs="Calibri"/>
        </w:rPr>
        <w:t xml:space="preserve">hente ut gevinstene i form av omdisponering av ressurser. </w:t>
      </w:r>
      <w:r w:rsidRPr="50C8EA7B">
        <w:rPr>
          <w:rFonts w:ascii="Calibri" w:eastAsia="Calibri" w:hAnsi="Calibri" w:cs="Calibri"/>
        </w:rPr>
        <w:t xml:space="preserve">Det </w:t>
      </w:r>
      <w:r w:rsidR="005A0F03">
        <w:rPr>
          <w:rFonts w:ascii="Calibri" w:eastAsia="Calibri" w:hAnsi="Calibri" w:cs="Calibri"/>
        </w:rPr>
        <w:t xml:space="preserve">legges til grunn at </w:t>
      </w:r>
      <w:r w:rsidRPr="50C8EA7B">
        <w:rPr>
          <w:rFonts w:ascii="Calibri" w:eastAsia="Calibri" w:hAnsi="Calibri" w:cs="Calibri"/>
        </w:rPr>
        <w:t xml:space="preserve">første året ny løsning er i produksjon vil besparelsene være små, da pensjonsinnretningene vil måtte </w:t>
      </w:r>
      <w:r w:rsidR="00C47949">
        <w:rPr>
          <w:rFonts w:ascii="Calibri" w:eastAsia="Calibri" w:hAnsi="Calibri" w:cs="Calibri"/>
        </w:rPr>
        <w:t xml:space="preserve">bruke vesentlige ressurser </w:t>
      </w:r>
      <w:r w:rsidRPr="50C8EA7B">
        <w:rPr>
          <w:rFonts w:ascii="Calibri" w:eastAsia="Calibri" w:hAnsi="Calibri" w:cs="Calibri"/>
        </w:rPr>
        <w:t xml:space="preserve">for å gjennomføre overgang til ny løsning. </w:t>
      </w:r>
      <w:r w:rsidR="005A0F03">
        <w:rPr>
          <w:rFonts w:ascii="Calibri" w:eastAsia="Calibri" w:hAnsi="Calibri" w:cs="Calibri"/>
        </w:rPr>
        <w:t>Det antas at b</w:t>
      </w:r>
      <w:r w:rsidRPr="50C8EA7B">
        <w:rPr>
          <w:rFonts w:ascii="Calibri" w:eastAsia="Calibri" w:hAnsi="Calibri" w:cs="Calibri"/>
        </w:rPr>
        <w:t>esparelsene vil øke betraktelig i år 2 og vil få full effekt i år 3.</w:t>
      </w:r>
      <w:r w:rsidR="00C47949">
        <w:rPr>
          <w:rFonts w:ascii="Calibri" w:eastAsia="Calibri" w:hAnsi="Calibri" w:cs="Calibri"/>
        </w:rPr>
        <w:t xml:space="preserve"> </w:t>
      </w:r>
      <w:r w:rsidRPr="50C8EA7B">
        <w:rPr>
          <w:rFonts w:ascii="Calibri" w:eastAsia="Calibri" w:hAnsi="Calibri" w:cs="Calibri"/>
        </w:rPr>
        <w:t>Det er lagt til grunn en tidshorisont på 10 år med akkumulerte besparelser.</w:t>
      </w:r>
      <w:r w:rsidR="00CF1D49">
        <w:br/>
      </w:r>
    </w:p>
    <w:tbl>
      <w:tblPr>
        <w:tblStyle w:val="Tabellrutenett"/>
        <w:tblW w:w="0" w:type="auto"/>
        <w:tblLayout w:type="fixed"/>
        <w:tblLook w:val="04A0" w:firstRow="1" w:lastRow="0" w:firstColumn="1" w:lastColumn="0" w:noHBand="0" w:noVBand="1"/>
      </w:tblPr>
      <w:tblGrid>
        <w:gridCol w:w="6075"/>
        <w:gridCol w:w="2997"/>
      </w:tblGrid>
      <w:tr w:rsidR="00CF1D49" w14:paraId="50C7DEBD" w14:textId="77777777" w:rsidTr="001F412B">
        <w:tc>
          <w:tcPr>
            <w:tcW w:w="6075" w:type="dxa"/>
          </w:tcPr>
          <w:p w14:paraId="6BCE1917" w14:textId="77777777" w:rsidR="00CF1D49" w:rsidRDefault="00CF1D49" w:rsidP="001F412B">
            <w:r w:rsidRPr="7F318C33">
              <w:rPr>
                <w:rFonts w:ascii="Calibri" w:eastAsia="Calibri" w:hAnsi="Calibri" w:cs="Calibri"/>
                <w:b/>
                <w:bCs/>
              </w:rPr>
              <w:t>Sum besparelse over 10 år</w:t>
            </w:r>
          </w:p>
        </w:tc>
        <w:tc>
          <w:tcPr>
            <w:tcW w:w="2997" w:type="dxa"/>
          </w:tcPr>
          <w:p w14:paraId="5CA5695C" w14:textId="77777777" w:rsidR="00CF1D49" w:rsidRDefault="00CF1D49" w:rsidP="001F412B">
            <w:r w:rsidRPr="5F1ADBB3">
              <w:rPr>
                <w:rFonts w:ascii="Calibri" w:eastAsia="Calibri" w:hAnsi="Calibri" w:cs="Calibri"/>
                <w:b/>
                <w:bCs/>
              </w:rPr>
              <w:t xml:space="preserve"> 344 000 000</w:t>
            </w:r>
          </w:p>
        </w:tc>
      </w:tr>
    </w:tbl>
    <w:p w14:paraId="350B57AE" w14:textId="77777777" w:rsidR="00CF1D49" w:rsidRDefault="00CF1D49" w:rsidP="00CF1D49">
      <w:r w:rsidRPr="68D265D1">
        <w:rPr>
          <w:rFonts w:ascii="Calibri" w:eastAsia="Calibri" w:hAnsi="Calibri" w:cs="Calibri"/>
        </w:rPr>
        <w:lastRenderedPageBreak/>
        <w:t>Beregningsgrunnlag for besparelse over 10 år:</w:t>
      </w:r>
    </w:p>
    <w:tbl>
      <w:tblPr>
        <w:tblStyle w:val="Tabellrutenett"/>
        <w:tblW w:w="9070" w:type="dxa"/>
        <w:tblLayout w:type="fixed"/>
        <w:tblLook w:val="04A0" w:firstRow="1" w:lastRow="0" w:firstColumn="1" w:lastColumn="0" w:noHBand="0" w:noVBand="1"/>
      </w:tblPr>
      <w:tblGrid>
        <w:gridCol w:w="1814"/>
        <w:gridCol w:w="1814"/>
        <w:gridCol w:w="1814"/>
        <w:gridCol w:w="1814"/>
        <w:gridCol w:w="1814"/>
      </w:tblGrid>
      <w:tr w:rsidR="00CF1D49" w14:paraId="15D089EA" w14:textId="77777777" w:rsidTr="001F412B">
        <w:tc>
          <w:tcPr>
            <w:tcW w:w="1814" w:type="dxa"/>
          </w:tcPr>
          <w:p w14:paraId="0F2F79BE" w14:textId="77777777" w:rsidR="00CF1D49" w:rsidRDefault="00CF1D49" w:rsidP="001F412B">
            <w:r w:rsidRPr="7F318C33">
              <w:rPr>
                <w:rFonts w:ascii="Calibri" w:eastAsia="Calibri" w:hAnsi="Calibri" w:cs="Calibri"/>
                <w:b/>
                <w:bCs/>
                <w:color w:val="000000" w:themeColor="text1"/>
              </w:rPr>
              <w:t>År</w:t>
            </w:r>
          </w:p>
        </w:tc>
        <w:tc>
          <w:tcPr>
            <w:tcW w:w="1814" w:type="dxa"/>
          </w:tcPr>
          <w:p w14:paraId="2B5E2519" w14:textId="77777777" w:rsidR="00CF1D49" w:rsidRDefault="00CF1D49" w:rsidP="001F412B">
            <w:r w:rsidRPr="7F318C33">
              <w:rPr>
                <w:rFonts w:ascii="Calibri" w:eastAsia="Calibri" w:hAnsi="Calibri" w:cs="Calibri"/>
                <w:b/>
                <w:bCs/>
                <w:color w:val="000000" w:themeColor="text1"/>
              </w:rPr>
              <w:t>Årsverk besparelse: år 1</w:t>
            </w:r>
          </w:p>
        </w:tc>
        <w:tc>
          <w:tcPr>
            <w:tcW w:w="1814" w:type="dxa"/>
          </w:tcPr>
          <w:p w14:paraId="55C1F6F7" w14:textId="77777777" w:rsidR="00CF1D49" w:rsidRDefault="00CF1D49" w:rsidP="001F412B">
            <w:r w:rsidRPr="7F318C33">
              <w:rPr>
                <w:rFonts w:ascii="Calibri" w:eastAsia="Calibri" w:hAnsi="Calibri" w:cs="Calibri"/>
                <w:b/>
                <w:bCs/>
                <w:color w:val="000000" w:themeColor="text1"/>
              </w:rPr>
              <w:t>Årsverk besparelse: år 2</w:t>
            </w:r>
          </w:p>
        </w:tc>
        <w:tc>
          <w:tcPr>
            <w:tcW w:w="1814" w:type="dxa"/>
          </w:tcPr>
          <w:p w14:paraId="0D2C3521" w14:textId="77777777" w:rsidR="00CF1D49" w:rsidRDefault="00CF1D49" w:rsidP="001F412B">
            <w:r w:rsidRPr="7F318C33">
              <w:rPr>
                <w:rFonts w:ascii="Calibri" w:eastAsia="Calibri" w:hAnsi="Calibri" w:cs="Calibri"/>
                <w:b/>
                <w:bCs/>
                <w:color w:val="000000" w:themeColor="text1"/>
              </w:rPr>
              <w:t>Årsverk besparelse: år 3</w:t>
            </w:r>
          </w:p>
        </w:tc>
        <w:tc>
          <w:tcPr>
            <w:tcW w:w="1814" w:type="dxa"/>
          </w:tcPr>
          <w:p w14:paraId="73FEECD5" w14:textId="77777777" w:rsidR="00CF1D49" w:rsidRDefault="00CF1D49" w:rsidP="001F412B">
            <w:pPr>
              <w:rPr>
                <w:rFonts w:ascii="Calibri" w:eastAsia="Calibri" w:hAnsi="Calibri" w:cs="Calibri"/>
                <w:b/>
                <w:bCs/>
                <w:color w:val="000000" w:themeColor="text1"/>
              </w:rPr>
            </w:pPr>
            <w:r w:rsidRPr="5F1ADBB3">
              <w:rPr>
                <w:rFonts w:ascii="Calibri" w:eastAsia="Calibri" w:hAnsi="Calibri" w:cs="Calibri"/>
                <w:b/>
                <w:bCs/>
                <w:color w:val="000000" w:themeColor="text1"/>
              </w:rPr>
              <w:t>Sum besparelse pr år</w:t>
            </w:r>
          </w:p>
        </w:tc>
      </w:tr>
      <w:tr w:rsidR="00CF1D49" w14:paraId="0CAB1BF2" w14:textId="77777777" w:rsidTr="001F412B">
        <w:tc>
          <w:tcPr>
            <w:tcW w:w="1814" w:type="dxa"/>
          </w:tcPr>
          <w:p w14:paraId="7C478416" w14:textId="77777777" w:rsidR="00CF1D49" w:rsidRDefault="00CF1D49" w:rsidP="001F412B">
            <w:r w:rsidRPr="7F318C33">
              <w:rPr>
                <w:rFonts w:ascii="Calibri" w:eastAsia="Calibri" w:hAnsi="Calibri" w:cs="Calibri"/>
                <w:color w:val="000000" w:themeColor="text1"/>
              </w:rPr>
              <w:t xml:space="preserve"> </w:t>
            </w:r>
          </w:p>
        </w:tc>
        <w:tc>
          <w:tcPr>
            <w:tcW w:w="1814" w:type="dxa"/>
          </w:tcPr>
          <w:p w14:paraId="5EA33507" w14:textId="77777777" w:rsidR="00CF1D49" w:rsidRDefault="00CF1D49" w:rsidP="001F412B">
            <w:pPr>
              <w:jc w:val="center"/>
            </w:pPr>
            <w:r w:rsidRPr="7F318C33">
              <w:rPr>
                <w:rFonts w:ascii="Calibri" w:eastAsia="Calibri" w:hAnsi="Calibri" w:cs="Calibri"/>
                <w:color w:val="000000" w:themeColor="text1"/>
              </w:rPr>
              <w:t>5</w:t>
            </w:r>
          </w:p>
        </w:tc>
        <w:tc>
          <w:tcPr>
            <w:tcW w:w="1814" w:type="dxa"/>
          </w:tcPr>
          <w:p w14:paraId="36364342" w14:textId="77777777" w:rsidR="00CF1D49" w:rsidRDefault="00CF1D49" w:rsidP="001F412B">
            <w:pPr>
              <w:jc w:val="center"/>
            </w:pPr>
            <w:r w:rsidRPr="5F1ADBB3">
              <w:rPr>
                <w:rFonts w:ascii="Calibri" w:eastAsia="Calibri" w:hAnsi="Calibri" w:cs="Calibri"/>
                <w:color w:val="000000" w:themeColor="text1"/>
              </w:rPr>
              <w:t>14</w:t>
            </w:r>
          </w:p>
        </w:tc>
        <w:tc>
          <w:tcPr>
            <w:tcW w:w="1814" w:type="dxa"/>
          </w:tcPr>
          <w:p w14:paraId="5ABEFC2A" w14:textId="77777777" w:rsidR="00CF1D49" w:rsidRDefault="00CF1D49" w:rsidP="001F412B">
            <w:pPr>
              <w:jc w:val="center"/>
              <w:rPr>
                <w:rFonts w:ascii="Calibri" w:eastAsia="Calibri" w:hAnsi="Calibri" w:cs="Calibri"/>
                <w:color w:val="000000" w:themeColor="text1"/>
              </w:rPr>
            </w:pPr>
            <w:r w:rsidRPr="5F1ADBB3">
              <w:rPr>
                <w:rFonts w:ascii="Calibri" w:eastAsia="Calibri" w:hAnsi="Calibri" w:cs="Calibri"/>
                <w:color w:val="000000" w:themeColor="text1"/>
              </w:rPr>
              <w:t>21</w:t>
            </w:r>
          </w:p>
        </w:tc>
        <w:tc>
          <w:tcPr>
            <w:tcW w:w="1814" w:type="dxa"/>
          </w:tcPr>
          <w:p w14:paraId="6BDCB225" w14:textId="77777777" w:rsidR="00CF1D49" w:rsidRDefault="00CF1D49" w:rsidP="001F412B">
            <w:pPr>
              <w:jc w:val="center"/>
              <w:rPr>
                <w:rFonts w:ascii="Calibri" w:eastAsia="Calibri" w:hAnsi="Calibri" w:cs="Calibri"/>
                <w:color w:val="000000" w:themeColor="text1"/>
              </w:rPr>
            </w:pPr>
          </w:p>
        </w:tc>
      </w:tr>
      <w:tr w:rsidR="00CF1D49" w14:paraId="760CE074" w14:textId="77777777" w:rsidTr="001F412B">
        <w:tc>
          <w:tcPr>
            <w:tcW w:w="1814" w:type="dxa"/>
          </w:tcPr>
          <w:p w14:paraId="1B5BD8F9" w14:textId="77777777" w:rsidR="00CF1D49" w:rsidRDefault="00CF1D49" w:rsidP="001F412B">
            <w:r w:rsidRPr="7F318C33">
              <w:rPr>
                <w:rFonts w:ascii="Calibri" w:eastAsia="Calibri" w:hAnsi="Calibri" w:cs="Calibri"/>
                <w:color w:val="000000" w:themeColor="text1"/>
              </w:rPr>
              <w:t>År 1</w:t>
            </w:r>
          </w:p>
        </w:tc>
        <w:tc>
          <w:tcPr>
            <w:tcW w:w="1814" w:type="dxa"/>
          </w:tcPr>
          <w:p w14:paraId="2D9F9BEE" w14:textId="77777777" w:rsidR="00CF1D49" w:rsidRDefault="00CF1D49" w:rsidP="001F412B">
            <w:pPr>
              <w:jc w:val="right"/>
            </w:pPr>
            <w:r w:rsidRPr="7F318C33">
              <w:rPr>
                <w:rFonts w:ascii="Calibri" w:eastAsia="Calibri" w:hAnsi="Calibri" w:cs="Calibri"/>
                <w:color w:val="000000" w:themeColor="text1"/>
              </w:rPr>
              <w:t>5 000 000</w:t>
            </w:r>
          </w:p>
        </w:tc>
        <w:tc>
          <w:tcPr>
            <w:tcW w:w="1814" w:type="dxa"/>
          </w:tcPr>
          <w:p w14:paraId="5F2DBA46" w14:textId="77777777" w:rsidR="00CF1D49" w:rsidRDefault="00CF1D49" w:rsidP="001F412B">
            <w:r w:rsidRPr="7F318C33">
              <w:rPr>
                <w:rFonts w:ascii="Calibri" w:eastAsia="Calibri" w:hAnsi="Calibri" w:cs="Calibri"/>
                <w:color w:val="000000" w:themeColor="text1"/>
              </w:rPr>
              <w:t xml:space="preserve"> </w:t>
            </w:r>
          </w:p>
        </w:tc>
        <w:tc>
          <w:tcPr>
            <w:tcW w:w="1814" w:type="dxa"/>
          </w:tcPr>
          <w:p w14:paraId="784FEDD6" w14:textId="77777777" w:rsidR="00CF1D49" w:rsidRDefault="00CF1D49" w:rsidP="001F412B">
            <w:r w:rsidRPr="7F318C33">
              <w:rPr>
                <w:rFonts w:ascii="Calibri" w:eastAsia="Calibri" w:hAnsi="Calibri" w:cs="Calibri"/>
                <w:color w:val="000000" w:themeColor="text1"/>
              </w:rPr>
              <w:t xml:space="preserve"> </w:t>
            </w:r>
          </w:p>
        </w:tc>
        <w:tc>
          <w:tcPr>
            <w:tcW w:w="1814" w:type="dxa"/>
          </w:tcPr>
          <w:p w14:paraId="2D6425DA" w14:textId="77777777" w:rsidR="00CF1D49" w:rsidRDefault="00CF1D49" w:rsidP="001F412B">
            <w:pPr>
              <w:rPr>
                <w:rFonts w:ascii="Calibri" w:eastAsia="Calibri" w:hAnsi="Calibri" w:cs="Calibri"/>
                <w:color w:val="000000" w:themeColor="text1"/>
              </w:rPr>
            </w:pPr>
            <w:r w:rsidRPr="5F1ADBB3">
              <w:rPr>
                <w:rFonts w:ascii="Calibri" w:eastAsia="Calibri" w:hAnsi="Calibri" w:cs="Calibri"/>
                <w:color w:val="000000" w:themeColor="text1"/>
              </w:rPr>
              <w:t xml:space="preserve">             5 000 000</w:t>
            </w:r>
          </w:p>
        </w:tc>
      </w:tr>
      <w:tr w:rsidR="00CF1D49" w14:paraId="4F94E161" w14:textId="77777777" w:rsidTr="001F412B">
        <w:tc>
          <w:tcPr>
            <w:tcW w:w="1814" w:type="dxa"/>
          </w:tcPr>
          <w:p w14:paraId="670BAE2F" w14:textId="77777777" w:rsidR="00CF1D49" w:rsidRDefault="00CF1D49" w:rsidP="001F412B">
            <w:r w:rsidRPr="7F318C33">
              <w:rPr>
                <w:rFonts w:ascii="Calibri" w:eastAsia="Calibri" w:hAnsi="Calibri" w:cs="Calibri"/>
                <w:color w:val="000000" w:themeColor="text1"/>
              </w:rPr>
              <w:t>År 2</w:t>
            </w:r>
          </w:p>
        </w:tc>
        <w:tc>
          <w:tcPr>
            <w:tcW w:w="1814" w:type="dxa"/>
          </w:tcPr>
          <w:p w14:paraId="46263E94" w14:textId="77777777" w:rsidR="00CF1D49" w:rsidRDefault="00CF1D49" w:rsidP="001F412B">
            <w:pPr>
              <w:jc w:val="right"/>
            </w:pPr>
            <w:r w:rsidRPr="7F318C33">
              <w:rPr>
                <w:rFonts w:ascii="Calibri" w:eastAsia="Calibri" w:hAnsi="Calibri" w:cs="Calibri"/>
                <w:color w:val="000000" w:themeColor="text1"/>
              </w:rPr>
              <w:t>5 000 000</w:t>
            </w:r>
          </w:p>
        </w:tc>
        <w:tc>
          <w:tcPr>
            <w:tcW w:w="1814" w:type="dxa"/>
          </w:tcPr>
          <w:p w14:paraId="443B971F" w14:textId="77777777" w:rsidR="00CF1D49" w:rsidRDefault="00CF1D49" w:rsidP="001F412B">
            <w:pPr>
              <w:jc w:val="right"/>
            </w:pPr>
            <w:r w:rsidRPr="5F1ADBB3">
              <w:rPr>
                <w:rFonts w:ascii="Calibri" w:eastAsia="Calibri" w:hAnsi="Calibri" w:cs="Calibri"/>
                <w:color w:val="000000" w:themeColor="text1"/>
              </w:rPr>
              <w:t>14 000 000</w:t>
            </w:r>
          </w:p>
        </w:tc>
        <w:tc>
          <w:tcPr>
            <w:tcW w:w="1814" w:type="dxa"/>
          </w:tcPr>
          <w:p w14:paraId="3D21548E" w14:textId="77777777" w:rsidR="00CF1D49" w:rsidRDefault="00CF1D49" w:rsidP="001F412B">
            <w:r w:rsidRPr="7F318C33">
              <w:rPr>
                <w:rFonts w:ascii="Calibri" w:eastAsia="Calibri" w:hAnsi="Calibri" w:cs="Calibri"/>
                <w:color w:val="000000" w:themeColor="text1"/>
              </w:rPr>
              <w:t xml:space="preserve"> </w:t>
            </w:r>
          </w:p>
        </w:tc>
        <w:tc>
          <w:tcPr>
            <w:tcW w:w="1814" w:type="dxa"/>
          </w:tcPr>
          <w:p w14:paraId="42B5B2B0" w14:textId="77777777" w:rsidR="00CF1D49" w:rsidRDefault="00CF1D49" w:rsidP="00BF4A57">
            <w:pPr>
              <w:jc w:val="right"/>
              <w:rPr>
                <w:rFonts w:ascii="Calibri" w:eastAsia="Calibri" w:hAnsi="Calibri" w:cs="Calibri"/>
                <w:color w:val="000000" w:themeColor="text1"/>
              </w:rPr>
            </w:pPr>
            <w:r w:rsidRPr="5F1ADBB3">
              <w:rPr>
                <w:rFonts w:ascii="Calibri" w:eastAsia="Calibri" w:hAnsi="Calibri" w:cs="Calibri"/>
                <w:color w:val="000000" w:themeColor="text1"/>
              </w:rPr>
              <w:t xml:space="preserve">          19 000 000</w:t>
            </w:r>
          </w:p>
        </w:tc>
      </w:tr>
      <w:tr w:rsidR="00CF1D49" w14:paraId="7239F1BC" w14:textId="77777777" w:rsidTr="001F412B">
        <w:tc>
          <w:tcPr>
            <w:tcW w:w="1814" w:type="dxa"/>
          </w:tcPr>
          <w:p w14:paraId="1D971F1B" w14:textId="77777777" w:rsidR="00CF1D49" w:rsidRDefault="00CF1D49" w:rsidP="001F412B">
            <w:r w:rsidRPr="7F318C33">
              <w:rPr>
                <w:rFonts w:ascii="Calibri" w:eastAsia="Calibri" w:hAnsi="Calibri" w:cs="Calibri"/>
                <w:color w:val="000000" w:themeColor="text1"/>
              </w:rPr>
              <w:t>År 3</w:t>
            </w:r>
          </w:p>
        </w:tc>
        <w:tc>
          <w:tcPr>
            <w:tcW w:w="1814" w:type="dxa"/>
          </w:tcPr>
          <w:p w14:paraId="4991129E" w14:textId="77777777" w:rsidR="00CF1D49" w:rsidRDefault="00CF1D49" w:rsidP="001F412B">
            <w:pPr>
              <w:jc w:val="right"/>
            </w:pPr>
            <w:r w:rsidRPr="7F318C33">
              <w:rPr>
                <w:rFonts w:ascii="Calibri" w:eastAsia="Calibri" w:hAnsi="Calibri" w:cs="Calibri"/>
                <w:color w:val="000000" w:themeColor="text1"/>
              </w:rPr>
              <w:t>5 000 000</w:t>
            </w:r>
          </w:p>
        </w:tc>
        <w:tc>
          <w:tcPr>
            <w:tcW w:w="1814" w:type="dxa"/>
          </w:tcPr>
          <w:p w14:paraId="5D841FFF" w14:textId="77777777" w:rsidR="00CF1D49" w:rsidRDefault="00CF1D49" w:rsidP="001F412B">
            <w:pPr>
              <w:jc w:val="right"/>
            </w:pPr>
            <w:r w:rsidRPr="5F1ADBB3">
              <w:rPr>
                <w:rFonts w:ascii="Calibri" w:eastAsia="Calibri" w:hAnsi="Calibri" w:cs="Calibri"/>
                <w:color w:val="000000" w:themeColor="text1"/>
              </w:rPr>
              <w:t>14 000 000</w:t>
            </w:r>
          </w:p>
        </w:tc>
        <w:tc>
          <w:tcPr>
            <w:tcW w:w="1814" w:type="dxa"/>
          </w:tcPr>
          <w:p w14:paraId="30CC695B"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21 000 000</w:t>
            </w:r>
          </w:p>
        </w:tc>
        <w:tc>
          <w:tcPr>
            <w:tcW w:w="1814" w:type="dxa"/>
          </w:tcPr>
          <w:p w14:paraId="2CF29B3B"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40 000 000</w:t>
            </w:r>
          </w:p>
        </w:tc>
      </w:tr>
      <w:tr w:rsidR="00CF1D49" w14:paraId="1A5A511F" w14:textId="77777777" w:rsidTr="001F412B">
        <w:tc>
          <w:tcPr>
            <w:tcW w:w="1814" w:type="dxa"/>
          </w:tcPr>
          <w:p w14:paraId="33FBA831" w14:textId="77777777" w:rsidR="00CF1D49" w:rsidRDefault="00CF1D49" w:rsidP="001F412B">
            <w:r w:rsidRPr="7F318C33">
              <w:rPr>
                <w:rFonts w:ascii="Calibri" w:eastAsia="Calibri" w:hAnsi="Calibri" w:cs="Calibri"/>
                <w:color w:val="000000" w:themeColor="text1"/>
              </w:rPr>
              <w:t>År 4</w:t>
            </w:r>
          </w:p>
        </w:tc>
        <w:tc>
          <w:tcPr>
            <w:tcW w:w="1814" w:type="dxa"/>
          </w:tcPr>
          <w:p w14:paraId="5870330C" w14:textId="77777777" w:rsidR="00CF1D49" w:rsidRDefault="00CF1D49" w:rsidP="001F412B">
            <w:pPr>
              <w:jc w:val="right"/>
            </w:pPr>
            <w:r w:rsidRPr="7F318C33">
              <w:rPr>
                <w:rFonts w:ascii="Calibri" w:eastAsia="Calibri" w:hAnsi="Calibri" w:cs="Calibri"/>
                <w:color w:val="000000" w:themeColor="text1"/>
              </w:rPr>
              <w:t>5 000 000</w:t>
            </w:r>
          </w:p>
        </w:tc>
        <w:tc>
          <w:tcPr>
            <w:tcW w:w="1814" w:type="dxa"/>
          </w:tcPr>
          <w:p w14:paraId="636325A1" w14:textId="77777777" w:rsidR="00CF1D49" w:rsidRDefault="00CF1D49" w:rsidP="001F412B">
            <w:pPr>
              <w:jc w:val="right"/>
            </w:pPr>
            <w:r w:rsidRPr="5F1ADBB3">
              <w:rPr>
                <w:rFonts w:ascii="Calibri" w:eastAsia="Calibri" w:hAnsi="Calibri" w:cs="Calibri"/>
                <w:color w:val="000000" w:themeColor="text1"/>
              </w:rPr>
              <w:t>14 000 000</w:t>
            </w:r>
          </w:p>
        </w:tc>
        <w:tc>
          <w:tcPr>
            <w:tcW w:w="1814" w:type="dxa"/>
          </w:tcPr>
          <w:p w14:paraId="6DA77C42"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21 000 000</w:t>
            </w:r>
          </w:p>
        </w:tc>
        <w:tc>
          <w:tcPr>
            <w:tcW w:w="1814" w:type="dxa"/>
          </w:tcPr>
          <w:p w14:paraId="4D56E9F6"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40 000 000</w:t>
            </w:r>
          </w:p>
        </w:tc>
      </w:tr>
      <w:tr w:rsidR="00CF1D49" w14:paraId="251B0290" w14:textId="77777777" w:rsidTr="001F412B">
        <w:tc>
          <w:tcPr>
            <w:tcW w:w="1814" w:type="dxa"/>
          </w:tcPr>
          <w:p w14:paraId="15E6C212" w14:textId="77777777" w:rsidR="00CF1D49" w:rsidRDefault="00CF1D49" w:rsidP="001F412B">
            <w:r w:rsidRPr="7F318C33">
              <w:rPr>
                <w:rFonts w:ascii="Calibri" w:eastAsia="Calibri" w:hAnsi="Calibri" w:cs="Calibri"/>
                <w:color w:val="000000" w:themeColor="text1"/>
              </w:rPr>
              <w:t>År 5</w:t>
            </w:r>
          </w:p>
        </w:tc>
        <w:tc>
          <w:tcPr>
            <w:tcW w:w="1814" w:type="dxa"/>
          </w:tcPr>
          <w:p w14:paraId="50AFDBAB" w14:textId="77777777" w:rsidR="00CF1D49" w:rsidRDefault="00CF1D49" w:rsidP="001F412B">
            <w:pPr>
              <w:jc w:val="right"/>
            </w:pPr>
            <w:r w:rsidRPr="7F318C33">
              <w:rPr>
                <w:rFonts w:ascii="Calibri" w:eastAsia="Calibri" w:hAnsi="Calibri" w:cs="Calibri"/>
                <w:color w:val="000000" w:themeColor="text1"/>
              </w:rPr>
              <w:t>5 000 000</w:t>
            </w:r>
          </w:p>
        </w:tc>
        <w:tc>
          <w:tcPr>
            <w:tcW w:w="1814" w:type="dxa"/>
          </w:tcPr>
          <w:p w14:paraId="058B12A1" w14:textId="77777777" w:rsidR="00CF1D49" w:rsidRDefault="00CF1D49" w:rsidP="001F412B">
            <w:pPr>
              <w:jc w:val="right"/>
            </w:pPr>
            <w:r w:rsidRPr="5F1ADBB3">
              <w:rPr>
                <w:rFonts w:ascii="Calibri" w:eastAsia="Calibri" w:hAnsi="Calibri" w:cs="Calibri"/>
                <w:color w:val="000000" w:themeColor="text1"/>
              </w:rPr>
              <w:t>14 000 000</w:t>
            </w:r>
          </w:p>
        </w:tc>
        <w:tc>
          <w:tcPr>
            <w:tcW w:w="1814" w:type="dxa"/>
          </w:tcPr>
          <w:p w14:paraId="4356665B"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21 000 000</w:t>
            </w:r>
          </w:p>
        </w:tc>
        <w:tc>
          <w:tcPr>
            <w:tcW w:w="1814" w:type="dxa"/>
          </w:tcPr>
          <w:p w14:paraId="64A18FEA"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40 000 000</w:t>
            </w:r>
          </w:p>
        </w:tc>
      </w:tr>
      <w:tr w:rsidR="00CF1D49" w14:paraId="6327CE1E" w14:textId="77777777" w:rsidTr="001F412B">
        <w:tc>
          <w:tcPr>
            <w:tcW w:w="1814" w:type="dxa"/>
          </w:tcPr>
          <w:p w14:paraId="183E2023" w14:textId="77777777" w:rsidR="00CF1D49" w:rsidRDefault="00CF1D49" w:rsidP="001F412B">
            <w:r w:rsidRPr="7F318C33">
              <w:rPr>
                <w:rFonts w:ascii="Calibri" w:eastAsia="Calibri" w:hAnsi="Calibri" w:cs="Calibri"/>
                <w:color w:val="000000" w:themeColor="text1"/>
              </w:rPr>
              <w:t>År 6</w:t>
            </w:r>
          </w:p>
        </w:tc>
        <w:tc>
          <w:tcPr>
            <w:tcW w:w="1814" w:type="dxa"/>
          </w:tcPr>
          <w:p w14:paraId="22639FAE" w14:textId="77777777" w:rsidR="00CF1D49" w:rsidRDefault="00CF1D49" w:rsidP="001F412B">
            <w:pPr>
              <w:jc w:val="right"/>
            </w:pPr>
            <w:r w:rsidRPr="7F318C33">
              <w:rPr>
                <w:rFonts w:ascii="Calibri" w:eastAsia="Calibri" w:hAnsi="Calibri" w:cs="Calibri"/>
                <w:color w:val="000000" w:themeColor="text1"/>
              </w:rPr>
              <w:t>5 000 000</w:t>
            </w:r>
          </w:p>
        </w:tc>
        <w:tc>
          <w:tcPr>
            <w:tcW w:w="1814" w:type="dxa"/>
          </w:tcPr>
          <w:p w14:paraId="62F19C31" w14:textId="77777777" w:rsidR="00CF1D49" w:rsidRDefault="00CF1D49" w:rsidP="001F412B">
            <w:pPr>
              <w:jc w:val="right"/>
            </w:pPr>
            <w:r w:rsidRPr="5F1ADBB3">
              <w:rPr>
                <w:rFonts w:ascii="Calibri" w:eastAsia="Calibri" w:hAnsi="Calibri" w:cs="Calibri"/>
                <w:color w:val="000000" w:themeColor="text1"/>
              </w:rPr>
              <w:t>14 000 000</w:t>
            </w:r>
          </w:p>
        </w:tc>
        <w:tc>
          <w:tcPr>
            <w:tcW w:w="1814" w:type="dxa"/>
          </w:tcPr>
          <w:p w14:paraId="6A01F6AA"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21 000 000</w:t>
            </w:r>
          </w:p>
        </w:tc>
        <w:tc>
          <w:tcPr>
            <w:tcW w:w="1814" w:type="dxa"/>
          </w:tcPr>
          <w:p w14:paraId="6860C30E"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40 000 000</w:t>
            </w:r>
          </w:p>
        </w:tc>
      </w:tr>
      <w:tr w:rsidR="00CF1D49" w14:paraId="5F715930" w14:textId="77777777" w:rsidTr="001F412B">
        <w:tc>
          <w:tcPr>
            <w:tcW w:w="1814" w:type="dxa"/>
          </w:tcPr>
          <w:p w14:paraId="091B5388" w14:textId="77777777" w:rsidR="00CF1D49" w:rsidRDefault="00CF1D49" w:rsidP="001F412B">
            <w:r w:rsidRPr="7F318C33">
              <w:rPr>
                <w:rFonts w:ascii="Calibri" w:eastAsia="Calibri" w:hAnsi="Calibri" w:cs="Calibri"/>
                <w:color w:val="000000" w:themeColor="text1"/>
              </w:rPr>
              <w:t>År 7</w:t>
            </w:r>
          </w:p>
        </w:tc>
        <w:tc>
          <w:tcPr>
            <w:tcW w:w="1814" w:type="dxa"/>
          </w:tcPr>
          <w:p w14:paraId="78603AD4" w14:textId="77777777" w:rsidR="00CF1D49" w:rsidRDefault="00CF1D49" w:rsidP="001F412B">
            <w:pPr>
              <w:jc w:val="right"/>
            </w:pPr>
            <w:r w:rsidRPr="7F318C33">
              <w:rPr>
                <w:rFonts w:ascii="Calibri" w:eastAsia="Calibri" w:hAnsi="Calibri" w:cs="Calibri"/>
                <w:color w:val="000000" w:themeColor="text1"/>
              </w:rPr>
              <w:t>5 000 000</w:t>
            </w:r>
          </w:p>
        </w:tc>
        <w:tc>
          <w:tcPr>
            <w:tcW w:w="1814" w:type="dxa"/>
          </w:tcPr>
          <w:p w14:paraId="1EBDE096" w14:textId="77777777" w:rsidR="00CF1D49" w:rsidRDefault="00CF1D49" w:rsidP="001F412B">
            <w:pPr>
              <w:jc w:val="right"/>
            </w:pPr>
            <w:r w:rsidRPr="5F1ADBB3">
              <w:rPr>
                <w:rFonts w:ascii="Calibri" w:eastAsia="Calibri" w:hAnsi="Calibri" w:cs="Calibri"/>
                <w:color w:val="000000" w:themeColor="text1"/>
              </w:rPr>
              <w:t>14 000 000</w:t>
            </w:r>
          </w:p>
        </w:tc>
        <w:tc>
          <w:tcPr>
            <w:tcW w:w="1814" w:type="dxa"/>
          </w:tcPr>
          <w:p w14:paraId="755DA0D9"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21 000 000</w:t>
            </w:r>
          </w:p>
        </w:tc>
        <w:tc>
          <w:tcPr>
            <w:tcW w:w="1814" w:type="dxa"/>
          </w:tcPr>
          <w:p w14:paraId="23F0942D"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40 000 000</w:t>
            </w:r>
          </w:p>
        </w:tc>
      </w:tr>
      <w:tr w:rsidR="00CF1D49" w14:paraId="0280E2A1" w14:textId="77777777" w:rsidTr="001F412B">
        <w:tc>
          <w:tcPr>
            <w:tcW w:w="1814" w:type="dxa"/>
          </w:tcPr>
          <w:p w14:paraId="1A777449" w14:textId="77777777" w:rsidR="00CF1D49" w:rsidRDefault="00CF1D49" w:rsidP="001F412B">
            <w:r w:rsidRPr="7F318C33">
              <w:rPr>
                <w:rFonts w:ascii="Calibri" w:eastAsia="Calibri" w:hAnsi="Calibri" w:cs="Calibri"/>
                <w:color w:val="000000" w:themeColor="text1"/>
              </w:rPr>
              <w:t>År 8</w:t>
            </w:r>
          </w:p>
        </w:tc>
        <w:tc>
          <w:tcPr>
            <w:tcW w:w="1814" w:type="dxa"/>
          </w:tcPr>
          <w:p w14:paraId="73B4D2EF" w14:textId="77777777" w:rsidR="00CF1D49" w:rsidRDefault="00CF1D49" w:rsidP="001F412B">
            <w:pPr>
              <w:jc w:val="right"/>
            </w:pPr>
            <w:r w:rsidRPr="7F318C33">
              <w:rPr>
                <w:rFonts w:ascii="Calibri" w:eastAsia="Calibri" w:hAnsi="Calibri" w:cs="Calibri"/>
                <w:color w:val="000000" w:themeColor="text1"/>
              </w:rPr>
              <w:t>5 000 000</w:t>
            </w:r>
          </w:p>
        </w:tc>
        <w:tc>
          <w:tcPr>
            <w:tcW w:w="1814" w:type="dxa"/>
          </w:tcPr>
          <w:p w14:paraId="7B0D006C" w14:textId="77777777" w:rsidR="00CF1D49" w:rsidRDefault="00CF1D49" w:rsidP="001F412B">
            <w:pPr>
              <w:jc w:val="right"/>
            </w:pPr>
            <w:r w:rsidRPr="5F1ADBB3">
              <w:rPr>
                <w:rFonts w:ascii="Calibri" w:eastAsia="Calibri" w:hAnsi="Calibri" w:cs="Calibri"/>
                <w:color w:val="000000" w:themeColor="text1"/>
              </w:rPr>
              <w:t>14 000 000</w:t>
            </w:r>
          </w:p>
        </w:tc>
        <w:tc>
          <w:tcPr>
            <w:tcW w:w="1814" w:type="dxa"/>
          </w:tcPr>
          <w:p w14:paraId="3CD63B20"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21 000 000</w:t>
            </w:r>
          </w:p>
        </w:tc>
        <w:tc>
          <w:tcPr>
            <w:tcW w:w="1814" w:type="dxa"/>
          </w:tcPr>
          <w:p w14:paraId="01A71943"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40 000 000</w:t>
            </w:r>
          </w:p>
        </w:tc>
      </w:tr>
      <w:tr w:rsidR="00CF1D49" w14:paraId="1F4F343A" w14:textId="77777777" w:rsidTr="001F412B">
        <w:tc>
          <w:tcPr>
            <w:tcW w:w="1814" w:type="dxa"/>
          </w:tcPr>
          <w:p w14:paraId="2582F250" w14:textId="77777777" w:rsidR="00CF1D49" w:rsidRDefault="00CF1D49" w:rsidP="001F412B">
            <w:r w:rsidRPr="7F318C33">
              <w:rPr>
                <w:rFonts w:ascii="Calibri" w:eastAsia="Calibri" w:hAnsi="Calibri" w:cs="Calibri"/>
                <w:color w:val="000000" w:themeColor="text1"/>
              </w:rPr>
              <w:t>År 9</w:t>
            </w:r>
          </w:p>
        </w:tc>
        <w:tc>
          <w:tcPr>
            <w:tcW w:w="1814" w:type="dxa"/>
          </w:tcPr>
          <w:p w14:paraId="2B96B267" w14:textId="77777777" w:rsidR="00CF1D49" w:rsidRDefault="00CF1D49" w:rsidP="001F412B">
            <w:pPr>
              <w:jc w:val="right"/>
            </w:pPr>
            <w:r w:rsidRPr="7F318C33">
              <w:rPr>
                <w:rFonts w:ascii="Calibri" w:eastAsia="Calibri" w:hAnsi="Calibri" w:cs="Calibri"/>
                <w:color w:val="000000" w:themeColor="text1"/>
              </w:rPr>
              <w:t>5 000 000</w:t>
            </w:r>
          </w:p>
        </w:tc>
        <w:tc>
          <w:tcPr>
            <w:tcW w:w="1814" w:type="dxa"/>
          </w:tcPr>
          <w:p w14:paraId="4F46E19C" w14:textId="77777777" w:rsidR="00CF1D49" w:rsidRDefault="00CF1D49" w:rsidP="001F412B">
            <w:pPr>
              <w:jc w:val="right"/>
            </w:pPr>
            <w:r w:rsidRPr="5F1ADBB3">
              <w:rPr>
                <w:rFonts w:ascii="Calibri" w:eastAsia="Calibri" w:hAnsi="Calibri" w:cs="Calibri"/>
                <w:color w:val="000000" w:themeColor="text1"/>
              </w:rPr>
              <w:t>14 000 000</w:t>
            </w:r>
          </w:p>
        </w:tc>
        <w:tc>
          <w:tcPr>
            <w:tcW w:w="1814" w:type="dxa"/>
          </w:tcPr>
          <w:p w14:paraId="6D4A0B1A"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21 000 000</w:t>
            </w:r>
          </w:p>
        </w:tc>
        <w:tc>
          <w:tcPr>
            <w:tcW w:w="1814" w:type="dxa"/>
          </w:tcPr>
          <w:p w14:paraId="4C98DC7B"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40 000 000</w:t>
            </w:r>
          </w:p>
        </w:tc>
      </w:tr>
      <w:tr w:rsidR="00CF1D49" w14:paraId="3A8708B7" w14:textId="77777777" w:rsidTr="001F412B">
        <w:tc>
          <w:tcPr>
            <w:tcW w:w="1814" w:type="dxa"/>
          </w:tcPr>
          <w:p w14:paraId="3C934ADF" w14:textId="77777777" w:rsidR="00CF1D49" w:rsidRDefault="00CF1D49" w:rsidP="001F412B">
            <w:r w:rsidRPr="7F318C33">
              <w:rPr>
                <w:rFonts w:ascii="Calibri" w:eastAsia="Calibri" w:hAnsi="Calibri" w:cs="Calibri"/>
                <w:color w:val="000000" w:themeColor="text1"/>
              </w:rPr>
              <w:t>År 10</w:t>
            </w:r>
          </w:p>
        </w:tc>
        <w:tc>
          <w:tcPr>
            <w:tcW w:w="1814" w:type="dxa"/>
          </w:tcPr>
          <w:p w14:paraId="79AC1085" w14:textId="77777777" w:rsidR="00CF1D49" w:rsidRDefault="00CF1D49" w:rsidP="001F412B">
            <w:pPr>
              <w:jc w:val="right"/>
            </w:pPr>
            <w:r w:rsidRPr="7F318C33">
              <w:rPr>
                <w:rFonts w:ascii="Calibri" w:eastAsia="Calibri" w:hAnsi="Calibri" w:cs="Calibri"/>
                <w:color w:val="000000" w:themeColor="text1"/>
              </w:rPr>
              <w:t>5 000 000</w:t>
            </w:r>
          </w:p>
        </w:tc>
        <w:tc>
          <w:tcPr>
            <w:tcW w:w="1814" w:type="dxa"/>
          </w:tcPr>
          <w:p w14:paraId="5902B168" w14:textId="77777777" w:rsidR="00CF1D49" w:rsidRDefault="00CF1D49" w:rsidP="001F412B">
            <w:pPr>
              <w:jc w:val="right"/>
            </w:pPr>
            <w:r w:rsidRPr="5F1ADBB3">
              <w:rPr>
                <w:rFonts w:ascii="Calibri" w:eastAsia="Calibri" w:hAnsi="Calibri" w:cs="Calibri"/>
                <w:color w:val="000000" w:themeColor="text1"/>
              </w:rPr>
              <w:t>14 000 000</w:t>
            </w:r>
          </w:p>
        </w:tc>
        <w:tc>
          <w:tcPr>
            <w:tcW w:w="1814" w:type="dxa"/>
          </w:tcPr>
          <w:p w14:paraId="575CBC9F"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21 000 000</w:t>
            </w:r>
          </w:p>
        </w:tc>
        <w:tc>
          <w:tcPr>
            <w:tcW w:w="1814" w:type="dxa"/>
          </w:tcPr>
          <w:p w14:paraId="1BBCF170" w14:textId="77777777" w:rsidR="00CF1D49" w:rsidRDefault="00CF1D49" w:rsidP="001F412B">
            <w:pPr>
              <w:jc w:val="right"/>
              <w:rPr>
                <w:rFonts w:ascii="Calibri" w:eastAsia="Calibri" w:hAnsi="Calibri" w:cs="Calibri"/>
                <w:color w:val="000000" w:themeColor="text1"/>
              </w:rPr>
            </w:pPr>
            <w:r w:rsidRPr="5F1ADBB3">
              <w:rPr>
                <w:rFonts w:ascii="Calibri" w:eastAsia="Calibri" w:hAnsi="Calibri" w:cs="Calibri"/>
                <w:color w:val="000000" w:themeColor="text1"/>
              </w:rPr>
              <w:t>40 000 000</w:t>
            </w:r>
          </w:p>
        </w:tc>
      </w:tr>
      <w:tr w:rsidR="00CF1D49" w14:paraId="72CD6C4A" w14:textId="77777777" w:rsidTr="001F412B">
        <w:tc>
          <w:tcPr>
            <w:tcW w:w="1814" w:type="dxa"/>
          </w:tcPr>
          <w:p w14:paraId="696622B4" w14:textId="77777777" w:rsidR="00CF1D49" w:rsidRDefault="00CF1D49" w:rsidP="001F412B">
            <w:pPr>
              <w:rPr>
                <w:rFonts w:ascii="Calibri" w:eastAsia="Calibri" w:hAnsi="Calibri" w:cs="Calibri"/>
                <w:b/>
                <w:bCs/>
                <w:color w:val="000000" w:themeColor="text1"/>
              </w:rPr>
            </w:pPr>
            <w:r w:rsidRPr="68D265D1">
              <w:rPr>
                <w:rFonts w:ascii="Calibri" w:eastAsia="Calibri" w:hAnsi="Calibri" w:cs="Calibri"/>
                <w:b/>
                <w:bCs/>
                <w:color w:val="000000" w:themeColor="text1"/>
              </w:rPr>
              <w:t>Sum</w:t>
            </w:r>
          </w:p>
        </w:tc>
        <w:tc>
          <w:tcPr>
            <w:tcW w:w="1814" w:type="dxa"/>
          </w:tcPr>
          <w:p w14:paraId="0E4E4583" w14:textId="77777777" w:rsidR="00CF1D49" w:rsidRDefault="00CF1D49" w:rsidP="001F412B">
            <w:pPr>
              <w:jc w:val="right"/>
              <w:rPr>
                <w:rFonts w:ascii="Calibri" w:eastAsia="Calibri" w:hAnsi="Calibri" w:cs="Calibri"/>
                <w:b/>
                <w:bCs/>
                <w:color w:val="000000" w:themeColor="text1"/>
              </w:rPr>
            </w:pPr>
            <w:r w:rsidRPr="68D265D1">
              <w:rPr>
                <w:rFonts w:ascii="Calibri" w:eastAsia="Calibri" w:hAnsi="Calibri" w:cs="Calibri"/>
                <w:b/>
                <w:bCs/>
                <w:color w:val="000000" w:themeColor="text1"/>
              </w:rPr>
              <w:t>50 000 000</w:t>
            </w:r>
          </w:p>
        </w:tc>
        <w:tc>
          <w:tcPr>
            <w:tcW w:w="1814" w:type="dxa"/>
          </w:tcPr>
          <w:p w14:paraId="6BCD5834" w14:textId="77777777" w:rsidR="00CF1D49" w:rsidRDefault="00CF1D49" w:rsidP="001F412B">
            <w:pPr>
              <w:jc w:val="right"/>
              <w:rPr>
                <w:rFonts w:ascii="Calibri" w:eastAsia="Calibri" w:hAnsi="Calibri" w:cs="Calibri"/>
                <w:b/>
                <w:bCs/>
                <w:color w:val="000000" w:themeColor="text1"/>
              </w:rPr>
            </w:pPr>
            <w:r w:rsidRPr="5F1ADBB3">
              <w:rPr>
                <w:rFonts w:ascii="Calibri" w:eastAsia="Calibri" w:hAnsi="Calibri" w:cs="Calibri"/>
                <w:b/>
                <w:bCs/>
                <w:color w:val="000000" w:themeColor="text1"/>
              </w:rPr>
              <w:t>126 000 000</w:t>
            </w:r>
          </w:p>
        </w:tc>
        <w:tc>
          <w:tcPr>
            <w:tcW w:w="1814" w:type="dxa"/>
          </w:tcPr>
          <w:p w14:paraId="3FBDA3C6" w14:textId="77777777" w:rsidR="00CF1D49" w:rsidRDefault="00CF1D49" w:rsidP="001F412B">
            <w:pPr>
              <w:jc w:val="right"/>
              <w:rPr>
                <w:rFonts w:ascii="Calibri" w:eastAsia="Calibri" w:hAnsi="Calibri" w:cs="Calibri"/>
                <w:b/>
                <w:bCs/>
                <w:color w:val="000000" w:themeColor="text1"/>
              </w:rPr>
            </w:pPr>
            <w:r w:rsidRPr="5F1ADBB3">
              <w:rPr>
                <w:rFonts w:ascii="Calibri" w:eastAsia="Calibri" w:hAnsi="Calibri" w:cs="Calibri"/>
                <w:b/>
                <w:bCs/>
                <w:color w:val="000000" w:themeColor="text1"/>
              </w:rPr>
              <w:t>168 000 000</w:t>
            </w:r>
          </w:p>
        </w:tc>
        <w:tc>
          <w:tcPr>
            <w:tcW w:w="1814" w:type="dxa"/>
          </w:tcPr>
          <w:p w14:paraId="6940B786" w14:textId="77777777" w:rsidR="00CF1D49" w:rsidRDefault="00CF1D49" w:rsidP="001F412B">
            <w:pPr>
              <w:jc w:val="right"/>
              <w:rPr>
                <w:rFonts w:ascii="Calibri" w:eastAsia="Calibri" w:hAnsi="Calibri" w:cs="Calibri"/>
                <w:b/>
                <w:bCs/>
                <w:color w:val="000000" w:themeColor="text1"/>
              </w:rPr>
            </w:pPr>
            <w:r w:rsidRPr="5F1ADBB3">
              <w:rPr>
                <w:rFonts w:ascii="Calibri" w:eastAsia="Calibri" w:hAnsi="Calibri" w:cs="Calibri"/>
                <w:b/>
                <w:bCs/>
                <w:color w:val="000000" w:themeColor="text1"/>
              </w:rPr>
              <w:t>344 000 000</w:t>
            </w:r>
          </w:p>
        </w:tc>
      </w:tr>
    </w:tbl>
    <w:p w14:paraId="5BAD7BD8" w14:textId="77777777" w:rsidR="00705F34" w:rsidRDefault="00CF1D49" w:rsidP="00CF1D49">
      <w:pPr>
        <w:rPr>
          <w:rFonts w:ascii="Calibri" w:eastAsia="Calibri" w:hAnsi="Calibri" w:cs="Calibri"/>
        </w:rPr>
      </w:pPr>
      <w:r w:rsidRPr="7F318C33">
        <w:rPr>
          <w:rFonts w:ascii="Calibri" w:eastAsia="Calibri" w:hAnsi="Calibri" w:cs="Calibri"/>
        </w:rPr>
        <w:t xml:space="preserve"> </w:t>
      </w:r>
    </w:p>
    <w:p w14:paraId="636BE554" w14:textId="2385514F" w:rsidR="00CF1D49" w:rsidRDefault="00CF1D49" w:rsidP="00CF1D49">
      <w:r w:rsidRPr="7F318C33">
        <w:rPr>
          <w:rFonts w:ascii="Calibri" w:eastAsia="Calibri" w:hAnsi="Calibri" w:cs="Calibri"/>
        </w:rPr>
        <w:t xml:space="preserve">Netto gevinstrealisering for </w:t>
      </w:r>
      <w:r w:rsidR="008217EC">
        <w:rPr>
          <w:rFonts w:ascii="Calibri" w:eastAsia="Calibri" w:hAnsi="Calibri" w:cs="Calibri"/>
        </w:rPr>
        <w:t xml:space="preserve">bransjen </w:t>
      </w:r>
      <w:r w:rsidRPr="7F318C33">
        <w:rPr>
          <w:rFonts w:ascii="Calibri" w:eastAsia="Calibri" w:hAnsi="Calibri" w:cs="Calibri"/>
        </w:rPr>
        <w:t>vil i sum da utgjøre:</w:t>
      </w:r>
      <w:r w:rsidR="003E1B4C">
        <w:rPr>
          <w:rFonts w:ascii="Calibri" w:eastAsia="Calibri" w:hAnsi="Calibri" w:cs="Calibri"/>
        </w:rPr>
        <w:br/>
      </w:r>
    </w:p>
    <w:tbl>
      <w:tblPr>
        <w:tblStyle w:val="Tabellrutenett"/>
        <w:tblW w:w="0" w:type="auto"/>
        <w:tblLayout w:type="fixed"/>
        <w:tblLook w:val="04A0" w:firstRow="1" w:lastRow="0" w:firstColumn="1" w:lastColumn="0" w:noHBand="0" w:noVBand="1"/>
      </w:tblPr>
      <w:tblGrid>
        <w:gridCol w:w="6060"/>
        <w:gridCol w:w="3012"/>
      </w:tblGrid>
      <w:tr w:rsidR="00CF1D49" w14:paraId="767E4CDF" w14:textId="77777777" w:rsidTr="001F412B">
        <w:tc>
          <w:tcPr>
            <w:tcW w:w="6060" w:type="dxa"/>
          </w:tcPr>
          <w:p w14:paraId="3D49AA92" w14:textId="77777777" w:rsidR="00CF1D49" w:rsidRDefault="00CF1D49" w:rsidP="001F412B">
            <w:pPr>
              <w:spacing w:line="259" w:lineRule="auto"/>
            </w:pPr>
            <w:r w:rsidRPr="7F318C33">
              <w:rPr>
                <w:rFonts w:ascii="Calibri" w:eastAsia="Calibri" w:hAnsi="Calibri" w:cs="Calibri"/>
              </w:rPr>
              <w:t>Sum besparelse over 10 år</w:t>
            </w:r>
            <w:r w:rsidRPr="7F318C33">
              <w:rPr>
                <w:rFonts w:ascii="Calibri" w:eastAsia="Calibri" w:hAnsi="Calibri" w:cs="Calibri"/>
                <w:b/>
                <w:bCs/>
              </w:rPr>
              <w:t xml:space="preserve"> </w:t>
            </w:r>
          </w:p>
        </w:tc>
        <w:tc>
          <w:tcPr>
            <w:tcW w:w="3012" w:type="dxa"/>
          </w:tcPr>
          <w:p w14:paraId="4E2181D3" w14:textId="77777777" w:rsidR="00CF1D49" w:rsidRDefault="00CF1D49" w:rsidP="001F412B">
            <w:pPr>
              <w:spacing w:line="259" w:lineRule="auto"/>
            </w:pPr>
            <w:r w:rsidRPr="5F1ADBB3">
              <w:rPr>
                <w:rFonts w:ascii="Calibri" w:eastAsia="Calibri" w:hAnsi="Calibri" w:cs="Calibri"/>
              </w:rPr>
              <w:t>344 000 000</w:t>
            </w:r>
          </w:p>
        </w:tc>
      </w:tr>
      <w:tr w:rsidR="00CF1D49" w14:paraId="3D042F9D" w14:textId="77777777" w:rsidTr="001F412B">
        <w:tc>
          <w:tcPr>
            <w:tcW w:w="6060" w:type="dxa"/>
          </w:tcPr>
          <w:p w14:paraId="66580351" w14:textId="77777777" w:rsidR="00CF1D49" w:rsidRDefault="00CF1D49" w:rsidP="001F412B">
            <w:pPr>
              <w:rPr>
                <w:rFonts w:ascii="Calibri" w:eastAsia="Calibri" w:hAnsi="Calibri" w:cs="Calibri"/>
              </w:rPr>
            </w:pPr>
            <w:r w:rsidRPr="5F1ADBB3">
              <w:rPr>
                <w:rFonts w:ascii="Calibri" w:eastAsia="Calibri" w:hAnsi="Calibri" w:cs="Calibri"/>
              </w:rPr>
              <w:t>Sum investering bransje</w:t>
            </w:r>
          </w:p>
        </w:tc>
        <w:tc>
          <w:tcPr>
            <w:tcW w:w="3012" w:type="dxa"/>
          </w:tcPr>
          <w:p w14:paraId="59842173" w14:textId="77777777" w:rsidR="00CF1D49" w:rsidRDefault="00CF1D49" w:rsidP="001F412B">
            <w:pPr>
              <w:rPr>
                <w:rFonts w:ascii="Calibri" w:eastAsia="Calibri" w:hAnsi="Calibri" w:cs="Calibri"/>
              </w:rPr>
            </w:pPr>
            <w:r w:rsidRPr="5F1ADBB3">
              <w:rPr>
                <w:rFonts w:ascii="Calibri" w:eastAsia="Calibri" w:hAnsi="Calibri" w:cs="Calibri"/>
              </w:rPr>
              <w:t xml:space="preserve"> -25 000 000 </w:t>
            </w:r>
          </w:p>
        </w:tc>
      </w:tr>
      <w:tr w:rsidR="00CF1D49" w14:paraId="72644727" w14:textId="77777777" w:rsidTr="001F412B">
        <w:tc>
          <w:tcPr>
            <w:tcW w:w="6060" w:type="dxa"/>
          </w:tcPr>
          <w:p w14:paraId="64A37705" w14:textId="77777777" w:rsidR="00CF1D49" w:rsidRDefault="00CF1D49" w:rsidP="001F412B">
            <w:r w:rsidRPr="7F318C33">
              <w:rPr>
                <w:rFonts w:ascii="Calibri" w:eastAsia="Calibri" w:hAnsi="Calibri" w:cs="Calibri"/>
                <w:b/>
                <w:bCs/>
              </w:rPr>
              <w:t xml:space="preserve">Estimert netto gevinst </w:t>
            </w:r>
          </w:p>
        </w:tc>
        <w:tc>
          <w:tcPr>
            <w:tcW w:w="3012" w:type="dxa"/>
          </w:tcPr>
          <w:p w14:paraId="6E19E49D" w14:textId="77777777" w:rsidR="00CF1D49" w:rsidRDefault="00CF1D49" w:rsidP="001F412B">
            <w:pPr>
              <w:rPr>
                <w:rFonts w:ascii="Calibri" w:eastAsia="Calibri" w:hAnsi="Calibri" w:cs="Calibri"/>
                <w:b/>
                <w:bCs/>
              </w:rPr>
            </w:pPr>
            <w:r w:rsidRPr="5F1ADBB3">
              <w:rPr>
                <w:rFonts w:ascii="Calibri" w:eastAsia="Calibri" w:hAnsi="Calibri" w:cs="Calibri"/>
                <w:b/>
                <w:bCs/>
              </w:rPr>
              <w:t>319 000 000</w:t>
            </w:r>
          </w:p>
        </w:tc>
      </w:tr>
    </w:tbl>
    <w:p w14:paraId="4D2A2D20" w14:textId="3588ADEE" w:rsidR="00D70962" w:rsidRDefault="00D70962" w:rsidP="00CF1D49">
      <w:pPr>
        <w:rPr>
          <w:rFonts w:ascii="Calibri" w:eastAsia="Calibri" w:hAnsi="Calibri" w:cs="Calibri"/>
        </w:rPr>
      </w:pPr>
    </w:p>
    <w:p w14:paraId="4E20AE00" w14:textId="77777777" w:rsidR="001D26C5" w:rsidRDefault="001D26C5" w:rsidP="00D70962">
      <w:pPr>
        <w:pStyle w:val="xparagraph"/>
        <w:spacing w:before="0" w:beforeAutospacing="0" w:after="0" w:afterAutospacing="0"/>
        <w:textAlignment w:val="baseline"/>
        <w:rPr>
          <w:rStyle w:val="xnormaltextrun1"/>
          <w:rFonts w:asciiTheme="minorHAnsi" w:hAnsiTheme="minorHAnsi" w:cstheme="minorHAnsi"/>
          <w:b/>
          <w:bCs/>
          <w:color w:val="201F1E"/>
          <w:sz w:val="22"/>
          <w:szCs w:val="22"/>
          <w:bdr w:val="none" w:sz="0" w:space="0" w:color="auto" w:frame="1"/>
        </w:rPr>
      </w:pPr>
    </w:p>
    <w:p w14:paraId="60663884" w14:textId="583A42C7" w:rsidR="00D70962" w:rsidRPr="00126CE5" w:rsidRDefault="00D70962" w:rsidP="00D70962">
      <w:pPr>
        <w:pStyle w:val="xparagraph"/>
        <w:spacing w:before="0" w:beforeAutospacing="0" w:after="0" w:afterAutospacing="0"/>
        <w:textAlignment w:val="baseline"/>
        <w:rPr>
          <w:rFonts w:asciiTheme="minorHAnsi" w:hAnsiTheme="minorHAnsi" w:cstheme="minorHAnsi"/>
          <w:color w:val="201F1E"/>
          <w:sz w:val="22"/>
          <w:szCs w:val="22"/>
        </w:rPr>
      </w:pPr>
      <w:r w:rsidRPr="00126CE5">
        <w:rPr>
          <w:rStyle w:val="xnormaltextrun1"/>
          <w:rFonts w:asciiTheme="minorHAnsi" w:hAnsiTheme="minorHAnsi" w:cstheme="minorHAnsi"/>
          <w:b/>
          <w:bCs/>
          <w:color w:val="201F1E"/>
          <w:sz w:val="22"/>
          <w:szCs w:val="22"/>
          <w:bdr w:val="none" w:sz="0" w:space="0" w:color="auto" w:frame="1"/>
        </w:rPr>
        <w:t xml:space="preserve">3.4 Migreringsplan </w:t>
      </w:r>
      <w:r>
        <w:rPr>
          <w:rStyle w:val="xnormaltextrun1"/>
          <w:rFonts w:asciiTheme="minorHAnsi" w:hAnsiTheme="minorHAnsi" w:cstheme="minorHAnsi"/>
          <w:b/>
          <w:bCs/>
          <w:color w:val="201F1E"/>
          <w:sz w:val="22"/>
          <w:szCs w:val="22"/>
          <w:bdr w:val="none" w:sz="0" w:space="0" w:color="auto" w:frame="1"/>
        </w:rPr>
        <w:t>over</w:t>
      </w:r>
      <w:r w:rsidRPr="00126CE5">
        <w:rPr>
          <w:rStyle w:val="xnormaltextrun1"/>
          <w:rFonts w:asciiTheme="minorHAnsi" w:hAnsiTheme="minorHAnsi" w:cstheme="minorHAnsi"/>
          <w:b/>
          <w:bCs/>
          <w:color w:val="201F1E"/>
          <w:sz w:val="22"/>
          <w:szCs w:val="22"/>
          <w:bdr w:val="none" w:sz="0" w:space="0" w:color="auto" w:frame="1"/>
        </w:rPr>
        <w:t>for arbeidsgivere</w:t>
      </w:r>
      <w:r w:rsidRPr="00126CE5">
        <w:rPr>
          <w:rStyle w:val="xeop"/>
          <w:rFonts w:asciiTheme="minorHAnsi" w:hAnsiTheme="minorHAnsi" w:cstheme="minorHAnsi"/>
          <w:color w:val="201F1E"/>
          <w:sz w:val="22"/>
          <w:szCs w:val="22"/>
          <w:bdr w:val="none" w:sz="0" w:space="0" w:color="auto" w:frame="1"/>
        </w:rPr>
        <w:t> </w:t>
      </w:r>
      <w:r>
        <w:rPr>
          <w:rStyle w:val="xeop"/>
          <w:rFonts w:asciiTheme="minorHAnsi" w:hAnsiTheme="minorHAnsi" w:cstheme="minorHAnsi"/>
          <w:color w:val="201F1E"/>
          <w:sz w:val="22"/>
          <w:szCs w:val="22"/>
          <w:bdr w:val="none" w:sz="0" w:space="0" w:color="auto" w:frame="1"/>
        </w:rPr>
        <w:br/>
      </w:r>
    </w:p>
    <w:p w14:paraId="4C9304F5" w14:textId="1235EEEC" w:rsidR="00D70962" w:rsidRPr="00126CE5" w:rsidRDefault="00D70962" w:rsidP="00D70962">
      <w:pPr>
        <w:pStyle w:val="xparagraph"/>
        <w:spacing w:before="0" w:beforeAutospacing="0" w:after="0" w:afterAutospacing="0"/>
        <w:textAlignment w:val="baseline"/>
        <w:rPr>
          <w:rFonts w:asciiTheme="minorHAnsi" w:hAnsiTheme="minorHAnsi" w:cstheme="minorHAnsi"/>
          <w:color w:val="201F1E"/>
          <w:sz w:val="22"/>
          <w:szCs w:val="22"/>
        </w:rPr>
      </w:pPr>
      <w:r w:rsidRPr="00126CE5">
        <w:rPr>
          <w:rStyle w:val="xnormaltextrun1"/>
          <w:rFonts w:asciiTheme="minorHAnsi" w:hAnsiTheme="minorHAnsi" w:cstheme="minorHAnsi"/>
          <w:color w:val="201F1E"/>
          <w:sz w:val="22"/>
          <w:szCs w:val="22"/>
          <w:bdr w:val="none" w:sz="0" w:space="0" w:color="auto" w:frame="1"/>
        </w:rPr>
        <w:t xml:space="preserve">Avsnittet beskriver en overordnet </w:t>
      </w:r>
      <w:r w:rsidR="005A0F03">
        <w:rPr>
          <w:rStyle w:val="xnormaltextrun1"/>
          <w:rFonts w:asciiTheme="minorHAnsi" w:hAnsiTheme="minorHAnsi" w:cstheme="minorHAnsi"/>
          <w:color w:val="201F1E"/>
          <w:sz w:val="22"/>
          <w:szCs w:val="22"/>
          <w:bdr w:val="none" w:sz="0" w:space="0" w:color="auto" w:frame="1"/>
        </w:rPr>
        <w:t xml:space="preserve">mulig </w:t>
      </w:r>
      <w:r w:rsidRPr="00126CE5">
        <w:rPr>
          <w:rStyle w:val="xnormaltextrun1"/>
          <w:rFonts w:asciiTheme="minorHAnsi" w:hAnsiTheme="minorHAnsi" w:cstheme="minorHAnsi"/>
          <w:color w:val="201F1E"/>
          <w:sz w:val="22"/>
          <w:szCs w:val="22"/>
          <w:bdr w:val="none" w:sz="0" w:space="0" w:color="auto" w:frame="1"/>
        </w:rPr>
        <w:t xml:space="preserve">plan for migrering av arbeidsgivere over til ny løsning og gir et grovt bilde over aktiviteter som </w:t>
      </w:r>
      <w:r w:rsidR="00426046">
        <w:rPr>
          <w:rStyle w:val="xnormaltextrun1"/>
          <w:rFonts w:asciiTheme="minorHAnsi" w:hAnsiTheme="minorHAnsi" w:cstheme="minorHAnsi"/>
          <w:color w:val="201F1E"/>
          <w:sz w:val="22"/>
          <w:szCs w:val="22"/>
          <w:bdr w:val="none" w:sz="0" w:space="0" w:color="auto" w:frame="1"/>
        </w:rPr>
        <w:t>m</w:t>
      </w:r>
      <w:r w:rsidRPr="00126CE5">
        <w:rPr>
          <w:rStyle w:val="xnormaltextrun1"/>
          <w:rFonts w:asciiTheme="minorHAnsi" w:hAnsiTheme="minorHAnsi" w:cstheme="minorHAnsi"/>
          <w:color w:val="201F1E"/>
          <w:sz w:val="22"/>
          <w:szCs w:val="22"/>
          <w:bdr w:val="none" w:sz="0" w:space="0" w:color="auto" w:frame="1"/>
        </w:rPr>
        <w:t xml:space="preserve">å utføres i forbindelse med migreringen og en tilhørende tidsplan. </w:t>
      </w:r>
      <w:r w:rsidR="005127D2">
        <w:rPr>
          <w:rStyle w:val="xnormaltextrun1"/>
          <w:rFonts w:asciiTheme="minorHAnsi" w:hAnsiTheme="minorHAnsi" w:cstheme="minorHAnsi"/>
          <w:color w:val="201F1E"/>
          <w:sz w:val="22"/>
          <w:szCs w:val="22"/>
          <w:bdr w:val="none" w:sz="0" w:space="0" w:color="auto" w:frame="1"/>
        </w:rPr>
        <w:t>Finans Norge</w:t>
      </w:r>
      <w:r>
        <w:rPr>
          <w:rStyle w:val="xnormaltextrun1"/>
          <w:rFonts w:asciiTheme="minorHAnsi" w:hAnsiTheme="minorHAnsi" w:cstheme="minorHAnsi"/>
          <w:color w:val="201F1E"/>
          <w:sz w:val="22"/>
          <w:szCs w:val="22"/>
          <w:bdr w:val="none" w:sz="0" w:space="0" w:color="auto" w:frame="1"/>
        </w:rPr>
        <w:t xml:space="preserve"> legger til grunn at pensjonsinnretningene i</w:t>
      </w:r>
      <w:r w:rsidRPr="00126CE5">
        <w:rPr>
          <w:rStyle w:val="xnormaltextrun1"/>
          <w:rFonts w:asciiTheme="minorHAnsi" w:hAnsiTheme="minorHAnsi" w:cstheme="minorHAnsi"/>
          <w:color w:val="201F1E"/>
          <w:sz w:val="22"/>
          <w:szCs w:val="22"/>
          <w:bdr w:val="none" w:sz="0" w:space="0" w:color="auto" w:frame="1"/>
        </w:rPr>
        <w:t xml:space="preserve"> løpet av 2020 </w:t>
      </w:r>
      <w:r>
        <w:rPr>
          <w:rStyle w:val="xnormaltextrun1"/>
          <w:rFonts w:asciiTheme="minorHAnsi" w:hAnsiTheme="minorHAnsi" w:cstheme="minorHAnsi"/>
          <w:color w:val="201F1E"/>
          <w:sz w:val="22"/>
          <w:szCs w:val="22"/>
          <w:bdr w:val="none" w:sz="0" w:space="0" w:color="auto" w:frame="1"/>
        </w:rPr>
        <w:t xml:space="preserve">vil </w:t>
      </w:r>
      <w:r w:rsidR="005A0F03">
        <w:rPr>
          <w:rStyle w:val="xnormaltextrun1"/>
          <w:rFonts w:asciiTheme="minorHAnsi" w:hAnsiTheme="minorHAnsi" w:cstheme="minorHAnsi"/>
          <w:color w:val="201F1E"/>
          <w:sz w:val="22"/>
          <w:szCs w:val="22"/>
          <w:bdr w:val="none" w:sz="0" w:space="0" w:color="auto" w:frame="1"/>
        </w:rPr>
        <w:t xml:space="preserve">kunne </w:t>
      </w:r>
      <w:r w:rsidRPr="00126CE5">
        <w:rPr>
          <w:rStyle w:val="xnormaltextrun1"/>
          <w:rFonts w:asciiTheme="minorHAnsi" w:hAnsiTheme="minorHAnsi" w:cstheme="minorHAnsi"/>
          <w:color w:val="201F1E"/>
          <w:sz w:val="22"/>
          <w:szCs w:val="22"/>
          <w:bdr w:val="none" w:sz="0" w:space="0" w:color="auto" w:frame="1"/>
        </w:rPr>
        <w:t xml:space="preserve">gjennomføre en rekke aktiviteter for å sikre god gjennomføring av migrering med oppstart fra </w:t>
      </w:r>
      <w:r>
        <w:rPr>
          <w:rStyle w:val="xnormaltextrun1"/>
          <w:rFonts w:asciiTheme="minorHAnsi" w:hAnsiTheme="minorHAnsi" w:cstheme="minorHAnsi"/>
          <w:color w:val="201F1E"/>
          <w:sz w:val="22"/>
          <w:szCs w:val="22"/>
          <w:bdr w:val="none" w:sz="0" w:space="0" w:color="auto" w:frame="1"/>
        </w:rPr>
        <w:t>01.01.</w:t>
      </w:r>
      <w:r w:rsidRPr="00126CE5">
        <w:rPr>
          <w:rStyle w:val="xnormaltextrun1"/>
          <w:rFonts w:asciiTheme="minorHAnsi" w:hAnsiTheme="minorHAnsi" w:cstheme="minorHAnsi"/>
          <w:color w:val="201F1E"/>
          <w:sz w:val="22"/>
          <w:szCs w:val="22"/>
          <w:bdr w:val="none" w:sz="0" w:space="0" w:color="auto" w:frame="1"/>
        </w:rPr>
        <w:t>2021.</w:t>
      </w:r>
      <w:r w:rsidRPr="00126CE5">
        <w:rPr>
          <w:rStyle w:val="xeop"/>
          <w:rFonts w:asciiTheme="minorHAnsi" w:hAnsiTheme="minorHAnsi" w:cstheme="minorHAnsi"/>
          <w:color w:val="201F1E"/>
          <w:sz w:val="22"/>
          <w:szCs w:val="22"/>
          <w:bdr w:val="none" w:sz="0" w:space="0" w:color="auto" w:frame="1"/>
        </w:rPr>
        <w:t> </w:t>
      </w:r>
    </w:p>
    <w:p w14:paraId="3F31FF26" w14:textId="77777777" w:rsidR="00D70962" w:rsidRPr="00126CE5" w:rsidRDefault="00D70962" w:rsidP="00D70962">
      <w:pPr>
        <w:pStyle w:val="xparagraph"/>
        <w:spacing w:before="0" w:beforeAutospacing="0" w:after="0" w:afterAutospacing="0"/>
        <w:textAlignment w:val="baseline"/>
        <w:rPr>
          <w:rFonts w:asciiTheme="minorHAnsi" w:hAnsiTheme="minorHAnsi" w:cstheme="minorHAnsi"/>
          <w:color w:val="201F1E"/>
          <w:sz w:val="22"/>
          <w:szCs w:val="22"/>
        </w:rPr>
      </w:pPr>
      <w:r w:rsidRPr="00126CE5">
        <w:rPr>
          <w:rFonts w:asciiTheme="minorHAnsi" w:hAnsiTheme="minorHAnsi" w:cstheme="minorHAnsi"/>
          <w:color w:val="201F1E"/>
          <w:sz w:val="22"/>
          <w:szCs w:val="22"/>
        </w:rPr>
        <w:t> </w:t>
      </w:r>
    </w:p>
    <w:p w14:paraId="7C162DF7" w14:textId="77777777" w:rsidR="00D70962" w:rsidRPr="00126CE5" w:rsidRDefault="00D70962" w:rsidP="00D70962">
      <w:pPr>
        <w:pStyle w:val="xparagraph"/>
        <w:spacing w:before="0" w:beforeAutospacing="0" w:after="0" w:afterAutospacing="0"/>
        <w:textAlignment w:val="baseline"/>
        <w:rPr>
          <w:rFonts w:asciiTheme="minorHAnsi" w:hAnsiTheme="minorHAnsi" w:cstheme="minorHAnsi"/>
          <w:color w:val="201F1E"/>
          <w:sz w:val="22"/>
          <w:szCs w:val="22"/>
        </w:rPr>
      </w:pPr>
      <w:r>
        <w:rPr>
          <w:rStyle w:val="xnormaltextrun1"/>
          <w:rFonts w:asciiTheme="minorHAnsi" w:hAnsiTheme="minorHAnsi" w:cstheme="minorHAnsi"/>
          <w:color w:val="201F1E"/>
          <w:sz w:val="22"/>
          <w:szCs w:val="22"/>
          <w:u w:val="single"/>
          <w:bdr w:val="none" w:sz="0" w:space="0" w:color="auto" w:frame="1"/>
        </w:rPr>
        <w:t xml:space="preserve">3.4.1 </w:t>
      </w:r>
      <w:r w:rsidRPr="00126CE5">
        <w:rPr>
          <w:rStyle w:val="xnormaltextrun1"/>
          <w:rFonts w:asciiTheme="minorHAnsi" w:hAnsiTheme="minorHAnsi" w:cstheme="minorHAnsi"/>
          <w:color w:val="201F1E"/>
          <w:sz w:val="22"/>
          <w:szCs w:val="22"/>
          <w:u w:val="single"/>
          <w:bdr w:val="none" w:sz="0" w:space="0" w:color="auto" w:frame="1"/>
        </w:rPr>
        <w:t xml:space="preserve">Aktiviteter i 2020: </w:t>
      </w:r>
      <w:r w:rsidRPr="00126CE5">
        <w:rPr>
          <w:rStyle w:val="xeop"/>
          <w:rFonts w:asciiTheme="minorHAnsi" w:hAnsiTheme="minorHAnsi" w:cstheme="minorHAnsi"/>
          <w:color w:val="201F1E"/>
          <w:sz w:val="22"/>
          <w:szCs w:val="22"/>
          <w:bdr w:val="none" w:sz="0" w:space="0" w:color="auto" w:frame="1"/>
        </w:rPr>
        <w:t> </w:t>
      </w:r>
      <w:r>
        <w:rPr>
          <w:rStyle w:val="xeop"/>
          <w:rFonts w:asciiTheme="minorHAnsi" w:hAnsiTheme="minorHAnsi" w:cstheme="minorHAnsi"/>
          <w:color w:val="201F1E"/>
          <w:sz w:val="22"/>
          <w:szCs w:val="22"/>
          <w:bdr w:val="none" w:sz="0" w:space="0" w:color="auto" w:frame="1"/>
        </w:rPr>
        <w:br/>
      </w:r>
    </w:p>
    <w:p w14:paraId="79EE62C6" w14:textId="77777777" w:rsidR="00D70962" w:rsidRPr="00126CE5" w:rsidRDefault="00D70962" w:rsidP="00D70962">
      <w:pPr>
        <w:pStyle w:val="xparagraph"/>
        <w:numPr>
          <w:ilvl w:val="0"/>
          <w:numId w:val="3"/>
        </w:numPr>
        <w:spacing w:before="0" w:beforeAutospacing="0" w:after="0" w:afterAutospacing="0"/>
        <w:ind w:left="720"/>
        <w:textAlignment w:val="baseline"/>
        <w:rPr>
          <w:rFonts w:asciiTheme="minorHAnsi" w:hAnsiTheme="minorHAnsi" w:cstheme="minorHAnsi"/>
          <w:color w:val="201F1E"/>
          <w:sz w:val="22"/>
          <w:szCs w:val="22"/>
        </w:rPr>
      </w:pPr>
      <w:r w:rsidRPr="00126CE5">
        <w:rPr>
          <w:rStyle w:val="xnormaltextrun1"/>
          <w:rFonts w:asciiTheme="minorHAnsi" w:hAnsiTheme="minorHAnsi" w:cstheme="minorHAnsi"/>
          <w:color w:val="000000"/>
          <w:sz w:val="22"/>
          <w:szCs w:val="22"/>
          <w:bdr w:val="none" w:sz="0" w:space="0" w:color="auto" w:frame="1"/>
        </w:rPr>
        <w:t>Utarbeide kommunikasjonsplan overfor arbeidsgivere og andre relevante interessenter</w:t>
      </w:r>
      <w:r w:rsidRPr="00126CE5">
        <w:rPr>
          <w:rStyle w:val="xeop"/>
          <w:rFonts w:asciiTheme="minorHAnsi" w:hAnsiTheme="minorHAnsi" w:cstheme="minorHAnsi"/>
          <w:color w:val="201F1E"/>
          <w:sz w:val="22"/>
          <w:szCs w:val="22"/>
          <w:bdr w:val="none" w:sz="0" w:space="0" w:color="auto" w:frame="1"/>
        </w:rPr>
        <w:t> </w:t>
      </w:r>
    </w:p>
    <w:p w14:paraId="4950447C" w14:textId="77777777" w:rsidR="00D70962" w:rsidRPr="00126CE5" w:rsidRDefault="00D70962" w:rsidP="00D70962">
      <w:pPr>
        <w:pStyle w:val="xparagraph"/>
        <w:numPr>
          <w:ilvl w:val="0"/>
          <w:numId w:val="3"/>
        </w:numPr>
        <w:spacing w:before="0" w:beforeAutospacing="0" w:after="0" w:afterAutospacing="0"/>
        <w:ind w:left="720"/>
        <w:textAlignment w:val="baseline"/>
        <w:rPr>
          <w:rFonts w:asciiTheme="minorHAnsi" w:hAnsiTheme="minorHAnsi" w:cstheme="minorHAnsi"/>
          <w:color w:val="201F1E"/>
          <w:sz w:val="22"/>
          <w:szCs w:val="22"/>
        </w:rPr>
      </w:pPr>
      <w:r w:rsidRPr="00126CE5">
        <w:rPr>
          <w:rStyle w:val="xnormaltextrun1"/>
          <w:rFonts w:asciiTheme="minorHAnsi" w:hAnsiTheme="minorHAnsi" w:cstheme="minorHAnsi"/>
          <w:color w:val="000000"/>
          <w:sz w:val="22"/>
          <w:szCs w:val="22"/>
          <w:bdr w:val="none" w:sz="0" w:space="0" w:color="auto" w:frame="1"/>
        </w:rPr>
        <w:t xml:space="preserve">Pensjonsinnretningene utarbeider informasjonspakke for å dekke arbeidsgiverens informasjonsbehov om ny løsning og tilhørende rutiner </w:t>
      </w:r>
      <w:r w:rsidRPr="00126CE5">
        <w:rPr>
          <w:rStyle w:val="xeop"/>
          <w:rFonts w:asciiTheme="minorHAnsi" w:hAnsiTheme="minorHAnsi" w:cstheme="minorHAnsi"/>
          <w:color w:val="201F1E"/>
          <w:sz w:val="22"/>
          <w:szCs w:val="22"/>
          <w:bdr w:val="none" w:sz="0" w:space="0" w:color="auto" w:frame="1"/>
        </w:rPr>
        <w:t> </w:t>
      </w:r>
    </w:p>
    <w:p w14:paraId="27601AF2" w14:textId="77777777" w:rsidR="00D70962" w:rsidRPr="00126CE5" w:rsidRDefault="00D70962" w:rsidP="00D70962">
      <w:pPr>
        <w:pStyle w:val="xparagraph"/>
        <w:numPr>
          <w:ilvl w:val="0"/>
          <w:numId w:val="3"/>
        </w:numPr>
        <w:spacing w:before="0" w:beforeAutospacing="0" w:after="0" w:afterAutospacing="0"/>
        <w:ind w:left="720"/>
        <w:textAlignment w:val="baseline"/>
        <w:rPr>
          <w:rFonts w:asciiTheme="minorHAnsi" w:hAnsiTheme="minorHAnsi" w:cstheme="minorHAnsi"/>
          <w:color w:val="201F1E"/>
          <w:sz w:val="22"/>
          <w:szCs w:val="22"/>
        </w:rPr>
      </w:pPr>
      <w:r w:rsidRPr="00126CE5">
        <w:rPr>
          <w:rStyle w:val="xnormaltextrun1"/>
          <w:rFonts w:asciiTheme="minorHAnsi" w:hAnsiTheme="minorHAnsi" w:cstheme="minorHAnsi"/>
          <w:color w:val="000000"/>
          <w:sz w:val="22"/>
          <w:szCs w:val="22"/>
          <w:bdr w:val="none" w:sz="0" w:space="0" w:color="auto" w:frame="1"/>
        </w:rPr>
        <w:t>Utarbeide informasjon i samarbeid med lønnsystemleverandører for å sikre god informasjonsflyt ut til arbeidsgivere.</w:t>
      </w:r>
      <w:r w:rsidRPr="00126CE5">
        <w:rPr>
          <w:rStyle w:val="xeop"/>
          <w:rFonts w:asciiTheme="minorHAnsi" w:hAnsiTheme="minorHAnsi" w:cstheme="minorHAnsi"/>
          <w:color w:val="201F1E"/>
          <w:sz w:val="22"/>
          <w:szCs w:val="22"/>
          <w:bdr w:val="none" w:sz="0" w:space="0" w:color="auto" w:frame="1"/>
        </w:rPr>
        <w:t> </w:t>
      </w:r>
    </w:p>
    <w:p w14:paraId="2CF67DD9" w14:textId="77777777" w:rsidR="00D70962" w:rsidRPr="00126CE5" w:rsidRDefault="00D70962" w:rsidP="00D70962">
      <w:pPr>
        <w:pStyle w:val="xparagraph"/>
        <w:numPr>
          <w:ilvl w:val="0"/>
          <w:numId w:val="3"/>
        </w:numPr>
        <w:spacing w:before="0" w:beforeAutospacing="0" w:after="0" w:afterAutospacing="0"/>
        <w:ind w:left="720"/>
        <w:textAlignment w:val="baseline"/>
        <w:rPr>
          <w:rFonts w:asciiTheme="minorHAnsi" w:hAnsiTheme="minorHAnsi" w:cstheme="minorHAnsi"/>
          <w:color w:val="201F1E"/>
          <w:sz w:val="22"/>
          <w:szCs w:val="22"/>
        </w:rPr>
      </w:pPr>
      <w:r w:rsidRPr="00126CE5">
        <w:rPr>
          <w:rStyle w:val="xnormaltextrun1"/>
          <w:rFonts w:asciiTheme="minorHAnsi" w:hAnsiTheme="minorHAnsi" w:cstheme="minorHAnsi"/>
          <w:color w:val="000000"/>
          <w:sz w:val="22"/>
          <w:szCs w:val="22"/>
          <w:bdr w:val="none" w:sz="0" w:space="0" w:color="auto" w:frame="1"/>
        </w:rPr>
        <w:t xml:space="preserve">Hver enkelt pensjonsinnretning vil utarbeide detaljerte migreringsplaner for sine kunder </w:t>
      </w:r>
      <w:r w:rsidRPr="00126CE5">
        <w:rPr>
          <w:rStyle w:val="xeop"/>
          <w:rFonts w:asciiTheme="minorHAnsi" w:hAnsiTheme="minorHAnsi" w:cstheme="minorHAnsi"/>
          <w:color w:val="201F1E"/>
          <w:sz w:val="22"/>
          <w:szCs w:val="22"/>
          <w:bdr w:val="none" w:sz="0" w:space="0" w:color="auto" w:frame="1"/>
        </w:rPr>
        <w:t> </w:t>
      </w:r>
    </w:p>
    <w:p w14:paraId="0746AFB3" w14:textId="77777777" w:rsidR="00D70962" w:rsidRPr="00126CE5" w:rsidRDefault="00D70962" w:rsidP="00D70962">
      <w:pPr>
        <w:pStyle w:val="xparagraph"/>
        <w:numPr>
          <w:ilvl w:val="0"/>
          <w:numId w:val="3"/>
        </w:numPr>
        <w:spacing w:before="0" w:beforeAutospacing="0" w:after="0" w:afterAutospacing="0"/>
        <w:ind w:left="720"/>
        <w:textAlignment w:val="baseline"/>
        <w:rPr>
          <w:rFonts w:asciiTheme="minorHAnsi" w:hAnsiTheme="minorHAnsi" w:cstheme="minorHAnsi"/>
          <w:color w:val="201F1E"/>
          <w:sz w:val="22"/>
          <w:szCs w:val="22"/>
        </w:rPr>
      </w:pPr>
      <w:r w:rsidRPr="00126CE5">
        <w:rPr>
          <w:rStyle w:val="xnormaltextrun1"/>
          <w:rFonts w:asciiTheme="minorHAnsi" w:hAnsiTheme="minorHAnsi" w:cstheme="minorHAnsi"/>
          <w:color w:val="000000"/>
          <w:sz w:val="22"/>
          <w:szCs w:val="22"/>
          <w:bdr w:val="none" w:sz="0" w:space="0" w:color="auto" w:frame="1"/>
        </w:rPr>
        <w:t>Kontakte og planlegge med arbeidsgivere som vil være med i 1 fase av migrering.</w:t>
      </w:r>
      <w:r w:rsidRPr="00126CE5">
        <w:rPr>
          <w:rStyle w:val="xeop"/>
          <w:rFonts w:asciiTheme="minorHAnsi" w:hAnsiTheme="minorHAnsi" w:cstheme="minorHAnsi"/>
          <w:color w:val="201F1E"/>
          <w:sz w:val="22"/>
          <w:szCs w:val="22"/>
          <w:bdr w:val="none" w:sz="0" w:space="0" w:color="auto" w:frame="1"/>
        </w:rPr>
        <w:t> </w:t>
      </w:r>
    </w:p>
    <w:p w14:paraId="3DCF0C8A" w14:textId="029E02AD" w:rsidR="00D70962" w:rsidRPr="00BA78BE" w:rsidRDefault="00D70962" w:rsidP="00D70962">
      <w:pPr>
        <w:pStyle w:val="xparagraph"/>
        <w:numPr>
          <w:ilvl w:val="0"/>
          <w:numId w:val="3"/>
        </w:numPr>
        <w:spacing w:before="0" w:beforeAutospacing="0" w:after="0" w:afterAutospacing="0"/>
        <w:ind w:left="720"/>
        <w:textAlignment w:val="baseline"/>
        <w:rPr>
          <w:rStyle w:val="xeop"/>
          <w:rFonts w:asciiTheme="minorHAnsi" w:hAnsiTheme="minorHAnsi" w:cstheme="minorHAnsi"/>
          <w:color w:val="201F1E"/>
          <w:sz w:val="22"/>
          <w:szCs w:val="22"/>
        </w:rPr>
      </w:pPr>
      <w:r w:rsidRPr="00126CE5">
        <w:rPr>
          <w:rStyle w:val="xnormaltextrun1"/>
          <w:rFonts w:asciiTheme="minorHAnsi" w:hAnsiTheme="minorHAnsi" w:cstheme="minorHAnsi"/>
          <w:color w:val="000000"/>
          <w:sz w:val="22"/>
          <w:szCs w:val="22"/>
          <w:bdr w:val="none" w:sz="0" w:space="0" w:color="auto" w:frame="1"/>
        </w:rPr>
        <w:t>Evt. gjennomføre samlinger sammen med lønnssystemleverandører for å informere om løsning for innrapportering, når løsning nærmer seg klar til produksjon.</w:t>
      </w:r>
      <w:r w:rsidRPr="00126CE5">
        <w:rPr>
          <w:rStyle w:val="xeop"/>
          <w:rFonts w:asciiTheme="minorHAnsi" w:hAnsiTheme="minorHAnsi" w:cstheme="minorHAnsi"/>
          <w:color w:val="201F1E"/>
          <w:sz w:val="22"/>
          <w:szCs w:val="22"/>
          <w:bdr w:val="none" w:sz="0" w:space="0" w:color="auto" w:frame="1"/>
        </w:rPr>
        <w:t> </w:t>
      </w:r>
    </w:p>
    <w:p w14:paraId="02D957EE" w14:textId="24BB7AC0" w:rsidR="00BA78BE" w:rsidRDefault="00BA78BE" w:rsidP="00BA78BE">
      <w:pPr>
        <w:pStyle w:val="xparagraph"/>
        <w:spacing w:before="0" w:beforeAutospacing="0" w:after="0" w:afterAutospacing="0"/>
        <w:textAlignment w:val="baseline"/>
        <w:rPr>
          <w:rFonts w:asciiTheme="minorHAnsi" w:hAnsiTheme="minorHAnsi" w:cstheme="minorHAnsi"/>
          <w:color w:val="201F1E"/>
          <w:sz w:val="22"/>
          <w:szCs w:val="22"/>
        </w:rPr>
      </w:pPr>
    </w:p>
    <w:p w14:paraId="4760CEE6" w14:textId="2C446524" w:rsidR="00540305" w:rsidRDefault="00540305" w:rsidP="00BA78BE">
      <w:pPr>
        <w:pStyle w:val="xparagraph"/>
        <w:spacing w:before="0" w:beforeAutospacing="0" w:after="0" w:afterAutospacing="0"/>
        <w:textAlignment w:val="baseline"/>
        <w:rPr>
          <w:rFonts w:asciiTheme="minorHAnsi" w:hAnsiTheme="minorHAnsi" w:cstheme="minorHAnsi"/>
          <w:color w:val="201F1E"/>
          <w:sz w:val="22"/>
          <w:szCs w:val="22"/>
        </w:rPr>
      </w:pPr>
    </w:p>
    <w:p w14:paraId="56E8E13B" w14:textId="3F157564" w:rsidR="00F26131" w:rsidRDefault="00F26131" w:rsidP="00BA78BE">
      <w:pPr>
        <w:pStyle w:val="xparagraph"/>
        <w:spacing w:before="0" w:beforeAutospacing="0" w:after="0" w:afterAutospacing="0"/>
        <w:textAlignment w:val="baseline"/>
        <w:rPr>
          <w:rFonts w:asciiTheme="minorHAnsi" w:hAnsiTheme="minorHAnsi" w:cstheme="minorHAnsi"/>
          <w:color w:val="201F1E"/>
          <w:sz w:val="22"/>
          <w:szCs w:val="22"/>
        </w:rPr>
      </w:pPr>
    </w:p>
    <w:p w14:paraId="354558D1" w14:textId="77777777" w:rsidR="00F26131" w:rsidRPr="00126CE5" w:rsidRDefault="00F26131" w:rsidP="00BA78BE">
      <w:pPr>
        <w:pStyle w:val="xparagraph"/>
        <w:spacing w:before="0" w:beforeAutospacing="0" w:after="0" w:afterAutospacing="0"/>
        <w:textAlignment w:val="baseline"/>
        <w:rPr>
          <w:rFonts w:asciiTheme="minorHAnsi" w:hAnsiTheme="minorHAnsi" w:cstheme="minorHAnsi"/>
          <w:color w:val="201F1E"/>
          <w:sz w:val="22"/>
          <w:szCs w:val="22"/>
        </w:rPr>
      </w:pPr>
    </w:p>
    <w:p w14:paraId="4B20F1E8" w14:textId="77777777" w:rsidR="00D70962" w:rsidRPr="00126CE5" w:rsidRDefault="00D70962" w:rsidP="00D70962">
      <w:pPr>
        <w:pStyle w:val="xparagraph"/>
        <w:spacing w:before="0" w:beforeAutospacing="0" w:after="0" w:afterAutospacing="0"/>
        <w:ind w:left="50"/>
        <w:textAlignment w:val="baseline"/>
        <w:rPr>
          <w:rFonts w:asciiTheme="minorHAnsi" w:hAnsiTheme="minorHAnsi" w:cstheme="minorHAnsi"/>
          <w:color w:val="201F1E"/>
          <w:sz w:val="22"/>
          <w:szCs w:val="22"/>
        </w:rPr>
      </w:pPr>
    </w:p>
    <w:p w14:paraId="49ED4113" w14:textId="7B9FEB0C" w:rsidR="00D70962" w:rsidRPr="00126CE5" w:rsidRDefault="00D70962" w:rsidP="00D70962">
      <w:pPr>
        <w:pStyle w:val="xparagraph"/>
        <w:spacing w:before="0" w:beforeAutospacing="0" w:after="0" w:afterAutospacing="0"/>
        <w:textAlignment w:val="baseline"/>
        <w:rPr>
          <w:rFonts w:asciiTheme="minorHAnsi" w:hAnsiTheme="minorHAnsi" w:cstheme="minorHAnsi"/>
          <w:color w:val="201F1E"/>
          <w:sz w:val="22"/>
          <w:szCs w:val="22"/>
        </w:rPr>
      </w:pPr>
      <w:r>
        <w:rPr>
          <w:rStyle w:val="xnormaltextrun1"/>
          <w:rFonts w:asciiTheme="minorHAnsi" w:hAnsiTheme="minorHAnsi" w:cstheme="minorHAnsi"/>
          <w:color w:val="201F1E"/>
          <w:sz w:val="22"/>
          <w:szCs w:val="22"/>
          <w:u w:val="single"/>
          <w:bdr w:val="none" w:sz="0" w:space="0" w:color="auto" w:frame="1"/>
        </w:rPr>
        <w:lastRenderedPageBreak/>
        <w:t>3.4.</w:t>
      </w:r>
      <w:r w:rsidR="00DB2F2C">
        <w:rPr>
          <w:rStyle w:val="xnormaltextrun1"/>
          <w:rFonts w:asciiTheme="minorHAnsi" w:hAnsiTheme="minorHAnsi" w:cstheme="minorHAnsi"/>
          <w:color w:val="201F1E"/>
          <w:sz w:val="22"/>
          <w:szCs w:val="22"/>
          <w:u w:val="single"/>
          <w:bdr w:val="none" w:sz="0" w:space="0" w:color="auto" w:frame="1"/>
        </w:rPr>
        <w:t>2</w:t>
      </w:r>
      <w:r>
        <w:rPr>
          <w:rStyle w:val="xnormaltextrun1"/>
          <w:rFonts w:asciiTheme="minorHAnsi" w:hAnsiTheme="minorHAnsi" w:cstheme="minorHAnsi"/>
          <w:color w:val="201F1E"/>
          <w:sz w:val="22"/>
          <w:szCs w:val="22"/>
          <w:u w:val="single"/>
          <w:bdr w:val="none" w:sz="0" w:space="0" w:color="auto" w:frame="1"/>
        </w:rPr>
        <w:t xml:space="preserve"> </w:t>
      </w:r>
      <w:r w:rsidRPr="00126CE5">
        <w:rPr>
          <w:rStyle w:val="xnormaltextrun1"/>
          <w:rFonts w:asciiTheme="minorHAnsi" w:hAnsiTheme="minorHAnsi" w:cstheme="minorHAnsi"/>
          <w:color w:val="201F1E"/>
          <w:sz w:val="22"/>
          <w:szCs w:val="22"/>
          <w:u w:val="single"/>
          <w:bdr w:val="none" w:sz="0" w:space="0" w:color="auto" w:frame="1"/>
        </w:rPr>
        <w:t>Gjennomføring av migrering</w:t>
      </w:r>
      <w:r>
        <w:rPr>
          <w:rStyle w:val="xnormaltextrun1"/>
          <w:rFonts w:asciiTheme="minorHAnsi" w:hAnsiTheme="minorHAnsi" w:cstheme="minorHAnsi"/>
          <w:color w:val="201F1E"/>
          <w:sz w:val="22"/>
          <w:szCs w:val="22"/>
          <w:u w:val="single"/>
          <w:bdr w:val="none" w:sz="0" w:space="0" w:color="auto" w:frame="1"/>
        </w:rPr>
        <w:t xml:space="preserve"> 2021:</w:t>
      </w:r>
      <w:r>
        <w:rPr>
          <w:rStyle w:val="xnormaltextrun1"/>
          <w:rFonts w:asciiTheme="minorHAnsi" w:hAnsiTheme="minorHAnsi" w:cstheme="minorHAnsi"/>
          <w:color w:val="201F1E"/>
          <w:sz w:val="22"/>
          <w:szCs w:val="22"/>
          <w:u w:val="single"/>
          <w:bdr w:val="none" w:sz="0" w:space="0" w:color="auto" w:frame="1"/>
        </w:rPr>
        <w:br/>
      </w:r>
    </w:p>
    <w:p w14:paraId="2DE6500B" w14:textId="44D12F31" w:rsidR="00D70962" w:rsidRPr="00126CE5" w:rsidRDefault="005A0F03" w:rsidP="00D70962">
      <w:pPr>
        <w:pStyle w:val="xparagraph"/>
        <w:spacing w:before="0" w:beforeAutospacing="0" w:after="0" w:afterAutospacing="0"/>
        <w:textAlignment w:val="baseline"/>
        <w:rPr>
          <w:rFonts w:asciiTheme="minorHAnsi" w:hAnsiTheme="minorHAnsi" w:cstheme="minorHAnsi"/>
          <w:color w:val="201F1E"/>
          <w:sz w:val="22"/>
          <w:szCs w:val="22"/>
        </w:rPr>
      </w:pPr>
      <w:r>
        <w:rPr>
          <w:rStyle w:val="xnormaltextrun1"/>
          <w:rFonts w:asciiTheme="minorHAnsi" w:hAnsiTheme="minorHAnsi" w:cstheme="minorHAnsi"/>
          <w:color w:val="201F1E"/>
          <w:sz w:val="22"/>
          <w:szCs w:val="22"/>
          <w:bdr w:val="none" w:sz="0" w:space="0" w:color="auto" w:frame="1"/>
        </w:rPr>
        <w:t>Forslag</w:t>
      </w:r>
      <w:r w:rsidR="00BA78BE">
        <w:rPr>
          <w:rStyle w:val="xnormaltextrun1"/>
          <w:rFonts w:asciiTheme="minorHAnsi" w:hAnsiTheme="minorHAnsi" w:cstheme="minorHAnsi"/>
          <w:color w:val="201F1E"/>
          <w:sz w:val="22"/>
          <w:szCs w:val="22"/>
          <w:bdr w:val="none" w:sz="0" w:space="0" w:color="auto" w:frame="1"/>
        </w:rPr>
        <w:t>et</w:t>
      </w:r>
      <w:r>
        <w:rPr>
          <w:rStyle w:val="xnormaltextrun1"/>
          <w:rFonts w:asciiTheme="minorHAnsi" w:hAnsiTheme="minorHAnsi" w:cstheme="minorHAnsi"/>
          <w:color w:val="201F1E"/>
          <w:sz w:val="22"/>
          <w:szCs w:val="22"/>
          <w:bdr w:val="none" w:sz="0" w:space="0" w:color="auto" w:frame="1"/>
        </w:rPr>
        <w:t xml:space="preserve"> til p</w:t>
      </w:r>
      <w:r w:rsidR="00D70962" w:rsidRPr="00126CE5">
        <w:rPr>
          <w:rStyle w:val="xnormaltextrun1"/>
          <w:rFonts w:asciiTheme="minorHAnsi" w:hAnsiTheme="minorHAnsi" w:cstheme="minorHAnsi"/>
          <w:color w:val="201F1E"/>
          <w:sz w:val="22"/>
          <w:szCs w:val="22"/>
          <w:bdr w:val="none" w:sz="0" w:space="0" w:color="auto" w:frame="1"/>
        </w:rPr>
        <w:t xml:space="preserve">lan tar utgangspunkt i at pensjonsinnretningene får migrert alle sine kunder over til ny løsning i løpet av 2021. Planen innebærer at pensjonsinnretningene starter å migrere over et begrenset antall kunder når ny løsning er i produksjon. En kontrollert migrering av kunder over tid vil </w:t>
      </w:r>
      <w:r w:rsidR="00426046">
        <w:rPr>
          <w:rStyle w:val="xnormaltextrun1"/>
          <w:rFonts w:asciiTheme="minorHAnsi" w:hAnsiTheme="minorHAnsi" w:cstheme="minorHAnsi"/>
          <w:color w:val="201F1E"/>
          <w:sz w:val="22"/>
          <w:szCs w:val="22"/>
          <w:bdr w:val="none" w:sz="0" w:space="0" w:color="auto" w:frame="1"/>
        </w:rPr>
        <w:t>g</w:t>
      </w:r>
      <w:r w:rsidR="00D70962" w:rsidRPr="00126CE5">
        <w:rPr>
          <w:rStyle w:val="xnormaltextrun1"/>
          <w:rFonts w:asciiTheme="minorHAnsi" w:hAnsiTheme="minorHAnsi" w:cstheme="minorHAnsi"/>
          <w:color w:val="201F1E"/>
          <w:sz w:val="22"/>
          <w:szCs w:val="22"/>
          <w:bdr w:val="none" w:sz="0" w:space="0" w:color="auto" w:frame="1"/>
        </w:rPr>
        <w:t>i pensjonsinnretningene og Skatt</w:t>
      </w:r>
      <w:r w:rsidR="00D70962">
        <w:rPr>
          <w:rStyle w:val="xnormaltextrun1"/>
          <w:rFonts w:asciiTheme="minorHAnsi" w:hAnsiTheme="minorHAnsi" w:cstheme="minorHAnsi"/>
          <w:color w:val="201F1E"/>
          <w:sz w:val="22"/>
          <w:szCs w:val="22"/>
          <w:bdr w:val="none" w:sz="0" w:space="0" w:color="auto" w:frame="1"/>
        </w:rPr>
        <w:t>eetaten</w:t>
      </w:r>
      <w:r w:rsidR="00D70962" w:rsidRPr="00126CE5">
        <w:rPr>
          <w:rStyle w:val="xnormaltextrun1"/>
          <w:rFonts w:asciiTheme="minorHAnsi" w:hAnsiTheme="minorHAnsi" w:cstheme="minorHAnsi"/>
          <w:color w:val="201F1E"/>
          <w:sz w:val="22"/>
          <w:szCs w:val="22"/>
          <w:bdr w:val="none" w:sz="0" w:space="0" w:color="auto" w:frame="1"/>
        </w:rPr>
        <w:t xml:space="preserve">/NAV mulighet </w:t>
      </w:r>
      <w:r>
        <w:rPr>
          <w:rStyle w:val="xnormaltextrun1"/>
          <w:rFonts w:asciiTheme="minorHAnsi" w:hAnsiTheme="minorHAnsi" w:cstheme="minorHAnsi"/>
          <w:color w:val="201F1E"/>
          <w:sz w:val="22"/>
          <w:szCs w:val="22"/>
          <w:bdr w:val="none" w:sz="0" w:space="0" w:color="auto" w:frame="1"/>
        </w:rPr>
        <w:t xml:space="preserve">til å høste </w:t>
      </w:r>
      <w:r w:rsidR="00D70962" w:rsidRPr="00126CE5">
        <w:rPr>
          <w:rStyle w:val="xnormaltextrun1"/>
          <w:rFonts w:asciiTheme="minorHAnsi" w:hAnsiTheme="minorHAnsi" w:cstheme="minorHAnsi"/>
          <w:color w:val="201F1E"/>
          <w:sz w:val="22"/>
          <w:szCs w:val="22"/>
          <w:bdr w:val="none" w:sz="0" w:space="0" w:color="auto" w:frame="1"/>
        </w:rPr>
        <w:t xml:space="preserve">erfaring med ny løsning og foreta nødvendige justeringer for å sikre kvalitet og effektivitet underveis. </w:t>
      </w:r>
      <w:r w:rsidR="00D70962" w:rsidRPr="00126CE5">
        <w:rPr>
          <w:rStyle w:val="xeop"/>
          <w:rFonts w:asciiTheme="minorHAnsi" w:hAnsiTheme="minorHAnsi" w:cstheme="minorHAnsi"/>
          <w:color w:val="201F1E"/>
          <w:sz w:val="22"/>
          <w:szCs w:val="22"/>
          <w:bdr w:val="none" w:sz="0" w:space="0" w:color="auto" w:frame="1"/>
        </w:rPr>
        <w:t> </w:t>
      </w:r>
    </w:p>
    <w:p w14:paraId="77997D2D" w14:textId="77777777" w:rsidR="00D70962" w:rsidRPr="00126CE5" w:rsidRDefault="00D70962" w:rsidP="00D70962">
      <w:pPr>
        <w:pStyle w:val="xparagraph"/>
        <w:spacing w:before="0" w:beforeAutospacing="0" w:after="0" w:afterAutospacing="0"/>
        <w:textAlignment w:val="baseline"/>
        <w:rPr>
          <w:rFonts w:asciiTheme="minorHAnsi" w:hAnsiTheme="minorHAnsi" w:cstheme="minorHAnsi"/>
          <w:color w:val="201F1E"/>
          <w:sz w:val="22"/>
          <w:szCs w:val="22"/>
        </w:rPr>
      </w:pPr>
      <w:r w:rsidRPr="00126CE5">
        <w:rPr>
          <w:rFonts w:asciiTheme="minorHAnsi" w:hAnsiTheme="minorHAnsi" w:cstheme="minorHAnsi"/>
          <w:color w:val="201F1E"/>
          <w:sz w:val="22"/>
          <w:szCs w:val="22"/>
        </w:rPr>
        <w:t> </w:t>
      </w:r>
    </w:p>
    <w:p w14:paraId="5664169D" w14:textId="4D051574" w:rsidR="00D70962" w:rsidRDefault="005127D2" w:rsidP="00D70962">
      <w:pPr>
        <w:pStyle w:val="xparagraph"/>
        <w:spacing w:before="0" w:beforeAutospacing="0" w:after="0" w:afterAutospacing="0"/>
        <w:textAlignment w:val="baseline"/>
        <w:rPr>
          <w:rStyle w:val="xnormaltextrun1"/>
          <w:rFonts w:asciiTheme="minorHAnsi" w:hAnsiTheme="minorHAnsi" w:cstheme="minorHAnsi"/>
          <w:color w:val="201F1E"/>
          <w:sz w:val="22"/>
          <w:szCs w:val="22"/>
          <w:bdr w:val="none" w:sz="0" w:space="0" w:color="auto" w:frame="1"/>
        </w:rPr>
      </w:pPr>
      <w:r>
        <w:rPr>
          <w:rStyle w:val="xnormaltextrun1"/>
          <w:rFonts w:asciiTheme="minorHAnsi" w:hAnsiTheme="minorHAnsi" w:cstheme="minorHAnsi"/>
          <w:color w:val="201F1E"/>
          <w:sz w:val="22"/>
          <w:szCs w:val="22"/>
          <w:bdr w:val="none" w:sz="0" w:space="0" w:color="auto" w:frame="1"/>
        </w:rPr>
        <w:t>Finans Norge</w:t>
      </w:r>
      <w:r w:rsidR="00D70962">
        <w:rPr>
          <w:rStyle w:val="xnormaltextrun1"/>
          <w:rFonts w:asciiTheme="minorHAnsi" w:hAnsiTheme="minorHAnsi" w:cstheme="minorHAnsi"/>
          <w:color w:val="201F1E"/>
          <w:sz w:val="22"/>
          <w:szCs w:val="22"/>
          <w:bdr w:val="none" w:sz="0" w:space="0" w:color="auto" w:frame="1"/>
        </w:rPr>
        <w:t xml:space="preserve"> </w:t>
      </w:r>
      <w:r w:rsidR="005A0F03">
        <w:rPr>
          <w:rStyle w:val="xnormaltextrun1"/>
          <w:rFonts w:asciiTheme="minorHAnsi" w:hAnsiTheme="minorHAnsi" w:cstheme="minorHAnsi"/>
          <w:color w:val="201F1E"/>
          <w:sz w:val="22"/>
          <w:szCs w:val="22"/>
          <w:bdr w:val="none" w:sz="0" w:space="0" w:color="auto" w:frame="1"/>
        </w:rPr>
        <w:t>foreslår</w:t>
      </w:r>
      <w:r w:rsidR="00D70962">
        <w:rPr>
          <w:rStyle w:val="xnormaltextrun1"/>
          <w:rFonts w:asciiTheme="minorHAnsi" w:hAnsiTheme="minorHAnsi" w:cstheme="minorHAnsi"/>
          <w:color w:val="201F1E"/>
          <w:sz w:val="22"/>
          <w:szCs w:val="22"/>
          <w:bdr w:val="none" w:sz="0" w:space="0" w:color="auto" w:frame="1"/>
        </w:rPr>
        <w:t xml:space="preserve"> en migreringsplan som følger:</w:t>
      </w:r>
    </w:p>
    <w:p w14:paraId="58C47B32" w14:textId="77777777" w:rsidR="00D70962" w:rsidRDefault="00D70962" w:rsidP="00D70962">
      <w:pPr>
        <w:pStyle w:val="xparagraph"/>
        <w:spacing w:before="0" w:beforeAutospacing="0" w:after="0" w:afterAutospacing="0"/>
        <w:textAlignment w:val="baseline"/>
        <w:rPr>
          <w:rStyle w:val="xnormaltextrun1"/>
          <w:rFonts w:asciiTheme="minorHAnsi" w:hAnsiTheme="minorHAnsi" w:cstheme="minorHAnsi"/>
          <w:color w:val="201F1E"/>
          <w:sz w:val="22"/>
          <w:szCs w:val="22"/>
          <w:bdr w:val="none" w:sz="0" w:space="0" w:color="auto" w:frame="1"/>
        </w:rPr>
      </w:pPr>
    </w:p>
    <w:tbl>
      <w:tblPr>
        <w:tblStyle w:val="Tabellrutenett"/>
        <w:tblW w:w="0" w:type="auto"/>
        <w:tblLook w:val="04A0" w:firstRow="1" w:lastRow="0" w:firstColumn="1" w:lastColumn="0" w:noHBand="0" w:noVBand="1"/>
      </w:tblPr>
      <w:tblGrid>
        <w:gridCol w:w="1053"/>
        <w:gridCol w:w="7649"/>
      </w:tblGrid>
      <w:tr w:rsidR="00D70962" w14:paraId="67110B1E" w14:textId="77777777" w:rsidTr="00D70962">
        <w:tc>
          <w:tcPr>
            <w:tcW w:w="1053" w:type="dxa"/>
          </w:tcPr>
          <w:p w14:paraId="304FE534" w14:textId="6974FC79" w:rsidR="00D70962" w:rsidRDefault="00AF7D39" w:rsidP="00AF7D39">
            <w:pPr>
              <w:pStyle w:val="xparagraph"/>
              <w:spacing w:before="0" w:beforeAutospacing="0" w:after="0" w:afterAutospacing="0"/>
              <w:jc w:val="both"/>
              <w:textAlignment w:val="baseline"/>
              <w:rPr>
                <w:rStyle w:val="xnormaltextrun1"/>
                <w:rFonts w:asciiTheme="minorHAnsi" w:hAnsiTheme="minorHAnsi" w:cstheme="minorHAnsi"/>
                <w:color w:val="201F1E"/>
                <w:sz w:val="22"/>
                <w:szCs w:val="22"/>
                <w:bdr w:val="none" w:sz="0" w:space="0" w:color="auto" w:frame="1"/>
              </w:rPr>
            </w:pPr>
            <w:r>
              <w:rPr>
                <w:rStyle w:val="xnormaltextrun1"/>
                <w:rFonts w:asciiTheme="minorHAnsi" w:hAnsiTheme="minorHAnsi" w:cstheme="minorHAnsi"/>
                <w:color w:val="201F1E"/>
                <w:sz w:val="22"/>
                <w:szCs w:val="22"/>
                <w:bdr w:val="none" w:sz="0" w:space="0" w:color="auto" w:frame="1"/>
              </w:rPr>
              <w:t>1 kv</w:t>
            </w:r>
          </w:p>
        </w:tc>
        <w:tc>
          <w:tcPr>
            <w:tcW w:w="7649" w:type="dxa"/>
          </w:tcPr>
          <w:p w14:paraId="0418D4C2" w14:textId="77777777" w:rsidR="00D70962" w:rsidRDefault="00D70962" w:rsidP="00CD5C8B">
            <w:pPr>
              <w:pStyle w:val="xparagraph"/>
              <w:spacing w:before="0" w:beforeAutospacing="0" w:after="0" w:afterAutospacing="0"/>
              <w:textAlignment w:val="baseline"/>
              <w:rPr>
                <w:rStyle w:val="xnormaltextrun1"/>
                <w:rFonts w:asciiTheme="minorHAnsi" w:hAnsiTheme="minorHAnsi" w:cstheme="minorHAnsi"/>
                <w:color w:val="201F1E"/>
                <w:sz w:val="22"/>
                <w:szCs w:val="22"/>
                <w:bdr w:val="none" w:sz="0" w:space="0" w:color="auto" w:frame="1"/>
              </w:rPr>
            </w:pPr>
            <w:r>
              <w:rPr>
                <w:rStyle w:val="xnormaltextrun1"/>
                <w:rFonts w:asciiTheme="minorHAnsi" w:hAnsiTheme="minorHAnsi" w:cstheme="minorHAnsi"/>
                <w:color w:val="201F1E"/>
                <w:sz w:val="22"/>
                <w:szCs w:val="22"/>
                <w:bdr w:val="none" w:sz="0" w:space="0" w:color="auto" w:frame="1"/>
              </w:rPr>
              <w:t xml:space="preserve">Oppstart migrering med et begrenset antall kunder fra hver pensjonsinnretning </w:t>
            </w:r>
          </w:p>
          <w:p w14:paraId="47A6DA49" w14:textId="77777777" w:rsidR="00D70962" w:rsidRDefault="00D70962" w:rsidP="00CD5C8B">
            <w:pPr>
              <w:pStyle w:val="xparagraph"/>
              <w:spacing w:before="0" w:beforeAutospacing="0" w:after="0" w:afterAutospacing="0"/>
              <w:textAlignment w:val="baseline"/>
              <w:rPr>
                <w:rStyle w:val="xnormaltextrun1"/>
                <w:rFonts w:asciiTheme="minorHAnsi" w:hAnsiTheme="minorHAnsi" w:cstheme="minorHAnsi"/>
                <w:color w:val="201F1E"/>
                <w:sz w:val="22"/>
                <w:szCs w:val="22"/>
                <w:bdr w:val="none" w:sz="0" w:space="0" w:color="auto" w:frame="1"/>
              </w:rPr>
            </w:pPr>
            <w:r>
              <w:rPr>
                <w:rStyle w:val="xnormaltextrun1"/>
                <w:rFonts w:asciiTheme="minorHAnsi" w:hAnsiTheme="minorHAnsi" w:cstheme="minorHAnsi"/>
                <w:color w:val="201F1E"/>
                <w:sz w:val="22"/>
                <w:szCs w:val="22"/>
                <w:bdr w:val="none" w:sz="0" w:space="0" w:color="auto" w:frame="1"/>
              </w:rPr>
              <w:t>Målsetning om 10% av total kundebestand migrert</w:t>
            </w:r>
          </w:p>
        </w:tc>
      </w:tr>
      <w:tr w:rsidR="00D70962" w14:paraId="7837C157" w14:textId="77777777" w:rsidTr="00D70962">
        <w:tc>
          <w:tcPr>
            <w:tcW w:w="1053" w:type="dxa"/>
          </w:tcPr>
          <w:p w14:paraId="13E46D9F" w14:textId="6FFC935E" w:rsidR="00D70962" w:rsidRDefault="00AF7D39" w:rsidP="00CD5C8B">
            <w:pPr>
              <w:pStyle w:val="xparagraph"/>
              <w:spacing w:before="0" w:beforeAutospacing="0" w:after="0" w:afterAutospacing="0"/>
              <w:textAlignment w:val="baseline"/>
              <w:rPr>
                <w:rStyle w:val="xnormaltextrun1"/>
                <w:rFonts w:asciiTheme="minorHAnsi" w:hAnsiTheme="minorHAnsi" w:cstheme="minorHAnsi"/>
                <w:color w:val="201F1E"/>
                <w:sz w:val="22"/>
                <w:szCs w:val="22"/>
                <w:bdr w:val="none" w:sz="0" w:space="0" w:color="auto" w:frame="1"/>
              </w:rPr>
            </w:pPr>
            <w:r>
              <w:rPr>
                <w:rStyle w:val="xnormaltextrun1"/>
                <w:rFonts w:asciiTheme="minorHAnsi" w:hAnsiTheme="minorHAnsi" w:cstheme="minorHAnsi"/>
                <w:color w:val="201F1E"/>
                <w:sz w:val="22"/>
                <w:szCs w:val="22"/>
                <w:bdr w:val="none" w:sz="0" w:space="0" w:color="auto" w:frame="1"/>
              </w:rPr>
              <w:t>2 kv</w:t>
            </w:r>
          </w:p>
        </w:tc>
        <w:tc>
          <w:tcPr>
            <w:tcW w:w="7649" w:type="dxa"/>
          </w:tcPr>
          <w:p w14:paraId="3D4E1992" w14:textId="77777777" w:rsidR="00D70962" w:rsidRDefault="00D70962" w:rsidP="00CD5C8B">
            <w:r w:rsidRPr="002A1F12">
              <w:rPr>
                <w:rStyle w:val="xnormaltextrun1"/>
                <w:rFonts w:cstheme="minorHAnsi"/>
                <w:color w:val="201F1E"/>
                <w:bdr w:val="none" w:sz="0" w:space="0" w:color="auto" w:frame="1"/>
              </w:rPr>
              <w:t xml:space="preserve">Målsetning om </w:t>
            </w:r>
            <w:r>
              <w:rPr>
                <w:rStyle w:val="xnormaltextrun1"/>
                <w:rFonts w:cstheme="minorHAnsi"/>
                <w:color w:val="201F1E"/>
                <w:bdr w:val="none" w:sz="0" w:space="0" w:color="auto" w:frame="1"/>
              </w:rPr>
              <w:t>30</w:t>
            </w:r>
            <w:r w:rsidRPr="002A1F12">
              <w:rPr>
                <w:rStyle w:val="xnormaltextrun1"/>
                <w:rFonts w:cstheme="minorHAnsi"/>
                <w:color w:val="201F1E"/>
                <w:bdr w:val="none" w:sz="0" w:space="0" w:color="auto" w:frame="1"/>
              </w:rPr>
              <w:t xml:space="preserve"> av total kundebestand migrert</w:t>
            </w:r>
          </w:p>
        </w:tc>
      </w:tr>
      <w:tr w:rsidR="00D70962" w14:paraId="2C4A4BA9" w14:textId="77777777" w:rsidTr="00D70962">
        <w:tc>
          <w:tcPr>
            <w:tcW w:w="1053" w:type="dxa"/>
          </w:tcPr>
          <w:p w14:paraId="0E011581" w14:textId="4849885A" w:rsidR="00D70962" w:rsidRDefault="00AF7D39" w:rsidP="00CD5C8B">
            <w:pPr>
              <w:pStyle w:val="xparagraph"/>
              <w:spacing w:before="0" w:beforeAutospacing="0" w:after="0" w:afterAutospacing="0"/>
              <w:textAlignment w:val="baseline"/>
              <w:rPr>
                <w:rStyle w:val="xnormaltextrun1"/>
                <w:rFonts w:asciiTheme="minorHAnsi" w:hAnsiTheme="minorHAnsi" w:cstheme="minorHAnsi"/>
                <w:color w:val="201F1E"/>
                <w:sz w:val="22"/>
                <w:szCs w:val="22"/>
                <w:bdr w:val="none" w:sz="0" w:space="0" w:color="auto" w:frame="1"/>
              </w:rPr>
            </w:pPr>
            <w:r>
              <w:rPr>
                <w:rStyle w:val="xnormaltextrun1"/>
                <w:rFonts w:asciiTheme="minorHAnsi" w:hAnsiTheme="minorHAnsi" w:cstheme="minorHAnsi"/>
                <w:color w:val="201F1E"/>
                <w:sz w:val="22"/>
                <w:szCs w:val="22"/>
                <w:bdr w:val="none" w:sz="0" w:space="0" w:color="auto" w:frame="1"/>
              </w:rPr>
              <w:t>3 kv</w:t>
            </w:r>
          </w:p>
        </w:tc>
        <w:tc>
          <w:tcPr>
            <w:tcW w:w="7649" w:type="dxa"/>
          </w:tcPr>
          <w:p w14:paraId="5AA2A2BE" w14:textId="77777777" w:rsidR="00D70962" w:rsidRDefault="00D70962" w:rsidP="00CD5C8B">
            <w:r w:rsidRPr="002A1F12">
              <w:rPr>
                <w:rStyle w:val="xnormaltextrun1"/>
                <w:rFonts w:cstheme="minorHAnsi"/>
                <w:color w:val="201F1E"/>
                <w:bdr w:val="none" w:sz="0" w:space="0" w:color="auto" w:frame="1"/>
              </w:rPr>
              <w:t xml:space="preserve">Målsetning om </w:t>
            </w:r>
            <w:r>
              <w:rPr>
                <w:rStyle w:val="xnormaltextrun1"/>
                <w:rFonts w:cstheme="minorHAnsi"/>
                <w:color w:val="201F1E"/>
                <w:bdr w:val="none" w:sz="0" w:space="0" w:color="auto" w:frame="1"/>
              </w:rPr>
              <w:t>80</w:t>
            </w:r>
            <w:r w:rsidRPr="002A1F12">
              <w:rPr>
                <w:rStyle w:val="xnormaltextrun1"/>
                <w:rFonts w:cstheme="minorHAnsi"/>
                <w:color w:val="201F1E"/>
                <w:bdr w:val="none" w:sz="0" w:space="0" w:color="auto" w:frame="1"/>
              </w:rPr>
              <w:t>% av total kundebestand migrert</w:t>
            </w:r>
          </w:p>
        </w:tc>
      </w:tr>
      <w:tr w:rsidR="00D70962" w14:paraId="48588741" w14:textId="77777777" w:rsidTr="00D70962">
        <w:tc>
          <w:tcPr>
            <w:tcW w:w="1053" w:type="dxa"/>
          </w:tcPr>
          <w:p w14:paraId="394556CE" w14:textId="13F18938" w:rsidR="00D70962" w:rsidRDefault="00AF7D39" w:rsidP="00CD5C8B">
            <w:pPr>
              <w:pStyle w:val="xparagraph"/>
              <w:spacing w:before="0" w:beforeAutospacing="0" w:after="0" w:afterAutospacing="0"/>
              <w:textAlignment w:val="baseline"/>
              <w:rPr>
                <w:rStyle w:val="xnormaltextrun1"/>
                <w:rFonts w:asciiTheme="minorHAnsi" w:hAnsiTheme="minorHAnsi" w:cstheme="minorHAnsi"/>
                <w:color w:val="201F1E"/>
                <w:sz w:val="22"/>
                <w:szCs w:val="22"/>
                <w:bdr w:val="none" w:sz="0" w:space="0" w:color="auto" w:frame="1"/>
              </w:rPr>
            </w:pPr>
            <w:r>
              <w:rPr>
                <w:rStyle w:val="xnormaltextrun1"/>
                <w:rFonts w:asciiTheme="minorHAnsi" w:hAnsiTheme="minorHAnsi" w:cstheme="minorHAnsi"/>
                <w:color w:val="201F1E"/>
                <w:sz w:val="22"/>
                <w:szCs w:val="22"/>
                <w:bdr w:val="none" w:sz="0" w:space="0" w:color="auto" w:frame="1"/>
              </w:rPr>
              <w:t>4 kv</w:t>
            </w:r>
          </w:p>
        </w:tc>
        <w:tc>
          <w:tcPr>
            <w:tcW w:w="7649" w:type="dxa"/>
          </w:tcPr>
          <w:p w14:paraId="341FF075" w14:textId="00BFA103" w:rsidR="00D70962" w:rsidRDefault="00D70962" w:rsidP="00CD5C8B">
            <w:r w:rsidRPr="002A1F12">
              <w:rPr>
                <w:rStyle w:val="xnormaltextrun1"/>
                <w:rFonts w:cstheme="minorHAnsi"/>
                <w:color w:val="201F1E"/>
                <w:bdr w:val="none" w:sz="0" w:space="0" w:color="auto" w:frame="1"/>
              </w:rPr>
              <w:t xml:space="preserve">Målsetning om </w:t>
            </w:r>
            <w:r>
              <w:rPr>
                <w:rStyle w:val="xnormaltextrun1"/>
                <w:rFonts w:cstheme="minorHAnsi"/>
                <w:color w:val="201F1E"/>
                <w:bdr w:val="none" w:sz="0" w:space="0" w:color="auto" w:frame="1"/>
              </w:rPr>
              <w:t>hele</w:t>
            </w:r>
            <w:r w:rsidRPr="002A1F12">
              <w:rPr>
                <w:rStyle w:val="xnormaltextrun1"/>
                <w:rFonts w:cstheme="minorHAnsi"/>
                <w:color w:val="201F1E"/>
                <w:bdr w:val="none" w:sz="0" w:space="0" w:color="auto" w:frame="1"/>
              </w:rPr>
              <w:t xml:space="preserve"> kundebestand</w:t>
            </w:r>
            <w:r>
              <w:rPr>
                <w:rStyle w:val="xnormaltextrun1"/>
                <w:rFonts w:cstheme="minorHAnsi"/>
                <w:color w:val="201F1E"/>
                <w:bdr w:val="none" w:sz="0" w:space="0" w:color="auto" w:frame="1"/>
              </w:rPr>
              <w:t xml:space="preserve">en </w:t>
            </w:r>
            <w:r w:rsidRPr="002A1F12">
              <w:rPr>
                <w:rStyle w:val="xnormaltextrun1"/>
                <w:rFonts w:cstheme="minorHAnsi"/>
                <w:color w:val="201F1E"/>
                <w:bdr w:val="none" w:sz="0" w:space="0" w:color="auto" w:frame="1"/>
              </w:rPr>
              <w:t>migrert</w:t>
            </w:r>
          </w:p>
        </w:tc>
      </w:tr>
    </w:tbl>
    <w:p w14:paraId="3DE5D628" w14:textId="77777777" w:rsidR="001D26C5" w:rsidRDefault="001D26C5" w:rsidP="00CF1D49">
      <w:pPr>
        <w:rPr>
          <w:rFonts w:ascii="Calibri" w:eastAsia="Calibri" w:hAnsi="Calibri" w:cs="Calibri"/>
        </w:rPr>
      </w:pPr>
    </w:p>
    <w:p w14:paraId="0FCB3E05" w14:textId="4F0CECD0" w:rsidR="00CF1D49" w:rsidRDefault="00CF1D49" w:rsidP="00CF1D49">
      <w:r w:rsidRPr="7F318C33">
        <w:rPr>
          <w:rFonts w:ascii="Calibri" w:eastAsia="Calibri" w:hAnsi="Calibri" w:cs="Calibri"/>
          <w:b/>
          <w:bCs/>
        </w:rPr>
        <w:t>3.</w:t>
      </w:r>
      <w:r w:rsidR="00D70962">
        <w:rPr>
          <w:rFonts w:ascii="Calibri" w:eastAsia="Calibri" w:hAnsi="Calibri" w:cs="Calibri"/>
          <w:b/>
          <w:bCs/>
        </w:rPr>
        <w:t>5</w:t>
      </w:r>
      <w:r w:rsidRPr="7F318C33">
        <w:rPr>
          <w:rFonts w:ascii="Calibri" w:eastAsia="Calibri" w:hAnsi="Calibri" w:cs="Calibri"/>
          <w:b/>
          <w:bCs/>
        </w:rPr>
        <w:t xml:space="preserve"> Oppsummering</w:t>
      </w:r>
    </w:p>
    <w:p w14:paraId="0316FF37" w14:textId="562C3DD4" w:rsidR="00CF1D49" w:rsidRDefault="005127D2" w:rsidP="00CF1D49">
      <w:r>
        <w:rPr>
          <w:rFonts w:ascii="Calibri" w:eastAsia="Calibri" w:hAnsi="Calibri" w:cs="Calibri"/>
        </w:rPr>
        <w:t>Finans Norge</w:t>
      </w:r>
      <w:r w:rsidR="00705F34">
        <w:rPr>
          <w:rFonts w:ascii="Calibri" w:eastAsia="Calibri" w:hAnsi="Calibri" w:cs="Calibri"/>
        </w:rPr>
        <w:t>s k</w:t>
      </w:r>
      <w:r w:rsidR="00CF1D49" w:rsidRPr="5F1ADBB3">
        <w:rPr>
          <w:rFonts w:ascii="Calibri" w:eastAsia="Calibri" w:hAnsi="Calibri" w:cs="Calibri"/>
        </w:rPr>
        <w:t xml:space="preserve">onklusjon er at bransjen vil se en god gevinstrealisering med minimale investeringer. Hovedfokuset har ikke vært å redusere egne kostnader, men heller å bedre kunne ivareta at </w:t>
      </w:r>
      <w:r w:rsidR="009E1818">
        <w:rPr>
          <w:rFonts w:ascii="Calibri" w:eastAsia="Calibri" w:hAnsi="Calibri" w:cs="Calibri"/>
        </w:rPr>
        <w:t>arbeidstakerne</w:t>
      </w:r>
      <w:r w:rsidR="009E1818" w:rsidRPr="5F1ADBB3">
        <w:rPr>
          <w:rFonts w:ascii="Calibri" w:eastAsia="Calibri" w:hAnsi="Calibri" w:cs="Calibri"/>
        </w:rPr>
        <w:t xml:space="preserve"> </w:t>
      </w:r>
      <w:r w:rsidR="00CF1D49" w:rsidRPr="5F1ADBB3">
        <w:rPr>
          <w:rFonts w:ascii="Calibri" w:eastAsia="Calibri" w:hAnsi="Calibri" w:cs="Calibri"/>
        </w:rPr>
        <w:t xml:space="preserve">får riktigere sparing og å gjøre det enklere for arbeidsgivere å drive ajourhold.       </w:t>
      </w:r>
    </w:p>
    <w:p w14:paraId="2096DC4C" w14:textId="7A5E060A" w:rsidR="7F318C33" w:rsidRDefault="7F318C33" w:rsidP="7F318C33"/>
    <w:p w14:paraId="62A7B546" w14:textId="77777777" w:rsidR="00A36427" w:rsidRPr="00A36427" w:rsidRDefault="00A36427" w:rsidP="000401F8">
      <w:pPr>
        <w:rPr>
          <w:rFonts w:cstheme="minorHAnsi"/>
          <w:b/>
        </w:rPr>
      </w:pPr>
    </w:p>
    <w:p w14:paraId="6EEC226F" w14:textId="2FACEB9C" w:rsidR="000401F8" w:rsidRPr="00A36427" w:rsidRDefault="000401F8" w:rsidP="36B95FE0">
      <w:pPr>
        <w:rPr>
          <w:b/>
          <w:bCs/>
          <w:sz w:val="32"/>
          <w:szCs w:val="32"/>
        </w:rPr>
      </w:pPr>
      <w:r w:rsidRPr="36B95FE0">
        <w:rPr>
          <w:b/>
          <w:bCs/>
          <w:sz w:val="32"/>
          <w:szCs w:val="32"/>
        </w:rPr>
        <w:br w:type="page"/>
      </w:r>
      <w:r w:rsidRPr="36B95FE0">
        <w:rPr>
          <w:b/>
          <w:bCs/>
          <w:sz w:val="32"/>
          <w:szCs w:val="32"/>
        </w:rPr>
        <w:lastRenderedPageBreak/>
        <w:t xml:space="preserve">4. </w:t>
      </w:r>
      <w:r w:rsidR="006D558A">
        <w:rPr>
          <w:b/>
          <w:bCs/>
          <w:sz w:val="32"/>
          <w:szCs w:val="32"/>
        </w:rPr>
        <w:t>M</w:t>
      </w:r>
      <w:r w:rsidRPr="0042228A">
        <w:rPr>
          <w:b/>
          <w:bCs/>
          <w:sz w:val="32"/>
          <w:szCs w:val="32"/>
        </w:rPr>
        <w:t>anglende</w:t>
      </w:r>
      <w:r w:rsidRPr="36B95FE0">
        <w:rPr>
          <w:b/>
          <w:bCs/>
          <w:sz w:val="32"/>
          <w:szCs w:val="32"/>
        </w:rPr>
        <w:t xml:space="preserve"> pensjonssparing fra arbeidsgivere</w:t>
      </w:r>
      <w:r w:rsidR="006D558A">
        <w:rPr>
          <w:b/>
          <w:bCs/>
          <w:sz w:val="32"/>
          <w:szCs w:val="32"/>
        </w:rPr>
        <w:t>, og forventet økt pensjonssparing</w:t>
      </w:r>
    </w:p>
    <w:p w14:paraId="07AE5917" w14:textId="77777777" w:rsidR="00A36427" w:rsidRPr="00A36427" w:rsidRDefault="00A36427" w:rsidP="00A36427">
      <w:pPr>
        <w:pStyle w:val="NormalWeb"/>
        <w:rPr>
          <w:rFonts w:asciiTheme="minorHAnsi" w:hAnsiTheme="minorHAnsi" w:cstheme="minorHAnsi"/>
          <w:b/>
          <w:bCs/>
          <w:color w:val="000000"/>
          <w:sz w:val="22"/>
          <w:szCs w:val="22"/>
        </w:rPr>
      </w:pPr>
      <w:r w:rsidRPr="00A36427">
        <w:rPr>
          <w:rFonts w:asciiTheme="minorHAnsi" w:hAnsiTheme="minorHAnsi" w:cstheme="minorHAnsi"/>
          <w:b/>
          <w:bCs/>
          <w:color w:val="000000"/>
          <w:sz w:val="22"/>
          <w:szCs w:val="22"/>
        </w:rPr>
        <w:t xml:space="preserve">4.1 Bakgrunn </w:t>
      </w:r>
    </w:p>
    <w:p w14:paraId="469C8120" w14:textId="713F6FD6" w:rsidR="00A36427" w:rsidRPr="00A36427" w:rsidRDefault="00A36427" w:rsidP="00A36427">
      <w:pPr>
        <w:pStyle w:val="NormalWeb"/>
        <w:rPr>
          <w:rFonts w:asciiTheme="minorHAnsi" w:hAnsiTheme="minorHAnsi" w:cstheme="minorHAnsi"/>
          <w:color w:val="000000"/>
          <w:sz w:val="22"/>
          <w:szCs w:val="22"/>
        </w:rPr>
      </w:pPr>
      <w:r w:rsidRPr="00A36427">
        <w:rPr>
          <w:rFonts w:asciiTheme="minorHAnsi" w:hAnsiTheme="minorHAnsi" w:cstheme="minorHAnsi"/>
          <w:color w:val="000000"/>
          <w:sz w:val="22"/>
          <w:szCs w:val="22"/>
        </w:rPr>
        <w:t xml:space="preserve">I dette kapittelet </w:t>
      </w:r>
      <w:r w:rsidR="00D25FE4">
        <w:rPr>
          <w:rFonts w:asciiTheme="minorHAnsi" w:hAnsiTheme="minorHAnsi" w:cstheme="minorHAnsi"/>
          <w:color w:val="000000"/>
          <w:sz w:val="22"/>
          <w:szCs w:val="22"/>
        </w:rPr>
        <w:t>beskriver vi</w:t>
      </w:r>
      <w:r w:rsidRPr="00A36427">
        <w:rPr>
          <w:rFonts w:asciiTheme="minorHAnsi" w:hAnsiTheme="minorHAnsi" w:cstheme="minorHAnsi"/>
          <w:color w:val="000000"/>
          <w:sz w:val="22"/>
          <w:szCs w:val="22"/>
        </w:rPr>
        <w:t xml:space="preserve"> hva manglende sparing innenfor pensjon er og hvordan det oppstår. </w:t>
      </w:r>
      <w:r w:rsidR="005127D2">
        <w:rPr>
          <w:rFonts w:asciiTheme="minorHAnsi" w:hAnsiTheme="minorHAnsi" w:cstheme="minorHAnsi"/>
          <w:color w:val="000000"/>
          <w:sz w:val="22"/>
          <w:szCs w:val="22"/>
        </w:rPr>
        <w:t>Finans Norge</w:t>
      </w:r>
      <w:r w:rsidR="008D6F47">
        <w:rPr>
          <w:rFonts w:asciiTheme="minorHAnsi" w:hAnsiTheme="minorHAnsi" w:cstheme="minorHAnsi"/>
          <w:color w:val="000000"/>
          <w:sz w:val="22"/>
          <w:szCs w:val="22"/>
        </w:rPr>
        <w:t xml:space="preserve"> mener</w:t>
      </w:r>
      <w:r w:rsidR="008D7837">
        <w:rPr>
          <w:rFonts w:asciiTheme="minorHAnsi" w:hAnsiTheme="minorHAnsi" w:cstheme="minorHAnsi"/>
          <w:color w:val="000000"/>
          <w:sz w:val="22"/>
          <w:szCs w:val="22"/>
        </w:rPr>
        <w:t xml:space="preserve"> </w:t>
      </w:r>
      <w:r w:rsidRPr="00A36427">
        <w:rPr>
          <w:rFonts w:asciiTheme="minorHAnsi" w:hAnsiTheme="minorHAnsi" w:cstheme="minorHAnsi"/>
          <w:color w:val="000000"/>
          <w:sz w:val="22"/>
          <w:szCs w:val="22"/>
        </w:rPr>
        <w:t xml:space="preserve">at det eksisterer utfordringer med dagens hyppighet og kvalitet i pensjonsrapporteringen. Konsekvens av utfordringene medfører i dag større avvik i form av at medlemmer i pensjonsordningene får feil eller ukorrekt pensjonssparing. </w:t>
      </w:r>
    </w:p>
    <w:p w14:paraId="52B892E3" w14:textId="5281F3DB" w:rsidR="50C8EA7B" w:rsidRDefault="005127D2" w:rsidP="50C8EA7B">
      <w:pPr>
        <w:rPr>
          <w:color w:val="000000" w:themeColor="text1"/>
        </w:rPr>
      </w:pPr>
      <w:r>
        <w:rPr>
          <w:color w:val="000000" w:themeColor="text1"/>
        </w:rPr>
        <w:t>Finans Norge</w:t>
      </w:r>
      <w:r w:rsidR="005A0F03">
        <w:rPr>
          <w:color w:val="000000" w:themeColor="text1"/>
        </w:rPr>
        <w:t xml:space="preserve"> ser i dette kapit</w:t>
      </w:r>
      <w:r w:rsidR="0026216D">
        <w:rPr>
          <w:color w:val="000000" w:themeColor="text1"/>
        </w:rPr>
        <w:t>t</w:t>
      </w:r>
      <w:r w:rsidR="005A0F03">
        <w:rPr>
          <w:color w:val="000000" w:themeColor="text1"/>
        </w:rPr>
        <w:t xml:space="preserve">elet på </w:t>
      </w:r>
      <w:r w:rsidR="50C8EA7B" w:rsidRPr="50C8EA7B">
        <w:rPr>
          <w:color w:val="000000" w:themeColor="text1"/>
        </w:rPr>
        <w:t xml:space="preserve">de ulike årsakene til dagens manglende pensjonssparing. Videre </w:t>
      </w:r>
      <w:r w:rsidR="005A0F03">
        <w:rPr>
          <w:color w:val="000000" w:themeColor="text1"/>
        </w:rPr>
        <w:t xml:space="preserve">gir </w:t>
      </w:r>
      <w:r>
        <w:rPr>
          <w:color w:val="000000" w:themeColor="text1"/>
        </w:rPr>
        <w:t>Finans Norge</w:t>
      </w:r>
      <w:r w:rsidR="005A0F03">
        <w:rPr>
          <w:color w:val="000000" w:themeColor="text1"/>
        </w:rPr>
        <w:t xml:space="preserve"> e</w:t>
      </w:r>
      <w:r w:rsidR="0026216D">
        <w:rPr>
          <w:color w:val="000000" w:themeColor="text1"/>
        </w:rPr>
        <w:t>t</w:t>
      </w:r>
      <w:r w:rsidR="005A0F03">
        <w:rPr>
          <w:color w:val="000000" w:themeColor="text1"/>
        </w:rPr>
        <w:t xml:space="preserve"> anslag på de</w:t>
      </w:r>
      <w:r w:rsidR="50C8EA7B" w:rsidRPr="50C8EA7B">
        <w:rPr>
          <w:color w:val="000000" w:themeColor="text1"/>
        </w:rPr>
        <w:t xml:space="preserve"> forventede økningene i pensjonssparing i forbindelse med innføringen av a-meldingsprosjektet</w:t>
      </w:r>
      <w:r w:rsidR="009F2DBB">
        <w:rPr>
          <w:color w:val="000000" w:themeColor="text1"/>
        </w:rPr>
        <w:t xml:space="preserve">. </w:t>
      </w:r>
    </w:p>
    <w:p w14:paraId="4A65FDED" w14:textId="1D1278DE" w:rsidR="00A36427" w:rsidRPr="00A36427" w:rsidRDefault="00A36427" w:rsidP="00A36427">
      <w:pPr>
        <w:pStyle w:val="NormalWeb"/>
        <w:rPr>
          <w:rFonts w:asciiTheme="minorHAnsi" w:hAnsiTheme="minorHAnsi" w:cstheme="minorHAnsi"/>
          <w:b/>
          <w:bCs/>
          <w:color w:val="000000"/>
          <w:sz w:val="22"/>
          <w:szCs w:val="22"/>
        </w:rPr>
      </w:pPr>
      <w:r w:rsidRPr="00A36427">
        <w:rPr>
          <w:rFonts w:asciiTheme="minorHAnsi" w:hAnsiTheme="minorHAnsi" w:cstheme="minorHAnsi"/>
          <w:b/>
          <w:bCs/>
          <w:color w:val="000000"/>
          <w:sz w:val="22"/>
          <w:szCs w:val="22"/>
        </w:rPr>
        <w:t xml:space="preserve">4.2 Beregning av </w:t>
      </w:r>
      <w:r>
        <w:rPr>
          <w:rFonts w:asciiTheme="minorHAnsi" w:hAnsiTheme="minorHAnsi" w:cstheme="minorHAnsi"/>
          <w:b/>
          <w:bCs/>
          <w:color w:val="000000"/>
          <w:sz w:val="22"/>
          <w:szCs w:val="22"/>
        </w:rPr>
        <w:t>m</w:t>
      </w:r>
      <w:r w:rsidRPr="00A36427">
        <w:rPr>
          <w:rFonts w:asciiTheme="minorHAnsi" w:hAnsiTheme="minorHAnsi" w:cstheme="minorHAnsi"/>
          <w:b/>
          <w:bCs/>
          <w:color w:val="000000"/>
          <w:sz w:val="22"/>
          <w:szCs w:val="22"/>
        </w:rPr>
        <w:t xml:space="preserve">anglende sparing </w:t>
      </w:r>
    </w:p>
    <w:p w14:paraId="45CB5ADE" w14:textId="4AD3FE93" w:rsidR="00A36427" w:rsidRPr="00A36427" w:rsidRDefault="00A36427" w:rsidP="00A36427">
      <w:pPr>
        <w:pStyle w:val="NormalWeb"/>
        <w:rPr>
          <w:rFonts w:asciiTheme="minorHAnsi" w:hAnsiTheme="minorHAnsi" w:cstheme="minorHAnsi"/>
          <w:color w:val="000000"/>
          <w:sz w:val="22"/>
          <w:szCs w:val="22"/>
        </w:rPr>
      </w:pPr>
      <w:r w:rsidRPr="00A36427">
        <w:rPr>
          <w:rFonts w:asciiTheme="minorHAnsi" w:hAnsiTheme="minorHAnsi" w:cstheme="minorHAnsi"/>
          <w:color w:val="000000"/>
          <w:sz w:val="22"/>
          <w:szCs w:val="22"/>
        </w:rPr>
        <w:t xml:space="preserve">For å </w:t>
      </w:r>
      <w:r w:rsidR="005A0F03">
        <w:rPr>
          <w:rFonts w:asciiTheme="minorHAnsi" w:hAnsiTheme="minorHAnsi" w:cstheme="minorHAnsi"/>
          <w:color w:val="000000"/>
          <w:sz w:val="22"/>
          <w:szCs w:val="22"/>
        </w:rPr>
        <w:t>gi et anslag og estimat på</w:t>
      </w:r>
      <w:r w:rsidRPr="00A36427">
        <w:rPr>
          <w:rFonts w:asciiTheme="minorHAnsi" w:hAnsiTheme="minorHAnsi" w:cstheme="minorHAnsi"/>
          <w:color w:val="000000"/>
          <w:sz w:val="22"/>
          <w:szCs w:val="22"/>
        </w:rPr>
        <w:t xml:space="preserve"> manglende </w:t>
      </w:r>
      <w:r w:rsidR="005A0F03">
        <w:rPr>
          <w:rFonts w:asciiTheme="minorHAnsi" w:hAnsiTheme="minorHAnsi" w:cstheme="minorHAnsi"/>
          <w:color w:val="000000"/>
          <w:sz w:val="22"/>
          <w:szCs w:val="22"/>
        </w:rPr>
        <w:t>pensjons</w:t>
      </w:r>
      <w:r w:rsidRPr="00A36427">
        <w:rPr>
          <w:rFonts w:asciiTheme="minorHAnsi" w:hAnsiTheme="minorHAnsi" w:cstheme="minorHAnsi"/>
          <w:color w:val="000000"/>
          <w:sz w:val="22"/>
          <w:szCs w:val="22"/>
        </w:rPr>
        <w:t xml:space="preserve">sparing har </w:t>
      </w:r>
      <w:r w:rsidR="005127D2">
        <w:rPr>
          <w:rFonts w:asciiTheme="minorHAnsi" w:hAnsiTheme="minorHAnsi" w:cstheme="minorHAnsi"/>
          <w:color w:val="000000"/>
          <w:sz w:val="22"/>
          <w:szCs w:val="22"/>
        </w:rPr>
        <w:t>Finans Norge</w:t>
      </w:r>
      <w:r w:rsidR="005A0F03" w:rsidRPr="00A36427">
        <w:rPr>
          <w:rFonts w:asciiTheme="minorHAnsi" w:hAnsiTheme="minorHAnsi" w:cstheme="minorHAnsi"/>
          <w:color w:val="000000"/>
          <w:sz w:val="22"/>
          <w:szCs w:val="22"/>
        </w:rPr>
        <w:t xml:space="preserve"> </w:t>
      </w:r>
      <w:r w:rsidRPr="00A36427">
        <w:rPr>
          <w:rFonts w:asciiTheme="minorHAnsi" w:hAnsiTheme="minorHAnsi" w:cstheme="minorHAnsi"/>
          <w:color w:val="000000"/>
          <w:sz w:val="22"/>
          <w:szCs w:val="22"/>
        </w:rPr>
        <w:t xml:space="preserve">tatt utgangspunkt i </w:t>
      </w:r>
      <w:r w:rsidR="00D25FE4">
        <w:rPr>
          <w:rFonts w:asciiTheme="minorHAnsi" w:hAnsiTheme="minorHAnsi" w:cstheme="minorHAnsi"/>
          <w:color w:val="000000"/>
          <w:sz w:val="22"/>
          <w:szCs w:val="22"/>
        </w:rPr>
        <w:t xml:space="preserve">to </w:t>
      </w:r>
      <w:r w:rsidRPr="00A36427">
        <w:rPr>
          <w:rFonts w:asciiTheme="minorHAnsi" w:hAnsiTheme="minorHAnsi" w:cstheme="minorHAnsi"/>
          <w:color w:val="000000"/>
          <w:sz w:val="22"/>
          <w:szCs w:val="22"/>
        </w:rPr>
        <w:t xml:space="preserve">hovedkategorier som </w:t>
      </w:r>
      <w:r w:rsidR="005A0F03">
        <w:rPr>
          <w:rFonts w:asciiTheme="minorHAnsi" w:hAnsiTheme="minorHAnsi" w:cstheme="minorHAnsi"/>
          <w:color w:val="000000"/>
          <w:sz w:val="22"/>
          <w:szCs w:val="22"/>
        </w:rPr>
        <w:t xml:space="preserve">kan </w:t>
      </w:r>
      <w:r w:rsidRPr="00A36427">
        <w:rPr>
          <w:rFonts w:asciiTheme="minorHAnsi" w:hAnsiTheme="minorHAnsi" w:cstheme="minorHAnsi"/>
          <w:color w:val="000000"/>
          <w:sz w:val="22"/>
          <w:szCs w:val="22"/>
        </w:rPr>
        <w:t>forklare dagens utfordringer og gi grunnlaget for manglende</w:t>
      </w:r>
      <w:r w:rsidR="00F77F66">
        <w:rPr>
          <w:rFonts w:asciiTheme="minorHAnsi" w:hAnsiTheme="minorHAnsi" w:cstheme="minorHAnsi"/>
          <w:color w:val="000000"/>
          <w:sz w:val="22"/>
          <w:szCs w:val="22"/>
        </w:rPr>
        <w:t xml:space="preserve"> </w:t>
      </w:r>
      <w:r w:rsidR="005A0F03">
        <w:rPr>
          <w:rFonts w:asciiTheme="minorHAnsi" w:hAnsiTheme="minorHAnsi" w:cstheme="minorHAnsi"/>
          <w:color w:val="000000"/>
          <w:sz w:val="22"/>
          <w:szCs w:val="22"/>
        </w:rPr>
        <w:t>pensjons</w:t>
      </w:r>
      <w:r w:rsidRPr="00A36427">
        <w:rPr>
          <w:rFonts w:asciiTheme="minorHAnsi" w:hAnsiTheme="minorHAnsi" w:cstheme="minorHAnsi"/>
          <w:color w:val="000000"/>
          <w:sz w:val="22"/>
          <w:szCs w:val="22"/>
        </w:rPr>
        <w:t>sparing. D</w:t>
      </w:r>
      <w:r w:rsidR="005A0F03">
        <w:rPr>
          <w:rFonts w:asciiTheme="minorHAnsi" w:hAnsiTheme="minorHAnsi" w:cstheme="minorHAnsi"/>
          <w:color w:val="000000"/>
          <w:sz w:val="22"/>
          <w:szCs w:val="22"/>
        </w:rPr>
        <w:t xml:space="preserve">ette er </w:t>
      </w:r>
      <w:r w:rsidRPr="00A36427">
        <w:rPr>
          <w:rFonts w:asciiTheme="minorHAnsi" w:hAnsiTheme="minorHAnsi" w:cstheme="minorHAnsi"/>
          <w:color w:val="000000"/>
          <w:sz w:val="22"/>
          <w:szCs w:val="22"/>
        </w:rPr>
        <w:t xml:space="preserve">etterlevelse og regelverksforståelse og datakvalitet. Årsakene til manglende </w:t>
      </w:r>
      <w:r w:rsidR="005A0F03">
        <w:rPr>
          <w:rFonts w:asciiTheme="minorHAnsi" w:hAnsiTheme="minorHAnsi" w:cstheme="minorHAnsi"/>
          <w:color w:val="000000"/>
          <w:sz w:val="22"/>
          <w:szCs w:val="22"/>
        </w:rPr>
        <w:t>pensjons</w:t>
      </w:r>
      <w:r w:rsidRPr="00A36427">
        <w:rPr>
          <w:rFonts w:asciiTheme="minorHAnsi" w:hAnsiTheme="minorHAnsi" w:cstheme="minorHAnsi"/>
          <w:color w:val="000000"/>
          <w:sz w:val="22"/>
          <w:szCs w:val="22"/>
        </w:rPr>
        <w:t>sparing baser</w:t>
      </w:r>
      <w:r w:rsidR="00835472">
        <w:rPr>
          <w:rFonts w:asciiTheme="minorHAnsi" w:hAnsiTheme="minorHAnsi" w:cstheme="minorHAnsi"/>
          <w:color w:val="000000"/>
          <w:sz w:val="22"/>
          <w:szCs w:val="22"/>
        </w:rPr>
        <w:t>er</w:t>
      </w:r>
      <w:r w:rsidRPr="00A36427">
        <w:rPr>
          <w:rFonts w:asciiTheme="minorHAnsi" w:hAnsiTheme="minorHAnsi" w:cstheme="minorHAnsi"/>
          <w:color w:val="000000"/>
          <w:sz w:val="22"/>
          <w:szCs w:val="22"/>
        </w:rPr>
        <w:t xml:space="preserve"> seg på en rekke ulike elementer som utdypes ytterliggere i hvert del-emne. </w:t>
      </w:r>
    </w:p>
    <w:p w14:paraId="68C2CF90" w14:textId="08CCAD61" w:rsidR="00A36427" w:rsidRDefault="00A36427" w:rsidP="36B95FE0">
      <w:pPr>
        <w:pStyle w:val="NormalWeb"/>
        <w:rPr>
          <w:rFonts w:asciiTheme="minorHAnsi" w:hAnsiTheme="minorHAnsi" w:cstheme="minorBidi"/>
          <w:color w:val="000000" w:themeColor="text1"/>
          <w:sz w:val="22"/>
          <w:szCs w:val="22"/>
        </w:rPr>
      </w:pPr>
      <w:r w:rsidRPr="36B95FE0">
        <w:rPr>
          <w:rFonts w:asciiTheme="minorHAnsi" w:hAnsiTheme="minorHAnsi" w:cstheme="minorBidi"/>
          <w:color w:val="000000" w:themeColor="text1"/>
          <w:sz w:val="22"/>
          <w:szCs w:val="22"/>
        </w:rPr>
        <w:t>I dagens rapporteringsløsning, praktiserer bransjen to typer rapportering</w:t>
      </w:r>
      <w:r w:rsidR="005A0F03">
        <w:rPr>
          <w:rFonts w:asciiTheme="minorHAnsi" w:hAnsiTheme="minorHAnsi" w:cstheme="minorBidi"/>
          <w:color w:val="000000" w:themeColor="text1"/>
          <w:sz w:val="22"/>
          <w:szCs w:val="22"/>
        </w:rPr>
        <w:t xml:space="preserve">. Det er rapportering </w:t>
      </w:r>
      <w:r w:rsidRPr="36B95FE0">
        <w:rPr>
          <w:rFonts w:asciiTheme="minorHAnsi" w:hAnsiTheme="minorHAnsi" w:cstheme="minorBidi"/>
          <w:color w:val="000000" w:themeColor="text1"/>
          <w:sz w:val="22"/>
          <w:szCs w:val="22"/>
        </w:rPr>
        <w:t>manuelt gjennom portalløsninger</w:t>
      </w:r>
      <w:r w:rsidR="004A1489">
        <w:rPr>
          <w:rFonts w:asciiTheme="minorHAnsi" w:hAnsiTheme="minorHAnsi" w:cstheme="minorBidi"/>
          <w:color w:val="000000" w:themeColor="text1"/>
          <w:sz w:val="22"/>
          <w:szCs w:val="22"/>
        </w:rPr>
        <w:t>,</w:t>
      </w:r>
      <w:r w:rsidRPr="36B95FE0">
        <w:rPr>
          <w:rFonts w:asciiTheme="minorHAnsi" w:hAnsiTheme="minorHAnsi" w:cstheme="minorBidi"/>
          <w:color w:val="000000" w:themeColor="text1"/>
          <w:sz w:val="22"/>
          <w:szCs w:val="22"/>
        </w:rPr>
        <w:t xml:space="preserve"> eller via elektroniske filer fra lønnssystem. </w:t>
      </w:r>
    </w:p>
    <w:p w14:paraId="4EF44788" w14:textId="77777777" w:rsidR="00A36427" w:rsidRPr="00A36427" w:rsidRDefault="00A36427" w:rsidP="00A36427">
      <w:pPr>
        <w:pStyle w:val="NormalWeb"/>
        <w:rPr>
          <w:rFonts w:asciiTheme="minorHAnsi" w:hAnsiTheme="minorHAnsi" w:cstheme="minorHAnsi"/>
          <w:color w:val="000000"/>
          <w:sz w:val="22"/>
          <w:szCs w:val="22"/>
          <w:u w:val="single"/>
        </w:rPr>
      </w:pPr>
      <w:r w:rsidRPr="00A36427">
        <w:rPr>
          <w:rFonts w:asciiTheme="minorHAnsi" w:hAnsiTheme="minorHAnsi" w:cstheme="minorHAnsi"/>
          <w:color w:val="000000"/>
          <w:sz w:val="22"/>
          <w:szCs w:val="22"/>
          <w:u w:val="single"/>
        </w:rPr>
        <w:t xml:space="preserve">4.2.1 Etterlevelse og regelverksforståelse </w:t>
      </w:r>
    </w:p>
    <w:p w14:paraId="6808763A" w14:textId="0CE39F6A" w:rsidR="00A36427" w:rsidRPr="00A36427" w:rsidRDefault="00A36427" w:rsidP="36B95FE0">
      <w:pPr>
        <w:pStyle w:val="NormalWeb"/>
        <w:rPr>
          <w:rFonts w:asciiTheme="minorHAnsi" w:hAnsiTheme="minorHAnsi" w:cstheme="minorBidi"/>
          <w:color w:val="000000" w:themeColor="text1"/>
          <w:sz w:val="22"/>
          <w:szCs w:val="22"/>
        </w:rPr>
      </w:pPr>
      <w:r w:rsidRPr="36B95FE0">
        <w:rPr>
          <w:rFonts w:asciiTheme="minorHAnsi" w:hAnsiTheme="minorHAnsi" w:cstheme="minorBidi"/>
          <w:color w:val="000000" w:themeColor="text1"/>
          <w:sz w:val="22"/>
          <w:szCs w:val="22"/>
        </w:rPr>
        <w:t xml:space="preserve">På tvers av bransjen ser </w:t>
      </w:r>
      <w:r w:rsidR="005127D2">
        <w:rPr>
          <w:rFonts w:asciiTheme="minorHAnsi" w:hAnsiTheme="minorHAnsi" w:cstheme="minorBidi"/>
          <w:color w:val="000000" w:themeColor="text1"/>
          <w:sz w:val="22"/>
          <w:szCs w:val="22"/>
        </w:rPr>
        <w:t>Finans Norge</w:t>
      </w:r>
      <w:r w:rsidR="005A0F03">
        <w:rPr>
          <w:rFonts w:asciiTheme="minorHAnsi" w:hAnsiTheme="minorHAnsi" w:cstheme="minorBidi"/>
          <w:color w:val="000000" w:themeColor="text1"/>
          <w:sz w:val="22"/>
          <w:szCs w:val="22"/>
        </w:rPr>
        <w:t xml:space="preserve"> at det er </w:t>
      </w:r>
      <w:r w:rsidRPr="36B95FE0">
        <w:rPr>
          <w:rFonts w:asciiTheme="minorHAnsi" w:hAnsiTheme="minorHAnsi" w:cstheme="minorBidi"/>
          <w:color w:val="000000" w:themeColor="text1"/>
          <w:sz w:val="22"/>
          <w:szCs w:val="22"/>
        </w:rPr>
        <w:t xml:space="preserve">forskjeller mellom </w:t>
      </w:r>
      <w:r w:rsidR="009A6F27">
        <w:rPr>
          <w:rFonts w:asciiTheme="minorHAnsi" w:hAnsiTheme="minorHAnsi" w:cstheme="minorBidi"/>
          <w:color w:val="000000" w:themeColor="text1"/>
          <w:sz w:val="22"/>
          <w:szCs w:val="22"/>
        </w:rPr>
        <w:t>arbeidsgivere</w:t>
      </w:r>
      <w:r w:rsidRPr="36B95FE0">
        <w:rPr>
          <w:rFonts w:asciiTheme="minorHAnsi" w:hAnsiTheme="minorHAnsi" w:cstheme="minorBidi"/>
          <w:color w:val="000000" w:themeColor="text1"/>
          <w:sz w:val="22"/>
          <w:szCs w:val="22"/>
        </w:rPr>
        <w:t xml:space="preserve"> og deres innrapporteringsfrekvens og kvalitet. </w:t>
      </w:r>
      <w:r w:rsidR="005127D2">
        <w:rPr>
          <w:rFonts w:asciiTheme="minorHAnsi" w:hAnsiTheme="minorHAnsi" w:cstheme="minorBidi"/>
          <w:color w:val="000000" w:themeColor="text1"/>
          <w:sz w:val="22"/>
          <w:szCs w:val="22"/>
        </w:rPr>
        <w:t>Finans Norge</w:t>
      </w:r>
      <w:r w:rsidR="005A0F03" w:rsidRPr="36B95FE0">
        <w:rPr>
          <w:rFonts w:asciiTheme="minorHAnsi" w:hAnsiTheme="minorHAnsi" w:cstheme="minorBidi"/>
          <w:color w:val="000000" w:themeColor="text1"/>
          <w:sz w:val="22"/>
          <w:szCs w:val="22"/>
        </w:rPr>
        <w:t xml:space="preserve"> </w:t>
      </w:r>
      <w:r w:rsidRPr="36B95FE0">
        <w:rPr>
          <w:rFonts w:asciiTheme="minorHAnsi" w:hAnsiTheme="minorHAnsi" w:cstheme="minorBidi"/>
          <w:color w:val="000000" w:themeColor="text1"/>
          <w:sz w:val="22"/>
          <w:szCs w:val="22"/>
        </w:rPr>
        <w:t>forutsetter i dag at en stor del av forskjellene mellom selskapene som rapporter</w:t>
      </w:r>
      <w:r w:rsidR="009A6F27">
        <w:rPr>
          <w:rFonts w:asciiTheme="minorHAnsi" w:hAnsiTheme="minorHAnsi" w:cstheme="minorBidi"/>
          <w:color w:val="000000" w:themeColor="text1"/>
          <w:sz w:val="22"/>
          <w:szCs w:val="22"/>
        </w:rPr>
        <w:t>er</w:t>
      </w:r>
      <w:r w:rsidRPr="36B95FE0">
        <w:rPr>
          <w:rFonts w:asciiTheme="minorHAnsi" w:hAnsiTheme="minorHAnsi" w:cstheme="minorBidi"/>
          <w:color w:val="000000" w:themeColor="text1"/>
          <w:sz w:val="22"/>
          <w:szCs w:val="22"/>
        </w:rPr>
        <w:t xml:space="preserve"> hyppig mot sjelden</w:t>
      </w:r>
      <w:r w:rsidR="005012FE">
        <w:rPr>
          <w:rFonts w:asciiTheme="minorHAnsi" w:hAnsiTheme="minorHAnsi" w:cstheme="minorBidi"/>
          <w:color w:val="000000" w:themeColor="text1"/>
          <w:sz w:val="22"/>
          <w:szCs w:val="22"/>
        </w:rPr>
        <w:t>,</w:t>
      </w:r>
      <w:r w:rsidRPr="36B95FE0">
        <w:rPr>
          <w:rFonts w:asciiTheme="minorHAnsi" w:hAnsiTheme="minorHAnsi" w:cstheme="minorBidi"/>
          <w:color w:val="000000" w:themeColor="text1"/>
          <w:sz w:val="22"/>
          <w:szCs w:val="22"/>
        </w:rPr>
        <w:t xml:space="preserve"> kommer av </w:t>
      </w:r>
      <w:r w:rsidR="009A6F27">
        <w:rPr>
          <w:rFonts w:asciiTheme="minorHAnsi" w:hAnsiTheme="minorHAnsi" w:cstheme="minorBidi"/>
          <w:color w:val="000000" w:themeColor="text1"/>
          <w:sz w:val="22"/>
          <w:szCs w:val="22"/>
        </w:rPr>
        <w:t>arbeidsgivernes</w:t>
      </w:r>
      <w:r w:rsidRPr="36B95FE0">
        <w:rPr>
          <w:rFonts w:asciiTheme="minorHAnsi" w:hAnsiTheme="minorHAnsi" w:cstheme="minorBidi"/>
          <w:color w:val="000000" w:themeColor="text1"/>
          <w:sz w:val="22"/>
          <w:szCs w:val="22"/>
        </w:rPr>
        <w:t xml:space="preserve"> interne kompetanse og hva slags rapporteringsløsning de benytter. Erfaringsmessig ser </w:t>
      </w:r>
      <w:r w:rsidR="005127D2">
        <w:rPr>
          <w:rFonts w:asciiTheme="minorHAnsi" w:hAnsiTheme="minorHAnsi" w:cstheme="minorBidi"/>
          <w:color w:val="000000" w:themeColor="text1"/>
          <w:sz w:val="22"/>
          <w:szCs w:val="22"/>
        </w:rPr>
        <w:t>Finans Norge</w:t>
      </w:r>
      <w:r w:rsidR="005A0F03">
        <w:rPr>
          <w:rFonts w:asciiTheme="minorHAnsi" w:hAnsiTheme="minorHAnsi" w:cstheme="minorBidi"/>
          <w:color w:val="000000" w:themeColor="text1"/>
          <w:sz w:val="22"/>
          <w:szCs w:val="22"/>
        </w:rPr>
        <w:t xml:space="preserve"> </w:t>
      </w:r>
      <w:r w:rsidRPr="36B95FE0">
        <w:rPr>
          <w:rFonts w:asciiTheme="minorHAnsi" w:hAnsiTheme="minorHAnsi" w:cstheme="minorBidi"/>
          <w:color w:val="000000" w:themeColor="text1"/>
          <w:sz w:val="22"/>
          <w:szCs w:val="22"/>
        </w:rPr>
        <w:t xml:space="preserve">at </w:t>
      </w:r>
      <w:r w:rsidR="009A6F27">
        <w:rPr>
          <w:rFonts w:asciiTheme="minorHAnsi" w:hAnsiTheme="minorHAnsi" w:cstheme="minorBidi"/>
          <w:color w:val="000000" w:themeColor="text1"/>
          <w:sz w:val="22"/>
          <w:szCs w:val="22"/>
        </w:rPr>
        <w:t xml:space="preserve">hos større arbeidsgivere </w:t>
      </w:r>
      <w:r w:rsidRPr="36B95FE0">
        <w:rPr>
          <w:rFonts w:asciiTheme="minorHAnsi" w:hAnsiTheme="minorHAnsi" w:cstheme="minorBidi"/>
          <w:color w:val="000000" w:themeColor="text1"/>
          <w:sz w:val="22"/>
          <w:szCs w:val="22"/>
        </w:rPr>
        <w:t xml:space="preserve">er det ofte </w:t>
      </w:r>
      <w:r w:rsidR="005A0F03">
        <w:rPr>
          <w:rFonts w:asciiTheme="minorHAnsi" w:hAnsiTheme="minorHAnsi" w:cstheme="minorBidi"/>
          <w:color w:val="000000" w:themeColor="text1"/>
          <w:sz w:val="22"/>
          <w:szCs w:val="22"/>
        </w:rPr>
        <w:t xml:space="preserve">dedikerte </w:t>
      </w:r>
      <w:r w:rsidRPr="36B95FE0">
        <w:rPr>
          <w:rFonts w:asciiTheme="minorHAnsi" w:hAnsiTheme="minorHAnsi" w:cstheme="minorBidi"/>
          <w:color w:val="000000" w:themeColor="text1"/>
          <w:sz w:val="22"/>
          <w:szCs w:val="22"/>
        </w:rPr>
        <w:t xml:space="preserve">personer som jobber med utbetaling av lønn og rapportering, og </w:t>
      </w:r>
      <w:r w:rsidR="005A0F03">
        <w:rPr>
          <w:rFonts w:asciiTheme="minorHAnsi" w:hAnsiTheme="minorHAnsi" w:cstheme="minorBidi"/>
          <w:color w:val="000000" w:themeColor="text1"/>
          <w:sz w:val="22"/>
          <w:szCs w:val="22"/>
        </w:rPr>
        <w:t xml:space="preserve">som </w:t>
      </w:r>
      <w:r w:rsidRPr="36B95FE0">
        <w:rPr>
          <w:rFonts w:asciiTheme="minorHAnsi" w:hAnsiTheme="minorHAnsi" w:cstheme="minorBidi"/>
          <w:color w:val="000000" w:themeColor="text1"/>
          <w:sz w:val="22"/>
          <w:szCs w:val="22"/>
        </w:rPr>
        <w:t xml:space="preserve">har mer kunnskap om regelverk innenfor pensjon. </w:t>
      </w:r>
      <w:r w:rsidR="009A6F27">
        <w:rPr>
          <w:rFonts w:asciiTheme="minorHAnsi" w:hAnsiTheme="minorHAnsi" w:cstheme="minorBidi"/>
          <w:color w:val="000000" w:themeColor="text1"/>
          <w:sz w:val="22"/>
          <w:szCs w:val="22"/>
        </w:rPr>
        <w:t>For mindre og mellomstore arbeidsgivere</w:t>
      </w:r>
      <w:r w:rsidRPr="36B95FE0">
        <w:rPr>
          <w:rFonts w:asciiTheme="minorHAnsi" w:hAnsiTheme="minorHAnsi" w:cstheme="minorBidi"/>
          <w:color w:val="000000" w:themeColor="text1"/>
          <w:sz w:val="22"/>
          <w:szCs w:val="22"/>
        </w:rPr>
        <w:t xml:space="preserve"> </w:t>
      </w:r>
      <w:r w:rsidR="00C87BC2">
        <w:rPr>
          <w:rFonts w:asciiTheme="minorHAnsi" w:hAnsiTheme="minorHAnsi" w:cstheme="minorBidi"/>
          <w:color w:val="000000" w:themeColor="text1"/>
          <w:sz w:val="22"/>
          <w:szCs w:val="22"/>
        </w:rPr>
        <w:t>registrer</w:t>
      </w:r>
      <w:r w:rsidR="00F77F66">
        <w:rPr>
          <w:rFonts w:asciiTheme="minorHAnsi" w:hAnsiTheme="minorHAnsi" w:cstheme="minorBidi"/>
          <w:color w:val="000000" w:themeColor="text1"/>
          <w:sz w:val="22"/>
          <w:szCs w:val="22"/>
        </w:rPr>
        <w:t>er</w:t>
      </w:r>
      <w:r w:rsidR="00C87BC2">
        <w:rPr>
          <w:rFonts w:asciiTheme="minorHAnsi" w:hAnsiTheme="minorHAnsi" w:cstheme="minorBidi"/>
          <w:color w:val="000000" w:themeColor="text1"/>
          <w:sz w:val="22"/>
          <w:szCs w:val="22"/>
        </w:rPr>
        <w:t xml:space="preserve"> </w:t>
      </w:r>
      <w:r w:rsidR="005127D2">
        <w:rPr>
          <w:rFonts w:asciiTheme="minorHAnsi" w:hAnsiTheme="minorHAnsi" w:cstheme="minorBidi"/>
          <w:color w:val="000000" w:themeColor="text1"/>
          <w:sz w:val="22"/>
          <w:szCs w:val="22"/>
        </w:rPr>
        <w:t>Finans Norge</w:t>
      </w:r>
      <w:r w:rsidRPr="36B95FE0">
        <w:rPr>
          <w:rFonts w:asciiTheme="minorHAnsi" w:hAnsiTheme="minorHAnsi" w:cstheme="minorBidi"/>
          <w:color w:val="000000" w:themeColor="text1"/>
          <w:sz w:val="22"/>
          <w:szCs w:val="22"/>
        </w:rPr>
        <w:t xml:space="preserve"> tendenser til det motsatte. </w:t>
      </w:r>
    </w:p>
    <w:p w14:paraId="482D107F" w14:textId="1A070CCF" w:rsidR="003D45BD" w:rsidRDefault="50C8EA7B" w:rsidP="00A36427">
      <w:pPr>
        <w:pStyle w:val="NormalWeb"/>
        <w:rPr>
          <w:rFonts w:asciiTheme="minorHAnsi" w:hAnsiTheme="minorHAnsi" w:cstheme="minorHAnsi"/>
          <w:b/>
          <w:bCs/>
          <w:color w:val="000000"/>
          <w:sz w:val="22"/>
          <w:szCs w:val="22"/>
        </w:rPr>
      </w:pPr>
      <w:r w:rsidRPr="50C8EA7B">
        <w:rPr>
          <w:rFonts w:asciiTheme="minorHAnsi" w:hAnsiTheme="minorHAnsi" w:cstheme="minorBidi"/>
          <w:color w:val="000000" w:themeColor="text1"/>
          <w:sz w:val="22"/>
          <w:szCs w:val="22"/>
          <w:u w:val="single"/>
        </w:rPr>
        <w:t>4.2.2 Datakvalitet</w:t>
      </w:r>
      <w:r w:rsidR="00A36427">
        <w:br/>
      </w:r>
      <w:r w:rsidRPr="50C8EA7B">
        <w:rPr>
          <w:rFonts w:asciiTheme="minorHAnsi" w:hAnsiTheme="minorHAnsi" w:cstheme="minorBidi"/>
          <w:color w:val="000000" w:themeColor="text1"/>
          <w:sz w:val="22"/>
          <w:szCs w:val="22"/>
        </w:rPr>
        <w:t xml:space="preserve"> </w:t>
      </w:r>
      <w:r w:rsidR="00A36427">
        <w:br/>
      </w:r>
      <w:r w:rsidRPr="50C8EA7B">
        <w:rPr>
          <w:rFonts w:asciiTheme="minorHAnsi" w:hAnsiTheme="minorHAnsi" w:cstheme="minorBidi"/>
          <w:color w:val="000000" w:themeColor="text1"/>
          <w:sz w:val="22"/>
          <w:szCs w:val="22"/>
        </w:rPr>
        <w:t xml:space="preserve">Arbeidsgivere som i dag benytter sine lønnssystemer til å rapportere ajourholdet </w:t>
      </w:r>
      <w:r w:rsidR="00C87BC2">
        <w:rPr>
          <w:rFonts w:asciiTheme="minorHAnsi" w:hAnsiTheme="minorHAnsi" w:cstheme="minorBidi"/>
          <w:color w:val="000000" w:themeColor="text1"/>
          <w:sz w:val="22"/>
          <w:szCs w:val="22"/>
        </w:rPr>
        <w:t xml:space="preserve">av pensjonssparing </w:t>
      </w:r>
      <w:r w:rsidRPr="50C8EA7B">
        <w:rPr>
          <w:rFonts w:asciiTheme="minorHAnsi" w:hAnsiTheme="minorHAnsi" w:cstheme="minorBidi"/>
          <w:color w:val="000000" w:themeColor="text1"/>
          <w:sz w:val="22"/>
          <w:szCs w:val="22"/>
        </w:rPr>
        <w:t>via fil, rapporterer basert på et felles bransjeformat som sikrer lik og konsistent rapportering. Dette medfører at dataene som registre</w:t>
      </w:r>
      <w:r w:rsidR="00F77F66">
        <w:rPr>
          <w:rFonts w:asciiTheme="minorHAnsi" w:hAnsiTheme="minorHAnsi" w:cstheme="minorBidi"/>
          <w:color w:val="000000" w:themeColor="text1"/>
          <w:sz w:val="22"/>
          <w:szCs w:val="22"/>
        </w:rPr>
        <w:t>re</w:t>
      </w:r>
      <w:r w:rsidRPr="50C8EA7B">
        <w:rPr>
          <w:rFonts w:asciiTheme="minorHAnsi" w:hAnsiTheme="minorHAnsi" w:cstheme="minorBidi"/>
          <w:color w:val="000000" w:themeColor="text1"/>
          <w:sz w:val="22"/>
          <w:szCs w:val="22"/>
        </w:rPr>
        <w:t xml:space="preserve">s har færre feil og er av høyere kvalitet enn de som rapporterer manuelt i portal. Rapportering via portal innehar en risiko for manuelle inntastningsfeil som kan være vanskelig å forhindre. </w:t>
      </w:r>
      <w:r w:rsidR="00446038" w:rsidRPr="00DC3C1B">
        <w:rPr>
          <w:rFonts w:asciiTheme="minorHAnsi" w:hAnsiTheme="minorHAnsi" w:cstheme="minorBidi"/>
          <w:sz w:val="22"/>
          <w:szCs w:val="22"/>
        </w:rPr>
        <w:t>Ved en overgang til rapportering gjennom</w:t>
      </w:r>
      <w:r w:rsidR="001D26C5" w:rsidRPr="00DC3C1B">
        <w:rPr>
          <w:rFonts w:asciiTheme="minorHAnsi" w:hAnsiTheme="minorHAnsi" w:cstheme="minorBidi"/>
          <w:sz w:val="22"/>
          <w:szCs w:val="22"/>
        </w:rPr>
        <w:t xml:space="preserve"> a-ordning </w:t>
      </w:r>
      <w:r w:rsidR="00446038" w:rsidRPr="00DC3C1B">
        <w:rPr>
          <w:rFonts w:asciiTheme="minorHAnsi" w:hAnsiTheme="minorHAnsi" w:cstheme="minorBidi"/>
          <w:sz w:val="22"/>
          <w:szCs w:val="22"/>
        </w:rPr>
        <w:t>forutsetter vi at</w:t>
      </w:r>
      <w:r w:rsidR="001D26C5" w:rsidRPr="00DC3C1B">
        <w:rPr>
          <w:rFonts w:asciiTheme="minorHAnsi" w:hAnsiTheme="minorHAnsi" w:cstheme="minorBidi"/>
          <w:sz w:val="22"/>
          <w:szCs w:val="22"/>
        </w:rPr>
        <w:t xml:space="preserve"> datakvaliteten for </w:t>
      </w:r>
      <w:r w:rsidR="00446038" w:rsidRPr="00DC3C1B">
        <w:rPr>
          <w:rFonts w:asciiTheme="minorHAnsi" w:hAnsiTheme="minorHAnsi" w:cstheme="minorBidi"/>
          <w:sz w:val="22"/>
          <w:szCs w:val="22"/>
        </w:rPr>
        <w:t>de arbeidsgivere som i dag rapporterer via portal</w:t>
      </w:r>
      <w:r w:rsidR="001D26C5" w:rsidRPr="00DC3C1B">
        <w:rPr>
          <w:rFonts w:asciiTheme="minorHAnsi" w:hAnsiTheme="minorHAnsi" w:cstheme="minorBidi"/>
          <w:sz w:val="22"/>
          <w:szCs w:val="22"/>
        </w:rPr>
        <w:t xml:space="preserve"> </w:t>
      </w:r>
      <w:r w:rsidR="00C87BC2">
        <w:rPr>
          <w:rFonts w:asciiTheme="minorHAnsi" w:hAnsiTheme="minorHAnsi" w:cstheme="minorBidi"/>
          <w:sz w:val="22"/>
          <w:szCs w:val="22"/>
        </w:rPr>
        <w:t xml:space="preserve">vil kunne bli </w:t>
      </w:r>
      <w:r w:rsidR="001D26C5" w:rsidRPr="00DC3C1B">
        <w:rPr>
          <w:rFonts w:asciiTheme="minorHAnsi" w:hAnsiTheme="minorHAnsi" w:cstheme="minorBidi"/>
          <w:sz w:val="22"/>
          <w:szCs w:val="22"/>
        </w:rPr>
        <w:t>tiln</w:t>
      </w:r>
      <w:r w:rsidR="004A318E" w:rsidRPr="00DC3C1B">
        <w:rPr>
          <w:rFonts w:asciiTheme="minorHAnsi" w:hAnsiTheme="minorHAnsi" w:cstheme="minorBidi"/>
          <w:sz w:val="22"/>
          <w:szCs w:val="22"/>
        </w:rPr>
        <w:t>ærmet like god, eller bedre som en løsning ved rapportering</w:t>
      </w:r>
      <w:r w:rsidR="00446038" w:rsidRPr="00DC3C1B">
        <w:rPr>
          <w:rFonts w:asciiTheme="minorHAnsi" w:hAnsiTheme="minorHAnsi" w:cstheme="minorBidi"/>
          <w:sz w:val="22"/>
          <w:szCs w:val="22"/>
        </w:rPr>
        <w:t xml:space="preserve"> via fil.</w:t>
      </w:r>
      <w:r w:rsidR="00A36427" w:rsidRPr="00DC3C1B">
        <w:br/>
      </w:r>
    </w:p>
    <w:p w14:paraId="0A3E18F4" w14:textId="0B4FF53A" w:rsidR="003D45BD" w:rsidRDefault="003D45BD" w:rsidP="00A36427">
      <w:pPr>
        <w:pStyle w:val="NormalWeb"/>
        <w:rPr>
          <w:rFonts w:asciiTheme="minorHAnsi" w:hAnsiTheme="minorHAnsi" w:cstheme="minorHAnsi"/>
          <w:b/>
          <w:bCs/>
          <w:color w:val="000000"/>
          <w:sz w:val="22"/>
          <w:szCs w:val="22"/>
        </w:rPr>
      </w:pPr>
    </w:p>
    <w:p w14:paraId="157F6879" w14:textId="53D7987D" w:rsidR="003D45BD" w:rsidRDefault="003D45BD" w:rsidP="00A36427">
      <w:pPr>
        <w:pStyle w:val="NormalWeb"/>
        <w:rPr>
          <w:rFonts w:asciiTheme="minorHAnsi" w:hAnsiTheme="minorHAnsi" w:cstheme="minorHAnsi"/>
          <w:b/>
          <w:bCs/>
          <w:color w:val="000000"/>
          <w:sz w:val="22"/>
          <w:szCs w:val="22"/>
        </w:rPr>
      </w:pPr>
    </w:p>
    <w:p w14:paraId="1DF390CA" w14:textId="29414627" w:rsidR="00A36427" w:rsidRPr="00A36427" w:rsidRDefault="00A36427" w:rsidP="00A36427">
      <w:pPr>
        <w:pStyle w:val="NormalWeb"/>
        <w:rPr>
          <w:rFonts w:asciiTheme="minorHAnsi" w:hAnsiTheme="minorHAnsi" w:cstheme="minorHAnsi"/>
          <w:b/>
          <w:bCs/>
          <w:color w:val="000000"/>
          <w:sz w:val="22"/>
          <w:szCs w:val="22"/>
        </w:rPr>
      </w:pPr>
      <w:r w:rsidRPr="00A36427">
        <w:rPr>
          <w:rFonts w:asciiTheme="minorHAnsi" w:hAnsiTheme="minorHAnsi" w:cstheme="minorHAnsi"/>
          <w:b/>
          <w:bCs/>
          <w:color w:val="000000"/>
          <w:sz w:val="22"/>
          <w:szCs w:val="22"/>
        </w:rPr>
        <w:lastRenderedPageBreak/>
        <w:t xml:space="preserve">4.3 Feilkilder </w:t>
      </w:r>
      <w:r w:rsidR="009F0961">
        <w:rPr>
          <w:rFonts w:asciiTheme="minorHAnsi" w:hAnsiTheme="minorHAnsi" w:cstheme="minorHAnsi"/>
          <w:b/>
          <w:bCs/>
          <w:color w:val="000000"/>
          <w:sz w:val="22"/>
          <w:szCs w:val="22"/>
        </w:rPr>
        <w:t>ved</w:t>
      </w:r>
      <w:r w:rsidRPr="00A36427">
        <w:rPr>
          <w:rFonts w:asciiTheme="minorHAnsi" w:hAnsiTheme="minorHAnsi" w:cstheme="minorHAnsi"/>
          <w:b/>
          <w:bCs/>
          <w:color w:val="000000"/>
          <w:sz w:val="22"/>
          <w:szCs w:val="22"/>
        </w:rPr>
        <w:t xml:space="preserve"> manglende sparing </w:t>
      </w:r>
    </w:p>
    <w:p w14:paraId="12728914" w14:textId="7C9FE64E" w:rsidR="003D45BD" w:rsidRDefault="00C87BC2" w:rsidP="00A3642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I </w:t>
      </w:r>
      <w:r w:rsidRPr="00DC3C1B">
        <w:rPr>
          <w:rFonts w:asciiTheme="minorHAnsi" w:hAnsiTheme="minorHAnsi" w:cstheme="minorHAnsi"/>
          <w:sz w:val="22"/>
          <w:szCs w:val="22"/>
        </w:rPr>
        <w:t>tabellen nedenfor</w:t>
      </w:r>
      <w:r w:rsidRPr="00A36427">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har </w:t>
      </w:r>
      <w:r w:rsidR="005127D2">
        <w:rPr>
          <w:rFonts w:asciiTheme="minorHAnsi" w:hAnsiTheme="minorHAnsi" w:cstheme="minorHAnsi"/>
          <w:color w:val="000000"/>
          <w:sz w:val="22"/>
          <w:szCs w:val="22"/>
        </w:rPr>
        <w:t>Finans Norge</w:t>
      </w:r>
      <w:r>
        <w:rPr>
          <w:rFonts w:asciiTheme="minorHAnsi" w:hAnsiTheme="minorHAnsi" w:cstheme="minorHAnsi"/>
          <w:color w:val="000000"/>
          <w:sz w:val="22"/>
          <w:szCs w:val="22"/>
        </w:rPr>
        <w:t xml:space="preserve"> f</w:t>
      </w:r>
      <w:r w:rsidR="00A36427" w:rsidRPr="00A36427">
        <w:rPr>
          <w:rFonts w:asciiTheme="minorHAnsi" w:hAnsiTheme="minorHAnsi" w:cstheme="minorHAnsi"/>
          <w:color w:val="000000"/>
          <w:sz w:val="22"/>
          <w:szCs w:val="22"/>
        </w:rPr>
        <w:t xml:space="preserve">or å kvantifisere manglende sparing </w:t>
      </w:r>
      <w:r w:rsidR="00C02A0B">
        <w:rPr>
          <w:rFonts w:asciiTheme="minorHAnsi" w:hAnsiTheme="minorHAnsi" w:cstheme="minorHAnsi"/>
          <w:color w:val="000000"/>
          <w:sz w:val="22"/>
          <w:szCs w:val="22"/>
        </w:rPr>
        <w:t>for arbeidstakere</w:t>
      </w:r>
      <w:r w:rsidR="00A36427" w:rsidRPr="00A36427">
        <w:rPr>
          <w:rFonts w:asciiTheme="minorHAnsi" w:hAnsiTheme="minorHAnsi" w:cstheme="minorHAnsi"/>
          <w:color w:val="000000"/>
          <w:sz w:val="22"/>
          <w:szCs w:val="22"/>
        </w:rPr>
        <w:t xml:space="preserve"> tatt utgangspunkt i noen </w:t>
      </w:r>
      <w:r w:rsidR="001D26C5">
        <w:rPr>
          <w:rFonts w:asciiTheme="minorHAnsi" w:hAnsiTheme="minorHAnsi" w:cstheme="minorHAnsi"/>
          <w:color w:val="000000"/>
          <w:sz w:val="22"/>
          <w:szCs w:val="22"/>
        </w:rPr>
        <w:t xml:space="preserve">sentrale </w:t>
      </w:r>
      <w:r w:rsidR="00A36427" w:rsidRPr="00A36427">
        <w:rPr>
          <w:rFonts w:asciiTheme="minorHAnsi" w:hAnsiTheme="minorHAnsi" w:cstheme="minorHAnsi"/>
          <w:color w:val="000000"/>
          <w:sz w:val="22"/>
          <w:szCs w:val="22"/>
        </w:rPr>
        <w:t>eksempler og</w:t>
      </w:r>
      <w:r>
        <w:rPr>
          <w:rFonts w:asciiTheme="minorHAnsi" w:hAnsiTheme="minorHAnsi" w:cstheme="minorHAnsi"/>
          <w:color w:val="000000"/>
          <w:sz w:val="22"/>
          <w:szCs w:val="22"/>
        </w:rPr>
        <w:t xml:space="preserve"> sett på</w:t>
      </w:r>
      <w:r w:rsidR="00A36427" w:rsidRPr="00A36427">
        <w:rPr>
          <w:rFonts w:asciiTheme="minorHAnsi" w:hAnsiTheme="minorHAnsi" w:cstheme="minorHAnsi"/>
          <w:color w:val="000000"/>
          <w:sz w:val="22"/>
          <w:szCs w:val="22"/>
        </w:rPr>
        <w:t xml:space="preserve"> hvilke konsekvenser disse </w:t>
      </w:r>
      <w:r w:rsidR="00A36427" w:rsidRPr="0080778B">
        <w:rPr>
          <w:rFonts w:asciiTheme="minorHAnsi" w:hAnsiTheme="minorHAnsi" w:cstheme="minorHAnsi"/>
          <w:color w:val="000000"/>
          <w:sz w:val="22"/>
          <w:szCs w:val="22"/>
        </w:rPr>
        <w:t>kan ha</w:t>
      </w:r>
      <w:r w:rsidR="00E36514" w:rsidRPr="0080778B">
        <w:rPr>
          <w:rFonts w:asciiTheme="minorHAnsi" w:hAnsiTheme="minorHAnsi" w:cstheme="minorHAnsi"/>
          <w:sz w:val="22"/>
          <w:szCs w:val="22"/>
        </w:rPr>
        <w:t xml:space="preserve">. </w:t>
      </w:r>
      <w:r w:rsidR="00D871A1" w:rsidRPr="0080778B">
        <w:rPr>
          <w:rFonts w:asciiTheme="minorHAnsi" w:hAnsiTheme="minorHAnsi" w:cstheme="minorHAnsi"/>
          <w:sz w:val="22"/>
          <w:szCs w:val="22"/>
        </w:rPr>
        <w:t>Den vesentlig</w:t>
      </w:r>
      <w:r w:rsidR="00DD09C4" w:rsidRPr="0080778B">
        <w:rPr>
          <w:rFonts w:asciiTheme="minorHAnsi" w:hAnsiTheme="minorHAnsi" w:cstheme="minorHAnsi"/>
          <w:sz w:val="22"/>
          <w:szCs w:val="22"/>
        </w:rPr>
        <w:t>e</w:t>
      </w:r>
      <w:r w:rsidR="00D871A1" w:rsidRPr="00DC3C1B">
        <w:rPr>
          <w:rFonts w:asciiTheme="minorHAnsi" w:hAnsiTheme="minorHAnsi" w:cstheme="minorHAnsi"/>
          <w:sz w:val="22"/>
          <w:szCs w:val="22"/>
        </w:rPr>
        <w:t xml:space="preserve"> feilkilden knyttes til for sen eller manglende</w:t>
      </w:r>
      <w:r w:rsidR="00E36514" w:rsidRPr="00DC3C1B">
        <w:rPr>
          <w:rFonts w:asciiTheme="minorHAnsi" w:hAnsiTheme="minorHAnsi" w:cstheme="minorHAnsi"/>
          <w:sz w:val="22"/>
          <w:szCs w:val="22"/>
        </w:rPr>
        <w:t xml:space="preserve"> innmelding av ansatte</w:t>
      </w:r>
      <w:r w:rsidR="00D871A1" w:rsidRPr="00DC3C1B">
        <w:rPr>
          <w:rFonts w:asciiTheme="minorHAnsi" w:hAnsiTheme="minorHAnsi" w:cstheme="minorHAnsi"/>
          <w:sz w:val="22"/>
          <w:szCs w:val="22"/>
        </w:rPr>
        <w:t xml:space="preserve"> i pensjonsordningen</w:t>
      </w:r>
      <w:r w:rsidR="00E36514">
        <w:rPr>
          <w:rFonts w:asciiTheme="minorHAnsi" w:hAnsiTheme="minorHAnsi" w:cstheme="minorHAnsi"/>
          <w:color w:val="000000"/>
          <w:sz w:val="22"/>
          <w:szCs w:val="22"/>
        </w:rPr>
        <w:t>.</w:t>
      </w:r>
      <w:r w:rsidR="00D871A1">
        <w:rPr>
          <w:rFonts w:asciiTheme="minorHAnsi" w:hAnsiTheme="minorHAnsi" w:cstheme="minorHAnsi"/>
          <w:color w:val="000000"/>
          <w:sz w:val="22"/>
          <w:szCs w:val="22"/>
        </w:rPr>
        <w:t xml:space="preserve"> </w:t>
      </w:r>
    </w:p>
    <w:tbl>
      <w:tblPr>
        <w:tblStyle w:val="Tabellrutenett"/>
        <w:tblW w:w="0" w:type="auto"/>
        <w:tblLook w:val="04A0" w:firstRow="1" w:lastRow="0" w:firstColumn="1" w:lastColumn="0" w:noHBand="0" w:noVBand="1"/>
      </w:tblPr>
      <w:tblGrid>
        <w:gridCol w:w="4531"/>
        <w:gridCol w:w="4531"/>
      </w:tblGrid>
      <w:tr w:rsidR="009F0961" w14:paraId="34A0DF6B" w14:textId="77777777" w:rsidTr="001F412B">
        <w:tc>
          <w:tcPr>
            <w:tcW w:w="4531" w:type="dxa"/>
          </w:tcPr>
          <w:p w14:paraId="4C3A4D9D" w14:textId="77777777" w:rsidR="009F0961" w:rsidRPr="004E0917" w:rsidRDefault="009F0961" w:rsidP="001F412B">
            <w:pPr>
              <w:rPr>
                <w:b/>
                <w:bCs/>
              </w:rPr>
            </w:pPr>
            <w:r>
              <w:rPr>
                <w:b/>
                <w:bCs/>
              </w:rPr>
              <w:t>Feilkilde</w:t>
            </w:r>
          </w:p>
        </w:tc>
        <w:tc>
          <w:tcPr>
            <w:tcW w:w="4531" w:type="dxa"/>
          </w:tcPr>
          <w:p w14:paraId="73C0559A" w14:textId="77777777" w:rsidR="009F0961" w:rsidRPr="004E0917" w:rsidRDefault="009F0961" w:rsidP="001F412B">
            <w:pPr>
              <w:rPr>
                <w:b/>
                <w:bCs/>
              </w:rPr>
            </w:pPr>
            <w:r w:rsidRPr="004E0917">
              <w:rPr>
                <w:b/>
                <w:bCs/>
              </w:rPr>
              <w:t>Konsekvens</w:t>
            </w:r>
          </w:p>
        </w:tc>
      </w:tr>
      <w:tr w:rsidR="009F0961" w14:paraId="24FD446F" w14:textId="77777777" w:rsidTr="001F412B">
        <w:tc>
          <w:tcPr>
            <w:tcW w:w="4531" w:type="dxa"/>
          </w:tcPr>
          <w:p w14:paraId="1AA7EA0F" w14:textId="77777777" w:rsidR="009F0961" w:rsidRPr="004E0917" w:rsidRDefault="009F0961" w:rsidP="001F412B">
            <w:pPr>
              <w:rPr>
                <w:sz w:val="18"/>
                <w:szCs w:val="18"/>
              </w:rPr>
            </w:pPr>
            <w:r w:rsidRPr="004E0917">
              <w:rPr>
                <w:sz w:val="18"/>
                <w:szCs w:val="18"/>
              </w:rPr>
              <w:t>For sen innmelding</w:t>
            </w:r>
            <w:r>
              <w:rPr>
                <w:sz w:val="18"/>
                <w:szCs w:val="18"/>
              </w:rPr>
              <w:t xml:space="preserve"> og oppdatering av lønn for ansatte</w:t>
            </w:r>
          </w:p>
        </w:tc>
        <w:tc>
          <w:tcPr>
            <w:tcW w:w="4531" w:type="dxa"/>
          </w:tcPr>
          <w:p w14:paraId="36CB014A" w14:textId="77777777" w:rsidR="009F0961" w:rsidRPr="004E0917" w:rsidRDefault="009F0961" w:rsidP="001F412B">
            <w:pPr>
              <w:rPr>
                <w:sz w:val="18"/>
                <w:szCs w:val="18"/>
              </w:rPr>
            </w:pPr>
            <w:r w:rsidRPr="004E0917">
              <w:rPr>
                <w:sz w:val="18"/>
                <w:szCs w:val="18"/>
              </w:rPr>
              <w:t>Manglende premie og avkastning</w:t>
            </w:r>
            <w:r>
              <w:rPr>
                <w:sz w:val="18"/>
                <w:szCs w:val="18"/>
              </w:rPr>
              <w:t xml:space="preserve"> i perioden ansatt ikke har vært innmeldt i ordningen</w:t>
            </w:r>
          </w:p>
        </w:tc>
      </w:tr>
      <w:tr w:rsidR="009F0961" w14:paraId="165C6F13" w14:textId="77777777" w:rsidTr="001F412B">
        <w:tc>
          <w:tcPr>
            <w:tcW w:w="4531" w:type="dxa"/>
          </w:tcPr>
          <w:p w14:paraId="233713EB" w14:textId="77777777" w:rsidR="009F0961" w:rsidRPr="004E0917" w:rsidRDefault="009F0961" w:rsidP="001F412B">
            <w:pPr>
              <w:rPr>
                <w:sz w:val="18"/>
                <w:szCs w:val="18"/>
              </w:rPr>
            </w:pPr>
            <w:r>
              <w:rPr>
                <w:sz w:val="18"/>
                <w:szCs w:val="18"/>
              </w:rPr>
              <w:t>Feil registrering av lønnsparametere til ansatte, eksempelvis ikke registrere tilleggslønn</w:t>
            </w:r>
          </w:p>
        </w:tc>
        <w:tc>
          <w:tcPr>
            <w:tcW w:w="4531" w:type="dxa"/>
          </w:tcPr>
          <w:p w14:paraId="1303DDB0" w14:textId="77777777" w:rsidR="009F0961" w:rsidRPr="004E0917" w:rsidRDefault="009F0961" w:rsidP="001F412B">
            <w:pPr>
              <w:rPr>
                <w:sz w:val="18"/>
                <w:szCs w:val="18"/>
              </w:rPr>
            </w:pPr>
            <w:r w:rsidRPr="004E0917">
              <w:rPr>
                <w:sz w:val="18"/>
                <w:szCs w:val="18"/>
              </w:rPr>
              <w:t>Medlemmet kan gå glipp av pensjon de har krav på pga</w:t>
            </w:r>
            <w:r>
              <w:rPr>
                <w:sz w:val="18"/>
                <w:szCs w:val="18"/>
              </w:rPr>
              <w:t xml:space="preserve">. </w:t>
            </w:r>
            <w:r w:rsidRPr="004E0917">
              <w:rPr>
                <w:sz w:val="18"/>
                <w:szCs w:val="18"/>
              </w:rPr>
              <w:t>manglende regelverksforståelse</w:t>
            </w:r>
            <w:r>
              <w:rPr>
                <w:sz w:val="18"/>
                <w:szCs w:val="18"/>
              </w:rPr>
              <w:t xml:space="preserve"> og korrekt sparing av total lønn</w:t>
            </w:r>
          </w:p>
        </w:tc>
      </w:tr>
      <w:tr w:rsidR="009F0961" w14:paraId="46C5DC4F" w14:textId="77777777" w:rsidTr="001F412B">
        <w:tc>
          <w:tcPr>
            <w:tcW w:w="4531" w:type="dxa"/>
          </w:tcPr>
          <w:p w14:paraId="731DDFFA" w14:textId="77777777" w:rsidR="009F0961" w:rsidRPr="004E0917" w:rsidRDefault="009F0961" w:rsidP="001F412B">
            <w:pPr>
              <w:rPr>
                <w:sz w:val="18"/>
                <w:szCs w:val="18"/>
              </w:rPr>
            </w:pPr>
            <w:r>
              <w:rPr>
                <w:sz w:val="18"/>
                <w:szCs w:val="18"/>
              </w:rPr>
              <w:t>For sen registrering av f</w:t>
            </w:r>
            <w:r w:rsidRPr="004E0917">
              <w:rPr>
                <w:sz w:val="18"/>
                <w:szCs w:val="18"/>
              </w:rPr>
              <w:t>oretaksendringer</w:t>
            </w:r>
          </w:p>
        </w:tc>
        <w:tc>
          <w:tcPr>
            <w:tcW w:w="4531" w:type="dxa"/>
          </w:tcPr>
          <w:p w14:paraId="5C265CE0" w14:textId="77777777" w:rsidR="009F0961" w:rsidRPr="004E0917" w:rsidRDefault="009F0961" w:rsidP="001F412B">
            <w:pPr>
              <w:rPr>
                <w:sz w:val="18"/>
                <w:szCs w:val="18"/>
              </w:rPr>
            </w:pPr>
            <w:r>
              <w:rPr>
                <w:sz w:val="18"/>
                <w:szCs w:val="18"/>
              </w:rPr>
              <w:t>Medlemmene kan i enkelttilfeller bli feilaktig utmeldt, og miste sparing</w:t>
            </w:r>
          </w:p>
        </w:tc>
      </w:tr>
      <w:tr w:rsidR="009F0961" w14:paraId="1EC7B577" w14:textId="77777777" w:rsidTr="001F412B">
        <w:tc>
          <w:tcPr>
            <w:tcW w:w="4531" w:type="dxa"/>
          </w:tcPr>
          <w:p w14:paraId="2FA1A1DC" w14:textId="77777777" w:rsidR="009F0961" w:rsidRPr="004E0917" w:rsidRDefault="009F0961" w:rsidP="001F412B">
            <w:pPr>
              <w:rPr>
                <w:sz w:val="18"/>
                <w:szCs w:val="18"/>
              </w:rPr>
            </w:pPr>
            <w:r>
              <w:rPr>
                <w:sz w:val="18"/>
                <w:szCs w:val="18"/>
              </w:rPr>
              <w:t>Syke/uføre ansatte meldes ut av pensjonsordningen</w:t>
            </w:r>
          </w:p>
        </w:tc>
        <w:tc>
          <w:tcPr>
            <w:tcW w:w="4531" w:type="dxa"/>
          </w:tcPr>
          <w:p w14:paraId="66CB429F" w14:textId="77777777" w:rsidR="009F0961" w:rsidRPr="004E0917" w:rsidRDefault="009F0961" w:rsidP="001F412B">
            <w:pPr>
              <w:rPr>
                <w:sz w:val="18"/>
                <w:szCs w:val="18"/>
              </w:rPr>
            </w:pPr>
            <w:r w:rsidRPr="004E0917">
              <w:rPr>
                <w:sz w:val="18"/>
                <w:szCs w:val="18"/>
              </w:rPr>
              <w:t xml:space="preserve">Syke </w:t>
            </w:r>
            <w:r>
              <w:rPr>
                <w:sz w:val="18"/>
                <w:szCs w:val="18"/>
              </w:rPr>
              <w:t xml:space="preserve">ansatte </w:t>
            </w:r>
            <w:r w:rsidRPr="004E0917">
              <w:rPr>
                <w:sz w:val="18"/>
                <w:szCs w:val="18"/>
              </w:rPr>
              <w:t>meldes ut</w:t>
            </w:r>
            <w:r>
              <w:rPr>
                <w:sz w:val="18"/>
                <w:szCs w:val="18"/>
              </w:rPr>
              <w:t xml:space="preserve"> og får ikke pensjon eller forsikringsdekninger </w:t>
            </w:r>
          </w:p>
        </w:tc>
      </w:tr>
      <w:tr w:rsidR="009F0961" w14:paraId="2917C745" w14:textId="77777777" w:rsidTr="001F412B">
        <w:tc>
          <w:tcPr>
            <w:tcW w:w="4531" w:type="dxa"/>
          </w:tcPr>
          <w:p w14:paraId="6E8958B0" w14:textId="77777777" w:rsidR="009F0961" w:rsidRPr="004E0917" w:rsidRDefault="009F0961" w:rsidP="001F412B">
            <w:pPr>
              <w:rPr>
                <w:sz w:val="18"/>
                <w:szCs w:val="18"/>
              </w:rPr>
            </w:pPr>
            <w:r w:rsidRPr="004E0917">
              <w:rPr>
                <w:sz w:val="18"/>
                <w:szCs w:val="18"/>
              </w:rPr>
              <w:t>Selskap rapporterer ikke inn</w:t>
            </w:r>
            <w:r>
              <w:rPr>
                <w:sz w:val="18"/>
                <w:szCs w:val="18"/>
              </w:rPr>
              <w:t xml:space="preserve"> pensjonsberettiget</w:t>
            </w:r>
            <w:r w:rsidRPr="004E0917">
              <w:rPr>
                <w:sz w:val="18"/>
                <w:szCs w:val="18"/>
              </w:rPr>
              <w:t xml:space="preserve"> tilleggslønn </w:t>
            </w:r>
          </w:p>
        </w:tc>
        <w:tc>
          <w:tcPr>
            <w:tcW w:w="4531" w:type="dxa"/>
          </w:tcPr>
          <w:p w14:paraId="261C5C90" w14:textId="77777777" w:rsidR="009F0961" w:rsidRPr="004E0917" w:rsidRDefault="009F0961" w:rsidP="001F412B">
            <w:pPr>
              <w:rPr>
                <w:sz w:val="18"/>
                <w:szCs w:val="18"/>
              </w:rPr>
            </w:pPr>
            <w:r w:rsidRPr="004E0917">
              <w:rPr>
                <w:sz w:val="18"/>
                <w:szCs w:val="18"/>
              </w:rPr>
              <w:t xml:space="preserve">Medlemmene går glipp av pensjonen de har krav på </w:t>
            </w:r>
            <w:r>
              <w:rPr>
                <w:sz w:val="18"/>
                <w:szCs w:val="18"/>
              </w:rPr>
              <w:t>for</w:t>
            </w:r>
          </w:p>
        </w:tc>
      </w:tr>
      <w:tr w:rsidR="009F0961" w14:paraId="29190344" w14:textId="77777777" w:rsidTr="001F412B">
        <w:tc>
          <w:tcPr>
            <w:tcW w:w="4531" w:type="dxa"/>
          </w:tcPr>
          <w:p w14:paraId="10447C6F" w14:textId="77777777" w:rsidR="009F0961" w:rsidRPr="004E0917" w:rsidRDefault="009F0961" w:rsidP="001F412B">
            <w:pPr>
              <w:rPr>
                <w:sz w:val="18"/>
                <w:szCs w:val="18"/>
              </w:rPr>
            </w:pPr>
            <w:r w:rsidRPr="004E0917">
              <w:rPr>
                <w:sz w:val="18"/>
                <w:szCs w:val="18"/>
              </w:rPr>
              <w:t xml:space="preserve">Feil </w:t>
            </w:r>
            <w:r>
              <w:rPr>
                <w:sz w:val="18"/>
                <w:szCs w:val="18"/>
              </w:rPr>
              <w:t xml:space="preserve">/ uriktig bruk av </w:t>
            </w:r>
            <w:r w:rsidRPr="004E0917">
              <w:rPr>
                <w:sz w:val="18"/>
                <w:szCs w:val="18"/>
              </w:rPr>
              <w:t>statuskoder ved permisjon og syk</w:t>
            </w:r>
          </w:p>
        </w:tc>
        <w:tc>
          <w:tcPr>
            <w:tcW w:w="4531" w:type="dxa"/>
          </w:tcPr>
          <w:p w14:paraId="2E66640D" w14:textId="77777777" w:rsidR="009F0961" w:rsidRPr="004E0917" w:rsidRDefault="009F0961" w:rsidP="001F412B">
            <w:pPr>
              <w:rPr>
                <w:sz w:val="18"/>
                <w:szCs w:val="18"/>
              </w:rPr>
            </w:pPr>
            <w:r w:rsidRPr="004E0917">
              <w:rPr>
                <w:sz w:val="18"/>
                <w:szCs w:val="18"/>
              </w:rPr>
              <w:t xml:space="preserve">Medlemmene går glipp av pensjonen de har krav på </w:t>
            </w:r>
          </w:p>
        </w:tc>
      </w:tr>
    </w:tbl>
    <w:p w14:paraId="4ED3A47C" w14:textId="49020ED6" w:rsidR="00A36427" w:rsidRPr="00A36427" w:rsidRDefault="009F0961" w:rsidP="00A36427">
      <w:pPr>
        <w:pStyle w:val="NormalWeb"/>
        <w:rPr>
          <w:rFonts w:asciiTheme="minorHAnsi" w:hAnsiTheme="minorHAnsi" w:cstheme="minorHAnsi"/>
          <w:b/>
          <w:bCs/>
          <w:color w:val="000000"/>
          <w:sz w:val="22"/>
          <w:szCs w:val="22"/>
        </w:rPr>
      </w:pPr>
      <w:r>
        <w:rPr>
          <w:rFonts w:asciiTheme="minorHAnsi" w:hAnsiTheme="minorHAnsi" w:cstheme="minorHAnsi"/>
          <w:b/>
          <w:bCs/>
          <w:color w:val="000000"/>
          <w:sz w:val="22"/>
          <w:szCs w:val="22"/>
        </w:rPr>
        <w:br/>
        <w:t>4</w:t>
      </w:r>
      <w:r w:rsidR="00A36427" w:rsidRPr="00A36427">
        <w:rPr>
          <w:rFonts w:asciiTheme="minorHAnsi" w:hAnsiTheme="minorHAnsi" w:cstheme="minorHAnsi"/>
          <w:b/>
          <w:bCs/>
          <w:color w:val="000000"/>
          <w:sz w:val="22"/>
          <w:szCs w:val="22"/>
        </w:rPr>
        <w:t xml:space="preserve">.4 Kvantifisering av </w:t>
      </w:r>
      <w:r w:rsidR="005012FE">
        <w:rPr>
          <w:rFonts w:asciiTheme="minorHAnsi" w:hAnsiTheme="minorHAnsi" w:cstheme="minorHAnsi"/>
          <w:b/>
          <w:bCs/>
          <w:color w:val="000000"/>
          <w:sz w:val="22"/>
          <w:szCs w:val="22"/>
        </w:rPr>
        <w:t xml:space="preserve">forventet økt </w:t>
      </w:r>
      <w:r w:rsidR="00A36427" w:rsidRPr="00A36427">
        <w:rPr>
          <w:rFonts w:asciiTheme="minorHAnsi" w:hAnsiTheme="minorHAnsi" w:cstheme="minorHAnsi"/>
          <w:b/>
          <w:bCs/>
          <w:color w:val="000000"/>
          <w:sz w:val="22"/>
          <w:szCs w:val="22"/>
        </w:rPr>
        <w:t xml:space="preserve">sparing </w:t>
      </w:r>
    </w:p>
    <w:p w14:paraId="589D24F5" w14:textId="1C961143" w:rsidR="00043A92" w:rsidRPr="00F77F66" w:rsidRDefault="005127D2" w:rsidP="00043A92">
      <w:pPr>
        <w:rPr>
          <w:iCs/>
          <w:color w:val="000000" w:themeColor="text1"/>
        </w:rPr>
      </w:pPr>
      <w:r>
        <w:rPr>
          <w:rFonts w:ascii="Calibri" w:eastAsia="Calibri" w:hAnsi="Calibri" w:cs="Calibri"/>
          <w:iCs/>
          <w:color w:val="000000" w:themeColor="text1"/>
        </w:rPr>
        <w:t>Finans Norge</w:t>
      </w:r>
      <w:r w:rsidR="00043A92" w:rsidRPr="00F77F66">
        <w:rPr>
          <w:rFonts w:ascii="Calibri" w:eastAsia="Calibri" w:hAnsi="Calibri" w:cs="Calibri"/>
          <w:iCs/>
          <w:color w:val="000000" w:themeColor="text1"/>
        </w:rPr>
        <w:t xml:space="preserve"> anslår at en overgang til rapportering via a-melding vil medføre økt sparing for arbeidstakere (medlemmer) innen privat tjenestepensjon på totalt NOK 1 </w:t>
      </w:r>
      <w:r w:rsidR="00394CB3">
        <w:rPr>
          <w:rFonts w:ascii="Calibri" w:eastAsia="Calibri" w:hAnsi="Calibri" w:cs="Calibri"/>
          <w:iCs/>
          <w:color w:val="000000" w:themeColor="text1"/>
        </w:rPr>
        <w:t xml:space="preserve">000 </w:t>
      </w:r>
      <w:r w:rsidR="00D34D15">
        <w:rPr>
          <w:rFonts w:ascii="Calibri" w:eastAsia="Calibri" w:hAnsi="Calibri" w:cs="Calibri"/>
          <w:iCs/>
          <w:color w:val="000000" w:themeColor="text1"/>
        </w:rPr>
        <w:t>–</w:t>
      </w:r>
      <w:r w:rsidR="00394CB3">
        <w:rPr>
          <w:rFonts w:ascii="Calibri" w:eastAsia="Calibri" w:hAnsi="Calibri" w:cs="Calibri"/>
          <w:iCs/>
          <w:color w:val="000000" w:themeColor="text1"/>
        </w:rPr>
        <w:t xml:space="preserve"> 2</w:t>
      </w:r>
      <w:r w:rsidR="00D34D15">
        <w:rPr>
          <w:rFonts w:ascii="Calibri" w:eastAsia="Calibri" w:hAnsi="Calibri" w:cs="Calibri"/>
          <w:iCs/>
          <w:color w:val="000000" w:themeColor="text1"/>
        </w:rPr>
        <w:t xml:space="preserve"> </w:t>
      </w:r>
      <w:r w:rsidR="00394CB3">
        <w:rPr>
          <w:rFonts w:ascii="Calibri" w:eastAsia="Calibri" w:hAnsi="Calibri" w:cs="Calibri"/>
          <w:iCs/>
          <w:color w:val="000000" w:themeColor="text1"/>
        </w:rPr>
        <w:t>000</w:t>
      </w:r>
      <w:r w:rsidR="00043A92" w:rsidRPr="00F77F66">
        <w:rPr>
          <w:rFonts w:ascii="Calibri" w:eastAsia="Calibri" w:hAnsi="Calibri" w:cs="Calibri"/>
          <w:iCs/>
          <w:color w:val="000000" w:themeColor="text1"/>
        </w:rPr>
        <w:t xml:space="preserve"> millioner per år.</w:t>
      </w:r>
    </w:p>
    <w:p w14:paraId="786AF874" w14:textId="41721C58" w:rsidR="00C87BC2" w:rsidRDefault="00A36427" w:rsidP="00A36427">
      <w:pPr>
        <w:pStyle w:val="NormalWeb"/>
        <w:rPr>
          <w:rFonts w:asciiTheme="minorHAnsi" w:hAnsiTheme="minorHAnsi" w:cstheme="minorHAnsi"/>
          <w:sz w:val="22"/>
          <w:szCs w:val="22"/>
        </w:rPr>
      </w:pPr>
      <w:r w:rsidRPr="00A36427">
        <w:rPr>
          <w:rFonts w:asciiTheme="minorHAnsi" w:hAnsiTheme="minorHAnsi" w:cstheme="minorHAnsi"/>
          <w:color w:val="000000"/>
          <w:sz w:val="22"/>
          <w:szCs w:val="22"/>
        </w:rPr>
        <w:t xml:space="preserve">For å </w:t>
      </w:r>
      <w:r w:rsidR="005012FE">
        <w:rPr>
          <w:rFonts w:asciiTheme="minorHAnsi" w:hAnsiTheme="minorHAnsi" w:cstheme="minorHAnsi"/>
          <w:color w:val="000000"/>
          <w:sz w:val="22"/>
          <w:szCs w:val="22"/>
        </w:rPr>
        <w:t>vurdere omfanget av</w:t>
      </w:r>
      <w:r w:rsidRPr="00A36427">
        <w:rPr>
          <w:rFonts w:asciiTheme="minorHAnsi" w:hAnsiTheme="minorHAnsi" w:cstheme="minorHAnsi"/>
          <w:color w:val="000000"/>
          <w:sz w:val="22"/>
          <w:szCs w:val="22"/>
        </w:rPr>
        <w:t xml:space="preserve"> dagens manglende sparing har </w:t>
      </w:r>
      <w:r w:rsidR="005127D2">
        <w:rPr>
          <w:rFonts w:asciiTheme="minorHAnsi" w:hAnsiTheme="minorHAnsi" w:cstheme="minorHAnsi"/>
          <w:color w:val="000000"/>
          <w:sz w:val="22"/>
          <w:szCs w:val="22"/>
        </w:rPr>
        <w:t>Finans Norge</w:t>
      </w:r>
      <w:r w:rsidRPr="00A36427">
        <w:rPr>
          <w:rFonts w:asciiTheme="minorHAnsi" w:hAnsiTheme="minorHAnsi" w:cstheme="minorHAnsi"/>
          <w:color w:val="000000"/>
          <w:sz w:val="22"/>
          <w:szCs w:val="22"/>
        </w:rPr>
        <w:t xml:space="preserve"> tatt utgangspunkt i noen erfaringer </w:t>
      </w:r>
      <w:r w:rsidRPr="00233E16">
        <w:rPr>
          <w:rFonts w:asciiTheme="minorHAnsi" w:hAnsiTheme="minorHAnsi" w:cstheme="minorHAnsi"/>
          <w:sz w:val="22"/>
          <w:szCs w:val="22"/>
        </w:rPr>
        <w:t xml:space="preserve">bransjen </w:t>
      </w:r>
      <w:r w:rsidR="00C87BC2">
        <w:rPr>
          <w:rFonts w:asciiTheme="minorHAnsi" w:hAnsiTheme="minorHAnsi" w:cstheme="minorHAnsi"/>
          <w:sz w:val="22"/>
          <w:szCs w:val="22"/>
        </w:rPr>
        <w:t xml:space="preserve">har, </w:t>
      </w:r>
      <w:r w:rsidRPr="00233E16">
        <w:rPr>
          <w:rFonts w:asciiTheme="minorHAnsi" w:hAnsiTheme="minorHAnsi" w:cstheme="minorHAnsi"/>
          <w:sz w:val="22"/>
          <w:szCs w:val="22"/>
        </w:rPr>
        <w:t>hva</w:t>
      </w:r>
      <w:r w:rsidR="005012FE" w:rsidRPr="00233E16">
        <w:rPr>
          <w:rFonts w:asciiTheme="minorHAnsi" w:hAnsiTheme="minorHAnsi" w:cstheme="minorHAnsi"/>
          <w:sz w:val="22"/>
          <w:szCs w:val="22"/>
        </w:rPr>
        <w:t xml:space="preserve"> </w:t>
      </w:r>
      <w:r w:rsidRPr="00233E16">
        <w:rPr>
          <w:rFonts w:asciiTheme="minorHAnsi" w:hAnsiTheme="minorHAnsi" w:cstheme="minorHAnsi"/>
          <w:sz w:val="22"/>
          <w:szCs w:val="22"/>
        </w:rPr>
        <w:t xml:space="preserve">gjelder implementering av </w:t>
      </w:r>
      <w:r w:rsidR="009A6F27" w:rsidRPr="00233E16">
        <w:rPr>
          <w:rFonts w:asciiTheme="minorHAnsi" w:hAnsiTheme="minorHAnsi" w:cstheme="minorHAnsi"/>
          <w:sz w:val="22"/>
          <w:szCs w:val="22"/>
        </w:rPr>
        <w:t xml:space="preserve">arbeidsgivere </w:t>
      </w:r>
      <w:r w:rsidRPr="00233E16">
        <w:rPr>
          <w:rFonts w:asciiTheme="minorHAnsi" w:hAnsiTheme="minorHAnsi" w:cstheme="minorHAnsi"/>
          <w:sz w:val="22"/>
          <w:szCs w:val="22"/>
        </w:rPr>
        <w:t>ved overgangen fra portal til fil.</w:t>
      </w:r>
      <w:r w:rsidR="00835B9F" w:rsidRPr="00233E16">
        <w:rPr>
          <w:rFonts w:asciiTheme="minorHAnsi" w:hAnsiTheme="minorHAnsi" w:cstheme="minorHAnsi"/>
          <w:sz w:val="22"/>
          <w:szCs w:val="22"/>
        </w:rPr>
        <w:t xml:space="preserve"> Det antas at dette kan gi kan gi en god indikasjon på hva som kan forventes ved overgang fra portal til a-melding.  </w:t>
      </w:r>
    </w:p>
    <w:p w14:paraId="285A04D6" w14:textId="54A00A5D" w:rsidR="00A36427" w:rsidRPr="00A36427" w:rsidRDefault="00A36427" w:rsidP="00A36427">
      <w:pPr>
        <w:pStyle w:val="NormalWeb"/>
        <w:rPr>
          <w:rFonts w:asciiTheme="minorHAnsi" w:hAnsiTheme="minorHAnsi" w:cstheme="minorHAnsi"/>
          <w:color w:val="000000"/>
          <w:sz w:val="22"/>
          <w:szCs w:val="22"/>
        </w:rPr>
      </w:pPr>
      <w:r w:rsidRPr="00233E16">
        <w:rPr>
          <w:rFonts w:asciiTheme="minorHAnsi" w:hAnsiTheme="minorHAnsi" w:cstheme="minorHAnsi"/>
          <w:sz w:val="22"/>
          <w:szCs w:val="22"/>
        </w:rPr>
        <w:t xml:space="preserve">Videre har </w:t>
      </w:r>
      <w:r w:rsidR="005127D2">
        <w:rPr>
          <w:rFonts w:asciiTheme="minorHAnsi" w:hAnsiTheme="minorHAnsi" w:cstheme="minorHAnsi"/>
          <w:sz w:val="22"/>
          <w:szCs w:val="22"/>
        </w:rPr>
        <w:t>Finans Norge</w:t>
      </w:r>
      <w:r w:rsidR="00C87BC2" w:rsidRPr="00233E16">
        <w:rPr>
          <w:rFonts w:asciiTheme="minorHAnsi" w:hAnsiTheme="minorHAnsi" w:cstheme="minorHAnsi"/>
          <w:sz w:val="22"/>
          <w:szCs w:val="22"/>
        </w:rPr>
        <w:t xml:space="preserve"> </w:t>
      </w:r>
      <w:r w:rsidRPr="00233E16">
        <w:rPr>
          <w:rFonts w:asciiTheme="minorHAnsi" w:hAnsiTheme="minorHAnsi" w:cstheme="minorHAnsi"/>
          <w:sz w:val="22"/>
          <w:szCs w:val="22"/>
        </w:rPr>
        <w:t xml:space="preserve">basert utregningen </w:t>
      </w:r>
      <w:r w:rsidR="00C87BC2">
        <w:rPr>
          <w:rFonts w:asciiTheme="minorHAnsi" w:hAnsiTheme="minorHAnsi" w:cstheme="minorHAnsi"/>
          <w:sz w:val="22"/>
          <w:szCs w:val="22"/>
        </w:rPr>
        <w:t xml:space="preserve">av anslagene </w:t>
      </w:r>
      <w:r w:rsidRPr="00233E16">
        <w:rPr>
          <w:rFonts w:asciiTheme="minorHAnsi" w:hAnsiTheme="minorHAnsi" w:cstheme="minorHAnsi"/>
          <w:sz w:val="22"/>
          <w:szCs w:val="22"/>
        </w:rPr>
        <w:t xml:space="preserve">på </w:t>
      </w:r>
      <w:r w:rsidR="007C2DF2" w:rsidRPr="00233E16">
        <w:rPr>
          <w:rFonts w:asciiTheme="minorHAnsi" w:hAnsiTheme="minorHAnsi" w:cstheme="minorHAnsi"/>
          <w:sz w:val="22"/>
          <w:szCs w:val="22"/>
        </w:rPr>
        <w:t xml:space="preserve">arbeidsgivere </w:t>
      </w:r>
      <w:r w:rsidRPr="00233E16">
        <w:rPr>
          <w:rFonts w:asciiTheme="minorHAnsi" w:hAnsiTheme="minorHAnsi" w:cstheme="minorHAnsi"/>
          <w:sz w:val="22"/>
          <w:szCs w:val="22"/>
        </w:rPr>
        <w:t xml:space="preserve">som i dag rapporterer </w:t>
      </w:r>
      <w:r w:rsidRPr="00A36427">
        <w:rPr>
          <w:rFonts w:asciiTheme="minorHAnsi" w:hAnsiTheme="minorHAnsi" w:cstheme="minorHAnsi"/>
          <w:color w:val="000000"/>
          <w:sz w:val="22"/>
          <w:szCs w:val="22"/>
        </w:rPr>
        <w:t xml:space="preserve">via portal, og estimert økt sparing som følge av overgangen til rapportering via a-melding. Vi antar at </w:t>
      </w:r>
      <w:r w:rsidR="007C2DF2">
        <w:rPr>
          <w:rFonts w:asciiTheme="minorHAnsi" w:hAnsiTheme="minorHAnsi" w:cstheme="minorHAnsi"/>
          <w:color w:val="000000"/>
          <w:sz w:val="22"/>
          <w:szCs w:val="22"/>
        </w:rPr>
        <w:t>arbeidsgivere</w:t>
      </w:r>
      <w:r w:rsidR="007C2DF2" w:rsidRPr="00A36427">
        <w:rPr>
          <w:rFonts w:asciiTheme="minorHAnsi" w:hAnsiTheme="minorHAnsi" w:cstheme="minorHAnsi"/>
          <w:color w:val="000000"/>
          <w:sz w:val="22"/>
          <w:szCs w:val="22"/>
        </w:rPr>
        <w:t xml:space="preserve"> </w:t>
      </w:r>
      <w:r w:rsidRPr="00A36427">
        <w:rPr>
          <w:rFonts w:asciiTheme="minorHAnsi" w:hAnsiTheme="minorHAnsi" w:cstheme="minorHAnsi"/>
          <w:color w:val="000000"/>
          <w:sz w:val="22"/>
          <w:szCs w:val="22"/>
        </w:rPr>
        <w:t>som i dag rapporterer på fil har begrenset andel manglende sparing</w:t>
      </w:r>
      <w:r w:rsidR="00F77F66">
        <w:rPr>
          <w:rFonts w:asciiTheme="minorHAnsi" w:hAnsiTheme="minorHAnsi" w:cstheme="minorHAnsi"/>
          <w:color w:val="000000"/>
          <w:sz w:val="22"/>
          <w:szCs w:val="22"/>
        </w:rPr>
        <w:t xml:space="preserve">, og vi har derfor </w:t>
      </w:r>
      <w:r w:rsidRPr="00A36427">
        <w:rPr>
          <w:rFonts w:asciiTheme="minorHAnsi" w:hAnsiTheme="minorHAnsi" w:cstheme="minorHAnsi"/>
          <w:color w:val="000000"/>
          <w:sz w:val="22"/>
          <w:szCs w:val="22"/>
        </w:rPr>
        <w:t>valgt å se bort</w:t>
      </w:r>
      <w:r w:rsidR="005012FE">
        <w:rPr>
          <w:rFonts w:asciiTheme="minorHAnsi" w:hAnsiTheme="minorHAnsi" w:cstheme="minorHAnsi"/>
          <w:color w:val="000000"/>
          <w:sz w:val="22"/>
          <w:szCs w:val="22"/>
        </w:rPr>
        <w:t xml:space="preserve"> </w:t>
      </w:r>
      <w:r w:rsidRPr="00A36427">
        <w:rPr>
          <w:rFonts w:asciiTheme="minorHAnsi" w:hAnsiTheme="minorHAnsi" w:cstheme="minorHAnsi"/>
          <w:color w:val="000000"/>
          <w:sz w:val="22"/>
          <w:szCs w:val="22"/>
        </w:rPr>
        <w:t xml:space="preserve">fra en eventuell økning for disse ved overgang til rapportering via a-melding. </w:t>
      </w:r>
    </w:p>
    <w:p w14:paraId="280BDD52" w14:textId="7F67E451" w:rsidR="00A36427" w:rsidRPr="00A36427" w:rsidRDefault="00A36427" w:rsidP="00A36427">
      <w:pPr>
        <w:pStyle w:val="NormalWeb"/>
        <w:rPr>
          <w:rFonts w:asciiTheme="minorHAnsi" w:hAnsiTheme="minorHAnsi" w:cstheme="minorHAnsi"/>
          <w:color w:val="000000"/>
          <w:sz w:val="22"/>
          <w:szCs w:val="22"/>
          <w:u w:val="single"/>
        </w:rPr>
      </w:pPr>
      <w:r w:rsidRPr="00A36427">
        <w:rPr>
          <w:rFonts w:asciiTheme="minorHAnsi" w:hAnsiTheme="minorHAnsi" w:cstheme="minorHAnsi"/>
          <w:color w:val="000000"/>
          <w:sz w:val="22"/>
          <w:szCs w:val="22"/>
          <w:u w:val="single"/>
        </w:rPr>
        <w:t xml:space="preserve">4.4.1 Nøkkeltall </w:t>
      </w:r>
      <w:r w:rsidR="003D45BD" w:rsidRPr="003D45BD">
        <w:rPr>
          <w:rFonts w:asciiTheme="minorHAnsi" w:eastAsiaTheme="minorHAnsi" w:hAnsiTheme="minorHAnsi" w:cstheme="minorBidi"/>
          <w:sz w:val="22"/>
          <w:szCs w:val="32"/>
          <w:lang w:eastAsia="en-US"/>
        </w:rPr>
        <w:t>*</w:t>
      </w:r>
      <w:r w:rsidR="003D45BD">
        <w:rPr>
          <w:rFonts w:asciiTheme="minorHAnsi" w:eastAsiaTheme="minorHAnsi" w:hAnsiTheme="minorHAnsi" w:cstheme="minorBidi"/>
          <w:sz w:val="22"/>
          <w:szCs w:val="32"/>
          <w:lang w:eastAsia="en-US"/>
        </w:rPr>
        <w:t>)</w:t>
      </w:r>
    </w:p>
    <w:p w14:paraId="42262943" w14:textId="03226A06" w:rsidR="00A36427" w:rsidRPr="00A36427" w:rsidRDefault="50C8EA7B" w:rsidP="50C8EA7B">
      <w:pPr>
        <w:pStyle w:val="NormalWeb"/>
        <w:rPr>
          <w:rFonts w:asciiTheme="minorHAnsi" w:hAnsiTheme="minorHAnsi" w:cstheme="minorBidi"/>
          <w:color w:val="000000" w:themeColor="text1"/>
          <w:sz w:val="22"/>
          <w:szCs w:val="22"/>
        </w:rPr>
      </w:pPr>
      <w:r w:rsidRPr="50C8EA7B">
        <w:rPr>
          <w:rFonts w:asciiTheme="minorHAnsi" w:hAnsiTheme="minorHAnsi" w:cstheme="minorBidi"/>
          <w:color w:val="000000" w:themeColor="text1"/>
          <w:sz w:val="22"/>
          <w:szCs w:val="22"/>
        </w:rPr>
        <w:t xml:space="preserve">Andelen arbeidsgivere som rapporterer med fil utgjør i dag i overkant av 7% av totalt 118 722 arbeidsgivere med privat tjenestepensjonsordning. For å gi et </w:t>
      </w:r>
      <w:r w:rsidR="00C87BC2">
        <w:rPr>
          <w:rFonts w:asciiTheme="minorHAnsi" w:hAnsiTheme="minorHAnsi" w:cstheme="minorBidi"/>
          <w:color w:val="000000" w:themeColor="text1"/>
          <w:sz w:val="22"/>
          <w:szCs w:val="22"/>
        </w:rPr>
        <w:t>mest mulig riktig anslag</w:t>
      </w:r>
      <w:r w:rsidRPr="50C8EA7B">
        <w:rPr>
          <w:rFonts w:asciiTheme="minorHAnsi" w:hAnsiTheme="minorHAnsi" w:cstheme="minorBidi"/>
          <w:color w:val="000000" w:themeColor="text1"/>
          <w:sz w:val="22"/>
          <w:szCs w:val="22"/>
        </w:rPr>
        <w:t xml:space="preserve"> av mengden ansatte som vil </w:t>
      </w:r>
      <w:r w:rsidR="00C87BC2">
        <w:rPr>
          <w:rFonts w:asciiTheme="minorHAnsi" w:hAnsiTheme="minorHAnsi" w:cstheme="minorBidi"/>
          <w:color w:val="000000" w:themeColor="text1"/>
          <w:sz w:val="22"/>
          <w:szCs w:val="22"/>
        </w:rPr>
        <w:t xml:space="preserve">kunne </w:t>
      </w:r>
      <w:r w:rsidRPr="50C8EA7B">
        <w:rPr>
          <w:rFonts w:asciiTheme="minorHAnsi" w:hAnsiTheme="minorHAnsi" w:cstheme="minorBidi"/>
          <w:color w:val="000000" w:themeColor="text1"/>
          <w:sz w:val="22"/>
          <w:szCs w:val="22"/>
        </w:rPr>
        <w:t xml:space="preserve">få bedre sparing </w:t>
      </w:r>
      <w:r w:rsidR="00C87BC2">
        <w:rPr>
          <w:rFonts w:asciiTheme="minorHAnsi" w:hAnsiTheme="minorHAnsi" w:cstheme="minorBidi"/>
          <w:color w:val="000000" w:themeColor="text1"/>
          <w:sz w:val="22"/>
          <w:szCs w:val="22"/>
        </w:rPr>
        <w:t xml:space="preserve">har </w:t>
      </w:r>
      <w:r w:rsidR="005127D2">
        <w:rPr>
          <w:rFonts w:asciiTheme="minorHAnsi" w:hAnsiTheme="minorHAnsi" w:cstheme="minorBidi"/>
          <w:color w:val="000000" w:themeColor="text1"/>
          <w:sz w:val="22"/>
          <w:szCs w:val="22"/>
        </w:rPr>
        <w:t>Finans Norge</w:t>
      </w:r>
      <w:r w:rsidR="00C87BC2">
        <w:rPr>
          <w:rFonts w:asciiTheme="minorHAnsi" w:hAnsiTheme="minorHAnsi" w:cstheme="minorBidi"/>
          <w:color w:val="000000" w:themeColor="text1"/>
          <w:sz w:val="22"/>
          <w:szCs w:val="22"/>
        </w:rPr>
        <w:t xml:space="preserve"> benyttet</w:t>
      </w:r>
      <w:r w:rsidRPr="50C8EA7B">
        <w:rPr>
          <w:rFonts w:asciiTheme="minorHAnsi" w:hAnsiTheme="minorHAnsi" w:cstheme="minorBidi"/>
          <w:color w:val="000000" w:themeColor="text1"/>
          <w:sz w:val="22"/>
          <w:szCs w:val="22"/>
        </w:rPr>
        <w:t xml:space="preserve"> en medlemsvektet fordeling mellom arbeidsgivere som benytter fil og arbeidsgivere som benytter portal. Dette gir henholdsvis en fordeling hvor 55% av medlemmene rapporteres via portal av totalt 1 498 853 medlemmer. </w:t>
      </w:r>
      <w:r w:rsidR="00A36427">
        <w:br/>
      </w:r>
      <w:r w:rsidR="00A36427">
        <w:br/>
      </w:r>
      <w:r w:rsidRPr="50C8EA7B">
        <w:rPr>
          <w:rFonts w:asciiTheme="minorHAnsi" w:hAnsiTheme="minorHAnsi" w:cstheme="minorBidi"/>
          <w:color w:val="000000" w:themeColor="text1"/>
          <w:sz w:val="22"/>
          <w:szCs w:val="22"/>
        </w:rPr>
        <w:t xml:space="preserve">For å estimere </w:t>
      </w:r>
      <w:r w:rsidR="00C87BC2">
        <w:rPr>
          <w:rFonts w:asciiTheme="minorHAnsi" w:hAnsiTheme="minorHAnsi" w:cstheme="minorBidi"/>
          <w:color w:val="000000" w:themeColor="text1"/>
          <w:sz w:val="22"/>
          <w:szCs w:val="22"/>
        </w:rPr>
        <w:t xml:space="preserve">mulig </w:t>
      </w:r>
      <w:r w:rsidRPr="50C8EA7B">
        <w:rPr>
          <w:rFonts w:asciiTheme="minorHAnsi" w:hAnsiTheme="minorHAnsi" w:cstheme="minorBidi"/>
          <w:color w:val="000000" w:themeColor="text1"/>
          <w:sz w:val="22"/>
          <w:szCs w:val="22"/>
        </w:rPr>
        <w:t xml:space="preserve">økt </w:t>
      </w:r>
      <w:r w:rsidR="00C87BC2">
        <w:rPr>
          <w:rFonts w:asciiTheme="minorHAnsi" w:hAnsiTheme="minorHAnsi" w:cstheme="minorBidi"/>
          <w:color w:val="000000" w:themeColor="text1"/>
          <w:sz w:val="22"/>
          <w:szCs w:val="22"/>
        </w:rPr>
        <w:t>pensjons</w:t>
      </w:r>
      <w:r w:rsidRPr="50C8EA7B">
        <w:rPr>
          <w:rFonts w:asciiTheme="minorHAnsi" w:hAnsiTheme="minorHAnsi" w:cstheme="minorBidi"/>
          <w:color w:val="000000" w:themeColor="text1"/>
          <w:sz w:val="22"/>
          <w:szCs w:val="22"/>
        </w:rPr>
        <w:t xml:space="preserve">sparing for arbeidstakerne der bedriftene rapporterer via portal, </w:t>
      </w:r>
      <w:r w:rsidR="00C87BC2">
        <w:rPr>
          <w:rFonts w:asciiTheme="minorHAnsi" w:hAnsiTheme="minorHAnsi" w:cstheme="minorBidi"/>
          <w:color w:val="000000" w:themeColor="text1"/>
          <w:sz w:val="22"/>
          <w:szCs w:val="22"/>
        </w:rPr>
        <w:t xml:space="preserve">har </w:t>
      </w:r>
      <w:r w:rsidR="005127D2">
        <w:rPr>
          <w:rFonts w:asciiTheme="minorHAnsi" w:hAnsiTheme="minorHAnsi" w:cstheme="minorBidi"/>
          <w:color w:val="000000" w:themeColor="text1"/>
          <w:sz w:val="22"/>
          <w:szCs w:val="22"/>
        </w:rPr>
        <w:t>Finans Norge</w:t>
      </w:r>
      <w:r w:rsidR="00C87BC2">
        <w:rPr>
          <w:rFonts w:asciiTheme="minorHAnsi" w:hAnsiTheme="minorHAnsi" w:cstheme="minorBidi"/>
          <w:color w:val="000000" w:themeColor="text1"/>
          <w:sz w:val="22"/>
          <w:szCs w:val="22"/>
        </w:rPr>
        <w:t xml:space="preserve"> benyttet </w:t>
      </w:r>
      <w:r w:rsidRPr="50C8EA7B">
        <w:rPr>
          <w:rFonts w:asciiTheme="minorHAnsi" w:hAnsiTheme="minorHAnsi" w:cstheme="minorBidi"/>
          <w:color w:val="000000" w:themeColor="text1"/>
          <w:sz w:val="22"/>
          <w:szCs w:val="22"/>
        </w:rPr>
        <w:t xml:space="preserve">en erfaringsfaktor som tilsvarer økning i sparing for arbeidstakerne der bedriften går over fra portal til fil. Historisk utgjør denne </w:t>
      </w:r>
      <w:r w:rsidR="00394CB3">
        <w:rPr>
          <w:rFonts w:asciiTheme="minorHAnsi" w:hAnsiTheme="minorHAnsi" w:cstheme="minorBidi"/>
          <w:color w:val="000000" w:themeColor="text1"/>
          <w:sz w:val="22"/>
          <w:szCs w:val="22"/>
        </w:rPr>
        <w:t>5-10</w:t>
      </w:r>
      <w:r w:rsidRPr="50C8EA7B">
        <w:rPr>
          <w:rFonts w:asciiTheme="minorHAnsi" w:hAnsiTheme="minorHAnsi" w:cstheme="minorBidi"/>
          <w:color w:val="000000" w:themeColor="text1"/>
          <w:sz w:val="22"/>
          <w:szCs w:val="22"/>
        </w:rPr>
        <w:t xml:space="preserve">% på tvers i bransjen. </w:t>
      </w:r>
    </w:p>
    <w:p w14:paraId="4D09C74E" w14:textId="188D7219" w:rsidR="00A36427" w:rsidRPr="00A36427" w:rsidRDefault="00A36427" w:rsidP="00A36427">
      <w:pPr>
        <w:pStyle w:val="NormalWeb"/>
        <w:rPr>
          <w:rFonts w:asciiTheme="minorHAnsi" w:hAnsiTheme="minorHAnsi" w:cstheme="minorHAnsi"/>
          <w:color w:val="000000"/>
          <w:sz w:val="22"/>
          <w:szCs w:val="22"/>
        </w:rPr>
      </w:pPr>
      <w:r w:rsidRPr="00A36427">
        <w:rPr>
          <w:rFonts w:asciiTheme="minorHAnsi" w:hAnsiTheme="minorHAnsi" w:cstheme="minorHAnsi"/>
          <w:color w:val="000000"/>
          <w:sz w:val="22"/>
          <w:szCs w:val="22"/>
        </w:rPr>
        <w:t xml:space="preserve">Den erfaringsmessige økningen på </w:t>
      </w:r>
      <w:r w:rsidR="00394CB3">
        <w:rPr>
          <w:rFonts w:asciiTheme="minorHAnsi" w:hAnsiTheme="minorHAnsi" w:cstheme="minorHAnsi"/>
          <w:color w:val="000000"/>
          <w:sz w:val="22"/>
          <w:szCs w:val="22"/>
        </w:rPr>
        <w:t>5-10</w:t>
      </w:r>
      <w:r w:rsidRPr="00A36427">
        <w:rPr>
          <w:rFonts w:asciiTheme="minorHAnsi" w:hAnsiTheme="minorHAnsi" w:cstheme="minorHAnsi"/>
          <w:color w:val="000000"/>
          <w:sz w:val="22"/>
          <w:szCs w:val="22"/>
        </w:rPr>
        <w:t xml:space="preserve">% dekker samtlige av de nevnte utfordringene og årsakene til feilkilder vi ser med dagens løsning for de som er på portal. Vi forutsetter videre at </w:t>
      </w:r>
      <w:r w:rsidR="006D558A">
        <w:rPr>
          <w:rFonts w:asciiTheme="minorHAnsi" w:hAnsiTheme="minorHAnsi" w:cstheme="minorHAnsi"/>
          <w:color w:val="000000"/>
          <w:sz w:val="22"/>
          <w:szCs w:val="22"/>
        </w:rPr>
        <w:t xml:space="preserve">gjennomsnittlig </w:t>
      </w:r>
      <w:r w:rsidRPr="00A36427">
        <w:rPr>
          <w:rFonts w:asciiTheme="minorHAnsi" w:hAnsiTheme="minorHAnsi" w:cstheme="minorHAnsi"/>
          <w:color w:val="000000"/>
          <w:sz w:val="22"/>
          <w:szCs w:val="22"/>
        </w:rPr>
        <w:t>sparing per medlem på portal og på fil er lik.</w:t>
      </w:r>
      <w:r w:rsidR="005012FE">
        <w:rPr>
          <w:rFonts w:asciiTheme="minorHAnsi" w:hAnsiTheme="minorHAnsi" w:cstheme="minorHAnsi"/>
          <w:color w:val="000000"/>
          <w:sz w:val="22"/>
          <w:szCs w:val="22"/>
        </w:rPr>
        <w:br/>
      </w:r>
      <w:bookmarkStart w:id="4" w:name="_Hlk20217283"/>
      <w:r w:rsidR="005012FE" w:rsidRPr="003D45BD">
        <w:rPr>
          <w:rFonts w:asciiTheme="minorHAnsi" w:eastAsiaTheme="minorHAnsi" w:hAnsiTheme="minorHAnsi" w:cstheme="minorBidi"/>
          <w:sz w:val="18"/>
          <w:lang w:eastAsia="en-US"/>
        </w:rPr>
        <w:t>*</w:t>
      </w:r>
      <w:r w:rsidR="003D45BD" w:rsidRPr="003D45BD">
        <w:rPr>
          <w:rFonts w:asciiTheme="minorHAnsi" w:eastAsiaTheme="minorHAnsi" w:hAnsiTheme="minorHAnsi" w:cstheme="minorBidi"/>
          <w:sz w:val="18"/>
          <w:lang w:eastAsia="en-US"/>
        </w:rPr>
        <w:t xml:space="preserve">) </w:t>
      </w:r>
      <w:r w:rsidR="005012FE" w:rsidRPr="003D45BD">
        <w:rPr>
          <w:rFonts w:asciiTheme="minorHAnsi" w:eastAsiaTheme="minorHAnsi" w:hAnsiTheme="minorHAnsi" w:cstheme="minorBidi"/>
          <w:sz w:val="18"/>
          <w:lang w:eastAsia="en-US"/>
        </w:rPr>
        <w:t xml:space="preserve">Tallene </w:t>
      </w:r>
      <w:bookmarkEnd w:id="4"/>
      <w:r w:rsidR="005012FE" w:rsidRPr="003D45BD">
        <w:rPr>
          <w:rFonts w:asciiTheme="minorHAnsi" w:eastAsiaTheme="minorHAnsi" w:hAnsiTheme="minorHAnsi" w:cstheme="minorBidi"/>
          <w:sz w:val="18"/>
          <w:lang w:eastAsia="en-US"/>
        </w:rPr>
        <w:t xml:space="preserve">er hentet fra </w:t>
      </w:r>
      <w:r w:rsidR="006D558A" w:rsidRPr="003D45BD">
        <w:rPr>
          <w:rFonts w:asciiTheme="minorHAnsi" w:eastAsiaTheme="minorHAnsi" w:hAnsiTheme="minorHAnsi" w:cstheme="minorBidi"/>
          <w:sz w:val="18"/>
          <w:lang w:eastAsia="en-US"/>
        </w:rPr>
        <w:t>pensjonsselskapenes</w:t>
      </w:r>
      <w:r w:rsidR="005012FE" w:rsidRPr="003D45BD">
        <w:rPr>
          <w:rFonts w:asciiTheme="minorHAnsi" w:eastAsiaTheme="minorHAnsi" w:hAnsiTheme="minorHAnsi" w:cstheme="minorBidi"/>
          <w:sz w:val="18"/>
          <w:lang w:eastAsia="en-US"/>
        </w:rPr>
        <w:t xml:space="preserve"> interne systemer.</w:t>
      </w:r>
    </w:p>
    <w:p w14:paraId="0B2FDE9F" w14:textId="693EC041" w:rsidR="00A36427" w:rsidRDefault="005127D2" w:rsidP="00A3642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Finans Norge</w:t>
      </w:r>
      <w:r w:rsidR="00A36427" w:rsidRPr="00A36427">
        <w:rPr>
          <w:rFonts w:asciiTheme="minorHAnsi" w:hAnsiTheme="minorHAnsi" w:cstheme="minorHAnsi"/>
          <w:color w:val="000000"/>
          <w:sz w:val="22"/>
          <w:szCs w:val="22"/>
        </w:rPr>
        <w:t xml:space="preserve"> estimerer at en 100% innføring vil gi følgende beløp i årlig </w:t>
      </w:r>
      <w:r w:rsidR="006D558A">
        <w:rPr>
          <w:rFonts w:asciiTheme="minorHAnsi" w:hAnsiTheme="minorHAnsi" w:cstheme="minorHAnsi"/>
          <w:color w:val="000000"/>
          <w:sz w:val="22"/>
          <w:szCs w:val="22"/>
        </w:rPr>
        <w:t>økt</w:t>
      </w:r>
      <w:r w:rsidR="00A36427" w:rsidRPr="00A36427">
        <w:rPr>
          <w:rFonts w:asciiTheme="minorHAnsi" w:hAnsiTheme="minorHAnsi" w:cstheme="minorHAnsi"/>
          <w:color w:val="000000"/>
          <w:sz w:val="22"/>
          <w:szCs w:val="22"/>
        </w:rPr>
        <w:t xml:space="preserve"> sparing:</w:t>
      </w:r>
      <w:r w:rsidR="009F0961">
        <w:rPr>
          <w:rFonts w:asciiTheme="minorHAnsi" w:hAnsiTheme="minorHAnsi" w:cstheme="minorHAnsi"/>
          <w:color w:val="000000"/>
          <w:sz w:val="22"/>
          <w:szCs w:val="22"/>
        </w:rPr>
        <w:br/>
      </w:r>
    </w:p>
    <w:tbl>
      <w:tblPr>
        <w:tblStyle w:val="Vanligtabell2"/>
        <w:tblW w:w="0" w:type="auto"/>
        <w:tblLayout w:type="fixed"/>
        <w:tblLook w:val="06E0" w:firstRow="1" w:lastRow="1" w:firstColumn="1" w:lastColumn="0" w:noHBand="1" w:noVBand="1"/>
      </w:tblPr>
      <w:tblGrid>
        <w:gridCol w:w="6663"/>
        <w:gridCol w:w="2409"/>
      </w:tblGrid>
      <w:tr w:rsidR="009F0961" w14:paraId="45EBE4EA" w14:textId="77777777" w:rsidTr="001F4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0135829C" w14:textId="57FCA631" w:rsidR="009F0961" w:rsidRPr="00A22CD1" w:rsidRDefault="009F0961" w:rsidP="001F412B">
            <w:pPr>
              <w:rPr>
                <w:b w:val="0"/>
              </w:rPr>
            </w:pPr>
            <w:r w:rsidRPr="00A22CD1">
              <w:rPr>
                <w:b w:val="0"/>
              </w:rPr>
              <w:t>Totalt innbetalt premie 2018*</w:t>
            </w:r>
            <w:r w:rsidR="003D45BD">
              <w:rPr>
                <w:b w:val="0"/>
              </w:rPr>
              <w:t>)</w:t>
            </w:r>
          </w:p>
        </w:tc>
        <w:tc>
          <w:tcPr>
            <w:tcW w:w="2409" w:type="dxa"/>
          </w:tcPr>
          <w:p w14:paraId="7CE05A0F" w14:textId="77777777" w:rsidR="009F0961" w:rsidRPr="00A22CD1" w:rsidRDefault="009F0961" w:rsidP="00D34D15">
            <w:pPr>
              <w:jc w:val="right"/>
              <w:cnfStyle w:val="100000000000" w:firstRow="1" w:lastRow="0" w:firstColumn="0" w:lastColumn="0" w:oddVBand="0" w:evenVBand="0" w:oddHBand="0" w:evenHBand="0" w:firstRowFirstColumn="0" w:firstRowLastColumn="0" w:lastRowFirstColumn="0" w:lastRowLastColumn="0"/>
              <w:rPr>
                <w:b w:val="0"/>
              </w:rPr>
            </w:pPr>
            <w:r w:rsidRPr="00A22CD1">
              <w:rPr>
                <w:b w:val="0"/>
              </w:rPr>
              <w:t>36 329 306</w:t>
            </w:r>
          </w:p>
        </w:tc>
      </w:tr>
      <w:tr w:rsidR="009F0961" w14:paraId="1D2D4672" w14:textId="77777777" w:rsidTr="001F412B">
        <w:tc>
          <w:tcPr>
            <w:cnfStyle w:val="001000000000" w:firstRow="0" w:lastRow="0" w:firstColumn="1" w:lastColumn="0" w:oddVBand="0" w:evenVBand="0" w:oddHBand="0" w:evenHBand="0" w:firstRowFirstColumn="0" w:firstRowLastColumn="0" w:lastRowFirstColumn="0" w:lastRowLastColumn="0"/>
            <w:tcW w:w="6663" w:type="dxa"/>
          </w:tcPr>
          <w:p w14:paraId="05B9C6F1" w14:textId="77777777" w:rsidR="009F0961" w:rsidRPr="00945E49" w:rsidRDefault="009F0961" w:rsidP="001F412B">
            <w:pPr>
              <w:rPr>
                <w:b w:val="0"/>
              </w:rPr>
            </w:pPr>
            <w:r w:rsidRPr="00945E49">
              <w:rPr>
                <w:b w:val="0"/>
              </w:rPr>
              <w:t>Andel medlemmer med rapportering på portal</w:t>
            </w:r>
          </w:p>
        </w:tc>
        <w:tc>
          <w:tcPr>
            <w:tcW w:w="2409" w:type="dxa"/>
          </w:tcPr>
          <w:p w14:paraId="4311CE89" w14:textId="575381AC" w:rsidR="009F0961" w:rsidRDefault="00D34D15" w:rsidP="00D34D15">
            <w:pPr>
              <w:jc w:val="right"/>
              <w:cnfStyle w:val="000000000000" w:firstRow="0" w:lastRow="0" w:firstColumn="0" w:lastColumn="0" w:oddVBand="0" w:evenVBand="0" w:oddHBand="0" w:evenHBand="0" w:firstRowFirstColumn="0" w:firstRowLastColumn="0" w:lastRowFirstColumn="0" w:lastRowLastColumn="0"/>
            </w:pPr>
            <w:r>
              <w:t xml:space="preserve">            </w:t>
            </w:r>
            <w:r w:rsidR="009F0961">
              <w:t>55%</w:t>
            </w:r>
          </w:p>
        </w:tc>
      </w:tr>
      <w:tr w:rsidR="009F0961" w14:paraId="6E1B39DE" w14:textId="77777777" w:rsidTr="001F412B">
        <w:tc>
          <w:tcPr>
            <w:cnfStyle w:val="001000000000" w:firstRow="0" w:lastRow="0" w:firstColumn="1" w:lastColumn="0" w:oddVBand="0" w:evenVBand="0" w:oddHBand="0" w:evenHBand="0" w:firstRowFirstColumn="0" w:firstRowLastColumn="0" w:lastRowFirstColumn="0" w:lastRowLastColumn="0"/>
            <w:tcW w:w="6663" w:type="dxa"/>
          </w:tcPr>
          <w:p w14:paraId="6CF453BC" w14:textId="77777777" w:rsidR="009F0961" w:rsidRPr="004E0917" w:rsidRDefault="009F0961" w:rsidP="001F412B">
            <w:pPr>
              <w:rPr>
                <w:b w:val="0"/>
              </w:rPr>
            </w:pPr>
            <w:r w:rsidRPr="00945E49">
              <w:rPr>
                <w:b w:val="0"/>
              </w:rPr>
              <w:t>Andel sparing rapportert på portal</w:t>
            </w:r>
          </w:p>
        </w:tc>
        <w:tc>
          <w:tcPr>
            <w:tcW w:w="2409" w:type="dxa"/>
          </w:tcPr>
          <w:p w14:paraId="743D48B5" w14:textId="77777777" w:rsidR="009F0961" w:rsidRPr="006E6032" w:rsidRDefault="009F0961" w:rsidP="00D34D15">
            <w:pPr>
              <w:jc w:val="right"/>
              <w:cnfStyle w:val="000000000000" w:firstRow="0" w:lastRow="0" w:firstColumn="0" w:lastColumn="0" w:oddVBand="0" w:evenVBand="0" w:oddHBand="0" w:evenHBand="0" w:firstRowFirstColumn="0" w:firstRowLastColumn="0" w:lastRowFirstColumn="0" w:lastRowLastColumn="0"/>
            </w:pPr>
            <w:r w:rsidRPr="006E6032">
              <w:rPr>
                <w:bCs/>
              </w:rPr>
              <w:t>19</w:t>
            </w:r>
            <w:r w:rsidRPr="00153220">
              <w:rPr>
                <w:bCs/>
              </w:rPr>
              <w:t xml:space="preserve"> </w:t>
            </w:r>
            <w:r w:rsidRPr="006E6032">
              <w:rPr>
                <w:bCs/>
              </w:rPr>
              <w:t>981</w:t>
            </w:r>
            <w:r w:rsidRPr="00153220">
              <w:rPr>
                <w:bCs/>
              </w:rPr>
              <w:t xml:space="preserve"> </w:t>
            </w:r>
            <w:r w:rsidRPr="006E6032">
              <w:rPr>
                <w:bCs/>
              </w:rPr>
              <w:t>118</w:t>
            </w:r>
          </w:p>
        </w:tc>
      </w:tr>
      <w:tr w:rsidR="009F0961" w14:paraId="1A1A6F07" w14:textId="77777777" w:rsidTr="001F412B">
        <w:tc>
          <w:tcPr>
            <w:cnfStyle w:val="001000000000" w:firstRow="0" w:lastRow="0" w:firstColumn="1" w:lastColumn="0" w:oddVBand="0" w:evenVBand="0" w:oddHBand="0" w:evenHBand="0" w:firstRowFirstColumn="0" w:firstRowLastColumn="0" w:lastRowFirstColumn="0" w:lastRowLastColumn="0"/>
            <w:tcW w:w="6663" w:type="dxa"/>
          </w:tcPr>
          <w:p w14:paraId="2587EC11" w14:textId="272E3E5C" w:rsidR="009F0961" w:rsidRPr="00945E49" w:rsidRDefault="009F0961">
            <w:r>
              <w:t>Estimert beløp økt sparing (</w:t>
            </w:r>
            <w:r w:rsidR="00116EC6">
              <w:t>5</w:t>
            </w:r>
            <w:r w:rsidRPr="00945E49">
              <w:t>% sats)</w:t>
            </w:r>
          </w:p>
        </w:tc>
        <w:tc>
          <w:tcPr>
            <w:tcW w:w="2409" w:type="dxa"/>
          </w:tcPr>
          <w:p w14:paraId="6A7809BC" w14:textId="7ECA5B97" w:rsidR="009F0961" w:rsidRPr="00D34D15" w:rsidRDefault="009F0961" w:rsidP="00D34D15">
            <w:pPr>
              <w:jc w:val="right"/>
              <w:cnfStyle w:val="000000000000" w:firstRow="0" w:lastRow="0" w:firstColumn="0" w:lastColumn="0" w:oddVBand="0" w:evenVBand="0" w:oddHBand="0" w:evenHBand="0" w:firstRowFirstColumn="0" w:firstRowLastColumn="0" w:lastRowFirstColumn="0" w:lastRowLastColumn="0"/>
              <w:rPr>
                <w:b/>
                <w:bCs/>
              </w:rPr>
            </w:pPr>
            <w:r w:rsidRPr="00D34D15">
              <w:rPr>
                <w:b/>
                <w:bCs/>
              </w:rPr>
              <w:t xml:space="preserve"> </w:t>
            </w:r>
            <w:r w:rsidR="00116EC6" w:rsidRPr="00D34D15">
              <w:rPr>
                <w:b/>
                <w:bCs/>
              </w:rPr>
              <w:t xml:space="preserve">     999 056</w:t>
            </w:r>
          </w:p>
        </w:tc>
      </w:tr>
      <w:tr w:rsidR="00116EC6" w:rsidRPr="00A22CD1" w14:paraId="41582E80" w14:textId="77777777" w:rsidTr="00116EC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6663" w:type="dxa"/>
          </w:tcPr>
          <w:p w14:paraId="0F598293" w14:textId="3E1CD3FB" w:rsidR="00116EC6" w:rsidRPr="00945E49" w:rsidRDefault="00116EC6">
            <w:r>
              <w:t>Estimert beløp økt sparing (10</w:t>
            </w:r>
            <w:r w:rsidRPr="00945E49">
              <w:t>% sats)</w:t>
            </w:r>
          </w:p>
        </w:tc>
        <w:tc>
          <w:tcPr>
            <w:tcW w:w="2409" w:type="dxa"/>
          </w:tcPr>
          <w:p w14:paraId="77F306C8" w14:textId="0FCCCC78" w:rsidR="00116EC6" w:rsidRPr="00D34D15" w:rsidRDefault="00116EC6" w:rsidP="00D34D15">
            <w:pPr>
              <w:jc w:val="right"/>
              <w:cnfStyle w:val="000000000000" w:firstRow="0" w:lastRow="0" w:firstColumn="0" w:lastColumn="0" w:oddVBand="0" w:evenVBand="0" w:oddHBand="0" w:evenHBand="0" w:firstRowFirstColumn="0" w:firstRowLastColumn="0" w:lastRowFirstColumn="0" w:lastRowLastColumn="0"/>
              <w:rPr>
                <w:b/>
                <w:bCs/>
              </w:rPr>
            </w:pPr>
            <w:r w:rsidRPr="00D34D15">
              <w:rPr>
                <w:b/>
                <w:bCs/>
              </w:rPr>
              <w:t xml:space="preserve">   1 998 112</w:t>
            </w:r>
          </w:p>
        </w:tc>
      </w:tr>
    </w:tbl>
    <w:p w14:paraId="6146A2F8" w14:textId="77777777" w:rsidR="006147C8" w:rsidRDefault="006147C8" w:rsidP="006147C8"/>
    <w:p w14:paraId="03223172" w14:textId="4CCF21DC" w:rsidR="009F0961" w:rsidRPr="006E2D23" w:rsidRDefault="009F0961" w:rsidP="009F0961">
      <w:r>
        <w:t>Fordelt mellom de ulike produktene:</w:t>
      </w:r>
      <w:r w:rsidRPr="1E6A8F9A">
        <w:t xml:space="preserve"> </w:t>
      </w:r>
    </w:p>
    <w:tbl>
      <w:tblPr>
        <w:tblStyle w:val="Vanligtabell2"/>
        <w:tblW w:w="9072" w:type="dxa"/>
        <w:tblLook w:val="0660" w:firstRow="1" w:lastRow="1" w:firstColumn="0" w:lastColumn="0" w:noHBand="1" w:noVBand="1"/>
      </w:tblPr>
      <w:tblGrid>
        <w:gridCol w:w="2339"/>
        <w:gridCol w:w="1459"/>
        <w:gridCol w:w="1714"/>
        <w:gridCol w:w="1887"/>
        <w:gridCol w:w="1673"/>
      </w:tblGrid>
      <w:tr w:rsidR="006147C8" w14:paraId="0CE45516" w14:textId="2B95CD68" w:rsidTr="00D34D15">
        <w:trPr>
          <w:cnfStyle w:val="100000000000" w:firstRow="1" w:lastRow="0" w:firstColumn="0" w:lastColumn="0" w:oddVBand="0" w:evenVBand="0" w:oddHBand="0" w:evenHBand="0" w:firstRowFirstColumn="0" w:firstRowLastColumn="0" w:lastRowFirstColumn="0" w:lastRowLastColumn="0"/>
        </w:trPr>
        <w:tc>
          <w:tcPr>
            <w:tcW w:w="2339" w:type="dxa"/>
          </w:tcPr>
          <w:p w14:paraId="51CF83FB" w14:textId="77777777" w:rsidR="006147C8" w:rsidRDefault="006147C8" w:rsidP="001F412B"/>
        </w:tc>
        <w:tc>
          <w:tcPr>
            <w:tcW w:w="1459" w:type="dxa"/>
          </w:tcPr>
          <w:p w14:paraId="21071C6A" w14:textId="77777777" w:rsidR="006147C8" w:rsidRPr="00A8669D" w:rsidRDefault="006147C8" w:rsidP="001F412B">
            <w:r w:rsidRPr="00A8669D">
              <w:t>Antall avtaler</w:t>
            </w:r>
          </w:p>
        </w:tc>
        <w:tc>
          <w:tcPr>
            <w:tcW w:w="1714" w:type="dxa"/>
          </w:tcPr>
          <w:p w14:paraId="28D9CC07" w14:textId="77777777" w:rsidR="006147C8" w:rsidRPr="00A8669D" w:rsidRDefault="006147C8" w:rsidP="001F412B">
            <w:r w:rsidRPr="00A8669D">
              <w:t>Innbetalt premie</w:t>
            </w:r>
          </w:p>
        </w:tc>
        <w:tc>
          <w:tcPr>
            <w:tcW w:w="1887" w:type="dxa"/>
          </w:tcPr>
          <w:p w14:paraId="4674E0E4" w14:textId="39A29719" w:rsidR="006147C8" w:rsidRDefault="006147C8" w:rsidP="00D34D15">
            <w:pPr>
              <w:jc w:val="right"/>
            </w:pPr>
            <w:r>
              <w:t>5% økt sparing</w:t>
            </w:r>
            <w:r w:rsidRPr="001A7ED7">
              <w:t xml:space="preserve"> </w:t>
            </w:r>
            <w:r>
              <w:t>(</w:t>
            </w:r>
            <w:r w:rsidRPr="001A7ED7">
              <w:t>55% vekting</w:t>
            </w:r>
            <w:r>
              <w:t>)</w:t>
            </w:r>
          </w:p>
        </w:tc>
        <w:tc>
          <w:tcPr>
            <w:tcW w:w="1673" w:type="dxa"/>
          </w:tcPr>
          <w:p w14:paraId="2CF5DE5B" w14:textId="278EE0E2" w:rsidR="006147C8" w:rsidRDefault="006147C8" w:rsidP="00D34D15">
            <w:pPr>
              <w:jc w:val="right"/>
            </w:pPr>
            <w:r>
              <w:t>10% økt sparing</w:t>
            </w:r>
            <w:r w:rsidRPr="001A7ED7">
              <w:t xml:space="preserve"> </w:t>
            </w:r>
            <w:r>
              <w:t>(</w:t>
            </w:r>
            <w:r w:rsidRPr="001A7ED7">
              <w:t>55% vekting</w:t>
            </w:r>
            <w:r>
              <w:t>)</w:t>
            </w:r>
          </w:p>
        </w:tc>
      </w:tr>
      <w:tr w:rsidR="006147C8" w14:paraId="0ADE5EC7" w14:textId="6F601F26" w:rsidTr="00D34D15">
        <w:tc>
          <w:tcPr>
            <w:tcW w:w="2339" w:type="dxa"/>
          </w:tcPr>
          <w:p w14:paraId="2EA0E0B2" w14:textId="77777777" w:rsidR="006147C8" w:rsidRDefault="006147C8" w:rsidP="001F412B">
            <w:r>
              <w:t>Lov om foretakspensjon</w:t>
            </w:r>
          </w:p>
        </w:tc>
        <w:tc>
          <w:tcPr>
            <w:tcW w:w="1459" w:type="dxa"/>
          </w:tcPr>
          <w:p w14:paraId="6CD8CCE0" w14:textId="77777777" w:rsidR="006147C8" w:rsidRDefault="006147C8" w:rsidP="001F412B">
            <w:pPr>
              <w:jc w:val="right"/>
            </w:pPr>
            <w:r>
              <w:t>5013</w:t>
            </w:r>
          </w:p>
        </w:tc>
        <w:tc>
          <w:tcPr>
            <w:tcW w:w="1714" w:type="dxa"/>
          </w:tcPr>
          <w:p w14:paraId="5438A0C3" w14:textId="77777777" w:rsidR="006147C8" w:rsidRDefault="006147C8" w:rsidP="001F412B">
            <w:pPr>
              <w:jc w:val="right"/>
            </w:pPr>
            <w:r>
              <w:t>6 919 263</w:t>
            </w:r>
          </w:p>
        </w:tc>
        <w:tc>
          <w:tcPr>
            <w:tcW w:w="1887" w:type="dxa"/>
          </w:tcPr>
          <w:p w14:paraId="1B7C4E8E" w14:textId="5B7A846E" w:rsidR="006147C8" w:rsidRPr="00705898" w:rsidRDefault="006147C8" w:rsidP="00D34D15">
            <w:pPr>
              <w:jc w:val="right"/>
            </w:pPr>
            <w:r w:rsidRPr="00705898">
              <w:t xml:space="preserve"> </w:t>
            </w:r>
            <w:r>
              <w:t>190</w:t>
            </w:r>
            <w:r w:rsidRPr="00705898">
              <w:t xml:space="preserve"> </w:t>
            </w:r>
            <w:r>
              <w:t>280</w:t>
            </w:r>
            <w:r w:rsidRPr="00705898">
              <w:t xml:space="preserve"> </w:t>
            </w:r>
          </w:p>
        </w:tc>
        <w:tc>
          <w:tcPr>
            <w:tcW w:w="1673" w:type="dxa"/>
          </w:tcPr>
          <w:p w14:paraId="5597E9B1" w14:textId="3351E239" w:rsidR="006147C8" w:rsidRPr="00705898" w:rsidRDefault="006147C8" w:rsidP="00D34D15">
            <w:pPr>
              <w:jc w:val="right"/>
            </w:pPr>
            <w:r>
              <w:t>380 559</w:t>
            </w:r>
          </w:p>
        </w:tc>
      </w:tr>
      <w:tr w:rsidR="006147C8" w14:paraId="1AAE94B3" w14:textId="3FED12ED" w:rsidTr="00D34D15">
        <w:tc>
          <w:tcPr>
            <w:tcW w:w="2339" w:type="dxa"/>
          </w:tcPr>
          <w:p w14:paraId="0FE6ACD2" w14:textId="77777777" w:rsidR="006147C8" w:rsidRDefault="006147C8" w:rsidP="001F412B">
            <w:r>
              <w:t>Lov om innskuddspensjon</w:t>
            </w:r>
          </w:p>
        </w:tc>
        <w:tc>
          <w:tcPr>
            <w:tcW w:w="1459" w:type="dxa"/>
          </w:tcPr>
          <w:p w14:paraId="1F80B46E" w14:textId="77777777" w:rsidR="006147C8" w:rsidRDefault="006147C8" w:rsidP="001F412B">
            <w:pPr>
              <w:jc w:val="right"/>
            </w:pPr>
            <w:r>
              <w:t>113 343</w:t>
            </w:r>
          </w:p>
        </w:tc>
        <w:tc>
          <w:tcPr>
            <w:tcW w:w="1714" w:type="dxa"/>
          </w:tcPr>
          <w:p w14:paraId="2796A605" w14:textId="77777777" w:rsidR="006147C8" w:rsidRDefault="006147C8" w:rsidP="001F412B">
            <w:pPr>
              <w:jc w:val="right"/>
            </w:pPr>
            <w:r>
              <w:t>28 680 958</w:t>
            </w:r>
          </w:p>
        </w:tc>
        <w:tc>
          <w:tcPr>
            <w:tcW w:w="1887" w:type="dxa"/>
          </w:tcPr>
          <w:p w14:paraId="596BE149" w14:textId="06374BFA" w:rsidR="006147C8" w:rsidRPr="00705898" w:rsidRDefault="006147C8" w:rsidP="00D34D15">
            <w:pPr>
              <w:jc w:val="right"/>
            </w:pPr>
            <w:r w:rsidRPr="00705898">
              <w:t xml:space="preserve"> </w:t>
            </w:r>
            <w:r>
              <w:t>788 726</w:t>
            </w:r>
            <w:r w:rsidRPr="00705898">
              <w:t xml:space="preserve"> </w:t>
            </w:r>
          </w:p>
        </w:tc>
        <w:tc>
          <w:tcPr>
            <w:tcW w:w="1673" w:type="dxa"/>
          </w:tcPr>
          <w:p w14:paraId="04FBEFF5" w14:textId="51F41B16" w:rsidR="006147C8" w:rsidRPr="00705898" w:rsidRDefault="006147C8" w:rsidP="00D34D15">
            <w:pPr>
              <w:jc w:val="right"/>
            </w:pPr>
            <w:r>
              <w:t>1 577 453</w:t>
            </w:r>
          </w:p>
        </w:tc>
      </w:tr>
      <w:tr w:rsidR="006147C8" w14:paraId="6FF95A85" w14:textId="50314605" w:rsidTr="00D34D15">
        <w:tc>
          <w:tcPr>
            <w:tcW w:w="2339" w:type="dxa"/>
          </w:tcPr>
          <w:p w14:paraId="368B4F13" w14:textId="77777777" w:rsidR="006147C8" w:rsidRDefault="006147C8" w:rsidP="001F412B">
            <w:r>
              <w:t xml:space="preserve">Hybridpensjon </w:t>
            </w:r>
          </w:p>
        </w:tc>
        <w:tc>
          <w:tcPr>
            <w:tcW w:w="1459" w:type="dxa"/>
          </w:tcPr>
          <w:p w14:paraId="196560A6" w14:textId="77777777" w:rsidR="006147C8" w:rsidRDefault="006147C8" w:rsidP="001F412B">
            <w:pPr>
              <w:jc w:val="right"/>
            </w:pPr>
            <w:r>
              <w:t>367</w:t>
            </w:r>
          </w:p>
        </w:tc>
        <w:tc>
          <w:tcPr>
            <w:tcW w:w="1714" w:type="dxa"/>
          </w:tcPr>
          <w:p w14:paraId="6139847D" w14:textId="77777777" w:rsidR="006147C8" w:rsidRDefault="006147C8" w:rsidP="001F412B">
            <w:pPr>
              <w:jc w:val="right"/>
            </w:pPr>
            <w:r>
              <w:t>729 085</w:t>
            </w:r>
          </w:p>
        </w:tc>
        <w:tc>
          <w:tcPr>
            <w:tcW w:w="1887" w:type="dxa"/>
          </w:tcPr>
          <w:p w14:paraId="769C947C" w14:textId="126A6B66" w:rsidR="006147C8" w:rsidRDefault="006147C8" w:rsidP="00D34D15">
            <w:pPr>
              <w:jc w:val="right"/>
            </w:pPr>
            <w:r w:rsidRPr="00705898">
              <w:t xml:space="preserve"> </w:t>
            </w:r>
            <w:r>
              <w:t>20 050</w:t>
            </w:r>
            <w:r w:rsidRPr="00705898">
              <w:t xml:space="preserve"> </w:t>
            </w:r>
          </w:p>
        </w:tc>
        <w:tc>
          <w:tcPr>
            <w:tcW w:w="1673" w:type="dxa"/>
          </w:tcPr>
          <w:p w14:paraId="0D581A9E" w14:textId="414F18DA" w:rsidR="006147C8" w:rsidRPr="00705898" w:rsidRDefault="00116EC6" w:rsidP="00D34D15">
            <w:pPr>
              <w:jc w:val="right"/>
            </w:pPr>
            <w:r>
              <w:t>40</w:t>
            </w:r>
            <w:r w:rsidR="006147C8">
              <w:t xml:space="preserve"> </w:t>
            </w:r>
            <w:r>
              <w:t>100</w:t>
            </w:r>
          </w:p>
        </w:tc>
      </w:tr>
      <w:tr w:rsidR="006147C8" w14:paraId="6055625E" w14:textId="0801C8FD" w:rsidTr="00D34D15">
        <w:trPr>
          <w:cnfStyle w:val="010000000000" w:firstRow="0" w:lastRow="1" w:firstColumn="0" w:lastColumn="0" w:oddVBand="0" w:evenVBand="0" w:oddHBand="0" w:evenHBand="0" w:firstRowFirstColumn="0" w:firstRowLastColumn="0" w:lastRowFirstColumn="0" w:lastRowLastColumn="0"/>
        </w:trPr>
        <w:tc>
          <w:tcPr>
            <w:tcW w:w="2339" w:type="dxa"/>
          </w:tcPr>
          <w:p w14:paraId="4C129BB9" w14:textId="77777777" w:rsidR="006147C8" w:rsidRDefault="006147C8" w:rsidP="001F412B">
            <w:r w:rsidRPr="48008157">
              <w:t xml:space="preserve">Sum </w:t>
            </w:r>
          </w:p>
        </w:tc>
        <w:tc>
          <w:tcPr>
            <w:tcW w:w="1459" w:type="dxa"/>
          </w:tcPr>
          <w:p w14:paraId="00ECE858" w14:textId="77777777" w:rsidR="006147C8" w:rsidRDefault="006147C8" w:rsidP="001F412B">
            <w:pPr>
              <w:jc w:val="right"/>
            </w:pPr>
            <w:r w:rsidRPr="48008157">
              <w:t xml:space="preserve">118 723 </w:t>
            </w:r>
          </w:p>
        </w:tc>
        <w:tc>
          <w:tcPr>
            <w:tcW w:w="1714" w:type="dxa"/>
          </w:tcPr>
          <w:p w14:paraId="1B9A2D2C" w14:textId="77777777" w:rsidR="006147C8" w:rsidRDefault="006147C8" w:rsidP="001F412B">
            <w:pPr>
              <w:jc w:val="right"/>
            </w:pPr>
            <w:r w:rsidRPr="48008157">
              <w:t>36</w:t>
            </w:r>
            <w:r>
              <w:t xml:space="preserve"> 3</w:t>
            </w:r>
            <w:r w:rsidRPr="48008157">
              <w:t>29</w:t>
            </w:r>
            <w:r>
              <w:t xml:space="preserve"> 3</w:t>
            </w:r>
            <w:r w:rsidRPr="48008157">
              <w:t>06</w:t>
            </w:r>
          </w:p>
        </w:tc>
        <w:tc>
          <w:tcPr>
            <w:tcW w:w="1887" w:type="dxa"/>
          </w:tcPr>
          <w:p w14:paraId="04C3A31E" w14:textId="0A816FC4" w:rsidR="006147C8" w:rsidRDefault="006147C8" w:rsidP="00D34D15">
            <w:pPr>
              <w:jc w:val="right"/>
            </w:pPr>
            <w:r>
              <w:t xml:space="preserve"> </w:t>
            </w:r>
            <w:r w:rsidR="00376C3A">
              <w:t>999 056</w:t>
            </w:r>
          </w:p>
        </w:tc>
        <w:tc>
          <w:tcPr>
            <w:tcW w:w="1673" w:type="dxa"/>
          </w:tcPr>
          <w:p w14:paraId="47883E1E" w14:textId="1CDDB2B3" w:rsidR="006147C8" w:rsidRDefault="006147C8" w:rsidP="00D34D15">
            <w:pPr>
              <w:jc w:val="right"/>
            </w:pPr>
            <w:r>
              <w:t>1 998 112</w:t>
            </w:r>
          </w:p>
        </w:tc>
      </w:tr>
    </w:tbl>
    <w:p w14:paraId="46AB95A4" w14:textId="77777777" w:rsidR="009F0961" w:rsidRDefault="009F0961" w:rsidP="009F0961"/>
    <w:p w14:paraId="3F987C82" w14:textId="77777777" w:rsidR="009F0961" w:rsidRPr="004E0917" w:rsidRDefault="009F0961" w:rsidP="009F0961">
      <w:pPr>
        <w:rPr>
          <w:b/>
          <w:bCs/>
        </w:rPr>
      </w:pPr>
      <w:r>
        <w:t>Beløp oppgitt i 1000kr</w:t>
      </w:r>
    </w:p>
    <w:p w14:paraId="57ED6F73" w14:textId="6662CB9C" w:rsidR="009F0961" w:rsidRPr="003D45BD" w:rsidRDefault="009F0961" w:rsidP="009F0961">
      <w:pPr>
        <w:pStyle w:val="Bunntekst"/>
        <w:rPr>
          <w:sz w:val="24"/>
          <w:szCs w:val="24"/>
        </w:rPr>
      </w:pPr>
      <w:r w:rsidRPr="003D45BD">
        <w:rPr>
          <w:sz w:val="18"/>
          <w:szCs w:val="24"/>
        </w:rPr>
        <w:t>*</w:t>
      </w:r>
      <w:r w:rsidR="003D45BD" w:rsidRPr="003D45BD">
        <w:rPr>
          <w:sz w:val="18"/>
          <w:szCs w:val="24"/>
        </w:rPr>
        <w:t xml:space="preserve">) </w:t>
      </w:r>
      <w:r w:rsidRPr="003D45BD">
        <w:rPr>
          <w:sz w:val="18"/>
          <w:szCs w:val="24"/>
        </w:rPr>
        <w:t>Tall fra Finans Norge - statistikk og nøkkeltall 31.12.2018</w:t>
      </w:r>
      <w:r w:rsidRPr="003D45BD">
        <w:rPr>
          <w:sz w:val="18"/>
          <w:szCs w:val="24"/>
        </w:rPr>
        <w:br/>
        <w:t>(</w:t>
      </w:r>
      <w:r w:rsidRPr="003D45BD">
        <w:rPr>
          <w:rFonts w:ascii="Calibri" w:eastAsia="Calibri" w:hAnsi="Calibri" w:cs="Calibri"/>
          <w:sz w:val="18"/>
          <w:szCs w:val="24"/>
        </w:rPr>
        <w:t xml:space="preserve">https://www.finansnorge.no/statistikk/livsforsikring/statistikk-og-nokkeltall-for-livsforsikring-og-pensjon-2018/privat-tjenestepensjon---innskuddsordninger/) </w:t>
      </w:r>
    </w:p>
    <w:p w14:paraId="7E3F09B0" w14:textId="176A5342" w:rsidR="00A36427" w:rsidRPr="00A36427" w:rsidRDefault="004A1489" w:rsidP="00A36427">
      <w:pPr>
        <w:pStyle w:val="NormalWeb"/>
        <w:rPr>
          <w:rFonts w:asciiTheme="minorHAnsi" w:hAnsiTheme="minorHAnsi" w:cstheme="minorHAnsi"/>
          <w:b/>
          <w:bCs/>
          <w:color w:val="000000"/>
          <w:sz w:val="22"/>
          <w:szCs w:val="22"/>
        </w:rPr>
      </w:pPr>
      <w:r>
        <w:rPr>
          <w:rFonts w:asciiTheme="minorHAnsi" w:hAnsiTheme="minorHAnsi" w:cstheme="minorHAnsi"/>
          <w:b/>
          <w:bCs/>
          <w:color w:val="000000"/>
          <w:sz w:val="22"/>
          <w:szCs w:val="22"/>
        </w:rPr>
        <w:br/>
      </w:r>
      <w:r w:rsidR="00A36427" w:rsidRPr="00A36427">
        <w:rPr>
          <w:rFonts w:asciiTheme="minorHAnsi" w:hAnsiTheme="minorHAnsi" w:cstheme="minorHAnsi"/>
          <w:b/>
          <w:bCs/>
          <w:color w:val="000000"/>
          <w:sz w:val="22"/>
          <w:szCs w:val="22"/>
        </w:rPr>
        <w:t xml:space="preserve">4.5 Oppsummert </w:t>
      </w:r>
    </w:p>
    <w:p w14:paraId="38D23A22" w14:textId="05261345" w:rsidR="00043A92" w:rsidRDefault="005127D2" w:rsidP="00F6455C">
      <w:pPr>
        <w:rPr>
          <w:rFonts w:ascii="Calibri" w:eastAsia="Calibri" w:hAnsi="Calibri" w:cs="Calibri"/>
          <w:color w:val="000000" w:themeColor="text1"/>
        </w:rPr>
      </w:pPr>
      <w:r>
        <w:rPr>
          <w:color w:val="000000" w:themeColor="text1"/>
        </w:rPr>
        <w:t>Finans Norge</w:t>
      </w:r>
      <w:r w:rsidR="00043A92">
        <w:rPr>
          <w:color w:val="000000" w:themeColor="text1"/>
        </w:rPr>
        <w:t xml:space="preserve"> </w:t>
      </w:r>
      <w:r w:rsidR="00F6455C" w:rsidRPr="50C8EA7B">
        <w:rPr>
          <w:rFonts w:ascii="Calibri" w:eastAsia="Calibri" w:hAnsi="Calibri" w:cs="Calibri"/>
          <w:color w:val="000000" w:themeColor="text1"/>
        </w:rPr>
        <w:t>anslå</w:t>
      </w:r>
      <w:r w:rsidR="00043A92">
        <w:rPr>
          <w:rFonts w:ascii="Calibri" w:eastAsia="Calibri" w:hAnsi="Calibri" w:cs="Calibri"/>
          <w:color w:val="000000" w:themeColor="text1"/>
        </w:rPr>
        <w:t>r</w:t>
      </w:r>
      <w:r w:rsidR="00F6455C" w:rsidRPr="50C8EA7B">
        <w:rPr>
          <w:rFonts w:ascii="Calibri" w:eastAsia="Calibri" w:hAnsi="Calibri" w:cs="Calibri"/>
          <w:color w:val="000000" w:themeColor="text1"/>
        </w:rPr>
        <w:t xml:space="preserve"> at </w:t>
      </w:r>
      <w:r w:rsidR="00043A92">
        <w:rPr>
          <w:rFonts w:ascii="Calibri" w:eastAsia="Calibri" w:hAnsi="Calibri" w:cs="Calibri"/>
          <w:color w:val="000000" w:themeColor="text1"/>
        </w:rPr>
        <w:t xml:space="preserve">en </w:t>
      </w:r>
      <w:r w:rsidR="00F6455C" w:rsidRPr="50C8EA7B">
        <w:rPr>
          <w:rFonts w:ascii="Calibri" w:eastAsia="Calibri" w:hAnsi="Calibri" w:cs="Calibri"/>
          <w:color w:val="000000" w:themeColor="text1"/>
        </w:rPr>
        <w:t xml:space="preserve">overgang til rapportering via a-melding vil </w:t>
      </w:r>
      <w:r w:rsidR="00F6455C">
        <w:rPr>
          <w:rFonts w:ascii="Calibri" w:eastAsia="Calibri" w:hAnsi="Calibri" w:cs="Calibri"/>
          <w:color w:val="000000" w:themeColor="text1"/>
        </w:rPr>
        <w:t xml:space="preserve">medføre økt sparing </w:t>
      </w:r>
      <w:r w:rsidR="00E87856">
        <w:rPr>
          <w:rFonts w:ascii="Calibri" w:eastAsia="Calibri" w:hAnsi="Calibri" w:cs="Calibri"/>
          <w:color w:val="000000" w:themeColor="text1"/>
        </w:rPr>
        <w:t xml:space="preserve">for arbeidstakere (medlemmer) </w:t>
      </w:r>
      <w:r w:rsidR="00F6455C">
        <w:rPr>
          <w:rFonts w:ascii="Calibri" w:eastAsia="Calibri" w:hAnsi="Calibri" w:cs="Calibri"/>
          <w:color w:val="000000" w:themeColor="text1"/>
        </w:rPr>
        <w:t xml:space="preserve">innen </w:t>
      </w:r>
      <w:r w:rsidR="00F6455C" w:rsidRPr="50C8EA7B">
        <w:rPr>
          <w:rFonts w:ascii="Calibri" w:eastAsia="Calibri" w:hAnsi="Calibri" w:cs="Calibri"/>
          <w:color w:val="000000" w:themeColor="text1"/>
        </w:rPr>
        <w:t xml:space="preserve">privat tjenestepensjon </w:t>
      </w:r>
      <w:r w:rsidR="00F6455C">
        <w:rPr>
          <w:rFonts w:ascii="Calibri" w:eastAsia="Calibri" w:hAnsi="Calibri" w:cs="Calibri"/>
          <w:color w:val="000000" w:themeColor="text1"/>
        </w:rPr>
        <w:t xml:space="preserve">på totalt </w:t>
      </w:r>
      <w:r w:rsidR="00F6455C" w:rsidRPr="50C8EA7B">
        <w:rPr>
          <w:rFonts w:ascii="Calibri" w:eastAsia="Calibri" w:hAnsi="Calibri" w:cs="Calibri"/>
          <w:color w:val="000000" w:themeColor="text1"/>
        </w:rPr>
        <w:t>NOK 1</w:t>
      </w:r>
      <w:r w:rsidR="00394CB3">
        <w:rPr>
          <w:rFonts w:ascii="Calibri" w:eastAsia="Calibri" w:hAnsi="Calibri" w:cs="Calibri"/>
          <w:color w:val="000000" w:themeColor="text1"/>
        </w:rPr>
        <w:t xml:space="preserve"> 000 – 2 000 </w:t>
      </w:r>
      <w:r w:rsidR="00F6455C" w:rsidRPr="50C8EA7B">
        <w:rPr>
          <w:rFonts w:ascii="Calibri" w:eastAsia="Calibri" w:hAnsi="Calibri" w:cs="Calibri"/>
          <w:color w:val="000000" w:themeColor="text1"/>
        </w:rPr>
        <w:t>millioner per år.</w:t>
      </w:r>
      <w:r w:rsidR="00F6455C">
        <w:rPr>
          <w:rFonts w:ascii="Calibri" w:eastAsia="Calibri" w:hAnsi="Calibri" w:cs="Calibri"/>
          <w:color w:val="000000" w:themeColor="text1"/>
        </w:rPr>
        <w:t xml:space="preserve"> </w:t>
      </w:r>
    </w:p>
    <w:p w14:paraId="1712461F" w14:textId="719CA1F4" w:rsidR="002762D9" w:rsidRDefault="00835B9F" w:rsidP="00F6455C">
      <w:pPr>
        <w:rPr>
          <w:rFonts w:cstheme="minorHAnsi"/>
          <w:color w:val="000000"/>
        </w:rPr>
      </w:pPr>
      <w:r w:rsidRPr="002F5093">
        <w:rPr>
          <w:rFonts w:ascii="Calibri" w:eastAsia="Calibri" w:hAnsi="Calibri" w:cs="Calibri"/>
          <w:iCs/>
        </w:rPr>
        <w:t xml:space="preserve">Det presiseres at anslaget </w:t>
      </w:r>
      <w:r w:rsidR="000D4AAC" w:rsidRPr="002F5093">
        <w:rPr>
          <w:rFonts w:ascii="Calibri" w:eastAsia="Calibri" w:hAnsi="Calibri" w:cs="Calibri"/>
          <w:iCs/>
        </w:rPr>
        <w:t xml:space="preserve">naturlig </w:t>
      </w:r>
      <w:r w:rsidRPr="002F5093">
        <w:rPr>
          <w:rFonts w:ascii="Calibri" w:eastAsia="Calibri" w:hAnsi="Calibri" w:cs="Calibri"/>
          <w:iCs/>
        </w:rPr>
        <w:t xml:space="preserve">er beheftet med </w:t>
      </w:r>
      <w:r w:rsidR="000D4AAC" w:rsidRPr="002F5093">
        <w:rPr>
          <w:rFonts w:ascii="Calibri" w:eastAsia="Calibri" w:hAnsi="Calibri" w:cs="Calibri"/>
          <w:iCs/>
        </w:rPr>
        <w:t xml:space="preserve">en viss </w:t>
      </w:r>
      <w:r w:rsidRPr="002F5093">
        <w:rPr>
          <w:rFonts w:ascii="Calibri" w:eastAsia="Calibri" w:hAnsi="Calibri" w:cs="Calibri"/>
          <w:iCs/>
        </w:rPr>
        <w:t xml:space="preserve">usikkerhet. </w:t>
      </w:r>
      <w:r w:rsidR="00F6455C" w:rsidRPr="002F5093">
        <w:rPr>
          <w:rFonts w:ascii="Calibri" w:eastAsia="Calibri" w:hAnsi="Calibri" w:cs="Calibri"/>
          <w:iCs/>
        </w:rPr>
        <w:t xml:space="preserve">Parallelt vil </w:t>
      </w:r>
      <w:r w:rsidR="00A36427" w:rsidRPr="002F5093">
        <w:rPr>
          <w:rFonts w:cstheme="minorHAnsi"/>
          <w:iCs/>
        </w:rPr>
        <w:t xml:space="preserve">en del av </w:t>
      </w:r>
      <w:r w:rsidR="007C2DF2" w:rsidRPr="002F5093">
        <w:rPr>
          <w:rFonts w:cstheme="minorHAnsi"/>
          <w:iCs/>
        </w:rPr>
        <w:t xml:space="preserve">arbeidstakerne </w:t>
      </w:r>
      <w:r w:rsidR="00A36427" w:rsidRPr="002F5093">
        <w:rPr>
          <w:rFonts w:cstheme="minorHAnsi"/>
          <w:iCs/>
        </w:rPr>
        <w:t xml:space="preserve">som i dag </w:t>
      </w:r>
      <w:r w:rsidR="00A36427" w:rsidRPr="002F5093">
        <w:rPr>
          <w:rFonts w:cstheme="minorHAnsi"/>
          <w:iCs/>
          <w:color w:val="000000"/>
        </w:rPr>
        <w:t>blir rapportert feil eller som blir</w:t>
      </w:r>
      <w:r w:rsidR="00A36427" w:rsidRPr="00A36427">
        <w:rPr>
          <w:rFonts w:cstheme="minorHAnsi"/>
          <w:color w:val="000000"/>
        </w:rPr>
        <w:t xml:space="preserve"> behandlet uriktig</w:t>
      </w:r>
      <w:r w:rsidR="006D558A">
        <w:rPr>
          <w:rFonts w:cstheme="minorHAnsi"/>
          <w:color w:val="000000"/>
        </w:rPr>
        <w:t>,</w:t>
      </w:r>
      <w:r w:rsidR="00A36427" w:rsidRPr="00A36427">
        <w:rPr>
          <w:rFonts w:cstheme="minorHAnsi"/>
          <w:color w:val="000000"/>
        </w:rPr>
        <w:t xml:space="preserve"> få en </w:t>
      </w:r>
      <w:r w:rsidR="00E63560">
        <w:rPr>
          <w:rFonts w:cstheme="minorHAnsi"/>
          <w:color w:val="000000"/>
        </w:rPr>
        <w:t xml:space="preserve">hyppigere oppdatering og </w:t>
      </w:r>
      <w:r w:rsidR="00A36427" w:rsidRPr="00A36427">
        <w:rPr>
          <w:rFonts w:cstheme="minorHAnsi"/>
          <w:color w:val="000000"/>
        </w:rPr>
        <w:t xml:space="preserve">vesentlig forbedret datakvalitet i sin pensjonsordning. </w:t>
      </w:r>
    </w:p>
    <w:p w14:paraId="5363A43D" w14:textId="045F66AA" w:rsidR="00A36427" w:rsidRPr="00DC3C1B" w:rsidRDefault="002762D9" w:rsidP="00F6455C">
      <w:pPr>
        <w:rPr>
          <w:rFonts w:cstheme="minorHAnsi"/>
        </w:rPr>
      </w:pPr>
      <w:r w:rsidRPr="00DC3C1B">
        <w:rPr>
          <w:rFonts w:cstheme="minorHAnsi"/>
        </w:rPr>
        <w:t xml:space="preserve">Arbeidsgivere </w:t>
      </w:r>
      <w:r w:rsidR="004A318E" w:rsidRPr="00DC3C1B">
        <w:rPr>
          <w:rFonts w:cstheme="minorHAnsi"/>
        </w:rPr>
        <w:t>vil få</w:t>
      </w:r>
      <w:r w:rsidRPr="00DC3C1B">
        <w:rPr>
          <w:rFonts w:cstheme="minorHAnsi"/>
        </w:rPr>
        <w:t xml:space="preserve"> en vesentlig forenklet prosess for rapportering av pensjonspliktig grunnlag til pensjonsinnretningene,</w:t>
      </w:r>
      <w:r w:rsidR="004A318E" w:rsidRPr="00DC3C1B">
        <w:rPr>
          <w:rFonts w:cstheme="minorHAnsi"/>
        </w:rPr>
        <w:t xml:space="preserve"> og datakvaliteten vil forbedres vesentlig</w:t>
      </w:r>
      <w:r w:rsidRPr="00DC3C1B">
        <w:rPr>
          <w:rFonts w:cstheme="minorHAnsi"/>
        </w:rPr>
        <w:t xml:space="preserve">. </w:t>
      </w:r>
    </w:p>
    <w:p w14:paraId="22759407" w14:textId="77777777" w:rsidR="00376C3A" w:rsidRDefault="00376C3A" w:rsidP="00A36427">
      <w:pPr>
        <w:pStyle w:val="NormalWeb"/>
        <w:rPr>
          <w:rFonts w:asciiTheme="minorHAnsi" w:hAnsiTheme="minorHAnsi" w:cstheme="minorHAnsi"/>
          <w:b/>
          <w:bCs/>
          <w:color w:val="000000"/>
          <w:sz w:val="22"/>
          <w:szCs w:val="22"/>
        </w:rPr>
      </w:pPr>
    </w:p>
    <w:p w14:paraId="7EBB9357" w14:textId="77777777" w:rsidR="004A1489" w:rsidRPr="00A657DA" w:rsidRDefault="004A1489" w:rsidP="00A36427">
      <w:pPr>
        <w:pStyle w:val="NormalWeb"/>
        <w:rPr>
          <w:rFonts w:asciiTheme="minorHAnsi" w:hAnsiTheme="minorHAnsi" w:cstheme="minorHAnsi"/>
          <w:b/>
          <w:bCs/>
          <w:color w:val="000000"/>
          <w:sz w:val="22"/>
          <w:szCs w:val="22"/>
        </w:rPr>
      </w:pPr>
    </w:p>
    <w:p w14:paraId="1E5ABCE4" w14:textId="005D4002" w:rsidR="00A657DA" w:rsidRPr="00A657DA" w:rsidRDefault="00A657DA" w:rsidP="00A36427">
      <w:pPr>
        <w:pStyle w:val="NormalWeb"/>
        <w:rPr>
          <w:rFonts w:asciiTheme="minorHAnsi" w:hAnsiTheme="minorHAnsi" w:cstheme="minorHAnsi"/>
          <w:b/>
          <w:bCs/>
          <w:color w:val="000000"/>
          <w:sz w:val="22"/>
          <w:szCs w:val="22"/>
        </w:rPr>
      </w:pPr>
      <w:r w:rsidRPr="00A657DA">
        <w:rPr>
          <w:rFonts w:asciiTheme="minorHAnsi" w:hAnsiTheme="minorHAnsi" w:cstheme="minorHAnsi"/>
          <w:b/>
          <w:bCs/>
          <w:color w:val="000000"/>
          <w:sz w:val="22"/>
          <w:szCs w:val="22"/>
        </w:rPr>
        <w:t>Vedlegg</w:t>
      </w:r>
    </w:p>
    <w:p w14:paraId="6E406F24" w14:textId="11AA4BFF" w:rsidR="00A657DA" w:rsidRDefault="00A657DA" w:rsidP="001F412B">
      <w:pPr>
        <w:pStyle w:val="NormalWeb"/>
        <w:numPr>
          <w:ilvl w:val="0"/>
          <w:numId w:val="2"/>
        </w:numPr>
        <w:rPr>
          <w:rFonts w:asciiTheme="minorHAnsi" w:hAnsiTheme="minorHAnsi" w:cstheme="minorHAnsi"/>
          <w:color w:val="000000"/>
          <w:sz w:val="22"/>
          <w:szCs w:val="22"/>
        </w:rPr>
      </w:pPr>
      <w:r w:rsidRPr="00A657DA">
        <w:rPr>
          <w:rFonts w:asciiTheme="minorHAnsi" w:hAnsiTheme="minorHAnsi" w:cstheme="minorHAnsi"/>
          <w:color w:val="000000"/>
          <w:sz w:val="22"/>
          <w:szCs w:val="22"/>
        </w:rPr>
        <w:t>Notat vedr segmentansvarlig</w:t>
      </w:r>
      <w:r w:rsidR="00043A92">
        <w:rPr>
          <w:rFonts w:asciiTheme="minorHAnsi" w:hAnsiTheme="minorHAnsi" w:cstheme="minorHAnsi"/>
          <w:color w:val="000000"/>
          <w:sz w:val="22"/>
          <w:szCs w:val="22"/>
        </w:rPr>
        <w:t>e</w:t>
      </w:r>
      <w:r w:rsidRPr="00A657DA">
        <w:rPr>
          <w:rFonts w:asciiTheme="minorHAnsi" w:hAnsiTheme="minorHAnsi" w:cstheme="minorHAnsi"/>
          <w:color w:val="000000"/>
          <w:sz w:val="22"/>
          <w:szCs w:val="22"/>
        </w:rPr>
        <w:t>s forvaltning av løsningen</w:t>
      </w:r>
    </w:p>
    <w:p w14:paraId="4A5C15CC" w14:textId="08FDE612" w:rsidR="00B46B45" w:rsidRPr="002F5093" w:rsidRDefault="00A657DA" w:rsidP="007976FE">
      <w:pPr>
        <w:pStyle w:val="NormalWeb"/>
        <w:numPr>
          <w:ilvl w:val="0"/>
          <w:numId w:val="2"/>
        </w:numPr>
        <w:rPr>
          <w:b/>
        </w:rPr>
      </w:pPr>
      <w:r w:rsidRPr="002F5093">
        <w:rPr>
          <w:rFonts w:asciiTheme="minorHAnsi" w:hAnsiTheme="minorHAnsi" w:cstheme="minorHAnsi"/>
          <w:color w:val="000000"/>
          <w:sz w:val="22"/>
          <w:szCs w:val="22"/>
        </w:rPr>
        <w:t>Notat vedr løsningsarkitektur</w:t>
      </w:r>
    </w:p>
    <w:p w14:paraId="3FAE22CA" w14:textId="77777777" w:rsidR="000B7FED" w:rsidRPr="00852A76" w:rsidRDefault="000B7FED" w:rsidP="000401F8">
      <w:pPr>
        <w:rPr>
          <w:b/>
        </w:rPr>
      </w:pPr>
    </w:p>
    <w:sectPr w:rsidR="000B7FED" w:rsidRPr="00852A7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F43F7" w14:textId="77777777" w:rsidR="00BD0B29" w:rsidRDefault="00BD0B29" w:rsidP="008D292C">
      <w:pPr>
        <w:spacing w:after="0" w:line="240" w:lineRule="auto"/>
      </w:pPr>
      <w:r>
        <w:separator/>
      </w:r>
    </w:p>
  </w:endnote>
  <w:endnote w:type="continuationSeparator" w:id="0">
    <w:p w14:paraId="26983FC4" w14:textId="77777777" w:rsidR="00BD0B29" w:rsidRDefault="00BD0B29" w:rsidP="008D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926FB" w14:textId="77777777" w:rsidR="00BD0B29" w:rsidRDefault="00BD0B29" w:rsidP="008D292C">
      <w:pPr>
        <w:spacing w:after="0" w:line="240" w:lineRule="auto"/>
      </w:pPr>
      <w:r>
        <w:separator/>
      </w:r>
    </w:p>
  </w:footnote>
  <w:footnote w:type="continuationSeparator" w:id="0">
    <w:p w14:paraId="55178AB8" w14:textId="77777777" w:rsidR="00BD0B29" w:rsidRDefault="00BD0B29" w:rsidP="008D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CD964" w14:textId="25EE132A" w:rsidR="008D292C" w:rsidRPr="00002883" w:rsidRDefault="00394CB3" w:rsidP="00394CB3">
    <w:pPr>
      <w:pStyle w:val="Topptekst"/>
      <w:ind w:left="720"/>
      <w:rPr>
        <w:i/>
        <w:iCs/>
        <w:color w:val="FF0000"/>
        <w:sz w:val="32"/>
        <w:szCs w:val="32"/>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11A5"/>
    <w:multiLevelType w:val="hybridMultilevel"/>
    <w:tmpl w:val="242406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6AA1F0C"/>
    <w:multiLevelType w:val="hybridMultilevel"/>
    <w:tmpl w:val="97005E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84E2A13"/>
    <w:multiLevelType w:val="hybridMultilevel"/>
    <w:tmpl w:val="CF5A52A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8756E58"/>
    <w:multiLevelType w:val="hybridMultilevel"/>
    <w:tmpl w:val="FE14FAB6"/>
    <w:lvl w:ilvl="0" w:tplc="04140001">
      <w:start w:val="1"/>
      <w:numFmt w:val="bullet"/>
      <w:lvlText w:val=""/>
      <w:lvlJc w:val="left"/>
      <w:pPr>
        <w:ind w:left="1080" w:hanging="720"/>
      </w:pPr>
      <w:rPr>
        <w:rFonts w:ascii="Symbol" w:hAnsi="Symbol" w:hint="default"/>
        <w:sz w:val="2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C3E27CF"/>
    <w:multiLevelType w:val="hybridMultilevel"/>
    <w:tmpl w:val="F9C80B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313553E"/>
    <w:multiLevelType w:val="hybridMultilevel"/>
    <w:tmpl w:val="B0E60E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7DC0E9A"/>
    <w:multiLevelType w:val="hybridMultilevel"/>
    <w:tmpl w:val="DA26A19C"/>
    <w:lvl w:ilvl="0" w:tplc="1460FBA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1C0356A"/>
    <w:multiLevelType w:val="hybridMultilevel"/>
    <w:tmpl w:val="93547F22"/>
    <w:lvl w:ilvl="0" w:tplc="67720502">
      <w:start w:val="1"/>
      <w:numFmt w:val="decimal"/>
      <w:lvlText w:val="%1)"/>
      <w:lvlJc w:val="left"/>
      <w:pPr>
        <w:ind w:left="720" w:hanging="360"/>
      </w:pPr>
      <w:rPr>
        <w:rFonts w:hint="default"/>
        <w:i w:val="0"/>
        <w:color w:val="auto"/>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DA02647"/>
    <w:multiLevelType w:val="hybridMultilevel"/>
    <w:tmpl w:val="628AE08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F8"/>
    <w:rsid w:val="00002883"/>
    <w:rsid w:val="00013F96"/>
    <w:rsid w:val="00031C49"/>
    <w:rsid w:val="000401F8"/>
    <w:rsid w:val="00043A92"/>
    <w:rsid w:val="00065435"/>
    <w:rsid w:val="000938F3"/>
    <w:rsid w:val="00094F01"/>
    <w:rsid w:val="000A2B22"/>
    <w:rsid w:val="000B7FED"/>
    <w:rsid w:val="000C5381"/>
    <w:rsid w:val="000C7275"/>
    <w:rsid w:val="000D4AAC"/>
    <w:rsid w:val="000E16EB"/>
    <w:rsid w:val="000E3D36"/>
    <w:rsid w:val="0010187B"/>
    <w:rsid w:val="001102B7"/>
    <w:rsid w:val="0011228A"/>
    <w:rsid w:val="00112847"/>
    <w:rsid w:val="00116EC6"/>
    <w:rsid w:val="001219E8"/>
    <w:rsid w:val="00151335"/>
    <w:rsid w:val="00156DB8"/>
    <w:rsid w:val="00171288"/>
    <w:rsid w:val="00173C10"/>
    <w:rsid w:val="001815F5"/>
    <w:rsid w:val="001831A5"/>
    <w:rsid w:val="001917C4"/>
    <w:rsid w:val="001950B1"/>
    <w:rsid w:val="00195333"/>
    <w:rsid w:val="001A2226"/>
    <w:rsid w:val="001B1A51"/>
    <w:rsid w:val="001B3411"/>
    <w:rsid w:val="001C4CB6"/>
    <w:rsid w:val="001D26C5"/>
    <w:rsid w:val="001D6246"/>
    <w:rsid w:val="001F412B"/>
    <w:rsid w:val="0021747C"/>
    <w:rsid w:val="002223D9"/>
    <w:rsid w:val="00227A74"/>
    <w:rsid w:val="00233E16"/>
    <w:rsid w:val="00244D61"/>
    <w:rsid w:val="00247813"/>
    <w:rsid w:val="00251FB8"/>
    <w:rsid w:val="00262061"/>
    <w:rsid w:val="0026216D"/>
    <w:rsid w:val="00272C52"/>
    <w:rsid w:val="002762D9"/>
    <w:rsid w:val="00296962"/>
    <w:rsid w:val="002F5093"/>
    <w:rsid w:val="00310CEA"/>
    <w:rsid w:val="00341C89"/>
    <w:rsid w:val="00352580"/>
    <w:rsid w:val="00374F2A"/>
    <w:rsid w:val="00376C3A"/>
    <w:rsid w:val="00394CB3"/>
    <w:rsid w:val="003B3B88"/>
    <w:rsid w:val="003C7BA2"/>
    <w:rsid w:val="003D38BE"/>
    <w:rsid w:val="003D45BD"/>
    <w:rsid w:val="003E0CD6"/>
    <w:rsid w:val="003E1B4C"/>
    <w:rsid w:val="003E647E"/>
    <w:rsid w:val="003E6731"/>
    <w:rsid w:val="00404448"/>
    <w:rsid w:val="00407686"/>
    <w:rsid w:val="0042228A"/>
    <w:rsid w:val="00426046"/>
    <w:rsid w:val="00426E7E"/>
    <w:rsid w:val="00446038"/>
    <w:rsid w:val="004611AF"/>
    <w:rsid w:val="004634F8"/>
    <w:rsid w:val="004704DE"/>
    <w:rsid w:val="00490D7C"/>
    <w:rsid w:val="004A0334"/>
    <w:rsid w:val="004A1489"/>
    <w:rsid w:val="004A318E"/>
    <w:rsid w:val="004B4989"/>
    <w:rsid w:val="004E3A9F"/>
    <w:rsid w:val="00500854"/>
    <w:rsid w:val="005012FE"/>
    <w:rsid w:val="005127D2"/>
    <w:rsid w:val="005253F4"/>
    <w:rsid w:val="00527B19"/>
    <w:rsid w:val="00540305"/>
    <w:rsid w:val="00557DD7"/>
    <w:rsid w:val="005601C6"/>
    <w:rsid w:val="005673C5"/>
    <w:rsid w:val="00572292"/>
    <w:rsid w:val="00582115"/>
    <w:rsid w:val="00590056"/>
    <w:rsid w:val="005A0F03"/>
    <w:rsid w:val="005A1118"/>
    <w:rsid w:val="005D5391"/>
    <w:rsid w:val="005E742C"/>
    <w:rsid w:val="006147C8"/>
    <w:rsid w:val="006168E5"/>
    <w:rsid w:val="00632A2B"/>
    <w:rsid w:val="0063609C"/>
    <w:rsid w:val="0064090E"/>
    <w:rsid w:val="00643751"/>
    <w:rsid w:val="006506E1"/>
    <w:rsid w:val="00655A37"/>
    <w:rsid w:val="00677E21"/>
    <w:rsid w:val="006A63DF"/>
    <w:rsid w:val="006D558A"/>
    <w:rsid w:val="00704031"/>
    <w:rsid w:val="00705F34"/>
    <w:rsid w:val="00706298"/>
    <w:rsid w:val="0071540B"/>
    <w:rsid w:val="00721B68"/>
    <w:rsid w:val="007233CE"/>
    <w:rsid w:val="0075194C"/>
    <w:rsid w:val="007523C4"/>
    <w:rsid w:val="0075405B"/>
    <w:rsid w:val="007666ED"/>
    <w:rsid w:val="00771C9C"/>
    <w:rsid w:val="007C0A11"/>
    <w:rsid w:val="007C1795"/>
    <w:rsid w:val="007C266D"/>
    <w:rsid w:val="007C2DF2"/>
    <w:rsid w:val="007D093D"/>
    <w:rsid w:val="007D348E"/>
    <w:rsid w:val="007F4DD5"/>
    <w:rsid w:val="0080778B"/>
    <w:rsid w:val="008217EC"/>
    <w:rsid w:val="00835472"/>
    <w:rsid w:val="00835B9F"/>
    <w:rsid w:val="008447E7"/>
    <w:rsid w:val="00856223"/>
    <w:rsid w:val="00873BE4"/>
    <w:rsid w:val="008832A8"/>
    <w:rsid w:val="00887106"/>
    <w:rsid w:val="008A0E9E"/>
    <w:rsid w:val="008C0434"/>
    <w:rsid w:val="008D292C"/>
    <w:rsid w:val="008D6F47"/>
    <w:rsid w:val="008D7837"/>
    <w:rsid w:val="008F0F63"/>
    <w:rsid w:val="008F478A"/>
    <w:rsid w:val="008F5E20"/>
    <w:rsid w:val="00902342"/>
    <w:rsid w:val="0093297C"/>
    <w:rsid w:val="00937743"/>
    <w:rsid w:val="00947BA6"/>
    <w:rsid w:val="00957980"/>
    <w:rsid w:val="0096138B"/>
    <w:rsid w:val="0096725E"/>
    <w:rsid w:val="009676DE"/>
    <w:rsid w:val="009778D7"/>
    <w:rsid w:val="00983CEB"/>
    <w:rsid w:val="009A125C"/>
    <w:rsid w:val="009A6F27"/>
    <w:rsid w:val="009B3789"/>
    <w:rsid w:val="009B4563"/>
    <w:rsid w:val="009C377F"/>
    <w:rsid w:val="009E1818"/>
    <w:rsid w:val="009F0961"/>
    <w:rsid w:val="009F201F"/>
    <w:rsid w:val="009F2DBB"/>
    <w:rsid w:val="009F34AB"/>
    <w:rsid w:val="00A00BFF"/>
    <w:rsid w:val="00A34A0C"/>
    <w:rsid w:val="00A36427"/>
    <w:rsid w:val="00A40EC7"/>
    <w:rsid w:val="00A47EC4"/>
    <w:rsid w:val="00A657DA"/>
    <w:rsid w:val="00A8563E"/>
    <w:rsid w:val="00A90C6D"/>
    <w:rsid w:val="00AA50A3"/>
    <w:rsid w:val="00AB0581"/>
    <w:rsid w:val="00AB0A80"/>
    <w:rsid w:val="00AC1242"/>
    <w:rsid w:val="00AC5A4D"/>
    <w:rsid w:val="00AD5D67"/>
    <w:rsid w:val="00AE1533"/>
    <w:rsid w:val="00AF7D39"/>
    <w:rsid w:val="00B220AD"/>
    <w:rsid w:val="00B37416"/>
    <w:rsid w:val="00B46B45"/>
    <w:rsid w:val="00B7215B"/>
    <w:rsid w:val="00B81345"/>
    <w:rsid w:val="00B86DE4"/>
    <w:rsid w:val="00B95C8A"/>
    <w:rsid w:val="00B96BE5"/>
    <w:rsid w:val="00BA4D81"/>
    <w:rsid w:val="00BA54B9"/>
    <w:rsid w:val="00BA78BE"/>
    <w:rsid w:val="00BB5D28"/>
    <w:rsid w:val="00BB7BE7"/>
    <w:rsid w:val="00BD0B29"/>
    <w:rsid w:val="00BD66EB"/>
    <w:rsid w:val="00BE296B"/>
    <w:rsid w:val="00BF4A57"/>
    <w:rsid w:val="00C02A0B"/>
    <w:rsid w:val="00C06EB4"/>
    <w:rsid w:val="00C13062"/>
    <w:rsid w:val="00C14983"/>
    <w:rsid w:val="00C17A04"/>
    <w:rsid w:val="00C450A2"/>
    <w:rsid w:val="00C47773"/>
    <w:rsid w:val="00C47949"/>
    <w:rsid w:val="00C5397E"/>
    <w:rsid w:val="00C77739"/>
    <w:rsid w:val="00C87BC2"/>
    <w:rsid w:val="00C960AD"/>
    <w:rsid w:val="00CB5747"/>
    <w:rsid w:val="00CD15C1"/>
    <w:rsid w:val="00CE3047"/>
    <w:rsid w:val="00CF1D49"/>
    <w:rsid w:val="00D069BB"/>
    <w:rsid w:val="00D15A99"/>
    <w:rsid w:val="00D25FE4"/>
    <w:rsid w:val="00D3272F"/>
    <w:rsid w:val="00D340E8"/>
    <w:rsid w:val="00D34D15"/>
    <w:rsid w:val="00D40AE0"/>
    <w:rsid w:val="00D50BC1"/>
    <w:rsid w:val="00D539AD"/>
    <w:rsid w:val="00D61547"/>
    <w:rsid w:val="00D657E5"/>
    <w:rsid w:val="00D70962"/>
    <w:rsid w:val="00D871A1"/>
    <w:rsid w:val="00D94E15"/>
    <w:rsid w:val="00DB1289"/>
    <w:rsid w:val="00DB2F2C"/>
    <w:rsid w:val="00DC2341"/>
    <w:rsid w:val="00DC3C1B"/>
    <w:rsid w:val="00DD09C4"/>
    <w:rsid w:val="00DE1DD3"/>
    <w:rsid w:val="00DF5619"/>
    <w:rsid w:val="00E32517"/>
    <w:rsid w:val="00E33C79"/>
    <w:rsid w:val="00E33EA5"/>
    <w:rsid w:val="00E340C0"/>
    <w:rsid w:val="00E36514"/>
    <w:rsid w:val="00E61596"/>
    <w:rsid w:val="00E63560"/>
    <w:rsid w:val="00E72455"/>
    <w:rsid w:val="00E87856"/>
    <w:rsid w:val="00EB443B"/>
    <w:rsid w:val="00ED338B"/>
    <w:rsid w:val="00EE0B62"/>
    <w:rsid w:val="00EE6F52"/>
    <w:rsid w:val="00F23E1C"/>
    <w:rsid w:val="00F26131"/>
    <w:rsid w:val="00F3291F"/>
    <w:rsid w:val="00F6455C"/>
    <w:rsid w:val="00F65125"/>
    <w:rsid w:val="00F71DB2"/>
    <w:rsid w:val="00F773C8"/>
    <w:rsid w:val="00F77F66"/>
    <w:rsid w:val="00FA6D1E"/>
    <w:rsid w:val="00FA75F3"/>
    <w:rsid w:val="00FB299A"/>
    <w:rsid w:val="00FC034F"/>
    <w:rsid w:val="00FC6C90"/>
    <w:rsid w:val="00FE1FA4"/>
    <w:rsid w:val="00FF1767"/>
    <w:rsid w:val="00FF7B6E"/>
    <w:rsid w:val="0914A97D"/>
    <w:rsid w:val="14D4EF53"/>
    <w:rsid w:val="19BA5563"/>
    <w:rsid w:val="2A9CCE44"/>
    <w:rsid w:val="30EF783C"/>
    <w:rsid w:val="36B95FE0"/>
    <w:rsid w:val="38F3D573"/>
    <w:rsid w:val="3E15FCBB"/>
    <w:rsid w:val="50C8EA7B"/>
    <w:rsid w:val="583A90DB"/>
    <w:rsid w:val="584CC4F2"/>
    <w:rsid w:val="5FDF6ADE"/>
    <w:rsid w:val="680281D7"/>
    <w:rsid w:val="68D265D1"/>
    <w:rsid w:val="7F318C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BAA9"/>
  <w15:chartTrackingRefBased/>
  <w15:docId w15:val="{F4ABCD1C-848C-48DB-8A1B-24C70858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1F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0E3D36"/>
    <w:rPr>
      <w:sz w:val="16"/>
      <w:szCs w:val="16"/>
    </w:rPr>
  </w:style>
  <w:style w:type="paragraph" w:styleId="Merknadstekst">
    <w:name w:val="annotation text"/>
    <w:basedOn w:val="Normal"/>
    <w:link w:val="MerknadstekstTegn"/>
    <w:uiPriority w:val="99"/>
    <w:semiHidden/>
    <w:unhideWhenUsed/>
    <w:rsid w:val="000E3D3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E3D36"/>
    <w:rPr>
      <w:sz w:val="20"/>
      <w:szCs w:val="20"/>
    </w:rPr>
  </w:style>
  <w:style w:type="paragraph" w:styleId="Kommentaremne">
    <w:name w:val="annotation subject"/>
    <w:basedOn w:val="Merknadstekst"/>
    <w:next w:val="Merknadstekst"/>
    <w:link w:val="KommentaremneTegn"/>
    <w:uiPriority w:val="99"/>
    <w:semiHidden/>
    <w:unhideWhenUsed/>
    <w:rsid w:val="000E3D36"/>
    <w:rPr>
      <w:b/>
      <w:bCs/>
    </w:rPr>
  </w:style>
  <w:style w:type="character" w:customStyle="1" w:styleId="KommentaremneTegn">
    <w:name w:val="Kommentaremne Tegn"/>
    <w:basedOn w:val="MerknadstekstTegn"/>
    <w:link w:val="Kommentaremne"/>
    <w:uiPriority w:val="99"/>
    <w:semiHidden/>
    <w:rsid w:val="000E3D36"/>
    <w:rPr>
      <w:b/>
      <w:bCs/>
      <w:sz w:val="20"/>
      <w:szCs w:val="20"/>
    </w:rPr>
  </w:style>
  <w:style w:type="paragraph" w:styleId="Bobletekst">
    <w:name w:val="Balloon Text"/>
    <w:basedOn w:val="Normal"/>
    <w:link w:val="BobletekstTegn"/>
    <w:uiPriority w:val="99"/>
    <w:semiHidden/>
    <w:unhideWhenUsed/>
    <w:rsid w:val="000E3D3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E3D36"/>
    <w:rPr>
      <w:rFonts w:ascii="Segoe UI" w:hAnsi="Segoe UI" w:cs="Segoe UI"/>
      <w:sz w:val="18"/>
      <w:szCs w:val="18"/>
    </w:rPr>
  </w:style>
  <w:style w:type="table" w:styleId="Tabellrutenett">
    <w:name w:val="Table Grid"/>
    <w:basedOn w:val="Vanligtabell"/>
    <w:uiPriority w:val="39"/>
    <w:rsid w:val="000B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nligtabell2">
    <w:name w:val="Plain Table 2"/>
    <w:basedOn w:val="Vanligtabell"/>
    <w:uiPriority w:val="42"/>
    <w:rsid w:val="000B7F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nntekstTegn">
    <w:name w:val="Bunntekst Tegn"/>
    <w:basedOn w:val="Standardskriftforavsnitt"/>
    <w:link w:val="Bunntekst"/>
    <w:uiPriority w:val="99"/>
    <w:rsid w:val="000B7FED"/>
  </w:style>
  <w:style w:type="paragraph" w:styleId="Bunntekst">
    <w:name w:val="footer"/>
    <w:basedOn w:val="Normal"/>
    <w:link w:val="BunntekstTegn"/>
    <w:uiPriority w:val="99"/>
    <w:unhideWhenUsed/>
    <w:rsid w:val="000B7FED"/>
    <w:pPr>
      <w:tabs>
        <w:tab w:val="center" w:pos="4680"/>
        <w:tab w:val="right" w:pos="9360"/>
      </w:tabs>
      <w:spacing w:after="0" w:line="240" w:lineRule="auto"/>
    </w:pPr>
  </w:style>
  <w:style w:type="character" w:customStyle="1" w:styleId="FooterChar1">
    <w:name w:val="Footer Char1"/>
    <w:basedOn w:val="Standardskriftforavsnitt"/>
    <w:uiPriority w:val="99"/>
    <w:semiHidden/>
    <w:rsid w:val="000B7FED"/>
  </w:style>
  <w:style w:type="paragraph" w:styleId="NormalWeb">
    <w:name w:val="Normal (Web)"/>
    <w:basedOn w:val="Normal"/>
    <w:uiPriority w:val="99"/>
    <w:unhideWhenUsed/>
    <w:rsid w:val="00E33EA5"/>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msonormal">
    <w:name w:val="x_msonormal"/>
    <w:basedOn w:val="Normal"/>
    <w:rsid w:val="007C1795"/>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251FB8"/>
    <w:pPr>
      <w:ind w:left="720"/>
      <w:contextualSpacing/>
    </w:pPr>
  </w:style>
  <w:style w:type="character" w:customStyle="1" w:styleId="xnormaltextrun1">
    <w:name w:val="x_normaltextrun1"/>
    <w:basedOn w:val="Standardskriftforavsnitt"/>
    <w:rsid w:val="0010187B"/>
  </w:style>
  <w:style w:type="paragraph" w:customStyle="1" w:styleId="xparagraph">
    <w:name w:val="x_paragraph"/>
    <w:basedOn w:val="Normal"/>
    <w:rsid w:val="00D7096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xeop">
    <w:name w:val="x_eop"/>
    <w:basedOn w:val="Standardskriftforavsnitt"/>
    <w:rsid w:val="00D70962"/>
  </w:style>
  <w:style w:type="paragraph" w:styleId="Topptekst">
    <w:name w:val="header"/>
    <w:basedOn w:val="Normal"/>
    <w:link w:val="TopptekstTegn"/>
    <w:uiPriority w:val="99"/>
    <w:unhideWhenUsed/>
    <w:rsid w:val="008D292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D292C"/>
  </w:style>
  <w:style w:type="character" w:styleId="Fotnotereferanse">
    <w:name w:val="footnote reference"/>
    <w:basedOn w:val="Standardskriftforavsnitt"/>
    <w:uiPriority w:val="99"/>
    <w:semiHidden/>
    <w:unhideWhenUsed/>
    <w:rsid w:val="00183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17535">
      <w:bodyDiv w:val="1"/>
      <w:marLeft w:val="0"/>
      <w:marRight w:val="0"/>
      <w:marTop w:val="0"/>
      <w:marBottom w:val="0"/>
      <w:divBdr>
        <w:top w:val="none" w:sz="0" w:space="0" w:color="auto"/>
        <w:left w:val="none" w:sz="0" w:space="0" w:color="auto"/>
        <w:bottom w:val="none" w:sz="0" w:space="0" w:color="auto"/>
        <w:right w:val="none" w:sz="0" w:space="0" w:color="auto"/>
      </w:divBdr>
    </w:div>
    <w:div w:id="927930262">
      <w:bodyDiv w:val="1"/>
      <w:marLeft w:val="0"/>
      <w:marRight w:val="0"/>
      <w:marTop w:val="0"/>
      <w:marBottom w:val="0"/>
      <w:divBdr>
        <w:top w:val="none" w:sz="0" w:space="0" w:color="auto"/>
        <w:left w:val="none" w:sz="0" w:space="0" w:color="auto"/>
        <w:bottom w:val="none" w:sz="0" w:space="0" w:color="auto"/>
        <w:right w:val="none" w:sz="0" w:space="0" w:color="auto"/>
      </w:divBdr>
    </w:div>
    <w:div w:id="1361929779">
      <w:bodyDiv w:val="1"/>
      <w:marLeft w:val="0"/>
      <w:marRight w:val="0"/>
      <w:marTop w:val="0"/>
      <w:marBottom w:val="0"/>
      <w:divBdr>
        <w:top w:val="none" w:sz="0" w:space="0" w:color="auto"/>
        <w:left w:val="none" w:sz="0" w:space="0" w:color="auto"/>
        <w:bottom w:val="none" w:sz="0" w:space="0" w:color="auto"/>
        <w:right w:val="none" w:sz="0" w:space="0" w:color="auto"/>
      </w:divBdr>
    </w:div>
    <w:div w:id="1780567573">
      <w:bodyDiv w:val="1"/>
      <w:marLeft w:val="0"/>
      <w:marRight w:val="0"/>
      <w:marTop w:val="0"/>
      <w:marBottom w:val="0"/>
      <w:divBdr>
        <w:top w:val="none" w:sz="0" w:space="0" w:color="auto"/>
        <w:left w:val="none" w:sz="0" w:space="0" w:color="auto"/>
        <w:bottom w:val="none" w:sz="0" w:space="0" w:color="auto"/>
        <w:right w:val="none" w:sz="0" w:space="0" w:color="auto"/>
      </w:divBdr>
    </w:div>
    <w:div w:id="203025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49B0441F6CC34EBE4F7E7B73658F2B" ma:contentTypeVersion="0" ma:contentTypeDescription="Opprett et nytt dokument." ma:contentTypeScope="" ma:versionID="2edd800b2a2d08a8e5447b49d0187380">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16DBC-8F74-4F02-BA7D-0381062CB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004BD7-FFE5-4867-A13F-AD3C223D5C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4445364-3836-408E-9A04-47F0E15D06CE}">
  <ds:schemaRefs>
    <ds:schemaRef ds:uri="http://schemas.microsoft.com/sharepoint/v3/contenttype/forms"/>
  </ds:schemaRefs>
</ds:datastoreItem>
</file>

<file path=customXml/itemProps4.xml><?xml version="1.0" encoding="utf-8"?>
<ds:datastoreItem xmlns:ds="http://schemas.openxmlformats.org/officeDocument/2006/customXml" ds:itemID="{E8D28A54-227C-4AC7-A813-D912C316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4564</Words>
  <Characters>24193</Characters>
  <Application>Microsoft Office Word</Application>
  <DocSecurity>0</DocSecurity>
  <Lines>201</Lines>
  <Paragraphs>57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Kårstad</dc:creator>
  <cp:keywords/>
  <dc:description/>
  <cp:lastModifiedBy>Berglund, Stian Simble</cp:lastModifiedBy>
  <cp:revision>2</cp:revision>
  <dcterms:created xsi:type="dcterms:W3CDTF">2019-11-06T11:50:00Z</dcterms:created>
  <dcterms:modified xsi:type="dcterms:W3CDTF">2019-11-06T11:50:00Z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OP Prosjektfase">
    <vt:lpwstr>4;#Konsept|d6b1ea3d-358f-4a18-8141-3afca961ef55</vt:lpwstr>
  </property>
  <property fmtid="{D5CDD505-2E9C-101B-9397-08002B2CF9AE}" pid="3" name="ContentTypeId">
    <vt:lpwstr>0x0101004349B0441F6CC34EBE4F7E7B73658F2B</vt:lpwstr>
  </property>
  <property fmtid="{D5CDD505-2E9C-101B-9397-08002B2CF9AE}" pid="4" name="DSOP Dokumentkategori">
    <vt:lpwstr>1;#Arbeidsdokument|3d15a87f-0b57-4a1b-a02e-a6153c2d5e5d</vt:lpwstr>
  </property>
  <property fmtid="{D5CDD505-2E9C-101B-9397-08002B2CF9AE}" pid="5" name="_NewReviewCycle">
    <vt:lpwstr/>
  </property>
  <property fmtid="{D5CDD505-2E9C-101B-9397-08002B2CF9AE}" pid="6" name="_AdHocReviewCycleID">
    <vt:i4>682437960</vt:i4>
  </property>
  <property fmtid="{D5CDD505-2E9C-101B-9397-08002B2CF9AE}" pid="7" name="_EmailSubject">
    <vt:lpwstr>Rapport - tabeller</vt:lpwstr>
  </property>
  <property fmtid="{D5CDD505-2E9C-101B-9397-08002B2CF9AE}" pid="8" name="_AuthorEmail">
    <vt:lpwstr>Aleksander.Baklund@storebrand.no</vt:lpwstr>
  </property>
  <property fmtid="{D5CDD505-2E9C-101B-9397-08002B2CF9AE}" pid="9" name="_AuthorEmailDisplayName">
    <vt:lpwstr>Baklund, Aleksander</vt:lpwstr>
  </property>
  <property fmtid="{D5CDD505-2E9C-101B-9397-08002B2CF9AE}" pid="10" name="_PreviousAdHocReviewCycleID">
    <vt:i4>1655001014</vt:i4>
  </property>
  <property fmtid="{D5CDD505-2E9C-101B-9397-08002B2CF9AE}" pid="11" name="_ReviewingToolsShownOnce">
    <vt:lpwstr/>
  </property>
</Properties>
</file>